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8A850" w14:textId="0EB67987" w:rsidR="00341467" w:rsidRDefault="00B92DD0" w:rsidP="00CB0609">
      <w:pPr>
        <w:pStyle w:val="Title"/>
      </w:pPr>
      <w:r>
        <w:t>Electricity Transmission Plc</w:t>
      </w:r>
    </w:p>
    <w:p w14:paraId="6A3DD695" w14:textId="0AFAFB0B" w:rsidR="00CB0609" w:rsidRDefault="00B92DD0" w:rsidP="00CB0609">
      <w:pPr>
        <w:pStyle w:val="Title"/>
      </w:pPr>
      <w:r>
        <w:t>Electricity transmission licence</w:t>
      </w:r>
    </w:p>
    <w:p w14:paraId="615E03F1" w14:textId="77777777" w:rsidR="0009677E" w:rsidRDefault="009A7836" w:rsidP="00CB0609">
      <w:pPr>
        <w:pStyle w:val="Title"/>
      </w:pPr>
      <w:r>
        <w:t>Special Conditions</w:t>
      </w:r>
    </w:p>
    <w:p w14:paraId="6ECA3161" w14:textId="77777777" w:rsidR="0009677E" w:rsidRDefault="0009677E" w:rsidP="0009677E">
      <w:pPr>
        <w:rPr>
          <w:rFonts w:ascii="Arial" w:eastAsiaTheme="majorEastAsia" w:hAnsi="Arial" w:cstheme="majorBidi"/>
          <w:spacing w:val="-10"/>
          <w:kern w:val="28"/>
          <w:sz w:val="36"/>
          <w:szCs w:val="56"/>
        </w:rPr>
      </w:pPr>
      <w:r>
        <w:br w:type="page"/>
      </w:r>
    </w:p>
    <w:p w14:paraId="5DD5479A" w14:textId="77777777" w:rsidR="00C275C5" w:rsidRDefault="00C275C5" w:rsidP="00C275C5">
      <w:pPr>
        <w:pStyle w:val="TOCHeading"/>
      </w:pPr>
      <w:bookmarkStart w:id="0" w:name="_Toc51319589"/>
      <w:bookmarkStart w:id="1" w:name="_Toc51798247"/>
      <w:r>
        <w:lastRenderedPageBreak/>
        <w:t>Contents</w:t>
      </w:r>
      <w:bookmarkEnd w:id="0"/>
      <w:bookmarkEnd w:id="1"/>
    </w:p>
    <w:p w14:paraId="7A40D450" w14:textId="5E99D461" w:rsidR="00A115BA" w:rsidRDefault="00E23FD7">
      <w:pPr>
        <w:pStyle w:val="TOC1"/>
        <w:rPr>
          <w:rFonts w:asciiTheme="minorHAnsi" w:eastAsiaTheme="minorEastAsia" w:hAnsiTheme="minorHAnsi"/>
          <w:b w:val="0"/>
          <w:sz w:val="22"/>
          <w:szCs w:val="22"/>
          <w:lang w:eastAsia="en-GB"/>
        </w:rPr>
      </w:pPr>
      <w:r>
        <w:fldChar w:fldCharType="begin"/>
      </w:r>
      <w:r>
        <w:instrText xml:space="preserve"> TOC \o "2-2" \h \z \t "Heading 1,1" </w:instrText>
      </w:r>
      <w:r>
        <w:fldChar w:fldCharType="separate"/>
      </w:r>
      <w:hyperlink w:anchor="_Toc52364875" w:history="1">
        <w:r w:rsidR="00A115BA" w:rsidRPr="00266F4A">
          <w:rPr>
            <w:rStyle w:val="Hyperlink"/>
          </w:rPr>
          <w:t>Chapter 1: Interpretation and definitions</w:t>
        </w:r>
        <w:r w:rsidR="00A115BA">
          <w:rPr>
            <w:webHidden/>
          </w:rPr>
          <w:tab/>
        </w:r>
        <w:r w:rsidR="00A115BA">
          <w:rPr>
            <w:webHidden/>
          </w:rPr>
          <w:fldChar w:fldCharType="begin"/>
        </w:r>
        <w:r w:rsidR="00A115BA">
          <w:rPr>
            <w:webHidden/>
          </w:rPr>
          <w:instrText xml:space="preserve"> PAGEREF _Toc52364875 \h </w:instrText>
        </w:r>
        <w:r w:rsidR="00A115BA">
          <w:rPr>
            <w:webHidden/>
          </w:rPr>
        </w:r>
        <w:r w:rsidR="00A115BA">
          <w:rPr>
            <w:webHidden/>
          </w:rPr>
          <w:fldChar w:fldCharType="separate"/>
        </w:r>
        <w:r w:rsidR="00A115BA">
          <w:rPr>
            <w:webHidden/>
          </w:rPr>
          <w:t>5</w:t>
        </w:r>
        <w:r w:rsidR="00A115BA">
          <w:rPr>
            <w:webHidden/>
          </w:rPr>
          <w:fldChar w:fldCharType="end"/>
        </w:r>
      </w:hyperlink>
    </w:p>
    <w:p w14:paraId="241E0011" w14:textId="5E7AC2D7" w:rsidR="00A115BA" w:rsidRDefault="00B913B6">
      <w:pPr>
        <w:pStyle w:val="TOC2"/>
        <w:tabs>
          <w:tab w:val="right" w:pos="9016"/>
        </w:tabs>
        <w:rPr>
          <w:rFonts w:asciiTheme="minorHAnsi" w:eastAsiaTheme="minorEastAsia" w:hAnsiTheme="minorHAnsi"/>
          <w:noProof/>
          <w:sz w:val="22"/>
          <w:szCs w:val="22"/>
          <w:lang w:eastAsia="en-GB"/>
        </w:rPr>
      </w:pPr>
      <w:hyperlink w:anchor="_Toc52364876" w:history="1">
        <w:r w:rsidR="00A115BA" w:rsidRPr="00266F4A">
          <w:rPr>
            <w:rStyle w:val="Hyperlink"/>
            <w:noProof/>
          </w:rPr>
          <w:t>Special Condition 1.1 Interpretation and definitions</w:t>
        </w:r>
        <w:r w:rsidR="00A115BA">
          <w:rPr>
            <w:noProof/>
            <w:webHidden/>
          </w:rPr>
          <w:tab/>
        </w:r>
        <w:r w:rsidR="00A115BA">
          <w:rPr>
            <w:noProof/>
            <w:webHidden/>
          </w:rPr>
          <w:fldChar w:fldCharType="begin"/>
        </w:r>
        <w:r w:rsidR="00A115BA">
          <w:rPr>
            <w:noProof/>
            <w:webHidden/>
          </w:rPr>
          <w:instrText xml:space="preserve"> PAGEREF _Toc52364876 \h </w:instrText>
        </w:r>
        <w:r w:rsidR="00A115BA">
          <w:rPr>
            <w:noProof/>
            <w:webHidden/>
          </w:rPr>
        </w:r>
        <w:r w:rsidR="00A115BA">
          <w:rPr>
            <w:noProof/>
            <w:webHidden/>
          </w:rPr>
          <w:fldChar w:fldCharType="separate"/>
        </w:r>
        <w:r w:rsidR="00A115BA">
          <w:rPr>
            <w:noProof/>
            <w:webHidden/>
          </w:rPr>
          <w:t>5</w:t>
        </w:r>
        <w:r w:rsidR="00A115BA">
          <w:rPr>
            <w:noProof/>
            <w:webHidden/>
          </w:rPr>
          <w:fldChar w:fldCharType="end"/>
        </w:r>
      </w:hyperlink>
    </w:p>
    <w:p w14:paraId="2DF56185" w14:textId="0DBE4701" w:rsidR="00A115BA" w:rsidRDefault="00B913B6">
      <w:pPr>
        <w:pStyle w:val="TOC2"/>
        <w:tabs>
          <w:tab w:val="right" w:pos="9016"/>
        </w:tabs>
        <w:rPr>
          <w:rFonts w:asciiTheme="minorHAnsi" w:eastAsiaTheme="minorEastAsia" w:hAnsiTheme="minorHAnsi"/>
          <w:noProof/>
          <w:sz w:val="22"/>
          <w:szCs w:val="22"/>
          <w:lang w:eastAsia="en-GB"/>
        </w:rPr>
      </w:pPr>
      <w:hyperlink w:anchor="_Toc52364877" w:history="1">
        <w:r w:rsidR="00A115BA" w:rsidRPr="00266F4A">
          <w:rPr>
            <w:rStyle w:val="Hyperlink"/>
            <w:noProof/>
          </w:rPr>
          <w:t>Special Condition 1.2 Amendments to the Standard Conditions for the purposes of this licence</w:t>
        </w:r>
        <w:r w:rsidR="00A115BA">
          <w:rPr>
            <w:noProof/>
            <w:webHidden/>
          </w:rPr>
          <w:tab/>
        </w:r>
        <w:r w:rsidR="00A115BA">
          <w:rPr>
            <w:noProof/>
            <w:webHidden/>
          </w:rPr>
          <w:fldChar w:fldCharType="begin"/>
        </w:r>
        <w:r w:rsidR="00A115BA">
          <w:rPr>
            <w:noProof/>
            <w:webHidden/>
          </w:rPr>
          <w:instrText xml:space="preserve"> PAGEREF _Toc52364877 \h </w:instrText>
        </w:r>
        <w:r w:rsidR="00A115BA">
          <w:rPr>
            <w:noProof/>
            <w:webHidden/>
          </w:rPr>
        </w:r>
        <w:r w:rsidR="00A115BA">
          <w:rPr>
            <w:noProof/>
            <w:webHidden/>
          </w:rPr>
          <w:fldChar w:fldCharType="separate"/>
        </w:r>
        <w:r w:rsidR="00A115BA">
          <w:rPr>
            <w:noProof/>
            <w:webHidden/>
          </w:rPr>
          <w:t>6</w:t>
        </w:r>
        <w:r w:rsidR="00A115BA">
          <w:rPr>
            <w:noProof/>
            <w:webHidden/>
          </w:rPr>
          <w:fldChar w:fldCharType="end"/>
        </w:r>
      </w:hyperlink>
    </w:p>
    <w:p w14:paraId="39AB00E3" w14:textId="55040AB9" w:rsidR="00A115BA" w:rsidRDefault="00B913B6">
      <w:pPr>
        <w:pStyle w:val="TOC1"/>
        <w:rPr>
          <w:rFonts w:asciiTheme="minorHAnsi" w:eastAsiaTheme="minorEastAsia" w:hAnsiTheme="minorHAnsi"/>
          <w:b w:val="0"/>
          <w:sz w:val="22"/>
          <w:szCs w:val="22"/>
          <w:lang w:eastAsia="en-GB"/>
        </w:rPr>
      </w:pPr>
      <w:hyperlink w:anchor="_Toc52364878" w:history="1">
        <w:r w:rsidR="00A115BA" w:rsidRPr="00266F4A">
          <w:rPr>
            <w:rStyle w:val="Hyperlink"/>
          </w:rPr>
          <w:t>Chapter 2: Revenue Restriction</w:t>
        </w:r>
        <w:r w:rsidR="00A115BA">
          <w:rPr>
            <w:webHidden/>
          </w:rPr>
          <w:tab/>
        </w:r>
        <w:r w:rsidR="00A115BA">
          <w:rPr>
            <w:webHidden/>
          </w:rPr>
          <w:fldChar w:fldCharType="begin"/>
        </w:r>
        <w:r w:rsidR="00A115BA">
          <w:rPr>
            <w:webHidden/>
          </w:rPr>
          <w:instrText xml:space="preserve"> PAGEREF _Toc52364878 \h </w:instrText>
        </w:r>
        <w:r w:rsidR="00A115BA">
          <w:rPr>
            <w:webHidden/>
          </w:rPr>
        </w:r>
        <w:r w:rsidR="00A115BA">
          <w:rPr>
            <w:webHidden/>
          </w:rPr>
          <w:fldChar w:fldCharType="separate"/>
        </w:r>
        <w:r w:rsidR="00A115BA">
          <w:rPr>
            <w:webHidden/>
          </w:rPr>
          <w:t>9</w:t>
        </w:r>
        <w:r w:rsidR="00A115BA">
          <w:rPr>
            <w:webHidden/>
          </w:rPr>
          <w:fldChar w:fldCharType="end"/>
        </w:r>
      </w:hyperlink>
    </w:p>
    <w:p w14:paraId="704DC892" w14:textId="1D476287" w:rsidR="00A115BA" w:rsidRDefault="00B913B6">
      <w:pPr>
        <w:pStyle w:val="TOC2"/>
        <w:tabs>
          <w:tab w:val="right" w:pos="9016"/>
        </w:tabs>
        <w:rPr>
          <w:rFonts w:asciiTheme="minorHAnsi" w:eastAsiaTheme="minorEastAsia" w:hAnsiTheme="minorHAnsi"/>
          <w:noProof/>
          <w:sz w:val="22"/>
          <w:szCs w:val="22"/>
          <w:lang w:eastAsia="en-GB"/>
        </w:rPr>
      </w:pPr>
      <w:hyperlink w:anchor="_Toc52364879" w:history="1">
        <w:r w:rsidR="00A115BA" w:rsidRPr="00266F4A">
          <w:rPr>
            <w:rStyle w:val="Hyperlink"/>
            <w:noProof/>
          </w:rPr>
          <w:t>Special Condition 2.1 Revenue Restriction</w:t>
        </w:r>
        <w:r w:rsidR="00A115BA">
          <w:rPr>
            <w:noProof/>
            <w:webHidden/>
          </w:rPr>
          <w:tab/>
        </w:r>
        <w:r w:rsidR="00A115BA">
          <w:rPr>
            <w:noProof/>
            <w:webHidden/>
          </w:rPr>
          <w:fldChar w:fldCharType="begin"/>
        </w:r>
        <w:r w:rsidR="00A115BA">
          <w:rPr>
            <w:noProof/>
            <w:webHidden/>
          </w:rPr>
          <w:instrText xml:space="preserve"> PAGEREF _Toc52364879 \h </w:instrText>
        </w:r>
        <w:r w:rsidR="00A115BA">
          <w:rPr>
            <w:noProof/>
            <w:webHidden/>
          </w:rPr>
        </w:r>
        <w:r w:rsidR="00A115BA">
          <w:rPr>
            <w:noProof/>
            <w:webHidden/>
          </w:rPr>
          <w:fldChar w:fldCharType="separate"/>
        </w:r>
        <w:r w:rsidR="00A115BA">
          <w:rPr>
            <w:noProof/>
            <w:webHidden/>
          </w:rPr>
          <w:t>9</w:t>
        </w:r>
        <w:r w:rsidR="00A115BA">
          <w:rPr>
            <w:noProof/>
            <w:webHidden/>
          </w:rPr>
          <w:fldChar w:fldCharType="end"/>
        </w:r>
      </w:hyperlink>
    </w:p>
    <w:p w14:paraId="73148D82" w14:textId="64855778" w:rsidR="00A115BA" w:rsidRDefault="00B913B6">
      <w:pPr>
        <w:pStyle w:val="TOC2"/>
        <w:tabs>
          <w:tab w:val="right" w:pos="9016"/>
        </w:tabs>
        <w:rPr>
          <w:rFonts w:asciiTheme="minorHAnsi" w:eastAsiaTheme="minorEastAsia" w:hAnsiTheme="minorHAnsi"/>
          <w:noProof/>
          <w:sz w:val="22"/>
          <w:szCs w:val="22"/>
          <w:lang w:eastAsia="en-GB"/>
        </w:rPr>
      </w:pPr>
      <w:hyperlink w:anchor="_Toc52364880" w:history="1">
        <w:r w:rsidR="00A115BA" w:rsidRPr="00266F4A">
          <w:rPr>
            <w:rStyle w:val="Hyperlink"/>
            <w:noProof/>
          </w:rPr>
          <w:t>Special Condition 2.2 AIP adjustment term (ADJ</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_Toc52364880 \h </w:instrText>
        </w:r>
        <w:r w:rsidR="00A115BA">
          <w:rPr>
            <w:noProof/>
            <w:webHidden/>
          </w:rPr>
        </w:r>
        <w:r w:rsidR="00A115BA">
          <w:rPr>
            <w:noProof/>
            <w:webHidden/>
          </w:rPr>
          <w:fldChar w:fldCharType="separate"/>
        </w:r>
        <w:r w:rsidR="00A115BA">
          <w:rPr>
            <w:noProof/>
            <w:webHidden/>
          </w:rPr>
          <w:t>11</w:t>
        </w:r>
        <w:r w:rsidR="00A115BA">
          <w:rPr>
            <w:noProof/>
            <w:webHidden/>
          </w:rPr>
          <w:fldChar w:fldCharType="end"/>
        </w:r>
      </w:hyperlink>
    </w:p>
    <w:p w14:paraId="7685B9D2" w14:textId="29C9DB3E" w:rsidR="00A115BA" w:rsidRDefault="00B913B6">
      <w:pPr>
        <w:pStyle w:val="TOC2"/>
        <w:tabs>
          <w:tab w:val="right" w:pos="9016"/>
        </w:tabs>
        <w:rPr>
          <w:rFonts w:asciiTheme="minorHAnsi" w:eastAsiaTheme="minorEastAsia" w:hAnsiTheme="minorHAnsi"/>
          <w:noProof/>
          <w:sz w:val="22"/>
          <w:szCs w:val="22"/>
          <w:lang w:eastAsia="en-GB"/>
        </w:rPr>
      </w:pPr>
      <w:hyperlink w:anchor="_Toc52364881" w:history="1">
        <w:r w:rsidR="00A115BA" w:rsidRPr="00266F4A">
          <w:rPr>
            <w:rStyle w:val="Hyperlink"/>
            <w:noProof/>
          </w:rPr>
          <w:t>Special Condition 2.3 Correction term</w:t>
        </w:r>
        <w:r w:rsidR="00A115BA">
          <w:rPr>
            <w:noProof/>
            <w:webHidden/>
          </w:rPr>
          <w:tab/>
        </w:r>
        <w:r w:rsidR="00A115BA">
          <w:rPr>
            <w:noProof/>
            <w:webHidden/>
          </w:rPr>
          <w:fldChar w:fldCharType="begin"/>
        </w:r>
        <w:r w:rsidR="00A115BA">
          <w:rPr>
            <w:noProof/>
            <w:webHidden/>
          </w:rPr>
          <w:instrText xml:space="preserve"> PAGEREF _Toc52364881 \h </w:instrText>
        </w:r>
        <w:r w:rsidR="00A115BA">
          <w:rPr>
            <w:noProof/>
            <w:webHidden/>
          </w:rPr>
        </w:r>
        <w:r w:rsidR="00A115BA">
          <w:rPr>
            <w:noProof/>
            <w:webHidden/>
          </w:rPr>
          <w:fldChar w:fldCharType="separate"/>
        </w:r>
        <w:r w:rsidR="00A115BA">
          <w:rPr>
            <w:noProof/>
            <w:webHidden/>
          </w:rPr>
          <w:t>12</w:t>
        </w:r>
        <w:r w:rsidR="00A115BA">
          <w:rPr>
            <w:noProof/>
            <w:webHidden/>
          </w:rPr>
          <w:fldChar w:fldCharType="end"/>
        </w:r>
      </w:hyperlink>
    </w:p>
    <w:p w14:paraId="0336A866" w14:textId="005113CD" w:rsidR="00A115BA" w:rsidRDefault="00B913B6">
      <w:pPr>
        <w:pStyle w:val="TOC2"/>
        <w:tabs>
          <w:tab w:val="right" w:pos="9016"/>
        </w:tabs>
        <w:rPr>
          <w:rFonts w:asciiTheme="minorHAnsi" w:eastAsiaTheme="minorEastAsia" w:hAnsiTheme="minorHAnsi"/>
          <w:noProof/>
          <w:sz w:val="22"/>
          <w:szCs w:val="22"/>
          <w:lang w:eastAsia="en-GB"/>
        </w:rPr>
      </w:pPr>
      <w:hyperlink w:anchor="_Toc52364882" w:history="1">
        <w:r w:rsidR="00A115BA" w:rsidRPr="00266F4A">
          <w:rPr>
            <w:rStyle w:val="Hyperlink"/>
            <w:noProof/>
          </w:rPr>
          <w:t>Special Condition 2.4 Tax Review Adjustment (TAXA</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_Toc52364882 \h </w:instrText>
        </w:r>
        <w:r w:rsidR="00A115BA">
          <w:rPr>
            <w:noProof/>
            <w:webHidden/>
          </w:rPr>
        </w:r>
        <w:r w:rsidR="00A115BA">
          <w:rPr>
            <w:noProof/>
            <w:webHidden/>
          </w:rPr>
          <w:fldChar w:fldCharType="separate"/>
        </w:r>
        <w:r w:rsidR="00A115BA">
          <w:rPr>
            <w:noProof/>
            <w:webHidden/>
          </w:rPr>
          <w:t>12</w:t>
        </w:r>
        <w:r w:rsidR="00A115BA">
          <w:rPr>
            <w:noProof/>
            <w:webHidden/>
          </w:rPr>
          <w:fldChar w:fldCharType="end"/>
        </w:r>
      </w:hyperlink>
    </w:p>
    <w:p w14:paraId="62E71550" w14:textId="62041234" w:rsidR="00A115BA" w:rsidRDefault="00B913B6">
      <w:pPr>
        <w:pStyle w:val="TOC1"/>
        <w:rPr>
          <w:rFonts w:asciiTheme="minorHAnsi" w:eastAsiaTheme="minorEastAsia" w:hAnsiTheme="minorHAnsi"/>
          <w:b w:val="0"/>
          <w:sz w:val="22"/>
          <w:szCs w:val="22"/>
          <w:lang w:eastAsia="en-GB"/>
        </w:rPr>
      </w:pPr>
      <w:hyperlink w:anchor="_Toc52364883" w:history="1">
        <w:r w:rsidR="00A115BA" w:rsidRPr="00266F4A">
          <w:rPr>
            <w:rStyle w:val="Hyperlink"/>
          </w:rPr>
          <w:t>Chapter 3: Totex Allowance Adjustments</w:t>
        </w:r>
        <w:r w:rsidR="00A115BA">
          <w:rPr>
            <w:webHidden/>
          </w:rPr>
          <w:tab/>
        </w:r>
        <w:r w:rsidR="00A115BA">
          <w:rPr>
            <w:webHidden/>
          </w:rPr>
          <w:fldChar w:fldCharType="begin"/>
        </w:r>
        <w:r w:rsidR="00A115BA">
          <w:rPr>
            <w:webHidden/>
          </w:rPr>
          <w:instrText xml:space="preserve"> PAGEREF _Toc52364883 \h </w:instrText>
        </w:r>
        <w:r w:rsidR="00A115BA">
          <w:rPr>
            <w:webHidden/>
          </w:rPr>
        </w:r>
        <w:r w:rsidR="00A115BA">
          <w:rPr>
            <w:webHidden/>
          </w:rPr>
          <w:fldChar w:fldCharType="separate"/>
        </w:r>
        <w:r w:rsidR="00A115BA">
          <w:rPr>
            <w:webHidden/>
          </w:rPr>
          <w:t>14</w:t>
        </w:r>
        <w:r w:rsidR="00A115BA">
          <w:rPr>
            <w:webHidden/>
          </w:rPr>
          <w:fldChar w:fldCharType="end"/>
        </w:r>
      </w:hyperlink>
    </w:p>
    <w:p w14:paraId="56298A1C" w14:textId="409B1C0E" w:rsidR="00A115BA" w:rsidRDefault="00B913B6">
      <w:pPr>
        <w:pStyle w:val="TOC2"/>
        <w:tabs>
          <w:tab w:val="right" w:pos="9016"/>
        </w:tabs>
        <w:rPr>
          <w:rFonts w:asciiTheme="minorHAnsi" w:eastAsiaTheme="minorEastAsia" w:hAnsiTheme="minorHAnsi"/>
          <w:noProof/>
          <w:sz w:val="22"/>
          <w:szCs w:val="22"/>
          <w:lang w:eastAsia="en-GB"/>
        </w:rPr>
      </w:pPr>
      <w:hyperlink w:anchor="_Toc52364884" w:history="1">
        <w:r w:rsidR="00A115BA" w:rsidRPr="00266F4A">
          <w:rPr>
            <w:rStyle w:val="Hyperlink"/>
            <w:noProof/>
          </w:rPr>
          <w:t>Special Condition 3.1 Baseline Network Risk Output</w:t>
        </w:r>
        <w:r w:rsidR="00A115BA">
          <w:rPr>
            <w:noProof/>
            <w:webHidden/>
          </w:rPr>
          <w:tab/>
        </w:r>
        <w:r w:rsidR="00A115BA">
          <w:rPr>
            <w:noProof/>
            <w:webHidden/>
          </w:rPr>
          <w:fldChar w:fldCharType="begin"/>
        </w:r>
        <w:r w:rsidR="00A115BA">
          <w:rPr>
            <w:noProof/>
            <w:webHidden/>
          </w:rPr>
          <w:instrText xml:space="preserve"> PAGEREF _Toc52364884 \h </w:instrText>
        </w:r>
        <w:r w:rsidR="00A115BA">
          <w:rPr>
            <w:noProof/>
            <w:webHidden/>
          </w:rPr>
        </w:r>
        <w:r w:rsidR="00A115BA">
          <w:rPr>
            <w:noProof/>
            <w:webHidden/>
          </w:rPr>
          <w:fldChar w:fldCharType="separate"/>
        </w:r>
        <w:r w:rsidR="00A115BA">
          <w:rPr>
            <w:noProof/>
            <w:webHidden/>
          </w:rPr>
          <w:t>14</w:t>
        </w:r>
        <w:r w:rsidR="00A115BA">
          <w:rPr>
            <w:noProof/>
            <w:webHidden/>
          </w:rPr>
          <w:fldChar w:fldCharType="end"/>
        </w:r>
      </w:hyperlink>
    </w:p>
    <w:p w14:paraId="12A4422B" w14:textId="13A22ABE" w:rsidR="00A115BA" w:rsidRDefault="00B913B6">
      <w:pPr>
        <w:pStyle w:val="TOC2"/>
        <w:tabs>
          <w:tab w:val="right" w:pos="9016"/>
        </w:tabs>
        <w:rPr>
          <w:rFonts w:asciiTheme="minorHAnsi" w:eastAsiaTheme="minorEastAsia" w:hAnsiTheme="minorHAnsi"/>
          <w:noProof/>
          <w:sz w:val="22"/>
          <w:szCs w:val="22"/>
          <w:lang w:eastAsia="en-GB"/>
        </w:rPr>
      </w:pPr>
      <w:hyperlink w:anchor="_Toc52364885" w:history="1">
        <w:r w:rsidR="00A115BA" w:rsidRPr="00266F4A">
          <w:rPr>
            <w:rStyle w:val="Hyperlink"/>
            <w:noProof/>
          </w:rPr>
          <w:t>Special Condition 3.2 Cyber resilience operational technology Re-opener and Price Control Deliverable (CRO</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_Toc52364885 \h </w:instrText>
        </w:r>
        <w:r w:rsidR="00A115BA">
          <w:rPr>
            <w:noProof/>
            <w:webHidden/>
          </w:rPr>
        </w:r>
        <w:r w:rsidR="00A115BA">
          <w:rPr>
            <w:noProof/>
            <w:webHidden/>
          </w:rPr>
          <w:fldChar w:fldCharType="separate"/>
        </w:r>
        <w:r w:rsidR="00A115BA">
          <w:rPr>
            <w:noProof/>
            <w:webHidden/>
          </w:rPr>
          <w:t>16</w:t>
        </w:r>
        <w:r w:rsidR="00A115BA">
          <w:rPr>
            <w:noProof/>
            <w:webHidden/>
          </w:rPr>
          <w:fldChar w:fldCharType="end"/>
        </w:r>
      </w:hyperlink>
    </w:p>
    <w:p w14:paraId="428B37F9" w14:textId="37699388" w:rsidR="00A115BA" w:rsidRDefault="00B913B6">
      <w:pPr>
        <w:pStyle w:val="TOC2"/>
        <w:tabs>
          <w:tab w:val="right" w:pos="9016"/>
        </w:tabs>
        <w:rPr>
          <w:rFonts w:asciiTheme="minorHAnsi" w:eastAsiaTheme="minorEastAsia" w:hAnsiTheme="minorHAnsi"/>
          <w:noProof/>
          <w:sz w:val="22"/>
          <w:szCs w:val="22"/>
          <w:lang w:eastAsia="en-GB"/>
        </w:rPr>
      </w:pPr>
      <w:hyperlink w:anchor="_Toc52364886" w:history="1">
        <w:r w:rsidR="00A115BA" w:rsidRPr="00266F4A">
          <w:rPr>
            <w:rStyle w:val="Hyperlink"/>
            <w:noProof/>
          </w:rPr>
          <w:t>Special Condition 3.3 Cyber resilience information technology Re-opener and Price Control Deliverable (CRIT</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_Toc52364886 \h </w:instrText>
        </w:r>
        <w:r w:rsidR="00A115BA">
          <w:rPr>
            <w:noProof/>
            <w:webHidden/>
          </w:rPr>
        </w:r>
        <w:r w:rsidR="00A115BA">
          <w:rPr>
            <w:noProof/>
            <w:webHidden/>
          </w:rPr>
          <w:fldChar w:fldCharType="separate"/>
        </w:r>
        <w:r w:rsidR="00A115BA">
          <w:rPr>
            <w:noProof/>
            <w:webHidden/>
          </w:rPr>
          <w:t>20</w:t>
        </w:r>
        <w:r w:rsidR="00A115BA">
          <w:rPr>
            <w:noProof/>
            <w:webHidden/>
          </w:rPr>
          <w:fldChar w:fldCharType="end"/>
        </w:r>
      </w:hyperlink>
    </w:p>
    <w:p w14:paraId="71EF28D1" w14:textId="7772ECC4" w:rsidR="00A115BA" w:rsidRDefault="00B913B6">
      <w:pPr>
        <w:pStyle w:val="TOC2"/>
        <w:tabs>
          <w:tab w:val="right" w:pos="9016"/>
        </w:tabs>
        <w:rPr>
          <w:rFonts w:asciiTheme="minorHAnsi" w:eastAsiaTheme="minorEastAsia" w:hAnsiTheme="minorHAnsi"/>
          <w:noProof/>
          <w:sz w:val="22"/>
          <w:szCs w:val="22"/>
          <w:lang w:eastAsia="en-GB"/>
        </w:rPr>
      </w:pPr>
      <w:hyperlink w:anchor="_Toc52364887" w:history="1">
        <w:r w:rsidR="00A115BA" w:rsidRPr="00266F4A">
          <w:rPr>
            <w:rStyle w:val="Hyperlink"/>
            <w:noProof/>
          </w:rPr>
          <w:t>Special Condition 3.4 Physical Security Re-opener and Price Control Deliverable (PSUP</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_Toc52364887 \h </w:instrText>
        </w:r>
        <w:r w:rsidR="00A115BA">
          <w:rPr>
            <w:noProof/>
            <w:webHidden/>
          </w:rPr>
        </w:r>
        <w:r w:rsidR="00A115BA">
          <w:rPr>
            <w:noProof/>
            <w:webHidden/>
          </w:rPr>
          <w:fldChar w:fldCharType="separate"/>
        </w:r>
        <w:r w:rsidR="00A115BA">
          <w:rPr>
            <w:noProof/>
            <w:webHidden/>
          </w:rPr>
          <w:t>24</w:t>
        </w:r>
        <w:r w:rsidR="00A115BA">
          <w:rPr>
            <w:noProof/>
            <w:webHidden/>
          </w:rPr>
          <w:fldChar w:fldCharType="end"/>
        </w:r>
      </w:hyperlink>
    </w:p>
    <w:p w14:paraId="7EFDC033" w14:textId="2CEA2DBF" w:rsidR="00A115BA" w:rsidRDefault="00B913B6">
      <w:pPr>
        <w:pStyle w:val="TOC2"/>
        <w:tabs>
          <w:tab w:val="right" w:pos="9016"/>
        </w:tabs>
        <w:rPr>
          <w:rFonts w:asciiTheme="minorHAnsi" w:eastAsiaTheme="minorEastAsia" w:hAnsiTheme="minorHAnsi"/>
          <w:noProof/>
          <w:sz w:val="22"/>
          <w:szCs w:val="22"/>
          <w:lang w:eastAsia="en-GB"/>
        </w:rPr>
      </w:pPr>
      <w:hyperlink w:anchor="_Toc52364888" w:history="1">
        <w:r w:rsidR="00A115BA" w:rsidRPr="00266F4A">
          <w:rPr>
            <w:rStyle w:val="Hyperlink"/>
            <w:noProof/>
          </w:rPr>
          <w:t>Special Condition 3.5 Non-operational capex IT Reopener (NOIT</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_Toc52364888 \h </w:instrText>
        </w:r>
        <w:r w:rsidR="00A115BA">
          <w:rPr>
            <w:noProof/>
            <w:webHidden/>
          </w:rPr>
        </w:r>
        <w:r w:rsidR="00A115BA">
          <w:rPr>
            <w:noProof/>
            <w:webHidden/>
          </w:rPr>
          <w:fldChar w:fldCharType="separate"/>
        </w:r>
        <w:r w:rsidR="00A115BA">
          <w:rPr>
            <w:noProof/>
            <w:webHidden/>
          </w:rPr>
          <w:t>26</w:t>
        </w:r>
        <w:r w:rsidR="00A115BA">
          <w:rPr>
            <w:noProof/>
            <w:webHidden/>
          </w:rPr>
          <w:fldChar w:fldCharType="end"/>
        </w:r>
      </w:hyperlink>
    </w:p>
    <w:p w14:paraId="67C3627B" w14:textId="5B3E5204" w:rsidR="00A115BA" w:rsidRDefault="00B913B6">
      <w:pPr>
        <w:pStyle w:val="TOC2"/>
        <w:tabs>
          <w:tab w:val="right" w:pos="9016"/>
        </w:tabs>
        <w:rPr>
          <w:rFonts w:asciiTheme="minorHAnsi" w:eastAsiaTheme="minorEastAsia" w:hAnsiTheme="minorHAnsi"/>
          <w:noProof/>
          <w:sz w:val="22"/>
          <w:szCs w:val="22"/>
          <w:lang w:eastAsia="en-GB"/>
        </w:rPr>
      </w:pPr>
      <w:hyperlink w:anchor="_Toc52364889" w:history="1">
        <w:r w:rsidR="00A115BA" w:rsidRPr="00266F4A">
          <w:rPr>
            <w:rStyle w:val="Hyperlink"/>
            <w:noProof/>
          </w:rPr>
          <w:t>Special Condition 3.6 Net Zero Re-opener (NZ</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_Toc52364889 \h </w:instrText>
        </w:r>
        <w:r w:rsidR="00A115BA">
          <w:rPr>
            <w:noProof/>
            <w:webHidden/>
          </w:rPr>
        </w:r>
        <w:r w:rsidR="00A115BA">
          <w:rPr>
            <w:noProof/>
            <w:webHidden/>
          </w:rPr>
          <w:fldChar w:fldCharType="separate"/>
        </w:r>
        <w:r w:rsidR="00A115BA">
          <w:rPr>
            <w:noProof/>
            <w:webHidden/>
          </w:rPr>
          <w:t>28</w:t>
        </w:r>
        <w:r w:rsidR="00A115BA">
          <w:rPr>
            <w:noProof/>
            <w:webHidden/>
          </w:rPr>
          <w:fldChar w:fldCharType="end"/>
        </w:r>
      </w:hyperlink>
    </w:p>
    <w:p w14:paraId="4DA5EF8F" w14:textId="0EE1B01D" w:rsidR="00A115BA" w:rsidRDefault="00B913B6">
      <w:pPr>
        <w:pStyle w:val="TOC2"/>
        <w:tabs>
          <w:tab w:val="right" w:pos="9016"/>
        </w:tabs>
        <w:rPr>
          <w:rFonts w:asciiTheme="minorHAnsi" w:eastAsiaTheme="minorEastAsia" w:hAnsiTheme="minorHAnsi"/>
          <w:noProof/>
          <w:sz w:val="22"/>
          <w:szCs w:val="22"/>
          <w:lang w:eastAsia="en-GB"/>
        </w:rPr>
      </w:pPr>
      <w:hyperlink w:anchor="_Toc52364890" w:history="1">
        <w:r w:rsidR="00A115BA" w:rsidRPr="00266F4A">
          <w:rPr>
            <w:rStyle w:val="Hyperlink"/>
            <w:noProof/>
          </w:rPr>
          <w:t>Special Condition 3.7 Coordinated Adjustment Mechanism Re-opener (CAMt)</w:t>
        </w:r>
        <w:r w:rsidR="00A115BA">
          <w:rPr>
            <w:noProof/>
            <w:webHidden/>
          </w:rPr>
          <w:tab/>
        </w:r>
        <w:r w:rsidR="00A115BA">
          <w:rPr>
            <w:noProof/>
            <w:webHidden/>
          </w:rPr>
          <w:fldChar w:fldCharType="begin"/>
        </w:r>
        <w:r w:rsidR="00A115BA">
          <w:rPr>
            <w:noProof/>
            <w:webHidden/>
          </w:rPr>
          <w:instrText xml:space="preserve"> PAGEREF _Toc52364890 \h </w:instrText>
        </w:r>
        <w:r w:rsidR="00A115BA">
          <w:rPr>
            <w:noProof/>
            <w:webHidden/>
          </w:rPr>
        </w:r>
        <w:r w:rsidR="00A115BA">
          <w:rPr>
            <w:noProof/>
            <w:webHidden/>
          </w:rPr>
          <w:fldChar w:fldCharType="separate"/>
        </w:r>
        <w:r w:rsidR="00A115BA">
          <w:rPr>
            <w:noProof/>
            <w:webHidden/>
          </w:rPr>
          <w:t>29</w:t>
        </w:r>
        <w:r w:rsidR="00A115BA">
          <w:rPr>
            <w:noProof/>
            <w:webHidden/>
          </w:rPr>
          <w:fldChar w:fldCharType="end"/>
        </w:r>
      </w:hyperlink>
    </w:p>
    <w:p w14:paraId="71E429D9" w14:textId="0C79F01C" w:rsidR="00A115BA" w:rsidRDefault="00B913B6">
      <w:pPr>
        <w:pStyle w:val="TOC2"/>
        <w:tabs>
          <w:tab w:val="right" w:pos="9016"/>
        </w:tabs>
        <w:rPr>
          <w:rFonts w:asciiTheme="minorHAnsi" w:eastAsiaTheme="minorEastAsia" w:hAnsiTheme="minorHAnsi"/>
          <w:noProof/>
          <w:sz w:val="22"/>
          <w:szCs w:val="22"/>
          <w:lang w:eastAsia="en-GB"/>
        </w:rPr>
      </w:pPr>
      <w:hyperlink w:anchor="_Toc52364891" w:history="1">
        <w:r w:rsidR="00A115BA" w:rsidRPr="00266F4A">
          <w:rPr>
            <w:rStyle w:val="Hyperlink"/>
            <w:noProof/>
          </w:rPr>
          <w:t>Special Condition 3.8 Generation Related Infrastructure Price Control Deliverable (GRIt)</w:t>
        </w:r>
        <w:r w:rsidR="00A115BA">
          <w:rPr>
            <w:noProof/>
            <w:webHidden/>
          </w:rPr>
          <w:tab/>
        </w:r>
        <w:r w:rsidR="00A115BA">
          <w:rPr>
            <w:noProof/>
            <w:webHidden/>
          </w:rPr>
          <w:fldChar w:fldCharType="begin"/>
        </w:r>
        <w:r w:rsidR="00A115BA">
          <w:rPr>
            <w:noProof/>
            <w:webHidden/>
          </w:rPr>
          <w:instrText xml:space="preserve"> PAGEREF _Toc52364891 \h </w:instrText>
        </w:r>
        <w:r w:rsidR="00A115BA">
          <w:rPr>
            <w:noProof/>
            <w:webHidden/>
          </w:rPr>
        </w:r>
        <w:r w:rsidR="00A115BA">
          <w:rPr>
            <w:noProof/>
            <w:webHidden/>
          </w:rPr>
          <w:fldChar w:fldCharType="separate"/>
        </w:r>
        <w:r w:rsidR="00A115BA">
          <w:rPr>
            <w:noProof/>
            <w:webHidden/>
          </w:rPr>
          <w:t>31</w:t>
        </w:r>
        <w:r w:rsidR="00A115BA">
          <w:rPr>
            <w:noProof/>
            <w:webHidden/>
          </w:rPr>
          <w:fldChar w:fldCharType="end"/>
        </w:r>
      </w:hyperlink>
    </w:p>
    <w:p w14:paraId="59264F0F" w14:textId="196ED0B3" w:rsidR="00A115BA" w:rsidRDefault="00B913B6">
      <w:pPr>
        <w:pStyle w:val="TOC2"/>
        <w:tabs>
          <w:tab w:val="right" w:pos="9016"/>
        </w:tabs>
        <w:rPr>
          <w:rFonts w:asciiTheme="minorHAnsi" w:eastAsiaTheme="minorEastAsia" w:hAnsiTheme="minorHAnsi"/>
          <w:noProof/>
          <w:sz w:val="22"/>
          <w:szCs w:val="22"/>
          <w:lang w:eastAsia="en-GB"/>
        </w:rPr>
      </w:pPr>
      <w:hyperlink w:anchor="_Toc52364892" w:history="1">
        <w:r w:rsidR="00A115BA" w:rsidRPr="00266F4A">
          <w:rPr>
            <w:rStyle w:val="Hyperlink"/>
            <w:noProof/>
          </w:rPr>
          <w:t>Special Condition 3.9 Shared Schemes Price Control Deliverable (SSt)</w:t>
        </w:r>
        <w:r w:rsidR="00A115BA">
          <w:rPr>
            <w:noProof/>
            <w:webHidden/>
          </w:rPr>
          <w:tab/>
        </w:r>
        <w:r w:rsidR="00A115BA">
          <w:rPr>
            <w:noProof/>
            <w:webHidden/>
          </w:rPr>
          <w:fldChar w:fldCharType="begin"/>
        </w:r>
        <w:r w:rsidR="00A115BA">
          <w:rPr>
            <w:noProof/>
            <w:webHidden/>
          </w:rPr>
          <w:instrText xml:space="preserve"> PAGEREF _Toc52364892 \h </w:instrText>
        </w:r>
        <w:r w:rsidR="00A115BA">
          <w:rPr>
            <w:noProof/>
            <w:webHidden/>
          </w:rPr>
        </w:r>
        <w:r w:rsidR="00A115BA">
          <w:rPr>
            <w:noProof/>
            <w:webHidden/>
          </w:rPr>
          <w:fldChar w:fldCharType="separate"/>
        </w:r>
        <w:r w:rsidR="00A115BA">
          <w:rPr>
            <w:noProof/>
            <w:webHidden/>
          </w:rPr>
          <w:t>43</w:t>
        </w:r>
        <w:r w:rsidR="00A115BA">
          <w:rPr>
            <w:noProof/>
            <w:webHidden/>
          </w:rPr>
          <w:fldChar w:fldCharType="end"/>
        </w:r>
      </w:hyperlink>
    </w:p>
    <w:p w14:paraId="2DB3DB93" w14:textId="390F4BBB" w:rsidR="00A115BA" w:rsidRDefault="00B913B6">
      <w:pPr>
        <w:pStyle w:val="TOC2"/>
        <w:tabs>
          <w:tab w:val="right" w:pos="9016"/>
        </w:tabs>
        <w:rPr>
          <w:rFonts w:asciiTheme="minorHAnsi" w:eastAsiaTheme="minorEastAsia" w:hAnsiTheme="minorHAnsi"/>
          <w:noProof/>
          <w:sz w:val="22"/>
          <w:szCs w:val="22"/>
          <w:lang w:eastAsia="en-GB"/>
        </w:rPr>
      </w:pPr>
      <w:hyperlink w:anchor="_Toc52364893" w:history="1">
        <w:r w:rsidR="00A115BA" w:rsidRPr="00266F4A">
          <w:rPr>
            <w:rStyle w:val="Hyperlink"/>
            <w:noProof/>
          </w:rPr>
          <w:t>Special Condition 3.10 Wider Works Price Control Deliverable (WWt)</w:t>
        </w:r>
        <w:r w:rsidR="00A115BA">
          <w:rPr>
            <w:noProof/>
            <w:webHidden/>
          </w:rPr>
          <w:tab/>
        </w:r>
        <w:r w:rsidR="00A115BA">
          <w:rPr>
            <w:noProof/>
            <w:webHidden/>
          </w:rPr>
          <w:fldChar w:fldCharType="begin"/>
        </w:r>
        <w:r w:rsidR="00A115BA">
          <w:rPr>
            <w:noProof/>
            <w:webHidden/>
          </w:rPr>
          <w:instrText xml:space="preserve"> PAGEREF _Toc52364893 \h </w:instrText>
        </w:r>
        <w:r w:rsidR="00A115BA">
          <w:rPr>
            <w:noProof/>
            <w:webHidden/>
          </w:rPr>
        </w:r>
        <w:r w:rsidR="00A115BA">
          <w:rPr>
            <w:noProof/>
            <w:webHidden/>
          </w:rPr>
          <w:fldChar w:fldCharType="separate"/>
        </w:r>
        <w:r w:rsidR="00A115BA">
          <w:rPr>
            <w:noProof/>
            <w:webHidden/>
          </w:rPr>
          <w:t>50</w:t>
        </w:r>
        <w:r w:rsidR="00A115BA">
          <w:rPr>
            <w:noProof/>
            <w:webHidden/>
          </w:rPr>
          <w:fldChar w:fldCharType="end"/>
        </w:r>
      </w:hyperlink>
    </w:p>
    <w:p w14:paraId="67FB6A2C" w14:textId="5C8D289F" w:rsidR="00A115BA" w:rsidRDefault="00B913B6">
      <w:pPr>
        <w:pStyle w:val="TOC2"/>
        <w:tabs>
          <w:tab w:val="right" w:pos="9016"/>
        </w:tabs>
        <w:rPr>
          <w:rFonts w:asciiTheme="minorHAnsi" w:eastAsiaTheme="minorEastAsia" w:hAnsiTheme="minorHAnsi"/>
          <w:noProof/>
          <w:sz w:val="22"/>
          <w:szCs w:val="22"/>
          <w:lang w:eastAsia="en-GB"/>
        </w:rPr>
      </w:pPr>
      <w:hyperlink w:anchor="_Toc52364894" w:history="1">
        <w:r w:rsidR="00A115BA" w:rsidRPr="00266F4A">
          <w:rPr>
            <w:rStyle w:val="Hyperlink"/>
            <w:noProof/>
          </w:rPr>
          <w:t>Special Condition 3.11 Demand Schemes Price Control Deliverable (DSIt)</w:t>
        </w:r>
        <w:r w:rsidR="00A115BA">
          <w:rPr>
            <w:noProof/>
            <w:webHidden/>
          </w:rPr>
          <w:tab/>
        </w:r>
        <w:r w:rsidR="00A115BA">
          <w:rPr>
            <w:noProof/>
            <w:webHidden/>
          </w:rPr>
          <w:fldChar w:fldCharType="begin"/>
        </w:r>
        <w:r w:rsidR="00A115BA">
          <w:rPr>
            <w:noProof/>
            <w:webHidden/>
          </w:rPr>
          <w:instrText xml:space="preserve"> PAGEREF _Toc52364894 \h </w:instrText>
        </w:r>
        <w:r w:rsidR="00A115BA">
          <w:rPr>
            <w:noProof/>
            <w:webHidden/>
          </w:rPr>
        </w:r>
        <w:r w:rsidR="00A115BA">
          <w:rPr>
            <w:noProof/>
            <w:webHidden/>
          </w:rPr>
          <w:fldChar w:fldCharType="separate"/>
        </w:r>
        <w:r w:rsidR="00A115BA">
          <w:rPr>
            <w:noProof/>
            <w:webHidden/>
          </w:rPr>
          <w:t>64</w:t>
        </w:r>
        <w:r w:rsidR="00A115BA">
          <w:rPr>
            <w:noProof/>
            <w:webHidden/>
          </w:rPr>
          <w:fldChar w:fldCharType="end"/>
        </w:r>
      </w:hyperlink>
    </w:p>
    <w:p w14:paraId="3324F6AC" w14:textId="2E47A374" w:rsidR="00A115BA" w:rsidRDefault="00B913B6">
      <w:pPr>
        <w:pStyle w:val="TOC2"/>
        <w:tabs>
          <w:tab w:val="right" w:pos="9016"/>
        </w:tabs>
        <w:rPr>
          <w:rFonts w:asciiTheme="minorHAnsi" w:eastAsiaTheme="minorEastAsia" w:hAnsiTheme="minorHAnsi"/>
          <w:noProof/>
          <w:sz w:val="22"/>
          <w:szCs w:val="22"/>
          <w:lang w:eastAsia="en-GB"/>
        </w:rPr>
      </w:pPr>
      <w:hyperlink w:anchor="_Toc52364895" w:history="1">
        <w:r w:rsidR="00A115BA" w:rsidRPr="00266F4A">
          <w:rPr>
            <w:rStyle w:val="Hyperlink"/>
            <w:noProof/>
          </w:rPr>
          <w:t>Special Condition 3.12 Resilience and Operability Price Control Deliverable (BPt)</w:t>
        </w:r>
        <w:r w:rsidR="00A115BA">
          <w:rPr>
            <w:noProof/>
            <w:webHidden/>
          </w:rPr>
          <w:tab/>
        </w:r>
        <w:r w:rsidR="00A115BA">
          <w:rPr>
            <w:noProof/>
            <w:webHidden/>
          </w:rPr>
          <w:fldChar w:fldCharType="begin"/>
        </w:r>
        <w:r w:rsidR="00A115BA">
          <w:rPr>
            <w:noProof/>
            <w:webHidden/>
          </w:rPr>
          <w:instrText xml:space="preserve"> PAGEREF _Toc52364895 \h </w:instrText>
        </w:r>
        <w:r w:rsidR="00A115BA">
          <w:rPr>
            <w:noProof/>
            <w:webHidden/>
          </w:rPr>
        </w:r>
        <w:r w:rsidR="00A115BA">
          <w:rPr>
            <w:noProof/>
            <w:webHidden/>
          </w:rPr>
          <w:fldChar w:fldCharType="separate"/>
        </w:r>
        <w:r w:rsidR="00A115BA">
          <w:rPr>
            <w:noProof/>
            <w:webHidden/>
          </w:rPr>
          <w:t>68</w:t>
        </w:r>
        <w:r w:rsidR="00A115BA">
          <w:rPr>
            <w:noProof/>
            <w:webHidden/>
          </w:rPr>
          <w:fldChar w:fldCharType="end"/>
        </w:r>
      </w:hyperlink>
    </w:p>
    <w:p w14:paraId="2C17F269" w14:textId="1873DC1D" w:rsidR="00A115BA" w:rsidRDefault="00B913B6">
      <w:pPr>
        <w:pStyle w:val="TOC2"/>
        <w:tabs>
          <w:tab w:val="right" w:pos="9016"/>
        </w:tabs>
        <w:rPr>
          <w:rFonts w:asciiTheme="minorHAnsi" w:eastAsiaTheme="minorEastAsia" w:hAnsiTheme="minorHAnsi"/>
          <w:noProof/>
          <w:sz w:val="22"/>
          <w:szCs w:val="22"/>
          <w:lang w:eastAsia="en-GB"/>
        </w:rPr>
      </w:pPr>
      <w:hyperlink w:anchor="_Toc52364896" w:history="1">
        <w:r w:rsidR="00A115BA" w:rsidRPr="00266F4A">
          <w:rPr>
            <w:rStyle w:val="Hyperlink"/>
            <w:noProof/>
          </w:rPr>
          <w:t>Special Condition 3.13 Visual Impact Mitigation Re-opener and Price Control Deliverable</w:t>
        </w:r>
        <w:r w:rsidR="00A115BA">
          <w:rPr>
            <w:noProof/>
            <w:webHidden/>
          </w:rPr>
          <w:tab/>
        </w:r>
        <w:r w:rsidR="00A115BA">
          <w:rPr>
            <w:noProof/>
            <w:webHidden/>
          </w:rPr>
          <w:fldChar w:fldCharType="begin"/>
        </w:r>
        <w:r w:rsidR="00A115BA">
          <w:rPr>
            <w:noProof/>
            <w:webHidden/>
          </w:rPr>
          <w:instrText xml:space="preserve"> PAGEREF _Toc52364896 \h </w:instrText>
        </w:r>
        <w:r w:rsidR="00A115BA">
          <w:rPr>
            <w:noProof/>
            <w:webHidden/>
          </w:rPr>
        </w:r>
        <w:r w:rsidR="00A115BA">
          <w:rPr>
            <w:noProof/>
            <w:webHidden/>
          </w:rPr>
          <w:fldChar w:fldCharType="separate"/>
        </w:r>
        <w:r w:rsidR="00A115BA">
          <w:rPr>
            <w:noProof/>
            <w:webHidden/>
          </w:rPr>
          <w:t>72</w:t>
        </w:r>
        <w:r w:rsidR="00A115BA">
          <w:rPr>
            <w:noProof/>
            <w:webHidden/>
          </w:rPr>
          <w:fldChar w:fldCharType="end"/>
        </w:r>
      </w:hyperlink>
    </w:p>
    <w:p w14:paraId="2DBB7C63" w14:textId="1495537A" w:rsidR="00A115BA" w:rsidRDefault="00B913B6">
      <w:pPr>
        <w:pStyle w:val="TOC2"/>
        <w:tabs>
          <w:tab w:val="right" w:pos="9016"/>
        </w:tabs>
        <w:rPr>
          <w:rFonts w:asciiTheme="minorHAnsi" w:eastAsiaTheme="minorEastAsia" w:hAnsiTheme="minorHAnsi"/>
          <w:noProof/>
          <w:sz w:val="22"/>
          <w:szCs w:val="22"/>
          <w:lang w:eastAsia="en-GB"/>
        </w:rPr>
      </w:pPr>
      <w:hyperlink w:anchor="_Toc52364897" w:history="1">
        <w:r w:rsidR="00A115BA" w:rsidRPr="00266F4A">
          <w:rPr>
            <w:rStyle w:val="Hyperlink"/>
            <w:noProof/>
          </w:rPr>
          <w:t>Special Condition 3.14 Transmission Investment for Renewable Generation</w:t>
        </w:r>
        <w:r w:rsidR="00A115BA">
          <w:rPr>
            <w:noProof/>
            <w:webHidden/>
          </w:rPr>
          <w:tab/>
        </w:r>
        <w:r w:rsidR="00A115BA">
          <w:rPr>
            <w:noProof/>
            <w:webHidden/>
          </w:rPr>
          <w:fldChar w:fldCharType="begin"/>
        </w:r>
        <w:r w:rsidR="00A115BA">
          <w:rPr>
            <w:noProof/>
            <w:webHidden/>
          </w:rPr>
          <w:instrText xml:space="preserve"> PAGEREF _Toc52364897 \h </w:instrText>
        </w:r>
        <w:r w:rsidR="00A115BA">
          <w:rPr>
            <w:noProof/>
            <w:webHidden/>
          </w:rPr>
        </w:r>
        <w:r w:rsidR="00A115BA">
          <w:rPr>
            <w:noProof/>
            <w:webHidden/>
          </w:rPr>
          <w:fldChar w:fldCharType="separate"/>
        </w:r>
        <w:r w:rsidR="00A115BA">
          <w:rPr>
            <w:noProof/>
            <w:webHidden/>
          </w:rPr>
          <w:t>76</w:t>
        </w:r>
        <w:r w:rsidR="00A115BA">
          <w:rPr>
            <w:noProof/>
            <w:webHidden/>
          </w:rPr>
          <w:fldChar w:fldCharType="end"/>
        </w:r>
      </w:hyperlink>
    </w:p>
    <w:p w14:paraId="0C9FBE6E" w14:textId="2EABB311" w:rsidR="00A115BA" w:rsidRDefault="00B913B6">
      <w:pPr>
        <w:pStyle w:val="TOC2"/>
        <w:tabs>
          <w:tab w:val="right" w:pos="9016"/>
        </w:tabs>
        <w:rPr>
          <w:rFonts w:asciiTheme="minorHAnsi" w:eastAsiaTheme="minorEastAsia" w:hAnsiTheme="minorHAnsi"/>
          <w:noProof/>
          <w:sz w:val="22"/>
          <w:szCs w:val="22"/>
          <w:lang w:eastAsia="en-GB"/>
        </w:rPr>
      </w:pPr>
      <w:hyperlink w:anchor="_Toc52364898" w:history="1">
        <w:r w:rsidR="00A115BA" w:rsidRPr="00266F4A">
          <w:rPr>
            <w:rStyle w:val="Hyperlink"/>
            <w:noProof/>
          </w:rPr>
          <w:t>Special Condition 3.15 Operational Transport Carbon Reduction Price Control Deliverable (OTCt)</w:t>
        </w:r>
        <w:r w:rsidR="00A115BA">
          <w:rPr>
            <w:noProof/>
            <w:webHidden/>
          </w:rPr>
          <w:tab/>
        </w:r>
        <w:r w:rsidR="00A115BA">
          <w:rPr>
            <w:noProof/>
            <w:webHidden/>
          </w:rPr>
          <w:fldChar w:fldCharType="begin"/>
        </w:r>
        <w:r w:rsidR="00A115BA">
          <w:rPr>
            <w:noProof/>
            <w:webHidden/>
          </w:rPr>
          <w:instrText xml:space="preserve"> PAGEREF _Toc52364898 \h </w:instrText>
        </w:r>
        <w:r w:rsidR="00A115BA">
          <w:rPr>
            <w:noProof/>
            <w:webHidden/>
          </w:rPr>
        </w:r>
        <w:r w:rsidR="00A115BA">
          <w:rPr>
            <w:noProof/>
            <w:webHidden/>
          </w:rPr>
          <w:fldChar w:fldCharType="separate"/>
        </w:r>
        <w:r w:rsidR="00A115BA">
          <w:rPr>
            <w:noProof/>
            <w:webHidden/>
          </w:rPr>
          <w:t>77</w:t>
        </w:r>
        <w:r w:rsidR="00A115BA">
          <w:rPr>
            <w:noProof/>
            <w:webHidden/>
          </w:rPr>
          <w:fldChar w:fldCharType="end"/>
        </w:r>
      </w:hyperlink>
    </w:p>
    <w:p w14:paraId="67593AFB" w14:textId="04562EAF" w:rsidR="00A115BA" w:rsidRDefault="00B913B6">
      <w:pPr>
        <w:pStyle w:val="TOC2"/>
        <w:tabs>
          <w:tab w:val="right" w:pos="9016"/>
        </w:tabs>
        <w:rPr>
          <w:rFonts w:asciiTheme="minorHAnsi" w:eastAsiaTheme="minorEastAsia" w:hAnsiTheme="minorHAnsi"/>
          <w:noProof/>
          <w:sz w:val="22"/>
          <w:szCs w:val="22"/>
          <w:lang w:eastAsia="en-GB"/>
        </w:rPr>
      </w:pPr>
      <w:hyperlink w:anchor="_Toc52364899" w:history="1">
        <w:r w:rsidR="00A115BA" w:rsidRPr="00266F4A">
          <w:rPr>
            <w:rStyle w:val="Hyperlink"/>
            <w:noProof/>
          </w:rPr>
          <w:t>Special Condition 3.16 Net Zero Fund Price Control Deliverable (NZFt)</w:t>
        </w:r>
        <w:r w:rsidR="00A115BA">
          <w:rPr>
            <w:noProof/>
            <w:webHidden/>
          </w:rPr>
          <w:tab/>
        </w:r>
        <w:r w:rsidR="00A115BA">
          <w:rPr>
            <w:noProof/>
            <w:webHidden/>
          </w:rPr>
          <w:fldChar w:fldCharType="begin"/>
        </w:r>
        <w:r w:rsidR="00A115BA">
          <w:rPr>
            <w:noProof/>
            <w:webHidden/>
          </w:rPr>
          <w:instrText xml:space="preserve"> PAGEREF _Toc52364899 \h </w:instrText>
        </w:r>
        <w:r w:rsidR="00A115BA">
          <w:rPr>
            <w:noProof/>
            <w:webHidden/>
          </w:rPr>
        </w:r>
        <w:r w:rsidR="00A115BA">
          <w:rPr>
            <w:noProof/>
            <w:webHidden/>
          </w:rPr>
          <w:fldChar w:fldCharType="separate"/>
        </w:r>
        <w:r w:rsidR="00A115BA">
          <w:rPr>
            <w:noProof/>
            <w:webHidden/>
          </w:rPr>
          <w:t>78</w:t>
        </w:r>
        <w:r w:rsidR="00A115BA">
          <w:rPr>
            <w:noProof/>
            <w:webHidden/>
          </w:rPr>
          <w:fldChar w:fldCharType="end"/>
        </w:r>
      </w:hyperlink>
    </w:p>
    <w:p w14:paraId="653891CA" w14:textId="275F8FD3" w:rsidR="00A115BA" w:rsidRDefault="00B913B6">
      <w:pPr>
        <w:pStyle w:val="TOC2"/>
        <w:tabs>
          <w:tab w:val="right" w:pos="9016"/>
        </w:tabs>
        <w:rPr>
          <w:rFonts w:asciiTheme="minorHAnsi" w:eastAsiaTheme="minorEastAsia" w:hAnsiTheme="minorHAnsi"/>
          <w:noProof/>
          <w:sz w:val="22"/>
          <w:szCs w:val="22"/>
          <w:lang w:eastAsia="en-GB"/>
        </w:rPr>
      </w:pPr>
      <w:hyperlink w:anchor="_Toc52364900" w:history="1">
        <w:r w:rsidR="00A115BA" w:rsidRPr="00266F4A">
          <w:rPr>
            <w:rStyle w:val="Hyperlink"/>
            <w:noProof/>
          </w:rPr>
          <w:t>Special Condition 3.17 Net Zero Carbon Capital Construction Price Control Deliverable (NZ3Ct)</w:t>
        </w:r>
        <w:r w:rsidR="00A115BA">
          <w:rPr>
            <w:noProof/>
            <w:webHidden/>
          </w:rPr>
          <w:tab/>
        </w:r>
        <w:r w:rsidR="00A115BA">
          <w:rPr>
            <w:noProof/>
            <w:webHidden/>
          </w:rPr>
          <w:fldChar w:fldCharType="begin"/>
        </w:r>
        <w:r w:rsidR="00A115BA">
          <w:rPr>
            <w:noProof/>
            <w:webHidden/>
          </w:rPr>
          <w:instrText xml:space="preserve"> PAGEREF _Toc52364900 \h </w:instrText>
        </w:r>
        <w:r w:rsidR="00A115BA">
          <w:rPr>
            <w:noProof/>
            <w:webHidden/>
          </w:rPr>
        </w:r>
        <w:r w:rsidR="00A115BA">
          <w:rPr>
            <w:noProof/>
            <w:webHidden/>
          </w:rPr>
          <w:fldChar w:fldCharType="separate"/>
        </w:r>
        <w:r w:rsidR="00A115BA">
          <w:rPr>
            <w:noProof/>
            <w:webHidden/>
          </w:rPr>
          <w:t>81</w:t>
        </w:r>
        <w:r w:rsidR="00A115BA">
          <w:rPr>
            <w:noProof/>
            <w:webHidden/>
          </w:rPr>
          <w:fldChar w:fldCharType="end"/>
        </w:r>
      </w:hyperlink>
    </w:p>
    <w:p w14:paraId="463DCDB8" w14:textId="7FA3BA56" w:rsidR="00A115BA" w:rsidRDefault="00B913B6">
      <w:pPr>
        <w:pStyle w:val="TOC2"/>
        <w:tabs>
          <w:tab w:val="right" w:pos="9016"/>
        </w:tabs>
        <w:rPr>
          <w:rFonts w:asciiTheme="minorHAnsi" w:eastAsiaTheme="minorEastAsia" w:hAnsiTheme="minorHAnsi"/>
          <w:noProof/>
          <w:sz w:val="22"/>
          <w:szCs w:val="22"/>
          <w:lang w:eastAsia="en-GB"/>
        </w:rPr>
      </w:pPr>
      <w:hyperlink w:anchor="_Toc52364901" w:history="1">
        <w:r w:rsidR="00A115BA" w:rsidRPr="00266F4A">
          <w:rPr>
            <w:rStyle w:val="Hyperlink"/>
            <w:noProof/>
          </w:rPr>
          <w:t>Special Condition 3.18 Generation Connection volume driver (GCEt)</w:t>
        </w:r>
        <w:r w:rsidR="00A115BA">
          <w:rPr>
            <w:noProof/>
            <w:webHidden/>
          </w:rPr>
          <w:tab/>
        </w:r>
        <w:r w:rsidR="00A115BA">
          <w:rPr>
            <w:noProof/>
            <w:webHidden/>
          </w:rPr>
          <w:fldChar w:fldCharType="begin"/>
        </w:r>
        <w:r w:rsidR="00A115BA">
          <w:rPr>
            <w:noProof/>
            <w:webHidden/>
          </w:rPr>
          <w:instrText xml:space="preserve"> PAGEREF _Toc52364901 \h </w:instrText>
        </w:r>
        <w:r w:rsidR="00A115BA">
          <w:rPr>
            <w:noProof/>
            <w:webHidden/>
          </w:rPr>
        </w:r>
        <w:r w:rsidR="00A115BA">
          <w:rPr>
            <w:noProof/>
            <w:webHidden/>
          </w:rPr>
          <w:fldChar w:fldCharType="separate"/>
        </w:r>
        <w:r w:rsidR="00A115BA">
          <w:rPr>
            <w:noProof/>
            <w:webHidden/>
          </w:rPr>
          <w:t>83</w:t>
        </w:r>
        <w:r w:rsidR="00A115BA">
          <w:rPr>
            <w:noProof/>
            <w:webHidden/>
          </w:rPr>
          <w:fldChar w:fldCharType="end"/>
        </w:r>
      </w:hyperlink>
    </w:p>
    <w:p w14:paraId="4C09F5CB" w14:textId="474FA841" w:rsidR="00A115BA" w:rsidRDefault="00B913B6">
      <w:pPr>
        <w:pStyle w:val="TOC2"/>
        <w:tabs>
          <w:tab w:val="right" w:pos="9016"/>
        </w:tabs>
        <w:rPr>
          <w:rFonts w:asciiTheme="minorHAnsi" w:eastAsiaTheme="minorEastAsia" w:hAnsiTheme="minorHAnsi"/>
          <w:noProof/>
          <w:sz w:val="22"/>
          <w:szCs w:val="22"/>
          <w:lang w:eastAsia="en-GB"/>
        </w:rPr>
      </w:pPr>
      <w:hyperlink w:anchor="_Toc52364902" w:history="1">
        <w:r w:rsidR="00A115BA" w:rsidRPr="00266F4A">
          <w:rPr>
            <w:rStyle w:val="Hyperlink"/>
            <w:noProof/>
          </w:rPr>
          <w:t>Special Condition 3.19 Demand Related Infrastructure volume driver (DRIt)</w:t>
        </w:r>
        <w:r w:rsidR="00A115BA">
          <w:rPr>
            <w:noProof/>
            <w:webHidden/>
          </w:rPr>
          <w:tab/>
        </w:r>
        <w:r w:rsidR="00A115BA">
          <w:rPr>
            <w:noProof/>
            <w:webHidden/>
          </w:rPr>
          <w:fldChar w:fldCharType="begin"/>
        </w:r>
        <w:r w:rsidR="00A115BA">
          <w:rPr>
            <w:noProof/>
            <w:webHidden/>
          </w:rPr>
          <w:instrText xml:space="preserve"> PAGEREF _Toc52364902 \h </w:instrText>
        </w:r>
        <w:r w:rsidR="00A115BA">
          <w:rPr>
            <w:noProof/>
            <w:webHidden/>
          </w:rPr>
        </w:r>
        <w:r w:rsidR="00A115BA">
          <w:rPr>
            <w:noProof/>
            <w:webHidden/>
          </w:rPr>
          <w:fldChar w:fldCharType="separate"/>
        </w:r>
        <w:r w:rsidR="00A115BA">
          <w:rPr>
            <w:noProof/>
            <w:webHidden/>
          </w:rPr>
          <w:t>85</w:t>
        </w:r>
        <w:r w:rsidR="00A115BA">
          <w:rPr>
            <w:noProof/>
            <w:webHidden/>
          </w:rPr>
          <w:fldChar w:fldCharType="end"/>
        </w:r>
      </w:hyperlink>
    </w:p>
    <w:p w14:paraId="35274071" w14:textId="5D31E41F" w:rsidR="00A115BA" w:rsidRDefault="00B913B6">
      <w:pPr>
        <w:pStyle w:val="TOC2"/>
        <w:tabs>
          <w:tab w:val="right" w:pos="9016"/>
        </w:tabs>
        <w:rPr>
          <w:rFonts w:asciiTheme="minorHAnsi" w:eastAsiaTheme="minorEastAsia" w:hAnsiTheme="minorHAnsi"/>
          <w:noProof/>
          <w:sz w:val="22"/>
          <w:szCs w:val="22"/>
          <w:lang w:eastAsia="en-GB"/>
        </w:rPr>
      </w:pPr>
      <w:hyperlink w:anchor="_Toc52364903" w:history="1">
        <w:r w:rsidR="00A115BA" w:rsidRPr="00266F4A">
          <w:rPr>
            <w:rStyle w:val="Hyperlink"/>
            <w:noProof/>
          </w:rPr>
          <w:t>Special Condition 3.20 Large Onshore Transmission Investment Re-opener (LOTIt)</w:t>
        </w:r>
        <w:r w:rsidR="00A115BA">
          <w:rPr>
            <w:noProof/>
            <w:webHidden/>
          </w:rPr>
          <w:tab/>
        </w:r>
        <w:r w:rsidR="00A115BA">
          <w:rPr>
            <w:noProof/>
            <w:webHidden/>
          </w:rPr>
          <w:fldChar w:fldCharType="begin"/>
        </w:r>
        <w:r w:rsidR="00A115BA">
          <w:rPr>
            <w:noProof/>
            <w:webHidden/>
          </w:rPr>
          <w:instrText xml:space="preserve"> PAGEREF _Toc52364903 \h </w:instrText>
        </w:r>
        <w:r w:rsidR="00A115BA">
          <w:rPr>
            <w:noProof/>
            <w:webHidden/>
          </w:rPr>
        </w:r>
        <w:r w:rsidR="00A115BA">
          <w:rPr>
            <w:noProof/>
            <w:webHidden/>
          </w:rPr>
          <w:fldChar w:fldCharType="separate"/>
        </w:r>
        <w:r w:rsidR="00A115BA">
          <w:rPr>
            <w:noProof/>
            <w:webHidden/>
          </w:rPr>
          <w:t>87</w:t>
        </w:r>
        <w:r w:rsidR="00A115BA">
          <w:rPr>
            <w:noProof/>
            <w:webHidden/>
          </w:rPr>
          <w:fldChar w:fldCharType="end"/>
        </w:r>
      </w:hyperlink>
    </w:p>
    <w:p w14:paraId="3DE004C5" w14:textId="770213D0" w:rsidR="00A115BA" w:rsidRDefault="00B913B6">
      <w:pPr>
        <w:pStyle w:val="TOC2"/>
        <w:tabs>
          <w:tab w:val="right" w:pos="9016"/>
        </w:tabs>
        <w:rPr>
          <w:rFonts w:asciiTheme="minorHAnsi" w:eastAsiaTheme="minorEastAsia" w:hAnsiTheme="minorHAnsi"/>
          <w:noProof/>
          <w:sz w:val="22"/>
          <w:szCs w:val="22"/>
          <w:lang w:eastAsia="en-GB"/>
        </w:rPr>
      </w:pPr>
      <w:hyperlink w:anchor="_Toc52364904" w:history="1">
        <w:r w:rsidR="00A115BA" w:rsidRPr="00266F4A">
          <w:rPr>
            <w:rStyle w:val="Hyperlink"/>
            <w:noProof/>
          </w:rPr>
          <w:t>Special Condition 3.21 Medium sized investment projects Re-opener (MSIPt)</w:t>
        </w:r>
        <w:r w:rsidR="00A115BA">
          <w:rPr>
            <w:noProof/>
            <w:webHidden/>
          </w:rPr>
          <w:tab/>
        </w:r>
        <w:r w:rsidR="00A115BA">
          <w:rPr>
            <w:noProof/>
            <w:webHidden/>
          </w:rPr>
          <w:fldChar w:fldCharType="begin"/>
        </w:r>
        <w:r w:rsidR="00A115BA">
          <w:rPr>
            <w:noProof/>
            <w:webHidden/>
          </w:rPr>
          <w:instrText xml:space="preserve"> PAGEREF _Toc52364904 \h </w:instrText>
        </w:r>
        <w:r w:rsidR="00A115BA">
          <w:rPr>
            <w:noProof/>
            <w:webHidden/>
          </w:rPr>
        </w:r>
        <w:r w:rsidR="00A115BA">
          <w:rPr>
            <w:noProof/>
            <w:webHidden/>
          </w:rPr>
          <w:fldChar w:fldCharType="separate"/>
        </w:r>
        <w:r w:rsidR="00A115BA">
          <w:rPr>
            <w:noProof/>
            <w:webHidden/>
          </w:rPr>
          <w:t>91</w:t>
        </w:r>
        <w:r w:rsidR="00A115BA">
          <w:rPr>
            <w:noProof/>
            <w:webHidden/>
          </w:rPr>
          <w:fldChar w:fldCharType="end"/>
        </w:r>
      </w:hyperlink>
    </w:p>
    <w:p w14:paraId="5623CB9D" w14:textId="16D2B307" w:rsidR="00A115BA" w:rsidRDefault="00B913B6">
      <w:pPr>
        <w:pStyle w:val="TOC2"/>
        <w:tabs>
          <w:tab w:val="right" w:pos="9016"/>
        </w:tabs>
        <w:rPr>
          <w:rFonts w:asciiTheme="minorHAnsi" w:eastAsiaTheme="minorEastAsia" w:hAnsiTheme="minorHAnsi"/>
          <w:noProof/>
          <w:sz w:val="22"/>
          <w:szCs w:val="22"/>
          <w:lang w:eastAsia="en-GB"/>
        </w:rPr>
      </w:pPr>
      <w:hyperlink w:anchor="_Toc52364905" w:history="1">
        <w:r w:rsidR="00A115BA" w:rsidRPr="00266F4A">
          <w:rPr>
            <w:rStyle w:val="Hyperlink"/>
            <w:noProof/>
          </w:rPr>
          <w:t>Special Condition 3.22 Pre-construction funding Re-opener (PCFt)</w:t>
        </w:r>
        <w:r w:rsidR="00A115BA">
          <w:rPr>
            <w:noProof/>
            <w:webHidden/>
          </w:rPr>
          <w:tab/>
        </w:r>
        <w:r w:rsidR="00A115BA">
          <w:rPr>
            <w:noProof/>
            <w:webHidden/>
          </w:rPr>
          <w:fldChar w:fldCharType="begin"/>
        </w:r>
        <w:r w:rsidR="00A115BA">
          <w:rPr>
            <w:noProof/>
            <w:webHidden/>
          </w:rPr>
          <w:instrText xml:space="preserve"> PAGEREF _Toc52364905 \h </w:instrText>
        </w:r>
        <w:r w:rsidR="00A115BA">
          <w:rPr>
            <w:noProof/>
            <w:webHidden/>
          </w:rPr>
        </w:r>
        <w:r w:rsidR="00A115BA">
          <w:rPr>
            <w:noProof/>
            <w:webHidden/>
          </w:rPr>
          <w:fldChar w:fldCharType="separate"/>
        </w:r>
        <w:r w:rsidR="00A115BA">
          <w:rPr>
            <w:noProof/>
            <w:webHidden/>
          </w:rPr>
          <w:t>93</w:t>
        </w:r>
        <w:r w:rsidR="00A115BA">
          <w:rPr>
            <w:noProof/>
            <w:webHidden/>
          </w:rPr>
          <w:fldChar w:fldCharType="end"/>
        </w:r>
      </w:hyperlink>
    </w:p>
    <w:p w14:paraId="36471BE7" w14:textId="70EC9439" w:rsidR="00A115BA" w:rsidRDefault="00B913B6">
      <w:pPr>
        <w:pStyle w:val="TOC2"/>
        <w:tabs>
          <w:tab w:val="right" w:pos="9016"/>
        </w:tabs>
        <w:rPr>
          <w:rFonts w:asciiTheme="minorHAnsi" w:eastAsiaTheme="minorEastAsia" w:hAnsiTheme="minorHAnsi"/>
          <w:noProof/>
          <w:sz w:val="22"/>
          <w:szCs w:val="22"/>
          <w:lang w:eastAsia="en-GB"/>
        </w:rPr>
      </w:pPr>
      <w:hyperlink w:anchor="_Toc52364906" w:history="1">
        <w:r w:rsidR="00A115BA" w:rsidRPr="00266F4A">
          <w:rPr>
            <w:rStyle w:val="Hyperlink"/>
            <w:noProof/>
          </w:rPr>
          <w:t>Special Condition 3.23 Subsea cable Re-opener (SCRt)</w:t>
        </w:r>
        <w:r w:rsidR="00A115BA">
          <w:rPr>
            <w:noProof/>
            <w:webHidden/>
          </w:rPr>
          <w:tab/>
        </w:r>
        <w:r w:rsidR="00A115BA">
          <w:rPr>
            <w:noProof/>
            <w:webHidden/>
          </w:rPr>
          <w:fldChar w:fldCharType="begin"/>
        </w:r>
        <w:r w:rsidR="00A115BA">
          <w:rPr>
            <w:noProof/>
            <w:webHidden/>
          </w:rPr>
          <w:instrText xml:space="preserve"> PAGEREF _Toc52364906 \h </w:instrText>
        </w:r>
        <w:r w:rsidR="00A115BA">
          <w:rPr>
            <w:noProof/>
            <w:webHidden/>
          </w:rPr>
        </w:r>
        <w:r w:rsidR="00A115BA">
          <w:rPr>
            <w:noProof/>
            <w:webHidden/>
          </w:rPr>
          <w:fldChar w:fldCharType="separate"/>
        </w:r>
        <w:r w:rsidR="00A115BA">
          <w:rPr>
            <w:noProof/>
            <w:webHidden/>
          </w:rPr>
          <w:t>94</w:t>
        </w:r>
        <w:r w:rsidR="00A115BA">
          <w:rPr>
            <w:noProof/>
            <w:webHidden/>
          </w:rPr>
          <w:fldChar w:fldCharType="end"/>
        </w:r>
      </w:hyperlink>
    </w:p>
    <w:p w14:paraId="61064CE6" w14:textId="59658B41" w:rsidR="00A115BA" w:rsidRDefault="00B913B6">
      <w:pPr>
        <w:pStyle w:val="TOC2"/>
        <w:tabs>
          <w:tab w:val="right" w:pos="9016"/>
        </w:tabs>
        <w:rPr>
          <w:rFonts w:asciiTheme="minorHAnsi" w:eastAsiaTheme="minorEastAsia" w:hAnsiTheme="minorHAnsi"/>
          <w:noProof/>
          <w:sz w:val="22"/>
          <w:szCs w:val="22"/>
          <w:lang w:eastAsia="en-GB"/>
        </w:rPr>
      </w:pPr>
      <w:hyperlink w:anchor="_Toc52364907" w:history="1">
        <w:r w:rsidR="00A115BA" w:rsidRPr="00266F4A">
          <w:rPr>
            <w:rStyle w:val="Hyperlink"/>
            <w:noProof/>
          </w:rPr>
          <w:t>Special Condition 3.24 Uncertain Non-Load Related Projects Re-opener and Price Control Deliverable (UNLRt)</w:t>
        </w:r>
        <w:r w:rsidR="00A115BA">
          <w:rPr>
            <w:noProof/>
            <w:webHidden/>
          </w:rPr>
          <w:tab/>
        </w:r>
        <w:r w:rsidR="00A115BA">
          <w:rPr>
            <w:noProof/>
            <w:webHidden/>
          </w:rPr>
          <w:fldChar w:fldCharType="begin"/>
        </w:r>
        <w:r w:rsidR="00A115BA">
          <w:rPr>
            <w:noProof/>
            <w:webHidden/>
          </w:rPr>
          <w:instrText xml:space="preserve"> PAGEREF _Toc52364907 \h </w:instrText>
        </w:r>
        <w:r w:rsidR="00A115BA">
          <w:rPr>
            <w:noProof/>
            <w:webHidden/>
          </w:rPr>
        </w:r>
        <w:r w:rsidR="00A115BA">
          <w:rPr>
            <w:noProof/>
            <w:webHidden/>
          </w:rPr>
          <w:fldChar w:fldCharType="separate"/>
        </w:r>
        <w:r w:rsidR="00A115BA">
          <w:rPr>
            <w:noProof/>
            <w:webHidden/>
          </w:rPr>
          <w:t>96</w:t>
        </w:r>
        <w:r w:rsidR="00A115BA">
          <w:rPr>
            <w:noProof/>
            <w:webHidden/>
          </w:rPr>
          <w:fldChar w:fldCharType="end"/>
        </w:r>
      </w:hyperlink>
    </w:p>
    <w:p w14:paraId="49C1078B" w14:textId="46CEACE0" w:rsidR="00A115BA" w:rsidRDefault="00B913B6">
      <w:pPr>
        <w:pStyle w:val="TOC2"/>
        <w:tabs>
          <w:tab w:val="right" w:pos="9016"/>
        </w:tabs>
        <w:rPr>
          <w:rFonts w:asciiTheme="minorHAnsi" w:eastAsiaTheme="minorEastAsia" w:hAnsiTheme="minorHAnsi"/>
          <w:noProof/>
          <w:sz w:val="22"/>
          <w:szCs w:val="22"/>
          <w:lang w:eastAsia="en-GB"/>
        </w:rPr>
      </w:pPr>
      <w:hyperlink w:anchor="_Toc52364908" w:history="1">
        <w:r w:rsidR="00A115BA" w:rsidRPr="00266F4A">
          <w:rPr>
            <w:rStyle w:val="Hyperlink"/>
            <w:noProof/>
          </w:rPr>
          <w:t>Special Condition 3.25 Consumer Value Proposition (CVPt)</w:t>
        </w:r>
        <w:r w:rsidR="00A115BA">
          <w:rPr>
            <w:noProof/>
            <w:webHidden/>
          </w:rPr>
          <w:tab/>
        </w:r>
        <w:r w:rsidR="00A115BA">
          <w:rPr>
            <w:noProof/>
            <w:webHidden/>
          </w:rPr>
          <w:fldChar w:fldCharType="begin"/>
        </w:r>
        <w:r w:rsidR="00A115BA">
          <w:rPr>
            <w:noProof/>
            <w:webHidden/>
          </w:rPr>
          <w:instrText xml:space="preserve"> PAGEREF _Toc52364908 \h </w:instrText>
        </w:r>
        <w:r w:rsidR="00A115BA">
          <w:rPr>
            <w:noProof/>
            <w:webHidden/>
          </w:rPr>
        </w:r>
        <w:r w:rsidR="00A115BA">
          <w:rPr>
            <w:noProof/>
            <w:webHidden/>
          </w:rPr>
          <w:fldChar w:fldCharType="separate"/>
        </w:r>
        <w:r w:rsidR="00A115BA">
          <w:rPr>
            <w:noProof/>
            <w:webHidden/>
          </w:rPr>
          <w:t>98</w:t>
        </w:r>
        <w:r w:rsidR="00A115BA">
          <w:rPr>
            <w:noProof/>
            <w:webHidden/>
          </w:rPr>
          <w:fldChar w:fldCharType="end"/>
        </w:r>
      </w:hyperlink>
    </w:p>
    <w:p w14:paraId="0D4B403B" w14:textId="6787D583" w:rsidR="00A115BA" w:rsidRDefault="00B913B6">
      <w:pPr>
        <w:pStyle w:val="TOC1"/>
        <w:rPr>
          <w:rFonts w:asciiTheme="minorHAnsi" w:eastAsiaTheme="minorEastAsia" w:hAnsiTheme="minorHAnsi"/>
          <w:b w:val="0"/>
          <w:sz w:val="22"/>
          <w:szCs w:val="22"/>
          <w:lang w:eastAsia="en-GB"/>
        </w:rPr>
      </w:pPr>
      <w:hyperlink w:anchor="_Toc52364909" w:history="1">
        <w:r w:rsidR="00A115BA" w:rsidRPr="00266F4A">
          <w:rPr>
            <w:rStyle w:val="Hyperlink"/>
          </w:rPr>
          <w:t>Chapter 4: Output Delivery Incentives</w:t>
        </w:r>
        <w:r w:rsidR="00A115BA">
          <w:rPr>
            <w:webHidden/>
          </w:rPr>
          <w:tab/>
        </w:r>
        <w:r w:rsidR="00A115BA">
          <w:rPr>
            <w:webHidden/>
          </w:rPr>
          <w:fldChar w:fldCharType="begin"/>
        </w:r>
        <w:r w:rsidR="00A115BA">
          <w:rPr>
            <w:webHidden/>
          </w:rPr>
          <w:instrText xml:space="preserve"> PAGEREF _Toc52364909 \h </w:instrText>
        </w:r>
        <w:r w:rsidR="00A115BA">
          <w:rPr>
            <w:webHidden/>
          </w:rPr>
        </w:r>
        <w:r w:rsidR="00A115BA">
          <w:rPr>
            <w:webHidden/>
          </w:rPr>
          <w:fldChar w:fldCharType="separate"/>
        </w:r>
        <w:r w:rsidR="00A115BA">
          <w:rPr>
            <w:webHidden/>
          </w:rPr>
          <w:t>100</w:t>
        </w:r>
        <w:r w:rsidR="00A115BA">
          <w:rPr>
            <w:webHidden/>
          </w:rPr>
          <w:fldChar w:fldCharType="end"/>
        </w:r>
      </w:hyperlink>
    </w:p>
    <w:p w14:paraId="1AEBDE05" w14:textId="617ACD47" w:rsidR="00A115BA" w:rsidRDefault="00B913B6">
      <w:pPr>
        <w:pStyle w:val="TOC2"/>
        <w:tabs>
          <w:tab w:val="right" w:pos="9016"/>
        </w:tabs>
        <w:rPr>
          <w:rFonts w:asciiTheme="minorHAnsi" w:eastAsiaTheme="minorEastAsia" w:hAnsiTheme="minorHAnsi"/>
          <w:noProof/>
          <w:sz w:val="22"/>
          <w:szCs w:val="22"/>
          <w:lang w:eastAsia="en-GB"/>
        </w:rPr>
      </w:pPr>
      <w:hyperlink w:anchor="_Toc52364910" w:history="1">
        <w:r w:rsidR="00A115BA" w:rsidRPr="00266F4A">
          <w:rPr>
            <w:rStyle w:val="Hyperlink"/>
            <w:noProof/>
          </w:rPr>
          <w:t>Special Condition 4.1 Total output delivery incentive performance</w:t>
        </w:r>
        <w:r w:rsidR="00A115BA">
          <w:rPr>
            <w:noProof/>
            <w:webHidden/>
          </w:rPr>
          <w:tab/>
        </w:r>
        <w:r w:rsidR="00A115BA">
          <w:rPr>
            <w:noProof/>
            <w:webHidden/>
          </w:rPr>
          <w:fldChar w:fldCharType="begin"/>
        </w:r>
        <w:r w:rsidR="00A115BA">
          <w:rPr>
            <w:noProof/>
            <w:webHidden/>
          </w:rPr>
          <w:instrText xml:space="preserve"> PAGEREF _Toc52364910 \h </w:instrText>
        </w:r>
        <w:r w:rsidR="00A115BA">
          <w:rPr>
            <w:noProof/>
            <w:webHidden/>
          </w:rPr>
        </w:r>
        <w:r w:rsidR="00A115BA">
          <w:rPr>
            <w:noProof/>
            <w:webHidden/>
          </w:rPr>
          <w:fldChar w:fldCharType="separate"/>
        </w:r>
        <w:r w:rsidR="00A115BA">
          <w:rPr>
            <w:noProof/>
            <w:webHidden/>
          </w:rPr>
          <w:t>100</w:t>
        </w:r>
        <w:r w:rsidR="00A115BA">
          <w:rPr>
            <w:noProof/>
            <w:webHidden/>
          </w:rPr>
          <w:fldChar w:fldCharType="end"/>
        </w:r>
      </w:hyperlink>
    </w:p>
    <w:p w14:paraId="65B11D56" w14:textId="0DAC4E7E" w:rsidR="00A115BA" w:rsidRDefault="00B913B6">
      <w:pPr>
        <w:pStyle w:val="TOC2"/>
        <w:tabs>
          <w:tab w:val="right" w:pos="9016"/>
        </w:tabs>
        <w:rPr>
          <w:rFonts w:asciiTheme="minorHAnsi" w:eastAsiaTheme="minorEastAsia" w:hAnsiTheme="minorHAnsi"/>
          <w:noProof/>
          <w:sz w:val="22"/>
          <w:szCs w:val="22"/>
          <w:lang w:eastAsia="en-GB"/>
        </w:rPr>
      </w:pPr>
      <w:hyperlink w:anchor="_Toc52364911" w:history="1">
        <w:r w:rsidR="00A115BA" w:rsidRPr="00266F4A">
          <w:rPr>
            <w:rStyle w:val="Hyperlink"/>
            <w:noProof/>
          </w:rPr>
          <w:t>Special Condition 4.2 Energy not supplied output delivery incentive (ENSI</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_Toc52364911 \h </w:instrText>
        </w:r>
        <w:r w:rsidR="00A115BA">
          <w:rPr>
            <w:noProof/>
            <w:webHidden/>
          </w:rPr>
        </w:r>
        <w:r w:rsidR="00A115BA">
          <w:rPr>
            <w:noProof/>
            <w:webHidden/>
          </w:rPr>
          <w:fldChar w:fldCharType="separate"/>
        </w:r>
        <w:r w:rsidR="00A115BA">
          <w:rPr>
            <w:noProof/>
            <w:webHidden/>
          </w:rPr>
          <w:t>100</w:t>
        </w:r>
        <w:r w:rsidR="00A115BA">
          <w:rPr>
            <w:noProof/>
            <w:webHidden/>
          </w:rPr>
          <w:fldChar w:fldCharType="end"/>
        </w:r>
      </w:hyperlink>
    </w:p>
    <w:p w14:paraId="56BF5CEF" w14:textId="12EA46FA" w:rsidR="00A115BA" w:rsidRDefault="00B913B6">
      <w:pPr>
        <w:pStyle w:val="TOC2"/>
        <w:tabs>
          <w:tab w:val="right" w:pos="9016"/>
        </w:tabs>
        <w:rPr>
          <w:rFonts w:asciiTheme="minorHAnsi" w:eastAsiaTheme="minorEastAsia" w:hAnsiTheme="minorHAnsi"/>
          <w:noProof/>
          <w:sz w:val="22"/>
          <w:szCs w:val="22"/>
          <w:lang w:eastAsia="en-GB"/>
        </w:rPr>
      </w:pPr>
      <w:hyperlink w:anchor="_Toc52364912" w:history="1">
        <w:r w:rsidR="00A115BA" w:rsidRPr="00266F4A">
          <w:rPr>
            <w:rStyle w:val="Hyperlink"/>
            <w:noProof/>
          </w:rPr>
          <w:t>Special Condition 4.3 Insulation and Interruption Gas emissions output delivery incentive (IIGIt)</w:t>
        </w:r>
        <w:r w:rsidR="00A115BA">
          <w:rPr>
            <w:noProof/>
            <w:webHidden/>
          </w:rPr>
          <w:tab/>
        </w:r>
        <w:r w:rsidR="00A115BA">
          <w:rPr>
            <w:noProof/>
            <w:webHidden/>
          </w:rPr>
          <w:fldChar w:fldCharType="begin"/>
        </w:r>
        <w:r w:rsidR="00A115BA">
          <w:rPr>
            <w:noProof/>
            <w:webHidden/>
          </w:rPr>
          <w:instrText xml:space="preserve"> PAGEREF _Toc52364912 \h </w:instrText>
        </w:r>
        <w:r w:rsidR="00A115BA">
          <w:rPr>
            <w:noProof/>
            <w:webHidden/>
          </w:rPr>
        </w:r>
        <w:r w:rsidR="00A115BA">
          <w:rPr>
            <w:noProof/>
            <w:webHidden/>
          </w:rPr>
          <w:fldChar w:fldCharType="separate"/>
        </w:r>
        <w:r w:rsidR="00A115BA">
          <w:rPr>
            <w:noProof/>
            <w:webHidden/>
          </w:rPr>
          <w:t>103</w:t>
        </w:r>
        <w:r w:rsidR="00A115BA">
          <w:rPr>
            <w:noProof/>
            <w:webHidden/>
          </w:rPr>
          <w:fldChar w:fldCharType="end"/>
        </w:r>
      </w:hyperlink>
    </w:p>
    <w:p w14:paraId="065D1DDC" w14:textId="00A63E38" w:rsidR="00A115BA" w:rsidRDefault="00B913B6">
      <w:pPr>
        <w:pStyle w:val="TOC2"/>
        <w:tabs>
          <w:tab w:val="right" w:pos="9016"/>
        </w:tabs>
        <w:rPr>
          <w:rFonts w:asciiTheme="minorHAnsi" w:eastAsiaTheme="minorEastAsia" w:hAnsiTheme="minorHAnsi"/>
          <w:noProof/>
          <w:sz w:val="22"/>
          <w:szCs w:val="22"/>
          <w:lang w:eastAsia="en-GB"/>
        </w:rPr>
      </w:pPr>
      <w:hyperlink w:anchor="_Toc52364913" w:history="1">
        <w:r w:rsidR="00A115BA" w:rsidRPr="00266F4A">
          <w:rPr>
            <w:rStyle w:val="Hyperlink"/>
            <w:noProof/>
          </w:rPr>
          <w:t>Special Condition 4.4 Timely Connections output delivery incentive (CONADJt)</w:t>
        </w:r>
        <w:r w:rsidR="00A115BA">
          <w:rPr>
            <w:noProof/>
            <w:webHidden/>
          </w:rPr>
          <w:tab/>
        </w:r>
        <w:r w:rsidR="00A115BA">
          <w:rPr>
            <w:noProof/>
            <w:webHidden/>
          </w:rPr>
          <w:fldChar w:fldCharType="begin"/>
        </w:r>
        <w:r w:rsidR="00A115BA">
          <w:rPr>
            <w:noProof/>
            <w:webHidden/>
          </w:rPr>
          <w:instrText xml:space="preserve"> PAGEREF _Toc52364913 \h </w:instrText>
        </w:r>
        <w:r w:rsidR="00A115BA">
          <w:rPr>
            <w:noProof/>
            <w:webHidden/>
          </w:rPr>
        </w:r>
        <w:r w:rsidR="00A115BA">
          <w:rPr>
            <w:noProof/>
            <w:webHidden/>
          </w:rPr>
          <w:fldChar w:fldCharType="separate"/>
        </w:r>
        <w:r w:rsidR="00A115BA">
          <w:rPr>
            <w:noProof/>
            <w:webHidden/>
          </w:rPr>
          <w:t>106</w:t>
        </w:r>
        <w:r w:rsidR="00A115BA">
          <w:rPr>
            <w:noProof/>
            <w:webHidden/>
          </w:rPr>
          <w:fldChar w:fldCharType="end"/>
        </w:r>
      </w:hyperlink>
    </w:p>
    <w:p w14:paraId="3D4F3D04" w14:textId="0010270F" w:rsidR="00A115BA" w:rsidRDefault="00B913B6">
      <w:pPr>
        <w:pStyle w:val="TOC2"/>
        <w:tabs>
          <w:tab w:val="right" w:pos="9016"/>
        </w:tabs>
        <w:rPr>
          <w:rFonts w:asciiTheme="minorHAnsi" w:eastAsiaTheme="minorEastAsia" w:hAnsiTheme="minorHAnsi"/>
          <w:noProof/>
          <w:sz w:val="22"/>
          <w:szCs w:val="22"/>
          <w:lang w:eastAsia="en-GB"/>
        </w:rPr>
      </w:pPr>
      <w:hyperlink w:anchor="_Toc52364914" w:history="1">
        <w:r w:rsidR="00A115BA" w:rsidRPr="00266F4A">
          <w:rPr>
            <w:rStyle w:val="Hyperlink"/>
            <w:noProof/>
          </w:rPr>
          <w:t>Special Condition 4.5 Environmental Scorecard output delivery incentive (ESIt)</w:t>
        </w:r>
        <w:r w:rsidR="00A115BA">
          <w:rPr>
            <w:noProof/>
            <w:webHidden/>
          </w:rPr>
          <w:tab/>
        </w:r>
        <w:r w:rsidR="00A115BA">
          <w:rPr>
            <w:noProof/>
            <w:webHidden/>
          </w:rPr>
          <w:fldChar w:fldCharType="begin"/>
        </w:r>
        <w:r w:rsidR="00A115BA">
          <w:rPr>
            <w:noProof/>
            <w:webHidden/>
          </w:rPr>
          <w:instrText xml:space="preserve"> PAGEREF _Toc52364914 \h </w:instrText>
        </w:r>
        <w:r w:rsidR="00A115BA">
          <w:rPr>
            <w:noProof/>
            <w:webHidden/>
          </w:rPr>
        </w:r>
        <w:r w:rsidR="00A115BA">
          <w:rPr>
            <w:noProof/>
            <w:webHidden/>
          </w:rPr>
          <w:fldChar w:fldCharType="separate"/>
        </w:r>
        <w:r w:rsidR="00A115BA">
          <w:rPr>
            <w:noProof/>
            <w:webHidden/>
          </w:rPr>
          <w:t>107</w:t>
        </w:r>
        <w:r w:rsidR="00A115BA">
          <w:rPr>
            <w:noProof/>
            <w:webHidden/>
          </w:rPr>
          <w:fldChar w:fldCharType="end"/>
        </w:r>
      </w:hyperlink>
    </w:p>
    <w:p w14:paraId="23E48FDB" w14:textId="73D4831F" w:rsidR="00A115BA" w:rsidRDefault="00B913B6">
      <w:pPr>
        <w:pStyle w:val="TOC1"/>
        <w:rPr>
          <w:rFonts w:asciiTheme="minorHAnsi" w:eastAsiaTheme="minorEastAsia" w:hAnsiTheme="minorHAnsi"/>
          <w:b w:val="0"/>
          <w:sz w:val="22"/>
          <w:szCs w:val="22"/>
          <w:lang w:eastAsia="en-GB"/>
        </w:rPr>
      </w:pPr>
      <w:hyperlink w:anchor="_Toc52364915" w:history="1">
        <w:r w:rsidR="00A115BA" w:rsidRPr="00266F4A">
          <w:rPr>
            <w:rStyle w:val="Hyperlink"/>
          </w:rPr>
          <w:t>Chapter 5: Innovation</w:t>
        </w:r>
        <w:r w:rsidR="00A115BA">
          <w:rPr>
            <w:webHidden/>
          </w:rPr>
          <w:tab/>
        </w:r>
        <w:r w:rsidR="00A115BA">
          <w:rPr>
            <w:webHidden/>
          </w:rPr>
          <w:fldChar w:fldCharType="begin"/>
        </w:r>
        <w:r w:rsidR="00A115BA">
          <w:rPr>
            <w:webHidden/>
          </w:rPr>
          <w:instrText xml:space="preserve"> PAGEREF _Toc52364915 \h </w:instrText>
        </w:r>
        <w:r w:rsidR="00A115BA">
          <w:rPr>
            <w:webHidden/>
          </w:rPr>
        </w:r>
        <w:r w:rsidR="00A115BA">
          <w:rPr>
            <w:webHidden/>
          </w:rPr>
          <w:fldChar w:fldCharType="separate"/>
        </w:r>
        <w:r w:rsidR="00A115BA">
          <w:rPr>
            <w:webHidden/>
          </w:rPr>
          <w:t>111</w:t>
        </w:r>
        <w:r w:rsidR="00A115BA">
          <w:rPr>
            <w:webHidden/>
          </w:rPr>
          <w:fldChar w:fldCharType="end"/>
        </w:r>
      </w:hyperlink>
    </w:p>
    <w:p w14:paraId="126F9064" w14:textId="36ACCD19" w:rsidR="00A115BA" w:rsidRDefault="00B913B6">
      <w:pPr>
        <w:pStyle w:val="TOC2"/>
        <w:tabs>
          <w:tab w:val="right" w:pos="9016"/>
        </w:tabs>
        <w:rPr>
          <w:rFonts w:asciiTheme="minorHAnsi" w:eastAsiaTheme="minorEastAsia" w:hAnsiTheme="minorHAnsi"/>
          <w:noProof/>
          <w:sz w:val="22"/>
          <w:szCs w:val="22"/>
          <w:lang w:eastAsia="en-GB"/>
        </w:rPr>
      </w:pPr>
      <w:hyperlink w:anchor="_Toc52364916" w:history="1">
        <w:r w:rsidR="00A115BA" w:rsidRPr="00266F4A">
          <w:rPr>
            <w:rStyle w:val="Hyperlink"/>
            <w:noProof/>
          </w:rPr>
          <w:t>Special Condition 5.1 Total innovation allowance (INNVt)</w:t>
        </w:r>
        <w:r w:rsidR="00A115BA">
          <w:rPr>
            <w:noProof/>
            <w:webHidden/>
          </w:rPr>
          <w:tab/>
        </w:r>
        <w:r w:rsidR="00A115BA">
          <w:rPr>
            <w:noProof/>
            <w:webHidden/>
          </w:rPr>
          <w:fldChar w:fldCharType="begin"/>
        </w:r>
        <w:r w:rsidR="00A115BA">
          <w:rPr>
            <w:noProof/>
            <w:webHidden/>
          </w:rPr>
          <w:instrText xml:space="preserve"> PAGEREF _Toc52364916 \h </w:instrText>
        </w:r>
        <w:r w:rsidR="00A115BA">
          <w:rPr>
            <w:noProof/>
            <w:webHidden/>
          </w:rPr>
        </w:r>
        <w:r w:rsidR="00A115BA">
          <w:rPr>
            <w:noProof/>
            <w:webHidden/>
          </w:rPr>
          <w:fldChar w:fldCharType="separate"/>
        </w:r>
        <w:r w:rsidR="00A115BA">
          <w:rPr>
            <w:noProof/>
            <w:webHidden/>
          </w:rPr>
          <w:t>111</w:t>
        </w:r>
        <w:r w:rsidR="00A115BA">
          <w:rPr>
            <w:noProof/>
            <w:webHidden/>
          </w:rPr>
          <w:fldChar w:fldCharType="end"/>
        </w:r>
      </w:hyperlink>
    </w:p>
    <w:p w14:paraId="5D02F8E9" w14:textId="54781CB6" w:rsidR="00A115BA" w:rsidRDefault="00B913B6">
      <w:pPr>
        <w:pStyle w:val="TOC2"/>
        <w:tabs>
          <w:tab w:val="right" w:pos="9016"/>
        </w:tabs>
        <w:rPr>
          <w:rFonts w:asciiTheme="minorHAnsi" w:eastAsiaTheme="minorEastAsia" w:hAnsiTheme="minorHAnsi"/>
          <w:noProof/>
          <w:sz w:val="22"/>
          <w:szCs w:val="22"/>
          <w:lang w:eastAsia="en-GB"/>
        </w:rPr>
      </w:pPr>
      <w:hyperlink w:anchor="_Toc52364917" w:history="1">
        <w:r w:rsidR="00A115BA" w:rsidRPr="00266F4A">
          <w:rPr>
            <w:rStyle w:val="Hyperlink"/>
            <w:noProof/>
          </w:rPr>
          <w:t>Special Condition 5.2 The RIIO-2 Network Innovation Allowance (NIAt)</w:t>
        </w:r>
        <w:r w:rsidR="00A115BA">
          <w:rPr>
            <w:noProof/>
            <w:webHidden/>
          </w:rPr>
          <w:tab/>
        </w:r>
        <w:r w:rsidR="00A115BA">
          <w:rPr>
            <w:noProof/>
            <w:webHidden/>
          </w:rPr>
          <w:fldChar w:fldCharType="begin"/>
        </w:r>
        <w:r w:rsidR="00A115BA">
          <w:rPr>
            <w:noProof/>
            <w:webHidden/>
          </w:rPr>
          <w:instrText xml:space="preserve"> PAGEREF _Toc52364917 \h </w:instrText>
        </w:r>
        <w:r w:rsidR="00A115BA">
          <w:rPr>
            <w:noProof/>
            <w:webHidden/>
          </w:rPr>
        </w:r>
        <w:r w:rsidR="00A115BA">
          <w:rPr>
            <w:noProof/>
            <w:webHidden/>
          </w:rPr>
          <w:fldChar w:fldCharType="separate"/>
        </w:r>
        <w:r w:rsidR="00A115BA">
          <w:rPr>
            <w:noProof/>
            <w:webHidden/>
          </w:rPr>
          <w:t>111</w:t>
        </w:r>
        <w:r w:rsidR="00A115BA">
          <w:rPr>
            <w:noProof/>
            <w:webHidden/>
          </w:rPr>
          <w:fldChar w:fldCharType="end"/>
        </w:r>
      </w:hyperlink>
    </w:p>
    <w:p w14:paraId="5613DF68" w14:textId="250D39B9" w:rsidR="00A115BA" w:rsidRDefault="00B913B6">
      <w:pPr>
        <w:pStyle w:val="TOC2"/>
        <w:tabs>
          <w:tab w:val="right" w:pos="9016"/>
        </w:tabs>
        <w:rPr>
          <w:rFonts w:asciiTheme="minorHAnsi" w:eastAsiaTheme="minorEastAsia" w:hAnsiTheme="minorHAnsi"/>
          <w:noProof/>
          <w:sz w:val="22"/>
          <w:szCs w:val="22"/>
          <w:lang w:eastAsia="en-GB"/>
        </w:rPr>
      </w:pPr>
      <w:hyperlink w:anchor="_Toc52364918" w:history="1">
        <w:r w:rsidR="00A115BA" w:rsidRPr="00266F4A">
          <w:rPr>
            <w:rStyle w:val="Hyperlink"/>
            <w:noProof/>
          </w:rPr>
          <w:t>Special Condition 5.3 Carry-over RIIO-1 Network Innovation Allowance (CNIAt)</w:t>
        </w:r>
        <w:r w:rsidR="00A115BA">
          <w:rPr>
            <w:noProof/>
            <w:webHidden/>
          </w:rPr>
          <w:tab/>
        </w:r>
        <w:r w:rsidR="00A115BA">
          <w:rPr>
            <w:noProof/>
            <w:webHidden/>
          </w:rPr>
          <w:fldChar w:fldCharType="begin"/>
        </w:r>
        <w:r w:rsidR="00A115BA">
          <w:rPr>
            <w:noProof/>
            <w:webHidden/>
          </w:rPr>
          <w:instrText xml:space="preserve"> PAGEREF _Toc52364918 \h </w:instrText>
        </w:r>
        <w:r w:rsidR="00A115BA">
          <w:rPr>
            <w:noProof/>
            <w:webHidden/>
          </w:rPr>
        </w:r>
        <w:r w:rsidR="00A115BA">
          <w:rPr>
            <w:noProof/>
            <w:webHidden/>
          </w:rPr>
          <w:fldChar w:fldCharType="separate"/>
        </w:r>
        <w:r w:rsidR="00A115BA">
          <w:rPr>
            <w:noProof/>
            <w:webHidden/>
          </w:rPr>
          <w:t>113</w:t>
        </w:r>
        <w:r w:rsidR="00A115BA">
          <w:rPr>
            <w:noProof/>
            <w:webHidden/>
          </w:rPr>
          <w:fldChar w:fldCharType="end"/>
        </w:r>
      </w:hyperlink>
    </w:p>
    <w:p w14:paraId="536E6DAD" w14:textId="2BAECB5F" w:rsidR="00A115BA" w:rsidRDefault="00B913B6">
      <w:pPr>
        <w:pStyle w:val="TOC1"/>
        <w:rPr>
          <w:rFonts w:asciiTheme="minorHAnsi" w:eastAsiaTheme="minorEastAsia" w:hAnsiTheme="minorHAnsi"/>
          <w:b w:val="0"/>
          <w:sz w:val="22"/>
          <w:szCs w:val="22"/>
          <w:lang w:eastAsia="en-GB"/>
        </w:rPr>
      </w:pPr>
      <w:hyperlink w:anchor="_Toc52364919" w:history="1">
        <w:r w:rsidR="00A115BA" w:rsidRPr="00266F4A">
          <w:rPr>
            <w:rStyle w:val="Hyperlink"/>
          </w:rPr>
          <w:t>Chapter 6: Pass-through expenditure</w:t>
        </w:r>
        <w:r w:rsidR="00A115BA">
          <w:rPr>
            <w:webHidden/>
          </w:rPr>
          <w:tab/>
        </w:r>
        <w:r w:rsidR="00A115BA">
          <w:rPr>
            <w:webHidden/>
          </w:rPr>
          <w:fldChar w:fldCharType="begin"/>
        </w:r>
        <w:r w:rsidR="00A115BA">
          <w:rPr>
            <w:webHidden/>
          </w:rPr>
          <w:instrText xml:space="preserve"> PAGEREF _Toc52364919 \h </w:instrText>
        </w:r>
        <w:r w:rsidR="00A115BA">
          <w:rPr>
            <w:webHidden/>
          </w:rPr>
        </w:r>
        <w:r w:rsidR="00A115BA">
          <w:rPr>
            <w:webHidden/>
          </w:rPr>
          <w:fldChar w:fldCharType="separate"/>
        </w:r>
        <w:r w:rsidR="00A115BA">
          <w:rPr>
            <w:webHidden/>
          </w:rPr>
          <w:t>116</w:t>
        </w:r>
        <w:r w:rsidR="00A115BA">
          <w:rPr>
            <w:webHidden/>
          </w:rPr>
          <w:fldChar w:fldCharType="end"/>
        </w:r>
      </w:hyperlink>
    </w:p>
    <w:p w14:paraId="4E7257F8" w14:textId="63F5CB1B" w:rsidR="00A115BA" w:rsidRDefault="00B913B6">
      <w:pPr>
        <w:pStyle w:val="TOC2"/>
        <w:tabs>
          <w:tab w:val="right" w:pos="9016"/>
        </w:tabs>
        <w:rPr>
          <w:rFonts w:asciiTheme="minorHAnsi" w:eastAsiaTheme="minorEastAsia" w:hAnsiTheme="minorHAnsi"/>
          <w:noProof/>
          <w:sz w:val="22"/>
          <w:szCs w:val="22"/>
          <w:lang w:eastAsia="en-GB"/>
        </w:rPr>
      </w:pPr>
      <w:hyperlink w:anchor="_Toc52364920" w:history="1">
        <w:r w:rsidR="00A115BA" w:rsidRPr="00266F4A">
          <w:rPr>
            <w:rStyle w:val="Hyperlink"/>
            <w:noProof/>
          </w:rPr>
          <w:t>Special Condition 6.1 Pass-through items (PTt)</w:t>
        </w:r>
        <w:r w:rsidR="00A115BA">
          <w:rPr>
            <w:noProof/>
            <w:webHidden/>
          </w:rPr>
          <w:tab/>
        </w:r>
        <w:r w:rsidR="00A115BA">
          <w:rPr>
            <w:noProof/>
            <w:webHidden/>
          </w:rPr>
          <w:fldChar w:fldCharType="begin"/>
        </w:r>
        <w:r w:rsidR="00A115BA">
          <w:rPr>
            <w:noProof/>
            <w:webHidden/>
          </w:rPr>
          <w:instrText xml:space="preserve"> PAGEREF _Toc52364920 \h </w:instrText>
        </w:r>
        <w:r w:rsidR="00A115BA">
          <w:rPr>
            <w:noProof/>
            <w:webHidden/>
          </w:rPr>
        </w:r>
        <w:r w:rsidR="00A115BA">
          <w:rPr>
            <w:noProof/>
            <w:webHidden/>
          </w:rPr>
          <w:fldChar w:fldCharType="separate"/>
        </w:r>
        <w:r w:rsidR="00A115BA">
          <w:rPr>
            <w:noProof/>
            <w:webHidden/>
          </w:rPr>
          <w:t>116</w:t>
        </w:r>
        <w:r w:rsidR="00A115BA">
          <w:rPr>
            <w:noProof/>
            <w:webHidden/>
          </w:rPr>
          <w:fldChar w:fldCharType="end"/>
        </w:r>
      </w:hyperlink>
    </w:p>
    <w:p w14:paraId="13A5A1EF" w14:textId="287CE36D" w:rsidR="00A115BA" w:rsidRDefault="00B913B6">
      <w:pPr>
        <w:pStyle w:val="TOC2"/>
        <w:tabs>
          <w:tab w:val="right" w:pos="9016"/>
        </w:tabs>
        <w:rPr>
          <w:rFonts w:asciiTheme="minorHAnsi" w:eastAsiaTheme="minorEastAsia" w:hAnsiTheme="minorHAnsi"/>
          <w:noProof/>
          <w:sz w:val="22"/>
          <w:szCs w:val="22"/>
          <w:lang w:eastAsia="en-GB"/>
        </w:rPr>
      </w:pPr>
      <w:hyperlink w:anchor="_Toc52364921" w:history="1">
        <w:r w:rsidR="00A115BA" w:rsidRPr="00266F4A">
          <w:rPr>
            <w:rStyle w:val="Hyperlink"/>
            <w:noProof/>
          </w:rPr>
          <w:t>Special Condition 6.2 Competition Proxy Model pass-through cost and Re-opener (CPMRt)</w:t>
        </w:r>
        <w:r w:rsidR="00A115BA">
          <w:rPr>
            <w:noProof/>
            <w:webHidden/>
          </w:rPr>
          <w:tab/>
        </w:r>
        <w:r w:rsidR="00A115BA">
          <w:rPr>
            <w:noProof/>
            <w:webHidden/>
          </w:rPr>
          <w:fldChar w:fldCharType="begin"/>
        </w:r>
        <w:r w:rsidR="00A115BA">
          <w:rPr>
            <w:noProof/>
            <w:webHidden/>
          </w:rPr>
          <w:instrText xml:space="preserve"> PAGEREF _Toc52364921 \h </w:instrText>
        </w:r>
        <w:r w:rsidR="00A115BA">
          <w:rPr>
            <w:noProof/>
            <w:webHidden/>
          </w:rPr>
        </w:r>
        <w:r w:rsidR="00A115BA">
          <w:rPr>
            <w:noProof/>
            <w:webHidden/>
          </w:rPr>
          <w:fldChar w:fldCharType="separate"/>
        </w:r>
        <w:r w:rsidR="00A115BA">
          <w:rPr>
            <w:noProof/>
            <w:webHidden/>
          </w:rPr>
          <w:t>117</w:t>
        </w:r>
        <w:r w:rsidR="00A115BA">
          <w:rPr>
            <w:noProof/>
            <w:webHidden/>
          </w:rPr>
          <w:fldChar w:fldCharType="end"/>
        </w:r>
      </w:hyperlink>
    </w:p>
    <w:p w14:paraId="54420352" w14:textId="2AEEB94B" w:rsidR="00A115BA" w:rsidRDefault="00B913B6">
      <w:pPr>
        <w:pStyle w:val="TOC2"/>
        <w:tabs>
          <w:tab w:val="right" w:pos="9016"/>
        </w:tabs>
        <w:rPr>
          <w:rFonts w:asciiTheme="minorHAnsi" w:eastAsiaTheme="minorEastAsia" w:hAnsiTheme="minorHAnsi"/>
          <w:noProof/>
          <w:sz w:val="22"/>
          <w:szCs w:val="22"/>
          <w:lang w:eastAsia="en-GB"/>
        </w:rPr>
      </w:pPr>
      <w:hyperlink w:anchor="_Toc52364922" w:history="1">
        <w:r w:rsidR="00A115BA" w:rsidRPr="00266F4A">
          <w:rPr>
            <w:rStyle w:val="Hyperlink"/>
            <w:noProof/>
          </w:rPr>
          <w:t>Special Condition 6.3 Energy Not Supplied Compensatory Scheme pass-through (SHCPt)</w:t>
        </w:r>
        <w:r w:rsidR="00A115BA">
          <w:rPr>
            <w:noProof/>
            <w:webHidden/>
          </w:rPr>
          <w:tab/>
        </w:r>
        <w:r w:rsidR="00A115BA">
          <w:rPr>
            <w:noProof/>
            <w:webHidden/>
          </w:rPr>
          <w:fldChar w:fldCharType="begin"/>
        </w:r>
        <w:r w:rsidR="00A115BA">
          <w:rPr>
            <w:noProof/>
            <w:webHidden/>
          </w:rPr>
          <w:instrText xml:space="preserve"> PAGEREF _Toc52364922 \h </w:instrText>
        </w:r>
        <w:r w:rsidR="00A115BA">
          <w:rPr>
            <w:noProof/>
            <w:webHidden/>
          </w:rPr>
        </w:r>
        <w:r w:rsidR="00A115BA">
          <w:rPr>
            <w:noProof/>
            <w:webHidden/>
          </w:rPr>
          <w:fldChar w:fldCharType="separate"/>
        </w:r>
        <w:r w:rsidR="00A115BA">
          <w:rPr>
            <w:noProof/>
            <w:webHidden/>
          </w:rPr>
          <w:t>122</w:t>
        </w:r>
        <w:r w:rsidR="00A115BA">
          <w:rPr>
            <w:noProof/>
            <w:webHidden/>
          </w:rPr>
          <w:fldChar w:fldCharType="end"/>
        </w:r>
      </w:hyperlink>
    </w:p>
    <w:p w14:paraId="03865528" w14:textId="4FD344EE" w:rsidR="00A115BA" w:rsidRDefault="00B913B6">
      <w:pPr>
        <w:pStyle w:val="TOC1"/>
        <w:rPr>
          <w:rFonts w:asciiTheme="minorHAnsi" w:eastAsiaTheme="minorEastAsia" w:hAnsiTheme="minorHAnsi"/>
          <w:b w:val="0"/>
          <w:sz w:val="22"/>
          <w:szCs w:val="22"/>
          <w:lang w:eastAsia="en-GB"/>
        </w:rPr>
      </w:pPr>
      <w:hyperlink w:anchor="_Toc52364923" w:history="1">
        <w:r w:rsidR="00A115BA" w:rsidRPr="00266F4A">
          <w:rPr>
            <w:rStyle w:val="Hyperlink"/>
          </w:rPr>
          <w:t>Chapter 7: Legacy Adjustments</w:t>
        </w:r>
        <w:r w:rsidR="00A115BA">
          <w:rPr>
            <w:webHidden/>
          </w:rPr>
          <w:tab/>
        </w:r>
        <w:r w:rsidR="00A115BA">
          <w:rPr>
            <w:webHidden/>
          </w:rPr>
          <w:fldChar w:fldCharType="begin"/>
        </w:r>
        <w:r w:rsidR="00A115BA">
          <w:rPr>
            <w:webHidden/>
          </w:rPr>
          <w:instrText xml:space="preserve"> PAGEREF _Toc52364923 \h </w:instrText>
        </w:r>
        <w:r w:rsidR="00A115BA">
          <w:rPr>
            <w:webHidden/>
          </w:rPr>
        </w:r>
        <w:r w:rsidR="00A115BA">
          <w:rPr>
            <w:webHidden/>
          </w:rPr>
          <w:fldChar w:fldCharType="separate"/>
        </w:r>
        <w:r w:rsidR="00A115BA">
          <w:rPr>
            <w:webHidden/>
          </w:rPr>
          <w:t>125</w:t>
        </w:r>
        <w:r w:rsidR="00A115BA">
          <w:rPr>
            <w:webHidden/>
          </w:rPr>
          <w:fldChar w:fldCharType="end"/>
        </w:r>
      </w:hyperlink>
    </w:p>
    <w:p w14:paraId="537D9661" w14:textId="32EA4DC4" w:rsidR="00A115BA" w:rsidRDefault="00B913B6">
      <w:pPr>
        <w:pStyle w:val="TOC2"/>
        <w:tabs>
          <w:tab w:val="right" w:pos="9016"/>
        </w:tabs>
        <w:rPr>
          <w:rFonts w:asciiTheme="minorHAnsi" w:eastAsiaTheme="minorEastAsia" w:hAnsiTheme="minorHAnsi"/>
          <w:noProof/>
          <w:sz w:val="22"/>
          <w:szCs w:val="22"/>
          <w:lang w:eastAsia="en-GB"/>
        </w:rPr>
      </w:pPr>
      <w:hyperlink w:anchor="_Toc52364924" w:history="1">
        <w:r w:rsidR="00A115BA" w:rsidRPr="00266F4A">
          <w:rPr>
            <w:rStyle w:val="Hyperlink"/>
            <w:noProof/>
          </w:rPr>
          <w:t>Special Condition 7.1 Legacy price control adjustments (LAR</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_Toc52364924 \h </w:instrText>
        </w:r>
        <w:r w:rsidR="00A115BA">
          <w:rPr>
            <w:noProof/>
            <w:webHidden/>
          </w:rPr>
        </w:r>
        <w:r w:rsidR="00A115BA">
          <w:rPr>
            <w:noProof/>
            <w:webHidden/>
          </w:rPr>
          <w:fldChar w:fldCharType="separate"/>
        </w:r>
        <w:r w:rsidR="00A115BA">
          <w:rPr>
            <w:noProof/>
            <w:webHidden/>
          </w:rPr>
          <w:t>125</w:t>
        </w:r>
        <w:r w:rsidR="00A115BA">
          <w:rPr>
            <w:noProof/>
            <w:webHidden/>
          </w:rPr>
          <w:fldChar w:fldCharType="end"/>
        </w:r>
      </w:hyperlink>
    </w:p>
    <w:p w14:paraId="13FEDF95" w14:textId="0F04E337" w:rsidR="00A115BA" w:rsidRDefault="00B913B6">
      <w:pPr>
        <w:pStyle w:val="TOC2"/>
        <w:tabs>
          <w:tab w:val="right" w:pos="9016"/>
        </w:tabs>
        <w:rPr>
          <w:rFonts w:asciiTheme="minorHAnsi" w:eastAsiaTheme="minorEastAsia" w:hAnsiTheme="minorHAnsi"/>
          <w:noProof/>
          <w:sz w:val="22"/>
          <w:szCs w:val="22"/>
          <w:lang w:eastAsia="en-GB"/>
        </w:rPr>
      </w:pPr>
      <w:hyperlink w:anchor="_Toc52364925" w:history="1">
        <w:r w:rsidR="00A115BA" w:rsidRPr="00266F4A">
          <w:rPr>
            <w:rStyle w:val="Hyperlink"/>
            <w:noProof/>
          </w:rPr>
          <w:t>Special Condition 7.2 Close out of RIIO-ET1 pass-through items (LPTt)</w:t>
        </w:r>
        <w:r w:rsidR="00A115BA">
          <w:rPr>
            <w:noProof/>
            <w:webHidden/>
          </w:rPr>
          <w:tab/>
        </w:r>
        <w:r w:rsidR="00A115BA">
          <w:rPr>
            <w:noProof/>
            <w:webHidden/>
          </w:rPr>
          <w:fldChar w:fldCharType="begin"/>
        </w:r>
        <w:r w:rsidR="00A115BA">
          <w:rPr>
            <w:noProof/>
            <w:webHidden/>
          </w:rPr>
          <w:instrText xml:space="preserve"> PAGEREF _Toc52364925 \h </w:instrText>
        </w:r>
        <w:r w:rsidR="00A115BA">
          <w:rPr>
            <w:noProof/>
            <w:webHidden/>
          </w:rPr>
        </w:r>
        <w:r w:rsidR="00A115BA">
          <w:rPr>
            <w:noProof/>
            <w:webHidden/>
          </w:rPr>
          <w:fldChar w:fldCharType="separate"/>
        </w:r>
        <w:r w:rsidR="00A115BA">
          <w:rPr>
            <w:noProof/>
            <w:webHidden/>
          </w:rPr>
          <w:t>125</w:t>
        </w:r>
        <w:r w:rsidR="00A115BA">
          <w:rPr>
            <w:noProof/>
            <w:webHidden/>
          </w:rPr>
          <w:fldChar w:fldCharType="end"/>
        </w:r>
      </w:hyperlink>
    </w:p>
    <w:p w14:paraId="33D41086" w14:textId="1BD6EA5B" w:rsidR="00A115BA" w:rsidRDefault="00B913B6">
      <w:pPr>
        <w:pStyle w:val="TOC2"/>
        <w:tabs>
          <w:tab w:val="right" w:pos="9016"/>
        </w:tabs>
        <w:rPr>
          <w:rFonts w:asciiTheme="minorHAnsi" w:eastAsiaTheme="minorEastAsia" w:hAnsiTheme="minorHAnsi"/>
          <w:noProof/>
          <w:sz w:val="22"/>
          <w:szCs w:val="22"/>
          <w:lang w:eastAsia="en-GB"/>
        </w:rPr>
      </w:pPr>
      <w:hyperlink w:anchor="_Toc52364926" w:history="1">
        <w:r w:rsidR="00A115BA" w:rsidRPr="00266F4A">
          <w:rPr>
            <w:rStyle w:val="Hyperlink"/>
            <w:noProof/>
          </w:rPr>
          <w:t>Special Condition 7.3 Legacy MOD (LMOD</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_Toc52364926 \h </w:instrText>
        </w:r>
        <w:r w:rsidR="00A115BA">
          <w:rPr>
            <w:noProof/>
            <w:webHidden/>
          </w:rPr>
        </w:r>
        <w:r w:rsidR="00A115BA">
          <w:rPr>
            <w:noProof/>
            <w:webHidden/>
          </w:rPr>
          <w:fldChar w:fldCharType="separate"/>
        </w:r>
        <w:r w:rsidR="00A115BA">
          <w:rPr>
            <w:noProof/>
            <w:webHidden/>
          </w:rPr>
          <w:t>126</w:t>
        </w:r>
        <w:r w:rsidR="00A115BA">
          <w:rPr>
            <w:noProof/>
            <w:webHidden/>
          </w:rPr>
          <w:fldChar w:fldCharType="end"/>
        </w:r>
      </w:hyperlink>
    </w:p>
    <w:p w14:paraId="698AC3C3" w14:textId="4972912E" w:rsidR="00A115BA" w:rsidRDefault="00B913B6">
      <w:pPr>
        <w:pStyle w:val="TOC2"/>
        <w:tabs>
          <w:tab w:val="right" w:pos="9016"/>
        </w:tabs>
        <w:rPr>
          <w:rFonts w:asciiTheme="minorHAnsi" w:eastAsiaTheme="minorEastAsia" w:hAnsiTheme="minorHAnsi"/>
          <w:noProof/>
          <w:sz w:val="22"/>
          <w:szCs w:val="22"/>
          <w:lang w:eastAsia="en-GB"/>
        </w:rPr>
      </w:pPr>
      <w:hyperlink w:anchor="_Toc52364927" w:history="1">
        <w:r w:rsidR="00A115BA" w:rsidRPr="00266F4A">
          <w:rPr>
            <w:rStyle w:val="Hyperlink"/>
            <w:noProof/>
          </w:rPr>
          <w:t>Special Condition 7.4 Legacy K correction (LK</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_Toc52364927 \h </w:instrText>
        </w:r>
        <w:r w:rsidR="00A115BA">
          <w:rPr>
            <w:noProof/>
            <w:webHidden/>
          </w:rPr>
        </w:r>
        <w:r w:rsidR="00A115BA">
          <w:rPr>
            <w:noProof/>
            <w:webHidden/>
          </w:rPr>
          <w:fldChar w:fldCharType="separate"/>
        </w:r>
        <w:r w:rsidR="00A115BA">
          <w:rPr>
            <w:noProof/>
            <w:webHidden/>
          </w:rPr>
          <w:t>127</w:t>
        </w:r>
        <w:r w:rsidR="00A115BA">
          <w:rPr>
            <w:noProof/>
            <w:webHidden/>
          </w:rPr>
          <w:fldChar w:fldCharType="end"/>
        </w:r>
      </w:hyperlink>
    </w:p>
    <w:p w14:paraId="0B84FCF0" w14:textId="599082CE" w:rsidR="00A115BA" w:rsidRDefault="00B913B6">
      <w:pPr>
        <w:pStyle w:val="TOC2"/>
        <w:tabs>
          <w:tab w:val="right" w:pos="9016"/>
        </w:tabs>
        <w:rPr>
          <w:rFonts w:asciiTheme="minorHAnsi" w:eastAsiaTheme="minorEastAsia" w:hAnsiTheme="minorHAnsi"/>
          <w:noProof/>
          <w:sz w:val="22"/>
          <w:szCs w:val="22"/>
          <w:lang w:eastAsia="en-GB"/>
        </w:rPr>
      </w:pPr>
      <w:hyperlink w:anchor="_Toc52364928" w:history="1">
        <w:r w:rsidR="00A115BA" w:rsidRPr="00266F4A">
          <w:rPr>
            <w:rStyle w:val="Hyperlink"/>
            <w:noProof/>
          </w:rPr>
          <w:t>Special Condition 7.5 Legacy TRU Term (LTRU</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_Toc52364928 \h </w:instrText>
        </w:r>
        <w:r w:rsidR="00A115BA">
          <w:rPr>
            <w:noProof/>
            <w:webHidden/>
          </w:rPr>
        </w:r>
        <w:r w:rsidR="00A115BA">
          <w:rPr>
            <w:noProof/>
            <w:webHidden/>
          </w:rPr>
          <w:fldChar w:fldCharType="separate"/>
        </w:r>
        <w:r w:rsidR="00A115BA">
          <w:rPr>
            <w:noProof/>
            <w:webHidden/>
          </w:rPr>
          <w:t>127</w:t>
        </w:r>
        <w:r w:rsidR="00A115BA">
          <w:rPr>
            <w:noProof/>
            <w:webHidden/>
          </w:rPr>
          <w:fldChar w:fldCharType="end"/>
        </w:r>
      </w:hyperlink>
    </w:p>
    <w:p w14:paraId="07E848A6" w14:textId="5A74A888" w:rsidR="00A115BA" w:rsidRDefault="00B913B6">
      <w:pPr>
        <w:pStyle w:val="TOC2"/>
        <w:tabs>
          <w:tab w:val="right" w:pos="9016"/>
        </w:tabs>
        <w:rPr>
          <w:rFonts w:asciiTheme="minorHAnsi" w:eastAsiaTheme="minorEastAsia" w:hAnsiTheme="minorHAnsi"/>
          <w:noProof/>
          <w:sz w:val="22"/>
          <w:szCs w:val="22"/>
          <w:lang w:eastAsia="en-GB"/>
        </w:rPr>
      </w:pPr>
      <w:hyperlink w:anchor="_Toc52364929" w:history="1">
        <w:r w:rsidR="00A115BA" w:rsidRPr="00266F4A">
          <w:rPr>
            <w:rStyle w:val="Hyperlink"/>
            <w:noProof/>
          </w:rPr>
          <w:t>Special Condition 7.6 Close out of RIIO-1 Network Outputs (NOCO</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_Toc52364929 \h </w:instrText>
        </w:r>
        <w:r w:rsidR="00A115BA">
          <w:rPr>
            <w:noProof/>
            <w:webHidden/>
          </w:rPr>
        </w:r>
        <w:r w:rsidR="00A115BA">
          <w:rPr>
            <w:noProof/>
            <w:webHidden/>
          </w:rPr>
          <w:fldChar w:fldCharType="separate"/>
        </w:r>
        <w:r w:rsidR="00A115BA">
          <w:rPr>
            <w:noProof/>
            <w:webHidden/>
          </w:rPr>
          <w:t>128</w:t>
        </w:r>
        <w:r w:rsidR="00A115BA">
          <w:rPr>
            <w:noProof/>
            <w:webHidden/>
          </w:rPr>
          <w:fldChar w:fldCharType="end"/>
        </w:r>
      </w:hyperlink>
    </w:p>
    <w:p w14:paraId="7537CA63" w14:textId="249D10FE" w:rsidR="00A115BA" w:rsidRDefault="00B913B6">
      <w:pPr>
        <w:pStyle w:val="TOC2"/>
        <w:tabs>
          <w:tab w:val="right" w:pos="9016"/>
        </w:tabs>
        <w:rPr>
          <w:rFonts w:asciiTheme="minorHAnsi" w:eastAsiaTheme="minorEastAsia" w:hAnsiTheme="minorHAnsi"/>
          <w:noProof/>
          <w:sz w:val="22"/>
          <w:szCs w:val="22"/>
          <w:lang w:eastAsia="en-GB"/>
        </w:rPr>
      </w:pPr>
      <w:hyperlink w:anchor="_Toc52364930" w:history="1">
        <w:r w:rsidR="00A115BA" w:rsidRPr="00266F4A">
          <w:rPr>
            <w:rStyle w:val="Hyperlink"/>
            <w:noProof/>
          </w:rPr>
          <w:t>Special Condition 7.7 Close out of RIIO-ET1 Stakeholder Satisfaction Output (LSSOt)</w:t>
        </w:r>
        <w:r w:rsidR="00A115BA">
          <w:rPr>
            <w:noProof/>
            <w:webHidden/>
          </w:rPr>
          <w:tab/>
        </w:r>
        <w:r w:rsidR="00A115BA">
          <w:rPr>
            <w:noProof/>
            <w:webHidden/>
          </w:rPr>
          <w:fldChar w:fldCharType="begin"/>
        </w:r>
        <w:r w:rsidR="00A115BA">
          <w:rPr>
            <w:noProof/>
            <w:webHidden/>
          </w:rPr>
          <w:instrText xml:space="preserve"> PAGEREF _Toc52364930 \h </w:instrText>
        </w:r>
        <w:r w:rsidR="00A115BA">
          <w:rPr>
            <w:noProof/>
            <w:webHidden/>
          </w:rPr>
        </w:r>
        <w:r w:rsidR="00A115BA">
          <w:rPr>
            <w:noProof/>
            <w:webHidden/>
          </w:rPr>
          <w:fldChar w:fldCharType="separate"/>
        </w:r>
        <w:r w:rsidR="00A115BA">
          <w:rPr>
            <w:noProof/>
            <w:webHidden/>
          </w:rPr>
          <w:t>129</w:t>
        </w:r>
        <w:r w:rsidR="00A115BA">
          <w:rPr>
            <w:noProof/>
            <w:webHidden/>
          </w:rPr>
          <w:fldChar w:fldCharType="end"/>
        </w:r>
      </w:hyperlink>
    </w:p>
    <w:p w14:paraId="785C401B" w14:textId="4DF51AC0" w:rsidR="00A115BA" w:rsidRDefault="00B913B6">
      <w:pPr>
        <w:pStyle w:val="TOC2"/>
        <w:tabs>
          <w:tab w:val="right" w:pos="9016"/>
        </w:tabs>
        <w:rPr>
          <w:rFonts w:asciiTheme="minorHAnsi" w:eastAsiaTheme="minorEastAsia" w:hAnsiTheme="minorHAnsi"/>
          <w:noProof/>
          <w:sz w:val="22"/>
          <w:szCs w:val="22"/>
          <w:lang w:eastAsia="en-GB"/>
        </w:rPr>
      </w:pPr>
      <w:hyperlink w:anchor="_Toc52364931" w:history="1">
        <w:r w:rsidR="00A115BA" w:rsidRPr="00266F4A">
          <w:rPr>
            <w:rStyle w:val="Hyperlink"/>
            <w:noProof/>
          </w:rPr>
          <w:t>Special Condition 7.8 Close out of the RIIO-1 adjustment in respect of the Environmental Discretionary Reward Scheme (LEDR</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_Toc52364931 \h </w:instrText>
        </w:r>
        <w:r w:rsidR="00A115BA">
          <w:rPr>
            <w:noProof/>
            <w:webHidden/>
          </w:rPr>
        </w:r>
        <w:r w:rsidR="00A115BA">
          <w:rPr>
            <w:noProof/>
            <w:webHidden/>
          </w:rPr>
          <w:fldChar w:fldCharType="separate"/>
        </w:r>
        <w:r w:rsidR="00A115BA">
          <w:rPr>
            <w:noProof/>
            <w:webHidden/>
          </w:rPr>
          <w:t>137</w:t>
        </w:r>
        <w:r w:rsidR="00A115BA">
          <w:rPr>
            <w:noProof/>
            <w:webHidden/>
          </w:rPr>
          <w:fldChar w:fldCharType="end"/>
        </w:r>
      </w:hyperlink>
    </w:p>
    <w:p w14:paraId="06144DAA" w14:textId="564683E9" w:rsidR="00A115BA" w:rsidRDefault="00B913B6">
      <w:pPr>
        <w:pStyle w:val="TOC2"/>
        <w:tabs>
          <w:tab w:val="right" w:pos="9016"/>
        </w:tabs>
        <w:rPr>
          <w:rFonts w:asciiTheme="minorHAnsi" w:eastAsiaTheme="minorEastAsia" w:hAnsiTheme="minorHAnsi"/>
          <w:noProof/>
          <w:sz w:val="22"/>
          <w:szCs w:val="22"/>
          <w:lang w:eastAsia="en-GB"/>
        </w:rPr>
      </w:pPr>
      <w:hyperlink w:anchor="_Toc52364932" w:history="1">
        <w:r w:rsidR="00A115BA" w:rsidRPr="00266F4A">
          <w:rPr>
            <w:rStyle w:val="Hyperlink"/>
            <w:noProof/>
          </w:rPr>
          <w:t>Special Condition 7.9 Close out of RIIO-ET1 Incentive in Respect of Sulphur Hexafluoride Gas Emissions incentive (LSFI</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_Toc52364932 \h </w:instrText>
        </w:r>
        <w:r w:rsidR="00A115BA">
          <w:rPr>
            <w:noProof/>
            <w:webHidden/>
          </w:rPr>
        </w:r>
        <w:r w:rsidR="00A115BA">
          <w:rPr>
            <w:noProof/>
            <w:webHidden/>
          </w:rPr>
          <w:fldChar w:fldCharType="separate"/>
        </w:r>
        <w:r w:rsidR="00A115BA">
          <w:rPr>
            <w:noProof/>
            <w:webHidden/>
          </w:rPr>
          <w:t>138</w:t>
        </w:r>
        <w:r w:rsidR="00A115BA">
          <w:rPr>
            <w:noProof/>
            <w:webHidden/>
          </w:rPr>
          <w:fldChar w:fldCharType="end"/>
        </w:r>
      </w:hyperlink>
    </w:p>
    <w:p w14:paraId="53F41DFE" w14:textId="6D448535" w:rsidR="00A115BA" w:rsidRDefault="00B913B6">
      <w:pPr>
        <w:pStyle w:val="TOC2"/>
        <w:tabs>
          <w:tab w:val="right" w:pos="9016"/>
        </w:tabs>
        <w:rPr>
          <w:rFonts w:asciiTheme="minorHAnsi" w:eastAsiaTheme="minorEastAsia" w:hAnsiTheme="minorHAnsi"/>
          <w:noProof/>
          <w:sz w:val="22"/>
          <w:szCs w:val="22"/>
          <w:lang w:eastAsia="en-GB"/>
        </w:rPr>
      </w:pPr>
      <w:hyperlink w:anchor="_Toc52364933" w:history="1">
        <w:r w:rsidR="00A115BA" w:rsidRPr="00266F4A">
          <w:rPr>
            <w:rStyle w:val="Hyperlink"/>
            <w:noProof/>
          </w:rPr>
          <w:t>Special Condition 7.10 Close out of RIIO-ET1 Reliability incentive in respect of Energy not Supplied (LRI</w:t>
        </w:r>
        <w:r w:rsidR="00A115BA" w:rsidRPr="00266F4A">
          <w:rPr>
            <w:rStyle w:val="Hyperlink"/>
            <w:noProof/>
            <w:vertAlign w:val="subscript"/>
          </w:rPr>
          <w:t>t</w:t>
        </w:r>
        <w:r w:rsidR="00A115BA" w:rsidRPr="00266F4A">
          <w:rPr>
            <w:rStyle w:val="Hyperlink"/>
            <w:noProof/>
          </w:rPr>
          <w:t>)</w:t>
        </w:r>
        <w:r w:rsidR="00A115BA">
          <w:rPr>
            <w:noProof/>
            <w:webHidden/>
          </w:rPr>
          <w:tab/>
        </w:r>
        <w:r w:rsidR="00A115BA">
          <w:rPr>
            <w:noProof/>
            <w:webHidden/>
          </w:rPr>
          <w:fldChar w:fldCharType="begin"/>
        </w:r>
        <w:r w:rsidR="00A115BA">
          <w:rPr>
            <w:noProof/>
            <w:webHidden/>
          </w:rPr>
          <w:instrText xml:space="preserve"> PAGEREF _Toc52364933 \h </w:instrText>
        </w:r>
        <w:r w:rsidR="00A115BA">
          <w:rPr>
            <w:noProof/>
            <w:webHidden/>
          </w:rPr>
        </w:r>
        <w:r w:rsidR="00A115BA">
          <w:rPr>
            <w:noProof/>
            <w:webHidden/>
          </w:rPr>
          <w:fldChar w:fldCharType="separate"/>
        </w:r>
        <w:r w:rsidR="00A115BA">
          <w:rPr>
            <w:noProof/>
            <w:webHidden/>
          </w:rPr>
          <w:t>138</w:t>
        </w:r>
        <w:r w:rsidR="00A115BA">
          <w:rPr>
            <w:noProof/>
            <w:webHidden/>
          </w:rPr>
          <w:fldChar w:fldCharType="end"/>
        </w:r>
      </w:hyperlink>
    </w:p>
    <w:p w14:paraId="572F6BB2" w14:textId="63BFD676" w:rsidR="00A115BA" w:rsidRDefault="00B913B6">
      <w:pPr>
        <w:pStyle w:val="TOC2"/>
        <w:tabs>
          <w:tab w:val="right" w:pos="9016"/>
        </w:tabs>
        <w:rPr>
          <w:rFonts w:asciiTheme="minorHAnsi" w:eastAsiaTheme="minorEastAsia" w:hAnsiTheme="minorHAnsi"/>
          <w:noProof/>
          <w:sz w:val="22"/>
          <w:szCs w:val="22"/>
          <w:lang w:eastAsia="en-GB"/>
        </w:rPr>
      </w:pPr>
      <w:hyperlink w:anchor="_Toc52364934" w:history="1">
        <w:r w:rsidR="00A115BA" w:rsidRPr="00266F4A">
          <w:rPr>
            <w:rStyle w:val="Hyperlink"/>
            <w:noProof/>
          </w:rPr>
          <w:t>Special Condition 7.11 Close out of RIIO-1 Network Innovation Competition</w:t>
        </w:r>
        <w:r w:rsidR="00A115BA">
          <w:rPr>
            <w:noProof/>
            <w:webHidden/>
          </w:rPr>
          <w:tab/>
        </w:r>
        <w:r w:rsidR="00A115BA">
          <w:rPr>
            <w:noProof/>
            <w:webHidden/>
          </w:rPr>
          <w:fldChar w:fldCharType="begin"/>
        </w:r>
        <w:r w:rsidR="00A115BA">
          <w:rPr>
            <w:noProof/>
            <w:webHidden/>
          </w:rPr>
          <w:instrText xml:space="preserve"> PAGEREF _Toc52364934 \h </w:instrText>
        </w:r>
        <w:r w:rsidR="00A115BA">
          <w:rPr>
            <w:noProof/>
            <w:webHidden/>
          </w:rPr>
        </w:r>
        <w:r w:rsidR="00A115BA">
          <w:rPr>
            <w:noProof/>
            <w:webHidden/>
          </w:rPr>
          <w:fldChar w:fldCharType="separate"/>
        </w:r>
        <w:r w:rsidR="00A115BA">
          <w:rPr>
            <w:noProof/>
            <w:webHidden/>
          </w:rPr>
          <w:t>139</w:t>
        </w:r>
        <w:r w:rsidR="00A115BA">
          <w:rPr>
            <w:noProof/>
            <w:webHidden/>
          </w:rPr>
          <w:fldChar w:fldCharType="end"/>
        </w:r>
      </w:hyperlink>
    </w:p>
    <w:p w14:paraId="51435E02" w14:textId="2D697740" w:rsidR="00A115BA" w:rsidRDefault="00B913B6">
      <w:pPr>
        <w:pStyle w:val="TOC1"/>
        <w:rPr>
          <w:rFonts w:asciiTheme="minorHAnsi" w:eastAsiaTheme="minorEastAsia" w:hAnsiTheme="minorHAnsi"/>
          <w:b w:val="0"/>
          <w:sz w:val="22"/>
          <w:szCs w:val="22"/>
          <w:lang w:eastAsia="en-GB"/>
        </w:rPr>
      </w:pPr>
      <w:hyperlink w:anchor="_Toc52364935" w:history="1">
        <w:r w:rsidR="00A115BA" w:rsidRPr="00266F4A">
          <w:rPr>
            <w:rStyle w:val="Hyperlink"/>
          </w:rPr>
          <w:t>Chapter 8: Governance</w:t>
        </w:r>
        <w:r w:rsidR="00A115BA">
          <w:rPr>
            <w:webHidden/>
          </w:rPr>
          <w:tab/>
        </w:r>
        <w:r w:rsidR="00A115BA">
          <w:rPr>
            <w:webHidden/>
          </w:rPr>
          <w:fldChar w:fldCharType="begin"/>
        </w:r>
        <w:r w:rsidR="00A115BA">
          <w:rPr>
            <w:webHidden/>
          </w:rPr>
          <w:instrText xml:space="preserve"> PAGEREF _Toc52364935 \h </w:instrText>
        </w:r>
        <w:r w:rsidR="00A115BA">
          <w:rPr>
            <w:webHidden/>
          </w:rPr>
        </w:r>
        <w:r w:rsidR="00A115BA">
          <w:rPr>
            <w:webHidden/>
          </w:rPr>
          <w:fldChar w:fldCharType="separate"/>
        </w:r>
        <w:r w:rsidR="00A115BA">
          <w:rPr>
            <w:webHidden/>
          </w:rPr>
          <w:t>141</w:t>
        </w:r>
        <w:r w:rsidR="00A115BA">
          <w:rPr>
            <w:webHidden/>
          </w:rPr>
          <w:fldChar w:fldCharType="end"/>
        </w:r>
      </w:hyperlink>
    </w:p>
    <w:p w14:paraId="207A6478" w14:textId="363014F9" w:rsidR="00A115BA" w:rsidRDefault="00B913B6">
      <w:pPr>
        <w:pStyle w:val="TOC2"/>
        <w:tabs>
          <w:tab w:val="right" w:pos="9016"/>
        </w:tabs>
        <w:rPr>
          <w:rFonts w:asciiTheme="minorHAnsi" w:eastAsiaTheme="minorEastAsia" w:hAnsiTheme="minorHAnsi"/>
          <w:noProof/>
          <w:sz w:val="22"/>
          <w:szCs w:val="22"/>
          <w:lang w:eastAsia="en-GB"/>
        </w:rPr>
      </w:pPr>
      <w:hyperlink w:anchor="_Toc52364936" w:history="1">
        <w:r w:rsidR="00A115BA" w:rsidRPr="00266F4A">
          <w:rPr>
            <w:rStyle w:val="Hyperlink"/>
            <w:noProof/>
          </w:rPr>
          <w:t>Special Condition 8.1 Governance of the ET2 Price Control Financial Instruments</w:t>
        </w:r>
        <w:r w:rsidR="00A115BA">
          <w:rPr>
            <w:noProof/>
            <w:webHidden/>
          </w:rPr>
          <w:tab/>
        </w:r>
        <w:r w:rsidR="00A115BA">
          <w:rPr>
            <w:noProof/>
            <w:webHidden/>
          </w:rPr>
          <w:fldChar w:fldCharType="begin"/>
        </w:r>
        <w:r w:rsidR="00A115BA">
          <w:rPr>
            <w:noProof/>
            <w:webHidden/>
          </w:rPr>
          <w:instrText xml:space="preserve"> PAGEREF _Toc52364936 \h </w:instrText>
        </w:r>
        <w:r w:rsidR="00A115BA">
          <w:rPr>
            <w:noProof/>
            <w:webHidden/>
          </w:rPr>
        </w:r>
        <w:r w:rsidR="00A115BA">
          <w:rPr>
            <w:noProof/>
            <w:webHidden/>
          </w:rPr>
          <w:fldChar w:fldCharType="separate"/>
        </w:r>
        <w:r w:rsidR="00A115BA">
          <w:rPr>
            <w:noProof/>
            <w:webHidden/>
          </w:rPr>
          <w:t>141</w:t>
        </w:r>
        <w:r w:rsidR="00A115BA">
          <w:rPr>
            <w:noProof/>
            <w:webHidden/>
          </w:rPr>
          <w:fldChar w:fldCharType="end"/>
        </w:r>
      </w:hyperlink>
    </w:p>
    <w:p w14:paraId="126D1F19" w14:textId="14C72807" w:rsidR="00A115BA" w:rsidRDefault="00B913B6">
      <w:pPr>
        <w:pStyle w:val="TOC2"/>
        <w:tabs>
          <w:tab w:val="right" w:pos="9016"/>
        </w:tabs>
        <w:rPr>
          <w:rFonts w:asciiTheme="minorHAnsi" w:eastAsiaTheme="minorEastAsia" w:hAnsiTheme="minorHAnsi"/>
          <w:noProof/>
          <w:sz w:val="22"/>
          <w:szCs w:val="22"/>
          <w:lang w:eastAsia="en-GB"/>
        </w:rPr>
      </w:pPr>
      <w:hyperlink w:anchor="_Toc52364937" w:history="1">
        <w:r w:rsidR="00A115BA" w:rsidRPr="00266F4A">
          <w:rPr>
            <w:rStyle w:val="Hyperlink"/>
            <w:noProof/>
          </w:rPr>
          <w:t>Special Condition 8.2 Annual Iteration Process for the ET2 Price Control Financial Model</w:t>
        </w:r>
        <w:r w:rsidR="00A115BA">
          <w:rPr>
            <w:noProof/>
            <w:webHidden/>
          </w:rPr>
          <w:tab/>
        </w:r>
        <w:r w:rsidR="00A115BA">
          <w:rPr>
            <w:noProof/>
            <w:webHidden/>
          </w:rPr>
          <w:fldChar w:fldCharType="begin"/>
        </w:r>
        <w:r w:rsidR="00A115BA">
          <w:rPr>
            <w:noProof/>
            <w:webHidden/>
          </w:rPr>
          <w:instrText xml:space="preserve"> PAGEREF _Toc52364937 \h </w:instrText>
        </w:r>
        <w:r w:rsidR="00A115BA">
          <w:rPr>
            <w:noProof/>
            <w:webHidden/>
          </w:rPr>
        </w:r>
        <w:r w:rsidR="00A115BA">
          <w:rPr>
            <w:noProof/>
            <w:webHidden/>
          </w:rPr>
          <w:fldChar w:fldCharType="separate"/>
        </w:r>
        <w:r w:rsidR="00A115BA">
          <w:rPr>
            <w:noProof/>
            <w:webHidden/>
          </w:rPr>
          <w:t>143</w:t>
        </w:r>
        <w:r w:rsidR="00A115BA">
          <w:rPr>
            <w:noProof/>
            <w:webHidden/>
          </w:rPr>
          <w:fldChar w:fldCharType="end"/>
        </w:r>
      </w:hyperlink>
    </w:p>
    <w:p w14:paraId="7F4EAAD7" w14:textId="333E2340" w:rsidR="00A115BA" w:rsidRDefault="00B913B6">
      <w:pPr>
        <w:pStyle w:val="TOC1"/>
        <w:rPr>
          <w:rFonts w:asciiTheme="minorHAnsi" w:eastAsiaTheme="minorEastAsia" w:hAnsiTheme="minorHAnsi"/>
          <w:b w:val="0"/>
          <w:sz w:val="22"/>
          <w:szCs w:val="22"/>
          <w:lang w:eastAsia="en-GB"/>
        </w:rPr>
      </w:pPr>
      <w:hyperlink w:anchor="_Toc52364938" w:history="1">
        <w:r w:rsidR="00A115BA" w:rsidRPr="00266F4A">
          <w:rPr>
            <w:rStyle w:val="Hyperlink"/>
          </w:rPr>
          <w:t>Chapter 9: General Obligations</w:t>
        </w:r>
        <w:r w:rsidR="00A115BA">
          <w:rPr>
            <w:webHidden/>
          </w:rPr>
          <w:tab/>
        </w:r>
        <w:r w:rsidR="00A115BA">
          <w:rPr>
            <w:webHidden/>
          </w:rPr>
          <w:fldChar w:fldCharType="begin"/>
        </w:r>
        <w:r w:rsidR="00A115BA">
          <w:rPr>
            <w:webHidden/>
          </w:rPr>
          <w:instrText xml:space="preserve"> PAGEREF _Toc52364938 \h </w:instrText>
        </w:r>
        <w:r w:rsidR="00A115BA">
          <w:rPr>
            <w:webHidden/>
          </w:rPr>
        </w:r>
        <w:r w:rsidR="00A115BA">
          <w:rPr>
            <w:webHidden/>
          </w:rPr>
          <w:fldChar w:fldCharType="separate"/>
        </w:r>
        <w:r w:rsidR="00A115BA">
          <w:rPr>
            <w:webHidden/>
          </w:rPr>
          <w:t>147</w:t>
        </w:r>
        <w:r w:rsidR="00A115BA">
          <w:rPr>
            <w:webHidden/>
          </w:rPr>
          <w:fldChar w:fldCharType="end"/>
        </w:r>
      </w:hyperlink>
    </w:p>
    <w:p w14:paraId="07FCF31E" w14:textId="08B515AA" w:rsidR="00A115BA" w:rsidRDefault="00B913B6">
      <w:pPr>
        <w:pStyle w:val="TOC2"/>
        <w:tabs>
          <w:tab w:val="right" w:pos="9016"/>
        </w:tabs>
        <w:rPr>
          <w:rFonts w:asciiTheme="minorHAnsi" w:eastAsiaTheme="minorEastAsia" w:hAnsiTheme="minorHAnsi"/>
          <w:noProof/>
          <w:sz w:val="22"/>
          <w:szCs w:val="22"/>
          <w:lang w:eastAsia="en-GB"/>
        </w:rPr>
      </w:pPr>
      <w:hyperlink w:anchor="_Toc52364939" w:history="1">
        <w:r w:rsidR="00A115BA" w:rsidRPr="00266F4A">
          <w:rPr>
            <w:rStyle w:val="Hyperlink"/>
            <w:noProof/>
          </w:rPr>
          <w:t>Special Condition 9.1 Annual Environmental Report</w:t>
        </w:r>
        <w:r w:rsidR="00A115BA">
          <w:rPr>
            <w:noProof/>
            <w:webHidden/>
          </w:rPr>
          <w:tab/>
        </w:r>
        <w:r w:rsidR="00A115BA">
          <w:rPr>
            <w:noProof/>
            <w:webHidden/>
          </w:rPr>
          <w:fldChar w:fldCharType="begin"/>
        </w:r>
        <w:r w:rsidR="00A115BA">
          <w:rPr>
            <w:noProof/>
            <w:webHidden/>
          </w:rPr>
          <w:instrText xml:space="preserve"> PAGEREF _Toc52364939 \h </w:instrText>
        </w:r>
        <w:r w:rsidR="00A115BA">
          <w:rPr>
            <w:noProof/>
            <w:webHidden/>
          </w:rPr>
        </w:r>
        <w:r w:rsidR="00A115BA">
          <w:rPr>
            <w:noProof/>
            <w:webHidden/>
          </w:rPr>
          <w:fldChar w:fldCharType="separate"/>
        </w:r>
        <w:r w:rsidR="00A115BA">
          <w:rPr>
            <w:noProof/>
            <w:webHidden/>
          </w:rPr>
          <w:t>147</w:t>
        </w:r>
        <w:r w:rsidR="00A115BA">
          <w:rPr>
            <w:noProof/>
            <w:webHidden/>
          </w:rPr>
          <w:fldChar w:fldCharType="end"/>
        </w:r>
      </w:hyperlink>
    </w:p>
    <w:p w14:paraId="0E0786DD" w14:textId="1F8B3B60" w:rsidR="00A115BA" w:rsidRDefault="00B913B6">
      <w:pPr>
        <w:pStyle w:val="TOC2"/>
        <w:tabs>
          <w:tab w:val="right" w:pos="9016"/>
        </w:tabs>
        <w:rPr>
          <w:rFonts w:asciiTheme="minorHAnsi" w:eastAsiaTheme="minorEastAsia" w:hAnsiTheme="minorHAnsi"/>
          <w:noProof/>
          <w:sz w:val="22"/>
          <w:szCs w:val="22"/>
          <w:lang w:eastAsia="en-GB"/>
        </w:rPr>
      </w:pPr>
      <w:hyperlink w:anchor="_Toc52364940" w:history="1">
        <w:r w:rsidR="00A115BA" w:rsidRPr="00266F4A">
          <w:rPr>
            <w:rStyle w:val="Hyperlink"/>
            <w:noProof/>
          </w:rPr>
          <w:t>Special Condition 9.2 Network Asset Risk Metric Methodology</w:t>
        </w:r>
        <w:r w:rsidR="00A115BA">
          <w:rPr>
            <w:noProof/>
            <w:webHidden/>
          </w:rPr>
          <w:tab/>
        </w:r>
        <w:r w:rsidR="00A115BA">
          <w:rPr>
            <w:noProof/>
            <w:webHidden/>
          </w:rPr>
          <w:fldChar w:fldCharType="begin"/>
        </w:r>
        <w:r w:rsidR="00A115BA">
          <w:rPr>
            <w:noProof/>
            <w:webHidden/>
          </w:rPr>
          <w:instrText xml:space="preserve"> PAGEREF _Toc52364940 \h </w:instrText>
        </w:r>
        <w:r w:rsidR="00A115BA">
          <w:rPr>
            <w:noProof/>
            <w:webHidden/>
          </w:rPr>
        </w:r>
        <w:r w:rsidR="00A115BA">
          <w:rPr>
            <w:noProof/>
            <w:webHidden/>
          </w:rPr>
          <w:fldChar w:fldCharType="separate"/>
        </w:r>
        <w:r w:rsidR="00A115BA">
          <w:rPr>
            <w:noProof/>
            <w:webHidden/>
          </w:rPr>
          <w:t>148</w:t>
        </w:r>
        <w:r w:rsidR="00A115BA">
          <w:rPr>
            <w:noProof/>
            <w:webHidden/>
          </w:rPr>
          <w:fldChar w:fldCharType="end"/>
        </w:r>
      </w:hyperlink>
    </w:p>
    <w:p w14:paraId="51CD9244" w14:textId="1D80D2FA" w:rsidR="00A115BA" w:rsidRDefault="00B913B6">
      <w:pPr>
        <w:pStyle w:val="TOC2"/>
        <w:tabs>
          <w:tab w:val="right" w:pos="9016"/>
        </w:tabs>
        <w:rPr>
          <w:rFonts w:asciiTheme="minorHAnsi" w:eastAsiaTheme="minorEastAsia" w:hAnsiTheme="minorHAnsi"/>
          <w:noProof/>
          <w:sz w:val="22"/>
          <w:szCs w:val="22"/>
          <w:lang w:eastAsia="en-GB"/>
        </w:rPr>
      </w:pPr>
      <w:hyperlink w:anchor="_Toc52364941" w:history="1">
        <w:r w:rsidR="00A115BA" w:rsidRPr="00266F4A">
          <w:rPr>
            <w:rStyle w:val="Hyperlink"/>
            <w:noProof/>
          </w:rPr>
          <w:t>Special Condition 9.3 Price Control Deliverable Reporting Requirements and Methodology Guidance</w:t>
        </w:r>
        <w:r w:rsidR="00A115BA">
          <w:rPr>
            <w:noProof/>
            <w:webHidden/>
          </w:rPr>
          <w:tab/>
        </w:r>
        <w:r w:rsidR="00A115BA">
          <w:rPr>
            <w:noProof/>
            <w:webHidden/>
          </w:rPr>
          <w:fldChar w:fldCharType="begin"/>
        </w:r>
        <w:r w:rsidR="00A115BA">
          <w:rPr>
            <w:noProof/>
            <w:webHidden/>
          </w:rPr>
          <w:instrText xml:space="preserve"> PAGEREF _Toc52364941 \h </w:instrText>
        </w:r>
        <w:r w:rsidR="00A115BA">
          <w:rPr>
            <w:noProof/>
            <w:webHidden/>
          </w:rPr>
        </w:r>
        <w:r w:rsidR="00A115BA">
          <w:rPr>
            <w:noProof/>
            <w:webHidden/>
          </w:rPr>
          <w:fldChar w:fldCharType="separate"/>
        </w:r>
        <w:r w:rsidR="00A115BA">
          <w:rPr>
            <w:noProof/>
            <w:webHidden/>
          </w:rPr>
          <w:t>151</w:t>
        </w:r>
        <w:r w:rsidR="00A115BA">
          <w:rPr>
            <w:noProof/>
            <w:webHidden/>
          </w:rPr>
          <w:fldChar w:fldCharType="end"/>
        </w:r>
      </w:hyperlink>
    </w:p>
    <w:p w14:paraId="56712D91" w14:textId="3A664C94" w:rsidR="00A115BA" w:rsidRDefault="00B913B6">
      <w:pPr>
        <w:pStyle w:val="TOC2"/>
        <w:tabs>
          <w:tab w:val="right" w:pos="9016"/>
        </w:tabs>
        <w:rPr>
          <w:rFonts w:asciiTheme="minorHAnsi" w:eastAsiaTheme="minorEastAsia" w:hAnsiTheme="minorHAnsi"/>
          <w:noProof/>
          <w:sz w:val="22"/>
          <w:szCs w:val="22"/>
          <w:lang w:eastAsia="en-GB"/>
        </w:rPr>
      </w:pPr>
      <w:hyperlink w:anchor="_Toc52364942" w:history="1">
        <w:r w:rsidR="00A115BA" w:rsidRPr="00266F4A">
          <w:rPr>
            <w:rStyle w:val="Hyperlink"/>
            <w:noProof/>
          </w:rPr>
          <w:t>Special Condition 9.4 Re-opener Guidance and Application Requirements Document</w:t>
        </w:r>
        <w:r w:rsidR="00A115BA">
          <w:rPr>
            <w:noProof/>
            <w:webHidden/>
          </w:rPr>
          <w:tab/>
        </w:r>
        <w:r w:rsidR="00A115BA">
          <w:rPr>
            <w:noProof/>
            <w:webHidden/>
          </w:rPr>
          <w:fldChar w:fldCharType="begin"/>
        </w:r>
        <w:r w:rsidR="00A115BA">
          <w:rPr>
            <w:noProof/>
            <w:webHidden/>
          </w:rPr>
          <w:instrText xml:space="preserve"> PAGEREF _Toc52364942 \h </w:instrText>
        </w:r>
        <w:r w:rsidR="00A115BA">
          <w:rPr>
            <w:noProof/>
            <w:webHidden/>
          </w:rPr>
        </w:r>
        <w:r w:rsidR="00A115BA">
          <w:rPr>
            <w:noProof/>
            <w:webHidden/>
          </w:rPr>
          <w:fldChar w:fldCharType="separate"/>
        </w:r>
        <w:r w:rsidR="00A115BA">
          <w:rPr>
            <w:noProof/>
            <w:webHidden/>
          </w:rPr>
          <w:t>152</w:t>
        </w:r>
        <w:r w:rsidR="00A115BA">
          <w:rPr>
            <w:noProof/>
            <w:webHidden/>
          </w:rPr>
          <w:fldChar w:fldCharType="end"/>
        </w:r>
      </w:hyperlink>
    </w:p>
    <w:p w14:paraId="4EEDFEF9" w14:textId="2FBBBF6E" w:rsidR="00A115BA" w:rsidRDefault="00B913B6">
      <w:pPr>
        <w:pStyle w:val="TOC2"/>
        <w:tabs>
          <w:tab w:val="right" w:pos="9016"/>
        </w:tabs>
        <w:rPr>
          <w:rFonts w:asciiTheme="minorHAnsi" w:eastAsiaTheme="minorEastAsia" w:hAnsiTheme="minorHAnsi"/>
          <w:noProof/>
          <w:sz w:val="22"/>
          <w:szCs w:val="22"/>
          <w:lang w:eastAsia="en-GB"/>
        </w:rPr>
      </w:pPr>
      <w:hyperlink w:anchor="_Toc52364943" w:history="1">
        <w:r w:rsidR="00A115BA" w:rsidRPr="00266F4A">
          <w:rPr>
            <w:rStyle w:val="Hyperlink"/>
            <w:noProof/>
          </w:rPr>
          <w:t>Special Condition 9.5 Digitalisation</w:t>
        </w:r>
        <w:r w:rsidR="00A115BA">
          <w:rPr>
            <w:noProof/>
            <w:webHidden/>
          </w:rPr>
          <w:tab/>
        </w:r>
        <w:r w:rsidR="00A115BA">
          <w:rPr>
            <w:noProof/>
            <w:webHidden/>
          </w:rPr>
          <w:fldChar w:fldCharType="begin"/>
        </w:r>
        <w:r w:rsidR="00A115BA">
          <w:rPr>
            <w:noProof/>
            <w:webHidden/>
          </w:rPr>
          <w:instrText xml:space="preserve"> PAGEREF _Toc52364943 \h </w:instrText>
        </w:r>
        <w:r w:rsidR="00A115BA">
          <w:rPr>
            <w:noProof/>
            <w:webHidden/>
          </w:rPr>
        </w:r>
        <w:r w:rsidR="00A115BA">
          <w:rPr>
            <w:noProof/>
            <w:webHidden/>
          </w:rPr>
          <w:fldChar w:fldCharType="separate"/>
        </w:r>
        <w:r w:rsidR="00A115BA">
          <w:rPr>
            <w:noProof/>
            <w:webHidden/>
          </w:rPr>
          <w:t>153</w:t>
        </w:r>
        <w:r w:rsidR="00A115BA">
          <w:rPr>
            <w:noProof/>
            <w:webHidden/>
          </w:rPr>
          <w:fldChar w:fldCharType="end"/>
        </w:r>
      </w:hyperlink>
    </w:p>
    <w:p w14:paraId="1B5B747F" w14:textId="7EF76018" w:rsidR="00A115BA" w:rsidRDefault="00B913B6">
      <w:pPr>
        <w:pStyle w:val="TOC2"/>
        <w:tabs>
          <w:tab w:val="right" w:pos="9016"/>
        </w:tabs>
        <w:rPr>
          <w:rFonts w:asciiTheme="minorHAnsi" w:eastAsiaTheme="minorEastAsia" w:hAnsiTheme="minorHAnsi"/>
          <w:noProof/>
          <w:sz w:val="22"/>
          <w:szCs w:val="22"/>
          <w:lang w:eastAsia="en-GB"/>
        </w:rPr>
      </w:pPr>
      <w:hyperlink w:anchor="_Toc52364944" w:history="1">
        <w:r w:rsidR="00A115BA" w:rsidRPr="00266F4A">
          <w:rPr>
            <w:rStyle w:val="Hyperlink"/>
            <w:noProof/>
          </w:rPr>
          <w:t>Special Condition 9.6 Disapplication of Relevant Special Conditions</w:t>
        </w:r>
        <w:r w:rsidR="00A115BA">
          <w:rPr>
            <w:noProof/>
            <w:webHidden/>
          </w:rPr>
          <w:tab/>
        </w:r>
        <w:r w:rsidR="00A115BA">
          <w:rPr>
            <w:noProof/>
            <w:webHidden/>
          </w:rPr>
          <w:fldChar w:fldCharType="begin"/>
        </w:r>
        <w:r w:rsidR="00A115BA">
          <w:rPr>
            <w:noProof/>
            <w:webHidden/>
          </w:rPr>
          <w:instrText xml:space="preserve"> PAGEREF _Toc52364944 \h </w:instrText>
        </w:r>
        <w:r w:rsidR="00A115BA">
          <w:rPr>
            <w:noProof/>
            <w:webHidden/>
          </w:rPr>
        </w:r>
        <w:r w:rsidR="00A115BA">
          <w:rPr>
            <w:noProof/>
            <w:webHidden/>
          </w:rPr>
          <w:fldChar w:fldCharType="separate"/>
        </w:r>
        <w:r w:rsidR="00A115BA">
          <w:rPr>
            <w:noProof/>
            <w:webHidden/>
          </w:rPr>
          <w:t>156</w:t>
        </w:r>
        <w:r w:rsidR="00A115BA">
          <w:rPr>
            <w:noProof/>
            <w:webHidden/>
          </w:rPr>
          <w:fldChar w:fldCharType="end"/>
        </w:r>
      </w:hyperlink>
    </w:p>
    <w:p w14:paraId="1E90DE0B" w14:textId="3CB426D0" w:rsidR="00A115BA" w:rsidRDefault="00B913B6">
      <w:pPr>
        <w:pStyle w:val="TOC2"/>
        <w:tabs>
          <w:tab w:val="right" w:pos="9016"/>
        </w:tabs>
        <w:rPr>
          <w:rFonts w:asciiTheme="minorHAnsi" w:eastAsiaTheme="minorEastAsia" w:hAnsiTheme="minorHAnsi"/>
          <w:noProof/>
          <w:sz w:val="22"/>
          <w:szCs w:val="22"/>
          <w:lang w:eastAsia="en-GB"/>
        </w:rPr>
      </w:pPr>
      <w:hyperlink w:anchor="_Toc52364945" w:history="1">
        <w:r w:rsidR="00A115BA" w:rsidRPr="00266F4A">
          <w:rPr>
            <w:rStyle w:val="Hyperlink"/>
            <w:noProof/>
          </w:rPr>
          <w:t>Special Condition 9.7 Directly Remunerated Services</w:t>
        </w:r>
        <w:r w:rsidR="00A115BA">
          <w:rPr>
            <w:noProof/>
            <w:webHidden/>
          </w:rPr>
          <w:tab/>
        </w:r>
        <w:r w:rsidR="00A115BA">
          <w:rPr>
            <w:noProof/>
            <w:webHidden/>
          </w:rPr>
          <w:fldChar w:fldCharType="begin"/>
        </w:r>
        <w:r w:rsidR="00A115BA">
          <w:rPr>
            <w:noProof/>
            <w:webHidden/>
          </w:rPr>
          <w:instrText xml:space="preserve"> PAGEREF _Toc52364945 \h </w:instrText>
        </w:r>
        <w:r w:rsidR="00A115BA">
          <w:rPr>
            <w:noProof/>
            <w:webHidden/>
          </w:rPr>
        </w:r>
        <w:r w:rsidR="00A115BA">
          <w:rPr>
            <w:noProof/>
            <w:webHidden/>
          </w:rPr>
          <w:fldChar w:fldCharType="separate"/>
        </w:r>
        <w:r w:rsidR="00A115BA">
          <w:rPr>
            <w:noProof/>
            <w:webHidden/>
          </w:rPr>
          <w:t>156</w:t>
        </w:r>
        <w:r w:rsidR="00A115BA">
          <w:rPr>
            <w:noProof/>
            <w:webHidden/>
          </w:rPr>
          <w:fldChar w:fldCharType="end"/>
        </w:r>
      </w:hyperlink>
    </w:p>
    <w:p w14:paraId="36A2FE6C" w14:textId="437C29FF" w:rsidR="00A115BA" w:rsidRDefault="00B913B6">
      <w:pPr>
        <w:pStyle w:val="TOC2"/>
        <w:tabs>
          <w:tab w:val="right" w:pos="9016"/>
        </w:tabs>
        <w:rPr>
          <w:rFonts w:asciiTheme="minorHAnsi" w:eastAsiaTheme="minorEastAsia" w:hAnsiTheme="minorHAnsi"/>
          <w:noProof/>
          <w:sz w:val="22"/>
          <w:szCs w:val="22"/>
          <w:lang w:eastAsia="en-GB"/>
        </w:rPr>
      </w:pPr>
      <w:hyperlink w:anchor="_Toc52364946" w:history="1">
        <w:r w:rsidR="00A115BA" w:rsidRPr="00266F4A">
          <w:rPr>
            <w:rStyle w:val="Hyperlink"/>
            <w:noProof/>
          </w:rPr>
          <w:t>Special Condition 9.8 Activities Restrictions</w:t>
        </w:r>
        <w:r w:rsidR="00A115BA">
          <w:rPr>
            <w:noProof/>
            <w:webHidden/>
          </w:rPr>
          <w:tab/>
        </w:r>
        <w:r w:rsidR="00A115BA">
          <w:rPr>
            <w:noProof/>
            <w:webHidden/>
          </w:rPr>
          <w:fldChar w:fldCharType="begin"/>
        </w:r>
        <w:r w:rsidR="00A115BA">
          <w:rPr>
            <w:noProof/>
            <w:webHidden/>
          </w:rPr>
          <w:instrText xml:space="preserve"> PAGEREF _Toc52364946 \h </w:instrText>
        </w:r>
        <w:r w:rsidR="00A115BA">
          <w:rPr>
            <w:noProof/>
            <w:webHidden/>
          </w:rPr>
        </w:r>
        <w:r w:rsidR="00A115BA">
          <w:rPr>
            <w:noProof/>
            <w:webHidden/>
          </w:rPr>
          <w:fldChar w:fldCharType="separate"/>
        </w:r>
        <w:r w:rsidR="00A115BA">
          <w:rPr>
            <w:noProof/>
            <w:webHidden/>
          </w:rPr>
          <w:t>158</w:t>
        </w:r>
        <w:r w:rsidR="00A115BA">
          <w:rPr>
            <w:noProof/>
            <w:webHidden/>
          </w:rPr>
          <w:fldChar w:fldCharType="end"/>
        </w:r>
      </w:hyperlink>
    </w:p>
    <w:p w14:paraId="26075871" w14:textId="05EFA070" w:rsidR="00A115BA" w:rsidRDefault="00B913B6">
      <w:pPr>
        <w:pStyle w:val="TOC2"/>
        <w:tabs>
          <w:tab w:val="right" w:pos="9016"/>
        </w:tabs>
        <w:rPr>
          <w:rFonts w:asciiTheme="minorHAnsi" w:eastAsiaTheme="minorEastAsia" w:hAnsiTheme="minorHAnsi"/>
          <w:noProof/>
          <w:sz w:val="22"/>
          <w:szCs w:val="22"/>
          <w:lang w:eastAsia="en-GB"/>
        </w:rPr>
      </w:pPr>
      <w:hyperlink w:anchor="_Toc52364947" w:history="1">
        <w:r w:rsidR="00A115BA" w:rsidRPr="00266F4A">
          <w:rPr>
            <w:rStyle w:val="Hyperlink"/>
            <w:noProof/>
          </w:rPr>
          <w:t>Special Condition 9.9 Network Access Policy</w:t>
        </w:r>
        <w:r w:rsidR="00A115BA">
          <w:rPr>
            <w:noProof/>
            <w:webHidden/>
          </w:rPr>
          <w:tab/>
        </w:r>
        <w:r w:rsidR="00A115BA">
          <w:rPr>
            <w:noProof/>
            <w:webHidden/>
          </w:rPr>
          <w:fldChar w:fldCharType="begin"/>
        </w:r>
        <w:r w:rsidR="00A115BA">
          <w:rPr>
            <w:noProof/>
            <w:webHidden/>
          </w:rPr>
          <w:instrText xml:space="preserve"> PAGEREF _Toc52364947 \h </w:instrText>
        </w:r>
        <w:r w:rsidR="00A115BA">
          <w:rPr>
            <w:noProof/>
            <w:webHidden/>
          </w:rPr>
        </w:r>
        <w:r w:rsidR="00A115BA">
          <w:rPr>
            <w:noProof/>
            <w:webHidden/>
          </w:rPr>
          <w:fldChar w:fldCharType="separate"/>
        </w:r>
        <w:r w:rsidR="00A115BA">
          <w:rPr>
            <w:noProof/>
            <w:webHidden/>
          </w:rPr>
          <w:t>158</w:t>
        </w:r>
        <w:r w:rsidR="00A115BA">
          <w:rPr>
            <w:noProof/>
            <w:webHidden/>
          </w:rPr>
          <w:fldChar w:fldCharType="end"/>
        </w:r>
      </w:hyperlink>
    </w:p>
    <w:p w14:paraId="02D8AD6A" w14:textId="5D8048CD" w:rsidR="00A115BA" w:rsidRDefault="00B913B6">
      <w:pPr>
        <w:pStyle w:val="TOC2"/>
        <w:tabs>
          <w:tab w:val="right" w:pos="9016"/>
        </w:tabs>
        <w:rPr>
          <w:rFonts w:asciiTheme="minorHAnsi" w:eastAsiaTheme="minorEastAsia" w:hAnsiTheme="minorHAnsi"/>
          <w:noProof/>
          <w:sz w:val="22"/>
          <w:szCs w:val="22"/>
          <w:lang w:eastAsia="en-GB"/>
        </w:rPr>
      </w:pPr>
      <w:hyperlink w:anchor="_Toc52364948" w:history="1">
        <w:r w:rsidR="00A115BA" w:rsidRPr="00266F4A">
          <w:rPr>
            <w:rStyle w:val="Hyperlink"/>
            <w:noProof/>
          </w:rPr>
          <w:t>Special Condition 9.10 Provision of Information to the System Operator</w:t>
        </w:r>
        <w:r w:rsidR="00A115BA">
          <w:rPr>
            <w:noProof/>
            <w:webHidden/>
          </w:rPr>
          <w:tab/>
        </w:r>
        <w:r w:rsidR="00A115BA">
          <w:rPr>
            <w:noProof/>
            <w:webHidden/>
          </w:rPr>
          <w:fldChar w:fldCharType="begin"/>
        </w:r>
        <w:r w:rsidR="00A115BA">
          <w:rPr>
            <w:noProof/>
            <w:webHidden/>
          </w:rPr>
          <w:instrText xml:space="preserve"> PAGEREF _Toc52364948 \h </w:instrText>
        </w:r>
        <w:r w:rsidR="00A115BA">
          <w:rPr>
            <w:noProof/>
            <w:webHidden/>
          </w:rPr>
        </w:r>
        <w:r w:rsidR="00A115BA">
          <w:rPr>
            <w:noProof/>
            <w:webHidden/>
          </w:rPr>
          <w:fldChar w:fldCharType="separate"/>
        </w:r>
        <w:r w:rsidR="00A115BA">
          <w:rPr>
            <w:noProof/>
            <w:webHidden/>
          </w:rPr>
          <w:t>160</w:t>
        </w:r>
        <w:r w:rsidR="00A115BA">
          <w:rPr>
            <w:noProof/>
            <w:webHidden/>
          </w:rPr>
          <w:fldChar w:fldCharType="end"/>
        </w:r>
      </w:hyperlink>
    </w:p>
    <w:p w14:paraId="4D815E20" w14:textId="13EEE488" w:rsidR="00A115BA" w:rsidRDefault="00B913B6">
      <w:pPr>
        <w:pStyle w:val="TOC2"/>
        <w:tabs>
          <w:tab w:val="right" w:pos="9016"/>
        </w:tabs>
        <w:rPr>
          <w:rFonts w:asciiTheme="minorHAnsi" w:eastAsiaTheme="minorEastAsia" w:hAnsiTheme="minorHAnsi"/>
          <w:noProof/>
          <w:sz w:val="22"/>
          <w:szCs w:val="22"/>
          <w:lang w:eastAsia="en-GB"/>
        </w:rPr>
      </w:pPr>
      <w:hyperlink w:anchor="_Toc52364949" w:history="1">
        <w:r w:rsidR="00A115BA" w:rsidRPr="00266F4A">
          <w:rPr>
            <w:rStyle w:val="Hyperlink"/>
            <w:noProof/>
          </w:rPr>
          <w:t>Special Condition 9.11 Basis of Transmission Owner Charges</w:t>
        </w:r>
        <w:r w:rsidR="00A115BA">
          <w:rPr>
            <w:noProof/>
            <w:webHidden/>
          </w:rPr>
          <w:tab/>
        </w:r>
        <w:r w:rsidR="00A115BA">
          <w:rPr>
            <w:noProof/>
            <w:webHidden/>
          </w:rPr>
          <w:fldChar w:fldCharType="begin"/>
        </w:r>
        <w:r w:rsidR="00A115BA">
          <w:rPr>
            <w:noProof/>
            <w:webHidden/>
          </w:rPr>
          <w:instrText xml:space="preserve"> PAGEREF _Toc52364949 \h </w:instrText>
        </w:r>
        <w:r w:rsidR="00A115BA">
          <w:rPr>
            <w:noProof/>
            <w:webHidden/>
          </w:rPr>
        </w:r>
        <w:r w:rsidR="00A115BA">
          <w:rPr>
            <w:noProof/>
            <w:webHidden/>
          </w:rPr>
          <w:fldChar w:fldCharType="separate"/>
        </w:r>
        <w:r w:rsidR="00A115BA">
          <w:rPr>
            <w:noProof/>
            <w:webHidden/>
          </w:rPr>
          <w:t>160</w:t>
        </w:r>
        <w:r w:rsidR="00A115BA">
          <w:rPr>
            <w:noProof/>
            <w:webHidden/>
          </w:rPr>
          <w:fldChar w:fldCharType="end"/>
        </w:r>
      </w:hyperlink>
    </w:p>
    <w:p w14:paraId="7704C851" w14:textId="2F073426" w:rsidR="00A115BA" w:rsidRDefault="00B913B6">
      <w:pPr>
        <w:pStyle w:val="TOC2"/>
        <w:tabs>
          <w:tab w:val="right" w:pos="9016"/>
        </w:tabs>
        <w:rPr>
          <w:rFonts w:asciiTheme="minorHAnsi" w:eastAsiaTheme="minorEastAsia" w:hAnsiTheme="minorHAnsi"/>
          <w:noProof/>
          <w:sz w:val="22"/>
          <w:szCs w:val="22"/>
          <w:lang w:eastAsia="en-GB"/>
        </w:rPr>
      </w:pPr>
      <w:hyperlink w:anchor="_Toc52364950" w:history="1">
        <w:r w:rsidR="00A115BA" w:rsidRPr="00266F4A">
          <w:rPr>
            <w:rStyle w:val="Hyperlink"/>
            <w:noProof/>
          </w:rPr>
          <w:t>Special Condition 9.12 Allowances in respect of a Security period</w:t>
        </w:r>
        <w:r w:rsidR="00A115BA">
          <w:rPr>
            <w:noProof/>
            <w:webHidden/>
          </w:rPr>
          <w:tab/>
        </w:r>
        <w:r w:rsidR="00A115BA">
          <w:rPr>
            <w:noProof/>
            <w:webHidden/>
          </w:rPr>
          <w:fldChar w:fldCharType="begin"/>
        </w:r>
        <w:r w:rsidR="00A115BA">
          <w:rPr>
            <w:noProof/>
            <w:webHidden/>
          </w:rPr>
          <w:instrText xml:space="preserve"> PAGEREF _Toc52364950 \h </w:instrText>
        </w:r>
        <w:r w:rsidR="00A115BA">
          <w:rPr>
            <w:noProof/>
            <w:webHidden/>
          </w:rPr>
        </w:r>
        <w:r w:rsidR="00A115BA">
          <w:rPr>
            <w:noProof/>
            <w:webHidden/>
          </w:rPr>
          <w:fldChar w:fldCharType="separate"/>
        </w:r>
        <w:r w:rsidR="00A115BA">
          <w:rPr>
            <w:noProof/>
            <w:webHidden/>
          </w:rPr>
          <w:t>162</w:t>
        </w:r>
        <w:r w:rsidR="00A115BA">
          <w:rPr>
            <w:noProof/>
            <w:webHidden/>
          </w:rPr>
          <w:fldChar w:fldCharType="end"/>
        </w:r>
      </w:hyperlink>
    </w:p>
    <w:p w14:paraId="0D85C257" w14:textId="6F99CE31" w:rsidR="00A115BA" w:rsidRDefault="00B913B6">
      <w:pPr>
        <w:pStyle w:val="TOC2"/>
        <w:tabs>
          <w:tab w:val="right" w:pos="9016"/>
        </w:tabs>
        <w:rPr>
          <w:rFonts w:asciiTheme="minorHAnsi" w:eastAsiaTheme="minorEastAsia" w:hAnsiTheme="minorHAnsi"/>
          <w:noProof/>
          <w:sz w:val="22"/>
          <w:szCs w:val="22"/>
          <w:lang w:eastAsia="en-GB"/>
        </w:rPr>
      </w:pPr>
      <w:hyperlink w:anchor="_Toc52364951" w:history="1">
        <w:r w:rsidR="00A115BA" w:rsidRPr="00266F4A">
          <w:rPr>
            <w:rStyle w:val="Hyperlink"/>
            <w:noProof/>
          </w:rPr>
          <w:t>Special Condition 9.13 Restriction on the use of certain information</w:t>
        </w:r>
        <w:r w:rsidR="00A115BA">
          <w:rPr>
            <w:noProof/>
            <w:webHidden/>
          </w:rPr>
          <w:tab/>
        </w:r>
        <w:r w:rsidR="00A115BA">
          <w:rPr>
            <w:noProof/>
            <w:webHidden/>
          </w:rPr>
          <w:fldChar w:fldCharType="begin"/>
        </w:r>
        <w:r w:rsidR="00A115BA">
          <w:rPr>
            <w:noProof/>
            <w:webHidden/>
          </w:rPr>
          <w:instrText xml:space="preserve"> PAGEREF _Toc52364951 \h </w:instrText>
        </w:r>
        <w:r w:rsidR="00A115BA">
          <w:rPr>
            <w:noProof/>
            <w:webHidden/>
          </w:rPr>
        </w:r>
        <w:r w:rsidR="00A115BA">
          <w:rPr>
            <w:noProof/>
            <w:webHidden/>
          </w:rPr>
          <w:fldChar w:fldCharType="separate"/>
        </w:r>
        <w:r w:rsidR="00A115BA">
          <w:rPr>
            <w:noProof/>
            <w:webHidden/>
          </w:rPr>
          <w:t>162</w:t>
        </w:r>
        <w:r w:rsidR="00A115BA">
          <w:rPr>
            <w:noProof/>
            <w:webHidden/>
          </w:rPr>
          <w:fldChar w:fldCharType="end"/>
        </w:r>
      </w:hyperlink>
    </w:p>
    <w:p w14:paraId="5F7D4145" w14:textId="06FC4AA7" w:rsidR="00A115BA" w:rsidRDefault="00B913B6">
      <w:pPr>
        <w:pStyle w:val="TOC2"/>
        <w:tabs>
          <w:tab w:val="right" w:pos="9016"/>
        </w:tabs>
        <w:rPr>
          <w:rFonts w:asciiTheme="minorHAnsi" w:eastAsiaTheme="minorEastAsia" w:hAnsiTheme="minorHAnsi"/>
          <w:noProof/>
          <w:sz w:val="22"/>
          <w:szCs w:val="22"/>
          <w:lang w:eastAsia="en-GB"/>
        </w:rPr>
      </w:pPr>
      <w:hyperlink w:anchor="_Toc52364952" w:history="1">
        <w:r w:rsidR="00A115BA" w:rsidRPr="00266F4A">
          <w:rPr>
            <w:rStyle w:val="Hyperlink"/>
            <w:noProof/>
          </w:rPr>
          <w:t>Special Condition 9.14 Appointment of a Compliance Officer</w:t>
        </w:r>
        <w:r w:rsidR="00A115BA">
          <w:rPr>
            <w:noProof/>
            <w:webHidden/>
          </w:rPr>
          <w:tab/>
        </w:r>
        <w:r w:rsidR="00A115BA">
          <w:rPr>
            <w:noProof/>
            <w:webHidden/>
          </w:rPr>
          <w:fldChar w:fldCharType="begin"/>
        </w:r>
        <w:r w:rsidR="00A115BA">
          <w:rPr>
            <w:noProof/>
            <w:webHidden/>
          </w:rPr>
          <w:instrText xml:space="preserve"> PAGEREF _Toc52364952 \h </w:instrText>
        </w:r>
        <w:r w:rsidR="00A115BA">
          <w:rPr>
            <w:noProof/>
            <w:webHidden/>
          </w:rPr>
        </w:r>
        <w:r w:rsidR="00A115BA">
          <w:rPr>
            <w:noProof/>
            <w:webHidden/>
          </w:rPr>
          <w:fldChar w:fldCharType="separate"/>
        </w:r>
        <w:r w:rsidR="00A115BA">
          <w:rPr>
            <w:noProof/>
            <w:webHidden/>
          </w:rPr>
          <w:t>163</w:t>
        </w:r>
        <w:r w:rsidR="00A115BA">
          <w:rPr>
            <w:noProof/>
            <w:webHidden/>
          </w:rPr>
          <w:fldChar w:fldCharType="end"/>
        </w:r>
      </w:hyperlink>
    </w:p>
    <w:p w14:paraId="633DE0B6" w14:textId="3748F04A" w:rsidR="00A115BA" w:rsidRDefault="00B913B6">
      <w:pPr>
        <w:pStyle w:val="TOC2"/>
        <w:tabs>
          <w:tab w:val="right" w:pos="9016"/>
        </w:tabs>
        <w:rPr>
          <w:rFonts w:asciiTheme="minorHAnsi" w:eastAsiaTheme="minorEastAsia" w:hAnsiTheme="minorHAnsi"/>
          <w:noProof/>
          <w:sz w:val="22"/>
          <w:szCs w:val="22"/>
          <w:lang w:eastAsia="en-GB"/>
        </w:rPr>
      </w:pPr>
      <w:hyperlink w:anchor="_Toc52364953" w:history="1">
        <w:r w:rsidR="00A115BA" w:rsidRPr="00266F4A">
          <w:rPr>
            <w:rStyle w:val="Hyperlink"/>
            <w:noProof/>
          </w:rPr>
          <w:t>Special Condition 9.15 Independence of and appointment of managing director of the Transmission Business</w:t>
        </w:r>
        <w:r w:rsidR="00A115BA">
          <w:rPr>
            <w:noProof/>
            <w:webHidden/>
          </w:rPr>
          <w:tab/>
        </w:r>
        <w:r w:rsidR="00A115BA">
          <w:rPr>
            <w:noProof/>
            <w:webHidden/>
          </w:rPr>
          <w:fldChar w:fldCharType="begin"/>
        </w:r>
        <w:r w:rsidR="00A115BA">
          <w:rPr>
            <w:noProof/>
            <w:webHidden/>
          </w:rPr>
          <w:instrText xml:space="preserve"> PAGEREF _Toc52364953 \h </w:instrText>
        </w:r>
        <w:r w:rsidR="00A115BA">
          <w:rPr>
            <w:noProof/>
            <w:webHidden/>
          </w:rPr>
        </w:r>
        <w:r w:rsidR="00A115BA">
          <w:rPr>
            <w:noProof/>
            <w:webHidden/>
          </w:rPr>
          <w:fldChar w:fldCharType="separate"/>
        </w:r>
        <w:r w:rsidR="00A115BA">
          <w:rPr>
            <w:noProof/>
            <w:webHidden/>
          </w:rPr>
          <w:t>165</w:t>
        </w:r>
        <w:r w:rsidR="00A115BA">
          <w:rPr>
            <w:noProof/>
            <w:webHidden/>
          </w:rPr>
          <w:fldChar w:fldCharType="end"/>
        </w:r>
      </w:hyperlink>
    </w:p>
    <w:p w14:paraId="57E28E7E" w14:textId="2D024B5D" w:rsidR="00A115BA" w:rsidRDefault="00B913B6">
      <w:pPr>
        <w:pStyle w:val="TOC2"/>
        <w:tabs>
          <w:tab w:val="right" w:pos="9016"/>
        </w:tabs>
        <w:rPr>
          <w:rFonts w:asciiTheme="minorHAnsi" w:eastAsiaTheme="minorEastAsia" w:hAnsiTheme="minorHAnsi"/>
          <w:noProof/>
          <w:sz w:val="22"/>
          <w:szCs w:val="22"/>
          <w:lang w:eastAsia="en-GB"/>
        </w:rPr>
      </w:pPr>
      <w:hyperlink w:anchor="_Toc52364954" w:history="1">
        <w:r w:rsidR="00A115BA" w:rsidRPr="00266F4A">
          <w:rPr>
            <w:rStyle w:val="Hyperlink"/>
            <w:noProof/>
          </w:rPr>
          <w:t>Special Condition 9.16 Prohibited Activities and Conduct of the Transmission Business</w:t>
        </w:r>
        <w:r w:rsidR="00A115BA">
          <w:rPr>
            <w:noProof/>
            <w:webHidden/>
          </w:rPr>
          <w:tab/>
        </w:r>
        <w:r w:rsidR="00A115BA">
          <w:rPr>
            <w:noProof/>
            <w:webHidden/>
          </w:rPr>
          <w:fldChar w:fldCharType="begin"/>
        </w:r>
        <w:r w:rsidR="00A115BA">
          <w:rPr>
            <w:noProof/>
            <w:webHidden/>
          </w:rPr>
          <w:instrText xml:space="preserve"> PAGEREF _Toc52364954 \h </w:instrText>
        </w:r>
        <w:r w:rsidR="00A115BA">
          <w:rPr>
            <w:noProof/>
            <w:webHidden/>
          </w:rPr>
        </w:r>
        <w:r w:rsidR="00A115BA">
          <w:rPr>
            <w:noProof/>
            <w:webHidden/>
          </w:rPr>
          <w:fldChar w:fldCharType="separate"/>
        </w:r>
        <w:r w:rsidR="00A115BA">
          <w:rPr>
            <w:noProof/>
            <w:webHidden/>
          </w:rPr>
          <w:t>169</w:t>
        </w:r>
        <w:r w:rsidR="00A115BA">
          <w:rPr>
            <w:noProof/>
            <w:webHidden/>
          </w:rPr>
          <w:fldChar w:fldCharType="end"/>
        </w:r>
      </w:hyperlink>
    </w:p>
    <w:p w14:paraId="29815297" w14:textId="46BFFDA1" w:rsidR="00A115BA" w:rsidRDefault="00B913B6">
      <w:pPr>
        <w:pStyle w:val="TOC2"/>
        <w:tabs>
          <w:tab w:val="right" w:pos="9016"/>
        </w:tabs>
        <w:rPr>
          <w:rFonts w:asciiTheme="minorHAnsi" w:eastAsiaTheme="minorEastAsia" w:hAnsiTheme="minorHAnsi"/>
          <w:noProof/>
          <w:sz w:val="22"/>
          <w:szCs w:val="22"/>
          <w:lang w:eastAsia="en-GB"/>
        </w:rPr>
      </w:pPr>
      <w:hyperlink w:anchor="_Toc52364955" w:history="1">
        <w:r w:rsidR="00A115BA" w:rsidRPr="00266F4A">
          <w:rPr>
            <w:rStyle w:val="Hyperlink"/>
            <w:noProof/>
          </w:rPr>
          <w:t>Special Condition 9.17 Business Separation requirements and compliance obligations</w:t>
        </w:r>
        <w:r w:rsidR="00A115BA">
          <w:rPr>
            <w:noProof/>
            <w:webHidden/>
          </w:rPr>
          <w:tab/>
        </w:r>
        <w:r w:rsidR="00A115BA">
          <w:rPr>
            <w:noProof/>
            <w:webHidden/>
          </w:rPr>
          <w:fldChar w:fldCharType="begin"/>
        </w:r>
        <w:r w:rsidR="00A115BA">
          <w:rPr>
            <w:noProof/>
            <w:webHidden/>
          </w:rPr>
          <w:instrText xml:space="preserve"> PAGEREF _Toc52364955 \h </w:instrText>
        </w:r>
        <w:r w:rsidR="00A115BA">
          <w:rPr>
            <w:noProof/>
            <w:webHidden/>
          </w:rPr>
        </w:r>
        <w:r w:rsidR="00A115BA">
          <w:rPr>
            <w:noProof/>
            <w:webHidden/>
          </w:rPr>
          <w:fldChar w:fldCharType="separate"/>
        </w:r>
        <w:r w:rsidR="00A115BA">
          <w:rPr>
            <w:noProof/>
            <w:webHidden/>
          </w:rPr>
          <w:t>170</w:t>
        </w:r>
        <w:r w:rsidR="00A115BA">
          <w:rPr>
            <w:noProof/>
            <w:webHidden/>
          </w:rPr>
          <w:fldChar w:fldCharType="end"/>
        </w:r>
      </w:hyperlink>
    </w:p>
    <w:p w14:paraId="614A2406" w14:textId="7408DFE1" w:rsidR="00A115BA" w:rsidRDefault="00B913B6">
      <w:pPr>
        <w:pStyle w:val="TOC2"/>
        <w:tabs>
          <w:tab w:val="right" w:pos="9016"/>
        </w:tabs>
        <w:rPr>
          <w:rFonts w:asciiTheme="minorHAnsi" w:eastAsiaTheme="minorEastAsia" w:hAnsiTheme="minorHAnsi"/>
          <w:noProof/>
          <w:sz w:val="22"/>
          <w:szCs w:val="22"/>
          <w:lang w:eastAsia="en-GB"/>
        </w:rPr>
      </w:pPr>
      <w:hyperlink w:anchor="_Toc52364956" w:history="1">
        <w:r w:rsidR="00A115BA" w:rsidRPr="00266F4A">
          <w:rPr>
            <w:rStyle w:val="Hyperlink"/>
            <w:noProof/>
          </w:rPr>
          <w:t>Special Condition 9.18 Tax Reconciliation Assurance Statement</w:t>
        </w:r>
        <w:r w:rsidR="00A115BA">
          <w:rPr>
            <w:noProof/>
            <w:webHidden/>
          </w:rPr>
          <w:tab/>
        </w:r>
        <w:r w:rsidR="00A115BA">
          <w:rPr>
            <w:noProof/>
            <w:webHidden/>
          </w:rPr>
          <w:fldChar w:fldCharType="begin"/>
        </w:r>
        <w:r w:rsidR="00A115BA">
          <w:rPr>
            <w:noProof/>
            <w:webHidden/>
          </w:rPr>
          <w:instrText xml:space="preserve"> PAGEREF _Toc52364956 \h </w:instrText>
        </w:r>
        <w:r w:rsidR="00A115BA">
          <w:rPr>
            <w:noProof/>
            <w:webHidden/>
          </w:rPr>
        </w:r>
        <w:r w:rsidR="00A115BA">
          <w:rPr>
            <w:noProof/>
            <w:webHidden/>
          </w:rPr>
          <w:fldChar w:fldCharType="separate"/>
        </w:r>
        <w:r w:rsidR="00A115BA">
          <w:rPr>
            <w:noProof/>
            <w:webHidden/>
          </w:rPr>
          <w:t>175</w:t>
        </w:r>
        <w:r w:rsidR="00A115BA">
          <w:rPr>
            <w:noProof/>
            <w:webHidden/>
          </w:rPr>
          <w:fldChar w:fldCharType="end"/>
        </w:r>
      </w:hyperlink>
    </w:p>
    <w:p w14:paraId="5815C31F" w14:textId="7454EAB8" w:rsidR="00E23FD7" w:rsidRDefault="00E23FD7" w:rsidP="00790764">
      <w:r>
        <w:fldChar w:fldCharType="end"/>
      </w:r>
    </w:p>
    <w:p w14:paraId="60B1EF61" w14:textId="77777777" w:rsidR="009A7836" w:rsidRDefault="009A7836">
      <w:pPr>
        <w:rPr>
          <w:rFonts w:ascii="Arial" w:eastAsiaTheme="majorEastAsia" w:hAnsi="Arial" w:cstheme="majorBidi"/>
          <w:b/>
          <w:spacing w:val="-10"/>
          <w:kern w:val="28"/>
          <w:sz w:val="36"/>
          <w:szCs w:val="56"/>
        </w:rPr>
      </w:pPr>
      <w:r>
        <w:br w:type="page"/>
      </w:r>
    </w:p>
    <w:p w14:paraId="6631E38E" w14:textId="77777777" w:rsidR="003B3E62" w:rsidRDefault="003B3E62" w:rsidP="003B3E62">
      <w:pPr>
        <w:pStyle w:val="Heading1"/>
      </w:pPr>
      <w:bookmarkStart w:id="2" w:name="_Toc48610138"/>
      <w:bookmarkStart w:id="3" w:name="_Toc51319590"/>
      <w:bookmarkStart w:id="4" w:name="_Toc51798248"/>
      <w:bookmarkStart w:id="5" w:name="_Toc52364875"/>
      <w:r>
        <w:lastRenderedPageBreak/>
        <w:t>Interpretation and definitions</w:t>
      </w:r>
      <w:bookmarkEnd w:id="2"/>
      <w:bookmarkEnd w:id="3"/>
      <w:bookmarkEnd w:id="4"/>
      <w:bookmarkEnd w:id="5"/>
    </w:p>
    <w:p w14:paraId="0F0688AD" w14:textId="77777777" w:rsidR="00A16E70" w:rsidRDefault="00A16E70" w:rsidP="00271D4C">
      <w:pPr>
        <w:pStyle w:val="Heading2"/>
      </w:pPr>
      <w:bookmarkStart w:id="6" w:name="_Toc48610139"/>
      <w:bookmarkStart w:id="7" w:name="_Toc51319591"/>
      <w:bookmarkStart w:id="8" w:name="_Toc51798249"/>
      <w:bookmarkStart w:id="9" w:name="_Toc52364876"/>
      <w:r>
        <w:t>Interpretation and definitions</w:t>
      </w:r>
      <w:bookmarkEnd w:id="6"/>
      <w:bookmarkEnd w:id="7"/>
      <w:bookmarkEnd w:id="8"/>
      <w:bookmarkEnd w:id="9"/>
    </w:p>
    <w:p w14:paraId="08B60EC5" w14:textId="77777777" w:rsidR="00A16E70" w:rsidRPr="009A2AF2" w:rsidRDefault="00A16E70" w:rsidP="00271D4C">
      <w:pPr>
        <w:pStyle w:val="Heading3nonumbering"/>
      </w:pPr>
      <w:r>
        <w:t>Introduction</w:t>
      </w:r>
    </w:p>
    <w:p w14:paraId="4B615EB4" w14:textId="5043FE9B" w:rsidR="00A16E70" w:rsidRDefault="00A16E70" w:rsidP="00271D4C">
      <w:pPr>
        <w:pStyle w:val="NumberedNormal"/>
      </w:pPr>
      <w:r w:rsidRPr="009A2AF2">
        <w:t>Th</w:t>
      </w:r>
      <w:r>
        <w:t xml:space="preserve">e purpose of this condition is to provide for the </w:t>
      </w:r>
      <w:r w:rsidR="002A0118">
        <w:t>s</w:t>
      </w:r>
      <w:r>
        <w:t xml:space="preserve">pecial </w:t>
      </w:r>
      <w:r w:rsidR="002A0118">
        <w:t>c</w:t>
      </w:r>
      <w:r>
        <w:t>onditions of this licence:</w:t>
      </w:r>
    </w:p>
    <w:p w14:paraId="717AEFA3" w14:textId="473E70F2" w:rsidR="00A16E70" w:rsidRDefault="00A16E70" w:rsidP="00271D4C">
      <w:pPr>
        <w:pStyle w:val="ListNormal"/>
      </w:pPr>
      <w:r>
        <w:t>some provisions of general interpretation; and</w:t>
      </w:r>
    </w:p>
    <w:p w14:paraId="14482EAA" w14:textId="0E3BDC64" w:rsidR="00A16E70" w:rsidRPr="009A2AF2" w:rsidRDefault="00A16E70" w:rsidP="00271D4C">
      <w:pPr>
        <w:pStyle w:val="ListNormal"/>
      </w:pPr>
      <w:r w:rsidRPr="00B819CB">
        <w:t xml:space="preserve"> </w:t>
      </w:r>
      <w:r>
        <w:t>the meaning of</w:t>
      </w:r>
      <w:r w:rsidRPr="009A2AF2">
        <w:t xml:space="preserve"> </w:t>
      </w:r>
      <w:r>
        <w:t xml:space="preserve">the </w:t>
      </w:r>
      <w:r w:rsidRPr="009A2AF2">
        <w:t xml:space="preserve">defined </w:t>
      </w:r>
      <w:r>
        <w:t xml:space="preserve">terms, which are capitalised throughout the </w:t>
      </w:r>
      <w:r w:rsidR="005D6A11">
        <w:t>s</w:t>
      </w:r>
      <w:r>
        <w:t xml:space="preserve">pecial </w:t>
      </w:r>
      <w:r w:rsidR="005D6A11">
        <w:t>c</w:t>
      </w:r>
      <w:r>
        <w:t>onditions.</w:t>
      </w:r>
    </w:p>
    <w:p w14:paraId="3032D958" w14:textId="77777777" w:rsidR="00A16E70" w:rsidRDefault="00A16E70" w:rsidP="00271D4C">
      <w:pPr>
        <w:pStyle w:val="Heading3"/>
      </w:pPr>
      <w:r>
        <w:t>Interpretation</w:t>
      </w:r>
    </w:p>
    <w:p w14:paraId="72721853" w14:textId="77777777" w:rsidR="005D6A11" w:rsidRDefault="00A16E70" w:rsidP="00DD15D8">
      <w:pPr>
        <w:pStyle w:val="NumberedNormal"/>
      </w:pPr>
      <w:r>
        <w:t xml:space="preserve">Wherever the subscript ‘t’ is used, without further numerical notation, the value to be used is the one for the Regulatory Year in question.  </w:t>
      </w:r>
    </w:p>
    <w:p w14:paraId="38B82338" w14:textId="77777777" w:rsidR="005D6A11" w:rsidRDefault="00A16E70" w:rsidP="00DD15D8">
      <w:pPr>
        <w:pStyle w:val="NumberedNormal"/>
      </w:pPr>
      <w:r>
        <w:t xml:space="preserve">A positive or negative numerical notation indicates that the value to be used is for a year after or before the Regulatory Year in question and the number </w:t>
      </w:r>
      <w:r w:rsidRPr="00DD15D8">
        <w:t>indicates</w:t>
      </w:r>
      <w:r>
        <w:t xml:space="preserve"> how many years after or before. </w:t>
      </w:r>
    </w:p>
    <w:p w14:paraId="29C8D78B" w14:textId="2982A180" w:rsidR="00A16E70" w:rsidRDefault="00A16E70" w:rsidP="00DD15D8">
      <w:pPr>
        <w:pStyle w:val="NumberedNormal"/>
      </w:pPr>
      <w:r>
        <w:t xml:space="preserve">In some cases, other subscripts may also be used to denote the value for a specific Regulatory Year and are noted in those </w:t>
      </w:r>
      <w:r w:rsidR="005D6A11">
        <w:t>special c</w:t>
      </w:r>
      <w:r>
        <w:t>onditions.</w:t>
      </w:r>
    </w:p>
    <w:p w14:paraId="14ADDA99" w14:textId="5C01674E" w:rsidR="00442D7D" w:rsidRDefault="00442D7D" w:rsidP="00442D7D">
      <w:pPr>
        <w:pStyle w:val="NumberedNormal"/>
      </w:pPr>
      <w:r>
        <w:t xml:space="preserve">Any </w:t>
      </w:r>
      <w:r w:rsidRPr="00442D7D">
        <w:t>reference</w:t>
      </w:r>
      <w:r>
        <w:t xml:space="preserve"> in these </w:t>
      </w:r>
      <w:r w:rsidR="005D6A11">
        <w:t>s</w:t>
      </w:r>
      <w:r>
        <w:t xml:space="preserve">pecial </w:t>
      </w:r>
      <w:r w:rsidR="005D6A11">
        <w:t>c</w:t>
      </w:r>
      <w:r>
        <w:t>onditions to:</w:t>
      </w:r>
    </w:p>
    <w:p w14:paraId="6CA7DF92" w14:textId="1BBB09CB" w:rsidR="00442D7D" w:rsidRDefault="00442D7D" w:rsidP="00442D7D">
      <w:pPr>
        <w:pStyle w:val="ListNormal"/>
      </w:pPr>
      <w:r>
        <w:t xml:space="preserve">a provision </w:t>
      </w:r>
      <w:proofErr w:type="gramStart"/>
      <w:r>
        <w:t>thereof;</w:t>
      </w:r>
      <w:proofErr w:type="gramEnd"/>
    </w:p>
    <w:p w14:paraId="7F38C285" w14:textId="7B1863E7" w:rsidR="00442D7D" w:rsidRDefault="00442D7D" w:rsidP="00442D7D">
      <w:pPr>
        <w:pStyle w:val="ListNormal"/>
      </w:pPr>
      <w:r>
        <w:t xml:space="preserve">a provision of the standard conditions of electricity transmission </w:t>
      </w:r>
      <w:proofErr w:type="gramStart"/>
      <w:r>
        <w:t>licences;</w:t>
      </w:r>
      <w:proofErr w:type="gramEnd"/>
    </w:p>
    <w:p w14:paraId="3F8B6A78" w14:textId="1FD19FC4" w:rsidR="00442D7D" w:rsidRDefault="00442D7D" w:rsidP="00442D7D">
      <w:pPr>
        <w:pStyle w:val="ListNormal"/>
      </w:pPr>
      <w:r>
        <w:t xml:space="preserve">a provision of the standard conditions of electricity supply </w:t>
      </w:r>
      <w:proofErr w:type="gramStart"/>
      <w:r>
        <w:t>licences;</w:t>
      </w:r>
      <w:proofErr w:type="gramEnd"/>
    </w:p>
    <w:p w14:paraId="628044B3" w14:textId="0E54EF54" w:rsidR="00442D7D" w:rsidRDefault="00442D7D" w:rsidP="00442D7D">
      <w:pPr>
        <w:pStyle w:val="ListNormal"/>
      </w:pPr>
      <w:r>
        <w:t xml:space="preserve">a provision of the standard conditions of electricity distribution </w:t>
      </w:r>
      <w:proofErr w:type="gramStart"/>
      <w:r>
        <w:t>licences;</w:t>
      </w:r>
      <w:proofErr w:type="gramEnd"/>
    </w:p>
    <w:p w14:paraId="6DD86F53" w14:textId="3D117A32" w:rsidR="00442D7D" w:rsidRDefault="00442D7D" w:rsidP="00442D7D">
      <w:pPr>
        <w:pStyle w:val="ListNormal"/>
      </w:pPr>
      <w:r>
        <w:t xml:space="preserve">a provision of the standard conditions of electricity generation </w:t>
      </w:r>
      <w:proofErr w:type="gramStart"/>
      <w:r>
        <w:t>licences;</w:t>
      </w:r>
      <w:proofErr w:type="gramEnd"/>
    </w:p>
    <w:p w14:paraId="2333BD5D" w14:textId="40B38932" w:rsidR="00442D7D" w:rsidRDefault="00442D7D" w:rsidP="00442D7D">
      <w:pPr>
        <w:pStyle w:val="ListNormal"/>
      </w:pPr>
      <w:r>
        <w:t>a provision of the standard conditions of electricity interconnector licences</w:t>
      </w:r>
    </w:p>
    <w:p w14:paraId="4299E6F1" w14:textId="1D6878E3" w:rsidR="00442D7D" w:rsidRDefault="00743ECD" w:rsidP="007D165B">
      <w:pPr>
        <w:pStyle w:val="ListNormal"/>
        <w:ind w:left="879"/>
      </w:pPr>
      <w:r>
        <w:t>must</w:t>
      </w:r>
      <w:r w:rsidR="00442D7D">
        <w:t>, if these or the standard conditions in question come to be modified, be</w:t>
      </w:r>
      <w:r>
        <w:t xml:space="preserve"> </w:t>
      </w:r>
      <w:r w:rsidR="00442D7D">
        <w:t>construed, so far as the context permits as a reference to the corresponding provision</w:t>
      </w:r>
      <w:r>
        <w:t xml:space="preserve"> </w:t>
      </w:r>
      <w:r w:rsidRPr="00545399">
        <w:t>of these or the standard conditions in question as modified</w:t>
      </w:r>
      <w:r w:rsidR="004E50F6">
        <w:t>.</w:t>
      </w:r>
    </w:p>
    <w:p w14:paraId="19901FCC" w14:textId="77777777" w:rsidR="005D6A11" w:rsidRDefault="005D6A11" w:rsidP="005D6A11">
      <w:pPr>
        <w:pStyle w:val="NumberedNormal"/>
      </w:pPr>
      <w:r>
        <w:t>Any reference in these special conditions to a numbered appendix is, unless otherwise stated, to the relevant numbered appendix to that special condition.</w:t>
      </w:r>
    </w:p>
    <w:p w14:paraId="2DDDE9FA" w14:textId="392553EC" w:rsidR="00A16E70" w:rsidRDefault="00A16E70" w:rsidP="00442D7D">
      <w:pPr>
        <w:pStyle w:val="NumberedNormal"/>
      </w:pPr>
      <w:r>
        <w:t xml:space="preserve">Unless otherwise stated, any reference in these </w:t>
      </w:r>
      <w:r w:rsidR="005D6A11">
        <w:t>s</w:t>
      </w:r>
      <w:r>
        <w:t xml:space="preserve">pecial </w:t>
      </w:r>
      <w:r w:rsidR="005D6A11">
        <w:t>c</w:t>
      </w:r>
      <w:r>
        <w:t xml:space="preserve">onditions to the Authority giving a direction, consent, derogation, </w:t>
      </w:r>
      <w:proofErr w:type="gramStart"/>
      <w:r>
        <w:t>approval</w:t>
      </w:r>
      <w:proofErr w:type="gramEnd"/>
      <w:r>
        <w:t xml:space="preserve"> or designation includes:</w:t>
      </w:r>
    </w:p>
    <w:p w14:paraId="3565E3FA" w14:textId="35FE5A3A" w:rsidR="00A16E70" w:rsidRDefault="00A16E70" w:rsidP="00271D4C">
      <w:pPr>
        <w:pStyle w:val="ListNormal"/>
      </w:pPr>
      <w:r>
        <w:t xml:space="preserve">giving it to such extent, for such </w:t>
      </w:r>
      <w:proofErr w:type="gramStart"/>
      <w:r>
        <w:t>period of time</w:t>
      </w:r>
      <w:proofErr w:type="gramEnd"/>
      <w:r>
        <w:t>, and subject to such conditions</w:t>
      </w:r>
      <w:r w:rsidR="009F5C09">
        <w:t>,</w:t>
      </w:r>
      <w:r>
        <w:t xml:space="preserve"> as the Authority thinks reasonable in all the circumstances of the case; and</w:t>
      </w:r>
    </w:p>
    <w:p w14:paraId="20E7C497" w14:textId="690A6BDF" w:rsidR="00A16E70" w:rsidRDefault="00A16E70" w:rsidP="00271D4C">
      <w:pPr>
        <w:pStyle w:val="ListNormal"/>
      </w:pPr>
      <w:r>
        <w:t>revoking or amending it after consulting the licensee.</w:t>
      </w:r>
    </w:p>
    <w:p w14:paraId="766D955E" w14:textId="7C5AAB19" w:rsidR="00A16E70" w:rsidRDefault="00A16E70" w:rsidP="00271D4C">
      <w:pPr>
        <w:pStyle w:val="NumberedNormal"/>
      </w:pPr>
      <w:r>
        <w:lastRenderedPageBreak/>
        <w:t xml:space="preserve">Unless otherwise stated, any reference in these </w:t>
      </w:r>
      <w:r w:rsidR="005D6A11">
        <w:t>s</w:t>
      </w:r>
      <w:r>
        <w:t xml:space="preserve">pecial </w:t>
      </w:r>
      <w:r w:rsidR="005D6A11">
        <w:t>c</w:t>
      </w:r>
      <w:r>
        <w:t xml:space="preserve">onditions to the Authority </w:t>
      </w:r>
      <w:proofErr w:type="gramStart"/>
      <w:r>
        <w:t>making a determination</w:t>
      </w:r>
      <w:proofErr w:type="gramEnd"/>
      <w:r>
        <w:t xml:space="preserve"> includes making it subject to such conditions as the Authority thinks reasonable in all the circumstances of the case.</w:t>
      </w:r>
    </w:p>
    <w:p w14:paraId="6508200C" w14:textId="77777777" w:rsidR="00A16E70" w:rsidRDefault="00A16E70" w:rsidP="00271D4C">
      <w:pPr>
        <w:pStyle w:val="NumberedNormal"/>
      </w:pPr>
      <w:r>
        <w:t xml:space="preserve">Any direction, consent, derogation, approval, </w:t>
      </w:r>
      <w:proofErr w:type="gramStart"/>
      <w:r>
        <w:t>designation</w:t>
      </w:r>
      <w:proofErr w:type="gramEnd"/>
      <w:r>
        <w:t xml:space="preserve"> or determination by the Authority will be given or made in writing.</w:t>
      </w:r>
    </w:p>
    <w:p w14:paraId="734A4F9A" w14:textId="5DD1FB60" w:rsidR="005D6A11" w:rsidRDefault="005D6A11" w:rsidP="005D6A11">
      <w:pPr>
        <w:pStyle w:val="NumberedNormal"/>
      </w:pPr>
      <w:r>
        <w:t xml:space="preserve">Where these special conditions provide for the Authority to issue or amend a document by direction, the steps required to achieve this may be satisfied by action taken before, as well as by action taken </w:t>
      </w:r>
      <w:r w:rsidR="002F1578">
        <w:t xml:space="preserve">on or </w:t>
      </w:r>
      <w:r>
        <w:t xml:space="preserve">after, 1 April 2021.  </w:t>
      </w:r>
    </w:p>
    <w:p w14:paraId="5BA56B43" w14:textId="52ADFE5A" w:rsidR="00F4114E" w:rsidRPr="009A2AF2" w:rsidRDefault="00F4114E" w:rsidP="0051209E">
      <w:pPr>
        <w:pStyle w:val="NumberedNormal"/>
      </w:pPr>
      <w:bookmarkStart w:id="10" w:name="_Hlk51851928"/>
      <w:r>
        <w:t>Any monetary values in these special conditions are in sterling in a 2018/19 price base unless otherwise indicated.</w:t>
      </w:r>
      <w:bookmarkEnd w:id="10"/>
    </w:p>
    <w:p w14:paraId="50C0D08A" w14:textId="77777777" w:rsidR="00A16E70" w:rsidRDefault="00A16E70" w:rsidP="00271D4C">
      <w:pPr>
        <w:pStyle w:val="Heading3"/>
      </w:pPr>
      <w:r>
        <w:t>Definitions</w:t>
      </w:r>
    </w:p>
    <w:p w14:paraId="100D314D" w14:textId="77777777" w:rsidR="00F725CE" w:rsidRPr="00F725CE" w:rsidRDefault="00A16E70" w:rsidP="00F725CE">
      <w:pPr>
        <w:pStyle w:val="NumberedNormal"/>
      </w:pPr>
      <w:r>
        <w:t>In these Special Conditions the following defined terms have the meanings given in the table below.</w:t>
      </w:r>
      <w:r w:rsidDel="0081552D">
        <w:t xml:space="preserve"> </w:t>
      </w:r>
    </w:p>
    <w:p w14:paraId="438B743F" w14:textId="23EDAB9E" w:rsidR="00804BB1" w:rsidRPr="00804BB1" w:rsidRDefault="00800303" w:rsidP="009C1D22">
      <w:pPr>
        <w:pStyle w:val="NumberedNormal"/>
      </w:pPr>
      <w:r w:rsidRPr="0051209E">
        <w:rPr>
          <w:highlight w:val="yellow"/>
        </w:rPr>
        <w:t>[Insert table here</w:t>
      </w:r>
      <w:r w:rsidR="0051209E">
        <w:t>]</w:t>
      </w:r>
      <w:bookmarkStart w:id="11" w:name="_Toc48610140"/>
    </w:p>
    <w:p w14:paraId="0B32DF77" w14:textId="79B5A2ED" w:rsidR="00E2748A" w:rsidRPr="008C6C00" w:rsidRDefault="00E2748A" w:rsidP="00E2748A">
      <w:pPr>
        <w:pStyle w:val="Heading2"/>
      </w:pPr>
      <w:bookmarkStart w:id="12" w:name="_Toc51896975"/>
      <w:bookmarkStart w:id="13" w:name="_Toc52197021"/>
      <w:bookmarkStart w:id="14" w:name="_Toc52266783"/>
      <w:bookmarkStart w:id="15" w:name="_Toc52273252"/>
      <w:bookmarkStart w:id="16" w:name="_Toc52364877"/>
      <w:r>
        <w:t>Amendments to the Standard Conditions for the purposes of this licence</w:t>
      </w:r>
      <w:bookmarkEnd w:id="12"/>
      <w:bookmarkEnd w:id="13"/>
      <w:bookmarkEnd w:id="14"/>
      <w:bookmarkEnd w:id="15"/>
      <w:bookmarkEnd w:id="16"/>
    </w:p>
    <w:p w14:paraId="3A98DE4B" w14:textId="79B9648D" w:rsidR="00980D34" w:rsidRPr="00980D34" w:rsidRDefault="00980D34" w:rsidP="00980D34">
      <w:pPr>
        <w:rPr>
          <w:i/>
        </w:rPr>
      </w:pPr>
      <w:r w:rsidRPr="00980D34">
        <w:rPr>
          <w:i/>
        </w:rPr>
        <w:t xml:space="preserve">[This </w:t>
      </w:r>
      <w:r>
        <w:rPr>
          <w:i/>
        </w:rPr>
        <w:t>drafting applies to SHET and SPT’s licence only</w:t>
      </w:r>
      <w:r w:rsidRPr="00980D34">
        <w:rPr>
          <w:i/>
        </w:rPr>
        <w:t>]</w:t>
      </w:r>
    </w:p>
    <w:p w14:paraId="06E75E01" w14:textId="77777777" w:rsidR="00667B5E" w:rsidRPr="00667B5E" w:rsidRDefault="00980D34" w:rsidP="00667B5E">
      <w:pPr>
        <w:pStyle w:val="Heading3nonumbering"/>
      </w:pPr>
      <w:r w:rsidRPr="0057526A">
        <w:t xml:space="preserve">Introduction </w:t>
      </w:r>
    </w:p>
    <w:p w14:paraId="1AD74F78" w14:textId="77777777" w:rsidR="005825F3" w:rsidRPr="008C6C00" w:rsidRDefault="005825F3" w:rsidP="005825F3">
      <w:pPr>
        <w:pStyle w:val="NumberedNormal"/>
      </w:pPr>
      <w:r>
        <w:t>The purpose of this licence condition is to modify the Standard Special Conditions in its application for the purposes of this licence.</w:t>
      </w:r>
    </w:p>
    <w:p w14:paraId="5024477C" w14:textId="38584380" w:rsidR="005825F3" w:rsidRPr="005825F3" w:rsidRDefault="005825F3" w:rsidP="005825F3">
      <w:pPr>
        <w:pStyle w:val="Heading3"/>
      </w:pPr>
      <w:r>
        <w:t>Modifications</w:t>
      </w:r>
    </w:p>
    <w:p w14:paraId="750DF7D2" w14:textId="23C8C815" w:rsidR="00980D34" w:rsidRPr="00370027" w:rsidRDefault="00980D34" w:rsidP="00C80295">
      <w:pPr>
        <w:pStyle w:val="NumberedNormal"/>
      </w:pPr>
      <w:r w:rsidRPr="00370027">
        <w:t>For the purposes of this li</w:t>
      </w:r>
      <w:r>
        <w:t>c</w:t>
      </w:r>
      <w:r w:rsidRPr="00370027">
        <w:t xml:space="preserve">ence Standard condition A1 (Definitions and interpretation) </w:t>
      </w:r>
      <w:r>
        <w:t>should be read</w:t>
      </w:r>
      <w:r w:rsidRPr="00370027">
        <w:t xml:space="preserve"> as follows:</w:t>
      </w:r>
    </w:p>
    <w:p w14:paraId="33E91A9E" w14:textId="594C9856" w:rsidR="00980D34" w:rsidRPr="00370027" w:rsidRDefault="00980D34" w:rsidP="00A57004">
      <w:pPr>
        <w:pStyle w:val="ListNormal"/>
      </w:pPr>
      <w:r w:rsidRPr="00370027">
        <w:t xml:space="preserve">insert immediately </w:t>
      </w:r>
      <w:r>
        <w:t xml:space="preserve">after </w:t>
      </w:r>
      <w:r w:rsidRPr="00370027">
        <w:t xml:space="preserve">the definition of "Section </w:t>
      </w:r>
      <w:r>
        <w:t>E</w:t>
      </w:r>
      <w:r w:rsidRPr="00370027">
        <w:t xml:space="preserve"> (</w:t>
      </w:r>
      <w:r>
        <w:t xml:space="preserve">offshore </w:t>
      </w:r>
      <w:r w:rsidRPr="00370027">
        <w:t>transmission owner standard conditions) Directions" and the definition of "statutory accounts":</w:t>
      </w:r>
    </w:p>
    <w:tbl>
      <w:tblPr>
        <w:tblW w:w="8187" w:type="dxa"/>
        <w:tblInd w:w="1480" w:type="dxa"/>
        <w:tblLayout w:type="fixed"/>
        <w:tblLook w:val="0000" w:firstRow="0" w:lastRow="0" w:firstColumn="0" w:lastColumn="0" w:noHBand="0" w:noVBand="0"/>
      </w:tblPr>
      <w:tblGrid>
        <w:gridCol w:w="3756"/>
        <w:gridCol w:w="4431"/>
      </w:tblGrid>
      <w:tr w:rsidR="00980D34" w:rsidRPr="00DA6A85" w14:paraId="22B5C66E" w14:textId="77777777" w:rsidTr="00970CFA">
        <w:tc>
          <w:tcPr>
            <w:tcW w:w="3756" w:type="dxa"/>
          </w:tcPr>
          <w:p w14:paraId="10AEE576" w14:textId="77777777" w:rsidR="00980D34" w:rsidRPr="00370027" w:rsidRDefault="00980D34" w:rsidP="00970CFA">
            <w:r w:rsidRPr="00370027">
              <w:t>"separate business"</w:t>
            </w:r>
          </w:p>
        </w:tc>
        <w:tc>
          <w:tcPr>
            <w:tcW w:w="4431" w:type="dxa"/>
          </w:tcPr>
          <w:p w14:paraId="20A58CFA" w14:textId="77777777" w:rsidR="00980D34" w:rsidRPr="00370027" w:rsidRDefault="00980D34" w:rsidP="00970CFA">
            <w:r w:rsidRPr="00370027">
              <w:t>means each or any of:</w:t>
            </w:r>
          </w:p>
          <w:p w14:paraId="0A1E13A3" w14:textId="77777777" w:rsidR="00980D34" w:rsidRPr="00370027" w:rsidRDefault="00980D34" w:rsidP="00970CFA">
            <w:r>
              <w:t xml:space="preserve">(a) </w:t>
            </w:r>
            <w:r w:rsidRPr="00370027">
              <w:t>any supply business of (</w:t>
            </w:r>
            <w:proofErr w:type="spellStart"/>
            <w:r w:rsidRPr="00370027">
              <w:t>i</w:t>
            </w:r>
            <w:proofErr w:type="spellEnd"/>
            <w:r w:rsidRPr="00370027">
              <w:t xml:space="preserve">) the licensee or (ii) an affiliate or related undertaking of the </w:t>
            </w:r>
            <w:proofErr w:type="gramStart"/>
            <w:r w:rsidRPr="00370027">
              <w:t>licensee;</w:t>
            </w:r>
            <w:proofErr w:type="gramEnd"/>
          </w:p>
          <w:p w14:paraId="3EE40C43" w14:textId="77777777" w:rsidR="00980D34" w:rsidRPr="00370027" w:rsidRDefault="00980D34" w:rsidP="00970CFA">
            <w:r>
              <w:t>(b)</w:t>
            </w:r>
            <w:r w:rsidRPr="00370027">
              <w:t xml:space="preserve"> any distribution business of (</w:t>
            </w:r>
            <w:proofErr w:type="spellStart"/>
            <w:r w:rsidRPr="00370027">
              <w:t>i</w:t>
            </w:r>
            <w:proofErr w:type="spellEnd"/>
            <w:r w:rsidRPr="00370027">
              <w:t xml:space="preserve">) the licensee or (ii) an affiliate or related undertaking of the </w:t>
            </w:r>
            <w:proofErr w:type="gramStart"/>
            <w:r w:rsidRPr="00370027">
              <w:t>licensee;</w:t>
            </w:r>
            <w:proofErr w:type="gramEnd"/>
          </w:p>
          <w:p w14:paraId="4DB73B15" w14:textId="77777777" w:rsidR="00980D34" w:rsidRPr="00370027" w:rsidRDefault="00980D34" w:rsidP="00970CFA">
            <w:r>
              <w:lastRenderedPageBreak/>
              <w:t xml:space="preserve">(c) </w:t>
            </w:r>
            <w:r w:rsidRPr="00370027">
              <w:t>any generation business of (</w:t>
            </w:r>
            <w:proofErr w:type="spellStart"/>
            <w:r w:rsidRPr="00370027">
              <w:t>i</w:t>
            </w:r>
            <w:proofErr w:type="spellEnd"/>
            <w:r w:rsidRPr="00370027">
              <w:t xml:space="preserve">) the licensee or (ii) an affiliate or related undertaking of the </w:t>
            </w:r>
            <w:proofErr w:type="gramStart"/>
            <w:r w:rsidRPr="00370027">
              <w:t>licensee;</w:t>
            </w:r>
            <w:proofErr w:type="gramEnd"/>
          </w:p>
          <w:p w14:paraId="09627F2E" w14:textId="77777777" w:rsidR="00980D34" w:rsidRPr="00370027" w:rsidRDefault="00980D34" w:rsidP="00970CFA">
            <w:r>
              <w:t>(d)</w:t>
            </w:r>
            <w:r w:rsidRPr="00370027">
              <w:t xml:space="preserve"> any interconnector business of (</w:t>
            </w:r>
            <w:proofErr w:type="spellStart"/>
            <w:r w:rsidRPr="00370027">
              <w:t>i</w:t>
            </w:r>
            <w:proofErr w:type="spellEnd"/>
            <w:r w:rsidRPr="00370027">
              <w:t>) the licensee or (ii) an affiliate or related undertaking of the licensee;”</w:t>
            </w:r>
          </w:p>
        </w:tc>
      </w:tr>
    </w:tbl>
    <w:p w14:paraId="328A1EB6" w14:textId="77777777" w:rsidR="00980D34" w:rsidRPr="00370027" w:rsidRDefault="00980D34" w:rsidP="00A57004">
      <w:pPr>
        <w:pStyle w:val="ListNormal"/>
      </w:pPr>
      <w:r w:rsidRPr="00370027">
        <w:lastRenderedPageBreak/>
        <w:t>at the definition of “transmission business” delete sub paragraph (</w:t>
      </w:r>
      <w:proofErr w:type="spellStart"/>
      <w:r w:rsidRPr="00370027">
        <w:t>i</w:t>
      </w:r>
      <w:proofErr w:type="spellEnd"/>
      <w:r w:rsidRPr="00370027">
        <w:t>) and all subsequent text up to, but not including, the definition of “transmission constraint costs” and insert in its place the following new subparagraphs:</w:t>
      </w:r>
    </w:p>
    <w:p w14:paraId="77C90128" w14:textId="77777777" w:rsidR="00980D34" w:rsidRPr="00370027" w:rsidRDefault="00980D34" w:rsidP="00A57004">
      <w:pPr>
        <w:pStyle w:val="ListNormal"/>
        <w:numPr>
          <w:ilvl w:val="4"/>
          <w:numId w:val="30"/>
        </w:numPr>
      </w:pPr>
      <w:r>
        <w:t>“</w:t>
      </w:r>
      <w:r w:rsidRPr="00370027">
        <w:t xml:space="preserve">any other separate </w:t>
      </w:r>
      <w:proofErr w:type="gramStart"/>
      <w:r w:rsidRPr="00370027">
        <w:t>business;</w:t>
      </w:r>
      <w:proofErr w:type="gramEnd"/>
    </w:p>
    <w:p w14:paraId="753E61F3" w14:textId="77777777" w:rsidR="00980D34" w:rsidRPr="00370027" w:rsidRDefault="00980D34" w:rsidP="00A57004">
      <w:pPr>
        <w:pStyle w:val="ListNormal"/>
        <w:numPr>
          <w:ilvl w:val="4"/>
          <w:numId w:val="30"/>
        </w:numPr>
      </w:pPr>
      <w:r w:rsidRPr="00370027">
        <w:t>any business of the licensee or any affiliate or related undertaking in the provision of settlement services in</w:t>
      </w:r>
      <w:r>
        <w:t xml:space="preserve"> </w:t>
      </w:r>
      <w:r w:rsidRPr="00370027">
        <w:t>connection with the BSC or the Pooling and Settlement Agreement; or</w:t>
      </w:r>
    </w:p>
    <w:p w14:paraId="7540A262" w14:textId="77777777" w:rsidR="00980D34" w:rsidRPr="00370027" w:rsidRDefault="00980D34" w:rsidP="00A57004">
      <w:pPr>
        <w:pStyle w:val="ListNormal"/>
        <w:numPr>
          <w:ilvl w:val="4"/>
          <w:numId w:val="30"/>
        </w:numPr>
      </w:pPr>
      <w:r w:rsidRPr="00370027">
        <w:t>any other business whether or not a separate business of the licensee or any affiliate or related undertaking in the provision of services to or on behalf of any one or more persons.”</w:t>
      </w:r>
    </w:p>
    <w:p w14:paraId="4BA542E6" w14:textId="1BFF55D8" w:rsidR="00980D34" w:rsidRPr="00980D34" w:rsidRDefault="00980D34" w:rsidP="00980D34">
      <w:pPr>
        <w:rPr>
          <w:i/>
        </w:rPr>
      </w:pPr>
      <w:r>
        <w:rPr>
          <w:i/>
        </w:rPr>
        <w:t>[This drafting applies to NGET’s licence only]</w:t>
      </w:r>
    </w:p>
    <w:p w14:paraId="1B47EF85" w14:textId="77777777" w:rsidR="005825F3" w:rsidRDefault="005825F3" w:rsidP="005825F3">
      <w:pPr>
        <w:pStyle w:val="Heading3nonumbering"/>
      </w:pPr>
      <w:r w:rsidRPr="0057526A">
        <w:t xml:space="preserve">Introduction </w:t>
      </w:r>
    </w:p>
    <w:p w14:paraId="31BC788A" w14:textId="77777777" w:rsidR="005825F3" w:rsidRPr="008C6C00" w:rsidRDefault="005825F3" w:rsidP="005825F3">
      <w:pPr>
        <w:pStyle w:val="NumberedNormal"/>
      </w:pPr>
      <w:r>
        <w:t>The purpose of this licence condition is to modify the Standard Special Conditions in its application for the purposes of this licence.</w:t>
      </w:r>
    </w:p>
    <w:p w14:paraId="26691AF4" w14:textId="77777777" w:rsidR="005825F3" w:rsidRPr="005825F3" w:rsidRDefault="005825F3" w:rsidP="005825F3">
      <w:pPr>
        <w:pStyle w:val="Heading3"/>
      </w:pPr>
      <w:r>
        <w:t>Modifications</w:t>
      </w:r>
    </w:p>
    <w:p w14:paraId="288A93CF" w14:textId="2C59685C" w:rsidR="00980D34" w:rsidRPr="00A84A80" w:rsidRDefault="00980D34" w:rsidP="00991D04">
      <w:pPr>
        <w:pStyle w:val="NumberedNormal"/>
      </w:pPr>
      <w:r w:rsidRPr="00A84A80">
        <w:t xml:space="preserve">For the purposes of this licence Standard </w:t>
      </w:r>
      <w:r>
        <w:t>C</w:t>
      </w:r>
      <w:r w:rsidRPr="00A84A80">
        <w:t xml:space="preserve">ondition A1 (Definitions and interpretation) </w:t>
      </w:r>
      <w:r>
        <w:t>should be read as follows:</w:t>
      </w:r>
      <w:r w:rsidRPr="00A84A80">
        <w:t xml:space="preserve"> </w:t>
      </w:r>
    </w:p>
    <w:p w14:paraId="67553D7F" w14:textId="77777777" w:rsidR="00980D34" w:rsidRDefault="00980D34" w:rsidP="00A57004">
      <w:pPr>
        <w:pStyle w:val="ListNormal"/>
      </w:pPr>
      <w:r w:rsidRPr="00A84A80">
        <w:t>by the addition in the definition of “distribution system” immediately after “any electrical plant” insert "remote transmission assets (owned by the licensee within England and Wales) operated by such distributor and</w:t>
      </w:r>
      <w:proofErr w:type="gramStart"/>
      <w:r w:rsidRPr="00A84A80">
        <w:t>";</w:t>
      </w:r>
      <w:proofErr w:type="gramEnd"/>
    </w:p>
    <w:p w14:paraId="4C250E0C" w14:textId="77777777" w:rsidR="00980D34" w:rsidRDefault="00980D34" w:rsidP="00A57004">
      <w:pPr>
        <w:pStyle w:val="ListNormal"/>
      </w:pPr>
      <w:r w:rsidRPr="00A84A80">
        <w:t xml:space="preserve">in the definition of “GB transmission system” insert at the end, immediately preceding the full stop, “but shall not include </w:t>
      </w:r>
      <w:r>
        <w:t>any remote transmission assets</w:t>
      </w:r>
      <w:proofErr w:type="gramStart"/>
      <w:r>
        <w:t>”;</w:t>
      </w:r>
      <w:proofErr w:type="gramEnd"/>
    </w:p>
    <w:p w14:paraId="4498C531" w14:textId="77777777" w:rsidR="00980D34" w:rsidRPr="00A84A80" w:rsidRDefault="00980D34" w:rsidP="00A57004">
      <w:pPr>
        <w:pStyle w:val="ListNormal"/>
      </w:pPr>
      <w:r w:rsidRPr="00A84A80">
        <w:t>in the definition “national electricity transmission system” insert at the end, immediately preceding the full stop, “but shall not include any remote transmission assets</w:t>
      </w:r>
      <w:proofErr w:type="gramStart"/>
      <w:r w:rsidRPr="00A84A80">
        <w:t>”;</w:t>
      </w:r>
      <w:proofErr w:type="gramEnd"/>
    </w:p>
    <w:p w14:paraId="33D1B2AE" w14:textId="4F814E18" w:rsidR="00980D34" w:rsidRPr="00A84A80" w:rsidRDefault="00980D34" w:rsidP="00A57004">
      <w:pPr>
        <w:pStyle w:val="ListNormal"/>
      </w:pPr>
      <w:r w:rsidRPr="00A84A80">
        <w:t>after the definition of "relinquishment of operational control" insert:</w:t>
      </w:r>
    </w:p>
    <w:tbl>
      <w:tblPr>
        <w:tblW w:w="8505" w:type="dxa"/>
        <w:tblInd w:w="567" w:type="dxa"/>
        <w:tblLayout w:type="fixed"/>
        <w:tblCellMar>
          <w:left w:w="0" w:type="dxa"/>
          <w:right w:w="0" w:type="dxa"/>
        </w:tblCellMar>
        <w:tblLook w:val="04A0" w:firstRow="1" w:lastRow="0" w:firstColumn="1" w:lastColumn="0" w:noHBand="0" w:noVBand="1"/>
      </w:tblPr>
      <w:tblGrid>
        <w:gridCol w:w="3119"/>
        <w:gridCol w:w="5386"/>
      </w:tblGrid>
      <w:tr w:rsidR="00980D34" w:rsidRPr="00774853" w14:paraId="772AE03C" w14:textId="77777777" w:rsidTr="00970CFA">
        <w:tc>
          <w:tcPr>
            <w:tcW w:w="3119" w:type="dxa"/>
          </w:tcPr>
          <w:p w14:paraId="0EC09ACD" w14:textId="77777777" w:rsidR="00980D34" w:rsidRPr="00A84A80" w:rsidRDefault="00980D34" w:rsidP="00970CFA">
            <w:r w:rsidRPr="00A84A80">
              <w:t>"remote transmission assets"</w:t>
            </w:r>
          </w:p>
          <w:p w14:paraId="0DFF58EE" w14:textId="77777777" w:rsidR="00980D34" w:rsidRPr="00A84A80" w:rsidRDefault="00980D34" w:rsidP="00970CFA"/>
          <w:p w14:paraId="18036D9E" w14:textId="77777777" w:rsidR="00980D34" w:rsidRPr="00A84A80" w:rsidRDefault="00980D34" w:rsidP="00970CFA"/>
        </w:tc>
        <w:tc>
          <w:tcPr>
            <w:tcW w:w="5386" w:type="dxa"/>
            <w:hideMark/>
          </w:tcPr>
          <w:p w14:paraId="569100FE" w14:textId="77777777" w:rsidR="00980D34" w:rsidRPr="00A84A80" w:rsidRDefault="00980D34" w:rsidP="00970CFA">
            <w:r w:rsidRPr="00A84A80">
              <w:t>means any electric lines, electrical plant or meters in England and Wales owned by the licensee which:</w:t>
            </w:r>
          </w:p>
          <w:p w14:paraId="13DFEBC4" w14:textId="77777777" w:rsidR="00980D34" w:rsidRPr="00A84A80" w:rsidRDefault="00980D34" w:rsidP="00970CFA">
            <w:r w:rsidRPr="00A84A80">
              <w:t xml:space="preserve">are embedded in a distribution system of an authorised electricity operator within the transmission area of the licensee and are not </w:t>
            </w:r>
            <w:r w:rsidRPr="00A84A80">
              <w:lastRenderedPageBreak/>
              <w:t xml:space="preserve">directly connected by lines or plant owned by the licensee to a sub-station owned by the licensee and </w:t>
            </w:r>
          </w:p>
          <w:p w14:paraId="1064695D" w14:textId="77777777" w:rsidR="00980D34" w:rsidRPr="00A84A80" w:rsidRDefault="00980D34" w:rsidP="00970CFA">
            <w:r w:rsidRPr="00A84A80">
              <w:t>are, by agreement between the licensee and such authorised electricity operator, operated under the direction and control of such authorised electricity operator.</w:t>
            </w:r>
          </w:p>
        </w:tc>
      </w:tr>
    </w:tbl>
    <w:p w14:paraId="42E95AA1" w14:textId="77777777" w:rsidR="00980D34" w:rsidRPr="00A84A80" w:rsidRDefault="00980D34" w:rsidP="00A57004">
      <w:pPr>
        <w:pStyle w:val="ListNormal"/>
      </w:pPr>
      <w:r w:rsidRPr="00A84A80">
        <w:lastRenderedPageBreak/>
        <w:t>at the definition of “transmission business” delete sub paragraph (</w:t>
      </w:r>
      <w:proofErr w:type="spellStart"/>
      <w:r w:rsidRPr="00A84A80">
        <w:t>i</w:t>
      </w:r>
      <w:proofErr w:type="spellEnd"/>
      <w:r w:rsidRPr="00A84A80">
        <w:t>) and all subsequent text up to, but not including, the definition of “transmission constraint costs” and insert in its place the following new subparagraphs:</w:t>
      </w:r>
    </w:p>
    <w:p w14:paraId="0D469DA5" w14:textId="77777777" w:rsidR="00980D34" w:rsidRPr="00A84A80" w:rsidRDefault="00980D34" w:rsidP="00A57004">
      <w:pPr>
        <w:pStyle w:val="ListNormal"/>
        <w:numPr>
          <w:ilvl w:val="4"/>
          <w:numId w:val="30"/>
        </w:numPr>
      </w:pPr>
      <w:r>
        <w:t>“</w:t>
      </w:r>
      <w:r w:rsidRPr="00A84A80">
        <w:t>any business of the licensee or any affiliate or related undertaking in the provision of settlement services in</w:t>
      </w:r>
      <w:r>
        <w:t xml:space="preserve"> </w:t>
      </w:r>
      <w:r w:rsidRPr="00A84A80">
        <w:t xml:space="preserve">connection with the BSC or the Pooling and Settlement </w:t>
      </w:r>
      <w:proofErr w:type="gramStart"/>
      <w:r w:rsidRPr="00A84A80">
        <w:t>Agreement;</w:t>
      </w:r>
      <w:proofErr w:type="gramEnd"/>
      <w:r w:rsidRPr="00A84A80">
        <w:t xml:space="preserve"> </w:t>
      </w:r>
    </w:p>
    <w:p w14:paraId="691A7D88" w14:textId="77777777" w:rsidR="00980D34" w:rsidRDefault="00980D34" w:rsidP="00A57004">
      <w:pPr>
        <w:pStyle w:val="ListNormal"/>
        <w:numPr>
          <w:ilvl w:val="4"/>
          <w:numId w:val="30"/>
        </w:numPr>
      </w:pPr>
      <w:r w:rsidRPr="00A84A80">
        <w:t>any other business of the licensee or any affiliate or related undertaking in the provision of services to or on behalf of any one or more persons; or</w:t>
      </w:r>
    </w:p>
    <w:p w14:paraId="6E501EF4" w14:textId="77777777" w:rsidR="00980D34" w:rsidRPr="00A84A80" w:rsidRDefault="00980D34" w:rsidP="00A57004">
      <w:pPr>
        <w:pStyle w:val="ListNormal"/>
        <w:numPr>
          <w:ilvl w:val="4"/>
          <w:numId w:val="30"/>
        </w:numPr>
      </w:pPr>
      <w:r w:rsidRPr="00A84A80">
        <w:t xml:space="preserve">any business of National Grid Electricity System Operator Limited (Company Number 11014226) and its affiliates or related undertakings that is participating in the transmission of </w:t>
      </w:r>
      <w:proofErr w:type="gramStart"/>
      <w:r w:rsidRPr="00A84A80">
        <w:t>electricity  pursuant</w:t>
      </w:r>
      <w:proofErr w:type="gramEnd"/>
      <w:r w:rsidRPr="00A84A80">
        <w:t xml:space="preserve"> to a transmission licence held by National Grid Electricity System Operator Limited”.</w:t>
      </w:r>
    </w:p>
    <w:p w14:paraId="6A78437C" w14:textId="77777777" w:rsidR="003B3E62" w:rsidRDefault="003B3E62" w:rsidP="003B3E62">
      <w:pPr>
        <w:pStyle w:val="Heading1"/>
      </w:pPr>
      <w:bookmarkStart w:id="17" w:name="_Toc51319593"/>
      <w:bookmarkStart w:id="18" w:name="_Toc51798250"/>
      <w:bookmarkStart w:id="19" w:name="_Toc52364878"/>
      <w:r>
        <w:lastRenderedPageBreak/>
        <w:t>Revenue Restriction</w:t>
      </w:r>
      <w:bookmarkEnd w:id="11"/>
      <w:bookmarkEnd w:id="17"/>
      <w:bookmarkEnd w:id="18"/>
      <w:bookmarkEnd w:id="19"/>
    </w:p>
    <w:p w14:paraId="22C1CCC8" w14:textId="6B38055E" w:rsidR="003B3E62" w:rsidRDefault="003B3E62" w:rsidP="003B3E62">
      <w:pPr>
        <w:pStyle w:val="Heading2"/>
        <w:numPr>
          <w:ilvl w:val="1"/>
          <w:numId w:val="4"/>
        </w:numPr>
      </w:pPr>
      <w:bookmarkStart w:id="20" w:name="_Toc33175305"/>
      <w:bookmarkStart w:id="21" w:name="_Toc33175842"/>
      <w:bookmarkStart w:id="22" w:name="_Toc48610141"/>
      <w:bookmarkStart w:id="23" w:name="_Toc51319594"/>
      <w:bookmarkStart w:id="24" w:name="_Toc51798251"/>
      <w:bookmarkStart w:id="25" w:name="_Toc52364879"/>
      <w:r>
        <w:t>Revenue</w:t>
      </w:r>
      <w:bookmarkEnd w:id="20"/>
      <w:bookmarkEnd w:id="21"/>
      <w:r>
        <w:t xml:space="preserve"> Restriction</w:t>
      </w:r>
      <w:bookmarkEnd w:id="22"/>
      <w:bookmarkEnd w:id="23"/>
      <w:bookmarkEnd w:id="24"/>
      <w:bookmarkEnd w:id="25"/>
    </w:p>
    <w:p w14:paraId="088F5BCD" w14:textId="77777777" w:rsidR="00D924EE" w:rsidRDefault="00D924EE" w:rsidP="00D924EE">
      <w:pPr>
        <w:pStyle w:val="Heading3nonumbering"/>
      </w:pPr>
      <w:r>
        <w:t>Introduction</w:t>
      </w:r>
    </w:p>
    <w:p w14:paraId="7EC17B3F" w14:textId="77777777" w:rsidR="00D924EE" w:rsidRDefault="00D924EE" w:rsidP="00D924EE">
      <w:pPr>
        <w:pStyle w:val="NumberedNormal"/>
      </w:pPr>
      <w:r>
        <w:t>The purpose of this condition is to ensure that the licensee sets Network Charges to aim to recover no more than Allowed Revenue.</w:t>
      </w:r>
    </w:p>
    <w:p w14:paraId="5FA20D6E" w14:textId="77777777" w:rsidR="00D924EE" w:rsidRDefault="00D924EE" w:rsidP="00D924EE">
      <w:pPr>
        <w:pStyle w:val="NumberedNormal"/>
      </w:pPr>
      <w:r>
        <w:t xml:space="preserve">This condition also provides for the calculation of the term </w:t>
      </w:r>
      <w:proofErr w:type="spellStart"/>
      <w:r>
        <w:t>AR</w:t>
      </w:r>
      <w:r w:rsidRPr="4A26DA62">
        <w:rPr>
          <w:vertAlign w:val="subscript"/>
        </w:rPr>
        <w:t>t</w:t>
      </w:r>
      <w:proofErr w:type="spellEnd"/>
      <w:r>
        <w:t xml:space="preserve"> (the Allowed Revenue term). </w:t>
      </w:r>
    </w:p>
    <w:p w14:paraId="66EA2461" w14:textId="77777777" w:rsidR="00D924EE" w:rsidRDefault="00D924EE" w:rsidP="00D924EE">
      <w:pPr>
        <w:pStyle w:val="Heading3"/>
      </w:pPr>
      <w:r>
        <w:t>Licensee’s obligation when setting Network Charges</w:t>
      </w:r>
    </w:p>
    <w:p w14:paraId="3F827AE6" w14:textId="77777777" w:rsidR="00D924EE" w:rsidRDefault="00D924EE" w:rsidP="00D924EE">
      <w:pPr>
        <w:pStyle w:val="NumberedNormal"/>
      </w:pPr>
      <w:r>
        <w:t>The licensee must, when setting Network Charges use its best endeavours to ensure that Recovered Revenue does not exceed Allowed Revenue.</w:t>
      </w:r>
    </w:p>
    <w:p w14:paraId="0BB1A558" w14:textId="77777777" w:rsidR="00D924EE" w:rsidRDefault="00D924EE" w:rsidP="00D924EE">
      <w:pPr>
        <w:pStyle w:val="Heading3"/>
      </w:pPr>
      <w:r>
        <w:t>Formula for calculating the Allowed Revenue term (</w:t>
      </w:r>
      <w:proofErr w:type="spellStart"/>
      <w:r>
        <w:t>AR</w:t>
      </w:r>
      <w:r w:rsidRPr="4A26DA62">
        <w:rPr>
          <w:vertAlign w:val="subscript"/>
        </w:rPr>
        <w:t>t</w:t>
      </w:r>
      <w:proofErr w:type="spellEnd"/>
      <w:r>
        <w:t>)</w:t>
      </w:r>
    </w:p>
    <w:p w14:paraId="3920E800" w14:textId="7A766134" w:rsidR="00D924EE" w:rsidRDefault="00D924EE" w:rsidP="00D924EE">
      <w:pPr>
        <w:pStyle w:val="NumberedNormal"/>
      </w:pPr>
      <w:r>
        <w:t xml:space="preserve">The value of </w:t>
      </w:r>
      <w:proofErr w:type="spellStart"/>
      <w:r>
        <w:t>AR</w:t>
      </w:r>
      <w:r w:rsidRPr="4A26DA62">
        <w:rPr>
          <w:vertAlign w:val="subscript"/>
        </w:rPr>
        <w:t>t</w:t>
      </w:r>
      <w:proofErr w:type="spellEnd"/>
      <w:r w:rsidRPr="4A26DA62">
        <w:rPr>
          <w:vertAlign w:val="subscript"/>
        </w:rPr>
        <w:t xml:space="preserve"> </w:t>
      </w:r>
      <w:r>
        <w:t>is derived in accordance with the following formula:</w:t>
      </w:r>
    </w:p>
    <w:p w14:paraId="3E712955" w14:textId="1761B99B" w:rsidR="00D924EE" w:rsidRPr="00D74E41" w:rsidRDefault="00B913B6" w:rsidP="00D924EE">
      <m:oMathPara>
        <m:oMath>
          <m:sSub>
            <m:sSubPr>
              <m:ctrlPr>
                <w:rPr>
                  <w:rFonts w:ascii="Cambria Math" w:hAnsi="Cambria Math"/>
                  <w:i/>
                </w:rPr>
              </m:ctrlPr>
            </m:sSubPr>
            <m:e>
              <m:r>
                <w:rPr>
                  <w:rFonts w:ascii="Cambria Math" w:hAnsi="Cambria Math"/>
                </w:rPr>
                <m:t>AR</m:t>
              </m:r>
            </m:e>
            <m:sub>
              <m:r>
                <w:rPr>
                  <w:rFonts w:ascii="Cambria Math"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t</m:t>
              </m:r>
            </m:sub>
          </m:sSub>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t</m:t>
                  </m:r>
                </m:sub>
              </m:sSub>
            </m:num>
            <m:den>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2018/19</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ADJ</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t</m:t>
              </m:r>
            </m:sub>
          </m:sSub>
        </m:oMath>
      </m:oMathPara>
    </w:p>
    <w:p w14:paraId="164B79D9" w14:textId="77777777" w:rsidR="00D924EE" w:rsidRPr="00D74E41" w:rsidRDefault="00D924EE" w:rsidP="00D924EE">
      <w:r>
        <w:tab/>
        <w:t>where:</w:t>
      </w:r>
    </w:p>
    <w:tbl>
      <w:tblPr>
        <w:tblStyle w:val="TableGridLight"/>
        <w:tblW w:w="0" w:type="auto"/>
        <w:tblLook w:val="04A0" w:firstRow="1" w:lastRow="0" w:firstColumn="1" w:lastColumn="0" w:noHBand="0" w:noVBand="1"/>
      </w:tblPr>
      <w:tblGrid>
        <w:gridCol w:w="684"/>
        <w:gridCol w:w="7662"/>
      </w:tblGrid>
      <w:tr w:rsidR="00D924EE" w:rsidRPr="007E49B6" w14:paraId="04829121" w14:textId="77777777" w:rsidTr="00DF1507">
        <w:trPr>
          <w:trHeight w:val="235"/>
        </w:trPr>
        <w:tc>
          <w:tcPr>
            <w:tcW w:w="0" w:type="auto"/>
          </w:tcPr>
          <w:p w14:paraId="688E36BF" w14:textId="77777777" w:rsidR="00D924EE" w:rsidRPr="00A93E30" w:rsidRDefault="00B913B6" w:rsidP="00DF1507">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t</m:t>
                    </m:r>
                  </m:sub>
                </m:sSub>
              </m:oMath>
            </m:oMathPara>
          </w:p>
        </w:tc>
        <w:tc>
          <w:tcPr>
            <w:tcW w:w="0" w:type="auto"/>
          </w:tcPr>
          <w:p w14:paraId="32D73114" w14:textId="3589816B" w:rsidR="00D924EE" w:rsidRPr="00D74E41" w:rsidRDefault="00D924EE" w:rsidP="00DF1507">
            <w:r w:rsidRPr="007E49B6">
              <w:t xml:space="preserve">means </w:t>
            </w:r>
            <w:r w:rsidRPr="00D74E41">
              <w:t>Calculated Revenue</w:t>
            </w:r>
            <w:r>
              <w:t xml:space="preserve">, derived in accordance with Part </w:t>
            </w:r>
            <w:r w:rsidR="0097487F">
              <w:t>C</w:t>
            </w:r>
            <w:r>
              <w:t>;</w:t>
            </w:r>
          </w:p>
        </w:tc>
      </w:tr>
      <w:tr w:rsidR="00D924EE" w:rsidRPr="007E49B6" w14:paraId="0F48D95B" w14:textId="77777777" w:rsidTr="00DF1507">
        <w:trPr>
          <w:trHeight w:val="235"/>
        </w:trPr>
        <w:tc>
          <w:tcPr>
            <w:tcW w:w="0" w:type="auto"/>
          </w:tcPr>
          <w:p w14:paraId="20064FB2" w14:textId="77777777" w:rsidR="00D924EE" w:rsidRPr="00A93E30" w:rsidRDefault="00B913B6" w:rsidP="00DF1507">
            <m:oMathPara>
              <m:oMathParaPr>
                <m:jc m:val="left"/>
              </m:oMathParaPr>
              <m:oMath>
                <m:sSub>
                  <m:sSubPr>
                    <m:ctrlPr>
                      <w:rPr>
                        <w:rFonts w:ascii="Cambria Math" w:eastAsiaTheme="minorEastAsia" w:hAnsi="Cambria Math"/>
                        <w:i/>
                      </w:rPr>
                    </m:ctrlPr>
                  </m:sSubPr>
                  <m:e>
                    <m:r>
                      <w:rPr>
                        <w:rFonts w:ascii="Cambria Math" w:eastAsiaTheme="minorEastAsia" w:hAnsi="Cambria Math"/>
                      </w:rPr>
                      <m:t>PI</m:t>
                    </m:r>
                  </m:e>
                  <m:sub>
                    <m:r>
                      <w:rPr>
                        <w:rFonts w:ascii="Cambria Math" w:eastAsiaTheme="minorEastAsia" w:hAnsi="Cambria Math"/>
                      </w:rPr>
                      <m:t>t</m:t>
                    </m:r>
                  </m:sub>
                </m:sSub>
              </m:oMath>
            </m:oMathPara>
          </w:p>
        </w:tc>
        <w:tc>
          <w:tcPr>
            <w:tcW w:w="0" w:type="auto"/>
          </w:tcPr>
          <w:p w14:paraId="2D2C15B0" w14:textId="7736B178" w:rsidR="00D924EE" w:rsidRPr="00D74E41" w:rsidRDefault="00D924EE" w:rsidP="00DF1507">
            <w:r w:rsidRPr="007E49B6">
              <w:t>is the</w:t>
            </w:r>
            <w:r>
              <w:t xml:space="preserve"> </w:t>
            </w:r>
            <w:r w:rsidRPr="007E49B6">
              <w:t xml:space="preserve">price index </w:t>
            </w:r>
            <w:r>
              <w:t xml:space="preserve">calculated </w:t>
            </w:r>
            <w:r w:rsidRPr="00D74E41">
              <w:t xml:space="preserve">in accordance with </w:t>
            </w:r>
            <w:r>
              <w:t xml:space="preserve">Part </w:t>
            </w:r>
            <w:r w:rsidR="0097487F">
              <w:t>D</w:t>
            </w:r>
            <w:r>
              <w:t xml:space="preserve">; </w:t>
            </w:r>
          </w:p>
        </w:tc>
      </w:tr>
      <w:tr w:rsidR="00D924EE" w:rsidRPr="007E49B6" w14:paraId="74E005C8" w14:textId="77777777" w:rsidTr="00DF1507">
        <w:trPr>
          <w:trHeight w:val="235"/>
        </w:trPr>
        <w:tc>
          <w:tcPr>
            <w:tcW w:w="0" w:type="auto"/>
          </w:tcPr>
          <w:p w14:paraId="78C7386B" w14:textId="77777777" w:rsidR="00D924EE" w:rsidRPr="00A93E30" w:rsidRDefault="00B913B6" w:rsidP="00DF1507">
            <m:oMathPara>
              <m:oMathParaPr>
                <m:jc m:val="left"/>
              </m:oMathParaPr>
              <m:oMath>
                <m:sSub>
                  <m:sSubPr>
                    <m:ctrlPr>
                      <w:rPr>
                        <w:rFonts w:ascii="Cambria Math" w:eastAsiaTheme="minorEastAsia" w:hAnsi="Cambria Math"/>
                        <w:i/>
                      </w:rPr>
                    </m:ctrlPr>
                  </m:sSubPr>
                  <m:e>
                    <m:r>
                      <w:rPr>
                        <w:rFonts w:ascii="Cambria Math" w:eastAsiaTheme="minorEastAsia" w:hAnsi="Cambria Math"/>
                      </w:rPr>
                      <m:t>ADJ</m:t>
                    </m:r>
                  </m:e>
                  <m:sub>
                    <m:r>
                      <w:rPr>
                        <w:rFonts w:ascii="Cambria Math" w:eastAsiaTheme="minorEastAsia" w:hAnsi="Cambria Math"/>
                      </w:rPr>
                      <m:t>t</m:t>
                    </m:r>
                  </m:sub>
                </m:sSub>
              </m:oMath>
            </m:oMathPara>
          </w:p>
        </w:tc>
        <w:tc>
          <w:tcPr>
            <w:tcW w:w="0" w:type="auto"/>
          </w:tcPr>
          <w:p w14:paraId="0DCC6233" w14:textId="77777777" w:rsidR="00D924EE" w:rsidRPr="00161DA4" w:rsidRDefault="00D924EE" w:rsidP="00DF1507">
            <w:r>
              <w:t>means the AIP adjustment term and is</w:t>
            </w:r>
            <w:r w:rsidRPr="0021550E">
              <w:t xml:space="preserve"> derived in accordance with </w:t>
            </w:r>
            <w:r>
              <w:t xml:space="preserve">Special Condition 2.2 (AIP adjustment term); </w:t>
            </w:r>
          </w:p>
        </w:tc>
      </w:tr>
      <w:tr w:rsidR="00D924EE" w:rsidRPr="007E49B6" w14:paraId="7D2932E3" w14:textId="77777777" w:rsidTr="00DF1507">
        <w:trPr>
          <w:trHeight w:val="235"/>
        </w:trPr>
        <w:tc>
          <w:tcPr>
            <w:tcW w:w="0" w:type="auto"/>
          </w:tcPr>
          <w:p w14:paraId="514ABFE4" w14:textId="77777777" w:rsidR="00D924EE" w:rsidRPr="00A93E30" w:rsidRDefault="00B913B6" w:rsidP="00DF1507">
            <m:oMathPara>
              <m:oMathParaPr>
                <m:jc m:val="left"/>
              </m:oMathParaPr>
              <m:oMath>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t</m:t>
                    </m:r>
                  </m:sub>
                </m:sSub>
              </m:oMath>
            </m:oMathPara>
          </w:p>
        </w:tc>
        <w:tc>
          <w:tcPr>
            <w:tcW w:w="0" w:type="auto"/>
          </w:tcPr>
          <w:p w14:paraId="3BB07FF2" w14:textId="22BF66A9" w:rsidR="00D924EE" w:rsidRPr="00D74E41" w:rsidRDefault="00D924EE" w:rsidP="00DF1507">
            <w:r>
              <w:t>means the K correction term and is</w:t>
            </w:r>
            <w:r w:rsidRPr="0021550E">
              <w:t xml:space="preserve"> derived in accordance with </w:t>
            </w:r>
            <w:r>
              <w:t xml:space="preserve">Part A of Special Condition 2.3 (Correction </w:t>
            </w:r>
            <w:r w:rsidR="001C270E">
              <w:t>and penalty</w:t>
            </w:r>
            <w:r>
              <w:t xml:space="preserve"> term</w:t>
            </w:r>
            <w:r w:rsidR="001C270E">
              <w:t>s</w:t>
            </w:r>
            <w:r>
              <w:t>); and</w:t>
            </w:r>
          </w:p>
        </w:tc>
      </w:tr>
    </w:tbl>
    <w:p w14:paraId="1CBA99E5" w14:textId="77777777" w:rsidR="00D924EE" w:rsidRPr="007C7A7D" w:rsidRDefault="00D924EE" w:rsidP="00D924EE">
      <w:pPr>
        <w:pStyle w:val="NumberedNormal"/>
        <w:rPr>
          <w:rFonts w:eastAsiaTheme="minorEastAsia"/>
        </w:rPr>
      </w:pPr>
      <w:r>
        <w:rPr>
          <w:rFonts w:eastAsiaTheme="minorEastAsia"/>
        </w:rPr>
        <w:t xml:space="preserve">The value of </w:t>
      </w:r>
      <m:oMath>
        <m:sSub>
          <m:sSubPr>
            <m:ctrlPr>
              <w:rPr>
                <w:rFonts w:ascii="Cambria Math" w:hAnsi="Cambria Math"/>
                <w:i/>
              </w:rPr>
            </m:ctrlPr>
          </m:sSubPr>
          <m:e>
            <m:r>
              <w:rPr>
                <w:rFonts w:ascii="Cambria Math" w:hAnsi="Cambria Math"/>
              </w:rPr>
              <m:t>AR</m:t>
            </m:r>
          </m:e>
          <m:sub>
            <m:r>
              <w:rPr>
                <w:rFonts w:ascii="Cambria Math" w:hAnsi="Cambria Math"/>
              </w:rPr>
              <m:t>t</m:t>
            </m:r>
          </m:sub>
        </m:sSub>
      </m:oMath>
      <w:r>
        <w:rPr>
          <w:rFonts w:eastAsiaTheme="minorEastAsia"/>
        </w:rPr>
        <w:t xml:space="preserve"> will be published pursuant to Part B of Special Condition 8.2 (</w:t>
      </w:r>
      <w:r w:rsidRPr="007C7A7D">
        <w:rPr>
          <w:rFonts w:eastAsiaTheme="minorEastAsia"/>
        </w:rPr>
        <w:t>Annual Iteration Process for the GD2 Price Control Financial Model</w:t>
      </w:r>
      <w:r>
        <w:rPr>
          <w:rFonts w:eastAsiaTheme="minorEastAsia"/>
        </w:rPr>
        <w:t xml:space="preserve">). </w:t>
      </w:r>
      <w:r>
        <w:t xml:space="preserve">The value of </w:t>
      </w:r>
      <m:oMath>
        <m:sSub>
          <m:sSubPr>
            <m:ctrlPr>
              <w:rPr>
                <w:rFonts w:ascii="Cambria Math" w:hAnsi="Cambria Math"/>
                <w:i/>
              </w:rPr>
            </m:ctrlPr>
          </m:sSubPr>
          <m:e>
            <m:r>
              <w:rPr>
                <w:rFonts w:ascii="Cambria Math" w:hAnsi="Cambria Math"/>
              </w:rPr>
              <m:t>AR</m:t>
            </m:r>
          </m:e>
          <m:sub>
            <m:r>
              <w:rPr>
                <w:rFonts w:ascii="Cambria Math" w:hAnsi="Cambria Math"/>
              </w:rPr>
              <m:t>t</m:t>
            </m:r>
          </m:sub>
        </m:sSub>
      </m:oMath>
      <w:r>
        <w:rPr>
          <w:rFonts w:eastAsiaTheme="minorEastAsia"/>
        </w:rPr>
        <w:t xml:space="preserve"> is not revised following publication.</w:t>
      </w:r>
    </w:p>
    <w:p w14:paraId="3DAE9A31" w14:textId="77777777" w:rsidR="00D924EE" w:rsidRPr="00C568EF" w:rsidRDefault="00D924EE" w:rsidP="00D924EE">
      <w:pPr>
        <w:pStyle w:val="Heading3"/>
        <w:rPr>
          <w:rFonts w:eastAsiaTheme="minorEastAsia"/>
        </w:rPr>
      </w:pPr>
      <w:r>
        <w:t>Formula for calculating the Calculated Revenue term (Rt)</w:t>
      </w:r>
    </w:p>
    <w:p w14:paraId="6E5E25E3" w14:textId="77777777" w:rsidR="00D924EE" w:rsidRDefault="00D924EE" w:rsidP="00D924EE">
      <w:pPr>
        <w:pStyle w:val="NumberedNormal"/>
      </w:pPr>
      <w:r>
        <w:t>The value of R</w:t>
      </w:r>
      <w:r w:rsidRPr="4A26DA62">
        <w:rPr>
          <w:vertAlign w:val="subscript"/>
        </w:rPr>
        <w:t>t</w:t>
      </w:r>
      <w:r>
        <w:t xml:space="preserve"> is derived in accordance with the following formula:</w:t>
      </w:r>
    </w:p>
    <w:p w14:paraId="2CE0585F" w14:textId="77777777" w:rsidR="00D924EE" w:rsidRPr="00BA6B9B" w:rsidRDefault="00B913B6" w:rsidP="00D924EE">
      <m:oMathPara>
        <m:oMath>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i/>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ODI</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INNV</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35AB055C" w14:textId="77777777" w:rsidR="00D924EE" w:rsidRPr="00BA6B9B" w:rsidRDefault="00D924EE" w:rsidP="00D924EE">
      <w:pPr>
        <w:pStyle w:val="NumberedNormal"/>
      </w:pPr>
      <w:r>
        <w:t>w</w:t>
      </w:r>
      <w:r w:rsidRPr="00BA6B9B">
        <w:t>here</w:t>
      </w:r>
      <w:r>
        <w:t xml:space="preserve"> all values are as published pursuant to Part A of Special Condition 8.2 (</w:t>
      </w:r>
      <w:r w:rsidRPr="007C7A7D">
        <w:t>Annual Iteration Process for the GD2 Price Control Financial Model</w:t>
      </w:r>
      <w:r>
        <w:t>) and</w:t>
      </w:r>
    </w:p>
    <w:tbl>
      <w:tblPr>
        <w:tblStyle w:val="TableGridLight"/>
        <w:tblW w:w="0" w:type="auto"/>
        <w:tblLook w:val="04A0" w:firstRow="1" w:lastRow="0" w:firstColumn="1" w:lastColumn="0" w:noHBand="0" w:noVBand="1"/>
      </w:tblPr>
      <w:tblGrid>
        <w:gridCol w:w="911"/>
        <w:gridCol w:w="7435"/>
      </w:tblGrid>
      <w:tr w:rsidR="00D924EE" w:rsidRPr="0088006F" w14:paraId="06233B1B" w14:textId="77777777" w:rsidTr="00DF1507">
        <w:trPr>
          <w:trHeight w:val="567"/>
        </w:trPr>
        <w:tc>
          <w:tcPr>
            <w:tcW w:w="0" w:type="auto"/>
          </w:tcPr>
          <w:p w14:paraId="7CF973E2" w14:textId="77777777" w:rsidR="00D924EE" w:rsidRPr="00F73C1F" w:rsidRDefault="00B913B6" w:rsidP="00DF1507">
            <w:pPr>
              <w:jc w:val="both"/>
            </w:pPr>
            <m:oMathPara>
              <m:oMathParaPr>
                <m:jc m:val="left"/>
              </m:oMathParaPr>
              <m:oMath>
                <m:sSub>
                  <m:sSubPr>
                    <m:ctrlPr>
                      <w:rPr>
                        <w:rFonts w:ascii="Cambria Math" w:hAnsi="Cambria Math"/>
                        <w:i/>
                      </w:rPr>
                    </m:ctrlPr>
                  </m:sSubPr>
                  <m:e>
                    <m:r>
                      <w:rPr>
                        <w:rFonts w:ascii="Cambria Math" w:hAnsi="Cambria Math"/>
                      </w:rPr>
                      <m:t>FM</m:t>
                    </m:r>
                  </m:e>
                  <m:sub>
                    <m:r>
                      <w:rPr>
                        <w:rFonts w:ascii="Cambria Math" w:hAnsi="Cambria Math"/>
                      </w:rPr>
                      <m:t>t</m:t>
                    </m:r>
                  </m:sub>
                </m:sSub>
              </m:oMath>
            </m:oMathPara>
          </w:p>
        </w:tc>
        <w:tc>
          <w:tcPr>
            <w:tcW w:w="0" w:type="auto"/>
          </w:tcPr>
          <w:p w14:paraId="08DFA0A9" w14:textId="77777777" w:rsidR="00D924EE" w:rsidRDefault="00D924EE" w:rsidP="00DF1507">
            <w:r>
              <w:t>means fast money and has the value set out in sheet X of the GD2 Price Control Financial Model</w:t>
            </w:r>
            <w:r>
              <w:rPr>
                <w:rFonts w:eastAsiaTheme="minorEastAsia"/>
              </w:rPr>
              <w:t>)</w:t>
            </w:r>
            <w:r>
              <w:t>;</w:t>
            </w:r>
          </w:p>
        </w:tc>
      </w:tr>
      <w:tr w:rsidR="00D924EE" w:rsidRPr="0088006F" w14:paraId="6384CCB3" w14:textId="77777777" w:rsidTr="00DF1507">
        <w:trPr>
          <w:trHeight w:val="567"/>
        </w:trPr>
        <w:tc>
          <w:tcPr>
            <w:tcW w:w="0" w:type="auto"/>
          </w:tcPr>
          <w:p w14:paraId="109F27C5" w14:textId="77777777" w:rsidR="00D924EE" w:rsidRPr="00F73C1F" w:rsidRDefault="00B913B6" w:rsidP="00DF1507">
            <w:pPr>
              <w:jc w:val="both"/>
            </w:pPr>
            <m:oMathPara>
              <m:oMathParaPr>
                <m:jc m:val="left"/>
              </m:oMathParaPr>
              <m:oMath>
                <m:sSub>
                  <m:sSubPr>
                    <m:ctrlPr>
                      <w:rPr>
                        <w:rFonts w:ascii="Cambria Math" w:hAnsi="Cambria Math"/>
                      </w:rPr>
                    </m:ctrlPr>
                  </m:sSubPr>
                  <m:e>
                    <m:r>
                      <w:rPr>
                        <w:rFonts w:ascii="Cambria Math" w:hAnsi="Cambria Math"/>
                      </w:rPr>
                      <m:t>PT</m:t>
                    </m:r>
                  </m:e>
                  <m:sub>
                    <m:r>
                      <w:rPr>
                        <w:rFonts w:ascii="Cambria Math" w:hAnsi="Cambria Math"/>
                      </w:rPr>
                      <m:t>t</m:t>
                    </m:r>
                  </m:sub>
                </m:sSub>
              </m:oMath>
            </m:oMathPara>
          </w:p>
        </w:tc>
        <w:tc>
          <w:tcPr>
            <w:tcW w:w="0" w:type="auto"/>
          </w:tcPr>
          <w:p w14:paraId="44C56371" w14:textId="02C90B27" w:rsidR="00D924EE" w:rsidRDefault="00D924EE" w:rsidP="00DF1507">
            <w:r>
              <w:t>is</w:t>
            </w:r>
            <w:r w:rsidRPr="00CC7D3E">
              <w:t xml:space="preserve"> derived in accordance with Special Condition </w:t>
            </w:r>
            <w:r>
              <w:t>6.1 (</w:t>
            </w:r>
            <w:r w:rsidRPr="004A4BC8">
              <w:t xml:space="preserve">Pass through </w:t>
            </w:r>
            <w:r>
              <w:t>expenditure);</w:t>
            </w:r>
          </w:p>
        </w:tc>
      </w:tr>
      <w:tr w:rsidR="00D924EE" w:rsidRPr="0088006F" w14:paraId="0A94ADBB" w14:textId="77777777" w:rsidTr="00DF1507">
        <w:trPr>
          <w:trHeight w:val="567"/>
        </w:trPr>
        <w:tc>
          <w:tcPr>
            <w:tcW w:w="0" w:type="auto"/>
          </w:tcPr>
          <w:p w14:paraId="78ADE962" w14:textId="77777777" w:rsidR="00D924EE" w:rsidRPr="00F73C1F" w:rsidRDefault="00B913B6" w:rsidP="00DF1507">
            <w:pPr>
              <w:jc w:val="both"/>
            </w:pPr>
            <m:oMathPara>
              <m:oMathParaPr>
                <m:jc m:val="left"/>
              </m:oMathParaPr>
              <m:oMath>
                <m:sSub>
                  <m:sSubPr>
                    <m:ctrlPr>
                      <w:rPr>
                        <w:rFonts w:ascii="Cambria Math" w:hAnsi="Cambria Math"/>
                      </w:rPr>
                    </m:ctrlPr>
                  </m:sSubPr>
                  <m:e>
                    <m:r>
                      <w:rPr>
                        <w:rFonts w:ascii="Cambria Math" w:hAnsi="Cambria Math"/>
                      </w:rPr>
                      <m:t>DPN</m:t>
                    </m:r>
                  </m:e>
                  <m:sub>
                    <m:r>
                      <w:rPr>
                        <w:rFonts w:ascii="Cambria Math" w:hAnsi="Cambria Math"/>
                      </w:rPr>
                      <m:t>t</m:t>
                    </m:r>
                  </m:sub>
                </m:sSub>
              </m:oMath>
            </m:oMathPara>
          </w:p>
        </w:tc>
        <w:tc>
          <w:tcPr>
            <w:tcW w:w="0" w:type="auto"/>
          </w:tcPr>
          <w:p w14:paraId="42DF4631" w14:textId="0D2BCAA1" w:rsidR="00D924EE" w:rsidRDefault="00D924EE" w:rsidP="00DF1507">
            <w:r>
              <w:t xml:space="preserve">means depreciation and has </w:t>
            </w:r>
            <w:r w:rsidRPr="00A54048">
              <w:t xml:space="preserve">the </w:t>
            </w:r>
            <w:r>
              <w:t>value set out in sheet</w:t>
            </w:r>
            <w:r w:rsidRPr="00A54048">
              <w:t xml:space="preserve"> X of the </w:t>
            </w:r>
            <w:r w:rsidR="002F029A">
              <w:t>ET2</w:t>
            </w:r>
            <w:r>
              <w:t xml:space="preserve"> </w:t>
            </w:r>
            <w:r w:rsidRPr="00A54048">
              <w:t>P</w:t>
            </w:r>
            <w:r>
              <w:t>rice Control Financial Model</w:t>
            </w:r>
            <w:r>
              <w:rPr>
                <w:rFonts w:eastAsiaTheme="minorEastAsia"/>
              </w:rPr>
              <w:t>)</w:t>
            </w:r>
            <w:r>
              <w:t>;</w:t>
            </w:r>
          </w:p>
        </w:tc>
      </w:tr>
      <w:tr w:rsidR="00D924EE" w:rsidRPr="0088006F" w14:paraId="58035FEC" w14:textId="77777777" w:rsidTr="00DF1507">
        <w:trPr>
          <w:trHeight w:val="567"/>
        </w:trPr>
        <w:tc>
          <w:tcPr>
            <w:tcW w:w="0" w:type="auto"/>
          </w:tcPr>
          <w:p w14:paraId="04D98FF1" w14:textId="77777777" w:rsidR="00D924EE" w:rsidRPr="00F73C1F" w:rsidRDefault="00B913B6" w:rsidP="00DF1507">
            <w:pPr>
              <w:jc w:val="both"/>
            </w:pPr>
            <m:oMathPara>
              <m:oMathParaPr>
                <m:jc m:val="left"/>
              </m:oMathParaPr>
              <m:oMath>
                <m:sSub>
                  <m:sSubPr>
                    <m:ctrlPr>
                      <w:rPr>
                        <w:rFonts w:ascii="Cambria Math" w:hAnsi="Cambria Math"/>
                      </w:rPr>
                    </m:ctrlPr>
                  </m:sSubPr>
                  <m:e>
                    <m:r>
                      <w:rPr>
                        <w:rFonts w:ascii="Cambria Math" w:hAnsi="Cambria Math"/>
                      </w:rPr>
                      <m:t>RTN</m:t>
                    </m:r>
                  </m:e>
                  <m:sub>
                    <m:r>
                      <w:rPr>
                        <w:rFonts w:ascii="Cambria Math" w:hAnsi="Cambria Math"/>
                      </w:rPr>
                      <m:t>t</m:t>
                    </m:r>
                  </m:sub>
                </m:sSub>
              </m:oMath>
            </m:oMathPara>
          </w:p>
        </w:tc>
        <w:tc>
          <w:tcPr>
            <w:tcW w:w="0" w:type="auto"/>
          </w:tcPr>
          <w:p w14:paraId="2973BC16" w14:textId="4F5142F2" w:rsidR="00D924EE" w:rsidRDefault="00D924EE" w:rsidP="00DF1507">
            <w:r>
              <w:t xml:space="preserve">means return and </w:t>
            </w:r>
            <w:r w:rsidRPr="00A54048">
              <w:t xml:space="preserve">has the </w:t>
            </w:r>
            <w:r>
              <w:t>value set out in sheet</w:t>
            </w:r>
            <w:r w:rsidRPr="00A54048">
              <w:t xml:space="preserve"> X of the </w:t>
            </w:r>
            <w:r w:rsidR="002F029A">
              <w:t>ET2</w:t>
            </w:r>
            <w:r>
              <w:t xml:space="preserve"> </w:t>
            </w:r>
            <w:r w:rsidRPr="00A54048">
              <w:t>P</w:t>
            </w:r>
            <w:r>
              <w:t>rice Control Financial Model;</w:t>
            </w:r>
          </w:p>
        </w:tc>
      </w:tr>
      <w:tr w:rsidR="00D924EE" w:rsidRPr="0088006F" w14:paraId="797CFC4C" w14:textId="77777777" w:rsidTr="00DF1507">
        <w:trPr>
          <w:trHeight w:val="567"/>
        </w:trPr>
        <w:tc>
          <w:tcPr>
            <w:tcW w:w="0" w:type="auto"/>
          </w:tcPr>
          <w:p w14:paraId="1483C8F6" w14:textId="77777777" w:rsidR="00D924EE" w:rsidRPr="00F73C1F" w:rsidRDefault="00B913B6" w:rsidP="00DF1507">
            <w:pPr>
              <w:jc w:val="both"/>
            </w:pPr>
            <m:oMathPara>
              <m:oMathParaPr>
                <m:jc m:val="left"/>
              </m:oMathParaPr>
              <m:oMath>
                <m:sSub>
                  <m:sSubPr>
                    <m:ctrlPr>
                      <w:rPr>
                        <w:rFonts w:ascii="Cambria Math" w:hAnsi="Cambria Math"/>
                      </w:rPr>
                    </m:ctrlPr>
                  </m:sSubPr>
                  <m:e>
                    <m:r>
                      <w:rPr>
                        <w:rFonts w:ascii="Cambria Math" w:hAnsi="Cambria Math"/>
                      </w:rPr>
                      <m:t>RTNA</m:t>
                    </m:r>
                  </m:e>
                  <m:sub>
                    <m:r>
                      <w:rPr>
                        <w:rFonts w:ascii="Cambria Math" w:hAnsi="Cambria Math"/>
                      </w:rPr>
                      <m:t>t</m:t>
                    </m:r>
                  </m:sub>
                </m:sSub>
              </m:oMath>
            </m:oMathPara>
          </w:p>
        </w:tc>
        <w:tc>
          <w:tcPr>
            <w:tcW w:w="0" w:type="auto"/>
          </w:tcPr>
          <w:p w14:paraId="1EC1523F" w14:textId="4B2EDDC1" w:rsidR="00D924EE" w:rsidRDefault="00D924EE" w:rsidP="00DF1507">
            <w:r>
              <w:t xml:space="preserve">means return adjustment and </w:t>
            </w:r>
            <w:r w:rsidRPr="00A54048">
              <w:t xml:space="preserve">has the </w:t>
            </w:r>
            <w:r>
              <w:t>value set out in sheet</w:t>
            </w:r>
            <w:r w:rsidRPr="00A54048">
              <w:t xml:space="preserve"> X of the </w:t>
            </w:r>
            <w:r w:rsidR="002F029A">
              <w:t>ET2</w:t>
            </w:r>
            <w:r>
              <w:t xml:space="preserve"> </w:t>
            </w:r>
            <w:r w:rsidRPr="00A54048">
              <w:t>P</w:t>
            </w:r>
            <w:r>
              <w:t>rice Control Financial Model</w:t>
            </w:r>
            <w:r>
              <w:rPr>
                <w:rFonts w:eastAsiaTheme="minorEastAsia"/>
              </w:rPr>
              <w:t>;</w:t>
            </w:r>
          </w:p>
        </w:tc>
      </w:tr>
      <w:tr w:rsidR="00D924EE" w:rsidRPr="0088006F" w14:paraId="07EFD123" w14:textId="77777777" w:rsidTr="00DF1507">
        <w:trPr>
          <w:trHeight w:val="567"/>
        </w:trPr>
        <w:tc>
          <w:tcPr>
            <w:tcW w:w="0" w:type="auto"/>
          </w:tcPr>
          <w:p w14:paraId="4AE7DF67" w14:textId="77777777" w:rsidR="00D924EE" w:rsidRPr="00F73C1F" w:rsidRDefault="00B913B6" w:rsidP="00DF1507">
            <w:pPr>
              <w:jc w:val="both"/>
            </w:pPr>
            <m:oMathPara>
              <m:oMathParaPr>
                <m:jc m:val="left"/>
              </m:oMathParaPr>
              <m:oMath>
                <m:sSub>
                  <m:sSubPr>
                    <m:ctrlPr>
                      <w:rPr>
                        <w:rFonts w:ascii="Cambria Math" w:hAnsi="Cambria Math"/>
                      </w:rPr>
                    </m:ctrlPr>
                  </m:sSubPr>
                  <m:e>
                    <m:r>
                      <w:rPr>
                        <w:rFonts w:ascii="Cambria Math" w:hAnsi="Cambria Math"/>
                      </w:rPr>
                      <m:t>EIC</m:t>
                    </m:r>
                  </m:e>
                  <m:sub>
                    <m:r>
                      <w:rPr>
                        <w:rFonts w:ascii="Cambria Math" w:hAnsi="Cambria Math"/>
                      </w:rPr>
                      <m:t>t</m:t>
                    </m:r>
                  </m:sub>
                </m:sSub>
              </m:oMath>
            </m:oMathPara>
          </w:p>
        </w:tc>
        <w:tc>
          <w:tcPr>
            <w:tcW w:w="0" w:type="auto"/>
          </w:tcPr>
          <w:p w14:paraId="3C724C8F" w14:textId="33A9D49F" w:rsidR="00D924EE" w:rsidRDefault="00D924EE" w:rsidP="00DF1507">
            <w:r>
              <w:t xml:space="preserve">means equity issuance costs and </w:t>
            </w:r>
            <w:r w:rsidRPr="00A54048">
              <w:t xml:space="preserve">has the </w:t>
            </w:r>
            <w:r>
              <w:t>value set out in sheet</w:t>
            </w:r>
            <w:r w:rsidRPr="00A54048">
              <w:t xml:space="preserve"> X of the </w:t>
            </w:r>
            <w:r w:rsidR="002F029A">
              <w:t>ET2</w:t>
            </w:r>
            <w:r>
              <w:t xml:space="preserve"> </w:t>
            </w:r>
            <w:r w:rsidRPr="00A54048">
              <w:t>P</w:t>
            </w:r>
            <w:r>
              <w:t>rice Control Financial Model</w:t>
            </w:r>
            <w:r>
              <w:rPr>
                <w:rFonts w:eastAsiaTheme="minorEastAsia"/>
              </w:rPr>
              <w:t>;</w:t>
            </w:r>
          </w:p>
        </w:tc>
      </w:tr>
      <w:tr w:rsidR="00D924EE" w:rsidRPr="0088006F" w14:paraId="6A167C0E" w14:textId="77777777" w:rsidTr="00DF1507">
        <w:trPr>
          <w:trHeight w:val="567"/>
        </w:trPr>
        <w:tc>
          <w:tcPr>
            <w:tcW w:w="0" w:type="auto"/>
          </w:tcPr>
          <w:p w14:paraId="1636CE42" w14:textId="77777777" w:rsidR="00D924EE" w:rsidRPr="00F73C1F" w:rsidRDefault="00B913B6" w:rsidP="00DF1507">
            <w:pPr>
              <w:jc w:val="both"/>
            </w:pPr>
            <m:oMathPara>
              <m:oMathParaPr>
                <m:jc m:val="left"/>
              </m:oMathParaPr>
              <m:oMath>
                <m:sSub>
                  <m:sSubPr>
                    <m:ctrlPr>
                      <w:rPr>
                        <w:rFonts w:ascii="Cambria Math" w:hAnsi="Cambria Math"/>
                      </w:rPr>
                    </m:ctrlPr>
                  </m:sSubPr>
                  <m:e>
                    <m:r>
                      <w:rPr>
                        <w:rFonts w:ascii="Cambria Math" w:hAnsi="Cambria Math"/>
                      </w:rPr>
                      <m:t>DRS</m:t>
                    </m:r>
                  </m:e>
                  <m:sub>
                    <m:r>
                      <w:rPr>
                        <w:rFonts w:ascii="Cambria Math" w:hAnsi="Cambria Math"/>
                      </w:rPr>
                      <m:t>t</m:t>
                    </m:r>
                  </m:sub>
                </m:sSub>
              </m:oMath>
            </m:oMathPara>
          </w:p>
        </w:tc>
        <w:tc>
          <w:tcPr>
            <w:tcW w:w="0" w:type="auto"/>
          </w:tcPr>
          <w:p w14:paraId="4F9389B3" w14:textId="03349E55" w:rsidR="00D924EE" w:rsidRPr="00CC7D3E" w:rsidRDefault="00D924EE" w:rsidP="00DF1507">
            <w:r>
              <w:t xml:space="preserve">means directly remunerated services and </w:t>
            </w:r>
            <w:r w:rsidRPr="00A54048">
              <w:t xml:space="preserve">has the </w:t>
            </w:r>
            <w:r>
              <w:t>value set out in sheet</w:t>
            </w:r>
            <w:r w:rsidRPr="00A54048">
              <w:t xml:space="preserve"> X of the </w:t>
            </w:r>
            <w:r w:rsidR="002F029A">
              <w:t>ET2</w:t>
            </w:r>
            <w:r>
              <w:t xml:space="preserve"> </w:t>
            </w:r>
            <w:r w:rsidRPr="00A54048">
              <w:t>P</w:t>
            </w:r>
            <w:r>
              <w:t>rice Control Financial Model;</w:t>
            </w:r>
          </w:p>
        </w:tc>
      </w:tr>
      <w:tr w:rsidR="00D924EE" w:rsidRPr="0088006F" w14:paraId="74178096" w14:textId="77777777" w:rsidTr="00DF1507">
        <w:trPr>
          <w:trHeight w:val="567"/>
        </w:trPr>
        <w:tc>
          <w:tcPr>
            <w:tcW w:w="0" w:type="auto"/>
          </w:tcPr>
          <w:p w14:paraId="7BA211BB" w14:textId="77777777" w:rsidR="00D924EE" w:rsidRPr="00F73C1F" w:rsidRDefault="00B913B6" w:rsidP="00DF1507">
            <w:pPr>
              <w:jc w:val="both"/>
            </w:pPr>
            <m:oMathPara>
              <m:oMathParaPr>
                <m:jc m:val="left"/>
              </m:oMathParaPr>
              <m:oMath>
                <m:sSub>
                  <m:sSubPr>
                    <m:ctrlPr>
                      <w:rPr>
                        <w:rFonts w:ascii="Cambria Math" w:hAnsi="Cambria Math"/>
                      </w:rPr>
                    </m:ctrlPr>
                  </m:sSubPr>
                  <m:e>
                    <m:r>
                      <w:rPr>
                        <w:rFonts w:ascii="Cambria Math" w:hAnsi="Cambria Math"/>
                      </w:rPr>
                      <m:t>ODI</m:t>
                    </m:r>
                  </m:e>
                  <m:sub>
                    <m:r>
                      <w:rPr>
                        <w:rFonts w:ascii="Cambria Math" w:hAnsi="Cambria Math"/>
                      </w:rPr>
                      <m:t>t</m:t>
                    </m:r>
                  </m:sub>
                </m:sSub>
              </m:oMath>
            </m:oMathPara>
          </w:p>
        </w:tc>
        <w:tc>
          <w:tcPr>
            <w:tcW w:w="0" w:type="auto"/>
          </w:tcPr>
          <w:p w14:paraId="138F1B50" w14:textId="77777777" w:rsidR="00D924EE" w:rsidRDefault="00D924EE" w:rsidP="00DF1507">
            <w:r>
              <w:t>is</w:t>
            </w:r>
            <w:r w:rsidRPr="00CC7D3E">
              <w:t xml:space="preserve"> derived in accordance with Special Condition </w:t>
            </w:r>
            <w:r>
              <w:t>4.1(Total output delivery incentive performance);</w:t>
            </w:r>
          </w:p>
        </w:tc>
      </w:tr>
      <w:tr w:rsidR="00D924EE" w:rsidRPr="0088006F" w14:paraId="3B30EC23" w14:textId="77777777" w:rsidTr="00DF1507">
        <w:trPr>
          <w:trHeight w:val="567"/>
        </w:trPr>
        <w:tc>
          <w:tcPr>
            <w:tcW w:w="0" w:type="auto"/>
          </w:tcPr>
          <w:p w14:paraId="44ACE0FE" w14:textId="77777777" w:rsidR="00D924EE" w:rsidRPr="00F73C1F" w:rsidRDefault="00B913B6" w:rsidP="00DF1507">
            <w:pPr>
              <w:jc w:val="both"/>
            </w:pPr>
            <m:oMathPara>
              <m:oMathParaPr>
                <m:jc m:val="left"/>
              </m:oMathParaPr>
              <m:oMath>
                <m:sSub>
                  <m:sSubPr>
                    <m:ctrlPr>
                      <w:rPr>
                        <w:rFonts w:ascii="Cambria Math" w:hAnsi="Cambria Math"/>
                      </w:rPr>
                    </m:ctrlPr>
                  </m:sSubPr>
                  <m:e>
                    <m:r>
                      <w:rPr>
                        <w:rFonts w:ascii="Cambria Math" w:hAnsi="Cambria Math"/>
                      </w:rPr>
                      <m:t>BPI</m:t>
                    </m:r>
                  </m:e>
                  <m:sub>
                    <m:r>
                      <w:rPr>
                        <w:rFonts w:ascii="Cambria Math" w:hAnsi="Cambria Math"/>
                      </w:rPr>
                      <m:t>t</m:t>
                    </m:r>
                  </m:sub>
                </m:sSub>
              </m:oMath>
            </m:oMathPara>
          </w:p>
        </w:tc>
        <w:tc>
          <w:tcPr>
            <w:tcW w:w="0" w:type="auto"/>
          </w:tcPr>
          <w:p w14:paraId="37405CB2" w14:textId="7AA31F12" w:rsidR="00D924EE" w:rsidRDefault="00D924EE" w:rsidP="00DF1507">
            <w:r>
              <w:t xml:space="preserve">means the business plan incentive term and has the value in sheet X of the </w:t>
            </w:r>
            <w:r w:rsidR="002F029A">
              <w:t>ET2</w:t>
            </w:r>
            <w:r>
              <w:t xml:space="preserve"> Price Control Financial Model, unless the Authority directs otherwise under Special Condition 4.7 (Consumer Value Proposition);</w:t>
            </w:r>
          </w:p>
        </w:tc>
      </w:tr>
      <w:tr w:rsidR="00D924EE" w:rsidRPr="0088006F" w14:paraId="0F931EE3" w14:textId="77777777" w:rsidTr="00DF1507">
        <w:trPr>
          <w:trHeight w:val="567"/>
        </w:trPr>
        <w:tc>
          <w:tcPr>
            <w:tcW w:w="0" w:type="auto"/>
          </w:tcPr>
          <w:p w14:paraId="5EDFBB87" w14:textId="77777777" w:rsidR="00D924EE" w:rsidRPr="00F73C1F" w:rsidRDefault="00B913B6" w:rsidP="00DF1507">
            <w:pPr>
              <w:jc w:val="both"/>
            </w:pPr>
            <m:oMathPara>
              <m:oMathParaPr>
                <m:jc m:val="left"/>
              </m:oMathParaPr>
              <m:oMath>
                <m:sSub>
                  <m:sSubPr>
                    <m:ctrlPr>
                      <w:rPr>
                        <w:rFonts w:ascii="Cambria Math" w:hAnsi="Cambria Math"/>
                      </w:rPr>
                    </m:ctrlPr>
                  </m:sSubPr>
                  <m:e>
                    <m:r>
                      <w:rPr>
                        <w:rFonts w:ascii="Cambria Math" w:hAnsi="Cambria Math"/>
                      </w:rPr>
                      <m:t>INNV</m:t>
                    </m:r>
                  </m:e>
                  <m:sub>
                    <m:r>
                      <w:rPr>
                        <w:rFonts w:ascii="Cambria Math" w:hAnsi="Cambria Math"/>
                      </w:rPr>
                      <m:t>t</m:t>
                    </m:r>
                  </m:sub>
                </m:sSub>
              </m:oMath>
            </m:oMathPara>
          </w:p>
        </w:tc>
        <w:tc>
          <w:tcPr>
            <w:tcW w:w="0" w:type="auto"/>
          </w:tcPr>
          <w:p w14:paraId="482A0874" w14:textId="77777777" w:rsidR="00D924EE" w:rsidRPr="00CC7D3E" w:rsidRDefault="00D924EE" w:rsidP="00DF1507">
            <w:r>
              <w:t>is</w:t>
            </w:r>
            <w:r w:rsidRPr="00CC7D3E">
              <w:t xml:space="preserve"> derived in accordance with Special Condition </w:t>
            </w:r>
            <w:r>
              <w:t>5.1 (Total innovation allowance);</w:t>
            </w:r>
          </w:p>
        </w:tc>
      </w:tr>
      <w:tr w:rsidR="00D924EE" w:rsidRPr="0088006F" w14:paraId="23C4B9B7" w14:textId="77777777" w:rsidTr="00DF1507">
        <w:trPr>
          <w:trHeight w:val="567"/>
        </w:trPr>
        <w:tc>
          <w:tcPr>
            <w:tcW w:w="0" w:type="auto"/>
          </w:tcPr>
          <w:p w14:paraId="1A14AEA7" w14:textId="77777777" w:rsidR="00D924EE" w:rsidRPr="00F73C1F" w:rsidRDefault="00B913B6" w:rsidP="00DF1507">
            <w:pPr>
              <w:jc w:val="both"/>
            </w:pPr>
            <m:oMathPara>
              <m:oMathParaPr>
                <m:jc m:val="left"/>
              </m:oMathParaPr>
              <m:oMath>
                <m:sSub>
                  <m:sSubPr>
                    <m:ctrlPr>
                      <w:rPr>
                        <w:rFonts w:ascii="Cambria Math" w:hAnsi="Cambria Math"/>
                      </w:rPr>
                    </m:ctrlPr>
                  </m:sSubPr>
                  <m:e>
                    <m:r>
                      <w:rPr>
                        <w:rFonts w:ascii="Cambria Math" w:hAnsi="Cambria Math"/>
                      </w:rPr>
                      <m:t>LAR</m:t>
                    </m:r>
                  </m:e>
                  <m:sub>
                    <m:r>
                      <w:rPr>
                        <w:rFonts w:ascii="Cambria Math" w:hAnsi="Cambria Math"/>
                      </w:rPr>
                      <m:t>t</m:t>
                    </m:r>
                  </m:sub>
                </m:sSub>
              </m:oMath>
            </m:oMathPara>
          </w:p>
        </w:tc>
        <w:tc>
          <w:tcPr>
            <w:tcW w:w="0" w:type="auto"/>
          </w:tcPr>
          <w:p w14:paraId="267CFB63" w14:textId="3B90F9D7" w:rsidR="00D924EE" w:rsidRPr="00CC7D3E" w:rsidRDefault="00D924EE" w:rsidP="00DF1507">
            <w:r>
              <w:t xml:space="preserve">is derived in accordance with </w:t>
            </w:r>
            <w:r w:rsidRPr="00CC7D3E">
              <w:t xml:space="preserve">Special Condition </w:t>
            </w:r>
            <w:r>
              <w:t>7.1 (Total legacy adjustments);</w:t>
            </w:r>
          </w:p>
        </w:tc>
      </w:tr>
      <w:tr w:rsidR="00D924EE" w:rsidRPr="0088006F" w14:paraId="42517141" w14:textId="77777777" w:rsidTr="00DF1507">
        <w:trPr>
          <w:trHeight w:val="567"/>
        </w:trPr>
        <w:tc>
          <w:tcPr>
            <w:tcW w:w="0" w:type="auto"/>
          </w:tcPr>
          <w:p w14:paraId="4D157686" w14:textId="77777777" w:rsidR="00D924EE" w:rsidRPr="00F73C1F" w:rsidRDefault="00B913B6" w:rsidP="00DF1507">
            <w:pPr>
              <w:jc w:val="both"/>
            </w:pPr>
            <m:oMathPara>
              <m:oMathParaPr>
                <m:jc m:val="left"/>
              </m:oMathParaPr>
              <m:oMath>
                <m:sSub>
                  <m:sSubPr>
                    <m:ctrlPr>
                      <w:rPr>
                        <w:rFonts w:ascii="Cambria Math" w:hAnsi="Cambria Math"/>
                      </w:rPr>
                    </m:ctrlPr>
                  </m:sSubPr>
                  <m:e>
                    <m:r>
                      <w:rPr>
                        <w:rFonts w:ascii="Cambria Math" w:hAnsi="Cambria Math"/>
                      </w:rPr>
                      <m:t>TAX</m:t>
                    </m:r>
                  </m:e>
                  <m:sub>
                    <m:r>
                      <w:rPr>
                        <w:rFonts w:ascii="Cambria Math" w:hAnsi="Cambria Math"/>
                      </w:rPr>
                      <m:t>t</m:t>
                    </m:r>
                  </m:sub>
                </m:sSub>
              </m:oMath>
            </m:oMathPara>
          </w:p>
        </w:tc>
        <w:tc>
          <w:tcPr>
            <w:tcW w:w="0" w:type="auto"/>
          </w:tcPr>
          <w:p w14:paraId="4B70D2BD" w14:textId="1EBD9A7F" w:rsidR="00D924EE" w:rsidRDefault="00D924EE" w:rsidP="00DF1507">
            <w:r w:rsidRPr="00A54048">
              <w:t xml:space="preserve">has the </w:t>
            </w:r>
            <w:r>
              <w:t>value set out in sheet</w:t>
            </w:r>
            <w:r w:rsidRPr="00A54048">
              <w:t xml:space="preserve"> X of the </w:t>
            </w:r>
            <w:r w:rsidR="002F029A">
              <w:t>ET2</w:t>
            </w:r>
            <w:r>
              <w:t xml:space="preserve"> </w:t>
            </w:r>
            <w:r w:rsidRPr="00A54048">
              <w:t>P</w:t>
            </w:r>
            <w:r>
              <w:t>rice Control Financial Model; and</w:t>
            </w:r>
          </w:p>
        </w:tc>
      </w:tr>
      <w:tr w:rsidR="00D924EE" w:rsidRPr="0088006F" w14:paraId="0AFA9DE9" w14:textId="77777777" w:rsidTr="00DF1507">
        <w:trPr>
          <w:trHeight w:val="567"/>
        </w:trPr>
        <w:tc>
          <w:tcPr>
            <w:tcW w:w="0" w:type="auto"/>
          </w:tcPr>
          <w:p w14:paraId="4972A739" w14:textId="77777777" w:rsidR="00D924EE" w:rsidRPr="00F73C1F" w:rsidRDefault="00B913B6" w:rsidP="00DF1507">
            <w:pPr>
              <w:jc w:val="both"/>
            </w:pPr>
            <m:oMathPara>
              <m:oMathParaPr>
                <m:jc m:val="left"/>
              </m:oMathParaPr>
              <m:oMath>
                <m:sSub>
                  <m:sSubPr>
                    <m:ctrlPr>
                      <w:rPr>
                        <w:rFonts w:ascii="Cambria Math" w:hAnsi="Cambria Math"/>
                      </w:rPr>
                    </m:ctrlPr>
                  </m:sSubPr>
                  <m:e>
                    <m:r>
                      <w:rPr>
                        <w:rFonts w:ascii="Cambria Math" w:hAnsi="Cambria Math"/>
                      </w:rPr>
                      <m:t>TAXA</m:t>
                    </m:r>
                  </m:e>
                  <m:sub>
                    <m:r>
                      <w:rPr>
                        <w:rFonts w:ascii="Cambria Math" w:hAnsi="Cambria Math"/>
                      </w:rPr>
                      <m:t>t</m:t>
                    </m:r>
                  </m:sub>
                </m:sSub>
              </m:oMath>
            </m:oMathPara>
          </w:p>
        </w:tc>
        <w:tc>
          <w:tcPr>
            <w:tcW w:w="0" w:type="auto"/>
          </w:tcPr>
          <w:p w14:paraId="4E862307" w14:textId="12C22B11" w:rsidR="00D924EE" w:rsidRDefault="00D924EE" w:rsidP="00DF1507">
            <w:r>
              <w:t xml:space="preserve">means </w:t>
            </w:r>
            <w:r w:rsidRPr="00CC7D3E">
              <w:t xml:space="preserve">the </w:t>
            </w:r>
            <w:r>
              <w:t>t</w:t>
            </w:r>
            <w:r w:rsidRPr="00CC7D3E">
              <w:t xml:space="preserve">ax allowance adjustment term </w:t>
            </w:r>
            <w:r>
              <w:t xml:space="preserve">and has the value </w:t>
            </w:r>
            <w:proofErr w:type="gramStart"/>
            <w:r>
              <w:t>zero, unless</w:t>
            </w:r>
            <w:proofErr w:type="gramEnd"/>
            <w:r>
              <w:t xml:space="preserve"> the Authority directs otherwise under Special Condition 2.4 (Tax Review Adjustment).</w:t>
            </w:r>
          </w:p>
        </w:tc>
      </w:tr>
    </w:tbl>
    <w:p w14:paraId="4B88A95E" w14:textId="77777777" w:rsidR="00D924EE" w:rsidRPr="00907940" w:rsidRDefault="00D924EE" w:rsidP="00D924EE">
      <w:pPr>
        <w:pStyle w:val="Heading3"/>
      </w:pPr>
      <w:r>
        <w:t>Formula for calculating the Price Index term (</w:t>
      </w:r>
      <w:proofErr w:type="spellStart"/>
      <w:r>
        <w:t>PI</w:t>
      </w:r>
      <w:r w:rsidRPr="4A26DA62">
        <w:rPr>
          <w:vertAlign w:val="subscript"/>
        </w:rPr>
        <w:t>t</w:t>
      </w:r>
      <w:proofErr w:type="spellEnd"/>
      <w:r>
        <w:t>)</w:t>
      </w:r>
    </w:p>
    <w:p w14:paraId="54D65E0E" w14:textId="77777777" w:rsidR="00D924EE" w:rsidRDefault="00D924EE" w:rsidP="00D924EE">
      <w:pPr>
        <w:pStyle w:val="NumberedNormal"/>
      </w:pPr>
      <w:r>
        <w:t xml:space="preserve">The value of </w:t>
      </w:r>
      <w:proofErr w:type="spellStart"/>
      <w:r>
        <w:t>PI</w:t>
      </w:r>
      <w:r w:rsidRPr="4A26DA62">
        <w:rPr>
          <w:vertAlign w:val="subscript"/>
        </w:rPr>
        <w:t>t</w:t>
      </w:r>
      <w:proofErr w:type="spellEnd"/>
      <w:r>
        <w:t xml:space="preserve"> is derived in accordance with the following formula:</w:t>
      </w:r>
    </w:p>
    <w:p w14:paraId="3EE30FEF" w14:textId="77777777" w:rsidR="00D924EE" w:rsidRPr="0000590F" w:rsidRDefault="00B913B6" w:rsidP="00D924EE">
      <w:pPr>
        <w:rPr>
          <w:rFonts w:eastAsiaTheme="minorEastAsia"/>
        </w:rPr>
      </w:pPr>
      <m:oMathPara>
        <m:oMath>
          <m:sSub>
            <m:sSubPr>
              <m:ctrlPr>
                <w:rPr>
                  <w:rFonts w:ascii="Cambria Math" w:hAnsi="Cambria Math"/>
                  <w:i/>
                </w:rPr>
              </m:ctrlPr>
            </m:sSubPr>
            <m:e>
              <m:r>
                <w:rPr>
                  <w:rFonts w:ascii="Cambria Math" w:hAnsi="Cambria Math"/>
                </w:rPr>
                <m:t>PI</m:t>
              </m:r>
            </m:e>
            <m:sub>
              <m:r>
                <w:rPr>
                  <w:rFonts w:ascii="Cambria Math" w:hAnsi="Cambria Math"/>
                </w:rPr>
                <m:t>t</m:t>
              </m:r>
            </m:sub>
          </m:sSub>
          <m:r>
            <w:rPr>
              <w:rFonts w:ascii="Cambria Math" w:hAnsi="Cambria Math"/>
            </w:rPr>
            <m:t>=</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w:rPr>
                          <w:rFonts w:ascii="Cambria Math" w:eastAsiaTheme="minorEastAsia" w:hAnsi="Cambria Math"/>
                        </w:rPr>
                        <m:t>RPI</m:t>
                      </m:r>
                    </m:e>
                    <m:sub>
                      <m:r>
                        <w:rPr>
                          <w:rFonts w:ascii="Cambria Math" w:eastAsiaTheme="minorEastAsia" w:hAnsi="Cambria Math"/>
                        </w:rPr>
                        <m:t>2020/21</m:t>
                      </m:r>
                    </m:sub>
                  </m:sSub>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i=</m:t>
                      </m:r>
                      <m:f>
                        <m:fPr>
                          <m:ctrlPr>
                            <w:rPr>
                              <w:rFonts w:ascii="Cambria Math" w:eastAsiaTheme="minorEastAsia" w:hAnsi="Cambria Math"/>
                              <w:i/>
                            </w:rPr>
                          </m:ctrlPr>
                        </m:fPr>
                        <m:num>
                          <m:r>
                            <w:rPr>
                              <w:rFonts w:ascii="Cambria Math" w:eastAsiaTheme="minorEastAsia" w:hAnsi="Cambria Math"/>
                            </w:rPr>
                            <m:t>2021</m:t>
                          </m:r>
                        </m:num>
                        <m:den>
                          <m:r>
                            <w:rPr>
                              <w:rFonts w:ascii="Cambria Math" w:eastAsiaTheme="minorEastAsia" w:hAnsi="Cambria Math"/>
                            </w:rPr>
                            <m:t>22</m:t>
                          </m:r>
                        </m:den>
                      </m:f>
                    </m:sub>
                    <m:sup>
                      <m:r>
                        <w:rPr>
                          <w:rFonts w:ascii="Cambria Math" w:eastAsiaTheme="minorEastAsia" w:hAnsi="Cambria Math"/>
                        </w:rPr>
                        <m:t>t</m:t>
                      </m:r>
                    </m:sup>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m:t>
                              </m:r>
                            </m:sub>
                          </m:sSub>
                        </m:num>
                        <m:den>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i-1</m:t>
                              </m:r>
                            </m:sub>
                          </m:sSub>
                        </m:den>
                      </m:f>
                    </m:e>
                  </m:nary>
                  <m:r>
                    <w:rPr>
                      <w:rFonts w:ascii="Cambria Math" w:hAnsi="Cambria Math"/>
                    </w:rPr>
                    <m:t xml:space="preserve">,  </m:t>
                  </m:r>
                  <m:r>
                    <m:rPr>
                      <m:sty m:val="p"/>
                    </m:rPr>
                    <w:rPr>
                      <w:rFonts w:ascii="Cambria Math" w:hAnsi="Cambria Math"/>
                    </w:rPr>
                    <m:t>if</m:t>
                  </m:r>
                  <m:r>
                    <w:rPr>
                      <w:rFonts w:ascii="Cambria Math" w:hAnsi="Cambria Math"/>
                    </w:rPr>
                    <m:t xml:space="preserve">  &amp;t≥2021/22</m:t>
                  </m:r>
                </m:e>
                <m:e>
                  <m:ctrlPr>
                    <w:rPr>
                      <w:rFonts w:ascii="Cambria Math" w:eastAsia="Cambria Math" w:hAnsi="Cambria Math" w:cs="Cambria Math"/>
                      <w:i/>
                    </w:rPr>
                  </m:ctrlPr>
                </m:e>
                <m:e>
                  <m:sSub>
                    <m:sSubPr>
                      <m:ctrlPr>
                        <w:rPr>
                          <w:rFonts w:ascii="Cambria Math" w:hAnsi="Cambria Math"/>
                          <w:i/>
                        </w:rPr>
                      </m:ctrlPr>
                    </m:sSubPr>
                    <m:e>
                      <m:r>
                        <w:rPr>
                          <w:rFonts w:ascii="Cambria Math" w:hAnsi="Cambria Math"/>
                        </w:rPr>
                        <m:t>RPI</m:t>
                      </m:r>
                    </m:e>
                    <m:sub>
                      <m:r>
                        <w:rPr>
                          <w:rFonts w:ascii="Cambria Math" w:hAnsi="Cambria Math"/>
                        </w:rPr>
                        <m:t>t</m:t>
                      </m:r>
                    </m:sub>
                  </m:sSub>
                  <m:r>
                    <w:rPr>
                      <w:rFonts w:ascii="Cambria Math" w:hAnsi="Cambria Math"/>
                    </w:rPr>
                    <m:t xml:space="preserve">,  </m:t>
                  </m:r>
                  <m:r>
                    <m:rPr>
                      <m:sty m:val="p"/>
                    </m:rPr>
                    <w:rPr>
                      <w:rFonts w:ascii="Cambria Math" w:hAnsi="Cambria Math"/>
                    </w:rPr>
                    <m:t>if</m:t>
                  </m:r>
                  <m:r>
                    <w:rPr>
                      <w:rFonts w:ascii="Cambria Math" w:hAnsi="Cambria Math"/>
                    </w:rPr>
                    <m:t xml:space="preserve">   &amp;t&lt;2021/22</m:t>
                  </m:r>
                </m:e>
              </m:eqArr>
            </m:e>
          </m:d>
        </m:oMath>
      </m:oMathPara>
    </w:p>
    <w:p w14:paraId="27E71D4A" w14:textId="77777777" w:rsidR="00D924EE" w:rsidRDefault="00D924EE" w:rsidP="00D924EE">
      <w:pPr>
        <w:rPr>
          <w:rFonts w:eastAsiaTheme="minorEastAsia"/>
        </w:rPr>
      </w:pPr>
      <w:r>
        <w:tab/>
        <w:t>w</w:t>
      </w:r>
      <w:r>
        <w:rPr>
          <w:rFonts w:eastAsiaTheme="minorEastAsia"/>
        </w:rPr>
        <w:t>here:</w:t>
      </w:r>
    </w:p>
    <w:tbl>
      <w:tblPr>
        <w:tblStyle w:val="TableGridLight"/>
        <w:tblW w:w="0" w:type="auto"/>
        <w:tblLook w:val="04A0" w:firstRow="1" w:lastRow="0" w:firstColumn="1" w:lastColumn="0" w:noHBand="0" w:noVBand="1"/>
      </w:tblPr>
      <w:tblGrid>
        <w:gridCol w:w="742"/>
        <w:gridCol w:w="7604"/>
      </w:tblGrid>
      <w:tr w:rsidR="00D924EE" w14:paraId="077E0EE9" w14:textId="77777777" w:rsidTr="00DF1507">
        <w:tc>
          <w:tcPr>
            <w:tcW w:w="0" w:type="auto"/>
          </w:tcPr>
          <w:p w14:paraId="685B7513" w14:textId="77777777" w:rsidR="00D924EE" w:rsidRPr="008E4EEB" w:rsidRDefault="00D924EE" w:rsidP="00DF1507">
            <w:pPr>
              <w:rPr>
                <w:i/>
              </w:rPr>
            </w:pPr>
            <w:proofErr w:type="spellStart"/>
            <w:r w:rsidRPr="00A871BA">
              <w:rPr>
                <w:i/>
              </w:rPr>
              <w:t>i</w:t>
            </w:r>
            <w:proofErr w:type="spellEnd"/>
          </w:p>
        </w:tc>
        <w:tc>
          <w:tcPr>
            <w:tcW w:w="0" w:type="auto"/>
          </w:tcPr>
          <w:p w14:paraId="17A747E6" w14:textId="77777777" w:rsidR="00D924EE" w:rsidRDefault="00D924EE" w:rsidP="00DF1507">
            <w:r>
              <w:t>refers to Regulatory Years on or after 2020/21 and up to year t;</w:t>
            </w:r>
          </w:p>
        </w:tc>
      </w:tr>
      <w:tr w:rsidR="00D924EE" w14:paraId="53694D13" w14:textId="77777777" w:rsidTr="00DF1507">
        <w:tc>
          <w:tcPr>
            <w:tcW w:w="0" w:type="auto"/>
          </w:tcPr>
          <w:p w14:paraId="0A0EB7A5" w14:textId="77777777" w:rsidR="00D924EE" w:rsidRPr="004E1E8E" w:rsidRDefault="00D924EE" w:rsidP="00DF1507">
            <w:pPr>
              <w:rPr>
                <w:i/>
                <w:iCs/>
              </w:rPr>
            </w:pPr>
            <w:proofErr w:type="spellStart"/>
            <w:r w:rsidRPr="004E1E8E">
              <w:rPr>
                <w:i/>
                <w:iCs/>
              </w:rPr>
              <w:t>RPI</w:t>
            </w:r>
            <w:r w:rsidRPr="004E1E8E">
              <w:rPr>
                <w:i/>
                <w:iCs/>
                <w:vertAlign w:val="subscript"/>
              </w:rPr>
              <w:t>t</w:t>
            </w:r>
            <w:proofErr w:type="spellEnd"/>
          </w:p>
        </w:tc>
        <w:tc>
          <w:tcPr>
            <w:tcW w:w="0" w:type="auto"/>
          </w:tcPr>
          <w:p w14:paraId="71A7F4DA" w14:textId="77777777" w:rsidR="00D924EE" w:rsidRDefault="00D924EE" w:rsidP="00DF1507">
            <w:r>
              <w:t>means the arithmetic average of the Retail Prices Index between</w:t>
            </w:r>
            <w:r w:rsidRPr="00B61D42">
              <w:t xml:space="preserve"> each of the twelve months from 1 April to 31 March in Regulat</w:t>
            </w:r>
            <w:r w:rsidRPr="00C31FF5">
              <w:t>ory</w:t>
            </w:r>
            <w:r w:rsidRPr="00405E99">
              <w:t xml:space="preserve"> Year </w:t>
            </w:r>
            <w:proofErr w:type="gramStart"/>
            <w:r w:rsidRPr="00405E99">
              <w:t>t</w:t>
            </w:r>
            <w:r>
              <w:t>;</w:t>
            </w:r>
            <w:proofErr w:type="gramEnd"/>
            <w:r>
              <w:t xml:space="preserve"> and</w:t>
            </w:r>
          </w:p>
        </w:tc>
      </w:tr>
      <w:tr w:rsidR="00D924EE" w14:paraId="1017C24F" w14:textId="77777777" w:rsidTr="00DF1507">
        <w:tc>
          <w:tcPr>
            <w:tcW w:w="0" w:type="auto"/>
          </w:tcPr>
          <w:p w14:paraId="09BEB1BD" w14:textId="77777777" w:rsidR="00D924EE" w:rsidRPr="004E1E8E" w:rsidRDefault="00D924EE" w:rsidP="00DF1507">
            <w:pPr>
              <w:rPr>
                <w:i/>
                <w:iCs/>
              </w:rPr>
            </w:pPr>
            <w:proofErr w:type="spellStart"/>
            <w:r w:rsidRPr="004E1E8E">
              <w:rPr>
                <w:i/>
                <w:iCs/>
              </w:rPr>
              <w:t>CPIH</w:t>
            </w:r>
            <w:r w:rsidRPr="004E1E8E">
              <w:rPr>
                <w:i/>
                <w:iCs/>
                <w:vertAlign w:val="subscript"/>
              </w:rPr>
              <w:t>i</w:t>
            </w:r>
            <w:proofErr w:type="spellEnd"/>
          </w:p>
        </w:tc>
        <w:tc>
          <w:tcPr>
            <w:tcW w:w="0" w:type="auto"/>
          </w:tcPr>
          <w:p w14:paraId="73B55F59" w14:textId="77777777" w:rsidR="00D924EE" w:rsidRDefault="00D924EE" w:rsidP="00DF1507">
            <w:r>
              <w:t xml:space="preserve">means the arithmetic average of the </w:t>
            </w:r>
            <w:r w:rsidRPr="003A34A2">
              <w:t xml:space="preserve">Consumer Prices Index </w:t>
            </w:r>
            <w:r>
              <w:t>I</w:t>
            </w:r>
            <w:r w:rsidRPr="003A34A2">
              <w:t xml:space="preserve">ncluding </w:t>
            </w:r>
            <w:r>
              <w:t>O</w:t>
            </w:r>
            <w:r w:rsidRPr="003A34A2">
              <w:t xml:space="preserve">wner </w:t>
            </w:r>
            <w:r>
              <w:t>O</w:t>
            </w:r>
            <w:r w:rsidRPr="003A34A2">
              <w:t xml:space="preserve">ccupiers' </w:t>
            </w:r>
            <w:r>
              <w:t>H</w:t>
            </w:r>
            <w:r w:rsidRPr="003A34A2">
              <w:t xml:space="preserve">ousing </w:t>
            </w:r>
            <w:r>
              <w:t>C</w:t>
            </w:r>
            <w:r w:rsidRPr="003A34A2">
              <w:t>osts</w:t>
            </w:r>
            <w:r>
              <w:t xml:space="preserve"> between</w:t>
            </w:r>
            <w:r w:rsidRPr="00B61D42">
              <w:t xml:space="preserve"> each of the twelve months from 1 April to 31 March in Regulatory</w:t>
            </w:r>
            <w:r w:rsidRPr="00C31FF5">
              <w:t xml:space="preserve"> Year </w:t>
            </w:r>
            <w:proofErr w:type="spellStart"/>
            <w:r w:rsidRPr="00405E99">
              <w:t>i</w:t>
            </w:r>
            <w:proofErr w:type="spellEnd"/>
            <w:r w:rsidRPr="00B61D42">
              <w:t>.</w:t>
            </w:r>
          </w:p>
        </w:tc>
      </w:tr>
    </w:tbl>
    <w:p w14:paraId="7A86169B" w14:textId="752700A9" w:rsidR="00D924EE" w:rsidRDefault="00D924EE" w:rsidP="00D924EE">
      <w:pPr>
        <w:pStyle w:val="Heading2"/>
      </w:pPr>
      <w:bookmarkStart w:id="26" w:name="_Toc52364880"/>
      <w:bookmarkStart w:id="27" w:name="_Toc51363652"/>
      <w:r>
        <w:lastRenderedPageBreak/>
        <w:t>AIP adjustment term (</w:t>
      </w:r>
      <w:proofErr w:type="spellStart"/>
      <w:r>
        <w:t>ADJ</w:t>
      </w:r>
      <w:r w:rsidRPr="00C05FFA">
        <w:rPr>
          <w:vertAlign w:val="subscript"/>
        </w:rPr>
        <w:t>t</w:t>
      </w:r>
      <w:proofErr w:type="spellEnd"/>
      <w:r>
        <w:t>)</w:t>
      </w:r>
      <w:bookmarkEnd w:id="26"/>
    </w:p>
    <w:p w14:paraId="051E2436" w14:textId="77777777" w:rsidR="00D924EE" w:rsidRDefault="00D924EE" w:rsidP="00D924EE">
      <w:pPr>
        <w:pStyle w:val="Heading3nonumbering"/>
      </w:pPr>
      <w:r>
        <w:t>Introduction</w:t>
      </w:r>
    </w:p>
    <w:p w14:paraId="705FCE4E" w14:textId="77777777" w:rsidR="00D924EE" w:rsidRDefault="00D924EE" w:rsidP="00D924EE">
      <w:pPr>
        <w:pStyle w:val="NumberedNormal"/>
      </w:pPr>
      <w:r>
        <w:t xml:space="preserve">The purpose of this condition is to calculate the term </w:t>
      </w:r>
      <w:proofErr w:type="spellStart"/>
      <w:r>
        <w:t>ADJ</w:t>
      </w:r>
      <w:r w:rsidRPr="4A26DA62">
        <w:rPr>
          <w:vertAlign w:val="subscript"/>
        </w:rPr>
        <w:t>t</w:t>
      </w:r>
      <w:proofErr w:type="spellEnd"/>
      <w:r>
        <w:t xml:space="preserve"> (the AIP adjustment term), which feeds into Allowed Revenue in Special Condition 2.1 (Revenue Restriction)</w:t>
      </w:r>
    </w:p>
    <w:p w14:paraId="267A8A5D" w14:textId="7C2BB96E" w:rsidR="00D924EE" w:rsidRDefault="00D924EE" w:rsidP="00D924EE">
      <w:pPr>
        <w:pStyle w:val="Heading3"/>
      </w:pPr>
      <w:r>
        <w:t>Formula for calculating the AIP adjustment term</w:t>
      </w:r>
      <w:r w:rsidR="008F03C0">
        <w:t xml:space="preserve"> (</w:t>
      </w:r>
      <w:proofErr w:type="spellStart"/>
      <w:r w:rsidR="008F03C0">
        <w:t>ADJ</w:t>
      </w:r>
      <w:r w:rsidR="008F03C0" w:rsidRPr="00714522">
        <w:rPr>
          <w:vertAlign w:val="subscript"/>
        </w:rPr>
        <w:t>t</w:t>
      </w:r>
      <w:proofErr w:type="spellEnd"/>
      <w:r w:rsidR="008F03C0">
        <w:t>)</w:t>
      </w:r>
    </w:p>
    <w:p w14:paraId="45828EBB" w14:textId="2D2C3C1B" w:rsidR="00640CE9" w:rsidRDefault="00D924EE" w:rsidP="00D924EE">
      <w:pPr>
        <w:pStyle w:val="NumberedNormal"/>
      </w:pPr>
      <w:r>
        <w:t xml:space="preserve">For the Regulatory Year commencing on 1 April 2021, the value of ADJ is zero. </w:t>
      </w:r>
    </w:p>
    <w:p w14:paraId="461AC75C" w14:textId="74FDBE83" w:rsidR="00D924EE" w:rsidRDefault="00D924EE" w:rsidP="00D924EE">
      <w:pPr>
        <w:pStyle w:val="NumberedNormal"/>
      </w:pPr>
      <w:r>
        <w:t xml:space="preserve">For subsequent Regulatory Years, the value of </w:t>
      </w:r>
      <w:proofErr w:type="spellStart"/>
      <w:r>
        <w:t>ADJ</w:t>
      </w:r>
      <w:r w:rsidRPr="00843778">
        <w:rPr>
          <w:vertAlign w:val="subscript"/>
        </w:rPr>
        <w:t>t</w:t>
      </w:r>
      <w:proofErr w:type="spellEnd"/>
      <w:r>
        <w:t xml:space="preserve"> is derived in accordance with the following formula:</w:t>
      </w:r>
    </w:p>
    <w:p w14:paraId="0C5EE965" w14:textId="77777777" w:rsidR="00D924EE" w:rsidRPr="00E269F5" w:rsidRDefault="00B913B6" w:rsidP="00D924EE">
      <w:pPr>
        <w:pStyle w:val="Equation"/>
      </w:pPr>
      <m:oMathPara>
        <m:oMath>
          <m:sSub>
            <m:sSubPr>
              <m:ctrlPr>
                <w:rPr>
                  <w:rFonts w:ascii="Cambria Math" w:hAnsi="Cambria Math"/>
                </w:rPr>
              </m:ctrlPr>
            </m:sSubPr>
            <m:e>
              <m:r>
                <w:rPr>
                  <w:rFonts w:ascii="Cambria Math" w:hAnsi="Cambria Math"/>
                </w:rPr>
                <m:t>ADJ</m:t>
              </m:r>
            </m:e>
            <m:sub>
              <m:r>
                <w:rPr>
                  <w:rFonts w:ascii="Cambria Math" w:hAnsi="Cambria Math"/>
                </w:rPr>
                <m:t>t</m:t>
              </m:r>
            </m:sub>
          </m:sSub>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=2021/22</m:t>
              </m:r>
            </m:sub>
            <m:sup>
              <m:r>
                <w:rPr>
                  <w:rFonts w:ascii="Cambria Math" w:hAnsi="Cambria Math"/>
                </w:rPr>
                <m:t>t</m:t>
              </m:r>
              <m:r>
                <m:rPr>
                  <m:sty m:val="p"/>
                </m:rPr>
                <w:rPr>
                  <w:rFonts w:ascii="Cambria Math" w:hAnsi="Cambria Math"/>
                </w:rPr>
                <m:t>-1</m:t>
              </m:r>
            </m:sup>
            <m:e>
              <m:d>
                <m:dPr>
                  <m:begChr m:val="["/>
                  <m:endChr m:val="]"/>
                  <m:ctrlPr>
                    <w:rPr>
                      <w:rFonts w:ascii="Cambria Math" w:hAnsi="Cambria Math"/>
                    </w:rPr>
                  </m:ctrlPr>
                </m:dPr>
                <m:e>
                  <m:d>
                    <m:dPr>
                      <m:ctrlPr>
                        <w:rPr>
                          <w:rFonts w:ascii="Cambria Math" w:hAnsi="Cambria Math"/>
                        </w:rPr>
                      </m:ctrlPr>
                    </m:dPr>
                    <m:e>
                      <m:sSub>
                        <m:sSubPr>
                          <m:ctrlPr>
                            <w:rPr>
                              <w:rFonts w:ascii="Cambria Math" w:hAnsi="Cambria Math"/>
                            </w:rPr>
                          </m:ctrlPr>
                        </m:sSubPr>
                        <m:e>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i</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2018/19</m:t>
                                  </m:r>
                                </m:sub>
                              </m:sSub>
                            </m:den>
                          </m:f>
                          <m:r>
                            <w:rPr>
                              <w:rFonts w:ascii="Cambria Math" w:hAnsi="Cambria Math"/>
                            </w:rPr>
                            <m:t>R</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ADJR</m:t>
                          </m:r>
                        </m:e>
                        <m:sub>
                          <m:r>
                            <w:rPr>
                              <w:rFonts w:ascii="Cambria Math" w:hAnsi="Cambria Math"/>
                            </w:rPr>
                            <m:t>i</m:t>
                          </m:r>
                        </m:sub>
                      </m:sSub>
                    </m:e>
                  </m:d>
                  <m:nary>
                    <m:naryPr>
                      <m:chr m:val="∏"/>
                      <m:limLoc m:val="undOvr"/>
                      <m:ctrlPr>
                        <w:rPr>
                          <w:rFonts w:ascii="Cambria Math" w:hAnsi="Cambria Math"/>
                        </w:rPr>
                      </m:ctrlPr>
                    </m:naryPr>
                    <m:sub>
                      <m:r>
                        <w:rPr>
                          <w:rFonts w:ascii="Cambria Math" w:hAnsi="Cambria Math"/>
                        </w:rPr>
                        <m:t>j</m:t>
                      </m:r>
                      <m:r>
                        <m:rPr>
                          <m:sty m:val="p"/>
                        </m:rPr>
                        <w:rPr>
                          <w:rFonts w:ascii="Cambria Math" w:hAnsi="Cambria Math"/>
                        </w:rPr>
                        <m:t>=</m:t>
                      </m:r>
                      <m:r>
                        <w:rPr>
                          <w:rFonts w:ascii="Cambria Math" w:hAnsi="Cambria Math"/>
                        </w:rPr>
                        <m:t>i</m:t>
                      </m:r>
                    </m:sub>
                    <m:sup>
                      <m:r>
                        <w:rPr>
                          <w:rFonts w:ascii="Cambria Math" w:hAnsi="Cambria Math"/>
                        </w:rPr>
                        <m:t>t</m:t>
                      </m:r>
                      <m:r>
                        <m:rPr>
                          <m:sty m:val="p"/>
                        </m:rPr>
                        <w:rPr>
                          <w:rFonts w:ascii="Cambria Math" w:hAnsi="Cambria Math"/>
                        </w:rPr>
                        <m:t>-1</m:t>
                      </m:r>
                    </m:sup>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I</m:t>
                              </m:r>
                            </m:e>
                            <m:sub>
                              <m:r>
                                <w:rPr>
                                  <w:rFonts w:ascii="Cambria Math" w:hAnsi="Cambria Math"/>
                                </w:rPr>
                                <m:t>j</m:t>
                              </m:r>
                            </m:sub>
                          </m:sSub>
                          <m:r>
                            <m:rPr>
                              <m:sty m:val="p"/>
                            </m:rPr>
                            <w:rPr>
                              <w:rFonts w:ascii="Cambria Math" w:hAnsi="Cambria Math"/>
                            </w:rPr>
                            <m:t>+[</m:t>
                          </m:r>
                          <m:r>
                            <m:rPr>
                              <m:sty m:val="p"/>
                            </m:rPr>
                            <w:rPr>
                              <w:rFonts w:ascii="Cambria Math" w:hAnsi="Cambria Math"/>
                              <w:highlight w:val="yellow"/>
                            </w:rPr>
                            <m:t>1.1%</m:t>
                          </m:r>
                          <m:r>
                            <m:rPr>
                              <m:sty m:val="p"/>
                            </m:rPr>
                            <w:rPr>
                              <w:rFonts w:ascii="Cambria Math" w:hAnsi="Cambria Math"/>
                            </w:rPr>
                            <m:t>]</m:t>
                          </m:r>
                        </m:e>
                      </m:d>
                    </m:e>
                  </m:nary>
                </m:e>
              </m:d>
            </m:e>
          </m:nary>
        </m:oMath>
      </m:oMathPara>
    </w:p>
    <w:p w14:paraId="302C7A6B" w14:textId="77777777" w:rsidR="00D924EE" w:rsidRDefault="00D924EE" w:rsidP="00D924EE">
      <w:r>
        <w:tab/>
        <w:t>where:</w:t>
      </w:r>
    </w:p>
    <w:tbl>
      <w:tblPr>
        <w:tblStyle w:val="TableGridLight"/>
        <w:tblW w:w="0" w:type="auto"/>
        <w:tblLook w:val="04A0" w:firstRow="1" w:lastRow="0" w:firstColumn="1" w:lastColumn="0" w:noHBand="0" w:noVBand="1"/>
      </w:tblPr>
      <w:tblGrid>
        <w:gridCol w:w="833"/>
        <w:gridCol w:w="7513"/>
      </w:tblGrid>
      <w:tr w:rsidR="00D924EE" w14:paraId="6EBB1969" w14:textId="77777777" w:rsidTr="00DF1507">
        <w:tc>
          <w:tcPr>
            <w:tcW w:w="0" w:type="auto"/>
          </w:tcPr>
          <w:p w14:paraId="35613396" w14:textId="77777777" w:rsidR="00D924EE" w:rsidRDefault="00D924EE" w:rsidP="00DF1507">
            <w:proofErr w:type="spellStart"/>
            <w:r>
              <w:rPr>
                <w:i/>
                <w:iCs/>
              </w:rPr>
              <w:t>i</w:t>
            </w:r>
            <w:proofErr w:type="spellEnd"/>
            <w:r>
              <w:rPr>
                <w:i/>
                <w:iCs/>
              </w:rPr>
              <w:t>, j</w:t>
            </w:r>
          </w:p>
        </w:tc>
        <w:tc>
          <w:tcPr>
            <w:tcW w:w="0" w:type="auto"/>
          </w:tcPr>
          <w:p w14:paraId="6D04DDBA" w14:textId="77777777" w:rsidR="00D924EE" w:rsidRDefault="00D924EE" w:rsidP="00DF1507">
            <w:r>
              <w:rPr>
                <w:rFonts w:eastAsiaTheme="minorEastAsia"/>
              </w:rPr>
              <w:t>refer to Regulatory Years between 2021/22 and Regulatory Year t-1;</w:t>
            </w:r>
          </w:p>
        </w:tc>
      </w:tr>
      <w:tr w:rsidR="00D924EE" w14:paraId="5355318D" w14:textId="77777777" w:rsidTr="00DF1507">
        <w:tc>
          <w:tcPr>
            <w:tcW w:w="0" w:type="auto"/>
          </w:tcPr>
          <w:p w14:paraId="1ACAC044" w14:textId="77777777" w:rsidR="00D924EE" w:rsidRDefault="00D924EE" w:rsidP="00DF1507">
            <w:proofErr w:type="spellStart"/>
            <w:r w:rsidRPr="0009661C">
              <w:rPr>
                <w:rFonts w:eastAsia="Calibri" w:cs="Arial"/>
                <w:i/>
                <w:iCs/>
              </w:rPr>
              <w:t>PI</w:t>
            </w:r>
            <w:r w:rsidRPr="0009661C">
              <w:rPr>
                <w:rFonts w:eastAsia="Calibri" w:cs="Arial"/>
                <w:i/>
                <w:iCs/>
                <w:vertAlign w:val="subscript"/>
              </w:rPr>
              <w:t>i</w:t>
            </w:r>
            <w:proofErr w:type="spellEnd"/>
          </w:p>
        </w:tc>
        <w:tc>
          <w:tcPr>
            <w:tcW w:w="0" w:type="auto"/>
          </w:tcPr>
          <w:p w14:paraId="6F3EB290" w14:textId="053B7259" w:rsidR="00D924EE" w:rsidRDefault="00D924EE" w:rsidP="00DF1507">
            <w:r w:rsidRPr="007E49B6">
              <w:t>is the</w:t>
            </w:r>
            <w:r>
              <w:t xml:space="preserve"> </w:t>
            </w:r>
            <w:r w:rsidRPr="007E49B6">
              <w:t xml:space="preserve">price index </w:t>
            </w:r>
            <w:r>
              <w:t xml:space="preserve">calculated </w:t>
            </w:r>
            <w:r w:rsidRPr="00D74E41">
              <w:t xml:space="preserve">in accordance with </w:t>
            </w:r>
            <w:r>
              <w:t>Part D</w:t>
            </w:r>
            <w:r w:rsidR="00640CE9">
              <w:t xml:space="preserve"> of Special Condition 2.1</w:t>
            </w:r>
            <w:r>
              <w:t>;</w:t>
            </w:r>
          </w:p>
        </w:tc>
      </w:tr>
      <w:tr w:rsidR="00D924EE" w14:paraId="687534E1" w14:textId="77777777" w:rsidTr="00DF1507">
        <w:tc>
          <w:tcPr>
            <w:tcW w:w="0" w:type="auto"/>
          </w:tcPr>
          <w:p w14:paraId="065AD627" w14:textId="77777777" w:rsidR="00D924EE" w:rsidRPr="00A871BA" w:rsidRDefault="00B913B6" w:rsidP="00DF1507">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oMath>
            </m:oMathPara>
          </w:p>
        </w:tc>
        <w:tc>
          <w:tcPr>
            <w:tcW w:w="0" w:type="auto"/>
          </w:tcPr>
          <w:p w14:paraId="65D6472B" w14:textId="3896840E" w:rsidR="00D924EE" w:rsidRDefault="00D924EE" w:rsidP="00DF1507">
            <w:r w:rsidRPr="007E49B6">
              <w:t xml:space="preserve">means </w:t>
            </w:r>
            <w:r w:rsidRPr="00D74E41">
              <w:t>Calculated Revenue</w:t>
            </w:r>
            <w:r>
              <w:t xml:space="preserve"> </w:t>
            </w:r>
            <w:r>
              <w:rPr>
                <w:rFonts w:eastAsiaTheme="minorEastAsia"/>
              </w:rPr>
              <w:t xml:space="preserve">for Regulatory Year </w:t>
            </w:r>
            <w:proofErr w:type="spellStart"/>
            <w:r>
              <w:rPr>
                <w:rFonts w:eastAsiaTheme="minorEastAsia"/>
              </w:rPr>
              <w:t>i</w:t>
            </w:r>
            <w:proofErr w:type="spellEnd"/>
            <w:r>
              <w:t xml:space="preserve">, derived in accordance with Part </w:t>
            </w:r>
            <w:r w:rsidR="00DD4118">
              <w:t xml:space="preserve">C </w:t>
            </w:r>
            <w:r>
              <w:t>of Special Condition 2.1;</w:t>
            </w:r>
          </w:p>
        </w:tc>
      </w:tr>
      <w:tr w:rsidR="00D924EE" w14:paraId="204C0E4E" w14:textId="77777777" w:rsidTr="00DF1507">
        <w:tc>
          <w:tcPr>
            <w:tcW w:w="0" w:type="auto"/>
          </w:tcPr>
          <w:p w14:paraId="737A8A08" w14:textId="77777777" w:rsidR="00D924EE" w:rsidRPr="00DE0C05" w:rsidRDefault="00B913B6" w:rsidP="00DF1507">
            <w:pPr>
              <w:rPr>
                <w:rFonts w:eastAsia="Calibri" w:cs="Arial"/>
              </w:rPr>
            </w:pPr>
            <m:oMathPara>
              <m:oMathParaPr>
                <m:jc m:val="left"/>
              </m:oMathParaPr>
              <m:oMath>
                <m:sSub>
                  <m:sSubPr>
                    <m:ctrlPr>
                      <w:rPr>
                        <w:rFonts w:ascii="Cambria Math" w:hAnsi="Cambria Math"/>
                      </w:rPr>
                    </m:ctrlPr>
                  </m:sSubPr>
                  <m:e>
                    <m:r>
                      <w:rPr>
                        <w:rFonts w:ascii="Cambria Math" w:hAnsi="Cambria Math"/>
                      </w:rPr>
                      <m:t>ADJR</m:t>
                    </m:r>
                  </m:e>
                  <m:sub>
                    <m:r>
                      <w:rPr>
                        <w:rFonts w:ascii="Cambria Math" w:hAnsi="Cambria Math"/>
                      </w:rPr>
                      <m:t>i</m:t>
                    </m:r>
                  </m:sub>
                </m:sSub>
              </m:oMath>
            </m:oMathPara>
          </w:p>
        </w:tc>
        <w:tc>
          <w:tcPr>
            <w:tcW w:w="0" w:type="auto"/>
          </w:tcPr>
          <w:p w14:paraId="3F0E3D22" w14:textId="77777777" w:rsidR="00D924EE" w:rsidRPr="007E49B6" w:rsidRDefault="00D924EE" w:rsidP="00DF1507">
            <w:r>
              <w:t xml:space="preserve">means the adjusted revenue for Regulatory Year </w:t>
            </w:r>
            <w:proofErr w:type="spellStart"/>
            <w:r w:rsidRPr="004E1E8E">
              <w:rPr>
                <w:i/>
                <w:iCs/>
              </w:rPr>
              <w:t>i</w:t>
            </w:r>
            <w:proofErr w:type="spellEnd"/>
            <w:r>
              <w:t>, derived in accordance with Part B.</w:t>
            </w:r>
          </w:p>
        </w:tc>
      </w:tr>
      <w:tr w:rsidR="00D924EE" w14:paraId="6B0528AE" w14:textId="77777777" w:rsidTr="00DF1507">
        <w:tc>
          <w:tcPr>
            <w:tcW w:w="0" w:type="auto"/>
          </w:tcPr>
          <w:p w14:paraId="20CD8EB8" w14:textId="77777777" w:rsidR="00D924EE" w:rsidRDefault="00D924EE" w:rsidP="00DF1507">
            <w:pPr>
              <w:rPr>
                <w:rFonts w:eastAsia="Calibri" w:cs="Arial"/>
              </w:rPr>
            </w:pPr>
            <w:proofErr w:type="spellStart"/>
            <w:r w:rsidRPr="0009661C">
              <w:rPr>
                <w:i/>
                <w:iCs/>
              </w:rPr>
              <w:t>I</w:t>
            </w:r>
            <w:r w:rsidRPr="0009661C">
              <w:rPr>
                <w:i/>
                <w:iCs/>
                <w:vertAlign w:val="subscript"/>
              </w:rPr>
              <w:t>j</w:t>
            </w:r>
            <w:proofErr w:type="spellEnd"/>
          </w:p>
        </w:tc>
        <w:tc>
          <w:tcPr>
            <w:tcW w:w="0" w:type="auto"/>
          </w:tcPr>
          <w:p w14:paraId="08E8EE28" w14:textId="77777777" w:rsidR="00D924EE" w:rsidRDefault="00D924EE" w:rsidP="00DF1507">
            <w:r w:rsidRPr="00B76D9F">
              <w:rPr>
                <w:szCs w:val="24"/>
              </w:rPr>
              <w:t xml:space="preserve">means the average value of </w:t>
            </w:r>
            <w:r>
              <w:rPr>
                <w:szCs w:val="24"/>
              </w:rPr>
              <w:t xml:space="preserve">SONIA </w:t>
            </w:r>
            <w:r>
              <w:t>between</w:t>
            </w:r>
            <w:r w:rsidRPr="00B61D42">
              <w:t xml:space="preserve"> 1</w:t>
            </w:r>
            <w:r w:rsidRPr="00C31FF5">
              <w:t xml:space="preserve"> April </w:t>
            </w:r>
            <w:r w:rsidRPr="00405E99">
              <w:t>and</w:t>
            </w:r>
            <w:r w:rsidRPr="00B61D42">
              <w:t xml:space="preserve"> 31 March in Regulatory Year j (inclusive).</w:t>
            </w:r>
          </w:p>
        </w:tc>
      </w:tr>
    </w:tbl>
    <w:p w14:paraId="3FF6853C" w14:textId="77777777" w:rsidR="00D924EE" w:rsidRDefault="00D924EE" w:rsidP="00D924EE"/>
    <w:p w14:paraId="6F622988" w14:textId="3931420E" w:rsidR="00D924EE" w:rsidRDefault="00D924EE" w:rsidP="00D924EE">
      <w:pPr>
        <w:pStyle w:val="Heading3"/>
      </w:pPr>
      <w:r>
        <w:t>Formula for adjusted revenue</w:t>
      </w:r>
      <w:r w:rsidR="00126A2E">
        <w:t xml:space="preserve"> (</w:t>
      </w:r>
      <w:proofErr w:type="spellStart"/>
      <w:r w:rsidR="00126A2E">
        <w:t>ADJR</w:t>
      </w:r>
      <w:r w:rsidR="00126A2E" w:rsidRPr="00714522">
        <w:rPr>
          <w:vertAlign w:val="subscript"/>
        </w:rPr>
        <w:t>t</w:t>
      </w:r>
      <w:proofErr w:type="spellEnd"/>
      <w:r w:rsidR="00126A2E">
        <w:t>)</w:t>
      </w:r>
    </w:p>
    <w:p w14:paraId="23E04556" w14:textId="77777777" w:rsidR="00D924EE" w:rsidRPr="00DE0C05" w:rsidRDefault="00D924EE" w:rsidP="00D924EE">
      <w:pPr>
        <w:pStyle w:val="NumberedNormal"/>
      </w:pPr>
      <w:r>
        <w:t xml:space="preserve">The value of </w:t>
      </w:r>
      <w:proofErr w:type="spellStart"/>
      <w:r w:rsidRPr="004E1E8E">
        <w:rPr>
          <w:i/>
          <w:iCs/>
        </w:rPr>
        <w:t>ADJR</w:t>
      </w:r>
      <w:r w:rsidRPr="004E1E8E">
        <w:rPr>
          <w:i/>
          <w:iCs/>
          <w:vertAlign w:val="subscript"/>
        </w:rPr>
        <w:t>t</w:t>
      </w:r>
      <w:proofErr w:type="spellEnd"/>
      <w:r>
        <w:t xml:space="preserve"> is derived in accordance with the following formula:</w:t>
      </w:r>
    </w:p>
    <w:p w14:paraId="6DD0C2B1" w14:textId="77777777" w:rsidR="00D924EE" w:rsidRPr="00DE0C05" w:rsidRDefault="00B913B6" w:rsidP="00D924EE">
      <w:pPr>
        <w:pStyle w:val="Equation"/>
      </w:pPr>
      <m:oMathPara>
        <m:oMath>
          <m:sSub>
            <m:sSubPr>
              <m:ctrlPr>
                <w:rPr>
                  <w:rFonts w:ascii="Cambria Math" w:hAnsi="Cambria Math"/>
                </w:rPr>
              </m:ctrlPr>
            </m:sSubPr>
            <m:e>
              <m:r>
                <w:rPr>
                  <w:rFonts w:ascii="Cambria Math" w:hAnsi="Cambria Math"/>
                </w:rPr>
                <m:t>ADJR</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m:t>
              </m:r>
            </m:e>
            <m:sub>
              <m:r>
                <w:rPr>
                  <w:rFonts w:ascii="Cambria Math" w:hAnsi="Cambria Math"/>
                </w:rPr>
                <m:t>t|t-1</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t|t-1</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2018/19</m:t>
                  </m:r>
                </m:sub>
              </m:sSub>
            </m:den>
          </m:f>
          <m:r>
            <m:rPr>
              <m:sty m:val="p"/>
            </m:rPr>
            <w:rPr>
              <w:rFonts w:ascii="Cambria Math" w:hAnsi="Cambria Math"/>
            </w:rPr>
            <m:t>+</m:t>
          </m:r>
          <m:sSub>
            <m:sSubPr>
              <m:ctrlPr>
                <w:rPr>
                  <w:rFonts w:ascii="Cambria Math" w:hAnsi="Cambria Math"/>
                </w:rPr>
              </m:ctrlPr>
            </m:sSubPr>
            <m:e>
              <m:r>
                <w:rPr>
                  <w:rFonts w:ascii="Cambria Math" w:hAnsi="Cambria Math"/>
                </w:rPr>
                <m:t>ADJ</m:t>
              </m:r>
            </m:e>
            <m:sub>
              <m:r>
                <w:rPr>
                  <w:rFonts w:ascii="Cambria Math" w:hAnsi="Cambria Math"/>
                </w:rPr>
                <m:t>t|t-1</m:t>
              </m:r>
            </m:sub>
          </m:sSub>
        </m:oMath>
      </m:oMathPara>
    </w:p>
    <w:p w14:paraId="7CC9E0F4" w14:textId="77777777" w:rsidR="00D924EE" w:rsidRDefault="00D924EE" w:rsidP="00D924EE">
      <w:r>
        <w:tab/>
        <w:t>where:</w:t>
      </w:r>
    </w:p>
    <w:tbl>
      <w:tblPr>
        <w:tblStyle w:val="TableGridLight"/>
        <w:tblW w:w="0" w:type="auto"/>
        <w:tblLook w:val="04A0" w:firstRow="1" w:lastRow="0" w:firstColumn="1" w:lastColumn="0" w:noHBand="0" w:noVBand="1"/>
      </w:tblPr>
      <w:tblGrid>
        <w:gridCol w:w="684"/>
        <w:gridCol w:w="7662"/>
      </w:tblGrid>
      <w:tr w:rsidR="00D924EE" w14:paraId="7CE6D467" w14:textId="77777777" w:rsidTr="00DF1507">
        <w:tc>
          <w:tcPr>
            <w:tcW w:w="0" w:type="auto"/>
          </w:tcPr>
          <w:p w14:paraId="67C7FD21" w14:textId="77777777" w:rsidR="00D924EE" w:rsidRPr="004E1E8E" w:rsidRDefault="00D924EE" w:rsidP="00DF1507">
            <w:pPr>
              <w:jc w:val="both"/>
              <w:rPr>
                <w:i/>
                <w:iCs/>
              </w:rPr>
            </w:pPr>
            <w:r w:rsidRPr="004E1E8E">
              <w:rPr>
                <w:i/>
                <w:iCs/>
              </w:rPr>
              <w:t>t|t-1</w:t>
            </w:r>
          </w:p>
        </w:tc>
        <w:tc>
          <w:tcPr>
            <w:tcW w:w="0" w:type="auto"/>
          </w:tcPr>
          <w:p w14:paraId="7E46CB01" w14:textId="77777777" w:rsidR="00D924EE" w:rsidRDefault="00D924EE" w:rsidP="00DF1507">
            <w:r>
              <w:t>means for Regulatory Year t, as of the AIP publication in Regulatory Year t-1.</w:t>
            </w:r>
          </w:p>
        </w:tc>
      </w:tr>
      <w:tr w:rsidR="00D924EE" w14:paraId="15D7F4A7" w14:textId="77777777" w:rsidTr="00DF1507">
        <w:tc>
          <w:tcPr>
            <w:tcW w:w="0" w:type="auto"/>
          </w:tcPr>
          <w:p w14:paraId="3E6F7B1D" w14:textId="77777777" w:rsidR="00D924EE" w:rsidRPr="004E1E8E" w:rsidRDefault="00B913B6" w:rsidP="00DF1507">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R</m:t>
                    </m:r>
                  </m:e>
                  <m:sub>
                    <m:r>
                      <w:rPr>
                        <w:rFonts w:ascii="Cambria Math" w:eastAsiaTheme="minorEastAsia" w:hAnsi="Cambria Math"/>
                      </w:rPr>
                      <m:t>t</m:t>
                    </m:r>
                  </m:sub>
                </m:sSub>
              </m:oMath>
            </m:oMathPara>
          </w:p>
        </w:tc>
        <w:tc>
          <w:tcPr>
            <w:tcW w:w="0" w:type="auto"/>
          </w:tcPr>
          <w:p w14:paraId="55D2DF93" w14:textId="7C46D962" w:rsidR="00D924EE" w:rsidRDefault="00D924EE" w:rsidP="00DF1507">
            <w:r w:rsidRPr="007E49B6">
              <w:t xml:space="preserve">means </w:t>
            </w:r>
            <w:r w:rsidRPr="00D74E41">
              <w:t>Calculated Revenue</w:t>
            </w:r>
            <w:r>
              <w:t>, derived in accordance with Part C</w:t>
            </w:r>
            <w:r w:rsidR="00E72BE4">
              <w:t xml:space="preserve"> of Special Condition 2.1</w:t>
            </w:r>
            <w:r>
              <w:t>;</w:t>
            </w:r>
          </w:p>
        </w:tc>
      </w:tr>
      <w:tr w:rsidR="00D924EE" w14:paraId="4717BD38" w14:textId="77777777" w:rsidTr="00DF1507">
        <w:tc>
          <w:tcPr>
            <w:tcW w:w="0" w:type="auto"/>
          </w:tcPr>
          <w:p w14:paraId="18D173E0" w14:textId="77777777" w:rsidR="00D924EE" w:rsidRPr="004E1E8E" w:rsidRDefault="00B913B6" w:rsidP="00DF1507">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PI</m:t>
                    </m:r>
                  </m:e>
                  <m:sub>
                    <m:r>
                      <w:rPr>
                        <w:rFonts w:ascii="Cambria Math" w:eastAsiaTheme="minorEastAsia" w:hAnsi="Cambria Math"/>
                      </w:rPr>
                      <m:t>t</m:t>
                    </m:r>
                  </m:sub>
                </m:sSub>
              </m:oMath>
            </m:oMathPara>
          </w:p>
        </w:tc>
        <w:tc>
          <w:tcPr>
            <w:tcW w:w="0" w:type="auto"/>
          </w:tcPr>
          <w:p w14:paraId="36571D9C" w14:textId="5641F8D8" w:rsidR="00D924EE" w:rsidRDefault="00D924EE" w:rsidP="00DF1507">
            <w:r w:rsidRPr="007E49B6">
              <w:t>is the</w:t>
            </w:r>
            <w:r>
              <w:t xml:space="preserve"> </w:t>
            </w:r>
            <w:r w:rsidRPr="007E49B6">
              <w:t xml:space="preserve">price index </w:t>
            </w:r>
            <w:r>
              <w:t xml:space="preserve">calculated </w:t>
            </w:r>
            <w:r w:rsidRPr="00D74E41">
              <w:t xml:space="preserve">in accordance with </w:t>
            </w:r>
            <w:r>
              <w:t xml:space="preserve">Part </w:t>
            </w:r>
            <w:r w:rsidR="00E72BE4">
              <w:t xml:space="preserve">D </w:t>
            </w:r>
            <w:r w:rsidR="002A22F6">
              <w:t>of Special Condition 2.1</w:t>
            </w:r>
            <w:r>
              <w:t>; and</w:t>
            </w:r>
          </w:p>
        </w:tc>
      </w:tr>
      <w:tr w:rsidR="00D924EE" w14:paraId="7E511433" w14:textId="77777777" w:rsidTr="00DF1507">
        <w:tc>
          <w:tcPr>
            <w:tcW w:w="0" w:type="auto"/>
          </w:tcPr>
          <w:p w14:paraId="74C2D51F" w14:textId="77777777" w:rsidR="00D924EE" w:rsidRPr="004E1E8E" w:rsidRDefault="00B913B6" w:rsidP="00DF1507">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ADJ</m:t>
                    </m:r>
                  </m:e>
                  <m:sub>
                    <m:r>
                      <w:rPr>
                        <w:rFonts w:ascii="Cambria Math" w:eastAsiaTheme="minorEastAsia" w:hAnsi="Cambria Math"/>
                      </w:rPr>
                      <m:t>t</m:t>
                    </m:r>
                  </m:sub>
                </m:sSub>
              </m:oMath>
            </m:oMathPara>
          </w:p>
        </w:tc>
        <w:tc>
          <w:tcPr>
            <w:tcW w:w="0" w:type="auto"/>
          </w:tcPr>
          <w:p w14:paraId="717706E9" w14:textId="3BF4569A" w:rsidR="00D924EE" w:rsidRDefault="00D924EE" w:rsidP="00DF1507">
            <w:r>
              <w:t>means the AIP adjustment term and is</w:t>
            </w:r>
            <w:r w:rsidRPr="0021550E">
              <w:t xml:space="preserve"> derived in accordance with </w:t>
            </w:r>
            <w:r w:rsidR="00E72BE4">
              <w:t>Part A.</w:t>
            </w:r>
          </w:p>
        </w:tc>
      </w:tr>
    </w:tbl>
    <w:p w14:paraId="0780D69A" w14:textId="605EC0A7" w:rsidR="00D924EE" w:rsidRDefault="00D924EE" w:rsidP="00D924EE">
      <w:pPr>
        <w:pStyle w:val="Heading2"/>
      </w:pPr>
      <w:bookmarkStart w:id="28" w:name="_Toc52364881"/>
      <w:r>
        <w:lastRenderedPageBreak/>
        <w:t xml:space="preserve">Correction </w:t>
      </w:r>
      <w:bookmarkEnd w:id="27"/>
      <w:r>
        <w:t>term</w:t>
      </w:r>
      <w:bookmarkEnd w:id="28"/>
    </w:p>
    <w:p w14:paraId="74B57EF9" w14:textId="77777777" w:rsidR="00D924EE" w:rsidRDefault="00D924EE" w:rsidP="00D924EE">
      <w:pPr>
        <w:pStyle w:val="Heading3nonumbering"/>
      </w:pPr>
      <w:r>
        <w:t>Introduction</w:t>
      </w:r>
    </w:p>
    <w:p w14:paraId="17C77814" w14:textId="1DB59CDF" w:rsidR="00D924EE" w:rsidRDefault="00D924EE" w:rsidP="00D924EE">
      <w:pPr>
        <w:pStyle w:val="NumberedNormal"/>
      </w:pPr>
      <w:r>
        <w:t xml:space="preserve">The purpose of this condition is to calculate the term </w:t>
      </w:r>
      <w:proofErr w:type="spellStart"/>
      <w:r>
        <w:t>K</w:t>
      </w:r>
      <w:r w:rsidRPr="4A26DA62">
        <w:rPr>
          <w:vertAlign w:val="subscript"/>
        </w:rPr>
        <w:t>t</w:t>
      </w:r>
      <w:proofErr w:type="spellEnd"/>
      <w:r>
        <w:t xml:space="preserve"> (the correction term), which feeds into Allowed Revenue in Special Condition 2.1 (Revenue Restriction).</w:t>
      </w:r>
      <w:r w:rsidR="008F0F48">
        <w:t xml:space="preserve"> </w:t>
      </w:r>
      <w:r>
        <w:t>The effect</w:t>
      </w:r>
      <w:r w:rsidR="008F0F48">
        <w:t xml:space="preserve"> of which</w:t>
      </w:r>
      <w:r>
        <w:t xml:space="preserve"> is to make the appropriate adjustment to Allowed Revenue to reflect historical deviations between Recovered Revenue and Calculated Revenue.</w:t>
      </w:r>
    </w:p>
    <w:p w14:paraId="3AAF3602" w14:textId="77777777" w:rsidR="00D924EE" w:rsidRDefault="00D924EE" w:rsidP="00D924EE">
      <w:pPr>
        <w:pStyle w:val="Heading3"/>
      </w:pPr>
      <w:r>
        <w:t>Formula for calculating the correction term (</w:t>
      </w:r>
      <w:proofErr w:type="spellStart"/>
      <w:r>
        <w:t>K</w:t>
      </w:r>
      <w:r w:rsidRPr="4A26DA62">
        <w:rPr>
          <w:vertAlign w:val="subscript"/>
        </w:rPr>
        <w:t>t</w:t>
      </w:r>
      <w:proofErr w:type="spellEnd"/>
      <w:r>
        <w:t>)</w:t>
      </w:r>
    </w:p>
    <w:p w14:paraId="2A288F04" w14:textId="150AAD28" w:rsidR="008F0F48" w:rsidRDefault="00D924EE" w:rsidP="00D924EE">
      <w:pPr>
        <w:pStyle w:val="NumberedNormal"/>
      </w:pPr>
      <w:bookmarkStart w:id="29" w:name="_Hlk48603993"/>
      <w:r>
        <w:t xml:space="preserve">For the Regulatory Year commencing on 1 April 2021, the value of K is zero. </w:t>
      </w:r>
    </w:p>
    <w:p w14:paraId="6EB7B9EC" w14:textId="29151DE4" w:rsidR="00D924EE" w:rsidRDefault="00D924EE" w:rsidP="00D924EE">
      <w:pPr>
        <w:pStyle w:val="NumberedNormal"/>
      </w:pPr>
      <w:r>
        <w:t xml:space="preserve">For subsequent Regulatory Years, the value of </w:t>
      </w:r>
      <w:proofErr w:type="spellStart"/>
      <w:r>
        <w:t>K</w:t>
      </w:r>
      <w:r w:rsidRPr="4A26DA62">
        <w:rPr>
          <w:vertAlign w:val="subscript"/>
        </w:rPr>
        <w:t>t</w:t>
      </w:r>
      <w:proofErr w:type="spellEnd"/>
      <w:r>
        <w:t xml:space="preserve"> is derived in accordance with the following formula:</w:t>
      </w:r>
      <w:bookmarkEnd w:id="29"/>
    </w:p>
    <w:p w14:paraId="196492B7" w14:textId="586346EF" w:rsidR="00D924EE" w:rsidRPr="00E269F5" w:rsidRDefault="00B913B6" w:rsidP="00D924EE">
      <w:pPr>
        <w:pStyle w:val="Equation"/>
      </w:pPr>
      <m:oMathPara>
        <m:oMath>
          <m:sSub>
            <m:sSubPr>
              <m:ctrlPr>
                <w:rPr>
                  <w:rFonts w:ascii="Cambria Math" w:hAnsi="Cambria Math"/>
                </w:rPr>
              </m:ctrlPr>
            </m:sSubPr>
            <m:e>
              <m:r>
                <w:rPr>
                  <w:rFonts w:ascii="Cambria Math" w:hAnsi="Cambria Math"/>
                </w:rPr>
                <m:t>K</m:t>
              </m:r>
            </m:e>
            <m:sub>
              <m:r>
                <w:rPr>
                  <w:rFonts w:ascii="Cambria Math" w:hAnsi="Cambria Math"/>
                </w:rPr>
                <m:t>t</m:t>
              </m:r>
            </m:sub>
          </m:sSub>
          <m:r>
            <m:rPr>
              <m:sty m:val="p"/>
            </m:rPr>
            <w:rPr>
              <w:rFonts w:ascii="Cambria Math" w:hAnsi="Cambria Math"/>
            </w:rPr>
            <m:t>=</m:t>
          </m:r>
          <m:nary>
            <m:naryPr>
              <m:chr m:val="∑"/>
              <m:limLoc m:val="undOvr"/>
              <m:ctrlPr>
                <w:rPr>
                  <w:rFonts w:ascii="Cambria Math" w:hAnsi="Cambria Math"/>
                  <w:i/>
                </w:rPr>
              </m:ctrlPr>
            </m:naryPr>
            <m:sub>
              <m:r>
                <w:rPr>
                  <w:rFonts w:ascii="Cambria Math" w:hAnsi="Cambria Math"/>
                </w:rPr>
                <m:t>i=2021/22</m:t>
              </m:r>
            </m:sub>
            <m:sup>
              <m:r>
                <w:rPr>
                  <w:rFonts w:ascii="Cambria Math" w:hAnsi="Cambria Math"/>
                </w:rPr>
                <m:t>t-1</m:t>
              </m:r>
            </m:sup>
            <m:e>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ADJR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RR</m:t>
                          </m:r>
                        </m:e>
                        <m:sub>
                          <m:r>
                            <w:rPr>
                              <w:rFonts w:ascii="Cambria Math" w:hAnsi="Cambria Math"/>
                            </w:rPr>
                            <m:t>i</m:t>
                          </m:r>
                        </m:sub>
                      </m:sSub>
                    </m:e>
                  </m:d>
                  <m:nary>
                    <m:naryPr>
                      <m:chr m:val="∏"/>
                      <m:limLoc m:val="undOvr"/>
                      <m:ctrlPr>
                        <w:rPr>
                          <w:rFonts w:ascii="Cambria Math" w:hAnsi="Cambria Math"/>
                          <w:i/>
                        </w:rPr>
                      </m:ctrlPr>
                    </m:naryPr>
                    <m:sub>
                      <m:r>
                        <w:rPr>
                          <w:rFonts w:ascii="Cambria Math" w:hAnsi="Cambria Math"/>
                        </w:rPr>
                        <m:t>j=i</m:t>
                      </m:r>
                    </m:sub>
                    <m:sup>
                      <m:r>
                        <w:rPr>
                          <w:rFonts w:ascii="Cambria Math" w:hAnsi="Cambria Math"/>
                        </w:rPr>
                        <m:t>t-1</m:t>
                      </m:r>
                    </m:sup>
                    <m:e>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I</m:t>
                              </m:r>
                            </m:e>
                            <m:sub>
                              <m:r>
                                <w:rPr>
                                  <w:rFonts w:ascii="Cambria Math" w:hAnsi="Cambria Math"/>
                                </w:rPr>
                                <m:t>j</m:t>
                              </m:r>
                            </m:sub>
                          </m:sSub>
                          <m:r>
                            <w:rPr>
                              <w:rFonts w:ascii="Cambria Math" w:hAnsi="Cambria Math"/>
                            </w:rPr>
                            <m:t>+[</m:t>
                          </m:r>
                          <m:r>
                            <w:rPr>
                              <w:rFonts w:ascii="Cambria Math" w:hAnsi="Cambria Math"/>
                              <w:highlight w:val="yellow"/>
                            </w:rPr>
                            <m:t>1.1%</m:t>
                          </m:r>
                          <m:r>
                            <w:rPr>
                              <w:rFonts w:ascii="Cambria Math" w:hAnsi="Cambria Math"/>
                            </w:rPr>
                            <m:t>]</m:t>
                          </m:r>
                        </m:e>
                      </m:d>
                    </m:e>
                  </m:nary>
                </m:e>
              </m:d>
            </m:e>
          </m:nary>
        </m:oMath>
      </m:oMathPara>
    </w:p>
    <w:p w14:paraId="425D333F" w14:textId="0BD01DD4" w:rsidR="00D924EE" w:rsidRDefault="00345900" w:rsidP="00D924EE">
      <w:r>
        <w:tab/>
      </w:r>
      <w:r w:rsidR="00D924EE">
        <w:t>where:</w:t>
      </w:r>
    </w:p>
    <w:tbl>
      <w:tblPr>
        <w:tblW w:w="8222" w:type="dxa"/>
        <w:tblInd w:w="817" w:type="dxa"/>
        <w:tblLayout w:type="fixed"/>
        <w:tblLook w:val="04A0" w:firstRow="1" w:lastRow="0" w:firstColumn="1" w:lastColumn="0" w:noHBand="0" w:noVBand="1"/>
      </w:tblPr>
      <w:tblGrid>
        <w:gridCol w:w="1168"/>
        <w:gridCol w:w="7054"/>
      </w:tblGrid>
      <w:tr w:rsidR="00D924EE" w:rsidRPr="007E49B6" w14:paraId="14AC4E88" w14:textId="77777777" w:rsidTr="00DF1507">
        <w:trPr>
          <w:trHeight w:val="567"/>
        </w:trPr>
        <w:tc>
          <w:tcPr>
            <w:tcW w:w="1168" w:type="dxa"/>
          </w:tcPr>
          <w:p w14:paraId="0C83DDA5" w14:textId="77777777" w:rsidR="00D924EE" w:rsidRPr="004E1E8E" w:rsidRDefault="00D924EE" w:rsidP="00DF1507">
            <w:pPr>
              <w:rPr>
                <w:i/>
                <w:iCs/>
              </w:rPr>
            </w:pPr>
            <w:proofErr w:type="spellStart"/>
            <w:r w:rsidRPr="004E1E8E">
              <w:rPr>
                <w:i/>
                <w:iCs/>
              </w:rPr>
              <w:t>i</w:t>
            </w:r>
            <w:proofErr w:type="spellEnd"/>
            <w:r w:rsidRPr="004E1E8E">
              <w:rPr>
                <w:i/>
                <w:iCs/>
              </w:rPr>
              <w:t>, j</w:t>
            </w:r>
          </w:p>
        </w:tc>
        <w:tc>
          <w:tcPr>
            <w:tcW w:w="7054" w:type="dxa"/>
            <w:vAlign w:val="center"/>
          </w:tcPr>
          <w:p w14:paraId="39DAA9AE" w14:textId="77777777" w:rsidR="00D924EE" w:rsidRDefault="00D924EE" w:rsidP="00DF1507">
            <w:pPr>
              <w:rPr>
                <w:rFonts w:eastAsiaTheme="minorEastAsia"/>
              </w:rPr>
            </w:pPr>
            <w:r>
              <w:rPr>
                <w:rFonts w:eastAsiaTheme="minorEastAsia"/>
              </w:rPr>
              <w:t>refer to Regulatory Years between 2021/22 and Regulatory Year t-1;</w:t>
            </w:r>
          </w:p>
        </w:tc>
      </w:tr>
      <w:tr w:rsidR="00D924EE" w:rsidRPr="007E49B6" w14:paraId="7F594452" w14:textId="77777777" w:rsidTr="00DF1507">
        <w:trPr>
          <w:trHeight w:val="567"/>
        </w:trPr>
        <w:tc>
          <w:tcPr>
            <w:tcW w:w="1168" w:type="dxa"/>
          </w:tcPr>
          <w:p w14:paraId="314D7479" w14:textId="77777777" w:rsidR="00D924EE" w:rsidRPr="004E1E8E" w:rsidRDefault="00B913B6" w:rsidP="00DF1507">
            <w:pPr>
              <w:rPr>
                <w:rFonts w:eastAsia="Calibri" w:cs="Arial"/>
                <w:i/>
                <w:iCs/>
              </w:rPr>
            </w:pPr>
            <m:oMathPara>
              <m:oMathParaPr>
                <m:jc m:val="left"/>
              </m:oMathParaPr>
              <m:oMath>
                <m:sSub>
                  <m:sSubPr>
                    <m:ctrlPr>
                      <w:rPr>
                        <w:rFonts w:ascii="Cambria Math" w:hAnsi="Cambria Math"/>
                        <w:i/>
                        <w:iCs/>
                      </w:rPr>
                    </m:ctrlPr>
                  </m:sSubPr>
                  <m:e>
                    <m:r>
                      <w:rPr>
                        <w:rFonts w:ascii="Cambria Math" w:hAnsi="Cambria Math"/>
                      </w:rPr>
                      <m:t>ADJR</m:t>
                    </m:r>
                  </m:e>
                  <m:sub>
                    <m:r>
                      <w:rPr>
                        <w:rFonts w:ascii="Cambria Math" w:hAnsi="Cambria Math"/>
                      </w:rPr>
                      <m:t>i</m:t>
                    </m:r>
                  </m:sub>
                </m:sSub>
              </m:oMath>
            </m:oMathPara>
          </w:p>
        </w:tc>
        <w:tc>
          <w:tcPr>
            <w:tcW w:w="7054" w:type="dxa"/>
          </w:tcPr>
          <w:p w14:paraId="037A2139" w14:textId="5D9E719D" w:rsidR="00D924EE" w:rsidRDefault="00D924EE" w:rsidP="00DF1507">
            <w:pPr>
              <w:rPr>
                <w:rFonts w:eastAsiaTheme="minorEastAsia"/>
              </w:rPr>
            </w:pPr>
            <w:r>
              <w:t xml:space="preserve">means the adjusted revenue for Regulatory Year </w:t>
            </w:r>
            <w:proofErr w:type="spellStart"/>
            <w:r w:rsidRPr="0009661C">
              <w:rPr>
                <w:i/>
                <w:iCs/>
              </w:rPr>
              <w:t>i</w:t>
            </w:r>
            <w:proofErr w:type="spellEnd"/>
            <w:r>
              <w:t>, derived in accordance with Part B of Special Condition 2.2</w:t>
            </w:r>
            <w:r w:rsidR="007A40AD">
              <w:t xml:space="preserve"> (AIP adjustment term)</w:t>
            </w:r>
            <w:r>
              <w:t>;</w:t>
            </w:r>
          </w:p>
        </w:tc>
      </w:tr>
      <w:tr w:rsidR="00D924EE" w:rsidRPr="007E49B6" w14:paraId="76EE92AD" w14:textId="77777777" w:rsidTr="00DF1507">
        <w:trPr>
          <w:trHeight w:val="567"/>
        </w:trPr>
        <w:tc>
          <w:tcPr>
            <w:tcW w:w="1168" w:type="dxa"/>
          </w:tcPr>
          <w:p w14:paraId="0D042C17" w14:textId="77777777" w:rsidR="00D924EE" w:rsidRPr="004E1E8E" w:rsidRDefault="00B913B6" w:rsidP="00DF1507">
            <w:pPr>
              <w:rPr>
                <w:i/>
                <w:iCs/>
              </w:rPr>
            </w:pPr>
            <m:oMathPara>
              <m:oMathParaPr>
                <m:jc m:val="left"/>
              </m:oMathParaPr>
              <m:oMath>
                <m:sSub>
                  <m:sSubPr>
                    <m:ctrlPr>
                      <w:rPr>
                        <w:rFonts w:ascii="Cambria Math" w:hAnsi="Cambria Math"/>
                        <w:i/>
                        <w:iCs/>
                      </w:rPr>
                    </m:ctrlPr>
                  </m:sSubPr>
                  <m:e>
                    <m:r>
                      <w:rPr>
                        <w:rFonts w:ascii="Cambria Math" w:hAnsi="Cambria Math"/>
                      </w:rPr>
                      <m:t>RR</m:t>
                    </m:r>
                  </m:e>
                  <m:sub>
                    <m:r>
                      <w:rPr>
                        <w:rFonts w:ascii="Cambria Math" w:hAnsi="Cambria Math"/>
                      </w:rPr>
                      <m:t>i</m:t>
                    </m:r>
                  </m:sub>
                </m:sSub>
              </m:oMath>
            </m:oMathPara>
          </w:p>
        </w:tc>
        <w:tc>
          <w:tcPr>
            <w:tcW w:w="7054" w:type="dxa"/>
            <w:vAlign w:val="center"/>
          </w:tcPr>
          <w:p w14:paraId="741C2619" w14:textId="01CEDCC8" w:rsidR="00D924EE" w:rsidRPr="00E269F5" w:rsidRDefault="00D924EE" w:rsidP="00DF1507">
            <w:r>
              <w:rPr>
                <w:rFonts w:eastAsiaTheme="minorEastAsia"/>
              </w:rPr>
              <w:t xml:space="preserve">means the Recovered Revenue for Regulatory Year </w:t>
            </w:r>
            <w:proofErr w:type="spellStart"/>
            <w:r w:rsidRPr="006C703C">
              <w:rPr>
                <w:rFonts w:eastAsiaTheme="minorEastAsia"/>
                <w:i/>
              </w:rPr>
              <w:t>i</w:t>
            </w:r>
            <w:proofErr w:type="spellEnd"/>
            <w:r>
              <w:rPr>
                <w:rFonts w:eastAsiaTheme="minorEastAsia"/>
                <w:iCs/>
              </w:rPr>
              <w:t>; and</w:t>
            </w:r>
          </w:p>
        </w:tc>
      </w:tr>
      <w:tr w:rsidR="00D924EE" w14:paraId="4221DE63" w14:textId="77777777" w:rsidTr="00DF1507">
        <w:trPr>
          <w:trHeight w:val="567"/>
        </w:trPr>
        <w:tc>
          <w:tcPr>
            <w:tcW w:w="1168" w:type="dxa"/>
          </w:tcPr>
          <w:p w14:paraId="397DF1F5" w14:textId="77777777" w:rsidR="00D924EE" w:rsidRPr="004E1E8E" w:rsidRDefault="00D924EE" w:rsidP="00DF1507">
            <w:pPr>
              <w:rPr>
                <w:i/>
                <w:iCs/>
              </w:rPr>
            </w:pPr>
            <w:proofErr w:type="spellStart"/>
            <w:r w:rsidRPr="004E1E8E">
              <w:rPr>
                <w:i/>
                <w:iCs/>
              </w:rPr>
              <w:t>I</w:t>
            </w:r>
            <w:r w:rsidRPr="004E1E8E">
              <w:rPr>
                <w:i/>
                <w:iCs/>
                <w:vertAlign w:val="subscript"/>
              </w:rPr>
              <w:t>j</w:t>
            </w:r>
            <w:proofErr w:type="spellEnd"/>
          </w:p>
        </w:tc>
        <w:tc>
          <w:tcPr>
            <w:tcW w:w="7054" w:type="dxa"/>
          </w:tcPr>
          <w:p w14:paraId="2FB80844" w14:textId="77777777" w:rsidR="00D924EE" w:rsidRPr="00E269F5" w:rsidRDefault="00D924EE" w:rsidP="00DF1507">
            <w:r w:rsidRPr="00B76D9F">
              <w:rPr>
                <w:szCs w:val="24"/>
              </w:rPr>
              <w:t xml:space="preserve">means the average value of </w:t>
            </w:r>
            <w:r>
              <w:rPr>
                <w:szCs w:val="24"/>
              </w:rPr>
              <w:t xml:space="preserve">SONIA </w:t>
            </w:r>
            <w:r>
              <w:t>between</w:t>
            </w:r>
            <w:r w:rsidRPr="00B61D42">
              <w:t xml:space="preserve"> 1</w:t>
            </w:r>
            <w:r w:rsidRPr="00C31FF5">
              <w:t xml:space="preserve"> April </w:t>
            </w:r>
            <w:r w:rsidRPr="00405E99">
              <w:t>and</w:t>
            </w:r>
            <w:r w:rsidRPr="00B61D42">
              <w:t xml:space="preserve"> 31 March in Regulatory Year j (inclusive).</w:t>
            </w:r>
          </w:p>
        </w:tc>
      </w:tr>
    </w:tbl>
    <w:p w14:paraId="2E751301" w14:textId="77777777" w:rsidR="00D924EE" w:rsidRDefault="00D924EE" w:rsidP="00D924EE">
      <w:pPr>
        <w:pStyle w:val="Heading2"/>
      </w:pPr>
      <w:bookmarkStart w:id="30" w:name="_Toc51783605"/>
      <w:bookmarkStart w:id="31" w:name="_Toc51866562"/>
      <w:bookmarkStart w:id="32" w:name="_Toc52364882"/>
      <w:r>
        <w:t>Tax Review Adjustment (</w:t>
      </w:r>
      <w:proofErr w:type="spellStart"/>
      <w:r w:rsidRPr="00DF4870">
        <w:t>TAXA</w:t>
      </w:r>
      <w:r w:rsidRPr="00F52665">
        <w:rPr>
          <w:vertAlign w:val="subscript"/>
        </w:rPr>
        <w:t>t</w:t>
      </w:r>
      <w:proofErr w:type="spellEnd"/>
      <w:r>
        <w:t>)</w:t>
      </w:r>
      <w:bookmarkEnd w:id="30"/>
      <w:bookmarkEnd w:id="31"/>
      <w:bookmarkEnd w:id="32"/>
    </w:p>
    <w:p w14:paraId="5C66D239" w14:textId="77777777" w:rsidR="00D924EE" w:rsidRDefault="00D924EE" w:rsidP="00D924EE">
      <w:pPr>
        <w:pStyle w:val="Heading3nonumbering"/>
      </w:pPr>
      <w:r>
        <w:t>Introduction</w:t>
      </w:r>
    </w:p>
    <w:p w14:paraId="6F9BABC5" w14:textId="77777777" w:rsidR="00D924EE" w:rsidRDefault="00D924EE" w:rsidP="00D924EE">
      <w:pPr>
        <w:pStyle w:val="NumberedNormal"/>
      </w:pPr>
      <w:r>
        <w:t xml:space="preserve">The purpose of this condition is to calculate the term </w:t>
      </w:r>
      <w:proofErr w:type="spellStart"/>
      <w:r>
        <w:t>TAXA</w:t>
      </w:r>
      <w:r w:rsidRPr="00F52665">
        <w:rPr>
          <w:vertAlign w:val="subscript"/>
        </w:rPr>
        <w:t>t</w:t>
      </w:r>
      <w:proofErr w:type="spellEnd"/>
      <w:r>
        <w:t xml:space="preserve"> (the Tax Review adjustment term), which feeds into Calculated Revenue in Special Condition 2.1 (Revenue Restriction). </w:t>
      </w:r>
    </w:p>
    <w:p w14:paraId="4219A751" w14:textId="66228B4C" w:rsidR="00D924EE" w:rsidRDefault="00D924EE" w:rsidP="00D924EE">
      <w:pPr>
        <w:pStyle w:val="NumberedNormal"/>
      </w:pPr>
      <w:r>
        <w:t>The effect is to adjust Calculated Revenue following a review of differences between the licensee’s Calculated Tax Allowance and its Actual Corporation Tax Liability.</w:t>
      </w:r>
    </w:p>
    <w:p w14:paraId="6D34A6EA" w14:textId="77777777" w:rsidR="00D924EE" w:rsidRDefault="00D924EE" w:rsidP="00D924EE">
      <w:pPr>
        <w:pStyle w:val="NumberedNormal"/>
      </w:pPr>
      <w:r>
        <w:t xml:space="preserve">It also explains the process the Authority will follow when directing any change </w:t>
      </w:r>
      <w:proofErr w:type="gramStart"/>
      <w:r>
        <w:t>as a result of</w:t>
      </w:r>
      <w:proofErr w:type="gramEnd"/>
      <w:r>
        <w:t xml:space="preserve"> the review.</w:t>
      </w:r>
    </w:p>
    <w:p w14:paraId="17F44CB5" w14:textId="77777777" w:rsidR="00D924EE" w:rsidRDefault="00D924EE" w:rsidP="00345900">
      <w:pPr>
        <w:pStyle w:val="Heading3"/>
      </w:pPr>
      <w:r>
        <w:lastRenderedPageBreak/>
        <w:t>Undertaking a Tax Review</w:t>
      </w:r>
    </w:p>
    <w:p w14:paraId="122F6C3C" w14:textId="77777777" w:rsidR="00D924EE" w:rsidRDefault="00D924EE" w:rsidP="00D924EE">
      <w:pPr>
        <w:pStyle w:val="NumberedNormal"/>
      </w:pPr>
      <w:r>
        <w:t>The Authority may undertake a Tax Review of any material differences between the licensee's Calculated Tax Allowance and its Actual Corporation Tax Liability.</w:t>
      </w:r>
    </w:p>
    <w:p w14:paraId="40580147" w14:textId="77777777" w:rsidR="00D924EE" w:rsidRPr="000966D0" w:rsidRDefault="00D924EE" w:rsidP="00D924EE">
      <w:pPr>
        <w:pStyle w:val="NumberedNormal"/>
      </w:pPr>
      <w:r>
        <w:t>Where the Authority notifies the licensee that it has decided to undertake a Tax Review and given the reasons for that decision, the licensee must:</w:t>
      </w:r>
    </w:p>
    <w:p w14:paraId="0B35E593" w14:textId="55A186BC" w:rsidR="00D924EE" w:rsidRPr="00345900" w:rsidRDefault="00D924EE" w:rsidP="00345900">
      <w:pPr>
        <w:pStyle w:val="ListNormal"/>
      </w:pPr>
      <w:r w:rsidRPr="000966D0">
        <w:t>procure an Appropriately Qualified Independent Examiner</w:t>
      </w:r>
      <w:r>
        <w:t xml:space="preserve"> to examine the </w:t>
      </w:r>
      <w:r w:rsidRPr="00345900">
        <w:t xml:space="preserve">differences between the licensee’s Calculated Tax Allowance and its Actual Corporation Tax Liability and provide a report to the </w:t>
      </w:r>
      <w:proofErr w:type="gramStart"/>
      <w:r w:rsidRPr="00345900">
        <w:t>Authority;</w:t>
      </w:r>
      <w:proofErr w:type="gramEnd"/>
    </w:p>
    <w:p w14:paraId="2DB4F7A5" w14:textId="77777777" w:rsidR="00D924EE" w:rsidRPr="00345900" w:rsidRDefault="00D924EE" w:rsidP="00345900">
      <w:pPr>
        <w:pStyle w:val="ListNormal"/>
      </w:pPr>
      <w:r w:rsidRPr="00345900">
        <w:t xml:space="preserve">carry out any steps specified by the Authority for the procurement of an Appropriately Qualified Independent Examiner and comply with any requirements specified by the Authority as to the terms of appointment of the Appropriately Qualified Independent </w:t>
      </w:r>
      <w:proofErr w:type="gramStart"/>
      <w:r w:rsidRPr="00345900">
        <w:t>Examiner;</w:t>
      </w:r>
      <w:proofErr w:type="gramEnd"/>
    </w:p>
    <w:p w14:paraId="128D341C" w14:textId="77777777" w:rsidR="00D924EE" w:rsidRPr="00345900" w:rsidRDefault="00D924EE" w:rsidP="00345900">
      <w:pPr>
        <w:pStyle w:val="ListNormal"/>
      </w:pPr>
      <w:r w:rsidRPr="00345900">
        <w:t>ensure that the Appropriately Qualified Independent Examiner carries out the work within the scope, and by the date, specified by the Authority; and</w:t>
      </w:r>
    </w:p>
    <w:p w14:paraId="4E14CE5E" w14:textId="77777777" w:rsidR="00D924EE" w:rsidRPr="000966D0" w:rsidRDefault="00D924EE" w:rsidP="00345900">
      <w:pPr>
        <w:pStyle w:val="ListNormal"/>
      </w:pPr>
      <w:r w:rsidRPr="00345900">
        <w:t>submit to the Authority a report from the Appropriately Qualified Independent</w:t>
      </w:r>
      <w:r w:rsidRPr="000966D0">
        <w:t xml:space="preserve"> Examiner </w:t>
      </w:r>
      <w:r>
        <w:t>in the form, and containing the content, specified by</w:t>
      </w:r>
      <w:r w:rsidRPr="000966D0">
        <w:t xml:space="preserve"> </w:t>
      </w:r>
      <w:r>
        <w:t>the Authority.</w:t>
      </w:r>
    </w:p>
    <w:p w14:paraId="0F3DCED5" w14:textId="77777777" w:rsidR="00D924EE" w:rsidRPr="00AC3BEC" w:rsidRDefault="00D924EE" w:rsidP="00D924EE">
      <w:pPr>
        <w:pStyle w:val="NumberedNormal"/>
        <w:rPr>
          <w:rFonts w:asciiTheme="minorHAnsi" w:eastAsiaTheme="minorEastAsia" w:hAnsiTheme="minorHAnsi"/>
        </w:rPr>
      </w:pPr>
      <w:r>
        <w:t xml:space="preserve">Following receipt of the Appropriately Qualified Independent Examiner's report, the Authority will: </w:t>
      </w:r>
    </w:p>
    <w:p w14:paraId="51347D52" w14:textId="77777777" w:rsidR="00D924EE" w:rsidRPr="00AC3BEC" w:rsidRDefault="00D924EE" w:rsidP="00D924EE">
      <w:pPr>
        <w:pStyle w:val="ListNormal"/>
        <w:rPr>
          <w:rFonts w:asciiTheme="minorHAnsi" w:eastAsiaTheme="minorEastAsia" w:hAnsiTheme="minorHAnsi"/>
        </w:rPr>
      </w:pPr>
      <w:r>
        <w:t xml:space="preserve">direct any adjustments to the value of the </w:t>
      </w:r>
      <w:proofErr w:type="spellStart"/>
      <w:r>
        <w:t>TAXA</w:t>
      </w:r>
      <w:r w:rsidRPr="00AC3BEC">
        <w:rPr>
          <w:vertAlign w:val="subscript"/>
        </w:rPr>
        <w:t>t</w:t>
      </w:r>
      <w:proofErr w:type="spellEnd"/>
      <w:r>
        <w:t xml:space="preserve"> term that it considers should be made, and </w:t>
      </w:r>
    </w:p>
    <w:p w14:paraId="65B8989D" w14:textId="77777777" w:rsidR="00D924EE" w:rsidRPr="000966D0" w:rsidRDefault="00D924EE" w:rsidP="00D924EE">
      <w:pPr>
        <w:pStyle w:val="ListNormal"/>
        <w:rPr>
          <w:rFonts w:asciiTheme="minorHAnsi" w:eastAsiaTheme="minorEastAsia" w:hAnsiTheme="minorHAnsi"/>
        </w:rPr>
      </w:pPr>
      <w:r>
        <w:t>specify the Regulatory Years to which those adjustments relate.</w:t>
      </w:r>
    </w:p>
    <w:p w14:paraId="75C3B977" w14:textId="77777777" w:rsidR="00D924EE" w:rsidRDefault="00D924EE" w:rsidP="00345900">
      <w:pPr>
        <w:pStyle w:val="Heading3"/>
      </w:pPr>
      <w:r w:rsidRPr="00890F41">
        <w:t>What process will the Authority follow in making a direction?</w:t>
      </w:r>
    </w:p>
    <w:p w14:paraId="70AF02CA" w14:textId="77777777" w:rsidR="00D924EE" w:rsidRPr="00840F12" w:rsidRDefault="00D924EE" w:rsidP="00D924EE">
      <w:pPr>
        <w:pStyle w:val="NumberedNormal"/>
      </w:pPr>
      <w:r>
        <w:t>Before making a direction under paragraph 2.4.6, the Authority will publish on the Authority's Website:</w:t>
      </w:r>
    </w:p>
    <w:p w14:paraId="050AE344" w14:textId="77777777" w:rsidR="00D924EE" w:rsidRPr="00840F12" w:rsidRDefault="00D924EE" w:rsidP="00D924EE">
      <w:pPr>
        <w:pStyle w:val="ListNormal"/>
        <w:numPr>
          <w:ilvl w:val="3"/>
          <w:numId w:val="1"/>
        </w:numPr>
      </w:pPr>
      <w:r w:rsidRPr="00840F12">
        <w:t xml:space="preserve">the text of the proposed </w:t>
      </w:r>
      <w:proofErr w:type="gramStart"/>
      <w:r w:rsidRPr="00840F12">
        <w:t>direction</w:t>
      </w:r>
      <w:r>
        <w:t>;</w:t>
      </w:r>
      <w:proofErr w:type="gramEnd"/>
    </w:p>
    <w:p w14:paraId="0DBD6021" w14:textId="77777777" w:rsidR="00D924EE" w:rsidRPr="00840F12" w:rsidRDefault="00D924EE" w:rsidP="00D924EE">
      <w:pPr>
        <w:pStyle w:val="ListNormal"/>
        <w:numPr>
          <w:ilvl w:val="3"/>
          <w:numId w:val="1"/>
        </w:numPr>
      </w:pPr>
      <w:r w:rsidRPr="00840F12">
        <w:t>the reasons for the proposed direction</w:t>
      </w:r>
      <w:r>
        <w:t>; and</w:t>
      </w:r>
    </w:p>
    <w:p w14:paraId="351D7CD9" w14:textId="77777777" w:rsidR="00D924EE" w:rsidRPr="00840F12" w:rsidRDefault="00D924EE" w:rsidP="00D924EE">
      <w:pPr>
        <w:pStyle w:val="ListNormal"/>
        <w:numPr>
          <w:ilvl w:val="3"/>
          <w:numId w:val="1"/>
        </w:numPr>
        <w:rPr>
          <w:rFonts w:asciiTheme="minorHAnsi" w:eastAsiaTheme="minorEastAsia" w:hAnsiTheme="minorHAnsi"/>
          <w:szCs w:val="24"/>
        </w:rPr>
      </w:pPr>
      <w:bookmarkStart w:id="33" w:name="_Toc33187531"/>
      <w:bookmarkEnd w:id="33"/>
      <w:r>
        <w:t>a period during</w:t>
      </w:r>
      <w:r w:rsidRPr="00840F12">
        <w:t xml:space="preserve"> which representations on the proposed direction </w:t>
      </w:r>
      <w:r w:rsidRPr="24832A38">
        <w:t>may be made</w:t>
      </w:r>
      <w:r w:rsidRPr="00840F12">
        <w:t>, which will not be less than 28 days.</w:t>
      </w:r>
    </w:p>
    <w:p w14:paraId="0AA51315" w14:textId="65E0D7B9" w:rsidR="009F5CD2" w:rsidRDefault="00CA01A5" w:rsidP="00FE5E1B">
      <w:pPr>
        <w:pStyle w:val="Heading1"/>
      </w:pPr>
      <w:bookmarkStart w:id="34" w:name="_Toc52364883"/>
      <w:r>
        <w:lastRenderedPageBreak/>
        <w:t>Totex Allowance Adjustments</w:t>
      </w:r>
      <w:bookmarkEnd w:id="34"/>
    </w:p>
    <w:p w14:paraId="585D8CA9" w14:textId="77777777" w:rsidR="0016349C" w:rsidRDefault="0016349C" w:rsidP="007E6D46">
      <w:pPr>
        <w:pStyle w:val="Heading2"/>
      </w:pPr>
      <w:bookmarkStart w:id="35" w:name="_Toc51319598"/>
      <w:bookmarkStart w:id="36" w:name="_Toc51680357"/>
      <w:bookmarkStart w:id="37" w:name="_Toc51798255"/>
      <w:bookmarkStart w:id="38" w:name="_Toc52364884"/>
      <w:bookmarkStart w:id="39" w:name="_Toc51319599"/>
      <w:bookmarkEnd w:id="35"/>
      <w:r>
        <w:t>Baseline Network Risk Output</w:t>
      </w:r>
      <w:bookmarkEnd w:id="36"/>
      <w:bookmarkEnd w:id="37"/>
      <w:bookmarkEnd w:id="38"/>
    </w:p>
    <w:p w14:paraId="17EA051E" w14:textId="77777777" w:rsidR="0016349C" w:rsidRPr="007729D8" w:rsidRDefault="0016349C" w:rsidP="0016349C">
      <w:pPr>
        <w:pStyle w:val="Heading3nonumbering"/>
      </w:pPr>
      <w:r w:rsidRPr="007729D8">
        <w:t xml:space="preserve">Introduction </w:t>
      </w:r>
    </w:p>
    <w:p w14:paraId="2BD11B1D" w14:textId="1456057D" w:rsidR="00B7632B" w:rsidRPr="007729D8" w:rsidRDefault="00B7632B" w:rsidP="00B7632B">
      <w:pPr>
        <w:pStyle w:val="NumberedNormal"/>
      </w:pPr>
      <w:r>
        <w:t>This condition sets out the requirements on the licensee in respect of Baseline Network Risk Output and specifies the Baseline Allowed NARM Expenditure associated with th</w:t>
      </w:r>
      <w:r w:rsidR="00D20FB9">
        <w:t>at</w:t>
      </w:r>
      <w:r>
        <w:t xml:space="preserve"> output, which contributed to the calculation of the Totex Allowance.</w:t>
      </w:r>
    </w:p>
    <w:p w14:paraId="1009FD8F" w14:textId="77777777" w:rsidR="00B7632B" w:rsidRPr="007729D8" w:rsidRDefault="00B7632B" w:rsidP="00B7632B">
      <w:pPr>
        <w:pStyle w:val="NumberedNormal"/>
      </w:pPr>
      <w:r>
        <w:t>It also sets out the requirements on the licensee in respect of the NARM Closeout Report.</w:t>
      </w:r>
    </w:p>
    <w:p w14:paraId="5C050E9E" w14:textId="77777777" w:rsidR="0016349C" w:rsidRPr="007729D8" w:rsidRDefault="0016349C" w:rsidP="007E6D46">
      <w:pPr>
        <w:pStyle w:val="Heading3"/>
      </w:pPr>
      <w:r>
        <w:t>Requirement to deliver Baseline Network Risk Output</w:t>
      </w:r>
    </w:p>
    <w:p w14:paraId="490EB763" w14:textId="77777777" w:rsidR="0016349C" w:rsidRPr="007729D8" w:rsidRDefault="0016349C" w:rsidP="007E6D46">
      <w:pPr>
        <w:pStyle w:val="NumberedNormal"/>
      </w:pPr>
      <w:r>
        <w:t>By the end of the Price Control Period, the licensee must deliver its Baseline Network Risk Output either:</w:t>
      </w:r>
    </w:p>
    <w:p w14:paraId="549E31B2" w14:textId="77777777" w:rsidR="0016349C" w:rsidRPr="007729D8" w:rsidRDefault="0016349C" w:rsidP="007E6D46">
      <w:pPr>
        <w:pStyle w:val="ListNormal"/>
        <w:tabs>
          <w:tab w:val="num" w:pos="879"/>
        </w:tabs>
      </w:pPr>
      <w:r>
        <w:t xml:space="preserve">in accordance with its Network Asset Risk Workbook, or </w:t>
      </w:r>
    </w:p>
    <w:p w14:paraId="53E5669C" w14:textId="77777777" w:rsidR="0016349C" w:rsidRPr="007729D8" w:rsidRDefault="0016349C" w:rsidP="007E6D46">
      <w:pPr>
        <w:pStyle w:val="ListNormal"/>
        <w:tabs>
          <w:tab w:val="num" w:pos="879"/>
        </w:tabs>
      </w:pPr>
      <w:r>
        <w:t xml:space="preserve">through Materially Equivalent Network Risk Outputs.    </w:t>
      </w:r>
    </w:p>
    <w:p w14:paraId="229E4C8F" w14:textId="77777777" w:rsidR="0016349C" w:rsidRPr="007729D8" w:rsidRDefault="0016349C" w:rsidP="007E6D46">
      <w:pPr>
        <w:pStyle w:val="Heading3"/>
      </w:pPr>
      <w:r>
        <w:t>Baseline Allowed NARM Expenditure for Baseline Network Risk Output</w:t>
      </w:r>
    </w:p>
    <w:p w14:paraId="2DEBD448" w14:textId="203C4D64" w:rsidR="0016349C" w:rsidRPr="007729D8" w:rsidRDefault="0016349C" w:rsidP="007E6D46">
      <w:pPr>
        <w:pStyle w:val="NumberedNormal"/>
      </w:pPr>
      <w:r>
        <w:t xml:space="preserve">The licensee's Baseline Allowed NARM Expenditure for delivering its Baseline Network Risk Output is set out in </w:t>
      </w:r>
      <w:r w:rsidR="00DD0047">
        <w:t xml:space="preserve">Appendix </w:t>
      </w:r>
      <w:r>
        <w:t xml:space="preserve">1. </w:t>
      </w:r>
    </w:p>
    <w:p w14:paraId="3F0E1302" w14:textId="77777777" w:rsidR="0016349C" w:rsidRPr="007729D8" w:rsidRDefault="0016349C" w:rsidP="007E6D46">
      <w:pPr>
        <w:pStyle w:val="Heading3"/>
      </w:pPr>
      <w:r>
        <w:t>Process for Rebasing Baseline Network Risk Output</w:t>
      </w:r>
    </w:p>
    <w:p w14:paraId="66F368E9" w14:textId="77777777" w:rsidR="001F449B" w:rsidRPr="007729D8" w:rsidRDefault="001F449B" w:rsidP="00714522">
      <w:pPr>
        <w:pStyle w:val="NumberedNormal"/>
        <w:numPr>
          <w:ilvl w:val="2"/>
          <w:numId w:val="48"/>
        </w:numPr>
      </w:pPr>
      <w:r w:rsidRPr="00C1146E">
        <w:t>Rebased</w:t>
      </w:r>
      <w:r>
        <w:t xml:space="preserve"> Baseline Network Risk Output submitted in accordance with Part C of Special Condition 9.2 (Network Asset Risk Metric Methodology) must: </w:t>
      </w:r>
    </w:p>
    <w:p w14:paraId="74F4CD1B" w14:textId="293FF9A3" w:rsidR="0016349C" w:rsidRPr="007729D8" w:rsidRDefault="0016349C" w:rsidP="007E6D46">
      <w:pPr>
        <w:pStyle w:val="ListNormal"/>
        <w:tabs>
          <w:tab w:val="num" w:pos="879"/>
        </w:tabs>
      </w:pPr>
      <w:r>
        <w:t xml:space="preserve">be calculated using the NARM Methodology as approved under [paragraph </w:t>
      </w:r>
      <w:r w:rsidR="00AD44CF">
        <w:t>9.2</w:t>
      </w:r>
      <w:r>
        <w:t xml:space="preserve">.8 of Special Condition </w:t>
      </w:r>
      <w:r w:rsidR="00AD44CF">
        <w:t xml:space="preserve">9.2 (Network Asset Risk Metric </w:t>
      </w:r>
      <w:r>
        <w:t>Methodology</w:t>
      </w:r>
      <w:proofErr w:type="gramStart"/>
      <w:r w:rsidR="00AD44CF">
        <w:t>);</w:t>
      </w:r>
      <w:proofErr w:type="gramEnd"/>
      <w:r w:rsidR="00AD44CF">
        <w:t xml:space="preserve">  </w:t>
      </w:r>
    </w:p>
    <w:p w14:paraId="6E6D6F47" w14:textId="77777777" w:rsidR="0016349C" w:rsidRPr="007729D8" w:rsidRDefault="0016349C" w:rsidP="007E6D46">
      <w:pPr>
        <w:pStyle w:val="ListNormal"/>
        <w:tabs>
          <w:tab w:val="num" w:pos="879"/>
        </w:tabs>
      </w:pPr>
      <w:r>
        <w:t xml:space="preserve">be representative of the same assumed volume and type of intervention for each NARM Asset Category as assumed in the setting of the Baseline Network Risk </w:t>
      </w:r>
      <w:proofErr w:type="gramStart"/>
      <w:r>
        <w:t>Output;</w:t>
      </w:r>
      <w:proofErr w:type="gramEnd"/>
      <w:r>
        <w:t xml:space="preserve"> </w:t>
      </w:r>
    </w:p>
    <w:p w14:paraId="7752FB57" w14:textId="77777777" w:rsidR="0016349C" w:rsidRPr="007729D8" w:rsidRDefault="0016349C" w:rsidP="007E6D46">
      <w:pPr>
        <w:pStyle w:val="ListNormal"/>
        <w:tabs>
          <w:tab w:val="num" w:pos="879"/>
        </w:tabs>
      </w:pPr>
      <w:r>
        <w:t>be as Equally Challenging as the Baseline Network Risk Output; and</w:t>
      </w:r>
    </w:p>
    <w:p w14:paraId="45811EE2" w14:textId="77777777" w:rsidR="0016349C" w:rsidRPr="007729D8" w:rsidRDefault="0016349C" w:rsidP="007E6D46">
      <w:pPr>
        <w:pStyle w:val="ListNormal"/>
        <w:tabs>
          <w:tab w:val="num" w:pos="879"/>
        </w:tabs>
      </w:pPr>
      <w:r>
        <w:t>be in the same format as the Network Asset Risk Workbook.</w:t>
      </w:r>
    </w:p>
    <w:p w14:paraId="0E3C7BC2" w14:textId="780425F2" w:rsidR="00CD5047" w:rsidRPr="007729D8" w:rsidRDefault="00CD5047" w:rsidP="00CD5047">
      <w:pPr>
        <w:pStyle w:val="NumberedNormal"/>
      </w:pPr>
      <w:r>
        <w:t>Where the licensee proposes Rebased Baseline Network Risk Output</w:t>
      </w:r>
      <w:r w:rsidRPr="00306070">
        <w:t xml:space="preserve"> </w:t>
      </w:r>
      <w:r>
        <w:t>in accordance with Part C of Special Condition 9.2, the Authority will consider the proposal and by direction either:</w:t>
      </w:r>
    </w:p>
    <w:p w14:paraId="3183BC1B" w14:textId="29A1CA44" w:rsidR="0016349C" w:rsidRPr="007729D8" w:rsidRDefault="0016349C" w:rsidP="007E6D46">
      <w:pPr>
        <w:pStyle w:val="ListNormal"/>
        <w:tabs>
          <w:tab w:val="num" w:pos="879"/>
        </w:tabs>
      </w:pPr>
      <w:r>
        <w:t xml:space="preserve">approve </w:t>
      </w:r>
      <w:proofErr w:type="gramStart"/>
      <w:r>
        <w:t>it;</w:t>
      </w:r>
      <w:proofErr w:type="gramEnd"/>
      <w:r>
        <w:t xml:space="preserve"> </w:t>
      </w:r>
    </w:p>
    <w:p w14:paraId="25D41361" w14:textId="3315257A" w:rsidR="0016349C" w:rsidRPr="007729D8" w:rsidRDefault="0016349C" w:rsidP="007E6D46">
      <w:pPr>
        <w:pStyle w:val="ListNormal"/>
        <w:tabs>
          <w:tab w:val="num" w:pos="879"/>
        </w:tabs>
      </w:pPr>
      <w:r>
        <w:t>approve it with adjustments; or</w:t>
      </w:r>
    </w:p>
    <w:p w14:paraId="53F83339" w14:textId="4D4B78DC" w:rsidR="0016349C" w:rsidRPr="007729D8" w:rsidRDefault="0016349C" w:rsidP="007E6D46">
      <w:pPr>
        <w:pStyle w:val="ListNormal"/>
        <w:tabs>
          <w:tab w:val="num" w:pos="879"/>
        </w:tabs>
      </w:pPr>
      <w:r>
        <w:t>reject it.</w:t>
      </w:r>
    </w:p>
    <w:p w14:paraId="73D1FA61" w14:textId="47442D40" w:rsidR="0016349C" w:rsidRPr="007729D8" w:rsidRDefault="0016349C" w:rsidP="007E6D46">
      <w:pPr>
        <w:pStyle w:val="NumberedNormal"/>
      </w:pPr>
      <w:r>
        <w:t>Before issuing a direction under paragraph 3.</w:t>
      </w:r>
      <w:r w:rsidR="006A6F0D">
        <w:t>1</w:t>
      </w:r>
      <w:r>
        <w:t>.6, the Authority will publish on the Authority’s Website:</w:t>
      </w:r>
    </w:p>
    <w:p w14:paraId="597F51EC" w14:textId="77777777" w:rsidR="0016349C" w:rsidRPr="007729D8" w:rsidRDefault="0016349C" w:rsidP="007E6D46">
      <w:pPr>
        <w:pStyle w:val="ListNormal"/>
        <w:tabs>
          <w:tab w:val="num" w:pos="879"/>
        </w:tabs>
      </w:pPr>
      <w:r>
        <w:lastRenderedPageBreak/>
        <w:t xml:space="preserve">the text of the proposed </w:t>
      </w:r>
      <w:proofErr w:type="gramStart"/>
      <w:r>
        <w:t>direction;</w:t>
      </w:r>
      <w:proofErr w:type="gramEnd"/>
    </w:p>
    <w:p w14:paraId="0476C027" w14:textId="37DC2D71" w:rsidR="0016349C" w:rsidRPr="007729D8" w:rsidRDefault="0016349C" w:rsidP="007E6D46">
      <w:pPr>
        <w:pStyle w:val="ListNormal"/>
        <w:tabs>
          <w:tab w:val="num" w:pos="879"/>
        </w:tabs>
      </w:pPr>
      <w:r>
        <w:t xml:space="preserve">the date on which the Authority intends the proposed direction to come into </w:t>
      </w:r>
      <w:proofErr w:type="gramStart"/>
      <w:r>
        <w:t>effect;</w:t>
      </w:r>
      <w:proofErr w:type="gramEnd"/>
    </w:p>
    <w:p w14:paraId="5AB63D7B" w14:textId="77777777" w:rsidR="0016349C" w:rsidRPr="007729D8" w:rsidRDefault="0016349C" w:rsidP="007E6D46">
      <w:pPr>
        <w:pStyle w:val="ListNormal"/>
        <w:tabs>
          <w:tab w:val="num" w:pos="879"/>
        </w:tabs>
      </w:pPr>
      <w:r>
        <w:t>the reasons why it proposes to issue the direction; and</w:t>
      </w:r>
    </w:p>
    <w:p w14:paraId="1C61830F" w14:textId="1D88D1CF" w:rsidR="0016349C" w:rsidRPr="007729D8" w:rsidRDefault="0016349C" w:rsidP="007E6D46">
      <w:pPr>
        <w:pStyle w:val="ListNormal"/>
        <w:tabs>
          <w:tab w:val="num" w:pos="879"/>
        </w:tabs>
      </w:pPr>
      <w:r>
        <w:t xml:space="preserve">a period during which representations may be made on the proposed direction, which </w:t>
      </w:r>
      <w:r w:rsidR="006A6F0D">
        <w:t xml:space="preserve">will </w:t>
      </w:r>
      <w:r>
        <w:t>not be less than 28 days.</w:t>
      </w:r>
    </w:p>
    <w:p w14:paraId="63ED9516" w14:textId="6C3C2EBB" w:rsidR="0016349C" w:rsidRPr="007729D8" w:rsidRDefault="0016349C" w:rsidP="007E6D46">
      <w:pPr>
        <w:pStyle w:val="NumberedNormal"/>
      </w:pPr>
      <w:r>
        <w:t>Any Rebased Baseline Network Risk Output approved by the Authority under paragraph 3.</w:t>
      </w:r>
      <w:r w:rsidR="006A6F0D">
        <w:t>1</w:t>
      </w:r>
      <w:r>
        <w:t>.7(a) or (b) will supersede the Baseline Network Risk Output for the purpose of this condition.</w:t>
      </w:r>
    </w:p>
    <w:p w14:paraId="2C7D6780" w14:textId="77777777" w:rsidR="0016349C" w:rsidRPr="007729D8" w:rsidRDefault="0016349C" w:rsidP="007E6D46">
      <w:pPr>
        <w:pStyle w:val="Heading3"/>
      </w:pPr>
      <w:r>
        <w:t xml:space="preserve">Requirement to provide the NARM Closeout Report </w:t>
      </w:r>
    </w:p>
    <w:p w14:paraId="61F872AA" w14:textId="625637BC" w:rsidR="0016349C" w:rsidRPr="007729D8" w:rsidRDefault="0016349C" w:rsidP="007E6D46">
      <w:pPr>
        <w:pStyle w:val="NumberedNormal"/>
      </w:pPr>
      <w:r>
        <w:t xml:space="preserve">By 31 October 2026, the licensee must provide to the Authority the NARM Closeout Report, together with detailed supporting evidence, </w:t>
      </w:r>
      <w:r w:rsidR="00AD44CF">
        <w:t xml:space="preserve">setting </w:t>
      </w:r>
      <w:r>
        <w:t>out the following:</w:t>
      </w:r>
    </w:p>
    <w:p w14:paraId="1353C372" w14:textId="77777777" w:rsidR="0016349C" w:rsidRPr="007729D8" w:rsidRDefault="0016349C" w:rsidP="007E6D46">
      <w:pPr>
        <w:pStyle w:val="ListNormal"/>
        <w:tabs>
          <w:tab w:val="num" w:pos="879"/>
        </w:tabs>
      </w:pPr>
      <w:r>
        <w:t xml:space="preserve">the licensee’s Outturn Network Risk </w:t>
      </w:r>
      <w:proofErr w:type="gramStart"/>
      <w:r>
        <w:t>Outputs;</w:t>
      </w:r>
      <w:proofErr w:type="gramEnd"/>
      <w:r>
        <w:t xml:space="preserve"> </w:t>
      </w:r>
    </w:p>
    <w:p w14:paraId="0F7D9E2B" w14:textId="73C65113" w:rsidR="0016349C" w:rsidRPr="007729D8" w:rsidRDefault="0016349C" w:rsidP="007E6D46">
      <w:pPr>
        <w:pStyle w:val="ListNormal"/>
        <w:tabs>
          <w:tab w:val="num" w:pos="879"/>
        </w:tabs>
      </w:pPr>
      <w:r>
        <w:t xml:space="preserve">the costs incurred by the licensee in delivering its Outturn Network Risk Outputs and a breakdown of those costs in the manner specified </w:t>
      </w:r>
      <w:r w:rsidR="00106189">
        <w:t xml:space="preserve">by the Authority by </w:t>
      </w:r>
      <w:proofErr w:type="gramStart"/>
      <w:r w:rsidR="00106189">
        <w:t>direction;</w:t>
      </w:r>
      <w:proofErr w:type="gramEnd"/>
    </w:p>
    <w:p w14:paraId="6129A279" w14:textId="77777777" w:rsidR="0016349C" w:rsidRPr="007729D8" w:rsidRDefault="0016349C" w:rsidP="007E6D46">
      <w:pPr>
        <w:pStyle w:val="ListNormal"/>
        <w:tabs>
          <w:tab w:val="num" w:pos="879"/>
        </w:tabs>
      </w:pPr>
      <w:r>
        <w:t xml:space="preserve">details of any Material Non-intervention Risk Changes, including the associated impact on Baseline Network Risk Output or Outturn Network Risk </w:t>
      </w:r>
      <w:proofErr w:type="gramStart"/>
      <w:r>
        <w:t>Outputs;</w:t>
      </w:r>
      <w:proofErr w:type="gramEnd"/>
    </w:p>
    <w:p w14:paraId="154AE768" w14:textId="649CAB0F" w:rsidR="0016349C" w:rsidRPr="007729D8" w:rsidRDefault="0016349C" w:rsidP="007E6D46">
      <w:pPr>
        <w:pStyle w:val="ListNormal"/>
        <w:tabs>
          <w:tab w:val="num" w:pos="879"/>
        </w:tabs>
      </w:pPr>
      <w:r>
        <w:t xml:space="preserve">the licensee’s view of delivered cost efficiencies relative to Baseline Allowed NARM Expenditure for schemes or programmes of work assumed in the calculation of  its Baseline Network Risk Output, and evidence that those efficiencies have not been offset by higher costs elsewhere; </w:t>
      </w:r>
      <w:r w:rsidR="00AD44CF">
        <w:t>and</w:t>
      </w:r>
    </w:p>
    <w:p w14:paraId="759C4663" w14:textId="3E8ECEC3" w:rsidR="0016349C" w:rsidRPr="007729D8" w:rsidRDefault="0016349C" w:rsidP="007E6D46">
      <w:pPr>
        <w:pStyle w:val="ListNormal"/>
        <w:tabs>
          <w:tab w:val="num" w:pos="879"/>
        </w:tabs>
      </w:pPr>
      <w:r>
        <w:t xml:space="preserve">justification cases for any portions of over-delivery or under-delivery against Baseline Network Risk Output that the licensee considers to be justified. </w:t>
      </w:r>
    </w:p>
    <w:bookmarkEnd w:id="39"/>
    <w:p w14:paraId="4D890D4E" w14:textId="77777777" w:rsidR="00DD0047" w:rsidRDefault="00DD0047" w:rsidP="00DD0047">
      <w:pPr>
        <w:pStyle w:val="AppendixHeading"/>
      </w:pPr>
    </w:p>
    <w:p w14:paraId="30C53C86" w14:textId="4E4F269C" w:rsidR="00DD0047" w:rsidRPr="0016349C" w:rsidRDefault="00DD0047">
      <w:pPr>
        <w:pStyle w:val="Caption"/>
      </w:pPr>
      <w:r w:rsidRPr="0016349C">
        <w:t>Baseline Allowed NARM Expenditure for delivering Baseline Network Risk Output</w:t>
      </w:r>
    </w:p>
    <w:tbl>
      <w:tblPr>
        <w:tblStyle w:val="AppendixTable"/>
        <w:tblW w:w="5000" w:type="pct"/>
        <w:tblLook w:val="04A0" w:firstRow="1" w:lastRow="0" w:firstColumn="1" w:lastColumn="0" w:noHBand="0" w:noVBand="1"/>
      </w:tblPr>
      <w:tblGrid>
        <w:gridCol w:w="2648"/>
        <w:gridCol w:w="6378"/>
      </w:tblGrid>
      <w:tr w:rsidR="00DD0047" w:rsidRPr="000D7B7B" w14:paraId="08156F18" w14:textId="77777777" w:rsidTr="00DF1507">
        <w:trPr>
          <w:cnfStyle w:val="100000000000" w:firstRow="1" w:lastRow="0" w:firstColumn="0" w:lastColumn="0" w:oddVBand="0" w:evenVBand="0" w:oddHBand="0" w:evenHBand="0" w:firstRowFirstColumn="0" w:firstRowLastColumn="0" w:lastRowFirstColumn="0" w:lastRowLastColumn="0"/>
          <w:trHeight w:val="282"/>
        </w:trPr>
        <w:tc>
          <w:tcPr>
            <w:tcW w:w="1467" w:type="pct"/>
          </w:tcPr>
          <w:p w14:paraId="19AFBD12" w14:textId="77777777" w:rsidR="00DD0047" w:rsidRPr="0016349C" w:rsidRDefault="00DD0047" w:rsidP="00DF1507">
            <w:r w:rsidRPr="007729D8">
              <w:t>Relevant Year</w:t>
            </w:r>
          </w:p>
        </w:tc>
        <w:tc>
          <w:tcPr>
            <w:tcW w:w="3533" w:type="pct"/>
          </w:tcPr>
          <w:p w14:paraId="05F50D98" w14:textId="77777777" w:rsidR="00DD0047" w:rsidRPr="0016349C" w:rsidRDefault="00DD0047" w:rsidP="00DF1507">
            <w:r w:rsidRPr="007729D8">
              <w:t xml:space="preserve">Baseline Allowed NARM Expenditure </w:t>
            </w:r>
          </w:p>
          <w:p w14:paraId="25174096" w14:textId="77777777" w:rsidR="00DD0047" w:rsidRPr="0016349C" w:rsidRDefault="00DD0047" w:rsidP="00DF1507">
            <w:r w:rsidRPr="007729D8">
              <w:t>(£m)</w:t>
            </w:r>
          </w:p>
        </w:tc>
      </w:tr>
      <w:tr w:rsidR="00DD0047" w:rsidRPr="000D7B7B" w14:paraId="3162D47D" w14:textId="77777777" w:rsidTr="00DF1507">
        <w:trPr>
          <w:trHeight w:val="297"/>
        </w:trPr>
        <w:tc>
          <w:tcPr>
            <w:tcW w:w="1467" w:type="pct"/>
          </w:tcPr>
          <w:p w14:paraId="3953B2D4" w14:textId="77777777" w:rsidR="00DD0047" w:rsidRPr="0016349C" w:rsidRDefault="00DD0047" w:rsidP="00DF1507">
            <w:r w:rsidRPr="007729D8">
              <w:t>2021/22</w:t>
            </w:r>
          </w:p>
        </w:tc>
        <w:tc>
          <w:tcPr>
            <w:tcW w:w="3533" w:type="pct"/>
          </w:tcPr>
          <w:p w14:paraId="5B0030F4" w14:textId="19500644" w:rsidR="00DD0047" w:rsidRPr="007729D8" w:rsidRDefault="00DD0047" w:rsidP="00DF1507"/>
        </w:tc>
      </w:tr>
      <w:tr w:rsidR="00DD0047" w:rsidRPr="000D7B7B" w14:paraId="575387C8" w14:textId="77777777" w:rsidTr="00DF1507">
        <w:trPr>
          <w:trHeight w:val="291"/>
        </w:trPr>
        <w:tc>
          <w:tcPr>
            <w:tcW w:w="1467" w:type="pct"/>
          </w:tcPr>
          <w:p w14:paraId="377E7CB4" w14:textId="77777777" w:rsidR="00DD0047" w:rsidRPr="0016349C" w:rsidRDefault="00DD0047" w:rsidP="00DF1507">
            <w:r w:rsidRPr="007729D8">
              <w:t>2022/23</w:t>
            </w:r>
          </w:p>
        </w:tc>
        <w:tc>
          <w:tcPr>
            <w:tcW w:w="3533" w:type="pct"/>
          </w:tcPr>
          <w:p w14:paraId="0A82CF33" w14:textId="2E0D248A" w:rsidR="00DD0047" w:rsidRPr="007729D8" w:rsidRDefault="00DD0047" w:rsidP="00DF1507"/>
        </w:tc>
      </w:tr>
      <w:tr w:rsidR="00DD0047" w:rsidRPr="000D7B7B" w14:paraId="5F6941E6" w14:textId="77777777" w:rsidTr="00DF1507">
        <w:trPr>
          <w:trHeight w:val="322"/>
        </w:trPr>
        <w:tc>
          <w:tcPr>
            <w:tcW w:w="1467" w:type="pct"/>
          </w:tcPr>
          <w:p w14:paraId="3A8CDC99" w14:textId="77777777" w:rsidR="00DD0047" w:rsidRPr="0016349C" w:rsidRDefault="00DD0047" w:rsidP="00DF1507">
            <w:r w:rsidRPr="007729D8">
              <w:t>2023/24</w:t>
            </w:r>
          </w:p>
        </w:tc>
        <w:tc>
          <w:tcPr>
            <w:tcW w:w="3533" w:type="pct"/>
          </w:tcPr>
          <w:p w14:paraId="48F7A45C" w14:textId="493F97B3" w:rsidR="00DD0047" w:rsidRPr="007729D8" w:rsidRDefault="00DD0047" w:rsidP="00DF1507"/>
        </w:tc>
      </w:tr>
      <w:tr w:rsidR="00DD0047" w:rsidRPr="000D7B7B" w14:paraId="6AF524B3" w14:textId="77777777" w:rsidTr="00DF1507">
        <w:trPr>
          <w:trHeight w:val="322"/>
        </w:trPr>
        <w:tc>
          <w:tcPr>
            <w:tcW w:w="1467" w:type="pct"/>
          </w:tcPr>
          <w:p w14:paraId="641204A5" w14:textId="77777777" w:rsidR="00DD0047" w:rsidRPr="0016349C" w:rsidRDefault="00DD0047" w:rsidP="00DF1507">
            <w:r w:rsidRPr="007729D8">
              <w:t>2024/25</w:t>
            </w:r>
          </w:p>
        </w:tc>
        <w:tc>
          <w:tcPr>
            <w:tcW w:w="3533" w:type="pct"/>
          </w:tcPr>
          <w:p w14:paraId="224923F5" w14:textId="27AB9881" w:rsidR="00DD0047" w:rsidRPr="007729D8" w:rsidRDefault="00DD0047" w:rsidP="00DF1507"/>
        </w:tc>
      </w:tr>
      <w:tr w:rsidR="00DD0047" w:rsidRPr="000D7B7B" w14:paraId="59545397" w14:textId="77777777" w:rsidTr="00DF1507">
        <w:trPr>
          <w:trHeight w:val="322"/>
        </w:trPr>
        <w:tc>
          <w:tcPr>
            <w:tcW w:w="1467" w:type="pct"/>
          </w:tcPr>
          <w:p w14:paraId="598DD7CB" w14:textId="77777777" w:rsidR="00DD0047" w:rsidRPr="0016349C" w:rsidRDefault="00DD0047" w:rsidP="00DF1507">
            <w:r w:rsidRPr="007729D8">
              <w:t>2025/26</w:t>
            </w:r>
          </w:p>
        </w:tc>
        <w:tc>
          <w:tcPr>
            <w:tcW w:w="3533" w:type="pct"/>
          </w:tcPr>
          <w:p w14:paraId="319C6ED3" w14:textId="7D06449B" w:rsidR="00DD0047" w:rsidRPr="007729D8" w:rsidRDefault="00DD0047" w:rsidP="00DF1507"/>
        </w:tc>
      </w:tr>
      <w:tr w:rsidR="00DD0047" w:rsidRPr="000D7B7B" w14:paraId="64FB5B44" w14:textId="77777777" w:rsidTr="00DF1507">
        <w:trPr>
          <w:trHeight w:val="322"/>
        </w:trPr>
        <w:tc>
          <w:tcPr>
            <w:tcW w:w="1467" w:type="pct"/>
          </w:tcPr>
          <w:p w14:paraId="1317B7E0" w14:textId="77777777" w:rsidR="00DD0047" w:rsidRPr="0016349C" w:rsidRDefault="00DD0047" w:rsidP="00DF1507">
            <w:r w:rsidRPr="007729D8">
              <w:t>RIIO-2 Total</w:t>
            </w:r>
          </w:p>
        </w:tc>
        <w:tc>
          <w:tcPr>
            <w:tcW w:w="3533" w:type="pct"/>
          </w:tcPr>
          <w:p w14:paraId="0FF5D50F" w14:textId="7482F3E7" w:rsidR="00DD0047" w:rsidRPr="007729D8" w:rsidRDefault="00DD0047" w:rsidP="00DF1507"/>
        </w:tc>
      </w:tr>
    </w:tbl>
    <w:p w14:paraId="49F4128C" w14:textId="77777777" w:rsidR="00150818" w:rsidRDefault="00150818" w:rsidP="00150818">
      <w:pPr>
        <w:pStyle w:val="Heading2"/>
      </w:pPr>
      <w:bookmarkStart w:id="40" w:name="_Toc51680358"/>
      <w:bookmarkStart w:id="41" w:name="_Toc51798256"/>
      <w:bookmarkStart w:id="42" w:name="_Toc52364885"/>
      <w:r w:rsidRPr="00D32B52">
        <w:lastRenderedPageBreak/>
        <w:t xml:space="preserve">Cyber resilience </w:t>
      </w:r>
      <w:r>
        <w:t>o</w:t>
      </w:r>
      <w:r w:rsidRPr="00D32B52">
        <w:t xml:space="preserve">perational </w:t>
      </w:r>
      <w:r>
        <w:t>t</w:t>
      </w:r>
      <w:r w:rsidRPr="00D32B52">
        <w:t xml:space="preserve">echnology </w:t>
      </w:r>
      <w:r>
        <w:t xml:space="preserve">Re-opener and </w:t>
      </w:r>
      <w:r w:rsidRPr="00D32B52">
        <w:t>Price Control Deliverable</w:t>
      </w:r>
      <w:r>
        <w:t xml:space="preserve"> (</w:t>
      </w:r>
      <w:proofErr w:type="spellStart"/>
      <w:r>
        <w:t>CRO</w:t>
      </w:r>
      <w:r w:rsidRPr="007719AA">
        <w:rPr>
          <w:vertAlign w:val="subscript"/>
        </w:rPr>
        <w:t>t</w:t>
      </w:r>
      <w:proofErr w:type="spellEnd"/>
      <w:r>
        <w:t>)</w:t>
      </w:r>
      <w:bookmarkEnd w:id="40"/>
      <w:bookmarkEnd w:id="41"/>
      <w:bookmarkEnd w:id="42"/>
    </w:p>
    <w:p w14:paraId="33786E22" w14:textId="77777777" w:rsidR="00150818" w:rsidRPr="00E319A7" w:rsidRDefault="00150818" w:rsidP="00150818">
      <w:pPr>
        <w:pStyle w:val="Heading3nonumbering"/>
      </w:pPr>
      <w:r w:rsidRPr="00E319A7">
        <w:t xml:space="preserve">Introduction </w:t>
      </w:r>
    </w:p>
    <w:p w14:paraId="2E25F00F" w14:textId="77777777" w:rsidR="00150818" w:rsidRPr="00E319A7" w:rsidRDefault="00150818" w:rsidP="00150818">
      <w:pPr>
        <w:pStyle w:val="NumberedNormal"/>
      </w:pPr>
      <w:r>
        <w:t xml:space="preserve">The purpose of this condition is to calculate the term </w:t>
      </w:r>
      <w:proofErr w:type="spellStart"/>
      <w:r>
        <w:t>CROT</w:t>
      </w:r>
      <w:r w:rsidRPr="00143B72">
        <w:rPr>
          <w:vertAlign w:val="subscript"/>
        </w:rPr>
        <w:t>t</w:t>
      </w:r>
      <w:proofErr w:type="spellEnd"/>
      <w:r>
        <w:t xml:space="preserve"> (the Cyber Resilience Price Control Deliverable term). This contributes to the calculation of the Totex Allowance. </w:t>
      </w:r>
    </w:p>
    <w:p w14:paraId="007743E6" w14:textId="77777777" w:rsidR="00150818" w:rsidRPr="00E319A7" w:rsidRDefault="00150818" w:rsidP="00150818">
      <w:pPr>
        <w:pStyle w:val="NumberedNormal"/>
      </w:pPr>
      <w:r>
        <w:t>The effect of this condition is to:</w:t>
      </w:r>
    </w:p>
    <w:p w14:paraId="7A7476DD" w14:textId="77777777" w:rsidR="00150818" w:rsidRPr="00E319A7" w:rsidRDefault="00150818" w:rsidP="00150818">
      <w:pPr>
        <w:pStyle w:val="ListNormal"/>
        <w:tabs>
          <w:tab w:val="num" w:pos="879"/>
        </w:tabs>
      </w:pPr>
      <w:r>
        <w:t xml:space="preserve">specify the outputs, delivery dates and associated allowances for the Price Control </w:t>
      </w:r>
      <w:proofErr w:type="gramStart"/>
      <w:r>
        <w:t>Deliverable;</w:t>
      </w:r>
      <w:proofErr w:type="gramEnd"/>
    </w:p>
    <w:p w14:paraId="6100F1D9" w14:textId="77777777" w:rsidR="00150818" w:rsidRPr="00E319A7" w:rsidRDefault="00150818" w:rsidP="00150818">
      <w:pPr>
        <w:pStyle w:val="ListNormal"/>
        <w:tabs>
          <w:tab w:val="num" w:pos="879"/>
        </w:tabs>
      </w:pPr>
      <w:r>
        <w:t xml:space="preserve">require the licensee to submit a Cyber Resilience OT Plan at the start of the Price Control </w:t>
      </w:r>
      <w:proofErr w:type="gramStart"/>
      <w:r>
        <w:t>Period;</w:t>
      </w:r>
      <w:proofErr w:type="gramEnd"/>
      <w:r>
        <w:t xml:space="preserve"> </w:t>
      </w:r>
    </w:p>
    <w:p w14:paraId="7C4AF70F" w14:textId="77777777" w:rsidR="00150818" w:rsidRPr="00E319A7" w:rsidRDefault="00150818" w:rsidP="00150818">
      <w:pPr>
        <w:pStyle w:val="ListNormal"/>
        <w:tabs>
          <w:tab w:val="num" w:pos="879"/>
        </w:tabs>
      </w:pPr>
      <w:r>
        <w:t>establish a Re-opener for the licensee and Authority to trigger amendments to the Price Control Deliverable during the Price Control Period; and</w:t>
      </w:r>
    </w:p>
    <w:p w14:paraId="62F4E37F" w14:textId="77777777" w:rsidR="00150818" w:rsidRPr="00E319A7" w:rsidRDefault="00150818" w:rsidP="00150818">
      <w:pPr>
        <w:pStyle w:val="ListNormal"/>
        <w:tabs>
          <w:tab w:val="num" w:pos="879"/>
        </w:tabs>
      </w:pPr>
      <w:r>
        <w:t xml:space="preserve">provide for an assessment of the Price Control Deliverable including a Use It </w:t>
      </w:r>
      <w:proofErr w:type="gramStart"/>
      <w:r>
        <w:t>Or</w:t>
      </w:r>
      <w:proofErr w:type="gramEnd"/>
      <w:r>
        <w:t xml:space="preserve"> Lose It Adjustment. </w:t>
      </w:r>
    </w:p>
    <w:p w14:paraId="67C87273" w14:textId="77777777" w:rsidR="00150818" w:rsidRPr="00E319A7" w:rsidRDefault="00150818" w:rsidP="00150818">
      <w:pPr>
        <w:pStyle w:val="NumberedNormal"/>
      </w:pPr>
      <w:r>
        <w:t>This condition also:</w:t>
      </w:r>
    </w:p>
    <w:p w14:paraId="0FDB9486" w14:textId="20E550A3" w:rsidR="00150818" w:rsidRPr="00E319A7" w:rsidRDefault="00150818" w:rsidP="00150818">
      <w:pPr>
        <w:pStyle w:val="ListNormal"/>
        <w:tabs>
          <w:tab w:val="num" w:pos="879"/>
        </w:tabs>
      </w:pPr>
      <w:r>
        <w:t>explains the process the Authority will follow when directing any changes under paragraphs 3.</w:t>
      </w:r>
      <w:r w:rsidR="003A6043">
        <w:t>2</w:t>
      </w:r>
      <w:r>
        <w:t>.8, 3.</w:t>
      </w:r>
      <w:r w:rsidR="003A6043">
        <w:t>2</w:t>
      </w:r>
      <w:r>
        <w:t>.9, 3.</w:t>
      </w:r>
      <w:r w:rsidR="003A6043">
        <w:t>2</w:t>
      </w:r>
      <w:r>
        <w:t>.13 and 3.</w:t>
      </w:r>
      <w:r w:rsidR="003A6043">
        <w:t>2</w:t>
      </w:r>
      <w:r>
        <w:t>.1</w:t>
      </w:r>
      <w:r w:rsidR="00097D4E">
        <w:t>5</w:t>
      </w:r>
      <w:r>
        <w:t>; and</w:t>
      </w:r>
    </w:p>
    <w:p w14:paraId="75DD9DFC" w14:textId="77777777" w:rsidR="00150818" w:rsidRPr="00E319A7" w:rsidRDefault="00150818" w:rsidP="00150818">
      <w:pPr>
        <w:pStyle w:val="ListNormal"/>
        <w:tabs>
          <w:tab w:val="num" w:pos="879"/>
        </w:tabs>
      </w:pPr>
      <w:r>
        <w:t>requires the licensee to report regularly to the Authority.</w:t>
      </w:r>
    </w:p>
    <w:p w14:paraId="5202CD6C" w14:textId="7F31CDB3" w:rsidR="00150818" w:rsidRPr="00E319A7" w:rsidRDefault="00150818" w:rsidP="00150818">
      <w:pPr>
        <w:pStyle w:val="Heading3"/>
      </w:pPr>
      <w:r>
        <w:t>Formula for calculating the Cyber Resilience OT Price Control Deliverable term (</w:t>
      </w:r>
      <w:proofErr w:type="spellStart"/>
      <w:r>
        <w:t>CRO</w:t>
      </w:r>
      <w:r w:rsidR="00D062FB">
        <w:t>T</w:t>
      </w:r>
      <w:r w:rsidRPr="00143B72">
        <w:rPr>
          <w:vertAlign w:val="subscript"/>
        </w:rPr>
        <w:t>t</w:t>
      </w:r>
      <w:proofErr w:type="spellEnd"/>
      <w:r>
        <w:t>)</w:t>
      </w:r>
    </w:p>
    <w:p w14:paraId="508F9242" w14:textId="77777777" w:rsidR="00150818" w:rsidRPr="00E319A7" w:rsidRDefault="00150818" w:rsidP="00150818">
      <w:pPr>
        <w:pStyle w:val="NumberedNormal"/>
      </w:pPr>
      <w:r>
        <w:t xml:space="preserve">The value of </w:t>
      </w:r>
      <w:proofErr w:type="spellStart"/>
      <w:r w:rsidRPr="00D062FB">
        <w:rPr>
          <w:i/>
        </w:rPr>
        <w:t>CROT</w:t>
      </w:r>
      <w:r w:rsidRPr="00D062FB">
        <w:rPr>
          <w:i/>
          <w:vertAlign w:val="subscript"/>
        </w:rPr>
        <w:t>t</w:t>
      </w:r>
      <w:proofErr w:type="spellEnd"/>
      <w:r>
        <w:t xml:space="preserve"> is derived in accordance with the following formula:</w:t>
      </w:r>
    </w:p>
    <w:p w14:paraId="2EEAC8A4" w14:textId="2153683E" w:rsidR="00150818" w:rsidRPr="00143B72" w:rsidRDefault="00B52C18" w:rsidP="00150818">
      <w:pPr>
        <w:rPr>
          <w:i/>
        </w:rPr>
      </w:pPr>
      <w:r>
        <w:tab/>
      </w:r>
      <w:proofErr w:type="spellStart"/>
      <w:r w:rsidR="00150818" w:rsidRPr="00143B72">
        <w:rPr>
          <w:i/>
        </w:rPr>
        <w:t>CROT</w:t>
      </w:r>
      <w:r w:rsidR="00150818" w:rsidRPr="00143B72">
        <w:rPr>
          <w:i/>
          <w:vertAlign w:val="subscript"/>
        </w:rPr>
        <w:t>t</w:t>
      </w:r>
      <w:proofErr w:type="spellEnd"/>
      <w:r w:rsidR="00150818" w:rsidRPr="00143B72">
        <w:rPr>
          <w:i/>
        </w:rPr>
        <w:t xml:space="preserve"> = </w:t>
      </w:r>
      <w:proofErr w:type="spellStart"/>
      <w:r w:rsidR="00150818" w:rsidRPr="00143B72">
        <w:rPr>
          <w:i/>
        </w:rPr>
        <w:t>CROA</w:t>
      </w:r>
      <w:r w:rsidR="00150818" w:rsidRPr="00143B72">
        <w:rPr>
          <w:i/>
          <w:vertAlign w:val="subscript"/>
        </w:rPr>
        <w:t>t</w:t>
      </w:r>
      <w:proofErr w:type="spellEnd"/>
      <w:r w:rsidR="00150818" w:rsidRPr="00143B72">
        <w:rPr>
          <w:i/>
        </w:rPr>
        <w:t xml:space="preserve"> - </w:t>
      </w:r>
      <w:proofErr w:type="spellStart"/>
      <w:r w:rsidR="00150818" w:rsidRPr="00143B72">
        <w:rPr>
          <w:i/>
        </w:rPr>
        <w:t>CROR</w:t>
      </w:r>
      <w:r w:rsidR="00150818" w:rsidRPr="00143B72">
        <w:rPr>
          <w:i/>
          <w:vertAlign w:val="subscript"/>
        </w:rPr>
        <w:t>t</w:t>
      </w:r>
      <w:proofErr w:type="spellEnd"/>
      <w:r w:rsidR="00150818" w:rsidRPr="00143B72">
        <w:rPr>
          <w:i/>
        </w:rPr>
        <w:t xml:space="preserve"> </w:t>
      </w:r>
    </w:p>
    <w:p w14:paraId="00200D2E" w14:textId="482ADDE2" w:rsidR="00150818" w:rsidRPr="00E319A7" w:rsidRDefault="00B52C18" w:rsidP="00150818">
      <w:r>
        <w:tab/>
      </w:r>
      <w:r w:rsidR="00150818" w:rsidRPr="00E319A7">
        <w:t>where:</w:t>
      </w:r>
    </w:p>
    <w:tbl>
      <w:tblPr>
        <w:tblStyle w:val="TableGridLight"/>
        <w:tblW w:w="0" w:type="auto"/>
        <w:tblLook w:val="04A0" w:firstRow="1" w:lastRow="0" w:firstColumn="1" w:lastColumn="0" w:noHBand="0" w:noVBand="1"/>
      </w:tblPr>
      <w:tblGrid>
        <w:gridCol w:w="816"/>
        <w:gridCol w:w="7530"/>
      </w:tblGrid>
      <w:tr w:rsidR="00150818" w:rsidRPr="007442AB" w14:paraId="27EFD6C6" w14:textId="77777777" w:rsidTr="00B52C18">
        <w:trPr>
          <w:trHeight w:val="454"/>
        </w:trPr>
        <w:tc>
          <w:tcPr>
            <w:tcW w:w="0" w:type="auto"/>
          </w:tcPr>
          <w:p w14:paraId="68A649C4" w14:textId="77777777" w:rsidR="00150818" w:rsidRPr="006923D4" w:rsidRDefault="00150818" w:rsidP="00150818">
            <w:pPr>
              <w:rPr>
                <w:i/>
              </w:rPr>
            </w:pPr>
            <w:proofErr w:type="spellStart"/>
            <w:r w:rsidRPr="006923D4">
              <w:rPr>
                <w:i/>
              </w:rPr>
              <w:t>CROA</w:t>
            </w:r>
            <w:r w:rsidRPr="006923D4">
              <w:rPr>
                <w:i/>
                <w:vertAlign w:val="subscript"/>
              </w:rPr>
              <w:t>t</w:t>
            </w:r>
            <w:proofErr w:type="spellEnd"/>
          </w:p>
        </w:tc>
        <w:tc>
          <w:tcPr>
            <w:tcW w:w="0" w:type="auto"/>
          </w:tcPr>
          <w:p w14:paraId="4E68DCEA" w14:textId="77777777" w:rsidR="00150818" w:rsidRPr="00150818" w:rsidRDefault="00150818" w:rsidP="00150818">
            <w:r w:rsidRPr="00E319A7">
              <w:t>means the sum of allowances in Appendix 1</w:t>
            </w:r>
            <w:r w:rsidRPr="00150818">
              <w:t>; and</w:t>
            </w:r>
          </w:p>
        </w:tc>
      </w:tr>
      <w:tr w:rsidR="00150818" w:rsidRPr="007442AB" w14:paraId="3B44A5A3" w14:textId="77777777" w:rsidTr="00B52C18">
        <w:trPr>
          <w:trHeight w:val="454"/>
        </w:trPr>
        <w:tc>
          <w:tcPr>
            <w:tcW w:w="0" w:type="auto"/>
          </w:tcPr>
          <w:p w14:paraId="370F34A2" w14:textId="5BD9A8BA" w:rsidR="00150818" w:rsidRPr="006923D4" w:rsidRDefault="00150818" w:rsidP="00150818">
            <w:pPr>
              <w:rPr>
                <w:i/>
              </w:rPr>
            </w:pPr>
            <w:proofErr w:type="spellStart"/>
            <w:r w:rsidRPr="006923D4">
              <w:rPr>
                <w:i/>
              </w:rPr>
              <w:t>CROR</w:t>
            </w:r>
            <w:r w:rsidRPr="006923D4">
              <w:rPr>
                <w:i/>
                <w:vertAlign w:val="subscript"/>
              </w:rPr>
              <w:t>t</w:t>
            </w:r>
            <w:proofErr w:type="spellEnd"/>
          </w:p>
        </w:tc>
        <w:tc>
          <w:tcPr>
            <w:tcW w:w="0" w:type="auto"/>
          </w:tcPr>
          <w:p w14:paraId="5D63085C" w14:textId="77777777" w:rsidR="00150818" w:rsidRPr="00150818" w:rsidRDefault="00150818" w:rsidP="00150818">
            <w:r>
              <w:t>has the value zero unless otherwise directed by the Authority in accordance with Part F.</w:t>
            </w:r>
          </w:p>
        </w:tc>
      </w:tr>
    </w:tbl>
    <w:p w14:paraId="53932D7D" w14:textId="77777777" w:rsidR="00150818" w:rsidRPr="00E319A7" w:rsidRDefault="00150818" w:rsidP="00150818">
      <w:pPr>
        <w:pStyle w:val="Heading3"/>
      </w:pPr>
      <w:r>
        <w:t>What must the licensee deliver?</w:t>
      </w:r>
    </w:p>
    <w:p w14:paraId="6DF7EDBF" w14:textId="77777777" w:rsidR="00993C79" w:rsidRPr="009158B6" w:rsidRDefault="00993C79" w:rsidP="00993C79">
      <w:pPr>
        <w:pStyle w:val="NumberedNormal"/>
      </w:pPr>
      <w:r w:rsidRPr="009158B6">
        <w:t>The licensee</w:t>
      </w:r>
      <w:r>
        <w:t xml:space="preserve"> </w:t>
      </w:r>
      <w:r w:rsidRPr="009158B6">
        <w:t xml:space="preserve">must deliver the outputs </w:t>
      </w:r>
      <w:r>
        <w:t xml:space="preserve">in accordance with, and </w:t>
      </w:r>
      <w:r w:rsidRPr="009158B6">
        <w:t>by the delivery dates specified in</w:t>
      </w:r>
      <w:r>
        <w:t>,</w:t>
      </w:r>
      <w:r w:rsidRPr="009158B6">
        <w:t xml:space="preserve"> Appendix 1.</w:t>
      </w:r>
    </w:p>
    <w:p w14:paraId="00779349" w14:textId="77777777" w:rsidR="00150818" w:rsidRPr="00E319A7" w:rsidRDefault="00150818" w:rsidP="00150818">
      <w:pPr>
        <w:pStyle w:val="Heading3"/>
      </w:pPr>
      <w:r>
        <w:t>Requirement to submit a Cyber Resilience OT Plan</w:t>
      </w:r>
    </w:p>
    <w:p w14:paraId="065A174A" w14:textId="77777777" w:rsidR="00150818" w:rsidRPr="00E319A7" w:rsidRDefault="00150818" w:rsidP="00150818">
      <w:pPr>
        <w:pStyle w:val="NumberedNormal"/>
      </w:pPr>
      <w:r>
        <w:t>The licensee must submit to the Authority a Cyber Resilience OT Plan Between 1 April 2021 and 8 April 2021.</w:t>
      </w:r>
    </w:p>
    <w:p w14:paraId="493C151A" w14:textId="05E2D2E8" w:rsidR="00150818" w:rsidRPr="00E319A7" w:rsidRDefault="00150818" w:rsidP="00150818">
      <w:pPr>
        <w:pStyle w:val="NumberedNormal"/>
      </w:pPr>
      <w:r>
        <w:t>The Cyber Resilience OT Plan submitted under paragraph 3.</w:t>
      </w:r>
      <w:r w:rsidR="003A6043">
        <w:t>2</w:t>
      </w:r>
      <w:r>
        <w:t xml:space="preserve">.6 must: </w:t>
      </w:r>
    </w:p>
    <w:p w14:paraId="210253A8" w14:textId="77777777" w:rsidR="00150818" w:rsidRPr="00E319A7" w:rsidRDefault="00150818" w:rsidP="00150818">
      <w:pPr>
        <w:pStyle w:val="ListNormal"/>
        <w:tabs>
          <w:tab w:val="num" w:pos="879"/>
        </w:tabs>
      </w:pPr>
      <w:r>
        <w:lastRenderedPageBreak/>
        <w:t xml:space="preserve">include statements: </w:t>
      </w:r>
    </w:p>
    <w:p w14:paraId="71501A03" w14:textId="77777777" w:rsidR="00150818" w:rsidRPr="00E319A7" w:rsidRDefault="00150818" w:rsidP="00150818">
      <w:pPr>
        <w:pStyle w:val="ListNormal"/>
        <w:numPr>
          <w:ilvl w:val="4"/>
          <w:numId w:val="4"/>
        </w:numPr>
      </w:pPr>
      <w:r>
        <w:t xml:space="preserve">giving </w:t>
      </w:r>
      <w:r w:rsidRPr="00E319A7">
        <w:t xml:space="preserve">details of any proposed activities that the licensee considers would be capable of improving cyber resilience in relation to OT, including measured risk reduction or improved CAF Outcomes on the licensee's network and information </w:t>
      </w:r>
      <w:proofErr w:type="gramStart"/>
      <w:r w:rsidRPr="00E319A7">
        <w:t>systems;</w:t>
      </w:r>
      <w:proofErr w:type="gramEnd"/>
    </w:p>
    <w:p w14:paraId="2902D7F5" w14:textId="77777777" w:rsidR="00150818" w:rsidRDefault="00150818" w:rsidP="00150818">
      <w:pPr>
        <w:pStyle w:val="ListNormal"/>
        <w:numPr>
          <w:ilvl w:val="4"/>
          <w:numId w:val="4"/>
        </w:numPr>
      </w:pPr>
      <w:r>
        <w:t xml:space="preserve">setting out </w:t>
      </w:r>
      <w:r w:rsidRPr="00E319A7">
        <w:t xml:space="preserve">any amendments requested to the outputs, delivery dates or allowances in Appendix </w:t>
      </w:r>
      <w:proofErr w:type="gramStart"/>
      <w:r w:rsidRPr="00E319A7">
        <w:t>1;</w:t>
      </w:r>
      <w:proofErr w:type="gramEnd"/>
    </w:p>
    <w:p w14:paraId="6D239703" w14:textId="77777777" w:rsidR="00150818" w:rsidRPr="00E319A7" w:rsidRDefault="00150818" w:rsidP="00150818">
      <w:pPr>
        <w:pStyle w:val="ListNormal"/>
        <w:numPr>
          <w:ilvl w:val="4"/>
          <w:numId w:val="4"/>
        </w:numPr>
      </w:pPr>
      <w:r>
        <w:t xml:space="preserve">explaining </w:t>
      </w:r>
      <w:r w:rsidRPr="00E319A7">
        <w:t>how any amendments requested would improve cyber resilience in relation to OT, including measured risk reduction and improved CAF Outcomes on the licensee's network and information systems;</w:t>
      </w:r>
      <w:r>
        <w:t xml:space="preserve"> and</w:t>
      </w:r>
    </w:p>
    <w:p w14:paraId="09653319" w14:textId="77777777" w:rsidR="00150818" w:rsidRPr="00E319A7" w:rsidRDefault="00150818" w:rsidP="00150818">
      <w:pPr>
        <w:pStyle w:val="ListNormal"/>
        <w:numPr>
          <w:ilvl w:val="4"/>
          <w:numId w:val="4"/>
        </w:numPr>
      </w:pPr>
      <w:r>
        <w:t xml:space="preserve"> explaining </w:t>
      </w:r>
      <w:r w:rsidRPr="00E319A7">
        <w:t>the basis of the calculations for any amendments requested to allowances; and</w:t>
      </w:r>
    </w:p>
    <w:p w14:paraId="0A65F3DE" w14:textId="77777777" w:rsidR="00150818" w:rsidRPr="00E319A7" w:rsidRDefault="00150818" w:rsidP="00150818">
      <w:pPr>
        <w:pStyle w:val="ListNormal"/>
        <w:tabs>
          <w:tab w:val="num" w:pos="879"/>
        </w:tabs>
      </w:pPr>
      <w:r>
        <w:t>provide detailed supporting evidence including the items specified in the Re-opener Guidance and Application Requirements Document.</w:t>
      </w:r>
    </w:p>
    <w:p w14:paraId="04493E74" w14:textId="16F520A4" w:rsidR="00150818" w:rsidRPr="00E319A7" w:rsidRDefault="00150818" w:rsidP="00150818">
      <w:pPr>
        <w:pStyle w:val="NumberedNormal"/>
      </w:pPr>
      <w:r>
        <w:t xml:space="preserve">The Authority will by direction make any amendments to Appendix 1 </w:t>
      </w:r>
      <w:proofErr w:type="gramStart"/>
      <w:r>
        <w:t>as a result of</w:t>
      </w:r>
      <w:proofErr w:type="gramEnd"/>
      <w:r>
        <w:t xml:space="preserve"> the submission of a Cyber Resilience OT Plan under paragraph </w:t>
      </w:r>
      <w:r w:rsidR="00AD44CF">
        <w:t>3.2.6</w:t>
      </w:r>
      <w:r>
        <w:t>.</w:t>
      </w:r>
    </w:p>
    <w:p w14:paraId="08EDA177" w14:textId="77777777" w:rsidR="00150818" w:rsidRPr="00E319A7" w:rsidRDefault="00150818" w:rsidP="00150818">
      <w:pPr>
        <w:pStyle w:val="Heading3"/>
      </w:pPr>
      <w:r>
        <w:t>Cyber Resilience OT Re-opener</w:t>
      </w:r>
    </w:p>
    <w:p w14:paraId="1F5803FC" w14:textId="77777777" w:rsidR="00150818" w:rsidRPr="00E319A7" w:rsidRDefault="00150818" w:rsidP="00150818">
      <w:pPr>
        <w:pStyle w:val="NumberedNormal"/>
      </w:pPr>
      <w:r>
        <w:t>The licensee may apply to the Authority for a direction amending the outputs, delivery dates or associated allowances in Appendix 1 where it considers there are:</w:t>
      </w:r>
    </w:p>
    <w:p w14:paraId="0E9DA567" w14:textId="77777777" w:rsidR="00150818" w:rsidRPr="00E319A7" w:rsidRDefault="00150818" w:rsidP="00150818">
      <w:pPr>
        <w:pStyle w:val="ListNormal"/>
        <w:tabs>
          <w:tab w:val="num" w:pos="879"/>
        </w:tabs>
      </w:pPr>
      <w:r>
        <w:t xml:space="preserve">new activities capable of improving cyber resilience in relation to OT, including measured risk reduction or improved CAF Outcomes on the licensee's network and information </w:t>
      </w:r>
      <w:proofErr w:type="gramStart"/>
      <w:r>
        <w:t>systems;</w:t>
      </w:r>
      <w:proofErr w:type="gramEnd"/>
      <w:r>
        <w:t xml:space="preserve"> </w:t>
      </w:r>
    </w:p>
    <w:p w14:paraId="50DF2580" w14:textId="77777777" w:rsidR="00150818" w:rsidRPr="00E319A7" w:rsidRDefault="00150818" w:rsidP="00150818">
      <w:pPr>
        <w:pStyle w:val="ListNormal"/>
        <w:tabs>
          <w:tab w:val="num" w:pos="879"/>
        </w:tabs>
      </w:pPr>
      <w:r>
        <w:t xml:space="preserve">changes to levels of risks or threats relating to cyber resilience in relation to OT, that take the licensee outside of its organisational risk appetite; or </w:t>
      </w:r>
    </w:p>
    <w:p w14:paraId="1BAE8B79" w14:textId="77777777" w:rsidR="00150818" w:rsidRPr="00E319A7" w:rsidRDefault="00150818" w:rsidP="00150818">
      <w:pPr>
        <w:pStyle w:val="ListNormal"/>
        <w:tabs>
          <w:tab w:val="num" w:pos="879"/>
        </w:tabs>
      </w:pPr>
      <w:r>
        <w:t>changes to statutory or regulatory requirements relating to cyber resilience in relation to OT.</w:t>
      </w:r>
    </w:p>
    <w:p w14:paraId="122970FC" w14:textId="28DFB287" w:rsidR="00150818" w:rsidRPr="00E319A7" w:rsidRDefault="00150818" w:rsidP="00150818">
      <w:pPr>
        <w:pStyle w:val="NumberedNormal"/>
      </w:pPr>
      <w:r>
        <w:t>An application to the Authority under paragraph 3</w:t>
      </w:r>
      <w:r w:rsidR="00AD44CF">
        <w:t>.</w:t>
      </w:r>
      <w:r w:rsidR="00BD420B">
        <w:t>2</w:t>
      </w:r>
      <w:r>
        <w:t xml:space="preserve">.9 must be made Between 25 January 2023 and 31 January 2023, unless the Authority by direction permits applications during specified later periods. </w:t>
      </w:r>
    </w:p>
    <w:p w14:paraId="5AE026B9" w14:textId="71F3C2F1" w:rsidR="00150818" w:rsidRPr="00E319A7" w:rsidRDefault="00150818" w:rsidP="00150818">
      <w:pPr>
        <w:pStyle w:val="NumberedNormal"/>
      </w:pPr>
      <w:r>
        <w:t>An application under paragraph 3.</w:t>
      </w:r>
      <w:r w:rsidR="00BD420B">
        <w:t>2</w:t>
      </w:r>
      <w:r>
        <w:t>.9 must be made in writing and must:</w:t>
      </w:r>
    </w:p>
    <w:p w14:paraId="643A635E" w14:textId="2F8A9E20" w:rsidR="00150818" w:rsidRPr="00E319A7" w:rsidRDefault="00150818" w:rsidP="00150818">
      <w:pPr>
        <w:pStyle w:val="ListNormal"/>
        <w:tabs>
          <w:tab w:val="num" w:pos="879"/>
        </w:tabs>
      </w:pPr>
      <w:r>
        <w:t xml:space="preserve">give </w:t>
      </w:r>
      <w:r w:rsidRPr="00E319A7">
        <w:t xml:space="preserve">details of the circumstances referred to in paragraph </w:t>
      </w:r>
      <w:r>
        <w:t>3.</w:t>
      </w:r>
      <w:r w:rsidR="00BD420B">
        <w:t>2</w:t>
      </w:r>
      <w:r w:rsidRPr="00E319A7">
        <w:t xml:space="preserve">.9 (a), (b) or (c) that the licensee considers </w:t>
      </w:r>
      <w:proofErr w:type="gramStart"/>
      <w:r w:rsidRPr="00E319A7">
        <w:t>exist;</w:t>
      </w:r>
      <w:proofErr w:type="gramEnd"/>
    </w:p>
    <w:p w14:paraId="2F02F706" w14:textId="77777777" w:rsidR="00150818" w:rsidRPr="00E319A7" w:rsidRDefault="00150818" w:rsidP="00150818">
      <w:pPr>
        <w:pStyle w:val="ListNormal"/>
        <w:tabs>
          <w:tab w:val="num" w:pos="879"/>
        </w:tabs>
      </w:pPr>
      <w:r>
        <w:t xml:space="preserve">set out </w:t>
      </w:r>
      <w:r w:rsidRPr="00E319A7">
        <w:t xml:space="preserve">any amendments requested to the outputs, delivery dates or allowances set out in Appendix </w:t>
      </w:r>
      <w:proofErr w:type="gramStart"/>
      <w:r w:rsidRPr="00E319A7">
        <w:t>1;</w:t>
      </w:r>
      <w:proofErr w:type="gramEnd"/>
    </w:p>
    <w:p w14:paraId="1FCB6DE9" w14:textId="77777777" w:rsidR="00150818" w:rsidRPr="00E319A7" w:rsidRDefault="00150818" w:rsidP="00150818">
      <w:pPr>
        <w:pStyle w:val="ListNormal"/>
        <w:tabs>
          <w:tab w:val="num" w:pos="879"/>
        </w:tabs>
      </w:pPr>
      <w:r>
        <w:t xml:space="preserve">explain </w:t>
      </w:r>
      <w:r w:rsidRPr="001A5BB7">
        <w:t>how</w:t>
      </w:r>
      <w:r w:rsidRPr="00E319A7">
        <w:t xml:space="preserve"> any amendments requested would improve cyber resilience in relation to OT, including measured risk reduction or improved CAF Outcomes on the licensee's network and information </w:t>
      </w:r>
      <w:proofErr w:type="gramStart"/>
      <w:r w:rsidRPr="00E319A7">
        <w:t>systems;</w:t>
      </w:r>
      <w:proofErr w:type="gramEnd"/>
    </w:p>
    <w:p w14:paraId="5A44371E" w14:textId="77777777" w:rsidR="00150818" w:rsidRPr="00E319A7" w:rsidRDefault="00150818" w:rsidP="00150818">
      <w:pPr>
        <w:pStyle w:val="ListNormal"/>
        <w:tabs>
          <w:tab w:val="num" w:pos="879"/>
        </w:tabs>
      </w:pPr>
      <w:r>
        <w:lastRenderedPageBreak/>
        <w:t xml:space="preserve"> explain </w:t>
      </w:r>
      <w:r w:rsidRPr="001A5BB7">
        <w:t>the</w:t>
      </w:r>
      <w:r w:rsidRPr="00E319A7">
        <w:t xml:space="preserve"> basis of the calculations for any amendments requested to allowances; and</w:t>
      </w:r>
    </w:p>
    <w:p w14:paraId="060371F0" w14:textId="77777777" w:rsidR="00150818" w:rsidRPr="00E319A7" w:rsidRDefault="00150818" w:rsidP="00150818">
      <w:pPr>
        <w:pStyle w:val="ListNormal"/>
        <w:tabs>
          <w:tab w:val="num" w:pos="879"/>
        </w:tabs>
      </w:pPr>
      <w:r>
        <w:t xml:space="preserve"> provide detailed supporting evidence as set out in the Re-opener Guidance and Application Requirements Document. </w:t>
      </w:r>
    </w:p>
    <w:p w14:paraId="4D36B737" w14:textId="73E0EDCA" w:rsidR="00150818" w:rsidRPr="00E319A7" w:rsidRDefault="00150818" w:rsidP="00150818">
      <w:pPr>
        <w:pStyle w:val="NumberedNormal"/>
      </w:pPr>
      <w:r>
        <w:t>An application under paragraph 3.</w:t>
      </w:r>
      <w:r w:rsidR="00BD420B">
        <w:t>2</w:t>
      </w:r>
      <w:r>
        <w:t xml:space="preserve">.9 must: </w:t>
      </w:r>
    </w:p>
    <w:p w14:paraId="471F8735" w14:textId="42DA9BC1" w:rsidR="00150818" w:rsidRPr="00E319A7" w:rsidRDefault="00150818" w:rsidP="00F12890">
      <w:pPr>
        <w:pStyle w:val="ListNormal"/>
      </w:pPr>
      <w:r>
        <w:t>relate to circumstances of the type referred to in paragraph 3.</w:t>
      </w:r>
      <w:r w:rsidR="00BD420B">
        <w:t>2</w:t>
      </w:r>
      <w:r>
        <w:t xml:space="preserve">.9 (a), (b) or (c) that have developed since the licensee submitted its Cyber Resilience OT Plan under paragraph </w:t>
      </w:r>
      <w:proofErr w:type="gramStart"/>
      <w:r>
        <w:t>3.</w:t>
      </w:r>
      <w:r w:rsidR="00BD420B">
        <w:t>2</w:t>
      </w:r>
      <w:r>
        <w:t>.6;</w:t>
      </w:r>
      <w:proofErr w:type="gramEnd"/>
    </w:p>
    <w:p w14:paraId="1F92C802" w14:textId="77777777" w:rsidR="00150818" w:rsidRPr="00E319A7" w:rsidRDefault="00150818" w:rsidP="00150818">
      <w:pPr>
        <w:pStyle w:val="ListNormal"/>
        <w:tabs>
          <w:tab w:val="num" w:pos="879"/>
        </w:tabs>
      </w:pPr>
      <w:r>
        <w:t xml:space="preserve">take account of any allowed expenditure, which can be avoided </w:t>
      </w:r>
      <w:proofErr w:type="gramStart"/>
      <w:r>
        <w:t>as a result of</w:t>
      </w:r>
      <w:proofErr w:type="gramEnd"/>
      <w:r>
        <w:t xml:space="preserve"> the change; and</w:t>
      </w:r>
    </w:p>
    <w:p w14:paraId="5D0FC0B4" w14:textId="720B62EE" w:rsidR="00150818" w:rsidRPr="00E319A7" w:rsidRDefault="00150818" w:rsidP="00150818">
      <w:pPr>
        <w:pStyle w:val="ListNormal"/>
        <w:tabs>
          <w:tab w:val="num" w:pos="879"/>
        </w:tabs>
      </w:pPr>
      <w:r>
        <w:t xml:space="preserve">be confined to costs incurred or expected to be incurred </w:t>
      </w:r>
      <w:r w:rsidR="002F1578">
        <w:t xml:space="preserve">on or </w:t>
      </w:r>
      <w:r>
        <w:t xml:space="preserve">after 1 April 2021. </w:t>
      </w:r>
    </w:p>
    <w:p w14:paraId="40609A46" w14:textId="77777777" w:rsidR="00150818" w:rsidRPr="00E319A7" w:rsidRDefault="00150818" w:rsidP="00150818">
      <w:pPr>
        <w:pStyle w:val="Heading3"/>
      </w:pPr>
      <w:r>
        <w:t>Authority triggered re-opener</w:t>
      </w:r>
    </w:p>
    <w:p w14:paraId="0F3E8A2F" w14:textId="28D09E11" w:rsidR="00965175" w:rsidRPr="00965175" w:rsidRDefault="00965175" w:rsidP="00965175">
      <w:pPr>
        <w:pStyle w:val="NumberedNormal"/>
      </w:pPr>
      <w:r>
        <w:t xml:space="preserve">The Authority will also consider </w:t>
      </w:r>
      <w:r w:rsidRPr="00965175">
        <w:t>directing amendments to the outputs, delivery dates or allowances set out in Appendix 1 without an application being made under paragraph 3.</w:t>
      </w:r>
      <w:r w:rsidR="00AD44CF">
        <w:t>2</w:t>
      </w:r>
      <w:r w:rsidRPr="00965175">
        <w:t>.9, where it considers that:</w:t>
      </w:r>
    </w:p>
    <w:p w14:paraId="6D47DA54" w14:textId="664CAE6B" w:rsidR="00965175" w:rsidRPr="00965175" w:rsidRDefault="00965175" w:rsidP="00965175">
      <w:pPr>
        <w:pStyle w:val="ListNormal"/>
      </w:pPr>
      <w:r>
        <w:t xml:space="preserve">circumstances of the type referred to in paragraph </w:t>
      </w:r>
      <w:r w:rsidRPr="00965175">
        <w:t>3.</w:t>
      </w:r>
      <w:r w:rsidR="00AD44CF">
        <w:t>2</w:t>
      </w:r>
      <w:r w:rsidRPr="00965175">
        <w:t>.9 (a), (b) or (c) exist; or</w:t>
      </w:r>
    </w:p>
    <w:p w14:paraId="788FBDA0" w14:textId="17F4AFD6" w:rsidR="00965175" w:rsidRDefault="00097D4E" w:rsidP="00965175">
      <w:pPr>
        <w:pStyle w:val="ListNormal"/>
      </w:pPr>
      <w:r w:rsidRPr="00970CFA">
        <w:t>circumstances exist that create an unreasonable degree of risk in relation to cyber resilience</w:t>
      </w:r>
      <w:r w:rsidR="00965175" w:rsidRPr="00965175">
        <w:t>.</w:t>
      </w:r>
    </w:p>
    <w:p w14:paraId="30ADD227" w14:textId="6FFD0267" w:rsidR="00097D4E" w:rsidRPr="00965175" w:rsidRDefault="00097D4E" w:rsidP="00B043A6">
      <w:pPr>
        <w:pStyle w:val="NumberedNormal"/>
      </w:pPr>
      <w:r>
        <w:t xml:space="preserve">In relation to costs, any amendments directed by the Authority will be confined to costs incurred or expected to be incurred </w:t>
      </w:r>
      <w:r w:rsidR="002F1578">
        <w:t xml:space="preserve">on or </w:t>
      </w:r>
      <w:r>
        <w:t>after 1 April 2021.</w:t>
      </w:r>
    </w:p>
    <w:p w14:paraId="058A27D6" w14:textId="18DF1220" w:rsidR="00150818" w:rsidRPr="00E319A7" w:rsidRDefault="00150818" w:rsidP="00150818">
      <w:pPr>
        <w:pStyle w:val="Heading3"/>
      </w:pPr>
      <w:r>
        <w:t>Assessment of outputs (</w:t>
      </w:r>
      <w:proofErr w:type="spellStart"/>
      <w:r>
        <w:t>CROR</w:t>
      </w:r>
      <w:r w:rsidRPr="00F12890">
        <w:rPr>
          <w:vertAlign w:val="subscript"/>
        </w:rPr>
        <w:t>t</w:t>
      </w:r>
      <w:proofErr w:type="spellEnd"/>
      <w:r>
        <w:t>)</w:t>
      </w:r>
    </w:p>
    <w:p w14:paraId="2026E787" w14:textId="33702B49" w:rsidR="00150818" w:rsidRPr="00E319A7" w:rsidRDefault="00150818" w:rsidP="00150818">
      <w:pPr>
        <w:pStyle w:val="NumberedNormal"/>
      </w:pPr>
      <w:r>
        <w:t>The Authority will</w:t>
      </w:r>
      <w:r w:rsidR="00CE32B7">
        <w:t>, in accordance with the PCD Reporting Requirements and Methodology Document,</w:t>
      </w:r>
      <w:r>
        <w:t xml:space="preserve"> </w:t>
      </w:r>
      <w:r w:rsidR="00CE32B7">
        <w:t xml:space="preserve">consider </w:t>
      </w:r>
      <w:r>
        <w:t xml:space="preserve">directing a value for </w:t>
      </w:r>
      <w:proofErr w:type="spellStart"/>
      <w:r>
        <w:t>CROR</w:t>
      </w:r>
      <w:r w:rsidRPr="00F12890">
        <w:rPr>
          <w:vertAlign w:val="subscript"/>
        </w:rPr>
        <w:t>t</w:t>
      </w:r>
      <w:proofErr w:type="spellEnd"/>
      <w:r>
        <w:t xml:space="preserve"> where the licensee has not Fully Delivered an output in Appendix 1.</w:t>
      </w:r>
    </w:p>
    <w:p w14:paraId="0F8CF505" w14:textId="77777777" w:rsidR="00150818" w:rsidRPr="00E319A7" w:rsidRDefault="00150818" w:rsidP="00150818">
      <w:pPr>
        <w:pStyle w:val="Heading3"/>
      </w:pPr>
      <w:r>
        <w:t>Reporting Requirements</w:t>
      </w:r>
    </w:p>
    <w:p w14:paraId="2DA08587" w14:textId="77777777" w:rsidR="00150818" w:rsidRPr="00E319A7" w:rsidRDefault="00150818" w:rsidP="00150818">
      <w:pPr>
        <w:pStyle w:val="NumberedNormal"/>
      </w:pPr>
      <w:r>
        <w:t>Unless the Authority otherwise directs, the licensee must submit reports to the Authority on the days, and in relation to the periods, set out in Appendix 2.</w:t>
      </w:r>
    </w:p>
    <w:p w14:paraId="022F552D" w14:textId="526AF61E" w:rsidR="00150818" w:rsidRPr="00E319A7" w:rsidRDefault="00150818" w:rsidP="00150818">
      <w:pPr>
        <w:pStyle w:val="NumberedNormal"/>
      </w:pPr>
      <w:r>
        <w:t>A report submitted under paragraph 3.</w:t>
      </w:r>
      <w:r w:rsidR="00BF2A59">
        <w:t>2</w:t>
      </w:r>
      <w:r>
        <w:t>.1</w:t>
      </w:r>
      <w:r w:rsidR="00097D4E">
        <w:t>6</w:t>
      </w:r>
      <w:r>
        <w:t xml:space="preserve"> must be in a form approved by the Authority and include:</w:t>
      </w:r>
    </w:p>
    <w:p w14:paraId="6CE35D9C" w14:textId="77777777" w:rsidR="00150818" w:rsidRPr="00E319A7" w:rsidRDefault="00150818" w:rsidP="00150818">
      <w:pPr>
        <w:pStyle w:val="ListNormal"/>
        <w:tabs>
          <w:tab w:val="num" w:pos="879"/>
        </w:tabs>
      </w:pPr>
      <w:r>
        <w:t xml:space="preserve">a summary of progress against Improvement Plan key </w:t>
      </w:r>
      <w:proofErr w:type="gramStart"/>
      <w:r>
        <w:t>milestones;</w:t>
      </w:r>
      <w:proofErr w:type="gramEnd"/>
      <w:r>
        <w:t xml:space="preserve"> </w:t>
      </w:r>
    </w:p>
    <w:p w14:paraId="698B27B4" w14:textId="619E9403" w:rsidR="00150818" w:rsidRPr="00E319A7" w:rsidRDefault="00150818" w:rsidP="00150818">
      <w:pPr>
        <w:pStyle w:val="ListNormal"/>
        <w:tabs>
          <w:tab w:val="num" w:pos="879"/>
        </w:tabs>
      </w:pPr>
      <w:r>
        <w:t>a summary of developments against the licensee's P</w:t>
      </w:r>
      <w:r w:rsidR="00E368E0">
        <w:t xml:space="preserve">rice </w:t>
      </w:r>
      <w:r>
        <w:t>C</w:t>
      </w:r>
      <w:r w:rsidR="00E368E0">
        <w:t xml:space="preserve">ontrol </w:t>
      </w:r>
      <w:r>
        <w:t>D</w:t>
      </w:r>
      <w:r w:rsidR="00E368E0">
        <w:t>eliverable</w:t>
      </w:r>
      <w:r>
        <w:t xml:space="preserve"> </w:t>
      </w:r>
      <w:r w:rsidR="00E368E0">
        <w:t>p</w:t>
      </w:r>
      <w:r>
        <w:t xml:space="preserve">roject </w:t>
      </w:r>
      <w:proofErr w:type="gramStart"/>
      <w:r w:rsidR="00E368E0">
        <w:t>p</w:t>
      </w:r>
      <w:r>
        <w:t>lans;</w:t>
      </w:r>
      <w:proofErr w:type="gramEnd"/>
      <w:r>
        <w:t xml:space="preserve"> </w:t>
      </w:r>
    </w:p>
    <w:p w14:paraId="1A7F02E1" w14:textId="1ADC11DE" w:rsidR="00150818" w:rsidRPr="00E319A7" w:rsidRDefault="00150818" w:rsidP="00150818">
      <w:pPr>
        <w:pStyle w:val="ListNormal"/>
        <w:tabs>
          <w:tab w:val="num" w:pos="879"/>
        </w:tabs>
      </w:pPr>
      <w:r>
        <w:t>the licensee's assessment of the impact of the progress and developments referred to in sub-paragraphs (</w:t>
      </w:r>
      <w:r w:rsidR="00993C79">
        <w:t>a</w:t>
      </w:r>
      <w:r>
        <w:t>) and (</w:t>
      </w:r>
      <w:r w:rsidR="00993C79">
        <w:t>b</w:t>
      </w:r>
      <w:r>
        <w:t xml:space="preserve">) on improving cyber resilience in relation to OT, including risk reduction or improved CAF </w:t>
      </w:r>
      <w:proofErr w:type="gramStart"/>
      <w:r>
        <w:t>Outcomes;</w:t>
      </w:r>
      <w:proofErr w:type="gramEnd"/>
    </w:p>
    <w:p w14:paraId="159E2717" w14:textId="77777777" w:rsidR="00150818" w:rsidRPr="00E319A7" w:rsidRDefault="00150818" w:rsidP="00150818">
      <w:pPr>
        <w:pStyle w:val="ListNormal"/>
        <w:tabs>
          <w:tab w:val="num" w:pos="879"/>
        </w:tabs>
      </w:pPr>
      <w:r>
        <w:lastRenderedPageBreak/>
        <w:t xml:space="preserve">a description of how the licensee has considered any guidance provided by the </w:t>
      </w:r>
      <w:proofErr w:type="gramStart"/>
      <w:r>
        <w:t>Authority;</w:t>
      </w:r>
      <w:proofErr w:type="gramEnd"/>
    </w:p>
    <w:p w14:paraId="6F4E5D6B" w14:textId="77777777" w:rsidR="00150818" w:rsidRPr="00E319A7" w:rsidRDefault="00150818" w:rsidP="00150818">
      <w:pPr>
        <w:pStyle w:val="ListNormal"/>
        <w:tabs>
          <w:tab w:val="num" w:pos="879"/>
        </w:tabs>
      </w:pPr>
      <w:r>
        <w:t>a summary of updated CAF Outcomes; and</w:t>
      </w:r>
    </w:p>
    <w:p w14:paraId="2C62B753" w14:textId="77777777" w:rsidR="00150818" w:rsidRPr="00E319A7" w:rsidRDefault="00150818" w:rsidP="00150818">
      <w:pPr>
        <w:pStyle w:val="ListNormal"/>
        <w:tabs>
          <w:tab w:val="num" w:pos="879"/>
        </w:tabs>
      </w:pPr>
      <w:r>
        <w:t xml:space="preserve">detailed supporting evidence. </w:t>
      </w:r>
    </w:p>
    <w:p w14:paraId="621FC2E4" w14:textId="77777777" w:rsidR="00150818" w:rsidRPr="00E319A7" w:rsidRDefault="00150818" w:rsidP="00150818">
      <w:pPr>
        <w:pStyle w:val="Heading3"/>
      </w:pPr>
      <w:r>
        <w:t>What process will the Authority follow in making a direction?</w:t>
      </w:r>
    </w:p>
    <w:p w14:paraId="77849990" w14:textId="31CE324A" w:rsidR="00150818" w:rsidRPr="00E319A7" w:rsidRDefault="00150818" w:rsidP="00150818">
      <w:pPr>
        <w:pStyle w:val="NumberedNormal"/>
      </w:pPr>
      <w:r>
        <w:t>Before making a direction under paragraph 3.</w:t>
      </w:r>
      <w:r w:rsidR="00BF2A59">
        <w:t>2</w:t>
      </w:r>
      <w:r>
        <w:t>.8, 3.</w:t>
      </w:r>
      <w:r w:rsidR="00BF2A59">
        <w:t>2</w:t>
      </w:r>
      <w:r>
        <w:t>.9, 3.</w:t>
      </w:r>
      <w:r w:rsidR="00BF2A59">
        <w:t>2</w:t>
      </w:r>
      <w:r>
        <w:t>.13 or 3.</w:t>
      </w:r>
      <w:r w:rsidR="00BF2A59">
        <w:t>2</w:t>
      </w:r>
      <w:r>
        <w:t>.1</w:t>
      </w:r>
      <w:r w:rsidR="00097D4E">
        <w:t>5</w:t>
      </w:r>
      <w:r>
        <w:t xml:space="preserve"> the Authority will publish on the Authority's Website:</w:t>
      </w:r>
    </w:p>
    <w:p w14:paraId="3504295E" w14:textId="77777777" w:rsidR="00150818" w:rsidRPr="00E319A7" w:rsidRDefault="00150818" w:rsidP="00150818">
      <w:pPr>
        <w:pStyle w:val="ListNormal"/>
        <w:tabs>
          <w:tab w:val="num" w:pos="879"/>
        </w:tabs>
      </w:pPr>
      <w:r>
        <w:t xml:space="preserve">the text of the proposed </w:t>
      </w:r>
      <w:proofErr w:type="gramStart"/>
      <w:r>
        <w:t>direction;</w:t>
      </w:r>
      <w:proofErr w:type="gramEnd"/>
    </w:p>
    <w:p w14:paraId="7BB3BEF5" w14:textId="77777777" w:rsidR="00150818" w:rsidRPr="00E319A7" w:rsidRDefault="00150818" w:rsidP="00150818">
      <w:pPr>
        <w:pStyle w:val="ListNormal"/>
        <w:tabs>
          <w:tab w:val="num" w:pos="879"/>
        </w:tabs>
      </w:pPr>
      <w:r>
        <w:t>the reasons for the proposed direction; and</w:t>
      </w:r>
    </w:p>
    <w:p w14:paraId="39B1A59B" w14:textId="2969E291" w:rsidR="00150818" w:rsidRPr="00E319A7" w:rsidRDefault="00150818" w:rsidP="00150818">
      <w:pPr>
        <w:pStyle w:val="ListNormal"/>
        <w:tabs>
          <w:tab w:val="num" w:pos="879"/>
        </w:tabs>
      </w:pPr>
      <w:r>
        <w:t xml:space="preserve">a period during which representations may be made on the proposed direction, which </w:t>
      </w:r>
      <w:r w:rsidR="00BF2A59">
        <w:t xml:space="preserve">will </w:t>
      </w:r>
      <w:r>
        <w:t>not be less than 28 days.</w:t>
      </w:r>
    </w:p>
    <w:p w14:paraId="6F2AF4A9" w14:textId="1BA4603C" w:rsidR="00150818" w:rsidRDefault="00150818" w:rsidP="00150818">
      <w:pPr>
        <w:pStyle w:val="NumberedNormal"/>
      </w:pPr>
      <w:r>
        <w:t>A direction under paragraph 3.</w:t>
      </w:r>
      <w:r w:rsidR="00BF2A59">
        <w:t>2</w:t>
      </w:r>
      <w:r>
        <w:t>.8, 3.</w:t>
      </w:r>
      <w:r w:rsidR="00BF2A59">
        <w:t>2</w:t>
      </w:r>
      <w:r>
        <w:t>.9 or 3.</w:t>
      </w:r>
      <w:r w:rsidR="00BF2A59">
        <w:t>2</w:t>
      </w:r>
      <w:r>
        <w:t>.13 will set out any amendments to Appendix 1.</w:t>
      </w:r>
    </w:p>
    <w:p w14:paraId="5DF8F0ED" w14:textId="0242F2E0" w:rsidR="00150818" w:rsidRPr="00E319A7" w:rsidRDefault="00150818" w:rsidP="00150818">
      <w:pPr>
        <w:pStyle w:val="NumberedNormal"/>
      </w:pPr>
      <w:r>
        <w:t>A direction under paragraph 3.</w:t>
      </w:r>
      <w:r w:rsidR="00BF2A59">
        <w:t>2</w:t>
      </w:r>
      <w:r>
        <w:t>.1</w:t>
      </w:r>
      <w:r w:rsidR="00097D4E">
        <w:t>5</w:t>
      </w:r>
      <w:r>
        <w:t xml:space="preserve"> will set out the value of the </w:t>
      </w:r>
      <w:proofErr w:type="spellStart"/>
      <w:r>
        <w:t>CROR</w:t>
      </w:r>
      <w:r w:rsidRPr="00150818">
        <w:t>t</w:t>
      </w:r>
      <w:proofErr w:type="spellEnd"/>
      <w:r>
        <w:t xml:space="preserve"> term and the Regulatory Years to which that value relates.</w:t>
      </w:r>
    </w:p>
    <w:p w14:paraId="323FA5EA" w14:textId="13BB6203" w:rsidR="00150818" w:rsidRPr="00D839B5" w:rsidRDefault="00150818" w:rsidP="009A3507">
      <w:pPr>
        <w:pStyle w:val="AppendixHeading"/>
      </w:pPr>
      <w:bookmarkStart w:id="43" w:name="_Toc51798257"/>
      <w:bookmarkEnd w:id="43"/>
    </w:p>
    <w:p w14:paraId="23998B53" w14:textId="11C4B93B" w:rsidR="00150818" w:rsidRPr="00E7797C" w:rsidRDefault="00150818" w:rsidP="00A248D5">
      <w:pPr>
        <w:pStyle w:val="Caption"/>
      </w:pPr>
      <w:r w:rsidRPr="00E7797C">
        <w:t>Cyber Resilience OT Price Control Deliverables</w:t>
      </w:r>
      <w:r w:rsidR="009A3507">
        <w:t xml:space="preserve"> </w:t>
      </w:r>
      <w:r w:rsidRPr="00E7797C">
        <w:t>(£m)</w:t>
      </w:r>
    </w:p>
    <w:tbl>
      <w:tblPr>
        <w:tblStyle w:val="AppendixTable"/>
        <w:tblW w:w="9759" w:type="dxa"/>
        <w:tblLayout w:type="fixed"/>
        <w:tblLook w:val="04A0" w:firstRow="1" w:lastRow="0" w:firstColumn="1" w:lastColumn="0" w:noHBand="0" w:noVBand="1"/>
      </w:tblPr>
      <w:tblGrid>
        <w:gridCol w:w="2722"/>
        <w:gridCol w:w="1521"/>
        <w:gridCol w:w="1268"/>
        <w:gridCol w:w="980"/>
        <w:gridCol w:w="980"/>
        <w:gridCol w:w="980"/>
        <w:gridCol w:w="1308"/>
      </w:tblGrid>
      <w:tr w:rsidR="00150818" w:rsidRPr="00E33579" w14:paraId="0EFB161D" w14:textId="77777777" w:rsidTr="009A3507">
        <w:trPr>
          <w:cnfStyle w:val="100000000000" w:firstRow="1" w:lastRow="0" w:firstColumn="0" w:lastColumn="0" w:oddVBand="0" w:evenVBand="0" w:oddHBand="0" w:evenHBand="0" w:firstRowFirstColumn="0" w:firstRowLastColumn="0" w:lastRowFirstColumn="0" w:lastRowLastColumn="0"/>
          <w:trHeight w:val="592"/>
        </w:trPr>
        <w:tc>
          <w:tcPr>
            <w:tcW w:w="2722" w:type="dxa"/>
          </w:tcPr>
          <w:p w14:paraId="5482C22C" w14:textId="77777777" w:rsidR="00150818" w:rsidRPr="00150818" w:rsidRDefault="00150818" w:rsidP="00150818">
            <w:r w:rsidRPr="00E7797C">
              <w:t>Outputs</w:t>
            </w:r>
          </w:p>
        </w:tc>
        <w:tc>
          <w:tcPr>
            <w:tcW w:w="1521" w:type="dxa"/>
          </w:tcPr>
          <w:p w14:paraId="375FF5B7" w14:textId="77777777" w:rsidR="00150818" w:rsidRPr="00150818" w:rsidRDefault="00150818" w:rsidP="00150818">
            <w:r w:rsidRPr="00E7797C">
              <w:t xml:space="preserve">Delivery Date </w:t>
            </w:r>
          </w:p>
        </w:tc>
        <w:tc>
          <w:tcPr>
            <w:tcW w:w="5516" w:type="dxa"/>
            <w:gridSpan w:val="5"/>
          </w:tcPr>
          <w:p w14:paraId="77623E40" w14:textId="77777777" w:rsidR="00150818" w:rsidRPr="00150818" w:rsidRDefault="00150818" w:rsidP="00150818">
            <w:r w:rsidRPr="00E7797C">
              <w:t>Allowance</w:t>
            </w:r>
          </w:p>
        </w:tc>
      </w:tr>
      <w:tr w:rsidR="00150818" w:rsidRPr="00E33579" w14:paraId="7BA5DF1C" w14:textId="77777777" w:rsidTr="009A3507">
        <w:trPr>
          <w:trHeight w:val="177"/>
        </w:trPr>
        <w:tc>
          <w:tcPr>
            <w:tcW w:w="2722" w:type="dxa"/>
          </w:tcPr>
          <w:p w14:paraId="518C0990" w14:textId="77777777" w:rsidR="00150818" w:rsidRPr="00E7797C" w:rsidRDefault="00150818" w:rsidP="00150818"/>
        </w:tc>
        <w:tc>
          <w:tcPr>
            <w:tcW w:w="1521" w:type="dxa"/>
          </w:tcPr>
          <w:p w14:paraId="0457A78B" w14:textId="77777777" w:rsidR="00150818" w:rsidRPr="00E7797C" w:rsidRDefault="00150818" w:rsidP="00150818"/>
        </w:tc>
        <w:tc>
          <w:tcPr>
            <w:tcW w:w="1268" w:type="dxa"/>
          </w:tcPr>
          <w:p w14:paraId="31C324E3" w14:textId="77777777" w:rsidR="00150818" w:rsidRPr="00150818" w:rsidRDefault="00150818" w:rsidP="00150818">
            <w:r w:rsidRPr="00E7797C">
              <w:t>21/22</w:t>
            </w:r>
          </w:p>
        </w:tc>
        <w:tc>
          <w:tcPr>
            <w:tcW w:w="980" w:type="dxa"/>
          </w:tcPr>
          <w:p w14:paraId="266AE472" w14:textId="77777777" w:rsidR="00150818" w:rsidRPr="00150818" w:rsidRDefault="00150818" w:rsidP="00150818">
            <w:r w:rsidRPr="00E7797C">
              <w:t>22/23</w:t>
            </w:r>
          </w:p>
        </w:tc>
        <w:tc>
          <w:tcPr>
            <w:tcW w:w="980" w:type="dxa"/>
          </w:tcPr>
          <w:p w14:paraId="6DCAA3EE" w14:textId="77777777" w:rsidR="00150818" w:rsidRPr="00150818" w:rsidRDefault="00150818" w:rsidP="00150818">
            <w:r w:rsidRPr="00E7797C">
              <w:t>23/24</w:t>
            </w:r>
          </w:p>
        </w:tc>
        <w:tc>
          <w:tcPr>
            <w:tcW w:w="980" w:type="dxa"/>
          </w:tcPr>
          <w:p w14:paraId="11FFDC59" w14:textId="77777777" w:rsidR="00150818" w:rsidRPr="00150818" w:rsidRDefault="00150818" w:rsidP="00150818">
            <w:r w:rsidRPr="00E7797C">
              <w:t>24/25</w:t>
            </w:r>
          </w:p>
        </w:tc>
        <w:tc>
          <w:tcPr>
            <w:tcW w:w="1307" w:type="dxa"/>
          </w:tcPr>
          <w:p w14:paraId="1FB4F19D" w14:textId="77777777" w:rsidR="00150818" w:rsidRPr="00150818" w:rsidRDefault="00150818" w:rsidP="00150818">
            <w:r w:rsidRPr="00E7797C">
              <w:t>25/26</w:t>
            </w:r>
          </w:p>
        </w:tc>
      </w:tr>
      <w:tr w:rsidR="00150818" w14:paraId="40924848" w14:textId="77777777" w:rsidTr="009A3507">
        <w:trPr>
          <w:trHeight w:val="177"/>
        </w:trPr>
        <w:tc>
          <w:tcPr>
            <w:tcW w:w="2722" w:type="dxa"/>
          </w:tcPr>
          <w:p w14:paraId="256D3587" w14:textId="77777777" w:rsidR="00150818" w:rsidRPr="00150818" w:rsidRDefault="00150818" w:rsidP="00150818">
            <w:r w:rsidRPr="00E7797C">
              <w:t>Output X</w:t>
            </w:r>
          </w:p>
        </w:tc>
        <w:tc>
          <w:tcPr>
            <w:tcW w:w="1521" w:type="dxa"/>
          </w:tcPr>
          <w:p w14:paraId="69AB355C" w14:textId="77777777" w:rsidR="00150818" w:rsidRPr="00E7797C" w:rsidRDefault="00150818" w:rsidP="00150818"/>
        </w:tc>
        <w:tc>
          <w:tcPr>
            <w:tcW w:w="1268" w:type="dxa"/>
          </w:tcPr>
          <w:p w14:paraId="682B08E6" w14:textId="77777777" w:rsidR="00150818" w:rsidRPr="00E7797C" w:rsidRDefault="00150818" w:rsidP="00150818"/>
        </w:tc>
        <w:tc>
          <w:tcPr>
            <w:tcW w:w="980" w:type="dxa"/>
          </w:tcPr>
          <w:p w14:paraId="560150C5" w14:textId="77777777" w:rsidR="00150818" w:rsidRPr="00E7797C" w:rsidRDefault="00150818" w:rsidP="00150818"/>
        </w:tc>
        <w:tc>
          <w:tcPr>
            <w:tcW w:w="980" w:type="dxa"/>
          </w:tcPr>
          <w:p w14:paraId="0B848104" w14:textId="77777777" w:rsidR="00150818" w:rsidRPr="00E7797C" w:rsidRDefault="00150818" w:rsidP="00150818"/>
        </w:tc>
        <w:tc>
          <w:tcPr>
            <w:tcW w:w="980" w:type="dxa"/>
          </w:tcPr>
          <w:p w14:paraId="75563C0F" w14:textId="77777777" w:rsidR="00150818" w:rsidRPr="00E7797C" w:rsidRDefault="00150818" w:rsidP="00150818"/>
        </w:tc>
        <w:tc>
          <w:tcPr>
            <w:tcW w:w="1307" w:type="dxa"/>
          </w:tcPr>
          <w:p w14:paraId="084B01D7" w14:textId="77777777" w:rsidR="00150818" w:rsidRPr="00E7797C" w:rsidRDefault="00150818" w:rsidP="00150818"/>
        </w:tc>
      </w:tr>
      <w:tr w:rsidR="00150818" w14:paraId="392E5EB9" w14:textId="77777777" w:rsidTr="009A3507">
        <w:trPr>
          <w:trHeight w:val="177"/>
        </w:trPr>
        <w:tc>
          <w:tcPr>
            <w:tcW w:w="2722" w:type="dxa"/>
          </w:tcPr>
          <w:p w14:paraId="46EBCE51" w14:textId="77777777" w:rsidR="00150818" w:rsidRPr="00150818" w:rsidRDefault="00150818" w:rsidP="00150818">
            <w:r w:rsidRPr="00E7797C">
              <w:t>Output Y</w:t>
            </w:r>
          </w:p>
        </w:tc>
        <w:tc>
          <w:tcPr>
            <w:tcW w:w="1521" w:type="dxa"/>
          </w:tcPr>
          <w:p w14:paraId="5F56E34C" w14:textId="77777777" w:rsidR="00150818" w:rsidRPr="00E7797C" w:rsidRDefault="00150818" w:rsidP="00150818"/>
        </w:tc>
        <w:tc>
          <w:tcPr>
            <w:tcW w:w="1268" w:type="dxa"/>
          </w:tcPr>
          <w:p w14:paraId="235ACDB4" w14:textId="77777777" w:rsidR="00150818" w:rsidRPr="00E7797C" w:rsidRDefault="00150818" w:rsidP="00150818"/>
        </w:tc>
        <w:tc>
          <w:tcPr>
            <w:tcW w:w="980" w:type="dxa"/>
          </w:tcPr>
          <w:p w14:paraId="6D9225DD" w14:textId="77777777" w:rsidR="00150818" w:rsidRPr="00E7797C" w:rsidRDefault="00150818" w:rsidP="00150818"/>
        </w:tc>
        <w:tc>
          <w:tcPr>
            <w:tcW w:w="980" w:type="dxa"/>
          </w:tcPr>
          <w:p w14:paraId="1AC38753" w14:textId="77777777" w:rsidR="00150818" w:rsidRPr="00E7797C" w:rsidRDefault="00150818" w:rsidP="00150818"/>
        </w:tc>
        <w:tc>
          <w:tcPr>
            <w:tcW w:w="980" w:type="dxa"/>
          </w:tcPr>
          <w:p w14:paraId="5A2B2E54" w14:textId="77777777" w:rsidR="00150818" w:rsidRPr="00E7797C" w:rsidRDefault="00150818" w:rsidP="00150818"/>
        </w:tc>
        <w:tc>
          <w:tcPr>
            <w:tcW w:w="1307" w:type="dxa"/>
          </w:tcPr>
          <w:p w14:paraId="459D28AD" w14:textId="77777777" w:rsidR="00150818" w:rsidRPr="00E7797C" w:rsidRDefault="00150818" w:rsidP="00150818"/>
        </w:tc>
      </w:tr>
      <w:tr w:rsidR="00150818" w14:paraId="02B33871" w14:textId="77777777" w:rsidTr="009A3507">
        <w:trPr>
          <w:trHeight w:val="177"/>
        </w:trPr>
        <w:tc>
          <w:tcPr>
            <w:tcW w:w="2722" w:type="dxa"/>
          </w:tcPr>
          <w:p w14:paraId="42F4ABEF" w14:textId="77777777" w:rsidR="00150818" w:rsidRPr="00150818" w:rsidRDefault="00150818" w:rsidP="00150818">
            <w:r w:rsidRPr="00E7797C">
              <w:t>Output Z</w:t>
            </w:r>
          </w:p>
        </w:tc>
        <w:tc>
          <w:tcPr>
            <w:tcW w:w="1521" w:type="dxa"/>
          </w:tcPr>
          <w:p w14:paraId="3F74C9AA" w14:textId="77777777" w:rsidR="00150818" w:rsidRPr="00E7797C" w:rsidRDefault="00150818" w:rsidP="00150818"/>
        </w:tc>
        <w:tc>
          <w:tcPr>
            <w:tcW w:w="1268" w:type="dxa"/>
          </w:tcPr>
          <w:p w14:paraId="7E69506D" w14:textId="77777777" w:rsidR="00150818" w:rsidRPr="00E7797C" w:rsidRDefault="00150818" w:rsidP="00150818"/>
        </w:tc>
        <w:tc>
          <w:tcPr>
            <w:tcW w:w="980" w:type="dxa"/>
          </w:tcPr>
          <w:p w14:paraId="293F655A" w14:textId="77777777" w:rsidR="00150818" w:rsidRPr="00E7797C" w:rsidRDefault="00150818" w:rsidP="00150818"/>
        </w:tc>
        <w:tc>
          <w:tcPr>
            <w:tcW w:w="980" w:type="dxa"/>
          </w:tcPr>
          <w:p w14:paraId="001FFC00" w14:textId="77777777" w:rsidR="00150818" w:rsidRPr="00E7797C" w:rsidRDefault="00150818" w:rsidP="00150818"/>
        </w:tc>
        <w:tc>
          <w:tcPr>
            <w:tcW w:w="980" w:type="dxa"/>
          </w:tcPr>
          <w:p w14:paraId="6613385B" w14:textId="77777777" w:rsidR="00150818" w:rsidRPr="00E7797C" w:rsidRDefault="00150818" w:rsidP="00150818"/>
        </w:tc>
        <w:tc>
          <w:tcPr>
            <w:tcW w:w="1307" w:type="dxa"/>
          </w:tcPr>
          <w:p w14:paraId="0A65E948" w14:textId="77777777" w:rsidR="00150818" w:rsidRPr="00E7797C" w:rsidRDefault="00150818" w:rsidP="00150818"/>
        </w:tc>
      </w:tr>
    </w:tbl>
    <w:p w14:paraId="25DB4FE7" w14:textId="54E22E7C" w:rsidR="00921F24" w:rsidRPr="00156316" w:rsidRDefault="00921F24" w:rsidP="00A248D5">
      <w:pPr>
        <w:pStyle w:val="AppendixHeading"/>
      </w:pPr>
      <w:bookmarkStart w:id="44" w:name="_Toc51798258"/>
      <w:bookmarkEnd w:id="44"/>
    </w:p>
    <w:p w14:paraId="69951999" w14:textId="77777777" w:rsidR="00921F24" w:rsidRPr="00921F24" w:rsidRDefault="00921F24" w:rsidP="00A248D5">
      <w:pPr>
        <w:pStyle w:val="Caption"/>
      </w:pPr>
      <w:r w:rsidRPr="00921F24">
        <w:t xml:space="preserve">Report submission dates and the associated periods to be reported on </w:t>
      </w:r>
    </w:p>
    <w:tbl>
      <w:tblPr>
        <w:tblStyle w:val="AppendixTable"/>
        <w:tblW w:w="0" w:type="auto"/>
        <w:tblLook w:val="0020" w:firstRow="1" w:lastRow="0" w:firstColumn="0" w:lastColumn="0" w:noHBand="0" w:noVBand="0"/>
      </w:tblPr>
      <w:tblGrid>
        <w:gridCol w:w="4508"/>
        <w:gridCol w:w="4508"/>
      </w:tblGrid>
      <w:tr w:rsidR="00921F24" w14:paraId="5220E2F4" w14:textId="77777777" w:rsidTr="00A248D5">
        <w:trPr>
          <w:cnfStyle w:val="100000000000" w:firstRow="1" w:lastRow="0" w:firstColumn="0" w:lastColumn="0" w:oddVBand="0" w:evenVBand="0" w:oddHBand="0" w:evenHBand="0" w:firstRowFirstColumn="0" w:firstRowLastColumn="0" w:lastRowFirstColumn="0" w:lastRowLastColumn="0"/>
        </w:trPr>
        <w:tc>
          <w:tcPr>
            <w:tcW w:w="4508" w:type="dxa"/>
          </w:tcPr>
          <w:p w14:paraId="1803E3C4" w14:textId="77777777" w:rsidR="00921F24" w:rsidRPr="00921F24" w:rsidRDefault="00921F24" w:rsidP="00921F24">
            <w:r w:rsidRPr="00921F24">
              <w:t xml:space="preserve">Dates on which reports must be submitted annually from 31 July 2021 to 30 April 2026 </w:t>
            </w:r>
          </w:p>
        </w:tc>
        <w:tc>
          <w:tcPr>
            <w:tcW w:w="4508" w:type="dxa"/>
          </w:tcPr>
          <w:p w14:paraId="6845A03B" w14:textId="77777777" w:rsidR="00921F24" w:rsidRPr="00921F24" w:rsidRDefault="00921F24" w:rsidP="00921F24">
            <w:r w:rsidRPr="00921F24">
              <w:t>Associated periods to be reported</w:t>
            </w:r>
            <w:r w:rsidRPr="00921F24" w:rsidDel="002010AB">
              <w:t xml:space="preserve"> </w:t>
            </w:r>
            <w:r w:rsidRPr="00921F24">
              <w:t>on</w:t>
            </w:r>
          </w:p>
        </w:tc>
      </w:tr>
      <w:tr w:rsidR="00921F24" w14:paraId="635BF1D2" w14:textId="77777777" w:rsidTr="00A248D5">
        <w:tc>
          <w:tcPr>
            <w:tcW w:w="4508" w:type="dxa"/>
          </w:tcPr>
          <w:p w14:paraId="52AF9D94" w14:textId="77777777" w:rsidR="00921F24" w:rsidRPr="00921F24" w:rsidRDefault="00921F24" w:rsidP="00921F24">
            <w:r w:rsidRPr="00E7797C">
              <w:t xml:space="preserve">31 </w:t>
            </w:r>
            <w:r w:rsidRPr="00921F24">
              <w:t>January</w:t>
            </w:r>
          </w:p>
        </w:tc>
        <w:tc>
          <w:tcPr>
            <w:tcW w:w="4508" w:type="dxa"/>
          </w:tcPr>
          <w:p w14:paraId="363D2908" w14:textId="77777777" w:rsidR="00921F24" w:rsidRPr="00921F24" w:rsidRDefault="00921F24" w:rsidP="00921F24">
            <w:r>
              <w:t>1 October to 31 December</w:t>
            </w:r>
            <w:r w:rsidRPr="00921F24">
              <w:t xml:space="preserve"> </w:t>
            </w:r>
          </w:p>
        </w:tc>
      </w:tr>
      <w:tr w:rsidR="00921F24" w14:paraId="538F7C88" w14:textId="77777777" w:rsidTr="00A248D5">
        <w:tc>
          <w:tcPr>
            <w:tcW w:w="4508" w:type="dxa"/>
          </w:tcPr>
          <w:p w14:paraId="5958DDEE" w14:textId="77777777" w:rsidR="00921F24" w:rsidRPr="00921F24" w:rsidRDefault="00921F24" w:rsidP="00921F24">
            <w:r>
              <w:t xml:space="preserve">30 April </w:t>
            </w:r>
          </w:p>
        </w:tc>
        <w:tc>
          <w:tcPr>
            <w:tcW w:w="4508" w:type="dxa"/>
          </w:tcPr>
          <w:p w14:paraId="4146C8BB" w14:textId="77777777" w:rsidR="00921F24" w:rsidRPr="00921F24" w:rsidRDefault="00921F24" w:rsidP="00921F24">
            <w:r w:rsidRPr="00E7797C">
              <w:t>1 January</w:t>
            </w:r>
            <w:r w:rsidRPr="00921F24">
              <w:t xml:space="preserve"> to 31 March</w:t>
            </w:r>
          </w:p>
        </w:tc>
      </w:tr>
      <w:tr w:rsidR="00921F24" w14:paraId="5B88940D" w14:textId="77777777" w:rsidTr="00A248D5">
        <w:tc>
          <w:tcPr>
            <w:tcW w:w="4508" w:type="dxa"/>
          </w:tcPr>
          <w:p w14:paraId="42A95C00" w14:textId="77777777" w:rsidR="00921F24" w:rsidRPr="00921F24" w:rsidRDefault="00921F24" w:rsidP="00921F24">
            <w:r>
              <w:t xml:space="preserve">31 </w:t>
            </w:r>
            <w:r w:rsidRPr="00921F24">
              <w:t xml:space="preserve">July </w:t>
            </w:r>
          </w:p>
        </w:tc>
        <w:tc>
          <w:tcPr>
            <w:tcW w:w="4508" w:type="dxa"/>
          </w:tcPr>
          <w:p w14:paraId="763B49BB" w14:textId="77777777" w:rsidR="00921F24" w:rsidRPr="00921F24" w:rsidRDefault="00921F24" w:rsidP="00921F24">
            <w:r w:rsidRPr="00E7797C">
              <w:t>1 April</w:t>
            </w:r>
            <w:r w:rsidRPr="00921F24">
              <w:t xml:space="preserve"> to 30 June</w:t>
            </w:r>
          </w:p>
        </w:tc>
      </w:tr>
      <w:tr w:rsidR="00921F24" w14:paraId="036A6733" w14:textId="77777777" w:rsidTr="00A248D5">
        <w:tc>
          <w:tcPr>
            <w:tcW w:w="4508" w:type="dxa"/>
          </w:tcPr>
          <w:p w14:paraId="21A4A026" w14:textId="77777777" w:rsidR="00921F24" w:rsidRPr="00921F24" w:rsidRDefault="00921F24" w:rsidP="00921F24">
            <w:r w:rsidRPr="00E7797C">
              <w:t>31 October</w:t>
            </w:r>
            <w:r w:rsidRPr="00921F24" w:rsidDel="00123DDD">
              <w:t xml:space="preserve"> </w:t>
            </w:r>
          </w:p>
        </w:tc>
        <w:tc>
          <w:tcPr>
            <w:tcW w:w="4508" w:type="dxa"/>
          </w:tcPr>
          <w:p w14:paraId="43A09B16" w14:textId="77777777" w:rsidR="00921F24" w:rsidRPr="00921F24" w:rsidRDefault="00921F24" w:rsidP="00921F24">
            <w:r>
              <w:t>1 July to 30 Sep</w:t>
            </w:r>
            <w:r w:rsidRPr="00921F24">
              <w:t>tember</w:t>
            </w:r>
          </w:p>
        </w:tc>
      </w:tr>
    </w:tbl>
    <w:p w14:paraId="6F2A5090" w14:textId="77777777" w:rsidR="00150818" w:rsidRPr="00D32B52" w:rsidRDefault="00150818" w:rsidP="00ED1E33">
      <w:pPr>
        <w:pStyle w:val="NumberedNormal"/>
        <w:numPr>
          <w:ilvl w:val="0"/>
          <w:numId w:val="0"/>
        </w:numPr>
        <w:ind w:left="879"/>
      </w:pPr>
    </w:p>
    <w:p w14:paraId="45619FAF" w14:textId="48DD3A1E" w:rsidR="00150818" w:rsidRDefault="00150818" w:rsidP="00150818">
      <w:pPr>
        <w:pStyle w:val="Heading2"/>
      </w:pPr>
      <w:bookmarkStart w:id="45" w:name="_Toc51680359"/>
      <w:bookmarkStart w:id="46" w:name="_Toc51798259"/>
      <w:bookmarkStart w:id="47" w:name="_Toc52364886"/>
      <w:r w:rsidRPr="00D32B52">
        <w:lastRenderedPageBreak/>
        <w:t xml:space="preserve">Cyber resilience </w:t>
      </w:r>
      <w:r>
        <w:t>i</w:t>
      </w:r>
      <w:r w:rsidRPr="00D32B52">
        <w:t xml:space="preserve">nformation </w:t>
      </w:r>
      <w:r>
        <w:t>t</w:t>
      </w:r>
      <w:r w:rsidRPr="00D32B52">
        <w:t xml:space="preserve">echnology </w:t>
      </w:r>
      <w:r>
        <w:t xml:space="preserve">Re-opener and </w:t>
      </w:r>
      <w:r w:rsidRPr="00D32B52">
        <w:t>Price Control Deliverable</w:t>
      </w:r>
      <w:r>
        <w:t xml:space="preserve"> (</w:t>
      </w:r>
      <w:proofErr w:type="spellStart"/>
      <w:r>
        <w:t>CRI</w:t>
      </w:r>
      <w:r w:rsidR="00097D4E">
        <w:t>T</w:t>
      </w:r>
      <w:r w:rsidRPr="00F12890">
        <w:rPr>
          <w:vertAlign w:val="subscript"/>
        </w:rPr>
        <w:t>t</w:t>
      </w:r>
      <w:proofErr w:type="spellEnd"/>
      <w:r>
        <w:t>)</w:t>
      </w:r>
      <w:bookmarkEnd w:id="45"/>
      <w:bookmarkEnd w:id="46"/>
      <w:bookmarkEnd w:id="47"/>
    </w:p>
    <w:p w14:paraId="4D37C614" w14:textId="77777777" w:rsidR="00150818" w:rsidRPr="003C09E1" w:rsidRDefault="00150818" w:rsidP="00150818">
      <w:pPr>
        <w:pStyle w:val="Heading3nonumbering"/>
      </w:pPr>
      <w:r w:rsidRPr="003C09E1">
        <w:t xml:space="preserve">Introduction </w:t>
      </w:r>
    </w:p>
    <w:p w14:paraId="6FB6CE5F" w14:textId="77777777" w:rsidR="00150818" w:rsidRPr="003C09E1" w:rsidRDefault="00150818" w:rsidP="00150818">
      <w:pPr>
        <w:pStyle w:val="NumberedNormal"/>
      </w:pPr>
      <w:r>
        <w:t xml:space="preserve">The purpose of this condition is to calculate the term </w:t>
      </w:r>
      <w:proofErr w:type="spellStart"/>
      <w:r>
        <w:t>CRIT</w:t>
      </w:r>
      <w:r w:rsidRPr="00F12890">
        <w:rPr>
          <w:vertAlign w:val="subscript"/>
        </w:rPr>
        <w:t>t</w:t>
      </w:r>
      <w:proofErr w:type="spellEnd"/>
      <w:r>
        <w:t xml:space="preserve"> (the Cyber Resilience Price Control Deliverable term). This contributes to the calculation of the Totex Allowance.</w:t>
      </w:r>
    </w:p>
    <w:p w14:paraId="5317FBEF" w14:textId="77777777" w:rsidR="00150818" w:rsidRPr="003C09E1" w:rsidRDefault="00150818" w:rsidP="00150818">
      <w:pPr>
        <w:pStyle w:val="NumberedNormal"/>
      </w:pPr>
      <w:r>
        <w:t>The effect of this condition is to:</w:t>
      </w:r>
    </w:p>
    <w:p w14:paraId="5A28EF8B" w14:textId="6FFD9E3D" w:rsidR="00150818" w:rsidRPr="003C09E1" w:rsidRDefault="00150818" w:rsidP="00150818">
      <w:pPr>
        <w:pStyle w:val="ListNormal"/>
        <w:tabs>
          <w:tab w:val="num" w:pos="879"/>
        </w:tabs>
      </w:pPr>
      <w:r>
        <w:t xml:space="preserve">specify the outputs, delivery dates and associated allowances for the Price Control </w:t>
      </w:r>
      <w:proofErr w:type="gramStart"/>
      <w:r>
        <w:t>Deliverable;</w:t>
      </w:r>
      <w:proofErr w:type="gramEnd"/>
    </w:p>
    <w:p w14:paraId="6F7A7AAA" w14:textId="77777777" w:rsidR="00150818" w:rsidRPr="003C09E1" w:rsidRDefault="00150818" w:rsidP="00150818">
      <w:pPr>
        <w:pStyle w:val="ListNormal"/>
        <w:tabs>
          <w:tab w:val="num" w:pos="879"/>
        </w:tabs>
      </w:pPr>
      <w:r>
        <w:t xml:space="preserve">require the licensee to submit a Cyber Resilience IT Plan at the start of the Price Control </w:t>
      </w:r>
      <w:proofErr w:type="gramStart"/>
      <w:r>
        <w:t>Period;</w:t>
      </w:r>
      <w:proofErr w:type="gramEnd"/>
      <w:r>
        <w:t xml:space="preserve"> </w:t>
      </w:r>
    </w:p>
    <w:p w14:paraId="48C0BD6C" w14:textId="77777777" w:rsidR="00150818" w:rsidRPr="003C09E1" w:rsidRDefault="00150818" w:rsidP="00150818">
      <w:pPr>
        <w:pStyle w:val="ListNormal"/>
        <w:tabs>
          <w:tab w:val="num" w:pos="879"/>
        </w:tabs>
      </w:pPr>
      <w:r>
        <w:t>establish a Re-opener for the licensee and Authority to trigger amendments to the Price Control Deliverable during the Price Control Period; and</w:t>
      </w:r>
    </w:p>
    <w:p w14:paraId="252FC735" w14:textId="77777777" w:rsidR="00150818" w:rsidRPr="003C09E1" w:rsidRDefault="00150818" w:rsidP="00150818">
      <w:pPr>
        <w:pStyle w:val="ListNormal"/>
        <w:tabs>
          <w:tab w:val="num" w:pos="879"/>
        </w:tabs>
      </w:pPr>
      <w:r>
        <w:t xml:space="preserve">provide for an assessment of the Price Control Deliverable. </w:t>
      </w:r>
    </w:p>
    <w:p w14:paraId="34F9F01B" w14:textId="77777777" w:rsidR="00150818" w:rsidRPr="003C09E1" w:rsidRDefault="00150818" w:rsidP="00150818">
      <w:pPr>
        <w:pStyle w:val="NumberedNormal"/>
      </w:pPr>
      <w:r>
        <w:t>This condition also:</w:t>
      </w:r>
    </w:p>
    <w:p w14:paraId="737D09F5" w14:textId="5287CF67" w:rsidR="00150818" w:rsidRPr="003C09E1" w:rsidRDefault="00150818" w:rsidP="00150818">
      <w:pPr>
        <w:pStyle w:val="ListNormal"/>
        <w:tabs>
          <w:tab w:val="num" w:pos="879"/>
        </w:tabs>
      </w:pPr>
      <w:r>
        <w:t>explains the process the Authority will follow when directing any changes under paragraphs 3.</w:t>
      </w:r>
      <w:r w:rsidR="00BF2A59">
        <w:t>3</w:t>
      </w:r>
      <w:r>
        <w:t>.8, 3.</w:t>
      </w:r>
      <w:r w:rsidR="00BF2A59">
        <w:t>3</w:t>
      </w:r>
      <w:r>
        <w:t>.9, 3.</w:t>
      </w:r>
      <w:r w:rsidR="00BF2A59">
        <w:t>3</w:t>
      </w:r>
      <w:r>
        <w:t>.13 and 3.</w:t>
      </w:r>
      <w:r w:rsidR="00BF2A59">
        <w:t>3</w:t>
      </w:r>
      <w:r>
        <w:t>.1</w:t>
      </w:r>
      <w:r w:rsidR="00097D4E">
        <w:t>5</w:t>
      </w:r>
      <w:r>
        <w:t>; and</w:t>
      </w:r>
    </w:p>
    <w:p w14:paraId="1EF3E727" w14:textId="77777777" w:rsidR="00150818" w:rsidRPr="003C09E1" w:rsidRDefault="00150818" w:rsidP="00150818">
      <w:pPr>
        <w:pStyle w:val="ListNormal"/>
        <w:tabs>
          <w:tab w:val="num" w:pos="879"/>
        </w:tabs>
      </w:pPr>
      <w:r>
        <w:t>requires the licensee to report regularly to the Authority.</w:t>
      </w:r>
    </w:p>
    <w:p w14:paraId="0DF7936B" w14:textId="2F8D27CC" w:rsidR="00150818" w:rsidRPr="003C09E1" w:rsidRDefault="00150818" w:rsidP="00150818">
      <w:pPr>
        <w:pStyle w:val="Heading3"/>
      </w:pPr>
      <w:r>
        <w:t>Formula for calculating the Cyber Resilience IT Price Control Deliverable term (</w:t>
      </w:r>
      <w:proofErr w:type="spellStart"/>
      <w:r>
        <w:t>CRI</w:t>
      </w:r>
      <w:r w:rsidR="00097D4E">
        <w:t>T</w:t>
      </w:r>
      <w:r w:rsidRPr="00F12890">
        <w:rPr>
          <w:vertAlign w:val="subscript"/>
        </w:rPr>
        <w:t>t</w:t>
      </w:r>
      <w:proofErr w:type="spellEnd"/>
      <w:r>
        <w:t>)</w:t>
      </w:r>
    </w:p>
    <w:p w14:paraId="6DDF37F3" w14:textId="77777777" w:rsidR="00150818" w:rsidRPr="003C09E1" w:rsidRDefault="00150818" w:rsidP="00150818">
      <w:pPr>
        <w:pStyle w:val="NumberedNormal"/>
      </w:pPr>
      <w:r>
        <w:t xml:space="preserve">The value of </w:t>
      </w:r>
      <w:proofErr w:type="spellStart"/>
      <w:r>
        <w:t>CRIT</w:t>
      </w:r>
      <w:r w:rsidRPr="00F12890">
        <w:rPr>
          <w:vertAlign w:val="subscript"/>
        </w:rPr>
        <w:t>t</w:t>
      </w:r>
      <w:proofErr w:type="spellEnd"/>
      <w:r>
        <w:t xml:space="preserve"> is derived in accordance with the following formula:</w:t>
      </w:r>
    </w:p>
    <w:p w14:paraId="27725B71" w14:textId="6CB38D3F" w:rsidR="00150818" w:rsidRPr="00307FF5" w:rsidRDefault="00307FF5" w:rsidP="00150818">
      <w:pPr>
        <w:rPr>
          <w:i/>
          <w:iCs/>
        </w:rPr>
      </w:pPr>
      <w:r>
        <w:rPr>
          <w:i/>
          <w:iCs/>
        </w:rPr>
        <w:tab/>
      </w:r>
      <w:proofErr w:type="spellStart"/>
      <w:r w:rsidR="00150818" w:rsidRPr="00307FF5">
        <w:rPr>
          <w:i/>
          <w:iCs/>
        </w:rPr>
        <w:t>CRIT</w:t>
      </w:r>
      <w:r w:rsidR="00150818" w:rsidRPr="00F12890">
        <w:rPr>
          <w:i/>
          <w:vertAlign w:val="subscript"/>
        </w:rPr>
        <w:t>t</w:t>
      </w:r>
      <w:proofErr w:type="spellEnd"/>
      <w:r w:rsidR="00150818" w:rsidRPr="00307FF5">
        <w:rPr>
          <w:i/>
          <w:iCs/>
        </w:rPr>
        <w:t xml:space="preserve"> = </w:t>
      </w:r>
      <w:proofErr w:type="spellStart"/>
      <w:r w:rsidR="00150818" w:rsidRPr="00307FF5">
        <w:rPr>
          <w:i/>
          <w:iCs/>
        </w:rPr>
        <w:t>CRIA</w:t>
      </w:r>
      <w:r w:rsidR="00150818" w:rsidRPr="00F12890">
        <w:rPr>
          <w:i/>
          <w:vertAlign w:val="subscript"/>
        </w:rPr>
        <w:t>t</w:t>
      </w:r>
      <w:proofErr w:type="spellEnd"/>
      <w:r w:rsidR="00150818" w:rsidRPr="00307FF5">
        <w:rPr>
          <w:i/>
          <w:iCs/>
        </w:rPr>
        <w:t xml:space="preserve"> -</w:t>
      </w:r>
      <w:proofErr w:type="spellStart"/>
      <w:r w:rsidR="00150818" w:rsidRPr="00307FF5">
        <w:rPr>
          <w:i/>
          <w:iCs/>
        </w:rPr>
        <w:t>CRIR</w:t>
      </w:r>
      <w:r w:rsidR="00150818" w:rsidRPr="00F12890">
        <w:rPr>
          <w:i/>
          <w:vertAlign w:val="subscript"/>
        </w:rPr>
        <w:t>t</w:t>
      </w:r>
      <w:proofErr w:type="spellEnd"/>
      <w:r w:rsidR="00150818" w:rsidRPr="00307FF5">
        <w:rPr>
          <w:i/>
          <w:iCs/>
        </w:rPr>
        <w:t xml:space="preserve"> </w:t>
      </w:r>
    </w:p>
    <w:p w14:paraId="692AC2C2" w14:textId="3F3E8FA4" w:rsidR="00150818" w:rsidRPr="003C09E1" w:rsidRDefault="00307FF5" w:rsidP="00150818">
      <w:r>
        <w:tab/>
      </w:r>
      <w:r w:rsidR="00150818" w:rsidRPr="003C09E1">
        <w:t>where:</w:t>
      </w:r>
    </w:p>
    <w:tbl>
      <w:tblPr>
        <w:tblStyle w:val="TableGridLight"/>
        <w:tblW w:w="0" w:type="auto"/>
        <w:tblLook w:val="04A0" w:firstRow="1" w:lastRow="0" w:firstColumn="1" w:lastColumn="0" w:noHBand="0" w:noVBand="1"/>
      </w:tblPr>
      <w:tblGrid>
        <w:gridCol w:w="764"/>
        <w:gridCol w:w="7582"/>
      </w:tblGrid>
      <w:tr w:rsidR="00150818" w:rsidRPr="007442AB" w14:paraId="5B8939DF" w14:textId="77777777" w:rsidTr="00307FF5">
        <w:trPr>
          <w:trHeight w:val="454"/>
        </w:trPr>
        <w:tc>
          <w:tcPr>
            <w:tcW w:w="0" w:type="auto"/>
          </w:tcPr>
          <w:p w14:paraId="287E7BF9" w14:textId="77777777" w:rsidR="00150818" w:rsidRPr="00150818" w:rsidRDefault="00150818" w:rsidP="00150818">
            <w:proofErr w:type="spellStart"/>
            <w:r w:rsidRPr="003C09E1">
              <w:t>CRIA</w:t>
            </w:r>
            <w:r w:rsidRPr="00F12890">
              <w:rPr>
                <w:vertAlign w:val="subscript"/>
              </w:rPr>
              <w:t>t</w:t>
            </w:r>
            <w:proofErr w:type="spellEnd"/>
          </w:p>
        </w:tc>
        <w:tc>
          <w:tcPr>
            <w:tcW w:w="0" w:type="auto"/>
          </w:tcPr>
          <w:p w14:paraId="1766BDBA" w14:textId="63F39842" w:rsidR="00150818" w:rsidRPr="00150818" w:rsidRDefault="00150818" w:rsidP="00150818">
            <w:r w:rsidRPr="003C09E1">
              <w:t>means the sum of allowances in Appendix 1</w:t>
            </w:r>
            <w:r w:rsidRPr="00150818">
              <w:t>; and</w:t>
            </w:r>
          </w:p>
        </w:tc>
      </w:tr>
      <w:tr w:rsidR="00150818" w:rsidRPr="007442AB" w14:paraId="0503B1F5" w14:textId="77777777" w:rsidTr="00307FF5">
        <w:trPr>
          <w:trHeight w:val="454"/>
        </w:trPr>
        <w:tc>
          <w:tcPr>
            <w:tcW w:w="0" w:type="auto"/>
          </w:tcPr>
          <w:p w14:paraId="3A7E0DC8" w14:textId="5E1953D4" w:rsidR="00150818" w:rsidRPr="00150818" w:rsidRDefault="00150818" w:rsidP="00150818">
            <w:proofErr w:type="spellStart"/>
            <w:r w:rsidRPr="003C09E1">
              <w:t>CRIR</w:t>
            </w:r>
            <w:r w:rsidRPr="00F12890">
              <w:rPr>
                <w:vertAlign w:val="subscript"/>
              </w:rPr>
              <w:t>t</w:t>
            </w:r>
            <w:proofErr w:type="spellEnd"/>
          </w:p>
        </w:tc>
        <w:tc>
          <w:tcPr>
            <w:tcW w:w="0" w:type="auto"/>
          </w:tcPr>
          <w:p w14:paraId="10E38F78" w14:textId="77777777" w:rsidR="00150818" w:rsidRPr="00150818" w:rsidRDefault="00150818" w:rsidP="00150818">
            <w:r>
              <w:t>has the value zero unless otherwise directed by the Authority in accordance with Part F.</w:t>
            </w:r>
          </w:p>
        </w:tc>
      </w:tr>
    </w:tbl>
    <w:p w14:paraId="79CEC2CA" w14:textId="77777777" w:rsidR="00150818" w:rsidRPr="003C09E1" w:rsidRDefault="00150818" w:rsidP="00150818">
      <w:pPr>
        <w:pStyle w:val="Heading3"/>
      </w:pPr>
      <w:r>
        <w:t>What must the licensee deliver?</w:t>
      </w:r>
    </w:p>
    <w:p w14:paraId="1D45E228" w14:textId="77777777" w:rsidR="00097D4E" w:rsidRPr="009F7C47" w:rsidRDefault="00097D4E" w:rsidP="00097D4E">
      <w:pPr>
        <w:pStyle w:val="NumberedNormal"/>
      </w:pPr>
      <w:r w:rsidRPr="009F7C47">
        <w:t>The licensee</w:t>
      </w:r>
      <w:r>
        <w:t xml:space="preserve"> </w:t>
      </w:r>
      <w:r w:rsidRPr="009F7C47">
        <w:t xml:space="preserve">must deliver the outputs </w:t>
      </w:r>
      <w:r>
        <w:t xml:space="preserve">in accordance with, and </w:t>
      </w:r>
      <w:r w:rsidRPr="009F7C47">
        <w:t>by the delivery dates specified in</w:t>
      </w:r>
      <w:r>
        <w:t xml:space="preserve">, </w:t>
      </w:r>
      <w:r w:rsidRPr="009F7C47">
        <w:t>Appendix 1.</w:t>
      </w:r>
    </w:p>
    <w:p w14:paraId="6DE5E103" w14:textId="77777777" w:rsidR="00150818" w:rsidRPr="003C09E1" w:rsidRDefault="00150818" w:rsidP="00150818">
      <w:pPr>
        <w:pStyle w:val="Heading3"/>
      </w:pPr>
      <w:r>
        <w:t>Requirement to submit a Cyber Resilience IT Plan</w:t>
      </w:r>
    </w:p>
    <w:p w14:paraId="26F6177E" w14:textId="6739D608" w:rsidR="00150818" w:rsidRPr="003C09E1" w:rsidRDefault="00150818" w:rsidP="00150818">
      <w:pPr>
        <w:pStyle w:val="NumberedNormal"/>
      </w:pPr>
      <w:r>
        <w:t xml:space="preserve">The licensee must submit to the Authority a Cyber Resilience IT Plan Between </w:t>
      </w:r>
      <w:r w:rsidR="00544C19">
        <w:t>1 April 2021 and 7</w:t>
      </w:r>
      <w:r>
        <w:t xml:space="preserve"> April 2021.</w:t>
      </w:r>
    </w:p>
    <w:p w14:paraId="49F009B9" w14:textId="13250EB2" w:rsidR="00150818" w:rsidRPr="003C09E1" w:rsidRDefault="00150818" w:rsidP="00150818">
      <w:pPr>
        <w:pStyle w:val="NumberedNormal"/>
      </w:pPr>
      <w:r>
        <w:t>The Cyber Resilience IT Plan submitted under paragraph 3.</w:t>
      </w:r>
      <w:r w:rsidR="00BF2A59">
        <w:t>3</w:t>
      </w:r>
      <w:r>
        <w:t xml:space="preserve">.6 must: </w:t>
      </w:r>
    </w:p>
    <w:p w14:paraId="18B1ECF4" w14:textId="77777777" w:rsidR="00150818" w:rsidRPr="003C09E1" w:rsidRDefault="00150818" w:rsidP="00150818">
      <w:pPr>
        <w:pStyle w:val="ListNormal"/>
        <w:tabs>
          <w:tab w:val="num" w:pos="879"/>
        </w:tabs>
      </w:pPr>
      <w:r>
        <w:t xml:space="preserve">include statements: </w:t>
      </w:r>
    </w:p>
    <w:p w14:paraId="7CDC11F2" w14:textId="77777777" w:rsidR="00150818" w:rsidRPr="003C09E1" w:rsidRDefault="00150818" w:rsidP="00150818">
      <w:pPr>
        <w:pStyle w:val="ListNormal"/>
        <w:numPr>
          <w:ilvl w:val="4"/>
          <w:numId w:val="4"/>
        </w:numPr>
      </w:pPr>
      <w:r>
        <w:lastRenderedPageBreak/>
        <w:t xml:space="preserve">giving </w:t>
      </w:r>
      <w:r w:rsidRPr="003C09E1">
        <w:t xml:space="preserve">details of any proposed activities that the licensee considers would be capable of improving cyber resilience in relation to IT, including measured risk reduction on the licensee's network and information </w:t>
      </w:r>
      <w:proofErr w:type="gramStart"/>
      <w:r w:rsidRPr="003C09E1">
        <w:t>systems;</w:t>
      </w:r>
      <w:proofErr w:type="gramEnd"/>
    </w:p>
    <w:p w14:paraId="21A971CB" w14:textId="77777777" w:rsidR="00150818" w:rsidRPr="003C09E1" w:rsidRDefault="00150818" w:rsidP="00150818">
      <w:pPr>
        <w:pStyle w:val="ListNormal"/>
        <w:numPr>
          <w:ilvl w:val="4"/>
          <w:numId w:val="4"/>
        </w:numPr>
      </w:pPr>
      <w:r>
        <w:t xml:space="preserve">setting out </w:t>
      </w:r>
      <w:r w:rsidRPr="003C09E1">
        <w:t xml:space="preserve">any amendments requested to the outputs, delivery dates or allowances in Appendix </w:t>
      </w:r>
      <w:proofErr w:type="gramStart"/>
      <w:r w:rsidRPr="003C09E1">
        <w:t>1;</w:t>
      </w:r>
      <w:proofErr w:type="gramEnd"/>
    </w:p>
    <w:p w14:paraId="7C7F3C67" w14:textId="77777777" w:rsidR="00150818" w:rsidRPr="003C09E1" w:rsidRDefault="00150818" w:rsidP="00150818">
      <w:pPr>
        <w:pStyle w:val="ListNormal"/>
        <w:numPr>
          <w:ilvl w:val="4"/>
          <w:numId w:val="4"/>
        </w:numPr>
      </w:pPr>
      <w:r>
        <w:t xml:space="preserve">explaining </w:t>
      </w:r>
      <w:r w:rsidRPr="003C09E1">
        <w:t>how any amendments requested would improve cyber resilience in relation to IT, including measured risk reduction on the licensee's network and information systems;</w:t>
      </w:r>
      <w:r>
        <w:t xml:space="preserve"> and</w:t>
      </w:r>
    </w:p>
    <w:p w14:paraId="383D3C72" w14:textId="77777777" w:rsidR="00150818" w:rsidRPr="003C09E1" w:rsidRDefault="00150818" w:rsidP="00150818">
      <w:pPr>
        <w:pStyle w:val="ListNormal"/>
        <w:numPr>
          <w:ilvl w:val="4"/>
          <w:numId w:val="4"/>
        </w:numPr>
      </w:pPr>
      <w:r>
        <w:t xml:space="preserve">explaining </w:t>
      </w:r>
      <w:r w:rsidRPr="003C09E1">
        <w:t>the basis of the calculations for any amendments requested to allowances; and</w:t>
      </w:r>
    </w:p>
    <w:p w14:paraId="2044B32A" w14:textId="5FD224D9" w:rsidR="00150818" w:rsidRPr="003C09E1" w:rsidRDefault="00150818" w:rsidP="00150818">
      <w:pPr>
        <w:pStyle w:val="ListNormal"/>
        <w:tabs>
          <w:tab w:val="num" w:pos="879"/>
        </w:tabs>
      </w:pPr>
      <w:r>
        <w:t>provide detailed supporting evidence</w:t>
      </w:r>
      <w:r w:rsidR="008E7C31">
        <w:t>,</w:t>
      </w:r>
      <w:r>
        <w:t xml:space="preserve"> including the items specified in the Re-opener Guidance and Application Requirements Document.</w:t>
      </w:r>
    </w:p>
    <w:p w14:paraId="069A0C42" w14:textId="5A4BD1C5" w:rsidR="00150818" w:rsidRPr="003C09E1" w:rsidRDefault="00150818" w:rsidP="00150818">
      <w:pPr>
        <w:pStyle w:val="NumberedNormal"/>
      </w:pPr>
      <w:r>
        <w:t xml:space="preserve">The Authority will make any amendments to Appendix 1 </w:t>
      </w:r>
      <w:proofErr w:type="gramStart"/>
      <w:r>
        <w:t>as a result of</w:t>
      </w:r>
      <w:proofErr w:type="gramEnd"/>
      <w:r>
        <w:t xml:space="preserve"> the submission of a Cyber Resilience IT Plan under paragraph 3.</w:t>
      </w:r>
      <w:r w:rsidR="00BF2A59">
        <w:t>3</w:t>
      </w:r>
      <w:r>
        <w:t>.</w:t>
      </w:r>
      <w:r w:rsidR="00097D4E">
        <w:t>6</w:t>
      </w:r>
      <w:r>
        <w:t xml:space="preserve"> by direction.</w:t>
      </w:r>
    </w:p>
    <w:p w14:paraId="5ED4E3B7" w14:textId="77777777" w:rsidR="00150818" w:rsidRPr="003C09E1" w:rsidRDefault="00150818" w:rsidP="00150818">
      <w:pPr>
        <w:pStyle w:val="Heading3"/>
      </w:pPr>
      <w:r>
        <w:t>Cyber Resilience IT Re-opener</w:t>
      </w:r>
    </w:p>
    <w:p w14:paraId="2830D5F9" w14:textId="77777777" w:rsidR="00150818" w:rsidRPr="003C09E1" w:rsidRDefault="00150818" w:rsidP="00150818">
      <w:pPr>
        <w:pStyle w:val="NumberedNormal"/>
      </w:pPr>
      <w:r>
        <w:t>The licensee may apply to the Authority for a direction amending the outputs, delivery dates or associated allowances in Appendix 1 where it considers there are:</w:t>
      </w:r>
    </w:p>
    <w:p w14:paraId="748D79E9" w14:textId="77777777" w:rsidR="00150818" w:rsidRPr="003C09E1" w:rsidRDefault="00150818" w:rsidP="00150818">
      <w:pPr>
        <w:pStyle w:val="ListNormal"/>
        <w:tabs>
          <w:tab w:val="num" w:pos="879"/>
        </w:tabs>
      </w:pPr>
      <w:r>
        <w:t xml:space="preserve">new activities capable of improving cyber resilience in relation to IT, including measured risk reduction in respect to the licensee's network and information </w:t>
      </w:r>
      <w:proofErr w:type="gramStart"/>
      <w:r>
        <w:t>systems;</w:t>
      </w:r>
      <w:proofErr w:type="gramEnd"/>
      <w:r>
        <w:t xml:space="preserve"> </w:t>
      </w:r>
    </w:p>
    <w:p w14:paraId="728AD248" w14:textId="77777777" w:rsidR="00150818" w:rsidRPr="003C09E1" w:rsidRDefault="00150818" w:rsidP="00150818">
      <w:pPr>
        <w:pStyle w:val="ListNormal"/>
        <w:tabs>
          <w:tab w:val="num" w:pos="879"/>
        </w:tabs>
      </w:pPr>
      <w:r>
        <w:t>changes to levels of risks or threats relating to cyber resilience in relation to IT, that takes the licensee outside of its organisational risk appetite; or</w:t>
      </w:r>
    </w:p>
    <w:p w14:paraId="52B21110" w14:textId="77777777" w:rsidR="00150818" w:rsidRPr="003C09E1" w:rsidRDefault="00150818" w:rsidP="00150818">
      <w:pPr>
        <w:pStyle w:val="ListNormal"/>
        <w:tabs>
          <w:tab w:val="num" w:pos="879"/>
        </w:tabs>
      </w:pPr>
      <w:r>
        <w:t>changes to statutory or regulatory requirements relating to cyber resilience in relation to IT.</w:t>
      </w:r>
    </w:p>
    <w:p w14:paraId="144564DD" w14:textId="494EA563" w:rsidR="00150818" w:rsidRPr="003C09E1" w:rsidRDefault="00150818" w:rsidP="00150818">
      <w:pPr>
        <w:pStyle w:val="NumberedNormal"/>
      </w:pPr>
      <w:r>
        <w:t>The licensee may only apply to the Authority under paragraph 3.</w:t>
      </w:r>
      <w:r w:rsidR="008E7C31">
        <w:t>3</w:t>
      </w:r>
      <w:r>
        <w:t xml:space="preserve">.9 Between 25 January 2023 and 31 January 2023, or during such later periods </w:t>
      </w:r>
      <w:r w:rsidR="008E7C31">
        <w:t>as the Authority may direct</w:t>
      </w:r>
      <w:r>
        <w:t xml:space="preserve">. </w:t>
      </w:r>
    </w:p>
    <w:p w14:paraId="453B21CA" w14:textId="26952EAC" w:rsidR="00150818" w:rsidRPr="003C09E1" w:rsidRDefault="00150818" w:rsidP="00150818">
      <w:pPr>
        <w:pStyle w:val="NumberedNormal"/>
      </w:pPr>
      <w:r>
        <w:t>An application under paragraph 3.</w:t>
      </w:r>
      <w:r w:rsidR="008059D2">
        <w:t>3</w:t>
      </w:r>
      <w:r>
        <w:t>.9 must be made in writing and must:</w:t>
      </w:r>
    </w:p>
    <w:p w14:paraId="088C225F" w14:textId="6D6A2AEA" w:rsidR="00150818" w:rsidRPr="003C09E1" w:rsidRDefault="00150818" w:rsidP="00150818">
      <w:pPr>
        <w:pStyle w:val="ListNormal"/>
        <w:tabs>
          <w:tab w:val="num" w:pos="879"/>
        </w:tabs>
      </w:pPr>
      <w:r>
        <w:t xml:space="preserve">give </w:t>
      </w:r>
      <w:r w:rsidRPr="003C09E1">
        <w:t xml:space="preserve">details of the circumstances referred to in paragraph </w:t>
      </w:r>
      <w:r w:rsidR="008E7C31">
        <w:t>3.3</w:t>
      </w:r>
      <w:r w:rsidRPr="003C09E1">
        <w:t>.</w:t>
      </w:r>
      <w:r w:rsidR="008E7C31">
        <w:t>9</w:t>
      </w:r>
      <w:r w:rsidRPr="003C09E1">
        <w:t xml:space="preserve">(a), (b) or (c) that the licensee considers </w:t>
      </w:r>
      <w:proofErr w:type="gramStart"/>
      <w:r w:rsidRPr="003C09E1">
        <w:t>exist;</w:t>
      </w:r>
      <w:proofErr w:type="gramEnd"/>
    </w:p>
    <w:p w14:paraId="030F3DC7" w14:textId="77777777" w:rsidR="00150818" w:rsidRPr="003C09E1" w:rsidRDefault="00150818" w:rsidP="00150818">
      <w:pPr>
        <w:pStyle w:val="ListNormal"/>
        <w:tabs>
          <w:tab w:val="num" w:pos="879"/>
        </w:tabs>
      </w:pPr>
      <w:r>
        <w:t xml:space="preserve">set out </w:t>
      </w:r>
      <w:r w:rsidRPr="003C09E1">
        <w:t xml:space="preserve">any amendments requested to the outputs, delivery dates or allowances set out in Appendix </w:t>
      </w:r>
      <w:proofErr w:type="gramStart"/>
      <w:r w:rsidRPr="003C09E1">
        <w:t>1;</w:t>
      </w:r>
      <w:proofErr w:type="gramEnd"/>
    </w:p>
    <w:p w14:paraId="7AC1B5A9" w14:textId="77777777" w:rsidR="00150818" w:rsidRPr="003C09E1" w:rsidRDefault="00150818" w:rsidP="00150818">
      <w:pPr>
        <w:pStyle w:val="ListNormal"/>
        <w:tabs>
          <w:tab w:val="num" w:pos="879"/>
        </w:tabs>
      </w:pPr>
      <w:r>
        <w:t xml:space="preserve">explain </w:t>
      </w:r>
      <w:r w:rsidRPr="001A5BB7">
        <w:t>how</w:t>
      </w:r>
      <w:r w:rsidRPr="003C09E1">
        <w:t xml:space="preserve"> any amendments requested would improve cyber resilience in relation to IT, including measured risk reduction on the licensee's network and information </w:t>
      </w:r>
      <w:proofErr w:type="gramStart"/>
      <w:r w:rsidRPr="003C09E1">
        <w:t>systems;</w:t>
      </w:r>
      <w:proofErr w:type="gramEnd"/>
      <w:r w:rsidRPr="003C09E1">
        <w:t xml:space="preserve"> </w:t>
      </w:r>
    </w:p>
    <w:p w14:paraId="74630157" w14:textId="77777777" w:rsidR="00150818" w:rsidRPr="003C09E1" w:rsidRDefault="00150818" w:rsidP="00150818">
      <w:pPr>
        <w:pStyle w:val="ListNormal"/>
        <w:tabs>
          <w:tab w:val="num" w:pos="879"/>
        </w:tabs>
      </w:pPr>
      <w:r>
        <w:t xml:space="preserve">explain </w:t>
      </w:r>
      <w:r w:rsidRPr="001A5BB7">
        <w:t>the</w:t>
      </w:r>
      <w:r w:rsidRPr="003C09E1">
        <w:t xml:space="preserve"> basis of the calculations for any amendments requested to allowances; and</w:t>
      </w:r>
    </w:p>
    <w:p w14:paraId="15375B92" w14:textId="6F512AAC" w:rsidR="00150818" w:rsidRPr="003C09E1" w:rsidRDefault="00150818" w:rsidP="00150818">
      <w:pPr>
        <w:pStyle w:val="ListNormal"/>
        <w:tabs>
          <w:tab w:val="num" w:pos="879"/>
        </w:tabs>
      </w:pPr>
      <w:r>
        <w:lastRenderedPageBreak/>
        <w:t xml:space="preserve"> include detailed supporting evidence</w:t>
      </w:r>
      <w:r w:rsidR="008E7C31">
        <w:t>,</w:t>
      </w:r>
      <w:r>
        <w:t xml:space="preserve"> as set out in the Re-opener Guidance and Application Requirements Document. </w:t>
      </w:r>
    </w:p>
    <w:p w14:paraId="07C0B859" w14:textId="739F63D5" w:rsidR="00150818" w:rsidRPr="003C09E1" w:rsidRDefault="00150818" w:rsidP="00150818">
      <w:pPr>
        <w:pStyle w:val="NumberedNormal"/>
      </w:pPr>
      <w:r>
        <w:t>An application under paragraph 3.</w:t>
      </w:r>
      <w:r w:rsidR="008059D2">
        <w:t>3</w:t>
      </w:r>
      <w:r>
        <w:t xml:space="preserve">.9 must: </w:t>
      </w:r>
    </w:p>
    <w:p w14:paraId="076CECAD" w14:textId="2991A7E7" w:rsidR="00150818" w:rsidRPr="003C09E1" w:rsidRDefault="00150818" w:rsidP="00150818">
      <w:pPr>
        <w:pStyle w:val="ListNormal"/>
        <w:tabs>
          <w:tab w:val="num" w:pos="879"/>
        </w:tabs>
      </w:pPr>
      <w:r>
        <w:t>relate to circumstances of the type referred to in paragraph 3.</w:t>
      </w:r>
      <w:r w:rsidR="008059D2">
        <w:t>3</w:t>
      </w:r>
      <w:r>
        <w:t xml:space="preserve">.9(a), (b) or (c) that have developed since the licensee submitted its Cyber Resilience IT Plan under paragraph </w:t>
      </w:r>
      <w:proofErr w:type="gramStart"/>
      <w:r>
        <w:t>3.</w:t>
      </w:r>
      <w:r w:rsidR="008059D2">
        <w:t>3</w:t>
      </w:r>
      <w:r>
        <w:t>.7;</w:t>
      </w:r>
      <w:proofErr w:type="gramEnd"/>
    </w:p>
    <w:p w14:paraId="78C0611E" w14:textId="77777777" w:rsidR="00150818" w:rsidRPr="003C09E1" w:rsidRDefault="00150818" w:rsidP="00150818">
      <w:pPr>
        <w:pStyle w:val="ListNormal"/>
        <w:tabs>
          <w:tab w:val="num" w:pos="879"/>
        </w:tabs>
      </w:pPr>
      <w:r>
        <w:t xml:space="preserve">take account of any allowed expenditure, which can be avoided </w:t>
      </w:r>
      <w:proofErr w:type="gramStart"/>
      <w:r>
        <w:t>as a result of</w:t>
      </w:r>
      <w:proofErr w:type="gramEnd"/>
      <w:r>
        <w:t xml:space="preserve"> the change; and</w:t>
      </w:r>
    </w:p>
    <w:p w14:paraId="075AA58D" w14:textId="3F1F1AAC" w:rsidR="00150818" w:rsidRPr="003C09E1" w:rsidRDefault="00150818" w:rsidP="00150818">
      <w:pPr>
        <w:pStyle w:val="ListNormal"/>
        <w:tabs>
          <w:tab w:val="num" w:pos="879"/>
        </w:tabs>
      </w:pPr>
      <w:r>
        <w:t xml:space="preserve">be confined to costs incurred or expected to be incurred </w:t>
      </w:r>
      <w:r w:rsidR="002F1578">
        <w:t xml:space="preserve">on or </w:t>
      </w:r>
      <w:r>
        <w:t xml:space="preserve">after 1 April 2021.  </w:t>
      </w:r>
    </w:p>
    <w:p w14:paraId="3B8DCA32" w14:textId="77777777" w:rsidR="00150818" w:rsidRPr="003C09E1" w:rsidRDefault="00150818" w:rsidP="00150818">
      <w:pPr>
        <w:pStyle w:val="Heading3"/>
      </w:pPr>
      <w:r>
        <w:t>Authority triggered re-opener</w:t>
      </w:r>
    </w:p>
    <w:p w14:paraId="172C55A4" w14:textId="77777777" w:rsidR="00965175" w:rsidRPr="00965175" w:rsidRDefault="00965175" w:rsidP="00965175">
      <w:pPr>
        <w:pStyle w:val="NumberedNormal"/>
      </w:pPr>
      <w:r>
        <w:t xml:space="preserve">The Authority will also consider directing amendments </w:t>
      </w:r>
      <w:r w:rsidRPr="00965175">
        <w:t xml:space="preserve">to the outputs, delivery dates or allowances set out in Appendix 1 without an application being made under paragraph 3.6.9, where it considers that: </w:t>
      </w:r>
    </w:p>
    <w:p w14:paraId="1ADE3E89" w14:textId="77777777" w:rsidR="00965175" w:rsidRPr="00965175" w:rsidRDefault="00965175" w:rsidP="00965175">
      <w:pPr>
        <w:pStyle w:val="ListNormal"/>
      </w:pPr>
      <w:r>
        <w:t xml:space="preserve">circumstances of the type referred to in paragraph 3.6.9 (a), (b) or (c) exist; </w:t>
      </w:r>
      <w:r w:rsidRPr="00965175">
        <w:t>or</w:t>
      </w:r>
    </w:p>
    <w:p w14:paraId="5B11CBF5" w14:textId="5AB8EA1A" w:rsidR="00965175" w:rsidRPr="00965175" w:rsidRDefault="00097D4E" w:rsidP="00965175">
      <w:pPr>
        <w:pStyle w:val="ListNormal"/>
      </w:pPr>
      <w:r w:rsidRPr="00970CFA">
        <w:t>circumstances exist that create an unreasonable degree of risk in relation to cyber resilience</w:t>
      </w:r>
      <w:r w:rsidR="00965175" w:rsidRPr="00965175">
        <w:t>.</w:t>
      </w:r>
    </w:p>
    <w:p w14:paraId="54CA6D10" w14:textId="5FA30B7F" w:rsidR="00965175" w:rsidRPr="003C09E1" w:rsidRDefault="00965175" w:rsidP="00965175">
      <w:pPr>
        <w:pStyle w:val="NumberedNormal"/>
      </w:pPr>
      <w:r>
        <w:t xml:space="preserve">In relation to costs, any amendments directed by the Authority will be confined to costs incurred or expected to be incurred </w:t>
      </w:r>
      <w:r w:rsidR="002F1578">
        <w:t xml:space="preserve">on or </w:t>
      </w:r>
      <w:r>
        <w:t>after 1 April 2021.</w:t>
      </w:r>
    </w:p>
    <w:p w14:paraId="676D1E1B" w14:textId="77777777" w:rsidR="00150818" w:rsidRPr="003C09E1" w:rsidRDefault="00150818" w:rsidP="00150818">
      <w:pPr>
        <w:pStyle w:val="Heading3"/>
      </w:pPr>
      <w:r>
        <w:t>Assessment of outputs (</w:t>
      </w:r>
      <w:proofErr w:type="spellStart"/>
      <w:r>
        <w:t>CRIR</w:t>
      </w:r>
      <w:r w:rsidRPr="00097D4E">
        <w:rPr>
          <w:vertAlign w:val="subscript"/>
        </w:rPr>
        <w:t>t</w:t>
      </w:r>
      <w:proofErr w:type="spellEnd"/>
      <w:r>
        <w:t>)</w:t>
      </w:r>
    </w:p>
    <w:p w14:paraId="6028CFFE" w14:textId="267D4522" w:rsidR="00150818" w:rsidRPr="003C09E1" w:rsidRDefault="00150818" w:rsidP="00150818">
      <w:pPr>
        <w:pStyle w:val="NumberedNormal"/>
      </w:pPr>
      <w:r>
        <w:t>The Authority will</w:t>
      </w:r>
      <w:r w:rsidR="00CE32B7">
        <w:t>,</w:t>
      </w:r>
      <w:r w:rsidR="00CE32B7" w:rsidRPr="00CE32B7">
        <w:t xml:space="preserve"> </w:t>
      </w:r>
      <w:r w:rsidR="00CE32B7">
        <w:t>in accordance with the PCD Reporting Requirements and Methodology Document,</w:t>
      </w:r>
      <w:r>
        <w:t xml:space="preserve"> </w:t>
      </w:r>
      <w:r w:rsidR="00CE32B7">
        <w:t xml:space="preserve">consider </w:t>
      </w:r>
      <w:r>
        <w:t xml:space="preserve">directing a value for </w:t>
      </w:r>
      <w:proofErr w:type="spellStart"/>
      <w:r>
        <w:t>CRIR</w:t>
      </w:r>
      <w:r w:rsidRPr="00EC3C39">
        <w:rPr>
          <w:vertAlign w:val="subscript"/>
        </w:rPr>
        <w:t>t</w:t>
      </w:r>
      <w:proofErr w:type="spellEnd"/>
      <w:r>
        <w:t xml:space="preserve"> where the licensee has not Fully Delivered an output in Appendix 1</w:t>
      </w:r>
      <w:r w:rsidR="00CE32B7">
        <w:t>.</w:t>
      </w:r>
    </w:p>
    <w:p w14:paraId="18C0297A" w14:textId="77777777" w:rsidR="00150818" w:rsidRPr="003C09E1" w:rsidRDefault="00150818" w:rsidP="00150818">
      <w:pPr>
        <w:pStyle w:val="Heading3"/>
      </w:pPr>
      <w:r>
        <w:t>Reporting Requirements</w:t>
      </w:r>
    </w:p>
    <w:p w14:paraId="1F03FDDF" w14:textId="77777777" w:rsidR="00150818" w:rsidRPr="003C09E1" w:rsidRDefault="00150818" w:rsidP="00150818">
      <w:pPr>
        <w:pStyle w:val="NumberedNormal"/>
      </w:pPr>
      <w:r>
        <w:t>Unless the Authority otherwise directs, the licensee must submit reports to the Authority on the days, and in relation to the periods, set out in Appendix 2.</w:t>
      </w:r>
    </w:p>
    <w:p w14:paraId="772F119A" w14:textId="6DCBB5A3" w:rsidR="00150818" w:rsidRPr="003C09E1" w:rsidRDefault="00150818" w:rsidP="00150818">
      <w:pPr>
        <w:pStyle w:val="NumberedNormal"/>
      </w:pPr>
      <w:r>
        <w:t>A report submitted under paragraph 3.</w:t>
      </w:r>
      <w:r w:rsidR="008059D2">
        <w:t>3</w:t>
      </w:r>
      <w:r>
        <w:t>.</w:t>
      </w:r>
      <w:r w:rsidR="008E7C31">
        <w:t xml:space="preserve">16 </w:t>
      </w:r>
      <w:r>
        <w:t>must be in the form approved by the Authority and include:</w:t>
      </w:r>
    </w:p>
    <w:p w14:paraId="63C3269F" w14:textId="77777777" w:rsidR="00150818" w:rsidRPr="003C09E1" w:rsidRDefault="00150818" w:rsidP="00150818">
      <w:pPr>
        <w:pStyle w:val="ListNormal"/>
        <w:tabs>
          <w:tab w:val="num" w:pos="879"/>
        </w:tabs>
      </w:pPr>
      <w:r>
        <w:t xml:space="preserve">a summary of progress against Improvement Plan key </w:t>
      </w:r>
      <w:proofErr w:type="gramStart"/>
      <w:r>
        <w:t>milestones;</w:t>
      </w:r>
      <w:proofErr w:type="gramEnd"/>
      <w:r>
        <w:t xml:space="preserve"> </w:t>
      </w:r>
    </w:p>
    <w:p w14:paraId="50AD8E55" w14:textId="0D106C44" w:rsidR="00150818" w:rsidRPr="003C09E1" w:rsidRDefault="00150818" w:rsidP="00150818">
      <w:pPr>
        <w:pStyle w:val="ListNormal"/>
        <w:tabs>
          <w:tab w:val="num" w:pos="879"/>
        </w:tabs>
      </w:pPr>
      <w:r>
        <w:t xml:space="preserve">a summary of developments against the licensee's </w:t>
      </w:r>
      <w:r w:rsidR="00097D4E">
        <w:t>P</w:t>
      </w:r>
      <w:r w:rsidR="00E368E0">
        <w:t xml:space="preserve">rice </w:t>
      </w:r>
      <w:r w:rsidR="00097D4E">
        <w:t>C</w:t>
      </w:r>
      <w:r w:rsidR="00E368E0">
        <w:t xml:space="preserve">ontrol </w:t>
      </w:r>
      <w:r w:rsidR="00097D4E">
        <w:t>D</w:t>
      </w:r>
      <w:r w:rsidR="00E368E0">
        <w:t>eliverable</w:t>
      </w:r>
      <w:r w:rsidR="00097D4E">
        <w:t xml:space="preserve"> </w:t>
      </w:r>
      <w:r w:rsidR="00E368E0">
        <w:t>p</w:t>
      </w:r>
      <w:r w:rsidR="00097D4E">
        <w:t xml:space="preserve">roject </w:t>
      </w:r>
      <w:proofErr w:type="gramStart"/>
      <w:r w:rsidR="00E368E0">
        <w:t>p</w:t>
      </w:r>
      <w:r w:rsidR="00097D4E">
        <w:t>lans</w:t>
      </w:r>
      <w:r>
        <w:t>;</w:t>
      </w:r>
      <w:proofErr w:type="gramEnd"/>
      <w:r>
        <w:t xml:space="preserve"> </w:t>
      </w:r>
    </w:p>
    <w:p w14:paraId="2D3A344A" w14:textId="2D71C830" w:rsidR="00150818" w:rsidRPr="003C09E1" w:rsidRDefault="00150818" w:rsidP="00150818">
      <w:pPr>
        <w:pStyle w:val="ListNormal"/>
        <w:tabs>
          <w:tab w:val="num" w:pos="879"/>
        </w:tabs>
      </w:pPr>
      <w:r>
        <w:t>the licensee's assessment of the impact of the progress and developments referred to in sub-paragraphs (</w:t>
      </w:r>
      <w:r w:rsidR="008059D2">
        <w:t>a</w:t>
      </w:r>
      <w:r>
        <w:t>) and (</w:t>
      </w:r>
      <w:r w:rsidR="008059D2">
        <w:t>b</w:t>
      </w:r>
      <w:r>
        <w:t xml:space="preserve">) on improving cyber resilience in relation to IT, including risk </w:t>
      </w:r>
      <w:proofErr w:type="gramStart"/>
      <w:r>
        <w:t>reduction;</w:t>
      </w:r>
      <w:proofErr w:type="gramEnd"/>
    </w:p>
    <w:p w14:paraId="2CF4B375" w14:textId="77777777" w:rsidR="00150818" w:rsidRPr="003C09E1" w:rsidRDefault="00150818" w:rsidP="00150818">
      <w:pPr>
        <w:pStyle w:val="ListNormal"/>
        <w:tabs>
          <w:tab w:val="num" w:pos="879"/>
        </w:tabs>
      </w:pPr>
      <w:r>
        <w:t>a description of how the licensee has considered any guidance provided by the Authority; and</w:t>
      </w:r>
    </w:p>
    <w:p w14:paraId="4295484D" w14:textId="77777777" w:rsidR="00150818" w:rsidRPr="003C09E1" w:rsidRDefault="00150818" w:rsidP="00150818">
      <w:pPr>
        <w:pStyle w:val="ListNormal"/>
        <w:tabs>
          <w:tab w:val="num" w:pos="879"/>
        </w:tabs>
      </w:pPr>
      <w:r>
        <w:lastRenderedPageBreak/>
        <w:t xml:space="preserve">detailed supporting evidence. </w:t>
      </w:r>
    </w:p>
    <w:p w14:paraId="74037FAC" w14:textId="77777777" w:rsidR="00150818" w:rsidRPr="003C09E1" w:rsidRDefault="00150818" w:rsidP="00150818">
      <w:pPr>
        <w:pStyle w:val="Heading3"/>
      </w:pPr>
      <w:r>
        <w:t>What process will the Authority follow in making a direction?</w:t>
      </w:r>
    </w:p>
    <w:p w14:paraId="4545D12F" w14:textId="1008CFE4" w:rsidR="00150818" w:rsidRPr="003C09E1" w:rsidRDefault="00150818" w:rsidP="00150818">
      <w:pPr>
        <w:pStyle w:val="NumberedNormal"/>
      </w:pPr>
      <w:r>
        <w:t>Before making a direction under paragraph 3.</w:t>
      </w:r>
      <w:r w:rsidR="008059D2">
        <w:t>3</w:t>
      </w:r>
      <w:r>
        <w:t>.8, 3.</w:t>
      </w:r>
      <w:r w:rsidR="008059D2">
        <w:t>3</w:t>
      </w:r>
      <w:r>
        <w:t>.9, 3.</w:t>
      </w:r>
      <w:r w:rsidR="008059D2">
        <w:t>3</w:t>
      </w:r>
      <w:r>
        <w:t>.13 or 3.</w:t>
      </w:r>
      <w:r w:rsidR="008059D2">
        <w:t>3</w:t>
      </w:r>
      <w:r>
        <w:t>.1</w:t>
      </w:r>
      <w:r w:rsidR="007A52ED">
        <w:t>5</w:t>
      </w:r>
      <w:r>
        <w:t xml:space="preserve"> the Authority will publish on the Authority's Website:</w:t>
      </w:r>
    </w:p>
    <w:p w14:paraId="2276E0E7" w14:textId="77777777" w:rsidR="00150818" w:rsidRPr="003C09E1" w:rsidRDefault="00150818" w:rsidP="00150818">
      <w:pPr>
        <w:pStyle w:val="ListNormal"/>
        <w:tabs>
          <w:tab w:val="num" w:pos="879"/>
        </w:tabs>
      </w:pPr>
      <w:r>
        <w:t xml:space="preserve">the text of the proposed </w:t>
      </w:r>
      <w:proofErr w:type="gramStart"/>
      <w:r>
        <w:t>direction;</w:t>
      </w:r>
      <w:proofErr w:type="gramEnd"/>
    </w:p>
    <w:p w14:paraId="459EB5D1" w14:textId="77777777" w:rsidR="00150818" w:rsidRPr="003C09E1" w:rsidRDefault="00150818" w:rsidP="00150818">
      <w:pPr>
        <w:pStyle w:val="ListNormal"/>
        <w:tabs>
          <w:tab w:val="num" w:pos="879"/>
        </w:tabs>
      </w:pPr>
      <w:r>
        <w:t>the reasons for the proposed direction; and</w:t>
      </w:r>
    </w:p>
    <w:p w14:paraId="74B1D9BB" w14:textId="7450E2FF" w:rsidR="00150818" w:rsidRPr="003C09E1" w:rsidRDefault="00150818" w:rsidP="00150818">
      <w:pPr>
        <w:pStyle w:val="ListNormal"/>
        <w:tabs>
          <w:tab w:val="num" w:pos="879"/>
        </w:tabs>
      </w:pPr>
      <w:r>
        <w:t xml:space="preserve">a period during which representations may be made on the proposed direction, which </w:t>
      </w:r>
      <w:r w:rsidR="008059D2">
        <w:t xml:space="preserve">will </w:t>
      </w:r>
      <w:r>
        <w:t>not be less than 28 days.</w:t>
      </w:r>
    </w:p>
    <w:p w14:paraId="65FACDB9" w14:textId="34A15309" w:rsidR="00150818" w:rsidRDefault="00150818" w:rsidP="00150818">
      <w:pPr>
        <w:pStyle w:val="NumberedNormal"/>
      </w:pPr>
      <w:r>
        <w:t>A</w:t>
      </w:r>
      <w:r w:rsidRPr="00E319A7">
        <w:t xml:space="preserve"> direction </w:t>
      </w:r>
      <w:r>
        <w:t>under paragraph 3.</w:t>
      </w:r>
      <w:r w:rsidR="008059D2">
        <w:t>3</w:t>
      </w:r>
      <w:r>
        <w:t>.8, 3.</w:t>
      </w:r>
      <w:r w:rsidR="008059D2">
        <w:t>3</w:t>
      </w:r>
      <w:r>
        <w:t>.9 or 3.</w:t>
      </w:r>
      <w:r w:rsidR="008059D2">
        <w:t>3</w:t>
      </w:r>
      <w:r>
        <w:t xml:space="preserve">.13 </w:t>
      </w:r>
      <w:r w:rsidRPr="00E319A7">
        <w:t>will set out any amendments to Appendix 1.</w:t>
      </w:r>
    </w:p>
    <w:p w14:paraId="61B31689" w14:textId="482A6DE9" w:rsidR="00150818" w:rsidRPr="00E319A7" w:rsidRDefault="00150818" w:rsidP="00150818">
      <w:pPr>
        <w:pStyle w:val="NumberedNormal"/>
      </w:pPr>
      <w:r>
        <w:t>A direction under paragraph 3.</w:t>
      </w:r>
      <w:r w:rsidR="001E5CAB">
        <w:t>3</w:t>
      </w:r>
      <w:r>
        <w:t>.1</w:t>
      </w:r>
      <w:r w:rsidR="007A52ED">
        <w:t>5</w:t>
      </w:r>
      <w:r>
        <w:t xml:space="preserve"> will set out the value of the </w:t>
      </w:r>
      <w:proofErr w:type="spellStart"/>
      <w:r>
        <w:t>CR</w:t>
      </w:r>
      <w:r w:rsidR="007A52ED">
        <w:t>I</w:t>
      </w:r>
      <w:r>
        <w:t>R</w:t>
      </w:r>
      <w:r w:rsidRPr="00150818">
        <w:t>t</w:t>
      </w:r>
      <w:proofErr w:type="spellEnd"/>
      <w:r w:rsidRPr="00150818">
        <w:t xml:space="preserve"> </w:t>
      </w:r>
      <w:r>
        <w:t>term and the Regulatory Years to which those values relate.</w:t>
      </w:r>
    </w:p>
    <w:p w14:paraId="2E7467ED" w14:textId="1327F3A9" w:rsidR="00150818" w:rsidRPr="00C0744E" w:rsidRDefault="00150818" w:rsidP="009C1F2F">
      <w:pPr>
        <w:pStyle w:val="AppendixHeading"/>
      </w:pPr>
      <w:bookmarkStart w:id="48" w:name="_Toc51798260"/>
      <w:bookmarkEnd w:id="48"/>
    </w:p>
    <w:p w14:paraId="6BB5B438" w14:textId="49F08146" w:rsidR="00150818" w:rsidRPr="002E146D" w:rsidRDefault="00150818" w:rsidP="009C1F2F">
      <w:pPr>
        <w:pStyle w:val="Caption"/>
      </w:pPr>
      <w:r w:rsidRPr="00150818">
        <w:t>Cyber Resilience IT Price Control Deliverables</w:t>
      </w:r>
      <w:r w:rsidR="009C1F2F">
        <w:t xml:space="preserve"> Allowance </w:t>
      </w:r>
      <w:r w:rsidRPr="002E146D">
        <w:t>(£m)</w:t>
      </w:r>
    </w:p>
    <w:tbl>
      <w:tblPr>
        <w:tblStyle w:val="AppendixTable"/>
        <w:tblW w:w="9668" w:type="dxa"/>
        <w:tblLayout w:type="fixed"/>
        <w:tblLook w:val="04A0" w:firstRow="1" w:lastRow="0" w:firstColumn="1" w:lastColumn="0" w:noHBand="0" w:noVBand="1"/>
      </w:tblPr>
      <w:tblGrid>
        <w:gridCol w:w="2697"/>
        <w:gridCol w:w="1507"/>
        <w:gridCol w:w="1256"/>
        <w:gridCol w:w="971"/>
        <w:gridCol w:w="971"/>
        <w:gridCol w:w="971"/>
        <w:gridCol w:w="1295"/>
      </w:tblGrid>
      <w:tr w:rsidR="00150818" w:rsidRPr="00E33579" w14:paraId="18DE7C0B" w14:textId="77777777" w:rsidTr="009C1F2F">
        <w:trPr>
          <w:cnfStyle w:val="100000000000" w:firstRow="1" w:lastRow="0" w:firstColumn="0" w:lastColumn="0" w:oddVBand="0" w:evenVBand="0" w:oddHBand="0" w:evenHBand="0" w:firstRowFirstColumn="0" w:firstRowLastColumn="0" w:lastRowFirstColumn="0" w:lastRowLastColumn="0"/>
          <w:trHeight w:val="474"/>
        </w:trPr>
        <w:tc>
          <w:tcPr>
            <w:tcW w:w="2697" w:type="dxa"/>
          </w:tcPr>
          <w:p w14:paraId="6C1573DE" w14:textId="53900130" w:rsidR="00150818" w:rsidRPr="002E146D" w:rsidRDefault="009C1F2F" w:rsidP="00150818">
            <w:r w:rsidRPr="002E146D">
              <w:t>Output</w:t>
            </w:r>
            <w:r>
              <w:t>s</w:t>
            </w:r>
          </w:p>
        </w:tc>
        <w:tc>
          <w:tcPr>
            <w:tcW w:w="1507" w:type="dxa"/>
          </w:tcPr>
          <w:p w14:paraId="0E0B0077" w14:textId="6CFD1543" w:rsidR="00150818" w:rsidRPr="002E146D" w:rsidRDefault="009C1F2F" w:rsidP="00150818">
            <w:r w:rsidRPr="002E146D">
              <w:t>Delivery Date</w:t>
            </w:r>
          </w:p>
        </w:tc>
        <w:tc>
          <w:tcPr>
            <w:tcW w:w="1256" w:type="dxa"/>
          </w:tcPr>
          <w:p w14:paraId="571D8F99" w14:textId="77777777" w:rsidR="00150818" w:rsidRPr="00150818" w:rsidRDefault="00150818" w:rsidP="00150818">
            <w:r w:rsidRPr="002E146D">
              <w:t>21/22</w:t>
            </w:r>
          </w:p>
        </w:tc>
        <w:tc>
          <w:tcPr>
            <w:tcW w:w="971" w:type="dxa"/>
          </w:tcPr>
          <w:p w14:paraId="241ACD88" w14:textId="77777777" w:rsidR="00150818" w:rsidRPr="00150818" w:rsidRDefault="00150818" w:rsidP="00150818">
            <w:r w:rsidRPr="002E146D">
              <w:t>22/23</w:t>
            </w:r>
          </w:p>
        </w:tc>
        <w:tc>
          <w:tcPr>
            <w:tcW w:w="971" w:type="dxa"/>
          </w:tcPr>
          <w:p w14:paraId="334B91EE" w14:textId="77777777" w:rsidR="00150818" w:rsidRPr="00150818" w:rsidRDefault="00150818" w:rsidP="00150818">
            <w:r w:rsidRPr="002E146D">
              <w:t>23/24</w:t>
            </w:r>
          </w:p>
        </w:tc>
        <w:tc>
          <w:tcPr>
            <w:tcW w:w="971" w:type="dxa"/>
          </w:tcPr>
          <w:p w14:paraId="752A21C9" w14:textId="77777777" w:rsidR="00150818" w:rsidRPr="00150818" w:rsidRDefault="00150818" w:rsidP="00150818">
            <w:r w:rsidRPr="002E146D">
              <w:t>24/25</w:t>
            </w:r>
          </w:p>
        </w:tc>
        <w:tc>
          <w:tcPr>
            <w:tcW w:w="1295" w:type="dxa"/>
          </w:tcPr>
          <w:p w14:paraId="6C5F236A" w14:textId="77777777" w:rsidR="00150818" w:rsidRPr="00150818" w:rsidRDefault="00150818" w:rsidP="00150818">
            <w:r w:rsidRPr="002E146D">
              <w:t>25/26</w:t>
            </w:r>
          </w:p>
        </w:tc>
      </w:tr>
      <w:tr w:rsidR="00150818" w14:paraId="795D34DD" w14:textId="77777777" w:rsidTr="009C1F2F">
        <w:trPr>
          <w:trHeight w:val="474"/>
        </w:trPr>
        <w:tc>
          <w:tcPr>
            <w:tcW w:w="2697" w:type="dxa"/>
          </w:tcPr>
          <w:p w14:paraId="2A496014" w14:textId="77777777" w:rsidR="00150818" w:rsidRPr="00150818" w:rsidRDefault="00150818" w:rsidP="00150818">
            <w:r w:rsidRPr="002E146D">
              <w:t>Output X</w:t>
            </w:r>
          </w:p>
        </w:tc>
        <w:tc>
          <w:tcPr>
            <w:tcW w:w="1507" w:type="dxa"/>
          </w:tcPr>
          <w:p w14:paraId="5BF7ADF0" w14:textId="77777777" w:rsidR="00150818" w:rsidRPr="002E146D" w:rsidRDefault="00150818" w:rsidP="00150818"/>
        </w:tc>
        <w:tc>
          <w:tcPr>
            <w:tcW w:w="1256" w:type="dxa"/>
          </w:tcPr>
          <w:p w14:paraId="47D8C5C0" w14:textId="77777777" w:rsidR="00150818" w:rsidRPr="002E146D" w:rsidRDefault="00150818" w:rsidP="00150818"/>
        </w:tc>
        <w:tc>
          <w:tcPr>
            <w:tcW w:w="971" w:type="dxa"/>
          </w:tcPr>
          <w:p w14:paraId="6227305D" w14:textId="77777777" w:rsidR="00150818" w:rsidRPr="002E146D" w:rsidRDefault="00150818" w:rsidP="00150818"/>
        </w:tc>
        <w:tc>
          <w:tcPr>
            <w:tcW w:w="971" w:type="dxa"/>
          </w:tcPr>
          <w:p w14:paraId="147742EB" w14:textId="77777777" w:rsidR="00150818" w:rsidRPr="002E146D" w:rsidRDefault="00150818" w:rsidP="00150818"/>
        </w:tc>
        <w:tc>
          <w:tcPr>
            <w:tcW w:w="971" w:type="dxa"/>
          </w:tcPr>
          <w:p w14:paraId="3E4EF0C3" w14:textId="77777777" w:rsidR="00150818" w:rsidRPr="002E146D" w:rsidRDefault="00150818" w:rsidP="00150818"/>
        </w:tc>
        <w:tc>
          <w:tcPr>
            <w:tcW w:w="1295" w:type="dxa"/>
          </w:tcPr>
          <w:p w14:paraId="757735F0" w14:textId="77777777" w:rsidR="00150818" w:rsidRPr="002E146D" w:rsidRDefault="00150818" w:rsidP="00150818"/>
        </w:tc>
      </w:tr>
      <w:tr w:rsidR="00150818" w14:paraId="220A2AF9" w14:textId="77777777" w:rsidTr="009C1F2F">
        <w:trPr>
          <w:trHeight w:val="474"/>
        </w:trPr>
        <w:tc>
          <w:tcPr>
            <w:tcW w:w="2697" w:type="dxa"/>
          </w:tcPr>
          <w:p w14:paraId="07C20C15" w14:textId="77777777" w:rsidR="00150818" w:rsidRPr="00150818" w:rsidRDefault="00150818" w:rsidP="00150818">
            <w:r w:rsidRPr="002E146D">
              <w:t>Output Y</w:t>
            </w:r>
          </w:p>
        </w:tc>
        <w:tc>
          <w:tcPr>
            <w:tcW w:w="1507" w:type="dxa"/>
          </w:tcPr>
          <w:p w14:paraId="3A56369B" w14:textId="77777777" w:rsidR="00150818" w:rsidRPr="002E146D" w:rsidRDefault="00150818" w:rsidP="00150818"/>
        </w:tc>
        <w:tc>
          <w:tcPr>
            <w:tcW w:w="1256" w:type="dxa"/>
          </w:tcPr>
          <w:p w14:paraId="18799BE6" w14:textId="77777777" w:rsidR="00150818" w:rsidRPr="002E146D" w:rsidRDefault="00150818" w:rsidP="00150818"/>
        </w:tc>
        <w:tc>
          <w:tcPr>
            <w:tcW w:w="971" w:type="dxa"/>
          </w:tcPr>
          <w:p w14:paraId="0C5E73E4" w14:textId="77777777" w:rsidR="00150818" w:rsidRPr="002E146D" w:rsidRDefault="00150818" w:rsidP="00150818"/>
        </w:tc>
        <w:tc>
          <w:tcPr>
            <w:tcW w:w="971" w:type="dxa"/>
          </w:tcPr>
          <w:p w14:paraId="1E90A12F" w14:textId="77777777" w:rsidR="00150818" w:rsidRPr="002E146D" w:rsidRDefault="00150818" w:rsidP="00150818"/>
        </w:tc>
        <w:tc>
          <w:tcPr>
            <w:tcW w:w="971" w:type="dxa"/>
          </w:tcPr>
          <w:p w14:paraId="2D845A1F" w14:textId="77777777" w:rsidR="00150818" w:rsidRPr="002E146D" w:rsidRDefault="00150818" w:rsidP="00150818"/>
        </w:tc>
        <w:tc>
          <w:tcPr>
            <w:tcW w:w="1295" w:type="dxa"/>
          </w:tcPr>
          <w:p w14:paraId="49822D21" w14:textId="77777777" w:rsidR="00150818" w:rsidRPr="002E146D" w:rsidRDefault="00150818" w:rsidP="00150818"/>
        </w:tc>
      </w:tr>
      <w:tr w:rsidR="00150818" w14:paraId="7BFB8372" w14:textId="77777777" w:rsidTr="009C1F2F">
        <w:trPr>
          <w:trHeight w:val="474"/>
        </w:trPr>
        <w:tc>
          <w:tcPr>
            <w:tcW w:w="2697" w:type="dxa"/>
          </w:tcPr>
          <w:p w14:paraId="7B1F6014" w14:textId="77777777" w:rsidR="00150818" w:rsidRPr="00150818" w:rsidRDefault="00150818" w:rsidP="00150818">
            <w:r w:rsidRPr="002E146D">
              <w:t>Output Z</w:t>
            </w:r>
          </w:p>
        </w:tc>
        <w:tc>
          <w:tcPr>
            <w:tcW w:w="1507" w:type="dxa"/>
          </w:tcPr>
          <w:p w14:paraId="7DB5E65C" w14:textId="77777777" w:rsidR="00150818" w:rsidRPr="002E146D" w:rsidRDefault="00150818" w:rsidP="00150818"/>
        </w:tc>
        <w:tc>
          <w:tcPr>
            <w:tcW w:w="1256" w:type="dxa"/>
          </w:tcPr>
          <w:p w14:paraId="46534471" w14:textId="77777777" w:rsidR="00150818" w:rsidRPr="002E146D" w:rsidRDefault="00150818" w:rsidP="00150818"/>
        </w:tc>
        <w:tc>
          <w:tcPr>
            <w:tcW w:w="971" w:type="dxa"/>
          </w:tcPr>
          <w:p w14:paraId="037587FC" w14:textId="77777777" w:rsidR="00150818" w:rsidRPr="002E146D" w:rsidRDefault="00150818" w:rsidP="00150818"/>
        </w:tc>
        <w:tc>
          <w:tcPr>
            <w:tcW w:w="971" w:type="dxa"/>
          </w:tcPr>
          <w:p w14:paraId="4EEE755C" w14:textId="77777777" w:rsidR="00150818" w:rsidRPr="002E146D" w:rsidRDefault="00150818" w:rsidP="00150818"/>
        </w:tc>
        <w:tc>
          <w:tcPr>
            <w:tcW w:w="971" w:type="dxa"/>
          </w:tcPr>
          <w:p w14:paraId="2D1927B6" w14:textId="77777777" w:rsidR="00150818" w:rsidRPr="002E146D" w:rsidRDefault="00150818" w:rsidP="00150818"/>
        </w:tc>
        <w:tc>
          <w:tcPr>
            <w:tcW w:w="1295" w:type="dxa"/>
          </w:tcPr>
          <w:p w14:paraId="39152A10" w14:textId="77777777" w:rsidR="00150818" w:rsidRPr="002E146D" w:rsidRDefault="00150818" w:rsidP="00150818"/>
        </w:tc>
      </w:tr>
      <w:tr w:rsidR="00150818" w:rsidRPr="00633173" w14:paraId="6FF084D0" w14:textId="77777777" w:rsidTr="009C1F2F">
        <w:trPr>
          <w:trHeight w:val="147"/>
        </w:trPr>
        <w:tc>
          <w:tcPr>
            <w:tcW w:w="2697" w:type="dxa"/>
          </w:tcPr>
          <w:p w14:paraId="7AEEB23C" w14:textId="77777777" w:rsidR="00150818" w:rsidRPr="002E146D" w:rsidRDefault="00150818" w:rsidP="00150818"/>
        </w:tc>
        <w:tc>
          <w:tcPr>
            <w:tcW w:w="1507" w:type="dxa"/>
          </w:tcPr>
          <w:p w14:paraId="32389186" w14:textId="77777777" w:rsidR="00150818" w:rsidRPr="002E146D" w:rsidRDefault="00150818" w:rsidP="00150818"/>
        </w:tc>
        <w:tc>
          <w:tcPr>
            <w:tcW w:w="1256" w:type="dxa"/>
          </w:tcPr>
          <w:p w14:paraId="3F33808B" w14:textId="77777777" w:rsidR="00150818" w:rsidRPr="002E146D" w:rsidRDefault="00150818" w:rsidP="00150818"/>
        </w:tc>
        <w:tc>
          <w:tcPr>
            <w:tcW w:w="971" w:type="dxa"/>
          </w:tcPr>
          <w:p w14:paraId="35D73D8C" w14:textId="77777777" w:rsidR="00150818" w:rsidRPr="002E146D" w:rsidRDefault="00150818" w:rsidP="00150818"/>
        </w:tc>
        <w:tc>
          <w:tcPr>
            <w:tcW w:w="971" w:type="dxa"/>
          </w:tcPr>
          <w:p w14:paraId="1D60F0AA" w14:textId="77777777" w:rsidR="00150818" w:rsidRPr="002E146D" w:rsidRDefault="00150818" w:rsidP="00150818"/>
        </w:tc>
        <w:tc>
          <w:tcPr>
            <w:tcW w:w="971" w:type="dxa"/>
          </w:tcPr>
          <w:p w14:paraId="2AFD6434" w14:textId="77777777" w:rsidR="00150818" w:rsidRPr="002E146D" w:rsidRDefault="00150818" w:rsidP="00150818"/>
        </w:tc>
        <w:tc>
          <w:tcPr>
            <w:tcW w:w="1295" w:type="dxa"/>
          </w:tcPr>
          <w:p w14:paraId="55F9EC71" w14:textId="77777777" w:rsidR="00150818" w:rsidRPr="002E146D" w:rsidRDefault="00150818" w:rsidP="00150818"/>
        </w:tc>
      </w:tr>
      <w:tr w:rsidR="00150818" w14:paraId="4571B7E9" w14:textId="77777777" w:rsidTr="009C1F2F">
        <w:trPr>
          <w:trHeight w:val="474"/>
        </w:trPr>
        <w:tc>
          <w:tcPr>
            <w:tcW w:w="2697" w:type="dxa"/>
          </w:tcPr>
          <w:p w14:paraId="792410A0" w14:textId="77777777" w:rsidR="00150818" w:rsidRPr="002E146D" w:rsidRDefault="00150818" w:rsidP="00150818"/>
        </w:tc>
        <w:tc>
          <w:tcPr>
            <w:tcW w:w="1507" w:type="dxa"/>
          </w:tcPr>
          <w:p w14:paraId="779ECE12" w14:textId="77777777" w:rsidR="00150818" w:rsidRPr="002E146D" w:rsidRDefault="00150818" w:rsidP="00150818"/>
        </w:tc>
        <w:tc>
          <w:tcPr>
            <w:tcW w:w="1256" w:type="dxa"/>
          </w:tcPr>
          <w:p w14:paraId="225483CC" w14:textId="77777777" w:rsidR="00150818" w:rsidRPr="002E146D" w:rsidRDefault="00150818" w:rsidP="00150818"/>
        </w:tc>
        <w:tc>
          <w:tcPr>
            <w:tcW w:w="971" w:type="dxa"/>
          </w:tcPr>
          <w:p w14:paraId="1F50FB4F" w14:textId="77777777" w:rsidR="00150818" w:rsidRPr="002E146D" w:rsidRDefault="00150818" w:rsidP="00150818"/>
        </w:tc>
        <w:tc>
          <w:tcPr>
            <w:tcW w:w="971" w:type="dxa"/>
          </w:tcPr>
          <w:p w14:paraId="00C5C325" w14:textId="77777777" w:rsidR="00150818" w:rsidRPr="002E146D" w:rsidRDefault="00150818" w:rsidP="00150818"/>
        </w:tc>
        <w:tc>
          <w:tcPr>
            <w:tcW w:w="971" w:type="dxa"/>
          </w:tcPr>
          <w:p w14:paraId="3DDC13D2" w14:textId="77777777" w:rsidR="00150818" w:rsidRPr="002E146D" w:rsidRDefault="00150818" w:rsidP="00150818"/>
        </w:tc>
        <w:tc>
          <w:tcPr>
            <w:tcW w:w="1295" w:type="dxa"/>
          </w:tcPr>
          <w:p w14:paraId="3EF12DAA" w14:textId="77777777" w:rsidR="00150818" w:rsidRPr="002E146D" w:rsidRDefault="00150818" w:rsidP="00150818"/>
        </w:tc>
      </w:tr>
      <w:tr w:rsidR="00150818" w14:paraId="6B25F41E" w14:textId="77777777" w:rsidTr="009C1F2F">
        <w:trPr>
          <w:trHeight w:val="474"/>
        </w:trPr>
        <w:tc>
          <w:tcPr>
            <w:tcW w:w="2697" w:type="dxa"/>
          </w:tcPr>
          <w:p w14:paraId="36A947BA" w14:textId="77777777" w:rsidR="00150818" w:rsidRPr="002E146D" w:rsidRDefault="00150818" w:rsidP="00150818"/>
        </w:tc>
        <w:tc>
          <w:tcPr>
            <w:tcW w:w="1507" w:type="dxa"/>
          </w:tcPr>
          <w:p w14:paraId="17317B7F" w14:textId="77777777" w:rsidR="00150818" w:rsidRPr="002E146D" w:rsidRDefault="00150818" w:rsidP="00150818"/>
        </w:tc>
        <w:tc>
          <w:tcPr>
            <w:tcW w:w="1256" w:type="dxa"/>
          </w:tcPr>
          <w:p w14:paraId="605B7134" w14:textId="77777777" w:rsidR="00150818" w:rsidRPr="002E146D" w:rsidRDefault="00150818" w:rsidP="00150818"/>
        </w:tc>
        <w:tc>
          <w:tcPr>
            <w:tcW w:w="971" w:type="dxa"/>
          </w:tcPr>
          <w:p w14:paraId="2F12CF54" w14:textId="77777777" w:rsidR="00150818" w:rsidRPr="002E146D" w:rsidRDefault="00150818" w:rsidP="00150818"/>
        </w:tc>
        <w:tc>
          <w:tcPr>
            <w:tcW w:w="971" w:type="dxa"/>
          </w:tcPr>
          <w:p w14:paraId="7FA89185" w14:textId="77777777" w:rsidR="00150818" w:rsidRPr="002E146D" w:rsidRDefault="00150818" w:rsidP="00150818"/>
        </w:tc>
        <w:tc>
          <w:tcPr>
            <w:tcW w:w="971" w:type="dxa"/>
          </w:tcPr>
          <w:p w14:paraId="00E38A84" w14:textId="77777777" w:rsidR="00150818" w:rsidRPr="002E146D" w:rsidRDefault="00150818" w:rsidP="00150818"/>
        </w:tc>
        <w:tc>
          <w:tcPr>
            <w:tcW w:w="1295" w:type="dxa"/>
          </w:tcPr>
          <w:p w14:paraId="34458C59" w14:textId="77777777" w:rsidR="00150818" w:rsidRPr="002E146D" w:rsidRDefault="00150818" w:rsidP="00150818"/>
        </w:tc>
      </w:tr>
      <w:tr w:rsidR="00150818" w:rsidRPr="00633173" w14:paraId="6892B6EB" w14:textId="77777777" w:rsidTr="009C1F2F">
        <w:trPr>
          <w:trHeight w:val="231"/>
        </w:trPr>
        <w:tc>
          <w:tcPr>
            <w:tcW w:w="2697" w:type="dxa"/>
          </w:tcPr>
          <w:p w14:paraId="2A131AAC" w14:textId="77777777" w:rsidR="00150818" w:rsidRPr="002E146D" w:rsidRDefault="00150818" w:rsidP="00150818"/>
        </w:tc>
        <w:tc>
          <w:tcPr>
            <w:tcW w:w="1507" w:type="dxa"/>
          </w:tcPr>
          <w:p w14:paraId="39F30CC8" w14:textId="77777777" w:rsidR="00150818" w:rsidRPr="002E146D" w:rsidRDefault="00150818" w:rsidP="00150818"/>
        </w:tc>
        <w:tc>
          <w:tcPr>
            <w:tcW w:w="1256" w:type="dxa"/>
          </w:tcPr>
          <w:p w14:paraId="3C3E1565" w14:textId="77777777" w:rsidR="00150818" w:rsidRPr="002E146D" w:rsidRDefault="00150818" w:rsidP="00150818"/>
        </w:tc>
        <w:tc>
          <w:tcPr>
            <w:tcW w:w="971" w:type="dxa"/>
          </w:tcPr>
          <w:p w14:paraId="34C79B22" w14:textId="77777777" w:rsidR="00150818" w:rsidRPr="002E146D" w:rsidRDefault="00150818" w:rsidP="00150818"/>
        </w:tc>
        <w:tc>
          <w:tcPr>
            <w:tcW w:w="971" w:type="dxa"/>
          </w:tcPr>
          <w:p w14:paraId="68974037" w14:textId="77777777" w:rsidR="00150818" w:rsidRPr="002E146D" w:rsidRDefault="00150818" w:rsidP="00150818"/>
        </w:tc>
        <w:tc>
          <w:tcPr>
            <w:tcW w:w="971" w:type="dxa"/>
          </w:tcPr>
          <w:p w14:paraId="0D876828" w14:textId="77777777" w:rsidR="00150818" w:rsidRPr="002E146D" w:rsidRDefault="00150818" w:rsidP="00150818"/>
        </w:tc>
        <w:tc>
          <w:tcPr>
            <w:tcW w:w="1295" w:type="dxa"/>
          </w:tcPr>
          <w:p w14:paraId="1EB388C5" w14:textId="77777777" w:rsidR="00150818" w:rsidRPr="002E146D" w:rsidRDefault="00150818" w:rsidP="00150818"/>
        </w:tc>
      </w:tr>
    </w:tbl>
    <w:p w14:paraId="6C05A9AA" w14:textId="7CF05169" w:rsidR="00921F24" w:rsidRPr="00C0744E" w:rsidRDefault="00921F24" w:rsidP="009C1F2F">
      <w:pPr>
        <w:pStyle w:val="AppendixHeading"/>
      </w:pPr>
    </w:p>
    <w:p w14:paraId="304ABEBE" w14:textId="77777777" w:rsidR="00921F24" w:rsidRPr="00921F24" w:rsidRDefault="00921F24" w:rsidP="009C1F2F">
      <w:pPr>
        <w:pStyle w:val="Caption"/>
      </w:pPr>
      <w:r w:rsidRPr="00921F24">
        <w:t>Report submission dates and the associated periods to be reported on</w:t>
      </w:r>
    </w:p>
    <w:tbl>
      <w:tblPr>
        <w:tblStyle w:val="AppendixTable"/>
        <w:tblW w:w="0" w:type="auto"/>
        <w:tblLook w:val="0020" w:firstRow="1" w:lastRow="0" w:firstColumn="0" w:lastColumn="0" w:noHBand="0" w:noVBand="0"/>
      </w:tblPr>
      <w:tblGrid>
        <w:gridCol w:w="4508"/>
        <w:gridCol w:w="4508"/>
      </w:tblGrid>
      <w:tr w:rsidR="00921F24" w14:paraId="76AD791A" w14:textId="77777777" w:rsidTr="009C1F2F">
        <w:trPr>
          <w:cnfStyle w:val="100000000000" w:firstRow="1" w:lastRow="0" w:firstColumn="0" w:lastColumn="0" w:oddVBand="0" w:evenVBand="0" w:oddHBand="0" w:evenHBand="0" w:firstRowFirstColumn="0" w:firstRowLastColumn="0" w:lastRowFirstColumn="0" w:lastRowLastColumn="0"/>
        </w:trPr>
        <w:tc>
          <w:tcPr>
            <w:tcW w:w="4508" w:type="dxa"/>
          </w:tcPr>
          <w:p w14:paraId="3E844CB9" w14:textId="77777777" w:rsidR="00921F24" w:rsidRPr="00921F24" w:rsidRDefault="00921F24" w:rsidP="00921F24">
            <w:r w:rsidRPr="00921F24">
              <w:t>Dates on which reports must be submitted annually from 31 July 2021 to 30 April 2026</w:t>
            </w:r>
          </w:p>
        </w:tc>
        <w:tc>
          <w:tcPr>
            <w:tcW w:w="4508" w:type="dxa"/>
          </w:tcPr>
          <w:p w14:paraId="74803CE8" w14:textId="77777777" w:rsidR="00921F24" w:rsidRPr="00921F24" w:rsidRDefault="00921F24" w:rsidP="00921F24">
            <w:r w:rsidRPr="00921F24">
              <w:t>Associated periods to be reported</w:t>
            </w:r>
            <w:r w:rsidRPr="00921F24" w:rsidDel="002010AB">
              <w:t xml:space="preserve"> </w:t>
            </w:r>
            <w:r w:rsidRPr="00921F24">
              <w:t>on</w:t>
            </w:r>
          </w:p>
        </w:tc>
      </w:tr>
      <w:tr w:rsidR="00921F24" w14:paraId="0FED7899" w14:textId="77777777" w:rsidTr="009C1F2F">
        <w:tc>
          <w:tcPr>
            <w:tcW w:w="4508" w:type="dxa"/>
          </w:tcPr>
          <w:p w14:paraId="780BDF24" w14:textId="77777777" w:rsidR="00921F24" w:rsidRPr="00921F24" w:rsidRDefault="00921F24" w:rsidP="00921F24">
            <w:r w:rsidRPr="00E7797C">
              <w:t xml:space="preserve">31 </w:t>
            </w:r>
            <w:r w:rsidRPr="00921F24">
              <w:t>January</w:t>
            </w:r>
          </w:p>
        </w:tc>
        <w:tc>
          <w:tcPr>
            <w:tcW w:w="4508" w:type="dxa"/>
          </w:tcPr>
          <w:p w14:paraId="7A7C5C4A" w14:textId="77777777" w:rsidR="00921F24" w:rsidRPr="00921F24" w:rsidRDefault="00921F24" w:rsidP="00921F24">
            <w:r>
              <w:t>1 October to 31 December</w:t>
            </w:r>
            <w:r w:rsidRPr="00921F24">
              <w:t xml:space="preserve"> </w:t>
            </w:r>
          </w:p>
        </w:tc>
      </w:tr>
      <w:tr w:rsidR="00921F24" w14:paraId="67E68888" w14:textId="77777777" w:rsidTr="009C1F2F">
        <w:tc>
          <w:tcPr>
            <w:tcW w:w="4508" w:type="dxa"/>
          </w:tcPr>
          <w:p w14:paraId="243846D9" w14:textId="77777777" w:rsidR="00921F24" w:rsidRPr="00921F24" w:rsidRDefault="00921F24" w:rsidP="00921F24">
            <w:r>
              <w:t xml:space="preserve">30 April </w:t>
            </w:r>
          </w:p>
        </w:tc>
        <w:tc>
          <w:tcPr>
            <w:tcW w:w="4508" w:type="dxa"/>
          </w:tcPr>
          <w:p w14:paraId="1E02AE54" w14:textId="77777777" w:rsidR="00921F24" w:rsidRPr="00921F24" w:rsidRDefault="00921F24" w:rsidP="00921F24">
            <w:r w:rsidRPr="00E7797C">
              <w:t>1 January</w:t>
            </w:r>
            <w:r w:rsidRPr="00921F24">
              <w:t xml:space="preserve"> to 31 March</w:t>
            </w:r>
          </w:p>
        </w:tc>
      </w:tr>
      <w:tr w:rsidR="00921F24" w14:paraId="5001E2AD" w14:textId="77777777" w:rsidTr="009C1F2F">
        <w:tc>
          <w:tcPr>
            <w:tcW w:w="4508" w:type="dxa"/>
          </w:tcPr>
          <w:p w14:paraId="1210B635" w14:textId="77777777" w:rsidR="00921F24" w:rsidRPr="00921F24" w:rsidRDefault="00921F24" w:rsidP="00921F24">
            <w:r>
              <w:t xml:space="preserve">31 </w:t>
            </w:r>
            <w:r w:rsidRPr="00921F24">
              <w:t xml:space="preserve">July </w:t>
            </w:r>
          </w:p>
        </w:tc>
        <w:tc>
          <w:tcPr>
            <w:tcW w:w="4508" w:type="dxa"/>
          </w:tcPr>
          <w:p w14:paraId="262AB8D7" w14:textId="77777777" w:rsidR="00921F24" w:rsidRPr="00921F24" w:rsidRDefault="00921F24" w:rsidP="00921F24">
            <w:r w:rsidRPr="00E7797C">
              <w:t>1 April</w:t>
            </w:r>
            <w:r w:rsidRPr="00921F24">
              <w:t xml:space="preserve"> to 30 June</w:t>
            </w:r>
          </w:p>
        </w:tc>
      </w:tr>
      <w:tr w:rsidR="00921F24" w14:paraId="4F8779A8" w14:textId="77777777" w:rsidTr="009C1F2F">
        <w:tc>
          <w:tcPr>
            <w:tcW w:w="4508" w:type="dxa"/>
          </w:tcPr>
          <w:p w14:paraId="7361E721" w14:textId="77777777" w:rsidR="00921F24" w:rsidRPr="00921F24" w:rsidRDefault="00921F24" w:rsidP="00921F24">
            <w:r w:rsidRPr="00E7797C">
              <w:t>31 October</w:t>
            </w:r>
            <w:r w:rsidRPr="00921F24" w:rsidDel="00123DDD">
              <w:t xml:space="preserve"> </w:t>
            </w:r>
          </w:p>
        </w:tc>
        <w:tc>
          <w:tcPr>
            <w:tcW w:w="4508" w:type="dxa"/>
          </w:tcPr>
          <w:p w14:paraId="0DECC67E" w14:textId="77777777" w:rsidR="00921F24" w:rsidRPr="00921F24" w:rsidRDefault="00921F24" w:rsidP="00921F24">
            <w:r>
              <w:t xml:space="preserve">1 </w:t>
            </w:r>
            <w:r w:rsidRPr="00921F24">
              <w:t>July to 30 September</w:t>
            </w:r>
          </w:p>
        </w:tc>
      </w:tr>
    </w:tbl>
    <w:p w14:paraId="42C3D570" w14:textId="77777777" w:rsidR="00150818" w:rsidRPr="00D32B52" w:rsidRDefault="00150818" w:rsidP="00806ABC">
      <w:pPr>
        <w:pStyle w:val="NumberedNormal"/>
        <w:numPr>
          <w:ilvl w:val="0"/>
          <w:numId w:val="0"/>
        </w:numPr>
        <w:ind w:left="879"/>
      </w:pPr>
    </w:p>
    <w:p w14:paraId="33EB3B53" w14:textId="77777777" w:rsidR="00BE0B79" w:rsidRPr="00BE0B79" w:rsidRDefault="00BE0B79" w:rsidP="005469C3"/>
    <w:p w14:paraId="56E37A1F" w14:textId="77777777" w:rsidR="00150818" w:rsidRPr="00A963DE" w:rsidRDefault="00150818" w:rsidP="00150818">
      <w:pPr>
        <w:pStyle w:val="Heading2"/>
      </w:pPr>
      <w:bookmarkStart w:id="49" w:name="_Toc51680360"/>
      <w:bookmarkStart w:id="50" w:name="_Toc51798262"/>
      <w:bookmarkStart w:id="51" w:name="_Toc52364887"/>
      <w:bookmarkStart w:id="52" w:name="_Toc51319603"/>
      <w:r w:rsidRPr="00A963DE">
        <w:t xml:space="preserve">Physical Security </w:t>
      </w:r>
      <w:r>
        <w:t xml:space="preserve">Re-opener and </w:t>
      </w:r>
      <w:r w:rsidRPr="00A963DE">
        <w:t>Price Control Deliverable</w:t>
      </w:r>
      <w:r>
        <w:t xml:space="preserve"> (</w:t>
      </w:r>
      <w:proofErr w:type="spellStart"/>
      <w:r>
        <w:t>PSUP</w:t>
      </w:r>
      <w:r w:rsidRPr="0068584C">
        <w:rPr>
          <w:vertAlign w:val="subscript"/>
        </w:rPr>
        <w:t>t</w:t>
      </w:r>
      <w:proofErr w:type="spellEnd"/>
      <w:r>
        <w:t>)</w:t>
      </w:r>
      <w:bookmarkEnd w:id="49"/>
      <w:bookmarkEnd w:id="50"/>
      <w:bookmarkEnd w:id="51"/>
    </w:p>
    <w:p w14:paraId="6FD0CE1A" w14:textId="77777777" w:rsidR="00150818" w:rsidRDefault="00150818" w:rsidP="00150818">
      <w:pPr>
        <w:pStyle w:val="Heading3nonumbering"/>
      </w:pPr>
      <w:r>
        <w:t>Introduction</w:t>
      </w:r>
    </w:p>
    <w:p w14:paraId="387FA94A" w14:textId="77777777" w:rsidR="00150818" w:rsidRDefault="00150818" w:rsidP="00150818">
      <w:pPr>
        <w:pStyle w:val="NumberedNormal"/>
      </w:pPr>
      <w:r>
        <w:t xml:space="preserve">The purpose of this condition is to calculate the term </w:t>
      </w:r>
      <w:proofErr w:type="spellStart"/>
      <w:r>
        <w:t>PSUP</w:t>
      </w:r>
      <w:r w:rsidRPr="0068584C">
        <w:rPr>
          <w:vertAlign w:val="subscript"/>
        </w:rPr>
        <w:t>t</w:t>
      </w:r>
      <w:proofErr w:type="spellEnd"/>
      <w:r>
        <w:t xml:space="preserve"> (the Physical Security Price Control Deliverable term).  This contributes to the calculation of the Totex Allowance.</w:t>
      </w:r>
    </w:p>
    <w:p w14:paraId="148E60D0" w14:textId="77777777" w:rsidR="00150818" w:rsidRDefault="00150818" w:rsidP="00150818">
      <w:pPr>
        <w:pStyle w:val="NumberedNormal"/>
      </w:pPr>
      <w:r>
        <w:t>The effect of this condition is to:</w:t>
      </w:r>
    </w:p>
    <w:p w14:paraId="3524D8BD" w14:textId="77777777" w:rsidR="00150818" w:rsidRDefault="00150818" w:rsidP="00150818">
      <w:pPr>
        <w:pStyle w:val="ListNormal"/>
        <w:tabs>
          <w:tab w:val="num" w:pos="879"/>
        </w:tabs>
      </w:pPr>
      <w:r>
        <w:t xml:space="preserve">specify the outputs, delivery dates and associated allowances for the Price Control </w:t>
      </w:r>
      <w:proofErr w:type="gramStart"/>
      <w:r>
        <w:t>Deliverable;</w:t>
      </w:r>
      <w:proofErr w:type="gramEnd"/>
    </w:p>
    <w:p w14:paraId="619BA7F2" w14:textId="77777777" w:rsidR="00150818" w:rsidRDefault="00150818" w:rsidP="00150818">
      <w:pPr>
        <w:pStyle w:val="ListNormal"/>
        <w:tabs>
          <w:tab w:val="num" w:pos="879"/>
        </w:tabs>
      </w:pPr>
      <w:r>
        <w:t>establish a Re-opener for the licensee and Authority to trigger amendments to the Price Control Deliverable during the Price Control Period; and</w:t>
      </w:r>
    </w:p>
    <w:p w14:paraId="2B86CE39" w14:textId="77777777" w:rsidR="00150818" w:rsidRPr="00614C21" w:rsidRDefault="00150818" w:rsidP="00150818">
      <w:pPr>
        <w:pStyle w:val="ListNormal"/>
        <w:tabs>
          <w:tab w:val="num" w:pos="879"/>
        </w:tabs>
      </w:pPr>
      <w:r>
        <w:t>provide for an assessment of the Price Control Deliverable.</w:t>
      </w:r>
    </w:p>
    <w:p w14:paraId="6DA23C58" w14:textId="3C781BA5" w:rsidR="00150818" w:rsidRPr="00614C21" w:rsidRDefault="00150818" w:rsidP="00150818">
      <w:pPr>
        <w:pStyle w:val="NumberedNormal"/>
      </w:pPr>
      <w:r>
        <w:t>This condition also sets out the process the Authority will follow when directing any changes under paragraph 3.</w:t>
      </w:r>
      <w:r w:rsidR="008059D2">
        <w:t>4</w:t>
      </w:r>
      <w:r>
        <w:t>.6, 3.</w:t>
      </w:r>
      <w:r w:rsidR="008059D2">
        <w:t>4</w:t>
      </w:r>
      <w:r>
        <w:t>.10 or 3.11.</w:t>
      </w:r>
    </w:p>
    <w:p w14:paraId="03F1DB6E" w14:textId="77777777" w:rsidR="00150818" w:rsidRPr="00614C21" w:rsidRDefault="00150818" w:rsidP="00150818">
      <w:pPr>
        <w:pStyle w:val="Heading3"/>
      </w:pPr>
      <w:r>
        <w:t>Formula for calculating the Physical Security Price Control Deliverable term (</w:t>
      </w:r>
      <w:proofErr w:type="spellStart"/>
      <w:r>
        <w:t>PSUP</w:t>
      </w:r>
      <w:r w:rsidRPr="00150818">
        <w:t>t</w:t>
      </w:r>
      <w:proofErr w:type="spellEnd"/>
      <w:r>
        <w:t>)</w:t>
      </w:r>
    </w:p>
    <w:p w14:paraId="707BCE52" w14:textId="77777777" w:rsidR="00150818" w:rsidRDefault="00150818" w:rsidP="00150818">
      <w:pPr>
        <w:pStyle w:val="NumberedNormal"/>
      </w:pPr>
      <w:r>
        <w:t xml:space="preserve">The value of </w:t>
      </w:r>
      <w:proofErr w:type="spellStart"/>
      <w:r>
        <w:t>PSUP</w:t>
      </w:r>
      <w:r w:rsidRPr="0068584C">
        <w:rPr>
          <w:vertAlign w:val="subscript"/>
        </w:rPr>
        <w:t>t</w:t>
      </w:r>
      <w:proofErr w:type="spellEnd"/>
      <w:r>
        <w:t xml:space="preserve"> is derived in accordance with the following formula:</w:t>
      </w:r>
    </w:p>
    <w:p w14:paraId="58A704F1" w14:textId="77777777" w:rsidR="00150818" w:rsidRPr="00150818" w:rsidRDefault="00150818" w:rsidP="006C703C">
      <w:pPr>
        <w:pStyle w:val="NumberedNormal"/>
        <w:numPr>
          <w:ilvl w:val="0"/>
          <w:numId w:val="0"/>
        </w:numPr>
        <w:ind w:left="879"/>
      </w:pPr>
      <w:proofErr w:type="spellStart"/>
      <w:r w:rsidRPr="00614C21">
        <w:t>PSUP</w:t>
      </w:r>
      <w:r w:rsidRPr="0068584C">
        <w:rPr>
          <w:vertAlign w:val="subscript"/>
        </w:rPr>
        <w:t>t</w:t>
      </w:r>
      <w:proofErr w:type="spellEnd"/>
      <w:r w:rsidRPr="00150818">
        <w:t xml:space="preserve"> = </w:t>
      </w:r>
      <w:proofErr w:type="spellStart"/>
      <w:r w:rsidRPr="00150818">
        <w:t>PSUPA</w:t>
      </w:r>
      <w:r w:rsidRPr="0068584C">
        <w:rPr>
          <w:vertAlign w:val="subscript"/>
        </w:rPr>
        <w:t>t</w:t>
      </w:r>
      <w:proofErr w:type="spellEnd"/>
      <w:r w:rsidRPr="00150818">
        <w:t xml:space="preserve"> – </w:t>
      </w:r>
      <w:proofErr w:type="spellStart"/>
      <w:r w:rsidRPr="00150818">
        <w:t>PSUPR</w:t>
      </w:r>
      <w:r w:rsidRPr="0068584C">
        <w:rPr>
          <w:vertAlign w:val="subscript"/>
        </w:rPr>
        <w:t>t</w:t>
      </w:r>
      <w:proofErr w:type="spellEnd"/>
    </w:p>
    <w:p w14:paraId="1A7573C9" w14:textId="77777777" w:rsidR="00150818" w:rsidRPr="00150818" w:rsidRDefault="00150818" w:rsidP="00D16983">
      <w:pPr>
        <w:pStyle w:val="NumberedNormal"/>
        <w:numPr>
          <w:ilvl w:val="0"/>
          <w:numId w:val="0"/>
        </w:numPr>
        <w:ind w:left="879"/>
      </w:pPr>
      <w:r w:rsidRPr="00614C21">
        <w:t>where:</w:t>
      </w:r>
    </w:p>
    <w:p w14:paraId="26E79E84" w14:textId="77777777" w:rsidR="00150818" w:rsidRPr="00150818" w:rsidRDefault="00150818" w:rsidP="006C703C">
      <w:pPr>
        <w:pStyle w:val="NumberedNormal"/>
        <w:numPr>
          <w:ilvl w:val="0"/>
          <w:numId w:val="0"/>
        </w:numPr>
        <w:ind w:left="879"/>
      </w:pPr>
      <w:proofErr w:type="spellStart"/>
      <w:r w:rsidRPr="00614C21">
        <w:t>PSUPA</w:t>
      </w:r>
      <w:r w:rsidRPr="0068584C">
        <w:rPr>
          <w:vertAlign w:val="subscript"/>
        </w:rPr>
        <w:t>t</w:t>
      </w:r>
      <w:proofErr w:type="spellEnd"/>
      <w:r w:rsidRPr="00150818">
        <w:tab/>
        <w:t>means the sum of allowances in Appendix 1; and</w:t>
      </w:r>
    </w:p>
    <w:p w14:paraId="1EB90625" w14:textId="77777777" w:rsidR="00150818" w:rsidRPr="00150818" w:rsidRDefault="00150818" w:rsidP="006C703C">
      <w:pPr>
        <w:pStyle w:val="NumberedNormal"/>
        <w:numPr>
          <w:ilvl w:val="0"/>
          <w:numId w:val="0"/>
        </w:numPr>
        <w:ind w:left="879"/>
      </w:pPr>
      <w:proofErr w:type="spellStart"/>
      <w:r w:rsidRPr="00614C21">
        <w:t>PSUPR</w:t>
      </w:r>
      <w:r w:rsidRPr="0068584C">
        <w:rPr>
          <w:vertAlign w:val="subscript"/>
        </w:rPr>
        <w:t>t</w:t>
      </w:r>
      <w:proofErr w:type="spellEnd"/>
      <w:r w:rsidRPr="00150818">
        <w:tab/>
        <w:t>has the value of zero unless otherwise directed by the Authority in accordance with Part D.</w:t>
      </w:r>
    </w:p>
    <w:p w14:paraId="3B2D8B44" w14:textId="77777777" w:rsidR="00150818" w:rsidRPr="00614C21" w:rsidRDefault="00150818" w:rsidP="00150818">
      <w:pPr>
        <w:pStyle w:val="Heading3"/>
      </w:pPr>
      <w:r>
        <w:t>Physical Security outputs</w:t>
      </w:r>
    </w:p>
    <w:p w14:paraId="5D4470AA" w14:textId="77777777" w:rsidR="00150818" w:rsidRPr="00614C21" w:rsidRDefault="00150818" w:rsidP="00150818">
      <w:pPr>
        <w:pStyle w:val="NumberedNormal"/>
      </w:pPr>
      <w:r>
        <w:t>Appendix 1 specifies the outputs that the licensee is funded to deliver, the delivery dates for those outputs and the allowances provided.</w:t>
      </w:r>
    </w:p>
    <w:p w14:paraId="25A3161B" w14:textId="2AF661EB" w:rsidR="00150818" w:rsidRPr="00614C21" w:rsidRDefault="009533F2" w:rsidP="00D16983">
      <w:pPr>
        <w:pStyle w:val="Heading3"/>
      </w:pPr>
      <w:r>
        <w:t>What is the licensee funded to deliver?</w:t>
      </w:r>
    </w:p>
    <w:p w14:paraId="7C93D64F" w14:textId="77777777" w:rsidR="00150818" w:rsidRDefault="00150818" w:rsidP="00150818">
      <w:pPr>
        <w:pStyle w:val="NumberedNormal"/>
      </w:pPr>
      <w:r>
        <w:t>The licensee may apply to the Authority for a direction amending the outputs, delivery dates or associated allowances in Appendix 1 where government has mandated changes to the scope of work the licensee is required to carry out under the Physical Security Upgrade Programme.</w:t>
      </w:r>
    </w:p>
    <w:p w14:paraId="4E917FFF" w14:textId="2E985BFF" w:rsidR="00150818" w:rsidRDefault="00150818" w:rsidP="00150818">
      <w:pPr>
        <w:pStyle w:val="NumberedNormal"/>
      </w:pPr>
      <w:r>
        <w:t>The licensee may only apply to the Authority under paragraph 3.</w:t>
      </w:r>
      <w:r w:rsidR="00B341C0">
        <w:t>4</w:t>
      </w:r>
      <w:r>
        <w:t xml:space="preserve">.6 Between 25 January and 31 January in each of </w:t>
      </w:r>
      <w:r w:rsidR="004A200A">
        <w:t>the years</w:t>
      </w:r>
      <w:r w:rsidR="008E7C31">
        <w:t xml:space="preserve"> </w:t>
      </w:r>
      <w:r>
        <w:t xml:space="preserve">2023, 2024 and 2025, or during such later periods </w:t>
      </w:r>
      <w:r w:rsidR="008E7C31">
        <w:t>as the Authority may direct</w:t>
      </w:r>
      <w:r>
        <w:t xml:space="preserve">. </w:t>
      </w:r>
    </w:p>
    <w:p w14:paraId="3EE837AC" w14:textId="6E3703FD" w:rsidR="00150818" w:rsidRDefault="00150818" w:rsidP="00150818">
      <w:pPr>
        <w:pStyle w:val="NumberedNormal"/>
      </w:pPr>
      <w:r>
        <w:lastRenderedPageBreak/>
        <w:t>An application under paragraph 3.</w:t>
      </w:r>
      <w:r w:rsidR="00B341C0">
        <w:t>4</w:t>
      </w:r>
      <w:r>
        <w:t>.6 must be made in writing and include statements:</w:t>
      </w:r>
    </w:p>
    <w:p w14:paraId="6DAC99BF" w14:textId="77777777" w:rsidR="00150818" w:rsidRDefault="00150818" w:rsidP="00150818">
      <w:pPr>
        <w:pStyle w:val="ListNormal"/>
        <w:tabs>
          <w:tab w:val="num" w:pos="879"/>
        </w:tabs>
      </w:pPr>
      <w:r>
        <w:t xml:space="preserve">setting out the changes mandated by the government to the scope of work the licensee is required to carry out under the Physical Security Upgrade Programme to which the application </w:t>
      </w:r>
      <w:proofErr w:type="gramStart"/>
      <w:r>
        <w:t>relates;</w:t>
      </w:r>
      <w:proofErr w:type="gramEnd"/>
      <w:r>
        <w:t xml:space="preserve"> </w:t>
      </w:r>
    </w:p>
    <w:p w14:paraId="1193338B" w14:textId="77777777" w:rsidR="00150818" w:rsidRDefault="00150818" w:rsidP="00150818">
      <w:pPr>
        <w:pStyle w:val="ListNormal"/>
        <w:tabs>
          <w:tab w:val="num" w:pos="879"/>
        </w:tabs>
      </w:pPr>
      <w:r>
        <w:t xml:space="preserve">setting out the government’s Critical National Infrastructure classification for each site to which the application </w:t>
      </w:r>
      <w:proofErr w:type="gramStart"/>
      <w:r>
        <w:t>relates;</w:t>
      </w:r>
      <w:proofErr w:type="gramEnd"/>
    </w:p>
    <w:p w14:paraId="572D1869" w14:textId="77777777" w:rsidR="00150818" w:rsidRDefault="00150818" w:rsidP="00150818">
      <w:pPr>
        <w:pStyle w:val="ListNormal"/>
        <w:tabs>
          <w:tab w:val="num" w:pos="879"/>
        </w:tabs>
      </w:pPr>
      <w:r>
        <w:t xml:space="preserve">setting out any amendments to the outputs, delivery dates or allowances set out in Appendix </w:t>
      </w:r>
      <w:proofErr w:type="gramStart"/>
      <w:r>
        <w:t>1;</w:t>
      </w:r>
      <w:proofErr w:type="gramEnd"/>
    </w:p>
    <w:p w14:paraId="780E67D5" w14:textId="77777777" w:rsidR="00150818" w:rsidRDefault="00150818" w:rsidP="00150818">
      <w:pPr>
        <w:pStyle w:val="ListNormal"/>
        <w:tabs>
          <w:tab w:val="num" w:pos="879"/>
        </w:tabs>
      </w:pPr>
      <w:r>
        <w:t>explaining the basis of the calculations for any amendments requested to allowances; and</w:t>
      </w:r>
    </w:p>
    <w:p w14:paraId="5BB2419A" w14:textId="77777777" w:rsidR="00150818" w:rsidRPr="00C341F3" w:rsidRDefault="00150818" w:rsidP="00150818">
      <w:pPr>
        <w:pStyle w:val="ListNormal"/>
        <w:tabs>
          <w:tab w:val="num" w:pos="879"/>
        </w:tabs>
      </w:pPr>
      <w:r>
        <w:t>providing such detailed supporting evidence, including cost benefit analysis, impact assessments, and engineering justification statements, as is reasonable in the circumstances.</w:t>
      </w:r>
    </w:p>
    <w:p w14:paraId="608B8816" w14:textId="6EC94F54" w:rsidR="00150818" w:rsidRDefault="00150818" w:rsidP="00150818">
      <w:pPr>
        <w:pStyle w:val="NumberedNormal"/>
      </w:pPr>
      <w:r>
        <w:t xml:space="preserve">An application under paragraph </w:t>
      </w:r>
      <w:r w:rsidR="008E7C31">
        <w:t>3.4</w:t>
      </w:r>
      <w:r>
        <w:t>.6 must:</w:t>
      </w:r>
    </w:p>
    <w:p w14:paraId="63F09758" w14:textId="77777777" w:rsidR="00150818" w:rsidRDefault="00150818" w:rsidP="00150818">
      <w:pPr>
        <w:pStyle w:val="ListNormal"/>
        <w:tabs>
          <w:tab w:val="num" w:pos="879"/>
        </w:tabs>
      </w:pPr>
      <w:r>
        <w:t xml:space="preserve">relate to changes to the scope of work the licensee is required to carry out under the Physical Security Upgrade Programme, mandated by government on or after 9 December </w:t>
      </w:r>
      <w:proofErr w:type="gramStart"/>
      <w:r>
        <w:t>2019;</w:t>
      </w:r>
      <w:proofErr w:type="gramEnd"/>
      <w:r>
        <w:t xml:space="preserve"> </w:t>
      </w:r>
    </w:p>
    <w:p w14:paraId="1FEB05A1" w14:textId="77777777" w:rsidR="00150818" w:rsidRDefault="00150818" w:rsidP="00150818">
      <w:pPr>
        <w:pStyle w:val="ListNormal"/>
        <w:tabs>
          <w:tab w:val="num" w:pos="879"/>
        </w:tabs>
      </w:pPr>
      <w:r>
        <w:t xml:space="preserve">take account of any allowed expenditure, which can be avoided </w:t>
      </w:r>
      <w:proofErr w:type="gramStart"/>
      <w:r>
        <w:t>as a result of</w:t>
      </w:r>
      <w:proofErr w:type="gramEnd"/>
      <w:r>
        <w:t xml:space="preserve"> the change; and</w:t>
      </w:r>
    </w:p>
    <w:p w14:paraId="1643B23B" w14:textId="60C67920" w:rsidR="00150818" w:rsidRPr="00C341F3" w:rsidRDefault="00150818" w:rsidP="00150818">
      <w:pPr>
        <w:pStyle w:val="ListNormal"/>
        <w:tabs>
          <w:tab w:val="num" w:pos="879"/>
        </w:tabs>
      </w:pPr>
      <w:r>
        <w:t xml:space="preserve">be confined to costs incurred or expected to be incurred </w:t>
      </w:r>
      <w:r w:rsidR="002F1578">
        <w:t xml:space="preserve">on or </w:t>
      </w:r>
      <w:r>
        <w:t xml:space="preserve">after 1 April 2021.  </w:t>
      </w:r>
    </w:p>
    <w:p w14:paraId="3E193283" w14:textId="77777777" w:rsidR="00150818" w:rsidRPr="00614C21" w:rsidRDefault="00150818" w:rsidP="00150818">
      <w:pPr>
        <w:pStyle w:val="Heading3"/>
      </w:pPr>
      <w:r>
        <w:t>Authority triggered Re-opener (</w:t>
      </w:r>
      <w:proofErr w:type="spellStart"/>
      <w:r w:rsidRPr="00150818">
        <w:t>PSUPR</w:t>
      </w:r>
      <w:r w:rsidRPr="0068584C">
        <w:rPr>
          <w:vertAlign w:val="subscript"/>
        </w:rPr>
        <w:t>t</w:t>
      </w:r>
      <w:proofErr w:type="spellEnd"/>
      <w:r w:rsidRPr="00150818">
        <w:t>)</w:t>
      </w:r>
    </w:p>
    <w:p w14:paraId="67B3A474" w14:textId="77777777" w:rsidR="00150818" w:rsidRDefault="00150818" w:rsidP="00150818">
      <w:pPr>
        <w:pStyle w:val="NumberedNormal"/>
      </w:pPr>
      <w:r>
        <w:t>The Authority will also consider directing amendments to the outputs, delivery dates or allowances set out in Appendix 1 where there have been government mandated changes to the scope of work the licensee is required to carry out under the Physical Security Upgrade Programme that:</w:t>
      </w:r>
    </w:p>
    <w:p w14:paraId="71B8E050" w14:textId="77777777" w:rsidR="00150818" w:rsidRDefault="00150818" w:rsidP="00150818">
      <w:pPr>
        <w:pStyle w:val="ListNormal"/>
        <w:tabs>
          <w:tab w:val="num" w:pos="879"/>
        </w:tabs>
      </w:pPr>
      <w:r>
        <w:t>have been mandated on or after 9 December 2019, and</w:t>
      </w:r>
    </w:p>
    <w:p w14:paraId="5C8245A9" w14:textId="3988CD19" w:rsidR="00150818" w:rsidRPr="00C341F3" w:rsidRDefault="00150818" w:rsidP="00150818">
      <w:pPr>
        <w:pStyle w:val="ListNormal"/>
        <w:tabs>
          <w:tab w:val="num" w:pos="879"/>
        </w:tabs>
      </w:pPr>
      <w:r>
        <w:t xml:space="preserve">relate to costs incurred or expected to be incurred </w:t>
      </w:r>
      <w:r w:rsidR="002F1578">
        <w:t xml:space="preserve">on or </w:t>
      </w:r>
      <w:r>
        <w:t>after 1 April 2021.</w:t>
      </w:r>
    </w:p>
    <w:p w14:paraId="0CB7541E" w14:textId="35C0F34F" w:rsidR="00150818" w:rsidRPr="00614C21" w:rsidRDefault="00150818" w:rsidP="00150818">
      <w:pPr>
        <w:pStyle w:val="Heading3"/>
      </w:pPr>
      <w:r>
        <w:t>Assessment of the Physical Security Price Control Deliverable</w:t>
      </w:r>
      <w:r w:rsidR="00B341C0">
        <w:t xml:space="preserve"> (</w:t>
      </w:r>
      <w:proofErr w:type="spellStart"/>
      <w:r w:rsidR="00B341C0">
        <w:t>PSUPR</w:t>
      </w:r>
      <w:r w:rsidR="00B341C0" w:rsidRPr="0068584C">
        <w:rPr>
          <w:vertAlign w:val="subscript"/>
        </w:rPr>
        <w:t>t</w:t>
      </w:r>
      <w:proofErr w:type="spellEnd"/>
      <w:r w:rsidR="00B341C0">
        <w:t>)</w:t>
      </w:r>
    </w:p>
    <w:p w14:paraId="7022AFB4" w14:textId="3BF53FC1" w:rsidR="00150818" w:rsidRPr="00614C21" w:rsidRDefault="00150818" w:rsidP="00150818">
      <w:pPr>
        <w:pStyle w:val="NumberedNormal"/>
      </w:pPr>
      <w:r>
        <w:t>The Authority will</w:t>
      </w:r>
      <w:r w:rsidR="00CE32B7">
        <w:t>, in accordance with the PCD Reporting Requirements and Methodology Document,</w:t>
      </w:r>
      <w:r>
        <w:t xml:space="preserve"> consider directing a value for </w:t>
      </w:r>
      <w:proofErr w:type="spellStart"/>
      <w:r>
        <w:t>PSUPR</w:t>
      </w:r>
      <w:r w:rsidRPr="0068584C">
        <w:rPr>
          <w:vertAlign w:val="subscript"/>
        </w:rPr>
        <w:t>t</w:t>
      </w:r>
      <w:proofErr w:type="spellEnd"/>
      <w:r>
        <w:t xml:space="preserve"> where the licensee has not Fully Delivered an output in Appendix 1.</w:t>
      </w:r>
    </w:p>
    <w:p w14:paraId="7DBB7E0E" w14:textId="77777777" w:rsidR="00150818" w:rsidRPr="00614C21" w:rsidRDefault="00150818" w:rsidP="00150818">
      <w:pPr>
        <w:pStyle w:val="Heading3"/>
      </w:pPr>
      <w:r>
        <w:t>What process will the Authority follow in making a direction?</w:t>
      </w:r>
    </w:p>
    <w:p w14:paraId="1CDFCE0F" w14:textId="2D21D7CC" w:rsidR="00150818" w:rsidRDefault="00150818" w:rsidP="00150818">
      <w:pPr>
        <w:pStyle w:val="NumberedNormal"/>
      </w:pPr>
      <w:r>
        <w:t>Before making a direction under paragraph 3.</w:t>
      </w:r>
      <w:r w:rsidR="00B341C0">
        <w:t>4</w:t>
      </w:r>
      <w:r>
        <w:t>.6, 3.</w:t>
      </w:r>
      <w:r w:rsidR="00B341C0">
        <w:t>4</w:t>
      </w:r>
      <w:r>
        <w:t>.10 or 3.</w:t>
      </w:r>
      <w:r w:rsidR="00B341C0">
        <w:t>4</w:t>
      </w:r>
      <w:r>
        <w:t>.11, the Authority will publish on the Authority's Website:</w:t>
      </w:r>
    </w:p>
    <w:p w14:paraId="50F0C960" w14:textId="77777777" w:rsidR="00150818" w:rsidRDefault="00150818" w:rsidP="00150818">
      <w:pPr>
        <w:pStyle w:val="ListNormal"/>
        <w:tabs>
          <w:tab w:val="num" w:pos="879"/>
        </w:tabs>
      </w:pPr>
      <w:r>
        <w:t xml:space="preserve">the text of the proposed </w:t>
      </w:r>
      <w:proofErr w:type="gramStart"/>
      <w:r>
        <w:t>direction;</w:t>
      </w:r>
      <w:proofErr w:type="gramEnd"/>
    </w:p>
    <w:p w14:paraId="406A3CFE" w14:textId="77777777" w:rsidR="00150818" w:rsidRDefault="00150818" w:rsidP="00150818">
      <w:pPr>
        <w:pStyle w:val="ListNormal"/>
        <w:tabs>
          <w:tab w:val="num" w:pos="879"/>
        </w:tabs>
      </w:pPr>
      <w:r>
        <w:lastRenderedPageBreak/>
        <w:t>the reasons for the proposed direction; and</w:t>
      </w:r>
    </w:p>
    <w:p w14:paraId="46B2C34D" w14:textId="06606995" w:rsidR="00150818" w:rsidRPr="00C341F3" w:rsidRDefault="00150818" w:rsidP="00150818">
      <w:pPr>
        <w:pStyle w:val="ListNormal"/>
        <w:tabs>
          <w:tab w:val="num" w:pos="879"/>
        </w:tabs>
      </w:pPr>
      <w:r>
        <w:t xml:space="preserve">a period during which representations may be made on the proposed direction, which </w:t>
      </w:r>
      <w:r w:rsidR="00B341C0">
        <w:t xml:space="preserve">will </w:t>
      </w:r>
      <w:r>
        <w:t>not be less than 28 days.</w:t>
      </w:r>
    </w:p>
    <w:p w14:paraId="52FB3172" w14:textId="70EBE6DC" w:rsidR="00150818" w:rsidRPr="00614C21" w:rsidRDefault="00150818" w:rsidP="00150818">
      <w:pPr>
        <w:pStyle w:val="NumberedNormal"/>
      </w:pPr>
      <w:r>
        <w:t>A direction under paragraph 3.</w:t>
      </w:r>
      <w:r w:rsidR="00B341C0">
        <w:t>4</w:t>
      </w:r>
      <w:r>
        <w:t>.6 or 3.</w:t>
      </w:r>
      <w:r w:rsidR="00B341C0">
        <w:t>4</w:t>
      </w:r>
      <w:r>
        <w:t xml:space="preserve">.10 </w:t>
      </w:r>
      <w:r w:rsidR="00B341C0">
        <w:t xml:space="preserve">will </w:t>
      </w:r>
      <w:r>
        <w:t>set out any amendments to Appendix</w:t>
      </w:r>
      <w:r w:rsidR="00B341C0">
        <w:t xml:space="preserve"> 1</w:t>
      </w:r>
      <w:r>
        <w:t>.</w:t>
      </w:r>
    </w:p>
    <w:p w14:paraId="09A4BF67" w14:textId="25047771" w:rsidR="00150818" w:rsidRDefault="00150818" w:rsidP="00150818">
      <w:pPr>
        <w:pStyle w:val="NumberedNormal"/>
      </w:pPr>
      <w:r>
        <w:t>A direction under paragraph 3.</w:t>
      </w:r>
      <w:r w:rsidR="00D57448">
        <w:t>4</w:t>
      </w:r>
      <w:r>
        <w:t xml:space="preserve">.11 will set out the value of the </w:t>
      </w:r>
      <w:proofErr w:type="spellStart"/>
      <w:r>
        <w:t>PSUPR</w:t>
      </w:r>
      <w:r w:rsidRPr="00150818">
        <w:t>t</w:t>
      </w:r>
      <w:proofErr w:type="spellEnd"/>
      <w:r>
        <w:t xml:space="preserve"> term and the Regulatory Years to which those values relate.</w:t>
      </w:r>
    </w:p>
    <w:p w14:paraId="104F95DB" w14:textId="17CF95F5" w:rsidR="00150818" w:rsidRPr="00C341F3" w:rsidRDefault="00150818" w:rsidP="00024C8F">
      <w:pPr>
        <w:pStyle w:val="AppendixHeading"/>
      </w:pPr>
      <w:bookmarkStart w:id="53" w:name="_Toc51798263"/>
      <w:bookmarkEnd w:id="53"/>
    </w:p>
    <w:p w14:paraId="5834B851" w14:textId="77777777" w:rsidR="00150818" w:rsidRPr="00150818" w:rsidRDefault="00150818" w:rsidP="00024C8F">
      <w:pPr>
        <w:pStyle w:val="Caption"/>
      </w:pPr>
      <w:r w:rsidRPr="00150818">
        <w:t>Physical Security Price Control Deliverable</w:t>
      </w:r>
    </w:p>
    <w:tbl>
      <w:tblPr>
        <w:tblStyle w:val="AppendixTable"/>
        <w:tblW w:w="9184" w:type="dxa"/>
        <w:tblLook w:val="04A0" w:firstRow="1" w:lastRow="0" w:firstColumn="1" w:lastColumn="0" w:noHBand="0" w:noVBand="1"/>
      </w:tblPr>
      <w:tblGrid>
        <w:gridCol w:w="992"/>
        <w:gridCol w:w="1934"/>
        <w:gridCol w:w="1472"/>
        <w:gridCol w:w="706"/>
        <w:gridCol w:w="706"/>
        <w:gridCol w:w="706"/>
        <w:gridCol w:w="706"/>
        <w:gridCol w:w="706"/>
        <w:gridCol w:w="1256"/>
      </w:tblGrid>
      <w:tr w:rsidR="00150818" w:rsidRPr="00DE541A" w14:paraId="5C903BC0" w14:textId="77777777" w:rsidTr="00024C8F">
        <w:trPr>
          <w:cnfStyle w:val="100000000000" w:firstRow="1" w:lastRow="0" w:firstColumn="0" w:lastColumn="0" w:oddVBand="0" w:evenVBand="0" w:oddHBand="0" w:evenHBand="0" w:firstRowFirstColumn="0" w:firstRowLastColumn="0" w:lastRowFirstColumn="0" w:lastRowLastColumn="0"/>
          <w:trHeight w:val="305"/>
        </w:trPr>
        <w:tc>
          <w:tcPr>
            <w:tcW w:w="992" w:type="dxa"/>
          </w:tcPr>
          <w:p w14:paraId="798FD962" w14:textId="77777777" w:rsidR="00150818" w:rsidRPr="00150818" w:rsidRDefault="00150818" w:rsidP="00150818">
            <w:r>
              <w:t>Site</w:t>
            </w:r>
          </w:p>
        </w:tc>
        <w:tc>
          <w:tcPr>
            <w:tcW w:w="1934" w:type="dxa"/>
          </w:tcPr>
          <w:p w14:paraId="1E937C44" w14:textId="77777777" w:rsidR="00150818" w:rsidRPr="00150818" w:rsidRDefault="00150818" w:rsidP="00150818">
            <w:r>
              <w:t>Output</w:t>
            </w:r>
          </w:p>
          <w:p w14:paraId="1B12F354" w14:textId="77777777" w:rsidR="00150818" w:rsidRPr="0082533A" w:rsidRDefault="00150818" w:rsidP="00150818"/>
        </w:tc>
        <w:tc>
          <w:tcPr>
            <w:tcW w:w="0" w:type="auto"/>
          </w:tcPr>
          <w:p w14:paraId="410DA0F4" w14:textId="77777777" w:rsidR="00150818" w:rsidRPr="00150818" w:rsidRDefault="00150818" w:rsidP="00150818">
            <w:r>
              <w:t>Delivery Date</w:t>
            </w:r>
          </w:p>
        </w:tc>
        <w:tc>
          <w:tcPr>
            <w:tcW w:w="0" w:type="auto"/>
            <w:gridSpan w:val="5"/>
          </w:tcPr>
          <w:p w14:paraId="42E47666" w14:textId="77777777" w:rsidR="00150818" w:rsidRPr="00150818" w:rsidRDefault="00150818" w:rsidP="00150818">
            <w:r>
              <w:t xml:space="preserve">Allowance </w:t>
            </w:r>
          </w:p>
        </w:tc>
        <w:tc>
          <w:tcPr>
            <w:tcW w:w="1256" w:type="dxa"/>
          </w:tcPr>
          <w:p w14:paraId="519F0504" w14:textId="77777777" w:rsidR="00150818" w:rsidRDefault="00150818" w:rsidP="00150818"/>
        </w:tc>
      </w:tr>
      <w:tr w:rsidR="00150818" w:rsidRPr="00D5104D" w14:paraId="71E8CAEB" w14:textId="77777777" w:rsidTr="00024C8F">
        <w:trPr>
          <w:trHeight w:val="321"/>
        </w:trPr>
        <w:tc>
          <w:tcPr>
            <w:tcW w:w="992" w:type="dxa"/>
          </w:tcPr>
          <w:p w14:paraId="245111AA" w14:textId="77777777" w:rsidR="00150818" w:rsidRPr="0082533A" w:rsidRDefault="00150818" w:rsidP="00150818"/>
        </w:tc>
        <w:tc>
          <w:tcPr>
            <w:tcW w:w="1934" w:type="dxa"/>
          </w:tcPr>
          <w:p w14:paraId="551F6339" w14:textId="77777777" w:rsidR="00150818" w:rsidRPr="0082533A" w:rsidRDefault="00150818" w:rsidP="00150818"/>
        </w:tc>
        <w:tc>
          <w:tcPr>
            <w:tcW w:w="0" w:type="auto"/>
          </w:tcPr>
          <w:p w14:paraId="302E71F3" w14:textId="77777777" w:rsidR="00150818" w:rsidRPr="0082533A" w:rsidRDefault="00150818" w:rsidP="00150818"/>
        </w:tc>
        <w:tc>
          <w:tcPr>
            <w:tcW w:w="0" w:type="auto"/>
          </w:tcPr>
          <w:p w14:paraId="00D654DE" w14:textId="77777777" w:rsidR="00150818" w:rsidRPr="00150818" w:rsidRDefault="00150818" w:rsidP="00150818">
            <w:r>
              <w:t>21/22</w:t>
            </w:r>
          </w:p>
        </w:tc>
        <w:tc>
          <w:tcPr>
            <w:tcW w:w="0" w:type="auto"/>
          </w:tcPr>
          <w:p w14:paraId="3982771B" w14:textId="77777777" w:rsidR="00150818" w:rsidRPr="00150818" w:rsidRDefault="00150818" w:rsidP="00150818">
            <w:r>
              <w:t>22/23</w:t>
            </w:r>
          </w:p>
        </w:tc>
        <w:tc>
          <w:tcPr>
            <w:tcW w:w="0" w:type="auto"/>
          </w:tcPr>
          <w:p w14:paraId="5D2011F6" w14:textId="77777777" w:rsidR="00150818" w:rsidRPr="00150818" w:rsidRDefault="00150818" w:rsidP="00150818">
            <w:r>
              <w:t>23/24</w:t>
            </w:r>
          </w:p>
        </w:tc>
        <w:tc>
          <w:tcPr>
            <w:tcW w:w="0" w:type="auto"/>
          </w:tcPr>
          <w:p w14:paraId="325DF6CA" w14:textId="77777777" w:rsidR="00150818" w:rsidRPr="00150818" w:rsidRDefault="00150818" w:rsidP="00150818">
            <w:r>
              <w:t>24/25</w:t>
            </w:r>
          </w:p>
        </w:tc>
        <w:tc>
          <w:tcPr>
            <w:tcW w:w="0" w:type="auto"/>
          </w:tcPr>
          <w:p w14:paraId="59D176DA" w14:textId="77777777" w:rsidR="00150818" w:rsidRPr="00150818" w:rsidRDefault="00150818" w:rsidP="00150818">
            <w:r>
              <w:t>25/26</w:t>
            </w:r>
          </w:p>
        </w:tc>
        <w:tc>
          <w:tcPr>
            <w:tcW w:w="1256" w:type="dxa"/>
          </w:tcPr>
          <w:p w14:paraId="53C9705F" w14:textId="77777777" w:rsidR="00150818" w:rsidRPr="00150818" w:rsidRDefault="00150818" w:rsidP="00150818">
            <w:r>
              <w:t>Total Allowance (All years)</w:t>
            </w:r>
          </w:p>
        </w:tc>
      </w:tr>
      <w:tr w:rsidR="00150818" w:rsidRPr="00D5104D" w14:paraId="146D2EED" w14:textId="77777777" w:rsidTr="00024C8F">
        <w:trPr>
          <w:trHeight w:val="321"/>
        </w:trPr>
        <w:tc>
          <w:tcPr>
            <w:tcW w:w="992" w:type="dxa"/>
          </w:tcPr>
          <w:p w14:paraId="0ABD947B" w14:textId="77777777" w:rsidR="00150818" w:rsidRPr="00150818" w:rsidRDefault="00150818" w:rsidP="00150818">
            <w:r>
              <w:t>Site X</w:t>
            </w:r>
          </w:p>
        </w:tc>
        <w:tc>
          <w:tcPr>
            <w:tcW w:w="1934" w:type="dxa"/>
          </w:tcPr>
          <w:p w14:paraId="25F5F6F2" w14:textId="77777777" w:rsidR="00150818" w:rsidRPr="00150818" w:rsidRDefault="00150818" w:rsidP="00150818">
            <w:r>
              <w:t xml:space="preserve">Install PSUP Solution at site to required Government specification. </w:t>
            </w:r>
          </w:p>
        </w:tc>
        <w:tc>
          <w:tcPr>
            <w:tcW w:w="0" w:type="auto"/>
          </w:tcPr>
          <w:p w14:paraId="680F6798" w14:textId="77777777" w:rsidR="00150818" w:rsidRPr="00150818" w:rsidRDefault="00150818" w:rsidP="00150818">
            <w:r>
              <w:t>31 Mar 2026</w:t>
            </w:r>
          </w:p>
        </w:tc>
        <w:tc>
          <w:tcPr>
            <w:tcW w:w="0" w:type="auto"/>
          </w:tcPr>
          <w:p w14:paraId="32062F93" w14:textId="77777777" w:rsidR="00150818" w:rsidRPr="0082533A" w:rsidRDefault="00150818" w:rsidP="00150818"/>
        </w:tc>
        <w:tc>
          <w:tcPr>
            <w:tcW w:w="0" w:type="auto"/>
          </w:tcPr>
          <w:p w14:paraId="325BEFD2" w14:textId="77777777" w:rsidR="00150818" w:rsidRPr="0082533A" w:rsidRDefault="00150818" w:rsidP="00150818"/>
        </w:tc>
        <w:tc>
          <w:tcPr>
            <w:tcW w:w="0" w:type="auto"/>
          </w:tcPr>
          <w:p w14:paraId="0C0C27D4" w14:textId="77777777" w:rsidR="00150818" w:rsidRPr="0082533A" w:rsidRDefault="00150818" w:rsidP="00150818"/>
        </w:tc>
        <w:tc>
          <w:tcPr>
            <w:tcW w:w="0" w:type="auto"/>
          </w:tcPr>
          <w:p w14:paraId="4960B001" w14:textId="77777777" w:rsidR="00150818" w:rsidRPr="0082533A" w:rsidRDefault="00150818" w:rsidP="00150818"/>
        </w:tc>
        <w:tc>
          <w:tcPr>
            <w:tcW w:w="0" w:type="auto"/>
          </w:tcPr>
          <w:p w14:paraId="1D4CF4DA" w14:textId="77777777" w:rsidR="00150818" w:rsidRPr="0082533A" w:rsidRDefault="00150818" w:rsidP="00150818"/>
        </w:tc>
        <w:tc>
          <w:tcPr>
            <w:tcW w:w="1256" w:type="dxa"/>
          </w:tcPr>
          <w:p w14:paraId="2C5A048C" w14:textId="77777777" w:rsidR="00150818" w:rsidRPr="0082533A" w:rsidRDefault="00150818" w:rsidP="00150818"/>
        </w:tc>
      </w:tr>
      <w:tr w:rsidR="00150818" w:rsidRPr="00D5104D" w14:paraId="226D17F1" w14:textId="77777777" w:rsidTr="00024C8F">
        <w:trPr>
          <w:trHeight w:val="321"/>
        </w:trPr>
        <w:tc>
          <w:tcPr>
            <w:tcW w:w="992" w:type="dxa"/>
          </w:tcPr>
          <w:p w14:paraId="3BADF930" w14:textId="77777777" w:rsidR="00150818" w:rsidRPr="00150818" w:rsidRDefault="00150818" w:rsidP="00150818">
            <w:r>
              <w:t>Site Y</w:t>
            </w:r>
          </w:p>
        </w:tc>
        <w:tc>
          <w:tcPr>
            <w:tcW w:w="1934" w:type="dxa"/>
          </w:tcPr>
          <w:p w14:paraId="1C3D7E08" w14:textId="77777777" w:rsidR="00150818" w:rsidRPr="00150818" w:rsidRDefault="00150818" w:rsidP="00150818">
            <w:r>
              <w:t xml:space="preserve">Install PSUP Solution at site to required Government specification. </w:t>
            </w:r>
          </w:p>
        </w:tc>
        <w:tc>
          <w:tcPr>
            <w:tcW w:w="0" w:type="auto"/>
          </w:tcPr>
          <w:p w14:paraId="7E18B957" w14:textId="77777777" w:rsidR="00150818" w:rsidRPr="00150818" w:rsidRDefault="00150818" w:rsidP="00150818">
            <w:r>
              <w:t>31 Mar 2026</w:t>
            </w:r>
          </w:p>
        </w:tc>
        <w:tc>
          <w:tcPr>
            <w:tcW w:w="0" w:type="auto"/>
          </w:tcPr>
          <w:p w14:paraId="158B46E7" w14:textId="77777777" w:rsidR="00150818" w:rsidRPr="00D5104D" w:rsidRDefault="00150818" w:rsidP="00150818"/>
        </w:tc>
        <w:tc>
          <w:tcPr>
            <w:tcW w:w="0" w:type="auto"/>
          </w:tcPr>
          <w:p w14:paraId="1B2BCEFB" w14:textId="77777777" w:rsidR="00150818" w:rsidRPr="00D5104D" w:rsidRDefault="00150818" w:rsidP="00150818"/>
        </w:tc>
        <w:tc>
          <w:tcPr>
            <w:tcW w:w="0" w:type="auto"/>
          </w:tcPr>
          <w:p w14:paraId="7AB03C76" w14:textId="77777777" w:rsidR="00150818" w:rsidRPr="00D5104D" w:rsidRDefault="00150818" w:rsidP="00150818"/>
        </w:tc>
        <w:tc>
          <w:tcPr>
            <w:tcW w:w="0" w:type="auto"/>
          </w:tcPr>
          <w:p w14:paraId="560C6D6E" w14:textId="77777777" w:rsidR="00150818" w:rsidRPr="00D5104D" w:rsidRDefault="00150818" w:rsidP="00150818"/>
        </w:tc>
        <w:tc>
          <w:tcPr>
            <w:tcW w:w="0" w:type="auto"/>
          </w:tcPr>
          <w:p w14:paraId="35CF0AD3" w14:textId="77777777" w:rsidR="00150818" w:rsidRPr="00D5104D" w:rsidRDefault="00150818" w:rsidP="00150818"/>
        </w:tc>
        <w:tc>
          <w:tcPr>
            <w:tcW w:w="1256" w:type="dxa"/>
          </w:tcPr>
          <w:p w14:paraId="62DF0FC6" w14:textId="77777777" w:rsidR="00150818" w:rsidRPr="00D5104D" w:rsidRDefault="00150818" w:rsidP="00150818"/>
        </w:tc>
      </w:tr>
      <w:tr w:rsidR="00150818" w:rsidRPr="00D5104D" w14:paraId="26E0F558" w14:textId="77777777" w:rsidTr="00024C8F">
        <w:trPr>
          <w:trHeight w:val="321"/>
        </w:trPr>
        <w:tc>
          <w:tcPr>
            <w:tcW w:w="992" w:type="dxa"/>
          </w:tcPr>
          <w:p w14:paraId="4E3C3970" w14:textId="77777777" w:rsidR="00150818" w:rsidRPr="00150818" w:rsidRDefault="00150818" w:rsidP="00150818">
            <w:r>
              <w:t>Site Z</w:t>
            </w:r>
          </w:p>
        </w:tc>
        <w:tc>
          <w:tcPr>
            <w:tcW w:w="1934" w:type="dxa"/>
          </w:tcPr>
          <w:p w14:paraId="77746310" w14:textId="77777777" w:rsidR="00150818" w:rsidRPr="00150818" w:rsidRDefault="00150818" w:rsidP="00150818">
            <w:r>
              <w:t xml:space="preserve">Install PSUP Solution at site to required Government specification. </w:t>
            </w:r>
          </w:p>
        </w:tc>
        <w:tc>
          <w:tcPr>
            <w:tcW w:w="0" w:type="auto"/>
          </w:tcPr>
          <w:p w14:paraId="470953CC" w14:textId="77777777" w:rsidR="00150818" w:rsidRPr="00150818" w:rsidRDefault="00150818" w:rsidP="00150818">
            <w:r>
              <w:t>31 Mar 2026</w:t>
            </w:r>
          </w:p>
        </w:tc>
        <w:tc>
          <w:tcPr>
            <w:tcW w:w="0" w:type="auto"/>
          </w:tcPr>
          <w:p w14:paraId="4BE0A408" w14:textId="77777777" w:rsidR="00150818" w:rsidRPr="00D5104D" w:rsidRDefault="00150818" w:rsidP="00150818"/>
        </w:tc>
        <w:tc>
          <w:tcPr>
            <w:tcW w:w="0" w:type="auto"/>
          </w:tcPr>
          <w:p w14:paraId="0401A878" w14:textId="77777777" w:rsidR="00150818" w:rsidRPr="00D5104D" w:rsidRDefault="00150818" w:rsidP="00150818"/>
        </w:tc>
        <w:tc>
          <w:tcPr>
            <w:tcW w:w="0" w:type="auto"/>
          </w:tcPr>
          <w:p w14:paraId="4EA8A3BD" w14:textId="77777777" w:rsidR="00150818" w:rsidRPr="00D5104D" w:rsidRDefault="00150818" w:rsidP="00150818"/>
        </w:tc>
        <w:tc>
          <w:tcPr>
            <w:tcW w:w="0" w:type="auto"/>
          </w:tcPr>
          <w:p w14:paraId="369E6094" w14:textId="77777777" w:rsidR="00150818" w:rsidRPr="00D5104D" w:rsidRDefault="00150818" w:rsidP="00150818"/>
        </w:tc>
        <w:tc>
          <w:tcPr>
            <w:tcW w:w="0" w:type="auto"/>
          </w:tcPr>
          <w:p w14:paraId="74EBDC36" w14:textId="77777777" w:rsidR="00150818" w:rsidRPr="00D5104D" w:rsidRDefault="00150818" w:rsidP="00150818"/>
        </w:tc>
        <w:tc>
          <w:tcPr>
            <w:tcW w:w="1256" w:type="dxa"/>
          </w:tcPr>
          <w:p w14:paraId="176C0AA4" w14:textId="77777777" w:rsidR="00150818" w:rsidRPr="00D5104D" w:rsidRDefault="00150818" w:rsidP="00150818"/>
        </w:tc>
      </w:tr>
    </w:tbl>
    <w:p w14:paraId="59EA1A83" w14:textId="7976DB88" w:rsidR="00754B86" w:rsidRPr="0057526A" w:rsidRDefault="00F6350F" w:rsidP="00754B86">
      <w:pPr>
        <w:pStyle w:val="Heading2"/>
      </w:pPr>
      <w:bookmarkStart w:id="54" w:name="_Toc51798264"/>
      <w:bookmarkStart w:id="55" w:name="_Toc52364888"/>
      <w:r w:rsidRPr="00754B86">
        <w:t>Non-operational</w:t>
      </w:r>
      <w:r w:rsidR="00754B86" w:rsidRPr="00754B86">
        <w:t xml:space="preserve"> capex IT Reopener</w:t>
      </w:r>
      <w:bookmarkEnd w:id="52"/>
      <w:r w:rsidR="00D57448">
        <w:t xml:space="preserve"> (</w:t>
      </w:r>
      <w:proofErr w:type="spellStart"/>
      <w:r w:rsidR="00D57448">
        <w:t>NOIT</w:t>
      </w:r>
      <w:r w:rsidR="00D57448" w:rsidRPr="0068584C">
        <w:rPr>
          <w:vertAlign w:val="subscript"/>
        </w:rPr>
        <w:t>t</w:t>
      </w:r>
      <w:proofErr w:type="spellEnd"/>
      <w:r w:rsidR="00D57448">
        <w:t>)</w:t>
      </w:r>
      <w:bookmarkEnd w:id="54"/>
      <w:bookmarkEnd w:id="55"/>
    </w:p>
    <w:p w14:paraId="3D3BFA05" w14:textId="77777777" w:rsidR="009A5347" w:rsidRPr="009A5347" w:rsidRDefault="009A5347" w:rsidP="003F1B75">
      <w:pPr>
        <w:pStyle w:val="Heading3nonumbering"/>
      </w:pPr>
      <w:r w:rsidRPr="009A5347">
        <w:t xml:space="preserve">Introduction </w:t>
      </w:r>
    </w:p>
    <w:p w14:paraId="40F36104" w14:textId="6D9CB66C" w:rsidR="009A5347" w:rsidRPr="009A5347" w:rsidRDefault="009A5347" w:rsidP="003F1B75">
      <w:pPr>
        <w:pStyle w:val="NumberedNormal"/>
      </w:pPr>
      <w:r w:rsidRPr="009A5347">
        <w:t xml:space="preserve">The purpose of this condition is to calculate the term </w:t>
      </w:r>
      <w:proofErr w:type="spellStart"/>
      <w:r w:rsidRPr="009A5347">
        <w:t>NOIT</w:t>
      </w:r>
      <w:r w:rsidRPr="0068584C">
        <w:rPr>
          <w:vertAlign w:val="subscript"/>
        </w:rPr>
        <w:t>t</w:t>
      </w:r>
      <w:proofErr w:type="spellEnd"/>
      <w:r w:rsidRPr="009A5347">
        <w:t xml:space="preserve"> (the Non</w:t>
      </w:r>
      <w:r w:rsidR="00D57448">
        <w:t>-</w:t>
      </w:r>
      <w:r w:rsidRPr="009A5347">
        <w:t xml:space="preserve">operational </w:t>
      </w:r>
      <w:r w:rsidR="00D57448">
        <w:t>C</w:t>
      </w:r>
      <w:r w:rsidRPr="009A5347">
        <w:t>apex IT Re-opener term).  This contributes to the calculation of the Totex Allowance.</w:t>
      </w:r>
    </w:p>
    <w:p w14:paraId="53DDB011" w14:textId="77777777" w:rsidR="009A5347" w:rsidRPr="009A5347" w:rsidRDefault="009A5347" w:rsidP="003F1B75">
      <w:pPr>
        <w:pStyle w:val="NumberedNormal"/>
      </w:pPr>
      <w:r w:rsidRPr="009A5347">
        <w:t>The effect of this condition is to:</w:t>
      </w:r>
    </w:p>
    <w:p w14:paraId="7AB85F4D" w14:textId="556B3B66" w:rsidR="009A5347" w:rsidRPr="009A5347" w:rsidRDefault="009A5347" w:rsidP="003F1B75">
      <w:pPr>
        <w:pStyle w:val="ListNormal"/>
      </w:pPr>
      <w:r w:rsidRPr="009A5347">
        <w:t>require the licensee to submit a Non</w:t>
      </w:r>
      <w:r w:rsidR="00D57448">
        <w:t>-</w:t>
      </w:r>
      <w:r w:rsidRPr="009A5347">
        <w:t xml:space="preserve">operational </w:t>
      </w:r>
      <w:r w:rsidR="00D57448">
        <w:t>C</w:t>
      </w:r>
      <w:r w:rsidRPr="009A5347">
        <w:t>apex IT Plan at the start of the Price Control Period; and</w:t>
      </w:r>
    </w:p>
    <w:p w14:paraId="0E2D1918" w14:textId="61A6F633" w:rsidR="009A5347" w:rsidRPr="009A5347" w:rsidRDefault="009A5347" w:rsidP="003F1B75">
      <w:pPr>
        <w:pStyle w:val="ListNormal"/>
      </w:pPr>
      <w:r w:rsidRPr="009A5347">
        <w:t xml:space="preserve">establish a </w:t>
      </w:r>
      <w:r w:rsidR="00D57448">
        <w:t>R</w:t>
      </w:r>
      <w:r w:rsidRPr="009A5347">
        <w:t>e-opener triggered by either the licensee or the Authority for Non</w:t>
      </w:r>
      <w:r w:rsidR="00D57448">
        <w:t>-</w:t>
      </w:r>
      <w:r w:rsidRPr="009A5347">
        <w:t>operational capex IT.</w:t>
      </w:r>
    </w:p>
    <w:p w14:paraId="7328549B" w14:textId="77777777" w:rsidR="009A5347" w:rsidRPr="009A5347" w:rsidRDefault="009A5347" w:rsidP="003F1B75">
      <w:pPr>
        <w:pStyle w:val="NumberedNormal"/>
      </w:pPr>
      <w:r w:rsidRPr="009A5347">
        <w:lastRenderedPageBreak/>
        <w:t xml:space="preserve">This condition also explains the process the Authority will follow when directing any changes </w:t>
      </w:r>
      <w:proofErr w:type="gramStart"/>
      <w:r w:rsidRPr="009A5347">
        <w:t>as a result of</w:t>
      </w:r>
      <w:proofErr w:type="gramEnd"/>
      <w:r w:rsidRPr="009A5347">
        <w:t xml:space="preserve"> the Re-opener.</w:t>
      </w:r>
    </w:p>
    <w:p w14:paraId="6D42A28F" w14:textId="1AEDCCE6" w:rsidR="009A5347" w:rsidRPr="009A5347" w:rsidRDefault="009A5347" w:rsidP="003F1B75">
      <w:pPr>
        <w:pStyle w:val="Heading3"/>
      </w:pPr>
      <w:r w:rsidRPr="009A5347">
        <w:t>What costs are within the scope of this Re-opener?</w:t>
      </w:r>
    </w:p>
    <w:p w14:paraId="6C0D4F53" w14:textId="5D3FE608" w:rsidR="009A5347" w:rsidRPr="009A5347" w:rsidRDefault="009A5347" w:rsidP="003F1B75">
      <w:pPr>
        <w:pStyle w:val="NumberedNormal"/>
      </w:pPr>
      <w:r w:rsidRPr="009A5347">
        <w:t xml:space="preserve">The licensee may apply to the Authority for a direction adjusting the value of the </w:t>
      </w:r>
      <w:proofErr w:type="spellStart"/>
      <w:r w:rsidRPr="009A5347">
        <w:t>NOIT</w:t>
      </w:r>
      <w:r w:rsidRPr="0068584C">
        <w:rPr>
          <w:vertAlign w:val="subscript"/>
        </w:rPr>
        <w:t>t</w:t>
      </w:r>
      <w:proofErr w:type="spellEnd"/>
      <w:r w:rsidRPr="009A5347">
        <w:t xml:space="preserve"> term for any Regulatory Year during the Price Control Period </w:t>
      </w:r>
      <w:proofErr w:type="gramStart"/>
      <w:r w:rsidRPr="009A5347">
        <w:t>as a result of</w:t>
      </w:r>
      <w:proofErr w:type="gramEnd"/>
      <w:r w:rsidRPr="009A5347">
        <w:t>:</w:t>
      </w:r>
    </w:p>
    <w:p w14:paraId="004345BA" w14:textId="4B6DFD46" w:rsidR="0016349C" w:rsidRDefault="0016349C" w:rsidP="007E6D46">
      <w:pPr>
        <w:pStyle w:val="ListNormal"/>
        <w:tabs>
          <w:tab w:val="num" w:pos="879"/>
        </w:tabs>
      </w:pPr>
      <w:r>
        <w:t xml:space="preserve">the licensee identifying further evidence in support of </w:t>
      </w:r>
      <w:r w:rsidR="0024559D">
        <w:t xml:space="preserve">Non-operational Capex IT </w:t>
      </w:r>
      <w:r>
        <w:t xml:space="preserve">projects that were </w:t>
      </w:r>
      <w:r w:rsidR="00D57448">
        <w:t>included in its</w:t>
      </w:r>
      <w:r>
        <w:t xml:space="preserve"> </w:t>
      </w:r>
      <w:r w:rsidR="00D57448">
        <w:t>B</w:t>
      </w:r>
      <w:r>
        <w:t xml:space="preserve">usiness </w:t>
      </w:r>
      <w:r w:rsidR="00D57448">
        <w:t>P</w:t>
      </w:r>
      <w:r>
        <w:t>lan</w:t>
      </w:r>
      <w:r w:rsidR="0024559D">
        <w:t>,</w:t>
      </w:r>
      <w:r>
        <w:t xml:space="preserve"> but </w:t>
      </w:r>
      <w:r w:rsidR="0024559D">
        <w:t xml:space="preserve">in relation to which no allowance has been provided to </w:t>
      </w:r>
      <w:proofErr w:type="gramStart"/>
      <w:r w:rsidR="0024559D">
        <w:t>date</w:t>
      </w:r>
      <w:r>
        <w:t>;</w:t>
      </w:r>
      <w:proofErr w:type="gramEnd"/>
    </w:p>
    <w:p w14:paraId="0572E1E5" w14:textId="1AD11B08" w:rsidR="008C194A" w:rsidRDefault="00865AA0" w:rsidP="007E6D46">
      <w:pPr>
        <w:pStyle w:val="ListNormal"/>
        <w:tabs>
          <w:tab w:val="num" w:pos="879"/>
        </w:tabs>
      </w:pPr>
      <w:r>
        <w:t xml:space="preserve">the licensee identifying </w:t>
      </w:r>
      <w:r w:rsidR="009A5347" w:rsidRPr="009A5347">
        <w:t>activities capable of improving its Non</w:t>
      </w:r>
      <w:r w:rsidR="0024559D">
        <w:t>-</w:t>
      </w:r>
      <w:r w:rsidR="009A5347" w:rsidRPr="009A5347">
        <w:t xml:space="preserve">operational </w:t>
      </w:r>
      <w:r w:rsidR="0024559D">
        <w:t>C</w:t>
      </w:r>
      <w:r w:rsidR="009A5347" w:rsidRPr="009A5347">
        <w:t>apex IT;</w:t>
      </w:r>
      <w:r w:rsidR="008C194A">
        <w:t xml:space="preserve"> or</w:t>
      </w:r>
    </w:p>
    <w:p w14:paraId="5BACCADC" w14:textId="16DE9A72" w:rsidR="009A5347" w:rsidRPr="009A5347" w:rsidRDefault="009A5347" w:rsidP="003F1B75">
      <w:pPr>
        <w:pStyle w:val="ListNormal"/>
      </w:pPr>
      <w:r w:rsidRPr="009A5347">
        <w:t>any changes to statutory or regulatory requirements relating to Non</w:t>
      </w:r>
      <w:r w:rsidR="0024559D">
        <w:t>-</w:t>
      </w:r>
      <w:r w:rsidRPr="009A5347">
        <w:t xml:space="preserve">operational </w:t>
      </w:r>
      <w:r w:rsidR="0024559D">
        <w:t>C</w:t>
      </w:r>
      <w:r w:rsidRPr="009A5347">
        <w:t>apex IT.</w:t>
      </w:r>
    </w:p>
    <w:p w14:paraId="0EEF4A64" w14:textId="6F3AFE0B" w:rsidR="009A5347" w:rsidRPr="009A5347" w:rsidRDefault="009A5347" w:rsidP="003F1B75">
      <w:pPr>
        <w:pStyle w:val="Heading3"/>
      </w:pPr>
      <w:r w:rsidRPr="009A5347">
        <w:t>When to make an application</w:t>
      </w:r>
    </w:p>
    <w:p w14:paraId="2D6912F6" w14:textId="5E496C7C" w:rsidR="009A5347" w:rsidRPr="009A5347" w:rsidRDefault="009A5347" w:rsidP="00A11410">
      <w:pPr>
        <w:pStyle w:val="NumberedNormal"/>
      </w:pPr>
      <w:r w:rsidRPr="009A5347">
        <w:t xml:space="preserve">The licensee may only apply to the Authority for an adjustment under paragraph </w:t>
      </w:r>
      <w:r w:rsidR="008E7C31">
        <w:t>3.5</w:t>
      </w:r>
      <w:r w:rsidRPr="009A5347">
        <w:t>.4:</w:t>
      </w:r>
    </w:p>
    <w:p w14:paraId="330933A5" w14:textId="705557E0" w:rsidR="009A5347" w:rsidRPr="009A5347" w:rsidRDefault="008E7C31" w:rsidP="00A11410">
      <w:pPr>
        <w:pStyle w:val="ListNormal"/>
      </w:pPr>
      <w:r>
        <w:t>B</w:t>
      </w:r>
      <w:r w:rsidRPr="009A5347">
        <w:t>et</w:t>
      </w:r>
      <w:r>
        <w:t xml:space="preserve">ween </w:t>
      </w:r>
      <w:r w:rsidR="0016349C">
        <w:t>1 April 2021 and 7</w:t>
      </w:r>
      <w:r w:rsidR="009A5347" w:rsidRPr="009A5347">
        <w:t xml:space="preserve"> April </w:t>
      </w:r>
      <w:proofErr w:type="gramStart"/>
      <w:r w:rsidR="009A5347" w:rsidRPr="009A5347">
        <w:t>2021;</w:t>
      </w:r>
      <w:proofErr w:type="gramEnd"/>
      <w:r w:rsidR="009A5347" w:rsidRPr="009A5347">
        <w:t xml:space="preserve"> </w:t>
      </w:r>
    </w:p>
    <w:p w14:paraId="030F1756" w14:textId="151923E3" w:rsidR="009A5347" w:rsidRPr="009A5347" w:rsidRDefault="008E7C31" w:rsidP="00A11410">
      <w:pPr>
        <w:pStyle w:val="ListNormal"/>
      </w:pPr>
      <w:r>
        <w:t>B</w:t>
      </w:r>
      <w:r w:rsidRPr="009A5347">
        <w:t xml:space="preserve">etween </w:t>
      </w:r>
      <w:r w:rsidR="009A5347" w:rsidRPr="009A5347">
        <w:t>25 January 2023 and 31 January 2023</w:t>
      </w:r>
      <w:r w:rsidR="0024559D">
        <w:t>; and</w:t>
      </w:r>
    </w:p>
    <w:p w14:paraId="74FF0246" w14:textId="328BEF5C" w:rsidR="009A5347" w:rsidRPr="009A5347" w:rsidRDefault="0024559D" w:rsidP="00A11410">
      <w:pPr>
        <w:pStyle w:val="ListNormal"/>
      </w:pPr>
      <w:r>
        <w:t>during</w:t>
      </w:r>
      <w:r w:rsidRPr="009A5347">
        <w:t xml:space="preserve"> </w:t>
      </w:r>
      <w:r w:rsidR="009A5347" w:rsidRPr="009A5347">
        <w:t>such other periods as the Authority may direct.</w:t>
      </w:r>
    </w:p>
    <w:p w14:paraId="0D86AF2F" w14:textId="649040AB" w:rsidR="009A5347" w:rsidRPr="009A5347" w:rsidRDefault="009A5347" w:rsidP="00A11410">
      <w:pPr>
        <w:pStyle w:val="Heading3"/>
      </w:pPr>
      <w:r w:rsidRPr="009A5347">
        <w:t>How to make an application</w:t>
      </w:r>
    </w:p>
    <w:p w14:paraId="02FB6962" w14:textId="2B08B5A2" w:rsidR="009A5347" w:rsidRPr="009A5347" w:rsidRDefault="009A5347" w:rsidP="00A11410">
      <w:pPr>
        <w:pStyle w:val="NumberedNormal"/>
      </w:pPr>
      <w:proofErr w:type="gramStart"/>
      <w:r w:rsidRPr="009A5347">
        <w:t>In order to</w:t>
      </w:r>
      <w:proofErr w:type="gramEnd"/>
      <w:r w:rsidRPr="009A5347">
        <w:t xml:space="preserve"> make an application under paragraph </w:t>
      </w:r>
      <w:r w:rsidR="00CE32B7">
        <w:t>3.5</w:t>
      </w:r>
      <w:r w:rsidRPr="009A5347">
        <w:t>.4 the licensee must submit to the Authority a Non</w:t>
      </w:r>
      <w:r w:rsidR="0024559D">
        <w:t>-</w:t>
      </w:r>
      <w:r w:rsidRPr="009A5347">
        <w:t xml:space="preserve">operational </w:t>
      </w:r>
      <w:r w:rsidR="0024559D">
        <w:t>C</w:t>
      </w:r>
      <w:r w:rsidRPr="009A5347">
        <w:t xml:space="preserve">apex IT Plan in writing and: </w:t>
      </w:r>
    </w:p>
    <w:p w14:paraId="591E2501" w14:textId="2528D30F" w:rsidR="0024559D" w:rsidRPr="003C09E1" w:rsidRDefault="0024559D" w:rsidP="00AB1D80">
      <w:pPr>
        <w:pStyle w:val="ListNormal"/>
      </w:pPr>
      <w:r>
        <w:t xml:space="preserve">give </w:t>
      </w:r>
      <w:r w:rsidRPr="003C09E1">
        <w:t xml:space="preserve">details of the circumstances referred to in paragraph </w:t>
      </w:r>
      <w:r>
        <w:t>3.5</w:t>
      </w:r>
      <w:r w:rsidRPr="003C09E1">
        <w:t>.</w:t>
      </w:r>
      <w:r>
        <w:t>4</w:t>
      </w:r>
      <w:r w:rsidRPr="003C09E1">
        <w:t xml:space="preserve"> that the licensee considers </w:t>
      </w:r>
      <w:proofErr w:type="gramStart"/>
      <w:r w:rsidRPr="003C09E1">
        <w:t>exist;</w:t>
      </w:r>
      <w:proofErr w:type="gramEnd"/>
    </w:p>
    <w:p w14:paraId="747E70D3" w14:textId="77777777" w:rsidR="0024559D" w:rsidRPr="00D1404E" w:rsidRDefault="0024559D" w:rsidP="0024559D">
      <w:pPr>
        <w:pStyle w:val="ListNormal"/>
        <w:tabs>
          <w:tab w:val="num" w:pos="879"/>
        </w:tabs>
      </w:pPr>
      <w:r>
        <w:t xml:space="preserve">explain how the adjustment requested would improve its Non-operational Capex </w:t>
      </w:r>
      <w:proofErr w:type="gramStart"/>
      <w:r>
        <w:t>IT;</w:t>
      </w:r>
      <w:proofErr w:type="gramEnd"/>
    </w:p>
    <w:p w14:paraId="31BB4A36" w14:textId="77777777" w:rsidR="0024559D" w:rsidRPr="00D1404E" w:rsidRDefault="0024559D" w:rsidP="0024559D">
      <w:pPr>
        <w:pStyle w:val="ListNormal"/>
        <w:tabs>
          <w:tab w:val="num" w:pos="879"/>
        </w:tabs>
      </w:pPr>
      <w:r>
        <w:t>explain the basis of the calculations for the adjustment requested to allowances; and</w:t>
      </w:r>
    </w:p>
    <w:p w14:paraId="791AC152" w14:textId="77777777" w:rsidR="0024559D" w:rsidRDefault="0024559D" w:rsidP="0024559D">
      <w:pPr>
        <w:pStyle w:val="ListNormal"/>
        <w:tabs>
          <w:tab w:val="num" w:pos="879"/>
        </w:tabs>
      </w:pPr>
      <w:r>
        <w:t xml:space="preserve">give details of anticipated business benefits derived from any risk reduction </w:t>
      </w:r>
      <w:proofErr w:type="gramStart"/>
      <w:r>
        <w:t>as a result of</w:t>
      </w:r>
      <w:proofErr w:type="gramEnd"/>
      <w:r>
        <w:t xml:space="preserve"> the proposed activities; and</w:t>
      </w:r>
    </w:p>
    <w:p w14:paraId="1277607A" w14:textId="77777777" w:rsidR="0024559D" w:rsidRPr="00D1404E" w:rsidRDefault="0024559D" w:rsidP="0024559D">
      <w:pPr>
        <w:pStyle w:val="ListNormal"/>
        <w:tabs>
          <w:tab w:val="num" w:pos="879"/>
        </w:tabs>
      </w:pPr>
      <w:r>
        <w:t>provide such detailed supporting evidence, as is reasonable in the circumstances, which must include:</w:t>
      </w:r>
    </w:p>
    <w:p w14:paraId="08BCDB33" w14:textId="77777777" w:rsidR="0024559D" w:rsidRPr="00D1404E" w:rsidRDefault="0024559D" w:rsidP="00AB1D80">
      <w:pPr>
        <w:pStyle w:val="ListNormal"/>
        <w:numPr>
          <w:ilvl w:val="4"/>
          <w:numId w:val="8"/>
        </w:numPr>
      </w:pPr>
      <w:r w:rsidRPr="0024559D">
        <w:t>Improvement</w:t>
      </w:r>
      <w:r w:rsidRPr="00D1404E">
        <w:t xml:space="preserve"> </w:t>
      </w:r>
      <w:proofErr w:type="gramStart"/>
      <w:r>
        <w:t>P</w:t>
      </w:r>
      <w:r w:rsidRPr="00D1404E">
        <w:t>lans;</w:t>
      </w:r>
      <w:proofErr w:type="gramEnd"/>
    </w:p>
    <w:p w14:paraId="6C8ECAFC" w14:textId="77777777" w:rsidR="0024559D" w:rsidRDefault="0024559D" w:rsidP="00AB1D80">
      <w:pPr>
        <w:pStyle w:val="ListNormal"/>
        <w:numPr>
          <w:ilvl w:val="4"/>
          <w:numId w:val="8"/>
        </w:numPr>
      </w:pPr>
      <w:r w:rsidRPr="00D1404E">
        <w:t xml:space="preserve">a prioritisation </w:t>
      </w:r>
      <w:proofErr w:type="gramStart"/>
      <w:r w:rsidRPr="00D1404E">
        <w:t>programme;</w:t>
      </w:r>
      <w:proofErr w:type="gramEnd"/>
      <w:r>
        <w:t xml:space="preserve"> </w:t>
      </w:r>
    </w:p>
    <w:p w14:paraId="5031F3D1" w14:textId="66EE445B" w:rsidR="0024559D" w:rsidRPr="00D1404E" w:rsidRDefault="0024559D" w:rsidP="00AB1D80">
      <w:pPr>
        <w:pStyle w:val="ListNormal"/>
        <w:numPr>
          <w:ilvl w:val="4"/>
          <w:numId w:val="8"/>
        </w:numPr>
      </w:pPr>
      <w:r>
        <w:t>market and industry cost comparison; and</w:t>
      </w:r>
    </w:p>
    <w:p w14:paraId="4B641248" w14:textId="0E7A1F5F" w:rsidR="0024559D" w:rsidRPr="009A5347" w:rsidRDefault="0024559D" w:rsidP="00024C8F">
      <w:pPr>
        <w:pStyle w:val="ListNormal"/>
        <w:numPr>
          <w:ilvl w:val="4"/>
          <w:numId w:val="8"/>
        </w:numPr>
      </w:pPr>
      <w:r>
        <w:t xml:space="preserve">anticipated business benefits derived from any risk reduction </w:t>
      </w:r>
      <w:proofErr w:type="gramStart"/>
      <w:r>
        <w:t>as a result of</w:t>
      </w:r>
      <w:proofErr w:type="gramEnd"/>
      <w:r>
        <w:t xml:space="preserve"> the proposed activities.</w:t>
      </w:r>
    </w:p>
    <w:p w14:paraId="5CA8A540" w14:textId="082CCCDE" w:rsidR="009A5347" w:rsidRPr="009A5347" w:rsidRDefault="009A5347" w:rsidP="00A11410">
      <w:pPr>
        <w:pStyle w:val="NumberedNormal"/>
      </w:pPr>
      <w:r w:rsidRPr="009A5347">
        <w:lastRenderedPageBreak/>
        <w:t xml:space="preserve">An application under paragraph </w:t>
      </w:r>
      <w:r w:rsidR="00CE32B7">
        <w:t>3.5</w:t>
      </w:r>
      <w:r w:rsidRPr="009A5347">
        <w:t xml:space="preserve">.4 must: </w:t>
      </w:r>
    </w:p>
    <w:p w14:paraId="280C11EE" w14:textId="77777777" w:rsidR="009A5347" w:rsidRPr="009A5347" w:rsidRDefault="009A5347" w:rsidP="00A11410">
      <w:pPr>
        <w:pStyle w:val="ListNormal"/>
      </w:pPr>
      <w:r w:rsidRPr="009A5347">
        <w:t xml:space="preserve">take account of any allowed expenditure, which can be avoided </w:t>
      </w:r>
      <w:proofErr w:type="gramStart"/>
      <w:r w:rsidRPr="009A5347">
        <w:t>as a result of</w:t>
      </w:r>
      <w:proofErr w:type="gramEnd"/>
      <w:r w:rsidRPr="009A5347">
        <w:t xml:space="preserve"> the adjustment; and</w:t>
      </w:r>
    </w:p>
    <w:p w14:paraId="721898A5" w14:textId="3336A298" w:rsidR="009A5347" w:rsidRPr="009A5347" w:rsidRDefault="00FC6DEF" w:rsidP="00A11410">
      <w:pPr>
        <w:pStyle w:val="ListNormal"/>
      </w:pPr>
      <w:r>
        <w:t>be confined</w:t>
      </w:r>
      <w:r w:rsidRPr="009A5347">
        <w:t xml:space="preserve"> </w:t>
      </w:r>
      <w:r w:rsidR="009A5347" w:rsidRPr="009A5347">
        <w:t>to costs incurred or expected to be incurred</w:t>
      </w:r>
      <w:r w:rsidR="002F1578">
        <w:t xml:space="preserve"> on or</w:t>
      </w:r>
      <w:r w:rsidR="009A5347" w:rsidRPr="009A5347">
        <w:t xml:space="preserve"> after 1 April 2021.  </w:t>
      </w:r>
    </w:p>
    <w:p w14:paraId="37128561" w14:textId="527AC902" w:rsidR="009A5347" w:rsidRPr="009A5347" w:rsidRDefault="009A5347" w:rsidP="00A11410">
      <w:pPr>
        <w:pStyle w:val="Heading3"/>
      </w:pPr>
      <w:r w:rsidRPr="009A5347">
        <w:t>Authority triggered re-opener</w:t>
      </w:r>
    </w:p>
    <w:p w14:paraId="1412A6C1" w14:textId="3FD54DB4" w:rsidR="00FC6DEF" w:rsidRDefault="00FC6DEF" w:rsidP="00FC6DEF">
      <w:pPr>
        <w:pStyle w:val="NumberedNormal"/>
      </w:pPr>
      <w:r>
        <w:t xml:space="preserve">The Authority will also consider directing an adjustment to the value of the </w:t>
      </w:r>
      <w:proofErr w:type="spellStart"/>
      <w:r>
        <w:t>NOIT</w:t>
      </w:r>
      <w:r w:rsidRPr="0068584C">
        <w:rPr>
          <w:vertAlign w:val="subscript"/>
        </w:rPr>
        <w:t>t</w:t>
      </w:r>
      <w:proofErr w:type="spellEnd"/>
      <w:r>
        <w:t xml:space="preserve"> </w:t>
      </w:r>
      <w:r w:rsidR="00977C23">
        <w:t xml:space="preserve">term </w:t>
      </w:r>
      <w:r>
        <w:t>without an application being made under paragraph 3.5.4 where it considers that:</w:t>
      </w:r>
    </w:p>
    <w:p w14:paraId="2A93ED37" w14:textId="24824089" w:rsidR="00FC6DEF" w:rsidRDefault="00FC6DEF" w:rsidP="00FC6DEF">
      <w:pPr>
        <w:pStyle w:val="ListNormal"/>
        <w:tabs>
          <w:tab w:val="num" w:pos="879"/>
        </w:tabs>
      </w:pPr>
      <w:r>
        <w:t>circumstances of the type referred to in paragraph 3.5.4 exist; and</w:t>
      </w:r>
    </w:p>
    <w:p w14:paraId="08002C2D" w14:textId="7A66E031" w:rsidR="00FC6DEF" w:rsidRPr="00D1404E" w:rsidRDefault="00FC6DEF" w:rsidP="00FC6DEF">
      <w:pPr>
        <w:pStyle w:val="ListNormal"/>
        <w:tabs>
          <w:tab w:val="num" w:pos="879"/>
        </w:tabs>
      </w:pPr>
      <w:r>
        <w:t>costs were incurred</w:t>
      </w:r>
      <w:r w:rsidR="00CE32B7">
        <w:t>,</w:t>
      </w:r>
      <w:r>
        <w:t xml:space="preserve"> or will be incurred</w:t>
      </w:r>
      <w:r w:rsidR="00CE32B7">
        <w:t xml:space="preserve">, </w:t>
      </w:r>
      <w:r w:rsidR="002F1578">
        <w:t xml:space="preserve">on or </w:t>
      </w:r>
      <w:r>
        <w:t>after 1 April 2021.</w:t>
      </w:r>
    </w:p>
    <w:p w14:paraId="258DB99E" w14:textId="01437172" w:rsidR="009A5347" w:rsidRPr="009A5347" w:rsidRDefault="009A5347" w:rsidP="003E1E19">
      <w:pPr>
        <w:pStyle w:val="Heading3"/>
      </w:pPr>
      <w:r w:rsidRPr="009A5347">
        <w:t>What process will the Authority follow in making a direction?</w:t>
      </w:r>
    </w:p>
    <w:p w14:paraId="4916B292" w14:textId="0A006DAF" w:rsidR="009A5347" w:rsidRPr="009A5347" w:rsidRDefault="009A5347" w:rsidP="00EE4FEB">
      <w:pPr>
        <w:pStyle w:val="NumberedNormal"/>
      </w:pPr>
      <w:r w:rsidRPr="009A5347">
        <w:t xml:space="preserve">Before making a direction under </w:t>
      </w:r>
      <w:r w:rsidR="00FC6DEF">
        <w:t xml:space="preserve">paragraph </w:t>
      </w:r>
      <w:r w:rsidR="00CE32B7">
        <w:t>3.5</w:t>
      </w:r>
      <w:r w:rsidRPr="009A5347">
        <w:t xml:space="preserve">.4 </w:t>
      </w:r>
      <w:r w:rsidR="00FC6DEF">
        <w:t>or</w:t>
      </w:r>
      <w:r w:rsidR="00FC6DEF" w:rsidRPr="009A5347">
        <w:t xml:space="preserve"> </w:t>
      </w:r>
      <w:r w:rsidR="00CE32B7">
        <w:t>3.5</w:t>
      </w:r>
      <w:r w:rsidRPr="009A5347">
        <w:t>.</w:t>
      </w:r>
      <w:r w:rsidR="00FC6DEF">
        <w:t>8</w:t>
      </w:r>
      <w:r w:rsidRPr="009A5347">
        <w:t>, the Authority will publish on the Authority's Website:</w:t>
      </w:r>
    </w:p>
    <w:p w14:paraId="06CD7285" w14:textId="77777777" w:rsidR="009A5347" w:rsidRPr="009A5347" w:rsidRDefault="009A5347" w:rsidP="00EE4FEB">
      <w:pPr>
        <w:pStyle w:val="ListNormal"/>
      </w:pPr>
      <w:r w:rsidRPr="009A5347">
        <w:t xml:space="preserve">the text of the proposed </w:t>
      </w:r>
      <w:proofErr w:type="gramStart"/>
      <w:r w:rsidRPr="009A5347">
        <w:t>direction;</w:t>
      </w:r>
      <w:proofErr w:type="gramEnd"/>
    </w:p>
    <w:p w14:paraId="12AF05E0" w14:textId="77777777" w:rsidR="009A5347" w:rsidRPr="009A5347" w:rsidRDefault="009A5347" w:rsidP="00EE4FEB">
      <w:pPr>
        <w:pStyle w:val="ListNormal"/>
      </w:pPr>
      <w:r w:rsidRPr="009A5347">
        <w:t>the reasons for the proposed direction; and</w:t>
      </w:r>
    </w:p>
    <w:p w14:paraId="5F8126A2" w14:textId="4D7C91F7" w:rsidR="009A5347" w:rsidRPr="009A5347" w:rsidRDefault="00FC6DEF" w:rsidP="00EE4FEB">
      <w:pPr>
        <w:pStyle w:val="ListNormal"/>
      </w:pPr>
      <w:r>
        <w:t>a period during which representations may be made on the proposed direction, which will not be less than 28 days.</w:t>
      </w:r>
    </w:p>
    <w:p w14:paraId="05CF23AB" w14:textId="3D9208B8" w:rsidR="009A5347" w:rsidRPr="009A5347" w:rsidRDefault="009A5347" w:rsidP="00EE4FEB">
      <w:pPr>
        <w:pStyle w:val="NumberedNormal"/>
      </w:pPr>
      <w:r w:rsidRPr="009A5347">
        <w:t>The direction will set out</w:t>
      </w:r>
      <w:r w:rsidR="00FC6DEF">
        <w:t xml:space="preserve"> </w:t>
      </w:r>
      <w:r w:rsidRPr="009A5347">
        <w:t xml:space="preserve">any adjustments to the value of the </w:t>
      </w:r>
      <w:proofErr w:type="spellStart"/>
      <w:r w:rsidRPr="009A5347">
        <w:t>NOITt</w:t>
      </w:r>
      <w:proofErr w:type="spellEnd"/>
      <w:r w:rsidRPr="009A5347">
        <w:t xml:space="preserve"> term and the Regulatory Years to which those adjustments relate.</w:t>
      </w:r>
    </w:p>
    <w:p w14:paraId="01344467" w14:textId="46503322" w:rsidR="00F44816" w:rsidRDefault="00F44816" w:rsidP="00D35DF9">
      <w:pPr>
        <w:pStyle w:val="Heading2"/>
      </w:pPr>
      <w:bookmarkStart w:id="56" w:name="_Toc51319604"/>
      <w:bookmarkStart w:id="57" w:name="_Toc51798265"/>
      <w:bookmarkStart w:id="58" w:name="_Toc52364889"/>
      <w:r>
        <w:t>Net Zero Re-opener</w:t>
      </w:r>
      <w:bookmarkEnd w:id="56"/>
      <w:r w:rsidR="00CB3AD3">
        <w:t xml:space="preserve"> (</w:t>
      </w:r>
      <w:proofErr w:type="spellStart"/>
      <w:r w:rsidR="00CB3AD3">
        <w:t>NZ</w:t>
      </w:r>
      <w:r w:rsidR="00CB3AD3" w:rsidRPr="0068584C">
        <w:rPr>
          <w:vertAlign w:val="subscript"/>
        </w:rPr>
        <w:t>t</w:t>
      </w:r>
      <w:proofErr w:type="spellEnd"/>
      <w:r w:rsidR="00CB3AD3">
        <w:t>)</w:t>
      </w:r>
      <w:bookmarkEnd w:id="57"/>
      <w:bookmarkEnd w:id="58"/>
    </w:p>
    <w:p w14:paraId="7A11AE75" w14:textId="77777777" w:rsidR="00FA0103" w:rsidRPr="00FA0103" w:rsidRDefault="00FA0103" w:rsidP="00320640">
      <w:pPr>
        <w:pStyle w:val="Heading3"/>
        <w:numPr>
          <w:ilvl w:val="0"/>
          <w:numId w:val="0"/>
        </w:numPr>
      </w:pPr>
      <w:r w:rsidRPr="00FA0103">
        <w:t xml:space="preserve">Introduction </w:t>
      </w:r>
    </w:p>
    <w:p w14:paraId="33656755" w14:textId="02DF1E6D" w:rsidR="00FA0103" w:rsidRDefault="00FA0103" w:rsidP="00DF1F66">
      <w:pPr>
        <w:pStyle w:val="NumberedNormal"/>
      </w:pPr>
      <w:r w:rsidRPr="00FA0103">
        <w:t>The purpose of this condition is to</w:t>
      </w:r>
      <w:r w:rsidR="00CB3AD3">
        <w:t xml:space="preserve"> </w:t>
      </w:r>
      <w:r w:rsidRPr="00FA0103">
        <w:t xml:space="preserve">calculate the term </w:t>
      </w:r>
      <w:proofErr w:type="spellStart"/>
      <w:r w:rsidRPr="00FA0103">
        <w:t>NZ</w:t>
      </w:r>
      <w:r w:rsidRPr="0068584C">
        <w:rPr>
          <w:vertAlign w:val="subscript"/>
        </w:rPr>
        <w:t>t</w:t>
      </w:r>
      <w:proofErr w:type="spellEnd"/>
      <w:r w:rsidRPr="00FA0103">
        <w:t xml:space="preserve"> (the Net Zero term).  </w:t>
      </w:r>
      <w:r w:rsidR="00CB3AD3">
        <w:t>This</w:t>
      </w:r>
      <w:r w:rsidR="00CB3AD3" w:rsidRPr="00FA0103">
        <w:t xml:space="preserve"> </w:t>
      </w:r>
      <w:r w:rsidRPr="00FA0103">
        <w:t>contributes to the</w:t>
      </w:r>
      <w:r w:rsidR="00CB3AD3">
        <w:t xml:space="preserve"> calculation of the</w:t>
      </w:r>
      <w:r w:rsidRPr="00FA0103">
        <w:t xml:space="preserve"> </w:t>
      </w:r>
      <w:r w:rsidR="00BB1C60">
        <w:t>Totex Allowance</w:t>
      </w:r>
      <w:r w:rsidR="00CB3AD3">
        <w:t>.</w:t>
      </w:r>
    </w:p>
    <w:p w14:paraId="543A096F" w14:textId="1D3B80A0" w:rsidR="00FA0103" w:rsidRPr="00FA0103" w:rsidRDefault="00CB3AD3" w:rsidP="00DF1F66">
      <w:pPr>
        <w:pStyle w:val="NumberedNormal"/>
      </w:pPr>
      <w:r>
        <w:t xml:space="preserve">The effect of this condition is to </w:t>
      </w:r>
      <w:r w:rsidR="00FA0103" w:rsidRPr="00FA0103">
        <w:t xml:space="preserve">establish a Re-opener for the Authority to trigger amendments to the value of </w:t>
      </w:r>
      <w:proofErr w:type="spellStart"/>
      <w:r w:rsidR="00FA0103" w:rsidRPr="00FA0103">
        <w:t>NZ</w:t>
      </w:r>
      <w:r w:rsidR="00FA0103" w:rsidRPr="0068584C">
        <w:rPr>
          <w:vertAlign w:val="subscript"/>
        </w:rPr>
        <w:t>t</w:t>
      </w:r>
      <w:proofErr w:type="spellEnd"/>
      <w:r w:rsidR="00FA0103" w:rsidRPr="00FA0103">
        <w:t xml:space="preserve"> or the outputs set out in the </w:t>
      </w:r>
      <w:r>
        <w:t>s</w:t>
      </w:r>
      <w:r w:rsidR="00FA0103" w:rsidRPr="00FA0103">
        <w:t xml:space="preserve">pecial </w:t>
      </w:r>
      <w:r>
        <w:t>c</w:t>
      </w:r>
      <w:r w:rsidR="00FA0103" w:rsidRPr="00FA0103">
        <w:t xml:space="preserve">onditions of this licence. </w:t>
      </w:r>
    </w:p>
    <w:p w14:paraId="5188D432" w14:textId="77777777" w:rsidR="00FA0103" w:rsidRPr="00FA0103" w:rsidRDefault="00FA0103" w:rsidP="00DF1F66">
      <w:pPr>
        <w:pStyle w:val="NumberedNormal"/>
      </w:pPr>
      <w:r w:rsidRPr="00FA0103">
        <w:t xml:space="preserve">This condition also explains the process the Authority will follow when directing any changes </w:t>
      </w:r>
      <w:proofErr w:type="gramStart"/>
      <w:r w:rsidRPr="00FA0103">
        <w:t>as a result of</w:t>
      </w:r>
      <w:proofErr w:type="gramEnd"/>
      <w:r w:rsidRPr="00FA0103">
        <w:t xml:space="preserve"> the Re-opener. </w:t>
      </w:r>
    </w:p>
    <w:p w14:paraId="09415916" w14:textId="39356F55" w:rsidR="00FA0103" w:rsidRPr="00FA0103" w:rsidRDefault="00FA0103" w:rsidP="00DF1F66">
      <w:pPr>
        <w:pStyle w:val="Heading3"/>
      </w:pPr>
      <w:r w:rsidRPr="00FA0103">
        <w:t>What is the scope of this Re-opener?</w:t>
      </w:r>
    </w:p>
    <w:p w14:paraId="2B034915" w14:textId="3EF87DD5" w:rsidR="00FA0103" w:rsidRPr="00FA0103" w:rsidRDefault="00FA0103" w:rsidP="00DF1F66">
      <w:pPr>
        <w:pStyle w:val="NumberedNormal"/>
      </w:pPr>
      <w:r w:rsidRPr="00FA0103">
        <w:t xml:space="preserve">The Authority will consider directing an adjustment to the value of the </w:t>
      </w:r>
      <w:proofErr w:type="spellStart"/>
      <w:r w:rsidRPr="00FA0103">
        <w:t>NZt</w:t>
      </w:r>
      <w:proofErr w:type="spellEnd"/>
      <w:r w:rsidRPr="00FA0103">
        <w:t xml:space="preserve"> term or the outputs set out in in the </w:t>
      </w:r>
      <w:r w:rsidR="00CB3AD3">
        <w:t>s</w:t>
      </w:r>
      <w:r w:rsidRPr="00FA0103">
        <w:t xml:space="preserve">pecial </w:t>
      </w:r>
      <w:r w:rsidR="00CB3AD3">
        <w:t>c</w:t>
      </w:r>
      <w:r w:rsidRPr="00FA0103">
        <w:t xml:space="preserve">onditions of this licence where in its </w:t>
      </w:r>
      <w:r w:rsidR="00CE32B7">
        <w:t>opinion</w:t>
      </w:r>
      <w:r w:rsidRPr="00FA0103">
        <w:t>:</w:t>
      </w:r>
    </w:p>
    <w:p w14:paraId="381764ED" w14:textId="77777777" w:rsidR="00FA0103" w:rsidRPr="00FA0103" w:rsidRDefault="00FA0103" w:rsidP="00DF1F66">
      <w:pPr>
        <w:pStyle w:val="ListNormal"/>
      </w:pPr>
      <w:r w:rsidRPr="00FA0103">
        <w:t xml:space="preserve">a Net Zero Development has occurred or is expected to </w:t>
      </w:r>
      <w:proofErr w:type="gramStart"/>
      <w:r w:rsidRPr="00FA0103">
        <w:t>occur;</w:t>
      </w:r>
      <w:proofErr w:type="gramEnd"/>
    </w:p>
    <w:p w14:paraId="748797B5" w14:textId="1DFBF63E" w:rsidR="00FA0103" w:rsidRPr="00FA0103" w:rsidRDefault="00FA0103" w:rsidP="00DF1F66">
      <w:pPr>
        <w:pStyle w:val="ListNormal"/>
      </w:pPr>
      <w:r w:rsidRPr="00FA0103">
        <w:lastRenderedPageBreak/>
        <w:t xml:space="preserve">the Net Zero Development has caused or is expected to cause the </w:t>
      </w:r>
      <w:r w:rsidR="00CB3AD3">
        <w:t>cost of License</w:t>
      </w:r>
      <w:r w:rsidR="00097773">
        <w:t>d</w:t>
      </w:r>
      <w:r w:rsidR="00CB3AD3">
        <w:t xml:space="preserve"> Activity</w:t>
      </w:r>
      <w:r w:rsidRPr="00FA0103">
        <w:t xml:space="preserve"> to increase or decrease during the Price Control </w:t>
      </w:r>
      <w:proofErr w:type="gramStart"/>
      <w:r w:rsidRPr="00FA0103">
        <w:t>Period;</w:t>
      </w:r>
      <w:proofErr w:type="gramEnd"/>
      <w:r w:rsidRPr="00FA0103">
        <w:t xml:space="preserve"> </w:t>
      </w:r>
    </w:p>
    <w:p w14:paraId="3B556DD5" w14:textId="52D673A4" w:rsidR="00CB3AD3" w:rsidRDefault="00FA0103" w:rsidP="00DF1F66">
      <w:pPr>
        <w:pStyle w:val="ListNormal"/>
      </w:pPr>
      <w:r w:rsidRPr="00FA0103">
        <w:t xml:space="preserve">the effect of the Net Zero Development on the </w:t>
      </w:r>
      <w:r w:rsidR="00CB3AD3">
        <w:t>cost of License</w:t>
      </w:r>
      <w:r w:rsidR="00097773">
        <w:t>d</w:t>
      </w:r>
      <w:r w:rsidR="00CB3AD3">
        <w:t xml:space="preserve"> Activity</w:t>
      </w:r>
      <w:r w:rsidRPr="00FA0103">
        <w:t xml:space="preserve"> is not otherwise provided for in this </w:t>
      </w:r>
      <w:proofErr w:type="gramStart"/>
      <w:r w:rsidRPr="00FA0103">
        <w:t>licence</w:t>
      </w:r>
      <w:r w:rsidR="00CB3AD3">
        <w:t>;</w:t>
      </w:r>
      <w:proofErr w:type="gramEnd"/>
    </w:p>
    <w:p w14:paraId="10D40320" w14:textId="69DD5395" w:rsidR="00FA0103" w:rsidRPr="00FA0103" w:rsidRDefault="00CB3AD3" w:rsidP="00DF1F66">
      <w:pPr>
        <w:pStyle w:val="ListNormal"/>
      </w:pPr>
      <w:r>
        <w:t>the effect of the Net Zero Development</w:t>
      </w:r>
      <w:r w:rsidR="00FA0103" w:rsidRPr="00FA0103">
        <w:t xml:space="preserve"> has not already been assessed under another Re-</w:t>
      </w:r>
      <w:proofErr w:type="gramStart"/>
      <w:r w:rsidR="00FA0103" w:rsidRPr="00FA0103">
        <w:t>opener;</w:t>
      </w:r>
      <w:proofErr w:type="gramEnd"/>
      <w:r w:rsidR="00FA0103" w:rsidRPr="00FA0103">
        <w:t xml:space="preserve"> and</w:t>
      </w:r>
    </w:p>
    <w:p w14:paraId="3088AC95" w14:textId="309AD980" w:rsidR="00FA0103" w:rsidRPr="00FA0103" w:rsidRDefault="00FA0103" w:rsidP="00DF1F66">
      <w:pPr>
        <w:pStyle w:val="ListNormal"/>
      </w:pPr>
      <w:r w:rsidRPr="00FA0103">
        <w:t xml:space="preserve"> the effect, or estimated effect, of the Net Zero Development on the </w:t>
      </w:r>
      <w:r w:rsidR="00575517">
        <w:t>cost of License</w:t>
      </w:r>
      <w:r w:rsidR="00097773">
        <w:t>d</w:t>
      </w:r>
      <w:r w:rsidR="00575517">
        <w:t xml:space="preserve"> Activity</w:t>
      </w:r>
      <w:r w:rsidRPr="00FA0103">
        <w:t xml:space="preserve"> </w:t>
      </w:r>
      <w:r w:rsidR="00575517">
        <w:t>exceeds</w:t>
      </w:r>
      <w:r w:rsidRPr="00FA0103">
        <w:t xml:space="preserve"> the materiality threshold set out in Appendix 1.</w:t>
      </w:r>
    </w:p>
    <w:p w14:paraId="06518E53" w14:textId="114D2899" w:rsidR="00FA0103" w:rsidRPr="00FA0103" w:rsidRDefault="00FA0103" w:rsidP="00DF1F66">
      <w:pPr>
        <w:pStyle w:val="Heading3"/>
      </w:pPr>
      <w:r w:rsidRPr="00FA0103">
        <w:t xml:space="preserve"> What process will the Authority follow in making a direction?</w:t>
      </w:r>
    </w:p>
    <w:p w14:paraId="01CDB07E" w14:textId="5E002AB2" w:rsidR="00FA0103" w:rsidRPr="00FA0103" w:rsidRDefault="00FA0103" w:rsidP="00DF1F66">
      <w:pPr>
        <w:pStyle w:val="NumberedNormal"/>
      </w:pPr>
      <w:r w:rsidRPr="00FA0103">
        <w:t xml:space="preserve">Before making a direction under paragraph </w:t>
      </w:r>
      <w:r w:rsidR="00CE32B7">
        <w:t>3.6</w:t>
      </w:r>
      <w:r w:rsidRPr="00FA0103">
        <w:t>.</w:t>
      </w:r>
      <w:r w:rsidR="00575517">
        <w:t>4</w:t>
      </w:r>
      <w:r w:rsidR="00575517" w:rsidRPr="00FA0103">
        <w:t xml:space="preserve"> </w:t>
      </w:r>
      <w:r w:rsidRPr="00FA0103">
        <w:t>the Authority will publish on the Authority's Website:</w:t>
      </w:r>
    </w:p>
    <w:p w14:paraId="4AF876F0" w14:textId="77777777" w:rsidR="00FA0103" w:rsidRPr="00FA0103" w:rsidRDefault="00FA0103" w:rsidP="00DF1F66">
      <w:pPr>
        <w:pStyle w:val="ListNormal"/>
      </w:pPr>
      <w:r w:rsidRPr="00FA0103">
        <w:t xml:space="preserve">the text of the proposed </w:t>
      </w:r>
      <w:proofErr w:type="gramStart"/>
      <w:r w:rsidRPr="00FA0103">
        <w:t>direction;</w:t>
      </w:r>
      <w:proofErr w:type="gramEnd"/>
    </w:p>
    <w:p w14:paraId="38F7B2A0" w14:textId="77777777" w:rsidR="00FA0103" w:rsidRPr="00FA0103" w:rsidRDefault="00FA0103" w:rsidP="00DF1F66">
      <w:pPr>
        <w:pStyle w:val="ListNormal"/>
      </w:pPr>
      <w:r w:rsidRPr="00FA0103">
        <w:t>the reasons for the proposed direction; and</w:t>
      </w:r>
    </w:p>
    <w:p w14:paraId="118C8203" w14:textId="4772D218" w:rsidR="00FA0103" w:rsidRPr="00FA0103" w:rsidRDefault="00575517" w:rsidP="00DF1F66">
      <w:pPr>
        <w:pStyle w:val="ListNormal"/>
      </w:pPr>
      <w:r>
        <w:t>a period during which representations may be made on the proposed direction, which will not be less than 28 days</w:t>
      </w:r>
      <w:r w:rsidR="00FA0103" w:rsidRPr="00FA0103">
        <w:t>.</w:t>
      </w:r>
    </w:p>
    <w:p w14:paraId="5664776B" w14:textId="77777777" w:rsidR="00FA0103" w:rsidRPr="00FA0103" w:rsidRDefault="00FA0103" w:rsidP="00DF1F66">
      <w:pPr>
        <w:pStyle w:val="NumberedNormal"/>
      </w:pPr>
      <w:r w:rsidRPr="00FA0103">
        <w:t>The direction will set out:</w:t>
      </w:r>
    </w:p>
    <w:p w14:paraId="4774BE0A" w14:textId="77777777" w:rsidR="00152B33" w:rsidRDefault="00152B33" w:rsidP="00DF1F66">
      <w:pPr>
        <w:pStyle w:val="ListNormal"/>
      </w:pPr>
      <w:r w:rsidRPr="00FA0103">
        <w:t xml:space="preserve">any adjustments to the value of the </w:t>
      </w:r>
      <w:proofErr w:type="spellStart"/>
      <w:r w:rsidRPr="00FA0103">
        <w:t>NZt</w:t>
      </w:r>
      <w:proofErr w:type="spellEnd"/>
      <w:r w:rsidRPr="00FA0103">
        <w:t xml:space="preserve"> term and the Regulatory Years to which those adjustments relate</w:t>
      </w:r>
      <w:r>
        <w:t>; and</w:t>
      </w:r>
    </w:p>
    <w:p w14:paraId="674624E7" w14:textId="428272E7" w:rsidR="00FA0103" w:rsidRPr="00FA0103" w:rsidRDefault="00152B33" w:rsidP="00DF1F66">
      <w:pPr>
        <w:pStyle w:val="ListNormal"/>
      </w:pPr>
      <w:r w:rsidRPr="00FA0103">
        <w:t xml:space="preserve"> </w:t>
      </w:r>
      <w:r w:rsidR="00FA0103" w:rsidRPr="00FA0103">
        <w:t xml:space="preserve">any amendments to the outputs in the </w:t>
      </w:r>
      <w:r>
        <w:t>s</w:t>
      </w:r>
      <w:r w:rsidR="00FA0103" w:rsidRPr="00FA0103">
        <w:t xml:space="preserve">pecial </w:t>
      </w:r>
      <w:r>
        <w:t>c</w:t>
      </w:r>
      <w:r w:rsidR="00FA0103" w:rsidRPr="00FA0103">
        <w:t>onditions of this licence</w:t>
      </w:r>
      <w:r>
        <w:t>.</w:t>
      </w:r>
    </w:p>
    <w:p w14:paraId="09029461" w14:textId="1AF2BDFC" w:rsidR="00FA0103" w:rsidRPr="00FA0103" w:rsidRDefault="00FA0103" w:rsidP="006C1945">
      <w:pPr>
        <w:pStyle w:val="ListNormal"/>
        <w:numPr>
          <w:ilvl w:val="0"/>
          <w:numId w:val="0"/>
        </w:numPr>
        <w:ind w:left="1236"/>
      </w:pPr>
    </w:p>
    <w:p w14:paraId="4EF2D27B" w14:textId="351FF3F9" w:rsidR="00DF1F66" w:rsidRPr="00DF1F66" w:rsidRDefault="00DF1F66" w:rsidP="00D447CC">
      <w:pPr>
        <w:pStyle w:val="AppendixHeading"/>
      </w:pPr>
      <w:bookmarkStart w:id="59" w:name="_Toc51798266"/>
      <w:bookmarkEnd w:id="59"/>
    </w:p>
    <w:p w14:paraId="54819EA9" w14:textId="3074D4BD" w:rsidR="00DF1F66" w:rsidRDefault="00DF1F66" w:rsidP="00D447CC">
      <w:pPr>
        <w:pStyle w:val="Caption"/>
      </w:pPr>
      <w:r w:rsidRPr="00DF1F66">
        <w:t>Materiality threshold for Net Zero Re-opener</w:t>
      </w:r>
    </w:p>
    <w:tbl>
      <w:tblPr>
        <w:tblStyle w:val="AppendixTable"/>
        <w:tblW w:w="5000" w:type="pct"/>
        <w:tblLook w:val="04A0" w:firstRow="1" w:lastRow="0" w:firstColumn="1" w:lastColumn="0" w:noHBand="0" w:noVBand="1"/>
      </w:tblPr>
      <w:tblGrid>
        <w:gridCol w:w="4513"/>
        <w:gridCol w:w="4513"/>
      </w:tblGrid>
      <w:tr w:rsidR="00DF1F66" w:rsidRPr="00DE541A" w14:paraId="5AC9BF41" w14:textId="77777777" w:rsidTr="00D447CC">
        <w:trPr>
          <w:cnfStyle w:val="100000000000" w:firstRow="1" w:lastRow="0" w:firstColumn="0" w:lastColumn="0" w:oddVBand="0" w:evenVBand="0" w:oddHBand="0" w:evenHBand="0" w:firstRowFirstColumn="0" w:firstRowLastColumn="0" w:lastRowFirstColumn="0" w:lastRowLastColumn="0"/>
          <w:trHeight w:val="305"/>
        </w:trPr>
        <w:tc>
          <w:tcPr>
            <w:tcW w:w="2500" w:type="pct"/>
          </w:tcPr>
          <w:p w14:paraId="2E208D9F" w14:textId="77777777" w:rsidR="00DF1F66" w:rsidRPr="00DF1F66" w:rsidRDefault="00DF1F66" w:rsidP="00DF1F66">
            <w:r w:rsidRPr="00DE541A">
              <w:t>Licensee</w:t>
            </w:r>
          </w:p>
        </w:tc>
        <w:tc>
          <w:tcPr>
            <w:tcW w:w="2500" w:type="pct"/>
          </w:tcPr>
          <w:p w14:paraId="31E5DFDC" w14:textId="77777777" w:rsidR="00DF1F66" w:rsidRPr="00DF1F66" w:rsidRDefault="00DF1F66" w:rsidP="00DF1F66">
            <w:r>
              <w:t>M</w:t>
            </w:r>
            <w:r w:rsidRPr="00DF1F66">
              <w:t>ateriality threshold</w:t>
            </w:r>
          </w:p>
        </w:tc>
      </w:tr>
      <w:tr w:rsidR="00DF1F66" w:rsidRPr="00D5104D" w14:paraId="1881D138" w14:textId="77777777" w:rsidTr="00D447CC">
        <w:trPr>
          <w:trHeight w:val="321"/>
        </w:trPr>
        <w:tc>
          <w:tcPr>
            <w:tcW w:w="2500" w:type="pct"/>
          </w:tcPr>
          <w:p w14:paraId="08BB13A2" w14:textId="77777777" w:rsidR="00DF1F66" w:rsidRPr="00DF1F66" w:rsidRDefault="00DF1F66" w:rsidP="00DF1F66">
            <w:r>
              <w:t>[Licensee]</w:t>
            </w:r>
          </w:p>
        </w:tc>
        <w:tc>
          <w:tcPr>
            <w:tcW w:w="2500" w:type="pct"/>
          </w:tcPr>
          <w:p w14:paraId="0BECDA5D" w14:textId="77777777" w:rsidR="00DF1F66" w:rsidRPr="00DF1F66" w:rsidRDefault="00DF1F66" w:rsidP="00DF1F66">
            <w:r>
              <w:t>[</w:t>
            </w:r>
            <w:r w:rsidRPr="00DF1F66">
              <w:t>1% of annual average base revenues]</w:t>
            </w:r>
          </w:p>
        </w:tc>
      </w:tr>
      <w:tr w:rsidR="00DF1F66" w:rsidRPr="00D5104D" w14:paraId="7772D2F5" w14:textId="77777777" w:rsidTr="00D447CC">
        <w:trPr>
          <w:trHeight w:val="321"/>
        </w:trPr>
        <w:tc>
          <w:tcPr>
            <w:tcW w:w="2500" w:type="pct"/>
          </w:tcPr>
          <w:p w14:paraId="474403FF" w14:textId="77777777" w:rsidR="00DF1F66" w:rsidRDefault="00DF1F66" w:rsidP="00DF1F66"/>
        </w:tc>
        <w:tc>
          <w:tcPr>
            <w:tcW w:w="2500" w:type="pct"/>
          </w:tcPr>
          <w:p w14:paraId="175A1F63" w14:textId="77777777" w:rsidR="00DF1F66" w:rsidRPr="00D5104D" w:rsidRDefault="00DF1F66" w:rsidP="00DF1F66"/>
        </w:tc>
      </w:tr>
      <w:tr w:rsidR="00DF1F66" w:rsidRPr="00D5104D" w14:paraId="4738A352" w14:textId="77777777" w:rsidTr="00D447CC">
        <w:trPr>
          <w:trHeight w:val="321"/>
        </w:trPr>
        <w:tc>
          <w:tcPr>
            <w:tcW w:w="2500" w:type="pct"/>
          </w:tcPr>
          <w:p w14:paraId="0B13F17A" w14:textId="77777777" w:rsidR="00DF1F66" w:rsidRPr="00D5104D" w:rsidRDefault="00DF1F66" w:rsidP="00DF1F66"/>
        </w:tc>
        <w:tc>
          <w:tcPr>
            <w:tcW w:w="2500" w:type="pct"/>
          </w:tcPr>
          <w:p w14:paraId="17237B29" w14:textId="77777777" w:rsidR="00DF1F66" w:rsidRPr="00D5104D" w:rsidRDefault="00DF1F66" w:rsidP="00DF1F66"/>
        </w:tc>
      </w:tr>
    </w:tbl>
    <w:p w14:paraId="0A16C24B" w14:textId="77777777" w:rsidR="00150818" w:rsidRDefault="00150818" w:rsidP="00150818">
      <w:pPr>
        <w:pStyle w:val="Heading2"/>
      </w:pPr>
      <w:bookmarkStart w:id="60" w:name="_Toc51680370"/>
      <w:bookmarkStart w:id="61" w:name="_Toc51798267"/>
      <w:bookmarkStart w:id="62" w:name="_Toc52364890"/>
      <w:bookmarkStart w:id="63" w:name="_Toc51319606"/>
      <w:r>
        <w:t>Coordinated Adjustment Mechanism Re-opener (</w:t>
      </w:r>
      <w:proofErr w:type="spellStart"/>
      <w:r>
        <w:t>CAMt</w:t>
      </w:r>
      <w:proofErr w:type="spellEnd"/>
      <w:r>
        <w:t>)</w:t>
      </w:r>
      <w:bookmarkEnd w:id="60"/>
      <w:bookmarkEnd w:id="61"/>
      <w:bookmarkEnd w:id="62"/>
    </w:p>
    <w:p w14:paraId="2628700B" w14:textId="77777777" w:rsidR="00150818" w:rsidRPr="000F5669" w:rsidRDefault="00150818" w:rsidP="00150818">
      <w:pPr>
        <w:pStyle w:val="Heading3nonumbering"/>
      </w:pPr>
      <w:r w:rsidRPr="000F5669">
        <w:t xml:space="preserve">Introduction </w:t>
      </w:r>
    </w:p>
    <w:p w14:paraId="785F23B2" w14:textId="77777777" w:rsidR="00150818" w:rsidRPr="000F5669" w:rsidRDefault="00150818" w:rsidP="00150818">
      <w:pPr>
        <w:pStyle w:val="NumberedNormal"/>
      </w:pPr>
      <w:r>
        <w:t xml:space="preserve">The purpose of this condition is to calculate the term </w:t>
      </w:r>
      <w:proofErr w:type="spellStart"/>
      <w:r>
        <w:t>CAMt</w:t>
      </w:r>
      <w:proofErr w:type="spellEnd"/>
      <w:r>
        <w:t xml:space="preserve"> (the Coordinated Adjustment Mechanism term). This contributes to the calculation of the Totex Allowance. </w:t>
      </w:r>
    </w:p>
    <w:p w14:paraId="74E94B5D" w14:textId="2631FB15" w:rsidR="00150818" w:rsidRPr="000F5669" w:rsidRDefault="00150818" w:rsidP="00150818">
      <w:pPr>
        <w:pStyle w:val="NumberedNormal"/>
      </w:pPr>
      <w:r>
        <w:t xml:space="preserve">The effect of this condition is to establish a Re-opener triggered by the licensee where a more cost-effective opportunity has been identified to reallocate </w:t>
      </w:r>
      <w:r>
        <w:lastRenderedPageBreak/>
        <w:t xml:space="preserve">responsibility for, and revenue </w:t>
      </w:r>
      <w:r w:rsidR="00F01DAB">
        <w:t xml:space="preserve">associated </w:t>
      </w:r>
      <w:r>
        <w:t>with, a CAM Activity to or from a Partner Licensee.</w:t>
      </w:r>
    </w:p>
    <w:p w14:paraId="34FD179C" w14:textId="77777777" w:rsidR="00150818" w:rsidRPr="000F5669" w:rsidRDefault="00150818" w:rsidP="00150818">
      <w:pPr>
        <w:pStyle w:val="NumberedNormal"/>
      </w:pPr>
      <w:r>
        <w:t xml:space="preserve">This condition also explains the process the Authority will follow when directing any changes </w:t>
      </w:r>
      <w:proofErr w:type="gramStart"/>
      <w:r>
        <w:t>as a result of</w:t>
      </w:r>
      <w:proofErr w:type="gramEnd"/>
      <w:r>
        <w:t xml:space="preserve"> the Re-opener. </w:t>
      </w:r>
    </w:p>
    <w:p w14:paraId="6C7F9A01" w14:textId="77777777" w:rsidR="00150818" w:rsidRPr="000F5669" w:rsidRDefault="00150818" w:rsidP="00150818">
      <w:pPr>
        <w:pStyle w:val="Heading3"/>
      </w:pPr>
      <w:r>
        <w:t>What costs are within scope of this Re-opener?</w:t>
      </w:r>
    </w:p>
    <w:p w14:paraId="76440C80" w14:textId="77777777" w:rsidR="00150818" w:rsidRPr="000F5669" w:rsidRDefault="00150818" w:rsidP="00150818">
      <w:pPr>
        <w:pStyle w:val="NumberedNormal"/>
      </w:pPr>
      <w:r>
        <w:t xml:space="preserve">The licensee may apply to the Authority for a direction adjusting the value of the </w:t>
      </w:r>
      <w:proofErr w:type="spellStart"/>
      <w:r>
        <w:t>CAMt</w:t>
      </w:r>
      <w:proofErr w:type="spellEnd"/>
      <w:r>
        <w:t xml:space="preserve"> term and the outputs, delivery dates and allowances within [the relevant outputs condition] for any Regulatory Year during the Price Control Period as a result of reaching agreement to reallocate responsibility and associated revenue for a CAM Activity to or from a Partner Licensee. </w:t>
      </w:r>
    </w:p>
    <w:p w14:paraId="2BA07952" w14:textId="77777777" w:rsidR="00150818" w:rsidRPr="000F5669" w:rsidRDefault="00150818" w:rsidP="00150818">
      <w:pPr>
        <w:pStyle w:val="Heading3"/>
      </w:pPr>
      <w:r>
        <w:t>When to make an application</w:t>
      </w:r>
    </w:p>
    <w:p w14:paraId="465B0B24" w14:textId="6D6F2929" w:rsidR="00150818" w:rsidRPr="000F5669" w:rsidRDefault="00150818" w:rsidP="00150818">
      <w:pPr>
        <w:pStyle w:val="NumberedNormal"/>
      </w:pPr>
      <w:r>
        <w:t xml:space="preserve">The licensee may only apply to the Authority for an adjustment under paragraph 3.7.4: </w:t>
      </w:r>
    </w:p>
    <w:p w14:paraId="2DC74171" w14:textId="77B9CF22" w:rsidR="00150818" w:rsidRPr="000F5669" w:rsidRDefault="00150818" w:rsidP="00150818">
      <w:pPr>
        <w:pStyle w:val="ListNormal"/>
        <w:tabs>
          <w:tab w:val="num" w:pos="879"/>
        </w:tabs>
      </w:pPr>
      <w:r>
        <w:t xml:space="preserve">Between 23 May 2022 and 29 May </w:t>
      </w:r>
      <w:proofErr w:type="gramStart"/>
      <w:r>
        <w:t>2022;</w:t>
      </w:r>
      <w:proofErr w:type="gramEnd"/>
      <w:r>
        <w:t xml:space="preserve"> </w:t>
      </w:r>
    </w:p>
    <w:p w14:paraId="50264BF7" w14:textId="3EA547A6" w:rsidR="00150818" w:rsidRPr="000F5669" w:rsidRDefault="00150818" w:rsidP="00150818">
      <w:pPr>
        <w:pStyle w:val="ListNormal"/>
        <w:tabs>
          <w:tab w:val="num" w:pos="879"/>
        </w:tabs>
      </w:pPr>
      <w:r>
        <w:t>Between 20 May 2024 and 26 May 2024; and</w:t>
      </w:r>
    </w:p>
    <w:p w14:paraId="683D1A3F" w14:textId="77777777" w:rsidR="00150818" w:rsidRPr="000F5669" w:rsidRDefault="00150818" w:rsidP="00150818">
      <w:pPr>
        <w:pStyle w:val="ListNormal"/>
        <w:tabs>
          <w:tab w:val="num" w:pos="879"/>
        </w:tabs>
      </w:pPr>
      <w:r>
        <w:t xml:space="preserve">during such other periods as the Authority may direct. </w:t>
      </w:r>
    </w:p>
    <w:p w14:paraId="0B24C2B9" w14:textId="77777777" w:rsidR="00150818" w:rsidRPr="000F5669" w:rsidRDefault="00150818" w:rsidP="00150818">
      <w:pPr>
        <w:pStyle w:val="Heading3"/>
      </w:pPr>
      <w:r>
        <w:t>How to make an application</w:t>
      </w:r>
    </w:p>
    <w:p w14:paraId="1C4EF2E6" w14:textId="65BA7C60" w:rsidR="00150818" w:rsidRPr="000F5669" w:rsidRDefault="00150818" w:rsidP="00150818">
      <w:pPr>
        <w:pStyle w:val="NumberedNormal"/>
      </w:pPr>
      <w:r>
        <w:t>An application under paragraph 3.7.4 must be made in writing to the Authority and:</w:t>
      </w:r>
    </w:p>
    <w:p w14:paraId="1BC9242B" w14:textId="77777777" w:rsidR="00150818" w:rsidRPr="000F5669" w:rsidRDefault="00150818" w:rsidP="00150818">
      <w:pPr>
        <w:pStyle w:val="ListNormal"/>
        <w:tabs>
          <w:tab w:val="num" w:pos="879"/>
        </w:tabs>
      </w:pPr>
      <w:r>
        <w:t xml:space="preserve">give a description of the engagement between the licensee and the Partner Licensee which has led to the </w:t>
      </w:r>
      <w:proofErr w:type="gramStart"/>
      <w:r>
        <w:t>application;</w:t>
      </w:r>
      <w:proofErr w:type="gramEnd"/>
    </w:p>
    <w:p w14:paraId="0E7D4B75" w14:textId="77777777" w:rsidR="00150818" w:rsidRPr="000F5669" w:rsidRDefault="00150818" w:rsidP="00150818">
      <w:pPr>
        <w:pStyle w:val="ListNormal"/>
        <w:tabs>
          <w:tab w:val="num" w:pos="879"/>
        </w:tabs>
      </w:pPr>
      <w:r>
        <w:t xml:space="preserve">explain whether the licensee is applying to have the CAM Activity reallocated to them, or from them to a Partner </w:t>
      </w:r>
      <w:proofErr w:type="gramStart"/>
      <w:r>
        <w:t>Licensee;</w:t>
      </w:r>
      <w:proofErr w:type="gramEnd"/>
    </w:p>
    <w:p w14:paraId="77C48611" w14:textId="37FA121E" w:rsidR="00150818" w:rsidRPr="000F5669" w:rsidRDefault="00150818" w:rsidP="00150818">
      <w:pPr>
        <w:pStyle w:val="ListNormal"/>
        <w:tabs>
          <w:tab w:val="num" w:pos="879"/>
        </w:tabs>
      </w:pPr>
      <w:r>
        <w:t xml:space="preserve">explain why the original </w:t>
      </w:r>
      <w:r w:rsidR="009675C4">
        <w:t xml:space="preserve">allocation </w:t>
      </w:r>
      <w:r>
        <w:t xml:space="preserve">of the CAM Activity is no longer the most cost-effective, and why the reallocation is more </w:t>
      </w:r>
      <w:proofErr w:type="gramStart"/>
      <w:r>
        <w:t>cost-effective;</w:t>
      </w:r>
      <w:proofErr w:type="gramEnd"/>
      <w:r>
        <w:t xml:space="preserve"> </w:t>
      </w:r>
    </w:p>
    <w:p w14:paraId="49582DB7" w14:textId="77777777" w:rsidR="00150818" w:rsidRPr="000F5669" w:rsidRDefault="00150818" w:rsidP="00150818">
      <w:pPr>
        <w:pStyle w:val="ListNormal"/>
        <w:tabs>
          <w:tab w:val="num" w:pos="879"/>
        </w:tabs>
      </w:pPr>
      <w:r>
        <w:t xml:space="preserve">give a description of the CAM Activity and associated revenue that the licensee is requesting to </w:t>
      </w:r>
      <w:proofErr w:type="gramStart"/>
      <w:r>
        <w:t>reallocate;</w:t>
      </w:r>
      <w:proofErr w:type="gramEnd"/>
      <w:r>
        <w:t xml:space="preserve"> </w:t>
      </w:r>
    </w:p>
    <w:p w14:paraId="56DEA2EA" w14:textId="77777777" w:rsidR="00150818" w:rsidRPr="000F5669" w:rsidRDefault="00150818" w:rsidP="00150818">
      <w:pPr>
        <w:pStyle w:val="ListNormal"/>
        <w:tabs>
          <w:tab w:val="num" w:pos="879"/>
        </w:tabs>
      </w:pPr>
      <w:r>
        <w:t xml:space="preserve">set out any amendments requested to the outputs, delivery dates or allowances in [the relevant outputs condition] of this licence and that of the Partner </w:t>
      </w:r>
      <w:proofErr w:type="gramStart"/>
      <w:r>
        <w:t>Licensee;</w:t>
      </w:r>
      <w:proofErr w:type="gramEnd"/>
    </w:p>
    <w:p w14:paraId="361CD841" w14:textId="77777777" w:rsidR="00150818" w:rsidRPr="000F5669" w:rsidRDefault="00150818" w:rsidP="00150818">
      <w:pPr>
        <w:pStyle w:val="ListNormal"/>
        <w:tabs>
          <w:tab w:val="num" w:pos="879"/>
        </w:tabs>
      </w:pPr>
      <w:r>
        <w:t xml:space="preserve">set out the adjustments to the value of the </w:t>
      </w:r>
      <w:proofErr w:type="spellStart"/>
      <w:r>
        <w:t>CAMt</w:t>
      </w:r>
      <w:proofErr w:type="spellEnd"/>
      <w:r>
        <w:t xml:space="preserve"> term for both the licensee and the Partner Licensee that the licensee is requesting and the Regulatory Years to which those adjustments </w:t>
      </w:r>
      <w:proofErr w:type="gramStart"/>
      <w:r>
        <w:t>relate;</w:t>
      </w:r>
      <w:proofErr w:type="gramEnd"/>
      <w:r>
        <w:t xml:space="preserve"> </w:t>
      </w:r>
    </w:p>
    <w:p w14:paraId="0BA10903" w14:textId="77777777" w:rsidR="00150818" w:rsidRPr="000F5669" w:rsidRDefault="00150818" w:rsidP="00150818">
      <w:pPr>
        <w:pStyle w:val="ListNormal"/>
        <w:tabs>
          <w:tab w:val="num" w:pos="879"/>
        </w:tabs>
      </w:pPr>
      <w:r>
        <w:t xml:space="preserve">explain the basis of the calculation for the proposed adjustments to the value of the licensee and the Partner Licensee's </w:t>
      </w:r>
      <w:proofErr w:type="spellStart"/>
      <w:r>
        <w:t>CAMt</w:t>
      </w:r>
      <w:proofErr w:type="spellEnd"/>
      <w:r>
        <w:t xml:space="preserve"> terms or other </w:t>
      </w:r>
      <w:proofErr w:type="gramStart"/>
      <w:r>
        <w:t>allowances;</w:t>
      </w:r>
      <w:proofErr w:type="gramEnd"/>
    </w:p>
    <w:p w14:paraId="3BE371EF" w14:textId="77777777" w:rsidR="00150818" w:rsidRPr="000F5669" w:rsidRDefault="00150818" w:rsidP="00150818">
      <w:pPr>
        <w:pStyle w:val="ListNormal"/>
        <w:tabs>
          <w:tab w:val="num" w:pos="879"/>
        </w:tabs>
      </w:pPr>
      <w:r>
        <w:lastRenderedPageBreak/>
        <w:t>provide such detailed supporting evidence including cost benefit analysis, impact assessments, risk mitigation, and engineering justification statements as is reasonable in the circumstances; and</w:t>
      </w:r>
    </w:p>
    <w:p w14:paraId="1F96C05B" w14:textId="306D3338" w:rsidR="00150818" w:rsidRPr="000F5669" w:rsidRDefault="00150818" w:rsidP="00150818">
      <w:pPr>
        <w:pStyle w:val="ListNormal"/>
        <w:tabs>
          <w:tab w:val="num" w:pos="879"/>
        </w:tabs>
      </w:pPr>
      <w:r>
        <w:t xml:space="preserve">provide a copy of the agreement between the licensee and the Partner Licensee to transfer responsibility for and associated revenue of a CAM Activity, including </w:t>
      </w:r>
      <w:r w:rsidR="00FD5ADA">
        <w:t>a</w:t>
      </w:r>
      <w:r>
        <w:t xml:space="preserve">ssurance from the licensee and the Partner Licensee. </w:t>
      </w:r>
    </w:p>
    <w:p w14:paraId="755E376D" w14:textId="5C8B0813" w:rsidR="00150818" w:rsidRPr="000F5669" w:rsidRDefault="00150818" w:rsidP="00150818">
      <w:pPr>
        <w:pStyle w:val="NumberedNormal"/>
      </w:pPr>
      <w:r>
        <w:t xml:space="preserve">An application under paragraph </w:t>
      </w:r>
      <w:r w:rsidR="00CE32B7">
        <w:t>3.7</w:t>
      </w:r>
      <w:r>
        <w:t>.4 must:</w:t>
      </w:r>
    </w:p>
    <w:p w14:paraId="3A813EAB" w14:textId="681C569A" w:rsidR="00150818" w:rsidRPr="000F5669" w:rsidRDefault="00150818" w:rsidP="00150818">
      <w:pPr>
        <w:pStyle w:val="ListNormal"/>
        <w:tabs>
          <w:tab w:val="num" w:pos="879"/>
        </w:tabs>
      </w:pPr>
      <w:r>
        <w:t xml:space="preserve">take account of any allowed expenditure by both the licensee and the Partner Licensee, which can be avoided </w:t>
      </w:r>
      <w:proofErr w:type="gramStart"/>
      <w:r>
        <w:t>as a result of</w:t>
      </w:r>
      <w:proofErr w:type="gramEnd"/>
      <w:r>
        <w:t xml:space="preserve"> the change;</w:t>
      </w:r>
      <w:r w:rsidR="00CE32B7">
        <w:t xml:space="preserve"> and</w:t>
      </w:r>
    </w:p>
    <w:p w14:paraId="0B4DF985" w14:textId="77777777" w:rsidR="00150818" w:rsidRPr="000F5669" w:rsidRDefault="00150818" w:rsidP="00150818">
      <w:pPr>
        <w:pStyle w:val="ListNormal"/>
        <w:tabs>
          <w:tab w:val="num" w:pos="879"/>
        </w:tabs>
      </w:pPr>
      <w:r>
        <w:t>be confined to costs incurred or expected to be incurred on or after 1 April 2021.</w:t>
      </w:r>
    </w:p>
    <w:p w14:paraId="06ED906E" w14:textId="77777777" w:rsidR="00150818" w:rsidRPr="000F5669" w:rsidRDefault="00150818" w:rsidP="00150818">
      <w:pPr>
        <w:pStyle w:val="Heading3"/>
      </w:pPr>
      <w:r>
        <w:t>What process will the Authority follow in making a direction?</w:t>
      </w:r>
    </w:p>
    <w:p w14:paraId="62CA79F7" w14:textId="3E425D3F" w:rsidR="00150818" w:rsidRPr="000F5669" w:rsidRDefault="00150818" w:rsidP="00150818">
      <w:pPr>
        <w:pStyle w:val="NumberedNormal"/>
      </w:pPr>
      <w:r>
        <w:t>Before making a direction under 3.7.4 the Authority will publish on the Authority's Website:</w:t>
      </w:r>
    </w:p>
    <w:p w14:paraId="0CB5E6CE" w14:textId="77777777" w:rsidR="00150818" w:rsidRPr="000F5669" w:rsidRDefault="00150818" w:rsidP="00150818">
      <w:pPr>
        <w:pStyle w:val="ListNormal"/>
        <w:tabs>
          <w:tab w:val="num" w:pos="879"/>
        </w:tabs>
      </w:pPr>
      <w:r>
        <w:t xml:space="preserve">the text of the proposed </w:t>
      </w:r>
      <w:proofErr w:type="gramStart"/>
      <w:r>
        <w:t>direction;</w:t>
      </w:r>
      <w:proofErr w:type="gramEnd"/>
    </w:p>
    <w:p w14:paraId="396419CB" w14:textId="274D3B49" w:rsidR="00150818" w:rsidRPr="000F5669" w:rsidRDefault="00150818" w:rsidP="00150818">
      <w:pPr>
        <w:pStyle w:val="ListNormal"/>
        <w:tabs>
          <w:tab w:val="num" w:pos="879"/>
        </w:tabs>
      </w:pPr>
      <w:r>
        <w:t>the reasons for the proposed direction;</w:t>
      </w:r>
      <w:r w:rsidR="00CE32B7">
        <w:t xml:space="preserve"> and</w:t>
      </w:r>
    </w:p>
    <w:p w14:paraId="503E59FC" w14:textId="130002B8" w:rsidR="00150818" w:rsidRPr="000F5669" w:rsidRDefault="00150818" w:rsidP="00150818">
      <w:pPr>
        <w:pStyle w:val="ListNormal"/>
        <w:tabs>
          <w:tab w:val="num" w:pos="879"/>
        </w:tabs>
      </w:pPr>
      <w:r>
        <w:t xml:space="preserve">a period during which representations may be made on the proposed direction, which </w:t>
      </w:r>
      <w:r w:rsidR="000E44BE">
        <w:t xml:space="preserve">will </w:t>
      </w:r>
      <w:r>
        <w:t>not be less than 28 days.</w:t>
      </w:r>
    </w:p>
    <w:p w14:paraId="030EFF34" w14:textId="77777777" w:rsidR="00150818" w:rsidRPr="000F5669" w:rsidRDefault="00150818" w:rsidP="00150818">
      <w:pPr>
        <w:pStyle w:val="NumberedNormal"/>
      </w:pPr>
      <w:r>
        <w:t>The direction will set out:</w:t>
      </w:r>
    </w:p>
    <w:p w14:paraId="126BB887" w14:textId="77777777" w:rsidR="000E44BE" w:rsidRDefault="000E44BE" w:rsidP="00150818">
      <w:pPr>
        <w:pStyle w:val="ListNormal"/>
        <w:tabs>
          <w:tab w:val="num" w:pos="879"/>
        </w:tabs>
      </w:pPr>
      <w:r>
        <w:t xml:space="preserve">any adjustments to the value of the </w:t>
      </w:r>
      <w:proofErr w:type="spellStart"/>
      <w:r>
        <w:t>CAM</w:t>
      </w:r>
      <w:r w:rsidRPr="00150818">
        <w:t>t</w:t>
      </w:r>
      <w:proofErr w:type="spellEnd"/>
      <w:r>
        <w:t xml:space="preserve"> terms in the special conditions of this licence and those of the Partner </w:t>
      </w:r>
      <w:proofErr w:type="gramStart"/>
      <w:r>
        <w:t>Licensee;</w:t>
      </w:r>
      <w:proofErr w:type="gramEnd"/>
    </w:p>
    <w:p w14:paraId="287C4D14" w14:textId="78B1BCE1" w:rsidR="000E44BE" w:rsidRDefault="000E44BE" w:rsidP="00150818">
      <w:pPr>
        <w:pStyle w:val="ListNormal"/>
        <w:tabs>
          <w:tab w:val="num" w:pos="879"/>
        </w:tabs>
      </w:pPr>
      <w:r>
        <w:t>the Regulatory Years to which those adjustments relate; and</w:t>
      </w:r>
    </w:p>
    <w:p w14:paraId="399A10AF" w14:textId="77777777" w:rsidR="00B41DB8" w:rsidRDefault="000E44BE" w:rsidP="00B41DB8">
      <w:pPr>
        <w:pStyle w:val="ListNormal"/>
      </w:pPr>
      <w:r>
        <w:t xml:space="preserve"> </w:t>
      </w:r>
      <w:r w:rsidR="00150818">
        <w:t>any amendments to [the relevant outputs condition]</w:t>
      </w:r>
      <w:r>
        <w:t>.</w:t>
      </w:r>
      <w:bookmarkStart w:id="64" w:name="_Toc51319607"/>
      <w:bookmarkEnd w:id="63"/>
    </w:p>
    <w:p w14:paraId="4F4D7E1B" w14:textId="58BF2FCF" w:rsidR="00D35DF9" w:rsidRDefault="00D35DF9" w:rsidP="00D35DF9">
      <w:pPr>
        <w:pStyle w:val="Heading2"/>
      </w:pPr>
      <w:bookmarkStart w:id="65" w:name="_Toc51798268"/>
      <w:bookmarkStart w:id="66" w:name="_Toc52364891"/>
      <w:r>
        <w:t xml:space="preserve">Generation </w:t>
      </w:r>
      <w:r w:rsidR="000E44BE">
        <w:t>Related Infrastructure Price Control Deliverable</w:t>
      </w:r>
      <w:bookmarkEnd w:id="64"/>
      <w:r w:rsidR="000E44BE">
        <w:t xml:space="preserve"> (</w:t>
      </w:r>
      <w:proofErr w:type="spellStart"/>
      <w:r w:rsidR="000E44BE">
        <w:t>GRIt</w:t>
      </w:r>
      <w:proofErr w:type="spellEnd"/>
      <w:r w:rsidR="000E44BE">
        <w:t>)</w:t>
      </w:r>
      <w:bookmarkEnd w:id="65"/>
      <w:bookmarkEnd w:id="66"/>
    </w:p>
    <w:p w14:paraId="0CFE5749" w14:textId="77777777" w:rsidR="00E364AD" w:rsidRPr="0057526A" w:rsidRDefault="00E364AD" w:rsidP="00152831">
      <w:pPr>
        <w:pStyle w:val="Heading3nonumbering"/>
      </w:pPr>
      <w:r w:rsidRPr="0057526A">
        <w:t xml:space="preserve">Introduction </w:t>
      </w:r>
    </w:p>
    <w:p w14:paraId="146744D8" w14:textId="2950CE4C" w:rsidR="00E364AD" w:rsidRPr="00E364AD" w:rsidRDefault="00E364AD" w:rsidP="00152831">
      <w:pPr>
        <w:pStyle w:val="NumberedNormal"/>
      </w:pPr>
      <w:r>
        <w:t xml:space="preserve">The purpose of this condition is to calculate the </w:t>
      </w:r>
      <w:r w:rsidRPr="00E364AD">
        <w:t xml:space="preserve">term </w:t>
      </w:r>
      <w:proofErr w:type="spellStart"/>
      <w:r w:rsidRPr="00E364AD">
        <w:t>GRIt</w:t>
      </w:r>
      <w:proofErr w:type="spellEnd"/>
      <w:r w:rsidRPr="00E364AD">
        <w:t xml:space="preserve"> (the Generation Related Infrastructure Price Control Deliverable term).  This contributes to the calculation of the Totex Allowance.</w:t>
      </w:r>
    </w:p>
    <w:p w14:paraId="58C8C438" w14:textId="1C070776" w:rsidR="00E364AD" w:rsidRPr="00E364AD" w:rsidRDefault="00E364AD" w:rsidP="00152831">
      <w:pPr>
        <w:pStyle w:val="NumberedNormal"/>
      </w:pPr>
      <w:r>
        <w:t xml:space="preserve">This condition specifies the outputs, delivery dates and associated allowances for the </w:t>
      </w:r>
      <w:r w:rsidRPr="00E364AD">
        <w:t>Price Control Deliverable.</w:t>
      </w:r>
    </w:p>
    <w:p w14:paraId="291C8990" w14:textId="45995467" w:rsidR="00E364AD" w:rsidRPr="00E364AD" w:rsidRDefault="00E364AD" w:rsidP="00152831">
      <w:pPr>
        <w:pStyle w:val="NumberedNormal"/>
      </w:pPr>
      <w:r>
        <w:t xml:space="preserve">This condition also explains the process the Authority will follow when assessing the </w:t>
      </w:r>
      <w:r w:rsidR="00435DA0">
        <w:t>Price Control Deliverable</w:t>
      </w:r>
      <w:r>
        <w:t>.</w:t>
      </w:r>
    </w:p>
    <w:p w14:paraId="46D61E65" w14:textId="2025507F" w:rsidR="00E364AD" w:rsidRDefault="00E364AD" w:rsidP="00152831">
      <w:pPr>
        <w:pStyle w:val="Heading3"/>
      </w:pPr>
      <w:r>
        <w:t xml:space="preserve">Formula for calculating the </w:t>
      </w:r>
      <w:r w:rsidRPr="00E75900">
        <w:t xml:space="preserve">Generation </w:t>
      </w:r>
      <w:r>
        <w:t>Related Infrastructure</w:t>
      </w:r>
      <w:r w:rsidRPr="00E75900">
        <w:t xml:space="preserve"> </w:t>
      </w:r>
      <w:r>
        <w:t>Price Control Deliverable term</w:t>
      </w:r>
      <w:r w:rsidR="00897917">
        <w:t xml:space="preserve"> (</w:t>
      </w:r>
      <w:proofErr w:type="spellStart"/>
      <w:r w:rsidR="00897917">
        <w:t>GRIt</w:t>
      </w:r>
      <w:proofErr w:type="spellEnd"/>
      <w:r w:rsidR="00897917">
        <w:t>)</w:t>
      </w:r>
    </w:p>
    <w:p w14:paraId="1F58F4AA" w14:textId="77777777" w:rsidR="00E364AD" w:rsidRPr="00E364AD" w:rsidRDefault="00E364AD" w:rsidP="00152831">
      <w:pPr>
        <w:pStyle w:val="NumberedNormal"/>
      </w:pPr>
      <w:r>
        <w:t xml:space="preserve">The value of </w:t>
      </w:r>
      <w:proofErr w:type="spellStart"/>
      <w:r>
        <w:t>G</w:t>
      </w:r>
      <w:r w:rsidRPr="00E364AD">
        <w:t>RIt</w:t>
      </w:r>
      <w:proofErr w:type="spellEnd"/>
      <w:r w:rsidRPr="00E364AD">
        <w:t xml:space="preserve"> is derived in accordance with the following formula:</w:t>
      </w:r>
    </w:p>
    <w:p w14:paraId="32AEEDC8" w14:textId="77777777" w:rsidR="00E364AD" w:rsidRPr="00E364AD" w:rsidRDefault="00E364AD" w:rsidP="003F66DB">
      <w:pPr>
        <w:pStyle w:val="Equation"/>
        <w:ind w:left="720"/>
      </w:pPr>
      <w:proofErr w:type="spellStart"/>
      <w:r>
        <w:lastRenderedPageBreak/>
        <w:t>G</w:t>
      </w:r>
      <w:r w:rsidRPr="00E364AD">
        <w:t>RIt</w:t>
      </w:r>
      <w:proofErr w:type="spellEnd"/>
      <w:r w:rsidRPr="00E364AD">
        <w:t xml:space="preserve"> </w:t>
      </w:r>
      <w:proofErr w:type="gramStart"/>
      <w:r w:rsidRPr="00E364AD">
        <w:t xml:space="preserve">=  </w:t>
      </w:r>
      <w:proofErr w:type="spellStart"/>
      <w:r w:rsidRPr="00E364AD">
        <w:t>GRIAt</w:t>
      </w:r>
      <w:proofErr w:type="spellEnd"/>
      <w:proofErr w:type="gramEnd"/>
      <w:r w:rsidRPr="00E364AD">
        <w:t xml:space="preserve"> - </w:t>
      </w:r>
      <w:proofErr w:type="spellStart"/>
      <w:r w:rsidRPr="00E364AD">
        <w:t>GRIRt</w:t>
      </w:r>
      <w:proofErr w:type="spellEnd"/>
    </w:p>
    <w:p w14:paraId="7BE4EB31" w14:textId="77777777" w:rsidR="00E364AD" w:rsidRPr="00E364AD" w:rsidRDefault="00E364AD" w:rsidP="003F66DB">
      <w:pPr>
        <w:ind w:left="720"/>
      </w:pPr>
      <w:r>
        <w:t>where:</w:t>
      </w:r>
    </w:p>
    <w:p w14:paraId="181FB954" w14:textId="668C1DFE" w:rsidR="00E364AD" w:rsidRPr="00E364AD" w:rsidRDefault="00E364AD" w:rsidP="003F66DB">
      <w:pPr>
        <w:ind w:left="720"/>
      </w:pPr>
      <w:proofErr w:type="spellStart"/>
      <w:r>
        <w:t>G</w:t>
      </w:r>
      <w:r w:rsidRPr="00E364AD">
        <w:t>RIAt</w:t>
      </w:r>
      <w:proofErr w:type="spellEnd"/>
      <w:r w:rsidRPr="00E364AD">
        <w:tab/>
        <w:t xml:space="preserve">means the </w:t>
      </w:r>
      <w:r w:rsidR="00897917">
        <w:t xml:space="preserve">sum of </w:t>
      </w:r>
      <w:r w:rsidRPr="00E364AD">
        <w:t>allowances set out in Appendix 1</w:t>
      </w:r>
      <w:r w:rsidR="00CE32B7">
        <w:t>; and</w:t>
      </w:r>
    </w:p>
    <w:p w14:paraId="14158F2E" w14:textId="2867748A" w:rsidR="00E364AD" w:rsidRPr="00E364AD" w:rsidRDefault="00E364AD" w:rsidP="003F66DB">
      <w:pPr>
        <w:ind w:left="720"/>
      </w:pPr>
      <w:proofErr w:type="spellStart"/>
      <w:r>
        <w:t>G</w:t>
      </w:r>
      <w:r w:rsidRPr="00E364AD">
        <w:t>RIRt</w:t>
      </w:r>
      <w:proofErr w:type="spellEnd"/>
      <w:r w:rsidRPr="00E364AD">
        <w:tab/>
        <w:t>has the value of zero, unless otherwise directed by the Authority in accordance with Part C</w:t>
      </w:r>
      <w:r w:rsidR="00CE32B7">
        <w:t>.</w:t>
      </w:r>
    </w:p>
    <w:p w14:paraId="1A228C03" w14:textId="469C4DFA" w:rsidR="00E364AD" w:rsidRPr="00AE57AC" w:rsidRDefault="00E364AD" w:rsidP="002C245D">
      <w:pPr>
        <w:pStyle w:val="Heading3"/>
      </w:pPr>
      <w:r>
        <w:t>What is the licensee funded to deliver?</w:t>
      </w:r>
    </w:p>
    <w:p w14:paraId="108275BB" w14:textId="77777777" w:rsidR="00897917" w:rsidRPr="00614C21" w:rsidRDefault="00897917" w:rsidP="00897917">
      <w:pPr>
        <w:pStyle w:val="NumberedNormal"/>
      </w:pPr>
      <w:r>
        <w:t>Appendix 1 specifies the outputs that the licensee is funded to deliver, the delivery dates for those outputs and the allowances provided.</w:t>
      </w:r>
    </w:p>
    <w:p w14:paraId="618CD25B" w14:textId="5B554FD9" w:rsidR="00E364AD" w:rsidRDefault="00E364AD" w:rsidP="002C245D">
      <w:pPr>
        <w:pStyle w:val="Heading3"/>
      </w:pPr>
      <w:r>
        <w:t>Assessment of outputs</w:t>
      </w:r>
      <w:r w:rsidR="00897917">
        <w:t xml:space="preserve"> (</w:t>
      </w:r>
      <w:proofErr w:type="spellStart"/>
      <w:r w:rsidR="00897917">
        <w:t>GRIRt</w:t>
      </w:r>
      <w:proofErr w:type="spellEnd"/>
      <w:r w:rsidR="00897917">
        <w:t>)</w:t>
      </w:r>
    </w:p>
    <w:p w14:paraId="04FCC469" w14:textId="69E5F99A" w:rsidR="00897917" w:rsidRPr="00614C21" w:rsidRDefault="00897917" w:rsidP="00897917">
      <w:pPr>
        <w:pStyle w:val="NumberedNormal"/>
      </w:pPr>
      <w:r>
        <w:t>The Authority will</w:t>
      </w:r>
      <w:r w:rsidR="00CE32B7">
        <w:t>, in accordance with the PCD Reporting Requirements and Methodology Document,</w:t>
      </w:r>
      <w:r>
        <w:t xml:space="preserve"> </w:t>
      </w:r>
      <w:r w:rsidR="00CE32B7">
        <w:t xml:space="preserve">consider </w:t>
      </w:r>
      <w:r>
        <w:t xml:space="preserve">directing a value for </w:t>
      </w:r>
      <w:proofErr w:type="spellStart"/>
      <w:r>
        <w:t>GRIRt</w:t>
      </w:r>
      <w:proofErr w:type="spellEnd"/>
      <w:r>
        <w:t xml:space="preserve"> where the licensee has not Fully Delivered an output in Appendix 1.</w:t>
      </w:r>
    </w:p>
    <w:p w14:paraId="497B4DCB" w14:textId="20B8CA2D" w:rsidR="00E364AD" w:rsidRPr="00AE57AC" w:rsidRDefault="00E364AD" w:rsidP="002C245D">
      <w:pPr>
        <w:pStyle w:val="Heading3"/>
      </w:pPr>
      <w:r>
        <w:t>What process will the Authority follow in</w:t>
      </w:r>
      <w:r w:rsidRPr="002902B4">
        <w:t xml:space="preserve"> making a direction</w:t>
      </w:r>
      <w:r>
        <w:t>?</w:t>
      </w:r>
    </w:p>
    <w:p w14:paraId="1A644315" w14:textId="16FE2B63" w:rsidR="00E364AD" w:rsidRPr="00E364AD" w:rsidRDefault="00E364AD" w:rsidP="002C245D">
      <w:pPr>
        <w:pStyle w:val="NumberedNormal"/>
      </w:pPr>
      <w:r>
        <w:t>Before making a direction under paragraph 6</w:t>
      </w:r>
      <w:r w:rsidRPr="00E364AD">
        <w:t>, the Authority will publish on the Authority's Website:</w:t>
      </w:r>
    </w:p>
    <w:p w14:paraId="136E4A68" w14:textId="77777777" w:rsidR="00E364AD" w:rsidRPr="00E364AD" w:rsidRDefault="00E364AD" w:rsidP="002C245D">
      <w:pPr>
        <w:pStyle w:val="ListNormal"/>
      </w:pPr>
      <w:r>
        <w:t xml:space="preserve">the text of the proposed </w:t>
      </w:r>
      <w:proofErr w:type="gramStart"/>
      <w:r>
        <w:t>direction;</w:t>
      </w:r>
      <w:proofErr w:type="gramEnd"/>
    </w:p>
    <w:p w14:paraId="09294017" w14:textId="454AC3FF" w:rsidR="00E364AD" w:rsidRPr="00E364AD" w:rsidRDefault="00E364AD" w:rsidP="002C245D">
      <w:pPr>
        <w:pStyle w:val="ListNormal"/>
      </w:pPr>
      <w:r>
        <w:t>the reasons for the proposed direction;</w:t>
      </w:r>
      <w:r w:rsidR="00897917">
        <w:t xml:space="preserve"> and</w:t>
      </w:r>
    </w:p>
    <w:p w14:paraId="0E8C70B3" w14:textId="0DF65796" w:rsidR="00E364AD" w:rsidRPr="00E364AD" w:rsidRDefault="00897917" w:rsidP="002C245D">
      <w:pPr>
        <w:pStyle w:val="ListNormal"/>
      </w:pPr>
      <w:r>
        <w:t>a period during which representations may be made on the proposed direction, which will not be less than 28 days</w:t>
      </w:r>
      <w:r w:rsidR="00E364AD" w:rsidRPr="00E364AD">
        <w:t>.</w:t>
      </w:r>
    </w:p>
    <w:p w14:paraId="3CCC3B4D" w14:textId="242E046B" w:rsidR="00E364AD" w:rsidRDefault="00E364AD" w:rsidP="002C245D">
      <w:pPr>
        <w:pStyle w:val="NumberedNormal"/>
      </w:pPr>
      <w:r>
        <w:t xml:space="preserve">The direction will set out the value of the </w:t>
      </w:r>
      <w:proofErr w:type="spellStart"/>
      <w:r>
        <w:t>GRI</w:t>
      </w:r>
      <w:r w:rsidRPr="00E364AD">
        <w:t>Rt</w:t>
      </w:r>
      <w:proofErr w:type="spellEnd"/>
      <w:r w:rsidRPr="00E364AD">
        <w:t xml:space="preserve"> term and the Regulatory Years to which those values relate.</w:t>
      </w:r>
    </w:p>
    <w:p w14:paraId="146C470E" w14:textId="77777777" w:rsidR="006519D5" w:rsidRPr="00E364AD" w:rsidRDefault="006519D5" w:rsidP="006519D5">
      <w:pPr>
        <w:pStyle w:val="AppendixHeading"/>
      </w:pPr>
      <w:bookmarkStart w:id="67" w:name="_Toc51798269"/>
      <w:bookmarkEnd w:id="67"/>
    </w:p>
    <w:p w14:paraId="477E94FB" w14:textId="3C99265B" w:rsidR="00E364AD" w:rsidRPr="00951250" w:rsidRDefault="007A523C" w:rsidP="006519D5">
      <w:pPr>
        <w:pStyle w:val="Caption"/>
      </w:pPr>
      <w:bookmarkStart w:id="68" w:name="_Toc51319608"/>
      <w:r w:rsidRPr="00E75900">
        <w:t xml:space="preserve">Generation </w:t>
      </w:r>
      <w:r w:rsidRPr="006519D5">
        <w:t>Related</w:t>
      </w:r>
      <w:r>
        <w:t xml:space="preserve"> Infrastructure</w:t>
      </w:r>
      <w:r w:rsidRPr="00E75900">
        <w:t xml:space="preserve"> </w:t>
      </w:r>
      <w:r>
        <w:t>Price Control Deliverable</w:t>
      </w:r>
      <w:r w:rsidR="006519D5">
        <w:t xml:space="preserve"> Allowance </w:t>
      </w:r>
      <w:r w:rsidR="00E364AD">
        <w:t>[NGET]</w:t>
      </w:r>
      <w:bookmarkEnd w:id="68"/>
    </w:p>
    <w:tbl>
      <w:tblPr>
        <w:tblStyle w:val="AppendixTable"/>
        <w:tblW w:w="5000" w:type="pct"/>
        <w:tblLook w:val="04A0" w:firstRow="1" w:lastRow="0" w:firstColumn="1" w:lastColumn="0" w:noHBand="0" w:noVBand="1"/>
      </w:tblPr>
      <w:tblGrid>
        <w:gridCol w:w="1394"/>
        <w:gridCol w:w="2246"/>
        <w:gridCol w:w="995"/>
        <w:gridCol w:w="746"/>
        <w:gridCol w:w="746"/>
        <w:gridCol w:w="746"/>
        <w:gridCol w:w="746"/>
        <w:gridCol w:w="746"/>
        <w:gridCol w:w="661"/>
      </w:tblGrid>
      <w:tr w:rsidR="006519D5" w:rsidRPr="00DE541A" w14:paraId="69B72549" w14:textId="77777777" w:rsidTr="006519D5">
        <w:trPr>
          <w:cnfStyle w:val="100000000000" w:firstRow="1" w:lastRow="0" w:firstColumn="0" w:lastColumn="0" w:oddVBand="0" w:evenVBand="0" w:oddHBand="0" w:evenHBand="0" w:firstRowFirstColumn="0" w:firstRowLastColumn="0" w:lastRowFirstColumn="0" w:lastRowLastColumn="0"/>
          <w:trHeight w:val="113"/>
        </w:trPr>
        <w:tc>
          <w:tcPr>
            <w:tcW w:w="744" w:type="pct"/>
          </w:tcPr>
          <w:p w14:paraId="775B21AE" w14:textId="77777777" w:rsidR="006519D5" w:rsidRPr="00E364AD" w:rsidRDefault="006519D5" w:rsidP="006519D5">
            <w:r w:rsidRPr="00F448D4">
              <w:t>Scheme Name</w:t>
            </w:r>
          </w:p>
        </w:tc>
        <w:tc>
          <w:tcPr>
            <w:tcW w:w="1577" w:type="pct"/>
          </w:tcPr>
          <w:p w14:paraId="7E280AB7" w14:textId="77777777" w:rsidR="006519D5" w:rsidRPr="00E364AD" w:rsidRDefault="006519D5" w:rsidP="006519D5">
            <w:r>
              <w:t>Output</w:t>
            </w:r>
          </w:p>
        </w:tc>
        <w:tc>
          <w:tcPr>
            <w:tcW w:w="664" w:type="pct"/>
          </w:tcPr>
          <w:p w14:paraId="61300E15" w14:textId="77777777" w:rsidR="006519D5" w:rsidRPr="00E364AD" w:rsidRDefault="006519D5" w:rsidP="006519D5">
            <w:r w:rsidRPr="00F448D4">
              <w:t>Delivery Date</w:t>
            </w:r>
          </w:p>
        </w:tc>
        <w:tc>
          <w:tcPr>
            <w:tcW w:w="332" w:type="pct"/>
          </w:tcPr>
          <w:p w14:paraId="0C5D6537" w14:textId="6DC718D0" w:rsidR="006519D5" w:rsidRPr="00E364AD" w:rsidRDefault="006519D5" w:rsidP="006519D5">
            <w:pPr>
              <w:rPr>
                <w:b w:val="0"/>
              </w:rPr>
            </w:pPr>
            <w:r w:rsidRPr="00F448D4">
              <w:t>21/22</w:t>
            </w:r>
          </w:p>
        </w:tc>
        <w:tc>
          <w:tcPr>
            <w:tcW w:w="332" w:type="pct"/>
          </w:tcPr>
          <w:p w14:paraId="7600AC32" w14:textId="0A0FCCD7" w:rsidR="006519D5" w:rsidRPr="00E364AD" w:rsidRDefault="006519D5" w:rsidP="006519D5">
            <w:pPr>
              <w:rPr>
                <w:b w:val="0"/>
              </w:rPr>
            </w:pPr>
            <w:r w:rsidRPr="00F448D4">
              <w:t>22/23</w:t>
            </w:r>
          </w:p>
        </w:tc>
        <w:tc>
          <w:tcPr>
            <w:tcW w:w="332" w:type="pct"/>
          </w:tcPr>
          <w:p w14:paraId="12DAE35E" w14:textId="1B320F87" w:rsidR="006519D5" w:rsidRPr="00E364AD" w:rsidRDefault="006519D5" w:rsidP="006519D5">
            <w:pPr>
              <w:rPr>
                <w:b w:val="0"/>
              </w:rPr>
            </w:pPr>
            <w:r w:rsidRPr="00F448D4">
              <w:t>23/24</w:t>
            </w:r>
          </w:p>
        </w:tc>
        <w:tc>
          <w:tcPr>
            <w:tcW w:w="332" w:type="pct"/>
          </w:tcPr>
          <w:p w14:paraId="72514185" w14:textId="6A8A6317" w:rsidR="006519D5" w:rsidRPr="00E364AD" w:rsidRDefault="006519D5" w:rsidP="006519D5">
            <w:pPr>
              <w:rPr>
                <w:b w:val="0"/>
              </w:rPr>
            </w:pPr>
            <w:r w:rsidRPr="00F448D4">
              <w:t>24/25</w:t>
            </w:r>
          </w:p>
        </w:tc>
        <w:tc>
          <w:tcPr>
            <w:tcW w:w="332" w:type="pct"/>
          </w:tcPr>
          <w:p w14:paraId="0B99225C" w14:textId="5A085A45" w:rsidR="006519D5" w:rsidRPr="00E364AD" w:rsidRDefault="006519D5" w:rsidP="006519D5">
            <w:r w:rsidRPr="00F448D4">
              <w:t>25/26</w:t>
            </w:r>
          </w:p>
        </w:tc>
        <w:tc>
          <w:tcPr>
            <w:tcW w:w="354" w:type="pct"/>
          </w:tcPr>
          <w:p w14:paraId="0CC7D806" w14:textId="77777777" w:rsidR="006519D5" w:rsidRPr="00E364AD" w:rsidRDefault="006519D5" w:rsidP="006519D5">
            <w:r w:rsidRPr="00F448D4">
              <w:t>All years</w:t>
            </w:r>
          </w:p>
        </w:tc>
      </w:tr>
      <w:tr w:rsidR="006519D5" w:rsidRPr="00D5104D" w14:paraId="21981B85" w14:textId="77777777" w:rsidTr="006519D5">
        <w:trPr>
          <w:trHeight w:val="119"/>
        </w:trPr>
        <w:tc>
          <w:tcPr>
            <w:tcW w:w="744" w:type="pct"/>
          </w:tcPr>
          <w:p w14:paraId="3458E920" w14:textId="35A2B3F8" w:rsidR="006519D5" w:rsidRPr="00E364AD" w:rsidRDefault="00B0009A" w:rsidP="006519D5">
            <w:r>
              <w:t>[REDACTED]</w:t>
            </w:r>
          </w:p>
        </w:tc>
        <w:tc>
          <w:tcPr>
            <w:tcW w:w="1577" w:type="pct"/>
          </w:tcPr>
          <w:p w14:paraId="2432A4E5" w14:textId="2830CCEF" w:rsidR="006519D5" w:rsidRPr="00F448D4" w:rsidRDefault="006519D5" w:rsidP="006519D5"/>
        </w:tc>
        <w:tc>
          <w:tcPr>
            <w:tcW w:w="664" w:type="pct"/>
          </w:tcPr>
          <w:p w14:paraId="45ECB1EB" w14:textId="3110A8E6" w:rsidR="006519D5" w:rsidRPr="00E364AD" w:rsidRDefault="006519D5" w:rsidP="006519D5"/>
        </w:tc>
        <w:tc>
          <w:tcPr>
            <w:tcW w:w="332" w:type="pct"/>
          </w:tcPr>
          <w:p w14:paraId="24725E36" w14:textId="77777777" w:rsidR="006519D5" w:rsidRPr="00F448D4" w:rsidRDefault="006519D5" w:rsidP="006519D5"/>
        </w:tc>
        <w:tc>
          <w:tcPr>
            <w:tcW w:w="332" w:type="pct"/>
          </w:tcPr>
          <w:p w14:paraId="52950F4A" w14:textId="77777777" w:rsidR="006519D5" w:rsidRPr="00F448D4" w:rsidRDefault="006519D5" w:rsidP="006519D5"/>
        </w:tc>
        <w:tc>
          <w:tcPr>
            <w:tcW w:w="332" w:type="pct"/>
          </w:tcPr>
          <w:p w14:paraId="3B786346" w14:textId="77777777" w:rsidR="006519D5" w:rsidRPr="00F448D4" w:rsidRDefault="006519D5" w:rsidP="006519D5"/>
        </w:tc>
        <w:tc>
          <w:tcPr>
            <w:tcW w:w="332" w:type="pct"/>
          </w:tcPr>
          <w:p w14:paraId="148542A8" w14:textId="77777777" w:rsidR="006519D5" w:rsidRPr="00F448D4" w:rsidRDefault="006519D5" w:rsidP="006519D5"/>
        </w:tc>
        <w:tc>
          <w:tcPr>
            <w:tcW w:w="332" w:type="pct"/>
          </w:tcPr>
          <w:p w14:paraId="575AF2C8" w14:textId="77777777" w:rsidR="006519D5" w:rsidRPr="00F448D4" w:rsidRDefault="006519D5" w:rsidP="006519D5"/>
        </w:tc>
        <w:tc>
          <w:tcPr>
            <w:tcW w:w="354" w:type="pct"/>
          </w:tcPr>
          <w:p w14:paraId="5720D4FF" w14:textId="77777777" w:rsidR="006519D5" w:rsidRPr="00F448D4" w:rsidRDefault="006519D5" w:rsidP="006519D5"/>
        </w:tc>
      </w:tr>
      <w:tr w:rsidR="006519D5" w:rsidRPr="00D5104D" w14:paraId="42BE2D74" w14:textId="77777777" w:rsidTr="006519D5">
        <w:trPr>
          <w:trHeight w:val="119"/>
        </w:trPr>
        <w:tc>
          <w:tcPr>
            <w:tcW w:w="744" w:type="pct"/>
          </w:tcPr>
          <w:p w14:paraId="636491D5" w14:textId="48D858C4" w:rsidR="006519D5" w:rsidRPr="00E364AD" w:rsidRDefault="006519D5" w:rsidP="006519D5"/>
        </w:tc>
        <w:tc>
          <w:tcPr>
            <w:tcW w:w="1577" w:type="pct"/>
          </w:tcPr>
          <w:p w14:paraId="243B9463" w14:textId="0E7C1257" w:rsidR="006519D5" w:rsidRPr="00E364AD" w:rsidRDefault="006519D5" w:rsidP="006519D5"/>
        </w:tc>
        <w:tc>
          <w:tcPr>
            <w:tcW w:w="664" w:type="pct"/>
          </w:tcPr>
          <w:p w14:paraId="1CB8650C" w14:textId="7CA628D1" w:rsidR="006519D5" w:rsidRPr="00E364AD" w:rsidRDefault="006519D5" w:rsidP="006519D5"/>
        </w:tc>
        <w:tc>
          <w:tcPr>
            <w:tcW w:w="332" w:type="pct"/>
          </w:tcPr>
          <w:p w14:paraId="690930FC" w14:textId="77777777" w:rsidR="006519D5" w:rsidRPr="00F448D4" w:rsidRDefault="006519D5" w:rsidP="006519D5"/>
        </w:tc>
        <w:tc>
          <w:tcPr>
            <w:tcW w:w="332" w:type="pct"/>
          </w:tcPr>
          <w:p w14:paraId="20A91328" w14:textId="77777777" w:rsidR="006519D5" w:rsidRPr="00F448D4" w:rsidRDefault="006519D5" w:rsidP="006519D5"/>
        </w:tc>
        <w:tc>
          <w:tcPr>
            <w:tcW w:w="332" w:type="pct"/>
          </w:tcPr>
          <w:p w14:paraId="1150B6AF" w14:textId="77777777" w:rsidR="006519D5" w:rsidRPr="00F448D4" w:rsidRDefault="006519D5" w:rsidP="006519D5"/>
        </w:tc>
        <w:tc>
          <w:tcPr>
            <w:tcW w:w="332" w:type="pct"/>
          </w:tcPr>
          <w:p w14:paraId="607D002F" w14:textId="77777777" w:rsidR="006519D5" w:rsidRPr="00F448D4" w:rsidRDefault="006519D5" w:rsidP="006519D5"/>
        </w:tc>
        <w:tc>
          <w:tcPr>
            <w:tcW w:w="332" w:type="pct"/>
          </w:tcPr>
          <w:p w14:paraId="367CF626" w14:textId="77777777" w:rsidR="006519D5" w:rsidRPr="00F448D4" w:rsidRDefault="006519D5" w:rsidP="006519D5"/>
        </w:tc>
        <w:tc>
          <w:tcPr>
            <w:tcW w:w="354" w:type="pct"/>
          </w:tcPr>
          <w:p w14:paraId="72FBD8EF" w14:textId="77777777" w:rsidR="006519D5" w:rsidRPr="00F448D4" w:rsidRDefault="006519D5" w:rsidP="006519D5"/>
        </w:tc>
      </w:tr>
      <w:tr w:rsidR="006519D5" w:rsidRPr="00D5104D" w14:paraId="6C0926E4" w14:textId="77777777" w:rsidTr="006519D5">
        <w:trPr>
          <w:trHeight w:val="119"/>
        </w:trPr>
        <w:tc>
          <w:tcPr>
            <w:tcW w:w="744" w:type="pct"/>
          </w:tcPr>
          <w:p w14:paraId="14E292E2" w14:textId="0554DD5F" w:rsidR="006519D5" w:rsidRPr="00E364AD" w:rsidRDefault="006519D5" w:rsidP="006519D5"/>
        </w:tc>
        <w:tc>
          <w:tcPr>
            <w:tcW w:w="1577" w:type="pct"/>
          </w:tcPr>
          <w:p w14:paraId="024A4003" w14:textId="1EE654ED" w:rsidR="006519D5" w:rsidRPr="00F448D4" w:rsidRDefault="006519D5" w:rsidP="006519D5"/>
        </w:tc>
        <w:tc>
          <w:tcPr>
            <w:tcW w:w="664" w:type="pct"/>
          </w:tcPr>
          <w:p w14:paraId="758676D2" w14:textId="2ED223C8" w:rsidR="006519D5" w:rsidRPr="00E364AD" w:rsidRDefault="006519D5" w:rsidP="006519D5"/>
        </w:tc>
        <w:tc>
          <w:tcPr>
            <w:tcW w:w="332" w:type="pct"/>
          </w:tcPr>
          <w:p w14:paraId="42895E49" w14:textId="77777777" w:rsidR="006519D5" w:rsidRPr="00F448D4" w:rsidRDefault="006519D5" w:rsidP="006519D5"/>
        </w:tc>
        <w:tc>
          <w:tcPr>
            <w:tcW w:w="332" w:type="pct"/>
          </w:tcPr>
          <w:p w14:paraId="2AF2FB00" w14:textId="77777777" w:rsidR="006519D5" w:rsidRPr="00F448D4" w:rsidRDefault="006519D5" w:rsidP="006519D5"/>
        </w:tc>
        <w:tc>
          <w:tcPr>
            <w:tcW w:w="332" w:type="pct"/>
          </w:tcPr>
          <w:p w14:paraId="4693F8BB" w14:textId="77777777" w:rsidR="006519D5" w:rsidRPr="00F448D4" w:rsidRDefault="006519D5" w:rsidP="006519D5"/>
        </w:tc>
        <w:tc>
          <w:tcPr>
            <w:tcW w:w="332" w:type="pct"/>
          </w:tcPr>
          <w:p w14:paraId="35B9ED95" w14:textId="77777777" w:rsidR="006519D5" w:rsidRPr="00F448D4" w:rsidRDefault="006519D5" w:rsidP="006519D5"/>
        </w:tc>
        <w:tc>
          <w:tcPr>
            <w:tcW w:w="332" w:type="pct"/>
          </w:tcPr>
          <w:p w14:paraId="38DC4A31" w14:textId="77777777" w:rsidR="006519D5" w:rsidRPr="00F448D4" w:rsidRDefault="006519D5" w:rsidP="006519D5"/>
        </w:tc>
        <w:tc>
          <w:tcPr>
            <w:tcW w:w="354" w:type="pct"/>
          </w:tcPr>
          <w:p w14:paraId="76170434" w14:textId="77777777" w:rsidR="006519D5" w:rsidRPr="00F448D4" w:rsidRDefault="006519D5" w:rsidP="006519D5"/>
        </w:tc>
      </w:tr>
      <w:tr w:rsidR="006519D5" w:rsidRPr="00D5104D" w14:paraId="1F8BACD2" w14:textId="77777777" w:rsidTr="006519D5">
        <w:trPr>
          <w:trHeight w:val="119"/>
        </w:trPr>
        <w:tc>
          <w:tcPr>
            <w:tcW w:w="744" w:type="pct"/>
          </w:tcPr>
          <w:p w14:paraId="3625D72A" w14:textId="639F6F0C" w:rsidR="006519D5" w:rsidRPr="00E364AD" w:rsidRDefault="006519D5" w:rsidP="006519D5"/>
        </w:tc>
        <w:tc>
          <w:tcPr>
            <w:tcW w:w="1577" w:type="pct"/>
          </w:tcPr>
          <w:p w14:paraId="2327E573" w14:textId="43350220" w:rsidR="006519D5" w:rsidRPr="00BF1A13" w:rsidRDefault="006519D5" w:rsidP="006519D5"/>
        </w:tc>
        <w:tc>
          <w:tcPr>
            <w:tcW w:w="664" w:type="pct"/>
          </w:tcPr>
          <w:p w14:paraId="4C9A26FF" w14:textId="23BD2DC0" w:rsidR="006519D5" w:rsidRPr="00E364AD" w:rsidRDefault="006519D5" w:rsidP="006519D5"/>
        </w:tc>
        <w:tc>
          <w:tcPr>
            <w:tcW w:w="332" w:type="pct"/>
          </w:tcPr>
          <w:p w14:paraId="50D6E3A5" w14:textId="77777777" w:rsidR="006519D5" w:rsidRPr="00BF1A13" w:rsidRDefault="006519D5" w:rsidP="006519D5"/>
        </w:tc>
        <w:tc>
          <w:tcPr>
            <w:tcW w:w="332" w:type="pct"/>
          </w:tcPr>
          <w:p w14:paraId="5EE81711" w14:textId="77777777" w:rsidR="006519D5" w:rsidRPr="00BF1A13" w:rsidRDefault="006519D5" w:rsidP="006519D5"/>
        </w:tc>
        <w:tc>
          <w:tcPr>
            <w:tcW w:w="332" w:type="pct"/>
          </w:tcPr>
          <w:p w14:paraId="08C9D71F" w14:textId="77777777" w:rsidR="006519D5" w:rsidRPr="00BF1A13" w:rsidRDefault="006519D5" w:rsidP="006519D5"/>
        </w:tc>
        <w:tc>
          <w:tcPr>
            <w:tcW w:w="332" w:type="pct"/>
          </w:tcPr>
          <w:p w14:paraId="424E81F9" w14:textId="77777777" w:rsidR="006519D5" w:rsidRPr="00BF1A13" w:rsidRDefault="006519D5" w:rsidP="006519D5"/>
        </w:tc>
        <w:tc>
          <w:tcPr>
            <w:tcW w:w="332" w:type="pct"/>
          </w:tcPr>
          <w:p w14:paraId="58DD12C2" w14:textId="77777777" w:rsidR="006519D5" w:rsidRPr="00BF1A13" w:rsidRDefault="006519D5" w:rsidP="006519D5"/>
        </w:tc>
        <w:tc>
          <w:tcPr>
            <w:tcW w:w="354" w:type="pct"/>
          </w:tcPr>
          <w:p w14:paraId="34258C7F" w14:textId="77777777" w:rsidR="006519D5" w:rsidRPr="00BF1A13" w:rsidRDefault="006519D5" w:rsidP="006519D5"/>
        </w:tc>
      </w:tr>
      <w:tr w:rsidR="006519D5" w:rsidRPr="00D5104D" w14:paraId="74966BC7" w14:textId="77777777" w:rsidTr="006519D5">
        <w:trPr>
          <w:trHeight w:val="119"/>
        </w:trPr>
        <w:tc>
          <w:tcPr>
            <w:tcW w:w="744" w:type="pct"/>
          </w:tcPr>
          <w:p w14:paraId="4C71AF1B" w14:textId="7D418099" w:rsidR="006519D5" w:rsidRPr="00E364AD" w:rsidRDefault="006519D5" w:rsidP="006519D5"/>
        </w:tc>
        <w:tc>
          <w:tcPr>
            <w:tcW w:w="1577" w:type="pct"/>
          </w:tcPr>
          <w:p w14:paraId="40578F34" w14:textId="49EBFC79" w:rsidR="006519D5" w:rsidRPr="00E364AD" w:rsidRDefault="006519D5" w:rsidP="006519D5"/>
        </w:tc>
        <w:tc>
          <w:tcPr>
            <w:tcW w:w="664" w:type="pct"/>
          </w:tcPr>
          <w:p w14:paraId="7A1D830C" w14:textId="76740F00" w:rsidR="006519D5" w:rsidRPr="00E364AD" w:rsidRDefault="006519D5" w:rsidP="006519D5"/>
        </w:tc>
        <w:tc>
          <w:tcPr>
            <w:tcW w:w="332" w:type="pct"/>
          </w:tcPr>
          <w:p w14:paraId="5939564C" w14:textId="77777777" w:rsidR="006519D5" w:rsidRPr="00BF1A13" w:rsidRDefault="006519D5" w:rsidP="006519D5"/>
        </w:tc>
        <w:tc>
          <w:tcPr>
            <w:tcW w:w="332" w:type="pct"/>
          </w:tcPr>
          <w:p w14:paraId="07B09407" w14:textId="77777777" w:rsidR="006519D5" w:rsidRPr="00BF1A13" w:rsidRDefault="006519D5" w:rsidP="006519D5"/>
        </w:tc>
        <w:tc>
          <w:tcPr>
            <w:tcW w:w="332" w:type="pct"/>
          </w:tcPr>
          <w:p w14:paraId="1C2B9208" w14:textId="77777777" w:rsidR="006519D5" w:rsidRPr="00BF1A13" w:rsidRDefault="006519D5" w:rsidP="006519D5"/>
        </w:tc>
        <w:tc>
          <w:tcPr>
            <w:tcW w:w="332" w:type="pct"/>
          </w:tcPr>
          <w:p w14:paraId="4E8E0D4E" w14:textId="77777777" w:rsidR="006519D5" w:rsidRPr="00BF1A13" w:rsidRDefault="006519D5" w:rsidP="006519D5"/>
        </w:tc>
        <w:tc>
          <w:tcPr>
            <w:tcW w:w="332" w:type="pct"/>
          </w:tcPr>
          <w:p w14:paraId="3AA13F5B" w14:textId="77777777" w:rsidR="006519D5" w:rsidRPr="00BF1A13" w:rsidRDefault="006519D5" w:rsidP="006519D5"/>
        </w:tc>
        <w:tc>
          <w:tcPr>
            <w:tcW w:w="354" w:type="pct"/>
          </w:tcPr>
          <w:p w14:paraId="57084D9D" w14:textId="77777777" w:rsidR="006519D5" w:rsidRPr="00BF1A13" w:rsidRDefault="006519D5" w:rsidP="006519D5"/>
        </w:tc>
      </w:tr>
      <w:tr w:rsidR="006519D5" w:rsidRPr="00F448D4" w14:paraId="1F0051EC" w14:textId="77777777" w:rsidTr="006519D5">
        <w:trPr>
          <w:trHeight w:val="119"/>
        </w:trPr>
        <w:tc>
          <w:tcPr>
            <w:tcW w:w="744" w:type="pct"/>
          </w:tcPr>
          <w:p w14:paraId="49B1B923" w14:textId="2E28107C" w:rsidR="006519D5" w:rsidRPr="00E364AD" w:rsidRDefault="006519D5" w:rsidP="006519D5"/>
        </w:tc>
        <w:tc>
          <w:tcPr>
            <w:tcW w:w="1577" w:type="pct"/>
          </w:tcPr>
          <w:p w14:paraId="3B35BD4F" w14:textId="3C3DE933" w:rsidR="006519D5" w:rsidRPr="00BF1A13" w:rsidRDefault="006519D5" w:rsidP="006519D5"/>
        </w:tc>
        <w:tc>
          <w:tcPr>
            <w:tcW w:w="664" w:type="pct"/>
          </w:tcPr>
          <w:p w14:paraId="17AC49A8" w14:textId="54EF7B32" w:rsidR="006519D5" w:rsidRPr="00E364AD" w:rsidRDefault="006519D5" w:rsidP="006519D5"/>
        </w:tc>
        <w:tc>
          <w:tcPr>
            <w:tcW w:w="332" w:type="pct"/>
          </w:tcPr>
          <w:p w14:paraId="47927039" w14:textId="77777777" w:rsidR="006519D5" w:rsidRPr="00BF1A13" w:rsidRDefault="006519D5" w:rsidP="006519D5"/>
        </w:tc>
        <w:tc>
          <w:tcPr>
            <w:tcW w:w="332" w:type="pct"/>
          </w:tcPr>
          <w:p w14:paraId="57E80B67" w14:textId="77777777" w:rsidR="006519D5" w:rsidRPr="00BF1A13" w:rsidRDefault="006519D5" w:rsidP="006519D5"/>
        </w:tc>
        <w:tc>
          <w:tcPr>
            <w:tcW w:w="332" w:type="pct"/>
          </w:tcPr>
          <w:p w14:paraId="7C0A604E" w14:textId="77777777" w:rsidR="006519D5" w:rsidRPr="00BF1A13" w:rsidRDefault="006519D5" w:rsidP="006519D5"/>
        </w:tc>
        <w:tc>
          <w:tcPr>
            <w:tcW w:w="332" w:type="pct"/>
          </w:tcPr>
          <w:p w14:paraId="351D9423" w14:textId="77777777" w:rsidR="006519D5" w:rsidRPr="00BF1A13" w:rsidRDefault="006519D5" w:rsidP="006519D5"/>
        </w:tc>
        <w:tc>
          <w:tcPr>
            <w:tcW w:w="332" w:type="pct"/>
          </w:tcPr>
          <w:p w14:paraId="4AC8C9AC" w14:textId="77777777" w:rsidR="006519D5" w:rsidRPr="00BF1A13" w:rsidRDefault="006519D5" w:rsidP="006519D5"/>
        </w:tc>
        <w:tc>
          <w:tcPr>
            <w:tcW w:w="354" w:type="pct"/>
          </w:tcPr>
          <w:p w14:paraId="13EDA5DA" w14:textId="77777777" w:rsidR="006519D5" w:rsidRPr="00BF1A13" w:rsidRDefault="006519D5" w:rsidP="006519D5"/>
        </w:tc>
      </w:tr>
      <w:tr w:rsidR="006519D5" w:rsidRPr="00F448D4" w14:paraId="3988AA92" w14:textId="77777777" w:rsidTr="006519D5">
        <w:trPr>
          <w:trHeight w:val="119"/>
        </w:trPr>
        <w:tc>
          <w:tcPr>
            <w:tcW w:w="744" w:type="pct"/>
          </w:tcPr>
          <w:p w14:paraId="6A538746" w14:textId="35B7DE9B" w:rsidR="006519D5" w:rsidRPr="00E364AD" w:rsidRDefault="006519D5" w:rsidP="006519D5"/>
        </w:tc>
        <w:tc>
          <w:tcPr>
            <w:tcW w:w="1577" w:type="pct"/>
          </w:tcPr>
          <w:p w14:paraId="21797FA5" w14:textId="59BFFF74" w:rsidR="006519D5" w:rsidRPr="00E364AD" w:rsidRDefault="006519D5" w:rsidP="006519D5"/>
        </w:tc>
        <w:tc>
          <w:tcPr>
            <w:tcW w:w="664" w:type="pct"/>
          </w:tcPr>
          <w:p w14:paraId="4D22900B" w14:textId="520D3F69" w:rsidR="006519D5" w:rsidRPr="00E364AD" w:rsidRDefault="006519D5" w:rsidP="006519D5"/>
        </w:tc>
        <w:tc>
          <w:tcPr>
            <w:tcW w:w="332" w:type="pct"/>
          </w:tcPr>
          <w:p w14:paraId="41FCCB31" w14:textId="77777777" w:rsidR="006519D5" w:rsidRPr="00BF1A13" w:rsidRDefault="006519D5" w:rsidP="006519D5"/>
        </w:tc>
        <w:tc>
          <w:tcPr>
            <w:tcW w:w="332" w:type="pct"/>
          </w:tcPr>
          <w:p w14:paraId="1A0BDE6F" w14:textId="77777777" w:rsidR="006519D5" w:rsidRPr="00BF1A13" w:rsidRDefault="006519D5" w:rsidP="006519D5"/>
        </w:tc>
        <w:tc>
          <w:tcPr>
            <w:tcW w:w="332" w:type="pct"/>
          </w:tcPr>
          <w:p w14:paraId="546114AD" w14:textId="77777777" w:rsidR="006519D5" w:rsidRPr="00BF1A13" w:rsidRDefault="006519D5" w:rsidP="006519D5"/>
        </w:tc>
        <w:tc>
          <w:tcPr>
            <w:tcW w:w="332" w:type="pct"/>
          </w:tcPr>
          <w:p w14:paraId="2B630E36" w14:textId="77777777" w:rsidR="006519D5" w:rsidRPr="00BF1A13" w:rsidRDefault="006519D5" w:rsidP="006519D5"/>
        </w:tc>
        <w:tc>
          <w:tcPr>
            <w:tcW w:w="332" w:type="pct"/>
          </w:tcPr>
          <w:p w14:paraId="1224ED89" w14:textId="77777777" w:rsidR="006519D5" w:rsidRPr="00BF1A13" w:rsidRDefault="006519D5" w:rsidP="006519D5"/>
        </w:tc>
        <w:tc>
          <w:tcPr>
            <w:tcW w:w="354" w:type="pct"/>
          </w:tcPr>
          <w:p w14:paraId="2DB951ED" w14:textId="77777777" w:rsidR="006519D5" w:rsidRPr="00BF1A13" w:rsidRDefault="006519D5" w:rsidP="006519D5"/>
        </w:tc>
      </w:tr>
      <w:tr w:rsidR="006519D5" w:rsidRPr="00F448D4" w14:paraId="7722CAF0" w14:textId="77777777" w:rsidTr="006519D5">
        <w:trPr>
          <w:trHeight w:val="119"/>
        </w:trPr>
        <w:tc>
          <w:tcPr>
            <w:tcW w:w="744" w:type="pct"/>
          </w:tcPr>
          <w:p w14:paraId="4B0462BA" w14:textId="7FF068D7" w:rsidR="006519D5" w:rsidRPr="00E364AD" w:rsidRDefault="006519D5" w:rsidP="006519D5"/>
        </w:tc>
        <w:tc>
          <w:tcPr>
            <w:tcW w:w="1577" w:type="pct"/>
          </w:tcPr>
          <w:p w14:paraId="024C628D" w14:textId="39E421C6" w:rsidR="006519D5" w:rsidRPr="00E364AD" w:rsidRDefault="006519D5" w:rsidP="006519D5"/>
        </w:tc>
        <w:tc>
          <w:tcPr>
            <w:tcW w:w="664" w:type="pct"/>
          </w:tcPr>
          <w:p w14:paraId="476D5AB1" w14:textId="69E3B580" w:rsidR="006519D5" w:rsidRPr="00E364AD" w:rsidRDefault="006519D5" w:rsidP="006519D5"/>
        </w:tc>
        <w:tc>
          <w:tcPr>
            <w:tcW w:w="332" w:type="pct"/>
          </w:tcPr>
          <w:p w14:paraId="493D1D3B" w14:textId="77777777" w:rsidR="006519D5" w:rsidRPr="00BF1A13" w:rsidRDefault="006519D5" w:rsidP="006519D5"/>
        </w:tc>
        <w:tc>
          <w:tcPr>
            <w:tcW w:w="332" w:type="pct"/>
          </w:tcPr>
          <w:p w14:paraId="4897449D" w14:textId="77777777" w:rsidR="006519D5" w:rsidRPr="00BF1A13" w:rsidRDefault="006519D5" w:rsidP="006519D5"/>
        </w:tc>
        <w:tc>
          <w:tcPr>
            <w:tcW w:w="332" w:type="pct"/>
          </w:tcPr>
          <w:p w14:paraId="6E300F41" w14:textId="77777777" w:rsidR="006519D5" w:rsidRPr="00BF1A13" w:rsidRDefault="006519D5" w:rsidP="006519D5"/>
        </w:tc>
        <w:tc>
          <w:tcPr>
            <w:tcW w:w="332" w:type="pct"/>
          </w:tcPr>
          <w:p w14:paraId="44C610BF" w14:textId="77777777" w:rsidR="006519D5" w:rsidRPr="00BF1A13" w:rsidRDefault="006519D5" w:rsidP="006519D5"/>
        </w:tc>
        <w:tc>
          <w:tcPr>
            <w:tcW w:w="332" w:type="pct"/>
          </w:tcPr>
          <w:p w14:paraId="7D7D4B05" w14:textId="77777777" w:rsidR="006519D5" w:rsidRPr="00BF1A13" w:rsidRDefault="006519D5" w:rsidP="006519D5"/>
        </w:tc>
        <w:tc>
          <w:tcPr>
            <w:tcW w:w="354" w:type="pct"/>
          </w:tcPr>
          <w:p w14:paraId="4AB404A3" w14:textId="77777777" w:rsidR="006519D5" w:rsidRPr="00BF1A13" w:rsidRDefault="006519D5" w:rsidP="006519D5"/>
        </w:tc>
      </w:tr>
      <w:tr w:rsidR="006519D5" w:rsidRPr="00F448D4" w14:paraId="6AFFCE79" w14:textId="77777777" w:rsidTr="006519D5">
        <w:trPr>
          <w:trHeight w:val="119"/>
        </w:trPr>
        <w:tc>
          <w:tcPr>
            <w:tcW w:w="744" w:type="pct"/>
          </w:tcPr>
          <w:p w14:paraId="0CD03E58" w14:textId="7BBD43C0" w:rsidR="006519D5" w:rsidRPr="00E364AD" w:rsidRDefault="006519D5" w:rsidP="006519D5"/>
        </w:tc>
        <w:tc>
          <w:tcPr>
            <w:tcW w:w="1577" w:type="pct"/>
          </w:tcPr>
          <w:p w14:paraId="2BF471D7" w14:textId="16093EDC" w:rsidR="006519D5" w:rsidRPr="00E364AD" w:rsidRDefault="006519D5" w:rsidP="006519D5"/>
        </w:tc>
        <w:tc>
          <w:tcPr>
            <w:tcW w:w="664" w:type="pct"/>
          </w:tcPr>
          <w:p w14:paraId="5BBFFD9A" w14:textId="44F2FDFC" w:rsidR="006519D5" w:rsidRPr="00E364AD" w:rsidRDefault="006519D5" w:rsidP="006519D5"/>
        </w:tc>
        <w:tc>
          <w:tcPr>
            <w:tcW w:w="332" w:type="pct"/>
          </w:tcPr>
          <w:p w14:paraId="6F70D522" w14:textId="77777777" w:rsidR="006519D5" w:rsidRPr="00BF1A13" w:rsidRDefault="006519D5" w:rsidP="006519D5"/>
        </w:tc>
        <w:tc>
          <w:tcPr>
            <w:tcW w:w="332" w:type="pct"/>
          </w:tcPr>
          <w:p w14:paraId="56AD7189" w14:textId="77777777" w:rsidR="006519D5" w:rsidRPr="00BF1A13" w:rsidRDefault="006519D5" w:rsidP="006519D5"/>
        </w:tc>
        <w:tc>
          <w:tcPr>
            <w:tcW w:w="332" w:type="pct"/>
          </w:tcPr>
          <w:p w14:paraId="56E97C18" w14:textId="77777777" w:rsidR="006519D5" w:rsidRPr="00BF1A13" w:rsidRDefault="006519D5" w:rsidP="006519D5"/>
        </w:tc>
        <w:tc>
          <w:tcPr>
            <w:tcW w:w="332" w:type="pct"/>
          </w:tcPr>
          <w:p w14:paraId="564A9110" w14:textId="77777777" w:rsidR="006519D5" w:rsidRPr="00BF1A13" w:rsidRDefault="006519D5" w:rsidP="006519D5"/>
        </w:tc>
        <w:tc>
          <w:tcPr>
            <w:tcW w:w="332" w:type="pct"/>
          </w:tcPr>
          <w:p w14:paraId="05AC05AE" w14:textId="77777777" w:rsidR="006519D5" w:rsidRPr="00BF1A13" w:rsidRDefault="006519D5" w:rsidP="006519D5"/>
        </w:tc>
        <w:tc>
          <w:tcPr>
            <w:tcW w:w="354" w:type="pct"/>
          </w:tcPr>
          <w:p w14:paraId="3362A925" w14:textId="77777777" w:rsidR="006519D5" w:rsidRPr="00BF1A13" w:rsidRDefault="006519D5" w:rsidP="006519D5"/>
        </w:tc>
      </w:tr>
      <w:tr w:rsidR="006519D5" w:rsidRPr="00BF1A13" w14:paraId="2E548B3B" w14:textId="77777777" w:rsidTr="006519D5">
        <w:trPr>
          <w:trHeight w:val="119"/>
        </w:trPr>
        <w:tc>
          <w:tcPr>
            <w:tcW w:w="744" w:type="pct"/>
          </w:tcPr>
          <w:p w14:paraId="72A0F695" w14:textId="7A9E3443" w:rsidR="006519D5" w:rsidRPr="00E364AD" w:rsidRDefault="006519D5" w:rsidP="006519D5"/>
        </w:tc>
        <w:tc>
          <w:tcPr>
            <w:tcW w:w="1577" w:type="pct"/>
          </w:tcPr>
          <w:p w14:paraId="2420B16F" w14:textId="0E7711BC" w:rsidR="006519D5" w:rsidRPr="00E364AD" w:rsidRDefault="006519D5" w:rsidP="006519D5"/>
        </w:tc>
        <w:tc>
          <w:tcPr>
            <w:tcW w:w="664" w:type="pct"/>
          </w:tcPr>
          <w:p w14:paraId="1543BA2E" w14:textId="26DD280B" w:rsidR="006519D5" w:rsidRPr="00E364AD" w:rsidRDefault="006519D5" w:rsidP="006519D5"/>
        </w:tc>
        <w:tc>
          <w:tcPr>
            <w:tcW w:w="332" w:type="pct"/>
          </w:tcPr>
          <w:p w14:paraId="624A3BCB" w14:textId="77777777" w:rsidR="006519D5" w:rsidRPr="00BF1A13" w:rsidRDefault="006519D5" w:rsidP="006519D5"/>
        </w:tc>
        <w:tc>
          <w:tcPr>
            <w:tcW w:w="332" w:type="pct"/>
          </w:tcPr>
          <w:p w14:paraId="54E4C6B8" w14:textId="77777777" w:rsidR="006519D5" w:rsidRPr="00BF1A13" w:rsidRDefault="006519D5" w:rsidP="006519D5"/>
        </w:tc>
        <w:tc>
          <w:tcPr>
            <w:tcW w:w="332" w:type="pct"/>
          </w:tcPr>
          <w:p w14:paraId="67A850DD" w14:textId="77777777" w:rsidR="006519D5" w:rsidRPr="00BF1A13" w:rsidRDefault="006519D5" w:rsidP="006519D5"/>
        </w:tc>
        <w:tc>
          <w:tcPr>
            <w:tcW w:w="332" w:type="pct"/>
          </w:tcPr>
          <w:p w14:paraId="3F332E30" w14:textId="77777777" w:rsidR="006519D5" w:rsidRPr="00BF1A13" w:rsidRDefault="006519D5" w:rsidP="006519D5"/>
        </w:tc>
        <w:tc>
          <w:tcPr>
            <w:tcW w:w="332" w:type="pct"/>
          </w:tcPr>
          <w:p w14:paraId="297FC39A" w14:textId="77777777" w:rsidR="006519D5" w:rsidRPr="00BF1A13" w:rsidRDefault="006519D5" w:rsidP="006519D5"/>
        </w:tc>
        <w:tc>
          <w:tcPr>
            <w:tcW w:w="354" w:type="pct"/>
          </w:tcPr>
          <w:p w14:paraId="257FAE75" w14:textId="77777777" w:rsidR="006519D5" w:rsidRPr="00BF1A13" w:rsidRDefault="006519D5" w:rsidP="006519D5"/>
        </w:tc>
      </w:tr>
      <w:tr w:rsidR="006519D5" w:rsidRPr="00BF1A13" w14:paraId="56D7A812" w14:textId="77777777" w:rsidTr="006519D5">
        <w:trPr>
          <w:trHeight w:val="119"/>
        </w:trPr>
        <w:tc>
          <w:tcPr>
            <w:tcW w:w="744" w:type="pct"/>
          </w:tcPr>
          <w:p w14:paraId="7C6E3045" w14:textId="0A1A75D8" w:rsidR="006519D5" w:rsidRPr="00E364AD" w:rsidRDefault="006519D5" w:rsidP="006519D5"/>
        </w:tc>
        <w:tc>
          <w:tcPr>
            <w:tcW w:w="1577" w:type="pct"/>
          </w:tcPr>
          <w:p w14:paraId="2A3EBF1A" w14:textId="3CEA786B" w:rsidR="006519D5" w:rsidRPr="00E364AD" w:rsidRDefault="006519D5" w:rsidP="006519D5"/>
        </w:tc>
        <w:tc>
          <w:tcPr>
            <w:tcW w:w="664" w:type="pct"/>
          </w:tcPr>
          <w:p w14:paraId="443621FC" w14:textId="2247F0B8" w:rsidR="006519D5" w:rsidRPr="00E364AD" w:rsidRDefault="006519D5" w:rsidP="006519D5"/>
        </w:tc>
        <w:tc>
          <w:tcPr>
            <w:tcW w:w="332" w:type="pct"/>
          </w:tcPr>
          <w:p w14:paraId="6BC29CB5" w14:textId="77777777" w:rsidR="006519D5" w:rsidRPr="00BF1A13" w:rsidRDefault="006519D5" w:rsidP="006519D5"/>
        </w:tc>
        <w:tc>
          <w:tcPr>
            <w:tcW w:w="332" w:type="pct"/>
          </w:tcPr>
          <w:p w14:paraId="2402B5A1" w14:textId="77777777" w:rsidR="006519D5" w:rsidRPr="00BF1A13" w:rsidRDefault="006519D5" w:rsidP="006519D5"/>
        </w:tc>
        <w:tc>
          <w:tcPr>
            <w:tcW w:w="332" w:type="pct"/>
          </w:tcPr>
          <w:p w14:paraId="16FEAE4B" w14:textId="77777777" w:rsidR="006519D5" w:rsidRPr="00BF1A13" w:rsidRDefault="006519D5" w:rsidP="006519D5"/>
        </w:tc>
        <w:tc>
          <w:tcPr>
            <w:tcW w:w="332" w:type="pct"/>
          </w:tcPr>
          <w:p w14:paraId="43712DB1" w14:textId="77777777" w:rsidR="006519D5" w:rsidRPr="00BF1A13" w:rsidRDefault="006519D5" w:rsidP="006519D5"/>
        </w:tc>
        <w:tc>
          <w:tcPr>
            <w:tcW w:w="332" w:type="pct"/>
          </w:tcPr>
          <w:p w14:paraId="67F2ACD9" w14:textId="77777777" w:rsidR="006519D5" w:rsidRPr="00BF1A13" w:rsidRDefault="006519D5" w:rsidP="006519D5"/>
        </w:tc>
        <w:tc>
          <w:tcPr>
            <w:tcW w:w="354" w:type="pct"/>
          </w:tcPr>
          <w:p w14:paraId="63DE00F5" w14:textId="77777777" w:rsidR="006519D5" w:rsidRPr="00BF1A13" w:rsidRDefault="006519D5" w:rsidP="006519D5"/>
        </w:tc>
      </w:tr>
      <w:tr w:rsidR="006519D5" w:rsidRPr="00BF1A13" w14:paraId="3888468D" w14:textId="77777777" w:rsidTr="006519D5">
        <w:trPr>
          <w:trHeight w:val="119"/>
        </w:trPr>
        <w:tc>
          <w:tcPr>
            <w:tcW w:w="744" w:type="pct"/>
          </w:tcPr>
          <w:p w14:paraId="2A57980D" w14:textId="0E3173FA" w:rsidR="006519D5" w:rsidRPr="00E364AD" w:rsidRDefault="006519D5" w:rsidP="006519D5"/>
        </w:tc>
        <w:tc>
          <w:tcPr>
            <w:tcW w:w="1577" w:type="pct"/>
          </w:tcPr>
          <w:p w14:paraId="7D70F892" w14:textId="6D2060E0" w:rsidR="006519D5" w:rsidRPr="00E364AD" w:rsidRDefault="006519D5" w:rsidP="006519D5"/>
        </w:tc>
        <w:tc>
          <w:tcPr>
            <w:tcW w:w="664" w:type="pct"/>
          </w:tcPr>
          <w:p w14:paraId="71FCEEAC" w14:textId="34279232" w:rsidR="006519D5" w:rsidRPr="00E364AD" w:rsidRDefault="006519D5" w:rsidP="006519D5"/>
        </w:tc>
        <w:tc>
          <w:tcPr>
            <w:tcW w:w="332" w:type="pct"/>
          </w:tcPr>
          <w:p w14:paraId="0F5D4395" w14:textId="77777777" w:rsidR="006519D5" w:rsidRPr="00BF1A13" w:rsidRDefault="006519D5" w:rsidP="006519D5"/>
        </w:tc>
        <w:tc>
          <w:tcPr>
            <w:tcW w:w="332" w:type="pct"/>
          </w:tcPr>
          <w:p w14:paraId="07F671CA" w14:textId="77777777" w:rsidR="006519D5" w:rsidRPr="00BF1A13" w:rsidRDefault="006519D5" w:rsidP="006519D5"/>
        </w:tc>
        <w:tc>
          <w:tcPr>
            <w:tcW w:w="332" w:type="pct"/>
          </w:tcPr>
          <w:p w14:paraId="147810E0" w14:textId="77777777" w:rsidR="006519D5" w:rsidRPr="00BF1A13" w:rsidRDefault="006519D5" w:rsidP="006519D5"/>
        </w:tc>
        <w:tc>
          <w:tcPr>
            <w:tcW w:w="332" w:type="pct"/>
          </w:tcPr>
          <w:p w14:paraId="5D2C2795" w14:textId="77777777" w:rsidR="006519D5" w:rsidRPr="00BF1A13" w:rsidRDefault="006519D5" w:rsidP="006519D5"/>
        </w:tc>
        <w:tc>
          <w:tcPr>
            <w:tcW w:w="332" w:type="pct"/>
          </w:tcPr>
          <w:p w14:paraId="01F7608A" w14:textId="77777777" w:rsidR="006519D5" w:rsidRPr="00BF1A13" w:rsidRDefault="006519D5" w:rsidP="006519D5"/>
        </w:tc>
        <w:tc>
          <w:tcPr>
            <w:tcW w:w="354" w:type="pct"/>
          </w:tcPr>
          <w:p w14:paraId="0A3F46B5" w14:textId="77777777" w:rsidR="006519D5" w:rsidRPr="00BF1A13" w:rsidRDefault="006519D5" w:rsidP="006519D5"/>
        </w:tc>
      </w:tr>
      <w:tr w:rsidR="006519D5" w:rsidRPr="00F448D4" w14:paraId="293B7679" w14:textId="77777777" w:rsidTr="006519D5">
        <w:trPr>
          <w:trHeight w:val="119"/>
        </w:trPr>
        <w:tc>
          <w:tcPr>
            <w:tcW w:w="744" w:type="pct"/>
          </w:tcPr>
          <w:p w14:paraId="5F0773EA" w14:textId="2A8BFF66" w:rsidR="006519D5" w:rsidRPr="00E364AD" w:rsidRDefault="006519D5" w:rsidP="006519D5"/>
        </w:tc>
        <w:tc>
          <w:tcPr>
            <w:tcW w:w="1577" w:type="pct"/>
          </w:tcPr>
          <w:p w14:paraId="3BF6CDB9" w14:textId="4F4BD089" w:rsidR="006519D5" w:rsidRPr="00E364AD" w:rsidRDefault="006519D5" w:rsidP="006519D5"/>
        </w:tc>
        <w:tc>
          <w:tcPr>
            <w:tcW w:w="664" w:type="pct"/>
          </w:tcPr>
          <w:p w14:paraId="063EF366" w14:textId="1A3B0860" w:rsidR="006519D5" w:rsidRPr="00E364AD" w:rsidRDefault="006519D5" w:rsidP="006519D5"/>
        </w:tc>
        <w:tc>
          <w:tcPr>
            <w:tcW w:w="332" w:type="pct"/>
          </w:tcPr>
          <w:p w14:paraId="380C4495" w14:textId="77777777" w:rsidR="006519D5" w:rsidRPr="00BF1A13" w:rsidRDefault="006519D5" w:rsidP="006519D5"/>
        </w:tc>
        <w:tc>
          <w:tcPr>
            <w:tcW w:w="332" w:type="pct"/>
          </w:tcPr>
          <w:p w14:paraId="49AFC844" w14:textId="77777777" w:rsidR="006519D5" w:rsidRPr="00BF1A13" w:rsidRDefault="006519D5" w:rsidP="006519D5"/>
        </w:tc>
        <w:tc>
          <w:tcPr>
            <w:tcW w:w="332" w:type="pct"/>
          </w:tcPr>
          <w:p w14:paraId="77A2C51F" w14:textId="77777777" w:rsidR="006519D5" w:rsidRPr="00BF1A13" w:rsidRDefault="006519D5" w:rsidP="006519D5"/>
        </w:tc>
        <w:tc>
          <w:tcPr>
            <w:tcW w:w="332" w:type="pct"/>
          </w:tcPr>
          <w:p w14:paraId="3A713019" w14:textId="77777777" w:rsidR="006519D5" w:rsidRPr="00BF1A13" w:rsidRDefault="006519D5" w:rsidP="006519D5"/>
        </w:tc>
        <w:tc>
          <w:tcPr>
            <w:tcW w:w="332" w:type="pct"/>
          </w:tcPr>
          <w:p w14:paraId="234EF00C" w14:textId="77777777" w:rsidR="006519D5" w:rsidRPr="00BF1A13" w:rsidRDefault="006519D5" w:rsidP="006519D5"/>
        </w:tc>
        <w:tc>
          <w:tcPr>
            <w:tcW w:w="354" w:type="pct"/>
          </w:tcPr>
          <w:p w14:paraId="265BC258" w14:textId="77777777" w:rsidR="006519D5" w:rsidRPr="00BF1A13" w:rsidRDefault="006519D5" w:rsidP="006519D5"/>
        </w:tc>
      </w:tr>
      <w:tr w:rsidR="006519D5" w:rsidRPr="00F448D4" w14:paraId="3E60D484" w14:textId="77777777" w:rsidTr="006519D5">
        <w:trPr>
          <w:trHeight w:val="119"/>
        </w:trPr>
        <w:tc>
          <w:tcPr>
            <w:tcW w:w="744" w:type="pct"/>
          </w:tcPr>
          <w:p w14:paraId="693CC4E4" w14:textId="0F0554C5" w:rsidR="006519D5" w:rsidRPr="00E364AD" w:rsidRDefault="006519D5" w:rsidP="006519D5"/>
        </w:tc>
        <w:tc>
          <w:tcPr>
            <w:tcW w:w="1577" w:type="pct"/>
          </w:tcPr>
          <w:p w14:paraId="5B5A3CDD" w14:textId="592C2E9E" w:rsidR="006519D5" w:rsidRPr="00E364AD" w:rsidRDefault="006519D5" w:rsidP="006519D5"/>
        </w:tc>
        <w:tc>
          <w:tcPr>
            <w:tcW w:w="664" w:type="pct"/>
          </w:tcPr>
          <w:p w14:paraId="2FDDC28D" w14:textId="57D1A78C" w:rsidR="006519D5" w:rsidRPr="00E364AD" w:rsidRDefault="006519D5" w:rsidP="006519D5"/>
        </w:tc>
        <w:tc>
          <w:tcPr>
            <w:tcW w:w="332" w:type="pct"/>
          </w:tcPr>
          <w:p w14:paraId="697D7403" w14:textId="77777777" w:rsidR="006519D5" w:rsidRPr="00BF1A13" w:rsidRDefault="006519D5" w:rsidP="006519D5"/>
        </w:tc>
        <w:tc>
          <w:tcPr>
            <w:tcW w:w="332" w:type="pct"/>
          </w:tcPr>
          <w:p w14:paraId="0CD87A4C" w14:textId="77777777" w:rsidR="006519D5" w:rsidRPr="00BF1A13" w:rsidRDefault="006519D5" w:rsidP="006519D5"/>
        </w:tc>
        <w:tc>
          <w:tcPr>
            <w:tcW w:w="332" w:type="pct"/>
          </w:tcPr>
          <w:p w14:paraId="67D87BF7" w14:textId="77777777" w:rsidR="006519D5" w:rsidRPr="00BF1A13" w:rsidRDefault="006519D5" w:rsidP="006519D5"/>
        </w:tc>
        <w:tc>
          <w:tcPr>
            <w:tcW w:w="332" w:type="pct"/>
          </w:tcPr>
          <w:p w14:paraId="7718A212" w14:textId="77777777" w:rsidR="006519D5" w:rsidRPr="00BF1A13" w:rsidRDefault="006519D5" w:rsidP="006519D5"/>
        </w:tc>
        <w:tc>
          <w:tcPr>
            <w:tcW w:w="332" w:type="pct"/>
          </w:tcPr>
          <w:p w14:paraId="070E8999" w14:textId="77777777" w:rsidR="006519D5" w:rsidRPr="00BF1A13" w:rsidRDefault="006519D5" w:rsidP="006519D5"/>
        </w:tc>
        <w:tc>
          <w:tcPr>
            <w:tcW w:w="354" w:type="pct"/>
          </w:tcPr>
          <w:p w14:paraId="53C16C33" w14:textId="77777777" w:rsidR="006519D5" w:rsidRPr="00BF1A13" w:rsidRDefault="006519D5" w:rsidP="006519D5"/>
        </w:tc>
      </w:tr>
      <w:tr w:rsidR="006519D5" w:rsidRPr="00F448D4" w14:paraId="091C0CB1" w14:textId="77777777" w:rsidTr="006519D5">
        <w:trPr>
          <w:trHeight w:val="119"/>
        </w:trPr>
        <w:tc>
          <w:tcPr>
            <w:tcW w:w="744" w:type="pct"/>
          </w:tcPr>
          <w:p w14:paraId="23C5ACB0" w14:textId="1A007576" w:rsidR="006519D5" w:rsidRPr="00E364AD" w:rsidRDefault="006519D5" w:rsidP="006519D5"/>
        </w:tc>
        <w:tc>
          <w:tcPr>
            <w:tcW w:w="1577" w:type="pct"/>
          </w:tcPr>
          <w:p w14:paraId="717EA284" w14:textId="23088C70" w:rsidR="006519D5" w:rsidRPr="00E364AD" w:rsidRDefault="006519D5" w:rsidP="006519D5"/>
        </w:tc>
        <w:tc>
          <w:tcPr>
            <w:tcW w:w="664" w:type="pct"/>
          </w:tcPr>
          <w:p w14:paraId="222DA634" w14:textId="5A91B639" w:rsidR="006519D5" w:rsidRPr="00E364AD" w:rsidRDefault="006519D5" w:rsidP="006519D5"/>
        </w:tc>
        <w:tc>
          <w:tcPr>
            <w:tcW w:w="332" w:type="pct"/>
          </w:tcPr>
          <w:p w14:paraId="4C4DE34B" w14:textId="77777777" w:rsidR="006519D5" w:rsidRPr="00BF1A13" w:rsidRDefault="006519D5" w:rsidP="006519D5"/>
        </w:tc>
        <w:tc>
          <w:tcPr>
            <w:tcW w:w="332" w:type="pct"/>
          </w:tcPr>
          <w:p w14:paraId="63159C3F" w14:textId="77777777" w:rsidR="006519D5" w:rsidRPr="00BF1A13" w:rsidRDefault="006519D5" w:rsidP="006519D5"/>
        </w:tc>
        <w:tc>
          <w:tcPr>
            <w:tcW w:w="332" w:type="pct"/>
          </w:tcPr>
          <w:p w14:paraId="4F17FB39" w14:textId="77777777" w:rsidR="006519D5" w:rsidRPr="00BF1A13" w:rsidRDefault="006519D5" w:rsidP="006519D5"/>
        </w:tc>
        <w:tc>
          <w:tcPr>
            <w:tcW w:w="332" w:type="pct"/>
          </w:tcPr>
          <w:p w14:paraId="660D877B" w14:textId="77777777" w:rsidR="006519D5" w:rsidRPr="00BF1A13" w:rsidRDefault="006519D5" w:rsidP="006519D5"/>
        </w:tc>
        <w:tc>
          <w:tcPr>
            <w:tcW w:w="332" w:type="pct"/>
          </w:tcPr>
          <w:p w14:paraId="3013685B" w14:textId="77777777" w:rsidR="006519D5" w:rsidRPr="00BF1A13" w:rsidRDefault="006519D5" w:rsidP="006519D5"/>
        </w:tc>
        <w:tc>
          <w:tcPr>
            <w:tcW w:w="354" w:type="pct"/>
          </w:tcPr>
          <w:p w14:paraId="73972965" w14:textId="77777777" w:rsidR="006519D5" w:rsidRPr="00BF1A13" w:rsidRDefault="006519D5" w:rsidP="006519D5"/>
        </w:tc>
      </w:tr>
      <w:tr w:rsidR="006519D5" w:rsidRPr="00BF1A13" w14:paraId="76915D85" w14:textId="77777777" w:rsidTr="006519D5">
        <w:trPr>
          <w:trHeight w:val="119"/>
        </w:trPr>
        <w:tc>
          <w:tcPr>
            <w:tcW w:w="744" w:type="pct"/>
          </w:tcPr>
          <w:p w14:paraId="141FA5AA" w14:textId="493C43B4" w:rsidR="006519D5" w:rsidRPr="00E364AD" w:rsidRDefault="006519D5" w:rsidP="006519D5"/>
        </w:tc>
        <w:tc>
          <w:tcPr>
            <w:tcW w:w="1577" w:type="pct"/>
          </w:tcPr>
          <w:p w14:paraId="1D23298D" w14:textId="0812831A" w:rsidR="006519D5" w:rsidRPr="00E364AD" w:rsidRDefault="006519D5" w:rsidP="006519D5"/>
        </w:tc>
        <w:tc>
          <w:tcPr>
            <w:tcW w:w="664" w:type="pct"/>
          </w:tcPr>
          <w:p w14:paraId="68FDC1F0" w14:textId="1EA7025E" w:rsidR="006519D5" w:rsidRPr="00E364AD" w:rsidRDefault="006519D5" w:rsidP="006519D5"/>
        </w:tc>
        <w:tc>
          <w:tcPr>
            <w:tcW w:w="332" w:type="pct"/>
          </w:tcPr>
          <w:p w14:paraId="6A060B79" w14:textId="77777777" w:rsidR="006519D5" w:rsidRPr="00BF1A13" w:rsidRDefault="006519D5" w:rsidP="006519D5"/>
        </w:tc>
        <w:tc>
          <w:tcPr>
            <w:tcW w:w="332" w:type="pct"/>
          </w:tcPr>
          <w:p w14:paraId="04F30165" w14:textId="77777777" w:rsidR="006519D5" w:rsidRPr="00BF1A13" w:rsidRDefault="006519D5" w:rsidP="006519D5"/>
        </w:tc>
        <w:tc>
          <w:tcPr>
            <w:tcW w:w="332" w:type="pct"/>
          </w:tcPr>
          <w:p w14:paraId="79892A66" w14:textId="77777777" w:rsidR="006519D5" w:rsidRPr="00BF1A13" w:rsidRDefault="006519D5" w:rsidP="006519D5"/>
        </w:tc>
        <w:tc>
          <w:tcPr>
            <w:tcW w:w="332" w:type="pct"/>
          </w:tcPr>
          <w:p w14:paraId="1E2C796D" w14:textId="77777777" w:rsidR="006519D5" w:rsidRPr="00BF1A13" w:rsidRDefault="006519D5" w:rsidP="006519D5"/>
        </w:tc>
        <w:tc>
          <w:tcPr>
            <w:tcW w:w="332" w:type="pct"/>
          </w:tcPr>
          <w:p w14:paraId="2B3B1381" w14:textId="77777777" w:rsidR="006519D5" w:rsidRPr="00BF1A13" w:rsidRDefault="006519D5" w:rsidP="006519D5"/>
        </w:tc>
        <w:tc>
          <w:tcPr>
            <w:tcW w:w="354" w:type="pct"/>
          </w:tcPr>
          <w:p w14:paraId="14680B97" w14:textId="77777777" w:rsidR="006519D5" w:rsidRPr="00BF1A13" w:rsidRDefault="006519D5" w:rsidP="006519D5"/>
        </w:tc>
      </w:tr>
      <w:tr w:rsidR="006519D5" w:rsidRPr="00BF1A13" w14:paraId="31D13C22" w14:textId="77777777" w:rsidTr="006519D5">
        <w:trPr>
          <w:trHeight w:val="119"/>
        </w:trPr>
        <w:tc>
          <w:tcPr>
            <w:tcW w:w="744" w:type="pct"/>
          </w:tcPr>
          <w:p w14:paraId="41BDA3F6" w14:textId="68536037" w:rsidR="006519D5" w:rsidRPr="00E364AD" w:rsidRDefault="006519D5" w:rsidP="006519D5"/>
        </w:tc>
        <w:tc>
          <w:tcPr>
            <w:tcW w:w="1577" w:type="pct"/>
          </w:tcPr>
          <w:p w14:paraId="2347FCE5" w14:textId="1CE3C042" w:rsidR="006519D5" w:rsidRPr="00E364AD" w:rsidRDefault="006519D5" w:rsidP="006519D5"/>
        </w:tc>
        <w:tc>
          <w:tcPr>
            <w:tcW w:w="664" w:type="pct"/>
          </w:tcPr>
          <w:p w14:paraId="1BBD9F95" w14:textId="27FE2044" w:rsidR="006519D5" w:rsidRPr="00E364AD" w:rsidRDefault="006519D5" w:rsidP="006519D5"/>
        </w:tc>
        <w:tc>
          <w:tcPr>
            <w:tcW w:w="332" w:type="pct"/>
          </w:tcPr>
          <w:p w14:paraId="549FC80E" w14:textId="77777777" w:rsidR="006519D5" w:rsidRPr="00BF1A13" w:rsidRDefault="006519D5" w:rsidP="006519D5"/>
        </w:tc>
        <w:tc>
          <w:tcPr>
            <w:tcW w:w="332" w:type="pct"/>
          </w:tcPr>
          <w:p w14:paraId="10CAB261" w14:textId="77777777" w:rsidR="006519D5" w:rsidRPr="00BF1A13" w:rsidRDefault="006519D5" w:rsidP="006519D5"/>
        </w:tc>
        <w:tc>
          <w:tcPr>
            <w:tcW w:w="332" w:type="pct"/>
          </w:tcPr>
          <w:p w14:paraId="4B29FF4A" w14:textId="77777777" w:rsidR="006519D5" w:rsidRPr="00BF1A13" w:rsidRDefault="006519D5" w:rsidP="006519D5"/>
        </w:tc>
        <w:tc>
          <w:tcPr>
            <w:tcW w:w="332" w:type="pct"/>
          </w:tcPr>
          <w:p w14:paraId="2533A1BC" w14:textId="77777777" w:rsidR="006519D5" w:rsidRPr="00BF1A13" w:rsidRDefault="006519D5" w:rsidP="006519D5"/>
        </w:tc>
        <w:tc>
          <w:tcPr>
            <w:tcW w:w="332" w:type="pct"/>
          </w:tcPr>
          <w:p w14:paraId="48D079B2" w14:textId="77777777" w:rsidR="006519D5" w:rsidRPr="00BF1A13" w:rsidRDefault="006519D5" w:rsidP="006519D5"/>
        </w:tc>
        <w:tc>
          <w:tcPr>
            <w:tcW w:w="354" w:type="pct"/>
          </w:tcPr>
          <w:p w14:paraId="00D977B0" w14:textId="77777777" w:rsidR="006519D5" w:rsidRPr="00BF1A13" w:rsidRDefault="006519D5" w:rsidP="006519D5"/>
        </w:tc>
      </w:tr>
      <w:tr w:rsidR="006519D5" w:rsidRPr="00BF1A13" w14:paraId="7225DD3D" w14:textId="77777777" w:rsidTr="006519D5">
        <w:trPr>
          <w:trHeight w:val="119"/>
        </w:trPr>
        <w:tc>
          <w:tcPr>
            <w:tcW w:w="744" w:type="pct"/>
          </w:tcPr>
          <w:p w14:paraId="42FCA9BD" w14:textId="2251AF74" w:rsidR="006519D5" w:rsidRPr="00E364AD" w:rsidRDefault="006519D5" w:rsidP="006519D5"/>
        </w:tc>
        <w:tc>
          <w:tcPr>
            <w:tcW w:w="1577" w:type="pct"/>
          </w:tcPr>
          <w:p w14:paraId="72087E47" w14:textId="6490CE92" w:rsidR="006519D5" w:rsidRPr="00E364AD" w:rsidRDefault="006519D5" w:rsidP="006519D5"/>
        </w:tc>
        <w:tc>
          <w:tcPr>
            <w:tcW w:w="664" w:type="pct"/>
          </w:tcPr>
          <w:p w14:paraId="4AE15E62" w14:textId="619F1FAE" w:rsidR="006519D5" w:rsidRPr="00E364AD" w:rsidRDefault="006519D5" w:rsidP="006519D5"/>
        </w:tc>
        <w:tc>
          <w:tcPr>
            <w:tcW w:w="332" w:type="pct"/>
          </w:tcPr>
          <w:p w14:paraId="42EEA15B" w14:textId="77777777" w:rsidR="006519D5" w:rsidRPr="00BF1A13" w:rsidRDefault="006519D5" w:rsidP="006519D5"/>
        </w:tc>
        <w:tc>
          <w:tcPr>
            <w:tcW w:w="332" w:type="pct"/>
          </w:tcPr>
          <w:p w14:paraId="57B0EC09" w14:textId="77777777" w:rsidR="006519D5" w:rsidRPr="00BF1A13" w:rsidRDefault="006519D5" w:rsidP="006519D5"/>
        </w:tc>
        <w:tc>
          <w:tcPr>
            <w:tcW w:w="332" w:type="pct"/>
          </w:tcPr>
          <w:p w14:paraId="395BF627" w14:textId="77777777" w:rsidR="006519D5" w:rsidRPr="00BF1A13" w:rsidRDefault="006519D5" w:rsidP="006519D5"/>
        </w:tc>
        <w:tc>
          <w:tcPr>
            <w:tcW w:w="332" w:type="pct"/>
          </w:tcPr>
          <w:p w14:paraId="17FF0AB1" w14:textId="77777777" w:rsidR="006519D5" w:rsidRPr="00BF1A13" w:rsidRDefault="006519D5" w:rsidP="006519D5"/>
        </w:tc>
        <w:tc>
          <w:tcPr>
            <w:tcW w:w="332" w:type="pct"/>
          </w:tcPr>
          <w:p w14:paraId="2E49D795" w14:textId="77777777" w:rsidR="006519D5" w:rsidRPr="00BF1A13" w:rsidRDefault="006519D5" w:rsidP="006519D5"/>
        </w:tc>
        <w:tc>
          <w:tcPr>
            <w:tcW w:w="354" w:type="pct"/>
          </w:tcPr>
          <w:p w14:paraId="61E03A35" w14:textId="77777777" w:rsidR="006519D5" w:rsidRPr="00BF1A13" w:rsidRDefault="006519D5" w:rsidP="006519D5"/>
        </w:tc>
      </w:tr>
      <w:tr w:rsidR="006519D5" w:rsidRPr="00BF1A13" w14:paraId="74F63273" w14:textId="77777777" w:rsidTr="006519D5">
        <w:trPr>
          <w:trHeight w:val="119"/>
        </w:trPr>
        <w:tc>
          <w:tcPr>
            <w:tcW w:w="744" w:type="pct"/>
          </w:tcPr>
          <w:p w14:paraId="31A57322" w14:textId="790F3969" w:rsidR="006519D5" w:rsidRPr="00E364AD" w:rsidRDefault="006519D5" w:rsidP="006519D5"/>
        </w:tc>
        <w:tc>
          <w:tcPr>
            <w:tcW w:w="1577" w:type="pct"/>
          </w:tcPr>
          <w:p w14:paraId="0705ED7A" w14:textId="1FB18A31" w:rsidR="006519D5" w:rsidRPr="00BF1A13" w:rsidRDefault="006519D5" w:rsidP="006519D5"/>
        </w:tc>
        <w:tc>
          <w:tcPr>
            <w:tcW w:w="664" w:type="pct"/>
          </w:tcPr>
          <w:p w14:paraId="09742609" w14:textId="32C4BBA6" w:rsidR="006519D5" w:rsidRPr="00E364AD" w:rsidRDefault="006519D5" w:rsidP="006519D5"/>
        </w:tc>
        <w:tc>
          <w:tcPr>
            <w:tcW w:w="332" w:type="pct"/>
          </w:tcPr>
          <w:p w14:paraId="47E3CA09" w14:textId="77777777" w:rsidR="006519D5" w:rsidRPr="00BF1A13" w:rsidRDefault="006519D5" w:rsidP="006519D5"/>
        </w:tc>
        <w:tc>
          <w:tcPr>
            <w:tcW w:w="332" w:type="pct"/>
          </w:tcPr>
          <w:p w14:paraId="08CA9FE7" w14:textId="77777777" w:rsidR="006519D5" w:rsidRPr="00BF1A13" w:rsidRDefault="006519D5" w:rsidP="006519D5"/>
        </w:tc>
        <w:tc>
          <w:tcPr>
            <w:tcW w:w="332" w:type="pct"/>
          </w:tcPr>
          <w:p w14:paraId="60651238" w14:textId="77777777" w:rsidR="006519D5" w:rsidRPr="00BF1A13" w:rsidRDefault="006519D5" w:rsidP="006519D5"/>
        </w:tc>
        <w:tc>
          <w:tcPr>
            <w:tcW w:w="332" w:type="pct"/>
          </w:tcPr>
          <w:p w14:paraId="2078DC1E" w14:textId="77777777" w:rsidR="006519D5" w:rsidRPr="00BF1A13" w:rsidRDefault="006519D5" w:rsidP="006519D5"/>
        </w:tc>
        <w:tc>
          <w:tcPr>
            <w:tcW w:w="332" w:type="pct"/>
          </w:tcPr>
          <w:p w14:paraId="57A12258" w14:textId="77777777" w:rsidR="006519D5" w:rsidRPr="00BF1A13" w:rsidRDefault="006519D5" w:rsidP="006519D5"/>
        </w:tc>
        <w:tc>
          <w:tcPr>
            <w:tcW w:w="354" w:type="pct"/>
          </w:tcPr>
          <w:p w14:paraId="5BAF73B1" w14:textId="77777777" w:rsidR="006519D5" w:rsidRPr="00BF1A13" w:rsidRDefault="006519D5" w:rsidP="006519D5"/>
        </w:tc>
      </w:tr>
      <w:tr w:rsidR="006519D5" w:rsidRPr="00BF1A13" w14:paraId="431E2AC1" w14:textId="77777777" w:rsidTr="006519D5">
        <w:trPr>
          <w:trHeight w:val="119"/>
        </w:trPr>
        <w:tc>
          <w:tcPr>
            <w:tcW w:w="744" w:type="pct"/>
          </w:tcPr>
          <w:p w14:paraId="23FA6E39" w14:textId="33A15A94" w:rsidR="006519D5" w:rsidRPr="00E364AD" w:rsidRDefault="006519D5" w:rsidP="006519D5"/>
        </w:tc>
        <w:tc>
          <w:tcPr>
            <w:tcW w:w="1577" w:type="pct"/>
          </w:tcPr>
          <w:p w14:paraId="52424DCA" w14:textId="37182071" w:rsidR="006519D5" w:rsidRPr="00BF1A13" w:rsidRDefault="006519D5" w:rsidP="006519D5"/>
        </w:tc>
        <w:tc>
          <w:tcPr>
            <w:tcW w:w="664" w:type="pct"/>
          </w:tcPr>
          <w:p w14:paraId="54AF31B2" w14:textId="581A7983" w:rsidR="006519D5" w:rsidRPr="00E364AD" w:rsidRDefault="006519D5" w:rsidP="006519D5"/>
        </w:tc>
        <w:tc>
          <w:tcPr>
            <w:tcW w:w="332" w:type="pct"/>
          </w:tcPr>
          <w:p w14:paraId="60126868" w14:textId="77777777" w:rsidR="006519D5" w:rsidRPr="00BF1A13" w:rsidRDefault="006519D5" w:rsidP="006519D5"/>
        </w:tc>
        <w:tc>
          <w:tcPr>
            <w:tcW w:w="332" w:type="pct"/>
          </w:tcPr>
          <w:p w14:paraId="3D3C4974" w14:textId="77777777" w:rsidR="006519D5" w:rsidRPr="00BF1A13" w:rsidRDefault="006519D5" w:rsidP="006519D5"/>
        </w:tc>
        <w:tc>
          <w:tcPr>
            <w:tcW w:w="332" w:type="pct"/>
          </w:tcPr>
          <w:p w14:paraId="4CDAC1A7" w14:textId="77777777" w:rsidR="006519D5" w:rsidRPr="00BF1A13" w:rsidRDefault="006519D5" w:rsidP="006519D5"/>
        </w:tc>
        <w:tc>
          <w:tcPr>
            <w:tcW w:w="332" w:type="pct"/>
          </w:tcPr>
          <w:p w14:paraId="7F440DB0" w14:textId="77777777" w:rsidR="006519D5" w:rsidRPr="00BF1A13" w:rsidRDefault="006519D5" w:rsidP="006519D5"/>
        </w:tc>
        <w:tc>
          <w:tcPr>
            <w:tcW w:w="332" w:type="pct"/>
          </w:tcPr>
          <w:p w14:paraId="70CE19F6" w14:textId="77777777" w:rsidR="006519D5" w:rsidRPr="00BF1A13" w:rsidRDefault="006519D5" w:rsidP="006519D5"/>
        </w:tc>
        <w:tc>
          <w:tcPr>
            <w:tcW w:w="354" w:type="pct"/>
          </w:tcPr>
          <w:p w14:paraId="2DC6EA7B" w14:textId="77777777" w:rsidR="006519D5" w:rsidRPr="00BF1A13" w:rsidRDefault="006519D5" w:rsidP="006519D5"/>
        </w:tc>
      </w:tr>
      <w:tr w:rsidR="006519D5" w:rsidRPr="00BF1A13" w14:paraId="6148367D" w14:textId="77777777" w:rsidTr="006519D5">
        <w:trPr>
          <w:trHeight w:val="119"/>
        </w:trPr>
        <w:tc>
          <w:tcPr>
            <w:tcW w:w="744" w:type="pct"/>
          </w:tcPr>
          <w:p w14:paraId="775AFF2F" w14:textId="5D8074D2" w:rsidR="006519D5" w:rsidRPr="00E364AD" w:rsidRDefault="006519D5" w:rsidP="006519D5"/>
        </w:tc>
        <w:tc>
          <w:tcPr>
            <w:tcW w:w="1577" w:type="pct"/>
          </w:tcPr>
          <w:p w14:paraId="0E0A8A53" w14:textId="34CDFD70" w:rsidR="006519D5" w:rsidRPr="00BF1A13" w:rsidRDefault="006519D5" w:rsidP="006519D5"/>
        </w:tc>
        <w:tc>
          <w:tcPr>
            <w:tcW w:w="664" w:type="pct"/>
          </w:tcPr>
          <w:p w14:paraId="45693B96" w14:textId="501CBD33" w:rsidR="006519D5" w:rsidRPr="00E364AD" w:rsidRDefault="006519D5" w:rsidP="006519D5"/>
        </w:tc>
        <w:tc>
          <w:tcPr>
            <w:tcW w:w="332" w:type="pct"/>
          </w:tcPr>
          <w:p w14:paraId="711FD47D" w14:textId="77777777" w:rsidR="006519D5" w:rsidRPr="00BF1A13" w:rsidRDefault="006519D5" w:rsidP="006519D5"/>
        </w:tc>
        <w:tc>
          <w:tcPr>
            <w:tcW w:w="332" w:type="pct"/>
          </w:tcPr>
          <w:p w14:paraId="6D27A7EF" w14:textId="77777777" w:rsidR="006519D5" w:rsidRPr="00BF1A13" w:rsidRDefault="006519D5" w:rsidP="006519D5"/>
        </w:tc>
        <w:tc>
          <w:tcPr>
            <w:tcW w:w="332" w:type="pct"/>
          </w:tcPr>
          <w:p w14:paraId="256264A7" w14:textId="77777777" w:rsidR="006519D5" w:rsidRPr="00BF1A13" w:rsidRDefault="006519D5" w:rsidP="006519D5"/>
        </w:tc>
        <w:tc>
          <w:tcPr>
            <w:tcW w:w="332" w:type="pct"/>
          </w:tcPr>
          <w:p w14:paraId="4ABC12A4" w14:textId="77777777" w:rsidR="006519D5" w:rsidRPr="00BF1A13" w:rsidRDefault="006519D5" w:rsidP="006519D5"/>
        </w:tc>
        <w:tc>
          <w:tcPr>
            <w:tcW w:w="332" w:type="pct"/>
          </w:tcPr>
          <w:p w14:paraId="2C23EB5B" w14:textId="77777777" w:rsidR="006519D5" w:rsidRPr="00BF1A13" w:rsidRDefault="006519D5" w:rsidP="006519D5"/>
        </w:tc>
        <w:tc>
          <w:tcPr>
            <w:tcW w:w="354" w:type="pct"/>
          </w:tcPr>
          <w:p w14:paraId="7908CA5C" w14:textId="77777777" w:rsidR="006519D5" w:rsidRPr="00BF1A13" w:rsidRDefault="006519D5" w:rsidP="006519D5"/>
        </w:tc>
      </w:tr>
      <w:tr w:rsidR="006519D5" w:rsidRPr="00BF1A13" w14:paraId="162B507C" w14:textId="77777777" w:rsidTr="006519D5">
        <w:trPr>
          <w:trHeight w:val="119"/>
        </w:trPr>
        <w:tc>
          <w:tcPr>
            <w:tcW w:w="744" w:type="pct"/>
          </w:tcPr>
          <w:p w14:paraId="2A5F380C" w14:textId="3F8D1455" w:rsidR="006519D5" w:rsidRPr="00E364AD" w:rsidRDefault="006519D5" w:rsidP="006519D5"/>
        </w:tc>
        <w:tc>
          <w:tcPr>
            <w:tcW w:w="1577" w:type="pct"/>
          </w:tcPr>
          <w:p w14:paraId="71C48320" w14:textId="326AA01C" w:rsidR="006519D5" w:rsidRPr="00BF1A13" w:rsidRDefault="006519D5" w:rsidP="006519D5"/>
        </w:tc>
        <w:tc>
          <w:tcPr>
            <w:tcW w:w="664" w:type="pct"/>
          </w:tcPr>
          <w:p w14:paraId="1AE748D4" w14:textId="240E92E7" w:rsidR="006519D5" w:rsidRPr="00E364AD" w:rsidRDefault="006519D5" w:rsidP="006519D5"/>
        </w:tc>
        <w:tc>
          <w:tcPr>
            <w:tcW w:w="332" w:type="pct"/>
          </w:tcPr>
          <w:p w14:paraId="35E1BD91" w14:textId="77777777" w:rsidR="006519D5" w:rsidRPr="00BF1A13" w:rsidRDefault="006519D5" w:rsidP="006519D5"/>
        </w:tc>
        <w:tc>
          <w:tcPr>
            <w:tcW w:w="332" w:type="pct"/>
          </w:tcPr>
          <w:p w14:paraId="30322145" w14:textId="77777777" w:rsidR="006519D5" w:rsidRPr="00BF1A13" w:rsidRDefault="006519D5" w:rsidP="006519D5"/>
        </w:tc>
        <w:tc>
          <w:tcPr>
            <w:tcW w:w="332" w:type="pct"/>
          </w:tcPr>
          <w:p w14:paraId="0E331362" w14:textId="77777777" w:rsidR="006519D5" w:rsidRPr="00BF1A13" w:rsidRDefault="006519D5" w:rsidP="006519D5"/>
        </w:tc>
        <w:tc>
          <w:tcPr>
            <w:tcW w:w="332" w:type="pct"/>
          </w:tcPr>
          <w:p w14:paraId="587B5CBC" w14:textId="77777777" w:rsidR="006519D5" w:rsidRPr="00BF1A13" w:rsidRDefault="006519D5" w:rsidP="006519D5"/>
        </w:tc>
        <w:tc>
          <w:tcPr>
            <w:tcW w:w="332" w:type="pct"/>
          </w:tcPr>
          <w:p w14:paraId="0FA172BD" w14:textId="77777777" w:rsidR="006519D5" w:rsidRPr="00BF1A13" w:rsidRDefault="006519D5" w:rsidP="006519D5"/>
        </w:tc>
        <w:tc>
          <w:tcPr>
            <w:tcW w:w="354" w:type="pct"/>
          </w:tcPr>
          <w:p w14:paraId="3FBB795A" w14:textId="77777777" w:rsidR="006519D5" w:rsidRPr="00BF1A13" w:rsidRDefault="006519D5" w:rsidP="006519D5"/>
        </w:tc>
      </w:tr>
      <w:tr w:rsidR="006519D5" w:rsidRPr="00BF1A13" w14:paraId="73F993A2" w14:textId="77777777" w:rsidTr="006519D5">
        <w:trPr>
          <w:trHeight w:val="119"/>
        </w:trPr>
        <w:tc>
          <w:tcPr>
            <w:tcW w:w="744" w:type="pct"/>
          </w:tcPr>
          <w:p w14:paraId="16BB4FE9" w14:textId="2E2F5159" w:rsidR="006519D5" w:rsidRPr="00E364AD" w:rsidRDefault="006519D5" w:rsidP="006519D5"/>
        </w:tc>
        <w:tc>
          <w:tcPr>
            <w:tcW w:w="1577" w:type="pct"/>
          </w:tcPr>
          <w:p w14:paraId="2AF54D3A" w14:textId="6AA0998B" w:rsidR="006519D5" w:rsidRPr="00E364AD" w:rsidRDefault="006519D5" w:rsidP="006519D5"/>
        </w:tc>
        <w:tc>
          <w:tcPr>
            <w:tcW w:w="664" w:type="pct"/>
          </w:tcPr>
          <w:p w14:paraId="1FA06AA9" w14:textId="2251E9A1" w:rsidR="006519D5" w:rsidRPr="00E364AD" w:rsidRDefault="006519D5" w:rsidP="006519D5"/>
        </w:tc>
        <w:tc>
          <w:tcPr>
            <w:tcW w:w="332" w:type="pct"/>
          </w:tcPr>
          <w:p w14:paraId="68289EE6" w14:textId="77777777" w:rsidR="006519D5" w:rsidRPr="00BF1A13" w:rsidRDefault="006519D5" w:rsidP="006519D5"/>
        </w:tc>
        <w:tc>
          <w:tcPr>
            <w:tcW w:w="332" w:type="pct"/>
          </w:tcPr>
          <w:p w14:paraId="7964BEA9" w14:textId="77777777" w:rsidR="006519D5" w:rsidRPr="00BF1A13" w:rsidRDefault="006519D5" w:rsidP="006519D5"/>
        </w:tc>
        <w:tc>
          <w:tcPr>
            <w:tcW w:w="332" w:type="pct"/>
          </w:tcPr>
          <w:p w14:paraId="28F342D2" w14:textId="77777777" w:rsidR="006519D5" w:rsidRPr="00BF1A13" w:rsidRDefault="006519D5" w:rsidP="006519D5"/>
        </w:tc>
        <w:tc>
          <w:tcPr>
            <w:tcW w:w="332" w:type="pct"/>
          </w:tcPr>
          <w:p w14:paraId="17573BA6" w14:textId="77777777" w:rsidR="006519D5" w:rsidRPr="00BF1A13" w:rsidRDefault="006519D5" w:rsidP="006519D5"/>
        </w:tc>
        <w:tc>
          <w:tcPr>
            <w:tcW w:w="332" w:type="pct"/>
          </w:tcPr>
          <w:p w14:paraId="0897FC1E" w14:textId="77777777" w:rsidR="006519D5" w:rsidRPr="00BF1A13" w:rsidRDefault="006519D5" w:rsidP="006519D5"/>
        </w:tc>
        <w:tc>
          <w:tcPr>
            <w:tcW w:w="354" w:type="pct"/>
          </w:tcPr>
          <w:p w14:paraId="49AFAFD6" w14:textId="77777777" w:rsidR="006519D5" w:rsidRPr="00BF1A13" w:rsidRDefault="006519D5" w:rsidP="006519D5"/>
        </w:tc>
      </w:tr>
      <w:tr w:rsidR="006519D5" w:rsidRPr="00BF1A13" w14:paraId="5181D80F" w14:textId="77777777" w:rsidTr="006519D5">
        <w:trPr>
          <w:trHeight w:val="119"/>
        </w:trPr>
        <w:tc>
          <w:tcPr>
            <w:tcW w:w="744" w:type="pct"/>
          </w:tcPr>
          <w:p w14:paraId="48A1A776" w14:textId="51BA32FF" w:rsidR="006519D5" w:rsidRPr="00E364AD" w:rsidRDefault="006519D5" w:rsidP="006519D5"/>
        </w:tc>
        <w:tc>
          <w:tcPr>
            <w:tcW w:w="1577" w:type="pct"/>
          </w:tcPr>
          <w:p w14:paraId="7CA22C36" w14:textId="563F33FC" w:rsidR="006519D5" w:rsidRPr="00E364AD" w:rsidRDefault="006519D5" w:rsidP="006519D5"/>
        </w:tc>
        <w:tc>
          <w:tcPr>
            <w:tcW w:w="664" w:type="pct"/>
          </w:tcPr>
          <w:p w14:paraId="7487055B" w14:textId="685093BA" w:rsidR="006519D5" w:rsidRPr="00E364AD" w:rsidRDefault="006519D5" w:rsidP="006519D5"/>
        </w:tc>
        <w:tc>
          <w:tcPr>
            <w:tcW w:w="332" w:type="pct"/>
          </w:tcPr>
          <w:p w14:paraId="7AE56A11" w14:textId="77777777" w:rsidR="006519D5" w:rsidRPr="00BF1A13" w:rsidRDefault="006519D5" w:rsidP="006519D5"/>
        </w:tc>
        <w:tc>
          <w:tcPr>
            <w:tcW w:w="332" w:type="pct"/>
          </w:tcPr>
          <w:p w14:paraId="4E2311AD" w14:textId="77777777" w:rsidR="006519D5" w:rsidRPr="00BF1A13" w:rsidRDefault="006519D5" w:rsidP="006519D5"/>
        </w:tc>
        <w:tc>
          <w:tcPr>
            <w:tcW w:w="332" w:type="pct"/>
          </w:tcPr>
          <w:p w14:paraId="3269EB4C" w14:textId="77777777" w:rsidR="006519D5" w:rsidRPr="00BF1A13" w:rsidRDefault="006519D5" w:rsidP="006519D5"/>
        </w:tc>
        <w:tc>
          <w:tcPr>
            <w:tcW w:w="332" w:type="pct"/>
          </w:tcPr>
          <w:p w14:paraId="24748719" w14:textId="77777777" w:rsidR="006519D5" w:rsidRPr="00BF1A13" w:rsidRDefault="006519D5" w:rsidP="006519D5"/>
        </w:tc>
        <w:tc>
          <w:tcPr>
            <w:tcW w:w="332" w:type="pct"/>
          </w:tcPr>
          <w:p w14:paraId="256F7E4F" w14:textId="77777777" w:rsidR="006519D5" w:rsidRPr="00BF1A13" w:rsidRDefault="006519D5" w:rsidP="006519D5"/>
        </w:tc>
        <w:tc>
          <w:tcPr>
            <w:tcW w:w="354" w:type="pct"/>
          </w:tcPr>
          <w:p w14:paraId="414D6754" w14:textId="77777777" w:rsidR="006519D5" w:rsidRPr="00BF1A13" w:rsidRDefault="006519D5" w:rsidP="006519D5"/>
        </w:tc>
      </w:tr>
      <w:tr w:rsidR="006519D5" w:rsidRPr="00BF1A13" w14:paraId="27F23E70" w14:textId="77777777" w:rsidTr="006519D5">
        <w:trPr>
          <w:trHeight w:val="119"/>
        </w:trPr>
        <w:tc>
          <w:tcPr>
            <w:tcW w:w="744" w:type="pct"/>
          </w:tcPr>
          <w:p w14:paraId="7D4A896B" w14:textId="3D97667E" w:rsidR="006519D5" w:rsidRPr="00E364AD" w:rsidRDefault="006519D5" w:rsidP="006519D5"/>
        </w:tc>
        <w:tc>
          <w:tcPr>
            <w:tcW w:w="1577" w:type="pct"/>
          </w:tcPr>
          <w:p w14:paraId="5FF8D387" w14:textId="5053E57A" w:rsidR="006519D5" w:rsidRPr="00BF1A13" w:rsidRDefault="006519D5" w:rsidP="006519D5"/>
        </w:tc>
        <w:tc>
          <w:tcPr>
            <w:tcW w:w="664" w:type="pct"/>
          </w:tcPr>
          <w:p w14:paraId="67D7DCA0" w14:textId="6F43426A" w:rsidR="006519D5" w:rsidRPr="00E364AD" w:rsidRDefault="006519D5" w:rsidP="006519D5"/>
        </w:tc>
        <w:tc>
          <w:tcPr>
            <w:tcW w:w="332" w:type="pct"/>
          </w:tcPr>
          <w:p w14:paraId="5F37C642" w14:textId="77777777" w:rsidR="006519D5" w:rsidRPr="00BF1A13" w:rsidRDefault="006519D5" w:rsidP="006519D5"/>
        </w:tc>
        <w:tc>
          <w:tcPr>
            <w:tcW w:w="332" w:type="pct"/>
          </w:tcPr>
          <w:p w14:paraId="79BDAD89" w14:textId="77777777" w:rsidR="006519D5" w:rsidRPr="00BF1A13" w:rsidRDefault="006519D5" w:rsidP="006519D5"/>
        </w:tc>
        <w:tc>
          <w:tcPr>
            <w:tcW w:w="332" w:type="pct"/>
          </w:tcPr>
          <w:p w14:paraId="7CB75F9F" w14:textId="77777777" w:rsidR="006519D5" w:rsidRPr="00BF1A13" w:rsidRDefault="006519D5" w:rsidP="006519D5"/>
        </w:tc>
        <w:tc>
          <w:tcPr>
            <w:tcW w:w="332" w:type="pct"/>
          </w:tcPr>
          <w:p w14:paraId="21DC4489" w14:textId="77777777" w:rsidR="006519D5" w:rsidRPr="00BF1A13" w:rsidRDefault="006519D5" w:rsidP="006519D5"/>
        </w:tc>
        <w:tc>
          <w:tcPr>
            <w:tcW w:w="332" w:type="pct"/>
          </w:tcPr>
          <w:p w14:paraId="1A3DF34B" w14:textId="77777777" w:rsidR="006519D5" w:rsidRPr="00BF1A13" w:rsidRDefault="006519D5" w:rsidP="006519D5"/>
        </w:tc>
        <w:tc>
          <w:tcPr>
            <w:tcW w:w="354" w:type="pct"/>
          </w:tcPr>
          <w:p w14:paraId="55AB4E93" w14:textId="77777777" w:rsidR="006519D5" w:rsidRPr="00BF1A13" w:rsidRDefault="006519D5" w:rsidP="006519D5"/>
        </w:tc>
      </w:tr>
      <w:tr w:rsidR="006519D5" w:rsidRPr="00BF1A13" w14:paraId="0C5507C6" w14:textId="77777777" w:rsidTr="006519D5">
        <w:trPr>
          <w:trHeight w:val="119"/>
        </w:trPr>
        <w:tc>
          <w:tcPr>
            <w:tcW w:w="744" w:type="pct"/>
          </w:tcPr>
          <w:p w14:paraId="13520AC8" w14:textId="11AE6F4E" w:rsidR="006519D5" w:rsidRPr="00E364AD" w:rsidRDefault="006519D5" w:rsidP="006519D5"/>
        </w:tc>
        <w:tc>
          <w:tcPr>
            <w:tcW w:w="1577" w:type="pct"/>
          </w:tcPr>
          <w:p w14:paraId="05C8D348" w14:textId="77777777" w:rsidR="006519D5" w:rsidRPr="00BF1A13" w:rsidRDefault="006519D5" w:rsidP="006519D5"/>
        </w:tc>
        <w:tc>
          <w:tcPr>
            <w:tcW w:w="664" w:type="pct"/>
          </w:tcPr>
          <w:p w14:paraId="045E1DBE" w14:textId="7443BC33" w:rsidR="006519D5" w:rsidRPr="00E364AD" w:rsidRDefault="006519D5" w:rsidP="006519D5"/>
        </w:tc>
        <w:tc>
          <w:tcPr>
            <w:tcW w:w="332" w:type="pct"/>
          </w:tcPr>
          <w:p w14:paraId="29A7B86C" w14:textId="77777777" w:rsidR="006519D5" w:rsidRPr="00BF1A13" w:rsidRDefault="006519D5" w:rsidP="006519D5"/>
        </w:tc>
        <w:tc>
          <w:tcPr>
            <w:tcW w:w="332" w:type="pct"/>
          </w:tcPr>
          <w:p w14:paraId="225ADC21" w14:textId="77777777" w:rsidR="006519D5" w:rsidRPr="00BF1A13" w:rsidRDefault="006519D5" w:rsidP="006519D5"/>
        </w:tc>
        <w:tc>
          <w:tcPr>
            <w:tcW w:w="332" w:type="pct"/>
          </w:tcPr>
          <w:p w14:paraId="12BBB01D" w14:textId="77777777" w:rsidR="006519D5" w:rsidRPr="00BF1A13" w:rsidRDefault="006519D5" w:rsidP="006519D5"/>
        </w:tc>
        <w:tc>
          <w:tcPr>
            <w:tcW w:w="332" w:type="pct"/>
          </w:tcPr>
          <w:p w14:paraId="455FFF02" w14:textId="77777777" w:rsidR="006519D5" w:rsidRPr="00BF1A13" w:rsidRDefault="006519D5" w:rsidP="006519D5"/>
        </w:tc>
        <w:tc>
          <w:tcPr>
            <w:tcW w:w="332" w:type="pct"/>
          </w:tcPr>
          <w:p w14:paraId="0EC6CB98" w14:textId="77777777" w:rsidR="006519D5" w:rsidRPr="00BF1A13" w:rsidRDefault="006519D5" w:rsidP="006519D5"/>
        </w:tc>
        <w:tc>
          <w:tcPr>
            <w:tcW w:w="354" w:type="pct"/>
          </w:tcPr>
          <w:p w14:paraId="7B7D2DDA" w14:textId="77777777" w:rsidR="006519D5" w:rsidRPr="00BF1A13" w:rsidRDefault="006519D5" w:rsidP="006519D5"/>
        </w:tc>
      </w:tr>
      <w:tr w:rsidR="006519D5" w:rsidRPr="00BF1A13" w14:paraId="4CC09302" w14:textId="77777777" w:rsidTr="006519D5">
        <w:trPr>
          <w:trHeight w:val="119"/>
        </w:trPr>
        <w:tc>
          <w:tcPr>
            <w:tcW w:w="744" w:type="pct"/>
          </w:tcPr>
          <w:p w14:paraId="3517E8E8" w14:textId="610B80B6" w:rsidR="006519D5" w:rsidRPr="00E364AD" w:rsidRDefault="006519D5" w:rsidP="006519D5"/>
        </w:tc>
        <w:tc>
          <w:tcPr>
            <w:tcW w:w="1577" w:type="pct"/>
          </w:tcPr>
          <w:p w14:paraId="714EEC09" w14:textId="3FD171E7" w:rsidR="006519D5" w:rsidRPr="00E364AD" w:rsidRDefault="006519D5" w:rsidP="006519D5"/>
        </w:tc>
        <w:tc>
          <w:tcPr>
            <w:tcW w:w="664" w:type="pct"/>
          </w:tcPr>
          <w:p w14:paraId="7BC21AB7" w14:textId="6BF0C44C" w:rsidR="006519D5" w:rsidRPr="00E364AD" w:rsidRDefault="006519D5" w:rsidP="006519D5"/>
        </w:tc>
        <w:tc>
          <w:tcPr>
            <w:tcW w:w="332" w:type="pct"/>
          </w:tcPr>
          <w:p w14:paraId="6087CBA6" w14:textId="77777777" w:rsidR="006519D5" w:rsidRPr="00BF1A13" w:rsidRDefault="006519D5" w:rsidP="006519D5"/>
        </w:tc>
        <w:tc>
          <w:tcPr>
            <w:tcW w:w="332" w:type="pct"/>
          </w:tcPr>
          <w:p w14:paraId="549C922B" w14:textId="77777777" w:rsidR="006519D5" w:rsidRPr="00BF1A13" w:rsidRDefault="006519D5" w:rsidP="006519D5"/>
        </w:tc>
        <w:tc>
          <w:tcPr>
            <w:tcW w:w="332" w:type="pct"/>
          </w:tcPr>
          <w:p w14:paraId="15A066EC" w14:textId="77777777" w:rsidR="006519D5" w:rsidRPr="00BF1A13" w:rsidRDefault="006519D5" w:rsidP="006519D5"/>
        </w:tc>
        <w:tc>
          <w:tcPr>
            <w:tcW w:w="332" w:type="pct"/>
          </w:tcPr>
          <w:p w14:paraId="45992368" w14:textId="77777777" w:rsidR="006519D5" w:rsidRPr="00BF1A13" w:rsidRDefault="006519D5" w:rsidP="006519D5"/>
        </w:tc>
        <w:tc>
          <w:tcPr>
            <w:tcW w:w="332" w:type="pct"/>
          </w:tcPr>
          <w:p w14:paraId="1EF0250D" w14:textId="77777777" w:rsidR="006519D5" w:rsidRPr="00BF1A13" w:rsidRDefault="006519D5" w:rsidP="006519D5"/>
        </w:tc>
        <w:tc>
          <w:tcPr>
            <w:tcW w:w="354" w:type="pct"/>
          </w:tcPr>
          <w:p w14:paraId="7DCA1625" w14:textId="77777777" w:rsidR="006519D5" w:rsidRPr="00BF1A13" w:rsidRDefault="006519D5" w:rsidP="006519D5"/>
        </w:tc>
      </w:tr>
    </w:tbl>
    <w:p w14:paraId="035E3F78" w14:textId="77777777" w:rsidR="0047707A" w:rsidRDefault="0047707A" w:rsidP="0047707A"/>
    <w:p w14:paraId="54C6BC64" w14:textId="1D849BEB" w:rsidR="001D0335" w:rsidRPr="004A521E" w:rsidRDefault="001D0335" w:rsidP="002472B7">
      <w:pPr>
        <w:pStyle w:val="Caption"/>
      </w:pPr>
      <w:r>
        <w:t>Generation Related Infrastructure Price Control Deliverable</w:t>
      </w:r>
      <w:r w:rsidR="002472B7">
        <w:t xml:space="preserve"> Allowance [SHET]</w:t>
      </w:r>
    </w:p>
    <w:tbl>
      <w:tblPr>
        <w:tblStyle w:val="AppendixTable"/>
        <w:tblW w:w="5000" w:type="pct"/>
        <w:tblLook w:val="04A0" w:firstRow="1" w:lastRow="0" w:firstColumn="1" w:lastColumn="0" w:noHBand="0" w:noVBand="1"/>
      </w:tblPr>
      <w:tblGrid>
        <w:gridCol w:w="1523"/>
        <w:gridCol w:w="1815"/>
        <w:gridCol w:w="995"/>
        <w:gridCol w:w="772"/>
        <w:gridCol w:w="772"/>
        <w:gridCol w:w="773"/>
        <w:gridCol w:w="773"/>
        <w:gridCol w:w="780"/>
        <w:gridCol w:w="823"/>
      </w:tblGrid>
      <w:tr w:rsidR="002472B7" w:rsidRPr="00D5104D" w14:paraId="30FF7946" w14:textId="77777777" w:rsidTr="002472B7">
        <w:trPr>
          <w:cnfStyle w:val="100000000000" w:firstRow="1" w:lastRow="0" w:firstColumn="0" w:lastColumn="0" w:oddVBand="0" w:evenVBand="0" w:oddHBand="0" w:evenHBand="0" w:firstRowFirstColumn="0" w:firstRowLastColumn="0" w:lastRowFirstColumn="0" w:lastRowLastColumn="0"/>
          <w:trHeight w:val="93"/>
        </w:trPr>
        <w:tc>
          <w:tcPr>
            <w:tcW w:w="844" w:type="pct"/>
          </w:tcPr>
          <w:p w14:paraId="4970470B" w14:textId="194CDB69" w:rsidR="002472B7" w:rsidRPr="00F448D4" w:rsidRDefault="002472B7" w:rsidP="002472B7">
            <w:r w:rsidRPr="00912CFA">
              <w:t>Scheme Name</w:t>
            </w:r>
          </w:p>
        </w:tc>
        <w:tc>
          <w:tcPr>
            <w:tcW w:w="1006" w:type="pct"/>
          </w:tcPr>
          <w:p w14:paraId="73624729" w14:textId="348A04C4" w:rsidR="002472B7" w:rsidRDefault="002472B7" w:rsidP="002472B7">
            <w:r w:rsidRPr="00912CFA">
              <w:t>Output</w:t>
            </w:r>
          </w:p>
        </w:tc>
        <w:tc>
          <w:tcPr>
            <w:tcW w:w="550" w:type="pct"/>
          </w:tcPr>
          <w:p w14:paraId="1C50EBC1" w14:textId="2DE5A0D5" w:rsidR="002472B7" w:rsidRPr="00B223F3" w:rsidRDefault="002472B7" w:rsidP="002472B7">
            <w:r w:rsidRPr="00912CFA">
              <w:t>Delivery Date</w:t>
            </w:r>
          </w:p>
        </w:tc>
        <w:tc>
          <w:tcPr>
            <w:tcW w:w="428" w:type="pct"/>
          </w:tcPr>
          <w:p w14:paraId="67710854" w14:textId="5D57C5BF" w:rsidR="002472B7" w:rsidRPr="00F448D4" w:rsidRDefault="002472B7" w:rsidP="002472B7">
            <w:r w:rsidRPr="00912CFA">
              <w:t>21/22</w:t>
            </w:r>
          </w:p>
        </w:tc>
        <w:tc>
          <w:tcPr>
            <w:tcW w:w="428" w:type="pct"/>
          </w:tcPr>
          <w:p w14:paraId="765967B6" w14:textId="0B4A1D56" w:rsidR="002472B7" w:rsidRPr="00F448D4" w:rsidRDefault="002472B7" w:rsidP="002472B7">
            <w:r w:rsidRPr="00912CFA">
              <w:t>22/23</w:t>
            </w:r>
          </w:p>
        </w:tc>
        <w:tc>
          <w:tcPr>
            <w:tcW w:w="428" w:type="pct"/>
          </w:tcPr>
          <w:p w14:paraId="5EECB238" w14:textId="355423C4" w:rsidR="002472B7" w:rsidRPr="00F448D4" w:rsidRDefault="002472B7" w:rsidP="002472B7">
            <w:r w:rsidRPr="00912CFA">
              <w:t>23/24</w:t>
            </w:r>
          </w:p>
        </w:tc>
        <w:tc>
          <w:tcPr>
            <w:tcW w:w="428" w:type="pct"/>
          </w:tcPr>
          <w:p w14:paraId="397DE6FC" w14:textId="77ECE087" w:rsidR="002472B7" w:rsidRPr="00F448D4" w:rsidRDefault="002472B7" w:rsidP="002472B7">
            <w:r w:rsidRPr="00912CFA">
              <w:t>24/25</w:t>
            </w:r>
          </w:p>
        </w:tc>
        <w:tc>
          <w:tcPr>
            <w:tcW w:w="432" w:type="pct"/>
          </w:tcPr>
          <w:p w14:paraId="2E1326D1" w14:textId="556EA270" w:rsidR="002472B7" w:rsidRPr="00F448D4" w:rsidRDefault="002472B7" w:rsidP="002472B7">
            <w:r w:rsidRPr="00912CFA">
              <w:t>25/26</w:t>
            </w:r>
          </w:p>
        </w:tc>
        <w:tc>
          <w:tcPr>
            <w:tcW w:w="458" w:type="pct"/>
          </w:tcPr>
          <w:p w14:paraId="2FC4EE87" w14:textId="105A8539" w:rsidR="002472B7" w:rsidRPr="00F448D4" w:rsidRDefault="002472B7" w:rsidP="002472B7">
            <w:r w:rsidRPr="00912CFA">
              <w:t>All years</w:t>
            </w:r>
          </w:p>
        </w:tc>
      </w:tr>
      <w:tr w:rsidR="001D0335" w:rsidRPr="00D5104D" w14:paraId="6F45B8F4" w14:textId="77777777" w:rsidTr="002472B7">
        <w:trPr>
          <w:trHeight w:val="93"/>
        </w:trPr>
        <w:tc>
          <w:tcPr>
            <w:tcW w:w="844" w:type="pct"/>
          </w:tcPr>
          <w:p w14:paraId="78E551A1" w14:textId="6E535CF0" w:rsidR="001D0335" w:rsidRPr="001D0335" w:rsidRDefault="00B0009A" w:rsidP="001D0335">
            <w:r>
              <w:t>[REDACTED]</w:t>
            </w:r>
          </w:p>
        </w:tc>
        <w:tc>
          <w:tcPr>
            <w:tcW w:w="1006" w:type="pct"/>
          </w:tcPr>
          <w:p w14:paraId="10797BDC" w14:textId="478BC5F5" w:rsidR="001D0335" w:rsidRPr="001D0335" w:rsidRDefault="001D0335" w:rsidP="005028DF"/>
        </w:tc>
        <w:tc>
          <w:tcPr>
            <w:tcW w:w="550" w:type="pct"/>
          </w:tcPr>
          <w:p w14:paraId="297BE7BE" w14:textId="77777777" w:rsidR="001D0335" w:rsidRPr="00F448D4" w:rsidRDefault="001D0335" w:rsidP="001D0335"/>
        </w:tc>
        <w:tc>
          <w:tcPr>
            <w:tcW w:w="428" w:type="pct"/>
          </w:tcPr>
          <w:p w14:paraId="117621B1" w14:textId="77777777" w:rsidR="001D0335" w:rsidRPr="00F448D4" w:rsidRDefault="001D0335" w:rsidP="001D0335"/>
        </w:tc>
        <w:tc>
          <w:tcPr>
            <w:tcW w:w="428" w:type="pct"/>
          </w:tcPr>
          <w:p w14:paraId="7BF74995" w14:textId="77777777" w:rsidR="001D0335" w:rsidRPr="00F448D4" w:rsidRDefault="001D0335" w:rsidP="001D0335"/>
        </w:tc>
        <w:tc>
          <w:tcPr>
            <w:tcW w:w="428" w:type="pct"/>
          </w:tcPr>
          <w:p w14:paraId="58CEC181" w14:textId="77777777" w:rsidR="001D0335" w:rsidRPr="00F448D4" w:rsidRDefault="001D0335" w:rsidP="001D0335"/>
        </w:tc>
        <w:tc>
          <w:tcPr>
            <w:tcW w:w="428" w:type="pct"/>
          </w:tcPr>
          <w:p w14:paraId="0EE24CC1" w14:textId="77777777" w:rsidR="001D0335" w:rsidRPr="00F448D4" w:rsidRDefault="001D0335" w:rsidP="001D0335"/>
        </w:tc>
        <w:tc>
          <w:tcPr>
            <w:tcW w:w="432" w:type="pct"/>
          </w:tcPr>
          <w:p w14:paraId="1AA74841" w14:textId="77777777" w:rsidR="001D0335" w:rsidRPr="00F448D4" w:rsidRDefault="001D0335" w:rsidP="001D0335"/>
        </w:tc>
        <w:tc>
          <w:tcPr>
            <w:tcW w:w="458" w:type="pct"/>
          </w:tcPr>
          <w:p w14:paraId="1E8BABAC" w14:textId="77777777" w:rsidR="001D0335" w:rsidRPr="00F448D4" w:rsidRDefault="001D0335" w:rsidP="001D0335"/>
        </w:tc>
      </w:tr>
      <w:tr w:rsidR="001D0335" w:rsidRPr="00D5104D" w14:paraId="48E2C002" w14:textId="77777777" w:rsidTr="002472B7">
        <w:trPr>
          <w:trHeight w:val="93"/>
        </w:trPr>
        <w:tc>
          <w:tcPr>
            <w:tcW w:w="844" w:type="pct"/>
          </w:tcPr>
          <w:p w14:paraId="60D54FD1" w14:textId="7ACB7A7B" w:rsidR="001D0335" w:rsidRPr="001D0335" w:rsidRDefault="001D0335" w:rsidP="001D0335"/>
        </w:tc>
        <w:tc>
          <w:tcPr>
            <w:tcW w:w="1006" w:type="pct"/>
          </w:tcPr>
          <w:p w14:paraId="7263E368" w14:textId="4E9D1214" w:rsidR="001D0335" w:rsidRPr="001D0335" w:rsidRDefault="001D0335" w:rsidP="001D0335"/>
        </w:tc>
        <w:tc>
          <w:tcPr>
            <w:tcW w:w="550" w:type="pct"/>
          </w:tcPr>
          <w:p w14:paraId="1EFECDFD" w14:textId="77777777" w:rsidR="001D0335" w:rsidRPr="00F448D4" w:rsidRDefault="001D0335" w:rsidP="001D0335"/>
        </w:tc>
        <w:tc>
          <w:tcPr>
            <w:tcW w:w="428" w:type="pct"/>
          </w:tcPr>
          <w:p w14:paraId="30312213" w14:textId="77777777" w:rsidR="001D0335" w:rsidRPr="00F448D4" w:rsidRDefault="001D0335" w:rsidP="001D0335"/>
        </w:tc>
        <w:tc>
          <w:tcPr>
            <w:tcW w:w="428" w:type="pct"/>
          </w:tcPr>
          <w:p w14:paraId="67F51176" w14:textId="77777777" w:rsidR="001D0335" w:rsidRPr="00F448D4" w:rsidRDefault="001D0335" w:rsidP="001D0335"/>
        </w:tc>
        <w:tc>
          <w:tcPr>
            <w:tcW w:w="428" w:type="pct"/>
          </w:tcPr>
          <w:p w14:paraId="3FABBE8C" w14:textId="77777777" w:rsidR="001D0335" w:rsidRPr="00F448D4" w:rsidRDefault="001D0335" w:rsidP="001D0335"/>
        </w:tc>
        <w:tc>
          <w:tcPr>
            <w:tcW w:w="428" w:type="pct"/>
          </w:tcPr>
          <w:p w14:paraId="3AB9E32A" w14:textId="77777777" w:rsidR="001D0335" w:rsidRPr="00F448D4" w:rsidRDefault="001D0335" w:rsidP="001D0335"/>
        </w:tc>
        <w:tc>
          <w:tcPr>
            <w:tcW w:w="432" w:type="pct"/>
          </w:tcPr>
          <w:p w14:paraId="084CA817" w14:textId="77777777" w:rsidR="001D0335" w:rsidRPr="00F448D4" w:rsidRDefault="001D0335" w:rsidP="001D0335"/>
        </w:tc>
        <w:tc>
          <w:tcPr>
            <w:tcW w:w="458" w:type="pct"/>
          </w:tcPr>
          <w:p w14:paraId="7FD9280F" w14:textId="77777777" w:rsidR="001D0335" w:rsidRPr="00F448D4" w:rsidRDefault="001D0335" w:rsidP="001D0335"/>
        </w:tc>
      </w:tr>
      <w:tr w:rsidR="001D0335" w:rsidRPr="00D5104D" w14:paraId="29CB9671" w14:textId="77777777" w:rsidTr="002472B7">
        <w:trPr>
          <w:trHeight w:val="93"/>
        </w:trPr>
        <w:tc>
          <w:tcPr>
            <w:tcW w:w="844" w:type="pct"/>
          </w:tcPr>
          <w:p w14:paraId="3DECF09B" w14:textId="7D14D503" w:rsidR="001D0335" w:rsidRPr="001D0335" w:rsidRDefault="001D0335" w:rsidP="001D0335"/>
        </w:tc>
        <w:tc>
          <w:tcPr>
            <w:tcW w:w="1006" w:type="pct"/>
          </w:tcPr>
          <w:p w14:paraId="45D74905" w14:textId="51491E1B" w:rsidR="001D0335" w:rsidRPr="001D0335" w:rsidRDefault="001D0335" w:rsidP="001D0335"/>
        </w:tc>
        <w:tc>
          <w:tcPr>
            <w:tcW w:w="550" w:type="pct"/>
          </w:tcPr>
          <w:p w14:paraId="2F63FF9B" w14:textId="77777777" w:rsidR="001D0335" w:rsidRPr="00F448D4" w:rsidRDefault="001D0335" w:rsidP="001D0335"/>
        </w:tc>
        <w:tc>
          <w:tcPr>
            <w:tcW w:w="428" w:type="pct"/>
          </w:tcPr>
          <w:p w14:paraId="2A519DAC" w14:textId="77777777" w:rsidR="001D0335" w:rsidRPr="00F448D4" w:rsidRDefault="001D0335" w:rsidP="001D0335"/>
        </w:tc>
        <w:tc>
          <w:tcPr>
            <w:tcW w:w="428" w:type="pct"/>
          </w:tcPr>
          <w:p w14:paraId="181AAA73" w14:textId="77777777" w:rsidR="001D0335" w:rsidRPr="00F448D4" w:rsidRDefault="001D0335" w:rsidP="001D0335"/>
        </w:tc>
        <w:tc>
          <w:tcPr>
            <w:tcW w:w="428" w:type="pct"/>
          </w:tcPr>
          <w:p w14:paraId="5209C4E2" w14:textId="77777777" w:rsidR="001D0335" w:rsidRPr="00F448D4" w:rsidRDefault="001D0335" w:rsidP="001D0335"/>
        </w:tc>
        <w:tc>
          <w:tcPr>
            <w:tcW w:w="428" w:type="pct"/>
          </w:tcPr>
          <w:p w14:paraId="5BD2FA66" w14:textId="77777777" w:rsidR="001D0335" w:rsidRPr="00F448D4" w:rsidRDefault="001D0335" w:rsidP="001D0335"/>
        </w:tc>
        <w:tc>
          <w:tcPr>
            <w:tcW w:w="432" w:type="pct"/>
          </w:tcPr>
          <w:p w14:paraId="47DD1543" w14:textId="77777777" w:rsidR="001D0335" w:rsidRPr="00F448D4" w:rsidRDefault="001D0335" w:rsidP="001D0335"/>
        </w:tc>
        <w:tc>
          <w:tcPr>
            <w:tcW w:w="458" w:type="pct"/>
          </w:tcPr>
          <w:p w14:paraId="07858F00" w14:textId="77777777" w:rsidR="001D0335" w:rsidRPr="00F448D4" w:rsidRDefault="001D0335" w:rsidP="001D0335"/>
        </w:tc>
      </w:tr>
      <w:tr w:rsidR="001D0335" w:rsidRPr="00D5104D" w14:paraId="2C46367B" w14:textId="77777777" w:rsidTr="002472B7">
        <w:trPr>
          <w:trHeight w:val="93"/>
        </w:trPr>
        <w:tc>
          <w:tcPr>
            <w:tcW w:w="844" w:type="pct"/>
          </w:tcPr>
          <w:p w14:paraId="025743AC" w14:textId="59DF49EA" w:rsidR="001D0335" w:rsidRPr="001D0335" w:rsidRDefault="001D0335" w:rsidP="001D0335"/>
        </w:tc>
        <w:tc>
          <w:tcPr>
            <w:tcW w:w="1006" w:type="pct"/>
          </w:tcPr>
          <w:p w14:paraId="68CBD00F" w14:textId="5D3F20EF" w:rsidR="001D0335" w:rsidRPr="001D0335" w:rsidRDefault="001D0335" w:rsidP="001D0335"/>
        </w:tc>
        <w:tc>
          <w:tcPr>
            <w:tcW w:w="550" w:type="pct"/>
          </w:tcPr>
          <w:p w14:paraId="215E5C57" w14:textId="77777777" w:rsidR="001D0335" w:rsidRPr="00F448D4" w:rsidRDefault="001D0335" w:rsidP="001D0335"/>
        </w:tc>
        <w:tc>
          <w:tcPr>
            <w:tcW w:w="428" w:type="pct"/>
          </w:tcPr>
          <w:p w14:paraId="3C093645" w14:textId="77777777" w:rsidR="001D0335" w:rsidRPr="00F448D4" w:rsidRDefault="001D0335" w:rsidP="001D0335"/>
        </w:tc>
        <w:tc>
          <w:tcPr>
            <w:tcW w:w="428" w:type="pct"/>
          </w:tcPr>
          <w:p w14:paraId="4873C58A" w14:textId="77777777" w:rsidR="001D0335" w:rsidRPr="00F448D4" w:rsidRDefault="001D0335" w:rsidP="001D0335"/>
        </w:tc>
        <w:tc>
          <w:tcPr>
            <w:tcW w:w="428" w:type="pct"/>
          </w:tcPr>
          <w:p w14:paraId="1C6E1C1F" w14:textId="77777777" w:rsidR="001D0335" w:rsidRPr="00F448D4" w:rsidRDefault="001D0335" w:rsidP="001D0335"/>
        </w:tc>
        <w:tc>
          <w:tcPr>
            <w:tcW w:w="428" w:type="pct"/>
          </w:tcPr>
          <w:p w14:paraId="473994B2" w14:textId="77777777" w:rsidR="001D0335" w:rsidRPr="00F448D4" w:rsidRDefault="001D0335" w:rsidP="001D0335"/>
        </w:tc>
        <w:tc>
          <w:tcPr>
            <w:tcW w:w="432" w:type="pct"/>
          </w:tcPr>
          <w:p w14:paraId="070A5CCA" w14:textId="77777777" w:rsidR="001D0335" w:rsidRPr="00F448D4" w:rsidRDefault="001D0335" w:rsidP="001D0335"/>
        </w:tc>
        <w:tc>
          <w:tcPr>
            <w:tcW w:w="458" w:type="pct"/>
          </w:tcPr>
          <w:p w14:paraId="339668FB" w14:textId="77777777" w:rsidR="001D0335" w:rsidRPr="00F448D4" w:rsidRDefault="001D0335" w:rsidP="001D0335"/>
        </w:tc>
      </w:tr>
      <w:tr w:rsidR="001D0335" w:rsidRPr="00D5104D" w14:paraId="29FFA4E6" w14:textId="77777777" w:rsidTr="002472B7">
        <w:trPr>
          <w:trHeight w:val="93"/>
        </w:trPr>
        <w:tc>
          <w:tcPr>
            <w:tcW w:w="844" w:type="pct"/>
          </w:tcPr>
          <w:p w14:paraId="1CA4E999" w14:textId="2F5DA4F5" w:rsidR="001D0335" w:rsidRPr="001D0335" w:rsidRDefault="001D0335" w:rsidP="001D0335"/>
        </w:tc>
        <w:tc>
          <w:tcPr>
            <w:tcW w:w="1006" w:type="pct"/>
          </w:tcPr>
          <w:p w14:paraId="7DA24F0C" w14:textId="217C0F24" w:rsidR="001D0335" w:rsidRPr="001D0335" w:rsidRDefault="001D0335" w:rsidP="001D0335"/>
        </w:tc>
        <w:tc>
          <w:tcPr>
            <w:tcW w:w="550" w:type="pct"/>
          </w:tcPr>
          <w:p w14:paraId="092944AF" w14:textId="77777777" w:rsidR="001D0335" w:rsidRPr="00F448D4" w:rsidRDefault="001D0335" w:rsidP="001D0335"/>
        </w:tc>
        <w:tc>
          <w:tcPr>
            <w:tcW w:w="428" w:type="pct"/>
          </w:tcPr>
          <w:p w14:paraId="0F3CA9F8" w14:textId="77777777" w:rsidR="001D0335" w:rsidRPr="00F448D4" w:rsidRDefault="001D0335" w:rsidP="001D0335"/>
        </w:tc>
        <w:tc>
          <w:tcPr>
            <w:tcW w:w="428" w:type="pct"/>
          </w:tcPr>
          <w:p w14:paraId="25515202" w14:textId="77777777" w:rsidR="001D0335" w:rsidRPr="00F448D4" w:rsidRDefault="001D0335" w:rsidP="001D0335"/>
        </w:tc>
        <w:tc>
          <w:tcPr>
            <w:tcW w:w="428" w:type="pct"/>
          </w:tcPr>
          <w:p w14:paraId="3BC3D212" w14:textId="77777777" w:rsidR="001D0335" w:rsidRPr="00F448D4" w:rsidRDefault="001D0335" w:rsidP="001D0335"/>
        </w:tc>
        <w:tc>
          <w:tcPr>
            <w:tcW w:w="428" w:type="pct"/>
          </w:tcPr>
          <w:p w14:paraId="625ED0FB" w14:textId="77777777" w:rsidR="001D0335" w:rsidRPr="00F448D4" w:rsidRDefault="001D0335" w:rsidP="001D0335"/>
        </w:tc>
        <w:tc>
          <w:tcPr>
            <w:tcW w:w="432" w:type="pct"/>
          </w:tcPr>
          <w:p w14:paraId="6A842238" w14:textId="77777777" w:rsidR="001D0335" w:rsidRPr="00F448D4" w:rsidRDefault="001D0335" w:rsidP="001D0335"/>
        </w:tc>
        <w:tc>
          <w:tcPr>
            <w:tcW w:w="458" w:type="pct"/>
          </w:tcPr>
          <w:p w14:paraId="6A21B3E7" w14:textId="77777777" w:rsidR="001D0335" w:rsidRPr="00F448D4" w:rsidRDefault="001D0335" w:rsidP="001D0335"/>
        </w:tc>
      </w:tr>
      <w:tr w:rsidR="001D0335" w:rsidRPr="00F448D4" w14:paraId="235539C1" w14:textId="77777777" w:rsidTr="002472B7">
        <w:trPr>
          <w:trHeight w:val="93"/>
        </w:trPr>
        <w:tc>
          <w:tcPr>
            <w:tcW w:w="844" w:type="pct"/>
          </w:tcPr>
          <w:p w14:paraId="4F65C852" w14:textId="760BF5C5" w:rsidR="001D0335" w:rsidRPr="001D0335" w:rsidRDefault="001D0335" w:rsidP="001D0335"/>
        </w:tc>
        <w:tc>
          <w:tcPr>
            <w:tcW w:w="1006" w:type="pct"/>
          </w:tcPr>
          <w:p w14:paraId="0EC2D78C" w14:textId="31611FC1" w:rsidR="001D0335" w:rsidRPr="001D0335" w:rsidRDefault="001D0335" w:rsidP="001D0335"/>
        </w:tc>
        <w:tc>
          <w:tcPr>
            <w:tcW w:w="550" w:type="pct"/>
          </w:tcPr>
          <w:p w14:paraId="4CF70FE6" w14:textId="77777777" w:rsidR="001D0335" w:rsidRPr="00F448D4" w:rsidRDefault="001D0335" w:rsidP="001D0335"/>
        </w:tc>
        <w:tc>
          <w:tcPr>
            <w:tcW w:w="428" w:type="pct"/>
          </w:tcPr>
          <w:p w14:paraId="3D29CDFC" w14:textId="77777777" w:rsidR="001D0335" w:rsidRPr="00F448D4" w:rsidRDefault="001D0335" w:rsidP="001D0335"/>
        </w:tc>
        <w:tc>
          <w:tcPr>
            <w:tcW w:w="428" w:type="pct"/>
          </w:tcPr>
          <w:p w14:paraId="07D017D0" w14:textId="77777777" w:rsidR="001D0335" w:rsidRPr="00F448D4" w:rsidRDefault="001D0335" w:rsidP="001D0335"/>
        </w:tc>
        <w:tc>
          <w:tcPr>
            <w:tcW w:w="428" w:type="pct"/>
          </w:tcPr>
          <w:p w14:paraId="552E432E" w14:textId="77777777" w:rsidR="001D0335" w:rsidRPr="00F448D4" w:rsidRDefault="001D0335" w:rsidP="001D0335"/>
        </w:tc>
        <w:tc>
          <w:tcPr>
            <w:tcW w:w="428" w:type="pct"/>
          </w:tcPr>
          <w:p w14:paraId="6AD41386" w14:textId="77777777" w:rsidR="001D0335" w:rsidRPr="00F448D4" w:rsidRDefault="001D0335" w:rsidP="001D0335"/>
        </w:tc>
        <w:tc>
          <w:tcPr>
            <w:tcW w:w="432" w:type="pct"/>
          </w:tcPr>
          <w:p w14:paraId="64FDF762" w14:textId="77777777" w:rsidR="001D0335" w:rsidRPr="00F448D4" w:rsidRDefault="001D0335" w:rsidP="001D0335"/>
        </w:tc>
        <w:tc>
          <w:tcPr>
            <w:tcW w:w="458" w:type="pct"/>
          </w:tcPr>
          <w:p w14:paraId="7E08669B" w14:textId="77777777" w:rsidR="001D0335" w:rsidRPr="00F448D4" w:rsidRDefault="001D0335" w:rsidP="001D0335"/>
        </w:tc>
      </w:tr>
    </w:tbl>
    <w:p w14:paraId="5CBEED5B" w14:textId="36926999" w:rsidR="001D0335" w:rsidRPr="00951250" w:rsidRDefault="001D0335" w:rsidP="0047707A"/>
    <w:p w14:paraId="23A490E1" w14:textId="61741715" w:rsidR="001D0335" w:rsidRPr="004A521E" w:rsidRDefault="001D0335" w:rsidP="00E0554F">
      <w:pPr>
        <w:pStyle w:val="Caption"/>
      </w:pPr>
      <w:r>
        <w:t>Generation Related Infrastructure</w:t>
      </w:r>
      <w:r w:rsidDel="00EC6269">
        <w:t xml:space="preserve"> </w:t>
      </w:r>
      <w:r>
        <w:t>Price Control Deliverable</w:t>
      </w:r>
      <w:r w:rsidR="00375708">
        <w:t xml:space="preserve"> Allowance [SPT]</w:t>
      </w:r>
    </w:p>
    <w:tbl>
      <w:tblPr>
        <w:tblStyle w:val="AppendixTable"/>
        <w:tblW w:w="5000" w:type="pct"/>
        <w:tblLook w:val="04A0" w:firstRow="1" w:lastRow="0" w:firstColumn="1" w:lastColumn="0" w:noHBand="0" w:noVBand="1"/>
      </w:tblPr>
      <w:tblGrid>
        <w:gridCol w:w="1394"/>
        <w:gridCol w:w="2246"/>
        <w:gridCol w:w="995"/>
        <w:gridCol w:w="746"/>
        <w:gridCol w:w="746"/>
        <w:gridCol w:w="746"/>
        <w:gridCol w:w="746"/>
        <w:gridCol w:w="746"/>
        <w:gridCol w:w="661"/>
      </w:tblGrid>
      <w:tr w:rsidR="00F02314" w:rsidRPr="00D5104D" w14:paraId="499A8F61" w14:textId="77777777" w:rsidTr="00C0466F">
        <w:trPr>
          <w:cnfStyle w:val="100000000000" w:firstRow="1" w:lastRow="0" w:firstColumn="0" w:lastColumn="0" w:oddVBand="0" w:evenVBand="0" w:oddHBand="0" w:evenHBand="0" w:firstRowFirstColumn="0" w:firstRowLastColumn="0" w:lastRowFirstColumn="0" w:lastRowLastColumn="0"/>
          <w:trHeight w:val="119"/>
        </w:trPr>
        <w:tc>
          <w:tcPr>
            <w:tcW w:w="541" w:type="pct"/>
          </w:tcPr>
          <w:p w14:paraId="38BCFD03" w14:textId="2D0A25B5" w:rsidR="00F02314" w:rsidRPr="004B739B" w:rsidRDefault="00F02314" w:rsidP="00F02314">
            <w:r w:rsidRPr="00ED67F4">
              <w:t>Scheme Name</w:t>
            </w:r>
          </w:p>
        </w:tc>
        <w:tc>
          <w:tcPr>
            <w:tcW w:w="2109" w:type="pct"/>
          </w:tcPr>
          <w:p w14:paraId="45433A46" w14:textId="7955553C" w:rsidR="00F02314" w:rsidRPr="004B739B" w:rsidRDefault="00F02314" w:rsidP="00F02314">
            <w:r w:rsidRPr="00ED67F4">
              <w:t>Output</w:t>
            </w:r>
          </w:p>
        </w:tc>
        <w:tc>
          <w:tcPr>
            <w:tcW w:w="466" w:type="pct"/>
          </w:tcPr>
          <w:p w14:paraId="3F1F75A2" w14:textId="59B3DFBF" w:rsidR="00F02314" w:rsidRPr="004B739B" w:rsidRDefault="00F02314" w:rsidP="00F02314">
            <w:r w:rsidRPr="00ED67F4">
              <w:t>Delivery Date</w:t>
            </w:r>
          </w:p>
        </w:tc>
        <w:tc>
          <w:tcPr>
            <w:tcW w:w="310" w:type="pct"/>
          </w:tcPr>
          <w:p w14:paraId="34F09867" w14:textId="649B9374" w:rsidR="00F02314" w:rsidRPr="00F448D4" w:rsidRDefault="00F02314" w:rsidP="00F02314">
            <w:r w:rsidRPr="00ED67F4">
              <w:t>21/22</w:t>
            </w:r>
          </w:p>
        </w:tc>
        <w:tc>
          <w:tcPr>
            <w:tcW w:w="310" w:type="pct"/>
          </w:tcPr>
          <w:p w14:paraId="0D136503" w14:textId="3F74A6A7" w:rsidR="00F02314" w:rsidRPr="00F448D4" w:rsidRDefault="00F02314" w:rsidP="00F02314">
            <w:r w:rsidRPr="00ED67F4">
              <w:t>22/23</w:t>
            </w:r>
          </w:p>
        </w:tc>
        <w:tc>
          <w:tcPr>
            <w:tcW w:w="310" w:type="pct"/>
          </w:tcPr>
          <w:p w14:paraId="3C16E368" w14:textId="792A2284" w:rsidR="00F02314" w:rsidRPr="00F448D4" w:rsidRDefault="00F02314" w:rsidP="00F02314">
            <w:r w:rsidRPr="00ED67F4">
              <w:t>23/24</w:t>
            </w:r>
          </w:p>
        </w:tc>
        <w:tc>
          <w:tcPr>
            <w:tcW w:w="310" w:type="pct"/>
          </w:tcPr>
          <w:p w14:paraId="551ED2EA" w14:textId="607B1797" w:rsidR="00F02314" w:rsidRPr="00F448D4" w:rsidRDefault="00F02314" w:rsidP="00F02314">
            <w:r w:rsidRPr="00ED67F4">
              <w:t>24/25</w:t>
            </w:r>
          </w:p>
        </w:tc>
        <w:tc>
          <w:tcPr>
            <w:tcW w:w="311" w:type="pct"/>
          </w:tcPr>
          <w:p w14:paraId="1A8E3573" w14:textId="6D44DC96" w:rsidR="00F02314" w:rsidRPr="00F448D4" w:rsidRDefault="00F02314" w:rsidP="00F02314">
            <w:r w:rsidRPr="00ED67F4">
              <w:t>25/26</w:t>
            </w:r>
          </w:p>
        </w:tc>
        <w:tc>
          <w:tcPr>
            <w:tcW w:w="331" w:type="pct"/>
          </w:tcPr>
          <w:p w14:paraId="5CA53978" w14:textId="05CF5371" w:rsidR="00F02314" w:rsidRPr="00F448D4" w:rsidRDefault="00F02314" w:rsidP="00F02314">
            <w:r w:rsidRPr="00ED67F4">
              <w:t>All years</w:t>
            </w:r>
          </w:p>
        </w:tc>
      </w:tr>
      <w:tr w:rsidR="001D0335" w:rsidRPr="00D5104D" w14:paraId="7CA7A6F1" w14:textId="77777777" w:rsidTr="00C0466F">
        <w:trPr>
          <w:trHeight w:val="119"/>
        </w:trPr>
        <w:tc>
          <w:tcPr>
            <w:tcW w:w="541" w:type="pct"/>
          </w:tcPr>
          <w:p w14:paraId="36098871" w14:textId="64F0F879" w:rsidR="001D0335" w:rsidRPr="00F448D4" w:rsidRDefault="00B0009A" w:rsidP="001D0335">
            <w:r>
              <w:t>[REDACTED]</w:t>
            </w:r>
          </w:p>
        </w:tc>
        <w:tc>
          <w:tcPr>
            <w:tcW w:w="2109" w:type="pct"/>
          </w:tcPr>
          <w:p w14:paraId="26C43337" w14:textId="0F21425A" w:rsidR="001D0335" w:rsidRPr="001D0335" w:rsidRDefault="001D0335" w:rsidP="001D0335"/>
        </w:tc>
        <w:tc>
          <w:tcPr>
            <w:tcW w:w="466" w:type="pct"/>
          </w:tcPr>
          <w:p w14:paraId="669A167F" w14:textId="77777777" w:rsidR="001D0335" w:rsidRPr="00F448D4" w:rsidRDefault="001D0335" w:rsidP="001D0335"/>
        </w:tc>
        <w:tc>
          <w:tcPr>
            <w:tcW w:w="310" w:type="pct"/>
          </w:tcPr>
          <w:p w14:paraId="405E0657" w14:textId="77777777" w:rsidR="001D0335" w:rsidRPr="00F448D4" w:rsidRDefault="001D0335" w:rsidP="001D0335"/>
        </w:tc>
        <w:tc>
          <w:tcPr>
            <w:tcW w:w="310" w:type="pct"/>
          </w:tcPr>
          <w:p w14:paraId="72260946" w14:textId="77777777" w:rsidR="001D0335" w:rsidRPr="00F448D4" w:rsidRDefault="001D0335" w:rsidP="001D0335"/>
        </w:tc>
        <w:tc>
          <w:tcPr>
            <w:tcW w:w="310" w:type="pct"/>
          </w:tcPr>
          <w:p w14:paraId="383EC22F" w14:textId="77777777" w:rsidR="001D0335" w:rsidRPr="00F448D4" w:rsidRDefault="001D0335" w:rsidP="001D0335"/>
        </w:tc>
        <w:tc>
          <w:tcPr>
            <w:tcW w:w="310" w:type="pct"/>
          </w:tcPr>
          <w:p w14:paraId="5AAC535F" w14:textId="77777777" w:rsidR="001D0335" w:rsidRPr="00F448D4" w:rsidRDefault="001D0335" w:rsidP="001D0335"/>
        </w:tc>
        <w:tc>
          <w:tcPr>
            <w:tcW w:w="311" w:type="pct"/>
          </w:tcPr>
          <w:p w14:paraId="20075C99" w14:textId="77777777" w:rsidR="001D0335" w:rsidRPr="00F448D4" w:rsidRDefault="001D0335" w:rsidP="001D0335"/>
        </w:tc>
        <w:tc>
          <w:tcPr>
            <w:tcW w:w="331" w:type="pct"/>
          </w:tcPr>
          <w:p w14:paraId="55782170" w14:textId="77777777" w:rsidR="001D0335" w:rsidRPr="00F448D4" w:rsidRDefault="001D0335" w:rsidP="001D0335"/>
        </w:tc>
      </w:tr>
      <w:tr w:rsidR="001D0335" w:rsidRPr="00D5104D" w14:paraId="14340F90" w14:textId="77777777" w:rsidTr="00C0466F">
        <w:trPr>
          <w:trHeight w:val="119"/>
        </w:trPr>
        <w:tc>
          <w:tcPr>
            <w:tcW w:w="541" w:type="pct"/>
          </w:tcPr>
          <w:p w14:paraId="46BC62E9" w14:textId="03994E06" w:rsidR="001D0335" w:rsidRPr="001D0335" w:rsidRDefault="001D0335" w:rsidP="001D0335"/>
        </w:tc>
        <w:tc>
          <w:tcPr>
            <w:tcW w:w="2109" w:type="pct"/>
          </w:tcPr>
          <w:p w14:paraId="442B6C1F" w14:textId="00FCF6EB" w:rsidR="001D0335" w:rsidRPr="001D0335" w:rsidRDefault="001D0335" w:rsidP="001D0335"/>
        </w:tc>
        <w:tc>
          <w:tcPr>
            <w:tcW w:w="466" w:type="pct"/>
          </w:tcPr>
          <w:p w14:paraId="50DFB52E" w14:textId="62129268" w:rsidR="001D0335" w:rsidRPr="001D0335" w:rsidRDefault="001D0335" w:rsidP="001D0335"/>
        </w:tc>
        <w:tc>
          <w:tcPr>
            <w:tcW w:w="310" w:type="pct"/>
          </w:tcPr>
          <w:p w14:paraId="31369056" w14:textId="77777777" w:rsidR="001D0335" w:rsidRPr="004B739B" w:rsidRDefault="001D0335" w:rsidP="001D0335"/>
        </w:tc>
        <w:tc>
          <w:tcPr>
            <w:tcW w:w="310" w:type="pct"/>
          </w:tcPr>
          <w:p w14:paraId="154BF8EE" w14:textId="77777777" w:rsidR="001D0335" w:rsidRPr="004B739B" w:rsidRDefault="001D0335" w:rsidP="001D0335"/>
        </w:tc>
        <w:tc>
          <w:tcPr>
            <w:tcW w:w="310" w:type="pct"/>
          </w:tcPr>
          <w:p w14:paraId="1E997317" w14:textId="77777777" w:rsidR="001D0335" w:rsidRPr="004B739B" w:rsidRDefault="001D0335" w:rsidP="001D0335"/>
        </w:tc>
        <w:tc>
          <w:tcPr>
            <w:tcW w:w="310" w:type="pct"/>
          </w:tcPr>
          <w:p w14:paraId="7FE10EC5" w14:textId="77777777" w:rsidR="001D0335" w:rsidRPr="004B739B" w:rsidRDefault="001D0335" w:rsidP="001D0335"/>
        </w:tc>
        <w:tc>
          <w:tcPr>
            <w:tcW w:w="311" w:type="pct"/>
          </w:tcPr>
          <w:p w14:paraId="78009E77" w14:textId="77777777" w:rsidR="001D0335" w:rsidRPr="004B739B" w:rsidRDefault="001D0335" w:rsidP="001D0335"/>
        </w:tc>
        <w:tc>
          <w:tcPr>
            <w:tcW w:w="331" w:type="pct"/>
          </w:tcPr>
          <w:p w14:paraId="4ACC21A8" w14:textId="77777777" w:rsidR="001D0335" w:rsidRPr="004B739B" w:rsidRDefault="001D0335" w:rsidP="001D0335"/>
        </w:tc>
      </w:tr>
      <w:tr w:rsidR="001D0335" w:rsidRPr="00D5104D" w14:paraId="1E5AAB22" w14:textId="77777777" w:rsidTr="00C0466F">
        <w:trPr>
          <w:trHeight w:val="119"/>
        </w:trPr>
        <w:tc>
          <w:tcPr>
            <w:tcW w:w="541" w:type="pct"/>
          </w:tcPr>
          <w:p w14:paraId="2C45BF83" w14:textId="274ABD85" w:rsidR="001D0335" w:rsidRPr="001D0335" w:rsidRDefault="001D0335" w:rsidP="001D0335"/>
        </w:tc>
        <w:tc>
          <w:tcPr>
            <w:tcW w:w="2109" w:type="pct"/>
          </w:tcPr>
          <w:p w14:paraId="0AD0C0E9" w14:textId="2B52EC94" w:rsidR="001D0335" w:rsidRPr="001D0335" w:rsidRDefault="001D0335" w:rsidP="001D0335"/>
        </w:tc>
        <w:tc>
          <w:tcPr>
            <w:tcW w:w="466" w:type="pct"/>
          </w:tcPr>
          <w:p w14:paraId="05856697" w14:textId="7D8785E8" w:rsidR="001D0335" w:rsidRPr="001D0335" w:rsidRDefault="001D0335" w:rsidP="001D0335"/>
        </w:tc>
        <w:tc>
          <w:tcPr>
            <w:tcW w:w="310" w:type="pct"/>
          </w:tcPr>
          <w:p w14:paraId="69BD6E51" w14:textId="77777777" w:rsidR="001D0335" w:rsidRPr="004B739B" w:rsidRDefault="001D0335" w:rsidP="001D0335"/>
        </w:tc>
        <w:tc>
          <w:tcPr>
            <w:tcW w:w="310" w:type="pct"/>
          </w:tcPr>
          <w:p w14:paraId="233E13DC" w14:textId="77777777" w:rsidR="001D0335" w:rsidRPr="004B739B" w:rsidRDefault="001D0335" w:rsidP="001D0335"/>
        </w:tc>
        <w:tc>
          <w:tcPr>
            <w:tcW w:w="310" w:type="pct"/>
          </w:tcPr>
          <w:p w14:paraId="1F8CB11F" w14:textId="77777777" w:rsidR="001D0335" w:rsidRPr="004B739B" w:rsidRDefault="001D0335" w:rsidP="001D0335"/>
        </w:tc>
        <w:tc>
          <w:tcPr>
            <w:tcW w:w="310" w:type="pct"/>
          </w:tcPr>
          <w:p w14:paraId="7373AFB3" w14:textId="77777777" w:rsidR="001D0335" w:rsidRPr="004B739B" w:rsidRDefault="001D0335" w:rsidP="001D0335"/>
        </w:tc>
        <w:tc>
          <w:tcPr>
            <w:tcW w:w="311" w:type="pct"/>
          </w:tcPr>
          <w:p w14:paraId="38286422" w14:textId="77777777" w:rsidR="001D0335" w:rsidRPr="004B739B" w:rsidRDefault="001D0335" w:rsidP="001D0335"/>
        </w:tc>
        <w:tc>
          <w:tcPr>
            <w:tcW w:w="331" w:type="pct"/>
          </w:tcPr>
          <w:p w14:paraId="00963ACE" w14:textId="77777777" w:rsidR="001D0335" w:rsidRPr="004B739B" w:rsidRDefault="001D0335" w:rsidP="001D0335"/>
        </w:tc>
      </w:tr>
      <w:tr w:rsidR="001D0335" w:rsidRPr="00D5104D" w14:paraId="60287D9C" w14:textId="77777777" w:rsidTr="00C0466F">
        <w:trPr>
          <w:trHeight w:val="119"/>
        </w:trPr>
        <w:tc>
          <w:tcPr>
            <w:tcW w:w="541" w:type="pct"/>
          </w:tcPr>
          <w:p w14:paraId="1763F6F8" w14:textId="59BE2CEC" w:rsidR="001D0335" w:rsidRPr="001D0335" w:rsidRDefault="001D0335" w:rsidP="001D0335"/>
        </w:tc>
        <w:tc>
          <w:tcPr>
            <w:tcW w:w="2109" w:type="pct"/>
          </w:tcPr>
          <w:p w14:paraId="71064F3C" w14:textId="79555581" w:rsidR="001D0335" w:rsidRPr="001D0335" w:rsidRDefault="001D0335" w:rsidP="001D0335"/>
        </w:tc>
        <w:tc>
          <w:tcPr>
            <w:tcW w:w="466" w:type="pct"/>
          </w:tcPr>
          <w:p w14:paraId="1A1AAFC4" w14:textId="53290539" w:rsidR="001D0335" w:rsidRPr="001D0335" w:rsidRDefault="001D0335" w:rsidP="001D0335"/>
        </w:tc>
        <w:tc>
          <w:tcPr>
            <w:tcW w:w="310" w:type="pct"/>
          </w:tcPr>
          <w:p w14:paraId="0CD5B0EC" w14:textId="77777777" w:rsidR="001D0335" w:rsidRPr="004B739B" w:rsidRDefault="001D0335" w:rsidP="001D0335"/>
        </w:tc>
        <w:tc>
          <w:tcPr>
            <w:tcW w:w="310" w:type="pct"/>
          </w:tcPr>
          <w:p w14:paraId="7CF1027B" w14:textId="77777777" w:rsidR="001D0335" w:rsidRPr="004B739B" w:rsidRDefault="001D0335" w:rsidP="001D0335"/>
        </w:tc>
        <w:tc>
          <w:tcPr>
            <w:tcW w:w="310" w:type="pct"/>
          </w:tcPr>
          <w:p w14:paraId="44F92417" w14:textId="77777777" w:rsidR="001D0335" w:rsidRPr="004B739B" w:rsidRDefault="001D0335" w:rsidP="001D0335"/>
        </w:tc>
        <w:tc>
          <w:tcPr>
            <w:tcW w:w="310" w:type="pct"/>
          </w:tcPr>
          <w:p w14:paraId="24EA667E" w14:textId="77777777" w:rsidR="001D0335" w:rsidRPr="004B739B" w:rsidRDefault="001D0335" w:rsidP="001D0335"/>
        </w:tc>
        <w:tc>
          <w:tcPr>
            <w:tcW w:w="311" w:type="pct"/>
          </w:tcPr>
          <w:p w14:paraId="4F6AA4F9" w14:textId="77777777" w:rsidR="001D0335" w:rsidRPr="004B739B" w:rsidRDefault="001D0335" w:rsidP="001D0335"/>
        </w:tc>
        <w:tc>
          <w:tcPr>
            <w:tcW w:w="331" w:type="pct"/>
          </w:tcPr>
          <w:p w14:paraId="4947BCF2" w14:textId="77777777" w:rsidR="001D0335" w:rsidRPr="004B739B" w:rsidRDefault="001D0335" w:rsidP="001D0335"/>
        </w:tc>
      </w:tr>
      <w:tr w:rsidR="001D0335" w:rsidRPr="00D5104D" w14:paraId="56F9948F" w14:textId="77777777" w:rsidTr="00C0466F">
        <w:trPr>
          <w:trHeight w:val="119"/>
        </w:trPr>
        <w:tc>
          <w:tcPr>
            <w:tcW w:w="541" w:type="pct"/>
          </w:tcPr>
          <w:p w14:paraId="0C67A084" w14:textId="583AF66E" w:rsidR="001D0335" w:rsidRPr="001D0335" w:rsidRDefault="001D0335" w:rsidP="001D0335"/>
        </w:tc>
        <w:tc>
          <w:tcPr>
            <w:tcW w:w="2109" w:type="pct"/>
          </w:tcPr>
          <w:p w14:paraId="7E85AF6E" w14:textId="6FCE4BB3" w:rsidR="001D0335" w:rsidRPr="001D0335" w:rsidRDefault="001D0335" w:rsidP="001D0335"/>
        </w:tc>
        <w:tc>
          <w:tcPr>
            <w:tcW w:w="466" w:type="pct"/>
          </w:tcPr>
          <w:p w14:paraId="69A81A1A" w14:textId="67BA43EE" w:rsidR="001D0335" w:rsidRPr="001D0335" w:rsidRDefault="001D0335" w:rsidP="001D0335"/>
        </w:tc>
        <w:tc>
          <w:tcPr>
            <w:tcW w:w="310" w:type="pct"/>
          </w:tcPr>
          <w:p w14:paraId="70FE3D1F" w14:textId="77777777" w:rsidR="001D0335" w:rsidRPr="004B739B" w:rsidRDefault="001D0335" w:rsidP="001D0335"/>
        </w:tc>
        <w:tc>
          <w:tcPr>
            <w:tcW w:w="310" w:type="pct"/>
          </w:tcPr>
          <w:p w14:paraId="647BBAC2" w14:textId="77777777" w:rsidR="001D0335" w:rsidRPr="004B739B" w:rsidRDefault="001D0335" w:rsidP="001D0335"/>
        </w:tc>
        <w:tc>
          <w:tcPr>
            <w:tcW w:w="310" w:type="pct"/>
          </w:tcPr>
          <w:p w14:paraId="79B87EE9" w14:textId="77777777" w:rsidR="001D0335" w:rsidRPr="004B739B" w:rsidRDefault="001D0335" w:rsidP="001D0335"/>
        </w:tc>
        <w:tc>
          <w:tcPr>
            <w:tcW w:w="310" w:type="pct"/>
          </w:tcPr>
          <w:p w14:paraId="35E9BA10" w14:textId="77777777" w:rsidR="001D0335" w:rsidRPr="004B739B" w:rsidRDefault="001D0335" w:rsidP="001D0335"/>
        </w:tc>
        <w:tc>
          <w:tcPr>
            <w:tcW w:w="311" w:type="pct"/>
          </w:tcPr>
          <w:p w14:paraId="6293D6BF" w14:textId="77777777" w:rsidR="001D0335" w:rsidRPr="004B739B" w:rsidRDefault="001D0335" w:rsidP="001D0335"/>
        </w:tc>
        <w:tc>
          <w:tcPr>
            <w:tcW w:w="331" w:type="pct"/>
          </w:tcPr>
          <w:p w14:paraId="5CA23C8B" w14:textId="77777777" w:rsidR="001D0335" w:rsidRPr="004B739B" w:rsidRDefault="001D0335" w:rsidP="001D0335"/>
        </w:tc>
      </w:tr>
      <w:tr w:rsidR="001D0335" w:rsidRPr="00F448D4" w14:paraId="0D59CA43" w14:textId="77777777" w:rsidTr="00C0466F">
        <w:trPr>
          <w:trHeight w:val="119"/>
        </w:trPr>
        <w:tc>
          <w:tcPr>
            <w:tcW w:w="541" w:type="pct"/>
          </w:tcPr>
          <w:p w14:paraId="3FC519A6" w14:textId="29A4F6C4" w:rsidR="001D0335" w:rsidRPr="001D0335" w:rsidRDefault="001D0335" w:rsidP="001D0335"/>
        </w:tc>
        <w:tc>
          <w:tcPr>
            <w:tcW w:w="2109" w:type="pct"/>
          </w:tcPr>
          <w:p w14:paraId="0775DE22" w14:textId="690CC315" w:rsidR="001D0335" w:rsidRPr="001D0335" w:rsidRDefault="001D0335" w:rsidP="001D0335"/>
        </w:tc>
        <w:tc>
          <w:tcPr>
            <w:tcW w:w="466" w:type="pct"/>
          </w:tcPr>
          <w:p w14:paraId="4FD7763F" w14:textId="6FCCF4B3" w:rsidR="001D0335" w:rsidRPr="001D0335" w:rsidRDefault="001D0335" w:rsidP="001D0335"/>
        </w:tc>
        <w:tc>
          <w:tcPr>
            <w:tcW w:w="310" w:type="pct"/>
          </w:tcPr>
          <w:p w14:paraId="17E03C0F" w14:textId="77777777" w:rsidR="001D0335" w:rsidRPr="004B739B" w:rsidRDefault="001D0335" w:rsidP="001D0335"/>
        </w:tc>
        <w:tc>
          <w:tcPr>
            <w:tcW w:w="310" w:type="pct"/>
          </w:tcPr>
          <w:p w14:paraId="106CD7E1" w14:textId="77777777" w:rsidR="001D0335" w:rsidRPr="004B739B" w:rsidRDefault="001D0335" w:rsidP="001D0335"/>
        </w:tc>
        <w:tc>
          <w:tcPr>
            <w:tcW w:w="310" w:type="pct"/>
          </w:tcPr>
          <w:p w14:paraId="3AA290B4" w14:textId="77777777" w:rsidR="001D0335" w:rsidRPr="004B739B" w:rsidRDefault="001D0335" w:rsidP="001D0335"/>
        </w:tc>
        <w:tc>
          <w:tcPr>
            <w:tcW w:w="310" w:type="pct"/>
          </w:tcPr>
          <w:p w14:paraId="09962B8D" w14:textId="77777777" w:rsidR="001D0335" w:rsidRPr="004B739B" w:rsidRDefault="001D0335" w:rsidP="001D0335"/>
        </w:tc>
        <w:tc>
          <w:tcPr>
            <w:tcW w:w="311" w:type="pct"/>
          </w:tcPr>
          <w:p w14:paraId="611171C0" w14:textId="77777777" w:rsidR="001D0335" w:rsidRPr="004B739B" w:rsidRDefault="001D0335" w:rsidP="001D0335"/>
        </w:tc>
        <w:tc>
          <w:tcPr>
            <w:tcW w:w="331" w:type="pct"/>
          </w:tcPr>
          <w:p w14:paraId="7545AF0F" w14:textId="77777777" w:rsidR="001D0335" w:rsidRPr="004B739B" w:rsidRDefault="001D0335" w:rsidP="001D0335"/>
        </w:tc>
      </w:tr>
      <w:tr w:rsidR="001D0335" w:rsidRPr="00F448D4" w14:paraId="0AFC1220" w14:textId="77777777" w:rsidTr="00C0466F">
        <w:trPr>
          <w:trHeight w:val="119"/>
        </w:trPr>
        <w:tc>
          <w:tcPr>
            <w:tcW w:w="541" w:type="pct"/>
          </w:tcPr>
          <w:p w14:paraId="48B130E6" w14:textId="3EABCFF8" w:rsidR="001D0335" w:rsidRPr="001D0335" w:rsidRDefault="001D0335" w:rsidP="001D0335"/>
        </w:tc>
        <w:tc>
          <w:tcPr>
            <w:tcW w:w="2109" w:type="pct"/>
          </w:tcPr>
          <w:p w14:paraId="50ADC91C" w14:textId="389B7387" w:rsidR="001D0335" w:rsidRPr="001D0335" w:rsidRDefault="001D0335" w:rsidP="001D0335"/>
        </w:tc>
        <w:tc>
          <w:tcPr>
            <w:tcW w:w="466" w:type="pct"/>
          </w:tcPr>
          <w:p w14:paraId="3609240B" w14:textId="24D45ECE" w:rsidR="001D0335" w:rsidRPr="001D0335" w:rsidRDefault="001D0335" w:rsidP="001D0335"/>
        </w:tc>
        <w:tc>
          <w:tcPr>
            <w:tcW w:w="310" w:type="pct"/>
          </w:tcPr>
          <w:p w14:paraId="17B890EA" w14:textId="77777777" w:rsidR="001D0335" w:rsidRPr="004B739B" w:rsidRDefault="001D0335" w:rsidP="001D0335"/>
        </w:tc>
        <w:tc>
          <w:tcPr>
            <w:tcW w:w="310" w:type="pct"/>
          </w:tcPr>
          <w:p w14:paraId="1E9C2F76" w14:textId="77777777" w:rsidR="001D0335" w:rsidRPr="004B739B" w:rsidRDefault="001D0335" w:rsidP="001D0335"/>
        </w:tc>
        <w:tc>
          <w:tcPr>
            <w:tcW w:w="310" w:type="pct"/>
          </w:tcPr>
          <w:p w14:paraId="68D57C29" w14:textId="77777777" w:rsidR="001D0335" w:rsidRPr="004B739B" w:rsidRDefault="001D0335" w:rsidP="001D0335"/>
        </w:tc>
        <w:tc>
          <w:tcPr>
            <w:tcW w:w="310" w:type="pct"/>
          </w:tcPr>
          <w:p w14:paraId="610916DF" w14:textId="77777777" w:rsidR="001D0335" w:rsidRPr="004B739B" w:rsidRDefault="001D0335" w:rsidP="001D0335"/>
        </w:tc>
        <w:tc>
          <w:tcPr>
            <w:tcW w:w="311" w:type="pct"/>
          </w:tcPr>
          <w:p w14:paraId="34BF4B05" w14:textId="77777777" w:rsidR="001D0335" w:rsidRPr="004B739B" w:rsidRDefault="001D0335" w:rsidP="001D0335"/>
        </w:tc>
        <w:tc>
          <w:tcPr>
            <w:tcW w:w="331" w:type="pct"/>
          </w:tcPr>
          <w:p w14:paraId="29ADC8C6" w14:textId="77777777" w:rsidR="001D0335" w:rsidRPr="004B739B" w:rsidRDefault="001D0335" w:rsidP="001D0335"/>
        </w:tc>
      </w:tr>
      <w:tr w:rsidR="001D0335" w:rsidRPr="004B739B" w14:paraId="565B33CA" w14:textId="77777777" w:rsidTr="00C0466F">
        <w:trPr>
          <w:trHeight w:val="119"/>
        </w:trPr>
        <w:tc>
          <w:tcPr>
            <w:tcW w:w="541" w:type="pct"/>
          </w:tcPr>
          <w:p w14:paraId="034FFFF7" w14:textId="65FC46B4" w:rsidR="001D0335" w:rsidRPr="001D0335" w:rsidRDefault="001D0335" w:rsidP="001D0335"/>
        </w:tc>
        <w:tc>
          <w:tcPr>
            <w:tcW w:w="2109" w:type="pct"/>
          </w:tcPr>
          <w:p w14:paraId="2F1B4BE5" w14:textId="60563356" w:rsidR="001D0335" w:rsidRPr="001D0335" w:rsidRDefault="001D0335" w:rsidP="001D0335"/>
        </w:tc>
        <w:tc>
          <w:tcPr>
            <w:tcW w:w="466" w:type="pct"/>
          </w:tcPr>
          <w:p w14:paraId="453B6DA1" w14:textId="0245CE58" w:rsidR="001D0335" w:rsidRPr="001D0335" w:rsidRDefault="001D0335" w:rsidP="001D0335"/>
        </w:tc>
        <w:tc>
          <w:tcPr>
            <w:tcW w:w="310" w:type="pct"/>
          </w:tcPr>
          <w:p w14:paraId="13E99760" w14:textId="77777777" w:rsidR="001D0335" w:rsidRPr="004B739B" w:rsidRDefault="001D0335" w:rsidP="001D0335"/>
        </w:tc>
        <w:tc>
          <w:tcPr>
            <w:tcW w:w="310" w:type="pct"/>
          </w:tcPr>
          <w:p w14:paraId="03610835" w14:textId="77777777" w:rsidR="001D0335" w:rsidRPr="004B739B" w:rsidRDefault="001D0335" w:rsidP="001D0335"/>
        </w:tc>
        <w:tc>
          <w:tcPr>
            <w:tcW w:w="310" w:type="pct"/>
          </w:tcPr>
          <w:p w14:paraId="3C8493EC" w14:textId="77777777" w:rsidR="001D0335" w:rsidRPr="004B739B" w:rsidRDefault="001D0335" w:rsidP="001D0335"/>
        </w:tc>
        <w:tc>
          <w:tcPr>
            <w:tcW w:w="310" w:type="pct"/>
          </w:tcPr>
          <w:p w14:paraId="452BA731" w14:textId="77777777" w:rsidR="001D0335" w:rsidRPr="004B739B" w:rsidRDefault="001D0335" w:rsidP="001D0335"/>
        </w:tc>
        <w:tc>
          <w:tcPr>
            <w:tcW w:w="311" w:type="pct"/>
          </w:tcPr>
          <w:p w14:paraId="36B9D034" w14:textId="77777777" w:rsidR="001D0335" w:rsidRPr="004B739B" w:rsidRDefault="001D0335" w:rsidP="001D0335"/>
        </w:tc>
        <w:tc>
          <w:tcPr>
            <w:tcW w:w="331" w:type="pct"/>
          </w:tcPr>
          <w:p w14:paraId="117526B9" w14:textId="77777777" w:rsidR="001D0335" w:rsidRPr="004B739B" w:rsidRDefault="001D0335" w:rsidP="001D0335"/>
        </w:tc>
      </w:tr>
      <w:tr w:rsidR="001D0335" w:rsidRPr="004B739B" w14:paraId="3B395CEC" w14:textId="77777777" w:rsidTr="00C0466F">
        <w:trPr>
          <w:trHeight w:val="119"/>
        </w:trPr>
        <w:tc>
          <w:tcPr>
            <w:tcW w:w="541" w:type="pct"/>
          </w:tcPr>
          <w:p w14:paraId="03DEA926" w14:textId="6F74FC88" w:rsidR="001D0335" w:rsidRPr="001D0335" w:rsidRDefault="001D0335" w:rsidP="001D0335"/>
        </w:tc>
        <w:tc>
          <w:tcPr>
            <w:tcW w:w="2109" w:type="pct"/>
          </w:tcPr>
          <w:p w14:paraId="100BC557" w14:textId="1A3146C7" w:rsidR="001D0335" w:rsidRPr="001D0335" w:rsidRDefault="001D0335" w:rsidP="001D0335"/>
        </w:tc>
        <w:tc>
          <w:tcPr>
            <w:tcW w:w="466" w:type="pct"/>
          </w:tcPr>
          <w:p w14:paraId="2E9E465D" w14:textId="4B09C0B6" w:rsidR="001D0335" w:rsidRPr="001D0335" w:rsidRDefault="001D0335" w:rsidP="001D0335"/>
        </w:tc>
        <w:tc>
          <w:tcPr>
            <w:tcW w:w="310" w:type="pct"/>
          </w:tcPr>
          <w:p w14:paraId="08FE3AA0" w14:textId="77777777" w:rsidR="001D0335" w:rsidRPr="004B739B" w:rsidRDefault="001D0335" w:rsidP="001D0335"/>
        </w:tc>
        <w:tc>
          <w:tcPr>
            <w:tcW w:w="310" w:type="pct"/>
          </w:tcPr>
          <w:p w14:paraId="1C1BC1A0" w14:textId="77777777" w:rsidR="001D0335" w:rsidRPr="004B739B" w:rsidRDefault="001D0335" w:rsidP="001D0335"/>
        </w:tc>
        <w:tc>
          <w:tcPr>
            <w:tcW w:w="310" w:type="pct"/>
          </w:tcPr>
          <w:p w14:paraId="6FDFE51F" w14:textId="77777777" w:rsidR="001D0335" w:rsidRPr="004B739B" w:rsidRDefault="001D0335" w:rsidP="001D0335"/>
        </w:tc>
        <w:tc>
          <w:tcPr>
            <w:tcW w:w="310" w:type="pct"/>
          </w:tcPr>
          <w:p w14:paraId="7B65D9D5" w14:textId="77777777" w:rsidR="001D0335" w:rsidRPr="004B739B" w:rsidRDefault="001D0335" w:rsidP="001D0335"/>
        </w:tc>
        <w:tc>
          <w:tcPr>
            <w:tcW w:w="311" w:type="pct"/>
          </w:tcPr>
          <w:p w14:paraId="0D62BF16" w14:textId="77777777" w:rsidR="001D0335" w:rsidRPr="004B739B" w:rsidRDefault="001D0335" w:rsidP="001D0335"/>
        </w:tc>
        <w:tc>
          <w:tcPr>
            <w:tcW w:w="331" w:type="pct"/>
          </w:tcPr>
          <w:p w14:paraId="20496877" w14:textId="77777777" w:rsidR="001D0335" w:rsidRPr="004B739B" w:rsidRDefault="001D0335" w:rsidP="001D0335"/>
        </w:tc>
      </w:tr>
      <w:tr w:rsidR="001D0335" w:rsidRPr="004B739B" w14:paraId="52EAE013" w14:textId="77777777" w:rsidTr="00C0466F">
        <w:trPr>
          <w:trHeight w:val="119"/>
        </w:trPr>
        <w:tc>
          <w:tcPr>
            <w:tcW w:w="541" w:type="pct"/>
          </w:tcPr>
          <w:p w14:paraId="22AE8C59" w14:textId="4FC9C8D5" w:rsidR="001D0335" w:rsidRPr="001D0335" w:rsidRDefault="001D0335" w:rsidP="001D0335"/>
        </w:tc>
        <w:tc>
          <w:tcPr>
            <w:tcW w:w="2109" w:type="pct"/>
          </w:tcPr>
          <w:p w14:paraId="1D4AF82B" w14:textId="7608EF1B" w:rsidR="001D0335" w:rsidRPr="001D0335" w:rsidRDefault="001D0335" w:rsidP="001D0335"/>
        </w:tc>
        <w:tc>
          <w:tcPr>
            <w:tcW w:w="466" w:type="pct"/>
          </w:tcPr>
          <w:p w14:paraId="601F482F" w14:textId="5032EF8B" w:rsidR="001D0335" w:rsidRPr="001D0335" w:rsidRDefault="001D0335" w:rsidP="001D0335"/>
        </w:tc>
        <w:tc>
          <w:tcPr>
            <w:tcW w:w="310" w:type="pct"/>
          </w:tcPr>
          <w:p w14:paraId="2B21269E" w14:textId="77777777" w:rsidR="001D0335" w:rsidRPr="004B739B" w:rsidRDefault="001D0335" w:rsidP="001D0335"/>
        </w:tc>
        <w:tc>
          <w:tcPr>
            <w:tcW w:w="310" w:type="pct"/>
          </w:tcPr>
          <w:p w14:paraId="31D33252" w14:textId="77777777" w:rsidR="001D0335" w:rsidRPr="004B739B" w:rsidRDefault="001D0335" w:rsidP="001D0335"/>
        </w:tc>
        <w:tc>
          <w:tcPr>
            <w:tcW w:w="310" w:type="pct"/>
          </w:tcPr>
          <w:p w14:paraId="0E3E531A" w14:textId="77777777" w:rsidR="001D0335" w:rsidRPr="004B739B" w:rsidRDefault="001D0335" w:rsidP="001D0335"/>
        </w:tc>
        <w:tc>
          <w:tcPr>
            <w:tcW w:w="310" w:type="pct"/>
          </w:tcPr>
          <w:p w14:paraId="0806C1B9" w14:textId="77777777" w:rsidR="001D0335" w:rsidRPr="004B739B" w:rsidRDefault="001D0335" w:rsidP="001D0335"/>
        </w:tc>
        <w:tc>
          <w:tcPr>
            <w:tcW w:w="311" w:type="pct"/>
          </w:tcPr>
          <w:p w14:paraId="06428F4E" w14:textId="77777777" w:rsidR="001D0335" w:rsidRPr="004B739B" w:rsidRDefault="001D0335" w:rsidP="001D0335"/>
        </w:tc>
        <w:tc>
          <w:tcPr>
            <w:tcW w:w="331" w:type="pct"/>
          </w:tcPr>
          <w:p w14:paraId="4280668C" w14:textId="77777777" w:rsidR="001D0335" w:rsidRPr="004B739B" w:rsidRDefault="001D0335" w:rsidP="001D0335"/>
        </w:tc>
      </w:tr>
      <w:tr w:rsidR="001D0335" w:rsidRPr="004B739B" w14:paraId="076D041E" w14:textId="77777777" w:rsidTr="00C0466F">
        <w:trPr>
          <w:trHeight w:val="119"/>
        </w:trPr>
        <w:tc>
          <w:tcPr>
            <w:tcW w:w="541" w:type="pct"/>
          </w:tcPr>
          <w:p w14:paraId="17A3233A" w14:textId="75CF4D76" w:rsidR="001D0335" w:rsidRPr="001D0335" w:rsidRDefault="001D0335" w:rsidP="001D0335"/>
        </w:tc>
        <w:tc>
          <w:tcPr>
            <w:tcW w:w="2109" w:type="pct"/>
          </w:tcPr>
          <w:p w14:paraId="688B383E" w14:textId="0B2A6E1F" w:rsidR="001D0335" w:rsidRPr="001D0335" w:rsidRDefault="001D0335" w:rsidP="001D0335"/>
        </w:tc>
        <w:tc>
          <w:tcPr>
            <w:tcW w:w="466" w:type="pct"/>
          </w:tcPr>
          <w:p w14:paraId="3FF98A00" w14:textId="4D1C87C7" w:rsidR="001D0335" w:rsidRPr="001D0335" w:rsidRDefault="001D0335" w:rsidP="001D0335"/>
        </w:tc>
        <w:tc>
          <w:tcPr>
            <w:tcW w:w="310" w:type="pct"/>
          </w:tcPr>
          <w:p w14:paraId="632FF5EB" w14:textId="77777777" w:rsidR="001D0335" w:rsidRPr="004B739B" w:rsidRDefault="001D0335" w:rsidP="001D0335"/>
        </w:tc>
        <w:tc>
          <w:tcPr>
            <w:tcW w:w="310" w:type="pct"/>
          </w:tcPr>
          <w:p w14:paraId="41FA22FF" w14:textId="77777777" w:rsidR="001D0335" w:rsidRPr="004B739B" w:rsidRDefault="001D0335" w:rsidP="001D0335"/>
        </w:tc>
        <w:tc>
          <w:tcPr>
            <w:tcW w:w="310" w:type="pct"/>
          </w:tcPr>
          <w:p w14:paraId="341D5652" w14:textId="77777777" w:rsidR="001D0335" w:rsidRPr="004B739B" w:rsidRDefault="001D0335" w:rsidP="001D0335"/>
        </w:tc>
        <w:tc>
          <w:tcPr>
            <w:tcW w:w="310" w:type="pct"/>
          </w:tcPr>
          <w:p w14:paraId="64855EC7" w14:textId="77777777" w:rsidR="001D0335" w:rsidRPr="004B739B" w:rsidRDefault="001D0335" w:rsidP="001D0335"/>
        </w:tc>
        <w:tc>
          <w:tcPr>
            <w:tcW w:w="311" w:type="pct"/>
          </w:tcPr>
          <w:p w14:paraId="6B91F412" w14:textId="77777777" w:rsidR="001D0335" w:rsidRPr="004B739B" w:rsidRDefault="001D0335" w:rsidP="001D0335"/>
        </w:tc>
        <w:tc>
          <w:tcPr>
            <w:tcW w:w="331" w:type="pct"/>
          </w:tcPr>
          <w:p w14:paraId="594D5970" w14:textId="77777777" w:rsidR="001D0335" w:rsidRPr="004B739B" w:rsidRDefault="001D0335" w:rsidP="001D0335"/>
        </w:tc>
      </w:tr>
      <w:tr w:rsidR="001D0335" w:rsidRPr="004B739B" w14:paraId="55340C29" w14:textId="77777777" w:rsidTr="00C0466F">
        <w:trPr>
          <w:trHeight w:val="119"/>
        </w:trPr>
        <w:tc>
          <w:tcPr>
            <w:tcW w:w="541" w:type="pct"/>
          </w:tcPr>
          <w:p w14:paraId="7C43B1FC" w14:textId="0010E035" w:rsidR="001D0335" w:rsidRPr="001D0335" w:rsidRDefault="001D0335" w:rsidP="001D0335"/>
        </w:tc>
        <w:tc>
          <w:tcPr>
            <w:tcW w:w="2109" w:type="pct"/>
          </w:tcPr>
          <w:p w14:paraId="4C100E80" w14:textId="2CDB9C88" w:rsidR="001D0335" w:rsidRPr="001D0335" w:rsidRDefault="001D0335" w:rsidP="001D0335"/>
        </w:tc>
        <w:tc>
          <w:tcPr>
            <w:tcW w:w="466" w:type="pct"/>
          </w:tcPr>
          <w:p w14:paraId="1F092B61" w14:textId="5A91C6CA" w:rsidR="001D0335" w:rsidRPr="001D0335" w:rsidRDefault="001D0335" w:rsidP="001D0335"/>
        </w:tc>
        <w:tc>
          <w:tcPr>
            <w:tcW w:w="310" w:type="pct"/>
          </w:tcPr>
          <w:p w14:paraId="3DD1EAC6" w14:textId="77777777" w:rsidR="001D0335" w:rsidRPr="004B739B" w:rsidRDefault="001D0335" w:rsidP="001D0335"/>
        </w:tc>
        <w:tc>
          <w:tcPr>
            <w:tcW w:w="310" w:type="pct"/>
          </w:tcPr>
          <w:p w14:paraId="39289329" w14:textId="77777777" w:rsidR="001D0335" w:rsidRPr="004B739B" w:rsidRDefault="001D0335" w:rsidP="001D0335"/>
        </w:tc>
        <w:tc>
          <w:tcPr>
            <w:tcW w:w="310" w:type="pct"/>
          </w:tcPr>
          <w:p w14:paraId="64A24E94" w14:textId="77777777" w:rsidR="001D0335" w:rsidRPr="004B739B" w:rsidRDefault="001D0335" w:rsidP="001D0335"/>
        </w:tc>
        <w:tc>
          <w:tcPr>
            <w:tcW w:w="310" w:type="pct"/>
          </w:tcPr>
          <w:p w14:paraId="41AD76EE" w14:textId="77777777" w:rsidR="001D0335" w:rsidRPr="004B739B" w:rsidRDefault="001D0335" w:rsidP="001D0335"/>
        </w:tc>
        <w:tc>
          <w:tcPr>
            <w:tcW w:w="311" w:type="pct"/>
          </w:tcPr>
          <w:p w14:paraId="36B86945" w14:textId="77777777" w:rsidR="001D0335" w:rsidRPr="004B739B" w:rsidRDefault="001D0335" w:rsidP="001D0335"/>
        </w:tc>
        <w:tc>
          <w:tcPr>
            <w:tcW w:w="331" w:type="pct"/>
          </w:tcPr>
          <w:p w14:paraId="5BAB499E" w14:textId="77777777" w:rsidR="001D0335" w:rsidRPr="004B739B" w:rsidRDefault="001D0335" w:rsidP="001D0335"/>
        </w:tc>
      </w:tr>
    </w:tbl>
    <w:p w14:paraId="0CBAFD2C" w14:textId="77777777" w:rsidR="00E364AD" w:rsidRPr="00A2204C" w:rsidRDefault="00E364AD" w:rsidP="00E364AD"/>
    <w:p w14:paraId="20ADD79D" w14:textId="4F7920C1" w:rsidR="00D35DF9" w:rsidRDefault="00D35DF9" w:rsidP="00D35DF9">
      <w:pPr>
        <w:pStyle w:val="Heading2"/>
      </w:pPr>
      <w:bookmarkStart w:id="69" w:name="_Toc51319609"/>
      <w:bookmarkStart w:id="70" w:name="_Toc51798270"/>
      <w:bookmarkStart w:id="71" w:name="_Toc52364892"/>
      <w:r>
        <w:t>Shared Schemes P</w:t>
      </w:r>
      <w:r w:rsidR="00A71A85">
        <w:t xml:space="preserve">rice </w:t>
      </w:r>
      <w:r>
        <w:t>C</w:t>
      </w:r>
      <w:r w:rsidR="00A71A85">
        <w:t xml:space="preserve">ontrol </w:t>
      </w:r>
      <w:r>
        <w:t>D</w:t>
      </w:r>
      <w:bookmarkEnd w:id="69"/>
      <w:r w:rsidR="00A71A85">
        <w:t>eliverable (</w:t>
      </w:r>
      <w:proofErr w:type="spellStart"/>
      <w:r w:rsidR="00A71A85">
        <w:t>SSt</w:t>
      </w:r>
      <w:proofErr w:type="spellEnd"/>
      <w:r w:rsidR="00A71A85">
        <w:t>)</w:t>
      </w:r>
      <w:bookmarkEnd w:id="70"/>
      <w:bookmarkEnd w:id="71"/>
    </w:p>
    <w:p w14:paraId="32144DE0" w14:textId="77777777" w:rsidR="001D0335" w:rsidRPr="0057526A" w:rsidRDefault="001D0335" w:rsidP="002C245D">
      <w:pPr>
        <w:pStyle w:val="Heading3nonumbering"/>
      </w:pPr>
      <w:r w:rsidRPr="0057526A">
        <w:t xml:space="preserve">Introduction </w:t>
      </w:r>
    </w:p>
    <w:p w14:paraId="4FFC5886" w14:textId="58652149" w:rsidR="001D0335" w:rsidRPr="001D0335" w:rsidRDefault="001D0335" w:rsidP="002C245D">
      <w:pPr>
        <w:pStyle w:val="NumberedNormal"/>
      </w:pPr>
      <w:r>
        <w:t xml:space="preserve">The </w:t>
      </w:r>
      <w:r w:rsidRPr="001D0335">
        <w:t xml:space="preserve">purpose of this condition is to calculate the term </w:t>
      </w:r>
      <w:proofErr w:type="spellStart"/>
      <w:r w:rsidRPr="001D0335">
        <w:t>SSt</w:t>
      </w:r>
      <w:proofErr w:type="spellEnd"/>
      <w:r w:rsidRPr="001D0335">
        <w:t xml:space="preserve"> (the Shared Schemes Price Control Deliverable term). This contributes to the calculation of the Totex Allowance.</w:t>
      </w:r>
    </w:p>
    <w:p w14:paraId="1EDCF7D4" w14:textId="77777777" w:rsidR="001D0335" w:rsidRPr="001D0335" w:rsidRDefault="001D0335" w:rsidP="002C245D">
      <w:pPr>
        <w:pStyle w:val="NumberedNormal"/>
      </w:pPr>
      <w:r>
        <w:t>This condition specifies the outputs, delivery dates and associated allowances for the Shared</w:t>
      </w:r>
      <w:r w:rsidRPr="001D0335">
        <w:t xml:space="preserve"> Schemes Price Control Deliverable.</w:t>
      </w:r>
    </w:p>
    <w:p w14:paraId="1E1C501E" w14:textId="36A58A0C" w:rsidR="001D0335" w:rsidRPr="001D0335" w:rsidRDefault="001D0335" w:rsidP="002C245D">
      <w:pPr>
        <w:pStyle w:val="NumberedNormal"/>
      </w:pPr>
      <w:r>
        <w:t xml:space="preserve">This condition also explains the process the Authority will follow when assessing the </w:t>
      </w:r>
      <w:r w:rsidR="00435DA0">
        <w:t>Price Control Deliverable</w:t>
      </w:r>
      <w:r>
        <w:t>.</w:t>
      </w:r>
    </w:p>
    <w:p w14:paraId="3F3A490B" w14:textId="0DC2043D" w:rsidR="001D0335" w:rsidRDefault="001D0335" w:rsidP="002C245D">
      <w:pPr>
        <w:pStyle w:val="Heading3"/>
      </w:pPr>
      <w:r>
        <w:t>Formula for calculating the Shared Schemes</w:t>
      </w:r>
      <w:r w:rsidDel="00EC6269">
        <w:t xml:space="preserve"> </w:t>
      </w:r>
      <w:r>
        <w:t>Price Control Deliverable term</w:t>
      </w:r>
      <w:r w:rsidR="00A71A85">
        <w:t xml:space="preserve"> (</w:t>
      </w:r>
      <w:proofErr w:type="spellStart"/>
      <w:r w:rsidR="00A71A85">
        <w:t>SSt</w:t>
      </w:r>
      <w:proofErr w:type="spellEnd"/>
      <w:r w:rsidR="00A71A85">
        <w:t>)</w:t>
      </w:r>
    </w:p>
    <w:p w14:paraId="3A11030A" w14:textId="77777777" w:rsidR="001D0335" w:rsidRPr="001D0335" w:rsidRDefault="001D0335" w:rsidP="002C245D">
      <w:pPr>
        <w:pStyle w:val="NumberedNormal"/>
      </w:pPr>
      <w:r>
        <w:t xml:space="preserve">The value of </w:t>
      </w:r>
      <w:proofErr w:type="spellStart"/>
      <w:r w:rsidRPr="001D0335">
        <w:t>SSt</w:t>
      </w:r>
      <w:proofErr w:type="spellEnd"/>
      <w:r w:rsidRPr="001D0335">
        <w:t xml:space="preserve"> is derived in accordance with the following formula:</w:t>
      </w:r>
    </w:p>
    <w:p w14:paraId="39AE5A85" w14:textId="77777777" w:rsidR="001D0335" w:rsidRPr="001D0335" w:rsidRDefault="001D0335" w:rsidP="003F66DB">
      <w:pPr>
        <w:ind w:left="720"/>
      </w:pPr>
      <w:proofErr w:type="spellStart"/>
      <w:r>
        <w:t>SS</w:t>
      </w:r>
      <w:r w:rsidRPr="001D0335">
        <w:t>t</w:t>
      </w:r>
      <w:proofErr w:type="spellEnd"/>
      <w:r w:rsidRPr="001D0335">
        <w:t xml:space="preserve"> </w:t>
      </w:r>
      <w:proofErr w:type="gramStart"/>
      <w:r w:rsidRPr="001D0335">
        <w:t xml:space="preserve">=  </w:t>
      </w:r>
      <w:proofErr w:type="spellStart"/>
      <w:r w:rsidRPr="001D0335">
        <w:t>SSAt</w:t>
      </w:r>
      <w:proofErr w:type="spellEnd"/>
      <w:proofErr w:type="gramEnd"/>
      <w:r w:rsidRPr="001D0335">
        <w:t xml:space="preserve"> - </w:t>
      </w:r>
      <w:proofErr w:type="spellStart"/>
      <w:r w:rsidRPr="001D0335">
        <w:t>SSRt</w:t>
      </w:r>
      <w:proofErr w:type="spellEnd"/>
    </w:p>
    <w:p w14:paraId="70D36985" w14:textId="77777777" w:rsidR="001D0335" w:rsidRPr="001D0335" w:rsidRDefault="001D0335" w:rsidP="003F66DB">
      <w:pPr>
        <w:ind w:left="720"/>
      </w:pPr>
      <w:r>
        <w:t>where:</w:t>
      </w:r>
    </w:p>
    <w:p w14:paraId="7983FEE9" w14:textId="45CC0D39" w:rsidR="001D0335" w:rsidRPr="001D0335" w:rsidRDefault="001D0335" w:rsidP="003F66DB">
      <w:pPr>
        <w:ind w:left="720"/>
      </w:pPr>
      <w:proofErr w:type="spellStart"/>
      <w:r>
        <w:t>SS</w:t>
      </w:r>
      <w:r w:rsidRPr="001D0335">
        <w:t>At</w:t>
      </w:r>
      <w:proofErr w:type="spellEnd"/>
      <w:r w:rsidRPr="001D0335">
        <w:tab/>
        <w:t>means the</w:t>
      </w:r>
      <w:r w:rsidR="00A71A85">
        <w:t xml:space="preserve"> sum of</w:t>
      </w:r>
      <w:r w:rsidRPr="001D0335">
        <w:t xml:space="preserve"> allowances in Appendix 1</w:t>
      </w:r>
      <w:r w:rsidR="00BF7450">
        <w:t>; and</w:t>
      </w:r>
      <w:r w:rsidRPr="001D0335">
        <w:t xml:space="preserve"> </w:t>
      </w:r>
    </w:p>
    <w:p w14:paraId="57D72A8D" w14:textId="40241528" w:rsidR="001D0335" w:rsidRPr="001D0335" w:rsidRDefault="001D0335" w:rsidP="003F66DB">
      <w:pPr>
        <w:ind w:left="720"/>
      </w:pPr>
      <w:proofErr w:type="spellStart"/>
      <w:r>
        <w:t>SS</w:t>
      </w:r>
      <w:r w:rsidRPr="001D0335">
        <w:t>Rt</w:t>
      </w:r>
      <w:proofErr w:type="spellEnd"/>
      <w:r w:rsidRPr="001D0335">
        <w:tab/>
        <w:t>has the value zero unless otherwise directed by the Authority in accordance with Part C</w:t>
      </w:r>
      <w:r w:rsidR="00BF7450">
        <w:t>.</w:t>
      </w:r>
    </w:p>
    <w:p w14:paraId="74885170" w14:textId="261D5FF2" w:rsidR="001D0335" w:rsidRPr="00AE57AC" w:rsidRDefault="001D0335" w:rsidP="002C245D">
      <w:pPr>
        <w:pStyle w:val="Heading3"/>
      </w:pPr>
      <w:r>
        <w:t>What is the licensee funded to deliver?</w:t>
      </w:r>
    </w:p>
    <w:p w14:paraId="4FE7B7AC" w14:textId="77777777" w:rsidR="00A71A85" w:rsidRPr="00614C21" w:rsidRDefault="00A71A85" w:rsidP="00A71A85">
      <w:pPr>
        <w:pStyle w:val="NumberedNormal"/>
      </w:pPr>
      <w:r>
        <w:t>Appendix 1 specifies the outputs that the licensee is funded to deliver, the delivery dates for those outputs and the allowances provided.</w:t>
      </w:r>
    </w:p>
    <w:p w14:paraId="21D5E3CF" w14:textId="463CD254" w:rsidR="001D0335" w:rsidRDefault="001D0335" w:rsidP="00AB1D80">
      <w:pPr>
        <w:pStyle w:val="Heading3"/>
      </w:pPr>
      <w:r>
        <w:t xml:space="preserve"> Assessment of outputs</w:t>
      </w:r>
      <w:r w:rsidR="00A71A85">
        <w:t xml:space="preserve"> (</w:t>
      </w:r>
      <w:proofErr w:type="spellStart"/>
      <w:r w:rsidR="00A71A85">
        <w:t>SSRt</w:t>
      </w:r>
      <w:proofErr w:type="spellEnd"/>
      <w:r w:rsidR="00A71A85">
        <w:t>)</w:t>
      </w:r>
    </w:p>
    <w:p w14:paraId="22D736CB" w14:textId="07ADC6EE" w:rsidR="00A71A85" w:rsidRPr="00614C21" w:rsidRDefault="00A71A85" w:rsidP="00A71A85">
      <w:pPr>
        <w:pStyle w:val="NumberedNormal"/>
      </w:pPr>
      <w:r>
        <w:t>The Authority will</w:t>
      </w:r>
      <w:r w:rsidR="00CE32B7">
        <w:t>, in accordance with the PCD Reporting Requirements and Methodology Document,</w:t>
      </w:r>
      <w:r>
        <w:t xml:space="preserve"> consider directing a value for </w:t>
      </w:r>
      <w:proofErr w:type="spellStart"/>
      <w:r>
        <w:t>SSRt</w:t>
      </w:r>
      <w:proofErr w:type="spellEnd"/>
      <w:r>
        <w:t xml:space="preserve"> where the licensee has not Fully Delivered an output in Appendix 1.</w:t>
      </w:r>
    </w:p>
    <w:p w14:paraId="796C63F9" w14:textId="4F8D914B" w:rsidR="001D0335" w:rsidRPr="00AE57AC" w:rsidRDefault="001D0335" w:rsidP="002C245D">
      <w:pPr>
        <w:pStyle w:val="Heading3"/>
      </w:pPr>
      <w:r>
        <w:lastRenderedPageBreak/>
        <w:t>What process will the Authority follow in</w:t>
      </w:r>
      <w:r w:rsidRPr="002902B4">
        <w:t xml:space="preserve"> making a direction</w:t>
      </w:r>
      <w:r>
        <w:t>?</w:t>
      </w:r>
    </w:p>
    <w:p w14:paraId="4E442FC2" w14:textId="36D588AB" w:rsidR="001D0335" w:rsidRPr="001D0335" w:rsidRDefault="001D0335" w:rsidP="002C245D">
      <w:pPr>
        <w:pStyle w:val="NumberedNormal"/>
      </w:pPr>
      <w:r>
        <w:t xml:space="preserve">Before making a direction under paragraph </w:t>
      </w:r>
      <w:r w:rsidR="00BF7450">
        <w:t>3.9.</w:t>
      </w:r>
      <w:r>
        <w:t>6 the Authority will publish on the Authority's Website:</w:t>
      </w:r>
    </w:p>
    <w:p w14:paraId="28E8F953" w14:textId="77777777" w:rsidR="001D0335" w:rsidRPr="001D0335" w:rsidRDefault="001D0335" w:rsidP="002C245D">
      <w:pPr>
        <w:pStyle w:val="ListNormal"/>
      </w:pPr>
      <w:r>
        <w:t xml:space="preserve">the text of the proposed </w:t>
      </w:r>
      <w:proofErr w:type="gramStart"/>
      <w:r>
        <w:t>direction;</w:t>
      </w:r>
      <w:proofErr w:type="gramEnd"/>
    </w:p>
    <w:p w14:paraId="0CB1A272" w14:textId="6C285C91" w:rsidR="001D0335" w:rsidRPr="001D0335" w:rsidRDefault="001D0335" w:rsidP="002C245D">
      <w:pPr>
        <w:pStyle w:val="ListNormal"/>
      </w:pPr>
      <w:r>
        <w:t>the reasons for the proposed direction;</w:t>
      </w:r>
      <w:r w:rsidR="00BF7450">
        <w:t xml:space="preserve"> and</w:t>
      </w:r>
    </w:p>
    <w:p w14:paraId="731C0311" w14:textId="30B54066" w:rsidR="00F81702" w:rsidRDefault="00A71A85" w:rsidP="00F81702">
      <w:pPr>
        <w:pStyle w:val="ListNormal"/>
      </w:pPr>
      <w:r>
        <w:t>a period during which representations may be made on the proposed direction, which will not be less than 28 days</w:t>
      </w:r>
      <w:r w:rsidR="00BF7450">
        <w:t xml:space="preserve">.  </w:t>
      </w:r>
    </w:p>
    <w:p w14:paraId="5E1B6FF6" w14:textId="762B384E" w:rsidR="001D0335" w:rsidRPr="001D0335" w:rsidRDefault="001D0335" w:rsidP="00F81702">
      <w:pPr>
        <w:pStyle w:val="NumberedNormal"/>
      </w:pPr>
      <w:r>
        <w:t xml:space="preserve">The direction will set </w:t>
      </w:r>
      <w:r w:rsidRPr="001D0335">
        <w:t xml:space="preserve">out the value of the </w:t>
      </w:r>
      <w:proofErr w:type="spellStart"/>
      <w:r w:rsidRPr="001D0335">
        <w:t>SSRt</w:t>
      </w:r>
      <w:proofErr w:type="spellEnd"/>
      <w:r w:rsidRPr="001D0335">
        <w:t xml:space="preserve"> term and the Regulatory Years to which those values relate.</w:t>
      </w:r>
    </w:p>
    <w:p w14:paraId="2D2E84DB" w14:textId="4DB0C3E9" w:rsidR="001D0335" w:rsidRPr="001D0335" w:rsidRDefault="001D0335" w:rsidP="00925823">
      <w:pPr>
        <w:pStyle w:val="AppendixHeading"/>
      </w:pPr>
      <w:bookmarkStart w:id="72" w:name="_Toc51798271"/>
      <w:bookmarkEnd w:id="72"/>
    </w:p>
    <w:p w14:paraId="0B320A38" w14:textId="5C5EA75B" w:rsidR="001D0335" w:rsidRPr="001D0335" w:rsidRDefault="001D0335" w:rsidP="00B230C7">
      <w:pPr>
        <w:pStyle w:val="Caption"/>
      </w:pPr>
      <w:r w:rsidRPr="001D0335">
        <w:t>Shared Schemes</w:t>
      </w:r>
      <w:r w:rsidRPr="001D0335" w:rsidDel="00EC6269">
        <w:t xml:space="preserve"> </w:t>
      </w:r>
      <w:r w:rsidRPr="001D0335">
        <w:t>Price Control Deliverable</w:t>
      </w:r>
      <w:r w:rsidR="00925823">
        <w:t xml:space="preserve"> [SHET PCDs]</w:t>
      </w:r>
    </w:p>
    <w:tbl>
      <w:tblPr>
        <w:tblStyle w:val="AppendixTable"/>
        <w:tblW w:w="5000" w:type="pct"/>
        <w:tblLook w:val="04A0" w:firstRow="1" w:lastRow="0" w:firstColumn="1" w:lastColumn="0" w:noHBand="0" w:noVBand="1"/>
      </w:tblPr>
      <w:tblGrid>
        <w:gridCol w:w="1453"/>
        <w:gridCol w:w="2187"/>
        <w:gridCol w:w="995"/>
        <w:gridCol w:w="746"/>
        <w:gridCol w:w="746"/>
        <w:gridCol w:w="746"/>
        <w:gridCol w:w="746"/>
        <w:gridCol w:w="746"/>
        <w:gridCol w:w="661"/>
      </w:tblGrid>
      <w:tr w:rsidR="008A6D6A" w:rsidRPr="00D5104D" w14:paraId="3BBD066D" w14:textId="77777777" w:rsidTr="00127151">
        <w:trPr>
          <w:cnfStyle w:val="100000000000" w:firstRow="1" w:lastRow="0" w:firstColumn="0" w:lastColumn="0" w:oddVBand="0" w:evenVBand="0" w:oddHBand="0" w:evenHBand="0" w:firstRowFirstColumn="0" w:firstRowLastColumn="0" w:lastRowFirstColumn="0" w:lastRowLastColumn="0"/>
          <w:trHeight w:val="119"/>
        </w:trPr>
        <w:tc>
          <w:tcPr>
            <w:tcW w:w="855" w:type="pct"/>
          </w:tcPr>
          <w:p w14:paraId="0A707FCA" w14:textId="59A7FB7D" w:rsidR="008A6D6A" w:rsidRPr="00120ED7" w:rsidRDefault="008A6D6A" w:rsidP="008A6D6A">
            <w:r w:rsidRPr="00905818">
              <w:t>Scheme Name</w:t>
            </w:r>
          </w:p>
        </w:tc>
        <w:tc>
          <w:tcPr>
            <w:tcW w:w="1260" w:type="pct"/>
          </w:tcPr>
          <w:p w14:paraId="18E32839" w14:textId="1C67D70F" w:rsidR="008A6D6A" w:rsidRPr="001D0335" w:rsidRDefault="008A6D6A" w:rsidP="008A6D6A">
            <w:r w:rsidRPr="00905818">
              <w:t>Output</w:t>
            </w:r>
          </w:p>
        </w:tc>
        <w:tc>
          <w:tcPr>
            <w:tcW w:w="456" w:type="pct"/>
          </w:tcPr>
          <w:p w14:paraId="5D8AE341" w14:textId="56B21C76" w:rsidR="008A6D6A" w:rsidRPr="00120ED7" w:rsidRDefault="008A6D6A" w:rsidP="008A6D6A">
            <w:r w:rsidRPr="00905818">
              <w:t>Delivery Date</w:t>
            </w:r>
          </w:p>
        </w:tc>
        <w:tc>
          <w:tcPr>
            <w:tcW w:w="412" w:type="pct"/>
          </w:tcPr>
          <w:p w14:paraId="343D1892" w14:textId="09FAB5AF" w:rsidR="008A6D6A" w:rsidRPr="00120ED7" w:rsidRDefault="008A6D6A" w:rsidP="008A6D6A">
            <w:r w:rsidRPr="00905818">
              <w:t>21/22</w:t>
            </w:r>
          </w:p>
        </w:tc>
        <w:tc>
          <w:tcPr>
            <w:tcW w:w="412" w:type="pct"/>
          </w:tcPr>
          <w:p w14:paraId="26E4585B" w14:textId="7218B3BE" w:rsidR="008A6D6A" w:rsidRPr="00120ED7" w:rsidRDefault="008A6D6A" w:rsidP="008A6D6A">
            <w:r w:rsidRPr="00905818">
              <w:t>22/23</w:t>
            </w:r>
          </w:p>
        </w:tc>
        <w:tc>
          <w:tcPr>
            <w:tcW w:w="412" w:type="pct"/>
          </w:tcPr>
          <w:p w14:paraId="211E6132" w14:textId="38B47091" w:rsidR="008A6D6A" w:rsidRPr="00120ED7" w:rsidRDefault="008A6D6A" w:rsidP="008A6D6A">
            <w:r w:rsidRPr="00905818">
              <w:t>23/24</w:t>
            </w:r>
          </w:p>
        </w:tc>
        <w:tc>
          <w:tcPr>
            <w:tcW w:w="412" w:type="pct"/>
          </w:tcPr>
          <w:p w14:paraId="25836F3E" w14:textId="7D4F3DEB" w:rsidR="008A6D6A" w:rsidRPr="00120ED7" w:rsidRDefault="008A6D6A" w:rsidP="008A6D6A">
            <w:r w:rsidRPr="00905818">
              <w:t>24/25</w:t>
            </w:r>
          </w:p>
        </w:tc>
        <w:tc>
          <w:tcPr>
            <w:tcW w:w="412" w:type="pct"/>
          </w:tcPr>
          <w:p w14:paraId="3E4F5A37" w14:textId="64075901" w:rsidR="008A6D6A" w:rsidRPr="00120ED7" w:rsidRDefault="008A6D6A" w:rsidP="008A6D6A">
            <w:r w:rsidRPr="00905818">
              <w:t>25/26</w:t>
            </w:r>
          </w:p>
        </w:tc>
        <w:tc>
          <w:tcPr>
            <w:tcW w:w="367" w:type="pct"/>
          </w:tcPr>
          <w:p w14:paraId="0544CEC5" w14:textId="08EE664A" w:rsidR="008A6D6A" w:rsidRPr="00120ED7" w:rsidRDefault="008A6D6A" w:rsidP="008A6D6A">
            <w:r w:rsidRPr="00905818">
              <w:t>All years</w:t>
            </w:r>
          </w:p>
        </w:tc>
      </w:tr>
      <w:tr w:rsidR="001D0335" w:rsidRPr="00D5104D" w14:paraId="7569B7F4" w14:textId="77777777" w:rsidTr="00127151">
        <w:trPr>
          <w:trHeight w:val="119"/>
        </w:trPr>
        <w:tc>
          <w:tcPr>
            <w:tcW w:w="855" w:type="pct"/>
          </w:tcPr>
          <w:p w14:paraId="59C4D755" w14:textId="35ADC529" w:rsidR="001D0335" w:rsidRPr="001D0335" w:rsidRDefault="00B0009A" w:rsidP="001D0335">
            <w:r>
              <w:t>[REDACTED]</w:t>
            </w:r>
          </w:p>
        </w:tc>
        <w:tc>
          <w:tcPr>
            <w:tcW w:w="1260" w:type="pct"/>
          </w:tcPr>
          <w:p w14:paraId="7958767C" w14:textId="754DBD6B" w:rsidR="001D0335" w:rsidRPr="001D0335" w:rsidRDefault="001D0335" w:rsidP="001D0335"/>
        </w:tc>
        <w:tc>
          <w:tcPr>
            <w:tcW w:w="456" w:type="pct"/>
          </w:tcPr>
          <w:p w14:paraId="51C66191" w14:textId="23DD282E" w:rsidR="001D0335" w:rsidRPr="001D0335" w:rsidRDefault="001D0335" w:rsidP="001D0335"/>
        </w:tc>
        <w:tc>
          <w:tcPr>
            <w:tcW w:w="412" w:type="pct"/>
          </w:tcPr>
          <w:p w14:paraId="4299CE85" w14:textId="77777777" w:rsidR="001D0335" w:rsidRPr="00120ED7" w:rsidRDefault="001D0335" w:rsidP="001D0335"/>
        </w:tc>
        <w:tc>
          <w:tcPr>
            <w:tcW w:w="412" w:type="pct"/>
          </w:tcPr>
          <w:p w14:paraId="21948BCD" w14:textId="77777777" w:rsidR="001D0335" w:rsidRPr="00120ED7" w:rsidRDefault="001D0335" w:rsidP="001D0335"/>
        </w:tc>
        <w:tc>
          <w:tcPr>
            <w:tcW w:w="412" w:type="pct"/>
          </w:tcPr>
          <w:p w14:paraId="5AC3F5E3" w14:textId="77777777" w:rsidR="001D0335" w:rsidRPr="00120ED7" w:rsidRDefault="001D0335" w:rsidP="001D0335"/>
        </w:tc>
        <w:tc>
          <w:tcPr>
            <w:tcW w:w="412" w:type="pct"/>
          </w:tcPr>
          <w:p w14:paraId="2ABCEB12" w14:textId="77777777" w:rsidR="001D0335" w:rsidRPr="00120ED7" w:rsidRDefault="001D0335" w:rsidP="001D0335"/>
        </w:tc>
        <w:tc>
          <w:tcPr>
            <w:tcW w:w="412" w:type="pct"/>
          </w:tcPr>
          <w:p w14:paraId="2C92D0B5" w14:textId="77777777" w:rsidR="001D0335" w:rsidRPr="00120ED7" w:rsidRDefault="001D0335" w:rsidP="001D0335"/>
        </w:tc>
        <w:tc>
          <w:tcPr>
            <w:tcW w:w="367" w:type="pct"/>
          </w:tcPr>
          <w:p w14:paraId="175D67F4" w14:textId="77777777" w:rsidR="001D0335" w:rsidRPr="00120ED7" w:rsidRDefault="001D0335" w:rsidP="001D0335"/>
        </w:tc>
      </w:tr>
      <w:tr w:rsidR="001D0335" w:rsidRPr="00D5104D" w14:paraId="4854BE1A" w14:textId="77777777" w:rsidTr="00127151">
        <w:trPr>
          <w:trHeight w:val="119"/>
        </w:trPr>
        <w:tc>
          <w:tcPr>
            <w:tcW w:w="855" w:type="pct"/>
          </w:tcPr>
          <w:p w14:paraId="73C3144F" w14:textId="0A36A92D" w:rsidR="001D0335" w:rsidRPr="001D0335" w:rsidRDefault="001D0335" w:rsidP="001D0335"/>
        </w:tc>
        <w:tc>
          <w:tcPr>
            <w:tcW w:w="1260" w:type="pct"/>
          </w:tcPr>
          <w:p w14:paraId="74F40F2F" w14:textId="6F00BBEF" w:rsidR="001D0335" w:rsidRPr="001D0335" w:rsidRDefault="001D0335" w:rsidP="001D0335"/>
        </w:tc>
        <w:tc>
          <w:tcPr>
            <w:tcW w:w="456" w:type="pct"/>
          </w:tcPr>
          <w:p w14:paraId="51F77D9A" w14:textId="765B2EDF" w:rsidR="001D0335" w:rsidRPr="001D0335" w:rsidRDefault="001D0335" w:rsidP="001D0335"/>
        </w:tc>
        <w:tc>
          <w:tcPr>
            <w:tcW w:w="412" w:type="pct"/>
          </w:tcPr>
          <w:p w14:paraId="1E9A5CC8" w14:textId="77777777" w:rsidR="001D0335" w:rsidRPr="00120ED7" w:rsidRDefault="001D0335" w:rsidP="001D0335"/>
        </w:tc>
        <w:tc>
          <w:tcPr>
            <w:tcW w:w="412" w:type="pct"/>
          </w:tcPr>
          <w:p w14:paraId="22E62459" w14:textId="77777777" w:rsidR="001D0335" w:rsidRPr="00120ED7" w:rsidRDefault="001D0335" w:rsidP="001D0335"/>
        </w:tc>
        <w:tc>
          <w:tcPr>
            <w:tcW w:w="412" w:type="pct"/>
          </w:tcPr>
          <w:p w14:paraId="720D2CF1" w14:textId="77777777" w:rsidR="001D0335" w:rsidRPr="00120ED7" w:rsidRDefault="001D0335" w:rsidP="001D0335"/>
        </w:tc>
        <w:tc>
          <w:tcPr>
            <w:tcW w:w="412" w:type="pct"/>
          </w:tcPr>
          <w:p w14:paraId="7E8205BE" w14:textId="77777777" w:rsidR="001D0335" w:rsidRPr="00120ED7" w:rsidRDefault="001D0335" w:rsidP="001D0335"/>
        </w:tc>
        <w:tc>
          <w:tcPr>
            <w:tcW w:w="412" w:type="pct"/>
          </w:tcPr>
          <w:p w14:paraId="5D235550" w14:textId="77777777" w:rsidR="001D0335" w:rsidRPr="00120ED7" w:rsidRDefault="001D0335" w:rsidP="001D0335"/>
        </w:tc>
        <w:tc>
          <w:tcPr>
            <w:tcW w:w="367" w:type="pct"/>
          </w:tcPr>
          <w:p w14:paraId="2F8CD1AE" w14:textId="77777777" w:rsidR="001D0335" w:rsidRPr="00120ED7" w:rsidRDefault="001D0335" w:rsidP="001D0335"/>
        </w:tc>
      </w:tr>
      <w:tr w:rsidR="001D0335" w:rsidRPr="00D5104D" w14:paraId="2C14BD04" w14:textId="77777777" w:rsidTr="00127151">
        <w:trPr>
          <w:trHeight w:val="119"/>
        </w:trPr>
        <w:tc>
          <w:tcPr>
            <w:tcW w:w="855" w:type="pct"/>
          </w:tcPr>
          <w:p w14:paraId="760DC6A1" w14:textId="63894306" w:rsidR="001D0335" w:rsidRPr="001D0335" w:rsidRDefault="001D0335" w:rsidP="001D0335"/>
        </w:tc>
        <w:tc>
          <w:tcPr>
            <w:tcW w:w="1260" w:type="pct"/>
          </w:tcPr>
          <w:p w14:paraId="6F157790" w14:textId="628D5881" w:rsidR="001D0335" w:rsidRPr="001D0335" w:rsidRDefault="001D0335" w:rsidP="001D0335"/>
        </w:tc>
        <w:tc>
          <w:tcPr>
            <w:tcW w:w="456" w:type="pct"/>
          </w:tcPr>
          <w:p w14:paraId="2598CBC5" w14:textId="232209C3" w:rsidR="001D0335" w:rsidRPr="001D0335" w:rsidRDefault="001D0335" w:rsidP="001D0335"/>
        </w:tc>
        <w:tc>
          <w:tcPr>
            <w:tcW w:w="412" w:type="pct"/>
          </w:tcPr>
          <w:p w14:paraId="71CE132A" w14:textId="77777777" w:rsidR="001D0335" w:rsidRPr="00120ED7" w:rsidRDefault="001D0335" w:rsidP="001D0335"/>
        </w:tc>
        <w:tc>
          <w:tcPr>
            <w:tcW w:w="412" w:type="pct"/>
          </w:tcPr>
          <w:p w14:paraId="09C220DB" w14:textId="77777777" w:rsidR="001D0335" w:rsidRPr="00120ED7" w:rsidRDefault="001D0335" w:rsidP="001D0335"/>
        </w:tc>
        <w:tc>
          <w:tcPr>
            <w:tcW w:w="412" w:type="pct"/>
          </w:tcPr>
          <w:p w14:paraId="777328ED" w14:textId="77777777" w:rsidR="001D0335" w:rsidRPr="00120ED7" w:rsidRDefault="001D0335" w:rsidP="001D0335"/>
        </w:tc>
        <w:tc>
          <w:tcPr>
            <w:tcW w:w="412" w:type="pct"/>
          </w:tcPr>
          <w:p w14:paraId="17F61538" w14:textId="77777777" w:rsidR="001D0335" w:rsidRPr="00120ED7" w:rsidRDefault="001D0335" w:rsidP="001D0335"/>
        </w:tc>
        <w:tc>
          <w:tcPr>
            <w:tcW w:w="412" w:type="pct"/>
          </w:tcPr>
          <w:p w14:paraId="5698C867" w14:textId="77777777" w:rsidR="001D0335" w:rsidRPr="00120ED7" w:rsidRDefault="001D0335" w:rsidP="001D0335"/>
        </w:tc>
        <w:tc>
          <w:tcPr>
            <w:tcW w:w="367" w:type="pct"/>
          </w:tcPr>
          <w:p w14:paraId="3E4D0710" w14:textId="77777777" w:rsidR="001D0335" w:rsidRPr="00120ED7" w:rsidRDefault="001D0335" w:rsidP="001D0335"/>
        </w:tc>
      </w:tr>
    </w:tbl>
    <w:p w14:paraId="1A92C4B7" w14:textId="4C2E2532" w:rsidR="001D0335" w:rsidRDefault="001D0335" w:rsidP="00904EED">
      <w:pPr>
        <w:pStyle w:val="NumberedNormal"/>
        <w:numPr>
          <w:ilvl w:val="0"/>
          <w:numId w:val="0"/>
        </w:numPr>
        <w:ind w:left="879"/>
      </w:pPr>
    </w:p>
    <w:p w14:paraId="6954CCF5" w14:textId="19C6A09A" w:rsidR="001D0335" w:rsidRPr="004A521E" w:rsidRDefault="001D0335" w:rsidP="00127151">
      <w:pPr>
        <w:pStyle w:val="Caption"/>
      </w:pPr>
      <w:r>
        <w:t>Shared Schemes</w:t>
      </w:r>
      <w:r w:rsidDel="00EC6269">
        <w:t xml:space="preserve"> </w:t>
      </w:r>
      <w:r>
        <w:t>Price Control Deliverable</w:t>
      </w:r>
      <w:r w:rsidR="00127151">
        <w:t xml:space="preserve"> Allowance [SPT]</w:t>
      </w:r>
    </w:p>
    <w:tbl>
      <w:tblPr>
        <w:tblStyle w:val="AppendixTable"/>
        <w:tblW w:w="9129" w:type="dxa"/>
        <w:tblLayout w:type="fixed"/>
        <w:tblLook w:val="04A0" w:firstRow="1" w:lastRow="0" w:firstColumn="1" w:lastColumn="0" w:noHBand="0" w:noVBand="1"/>
      </w:tblPr>
      <w:tblGrid>
        <w:gridCol w:w="1555"/>
        <w:gridCol w:w="3000"/>
        <w:gridCol w:w="1134"/>
        <w:gridCol w:w="567"/>
        <w:gridCol w:w="567"/>
        <w:gridCol w:w="567"/>
        <w:gridCol w:w="567"/>
        <w:gridCol w:w="567"/>
        <w:gridCol w:w="605"/>
      </w:tblGrid>
      <w:tr w:rsidR="001D0335" w:rsidRPr="00DE541A" w14:paraId="396A250D" w14:textId="77777777" w:rsidTr="00127151">
        <w:trPr>
          <w:cnfStyle w:val="100000000000" w:firstRow="1" w:lastRow="0" w:firstColumn="0" w:lastColumn="0" w:oddVBand="0" w:evenVBand="0" w:oddHBand="0" w:evenHBand="0" w:firstRowFirstColumn="0" w:firstRowLastColumn="0" w:lastRowFirstColumn="0" w:lastRowLastColumn="0"/>
          <w:trHeight w:val="113"/>
        </w:trPr>
        <w:tc>
          <w:tcPr>
            <w:tcW w:w="1555" w:type="dxa"/>
            <w:vMerge w:val="restart"/>
          </w:tcPr>
          <w:p w14:paraId="5D060660" w14:textId="77777777" w:rsidR="001D0335" w:rsidRPr="001D0335" w:rsidRDefault="001D0335" w:rsidP="001D0335">
            <w:r w:rsidRPr="00F448D4">
              <w:t>Scheme Name</w:t>
            </w:r>
          </w:p>
        </w:tc>
        <w:tc>
          <w:tcPr>
            <w:tcW w:w="3000" w:type="dxa"/>
            <w:vMerge w:val="restart"/>
          </w:tcPr>
          <w:p w14:paraId="4B2F82B1" w14:textId="77777777" w:rsidR="001D0335" w:rsidRPr="001D0335" w:rsidRDefault="001D0335" w:rsidP="001D0335">
            <w:r>
              <w:t>Output</w:t>
            </w:r>
          </w:p>
        </w:tc>
        <w:tc>
          <w:tcPr>
            <w:tcW w:w="1134" w:type="dxa"/>
            <w:vMerge w:val="restart"/>
          </w:tcPr>
          <w:p w14:paraId="78B596C4" w14:textId="77777777" w:rsidR="001D0335" w:rsidRPr="001D0335" w:rsidRDefault="001D0335" w:rsidP="001D0335">
            <w:r w:rsidRPr="00F448D4">
              <w:t>Delivery Date</w:t>
            </w:r>
          </w:p>
        </w:tc>
        <w:tc>
          <w:tcPr>
            <w:tcW w:w="2835" w:type="dxa"/>
            <w:gridSpan w:val="5"/>
          </w:tcPr>
          <w:p w14:paraId="6965CE91" w14:textId="77777777" w:rsidR="001D0335" w:rsidRPr="001D0335" w:rsidRDefault="001D0335" w:rsidP="001D0335">
            <w:r w:rsidRPr="00F448D4">
              <w:t xml:space="preserve">Allowance </w:t>
            </w:r>
          </w:p>
        </w:tc>
        <w:tc>
          <w:tcPr>
            <w:tcW w:w="605" w:type="dxa"/>
            <w:vMerge w:val="restart"/>
          </w:tcPr>
          <w:p w14:paraId="01B28A23" w14:textId="77777777" w:rsidR="001D0335" w:rsidRPr="001D0335" w:rsidRDefault="001D0335" w:rsidP="001D0335">
            <w:r w:rsidRPr="00F448D4">
              <w:t>All years</w:t>
            </w:r>
          </w:p>
        </w:tc>
      </w:tr>
      <w:tr w:rsidR="001D0335" w:rsidRPr="00D5104D" w14:paraId="573292FD" w14:textId="77777777" w:rsidTr="00127151">
        <w:trPr>
          <w:trHeight w:val="119"/>
        </w:trPr>
        <w:tc>
          <w:tcPr>
            <w:tcW w:w="1555" w:type="dxa"/>
            <w:vMerge/>
          </w:tcPr>
          <w:p w14:paraId="381C3061" w14:textId="77777777" w:rsidR="001D0335" w:rsidRPr="00F448D4" w:rsidRDefault="001D0335" w:rsidP="001D0335"/>
        </w:tc>
        <w:tc>
          <w:tcPr>
            <w:tcW w:w="3000" w:type="dxa"/>
            <w:vMerge/>
          </w:tcPr>
          <w:p w14:paraId="2C78BCC0" w14:textId="77777777" w:rsidR="001D0335" w:rsidRPr="00F448D4" w:rsidRDefault="001D0335" w:rsidP="001D0335"/>
        </w:tc>
        <w:tc>
          <w:tcPr>
            <w:tcW w:w="1134" w:type="dxa"/>
            <w:vMerge/>
          </w:tcPr>
          <w:p w14:paraId="2EEDDE7A" w14:textId="77777777" w:rsidR="001D0335" w:rsidRPr="00F448D4" w:rsidRDefault="001D0335" w:rsidP="001D0335"/>
        </w:tc>
        <w:tc>
          <w:tcPr>
            <w:tcW w:w="567" w:type="dxa"/>
          </w:tcPr>
          <w:p w14:paraId="767CC828" w14:textId="77777777" w:rsidR="001D0335" w:rsidRPr="001D0335" w:rsidRDefault="001D0335" w:rsidP="001D0335">
            <w:r w:rsidRPr="00F448D4">
              <w:t>21/22</w:t>
            </w:r>
          </w:p>
        </w:tc>
        <w:tc>
          <w:tcPr>
            <w:tcW w:w="567" w:type="dxa"/>
          </w:tcPr>
          <w:p w14:paraId="2C179E91" w14:textId="77777777" w:rsidR="001D0335" w:rsidRPr="001D0335" w:rsidRDefault="001D0335" w:rsidP="001D0335">
            <w:r w:rsidRPr="00F448D4">
              <w:t>22/23</w:t>
            </w:r>
          </w:p>
        </w:tc>
        <w:tc>
          <w:tcPr>
            <w:tcW w:w="567" w:type="dxa"/>
          </w:tcPr>
          <w:p w14:paraId="212AFA38" w14:textId="77777777" w:rsidR="001D0335" w:rsidRPr="001D0335" w:rsidRDefault="001D0335" w:rsidP="001D0335">
            <w:r w:rsidRPr="00F448D4">
              <w:t>23/24</w:t>
            </w:r>
          </w:p>
        </w:tc>
        <w:tc>
          <w:tcPr>
            <w:tcW w:w="567" w:type="dxa"/>
          </w:tcPr>
          <w:p w14:paraId="08CDEC25" w14:textId="77777777" w:rsidR="001D0335" w:rsidRPr="001D0335" w:rsidRDefault="001D0335" w:rsidP="001D0335">
            <w:r w:rsidRPr="00F448D4">
              <w:t>24/25</w:t>
            </w:r>
          </w:p>
        </w:tc>
        <w:tc>
          <w:tcPr>
            <w:tcW w:w="567" w:type="dxa"/>
          </w:tcPr>
          <w:p w14:paraId="5EE90AF3" w14:textId="77777777" w:rsidR="001D0335" w:rsidRPr="001D0335" w:rsidRDefault="001D0335" w:rsidP="001D0335">
            <w:r w:rsidRPr="00F448D4">
              <w:t>25/26</w:t>
            </w:r>
          </w:p>
        </w:tc>
        <w:tc>
          <w:tcPr>
            <w:tcW w:w="605" w:type="dxa"/>
            <w:vMerge/>
          </w:tcPr>
          <w:p w14:paraId="2D55FF5E" w14:textId="77777777" w:rsidR="001D0335" w:rsidRPr="00F448D4" w:rsidRDefault="001D0335" w:rsidP="001D0335"/>
        </w:tc>
      </w:tr>
      <w:tr w:rsidR="001D0335" w:rsidRPr="00D5104D" w14:paraId="431FBB9B" w14:textId="77777777" w:rsidTr="00127151">
        <w:trPr>
          <w:trHeight w:val="119"/>
        </w:trPr>
        <w:tc>
          <w:tcPr>
            <w:tcW w:w="1555" w:type="dxa"/>
          </w:tcPr>
          <w:p w14:paraId="4A3DC595" w14:textId="1AA91B28" w:rsidR="001D0335" w:rsidRPr="001D0335" w:rsidRDefault="00B0009A" w:rsidP="001D0335">
            <w:r>
              <w:t>[REDACTED]</w:t>
            </w:r>
          </w:p>
        </w:tc>
        <w:tc>
          <w:tcPr>
            <w:tcW w:w="3000" w:type="dxa"/>
          </w:tcPr>
          <w:p w14:paraId="3ED1BE85" w14:textId="29E6BC09" w:rsidR="001D0335" w:rsidRPr="001D0335" w:rsidRDefault="001D0335" w:rsidP="001D0335"/>
        </w:tc>
        <w:tc>
          <w:tcPr>
            <w:tcW w:w="1134" w:type="dxa"/>
          </w:tcPr>
          <w:p w14:paraId="0F86C28B" w14:textId="667176C8" w:rsidR="001D0335" w:rsidRPr="001D0335" w:rsidRDefault="001D0335" w:rsidP="001D0335"/>
        </w:tc>
        <w:tc>
          <w:tcPr>
            <w:tcW w:w="567" w:type="dxa"/>
          </w:tcPr>
          <w:p w14:paraId="3FE21A40" w14:textId="77777777" w:rsidR="001D0335" w:rsidRPr="004437E3" w:rsidRDefault="001D0335" w:rsidP="001D0335"/>
        </w:tc>
        <w:tc>
          <w:tcPr>
            <w:tcW w:w="567" w:type="dxa"/>
          </w:tcPr>
          <w:p w14:paraId="6015D53A" w14:textId="77777777" w:rsidR="001D0335" w:rsidRPr="004437E3" w:rsidRDefault="001D0335" w:rsidP="001D0335"/>
        </w:tc>
        <w:tc>
          <w:tcPr>
            <w:tcW w:w="567" w:type="dxa"/>
          </w:tcPr>
          <w:p w14:paraId="40A1F2F4" w14:textId="77777777" w:rsidR="001D0335" w:rsidRPr="004437E3" w:rsidRDefault="001D0335" w:rsidP="001D0335"/>
        </w:tc>
        <w:tc>
          <w:tcPr>
            <w:tcW w:w="567" w:type="dxa"/>
          </w:tcPr>
          <w:p w14:paraId="1FF24F29" w14:textId="77777777" w:rsidR="001D0335" w:rsidRPr="004437E3" w:rsidRDefault="001D0335" w:rsidP="001D0335"/>
        </w:tc>
        <w:tc>
          <w:tcPr>
            <w:tcW w:w="567" w:type="dxa"/>
          </w:tcPr>
          <w:p w14:paraId="2DD3AD8A" w14:textId="77777777" w:rsidR="001D0335" w:rsidRPr="004437E3" w:rsidRDefault="001D0335" w:rsidP="001D0335"/>
        </w:tc>
        <w:tc>
          <w:tcPr>
            <w:tcW w:w="605" w:type="dxa"/>
          </w:tcPr>
          <w:p w14:paraId="2CB55236" w14:textId="77777777" w:rsidR="001D0335" w:rsidRPr="004437E3" w:rsidRDefault="001D0335" w:rsidP="001D0335"/>
        </w:tc>
      </w:tr>
      <w:tr w:rsidR="001D0335" w:rsidRPr="00D5104D" w14:paraId="631A9CD7" w14:textId="77777777" w:rsidTr="00127151">
        <w:trPr>
          <w:trHeight w:val="119"/>
        </w:trPr>
        <w:tc>
          <w:tcPr>
            <w:tcW w:w="1555" w:type="dxa"/>
          </w:tcPr>
          <w:p w14:paraId="336D08EB" w14:textId="23380C70" w:rsidR="001D0335" w:rsidRPr="001D0335" w:rsidRDefault="001D0335" w:rsidP="001D0335"/>
        </w:tc>
        <w:tc>
          <w:tcPr>
            <w:tcW w:w="3000" w:type="dxa"/>
          </w:tcPr>
          <w:p w14:paraId="7446ED4A" w14:textId="5460DE2B" w:rsidR="001D0335" w:rsidRPr="001D0335" w:rsidRDefault="001D0335" w:rsidP="001D0335"/>
        </w:tc>
        <w:tc>
          <w:tcPr>
            <w:tcW w:w="1134" w:type="dxa"/>
          </w:tcPr>
          <w:p w14:paraId="600A1B1B" w14:textId="0C5F96C1" w:rsidR="001D0335" w:rsidRPr="001D0335" w:rsidRDefault="001D0335" w:rsidP="001D0335"/>
        </w:tc>
        <w:tc>
          <w:tcPr>
            <w:tcW w:w="567" w:type="dxa"/>
          </w:tcPr>
          <w:p w14:paraId="7EBEB1F2" w14:textId="77777777" w:rsidR="001D0335" w:rsidRPr="004437E3" w:rsidRDefault="001D0335" w:rsidP="001D0335"/>
        </w:tc>
        <w:tc>
          <w:tcPr>
            <w:tcW w:w="567" w:type="dxa"/>
          </w:tcPr>
          <w:p w14:paraId="74BD9AA1" w14:textId="77777777" w:rsidR="001D0335" w:rsidRPr="004437E3" w:rsidRDefault="001D0335" w:rsidP="001D0335"/>
        </w:tc>
        <w:tc>
          <w:tcPr>
            <w:tcW w:w="567" w:type="dxa"/>
          </w:tcPr>
          <w:p w14:paraId="28E20D4C" w14:textId="77777777" w:rsidR="001D0335" w:rsidRPr="004437E3" w:rsidRDefault="001D0335" w:rsidP="001D0335"/>
        </w:tc>
        <w:tc>
          <w:tcPr>
            <w:tcW w:w="567" w:type="dxa"/>
          </w:tcPr>
          <w:p w14:paraId="0324EB5D" w14:textId="77777777" w:rsidR="001D0335" w:rsidRPr="004437E3" w:rsidRDefault="001D0335" w:rsidP="001D0335"/>
        </w:tc>
        <w:tc>
          <w:tcPr>
            <w:tcW w:w="567" w:type="dxa"/>
          </w:tcPr>
          <w:p w14:paraId="3A65FE97" w14:textId="77777777" w:rsidR="001D0335" w:rsidRPr="004437E3" w:rsidRDefault="001D0335" w:rsidP="001D0335"/>
        </w:tc>
        <w:tc>
          <w:tcPr>
            <w:tcW w:w="605" w:type="dxa"/>
          </w:tcPr>
          <w:p w14:paraId="75E4BC59" w14:textId="77777777" w:rsidR="001D0335" w:rsidRPr="004437E3" w:rsidRDefault="001D0335" w:rsidP="001D0335"/>
        </w:tc>
      </w:tr>
      <w:tr w:rsidR="001D0335" w:rsidRPr="00D5104D" w14:paraId="5E2BCFC8" w14:textId="77777777" w:rsidTr="00127151">
        <w:trPr>
          <w:trHeight w:val="119"/>
        </w:trPr>
        <w:tc>
          <w:tcPr>
            <w:tcW w:w="1555" w:type="dxa"/>
          </w:tcPr>
          <w:p w14:paraId="0EFFBD59" w14:textId="717B3D90" w:rsidR="001D0335" w:rsidRPr="001D0335" w:rsidRDefault="001D0335" w:rsidP="001D0335"/>
        </w:tc>
        <w:tc>
          <w:tcPr>
            <w:tcW w:w="3000" w:type="dxa"/>
          </w:tcPr>
          <w:p w14:paraId="6B370AC1" w14:textId="2F15C6E0" w:rsidR="001D0335" w:rsidRPr="001D0335" w:rsidRDefault="001D0335" w:rsidP="001D0335"/>
        </w:tc>
        <w:tc>
          <w:tcPr>
            <w:tcW w:w="1134" w:type="dxa"/>
          </w:tcPr>
          <w:p w14:paraId="39A47FB5" w14:textId="3841DEFC" w:rsidR="001D0335" w:rsidRPr="001D0335" w:rsidRDefault="001D0335" w:rsidP="001D0335"/>
        </w:tc>
        <w:tc>
          <w:tcPr>
            <w:tcW w:w="567" w:type="dxa"/>
          </w:tcPr>
          <w:p w14:paraId="76C40450" w14:textId="77777777" w:rsidR="001D0335" w:rsidRPr="004437E3" w:rsidRDefault="001D0335" w:rsidP="001D0335"/>
        </w:tc>
        <w:tc>
          <w:tcPr>
            <w:tcW w:w="567" w:type="dxa"/>
          </w:tcPr>
          <w:p w14:paraId="58E66ECA" w14:textId="77777777" w:rsidR="001D0335" w:rsidRPr="004437E3" w:rsidRDefault="001D0335" w:rsidP="001D0335"/>
        </w:tc>
        <w:tc>
          <w:tcPr>
            <w:tcW w:w="567" w:type="dxa"/>
          </w:tcPr>
          <w:p w14:paraId="1B3533CC" w14:textId="77777777" w:rsidR="001D0335" w:rsidRPr="004437E3" w:rsidRDefault="001D0335" w:rsidP="001D0335"/>
        </w:tc>
        <w:tc>
          <w:tcPr>
            <w:tcW w:w="567" w:type="dxa"/>
          </w:tcPr>
          <w:p w14:paraId="6310C89D" w14:textId="77777777" w:rsidR="001D0335" w:rsidRPr="004437E3" w:rsidRDefault="001D0335" w:rsidP="001D0335"/>
        </w:tc>
        <w:tc>
          <w:tcPr>
            <w:tcW w:w="567" w:type="dxa"/>
          </w:tcPr>
          <w:p w14:paraId="15ED0F05" w14:textId="77777777" w:rsidR="001D0335" w:rsidRPr="004437E3" w:rsidRDefault="001D0335" w:rsidP="001D0335"/>
        </w:tc>
        <w:tc>
          <w:tcPr>
            <w:tcW w:w="605" w:type="dxa"/>
          </w:tcPr>
          <w:p w14:paraId="42660071" w14:textId="77777777" w:rsidR="001D0335" w:rsidRPr="004437E3" w:rsidRDefault="001D0335" w:rsidP="001D0335"/>
        </w:tc>
      </w:tr>
      <w:tr w:rsidR="001D0335" w:rsidRPr="004437E3" w14:paraId="161E474F" w14:textId="77777777" w:rsidTr="00127151">
        <w:trPr>
          <w:trHeight w:val="119"/>
        </w:trPr>
        <w:tc>
          <w:tcPr>
            <w:tcW w:w="1555" w:type="dxa"/>
          </w:tcPr>
          <w:p w14:paraId="51CF189A" w14:textId="4459D0A6" w:rsidR="001D0335" w:rsidRPr="001D0335" w:rsidRDefault="001D0335" w:rsidP="001D0335"/>
        </w:tc>
        <w:tc>
          <w:tcPr>
            <w:tcW w:w="3000" w:type="dxa"/>
          </w:tcPr>
          <w:p w14:paraId="55531AB5" w14:textId="31BD4055" w:rsidR="001D0335" w:rsidRPr="001D0335" w:rsidRDefault="001D0335" w:rsidP="001D0335"/>
        </w:tc>
        <w:tc>
          <w:tcPr>
            <w:tcW w:w="1134" w:type="dxa"/>
          </w:tcPr>
          <w:p w14:paraId="703472C9" w14:textId="1FF5B460" w:rsidR="001D0335" w:rsidRPr="001D0335" w:rsidRDefault="001D0335" w:rsidP="001D0335"/>
        </w:tc>
        <w:tc>
          <w:tcPr>
            <w:tcW w:w="567" w:type="dxa"/>
          </w:tcPr>
          <w:p w14:paraId="27246B7A" w14:textId="77777777" w:rsidR="001D0335" w:rsidRPr="00E824F6" w:rsidRDefault="001D0335" w:rsidP="001D0335"/>
        </w:tc>
        <w:tc>
          <w:tcPr>
            <w:tcW w:w="567" w:type="dxa"/>
          </w:tcPr>
          <w:p w14:paraId="3B3BF4DF" w14:textId="77777777" w:rsidR="001D0335" w:rsidRPr="00E824F6" w:rsidRDefault="001D0335" w:rsidP="001D0335"/>
        </w:tc>
        <w:tc>
          <w:tcPr>
            <w:tcW w:w="567" w:type="dxa"/>
          </w:tcPr>
          <w:p w14:paraId="062DE8C8" w14:textId="77777777" w:rsidR="001D0335" w:rsidRPr="00E824F6" w:rsidRDefault="001D0335" w:rsidP="001D0335"/>
        </w:tc>
        <w:tc>
          <w:tcPr>
            <w:tcW w:w="567" w:type="dxa"/>
          </w:tcPr>
          <w:p w14:paraId="2A47E500" w14:textId="77777777" w:rsidR="001D0335" w:rsidRPr="00E824F6" w:rsidRDefault="001D0335" w:rsidP="001D0335"/>
        </w:tc>
        <w:tc>
          <w:tcPr>
            <w:tcW w:w="567" w:type="dxa"/>
          </w:tcPr>
          <w:p w14:paraId="2328E826" w14:textId="77777777" w:rsidR="001D0335" w:rsidRPr="00E824F6" w:rsidRDefault="001D0335" w:rsidP="001D0335"/>
        </w:tc>
        <w:tc>
          <w:tcPr>
            <w:tcW w:w="605" w:type="dxa"/>
          </w:tcPr>
          <w:p w14:paraId="735EC7A7" w14:textId="77777777" w:rsidR="001D0335" w:rsidRPr="00E824F6" w:rsidRDefault="001D0335" w:rsidP="001D0335"/>
        </w:tc>
      </w:tr>
      <w:tr w:rsidR="001D0335" w:rsidRPr="004437E3" w14:paraId="5AE78947" w14:textId="77777777" w:rsidTr="00127151">
        <w:trPr>
          <w:trHeight w:val="119"/>
        </w:trPr>
        <w:tc>
          <w:tcPr>
            <w:tcW w:w="1555" w:type="dxa"/>
          </w:tcPr>
          <w:p w14:paraId="22A25C12" w14:textId="6A30CCC4" w:rsidR="001D0335" w:rsidRPr="001D0335" w:rsidRDefault="001D0335" w:rsidP="001D0335"/>
        </w:tc>
        <w:tc>
          <w:tcPr>
            <w:tcW w:w="3000" w:type="dxa"/>
          </w:tcPr>
          <w:p w14:paraId="49B2E51F" w14:textId="3AE47A33" w:rsidR="001D0335" w:rsidRPr="001D0335" w:rsidRDefault="001D0335" w:rsidP="001D0335"/>
        </w:tc>
        <w:tc>
          <w:tcPr>
            <w:tcW w:w="1134" w:type="dxa"/>
          </w:tcPr>
          <w:p w14:paraId="6F0CB425" w14:textId="44A64CFE" w:rsidR="001D0335" w:rsidRPr="001D0335" w:rsidRDefault="001D0335" w:rsidP="001D0335"/>
        </w:tc>
        <w:tc>
          <w:tcPr>
            <w:tcW w:w="567" w:type="dxa"/>
          </w:tcPr>
          <w:p w14:paraId="5567E022" w14:textId="77777777" w:rsidR="001D0335" w:rsidRPr="00E824F6" w:rsidRDefault="001D0335" w:rsidP="001D0335"/>
        </w:tc>
        <w:tc>
          <w:tcPr>
            <w:tcW w:w="567" w:type="dxa"/>
          </w:tcPr>
          <w:p w14:paraId="0D0E5963" w14:textId="77777777" w:rsidR="001D0335" w:rsidRPr="00E824F6" w:rsidRDefault="001D0335" w:rsidP="001D0335"/>
        </w:tc>
        <w:tc>
          <w:tcPr>
            <w:tcW w:w="567" w:type="dxa"/>
          </w:tcPr>
          <w:p w14:paraId="7A87E70E" w14:textId="77777777" w:rsidR="001D0335" w:rsidRPr="00E824F6" w:rsidRDefault="001D0335" w:rsidP="001D0335"/>
        </w:tc>
        <w:tc>
          <w:tcPr>
            <w:tcW w:w="567" w:type="dxa"/>
          </w:tcPr>
          <w:p w14:paraId="4AB7F7DA" w14:textId="77777777" w:rsidR="001D0335" w:rsidRPr="00E824F6" w:rsidRDefault="001D0335" w:rsidP="001D0335"/>
        </w:tc>
        <w:tc>
          <w:tcPr>
            <w:tcW w:w="567" w:type="dxa"/>
          </w:tcPr>
          <w:p w14:paraId="0EAC321A" w14:textId="77777777" w:rsidR="001D0335" w:rsidRPr="00E824F6" w:rsidRDefault="001D0335" w:rsidP="001D0335"/>
        </w:tc>
        <w:tc>
          <w:tcPr>
            <w:tcW w:w="605" w:type="dxa"/>
          </w:tcPr>
          <w:p w14:paraId="7F0AC2FE" w14:textId="77777777" w:rsidR="001D0335" w:rsidRPr="00E824F6" w:rsidRDefault="001D0335" w:rsidP="001D0335"/>
        </w:tc>
      </w:tr>
      <w:tr w:rsidR="001D0335" w:rsidRPr="004437E3" w14:paraId="1E573B41" w14:textId="77777777" w:rsidTr="00127151">
        <w:trPr>
          <w:trHeight w:val="119"/>
        </w:trPr>
        <w:tc>
          <w:tcPr>
            <w:tcW w:w="1555" w:type="dxa"/>
          </w:tcPr>
          <w:p w14:paraId="7F8A3E22" w14:textId="1315B3C8" w:rsidR="001D0335" w:rsidRPr="001D0335" w:rsidRDefault="001D0335" w:rsidP="001D0335"/>
        </w:tc>
        <w:tc>
          <w:tcPr>
            <w:tcW w:w="3000" w:type="dxa"/>
          </w:tcPr>
          <w:p w14:paraId="757E9A48" w14:textId="5EEBB1ED" w:rsidR="001D0335" w:rsidRPr="001D0335" w:rsidRDefault="001D0335" w:rsidP="001D0335"/>
        </w:tc>
        <w:tc>
          <w:tcPr>
            <w:tcW w:w="1134" w:type="dxa"/>
          </w:tcPr>
          <w:p w14:paraId="14F1A6C8" w14:textId="6D2C7E07" w:rsidR="001D0335" w:rsidRPr="001D0335" w:rsidRDefault="001D0335" w:rsidP="001D0335"/>
        </w:tc>
        <w:tc>
          <w:tcPr>
            <w:tcW w:w="567" w:type="dxa"/>
          </w:tcPr>
          <w:p w14:paraId="15980C6B" w14:textId="77777777" w:rsidR="001D0335" w:rsidRPr="00E824F6" w:rsidRDefault="001D0335" w:rsidP="001D0335"/>
        </w:tc>
        <w:tc>
          <w:tcPr>
            <w:tcW w:w="567" w:type="dxa"/>
          </w:tcPr>
          <w:p w14:paraId="05211C79" w14:textId="77777777" w:rsidR="001D0335" w:rsidRPr="00E824F6" w:rsidRDefault="001D0335" w:rsidP="001D0335"/>
        </w:tc>
        <w:tc>
          <w:tcPr>
            <w:tcW w:w="567" w:type="dxa"/>
          </w:tcPr>
          <w:p w14:paraId="624DF8E4" w14:textId="77777777" w:rsidR="001D0335" w:rsidRPr="00E824F6" w:rsidRDefault="001D0335" w:rsidP="001D0335"/>
        </w:tc>
        <w:tc>
          <w:tcPr>
            <w:tcW w:w="567" w:type="dxa"/>
          </w:tcPr>
          <w:p w14:paraId="64521FBD" w14:textId="77777777" w:rsidR="001D0335" w:rsidRPr="00E824F6" w:rsidRDefault="001D0335" w:rsidP="001D0335"/>
        </w:tc>
        <w:tc>
          <w:tcPr>
            <w:tcW w:w="567" w:type="dxa"/>
          </w:tcPr>
          <w:p w14:paraId="3D98787E" w14:textId="77777777" w:rsidR="001D0335" w:rsidRPr="00E824F6" w:rsidRDefault="001D0335" w:rsidP="001D0335"/>
        </w:tc>
        <w:tc>
          <w:tcPr>
            <w:tcW w:w="605" w:type="dxa"/>
          </w:tcPr>
          <w:p w14:paraId="1D5343A8" w14:textId="77777777" w:rsidR="001D0335" w:rsidRPr="00E824F6" w:rsidRDefault="001D0335" w:rsidP="001D0335"/>
        </w:tc>
      </w:tr>
      <w:tr w:rsidR="001D0335" w:rsidRPr="004437E3" w14:paraId="7FE08B1D" w14:textId="77777777" w:rsidTr="00127151">
        <w:trPr>
          <w:trHeight w:val="119"/>
        </w:trPr>
        <w:tc>
          <w:tcPr>
            <w:tcW w:w="1555" w:type="dxa"/>
          </w:tcPr>
          <w:p w14:paraId="1389016F" w14:textId="4C220A37" w:rsidR="001D0335" w:rsidRPr="001D0335" w:rsidRDefault="001D0335" w:rsidP="001D0335"/>
        </w:tc>
        <w:tc>
          <w:tcPr>
            <w:tcW w:w="3000" w:type="dxa"/>
          </w:tcPr>
          <w:p w14:paraId="0A08CA7B" w14:textId="5E8FC268" w:rsidR="001D0335" w:rsidRPr="001D0335" w:rsidRDefault="001D0335" w:rsidP="001D0335"/>
        </w:tc>
        <w:tc>
          <w:tcPr>
            <w:tcW w:w="1134" w:type="dxa"/>
          </w:tcPr>
          <w:p w14:paraId="0E4C8B48" w14:textId="429EBB99" w:rsidR="001D0335" w:rsidRPr="001D0335" w:rsidRDefault="001D0335" w:rsidP="001D0335"/>
        </w:tc>
        <w:tc>
          <w:tcPr>
            <w:tcW w:w="567" w:type="dxa"/>
          </w:tcPr>
          <w:p w14:paraId="2987FE48" w14:textId="77777777" w:rsidR="001D0335" w:rsidRPr="00E824F6" w:rsidRDefault="001D0335" w:rsidP="001D0335"/>
        </w:tc>
        <w:tc>
          <w:tcPr>
            <w:tcW w:w="567" w:type="dxa"/>
          </w:tcPr>
          <w:p w14:paraId="6132E1AD" w14:textId="77777777" w:rsidR="001D0335" w:rsidRPr="00E824F6" w:rsidRDefault="001D0335" w:rsidP="001D0335"/>
        </w:tc>
        <w:tc>
          <w:tcPr>
            <w:tcW w:w="567" w:type="dxa"/>
          </w:tcPr>
          <w:p w14:paraId="78089BA9" w14:textId="77777777" w:rsidR="001D0335" w:rsidRPr="00E824F6" w:rsidRDefault="001D0335" w:rsidP="001D0335"/>
        </w:tc>
        <w:tc>
          <w:tcPr>
            <w:tcW w:w="567" w:type="dxa"/>
          </w:tcPr>
          <w:p w14:paraId="7D489F39" w14:textId="77777777" w:rsidR="001D0335" w:rsidRPr="00E824F6" w:rsidRDefault="001D0335" w:rsidP="001D0335"/>
        </w:tc>
        <w:tc>
          <w:tcPr>
            <w:tcW w:w="567" w:type="dxa"/>
          </w:tcPr>
          <w:p w14:paraId="66113F39" w14:textId="77777777" w:rsidR="001D0335" w:rsidRPr="00E824F6" w:rsidRDefault="001D0335" w:rsidP="001D0335"/>
        </w:tc>
        <w:tc>
          <w:tcPr>
            <w:tcW w:w="605" w:type="dxa"/>
          </w:tcPr>
          <w:p w14:paraId="3EB34EBD" w14:textId="77777777" w:rsidR="001D0335" w:rsidRPr="00E824F6" w:rsidRDefault="001D0335" w:rsidP="001D0335"/>
        </w:tc>
      </w:tr>
      <w:tr w:rsidR="001D0335" w:rsidRPr="004437E3" w14:paraId="34D943D0" w14:textId="77777777" w:rsidTr="00127151">
        <w:trPr>
          <w:trHeight w:val="119"/>
        </w:trPr>
        <w:tc>
          <w:tcPr>
            <w:tcW w:w="1555" w:type="dxa"/>
          </w:tcPr>
          <w:p w14:paraId="6445CB4C" w14:textId="6F2A9173" w:rsidR="001D0335" w:rsidRPr="001D0335" w:rsidRDefault="001D0335" w:rsidP="001D0335"/>
        </w:tc>
        <w:tc>
          <w:tcPr>
            <w:tcW w:w="3000" w:type="dxa"/>
          </w:tcPr>
          <w:p w14:paraId="464EAF4A" w14:textId="1BB0F819" w:rsidR="001D0335" w:rsidRPr="001D0335" w:rsidRDefault="001D0335" w:rsidP="001D0335"/>
        </w:tc>
        <w:tc>
          <w:tcPr>
            <w:tcW w:w="1134" w:type="dxa"/>
          </w:tcPr>
          <w:p w14:paraId="53A78286" w14:textId="50EEB22D" w:rsidR="001D0335" w:rsidRPr="001D0335" w:rsidRDefault="001D0335" w:rsidP="001D0335"/>
        </w:tc>
        <w:tc>
          <w:tcPr>
            <w:tcW w:w="567" w:type="dxa"/>
          </w:tcPr>
          <w:p w14:paraId="5C4723F2" w14:textId="77777777" w:rsidR="001D0335" w:rsidRPr="00E824F6" w:rsidRDefault="001D0335" w:rsidP="001D0335"/>
        </w:tc>
        <w:tc>
          <w:tcPr>
            <w:tcW w:w="567" w:type="dxa"/>
          </w:tcPr>
          <w:p w14:paraId="303AEFE1" w14:textId="77777777" w:rsidR="001D0335" w:rsidRPr="00E824F6" w:rsidRDefault="001D0335" w:rsidP="001D0335"/>
        </w:tc>
        <w:tc>
          <w:tcPr>
            <w:tcW w:w="567" w:type="dxa"/>
          </w:tcPr>
          <w:p w14:paraId="601152F8" w14:textId="77777777" w:rsidR="001D0335" w:rsidRPr="00E824F6" w:rsidRDefault="001D0335" w:rsidP="001D0335"/>
        </w:tc>
        <w:tc>
          <w:tcPr>
            <w:tcW w:w="567" w:type="dxa"/>
          </w:tcPr>
          <w:p w14:paraId="13A8D1D5" w14:textId="77777777" w:rsidR="001D0335" w:rsidRPr="00E824F6" w:rsidRDefault="001D0335" w:rsidP="001D0335"/>
        </w:tc>
        <w:tc>
          <w:tcPr>
            <w:tcW w:w="567" w:type="dxa"/>
          </w:tcPr>
          <w:p w14:paraId="4E8694C5" w14:textId="77777777" w:rsidR="001D0335" w:rsidRPr="00E824F6" w:rsidRDefault="001D0335" w:rsidP="001D0335"/>
        </w:tc>
        <w:tc>
          <w:tcPr>
            <w:tcW w:w="605" w:type="dxa"/>
          </w:tcPr>
          <w:p w14:paraId="1C0632D8" w14:textId="77777777" w:rsidR="001D0335" w:rsidRPr="00E824F6" w:rsidRDefault="001D0335" w:rsidP="001D0335"/>
        </w:tc>
      </w:tr>
      <w:tr w:rsidR="001D0335" w:rsidRPr="004437E3" w14:paraId="5FB8EDA4" w14:textId="77777777" w:rsidTr="00127151">
        <w:trPr>
          <w:trHeight w:val="119"/>
        </w:trPr>
        <w:tc>
          <w:tcPr>
            <w:tcW w:w="1555" w:type="dxa"/>
          </w:tcPr>
          <w:p w14:paraId="0E0B5703" w14:textId="0D09EB31" w:rsidR="001D0335" w:rsidRPr="001D0335" w:rsidRDefault="001D0335" w:rsidP="001D0335"/>
        </w:tc>
        <w:tc>
          <w:tcPr>
            <w:tcW w:w="3000" w:type="dxa"/>
          </w:tcPr>
          <w:p w14:paraId="30035C9E" w14:textId="3F89302C" w:rsidR="001D0335" w:rsidRPr="001D0335" w:rsidRDefault="001D0335" w:rsidP="001D0335"/>
        </w:tc>
        <w:tc>
          <w:tcPr>
            <w:tcW w:w="1134" w:type="dxa"/>
          </w:tcPr>
          <w:p w14:paraId="0C04F304" w14:textId="4F1AD5B9" w:rsidR="001D0335" w:rsidRPr="001D0335" w:rsidRDefault="001D0335" w:rsidP="001D0335"/>
        </w:tc>
        <w:tc>
          <w:tcPr>
            <w:tcW w:w="567" w:type="dxa"/>
          </w:tcPr>
          <w:p w14:paraId="34EB9D39" w14:textId="77777777" w:rsidR="001D0335" w:rsidRPr="00E824F6" w:rsidRDefault="001D0335" w:rsidP="001D0335"/>
        </w:tc>
        <w:tc>
          <w:tcPr>
            <w:tcW w:w="567" w:type="dxa"/>
          </w:tcPr>
          <w:p w14:paraId="4DFB5319" w14:textId="77777777" w:rsidR="001D0335" w:rsidRPr="00E824F6" w:rsidRDefault="001D0335" w:rsidP="001D0335"/>
        </w:tc>
        <w:tc>
          <w:tcPr>
            <w:tcW w:w="567" w:type="dxa"/>
          </w:tcPr>
          <w:p w14:paraId="3DAFB32F" w14:textId="77777777" w:rsidR="001D0335" w:rsidRPr="00E824F6" w:rsidRDefault="001D0335" w:rsidP="001D0335"/>
        </w:tc>
        <w:tc>
          <w:tcPr>
            <w:tcW w:w="567" w:type="dxa"/>
          </w:tcPr>
          <w:p w14:paraId="1879E865" w14:textId="77777777" w:rsidR="001D0335" w:rsidRPr="00E824F6" w:rsidRDefault="001D0335" w:rsidP="001D0335"/>
        </w:tc>
        <w:tc>
          <w:tcPr>
            <w:tcW w:w="567" w:type="dxa"/>
          </w:tcPr>
          <w:p w14:paraId="17D527C3" w14:textId="77777777" w:rsidR="001D0335" w:rsidRPr="00E824F6" w:rsidRDefault="001D0335" w:rsidP="001D0335"/>
        </w:tc>
        <w:tc>
          <w:tcPr>
            <w:tcW w:w="605" w:type="dxa"/>
          </w:tcPr>
          <w:p w14:paraId="676318BD" w14:textId="77777777" w:rsidR="001D0335" w:rsidRPr="00E824F6" w:rsidRDefault="001D0335" w:rsidP="001D0335"/>
        </w:tc>
      </w:tr>
      <w:tr w:rsidR="001D0335" w:rsidRPr="004437E3" w14:paraId="7AD6EE15" w14:textId="77777777" w:rsidTr="00127151">
        <w:trPr>
          <w:trHeight w:val="119"/>
        </w:trPr>
        <w:tc>
          <w:tcPr>
            <w:tcW w:w="1555" w:type="dxa"/>
          </w:tcPr>
          <w:p w14:paraId="54818465" w14:textId="70F7A610" w:rsidR="001D0335" w:rsidRPr="001D0335" w:rsidRDefault="001D0335" w:rsidP="001D0335"/>
        </w:tc>
        <w:tc>
          <w:tcPr>
            <w:tcW w:w="3000" w:type="dxa"/>
          </w:tcPr>
          <w:p w14:paraId="07C0EC0A" w14:textId="521E56E0" w:rsidR="001D0335" w:rsidRPr="001D0335" w:rsidRDefault="001D0335" w:rsidP="001D0335"/>
        </w:tc>
        <w:tc>
          <w:tcPr>
            <w:tcW w:w="1134" w:type="dxa"/>
          </w:tcPr>
          <w:p w14:paraId="0F2BEAD7" w14:textId="50907D28" w:rsidR="001D0335" w:rsidRPr="001D0335" w:rsidRDefault="001D0335" w:rsidP="001D0335"/>
        </w:tc>
        <w:tc>
          <w:tcPr>
            <w:tcW w:w="567" w:type="dxa"/>
          </w:tcPr>
          <w:p w14:paraId="22DCFE38" w14:textId="77777777" w:rsidR="001D0335" w:rsidRPr="00E824F6" w:rsidRDefault="001D0335" w:rsidP="001D0335"/>
        </w:tc>
        <w:tc>
          <w:tcPr>
            <w:tcW w:w="567" w:type="dxa"/>
          </w:tcPr>
          <w:p w14:paraId="13116218" w14:textId="77777777" w:rsidR="001D0335" w:rsidRPr="00E824F6" w:rsidRDefault="001D0335" w:rsidP="001D0335"/>
        </w:tc>
        <w:tc>
          <w:tcPr>
            <w:tcW w:w="567" w:type="dxa"/>
          </w:tcPr>
          <w:p w14:paraId="1CECEB97" w14:textId="77777777" w:rsidR="001D0335" w:rsidRPr="00E824F6" w:rsidRDefault="001D0335" w:rsidP="001D0335"/>
        </w:tc>
        <w:tc>
          <w:tcPr>
            <w:tcW w:w="567" w:type="dxa"/>
          </w:tcPr>
          <w:p w14:paraId="4816D486" w14:textId="77777777" w:rsidR="001D0335" w:rsidRPr="00E824F6" w:rsidRDefault="001D0335" w:rsidP="001D0335"/>
        </w:tc>
        <w:tc>
          <w:tcPr>
            <w:tcW w:w="567" w:type="dxa"/>
          </w:tcPr>
          <w:p w14:paraId="2EE3FC43" w14:textId="77777777" w:rsidR="001D0335" w:rsidRPr="00E824F6" w:rsidRDefault="001D0335" w:rsidP="001D0335"/>
        </w:tc>
        <w:tc>
          <w:tcPr>
            <w:tcW w:w="605" w:type="dxa"/>
          </w:tcPr>
          <w:p w14:paraId="7B51592C" w14:textId="77777777" w:rsidR="001D0335" w:rsidRPr="00E824F6" w:rsidRDefault="001D0335" w:rsidP="001D0335"/>
        </w:tc>
      </w:tr>
    </w:tbl>
    <w:p w14:paraId="22789AA2" w14:textId="77777777" w:rsidR="001D0335" w:rsidRPr="00A2204C" w:rsidRDefault="001D0335" w:rsidP="001D0335"/>
    <w:p w14:paraId="61C19E61" w14:textId="78AA3B65" w:rsidR="00D35DF9" w:rsidRDefault="00D35DF9" w:rsidP="00D35DF9">
      <w:pPr>
        <w:pStyle w:val="Heading2"/>
      </w:pPr>
      <w:bookmarkStart w:id="73" w:name="_Toc51319610"/>
      <w:bookmarkStart w:id="74" w:name="_Toc51798272"/>
      <w:bookmarkStart w:id="75" w:name="_Toc52364893"/>
      <w:r>
        <w:lastRenderedPageBreak/>
        <w:t>Wider Work</w:t>
      </w:r>
      <w:r w:rsidR="009C77ED">
        <w:t>s</w:t>
      </w:r>
      <w:r>
        <w:t xml:space="preserve"> </w:t>
      </w:r>
      <w:r w:rsidR="00993C79">
        <w:t xml:space="preserve">Price </w:t>
      </w:r>
      <w:r>
        <w:t>C</w:t>
      </w:r>
      <w:r w:rsidR="00993C79">
        <w:t xml:space="preserve">ontrol </w:t>
      </w:r>
      <w:r>
        <w:t>D</w:t>
      </w:r>
      <w:bookmarkEnd w:id="73"/>
      <w:r w:rsidR="00993C79">
        <w:t>eliverable</w:t>
      </w:r>
      <w:r w:rsidR="000C22C1">
        <w:t xml:space="preserve"> (</w:t>
      </w:r>
      <w:proofErr w:type="spellStart"/>
      <w:r w:rsidR="000C22C1">
        <w:t>WWt</w:t>
      </w:r>
      <w:proofErr w:type="spellEnd"/>
      <w:r w:rsidR="000C22C1">
        <w:t>)</w:t>
      </w:r>
      <w:bookmarkEnd w:id="74"/>
      <w:bookmarkEnd w:id="75"/>
    </w:p>
    <w:p w14:paraId="5A3FCEF7" w14:textId="77777777" w:rsidR="00E364AD" w:rsidRPr="0057526A" w:rsidRDefault="00E364AD" w:rsidP="002C245D">
      <w:pPr>
        <w:pStyle w:val="Heading3nonumbering"/>
      </w:pPr>
      <w:r w:rsidRPr="0057526A">
        <w:t xml:space="preserve">Introduction </w:t>
      </w:r>
    </w:p>
    <w:p w14:paraId="5CF3AE40" w14:textId="183731DE" w:rsidR="00E364AD" w:rsidRPr="00E364AD" w:rsidRDefault="00E364AD" w:rsidP="002C245D">
      <w:pPr>
        <w:pStyle w:val="NumberedNormal"/>
      </w:pPr>
      <w:r>
        <w:t xml:space="preserve">The purpose of this condition is to calculate the term </w:t>
      </w:r>
      <w:proofErr w:type="spellStart"/>
      <w:r>
        <w:t>WWt</w:t>
      </w:r>
      <w:proofErr w:type="spellEnd"/>
      <w:r>
        <w:t xml:space="preserve"> (the Wider Works Price Control Deliverable term).  This contributes to the calculation of </w:t>
      </w:r>
      <w:r w:rsidRPr="00E364AD">
        <w:t>the Totex Allowance.</w:t>
      </w:r>
    </w:p>
    <w:p w14:paraId="0B70B9E6" w14:textId="1880DB3B" w:rsidR="00E364AD" w:rsidRPr="00E364AD" w:rsidRDefault="00E364AD" w:rsidP="002C245D">
      <w:pPr>
        <w:pStyle w:val="NumberedNormal"/>
      </w:pPr>
      <w:r>
        <w:t>This condition specifies the outputs, delivery dates and associated allowances for the Price Control Deliverable.</w:t>
      </w:r>
    </w:p>
    <w:p w14:paraId="7E986E90" w14:textId="1FC4B5C3" w:rsidR="00E364AD" w:rsidRPr="00E364AD" w:rsidRDefault="00E364AD" w:rsidP="002C245D">
      <w:pPr>
        <w:pStyle w:val="NumberedNormal"/>
      </w:pPr>
      <w:r>
        <w:t xml:space="preserve">This condition also explains the </w:t>
      </w:r>
      <w:r w:rsidRPr="00E364AD">
        <w:t xml:space="preserve">process the Authority will follow when assessing the </w:t>
      </w:r>
      <w:r w:rsidR="00435DA0">
        <w:t>Price Control Deliverabl</w:t>
      </w:r>
      <w:r w:rsidR="00C52A72">
        <w:t>e</w:t>
      </w:r>
      <w:r w:rsidRPr="00E364AD">
        <w:t>.</w:t>
      </w:r>
    </w:p>
    <w:p w14:paraId="38D68B7D" w14:textId="29C87B7E" w:rsidR="00E364AD" w:rsidRDefault="00E364AD" w:rsidP="002C245D">
      <w:pPr>
        <w:pStyle w:val="Heading3"/>
      </w:pPr>
      <w:r>
        <w:t>Formula for calculating the Wider Works Price Control Deliverable term</w:t>
      </w:r>
      <w:r w:rsidR="000C22C1">
        <w:t xml:space="preserve"> (</w:t>
      </w:r>
      <w:proofErr w:type="spellStart"/>
      <w:r w:rsidR="000C22C1">
        <w:t>WWt</w:t>
      </w:r>
      <w:proofErr w:type="spellEnd"/>
      <w:r w:rsidR="000C22C1">
        <w:t>)</w:t>
      </w:r>
    </w:p>
    <w:p w14:paraId="19B219F2" w14:textId="77777777" w:rsidR="00E364AD" w:rsidRPr="00E364AD" w:rsidRDefault="00E364AD" w:rsidP="002C245D">
      <w:pPr>
        <w:pStyle w:val="NumberedNormal"/>
      </w:pPr>
      <w:r>
        <w:t xml:space="preserve">The value of </w:t>
      </w:r>
      <w:proofErr w:type="spellStart"/>
      <w:r>
        <w:t>WWt</w:t>
      </w:r>
      <w:proofErr w:type="spellEnd"/>
      <w:r>
        <w:t xml:space="preserve"> is derived in accordance with the following formula:</w:t>
      </w:r>
    </w:p>
    <w:p w14:paraId="609A2317" w14:textId="77777777" w:rsidR="00E364AD" w:rsidRPr="00E364AD" w:rsidRDefault="00E364AD" w:rsidP="003F66DB">
      <w:pPr>
        <w:pStyle w:val="Equation"/>
        <w:ind w:left="720"/>
      </w:pPr>
      <w:proofErr w:type="spellStart"/>
      <w:r>
        <w:t>WWt</w:t>
      </w:r>
      <w:proofErr w:type="spellEnd"/>
      <w:r>
        <w:t xml:space="preserve"> </w:t>
      </w:r>
      <w:proofErr w:type="gramStart"/>
      <w:r>
        <w:t xml:space="preserve">=  </w:t>
      </w:r>
      <w:proofErr w:type="spellStart"/>
      <w:r>
        <w:t>WWAt</w:t>
      </w:r>
      <w:proofErr w:type="spellEnd"/>
      <w:proofErr w:type="gramEnd"/>
      <w:r>
        <w:t xml:space="preserve"> - </w:t>
      </w:r>
      <w:proofErr w:type="spellStart"/>
      <w:r>
        <w:t>WWRt</w:t>
      </w:r>
      <w:proofErr w:type="spellEnd"/>
    </w:p>
    <w:p w14:paraId="144122D1" w14:textId="77777777" w:rsidR="00E364AD" w:rsidRPr="00E364AD" w:rsidRDefault="00E364AD" w:rsidP="003F66DB">
      <w:pPr>
        <w:ind w:left="720"/>
      </w:pPr>
      <w:r>
        <w:t>where:</w:t>
      </w:r>
    </w:p>
    <w:p w14:paraId="21E17043" w14:textId="3CCF4644" w:rsidR="00E364AD" w:rsidRPr="00E364AD" w:rsidRDefault="00E364AD" w:rsidP="003F66DB">
      <w:pPr>
        <w:ind w:left="720"/>
      </w:pPr>
      <w:proofErr w:type="spellStart"/>
      <w:r>
        <w:t>WWAt</w:t>
      </w:r>
      <w:proofErr w:type="spellEnd"/>
      <w:r>
        <w:tab/>
        <w:t xml:space="preserve"> </w:t>
      </w:r>
      <w:r w:rsidRPr="00E364AD">
        <w:t>means the</w:t>
      </w:r>
      <w:r w:rsidR="000C22C1">
        <w:t xml:space="preserve"> sum of</w:t>
      </w:r>
      <w:r w:rsidRPr="00E364AD">
        <w:t xml:space="preserve"> allowances in Appendix 1</w:t>
      </w:r>
      <w:r w:rsidR="00BF7450">
        <w:t>; and</w:t>
      </w:r>
    </w:p>
    <w:p w14:paraId="609C86FD" w14:textId="76C777A4" w:rsidR="00E364AD" w:rsidRPr="00E364AD" w:rsidRDefault="00E364AD" w:rsidP="003F66DB">
      <w:pPr>
        <w:ind w:left="720"/>
      </w:pPr>
      <w:proofErr w:type="spellStart"/>
      <w:r>
        <w:t>WWRt</w:t>
      </w:r>
      <w:proofErr w:type="spellEnd"/>
      <w:r>
        <w:tab/>
      </w:r>
      <w:r w:rsidRPr="00E364AD">
        <w:t>has the value of zero, unless otherwise directed by the Authority in accordance with Part C</w:t>
      </w:r>
      <w:r w:rsidR="00BF7450">
        <w:t>.</w:t>
      </w:r>
    </w:p>
    <w:p w14:paraId="6FF39124" w14:textId="72770FDC" w:rsidR="00E364AD" w:rsidRPr="00AE57AC" w:rsidRDefault="00E364AD" w:rsidP="002C245D">
      <w:pPr>
        <w:pStyle w:val="Heading3"/>
      </w:pPr>
      <w:r>
        <w:t>What is the licensee funded to deliver?</w:t>
      </w:r>
    </w:p>
    <w:p w14:paraId="25ABE99B" w14:textId="77777777" w:rsidR="000C22C1" w:rsidRPr="00614C21" w:rsidRDefault="000C22C1" w:rsidP="000C22C1">
      <w:pPr>
        <w:pStyle w:val="NumberedNormal"/>
      </w:pPr>
      <w:r>
        <w:t>Appendix 1 specifies the outputs that the licensee is funded to deliver, the delivery dates for those outputs and the allowances provided.</w:t>
      </w:r>
    </w:p>
    <w:p w14:paraId="1272ECE4" w14:textId="317B621F" w:rsidR="00E364AD" w:rsidRDefault="00E364AD" w:rsidP="002C245D">
      <w:pPr>
        <w:pStyle w:val="Heading3"/>
      </w:pPr>
      <w:r>
        <w:t>Assessment of outputs</w:t>
      </w:r>
      <w:r w:rsidR="000C22C1">
        <w:t xml:space="preserve"> (</w:t>
      </w:r>
      <w:proofErr w:type="spellStart"/>
      <w:r w:rsidR="000C22C1">
        <w:t>WWRt</w:t>
      </w:r>
      <w:proofErr w:type="spellEnd"/>
      <w:r w:rsidR="000C22C1">
        <w:t>)</w:t>
      </w:r>
    </w:p>
    <w:p w14:paraId="796AD6C3" w14:textId="6EF1A926" w:rsidR="000C22C1" w:rsidRPr="00614C21" w:rsidRDefault="000C22C1" w:rsidP="000C22C1">
      <w:pPr>
        <w:pStyle w:val="NumberedNormal"/>
      </w:pPr>
      <w:r>
        <w:t>The Authority will</w:t>
      </w:r>
      <w:r w:rsidR="00CE32B7">
        <w:t>, in accordance with the PCD Reporting Requirements and Methodology Document,</w:t>
      </w:r>
      <w:r>
        <w:t xml:space="preserve"> consider directing a value for </w:t>
      </w:r>
      <w:proofErr w:type="spellStart"/>
      <w:r>
        <w:t>WWRt</w:t>
      </w:r>
      <w:proofErr w:type="spellEnd"/>
      <w:r>
        <w:t xml:space="preserve"> where the licensee has not Fully Delivered an output in Appendix 1.</w:t>
      </w:r>
    </w:p>
    <w:p w14:paraId="2D666E9A" w14:textId="4D5442F7" w:rsidR="00E364AD" w:rsidRPr="00AE57AC" w:rsidRDefault="00E364AD" w:rsidP="002C245D">
      <w:pPr>
        <w:pStyle w:val="Heading3"/>
      </w:pPr>
      <w:r>
        <w:t>What process will the Authority follow in</w:t>
      </w:r>
      <w:r w:rsidRPr="002902B4">
        <w:t xml:space="preserve"> making a direction</w:t>
      </w:r>
      <w:r>
        <w:t>?</w:t>
      </w:r>
    </w:p>
    <w:p w14:paraId="4DADD7A5" w14:textId="2BD41F38" w:rsidR="00E364AD" w:rsidRPr="00E364AD" w:rsidRDefault="00E364AD" w:rsidP="002C245D">
      <w:pPr>
        <w:pStyle w:val="NumberedNormal"/>
      </w:pPr>
      <w:r>
        <w:t xml:space="preserve">Before making a direction under paragraph </w:t>
      </w:r>
      <w:r w:rsidR="00BF7450">
        <w:t>3.10.</w:t>
      </w:r>
      <w:r>
        <w:t>6, the Authority will publish on the Authority's Website:</w:t>
      </w:r>
    </w:p>
    <w:p w14:paraId="2136BCA5" w14:textId="77777777" w:rsidR="00E364AD" w:rsidRPr="00E364AD" w:rsidRDefault="00E364AD" w:rsidP="002C245D">
      <w:pPr>
        <w:pStyle w:val="ListNormal"/>
      </w:pPr>
      <w:r>
        <w:t xml:space="preserve">the text of the proposed </w:t>
      </w:r>
      <w:proofErr w:type="gramStart"/>
      <w:r>
        <w:t>direction;</w:t>
      </w:r>
      <w:proofErr w:type="gramEnd"/>
    </w:p>
    <w:p w14:paraId="4BEFC867" w14:textId="0E217CB1" w:rsidR="00E364AD" w:rsidRPr="00E364AD" w:rsidRDefault="00E364AD" w:rsidP="002C245D">
      <w:pPr>
        <w:pStyle w:val="ListNormal"/>
      </w:pPr>
      <w:r>
        <w:t>the reasons for the proposed direction;</w:t>
      </w:r>
      <w:r w:rsidR="00BF7450">
        <w:t xml:space="preserve"> and</w:t>
      </w:r>
    </w:p>
    <w:p w14:paraId="48E7F5AD" w14:textId="47F2F810" w:rsidR="00E364AD" w:rsidRPr="00E364AD" w:rsidRDefault="000C22C1" w:rsidP="002C245D">
      <w:pPr>
        <w:pStyle w:val="ListNormal"/>
      </w:pPr>
      <w:r>
        <w:t>a period during which representations may be made on the proposed direction, which will not be less than 28 days.</w:t>
      </w:r>
    </w:p>
    <w:p w14:paraId="05C8DB06" w14:textId="77777777" w:rsidR="00E364AD" w:rsidRPr="00E364AD" w:rsidRDefault="00E364AD" w:rsidP="002C245D">
      <w:pPr>
        <w:pStyle w:val="NumberedNormal"/>
      </w:pPr>
      <w:r w:rsidRPr="00F7032E">
        <w:t>The</w:t>
      </w:r>
      <w:r w:rsidRPr="00E364AD">
        <w:t xml:space="preserve"> direction will set out the value of the </w:t>
      </w:r>
      <w:proofErr w:type="spellStart"/>
      <w:r w:rsidRPr="00E364AD">
        <w:t>WWRt</w:t>
      </w:r>
      <w:proofErr w:type="spellEnd"/>
      <w:r w:rsidRPr="00E364AD">
        <w:t xml:space="preserve"> term and the Regulatory Years to which those values relate.</w:t>
      </w:r>
    </w:p>
    <w:p w14:paraId="1B3F3935" w14:textId="5024E1C9" w:rsidR="00E364AD" w:rsidRPr="00951250" w:rsidRDefault="00E364AD" w:rsidP="003327A2">
      <w:pPr>
        <w:pStyle w:val="AppendixHeading"/>
      </w:pPr>
      <w:bookmarkStart w:id="76" w:name="_Toc51798273"/>
      <w:bookmarkEnd w:id="76"/>
    </w:p>
    <w:p w14:paraId="638269D6" w14:textId="07750B74" w:rsidR="00E364AD" w:rsidRPr="004A521E" w:rsidRDefault="00E364AD" w:rsidP="00FB5461">
      <w:pPr>
        <w:pStyle w:val="Caption"/>
      </w:pPr>
      <w:r>
        <w:t>Wider Works Price Control Deliverable</w:t>
      </w:r>
      <w:r w:rsidR="003327A2">
        <w:t xml:space="preserve"> [NGET]</w:t>
      </w:r>
    </w:p>
    <w:tbl>
      <w:tblPr>
        <w:tblStyle w:val="AppendixTable"/>
        <w:tblW w:w="5000" w:type="pct"/>
        <w:tblLook w:val="04A0" w:firstRow="1" w:lastRow="0" w:firstColumn="1" w:lastColumn="0" w:noHBand="0" w:noVBand="1"/>
      </w:tblPr>
      <w:tblGrid>
        <w:gridCol w:w="1404"/>
        <w:gridCol w:w="2179"/>
        <w:gridCol w:w="1047"/>
        <w:gridCol w:w="872"/>
        <w:gridCol w:w="708"/>
        <w:gridCol w:w="708"/>
        <w:gridCol w:w="708"/>
        <w:gridCol w:w="709"/>
        <w:gridCol w:w="691"/>
      </w:tblGrid>
      <w:tr w:rsidR="00E364AD" w:rsidRPr="00DE541A" w14:paraId="17FF5929" w14:textId="77777777" w:rsidTr="00B0009A">
        <w:trPr>
          <w:cnfStyle w:val="100000000000" w:firstRow="1" w:lastRow="0" w:firstColumn="0" w:lastColumn="0" w:oddVBand="0" w:evenVBand="0" w:oddHBand="0" w:evenHBand="0" w:firstRowFirstColumn="0" w:firstRowLastColumn="0" w:lastRowFirstColumn="0" w:lastRowLastColumn="0"/>
          <w:trHeight w:val="300"/>
        </w:trPr>
        <w:tc>
          <w:tcPr>
            <w:tcW w:w="778" w:type="pct"/>
          </w:tcPr>
          <w:p w14:paraId="6A13FE30" w14:textId="77777777" w:rsidR="00E364AD" w:rsidRPr="00E364AD" w:rsidRDefault="00E364AD" w:rsidP="00E364AD">
            <w:r>
              <w:t>Scheme Name</w:t>
            </w:r>
          </w:p>
        </w:tc>
        <w:tc>
          <w:tcPr>
            <w:tcW w:w="1207" w:type="pct"/>
          </w:tcPr>
          <w:p w14:paraId="1C0B6FDA" w14:textId="77777777" w:rsidR="00E364AD" w:rsidRPr="00E364AD" w:rsidRDefault="00E364AD" w:rsidP="00E364AD">
            <w:r>
              <w:t>Output</w:t>
            </w:r>
          </w:p>
        </w:tc>
        <w:tc>
          <w:tcPr>
            <w:tcW w:w="580" w:type="pct"/>
          </w:tcPr>
          <w:p w14:paraId="7DCEADB2" w14:textId="77777777" w:rsidR="00E364AD" w:rsidRPr="00E364AD" w:rsidRDefault="00E364AD" w:rsidP="00E364AD">
            <w:r>
              <w:t>Delivery Date</w:t>
            </w:r>
          </w:p>
        </w:tc>
        <w:tc>
          <w:tcPr>
            <w:tcW w:w="2052" w:type="pct"/>
            <w:gridSpan w:val="5"/>
          </w:tcPr>
          <w:p w14:paraId="7CEA8C02" w14:textId="77777777" w:rsidR="00E364AD" w:rsidRPr="00E364AD" w:rsidRDefault="00E364AD" w:rsidP="00E364AD">
            <w:r>
              <w:t xml:space="preserve">Allowance </w:t>
            </w:r>
          </w:p>
        </w:tc>
        <w:tc>
          <w:tcPr>
            <w:tcW w:w="383" w:type="pct"/>
          </w:tcPr>
          <w:p w14:paraId="4D0A1CCA" w14:textId="77777777" w:rsidR="00E364AD" w:rsidRDefault="00E364AD" w:rsidP="00E364AD"/>
        </w:tc>
      </w:tr>
      <w:tr w:rsidR="00E364AD" w:rsidRPr="00D5104D" w14:paraId="6CE6EB5B" w14:textId="77777777" w:rsidTr="00B0009A">
        <w:trPr>
          <w:trHeight w:val="316"/>
        </w:trPr>
        <w:tc>
          <w:tcPr>
            <w:tcW w:w="778" w:type="pct"/>
          </w:tcPr>
          <w:p w14:paraId="3A0C4353" w14:textId="3B6CCADD" w:rsidR="00E364AD" w:rsidRDefault="001F5EC8" w:rsidP="00E364AD">
            <w:r>
              <w:t>[REDACTED]</w:t>
            </w:r>
          </w:p>
        </w:tc>
        <w:tc>
          <w:tcPr>
            <w:tcW w:w="1207" w:type="pct"/>
          </w:tcPr>
          <w:p w14:paraId="037FA14C" w14:textId="77777777" w:rsidR="00E364AD" w:rsidRPr="0082533A" w:rsidRDefault="00E364AD" w:rsidP="00E364AD"/>
        </w:tc>
        <w:tc>
          <w:tcPr>
            <w:tcW w:w="580" w:type="pct"/>
          </w:tcPr>
          <w:p w14:paraId="525B816D" w14:textId="77777777" w:rsidR="00E364AD" w:rsidRPr="0082533A" w:rsidRDefault="00E364AD" w:rsidP="00E364AD"/>
        </w:tc>
        <w:tc>
          <w:tcPr>
            <w:tcW w:w="483" w:type="pct"/>
          </w:tcPr>
          <w:p w14:paraId="1B8121DE" w14:textId="77777777" w:rsidR="00E364AD" w:rsidRPr="00E364AD" w:rsidRDefault="00E364AD" w:rsidP="00E364AD">
            <w:r>
              <w:t>21/22</w:t>
            </w:r>
          </w:p>
        </w:tc>
        <w:tc>
          <w:tcPr>
            <w:tcW w:w="392" w:type="pct"/>
          </w:tcPr>
          <w:p w14:paraId="43FD115F" w14:textId="77777777" w:rsidR="00E364AD" w:rsidRPr="00E364AD" w:rsidRDefault="00E364AD" w:rsidP="00E364AD">
            <w:r>
              <w:t>22/23</w:t>
            </w:r>
          </w:p>
        </w:tc>
        <w:tc>
          <w:tcPr>
            <w:tcW w:w="392" w:type="pct"/>
          </w:tcPr>
          <w:p w14:paraId="5E904D8A" w14:textId="77777777" w:rsidR="00E364AD" w:rsidRPr="00E364AD" w:rsidRDefault="00E364AD" w:rsidP="00E364AD">
            <w:r>
              <w:t>23/24</w:t>
            </w:r>
          </w:p>
        </w:tc>
        <w:tc>
          <w:tcPr>
            <w:tcW w:w="392" w:type="pct"/>
          </w:tcPr>
          <w:p w14:paraId="60FB93C7" w14:textId="77777777" w:rsidR="00E364AD" w:rsidRPr="00E364AD" w:rsidRDefault="00E364AD" w:rsidP="00E364AD">
            <w:r>
              <w:t>24/25</w:t>
            </w:r>
          </w:p>
        </w:tc>
        <w:tc>
          <w:tcPr>
            <w:tcW w:w="392" w:type="pct"/>
          </w:tcPr>
          <w:p w14:paraId="2E6121AB" w14:textId="77777777" w:rsidR="00E364AD" w:rsidRPr="00E364AD" w:rsidRDefault="00E364AD" w:rsidP="00E364AD">
            <w:r>
              <w:t>25/26</w:t>
            </w:r>
          </w:p>
        </w:tc>
        <w:tc>
          <w:tcPr>
            <w:tcW w:w="383" w:type="pct"/>
          </w:tcPr>
          <w:p w14:paraId="5F5577EF" w14:textId="77777777" w:rsidR="00E364AD" w:rsidRPr="00E364AD" w:rsidRDefault="00E364AD" w:rsidP="00E364AD">
            <w:r>
              <w:t>All years</w:t>
            </w:r>
          </w:p>
        </w:tc>
      </w:tr>
    </w:tbl>
    <w:p w14:paraId="017F5F0B" w14:textId="31037BE2" w:rsidR="001D0335" w:rsidRPr="004A521E" w:rsidRDefault="001D0335" w:rsidP="0086558C">
      <w:pPr>
        <w:pStyle w:val="Caption"/>
      </w:pPr>
      <w:r>
        <w:t xml:space="preserve">Wider Works Price Control </w:t>
      </w:r>
      <w:proofErr w:type="gramStart"/>
      <w:r>
        <w:t>Deliverable</w:t>
      </w:r>
      <w:r w:rsidR="0086558C">
        <w:t>[</w:t>
      </w:r>
      <w:proofErr w:type="gramEnd"/>
      <w:r w:rsidR="0086558C">
        <w:t>SHET PCDs]</w:t>
      </w:r>
    </w:p>
    <w:tbl>
      <w:tblPr>
        <w:tblStyle w:val="AppendixTable"/>
        <w:tblW w:w="5000" w:type="pct"/>
        <w:tblLook w:val="04A0" w:firstRow="1" w:lastRow="0" w:firstColumn="1" w:lastColumn="0" w:noHBand="0" w:noVBand="1"/>
      </w:tblPr>
      <w:tblGrid>
        <w:gridCol w:w="1394"/>
        <w:gridCol w:w="2100"/>
        <w:gridCol w:w="995"/>
        <w:gridCol w:w="706"/>
        <w:gridCol w:w="706"/>
        <w:gridCol w:w="706"/>
        <w:gridCol w:w="706"/>
        <w:gridCol w:w="706"/>
        <w:gridCol w:w="1007"/>
      </w:tblGrid>
      <w:tr w:rsidR="001D0335" w:rsidRPr="00DE541A" w14:paraId="74336F4F" w14:textId="77777777" w:rsidTr="0086558C">
        <w:trPr>
          <w:cnfStyle w:val="100000000000" w:firstRow="1" w:lastRow="0" w:firstColumn="0" w:lastColumn="0" w:oddVBand="0" w:evenVBand="0" w:oddHBand="0" w:evenHBand="0" w:firstRowFirstColumn="0" w:firstRowLastColumn="0" w:lastRowFirstColumn="0" w:lastRowLastColumn="0"/>
          <w:trHeight w:val="305"/>
        </w:trPr>
        <w:tc>
          <w:tcPr>
            <w:tcW w:w="513" w:type="pct"/>
          </w:tcPr>
          <w:p w14:paraId="2A1703F5" w14:textId="77777777" w:rsidR="001D0335" w:rsidRPr="001D0335" w:rsidRDefault="001D0335" w:rsidP="001D0335">
            <w:r>
              <w:t>Scheme Name</w:t>
            </w:r>
          </w:p>
        </w:tc>
        <w:tc>
          <w:tcPr>
            <w:tcW w:w="1266" w:type="pct"/>
          </w:tcPr>
          <w:p w14:paraId="4FFF8CFB" w14:textId="77777777" w:rsidR="001D0335" w:rsidRPr="001D0335" w:rsidRDefault="001D0335" w:rsidP="001D0335">
            <w:r>
              <w:t>Output</w:t>
            </w:r>
          </w:p>
        </w:tc>
        <w:tc>
          <w:tcPr>
            <w:tcW w:w="509" w:type="pct"/>
          </w:tcPr>
          <w:p w14:paraId="19D05982" w14:textId="77777777" w:rsidR="001D0335" w:rsidRPr="001D0335" w:rsidRDefault="001D0335" w:rsidP="001D0335">
            <w:r>
              <w:t>Delivery Date</w:t>
            </w:r>
          </w:p>
        </w:tc>
        <w:tc>
          <w:tcPr>
            <w:tcW w:w="2036" w:type="pct"/>
            <w:gridSpan w:val="5"/>
          </w:tcPr>
          <w:p w14:paraId="690683A0" w14:textId="77777777" w:rsidR="001D0335" w:rsidRPr="001D0335" w:rsidRDefault="001D0335" w:rsidP="001D0335">
            <w:r>
              <w:t xml:space="preserve">Allowance </w:t>
            </w:r>
          </w:p>
        </w:tc>
        <w:tc>
          <w:tcPr>
            <w:tcW w:w="676" w:type="pct"/>
          </w:tcPr>
          <w:p w14:paraId="39F48231" w14:textId="77777777" w:rsidR="001D0335" w:rsidRDefault="001D0335" w:rsidP="001D0335"/>
        </w:tc>
      </w:tr>
      <w:tr w:rsidR="001D0335" w:rsidRPr="00D5104D" w14:paraId="6040C749" w14:textId="77777777" w:rsidTr="0086558C">
        <w:trPr>
          <w:trHeight w:val="321"/>
        </w:trPr>
        <w:tc>
          <w:tcPr>
            <w:tcW w:w="513" w:type="pct"/>
          </w:tcPr>
          <w:p w14:paraId="74421DE9" w14:textId="77777777" w:rsidR="001D0335" w:rsidRDefault="001D0335" w:rsidP="001D0335"/>
        </w:tc>
        <w:tc>
          <w:tcPr>
            <w:tcW w:w="1266" w:type="pct"/>
          </w:tcPr>
          <w:p w14:paraId="2782695C" w14:textId="77777777" w:rsidR="001D0335" w:rsidRPr="0082533A" w:rsidRDefault="001D0335" w:rsidP="001D0335"/>
        </w:tc>
        <w:tc>
          <w:tcPr>
            <w:tcW w:w="509" w:type="pct"/>
          </w:tcPr>
          <w:p w14:paraId="5110AFAF" w14:textId="77777777" w:rsidR="001D0335" w:rsidRPr="0082533A" w:rsidRDefault="001D0335" w:rsidP="001D0335"/>
        </w:tc>
        <w:tc>
          <w:tcPr>
            <w:tcW w:w="478" w:type="pct"/>
          </w:tcPr>
          <w:p w14:paraId="0830AE6F" w14:textId="77777777" w:rsidR="001D0335" w:rsidRPr="001D0335" w:rsidRDefault="001D0335" w:rsidP="001D0335">
            <w:r>
              <w:t>21/22</w:t>
            </w:r>
          </w:p>
        </w:tc>
        <w:tc>
          <w:tcPr>
            <w:tcW w:w="390" w:type="pct"/>
          </w:tcPr>
          <w:p w14:paraId="4EA09457" w14:textId="77777777" w:rsidR="001D0335" w:rsidRPr="001D0335" w:rsidRDefault="001D0335" w:rsidP="001D0335">
            <w:r>
              <w:t>22/23</w:t>
            </w:r>
          </w:p>
        </w:tc>
        <w:tc>
          <w:tcPr>
            <w:tcW w:w="389" w:type="pct"/>
          </w:tcPr>
          <w:p w14:paraId="0167BA68" w14:textId="77777777" w:rsidR="001D0335" w:rsidRPr="001D0335" w:rsidRDefault="001D0335" w:rsidP="001D0335">
            <w:r>
              <w:t>23/24</w:t>
            </w:r>
          </w:p>
        </w:tc>
        <w:tc>
          <w:tcPr>
            <w:tcW w:w="389" w:type="pct"/>
          </w:tcPr>
          <w:p w14:paraId="0366D15F" w14:textId="77777777" w:rsidR="001D0335" w:rsidRPr="001D0335" w:rsidRDefault="001D0335" w:rsidP="001D0335">
            <w:r>
              <w:t>24/25</w:t>
            </w:r>
          </w:p>
        </w:tc>
        <w:tc>
          <w:tcPr>
            <w:tcW w:w="389" w:type="pct"/>
          </w:tcPr>
          <w:p w14:paraId="1A7AD5B9" w14:textId="77777777" w:rsidR="001D0335" w:rsidRPr="001D0335" w:rsidRDefault="001D0335" w:rsidP="001D0335">
            <w:r>
              <w:t>25/26</w:t>
            </w:r>
          </w:p>
        </w:tc>
        <w:tc>
          <w:tcPr>
            <w:tcW w:w="676" w:type="pct"/>
          </w:tcPr>
          <w:p w14:paraId="7565DF9F" w14:textId="77777777" w:rsidR="001D0335" w:rsidRPr="001D0335" w:rsidRDefault="001D0335" w:rsidP="001D0335">
            <w:r>
              <w:t>All years</w:t>
            </w:r>
          </w:p>
        </w:tc>
      </w:tr>
      <w:tr w:rsidR="001D0335" w:rsidRPr="00D5104D" w14:paraId="043506B8" w14:textId="77777777" w:rsidTr="0086558C">
        <w:trPr>
          <w:trHeight w:val="321"/>
        </w:trPr>
        <w:tc>
          <w:tcPr>
            <w:tcW w:w="513" w:type="pct"/>
          </w:tcPr>
          <w:p w14:paraId="59B03A06" w14:textId="3BDE0F76" w:rsidR="001D0335" w:rsidRPr="0082533A" w:rsidRDefault="001F5EC8" w:rsidP="001D0335">
            <w:r>
              <w:t>[REDACTED]</w:t>
            </w:r>
          </w:p>
        </w:tc>
        <w:tc>
          <w:tcPr>
            <w:tcW w:w="1266" w:type="pct"/>
          </w:tcPr>
          <w:p w14:paraId="590A2A34" w14:textId="77777777" w:rsidR="001D0335" w:rsidRPr="00BF5797" w:rsidRDefault="001D0335" w:rsidP="001D0335"/>
        </w:tc>
        <w:tc>
          <w:tcPr>
            <w:tcW w:w="509" w:type="pct"/>
          </w:tcPr>
          <w:p w14:paraId="43A112B9" w14:textId="77777777" w:rsidR="001D0335" w:rsidRPr="0082533A" w:rsidRDefault="001D0335" w:rsidP="001F5EC8"/>
        </w:tc>
        <w:tc>
          <w:tcPr>
            <w:tcW w:w="478" w:type="pct"/>
          </w:tcPr>
          <w:p w14:paraId="155828BD" w14:textId="77777777" w:rsidR="001D0335" w:rsidRPr="0082533A" w:rsidRDefault="001D0335" w:rsidP="001D0335"/>
        </w:tc>
        <w:tc>
          <w:tcPr>
            <w:tcW w:w="390" w:type="pct"/>
          </w:tcPr>
          <w:p w14:paraId="721F92DB" w14:textId="77777777" w:rsidR="001D0335" w:rsidRPr="0082533A" w:rsidRDefault="001D0335" w:rsidP="001D0335"/>
        </w:tc>
        <w:tc>
          <w:tcPr>
            <w:tcW w:w="389" w:type="pct"/>
          </w:tcPr>
          <w:p w14:paraId="4051BE3D" w14:textId="77777777" w:rsidR="001D0335" w:rsidRPr="0082533A" w:rsidRDefault="001D0335" w:rsidP="001D0335"/>
        </w:tc>
        <w:tc>
          <w:tcPr>
            <w:tcW w:w="389" w:type="pct"/>
          </w:tcPr>
          <w:p w14:paraId="1AFC0C8B" w14:textId="77777777" w:rsidR="001D0335" w:rsidRPr="0082533A" w:rsidRDefault="001D0335" w:rsidP="001D0335"/>
        </w:tc>
        <w:tc>
          <w:tcPr>
            <w:tcW w:w="389" w:type="pct"/>
          </w:tcPr>
          <w:p w14:paraId="5279F6EE" w14:textId="77777777" w:rsidR="001D0335" w:rsidRPr="0082533A" w:rsidRDefault="001D0335" w:rsidP="001D0335"/>
        </w:tc>
        <w:tc>
          <w:tcPr>
            <w:tcW w:w="676" w:type="pct"/>
          </w:tcPr>
          <w:p w14:paraId="2C02D869" w14:textId="77777777" w:rsidR="001D0335" w:rsidRPr="0082533A" w:rsidRDefault="001D0335" w:rsidP="001D0335"/>
        </w:tc>
      </w:tr>
    </w:tbl>
    <w:p w14:paraId="014F7AC4" w14:textId="77777777" w:rsidR="001D0335" w:rsidRDefault="001D0335" w:rsidP="001D0335"/>
    <w:p w14:paraId="16A5C90B" w14:textId="2685D85D" w:rsidR="001D0335" w:rsidRPr="004A521E" w:rsidRDefault="001D0335" w:rsidP="006D1CA7">
      <w:pPr>
        <w:pStyle w:val="Caption"/>
      </w:pPr>
      <w:r>
        <w:t>Wider Works Price Control Deliverable</w:t>
      </w:r>
      <w:r w:rsidR="006D1CA7">
        <w:t xml:space="preserve"> [SPT PCDs]</w:t>
      </w:r>
    </w:p>
    <w:tbl>
      <w:tblPr>
        <w:tblStyle w:val="AppendixTable"/>
        <w:tblW w:w="5000" w:type="pct"/>
        <w:tblLook w:val="04A0" w:firstRow="1" w:lastRow="0" w:firstColumn="1" w:lastColumn="0" w:noHBand="0" w:noVBand="1"/>
      </w:tblPr>
      <w:tblGrid>
        <w:gridCol w:w="1607"/>
        <w:gridCol w:w="1876"/>
        <w:gridCol w:w="1136"/>
        <w:gridCol w:w="887"/>
        <w:gridCol w:w="706"/>
        <w:gridCol w:w="706"/>
        <w:gridCol w:w="706"/>
        <w:gridCol w:w="706"/>
        <w:gridCol w:w="696"/>
      </w:tblGrid>
      <w:tr w:rsidR="001D0335" w:rsidRPr="00DE541A" w14:paraId="65170603" w14:textId="77777777" w:rsidTr="006D1CA7">
        <w:trPr>
          <w:cnfStyle w:val="100000000000" w:firstRow="1" w:lastRow="0" w:firstColumn="0" w:lastColumn="0" w:oddVBand="0" w:evenVBand="0" w:oddHBand="0" w:evenHBand="0" w:firstRowFirstColumn="0" w:firstRowLastColumn="0" w:lastRowFirstColumn="0" w:lastRowLastColumn="0"/>
          <w:trHeight w:val="304"/>
        </w:trPr>
        <w:tc>
          <w:tcPr>
            <w:tcW w:w="892" w:type="pct"/>
          </w:tcPr>
          <w:p w14:paraId="343AE3B8" w14:textId="77777777" w:rsidR="001D0335" w:rsidRPr="001D0335" w:rsidRDefault="001D0335" w:rsidP="001D0335">
            <w:r>
              <w:t>Scheme Name</w:t>
            </w:r>
          </w:p>
        </w:tc>
        <w:tc>
          <w:tcPr>
            <w:tcW w:w="1041" w:type="pct"/>
          </w:tcPr>
          <w:p w14:paraId="523ECB68" w14:textId="77777777" w:rsidR="001D0335" w:rsidRPr="001D0335" w:rsidRDefault="001D0335" w:rsidP="001D0335">
            <w:r>
              <w:t>Output</w:t>
            </w:r>
          </w:p>
        </w:tc>
        <w:tc>
          <w:tcPr>
            <w:tcW w:w="631" w:type="pct"/>
          </w:tcPr>
          <w:p w14:paraId="4E0E2C26" w14:textId="77777777" w:rsidR="001D0335" w:rsidRPr="001D0335" w:rsidRDefault="001D0335" w:rsidP="001D0335">
            <w:r>
              <w:t>Delivery Date</w:t>
            </w:r>
          </w:p>
        </w:tc>
        <w:tc>
          <w:tcPr>
            <w:tcW w:w="2048" w:type="pct"/>
            <w:gridSpan w:val="5"/>
          </w:tcPr>
          <w:p w14:paraId="10C07FB4" w14:textId="77777777" w:rsidR="001D0335" w:rsidRPr="001D0335" w:rsidRDefault="001D0335" w:rsidP="001D0335">
            <w:r>
              <w:t xml:space="preserve">Allowance </w:t>
            </w:r>
          </w:p>
        </w:tc>
        <w:tc>
          <w:tcPr>
            <w:tcW w:w="388" w:type="pct"/>
          </w:tcPr>
          <w:p w14:paraId="43EFE452" w14:textId="77777777" w:rsidR="001D0335" w:rsidRDefault="001D0335" w:rsidP="001D0335"/>
        </w:tc>
      </w:tr>
      <w:tr w:rsidR="001D0335" w:rsidRPr="00D5104D" w14:paraId="2537700E" w14:textId="77777777" w:rsidTr="006D1CA7">
        <w:trPr>
          <w:trHeight w:val="320"/>
        </w:trPr>
        <w:tc>
          <w:tcPr>
            <w:tcW w:w="892" w:type="pct"/>
          </w:tcPr>
          <w:p w14:paraId="3F4E9454" w14:textId="77777777" w:rsidR="001D0335" w:rsidRDefault="001D0335" w:rsidP="001D0335"/>
        </w:tc>
        <w:tc>
          <w:tcPr>
            <w:tcW w:w="1041" w:type="pct"/>
          </w:tcPr>
          <w:p w14:paraId="449D424B" w14:textId="77777777" w:rsidR="001D0335" w:rsidRPr="0082533A" w:rsidRDefault="001D0335" w:rsidP="001D0335"/>
        </w:tc>
        <w:tc>
          <w:tcPr>
            <w:tcW w:w="631" w:type="pct"/>
          </w:tcPr>
          <w:p w14:paraId="600500AD" w14:textId="77777777" w:rsidR="001D0335" w:rsidRPr="0082533A" w:rsidRDefault="001D0335" w:rsidP="001D0335"/>
        </w:tc>
        <w:tc>
          <w:tcPr>
            <w:tcW w:w="493" w:type="pct"/>
          </w:tcPr>
          <w:p w14:paraId="3AF7C6FD" w14:textId="77777777" w:rsidR="001D0335" w:rsidRPr="001D0335" w:rsidRDefault="001D0335" w:rsidP="001D0335">
            <w:r>
              <w:t>21/22</w:t>
            </w:r>
          </w:p>
        </w:tc>
        <w:tc>
          <w:tcPr>
            <w:tcW w:w="389" w:type="pct"/>
          </w:tcPr>
          <w:p w14:paraId="4E999F17" w14:textId="77777777" w:rsidR="001D0335" w:rsidRPr="001D0335" w:rsidRDefault="001D0335" w:rsidP="001D0335">
            <w:r>
              <w:t>22/23</w:t>
            </w:r>
          </w:p>
        </w:tc>
        <w:tc>
          <w:tcPr>
            <w:tcW w:w="389" w:type="pct"/>
          </w:tcPr>
          <w:p w14:paraId="7679249F" w14:textId="77777777" w:rsidR="001D0335" w:rsidRPr="001D0335" w:rsidRDefault="001D0335" w:rsidP="001D0335">
            <w:r>
              <w:t>23/24</w:t>
            </w:r>
          </w:p>
        </w:tc>
        <w:tc>
          <w:tcPr>
            <w:tcW w:w="389" w:type="pct"/>
          </w:tcPr>
          <w:p w14:paraId="207EDDDA" w14:textId="77777777" w:rsidR="001D0335" w:rsidRPr="001D0335" w:rsidRDefault="001D0335" w:rsidP="001D0335">
            <w:r>
              <w:t>24/25</w:t>
            </w:r>
          </w:p>
        </w:tc>
        <w:tc>
          <w:tcPr>
            <w:tcW w:w="389" w:type="pct"/>
          </w:tcPr>
          <w:p w14:paraId="3E11B1DD" w14:textId="77777777" w:rsidR="001D0335" w:rsidRPr="001D0335" w:rsidRDefault="001D0335" w:rsidP="001D0335">
            <w:r>
              <w:t>25/26</w:t>
            </w:r>
          </w:p>
        </w:tc>
        <w:tc>
          <w:tcPr>
            <w:tcW w:w="388" w:type="pct"/>
          </w:tcPr>
          <w:p w14:paraId="47E13191" w14:textId="77777777" w:rsidR="001D0335" w:rsidRPr="001D0335" w:rsidRDefault="001D0335" w:rsidP="001D0335">
            <w:r>
              <w:t>All years</w:t>
            </w:r>
          </w:p>
        </w:tc>
      </w:tr>
      <w:tr w:rsidR="001D0335" w:rsidRPr="00D5104D" w14:paraId="6ADAE768" w14:textId="77777777" w:rsidTr="006D1CA7">
        <w:trPr>
          <w:trHeight w:val="320"/>
        </w:trPr>
        <w:tc>
          <w:tcPr>
            <w:tcW w:w="892" w:type="pct"/>
          </w:tcPr>
          <w:p w14:paraId="5826D04D" w14:textId="5C86BD28" w:rsidR="001D0335" w:rsidRPr="001D0335" w:rsidRDefault="00C83D2F" w:rsidP="001D0335">
            <w:r>
              <w:t>[REDACTED]</w:t>
            </w:r>
          </w:p>
        </w:tc>
        <w:tc>
          <w:tcPr>
            <w:tcW w:w="1041" w:type="pct"/>
          </w:tcPr>
          <w:p w14:paraId="05C0DCF4" w14:textId="77777777" w:rsidR="001D0335" w:rsidRPr="00BF5797" w:rsidRDefault="001D0335" w:rsidP="001D0335"/>
        </w:tc>
        <w:tc>
          <w:tcPr>
            <w:tcW w:w="631" w:type="pct"/>
          </w:tcPr>
          <w:p w14:paraId="52E93762" w14:textId="400BF0C7" w:rsidR="001D0335" w:rsidRPr="001D0335" w:rsidRDefault="001D0335" w:rsidP="001D0335"/>
        </w:tc>
        <w:tc>
          <w:tcPr>
            <w:tcW w:w="493" w:type="pct"/>
          </w:tcPr>
          <w:p w14:paraId="57FE9406" w14:textId="77777777" w:rsidR="001D0335" w:rsidRPr="0082533A" w:rsidRDefault="001D0335" w:rsidP="001D0335"/>
        </w:tc>
        <w:tc>
          <w:tcPr>
            <w:tcW w:w="389" w:type="pct"/>
          </w:tcPr>
          <w:p w14:paraId="5C8199D2" w14:textId="77777777" w:rsidR="001D0335" w:rsidRPr="0082533A" w:rsidRDefault="001D0335" w:rsidP="001D0335"/>
        </w:tc>
        <w:tc>
          <w:tcPr>
            <w:tcW w:w="389" w:type="pct"/>
          </w:tcPr>
          <w:p w14:paraId="72F6FFDA" w14:textId="77777777" w:rsidR="001D0335" w:rsidRPr="0082533A" w:rsidRDefault="001D0335" w:rsidP="001D0335"/>
        </w:tc>
        <w:tc>
          <w:tcPr>
            <w:tcW w:w="389" w:type="pct"/>
          </w:tcPr>
          <w:p w14:paraId="08C243FC" w14:textId="77777777" w:rsidR="001D0335" w:rsidRPr="0082533A" w:rsidRDefault="001D0335" w:rsidP="001D0335"/>
        </w:tc>
        <w:tc>
          <w:tcPr>
            <w:tcW w:w="389" w:type="pct"/>
          </w:tcPr>
          <w:p w14:paraId="1FB6E2B5" w14:textId="77777777" w:rsidR="001D0335" w:rsidRPr="0082533A" w:rsidRDefault="001D0335" w:rsidP="001D0335"/>
        </w:tc>
        <w:tc>
          <w:tcPr>
            <w:tcW w:w="388" w:type="pct"/>
          </w:tcPr>
          <w:p w14:paraId="4623EA28" w14:textId="77777777" w:rsidR="001D0335" w:rsidRPr="0082533A" w:rsidRDefault="001D0335" w:rsidP="001D0335"/>
        </w:tc>
      </w:tr>
      <w:tr w:rsidR="001D0335" w:rsidRPr="00D5104D" w14:paraId="2E448C51" w14:textId="77777777" w:rsidTr="006D1CA7">
        <w:trPr>
          <w:trHeight w:val="320"/>
        </w:trPr>
        <w:tc>
          <w:tcPr>
            <w:tcW w:w="892" w:type="pct"/>
          </w:tcPr>
          <w:p w14:paraId="15393AD1" w14:textId="1FCA70D8" w:rsidR="001D0335" w:rsidRPr="001D0335" w:rsidRDefault="001D0335" w:rsidP="001D0335"/>
        </w:tc>
        <w:tc>
          <w:tcPr>
            <w:tcW w:w="1041" w:type="pct"/>
          </w:tcPr>
          <w:p w14:paraId="6B7D1754" w14:textId="77777777" w:rsidR="001D0335" w:rsidRPr="00BF5797" w:rsidRDefault="001D0335" w:rsidP="001D0335"/>
        </w:tc>
        <w:tc>
          <w:tcPr>
            <w:tcW w:w="631" w:type="pct"/>
          </w:tcPr>
          <w:p w14:paraId="38F4E97A" w14:textId="19FE02B3" w:rsidR="001D0335" w:rsidRPr="001D0335" w:rsidRDefault="001D0335" w:rsidP="001D0335"/>
        </w:tc>
        <w:tc>
          <w:tcPr>
            <w:tcW w:w="493" w:type="pct"/>
          </w:tcPr>
          <w:p w14:paraId="26ADBFD1" w14:textId="77777777" w:rsidR="001D0335" w:rsidRPr="0082533A" w:rsidRDefault="001D0335" w:rsidP="001D0335"/>
        </w:tc>
        <w:tc>
          <w:tcPr>
            <w:tcW w:w="389" w:type="pct"/>
          </w:tcPr>
          <w:p w14:paraId="72A48E3D" w14:textId="77777777" w:rsidR="001D0335" w:rsidRPr="0082533A" w:rsidRDefault="001D0335" w:rsidP="001D0335"/>
        </w:tc>
        <w:tc>
          <w:tcPr>
            <w:tcW w:w="389" w:type="pct"/>
          </w:tcPr>
          <w:p w14:paraId="2DF1A7C8" w14:textId="77777777" w:rsidR="001D0335" w:rsidRPr="0082533A" w:rsidRDefault="001D0335" w:rsidP="001D0335"/>
        </w:tc>
        <w:tc>
          <w:tcPr>
            <w:tcW w:w="389" w:type="pct"/>
          </w:tcPr>
          <w:p w14:paraId="2ABE739B" w14:textId="77777777" w:rsidR="001D0335" w:rsidRPr="0082533A" w:rsidRDefault="001D0335" w:rsidP="001D0335"/>
        </w:tc>
        <w:tc>
          <w:tcPr>
            <w:tcW w:w="389" w:type="pct"/>
          </w:tcPr>
          <w:p w14:paraId="6765D3E1" w14:textId="77777777" w:rsidR="001D0335" w:rsidRPr="0082533A" w:rsidRDefault="001D0335" w:rsidP="001D0335"/>
        </w:tc>
        <w:tc>
          <w:tcPr>
            <w:tcW w:w="388" w:type="pct"/>
          </w:tcPr>
          <w:p w14:paraId="487E3F05" w14:textId="77777777" w:rsidR="001D0335" w:rsidRPr="0082533A" w:rsidRDefault="001D0335" w:rsidP="001D0335"/>
        </w:tc>
      </w:tr>
      <w:tr w:rsidR="001D0335" w:rsidRPr="00D5104D" w14:paraId="74ED190C" w14:textId="77777777" w:rsidTr="006D1CA7">
        <w:trPr>
          <w:trHeight w:val="320"/>
        </w:trPr>
        <w:tc>
          <w:tcPr>
            <w:tcW w:w="892" w:type="pct"/>
          </w:tcPr>
          <w:p w14:paraId="0EAC6543" w14:textId="10CA75EB" w:rsidR="001D0335" w:rsidRPr="001D0335" w:rsidRDefault="001D0335" w:rsidP="001D0335"/>
        </w:tc>
        <w:tc>
          <w:tcPr>
            <w:tcW w:w="1041" w:type="pct"/>
          </w:tcPr>
          <w:p w14:paraId="53CC95B8" w14:textId="77777777" w:rsidR="001D0335" w:rsidRPr="00BF5797" w:rsidRDefault="001D0335" w:rsidP="007527C1"/>
        </w:tc>
        <w:tc>
          <w:tcPr>
            <w:tcW w:w="631" w:type="pct"/>
          </w:tcPr>
          <w:p w14:paraId="7B1871E1" w14:textId="77777777" w:rsidR="001D0335" w:rsidRPr="0082533A" w:rsidRDefault="001D0335" w:rsidP="001D0335"/>
        </w:tc>
        <w:tc>
          <w:tcPr>
            <w:tcW w:w="493" w:type="pct"/>
          </w:tcPr>
          <w:p w14:paraId="73D5BABF" w14:textId="77777777" w:rsidR="001D0335" w:rsidRPr="0082533A" w:rsidRDefault="001D0335" w:rsidP="001D0335"/>
        </w:tc>
        <w:tc>
          <w:tcPr>
            <w:tcW w:w="389" w:type="pct"/>
          </w:tcPr>
          <w:p w14:paraId="696A34E2" w14:textId="77777777" w:rsidR="001D0335" w:rsidRPr="0082533A" w:rsidRDefault="001D0335" w:rsidP="001D0335"/>
        </w:tc>
        <w:tc>
          <w:tcPr>
            <w:tcW w:w="389" w:type="pct"/>
          </w:tcPr>
          <w:p w14:paraId="2A7BB9EA" w14:textId="77777777" w:rsidR="001D0335" w:rsidRPr="0082533A" w:rsidRDefault="001D0335" w:rsidP="001D0335"/>
        </w:tc>
        <w:tc>
          <w:tcPr>
            <w:tcW w:w="389" w:type="pct"/>
          </w:tcPr>
          <w:p w14:paraId="67980A7D" w14:textId="77777777" w:rsidR="001D0335" w:rsidRPr="0082533A" w:rsidRDefault="001D0335" w:rsidP="001D0335"/>
        </w:tc>
        <w:tc>
          <w:tcPr>
            <w:tcW w:w="389" w:type="pct"/>
          </w:tcPr>
          <w:p w14:paraId="4ED75E5C" w14:textId="77777777" w:rsidR="001D0335" w:rsidRPr="0082533A" w:rsidRDefault="001D0335" w:rsidP="001D0335"/>
        </w:tc>
        <w:tc>
          <w:tcPr>
            <w:tcW w:w="388" w:type="pct"/>
          </w:tcPr>
          <w:p w14:paraId="374BE06A" w14:textId="77777777" w:rsidR="001D0335" w:rsidRPr="0082533A" w:rsidRDefault="001D0335" w:rsidP="001D0335"/>
        </w:tc>
      </w:tr>
      <w:tr w:rsidR="001D0335" w:rsidRPr="00D5104D" w14:paraId="2784BF58" w14:textId="77777777" w:rsidTr="006D1CA7">
        <w:trPr>
          <w:trHeight w:val="320"/>
        </w:trPr>
        <w:tc>
          <w:tcPr>
            <w:tcW w:w="892" w:type="pct"/>
          </w:tcPr>
          <w:p w14:paraId="44D811E7" w14:textId="77777777" w:rsidR="001D0335" w:rsidRPr="0082533A" w:rsidRDefault="001D0335" w:rsidP="001D0335"/>
        </w:tc>
        <w:tc>
          <w:tcPr>
            <w:tcW w:w="1041" w:type="pct"/>
          </w:tcPr>
          <w:p w14:paraId="7C7E2E75" w14:textId="77777777" w:rsidR="001D0335" w:rsidRPr="00BF5797" w:rsidRDefault="001D0335" w:rsidP="001D0335"/>
        </w:tc>
        <w:tc>
          <w:tcPr>
            <w:tcW w:w="631" w:type="pct"/>
          </w:tcPr>
          <w:p w14:paraId="33F67444" w14:textId="77777777" w:rsidR="001D0335" w:rsidRPr="0082533A" w:rsidRDefault="001D0335" w:rsidP="001D0335"/>
        </w:tc>
        <w:tc>
          <w:tcPr>
            <w:tcW w:w="493" w:type="pct"/>
          </w:tcPr>
          <w:p w14:paraId="10D72C5F" w14:textId="77777777" w:rsidR="001D0335" w:rsidRPr="0082533A" w:rsidRDefault="001D0335" w:rsidP="001D0335"/>
        </w:tc>
        <w:tc>
          <w:tcPr>
            <w:tcW w:w="389" w:type="pct"/>
          </w:tcPr>
          <w:p w14:paraId="29CDFFEC" w14:textId="77777777" w:rsidR="001D0335" w:rsidRPr="0082533A" w:rsidRDefault="001D0335" w:rsidP="001D0335"/>
        </w:tc>
        <w:tc>
          <w:tcPr>
            <w:tcW w:w="389" w:type="pct"/>
          </w:tcPr>
          <w:p w14:paraId="5EDFB82E" w14:textId="77777777" w:rsidR="001D0335" w:rsidRPr="0082533A" w:rsidRDefault="001D0335" w:rsidP="001D0335"/>
        </w:tc>
        <w:tc>
          <w:tcPr>
            <w:tcW w:w="389" w:type="pct"/>
          </w:tcPr>
          <w:p w14:paraId="47A9A66F" w14:textId="77777777" w:rsidR="001D0335" w:rsidRPr="0082533A" w:rsidRDefault="001D0335" w:rsidP="001D0335"/>
        </w:tc>
        <w:tc>
          <w:tcPr>
            <w:tcW w:w="389" w:type="pct"/>
          </w:tcPr>
          <w:p w14:paraId="5262D57A" w14:textId="77777777" w:rsidR="001D0335" w:rsidRPr="0082533A" w:rsidRDefault="001D0335" w:rsidP="001D0335"/>
        </w:tc>
        <w:tc>
          <w:tcPr>
            <w:tcW w:w="388" w:type="pct"/>
          </w:tcPr>
          <w:p w14:paraId="34A48B67" w14:textId="77777777" w:rsidR="001D0335" w:rsidRPr="0082533A" w:rsidRDefault="001D0335" w:rsidP="001D0335"/>
        </w:tc>
      </w:tr>
      <w:tr w:rsidR="001D0335" w:rsidRPr="00D5104D" w14:paraId="7ED15060" w14:textId="77777777" w:rsidTr="006D1CA7">
        <w:trPr>
          <w:trHeight w:val="320"/>
        </w:trPr>
        <w:tc>
          <w:tcPr>
            <w:tcW w:w="892" w:type="pct"/>
          </w:tcPr>
          <w:p w14:paraId="76256CC2" w14:textId="43B1A00A" w:rsidR="001D0335" w:rsidRPr="001D0335" w:rsidRDefault="001D0335" w:rsidP="001D0335"/>
        </w:tc>
        <w:tc>
          <w:tcPr>
            <w:tcW w:w="1041" w:type="pct"/>
          </w:tcPr>
          <w:p w14:paraId="605796F8" w14:textId="77777777" w:rsidR="001D0335" w:rsidRPr="00BF5797" w:rsidRDefault="001D0335" w:rsidP="001D0335"/>
        </w:tc>
        <w:tc>
          <w:tcPr>
            <w:tcW w:w="631" w:type="pct"/>
          </w:tcPr>
          <w:p w14:paraId="24054055" w14:textId="77777777" w:rsidR="001D0335" w:rsidRPr="0082533A" w:rsidRDefault="001D0335" w:rsidP="001D0335"/>
        </w:tc>
        <w:tc>
          <w:tcPr>
            <w:tcW w:w="493" w:type="pct"/>
          </w:tcPr>
          <w:p w14:paraId="7881B42C" w14:textId="77777777" w:rsidR="001D0335" w:rsidRPr="0082533A" w:rsidRDefault="001D0335" w:rsidP="001D0335"/>
        </w:tc>
        <w:tc>
          <w:tcPr>
            <w:tcW w:w="389" w:type="pct"/>
          </w:tcPr>
          <w:p w14:paraId="22E9FE23" w14:textId="77777777" w:rsidR="001D0335" w:rsidRPr="0082533A" w:rsidRDefault="001D0335" w:rsidP="001D0335"/>
        </w:tc>
        <w:tc>
          <w:tcPr>
            <w:tcW w:w="389" w:type="pct"/>
          </w:tcPr>
          <w:p w14:paraId="05C74BD3" w14:textId="77777777" w:rsidR="001D0335" w:rsidRPr="0082533A" w:rsidRDefault="001D0335" w:rsidP="001D0335"/>
        </w:tc>
        <w:tc>
          <w:tcPr>
            <w:tcW w:w="389" w:type="pct"/>
          </w:tcPr>
          <w:p w14:paraId="49B49F97" w14:textId="77777777" w:rsidR="001D0335" w:rsidRPr="0082533A" w:rsidRDefault="001D0335" w:rsidP="001D0335"/>
        </w:tc>
        <w:tc>
          <w:tcPr>
            <w:tcW w:w="389" w:type="pct"/>
          </w:tcPr>
          <w:p w14:paraId="315B37B4" w14:textId="77777777" w:rsidR="001D0335" w:rsidRPr="0082533A" w:rsidRDefault="001D0335" w:rsidP="001D0335"/>
        </w:tc>
        <w:tc>
          <w:tcPr>
            <w:tcW w:w="388" w:type="pct"/>
          </w:tcPr>
          <w:p w14:paraId="1374B1AF" w14:textId="77777777" w:rsidR="001D0335" w:rsidRPr="0082533A" w:rsidRDefault="001D0335" w:rsidP="001D0335"/>
        </w:tc>
      </w:tr>
      <w:tr w:rsidR="001D0335" w:rsidRPr="00D5104D" w14:paraId="31163943" w14:textId="77777777" w:rsidTr="006D1CA7">
        <w:trPr>
          <w:trHeight w:val="320"/>
        </w:trPr>
        <w:tc>
          <w:tcPr>
            <w:tcW w:w="892" w:type="pct"/>
          </w:tcPr>
          <w:p w14:paraId="1129E248" w14:textId="2A41E44B" w:rsidR="001D0335" w:rsidRPr="001D0335" w:rsidRDefault="001D0335" w:rsidP="001D0335"/>
        </w:tc>
        <w:tc>
          <w:tcPr>
            <w:tcW w:w="1041" w:type="pct"/>
          </w:tcPr>
          <w:p w14:paraId="62585D33" w14:textId="77777777" w:rsidR="001D0335" w:rsidRPr="00BF5797" w:rsidRDefault="001D0335" w:rsidP="007527C1"/>
        </w:tc>
        <w:tc>
          <w:tcPr>
            <w:tcW w:w="631" w:type="pct"/>
          </w:tcPr>
          <w:p w14:paraId="56B48B81" w14:textId="77777777" w:rsidR="001D0335" w:rsidRPr="0082533A" w:rsidRDefault="001D0335" w:rsidP="001D0335"/>
        </w:tc>
        <w:tc>
          <w:tcPr>
            <w:tcW w:w="493" w:type="pct"/>
          </w:tcPr>
          <w:p w14:paraId="6758BA97" w14:textId="77777777" w:rsidR="001D0335" w:rsidRPr="0082533A" w:rsidRDefault="001D0335" w:rsidP="001D0335"/>
        </w:tc>
        <w:tc>
          <w:tcPr>
            <w:tcW w:w="389" w:type="pct"/>
          </w:tcPr>
          <w:p w14:paraId="51FB0DD1" w14:textId="77777777" w:rsidR="001D0335" w:rsidRPr="0082533A" w:rsidRDefault="001D0335" w:rsidP="001D0335"/>
        </w:tc>
        <w:tc>
          <w:tcPr>
            <w:tcW w:w="389" w:type="pct"/>
          </w:tcPr>
          <w:p w14:paraId="274DF866" w14:textId="77777777" w:rsidR="001D0335" w:rsidRPr="0082533A" w:rsidRDefault="001D0335" w:rsidP="001D0335"/>
        </w:tc>
        <w:tc>
          <w:tcPr>
            <w:tcW w:w="389" w:type="pct"/>
          </w:tcPr>
          <w:p w14:paraId="753F22FD" w14:textId="77777777" w:rsidR="001D0335" w:rsidRPr="0082533A" w:rsidRDefault="001D0335" w:rsidP="001D0335"/>
        </w:tc>
        <w:tc>
          <w:tcPr>
            <w:tcW w:w="389" w:type="pct"/>
          </w:tcPr>
          <w:p w14:paraId="122E3E1F" w14:textId="77777777" w:rsidR="001D0335" w:rsidRPr="0082533A" w:rsidRDefault="001D0335" w:rsidP="001D0335"/>
        </w:tc>
        <w:tc>
          <w:tcPr>
            <w:tcW w:w="388" w:type="pct"/>
          </w:tcPr>
          <w:p w14:paraId="1311E8A2" w14:textId="77777777" w:rsidR="001D0335" w:rsidRPr="0082533A" w:rsidRDefault="001D0335" w:rsidP="001D0335"/>
        </w:tc>
      </w:tr>
    </w:tbl>
    <w:p w14:paraId="61257456" w14:textId="77777777" w:rsidR="001D0335" w:rsidRPr="00A2204C" w:rsidRDefault="001D0335" w:rsidP="001D0335"/>
    <w:p w14:paraId="3FB5E0DF" w14:textId="77777777" w:rsidR="001D0335" w:rsidRPr="00E364AD" w:rsidRDefault="001D0335" w:rsidP="00E16A2A">
      <w:pPr>
        <w:pStyle w:val="NumberedNormal"/>
        <w:numPr>
          <w:ilvl w:val="0"/>
          <w:numId w:val="0"/>
        </w:numPr>
        <w:ind w:left="879"/>
      </w:pPr>
    </w:p>
    <w:p w14:paraId="17D51A24" w14:textId="50D39446" w:rsidR="00D35DF9" w:rsidRDefault="00D35DF9" w:rsidP="00D35DF9">
      <w:pPr>
        <w:pStyle w:val="Heading2"/>
      </w:pPr>
      <w:bookmarkStart w:id="77" w:name="_Toc51319611"/>
      <w:bookmarkStart w:id="78" w:name="_Toc51798274"/>
      <w:bookmarkStart w:id="79" w:name="_Toc52364894"/>
      <w:r>
        <w:t>Demand Schemes P</w:t>
      </w:r>
      <w:r w:rsidR="00BB1781">
        <w:t xml:space="preserve">rice </w:t>
      </w:r>
      <w:r>
        <w:t>C</w:t>
      </w:r>
      <w:r w:rsidR="00BB1781">
        <w:t xml:space="preserve">ontrol </w:t>
      </w:r>
      <w:r>
        <w:t>D</w:t>
      </w:r>
      <w:bookmarkEnd w:id="77"/>
      <w:r w:rsidR="00BB1781">
        <w:t>eliverable (</w:t>
      </w:r>
      <w:proofErr w:type="spellStart"/>
      <w:r w:rsidR="00BB1781">
        <w:t>D</w:t>
      </w:r>
      <w:r w:rsidR="008D4CDB">
        <w:t>S</w:t>
      </w:r>
      <w:r w:rsidR="00BB1781">
        <w:t>It</w:t>
      </w:r>
      <w:proofErr w:type="spellEnd"/>
      <w:r w:rsidR="00BB1781">
        <w:t>)</w:t>
      </w:r>
      <w:bookmarkEnd w:id="78"/>
      <w:bookmarkEnd w:id="79"/>
      <w:r w:rsidR="00BB1781">
        <w:t xml:space="preserve"> </w:t>
      </w:r>
    </w:p>
    <w:p w14:paraId="73A4DA2B" w14:textId="77777777" w:rsidR="00E364AD" w:rsidRPr="0057526A" w:rsidRDefault="00E364AD" w:rsidP="002C245D">
      <w:pPr>
        <w:pStyle w:val="Heading3nonumbering"/>
      </w:pPr>
      <w:r w:rsidRPr="0057526A">
        <w:t xml:space="preserve">Introduction </w:t>
      </w:r>
    </w:p>
    <w:p w14:paraId="1652AADF" w14:textId="318BE3AB" w:rsidR="00E364AD" w:rsidRPr="00E364AD" w:rsidRDefault="00E364AD" w:rsidP="002C245D">
      <w:pPr>
        <w:pStyle w:val="NumberedNormal"/>
      </w:pPr>
      <w:r>
        <w:t xml:space="preserve">The purpose of this condition is to calculate the term </w:t>
      </w:r>
      <w:proofErr w:type="spellStart"/>
      <w:r>
        <w:t>D</w:t>
      </w:r>
      <w:r w:rsidR="002B647E">
        <w:t>S</w:t>
      </w:r>
      <w:r w:rsidRPr="00E364AD">
        <w:t>It</w:t>
      </w:r>
      <w:proofErr w:type="spellEnd"/>
      <w:r w:rsidRPr="00E364AD">
        <w:t xml:space="preserve"> (the Demand Schemes Price Control Deliverable term).  This contributes to the calculation of the Totex Allowance.</w:t>
      </w:r>
    </w:p>
    <w:p w14:paraId="7C71DB3D" w14:textId="73F7C126" w:rsidR="00E364AD" w:rsidRPr="00E364AD" w:rsidRDefault="00E364AD" w:rsidP="002C245D">
      <w:pPr>
        <w:pStyle w:val="NumberedNormal"/>
      </w:pPr>
      <w:r>
        <w:t xml:space="preserve">This condition specifies the outputs, delivery dates and associated allowances for the </w:t>
      </w:r>
      <w:r w:rsidRPr="00E364AD">
        <w:t>Price Control Deliverable.</w:t>
      </w:r>
    </w:p>
    <w:p w14:paraId="36F4B623" w14:textId="4F234EF6" w:rsidR="00E364AD" w:rsidRPr="00E364AD" w:rsidRDefault="00E364AD" w:rsidP="002C245D">
      <w:pPr>
        <w:pStyle w:val="NumberedNormal"/>
      </w:pPr>
      <w:r>
        <w:lastRenderedPageBreak/>
        <w:t xml:space="preserve">This condition also explains the process the Authority will follow when assessing the </w:t>
      </w:r>
      <w:r w:rsidR="00435DA0">
        <w:t>Price Control Deliverable</w:t>
      </w:r>
      <w:r>
        <w:t>.</w:t>
      </w:r>
    </w:p>
    <w:p w14:paraId="64FC23AC" w14:textId="5EA9F6CE" w:rsidR="00E364AD" w:rsidRDefault="00E364AD" w:rsidP="002C245D">
      <w:pPr>
        <w:pStyle w:val="Heading3"/>
      </w:pPr>
      <w:r>
        <w:t>Formula for calculating the Demand Related Infrastructure Price Control Deliverable term</w:t>
      </w:r>
      <w:r w:rsidR="00BB1781">
        <w:t xml:space="preserve"> (</w:t>
      </w:r>
      <w:proofErr w:type="spellStart"/>
      <w:r w:rsidR="00BB1781">
        <w:t>D</w:t>
      </w:r>
      <w:r w:rsidR="008D4CDB">
        <w:t>S</w:t>
      </w:r>
      <w:r w:rsidR="00BB1781">
        <w:t>It</w:t>
      </w:r>
      <w:proofErr w:type="spellEnd"/>
      <w:r w:rsidR="00BB1781">
        <w:t>)</w:t>
      </w:r>
    </w:p>
    <w:p w14:paraId="37F157D9" w14:textId="396E14F4" w:rsidR="00E364AD" w:rsidRPr="00E364AD" w:rsidRDefault="00E364AD" w:rsidP="002C245D">
      <w:pPr>
        <w:pStyle w:val="NumberedNormal"/>
      </w:pPr>
      <w:r>
        <w:t xml:space="preserve">The value of </w:t>
      </w:r>
      <w:proofErr w:type="spellStart"/>
      <w:r>
        <w:t>D</w:t>
      </w:r>
      <w:r w:rsidR="008D4CDB">
        <w:t>S</w:t>
      </w:r>
      <w:r w:rsidRPr="00E364AD">
        <w:t>It</w:t>
      </w:r>
      <w:proofErr w:type="spellEnd"/>
      <w:r w:rsidRPr="00E364AD">
        <w:t xml:space="preserve"> is derived in accordance with the following formula:</w:t>
      </w:r>
    </w:p>
    <w:p w14:paraId="40C3FBEB" w14:textId="77C6A050" w:rsidR="00E364AD" w:rsidRPr="00E364AD" w:rsidRDefault="00E364AD" w:rsidP="003F66DB">
      <w:pPr>
        <w:pStyle w:val="Equation"/>
        <w:ind w:left="720"/>
      </w:pPr>
      <w:proofErr w:type="spellStart"/>
      <w:r>
        <w:t>D</w:t>
      </w:r>
      <w:r w:rsidR="008D4CDB">
        <w:t>S</w:t>
      </w:r>
      <w:r w:rsidRPr="00E364AD">
        <w:t>It</w:t>
      </w:r>
      <w:proofErr w:type="spellEnd"/>
      <w:r w:rsidRPr="00E364AD">
        <w:t xml:space="preserve"> </w:t>
      </w:r>
      <w:proofErr w:type="gramStart"/>
      <w:r w:rsidRPr="00E364AD">
        <w:t xml:space="preserve">=  </w:t>
      </w:r>
      <w:proofErr w:type="spellStart"/>
      <w:r w:rsidRPr="00E364AD">
        <w:t>D</w:t>
      </w:r>
      <w:r w:rsidR="008D4CDB">
        <w:t>S</w:t>
      </w:r>
      <w:r w:rsidRPr="00E364AD">
        <w:t>IAt</w:t>
      </w:r>
      <w:proofErr w:type="spellEnd"/>
      <w:proofErr w:type="gramEnd"/>
      <w:r w:rsidRPr="00E364AD">
        <w:t xml:space="preserve"> - </w:t>
      </w:r>
      <w:proofErr w:type="spellStart"/>
      <w:r w:rsidRPr="00E364AD">
        <w:t>D</w:t>
      </w:r>
      <w:r w:rsidR="008D4CDB">
        <w:t>S</w:t>
      </w:r>
      <w:r w:rsidRPr="00E364AD">
        <w:t>IRt</w:t>
      </w:r>
      <w:proofErr w:type="spellEnd"/>
    </w:p>
    <w:p w14:paraId="39A44947" w14:textId="77777777" w:rsidR="00E364AD" w:rsidRPr="00E364AD" w:rsidRDefault="00E364AD" w:rsidP="003F66DB">
      <w:pPr>
        <w:ind w:left="720"/>
      </w:pPr>
      <w:r>
        <w:t>where:</w:t>
      </w:r>
    </w:p>
    <w:p w14:paraId="6E9BF9A3" w14:textId="1A011374" w:rsidR="00E364AD" w:rsidRPr="00E364AD" w:rsidRDefault="00E364AD" w:rsidP="003F66DB">
      <w:pPr>
        <w:ind w:left="720"/>
      </w:pPr>
      <w:proofErr w:type="spellStart"/>
      <w:r>
        <w:t>D</w:t>
      </w:r>
      <w:r w:rsidR="008D4CDB">
        <w:t>S</w:t>
      </w:r>
      <w:r w:rsidRPr="00E364AD">
        <w:t>IAt</w:t>
      </w:r>
      <w:proofErr w:type="spellEnd"/>
      <w:r w:rsidRPr="00E364AD">
        <w:tab/>
        <w:t>means the</w:t>
      </w:r>
      <w:r w:rsidR="00BB1781">
        <w:t xml:space="preserve"> sum of</w:t>
      </w:r>
      <w:r w:rsidRPr="00E364AD">
        <w:t xml:space="preserve"> allowances in Appendix 1</w:t>
      </w:r>
      <w:r w:rsidR="00170AE8">
        <w:t>; and</w:t>
      </w:r>
      <w:r w:rsidRPr="00E364AD">
        <w:t xml:space="preserve"> </w:t>
      </w:r>
    </w:p>
    <w:p w14:paraId="70C4E20A" w14:textId="3653FC51" w:rsidR="00E364AD" w:rsidRPr="00E364AD" w:rsidRDefault="00E364AD" w:rsidP="003F66DB">
      <w:pPr>
        <w:ind w:left="720"/>
      </w:pPr>
      <w:proofErr w:type="spellStart"/>
      <w:r>
        <w:t>D</w:t>
      </w:r>
      <w:r w:rsidR="008D4CDB">
        <w:t>S</w:t>
      </w:r>
      <w:r w:rsidRPr="00E364AD">
        <w:t>IRt</w:t>
      </w:r>
      <w:proofErr w:type="spellEnd"/>
      <w:r w:rsidRPr="00E364AD">
        <w:tab/>
        <w:t>has the value of zero, unless otherwise directed by the Authority in accordance with Part C</w:t>
      </w:r>
      <w:r w:rsidR="00170AE8">
        <w:t>.</w:t>
      </w:r>
    </w:p>
    <w:p w14:paraId="4C209557" w14:textId="29730AAC" w:rsidR="00E364AD" w:rsidRPr="00AE57AC" w:rsidRDefault="00E364AD" w:rsidP="002C245D">
      <w:pPr>
        <w:pStyle w:val="Heading3"/>
      </w:pPr>
      <w:r>
        <w:t>What is the licensee funded to deliver?</w:t>
      </w:r>
    </w:p>
    <w:p w14:paraId="47E725F1" w14:textId="77777777" w:rsidR="00BB1781" w:rsidRPr="00614C21" w:rsidRDefault="00BB1781" w:rsidP="00BB1781">
      <w:pPr>
        <w:pStyle w:val="NumberedNormal"/>
      </w:pPr>
      <w:r>
        <w:t>Appendix 1 specifies the outputs that the licensee is funded to deliver, the delivery dates for those outputs and the allowances provided.</w:t>
      </w:r>
    </w:p>
    <w:p w14:paraId="492C6254" w14:textId="4F038B96" w:rsidR="00E364AD" w:rsidRDefault="00E364AD" w:rsidP="002C245D">
      <w:pPr>
        <w:pStyle w:val="Heading3"/>
      </w:pPr>
      <w:r>
        <w:t>Assessment of outputs</w:t>
      </w:r>
      <w:r w:rsidR="00BB1781">
        <w:t xml:space="preserve"> (</w:t>
      </w:r>
      <w:proofErr w:type="spellStart"/>
      <w:r w:rsidR="00BB1781">
        <w:t>D</w:t>
      </w:r>
      <w:r w:rsidR="008D4CDB">
        <w:t>S</w:t>
      </w:r>
      <w:r w:rsidR="00BB1781">
        <w:t>IRt</w:t>
      </w:r>
      <w:proofErr w:type="spellEnd"/>
      <w:r w:rsidR="00BB1781">
        <w:t>)</w:t>
      </w:r>
    </w:p>
    <w:p w14:paraId="033777AB" w14:textId="560EE35D" w:rsidR="00BB1781" w:rsidRPr="00614C21" w:rsidRDefault="00BB1781" w:rsidP="00BB1781">
      <w:pPr>
        <w:pStyle w:val="NumberedNormal"/>
      </w:pPr>
      <w:r>
        <w:t>The Authority will</w:t>
      </w:r>
      <w:r w:rsidR="00CE32B7">
        <w:t>, in accordance with the PCD Reporting Requirements and Methodology Document,</w:t>
      </w:r>
      <w:r>
        <w:t xml:space="preserve"> consider directing a value for </w:t>
      </w:r>
      <w:proofErr w:type="spellStart"/>
      <w:r>
        <w:t>D</w:t>
      </w:r>
      <w:r w:rsidR="008D4CDB">
        <w:t>S</w:t>
      </w:r>
      <w:r>
        <w:t>IRt</w:t>
      </w:r>
      <w:proofErr w:type="spellEnd"/>
      <w:r>
        <w:t xml:space="preserve"> where the licensee has not Fully Delivered an output in Appendix 1.</w:t>
      </w:r>
    </w:p>
    <w:p w14:paraId="4B07E523" w14:textId="5AFAA09E" w:rsidR="00E364AD" w:rsidRPr="00AE57AC" w:rsidRDefault="00E364AD" w:rsidP="002C245D">
      <w:pPr>
        <w:pStyle w:val="Heading3"/>
      </w:pPr>
      <w:r>
        <w:t>What process will the Authority follow in</w:t>
      </w:r>
      <w:r w:rsidRPr="002902B4">
        <w:t xml:space="preserve"> making a direction</w:t>
      </w:r>
      <w:r>
        <w:t>?</w:t>
      </w:r>
    </w:p>
    <w:p w14:paraId="08EE5B51" w14:textId="41DD4BBC" w:rsidR="00E364AD" w:rsidRPr="00E364AD" w:rsidRDefault="00E364AD" w:rsidP="002C245D">
      <w:pPr>
        <w:pStyle w:val="NumberedNormal"/>
      </w:pPr>
      <w:r>
        <w:t xml:space="preserve">Before making a direction under paragraph </w:t>
      </w:r>
      <w:r w:rsidR="00170AE8">
        <w:t>3.11.</w:t>
      </w:r>
      <w:r>
        <w:t>6</w:t>
      </w:r>
      <w:r w:rsidRPr="00E364AD">
        <w:t>, the Authority will publish on the Authority's Website:</w:t>
      </w:r>
    </w:p>
    <w:p w14:paraId="3B31DF9C" w14:textId="77777777" w:rsidR="00E364AD" w:rsidRPr="00E364AD" w:rsidRDefault="00E364AD" w:rsidP="002C245D">
      <w:pPr>
        <w:pStyle w:val="ListNormal"/>
      </w:pPr>
      <w:r>
        <w:t xml:space="preserve">the text of the proposed </w:t>
      </w:r>
      <w:proofErr w:type="gramStart"/>
      <w:r>
        <w:t>direction;</w:t>
      </w:r>
      <w:proofErr w:type="gramEnd"/>
    </w:p>
    <w:p w14:paraId="035C2B75" w14:textId="45DD4CE1" w:rsidR="00E364AD" w:rsidRPr="00E364AD" w:rsidRDefault="00E364AD" w:rsidP="002C245D">
      <w:pPr>
        <w:pStyle w:val="ListNormal"/>
      </w:pPr>
      <w:r>
        <w:t>the reasons for the proposed direction;</w:t>
      </w:r>
      <w:r w:rsidR="00170AE8">
        <w:t xml:space="preserve"> and</w:t>
      </w:r>
    </w:p>
    <w:p w14:paraId="773F0921" w14:textId="484E1EC4" w:rsidR="00BB1781" w:rsidRPr="00E364AD" w:rsidRDefault="00BB1781" w:rsidP="00BB1781">
      <w:pPr>
        <w:pStyle w:val="ListNormal"/>
        <w:tabs>
          <w:tab w:val="num" w:pos="879"/>
        </w:tabs>
      </w:pPr>
      <w:r>
        <w:t>a period during which representations may be made on the proposed direction, which will not be less than 28 days.</w:t>
      </w:r>
    </w:p>
    <w:p w14:paraId="332A464C" w14:textId="143559E1" w:rsidR="00E364AD" w:rsidRPr="00E364AD" w:rsidRDefault="00E364AD" w:rsidP="002C245D">
      <w:pPr>
        <w:pStyle w:val="NumberedNormal"/>
      </w:pPr>
      <w:r w:rsidRPr="00F7032E">
        <w:t>The</w:t>
      </w:r>
      <w:r w:rsidRPr="00E364AD">
        <w:t xml:space="preserve"> direction will set </w:t>
      </w:r>
      <w:r w:rsidR="000A3714">
        <w:t xml:space="preserve">out the </w:t>
      </w:r>
      <w:r w:rsidRPr="00E364AD">
        <w:t xml:space="preserve">value of the </w:t>
      </w:r>
      <w:proofErr w:type="spellStart"/>
      <w:r w:rsidRPr="00E364AD">
        <w:t>D</w:t>
      </w:r>
      <w:r w:rsidR="00D002D3">
        <w:t>S</w:t>
      </w:r>
      <w:r w:rsidRPr="00E364AD">
        <w:t>IRt</w:t>
      </w:r>
      <w:proofErr w:type="spellEnd"/>
      <w:r w:rsidRPr="00E364AD">
        <w:t xml:space="preserve"> term and the Regulatory Years to which those values relate.</w:t>
      </w:r>
    </w:p>
    <w:p w14:paraId="4A162C6B" w14:textId="73D0B2A7" w:rsidR="00E364AD" w:rsidRPr="00951250" w:rsidRDefault="00E364AD" w:rsidP="003459B8">
      <w:pPr>
        <w:pStyle w:val="AppendixHeading"/>
      </w:pPr>
      <w:bookmarkStart w:id="80" w:name="_Toc51798275"/>
      <w:bookmarkEnd w:id="80"/>
    </w:p>
    <w:p w14:paraId="4FB2DBF0" w14:textId="14CE78D0" w:rsidR="00E364AD" w:rsidRPr="004A521E" w:rsidRDefault="00E364AD" w:rsidP="00FF6C47">
      <w:pPr>
        <w:pStyle w:val="Caption"/>
      </w:pPr>
      <w:r>
        <w:t>Demand Related Infrastructure Price Control Deliverable</w:t>
      </w:r>
      <w:r w:rsidR="003459B8">
        <w:t xml:space="preserve"> [NGET]</w:t>
      </w:r>
    </w:p>
    <w:tbl>
      <w:tblPr>
        <w:tblStyle w:val="AppendixTable"/>
        <w:tblW w:w="5000" w:type="pct"/>
        <w:tblLook w:val="04A0" w:firstRow="1" w:lastRow="0" w:firstColumn="1" w:lastColumn="0" w:noHBand="0" w:noVBand="1"/>
      </w:tblPr>
      <w:tblGrid>
        <w:gridCol w:w="1519"/>
        <w:gridCol w:w="1321"/>
        <w:gridCol w:w="1172"/>
        <w:gridCol w:w="850"/>
        <w:gridCol w:w="850"/>
        <w:gridCol w:w="850"/>
        <w:gridCol w:w="850"/>
        <w:gridCol w:w="854"/>
        <w:gridCol w:w="760"/>
      </w:tblGrid>
      <w:tr w:rsidR="00E364AD" w:rsidRPr="00DE541A" w14:paraId="3E157E0D" w14:textId="77777777" w:rsidTr="00FF6C47">
        <w:trPr>
          <w:cnfStyle w:val="100000000000" w:firstRow="1" w:lastRow="0" w:firstColumn="0" w:lastColumn="0" w:oddVBand="0" w:evenVBand="0" w:oddHBand="0" w:evenHBand="0" w:firstRowFirstColumn="0" w:firstRowLastColumn="0" w:lastRowFirstColumn="0" w:lastRowLastColumn="0"/>
          <w:trHeight w:val="305"/>
        </w:trPr>
        <w:tc>
          <w:tcPr>
            <w:tcW w:w="841" w:type="pct"/>
          </w:tcPr>
          <w:p w14:paraId="3F4E79D1" w14:textId="77777777" w:rsidR="00E364AD" w:rsidRPr="00E364AD" w:rsidRDefault="00E364AD" w:rsidP="00E364AD">
            <w:r>
              <w:t>Scheme Name</w:t>
            </w:r>
          </w:p>
        </w:tc>
        <w:tc>
          <w:tcPr>
            <w:tcW w:w="731" w:type="pct"/>
          </w:tcPr>
          <w:p w14:paraId="40A42DA7" w14:textId="77777777" w:rsidR="00E364AD" w:rsidRPr="00E364AD" w:rsidRDefault="00E364AD" w:rsidP="00E364AD">
            <w:r>
              <w:t>Output</w:t>
            </w:r>
          </w:p>
        </w:tc>
        <w:tc>
          <w:tcPr>
            <w:tcW w:w="649" w:type="pct"/>
          </w:tcPr>
          <w:p w14:paraId="75783AA1" w14:textId="77777777" w:rsidR="00E364AD" w:rsidRPr="00E364AD" w:rsidRDefault="00E364AD" w:rsidP="00E364AD">
            <w:r>
              <w:t>Delivery Date</w:t>
            </w:r>
          </w:p>
        </w:tc>
        <w:tc>
          <w:tcPr>
            <w:tcW w:w="2357" w:type="pct"/>
            <w:gridSpan w:val="5"/>
          </w:tcPr>
          <w:p w14:paraId="206E1FF6" w14:textId="77777777" w:rsidR="00E364AD" w:rsidRPr="00E364AD" w:rsidRDefault="00E364AD" w:rsidP="00E364AD">
            <w:r>
              <w:t xml:space="preserve">Allowance </w:t>
            </w:r>
          </w:p>
        </w:tc>
        <w:tc>
          <w:tcPr>
            <w:tcW w:w="421" w:type="pct"/>
          </w:tcPr>
          <w:p w14:paraId="3BCCE261" w14:textId="77777777" w:rsidR="00E364AD" w:rsidRDefault="00E364AD" w:rsidP="00E364AD"/>
        </w:tc>
      </w:tr>
      <w:tr w:rsidR="00E364AD" w:rsidRPr="00D5104D" w14:paraId="46A9191F" w14:textId="77777777" w:rsidTr="00FF6C47">
        <w:trPr>
          <w:trHeight w:val="321"/>
        </w:trPr>
        <w:tc>
          <w:tcPr>
            <w:tcW w:w="841" w:type="pct"/>
          </w:tcPr>
          <w:p w14:paraId="59919841" w14:textId="77777777" w:rsidR="00E364AD" w:rsidRDefault="00E364AD" w:rsidP="00E364AD"/>
        </w:tc>
        <w:tc>
          <w:tcPr>
            <w:tcW w:w="731" w:type="pct"/>
          </w:tcPr>
          <w:p w14:paraId="418AE628" w14:textId="77777777" w:rsidR="00E364AD" w:rsidRPr="0082533A" w:rsidRDefault="00E364AD" w:rsidP="00E364AD"/>
        </w:tc>
        <w:tc>
          <w:tcPr>
            <w:tcW w:w="649" w:type="pct"/>
          </w:tcPr>
          <w:p w14:paraId="08AC5FA1" w14:textId="77777777" w:rsidR="00E364AD" w:rsidRPr="0082533A" w:rsidRDefault="00E364AD" w:rsidP="00E364AD"/>
        </w:tc>
        <w:tc>
          <w:tcPr>
            <w:tcW w:w="471" w:type="pct"/>
          </w:tcPr>
          <w:p w14:paraId="57DD67D2" w14:textId="77777777" w:rsidR="00E364AD" w:rsidRPr="00E364AD" w:rsidRDefault="00E364AD" w:rsidP="00E364AD">
            <w:r>
              <w:t>21/22</w:t>
            </w:r>
          </w:p>
        </w:tc>
        <w:tc>
          <w:tcPr>
            <w:tcW w:w="471" w:type="pct"/>
          </w:tcPr>
          <w:p w14:paraId="63E4D64D" w14:textId="77777777" w:rsidR="00E364AD" w:rsidRPr="00E364AD" w:rsidRDefault="00E364AD" w:rsidP="00E364AD">
            <w:r>
              <w:t>22/23</w:t>
            </w:r>
          </w:p>
        </w:tc>
        <w:tc>
          <w:tcPr>
            <w:tcW w:w="471" w:type="pct"/>
          </w:tcPr>
          <w:p w14:paraId="5CFE4135" w14:textId="77777777" w:rsidR="00E364AD" w:rsidRPr="00E364AD" w:rsidRDefault="00E364AD" w:rsidP="00E364AD">
            <w:r>
              <w:t>23/24</w:t>
            </w:r>
          </w:p>
        </w:tc>
        <w:tc>
          <w:tcPr>
            <w:tcW w:w="471" w:type="pct"/>
          </w:tcPr>
          <w:p w14:paraId="2118640D" w14:textId="77777777" w:rsidR="00E364AD" w:rsidRPr="00E364AD" w:rsidRDefault="00E364AD" w:rsidP="00E364AD">
            <w:r>
              <w:t>24/25</w:t>
            </w:r>
          </w:p>
        </w:tc>
        <w:tc>
          <w:tcPr>
            <w:tcW w:w="471" w:type="pct"/>
          </w:tcPr>
          <w:p w14:paraId="3FC2F960" w14:textId="77777777" w:rsidR="00E364AD" w:rsidRPr="00E364AD" w:rsidRDefault="00E364AD" w:rsidP="00E364AD">
            <w:r>
              <w:t>25/26</w:t>
            </w:r>
          </w:p>
        </w:tc>
        <w:tc>
          <w:tcPr>
            <w:tcW w:w="421" w:type="pct"/>
          </w:tcPr>
          <w:p w14:paraId="35E5A99F" w14:textId="77777777" w:rsidR="00E364AD" w:rsidRPr="00E364AD" w:rsidRDefault="00E364AD" w:rsidP="00E364AD">
            <w:r>
              <w:t>All years</w:t>
            </w:r>
          </w:p>
        </w:tc>
      </w:tr>
      <w:tr w:rsidR="00E364AD" w:rsidRPr="00D5104D" w14:paraId="1539930A" w14:textId="77777777" w:rsidTr="00FF6C47">
        <w:trPr>
          <w:trHeight w:val="321"/>
        </w:trPr>
        <w:tc>
          <w:tcPr>
            <w:tcW w:w="841" w:type="pct"/>
          </w:tcPr>
          <w:p w14:paraId="6035845D" w14:textId="1BB9BE69" w:rsidR="00E364AD" w:rsidRPr="00E364AD" w:rsidRDefault="001F5EC8" w:rsidP="00E364AD">
            <w:r>
              <w:t>[REDACTED]</w:t>
            </w:r>
          </w:p>
        </w:tc>
        <w:tc>
          <w:tcPr>
            <w:tcW w:w="731" w:type="pct"/>
          </w:tcPr>
          <w:p w14:paraId="0023D648" w14:textId="73C66E1F" w:rsidR="00E364AD" w:rsidRPr="00E364AD" w:rsidRDefault="00E364AD" w:rsidP="00E364AD"/>
        </w:tc>
        <w:tc>
          <w:tcPr>
            <w:tcW w:w="649" w:type="pct"/>
          </w:tcPr>
          <w:p w14:paraId="79E02A3F" w14:textId="3CDFE0F8" w:rsidR="00E364AD" w:rsidRPr="00E364AD" w:rsidRDefault="00E364AD" w:rsidP="00E364AD"/>
        </w:tc>
        <w:tc>
          <w:tcPr>
            <w:tcW w:w="471" w:type="pct"/>
          </w:tcPr>
          <w:p w14:paraId="27C1A588" w14:textId="77777777" w:rsidR="00E364AD" w:rsidRPr="0082533A" w:rsidRDefault="00E364AD" w:rsidP="00E364AD"/>
        </w:tc>
        <w:tc>
          <w:tcPr>
            <w:tcW w:w="471" w:type="pct"/>
          </w:tcPr>
          <w:p w14:paraId="4AF810D2" w14:textId="77777777" w:rsidR="00E364AD" w:rsidRPr="0082533A" w:rsidRDefault="00E364AD" w:rsidP="00E364AD"/>
        </w:tc>
        <w:tc>
          <w:tcPr>
            <w:tcW w:w="471" w:type="pct"/>
          </w:tcPr>
          <w:p w14:paraId="29AA2DE5" w14:textId="77777777" w:rsidR="00E364AD" w:rsidRPr="0082533A" w:rsidRDefault="00E364AD" w:rsidP="00E364AD"/>
        </w:tc>
        <w:tc>
          <w:tcPr>
            <w:tcW w:w="471" w:type="pct"/>
          </w:tcPr>
          <w:p w14:paraId="00AF695C" w14:textId="77777777" w:rsidR="00E364AD" w:rsidRPr="0082533A" w:rsidRDefault="00E364AD" w:rsidP="00E364AD"/>
        </w:tc>
        <w:tc>
          <w:tcPr>
            <w:tcW w:w="471" w:type="pct"/>
          </w:tcPr>
          <w:p w14:paraId="6469A69E" w14:textId="77777777" w:rsidR="00E364AD" w:rsidRPr="0082533A" w:rsidRDefault="00E364AD" w:rsidP="00E364AD"/>
        </w:tc>
        <w:tc>
          <w:tcPr>
            <w:tcW w:w="421" w:type="pct"/>
          </w:tcPr>
          <w:p w14:paraId="4429DE15" w14:textId="77777777" w:rsidR="00E364AD" w:rsidRPr="0082533A" w:rsidRDefault="00E364AD" w:rsidP="00E364AD"/>
        </w:tc>
      </w:tr>
      <w:tr w:rsidR="00E364AD" w:rsidRPr="00D5104D" w14:paraId="2541898C" w14:textId="77777777" w:rsidTr="00FF6C47">
        <w:trPr>
          <w:trHeight w:val="321"/>
        </w:trPr>
        <w:tc>
          <w:tcPr>
            <w:tcW w:w="841" w:type="pct"/>
          </w:tcPr>
          <w:p w14:paraId="5CCA9E14" w14:textId="36E04BC9" w:rsidR="00E364AD" w:rsidRPr="00E364AD" w:rsidRDefault="00E364AD" w:rsidP="00E364AD"/>
        </w:tc>
        <w:tc>
          <w:tcPr>
            <w:tcW w:w="731" w:type="pct"/>
          </w:tcPr>
          <w:p w14:paraId="641F4EFD" w14:textId="69AD4295" w:rsidR="00E364AD" w:rsidRPr="00E364AD" w:rsidRDefault="00E364AD" w:rsidP="00E364AD"/>
        </w:tc>
        <w:tc>
          <w:tcPr>
            <w:tcW w:w="649" w:type="pct"/>
          </w:tcPr>
          <w:p w14:paraId="20262511" w14:textId="0419B7CF" w:rsidR="00E364AD" w:rsidRPr="00E364AD" w:rsidRDefault="00E364AD" w:rsidP="00E364AD"/>
        </w:tc>
        <w:tc>
          <w:tcPr>
            <w:tcW w:w="471" w:type="pct"/>
          </w:tcPr>
          <w:p w14:paraId="7268B8E4" w14:textId="77777777" w:rsidR="00E364AD" w:rsidRPr="00D5104D" w:rsidRDefault="00E364AD" w:rsidP="00E364AD"/>
        </w:tc>
        <w:tc>
          <w:tcPr>
            <w:tcW w:w="471" w:type="pct"/>
          </w:tcPr>
          <w:p w14:paraId="3689FA1D" w14:textId="77777777" w:rsidR="00E364AD" w:rsidRPr="00D5104D" w:rsidRDefault="00E364AD" w:rsidP="00E364AD"/>
        </w:tc>
        <w:tc>
          <w:tcPr>
            <w:tcW w:w="471" w:type="pct"/>
          </w:tcPr>
          <w:p w14:paraId="664D0AF7" w14:textId="77777777" w:rsidR="00E364AD" w:rsidRPr="00D5104D" w:rsidRDefault="00E364AD" w:rsidP="00E364AD"/>
        </w:tc>
        <w:tc>
          <w:tcPr>
            <w:tcW w:w="471" w:type="pct"/>
          </w:tcPr>
          <w:p w14:paraId="34AA9D2B" w14:textId="77777777" w:rsidR="00E364AD" w:rsidRPr="00D5104D" w:rsidRDefault="00E364AD" w:rsidP="00E364AD"/>
        </w:tc>
        <w:tc>
          <w:tcPr>
            <w:tcW w:w="471" w:type="pct"/>
          </w:tcPr>
          <w:p w14:paraId="105C42A1" w14:textId="77777777" w:rsidR="00E364AD" w:rsidRPr="00D5104D" w:rsidRDefault="00E364AD" w:rsidP="00E364AD"/>
        </w:tc>
        <w:tc>
          <w:tcPr>
            <w:tcW w:w="421" w:type="pct"/>
          </w:tcPr>
          <w:p w14:paraId="3E74E352" w14:textId="77777777" w:rsidR="00E364AD" w:rsidRPr="00D5104D" w:rsidRDefault="00E364AD" w:rsidP="00E364AD"/>
        </w:tc>
      </w:tr>
      <w:tr w:rsidR="00E364AD" w:rsidRPr="00D5104D" w14:paraId="672F4478" w14:textId="77777777" w:rsidTr="00FF6C47">
        <w:trPr>
          <w:trHeight w:val="321"/>
        </w:trPr>
        <w:tc>
          <w:tcPr>
            <w:tcW w:w="841" w:type="pct"/>
          </w:tcPr>
          <w:p w14:paraId="5E4681A5" w14:textId="41AD845E" w:rsidR="00E364AD" w:rsidRPr="00E364AD" w:rsidRDefault="00E364AD" w:rsidP="00E364AD"/>
        </w:tc>
        <w:tc>
          <w:tcPr>
            <w:tcW w:w="731" w:type="pct"/>
          </w:tcPr>
          <w:p w14:paraId="51E88336" w14:textId="7AD7BE54" w:rsidR="00E364AD" w:rsidRPr="00E364AD" w:rsidRDefault="00E364AD" w:rsidP="00E364AD"/>
        </w:tc>
        <w:tc>
          <w:tcPr>
            <w:tcW w:w="649" w:type="pct"/>
          </w:tcPr>
          <w:p w14:paraId="5FFE9A83" w14:textId="55C828F2" w:rsidR="00E364AD" w:rsidRPr="00E364AD" w:rsidRDefault="00E364AD" w:rsidP="00E364AD"/>
        </w:tc>
        <w:tc>
          <w:tcPr>
            <w:tcW w:w="471" w:type="pct"/>
          </w:tcPr>
          <w:p w14:paraId="457A8302" w14:textId="77777777" w:rsidR="00E364AD" w:rsidRPr="00D5104D" w:rsidRDefault="00E364AD" w:rsidP="00E364AD"/>
        </w:tc>
        <w:tc>
          <w:tcPr>
            <w:tcW w:w="471" w:type="pct"/>
          </w:tcPr>
          <w:p w14:paraId="0800C164" w14:textId="77777777" w:rsidR="00E364AD" w:rsidRPr="00D5104D" w:rsidRDefault="00E364AD" w:rsidP="00E364AD"/>
        </w:tc>
        <w:tc>
          <w:tcPr>
            <w:tcW w:w="471" w:type="pct"/>
          </w:tcPr>
          <w:p w14:paraId="2007CEC1" w14:textId="77777777" w:rsidR="00E364AD" w:rsidRPr="00D5104D" w:rsidRDefault="00E364AD" w:rsidP="00E364AD"/>
        </w:tc>
        <w:tc>
          <w:tcPr>
            <w:tcW w:w="471" w:type="pct"/>
          </w:tcPr>
          <w:p w14:paraId="66938925" w14:textId="77777777" w:rsidR="00E364AD" w:rsidRPr="00D5104D" w:rsidRDefault="00E364AD" w:rsidP="00E364AD"/>
        </w:tc>
        <w:tc>
          <w:tcPr>
            <w:tcW w:w="471" w:type="pct"/>
          </w:tcPr>
          <w:p w14:paraId="450131C6" w14:textId="77777777" w:rsidR="00E364AD" w:rsidRPr="00D5104D" w:rsidRDefault="00E364AD" w:rsidP="00E364AD"/>
        </w:tc>
        <w:tc>
          <w:tcPr>
            <w:tcW w:w="421" w:type="pct"/>
          </w:tcPr>
          <w:p w14:paraId="59DF50E5" w14:textId="77777777" w:rsidR="00E364AD" w:rsidRPr="00D5104D" w:rsidRDefault="00E364AD" w:rsidP="00E364AD"/>
        </w:tc>
      </w:tr>
      <w:tr w:rsidR="00E364AD" w:rsidRPr="00D5104D" w14:paraId="1410E7E5" w14:textId="77777777" w:rsidTr="00FF6C47">
        <w:trPr>
          <w:trHeight w:val="321"/>
        </w:trPr>
        <w:tc>
          <w:tcPr>
            <w:tcW w:w="841" w:type="pct"/>
          </w:tcPr>
          <w:p w14:paraId="1B62A349" w14:textId="39540D14" w:rsidR="00E364AD" w:rsidRPr="00E364AD" w:rsidRDefault="00E364AD" w:rsidP="00E364AD"/>
        </w:tc>
        <w:tc>
          <w:tcPr>
            <w:tcW w:w="731" w:type="pct"/>
          </w:tcPr>
          <w:p w14:paraId="321EEC61" w14:textId="19C1C29F" w:rsidR="00E364AD" w:rsidRPr="00E364AD" w:rsidRDefault="00E364AD" w:rsidP="00E364AD"/>
        </w:tc>
        <w:tc>
          <w:tcPr>
            <w:tcW w:w="649" w:type="pct"/>
          </w:tcPr>
          <w:p w14:paraId="675F1C4E" w14:textId="38BBDAB2" w:rsidR="00E364AD" w:rsidRPr="00E364AD" w:rsidRDefault="00E364AD" w:rsidP="00E364AD"/>
        </w:tc>
        <w:tc>
          <w:tcPr>
            <w:tcW w:w="471" w:type="pct"/>
          </w:tcPr>
          <w:p w14:paraId="46CDB8B9" w14:textId="77777777" w:rsidR="00E364AD" w:rsidRPr="00D5104D" w:rsidRDefault="00E364AD" w:rsidP="00E364AD"/>
        </w:tc>
        <w:tc>
          <w:tcPr>
            <w:tcW w:w="471" w:type="pct"/>
          </w:tcPr>
          <w:p w14:paraId="5D34699F" w14:textId="77777777" w:rsidR="00E364AD" w:rsidRPr="00D5104D" w:rsidRDefault="00E364AD" w:rsidP="00E364AD"/>
        </w:tc>
        <w:tc>
          <w:tcPr>
            <w:tcW w:w="471" w:type="pct"/>
          </w:tcPr>
          <w:p w14:paraId="3EC4DF7D" w14:textId="77777777" w:rsidR="00E364AD" w:rsidRPr="00D5104D" w:rsidRDefault="00E364AD" w:rsidP="00E364AD"/>
        </w:tc>
        <w:tc>
          <w:tcPr>
            <w:tcW w:w="471" w:type="pct"/>
          </w:tcPr>
          <w:p w14:paraId="21BE9960" w14:textId="77777777" w:rsidR="00E364AD" w:rsidRPr="00D5104D" w:rsidRDefault="00E364AD" w:rsidP="00E364AD"/>
        </w:tc>
        <w:tc>
          <w:tcPr>
            <w:tcW w:w="471" w:type="pct"/>
          </w:tcPr>
          <w:p w14:paraId="280EBEFC" w14:textId="77777777" w:rsidR="00E364AD" w:rsidRPr="00D5104D" w:rsidRDefault="00E364AD" w:rsidP="00E364AD"/>
        </w:tc>
        <w:tc>
          <w:tcPr>
            <w:tcW w:w="421" w:type="pct"/>
          </w:tcPr>
          <w:p w14:paraId="58C18B7C" w14:textId="77777777" w:rsidR="00E364AD" w:rsidRPr="00D5104D" w:rsidRDefault="00E364AD" w:rsidP="00E364AD"/>
        </w:tc>
      </w:tr>
      <w:tr w:rsidR="00E364AD" w:rsidRPr="00D5104D" w14:paraId="6D1F8573" w14:textId="77777777" w:rsidTr="00FF6C47">
        <w:trPr>
          <w:trHeight w:val="321"/>
        </w:trPr>
        <w:tc>
          <w:tcPr>
            <w:tcW w:w="841" w:type="pct"/>
          </w:tcPr>
          <w:p w14:paraId="679CF97B" w14:textId="002969D5" w:rsidR="00E364AD" w:rsidRPr="00E364AD" w:rsidRDefault="00E364AD" w:rsidP="00E364AD"/>
        </w:tc>
        <w:tc>
          <w:tcPr>
            <w:tcW w:w="731" w:type="pct"/>
          </w:tcPr>
          <w:p w14:paraId="0C1BD3DB" w14:textId="0AABE97F" w:rsidR="00E364AD" w:rsidRPr="00E364AD" w:rsidRDefault="00E364AD" w:rsidP="00E364AD"/>
        </w:tc>
        <w:tc>
          <w:tcPr>
            <w:tcW w:w="649" w:type="pct"/>
          </w:tcPr>
          <w:p w14:paraId="229B28D1" w14:textId="68867E65" w:rsidR="00E364AD" w:rsidRPr="00E364AD" w:rsidRDefault="00E364AD" w:rsidP="00E364AD"/>
        </w:tc>
        <w:tc>
          <w:tcPr>
            <w:tcW w:w="471" w:type="pct"/>
          </w:tcPr>
          <w:p w14:paraId="35798C81" w14:textId="77777777" w:rsidR="00E364AD" w:rsidRPr="00D5104D" w:rsidRDefault="00E364AD" w:rsidP="00E364AD"/>
        </w:tc>
        <w:tc>
          <w:tcPr>
            <w:tcW w:w="471" w:type="pct"/>
          </w:tcPr>
          <w:p w14:paraId="130FFBA5" w14:textId="77777777" w:rsidR="00E364AD" w:rsidRPr="00D5104D" w:rsidRDefault="00E364AD" w:rsidP="00E364AD"/>
        </w:tc>
        <w:tc>
          <w:tcPr>
            <w:tcW w:w="471" w:type="pct"/>
          </w:tcPr>
          <w:p w14:paraId="6735A70E" w14:textId="77777777" w:rsidR="00E364AD" w:rsidRPr="00D5104D" w:rsidRDefault="00E364AD" w:rsidP="00E364AD"/>
        </w:tc>
        <w:tc>
          <w:tcPr>
            <w:tcW w:w="471" w:type="pct"/>
          </w:tcPr>
          <w:p w14:paraId="1056B42F" w14:textId="77777777" w:rsidR="00E364AD" w:rsidRPr="00D5104D" w:rsidRDefault="00E364AD" w:rsidP="00E364AD"/>
        </w:tc>
        <w:tc>
          <w:tcPr>
            <w:tcW w:w="471" w:type="pct"/>
          </w:tcPr>
          <w:p w14:paraId="694B185C" w14:textId="77777777" w:rsidR="00E364AD" w:rsidRPr="00D5104D" w:rsidRDefault="00E364AD" w:rsidP="00E364AD"/>
        </w:tc>
        <w:tc>
          <w:tcPr>
            <w:tcW w:w="421" w:type="pct"/>
          </w:tcPr>
          <w:p w14:paraId="00F25E7D" w14:textId="77777777" w:rsidR="00E364AD" w:rsidRPr="00D5104D" w:rsidRDefault="00E364AD" w:rsidP="00E364AD"/>
        </w:tc>
      </w:tr>
      <w:tr w:rsidR="00E364AD" w:rsidRPr="00D5104D" w14:paraId="2C531F78" w14:textId="77777777" w:rsidTr="00FF6C47">
        <w:trPr>
          <w:trHeight w:val="321"/>
        </w:trPr>
        <w:tc>
          <w:tcPr>
            <w:tcW w:w="841" w:type="pct"/>
          </w:tcPr>
          <w:p w14:paraId="6D4F74C7" w14:textId="3D885DFE" w:rsidR="00E364AD" w:rsidRPr="00E364AD" w:rsidRDefault="00E364AD" w:rsidP="00E364AD"/>
        </w:tc>
        <w:tc>
          <w:tcPr>
            <w:tcW w:w="731" w:type="pct"/>
          </w:tcPr>
          <w:p w14:paraId="1C3FE02B" w14:textId="249D31B3" w:rsidR="00E364AD" w:rsidRPr="00E364AD" w:rsidRDefault="00E364AD" w:rsidP="00E364AD"/>
        </w:tc>
        <w:tc>
          <w:tcPr>
            <w:tcW w:w="649" w:type="pct"/>
          </w:tcPr>
          <w:p w14:paraId="59879E6C" w14:textId="4FCDC8CD" w:rsidR="00E364AD" w:rsidRPr="00E364AD" w:rsidRDefault="00E364AD" w:rsidP="00E364AD"/>
        </w:tc>
        <w:tc>
          <w:tcPr>
            <w:tcW w:w="471" w:type="pct"/>
          </w:tcPr>
          <w:p w14:paraId="42D5760B" w14:textId="77777777" w:rsidR="00E364AD" w:rsidRPr="00D5104D" w:rsidRDefault="00E364AD" w:rsidP="00E364AD"/>
        </w:tc>
        <w:tc>
          <w:tcPr>
            <w:tcW w:w="471" w:type="pct"/>
          </w:tcPr>
          <w:p w14:paraId="121E518D" w14:textId="77777777" w:rsidR="00E364AD" w:rsidRPr="00D5104D" w:rsidRDefault="00E364AD" w:rsidP="00E364AD"/>
        </w:tc>
        <w:tc>
          <w:tcPr>
            <w:tcW w:w="471" w:type="pct"/>
          </w:tcPr>
          <w:p w14:paraId="302B41A0" w14:textId="77777777" w:rsidR="00E364AD" w:rsidRPr="00D5104D" w:rsidRDefault="00E364AD" w:rsidP="00E364AD"/>
        </w:tc>
        <w:tc>
          <w:tcPr>
            <w:tcW w:w="471" w:type="pct"/>
          </w:tcPr>
          <w:p w14:paraId="068161D5" w14:textId="77777777" w:rsidR="00E364AD" w:rsidRPr="00D5104D" w:rsidRDefault="00E364AD" w:rsidP="00E364AD"/>
        </w:tc>
        <w:tc>
          <w:tcPr>
            <w:tcW w:w="471" w:type="pct"/>
          </w:tcPr>
          <w:p w14:paraId="2C92DF87" w14:textId="77777777" w:rsidR="00E364AD" w:rsidRPr="00D5104D" w:rsidRDefault="00E364AD" w:rsidP="00E364AD"/>
        </w:tc>
        <w:tc>
          <w:tcPr>
            <w:tcW w:w="421" w:type="pct"/>
          </w:tcPr>
          <w:p w14:paraId="19960BE5" w14:textId="77777777" w:rsidR="00E364AD" w:rsidRPr="00D5104D" w:rsidRDefault="00E364AD" w:rsidP="00E364AD"/>
        </w:tc>
      </w:tr>
      <w:tr w:rsidR="00E364AD" w:rsidRPr="00D5104D" w14:paraId="7F638424" w14:textId="77777777" w:rsidTr="00FF6C47">
        <w:trPr>
          <w:trHeight w:val="321"/>
        </w:trPr>
        <w:tc>
          <w:tcPr>
            <w:tcW w:w="841" w:type="pct"/>
          </w:tcPr>
          <w:p w14:paraId="0BEAF8D1" w14:textId="38228182" w:rsidR="00E364AD" w:rsidRPr="00E364AD" w:rsidRDefault="00E364AD" w:rsidP="00E364AD"/>
        </w:tc>
        <w:tc>
          <w:tcPr>
            <w:tcW w:w="731" w:type="pct"/>
          </w:tcPr>
          <w:p w14:paraId="50582292" w14:textId="6C4542D9" w:rsidR="00E364AD" w:rsidRPr="00E364AD" w:rsidRDefault="00E364AD" w:rsidP="00E364AD"/>
        </w:tc>
        <w:tc>
          <w:tcPr>
            <w:tcW w:w="649" w:type="pct"/>
          </w:tcPr>
          <w:p w14:paraId="6033212A" w14:textId="338ABB6E" w:rsidR="00E364AD" w:rsidRPr="00E364AD" w:rsidRDefault="00E364AD" w:rsidP="00E364AD"/>
        </w:tc>
        <w:tc>
          <w:tcPr>
            <w:tcW w:w="471" w:type="pct"/>
          </w:tcPr>
          <w:p w14:paraId="248C3834" w14:textId="77777777" w:rsidR="00E364AD" w:rsidRPr="00D5104D" w:rsidRDefault="00E364AD" w:rsidP="00E364AD"/>
        </w:tc>
        <w:tc>
          <w:tcPr>
            <w:tcW w:w="471" w:type="pct"/>
          </w:tcPr>
          <w:p w14:paraId="3254E49B" w14:textId="77777777" w:rsidR="00E364AD" w:rsidRPr="00D5104D" w:rsidRDefault="00E364AD" w:rsidP="00E364AD"/>
        </w:tc>
        <w:tc>
          <w:tcPr>
            <w:tcW w:w="471" w:type="pct"/>
          </w:tcPr>
          <w:p w14:paraId="7DD2CD3F" w14:textId="77777777" w:rsidR="00E364AD" w:rsidRPr="00D5104D" w:rsidRDefault="00E364AD" w:rsidP="00E364AD"/>
        </w:tc>
        <w:tc>
          <w:tcPr>
            <w:tcW w:w="471" w:type="pct"/>
          </w:tcPr>
          <w:p w14:paraId="1B18D9E8" w14:textId="77777777" w:rsidR="00E364AD" w:rsidRPr="00D5104D" w:rsidRDefault="00E364AD" w:rsidP="00E364AD"/>
        </w:tc>
        <w:tc>
          <w:tcPr>
            <w:tcW w:w="471" w:type="pct"/>
          </w:tcPr>
          <w:p w14:paraId="236C620A" w14:textId="77777777" w:rsidR="00E364AD" w:rsidRPr="00D5104D" w:rsidRDefault="00E364AD" w:rsidP="00E364AD"/>
        </w:tc>
        <w:tc>
          <w:tcPr>
            <w:tcW w:w="421" w:type="pct"/>
          </w:tcPr>
          <w:p w14:paraId="0FF9DB6C" w14:textId="77777777" w:rsidR="00E364AD" w:rsidRPr="00D5104D" w:rsidRDefault="00E364AD" w:rsidP="00E364AD"/>
        </w:tc>
      </w:tr>
      <w:tr w:rsidR="00E364AD" w:rsidRPr="00D5104D" w14:paraId="132A7AFB" w14:textId="77777777" w:rsidTr="00FF6C47">
        <w:trPr>
          <w:trHeight w:val="321"/>
        </w:trPr>
        <w:tc>
          <w:tcPr>
            <w:tcW w:w="841" w:type="pct"/>
          </w:tcPr>
          <w:p w14:paraId="27D144FA" w14:textId="6F5A1577" w:rsidR="00E364AD" w:rsidRPr="00E364AD" w:rsidRDefault="00E364AD" w:rsidP="00E364AD"/>
        </w:tc>
        <w:tc>
          <w:tcPr>
            <w:tcW w:w="731" w:type="pct"/>
          </w:tcPr>
          <w:p w14:paraId="224FF3E1" w14:textId="0C7E9656" w:rsidR="00E364AD" w:rsidRPr="00E364AD" w:rsidRDefault="00E364AD" w:rsidP="00E364AD"/>
        </w:tc>
        <w:tc>
          <w:tcPr>
            <w:tcW w:w="649" w:type="pct"/>
          </w:tcPr>
          <w:p w14:paraId="704BB608" w14:textId="1ECF29AD" w:rsidR="00E364AD" w:rsidRPr="00E364AD" w:rsidRDefault="00E364AD" w:rsidP="00E364AD"/>
        </w:tc>
        <w:tc>
          <w:tcPr>
            <w:tcW w:w="471" w:type="pct"/>
          </w:tcPr>
          <w:p w14:paraId="2393530F" w14:textId="77777777" w:rsidR="00E364AD" w:rsidRPr="00D5104D" w:rsidRDefault="00E364AD" w:rsidP="00E364AD"/>
        </w:tc>
        <w:tc>
          <w:tcPr>
            <w:tcW w:w="471" w:type="pct"/>
          </w:tcPr>
          <w:p w14:paraId="65E62D8E" w14:textId="77777777" w:rsidR="00E364AD" w:rsidRPr="00D5104D" w:rsidRDefault="00E364AD" w:rsidP="00E364AD"/>
        </w:tc>
        <w:tc>
          <w:tcPr>
            <w:tcW w:w="471" w:type="pct"/>
          </w:tcPr>
          <w:p w14:paraId="4A6E88E3" w14:textId="77777777" w:rsidR="00E364AD" w:rsidRPr="00D5104D" w:rsidRDefault="00E364AD" w:rsidP="00E364AD"/>
        </w:tc>
        <w:tc>
          <w:tcPr>
            <w:tcW w:w="471" w:type="pct"/>
          </w:tcPr>
          <w:p w14:paraId="0D864050" w14:textId="77777777" w:rsidR="00E364AD" w:rsidRPr="00D5104D" w:rsidRDefault="00E364AD" w:rsidP="00E364AD"/>
        </w:tc>
        <w:tc>
          <w:tcPr>
            <w:tcW w:w="471" w:type="pct"/>
          </w:tcPr>
          <w:p w14:paraId="725DFA5A" w14:textId="77777777" w:rsidR="00E364AD" w:rsidRPr="00D5104D" w:rsidRDefault="00E364AD" w:rsidP="00E364AD"/>
        </w:tc>
        <w:tc>
          <w:tcPr>
            <w:tcW w:w="421" w:type="pct"/>
          </w:tcPr>
          <w:p w14:paraId="1A5A3EDE" w14:textId="77777777" w:rsidR="00E364AD" w:rsidRPr="00D5104D" w:rsidRDefault="00E364AD" w:rsidP="00E364AD"/>
        </w:tc>
      </w:tr>
      <w:tr w:rsidR="00E364AD" w:rsidRPr="00D5104D" w14:paraId="635CCBB4" w14:textId="77777777" w:rsidTr="00FF6C47">
        <w:trPr>
          <w:trHeight w:val="321"/>
        </w:trPr>
        <w:tc>
          <w:tcPr>
            <w:tcW w:w="841" w:type="pct"/>
          </w:tcPr>
          <w:p w14:paraId="5FBCA8BA" w14:textId="37C2854C" w:rsidR="00E364AD" w:rsidRPr="00E364AD" w:rsidRDefault="00E364AD" w:rsidP="00E364AD"/>
        </w:tc>
        <w:tc>
          <w:tcPr>
            <w:tcW w:w="731" w:type="pct"/>
          </w:tcPr>
          <w:p w14:paraId="63A1D497" w14:textId="20E2CC40" w:rsidR="00E364AD" w:rsidRPr="00E364AD" w:rsidRDefault="00E364AD" w:rsidP="00E364AD"/>
        </w:tc>
        <w:tc>
          <w:tcPr>
            <w:tcW w:w="649" w:type="pct"/>
          </w:tcPr>
          <w:p w14:paraId="526589B5" w14:textId="6DF66738" w:rsidR="00E364AD" w:rsidRPr="00E364AD" w:rsidRDefault="00E364AD" w:rsidP="00E364AD"/>
        </w:tc>
        <w:tc>
          <w:tcPr>
            <w:tcW w:w="471" w:type="pct"/>
          </w:tcPr>
          <w:p w14:paraId="1C60D154" w14:textId="77777777" w:rsidR="00E364AD" w:rsidRPr="00D5104D" w:rsidRDefault="00E364AD" w:rsidP="00E364AD"/>
        </w:tc>
        <w:tc>
          <w:tcPr>
            <w:tcW w:w="471" w:type="pct"/>
          </w:tcPr>
          <w:p w14:paraId="494B3E8F" w14:textId="77777777" w:rsidR="00E364AD" w:rsidRPr="00D5104D" w:rsidRDefault="00E364AD" w:rsidP="00E364AD"/>
        </w:tc>
        <w:tc>
          <w:tcPr>
            <w:tcW w:w="471" w:type="pct"/>
          </w:tcPr>
          <w:p w14:paraId="66ABD2E2" w14:textId="77777777" w:rsidR="00E364AD" w:rsidRPr="00D5104D" w:rsidRDefault="00E364AD" w:rsidP="00E364AD"/>
        </w:tc>
        <w:tc>
          <w:tcPr>
            <w:tcW w:w="471" w:type="pct"/>
          </w:tcPr>
          <w:p w14:paraId="68C60742" w14:textId="77777777" w:rsidR="00E364AD" w:rsidRPr="00D5104D" w:rsidRDefault="00E364AD" w:rsidP="00E364AD"/>
        </w:tc>
        <w:tc>
          <w:tcPr>
            <w:tcW w:w="471" w:type="pct"/>
          </w:tcPr>
          <w:p w14:paraId="1011630B" w14:textId="77777777" w:rsidR="00E364AD" w:rsidRPr="00D5104D" w:rsidRDefault="00E364AD" w:rsidP="00E364AD"/>
        </w:tc>
        <w:tc>
          <w:tcPr>
            <w:tcW w:w="421" w:type="pct"/>
          </w:tcPr>
          <w:p w14:paraId="06115E56" w14:textId="77777777" w:rsidR="00E364AD" w:rsidRPr="00D5104D" w:rsidRDefault="00E364AD" w:rsidP="00E364AD"/>
        </w:tc>
      </w:tr>
      <w:tr w:rsidR="00E364AD" w:rsidRPr="00D5104D" w14:paraId="2F29B808" w14:textId="77777777" w:rsidTr="00FF6C47">
        <w:trPr>
          <w:trHeight w:val="321"/>
        </w:trPr>
        <w:tc>
          <w:tcPr>
            <w:tcW w:w="841" w:type="pct"/>
          </w:tcPr>
          <w:p w14:paraId="79FF96A6" w14:textId="72285FF5" w:rsidR="00E364AD" w:rsidRPr="00E364AD" w:rsidRDefault="00E364AD" w:rsidP="00E364AD"/>
        </w:tc>
        <w:tc>
          <w:tcPr>
            <w:tcW w:w="731" w:type="pct"/>
          </w:tcPr>
          <w:p w14:paraId="5D434B79" w14:textId="2A4D4A4E" w:rsidR="00E364AD" w:rsidRPr="00E364AD" w:rsidRDefault="00E364AD" w:rsidP="00E364AD"/>
        </w:tc>
        <w:tc>
          <w:tcPr>
            <w:tcW w:w="649" w:type="pct"/>
          </w:tcPr>
          <w:p w14:paraId="79B353D2" w14:textId="3C808A7A" w:rsidR="00E364AD" w:rsidRPr="00E364AD" w:rsidRDefault="00E364AD" w:rsidP="00E364AD"/>
        </w:tc>
        <w:tc>
          <w:tcPr>
            <w:tcW w:w="471" w:type="pct"/>
          </w:tcPr>
          <w:p w14:paraId="6FA38A95" w14:textId="77777777" w:rsidR="00E364AD" w:rsidRPr="00D5104D" w:rsidRDefault="00E364AD" w:rsidP="00E364AD"/>
        </w:tc>
        <w:tc>
          <w:tcPr>
            <w:tcW w:w="471" w:type="pct"/>
          </w:tcPr>
          <w:p w14:paraId="70087A86" w14:textId="77777777" w:rsidR="00E364AD" w:rsidRPr="00D5104D" w:rsidRDefault="00E364AD" w:rsidP="00E364AD"/>
        </w:tc>
        <w:tc>
          <w:tcPr>
            <w:tcW w:w="471" w:type="pct"/>
          </w:tcPr>
          <w:p w14:paraId="10516563" w14:textId="77777777" w:rsidR="00E364AD" w:rsidRPr="00D5104D" w:rsidRDefault="00E364AD" w:rsidP="00E364AD"/>
        </w:tc>
        <w:tc>
          <w:tcPr>
            <w:tcW w:w="471" w:type="pct"/>
          </w:tcPr>
          <w:p w14:paraId="1DAB4070" w14:textId="77777777" w:rsidR="00E364AD" w:rsidRPr="00D5104D" w:rsidRDefault="00E364AD" w:rsidP="00E364AD"/>
        </w:tc>
        <w:tc>
          <w:tcPr>
            <w:tcW w:w="471" w:type="pct"/>
          </w:tcPr>
          <w:p w14:paraId="4DD3C860" w14:textId="77777777" w:rsidR="00E364AD" w:rsidRPr="00D5104D" w:rsidRDefault="00E364AD" w:rsidP="00E364AD"/>
        </w:tc>
        <w:tc>
          <w:tcPr>
            <w:tcW w:w="421" w:type="pct"/>
          </w:tcPr>
          <w:p w14:paraId="50BAF3D9" w14:textId="77777777" w:rsidR="00E364AD" w:rsidRPr="00D5104D" w:rsidRDefault="00E364AD" w:rsidP="00E364AD"/>
        </w:tc>
      </w:tr>
    </w:tbl>
    <w:p w14:paraId="77D792B8" w14:textId="77777777" w:rsidR="00E364AD" w:rsidRDefault="00E364AD" w:rsidP="00E364AD"/>
    <w:p w14:paraId="7010DD42" w14:textId="542E10B8" w:rsidR="001D0335" w:rsidRPr="004A521E" w:rsidRDefault="001D0335" w:rsidP="00BB2730">
      <w:pPr>
        <w:pStyle w:val="Caption"/>
      </w:pPr>
      <w:r>
        <w:t>Demand Related Infrastructure Price Control Deliverable</w:t>
      </w:r>
      <w:r w:rsidR="008E21E0">
        <w:t xml:space="preserve"> [SPT]</w:t>
      </w:r>
    </w:p>
    <w:tbl>
      <w:tblPr>
        <w:tblStyle w:val="AppendixTable"/>
        <w:tblW w:w="5000" w:type="pct"/>
        <w:tblLook w:val="04A0" w:firstRow="1" w:lastRow="0" w:firstColumn="1" w:lastColumn="0" w:noHBand="0" w:noVBand="1"/>
      </w:tblPr>
      <w:tblGrid>
        <w:gridCol w:w="1629"/>
        <w:gridCol w:w="1804"/>
        <w:gridCol w:w="1090"/>
        <w:gridCol w:w="756"/>
        <w:gridCol w:w="756"/>
        <w:gridCol w:w="756"/>
        <w:gridCol w:w="756"/>
        <w:gridCol w:w="764"/>
        <w:gridCol w:w="715"/>
      </w:tblGrid>
      <w:tr w:rsidR="001D0335" w:rsidRPr="00DE541A" w14:paraId="562C9456" w14:textId="77777777" w:rsidTr="00BB2730">
        <w:trPr>
          <w:cnfStyle w:val="100000000000" w:firstRow="1" w:lastRow="0" w:firstColumn="0" w:lastColumn="0" w:oddVBand="0" w:evenVBand="0" w:oddHBand="0" w:evenHBand="0" w:firstRowFirstColumn="0" w:firstRowLastColumn="0" w:lastRowFirstColumn="0" w:lastRowLastColumn="0"/>
          <w:trHeight w:val="303"/>
        </w:trPr>
        <w:tc>
          <w:tcPr>
            <w:tcW w:w="902" w:type="pct"/>
          </w:tcPr>
          <w:p w14:paraId="2B9D4FB8" w14:textId="77777777" w:rsidR="001D0335" w:rsidRPr="001D0335" w:rsidRDefault="001D0335" w:rsidP="001D0335">
            <w:r>
              <w:t>Scheme Name</w:t>
            </w:r>
          </w:p>
        </w:tc>
        <w:tc>
          <w:tcPr>
            <w:tcW w:w="999" w:type="pct"/>
          </w:tcPr>
          <w:p w14:paraId="4D080814" w14:textId="77777777" w:rsidR="001D0335" w:rsidRPr="001D0335" w:rsidRDefault="001D0335" w:rsidP="001D0335">
            <w:r>
              <w:t>Output</w:t>
            </w:r>
          </w:p>
        </w:tc>
        <w:tc>
          <w:tcPr>
            <w:tcW w:w="604" w:type="pct"/>
          </w:tcPr>
          <w:p w14:paraId="482AD6FC" w14:textId="77777777" w:rsidR="001D0335" w:rsidRPr="001D0335" w:rsidRDefault="001D0335" w:rsidP="001D0335">
            <w:r>
              <w:t>Delivery Date</w:t>
            </w:r>
          </w:p>
        </w:tc>
        <w:tc>
          <w:tcPr>
            <w:tcW w:w="2099" w:type="pct"/>
            <w:gridSpan w:val="5"/>
          </w:tcPr>
          <w:p w14:paraId="2E8654B8" w14:textId="77777777" w:rsidR="001D0335" w:rsidRPr="001D0335" w:rsidRDefault="001D0335" w:rsidP="001D0335">
            <w:r>
              <w:t xml:space="preserve">Allowance </w:t>
            </w:r>
          </w:p>
        </w:tc>
        <w:tc>
          <w:tcPr>
            <w:tcW w:w="396" w:type="pct"/>
          </w:tcPr>
          <w:p w14:paraId="726CE225" w14:textId="77777777" w:rsidR="001D0335" w:rsidRDefault="001D0335" w:rsidP="001D0335"/>
        </w:tc>
      </w:tr>
      <w:tr w:rsidR="001D0335" w:rsidRPr="00D5104D" w14:paraId="0A726177" w14:textId="77777777" w:rsidTr="00BB2730">
        <w:trPr>
          <w:trHeight w:val="319"/>
        </w:trPr>
        <w:tc>
          <w:tcPr>
            <w:tcW w:w="902" w:type="pct"/>
          </w:tcPr>
          <w:p w14:paraId="07437A7E" w14:textId="77777777" w:rsidR="001D0335" w:rsidRDefault="001D0335" w:rsidP="001D0335"/>
        </w:tc>
        <w:tc>
          <w:tcPr>
            <w:tcW w:w="999" w:type="pct"/>
          </w:tcPr>
          <w:p w14:paraId="42BEDFAE" w14:textId="77777777" w:rsidR="001D0335" w:rsidRPr="0082533A" w:rsidRDefault="001D0335" w:rsidP="001D0335"/>
        </w:tc>
        <w:tc>
          <w:tcPr>
            <w:tcW w:w="604" w:type="pct"/>
          </w:tcPr>
          <w:p w14:paraId="2F9800FC" w14:textId="77777777" w:rsidR="001D0335" w:rsidRPr="0082533A" w:rsidRDefault="001D0335" w:rsidP="001D0335"/>
        </w:tc>
        <w:tc>
          <w:tcPr>
            <w:tcW w:w="419" w:type="pct"/>
          </w:tcPr>
          <w:p w14:paraId="756A972A" w14:textId="77777777" w:rsidR="001D0335" w:rsidRPr="001D0335" w:rsidRDefault="001D0335" w:rsidP="001D0335">
            <w:r>
              <w:t>21/22</w:t>
            </w:r>
          </w:p>
        </w:tc>
        <w:tc>
          <w:tcPr>
            <w:tcW w:w="419" w:type="pct"/>
          </w:tcPr>
          <w:p w14:paraId="15361B60" w14:textId="77777777" w:rsidR="001D0335" w:rsidRPr="001D0335" w:rsidRDefault="001D0335" w:rsidP="001D0335">
            <w:r>
              <w:t>22/23</w:t>
            </w:r>
          </w:p>
        </w:tc>
        <w:tc>
          <w:tcPr>
            <w:tcW w:w="419" w:type="pct"/>
          </w:tcPr>
          <w:p w14:paraId="57C4E1C1" w14:textId="77777777" w:rsidR="001D0335" w:rsidRPr="001D0335" w:rsidRDefault="001D0335" w:rsidP="001D0335">
            <w:r>
              <w:t>23/24</w:t>
            </w:r>
          </w:p>
        </w:tc>
        <w:tc>
          <w:tcPr>
            <w:tcW w:w="419" w:type="pct"/>
          </w:tcPr>
          <w:p w14:paraId="37158593" w14:textId="77777777" w:rsidR="001D0335" w:rsidRPr="001D0335" w:rsidRDefault="001D0335" w:rsidP="001D0335">
            <w:r>
              <w:t>24/25</w:t>
            </w:r>
          </w:p>
        </w:tc>
        <w:tc>
          <w:tcPr>
            <w:tcW w:w="421" w:type="pct"/>
          </w:tcPr>
          <w:p w14:paraId="4FB237C9" w14:textId="77777777" w:rsidR="001D0335" w:rsidRPr="001D0335" w:rsidRDefault="001D0335" w:rsidP="001D0335">
            <w:r>
              <w:t>25/26</w:t>
            </w:r>
          </w:p>
        </w:tc>
        <w:tc>
          <w:tcPr>
            <w:tcW w:w="396" w:type="pct"/>
          </w:tcPr>
          <w:p w14:paraId="0312FCA1" w14:textId="77777777" w:rsidR="001D0335" w:rsidRPr="001D0335" w:rsidRDefault="001D0335" w:rsidP="001D0335">
            <w:r>
              <w:t>All years</w:t>
            </w:r>
          </w:p>
        </w:tc>
      </w:tr>
      <w:tr w:rsidR="001D0335" w:rsidRPr="00D5104D" w14:paraId="32E9893D" w14:textId="77777777" w:rsidTr="00BB2730">
        <w:trPr>
          <w:trHeight w:val="319"/>
        </w:trPr>
        <w:tc>
          <w:tcPr>
            <w:tcW w:w="902" w:type="pct"/>
          </w:tcPr>
          <w:p w14:paraId="6111D5D1" w14:textId="47D96507" w:rsidR="001D0335" w:rsidRPr="001D0335" w:rsidRDefault="001F5EC8" w:rsidP="001D0335">
            <w:r>
              <w:t>[REDACTED]</w:t>
            </w:r>
          </w:p>
        </w:tc>
        <w:tc>
          <w:tcPr>
            <w:tcW w:w="999" w:type="pct"/>
          </w:tcPr>
          <w:p w14:paraId="727BDF91" w14:textId="77777777" w:rsidR="001D0335" w:rsidRPr="0082533A" w:rsidRDefault="001D0335" w:rsidP="00BB2730"/>
        </w:tc>
        <w:tc>
          <w:tcPr>
            <w:tcW w:w="604" w:type="pct"/>
          </w:tcPr>
          <w:p w14:paraId="153CAA2D" w14:textId="3FCA8B0D" w:rsidR="001D0335" w:rsidRPr="001D0335" w:rsidRDefault="001D0335" w:rsidP="001D0335"/>
        </w:tc>
        <w:tc>
          <w:tcPr>
            <w:tcW w:w="419" w:type="pct"/>
          </w:tcPr>
          <w:p w14:paraId="5359346C" w14:textId="77777777" w:rsidR="001D0335" w:rsidRPr="0082533A" w:rsidRDefault="001D0335" w:rsidP="001D0335"/>
        </w:tc>
        <w:tc>
          <w:tcPr>
            <w:tcW w:w="419" w:type="pct"/>
          </w:tcPr>
          <w:p w14:paraId="203CF64B" w14:textId="77777777" w:rsidR="001D0335" w:rsidRPr="0082533A" w:rsidRDefault="001D0335" w:rsidP="001D0335"/>
        </w:tc>
        <w:tc>
          <w:tcPr>
            <w:tcW w:w="419" w:type="pct"/>
          </w:tcPr>
          <w:p w14:paraId="5DC153AA" w14:textId="77777777" w:rsidR="001D0335" w:rsidRPr="0082533A" w:rsidRDefault="001D0335" w:rsidP="001D0335"/>
        </w:tc>
        <w:tc>
          <w:tcPr>
            <w:tcW w:w="419" w:type="pct"/>
          </w:tcPr>
          <w:p w14:paraId="5CB39858" w14:textId="77777777" w:rsidR="001D0335" w:rsidRPr="0082533A" w:rsidRDefault="001D0335" w:rsidP="001D0335"/>
        </w:tc>
        <w:tc>
          <w:tcPr>
            <w:tcW w:w="421" w:type="pct"/>
          </w:tcPr>
          <w:p w14:paraId="70E83DE9" w14:textId="77777777" w:rsidR="001D0335" w:rsidRPr="0082533A" w:rsidRDefault="001D0335" w:rsidP="001D0335"/>
        </w:tc>
        <w:tc>
          <w:tcPr>
            <w:tcW w:w="396" w:type="pct"/>
          </w:tcPr>
          <w:p w14:paraId="189BFA99" w14:textId="77777777" w:rsidR="001D0335" w:rsidRPr="0082533A" w:rsidRDefault="001D0335" w:rsidP="001D0335"/>
        </w:tc>
      </w:tr>
      <w:tr w:rsidR="001D0335" w:rsidRPr="00D5104D" w14:paraId="7B9E1C09" w14:textId="77777777" w:rsidTr="00BB2730">
        <w:trPr>
          <w:trHeight w:val="319"/>
        </w:trPr>
        <w:tc>
          <w:tcPr>
            <w:tcW w:w="902" w:type="pct"/>
          </w:tcPr>
          <w:p w14:paraId="4442B1D7" w14:textId="250E18B2" w:rsidR="001D0335" w:rsidRPr="001D0335" w:rsidRDefault="001D0335" w:rsidP="001D0335"/>
        </w:tc>
        <w:tc>
          <w:tcPr>
            <w:tcW w:w="999" w:type="pct"/>
          </w:tcPr>
          <w:p w14:paraId="5CE4A26E" w14:textId="77777777" w:rsidR="001D0335" w:rsidRPr="00D5104D" w:rsidRDefault="001D0335" w:rsidP="001D0335"/>
        </w:tc>
        <w:tc>
          <w:tcPr>
            <w:tcW w:w="604" w:type="pct"/>
          </w:tcPr>
          <w:p w14:paraId="68917D03" w14:textId="138034E2" w:rsidR="001D0335" w:rsidRPr="00F10931" w:rsidRDefault="001D0335" w:rsidP="001D0335"/>
        </w:tc>
        <w:tc>
          <w:tcPr>
            <w:tcW w:w="419" w:type="pct"/>
          </w:tcPr>
          <w:p w14:paraId="3075D7B9" w14:textId="77777777" w:rsidR="001D0335" w:rsidRPr="00D5104D" w:rsidRDefault="001D0335" w:rsidP="001D0335"/>
        </w:tc>
        <w:tc>
          <w:tcPr>
            <w:tcW w:w="419" w:type="pct"/>
          </w:tcPr>
          <w:p w14:paraId="33E1A2CF" w14:textId="77777777" w:rsidR="001D0335" w:rsidRPr="00D5104D" w:rsidRDefault="001D0335" w:rsidP="001D0335"/>
        </w:tc>
        <w:tc>
          <w:tcPr>
            <w:tcW w:w="419" w:type="pct"/>
          </w:tcPr>
          <w:p w14:paraId="722FA76D" w14:textId="77777777" w:rsidR="001D0335" w:rsidRPr="00D5104D" w:rsidRDefault="001D0335" w:rsidP="001D0335"/>
        </w:tc>
        <w:tc>
          <w:tcPr>
            <w:tcW w:w="419" w:type="pct"/>
          </w:tcPr>
          <w:p w14:paraId="293704B3" w14:textId="77777777" w:rsidR="001D0335" w:rsidRPr="00D5104D" w:rsidRDefault="001D0335" w:rsidP="001D0335"/>
        </w:tc>
        <w:tc>
          <w:tcPr>
            <w:tcW w:w="421" w:type="pct"/>
          </w:tcPr>
          <w:p w14:paraId="3EBC037F" w14:textId="77777777" w:rsidR="001D0335" w:rsidRPr="00D5104D" w:rsidRDefault="001D0335" w:rsidP="001D0335"/>
        </w:tc>
        <w:tc>
          <w:tcPr>
            <w:tcW w:w="396" w:type="pct"/>
          </w:tcPr>
          <w:p w14:paraId="4DDEE904" w14:textId="77777777" w:rsidR="001D0335" w:rsidRPr="00D5104D" w:rsidRDefault="001D0335" w:rsidP="001D0335"/>
        </w:tc>
      </w:tr>
      <w:tr w:rsidR="001D0335" w:rsidRPr="00D5104D" w14:paraId="2BDBD20C" w14:textId="77777777" w:rsidTr="00BB2730">
        <w:trPr>
          <w:trHeight w:val="319"/>
        </w:trPr>
        <w:tc>
          <w:tcPr>
            <w:tcW w:w="902" w:type="pct"/>
          </w:tcPr>
          <w:p w14:paraId="7BA68073" w14:textId="69B368E4" w:rsidR="001D0335" w:rsidRPr="001D0335" w:rsidRDefault="001D0335" w:rsidP="001D0335"/>
        </w:tc>
        <w:tc>
          <w:tcPr>
            <w:tcW w:w="999" w:type="pct"/>
          </w:tcPr>
          <w:p w14:paraId="71F6F747" w14:textId="77777777" w:rsidR="001D0335" w:rsidRPr="00D5104D" w:rsidRDefault="001D0335" w:rsidP="001D0335"/>
        </w:tc>
        <w:tc>
          <w:tcPr>
            <w:tcW w:w="604" w:type="pct"/>
          </w:tcPr>
          <w:p w14:paraId="2256EF3D" w14:textId="77777777" w:rsidR="001D0335" w:rsidRPr="00F10931" w:rsidRDefault="001D0335" w:rsidP="001D0335"/>
        </w:tc>
        <w:tc>
          <w:tcPr>
            <w:tcW w:w="419" w:type="pct"/>
          </w:tcPr>
          <w:p w14:paraId="7C24C1DC" w14:textId="77777777" w:rsidR="001D0335" w:rsidRPr="00D5104D" w:rsidRDefault="001D0335" w:rsidP="001D0335"/>
        </w:tc>
        <w:tc>
          <w:tcPr>
            <w:tcW w:w="419" w:type="pct"/>
          </w:tcPr>
          <w:p w14:paraId="292E18CC" w14:textId="77777777" w:rsidR="001D0335" w:rsidRPr="00D5104D" w:rsidRDefault="001D0335" w:rsidP="001D0335"/>
        </w:tc>
        <w:tc>
          <w:tcPr>
            <w:tcW w:w="419" w:type="pct"/>
          </w:tcPr>
          <w:p w14:paraId="687A17F5" w14:textId="77777777" w:rsidR="001D0335" w:rsidRPr="00D5104D" w:rsidRDefault="001D0335" w:rsidP="001D0335"/>
        </w:tc>
        <w:tc>
          <w:tcPr>
            <w:tcW w:w="419" w:type="pct"/>
          </w:tcPr>
          <w:p w14:paraId="2EF607A5" w14:textId="77777777" w:rsidR="001D0335" w:rsidRPr="00D5104D" w:rsidRDefault="001D0335" w:rsidP="001D0335"/>
        </w:tc>
        <w:tc>
          <w:tcPr>
            <w:tcW w:w="421" w:type="pct"/>
          </w:tcPr>
          <w:p w14:paraId="2F8FFF29" w14:textId="77777777" w:rsidR="001D0335" w:rsidRPr="00D5104D" w:rsidRDefault="001D0335" w:rsidP="001D0335"/>
        </w:tc>
        <w:tc>
          <w:tcPr>
            <w:tcW w:w="396" w:type="pct"/>
          </w:tcPr>
          <w:p w14:paraId="423CA6E7" w14:textId="77777777" w:rsidR="001D0335" w:rsidRPr="00D5104D" w:rsidRDefault="001D0335" w:rsidP="001D0335"/>
        </w:tc>
      </w:tr>
      <w:tr w:rsidR="001D0335" w:rsidRPr="00D5104D" w14:paraId="19F0070F" w14:textId="77777777" w:rsidTr="00BB2730">
        <w:trPr>
          <w:trHeight w:val="319"/>
        </w:trPr>
        <w:tc>
          <w:tcPr>
            <w:tcW w:w="902" w:type="pct"/>
          </w:tcPr>
          <w:p w14:paraId="2B15DFF1" w14:textId="4C897634" w:rsidR="001D0335" w:rsidRPr="001D0335" w:rsidRDefault="001D0335" w:rsidP="001D0335"/>
        </w:tc>
        <w:tc>
          <w:tcPr>
            <w:tcW w:w="999" w:type="pct"/>
          </w:tcPr>
          <w:p w14:paraId="49490D8F" w14:textId="77777777" w:rsidR="001D0335" w:rsidRPr="00D5104D" w:rsidRDefault="001D0335" w:rsidP="00BB2730"/>
        </w:tc>
        <w:tc>
          <w:tcPr>
            <w:tcW w:w="604" w:type="pct"/>
          </w:tcPr>
          <w:p w14:paraId="129A049D" w14:textId="22CBEEFD" w:rsidR="001D0335" w:rsidRPr="001D0335" w:rsidRDefault="001D0335" w:rsidP="001D0335"/>
        </w:tc>
        <w:tc>
          <w:tcPr>
            <w:tcW w:w="419" w:type="pct"/>
          </w:tcPr>
          <w:p w14:paraId="39AFB076" w14:textId="77777777" w:rsidR="001D0335" w:rsidRPr="00D5104D" w:rsidRDefault="001D0335" w:rsidP="001D0335"/>
        </w:tc>
        <w:tc>
          <w:tcPr>
            <w:tcW w:w="419" w:type="pct"/>
          </w:tcPr>
          <w:p w14:paraId="241165E7" w14:textId="77777777" w:rsidR="001D0335" w:rsidRPr="00D5104D" w:rsidRDefault="001D0335" w:rsidP="001D0335"/>
        </w:tc>
        <w:tc>
          <w:tcPr>
            <w:tcW w:w="419" w:type="pct"/>
          </w:tcPr>
          <w:p w14:paraId="4A7F09E3" w14:textId="77777777" w:rsidR="001D0335" w:rsidRPr="00D5104D" w:rsidRDefault="001D0335" w:rsidP="001D0335"/>
        </w:tc>
        <w:tc>
          <w:tcPr>
            <w:tcW w:w="419" w:type="pct"/>
          </w:tcPr>
          <w:p w14:paraId="06AB216F" w14:textId="77777777" w:rsidR="001D0335" w:rsidRPr="00D5104D" w:rsidRDefault="001D0335" w:rsidP="001D0335"/>
        </w:tc>
        <w:tc>
          <w:tcPr>
            <w:tcW w:w="421" w:type="pct"/>
          </w:tcPr>
          <w:p w14:paraId="6E2E5C3D" w14:textId="77777777" w:rsidR="001D0335" w:rsidRPr="00D5104D" w:rsidRDefault="001D0335" w:rsidP="001D0335"/>
        </w:tc>
        <w:tc>
          <w:tcPr>
            <w:tcW w:w="396" w:type="pct"/>
          </w:tcPr>
          <w:p w14:paraId="039583DA" w14:textId="77777777" w:rsidR="001D0335" w:rsidRPr="00D5104D" w:rsidRDefault="001D0335" w:rsidP="001D0335"/>
        </w:tc>
      </w:tr>
      <w:tr w:rsidR="001D0335" w:rsidRPr="00D5104D" w14:paraId="48F3DCCF" w14:textId="77777777" w:rsidTr="00BB2730">
        <w:trPr>
          <w:trHeight w:val="319"/>
        </w:trPr>
        <w:tc>
          <w:tcPr>
            <w:tcW w:w="902" w:type="pct"/>
          </w:tcPr>
          <w:p w14:paraId="284B7B28" w14:textId="15C0BE39" w:rsidR="001D0335" w:rsidRPr="001D0335" w:rsidRDefault="001D0335" w:rsidP="001D0335"/>
        </w:tc>
        <w:tc>
          <w:tcPr>
            <w:tcW w:w="999" w:type="pct"/>
          </w:tcPr>
          <w:p w14:paraId="065741BB" w14:textId="77777777" w:rsidR="001D0335" w:rsidRPr="00D5104D" w:rsidRDefault="001D0335" w:rsidP="001D0335"/>
        </w:tc>
        <w:tc>
          <w:tcPr>
            <w:tcW w:w="604" w:type="pct"/>
          </w:tcPr>
          <w:p w14:paraId="5C815788" w14:textId="50888F77" w:rsidR="001D0335" w:rsidRPr="001D0335" w:rsidRDefault="001D0335" w:rsidP="001D0335"/>
        </w:tc>
        <w:tc>
          <w:tcPr>
            <w:tcW w:w="419" w:type="pct"/>
          </w:tcPr>
          <w:p w14:paraId="6907E9E0" w14:textId="77777777" w:rsidR="001D0335" w:rsidRPr="00D5104D" w:rsidRDefault="001D0335" w:rsidP="001D0335"/>
        </w:tc>
        <w:tc>
          <w:tcPr>
            <w:tcW w:w="419" w:type="pct"/>
          </w:tcPr>
          <w:p w14:paraId="6FA41EAC" w14:textId="77777777" w:rsidR="001D0335" w:rsidRPr="00D5104D" w:rsidRDefault="001D0335" w:rsidP="001D0335"/>
        </w:tc>
        <w:tc>
          <w:tcPr>
            <w:tcW w:w="419" w:type="pct"/>
          </w:tcPr>
          <w:p w14:paraId="0639A6B2" w14:textId="77777777" w:rsidR="001D0335" w:rsidRPr="00D5104D" w:rsidRDefault="001D0335" w:rsidP="001D0335"/>
        </w:tc>
        <w:tc>
          <w:tcPr>
            <w:tcW w:w="419" w:type="pct"/>
          </w:tcPr>
          <w:p w14:paraId="6CBCB807" w14:textId="77777777" w:rsidR="001D0335" w:rsidRPr="00D5104D" w:rsidRDefault="001D0335" w:rsidP="001D0335"/>
        </w:tc>
        <w:tc>
          <w:tcPr>
            <w:tcW w:w="421" w:type="pct"/>
          </w:tcPr>
          <w:p w14:paraId="1EECDBAE" w14:textId="77777777" w:rsidR="001D0335" w:rsidRPr="00D5104D" w:rsidRDefault="001D0335" w:rsidP="001D0335"/>
        </w:tc>
        <w:tc>
          <w:tcPr>
            <w:tcW w:w="396" w:type="pct"/>
          </w:tcPr>
          <w:p w14:paraId="7FB474DA" w14:textId="77777777" w:rsidR="001D0335" w:rsidRPr="00D5104D" w:rsidRDefault="001D0335" w:rsidP="001D0335"/>
        </w:tc>
      </w:tr>
      <w:tr w:rsidR="001D0335" w:rsidRPr="00D5104D" w14:paraId="70130284" w14:textId="77777777" w:rsidTr="00BB2730">
        <w:trPr>
          <w:trHeight w:val="319"/>
        </w:trPr>
        <w:tc>
          <w:tcPr>
            <w:tcW w:w="902" w:type="pct"/>
          </w:tcPr>
          <w:p w14:paraId="4E6AD6BA" w14:textId="2BA3FACE" w:rsidR="001D0335" w:rsidRPr="001D0335" w:rsidRDefault="001D0335" w:rsidP="001D0335"/>
        </w:tc>
        <w:tc>
          <w:tcPr>
            <w:tcW w:w="999" w:type="pct"/>
          </w:tcPr>
          <w:p w14:paraId="51622164" w14:textId="77777777" w:rsidR="001D0335" w:rsidRPr="00D5104D" w:rsidRDefault="001D0335" w:rsidP="001D0335"/>
        </w:tc>
        <w:tc>
          <w:tcPr>
            <w:tcW w:w="604" w:type="pct"/>
          </w:tcPr>
          <w:p w14:paraId="3CA7D75D" w14:textId="1E4E56C4" w:rsidR="001D0335" w:rsidRPr="001D0335" w:rsidRDefault="001D0335" w:rsidP="001D0335"/>
        </w:tc>
        <w:tc>
          <w:tcPr>
            <w:tcW w:w="419" w:type="pct"/>
          </w:tcPr>
          <w:p w14:paraId="0DFDE30E" w14:textId="77777777" w:rsidR="001D0335" w:rsidRPr="00D5104D" w:rsidRDefault="001D0335" w:rsidP="001D0335"/>
        </w:tc>
        <w:tc>
          <w:tcPr>
            <w:tcW w:w="419" w:type="pct"/>
          </w:tcPr>
          <w:p w14:paraId="5FFC4283" w14:textId="77777777" w:rsidR="001D0335" w:rsidRPr="00D5104D" w:rsidRDefault="001D0335" w:rsidP="001D0335"/>
        </w:tc>
        <w:tc>
          <w:tcPr>
            <w:tcW w:w="419" w:type="pct"/>
          </w:tcPr>
          <w:p w14:paraId="6B907ECB" w14:textId="77777777" w:rsidR="001D0335" w:rsidRPr="00D5104D" w:rsidRDefault="001D0335" w:rsidP="001D0335"/>
        </w:tc>
        <w:tc>
          <w:tcPr>
            <w:tcW w:w="419" w:type="pct"/>
          </w:tcPr>
          <w:p w14:paraId="215D1E78" w14:textId="77777777" w:rsidR="001D0335" w:rsidRPr="00D5104D" w:rsidRDefault="001D0335" w:rsidP="001D0335"/>
        </w:tc>
        <w:tc>
          <w:tcPr>
            <w:tcW w:w="421" w:type="pct"/>
          </w:tcPr>
          <w:p w14:paraId="0C66AAA7" w14:textId="77777777" w:rsidR="001D0335" w:rsidRPr="00D5104D" w:rsidRDefault="001D0335" w:rsidP="001D0335"/>
        </w:tc>
        <w:tc>
          <w:tcPr>
            <w:tcW w:w="396" w:type="pct"/>
          </w:tcPr>
          <w:p w14:paraId="59AD7FF7" w14:textId="77777777" w:rsidR="001D0335" w:rsidRPr="00D5104D" w:rsidRDefault="001D0335" w:rsidP="001D0335"/>
        </w:tc>
      </w:tr>
      <w:tr w:rsidR="001D0335" w:rsidRPr="00D5104D" w14:paraId="21924C68" w14:textId="77777777" w:rsidTr="00BB2730">
        <w:trPr>
          <w:trHeight w:val="319"/>
        </w:trPr>
        <w:tc>
          <w:tcPr>
            <w:tcW w:w="902" w:type="pct"/>
          </w:tcPr>
          <w:p w14:paraId="24546F5A" w14:textId="38049D87" w:rsidR="001D0335" w:rsidRPr="001D0335" w:rsidRDefault="001D0335" w:rsidP="001D0335"/>
        </w:tc>
        <w:tc>
          <w:tcPr>
            <w:tcW w:w="999" w:type="pct"/>
          </w:tcPr>
          <w:p w14:paraId="62FD7FBC" w14:textId="0620EBD9" w:rsidR="001D0335" w:rsidRPr="001D0335" w:rsidRDefault="001D0335" w:rsidP="001D0335"/>
        </w:tc>
        <w:tc>
          <w:tcPr>
            <w:tcW w:w="604" w:type="pct"/>
          </w:tcPr>
          <w:p w14:paraId="3343D762" w14:textId="77777777" w:rsidR="001D0335" w:rsidRPr="00D5104D" w:rsidRDefault="001D0335" w:rsidP="001D0335"/>
        </w:tc>
        <w:tc>
          <w:tcPr>
            <w:tcW w:w="419" w:type="pct"/>
          </w:tcPr>
          <w:p w14:paraId="4CAAA6FD" w14:textId="77777777" w:rsidR="001D0335" w:rsidRPr="00D5104D" w:rsidRDefault="001D0335" w:rsidP="001D0335"/>
        </w:tc>
        <w:tc>
          <w:tcPr>
            <w:tcW w:w="419" w:type="pct"/>
          </w:tcPr>
          <w:p w14:paraId="49D51053" w14:textId="77777777" w:rsidR="001D0335" w:rsidRPr="00D5104D" w:rsidRDefault="001D0335" w:rsidP="001D0335"/>
        </w:tc>
        <w:tc>
          <w:tcPr>
            <w:tcW w:w="419" w:type="pct"/>
          </w:tcPr>
          <w:p w14:paraId="0DE026E2" w14:textId="77777777" w:rsidR="001D0335" w:rsidRPr="00D5104D" w:rsidRDefault="001D0335" w:rsidP="001D0335"/>
        </w:tc>
        <w:tc>
          <w:tcPr>
            <w:tcW w:w="419" w:type="pct"/>
          </w:tcPr>
          <w:p w14:paraId="6B4060B3" w14:textId="77777777" w:rsidR="001D0335" w:rsidRPr="00D5104D" w:rsidRDefault="001D0335" w:rsidP="001D0335"/>
        </w:tc>
        <w:tc>
          <w:tcPr>
            <w:tcW w:w="421" w:type="pct"/>
          </w:tcPr>
          <w:p w14:paraId="1FCAA080" w14:textId="77777777" w:rsidR="001D0335" w:rsidRPr="00D5104D" w:rsidRDefault="001D0335" w:rsidP="001D0335"/>
        </w:tc>
        <w:tc>
          <w:tcPr>
            <w:tcW w:w="396" w:type="pct"/>
          </w:tcPr>
          <w:p w14:paraId="3B7C1083" w14:textId="77777777" w:rsidR="001D0335" w:rsidRPr="00D5104D" w:rsidRDefault="001D0335" w:rsidP="001D0335"/>
        </w:tc>
      </w:tr>
      <w:tr w:rsidR="001D0335" w:rsidRPr="00D5104D" w14:paraId="0AC3E001" w14:textId="77777777" w:rsidTr="00BB2730">
        <w:trPr>
          <w:trHeight w:val="319"/>
        </w:trPr>
        <w:tc>
          <w:tcPr>
            <w:tcW w:w="902" w:type="pct"/>
          </w:tcPr>
          <w:p w14:paraId="0489EAF5" w14:textId="56FB5A2A" w:rsidR="001D0335" w:rsidRPr="001D0335" w:rsidRDefault="001D0335" w:rsidP="001D0335"/>
        </w:tc>
        <w:tc>
          <w:tcPr>
            <w:tcW w:w="999" w:type="pct"/>
          </w:tcPr>
          <w:p w14:paraId="4780B762" w14:textId="7893BE60" w:rsidR="001D0335" w:rsidRPr="001D0335" w:rsidRDefault="001D0335" w:rsidP="001D0335"/>
        </w:tc>
        <w:tc>
          <w:tcPr>
            <w:tcW w:w="604" w:type="pct"/>
          </w:tcPr>
          <w:p w14:paraId="4125F7A0" w14:textId="77777777" w:rsidR="001D0335" w:rsidRPr="00D5104D" w:rsidRDefault="001D0335" w:rsidP="001D0335"/>
        </w:tc>
        <w:tc>
          <w:tcPr>
            <w:tcW w:w="419" w:type="pct"/>
          </w:tcPr>
          <w:p w14:paraId="689987FE" w14:textId="77777777" w:rsidR="001D0335" w:rsidRPr="00D5104D" w:rsidRDefault="001D0335" w:rsidP="001D0335"/>
        </w:tc>
        <w:tc>
          <w:tcPr>
            <w:tcW w:w="419" w:type="pct"/>
          </w:tcPr>
          <w:p w14:paraId="6503176D" w14:textId="77777777" w:rsidR="001D0335" w:rsidRPr="00D5104D" w:rsidRDefault="001D0335" w:rsidP="001D0335"/>
        </w:tc>
        <w:tc>
          <w:tcPr>
            <w:tcW w:w="419" w:type="pct"/>
          </w:tcPr>
          <w:p w14:paraId="42A6AFFA" w14:textId="77777777" w:rsidR="001D0335" w:rsidRPr="00D5104D" w:rsidRDefault="001D0335" w:rsidP="001D0335"/>
        </w:tc>
        <w:tc>
          <w:tcPr>
            <w:tcW w:w="419" w:type="pct"/>
          </w:tcPr>
          <w:p w14:paraId="0FB9DB92" w14:textId="77777777" w:rsidR="001D0335" w:rsidRPr="00D5104D" w:rsidRDefault="001D0335" w:rsidP="001D0335"/>
        </w:tc>
        <w:tc>
          <w:tcPr>
            <w:tcW w:w="421" w:type="pct"/>
          </w:tcPr>
          <w:p w14:paraId="68292A08" w14:textId="77777777" w:rsidR="001D0335" w:rsidRPr="00D5104D" w:rsidRDefault="001D0335" w:rsidP="001D0335"/>
        </w:tc>
        <w:tc>
          <w:tcPr>
            <w:tcW w:w="396" w:type="pct"/>
          </w:tcPr>
          <w:p w14:paraId="0E3E6561" w14:textId="77777777" w:rsidR="001D0335" w:rsidRPr="00D5104D" w:rsidRDefault="001D0335" w:rsidP="001D0335"/>
        </w:tc>
      </w:tr>
    </w:tbl>
    <w:p w14:paraId="2C95B33A" w14:textId="41B3C3B3" w:rsidR="001D0335" w:rsidRPr="0057526A" w:rsidRDefault="009F2794" w:rsidP="001D0335">
      <w:pPr>
        <w:pStyle w:val="Heading2"/>
      </w:pPr>
      <w:bookmarkStart w:id="81" w:name="_Toc51319612"/>
      <w:bookmarkStart w:id="82" w:name="_Toc51798276"/>
      <w:bookmarkStart w:id="83" w:name="_Toc52364895"/>
      <w:r>
        <w:t>Resilience and Operability</w:t>
      </w:r>
      <w:r w:rsidR="00D35DF9">
        <w:t xml:space="preserve"> P</w:t>
      </w:r>
      <w:r w:rsidR="00435DA0">
        <w:t xml:space="preserve">rice </w:t>
      </w:r>
      <w:r w:rsidR="00D35DF9">
        <w:t>C</w:t>
      </w:r>
      <w:r w:rsidR="00435DA0">
        <w:t xml:space="preserve">ontrol </w:t>
      </w:r>
      <w:r w:rsidR="00D35DF9">
        <w:t>D</w:t>
      </w:r>
      <w:bookmarkEnd w:id="81"/>
      <w:r w:rsidR="00435DA0">
        <w:t>eliverable (</w:t>
      </w:r>
      <w:proofErr w:type="spellStart"/>
      <w:r w:rsidR="00C83D2F">
        <w:t>RO</w:t>
      </w:r>
      <w:r w:rsidR="00435DA0">
        <w:t>t</w:t>
      </w:r>
      <w:proofErr w:type="spellEnd"/>
      <w:r w:rsidR="00435DA0">
        <w:t>)</w:t>
      </w:r>
      <w:bookmarkEnd w:id="82"/>
      <w:bookmarkEnd w:id="83"/>
    </w:p>
    <w:p w14:paraId="0609821A" w14:textId="77777777" w:rsidR="001D0335" w:rsidRPr="0057526A" w:rsidRDefault="001D0335" w:rsidP="002C245D">
      <w:pPr>
        <w:pStyle w:val="Heading3nonumbering"/>
      </w:pPr>
      <w:r w:rsidRPr="0057526A">
        <w:t xml:space="preserve">Introduction </w:t>
      </w:r>
    </w:p>
    <w:p w14:paraId="35D0E49B" w14:textId="79EC7573" w:rsidR="001D0335" w:rsidRPr="001D0335" w:rsidRDefault="001D0335" w:rsidP="002C245D">
      <w:pPr>
        <w:pStyle w:val="NumberedNormal"/>
      </w:pPr>
      <w:r>
        <w:t xml:space="preserve">The purpose of this condition is to calculate the term </w:t>
      </w:r>
      <w:proofErr w:type="spellStart"/>
      <w:r w:rsidR="009F2794">
        <w:t>RO</w:t>
      </w:r>
      <w:r>
        <w:t>t</w:t>
      </w:r>
      <w:proofErr w:type="spellEnd"/>
      <w:r>
        <w:t xml:space="preserve"> (the </w:t>
      </w:r>
      <w:r w:rsidR="009F2794">
        <w:t>Resilience and Operability</w:t>
      </w:r>
      <w:r>
        <w:t xml:space="preserve"> Price Control </w:t>
      </w:r>
      <w:r w:rsidRPr="001D0335">
        <w:t>Deliverable term).  This contributes to the calculation of the Totex Allowance.</w:t>
      </w:r>
    </w:p>
    <w:p w14:paraId="29DEDAE3" w14:textId="114B2296" w:rsidR="001D0335" w:rsidRPr="001D0335" w:rsidRDefault="001D0335" w:rsidP="002C245D">
      <w:pPr>
        <w:pStyle w:val="NumberedNormal"/>
      </w:pPr>
      <w:r>
        <w:t>This condition specifies the outputs, delivery dates and associated allowances for the Price Control Deliverable.</w:t>
      </w:r>
    </w:p>
    <w:p w14:paraId="6580025E" w14:textId="1BD88E96" w:rsidR="001D0335" w:rsidRPr="001D0335" w:rsidRDefault="001D0335" w:rsidP="002C245D">
      <w:pPr>
        <w:pStyle w:val="NumberedNormal"/>
      </w:pPr>
      <w:r>
        <w:t xml:space="preserve">This condition also explains the process the Authority will follow when assessing the </w:t>
      </w:r>
      <w:r w:rsidR="00435DA0">
        <w:t>Price Control Deliverable</w:t>
      </w:r>
      <w:r>
        <w:t>.</w:t>
      </w:r>
    </w:p>
    <w:p w14:paraId="7AE7AA0F" w14:textId="1A70AD24" w:rsidR="001D0335" w:rsidRDefault="001D0335" w:rsidP="002C245D">
      <w:pPr>
        <w:pStyle w:val="Heading3"/>
      </w:pPr>
      <w:r>
        <w:lastRenderedPageBreak/>
        <w:t xml:space="preserve">Formula for calculating the </w:t>
      </w:r>
      <w:r w:rsidR="009F2794">
        <w:t>Resilience and Operability</w:t>
      </w:r>
      <w:r>
        <w:t xml:space="preserve"> Proposals Price Control Deliverable term</w:t>
      </w:r>
      <w:r w:rsidR="00435DA0">
        <w:t xml:space="preserve"> (</w:t>
      </w:r>
      <w:proofErr w:type="spellStart"/>
      <w:r w:rsidR="009F2794">
        <w:t>RO</w:t>
      </w:r>
      <w:r w:rsidR="00435DA0">
        <w:t>t</w:t>
      </w:r>
      <w:proofErr w:type="spellEnd"/>
      <w:r w:rsidR="00435DA0">
        <w:t>)</w:t>
      </w:r>
    </w:p>
    <w:p w14:paraId="24740074" w14:textId="1E472D9B" w:rsidR="001D0335" w:rsidRPr="001D0335" w:rsidRDefault="001D0335" w:rsidP="002C245D">
      <w:pPr>
        <w:pStyle w:val="NumberedNormal"/>
      </w:pPr>
      <w:r>
        <w:t xml:space="preserve">The value of </w:t>
      </w:r>
      <w:proofErr w:type="spellStart"/>
      <w:r w:rsidR="009F2794">
        <w:t>RO</w:t>
      </w:r>
      <w:r>
        <w:t>t</w:t>
      </w:r>
      <w:proofErr w:type="spellEnd"/>
      <w:r>
        <w:t xml:space="preserve"> is derived in accordance with the following formula:</w:t>
      </w:r>
    </w:p>
    <w:p w14:paraId="1142377D" w14:textId="588E49CF" w:rsidR="001D0335" w:rsidRPr="001D0335" w:rsidRDefault="009F2794" w:rsidP="003F66DB">
      <w:pPr>
        <w:pStyle w:val="Equation"/>
        <w:ind w:left="720"/>
      </w:pPr>
      <w:proofErr w:type="spellStart"/>
      <w:r>
        <w:t>RO</w:t>
      </w:r>
      <w:r w:rsidR="001D0335">
        <w:t>t</w:t>
      </w:r>
      <w:proofErr w:type="spellEnd"/>
      <w:r w:rsidR="001D0335">
        <w:t xml:space="preserve"> </w:t>
      </w:r>
      <w:proofErr w:type="gramStart"/>
      <w:r w:rsidR="001D0335">
        <w:t xml:space="preserve">=  </w:t>
      </w:r>
      <w:proofErr w:type="spellStart"/>
      <w:r>
        <w:t>RO</w:t>
      </w:r>
      <w:r w:rsidR="001D0335">
        <w:t>At</w:t>
      </w:r>
      <w:proofErr w:type="spellEnd"/>
      <w:proofErr w:type="gramEnd"/>
      <w:r w:rsidR="001D0335">
        <w:t xml:space="preserve"> - </w:t>
      </w:r>
      <w:proofErr w:type="spellStart"/>
      <w:r>
        <w:t>RO</w:t>
      </w:r>
      <w:r w:rsidR="001D0335">
        <w:t>Rt</w:t>
      </w:r>
      <w:proofErr w:type="spellEnd"/>
    </w:p>
    <w:p w14:paraId="3457659E" w14:textId="77777777" w:rsidR="001D0335" w:rsidRPr="001D0335" w:rsidRDefault="001D0335" w:rsidP="003F66DB">
      <w:pPr>
        <w:ind w:left="720"/>
      </w:pPr>
      <w:r>
        <w:t>where:</w:t>
      </w:r>
    </w:p>
    <w:p w14:paraId="17E22283" w14:textId="1261ECAB" w:rsidR="001D0335" w:rsidRPr="001D0335" w:rsidRDefault="009F2794" w:rsidP="003F66DB">
      <w:pPr>
        <w:ind w:left="720"/>
      </w:pPr>
      <w:proofErr w:type="spellStart"/>
      <w:r>
        <w:t>RO</w:t>
      </w:r>
      <w:r w:rsidR="001D0335">
        <w:t>At</w:t>
      </w:r>
      <w:proofErr w:type="spellEnd"/>
      <w:r w:rsidR="001D0335">
        <w:tab/>
        <w:t>means the</w:t>
      </w:r>
      <w:r w:rsidR="00435DA0">
        <w:t xml:space="preserve"> sum of</w:t>
      </w:r>
      <w:r w:rsidR="001D0335">
        <w:t xml:space="preserve"> </w:t>
      </w:r>
      <w:r w:rsidR="001D0335" w:rsidRPr="001D0335">
        <w:t>allowances in Appendix 1</w:t>
      </w:r>
      <w:r w:rsidR="000A3714">
        <w:t>; and</w:t>
      </w:r>
      <w:r w:rsidR="001D0335" w:rsidRPr="001D0335">
        <w:t xml:space="preserve"> </w:t>
      </w:r>
    </w:p>
    <w:p w14:paraId="5952B356" w14:textId="7D9F451D" w:rsidR="001D0335" w:rsidRPr="001D0335" w:rsidRDefault="009F2794" w:rsidP="003F66DB">
      <w:pPr>
        <w:ind w:left="720"/>
      </w:pPr>
      <w:proofErr w:type="spellStart"/>
      <w:r>
        <w:t>RO</w:t>
      </w:r>
      <w:r w:rsidR="001D0335">
        <w:t>Rt</w:t>
      </w:r>
      <w:proofErr w:type="spellEnd"/>
      <w:r w:rsidR="001D0335">
        <w:tab/>
      </w:r>
      <w:r w:rsidR="001D0335" w:rsidRPr="001D0335">
        <w:t>has the value zero unless otherwise directed by the Authority in accordance with Part C</w:t>
      </w:r>
      <w:r w:rsidR="000A3714">
        <w:t>.</w:t>
      </w:r>
    </w:p>
    <w:p w14:paraId="54B6C97A" w14:textId="77208E2A" w:rsidR="001D0335" w:rsidRPr="00AE57AC" w:rsidRDefault="001D0335" w:rsidP="002C245D">
      <w:pPr>
        <w:pStyle w:val="Heading3"/>
      </w:pPr>
      <w:r>
        <w:t>What is the licensee funded to deliver?</w:t>
      </w:r>
    </w:p>
    <w:p w14:paraId="18AD7F9F" w14:textId="77777777" w:rsidR="00435DA0" w:rsidRPr="00614C21" w:rsidRDefault="00435DA0" w:rsidP="00435DA0">
      <w:pPr>
        <w:pStyle w:val="NumberedNormal"/>
      </w:pPr>
      <w:r>
        <w:t>Appendix 1 specifies the outputs that the licensee is funded to deliver, the delivery dates for those outputs and the allowances provided.</w:t>
      </w:r>
    </w:p>
    <w:p w14:paraId="0090CA7E" w14:textId="2A091A73" w:rsidR="001D0335" w:rsidRDefault="001D0335" w:rsidP="002C245D">
      <w:pPr>
        <w:pStyle w:val="Heading3"/>
      </w:pPr>
      <w:r>
        <w:t>Assessment of outputs</w:t>
      </w:r>
      <w:r w:rsidR="00435DA0">
        <w:t xml:space="preserve"> (</w:t>
      </w:r>
      <w:proofErr w:type="spellStart"/>
      <w:r w:rsidR="00E30565">
        <w:t>RO</w:t>
      </w:r>
      <w:r w:rsidR="00435DA0">
        <w:t>Rt</w:t>
      </w:r>
      <w:proofErr w:type="spellEnd"/>
      <w:r w:rsidR="00435DA0">
        <w:t>)</w:t>
      </w:r>
    </w:p>
    <w:p w14:paraId="5854D040" w14:textId="3B76DE44" w:rsidR="00435DA0" w:rsidRPr="00614C21" w:rsidRDefault="00435DA0" w:rsidP="00435DA0">
      <w:pPr>
        <w:pStyle w:val="NumberedNormal"/>
      </w:pPr>
      <w:r>
        <w:t>The Authority will</w:t>
      </w:r>
      <w:r w:rsidR="004C7E60">
        <w:t>, in accordance with the PCD Reporting Requirements and Methodology Document,</w:t>
      </w:r>
      <w:r>
        <w:t xml:space="preserve"> consider directing a value for </w:t>
      </w:r>
      <w:proofErr w:type="spellStart"/>
      <w:r w:rsidR="00E30565">
        <w:t>RO</w:t>
      </w:r>
      <w:r>
        <w:t>Rt</w:t>
      </w:r>
      <w:proofErr w:type="spellEnd"/>
      <w:r>
        <w:t xml:space="preserve"> where the licensee has not Fully Delivered an output in Appendix 1.</w:t>
      </w:r>
    </w:p>
    <w:p w14:paraId="737D1DD6" w14:textId="535A8F5F" w:rsidR="001D0335" w:rsidRPr="00AE57AC" w:rsidRDefault="001D0335" w:rsidP="002C245D">
      <w:pPr>
        <w:pStyle w:val="Heading3"/>
      </w:pPr>
      <w:r>
        <w:t>What process will the Authority follow in</w:t>
      </w:r>
      <w:r w:rsidRPr="002902B4">
        <w:t xml:space="preserve"> making a direction</w:t>
      </w:r>
      <w:r>
        <w:t>?</w:t>
      </w:r>
    </w:p>
    <w:p w14:paraId="21EE9866" w14:textId="0F7AF716" w:rsidR="001D0335" w:rsidRPr="001D0335" w:rsidRDefault="001D0335" w:rsidP="002C245D">
      <w:pPr>
        <w:pStyle w:val="NumberedNormal"/>
      </w:pPr>
      <w:r>
        <w:t xml:space="preserve">Before making a direction under paragraph </w:t>
      </w:r>
      <w:r w:rsidR="000A3714">
        <w:t>3.12.</w:t>
      </w:r>
      <w:r>
        <w:t>6,</w:t>
      </w:r>
      <w:r w:rsidRPr="001D0335">
        <w:t xml:space="preserve"> the Authority will publish on the Authority's Website:</w:t>
      </w:r>
    </w:p>
    <w:p w14:paraId="59594C0F" w14:textId="77777777" w:rsidR="001D0335" w:rsidRPr="001D0335" w:rsidRDefault="001D0335" w:rsidP="002C245D">
      <w:pPr>
        <w:pStyle w:val="ListNormal"/>
      </w:pPr>
      <w:r>
        <w:t xml:space="preserve">the text of the proposed </w:t>
      </w:r>
      <w:proofErr w:type="gramStart"/>
      <w:r>
        <w:t>direction;</w:t>
      </w:r>
      <w:proofErr w:type="gramEnd"/>
    </w:p>
    <w:p w14:paraId="51C7AE78" w14:textId="7417F6DF" w:rsidR="001D0335" w:rsidRPr="001D0335" w:rsidRDefault="001D0335" w:rsidP="002C245D">
      <w:pPr>
        <w:pStyle w:val="ListNormal"/>
      </w:pPr>
      <w:r>
        <w:t>the reasons for the proposed direction;</w:t>
      </w:r>
      <w:r w:rsidR="000A3714">
        <w:t xml:space="preserve"> and</w:t>
      </w:r>
    </w:p>
    <w:p w14:paraId="5FEC4198" w14:textId="77777777" w:rsidR="00435DA0" w:rsidRPr="00435DA0" w:rsidRDefault="00435DA0" w:rsidP="00435DA0">
      <w:pPr>
        <w:pStyle w:val="ListNormal"/>
        <w:tabs>
          <w:tab w:val="num" w:pos="879"/>
        </w:tabs>
      </w:pPr>
      <w:r w:rsidRPr="00435DA0">
        <w:t>a period during which representations may be made on the proposed direction, which will not be less than 28 days.</w:t>
      </w:r>
    </w:p>
    <w:p w14:paraId="7DA7E1EC" w14:textId="6C0460EA" w:rsidR="001D0335" w:rsidRPr="001D0335" w:rsidRDefault="001D0335" w:rsidP="002C245D">
      <w:pPr>
        <w:pStyle w:val="NumberedNormal"/>
      </w:pPr>
      <w:r>
        <w:t>The direction will set out</w:t>
      </w:r>
      <w:r w:rsidRPr="001D0335">
        <w:t xml:space="preserve"> the value of the </w:t>
      </w:r>
      <w:proofErr w:type="spellStart"/>
      <w:r w:rsidR="00E30565">
        <w:t>RO</w:t>
      </w:r>
      <w:r w:rsidRPr="001D0335">
        <w:t>Rt</w:t>
      </w:r>
      <w:proofErr w:type="spellEnd"/>
      <w:r w:rsidRPr="001D0335">
        <w:t xml:space="preserve"> term and the Regulatory Years to which those values relate.</w:t>
      </w:r>
    </w:p>
    <w:p w14:paraId="1DAC4379" w14:textId="6968C6DC" w:rsidR="001D0335" w:rsidRPr="00951250" w:rsidRDefault="001D0335" w:rsidP="00160387">
      <w:pPr>
        <w:pStyle w:val="AppendixHeading"/>
      </w:pPr>
      <w:bookmarkStart w:id="84" w:name="_Toc51798277"/>
      <w:bookmarkEnd w:id="84"/>
    </w:p>
    <w:p w14:paraId="74A528C2" w14:textId="0E95B418" w:rsidR="001D0335" w:rsidRPr="004A521E" w:rsidRDefault="00E30565" w:rsidP="00160387">
      <w:pPr>
        <w:pStyle w:val="Caption"/>
      </w:pPr>
      <w:r>
        <w:t>Resilience and Operability</w:t>
      </w:r>
      <w:r w:rsidR="001D0335">
        <w:t xml:space="preserve"> Price Control Deliverable</w:t>
      </w:r>
      <w:r w:rsidR="00160387">
        <w:t xml:space="preserve"> [SHET]</w:t>
      </w:r>
    </w:p>
    <w:tbl>
      <w:tblPr>
        <w:tblStyle w:val="AppendixTable"/>
        <w:tblW w:w="5000" w:type="pct"/>
        <w:tblLook w:val="04A0" w:firstRow="1" w:lastRow="0" w:firstColumn="1" w:lastColumn="0" w:noHBand="0" w:noVBand="1"/>
      </w:tblPr>
      <w:tblGrid>
        <w:gridCol w:w="1394"/>
        <w:gridCol w:w="1660"/>
        <w:gridCol w:w="995"/>
        <w:gridCol w:w="706"/>
        <w:gridCol w:w="706"/>
        <w:gridCol w:w="706"/>
        <w:gridCol w:w="706"/>
        <w:gridCol w:w="706"/>
        <w:gridCol w:w="1447"/>
      </w:tblGrid>
      <w:tr w:rsidR="001D0335" w:rsidRPr="00DE541A" w14:paraId="53BA148E" w14:textId="77777777" w:rsidTr="00D65A69">
        <w:trPr>
          <w:cnfStyle w:val="100000000000" w:firstRow="1" w:lastRow="0" w:firstColumn="0" w:lastColumn="0" w:oddVBand="0" w:evenVBand="0" w:oddHBand="0" w:evenHBand="0" w:firstRowFirstColumn="0" w:firstRowLastColumn="0" w:lastRowFirstColumn="0" w:lastRowLastColumn="0"/>
          <w:trHeight w:val="328"/>
        </w:trPr>
        <w:tc>
          <w:tcPr>
            <w:tcW w:w="569" w:type="pct"/>
          </w:tcPr>
          <w:p w14:paraId="13A91E76" w14:textId="77777777" w:rsidR="001D0335" w:rsidRPr="001D0335" w:rsidRDefault="001D0335" w:rsidP="001D0335">
            <w:r>
              <w:t>Scheme Name</w:t>
            </w:r>
          </w:p>
        </w:tc>
        <w:tc>
          <w:tcPr>
            <w:tcW w:w="1215" w:type="pct"/>
          </w:tcPr>
          <w:p w14:paraId="5A0257C7" w14:textId="77777777" w:rsidR="001D0335" w:rsidRPr="001D0335" w:rsidRDefault="001D0335" w:rsidP="001D0335">
            <w:r>
              <w:t>Output</w:t>
            </w:r>
          </w:p>
        </w:tc>
        <w:tc>
          <w:tcPr>
            <w:tcW w:w="442" w:type="pct"/>
          </w:tcPr>
          <w:p w14:paraId="26EE4F00" w14:textId="77777777" w:rsidR="001D0335" w:rsidRPr="001D0335" w:rsidRDefault="001D0335" w:rsidP="001D0335">
            <w:r>
              <w:t>Delivery Date</w:t>
            </w:r>
          </w:p>
        </w:tc>
        <w:tc>
          <w:tcPr>
            <w:tcW w:w="1677" w:type="pct"/>
            <w:gridSpan w:val="5"/>
          </w:tcPr>
          <w:p w14:paraId="1F598772" w14:textId="77777777" w:rsidR="001D0335" w:rsidRPr="001D0335" w:rsidRDefault="001D0335" w:rsidP="001D0335">
            <w:r>
              <w:t xml:space="preserve">Allowance </w:t>
            </w:r>
          </w:p>
        </w:tc>
        <w:tc>
          <w:tcPr>
            <w:tcW w:w="1098" w:type="pct"/>
          </w:tcPr>
          <w:p w14:paraId="48ADEF17" w14:textId="77777777" w:rsidR="001D0335" w:rsidRDefault="001D0335" w:rsidP="001D0335"/>
        </w:tc>
      </w:tr>
      <w:tr w:rsidR="001D0335" w:rsidRPr="00D5104D" w14:paraId="64CB2D79" w14:textId="77777777" w:rsidTr="00D65A69">
        <w:trPr>
          <w:trHeight w:val="345"/>
        </w:trPr>
        <w:tc>
          <w:tcPr>
            <w:tcW w:w="569" w:type="pct"/>
          </w:tcPr>
          <w:p w14:paraId="24B36534" w14:textId="77777777" w:rsidR="001D0335" w:rsidRDefault="001D0335" w:rsidP="001D0335"/>
        </w:tc>
        <w:tc>
          <w:tcPr>
            <w:tcW w:w="1215" w:type="pct"/>
          </w:tcPr>
          <w:p w14:paraId="113E38A9" w14:textId="77777777" w:rsidR="001D0335" w:rsidRPr="0082533A" w:rsidRDefault="001D0335" w:rsidP="001D0335"/>
        </w:tc>
        <w:tc>
          <w:tcPr>
            <w:tcW w:w="442" w:type="pct"/>
          </w:tcPr>
          <w:p w14:paraId="1B106AC9" w14:textId="77777777" w:rsidR="001D0335" w:rsidRPr="0082533A" w:rsidRDefault="001D0335" w:rsidP="001D0335"/>
        </w:tc>
        <w:tc>
          <w:tcPr>
            <w:tcW w:w="335" w:type="pct"/>
          </w:tcPr>
          <w:p w14:paraId="5FDD6E1E" w14:textId="77777777" w:rsidR="001D0335" w:rsidRPr="001D0335" w:rsidRDefault="001D0335" w:rsidP="001D0335">
            <w:r>
              <w:t>21/22</w:t>
            </w:r>
          </w:p>
        </w:tc>
        <w:tc>
          <w:tcPr>
            <w:tcW w:w="335" w:type="pct"/>
          </w:tcPr>
          <w:p w14:paraId="4CD67194" w14:textId="77777777" w:rsidR="001D0335" w:rsidRPr="001D0335" w:rsidRDefault="001D0335" w:rsidP="001D0335">
            <w:r>
              <w:t>22/23</w:t>
            </w:r>
          </w:p>
        </w:tc>
        <w:tc>
          <w:tcPr>
            <w:tcW w:w="335" w:type="pct"/>
          </w:tcPr>
          <w:p w14:paraId="59D01E32" w14:textId="77777777" w:rsidR="001D0335" w:rsidRPr="001D0335" w:rsidRDefault="001D0335" w:rsidP="001D0335">
            <w:r>
              <w:t>23/24</w:t>
            </w:r>
          </w:p>
        </w:tc>
        <w:tc>
          <w:tcPr>
            <w:tcW w:w="336" w:type="pct"/>
          </w:tcPr>
          <w:p w14:paraId="20233F6E" w14:textId="77777777" w:rsidR="001D0335" w:rsidRPr="001D0335" w:rsidRDefault="001D0335" w:rsidP="001D0335">
            <w:r>
              <w:t>24/25</w:t>
            </w:r>
          </w:p>
        </w:tc>
        <w:tc>
          <w:tcPr>
            <w:tcW w:w="336" w:type="pct"/>
          </w:tcPr>
          <w:p w14:paraId="03451B95" w14:textId="77777777" w:rsidR="001D0335" w:rsidRPr="001D0335" w:rsidRDefault="001D0335" w:rsidP="001D0335">
            <w:r>
              <w:t>25/26</w:t>
            </w:r>
          </w:p>
        </w:tc>
        <w:tc>
          <w:tcPr>
            <w:tcW w:w="1098" w:type="pct"/>
          </w:tcPr>
          <w:p w14:paraId="0D3FD496" w14:textId="77777777" w:rsidR="001D0335" w:rsidRPr="001D0335" w:rsidRDefault="001D0335" w:rsidP="001D0335">
            <w:r>
              <w:t>All years</w:t>
            </w:r>
          </w:p>
        </w:tc>
      </w:tr>
      <w:tr w:rsidR="001D0335" w:rsidRPr="00D5104D" w14:paraId="7492D22F" w14:textId="77777777" w:rsidTr="00D65A69">
        <w:trPr>
          <w:trHeight w:val="345"/>
        </w:trPr>
        <w:tc>
          <w:tcPr>
            <w:tcW w:w="569" w:type="pct"/>
          </w:tcPr>
          <w:p w14:paraId="619C6784" w14:textId="4DD89A4E" w:rsidR="001D0335" w:rsidRPr="001D0335" w:rsidRDefault="00C83D2F" w:rsidP="001D0335">
            <w:r>
              <w:t>[REDACTED]</w:t>
            </w:r>
          </w:p>
        </w:tc>
        <w:tc>
          <w:tcPr>
            <w:tcW w:w="1215" w:type="pct"/>
          </w:tcPr>
          <w:p w14:paraId="28F20EAB" w14:textId="77777777" w:rsidR="001D0335" w:rsidRPr="0082533A" w:rsidRDefault="001D0335" w:rsidP="00D65A69"/>
        </w:tc>
        <w:tc>
          <w:tcPr>
            <w:tcW w:w="442" w:type="pct"/>
          </w:tcPr>
          <w:p w14:paraId="79203213" w14:textId="77777777" w:rsidR="001D0335" w:rsidRPr="0082533A" w:rsidRDefault="001D0335" w:rsidP="001D0335"/>
        </w:tc>
        <w:tc>
          <w:tcPr>
            <w:tcW w:w="335" w:type="pct"/>
          </w:tcPr>
          <w:p w14:paraId="632DE894" w14:textId="77777777" w:rsidR="001D0335" w:rsidRPr="0082533A" w:rsidRDefault="001D0335" w:rsidP="001D0335"/>
        </w:tc>
        <w:tc>
          <w:tcPr>
            <w:tcW w:w="335" w:type="pct"/>
          </w:tcPr>
          <w:p w14:paraId="73406255" w14:textId="77777777" w:rsidR="001D0335" w:rsidRPr="0082533A" w:rsidRDefault="001D0335" w:rsidP="001D0335"/>
        </w:tc>
        <w:tc>
          <w:tcPr>
            <w:tcW w:w="335" w:type="pct"/>
          </w:tcPr>
          <w:p w14:paraId="08095EA7" w14:textId="77777777" w:rsidR="001D0335" w:rsidRPr="0082533A" w:rsidRDefault="001D0335" w:rsidP="001D0335"/>
        </w:tc>
        <w:tc>
          <w:tcPr>
            <w:tcW w:w="336" w:type="pct"/>
          </w:tcPr>
          <w:p w14:paraId="6A80E53D" w14:textId="77777777" w:rsidR="001D0335" w:rsidRPr="0082533A" w:rsidRDefault="001D0335" w:rsidP="001D0335"/>
        </w:tc>
        <w:tc>
          <w:tcPr>
            <w:tcW w:w="336" w:type="pct"/>
          </w:tcPr>
          <w:p w14:paraId="6DE73451" w14:textId="77777777" w:rsidR="001D0335" w:rsidRPr="0082533A" w:rsidRDefault="001D0335" w:rsidP="001D0335"/>
        </w:tc>
        <w:tc>
          <w:tcPr>
            <w:tcW w:w="1098" w:type="pct"/>
          </w:tcPr>
          <w:p w14:paraId="59CEFB7D" w14:textId="77777777" w:rsidR="001D0335" w:rsidRPr="0082533A" w:rsidRDefault="001D0335" w:rsidP="001D0335"/>
        </w:tc>
      </w:tr>
      <w:tr w:rsidR="001D0335" w:rsidRPr="00D5104D" w14:paraId="53A48F9E" w14:textId="77777777" w:rsidTr="00D65A69">
        <w:trPr>
          <w:trHeight w:val="345"/>
        </w:trPr>
        <w:tc>
          <w:tcPr>
            <w:tcW w:w="569" w:type="pct"/>
          </w:tcPr>
          <w:p w14:paraId="6C8F5690" w14:textId="77777777" w:rsidR="001D0335" w:rsidRPr="00D3757E" w:rsidRDefault="001D0335" w:rsidP="001D0335"/>
        </w:tc>
        <w:tc>
          <w:tcPr>
            <w:tcW w:w="1215" w:type="pct"/>
          </w:tcPr>
          <w:p w14:paraId="51F8C195" w14:textId="29392E70" w:rsidR="001D0335" w:rsidRPr="001D0335" w:rsidRDefault="001D0335" w:rsidP="001D0335"/>
        </w:tc>
        <w:tc>
          <w:tcPr>
            <w:tcW w:w="442" w:type="pct"/>
          </w:tcPr>
          <w:p w14:paraId="33624786" w14:textId="65989280" w:rsidR="001D0335" w:rsidRDefault="001D0335" w:rsidP="001D0335"/>
        </w:tc>
        <w:tc>
          <w:tcPr>
            <w:tcW w:w="335" w:type="pct"/>
          </w:tcPr>
          <w:p w14:paraId="5C5EA6C9" w14:textId="77777777" w:rsidR="001D0335" w:rsidRPr="0082533A" w:rsidRDefault="001D0335" w:rsidP="001D0335"/>
        </w:tc>
        <w:tc>
          <w:tcPr>
            <w:tcW w:w="335" w:type="pct"/>
          </w:tcPr>
          <w:p w14:paraId="36315552" w14:textId="77777777" w:rsidR="001D0335" w:rsidRPr="0082533A" w:rsidRDefault="001D0335" w:rsidP="001D0335"/>
        </w:tc>
        <w:tc>
          <w:tcPr>
            <w:tcW w:w="335" w:type="pct"/>
          </w:tcPr>
          <w:p w14:paraId="1DA2FEA3" w14:textId="77777777" w:rsidR="001D0335" w:rsidRPr="0082533A" w:rsidRDefault="001D0335" w:rsidP="001D0335"/>
        </w:tc>
        <w:tc>
          <w:tcPr>
            <w:tcW w:w="336" w:type="pct"/>
          </w:tcPr>
          <w:p w14:paraId="110F7082" w14:textId="77777777" w:rsidR="001D0335" w:rsidRPr="0082533A" w:rsidRDefault="001D0335" w:rsidP="001D0335"/>
        </w:tc>
        <w:tc>
          <w:tcPr>
            <w:tcW w:w="336" w:type="pct"/>
          </w:tcPr>
          <w:p w14:paraId="185BF509" w14:textId="77777777" w:rsidR="001D0335" w:rsidRPr="0082533A" w:rsidRDefault="001D0335" w:rsidP="001D0335"/>
        </w:tc>
        <w:tc>
          <w:tcPr>
            <w:tcW w:w="1098" w:type="pct"/>
          </w:tcPr>
          <w:p w14:paraId="1AD40A87" w14:textId="77777777" w:rsidR="001D0335" w:rsidRPr="0082533A" w:rsidRDefault="001D0335" w:rsidP="001D0335"/>
        </w:tc>
      </w:tr>
      <w:tr w:rsidR="001D0335" w:rsidRPr="00D5104D" w14:paraId="3C695B91" w14:textId="77777777" w:rsidTr="00D65A69">
        <w:trPr>
          <w:trHeight w:val="345"/>
        </w:trPr>
        <w:tc>
          <w:tcPr>
            <w:tcW w:w="569" w:type="pct"/>
          </w:tcPr>
          <w:p w14:paraId="6B26918A" w14:textId="66BDD5B4" w:rsidR="001D0335" w:rsidRPr="001D0335" w:rsidRDefault="001D0335" w:rsidP="001D0335"/>
        </w:tc>
        <w:tc>
          <w:tcPr>
            <w:tcW w:w="1215" w:type="pct"/>
          </w:tcPr>
          <w:p w14:paraId="41AA3F9D" w14:textId="37E4FCAA" w:rsidR="001D0335" w:rsidRPr="001D0335" w:rsidRDefault="001D0335" w:rsidP="001D0335"/>
        </w:tc>
        <w:tc>
          <w:tcPr>
            <w:tcW w:w="442" w:type="pct"/>
          </w:tcPr>
          <w:p w14:paraId="1B6C95BA" w14:textId="0C97D577" w:rsidR="001D0335" w:rsidRDefault="001D0335" w:rsidP="001D0335"/>
        </w:tc>
        <w:tc>
          <w:tcPr>
            <w:tcW w:w="335" w:type="pct"/>
          </w:tcPr>
          <w:p w14:paraId="2FB8B326" w14:textId="77777777" w:rsidR="001D0335" w:rsidRPr="0082533A" w:rsidRDefault="001D0335" w:rsidP="001D0335"/>
        </w:tc>
        <w:tc>
          <w:tcPr>
            <w:tcW w:w="335" w:type="pct"/>
          </w:tcPr>
          <w:p w14:paraId="5BBD8395" w14:textId="77777777" w:rsidR="001D0335" w:rsidRPr="0082533A" w:rsidRDefault="001D0335" w:rsidP="001D0335"/>
        </w:tc>
        <w:tc>
          <w:tcPr>
            <w:tcW w:w="335" w:type="pct"/>
          </w:tcPr>
          <w:p w14:paraId="106DCF9C" w14:textId="77777777" w:rsidR="001D0335" w:rsidRPr="0082533A" w:rsidRDefault="001D0335" w:rsidP="001D0335"/>
        </w:tc>
        <w:tc>
          <w:tcPr>
            <w:tcW w:w="336" w:type="pct"/>
          </w:tcPr>
          <w:p w14:paraId="5FC25D66" w14:textId="77777777" w:rsidR="001D0335" w:rsidRPr="0082533A" w:rsidRDefault="001D0335" w:rsidP="001D0335"/>
        </w:tc>
        <w:tc>
          <w:tcPr>
            <w:tcW w:w="336" w:type="pct"/>
          </w:tcPr>
          <w:p w14:paraId="3E860811" w14:textId="77777777" w:rsidR="001D0335" w:rsidRPr="0082533A" w:rsidRDefault="001D0335" w:rsidP="001D0335"/>
        </w:tc>
        <w:tc>
          <w:tcPr>
            <w:tcW w:w="1098" w:type="pct"/>
          </w:tcPr>
          <w:p w14:paraId="36F0513D" w14:textId="77777777" w:rsidR="001D0335" w:rsidRPr="0082533A" w:rsidRDefault="001D0335" w:rsidP="001D0335"/>
        </w:tc>
      </w:tr>
    </w:tbl>
    <w:p w14:paraId="365FFEBF" w14:textId="77777777" w:rsidR="00CA5BCE" w:rsidRDefault="00CA5BCE" w:rsidP="00CA5BCE">
      <w:pPr>
        <w:pStyle w:val="Caption"/>
      </w:pPr>
    </w:p>
    <w:p w14:paraId="5279C64C" w14:textId="0AF1AD62" w:rsidR="001D0335" w:rsidRPr="004A521E" w:rsidRDefault="00C738FF" w:rsidP="00CA5BCE">
      <w:pPr>
        <w:pStyle w:val="Caption"/>
      </w:pPr>
      <w:r>
        <w:t>Resilience and Operability</w:t>
      </w:r>
      <w:r w:rsidR="001D0335">
        <w:t xml:space="preserve"> Price Control Deliverable</w:t>
      </w:r>
      <w:r w:rsidR="00AA22FB">
        <w:t xml:space="preserve"> [SPT]</w:t>
      </w:r>
    </w:p>
    <w:tbl>
      <w:tblPr>
        <w:tblStyle w:val="AppendixTable"/>
        <w:tblW w:w="5000" w:type="pct"/>
        <w:tblLook w:val="04A0" w:firstRow="1" w:lastRow="0" w:firstColumn="1" w:lastColumn="0" w:noHBand="0" w:noVBand="1"/>
      </w:tblPr>
      <w:tblGrid>
        <w:gridCol w:w="1512"/>
        <w:gridCol w:w="1599"/>
        <w:gridCol w:w="1114"/>
        <w:gridCol w:w="789"/>
        <w:gridCol w:w="785"/>
        <w:gridCol w:w="785"/>
        <w:gridCol w:w="823"/>
        <w:gridCol w:w="823"/>
        <w:gridCol w:w="796"/>
      </w:tblGrid>
      <w:tr w:rsidR="001D0335" w:rsidRPr="00DE541A" w14:paraId="0BE63239" w14:textId="77777777" w:rsidTr="00CA5BCE">
        <w:trPr>
          <w:cnfStyle w:val="100000000000" w:firstRow="1" w:lastRow="0" w:firstColumn="0" w:lastColumn="0" w:oddVBand="0" w:evenVBand="0" w:oddHBand="0" w:evenHBand="0" w:firstRowFirstColumn="0" w:firstRowLastColumn="0" w:lastRowFirstColumn="0" w:lastRowLastColumn="0"/>
          <w:trHeight w:val="319"/>
        </w:trPr>
        <w:tc>
          <w:tcPr>
            <w:tcW w:w="837" w:type="pct"/>
          </w:tcPr>
          <w:p w14:paraId="70C1758E" w14:textId="77777777" w:rsidR="001D0335" w:rsidRPr="001D0335" w:rsidRDefault="001D0335" w:rsidP="001D0335">
            <w:r>
              <w:t>Scheme Name</w:t>
            </w:r>
          </w:p>
        </w:tc>
        <w:tc>
          <w:tcPr>
            <w:tcW w:w="886" w:type="pct"/>
          </w:tcPr>
          <w:p w14:paraId="48C7C7D0" w14:textId="77777777" w:rsidR="001D0335" w:rsidRPr="001D0335" w:rsidRDefault="001D0335" w:rsidP="001D0335">
            <w:r>
              <w:t>Output</w:t>
            </w:r>
          </w:p>
        </w:tc>
        <w:tc>
          <w:tcPr>
            <w:tcW w:w="617" w:type="pct"/>
          </w:tcPr>
          <w:p w14:paraId="334960E3" w14:textId="77777777" w:rsidR="001D0335" w:rsidRPr="001D0335" w:rsidRDefault="001D0335" w:rsidP="001D0335">
            <w:r>
              <w:t>Delivery Date</w:t>
            </w:r>
          </w:p>
        </w:tc>
        <w:tc>
          <w:tcPr>
            <w:tcW w:w="2218" w:type="pct"/>
            <w:gridSpan w:val="5"/>
          </w:tcPr>
          <w:p w14:paraId="2116B4A4" w14:textId="77777777" w:rsidR="001D0335" w:rsidRPr="001D0335" w:rsidRDefault="001D0335" w:rsidP="001D0335">
            <w:r>
              <w:t xml:space="preserve">Allowance </w:t>
            </w:r>
          </w:p>
        </w:tc>
        <w:tc>
          <w:tcPr>
            <w:tcW w:w="442" w:type="pct"/>
          </w:tcPr>
          <w:p w14:paraId="7F1CB8B0" w14:textId="77777777" w:rsidR="001D0335" w:rsidRDefault="001D0335" w:rsidP="001D0335"/>
        </w:tc>
      </w:tr>
      <w:tr w:rsidR="001D0335" w:rsidRPr="00D5104D" w14:paraId="3DE2061E" w14:textId="77777777" w:rsidTr="00CA5BCE">
        <w:trPr>
          <w:trHeight w:val="336"/>
        </w:trPr>
        <w:tc>
          <w:tcPr>
            <w:tcW w:w="837" w:type="pct"/>
          </w:tcPr>
          <w:p w14:paraId="192178F8" w14:textId="77777777" w:rsidR="001D0335" w:rsidRDefault="001D0335" w:rsidP="001D0335"/>
        </w:tc>
        <w:tc>
          <w:tcPr>
            <w:tcW w:w="886" w:type="pct"/>
          </w:tcPr>
          <w:p w14:paraId="342A87C7" w14:textId="77777777" w:rsidR="001D0335" w:rsidRPr="0082533A" w:rsidRDefault="001D0335" w:rsidP="001D0335"/>
        </w:tc>
        <w:tc>
          <w:tcPr>
            <w:tcW w:w="617" w:type="pct"/>
          </w:tcPr>
          <w:p w14:paraId="5EA7B448" w14:textId="77777777" w:rsidR="001D0335" w:rsidRPr="0082533A" w:rsidRDefault="001D0335" w:rsidP="001D0335"/>
        </w:tc>
        <w:tc>
          <w:tcPr>
            <w:tcW w:w="437" w:type="pct"/>
          </w:tcPr>
          <w:p w14:paraId="62BC29F0" w14:textId="77777777" w:rsidR="001D0335" w:rsidRPr="001D0335" w:rsidRDefault="001D0335" w:rsidP="001D0335">
            <w:r>
              <w:t>21/22</w:t>
            </w:r>
          </w:p>
        </w:tc>
        <w:tc>
          <w:tcPr>
            <w:tcW w:w="435" w:type="pct"/>
          </w:tcPr>
          <w:p w14:paraId="67A1B8B9" w14:textId="77777777" w:rsidR="001D0335" w:rsidRPr="001D0335" w:rsidRDefault="001D0335" w:rsidP="001D0335">
            <w:r>
              <w:t>22/23</w:t>
            </w:r>
          </w:p>
        </w:tc>
        <w:tc>
          <w:tcPr>
            <w:tcW w:w="435" w:type="pct"/>
          </w:tcPr>
          <w:p w14:paraId="4238778F" w14:textId="77777777" w:rsidR="001D0335" w:rsidRPr="001D0335" w:rsidRDefault="001D0335" w:rsidP="001D0335">
            <w:r>
              <w:t>23/24</w:t>
            </w:r>
          </w:p>
        </w:tc>
        <w:tc>
          <w:tcPr>
            <w:tcW w:w="456" w:type="pct"/>
          </w:tcPr>
          <w:p w14:paraId="0B4F8770" w14:textId="77777777" w:rsidR="001D0335" w:rsidRPr="001D0335" w:rsidRDefault="001D0335" w:rsidP="001D0335">
            <w:r>
              <w:t>24/25</w:t>
            </w:r>
          </w:p>
        </w:tc>
        <w:tc>
          <w:tcPr>
            <w:tcW w:w="456" w:type="pct"/>
          </w:tcPr>
          <w:p w14:paraId="050B890A" w14:textId="77777777" w:rsidR="001D0335" w:rsidRPr="001D0335" w:rsidRDefault="001D0335" w:rsidP="001D0335">
            <w:r>
              <w:t>25/26</w:t>
            </w:r>
          </w:p>
        </w:tc>
        <w:tc>
          <w:tcPr>
            <w:tcW w:w="442" w:type="pct"/>
          </w:tcPr>
          <w:p w14:paraId="269504B3" w14:textId="77777777" w:rsidR="001D0335" w:rsidRPr="001D0335" w:rsidRDefault="001D0335" w:rsidP="001D0335">
            <w:r>
              <w:t>All years</w:t>
            </w:r>
          </w:p>
        </w:tc>
      </w:tr>
      <w:tr w:rsidR="001D0335" w:rsidRPr="00D5104D" w14:paraId="369D16EE" w14:textId="77777777" w:rsidTr="00CA5BCE">
        <w:trPr>
          <w:trHeight w:val="336"/>
        </w:trPr>
        <w:tc>
          <w:tcPr>
            <w:tcW w:w="837" w:type="pct"/>
          </w:tcPr>
          <w:p w14:paraId="2311847E" w14:textId="454AFC53" w:rsidR="001D0335" w:rsidRPr="001D0335" w:rsidRDefault="00C83D2F" w:rsidP="001D0335">
            <w:r>
              <w:t>[REDACTED]</w:t>
            </w:r>
          </w:p>
        </w:tc>
        <w:tc>
          <w:tcPr>
            <w:tcW w:w="886" w:type="pct"/>
          </w:tcPr>
          <w:p w14:paraId="1AD3778D" w14:textId="77777777" w:rsidR="001D0335" w:rsidRPr="0082533A" w:rsidRDefault="001D0335" w:rsidP="001D0335"/>
        </w:tc>
        <w:tc>
          <w:tcPr>
            <w:tcW w:w="617" w:type="pct"/>
          </w:tcPr>
          <w:p w14:paraId="3D9E1F49" w14:textId="09A4731D" w:rsidR="001D0335" w:rsidRPr="001D0335" w:rsidRDefault="001D0335" w:rsidP="001D0335"/>
        </w:tc>
        <w:tc>
          <w:tcPr>
            <w:tcW w:w="437" w:type="pct"/>
          </w:tcPr>
          <w:p w14:paraId="7622FCCC" w14:textId="77777777" w:rsidR="001D0335" w:rsidRPr="0082533A" w:rsidRDefault="001D0335" w:rsidP="001D0335"/>
        </w:tc>
        <w:tc>
          <w:tcPr>
            <w:tcW w:w="435" w:type="pct"/>
          </w:tcPr>
          <w:p w14:paraId="374910AD" w14:textId="77777777" w:rsidR="001D0335" w:rsidRPr="0082533A" w:rsidRDefault="001D0335" w:rsidP="001D0335"/>
        </w:tc>
        <w:tc>
          <w:tcPr>
            <w:tcW w:w="435" w:type="pct"/>
          </w:tcPr>
          <w:p w14:paraId="09118C5A" w14:textId="77777777" w:rsidR="001D0335" w:rsidRPr="0082533A" w:rsidRDefault="001D0335" w:rsidP="001D0335"/>
        </w:tc>
        <w:tc>
          <w:tcPr>
            <w:tcW w:w="456" w:type="pct"/>
          </w:tcPr>
          <w:p w14:paraId="01420176" w14:textId="77777777" w:rsidR="001D0335" w:rsidRPr="0082533A" w:rsidRDefault="001D0335" w:rsidP="001D0335"/>
        </w:tc>
        <w:tc>
          <w:tcPr>
            <w:tcW w:w="456" w:type="pct"/>
          </w:tcPr>
          <w:p w14:paraId="5C3EB826" w14:textId="77777777" w:rsidR="001D0335" w:rsidRPr="0082533A" w:rsidRDefault="001D0335" w:rsidP="001D0335"/>
        </w:tc>
        <w:tc>
          <w:tcPr>
            <w:tcW w:w="442" w:type="pct"/>
          </w:tcPr>
          <w:p w14:paraId="6D2B710E" w14:textId="77777777" w:rsidR="001D0335" w:rsidRPr="0082533A" w:rsidRDefault="001D0335" w:rsidP="001D0335"/>
        </w:tc>
      </w:tr>
      <w:tr w:rsidR="001D0335" w:rsidRPr="00D5104D" w14:paraId="25BAFCD5" w14:textId="77777777" w:rsidTr="00CA5BCE">
        <w:trPr>
          <w:trHeight w:val="336"/>
        </w:trPr>
        <w:tc>
          <w:tcPr>
            <w:tcW w:w="837" w:type="pct"/>
          </w:tcPr>
          <w:p w14:paraId="43857137" w14:textId="745FA5B0" w:rsidR="001D0335" w:rsidRPr="001D0335" w:rsidRDefault="001D0335" w:rsidP="001D0335"/>
        </w:tc>
        <w:tc>
          <w:tcPr>
            <w:tcW w:w="886" w:type="pct"/>
          </w:tcPr>
          <w:p w14:paraId="71553321" w14:textId="31145723" w:rsidR="001D0335" w:rsidRPr="001D0335" w:rsidRDefault="001D0335" w:rsidP="001D0335"/>
        </w:tc>
        <w:tc>
          <w:tcPr>
            <w:tcW w:w="617" w:type="pct"/>
          </w:tcPr>
          <w:p w14:paraId="6C976542" w14:textId="5FADFEC9" w:rsidR="001D0335" w:rsidRPr="001D0335" w:rsidRDefault="001D0335" w:rsidP="001D0335"/>
        </w:tc>
        <w:tc>
          <w:tcPr>
            <w:tcW w:w="437" w:type="pct"/>
          </w:tcPr>
          <w:p w14:paraId="071480F4" w14:textId="77777777" w:rsidR="001D0335" w:rsidRPr="00D5104D" w:rsidRDefault="001D0335" w:rsidP="001D0335"/>
        </w:tc>
        <w:tc>
          <w:tcPr>
            <w:tcW w:w="435" w:type="pct"/>
          </w:tcPr>
          <w:p w14:paraId="38A3BA60" w14:textId="77777777" w:rsidR="001D0335" w:rsidRPr="00D5104D" w:rsidRDefault="001D0335" w:rsidP="001D0335"/>
        </w:tc>
        <w:tc>
          <w:tcPr>
            <w:tcW w:w="435" w:type="pct"/>
          </w:tcPr>
          <w:p w14:paraId="7C31D561" w14:textId="77777777" w:rsidR="001D0335" w:rsidRPr="00D5104D" w:rsidRDefault="001D0335" w:rsidP="001D0335"/>
        </w:tc>
        <w:tc>
          <w:tcPr>
            <w:tcW w:w="456" w:type="pct"/>
          </w:tcPr>
          <w:p w14:paraId="1ED3E8A5" w14:textId="77777777" w:rsidR="001D0335" w:rsidRPr="00D5104D" w:rsidRDefault="001D0335" w:rsidP="001D0335"/>
        </w:tc>
        <w:tc>
          <w:tcPr>
            <w:tcW w:w="456" w:type="pct"/>
          </w:tcPr>
          <w:p w14:paraId="4290C5E7" w14:textId="77777777" w:rsidR="001D0335" w:rsidRPr="00D5104D" w:rsidRDefault="001D0335" w:rsidP="001D0335"/>
        </w:tc>
        <w:tc>
          <w:tcPr>
            <w:tcW w:w="442" w:type="pct"/>
          </w:tcPr>
          <w:p w14:paraId="4704FF17" w14:textId="77777777" w:rsidR="001D0335" w:rsidRPr="00D5104D" w:rsidRDefault="001D0335" w:rsidP="001D0335"/>
        </w:tc>
      </w:tr>
      <w:tr w:rsidR="001D0335" w:rsidRPr="00D5104D" w14:paraId="61ADEB6B" w14:textId="77777777" w:rsidTr="00CA5BCE">
        <w:trPr>
          <w:trHeight w:val="336"/>
        </w:trPr>
        <w:tc>
          <w:tcPr>
            <w:tcW w:w="837" w:type="pct"/>
          </w:tcPr>
          <w:p w14:paraId="11824B4D" w14:textId="507ECE41" w:rsidR="001D0335" w:rsidRPr="001D0335" w:rsidRDefault="001D0335" w:rsidP="001D0335"/>
        </w:tc>
        <w:tc>
          <w:tcPr>
            <w:tcW w:w="886" w:type="pct"/>
          </w:tcPr>
          <w:p w14:paraId="7429FC7A" w14:textId="77777777" w:rsidR="001D0335" w:rsidRPr="00D5104D" w:rsidRDefault="001D0335" w:rsidP="001D0335"/>
        </w:tc>
        <w:tc>
          <w:tcPr>
            <w:tcW w:w="617" w:type="pct"/>
          </w:tcPr>
          <w:p w14:paraId="09C7D1AE" w14:textId="14645830" w:rsidR="001D0335" w:rsidRPr="001D0335" w:rsidRDefault="001D0335" w:rsidP="001D0335"/>
        </w:tc>
        <w:tc>
          <w:tcPr>
            <w:tcW w:w="437" w:type="pct"/>
          </w:tcPr>
          <w:p w14:paraId="51C3AF57" w14:textId="77777777" w:rsidR="001D0335" w:rsidRPr="00D5104D" w:rsidRDefault="001D0335" w:rsidP="001D0335"/>
        </w:tc>
        <w:tc>
          <w:tcPr>
            <w:tcW w:w="435" w:type="pct"/>
          </w:tcPr>
          <w:p w14:paraId="5B2A801C" w14:textId="77777777" w:rsidR="001D0335" w:rsidRPr="00D5104D" w:rsidRDefault="001D0335" w:rsidP="001D0335"/>
        </w:tc>
        <w:tc>
          <w:tcPr>
            <w:tcW w:w="435" w:type="pct"/>
          </w:tcPr>
          <w:p w14:paraId="08819468" w14:textId="77777777" w:rsidR="001D0335" w:rsidRPr="00D5104D" w:rsidRDefault="001D0335" w:rsidP="001D0335"/>
        </w:tc>
        <w:tc>
          <w:tcPr>
            <w:tcW w:w="456" w:type="pct"/>
          </w:tcPr>
          <w:p w14:paraId="6E271246" w14:textId="77777777" w:rsidR="001D0335" w:rsidRPr="00D5104D" w:rsidRDefault="001D0335" w:rsidP="001D0335"/>
        </w:tc>
        <w:tc>
          <w:tcPr>
            <w:tcW w:w="456" w:type="pct"/>
          </w:tcPr>
          <w:p w14:paraId="6BF505FB" w14:textId="77777777" w:rsidR="001D0335" w:rsidRPr="00D5104D" w:rsidRDefault="001D0335" w:rsidP="001D0335"/>
        </w:tc>
        <w:tc>
          <w:tcPr>
            <w:tcW w:w="442" w:type="pct"/>
          </w:tcPr>
          <w:p w14:paraId="31F36672" w14:textId="77777777" w:rsidR="001D0335" w:rsidRPr="00D5104D" w:rsidRDefault="001D0335" w:rsidP="001D0335"/>
        </w:tc>
      </w:tr>
      <w:tr w:rsidR="001D0335" w:rsidRPr="00D5104D" w14:paraId="4ECD173C" w14:textId="77777777" w:rsidTr="00CA5BCE">
        <w:trPr>
          <w:trHeight w:val="336"/>
        </w:trPr>
        <w:tc>
          <w:tcPr>
            <w:tcW w:w="837" w:type="pct"/>
          </w:tcPr>
          <w:p w14:paraId="682D5710" w14:textId="5C0B3049" w:rsidR="001D0335" w:rsidRPr="001D0335" w:rsidRDefault="001D0335" w:rsidP="001D0335"/>
        </w:tc>
        <w:tc>
          <w:tcPr>
            <w:tcW w:w="886" w:type="pct"/>
          </w:tcPr>
          <w:p w14:paraId="2E71EFEF" w14:textId="7D45062F" w:rsidR="001D0335" w:rsidRPr="001D0335" w:rsidRDefault="001D0335" w:rsidP="001D0335"/>
        </w:tc>
        <w:tc>
          <w:tcPr>
            <w:tcW w:w="617" w:type="pct"/>
          </w:tcPr>
          <w:p w14:paraId="175CFDF2" w14:textId="77777777" w:rsidR="001D0335" w:rsidRPr="000745B2" w:rsidRDefault="001D0335" w:rsidP="001D0335"/>
        </w:tc>
        <w:tc>
          <w:tcPr>
            <w:tcW w:w="437" w:type="pct"/>
          </w:tcPr>
          <w:p w14:paraId="6586F272" w14:textId="77777777" w:rsidR="001D0335" w:rsidRPr="00D5104D" w:rsidRDefault="001D0335" w:rsidP="001D0335"/>
        </w:tc>
        <w:tc>
          <w:tcPr>
            <w:tcW w:w="435" w:type="pct"/>
          </w:tcPr>
          <w:p w14:paraId="050FEED6" w14:textId="77777777" w:rsidR="001D0335" w:rsidRPr="00D5104D" w:rsidRDefault="001D0335" w:rsidP="001D0335"/>
        </w:tc>
        <w:tc>
          <w:tcPr>
            <w:tcW w:w="435" w:type="pct"/>
          </w:tcPr>
          <w:p w14:paraId="4F4A3F0A" w14:textId="77777777" w:rsidR="001D0335" w:rsidRPr="00D5104D" w:rsidRDefault="001D0335" w:rsidP="001D0335"/>
        </w:tc>
        <w:tc>
          <w:tcPr>
            <w:tcW w:w="456" w:type="pct"/>
          </w:tcPr>
          <w:p w14:paraId="6E613E6B" w14:textId="77777777" w:rsidR="001D0335" w:rsidRPr="00D5104D" w:rsidRDefault="001D0335" w:rsidP="001D0335"/>
        </w:tc>
        <w:tc>
          <w:tcPr>
            <w:tcW w:w="456" w:type="pct"/>
          </w:tcPr>
          <w:p w14:paraId="23A47C45" w14:textId="77777777" w:rsidR="001D0335" w:rsidRPr="00D5104D" w:rsidRDefault="001D0335" w:rsidP="001D0335"/>
        </w:tc>
        <w:tc>
          <w:tcPr>
            <w:tcW w:w="442" w:type="pct"/>
          </w:tcPr>
          <w:p w14:paraId="78401E08" w14:textId="77777777" w:rsidR="001D0335" w:rsidRPr="00D5104D" w:rsidRDefault="001D0335" w:rsidP="001D0335"/>
        </w:tc>
      </w:tr>
      <w:tr w:rsidR="001D0335" w:rsidRPr="00D5104D" w14:paraId="7577BCD0" w14:textId="77777777" w:rsidTr="00CA5BCE">
        <w:trPr>
          <w:trHeight w:val="336"/>
        </w:trPr>
        <w:tc>
          <w:tcPr>
            <w:tcW w:w="837" w:type="pct"/>
          </w:tcPr>
          <w:p w14:paraId="2D013C3A" w14:textId="3404808D" w:rsidR="001D0335" w:rsidRPr="001D0335" w:rsidRDefault="001D0335" w:rsidP="001D0335"/>
        </w:tc>
        <w:tc>
          <w:tcPr>
            <w:tcW w:w="886" w:type="pct"/>
          </w:tcPr>
          <w:p w14:paraId="5E0017EF" w14:textId="77777777" w:rsidR="001D0335" w:rsidRPr="00D5104D" w:rsidRDefault="001D0335" w:rsidP="00CA426D"/>
        </w:tc>
        <w:tc>
          <w:tcPr>
            <w:tcW w:w="617" w:type="pct"/>
          </w:tcPr>
          <w:p w14:paraId="44A30B0F" w14:textId="34483A0F" w:rsidR="001D0335" w:rsidRPr="001D0335" w:rsidRDefault="001D0335" w:rsidP="001D0335"/>
        </w:tc>
        <w:tc>
          <w:tcPr>
            <w:tcW w:w="437" w:type="pct"/>
          </w:tcPr>
          <w:p w14:paraId="3DEC131E" w14:textId="77777777" w:rsidR="001D0335" w:rsidRPr="00D5104D" w:rsidRDefault="001D0335" w:rsidP="001D0335"/>
        </w:tc>
        <w:tc>
          <w:tcPr>
            <w:tcW w:w="435" w:type="pct"/>
          </w:tcPr>
          <w:p w14:paraId="24A6497B" w14:textId="77777777" w:rsidR="001D0335" w:rsidRPr="00D5104D" w:rsidRDefault="001D0335" w:rsidP="001D0335"/>
        </w:tc>
        <w:tc>
          <w:tcPr>
            <w:tcW w:w="435" w:type="pct"/>
          </w:tcPr>
          <w:p w14:paraId="1A5DB686" w14:textId="77777777" w:rsidR="001D0335" w:rsidRPr="00D5104D" w:rsidRDefault="001D0335" w:rsidP="001D0335"/>
        </w:tc>
        <w:tc>
          <w:tcPr>
            <w:tcW w:w="456" w:type="pct"/>
          </w:tcPr>
          <w:p w14:paraId="182FE70F" w14:textId="77777777" w:rsidR="001D0335" w:rsidRPr="00D5104D" w:rsidRDefault="001D0335" w:rsidP="001D0335"/>
        </w:tc>
        <w:tc>
          <w:tcPr>
            <w:tcW w:w="456" w:type="pct"/>
          </w:tcPr>
          <w:p w14:paraId="00BFDCA8" w14:textId="77777777" w:rsidR="001D0335" w:rsidRPr="00D5104D" w:rsidRDefault="001D0335" w:rsidP="001D0335"/>
        </w:tc>
        <w:tc>
          <w:tcPr>
            <w:tcW w:w="442" w:type="pct"/>
          </w:tcPr>
          <w:p w14:paraId="5B80C0F7" w14:textId="77777777" w:rsidR="001D0335" w:rsidRPr="00D5104D" w:rsidRDefault="001D0335" w:rsidP="001D0335"/>
        </w:tc>
      </w:tr>
      <w:tr w:rsidR="001D0335" w:rsidRPr="00D5104D" w14:paraId="41221233" w14:textId="77777777" w:rsidTr="00CA5BCE">
        <w:trPr>
          <w:trHeight w:val="336"/>
        </w:trPr>
        <w:tc>
          <w:tcPr>
            <w:tcW w:w="837" w:type="pct"/>
          </w:tcPr>
          <w:p w14:paraId="0D937140" w14:textId="4D3D8118" w:rsidR="001D0335" w:rsidRPr="001D0335" w:rsidRDefault="001D0335" w:rsidP="001D0335"/>
        </w:tc>
        <w:tc>
          <w:tcPr>
            <w:tcW w:w="886" w:type="pct"/>
          </w:tcPr>
          <w:p w14:paraId="6C6C5720" w14:textId="2BA0A743" w:rsidR="001D0335" w:rsidRPr="001D0335" w:rsidRDefault="001D0335" w:rsidP="001D0335"/>
        </w:tc>
        <w:tc>
          <w:tcPr>
            <w:tcW w:w="617" w:type="pct"/>
          </w:tcPr>
          <w:p w14:paraId="13574D48" w14:textId="2BC47A9D" w:rsidR="001D0335" w:rsidRPr="001D0335" w:rsidRDefault="001D0335" w:rsidP="001D0335"/>
        </w:tc>
        <w:tc>
          <w:tcPr>
            <w:tcW w:w="437" w:type="pct"/>
          </w:tcPr>
          <w:p w14:paraId="173C70F1" w14:textId="77777777" w:rsidR="001D0335" w:rsidRPr="00D5104D" w:rsidRDefault="001D0335" w:rsidP="001D0335"/>
        </w:tc>
        <w:tc>
          <w:tcPr>
            <w:tcW w:w="435" w:type="pct"/>
          </w:tcPr>
          <w:p w14:paraId="04C5805B" w14:textId="77777777" w:rsidR="001D0335" w:rsidRPr="00D5104D" w:rsidRDefault="001D0335" w:rsidP="001D0335"/>
        </w:tc>
        <w:tc>
          <w:tcPr>
            <w:tcW w:w="435" w:type="pct"/>
          </w:tcPr>
          <w:p w14:paraId="27D9DC61" w14:textId="77777777" w:rsidR="001D0335" w:rsidRPr="00D5104D" w:rsidRDefault="001D0335" w:rsidP="001D0335"/>
        </w:tc>
        <w:tc>
          <w:tcPr>
            <w:tcW w:w="456" w:type="pct"/>
          </w:tcPr>
          <w:p w14:paraId="6BE84D5A" w14:textId="77777777" w:rsidR="001D0335" w:rsidRPr="00D5104D" w:rsidRDefault="001D0335" w:rsidP="001D0335"/>
        </w:tc>
        <w:tc>
          <w:tcPr>
            <w:tcW w:w="456" w:type="pct"/>
          </w:tcPr>
          <w:p w14:paraId="49EC66E9" w14:textId="77777777" w:rsidR="001D0335" w:rsidRPr="00D5104D" w:rsidRDefault="001D0335" w:rsidP="001D0335"/>
        </w:tc>
        <w:tc>
          <w:tcPr>
            <w:tcW w:w="442" w:type="pct"/>
          </w:tcPr>
          <w:p w14:paraId="0D34E42C" w14:textId="77777777" w:rsidR="001D0335" w:rsidRPr="00D5104D" w:rsidRDefault="001D0335" w:rsidP="001D0335"/>
        </w:tc>
      </w:tr>
    </w:tbl>
    <w:p w14:paraId="333427E0" w14:textId="77777777" w:rsidR="001D0335" w:rsidRPr="00A2204C" w:rsidRDefault="001D0335" w:rsidP="001D0335"/>
    <w:p w14:paraId="799626C2" w14:textId="614DC916" w:rsidR="00D35DF9" w:rsidRPr="00B06FC4" w:rsidRDefault="00D35DF9" w:rsidP="00D35DF9">
      <w:pPr>
        <w:pStyle w:val="Heading2"/>
      </w:pPr>
      <w:bookmarkStart w:id="85" w:name="_Toc343150292"/>
      <w:bookmarkStart w:id="86" w:name="_Toc497745275"/>
      <w:r>
        <w:t xml:space="preserve"> </w:t>
      </w:r>
      <w:bookmarkStart w:id="87" w:name="_Toc51798278"/>
      <w:bookmarkStart w:id="88" w:name="_Toc52364896"/>
      <w:bookmarkEnd w:id="85"/>
      <w:bookmarkEnd w:id="86"/>
      <w:r w:rsidR="00D64197">
        <w:t>Visual Impact Mitigation Re-opener and Price Control Deliverable</w:t>
      </w:r>
      <w:bookmarkEnd w:id="87"/>
      <w:bookmarkEnd w:id="88"/>
    </w:p>
    <w:p w14:paraId="1059CB67" w14:textId="77777777" w:rsidR="00D35DF9" w:rsidRDefault="00D35DF9" w:rsidP="004C0A3D">
      <w:pPr>
        <w:pStyle w:val="Heading3nonumbering"/>
      </w:pPr>
      <w:r w:rsidRPr="004C3792">
        <w:t>Introduction</w:t>
      </w:r>
      <w:r>
        <w:t xml:space="preserve"> </w:t>
      </w:r>
    </w:p>
    <w:p w14:paraId="54766248" w14:textId="77777777" w:rsidR="00D64197" w:rsidRDefault="00D64197" w:rsidP="004C0A3D">
      <w:pPr>
        <w:pStyle w:val="NumberedNormal"/>
      </w:pPr>
      <w:r>
        <w:t xml:space="preserve">The purpose of this condition is to calculate the term </w:t>
      </w:r>
      <w:proofErr w:type="spellStart"/>
      <w:r>
        <w:t>VIMEt</w:t>
      </w:r>
      <w:proofErr w:type="spellEnd"/>
      <w:r>
        <w:t xml:space="preserve"> (the Visual Impact Mitigation Price Control Deliverable term).  This contributes to the calculation of the Totex Allowance.</w:t>
      </w:r>
    </w:p>
    <w:p w14:paraId="22619ACC" w14:textId="75DA35A2" w:rsidR="00D64197" w:rsidRDefault="00D64197" w:rsidP="004C0A3D">
      <w:pPr>
        <w:pStyle w:val="NumberedNormal"/>
      </w:pPr>
      <w:r>
        <w:t xml:space="preserve">This condition also provides for the calculation of the term NTMP (the Non-Technical Mitigation Projects pass-through term). This contributes to the calculation of </w:t>
      </w:r>
      <w:proofErr w:type="spellStart"/>
      <w:r>
        <w:t>PTt</w:t>
      </w:r>
      <w:proofErr w:type="spellEnd"/>
      <w:r>
        <w:t xml:space="preserve"> (the allowed pass-through term), which feeds into Calculated Revenue in </w:t>
      </w:r>
      <w:r w:rsidR="00A148E7">
        <w:t>Special Condition 2.1 (Revenue Restriction)</w:t>
      </w:r>
      <w:r>
        <w:t>.</w:t>
      </w:r>
    </w:p>
    <w:p w14:paraId="41C4E8C6" w14:textId="77FF3F40" w:rsidR="00D64197" w:rsidRDefault="00D64197" w:rsidP="004C0A3D">
      <w:pPr>
        <w:pStyle w:val="NumberedNormal"/>
      </w:pPr>
      <w:r>
        <w:t>The effect of this condition is to:</w:t>
      </w:r>
    </w:p>
    <w:p w14:paraId="0A1463D4" w14:textId="77777777" w:rsidR="00C559B3" w:rsidRDefault="00C559B3" w:rsidP="00D64197">
      <w:pPr>
        <w:pStyle w:val="ListNormal"/>
      </w:pPr>
      <w:r>
        <w:t xml:space="preserve">require the licensee to update its Mitigating Pre-existing Infrastructure </w:t>
      </w:r>
      <w:proofErr w:type="gramStart"/>
      <w:r>
        <w:t>Policy;</w:t>
      </w:r>
      <w:proofErr w:type="gramEnd"/>
    </w:p>
    <w:p w14:paraId="162A6D1E" w14:textId="4B467C01" w:rsidR="00D64197" w:rsidRDefault="00D64197" w:rsidP="00D64197">
      <w:pPr>
        <w:pStyle w:val="ListNormal"/>
      </w:pPr>
      <w:r>
        <w:t xml:space="preserve">specify the outputs, delivery dates and associated allowances for the Price Control </w:t>
      </w:r>
      <w:proofErr w:type="gramStart"/>
      <w:r>
        <w:t>Deliverable;</w:t>
      </w:r>
      <w:proofErr w:type="gramEnd"/>
    </w:p>
    <w:p w14:paraId="599C48E1" w14:textId="09DB5917" w:rsidR="00D64197" w:rsidRDefault="00D64197" w:rsidP="00D64197">
      <w:pPr>
        <w:pStyle w:val="ListNormal"/>
      </w:pPr>
      <w:r>
        <w:t xml:space="preserve">establish a Re-opener for the licensee to trigger amendments to the Price Control </w:t>
      </w:r>
      <w:proofErr w:type="gramStart"/>
      <w:r>
        <w:t>Deliverable;</w:t>
      </w:r>
      <w:proofErr w:type="gramEnd"/>
    </w:p>
    <w:p w14:paraId="055254F8" w14:textId="6FAAAF8A" w:rsidR="00D64197" w:rsidRDefault="00D64197" w:rsidP="00D64197">
      <w:pPr>
        <w:pStyle w:val="ListNormal"/>
      </w:pPr>
      <w:r>
        <w:t xml:space="preserve">provide for an assessment of the Price Control </w:t>
      </w:r>
      <w:proofErr w:type="gramStart"/>
      <w:r>
        <w:t>Deliverable;</w:t>
      </w:r>
      <w:proofErr w:type="gramEnd"/>
      <w:r>
        <w:t xml:space="preserve"> </w:t>
      </w:r>
    </w:p>
    <w:p w14:paraId="035284B5" w14:textId="77777777" w:rsidR="00D64197" w:rsidRDefault="00D64197" w:rsidP="00D64197">
      <w:pPr>
        <w:pStyle w:val="ListNormal"/>
      </w:pPr>
      <w:r>
        <w:t xml:space="preserve">specify the RIIO-T1 Visual Impact Mitigation projects that the Authority has </w:t>
      </w:r>
      <w:proofErr w:type="gramStart"/>
      <w:r>
        <w:t>approved</w:t>
      </w:r>
      <w:proofErr w:type="gramEnd"/>
      <w:r>
        <w:t xml:space="preserve"> and that the licensee will deliver in RIIO-T2; and</w:t>
      </w:r>
    </w:p>
    <w:p w14:paraId="1C5BDE0A" w14:textId="387CD124" w:rsidR="00D64197" w:rsidRDefault="00C559B3" w:rsidP="00AB1D80">
      <w:pPr>
        <w:pStyle w:val="ListNormal"/>
      </w:pPr>
      <w:r>
        <w:t>ensure that the licensee's Allowed Revenue reflects that the costs of Non-Technical Mitigation Projects can be passed through to customers</w:t>
      </w:r>
      <w:r w:rsidR="00D64197">
        <w:t>.</w:t>
      </w:r>
    </w:p>
    <w:p w14:paraId="1B035C08" w14:textId="746718F7" w:rsidR="00D35DF9" w:rsidRPr="004740A6" w:rsidRDefault="00D35DF9" w:rsidP="004C0A3D">
      <w:pPr>
        <w:pStyle w:val="Heading3"/>
      </w:pPr>
      <w:r w:rsidRPr="004740A6">
        <w:lastRenderedPageBreak/>
        <w:t>Mitigating Pre-existing Infrastructure Policy</w:t>
      </w:r>
    </w:p>
    <w:p w14:paraId="6AEE7047" w14:textId="4F488C06" w:rsidR="00D35DF9" w:rsidRPr="00D35DF9" w:rsidRDefault="00D35DF9" w:rsidP="004C0A3D">
      <w:pPr>
        <w:pStyle w:val="NumberedNormal"/>
      </w:pPr>
      <w:r>
        <w:t xml:space="preserve">The licensee must update </w:t>
      </w:r>
      <w:r w:rsidR="00E632BA">
        <w:t xml:space="preserve">its </w:t>
      </w:r>
      <w:r>
        <w:t xml:space="preserve">Mitigating Pre-existing Infrastructure Policy for the RIIO-T2 price control before making </w:t>
      </w:r>
      <w:r w:rsidR="00C559B3">
        <w:t>an application</w:t>
      </w:r>
      <w:r>
        <w:t xml:space="preserve"> </w:t>
      </w:r>
      <w:r w:rsidR="00DB77E8">
        <w:t xml:space="preserve">under </w:t>
      </w:r>
      <w:r>
        <w:t>Par</w:t>
      </w:r>
      <w:r w:rsidRPr="00D35DF9">
        <w:t xml:space="preserve">t B or providing information to the Authority to decide on NTMP Values under Part D. </w:t>
      </w:r>
    </w:p>
    <w:p w14:paraId="585637AC" w14:textId="77777777" w:rsidR="00D35DF9" w:rsidRPr="00D35DF9" w:rsidRDefault="00D35DF9" w:rsidP="004C0A3D">
      <w:pPr>
        <w:pStyle w:val="NumberedNormal"/>
      </w:pPr>
      <w:r w:rsidRPr="00590ACB">
        <w:t xml:space="preserve">The </w:t>
      </w:r>
      <w:r w:rsidRPr="00D35DF9">
        <w:t>Mitigating Pre-existing Infrastructure Policy must include:</w:t>
      </w:r>
    </w:p>
    <w:p w14:paraId="7EA2A044" w14:textId="77777777" w:rsidR="00D35DF9" w:rsidRPr="00D35DF9" w:rsidRDefault="00D35DF9" w:rsidP="004C0A3D">
      <w:pPr>
        <w:pStyle w:val="ListNormal"/>
      </w:pPr>
      <w:r w:rsidRPr="00D35DF9">
        <w:t xml:space="preserve">the licensee’s objectives for delivering Visual Impact Mitigation Price Control Deliverables and Non-Technical Mitigation Projects, including how these have been informed by the licensee’s statutory duties and stakeholders’ </w:t>
      </w:r>
      <w:proofErr w:type="gramStart"/>
      <w:r w:rsidRPr="00D35DF9">
        <w:t>views;</w:t>
      </w:r>
      <w:proofErr w:type="gramEnd"/>
    </w:p>
    <w:p w14:paraId="3FEB484A" w14:textId="4C96ED91" w:rsidR="00D35DF9" w:rsidRPr="00D35DF9" w:rsidRDefault="00D35DF9" w:rsidP="004C0A3D">
      <w:pPr>
        <w:pStyle w:val="ListNormal"/>
      </w:pPr>
      <w:r w:rsidRPr="00D35DF9">
        <w:t>details of how the licensee will work with other licensees, relevant national and statutory bodies, and other interested stakeholders to maximise the benefits to consumers of Visual Impact Mitigation Price Control Deliverables and Non-Technical Mitigation Projects during RIIO-</w:t>
      </w:r>
      <w:proofErr w:type="gramStart"/>
      <w:r w:rsidRPr="00D35DF9">
        <w:t>ET2;</w:t>
      </w:r>
      <w:proofErr w:type="gramEnd"/>
    </w:p>
    <w:p w14:paraId="404114D3" w14:textId="77777777" w:rsidR="00D35DF9" w:rsidRPr="00D35DF9" w:rsidRDefault="00D35DF9" w:rsidP="004C0A3D">
      <w:pPr>
        <w:pStyle w:val="ListNormal"/>
      </w:pPr>
      <w:r w:rsidRPr="00D35DF9">
        <w:t xml:space="preserve">a proposed methodology to identify opportunities for ensuring best value for Visual Impact Mitigation Price Control Deliverables and Non-Technical Mitigation Projects on the National Electricity Transmission </w:t>
      </w:r>
      <w:proofErr w:type="gramStart"/>
      <w:r w:rsidRPr="00D35DF9">
        <w:t>System;</w:t>
      </w:r>
      <w:proofErr w:type="gramEnd"/>
      <w:r w:rsidRPr="00D35DF9">
        <w:t xml:space="preserve"> </w:t>
      </w:r>
    </w:p>
    <w:p w14:paraId="1BC8C99B" w14:textId="60A1B306" w:rsidR="00D35DF9" w:rsidRPr="00D35DF9" w:rsidRDefault="00D35DF9" w:rsidP="004C0A3D">
      <w:pPr>
        <w:pStyle w:val="ListNormal"/>
      </w:pPr>
      <w:r w:rsidRPr="00D35DF9">
        <w:t>proposed criteria to evaluate and prioritise Visual Impact Mitigation Price Control Deliverables and Non-Technical Mitigation Projects including</w:t>
      </w:r>
      <w:r w:rsidR="00C559B3">
        <w:t xml:space="preserve"> </w:t>
      </w:r>
      <w:r w:rsidRPr="00D35DF9">
        <w:t xml:space="preserve">visual amenity benefits, value for money, and other environmental </w:t>
      </w:r>
      <w:proofErr w:type="gramStart"/>
      <w:r w:rsidRPr="00D35DF9">
        <w:t>impacts;</w:t>
      </w:r>
      <w:proofErr w:type="gramEnd"/>
      <w:r w:rsidRPr="00D35DF9">
        <w:t xml:space="preserve"> </w:t>
      </w:r>
    </w:p>
    <w:p w14:paraId="00EB08D1" w14:textId="77777777" w:rsidR="00D35DF9" w:rsidRPr="00D35DF9" w:rsidRDefault="00D35DF9" w:rsidP="004C0A3D">
      <w:pPr>
        <w:pStyle w:val="ListNormal"/>
      </w:pPr>
      <w:r w:rsidRPr="00D35DF9">
        <w:t xml:space="preserve">a description of the potential measures by which the licensee could deliver Visual Impact Mitigation Price Control Deliverables and Non-Technical Mitigation </w:t>
      </w:r>
      <w:proofErr w:type="gramStart"/>
      <w:r w:rsidRPr="00D35DF9">
        <w:t>Projects;</w:t>
      </w:r>
      <w:proofErr w:type="gramEnd"/>
      <w:r w:rsidRPr="00D35DF9">
        <w:t xml:space="preserve"> </w:t>
      </w:r>
    </w:p>
    <w:p w14:paraId="53BDF4AB" w14:textId="07396EA0" w:rsidR="00D35DF9" w:rsidRPr="00D35DF9" w:rsidRDefault="00D35DF9" w:rsidP="00343830">
      <w:pPr>
        <w:pStyle w:val="ListNormal"/>
      </w:pPr>
      <w:r w:rsidRPr="00D35DF9">
        <w:t>a description of the licensee’s governance processes for funding</w:t>
      </w:r>
      <w:r w:rsidR="008C578E">
        <w:t xml:space="preserve">, </w:t>
      </w:r>
      <w:r w:rsidRPr="00D35DF9">
        <w:t>and monitoring the delivery of</w:t>
      </w:r>
      <w:r w:rsidR="008C578E">
        <w:t>,</w:t>
      </w:r>
      <w:r w:rsidRPr="00D35DF9">
        <w:t xml:space="preserve"> Non-Technical Mitigation Projects, as well as providing progress updates to stakeholders; and</w:t>
      </w:r>
    </w:p>
    <w:p w14:paraId="39602D8C" w14:textId="77777777" w:rsidR="00D35DF9" w:rsidRPr="00D35DF9" w:rsidRDefault="00D35DF9" w:rsidP="00343830">
      <w:pPr>
        <w:pStyle w:val="ListNormal"/>
      </w:pPr>
      <w:r w:rsidRPr="00D35DF9">
        <w:t xml:space="preserve">an explanation of how the licensee will review and revise the Mitigating Pre-existing Infrastructure Policy so that it </w:t>
      </w:r>
      <w:proofErr w:type="gramStart"/>
      <w:r w:rsidRPr="00D35DF9">
        <w:t>remains at all times</w:t>
      </w:r>
      <w:proofErr w:type="gramEnd"/>
      <w:r w:rsidRPr="00D35DF9">
        <w:t xml:space="preserve"> consistent with industry best practice.  </w:t>
      </w:r>
    </w:p>
    <w:p w14:paraId="39C0289B" w14:textId="186CCAE6" w:rsidR="00D35DF9" w:rsidRPr="00D35DF9" w:rsidRDefault="00D35DF9" w:rsidP="00343830">
      <w:pPr>
        <w:pStyle w:val="NumberedNormal"/>
      </w:pPr>
      <w:r w:rsidRPr="001C79F4">
        <w:t xml:space="preserve">The </w:t>
      </w:r>
      <w:r w:rsidRPr="00D35DF9">
        <w:t>licensee must use</w:t>
      </w:r>
      <w:r w:rsidR="00C559B3">
        <w:t xml:space="preserve"> its</w:t>
      </w:r>
      <w:r w:rsidRPr="00D35DF9">
        <w:t xml:space="preserve"> best endeavours to apply the Mitigating Pre-existing Infrastructure Policy.</w:t>
      </w:r>
    </w:p>
    <w:p w14:paraId="1BE2867F" w14:textId="77777777" w:rsidR="00D35DF9" w:rsidRPr="00D35DF9" w:rsidRDefault="00D35DF9" w:rsidP="00ED71F1">
      <w:pPr>
        <w:pStyle w:val="NumberedNormal"/>
      </w:pPr>
      <w:r w:rsidRPr="001C79F4">
        <w:t xml:space="preserve">Before revising </w:t>
      </w:r>
      <w:r w:rsidRPr="00D35DF9">
        <w:t xml:space="preserve">the Mitigating Pre-existing Infrastructure Policy, the licensee must submit a copy of the proposed revisions to the Authority. </w:t>
      </w:r>
    </w:p>
    <w:p w14:paraId="5C4E74DA" w14:textId="77777777" w:rsidR="00D35DF9" w:rsidRPr="00D35DF9" w:rsidRDefault="00D35DF9" w:rsidP="00ED71F1">
      <w:pPr>
        <w:pStyle w:val="NumberedNormal"/>
      </w:pPr>
      <w:r>
        <w:t>The Authority will either:</w:t>
      </w:r>
    </w:p>
    <w:p w14:paraId="48E5AA4F" w14:textId="365DCA8B" w:rsidR="00D35DF9" w:rsidRPr="00D35DF9" w:rsidRDefault="00D35DF9" w:rsidP="00ED71F1">
      <w:pPr>
        <w:pStyle w:val="ListNormal"/>
      </w:pPr>
      <w:r w:rsidRPr="00D35DF9">
        <w:t xml:space="preserve">approve the </w:t>
      </w:r>
      <w:r w:rsidR="00C559B3">
        <w:t xml:space="preserve">proposed </w:t>
      </w:r>
      <w:proofErr w:type="gramStart"/>
      <w:r w:rsidRPr="00D35DF9">
        <w:t>revisions;</w:t>
      </w:r>
      <w:proofErr w:type="gramEnd"/>
    </w:p>
    <w:p w14:paraId="2DC36DBF" w14:textId="77777777" w:rsidR="00D35DF9" w:rsidRPr="00D35DF9" w:rsidRDefault="00D35DF9" w:rsidP="00ED71F1">
      <w:pPr>
        <w:pStyle w:val="ListNormal"/>
      </w:pPr>
      <w:r w:rsidRPr="00D35DF9">
        <w:t>reject the proposed revisions; or</w:t>
      </w:r>
    </w:p>
    <w:p w14:paraId="3D55F215" w14:textId="41559AAF" w:rsidR="00D35DF9" w:rsidRPr="00D35DF9" w:rsidRDefault="00D35DF9" w:rsidP="00ED71F1">
      <w:pPr>
        <w:pStyle w:val="ListNormal"/>
      </w:pPr>
      <w:r w:rsidRPr="00D35DF9">
        <w:t xml:space="preserve">reject the proposed revisions and give recommendations as to alternative revisions that it considers </w:t>
      </w:r>
      <w:r w:rsidR="008C578E">
        <w:t>should be made</w:t>
      </w:r>
      <w:r w:rsidRPr="00D35DF9">
        <w:t xml:space="preserve">.  </w:t>
      </w:r>
    </w:p>
    <w:p w14:paraId="2534E43A" w14:textId="160CF1AA" w:rsidR="00D35DF9" w:rsidRPr="00E502A8" w:rsidRDefault="00D35DF9" w:rsidP="00ED71F1">
      <w:pPr>
        <w:pStyle w:val="Heading3"/>
      </w:pPr>
      <w:r>
        <w:lastRenderedPageBreak/>
        <w:t xml:space="preserve">Visual Impact Mitigation </w:t>
      </w:r>
      <w:r w:rsidR="00E632BA">
        <w:t>Re-opener</w:t>
      </w:r>
      <w:r>
        <w:t xml:space="preserve"> </w:t>
      </w:r>
    </w:p>
    <w:p w14:paraId="5B8DB1F7" w14:textId="099FC03B" w:rsidR="00E632BA" w:rsidRDefault="00D35DF9" w:rsidP="00ED71F1">
      <w:pPr>
        <w:pStyle w:val="NumberedNormal"/>
      </w:pPr>
      <w:r w:rsidRPr="001A2E24">
        <w:t xml:space="preserve">The </w:t>
      </w:r>
      <w:r w:rsidRPr="00D35DF9">
        <w:t>licensee may apply to the Authority</w:t>
      </w:r>
      <w:r w:rsidR="00E632BA">
        <w:t xml:space="preserve"> for a direction adding a new Visual Impact Mitigation Price Control Deliverable and associated allowance to Appendix 1.</w:t>
      </w:r>
    </w:p>
    <w:p w14:paraId="67C70EF8" w14:textId="2B0579CD" w:rsidR="00E632BA" w:rsidRDefault="00E632BA" w:rsidP="00ED71F1">
      <w:pPr>
        <w:pStyle w:val="NumberedNormal"/>
      </w:pPr>
      <w:r>
        <w:t xml:space="preserve">The licensee may only apply to the Authority under paragraph </w:t>
      </w:r>
      <w:r w:rsidR="008C578E">
        <w:t>3.13.</w:t>
      </w:r>
      <w:r>
        <w:t xml:space="preserve">9 on or before 30 June 2025, or by such later deadline </w:t>
      </w:r>
      <w:r w:rsidR="008E7C31">
        <w:t>as the Authority may direct</w:t>
      </w:r>
      <w:r>
        <w:t>.</w:t>
      </w:r>
    </w:p>
    <w:p w14:paraId="79243B51" w14:textId="0C1E757B" w:rsidR="00D35DF9" w:rsidRPr="00D35DF9" w:rsidRDefault="00E632BA" w:rsidP="00ED71F1">
      <w:pPr>
        <w:pStyle w:val="NumberedNormal"/>
      </w:pPr>
      <w:r>
        <w:t xml:space="preserve">An application under paragraph </w:t>
      </w:r>
      <w:r w:rsidR="008C578E">
        <w:t>3.13.</w:t>
      </w:r>
      <w:r>
        <w:t>9 must be made in writing and</w:t>
      </w:r>
      <w:r w:rsidR="00D35DF9" w:rsidRPr="00D35DF9">
        <w:t xml:space="preserve">: </w:t>
      </w:r>
    </w:p>
    <w:p w14:paraId="7D60F602" w14:textId="078DB885" w:rsidR="00E632BA" w:rsidRDefault="008C578E" w:rsidP="00ED71F1">
      <w:pPr>
        <w:pStyle w:val="ListNormal"/>
      </w:pPr>
      <w:r>
        <w:t xml:space="preserve">set </w:t>
      </w:r>
      <w:r w:rsidR="00E632BA">
        <w:t xml:space="preserve">out the amendments sought to Appendix </w:t>
      </w:r>
      <w:proofErr w:type="gramStart"/>
      <w:r w:rsidR="00E632BA">
        <w:t>1;</w:t>
      </w:r>
      <w:proofErr w:type="gramEnd"/>
    </w:p>
    <w:p w14:paraId="7E047FBE" w14:textId="62EC68B5" w:rsidR="00D35DF9" w:rsidRPr="00D35DF9" w:rsidRDefault="008C578E" w:rsidP="00ED71F1">
      <w:pPr>
        <w:pStyle w:val="ListNormal"/>
      </w:pPr>
      <w:r>
        <w:t xml:space="preserve">describe </w:t>
      </w:r>
      <w:r w:rsidR="00D35DF9">
        <w:t xml:space="preserve">the proposed </w:t>
      </w:r>
      <w:r w:rsidR="00D35DF9" w:rsidRPr="00D35DF9">
        <w:t xml:space="preserve">Visual Impact Mitigation Price Control Deliverable and the estimated benefits it will deliver in relation to the mitigation of impacts of Pre-existing Transmission Infrastructure on the visual amenity of a Designated </w:t>
      </w:r>
      <w:proofErr w:type="gramStart"/>
      <w:r w:rsidR="00D35DF9" w:rsidRPr="00D35DF9">
        <w:t>Area;</w:t>
      </w:r>
      <w:proofErr w:type="gramEnd"/>
    </w:p>
    <w:p w14:paraId="0DA59CD4" w14:textId="739C0052" w:rsidR="00D35DF9" w:rsidRPr="00D35DF9" w:rsidRDefault="008C578E" w:rsidP="00ED71F1">
      <w:pPr>
        <w:pStyle w:val="ListNormal"/>
      </w:pPr>
      <w:r>
        <w:t xml:space="preserve">include detailed </w:t>
      </w:r>
      <w:r w:rsidR="00D35DF9">
        <w:t xml:space="preserve">supporting evidence that the proposed </w:t>
      </w:r>
      <w:r w:rsidR="00D35DF9" w:rsidRPr="00D35DF9">
        <w:t xml:space="preserve">Visual Impact Mitigation Price Control Deliverable has been identified and prioritised in accordance with the licensee’s Mitigating Pre-existing Infrastructure </w:t>
      </w:r>
      <w:proofErr w:type="gramStart"/>
      <w:r w:rsidR="00D35DF9" w:rsidRPr="00D35DF9">
        <w:t>Policy;</w:t>
      </w:r>
      <w:proofErr w:type="gramEnd"/>
      <w:r w:rsidR="00D35DF9" w:rsidRPr="00D35DF9">
        <w:t xml:space="preserve"> </w:t>
      </w:r>
    </w:p>
    <w:p w14:paraId="257E2DC9" w14:textId="7AAFF7F2" w:rsidR="00D35DF9" w:rsidRPr="00D35DF9" w:rsidRDefault="00E17A0B" w:rsidP="00ED71F1">
      <w:pPr>
        <w:pStyle w:val="ListNormal"/>
      </w:pPr>
      <w:r>
        <w:t xml:space="preserve">include </w:t>
      </w:r>
      <w:r w:rsidR="00D35DF9">
        <w:t xml:space="preserve">forecast costs for delivering </w:t>
      </w:r>
      <w:r w:rsidR="00D35DF9" w:rsidRPr="00D35DF9">
        <w:t>the Visual Impact Mitigation Price Control Deliverable, with an expenditure profile for all Regulatory Years of delivery, and a breakdown of the total costs including incurred and forecast costs of preliminary development work to decide the feasibility of a Visual Impact Mitigation Price Control Deliverable;</w:t>
      </w:r>
    </w:p>
    <w:p w14:paraId="74AF3768" w14:textId="457AC819" w:rsidR="00D35DF9" w:rsidRPr="00D35DF9" w:rsidRDefault="00E17A0B" w:rsidP="00ED71F1">
      <w:pPr>
        <w:pStyle w:val="ListNormal"/>
      </w:pPr>
      <w:r>
        <w:t xml:space="preserve">include </w:t>
      </w:r>
      <w:r w:rsidR="00D35DF9">
        <w:t xml:space="preserve">analysis of any relevant issues in relation to the proposed </w:t>
      </w:r>
      <w:r w:rsidR="00D35DF9" w:rsidRPr="00D35DF9">
        <w:t xml:space="preserve">Visual Impact Mitigation Price Control Deliverable that might reduce the feasibility of delivering the proposed Visual Impact Mitigation Price Control Deliverable or significantly increase the </w:t>
      </w:r>
      <w:proofErr w:type="gramStart"/>
      <w:r w:rsidR="00D35DF9" w:rsidRPr="00D35DF9">
        <w:t>costs;</w:t>
      </w:r>
      <w:proofErr w:type="gramEnd"/>
    </w:p>
    <w:p w14:paraId="00ED8440" w14:textId="73660CC4" w:rsidR="00D35DF9" w:rsidRPr="00D35DF9" w:rsidRDefault="00E17A0B" w:rsidP="00ED71F1">
      <w:pPr>
        <w:pStyle w:val="ListNormal"/>
      </w:pPr>
      <w:r>
        <w:t xml:space="preserve">include </w:t>
      </w:r>
      <w:r w:rsidR="00D35DF9">
        <w:t xml:space="preserve">proposed timescales for delivery of the proposed </w:t>
      </w:r>
      <w:r w:rsidR="00D35DF9" w:rsidRPr="00D35DF9">
        <w:t xml:space="preserve">Visual Impact Mitigation Price Control Deliverable; and </w:t>
      </w:r>
    </w:p>
    <w:p w14:paraId="32F73B48" w14:textId="2279CFE8" w:rsidR="00D35DF9" w:rsidRPr="00D35DF9" w:rsidRDefault="00E17A0B" w:rsidP="00ED71F1">
      <w:pPr>
        <w:pStyle w:val="ListNormal"/>
      </w:pPr>
      <w:r>
        <w:t xml:space="preserve">include </w:t>
      </w:r>
      <w:r w:rsidR="00E632BA">
        <w:t>such further detailed supporting evidence as is reasonable in the circumstances</w:t>
      </w:r>
      <w:r w:rsidR="00D35DF9" w:rsidRPr="00D35DF9">
        <w:t xml:space="preserve">. </w:t>
      </w:r>
    </w:p>
    <w:p w14:paraId="1333052F" w14:textId="6BCD62D7" w:rsidR="00FC58D7" w:rsidRDefault="00FC58D7" w:rsidP="009E7D01">
      <w:pPr>
        <w:pStyle w:val="Heading3"/>
      </w:pPr>
      <w:r>
        <w:t>Authority review</w:t>
      </w:r>
    </w:p>
    <w:p w14:paraId="63CE87E1" w14:textId="3629BD31" w:rsidR="00FC58D7" w:rsidRPr="00D35DF9" w:rsidRDefault="00FC58D7" w:rsidP="00FC58D7">
      <w:pPr>
        <w:pStyle w:val="NumberedNormal"/>
      </w:pPr>
      <w:r>
        <w:t>T</w:t>
      </w:r>
      <w:r w:rsidRPr="00D35DF9">
        <w:t>he Authority will</w:t>
      </w:r>
      <w:r w:rsidR="004C7E60">
        <w:t>, in accordance with the PCD Reporting Requirements and Methodology Document,</w:t>
      </w:r>
      <w:r w:rsidRPr="00D35DF9">
        <w:t xml:space="preserve"> amend the </w:t>
      </w:r>
      <w:r>
        <w:t>allowances in Appendix 1</w:t>
      </w:r>
      <w:r w:rsidRPr="00D35DF9">
        <w:t xml:space="preserve"> to:</w:t>
      </w:r>
    </w:p>
    <w:p w14:paraId="053FC112" w14:textId="77777777" w:rsidR="00FC58D7" w:rsidRPr="00D35DF9" w:rsidRDefault="00FC58D7" w:rsidP="00FC58D7">
      <w:pPr>
        <w:pStyle w:val="ListNormal"/>
        <w:tabs>
          <w:tab w:val="num" w:pos="879"/>
        </w:tabs>
      </w:pPr>
      <w:r>
        <w:t>allow the</w:t>
      </w:r>
      <w:r w:rsidRPr="00D35DF9">
        <w:t xml:space="preserve"> efficient costs of Visual Impact Mitigation Price Control Deliverable to be recovered; or</w:t>
      </w:r>
    </w:p>
    <w:p w14:paraId="1361EF57" w14:textId="7A4BC655" w:rsidR="00FC58D7" w:rsidRDefault="00FC58D7" w:rsidP="00FC58D7">
      <w:pPr>
        <w:pStyle w:val="ListNormal"/>
        <w:tabs>
          <w:tab w:val="num" w:pos="879"/>
        </w:tabs>
      </w:pPr>
      <w:r w:rsidRPr="008332E7">
        <w:t xml:space="preserve">reflect </w:t>
      </w:r>
      <w:r w:rsidR="00E17A0B">
        <w:t xml:space="preserve">the fact that </w:t>
      </w:r>
      <w:r w:rsidRPr="00D35DF9">
        <w:t xml:space="preserve">the licensee has not </w:t>
      </w:r>
      <w:r>
        <w:t>Fully Delivered</w:t>
      </w:r>
      <w:r w:rsidRPr="00D35DF9">
        <w:t xml:space="preserve"> a Visual Impact Mitigation Price Control Deliverable</w:t>
      </w:r>
      <w:r w:rsidR="004C7E60">
        <w:t>.</w:t>
      </w:r>
      <w:r>
        <w:t xml:space="preserve"> </w:t>
      </w:r>
    </w:p>
    <w:p w14:paraId="48FE95BB" w14:textId="7F91B0A7" w:rsidR="00D35DF9" w:rsidRPr="00D35DF9" w:rsidRDefault="00E632BA" w:rsidP="009E7D01">
      <w:pPr>
        <w:pStyle w:val="Heading3"/>
      </w:pPr>
      <w:r>
        <w:t>What process will the Authority follow in making a direction?</w:t>
      </w:r>
    </w:p>
    <w:p w14:paraId="35ADFBE8" w14:textId="4FA30D18" w:rsidR="00E632BA" w:rsidRDefault="00E632BA" w:rsidP="009E7D01">
      <w:pPr>
        <w:pStyle w:val="NumberedNormal"/>
      </w:pPr>
      <w:r>
        <w:t xml:space="preserve">Before making a direction under paragraph </w:t>
      </w:r>
      <w:r w:rsidR="00E17A0B">
        <w:t>3.13.</w:t>
      </w:r>
      <w:r>
        <w:t>9</w:t>
      </w:r>
      <w:r w:rsidR="00FC58D7">
        <w:t xml:space="preserve"> or </w:t>
      </w:r>
      <w:r w:rsidR="00E17A0B">
        <w:t>3.13.</w:t>
      </w:r>
      <w:r w:rsidR="00FC58D7">
        <w:t>12</w:t>
      </w:r>
      <w:r>
        <w:t xml:space="preserve"> the Authority will publish on the Authority's Website:</w:t>
      </w:r>
    </w:p>
    <w:p w14:paraId="752AB7AB" w14:textId="212F2577" w:rsidR="00E632BA" w:rsidRDefault="00E632BA" w:rsidP="00E632BA">
      <w:pPr>
        <w:pStyle w:val="ListNormal"/>
      </w:pPr>
      <w:r>
        <w:lastRenderedPageBreak/>
        <w:t xml:space="preserve">the text of the proposed </w:t>
      </w:r>
      <w:proofErr w:type="gramStart"/>
      <w:r>
        <w:t>direction;</w:t>
      </w:r>
      <w:proofErr w:type="gramEnd"/>
    </w:p>
    <w:p w14:paraId="28BD02ED" w14:textId="33CA2C4D" w:rsidR="00E632BA" w:rsidRDefault="00E632BA" w:rsidP="00E632BA">
      <w:pPr>
        <w:pStyle w:val="ListNormal"/>
      </w:pPr>
      <w:r>
        <w:t>the reasons for the proposed direction; and</w:t>
      </w:r>
    </w:p>
    <w:p w14:paraId="4504B531" w14:textId="6E1247E9" w:rsidR="00E632BA" w:rsidRDefault="00E632BA" w:rsidP="00E632BA">
      <w:pPr>
        <w:pStyle w:val="ListNormal"/>
      </w:pPr>
      <w:r>
        <w:t>a period during which representations may be made on the proposed direction, which will not be less than 28 days.</w:t>
      </w:r>
    </w:p>
    <w:p w14:paraId="4E5D94FE" w14:textId="5F46C5AE" w:rsidR="00E632BA" w:rsidRDefault="00E632BA" w:rsidP="00E632BA">
      <w:pPr>
        <w:pStyle w:val="NumberedNormal"/>
      </w:pPr>
      <w:r>
        <w:t>A direction will set out any amendments to Appendix 1.</w:t>
      </w:r>
    </w:p>
    <w:p w14:paraId="2BA96B17" w14:textId="38DAC167" w:rsidR="00D35DF9" w:rsidRPr="00D35DF9" w:rsidRDefault="00D35DF9" w:rsidP="00193BA4">
      <w:pPr>
        <w:pStyle w:val="NumberedNormal"/>
      </w:pPr>
      <w:r w:rsidRPr="00D35DF9">
        <w:t xml:space="preserve">The total value of the Authority’s decisions on the sum of VIME Values for all licensees in the price control period will not exceed the amount set out in Appendix </w:t>
      </w:r>
      <w:r w:rsidR="00FC58D7">
        <w:t>2</w:t>
      </w:r>
      <w:r w:rsidRPr="00D35DF9">
        <w:t xml:space="preserve">. </w:t>
      </w:r>
    </w:p>
    <w:p w14:paraId="72312EF0" w14:textId="37013284" w:rsidR="00D35DF9" w:rsidRPr="00D35DF9" w:rsidRDefault="00D35DF9" w:rsidP="00FA3269">
      <w:pPr>
        <w:pStyle w:val="Heading3"/>
      </w:pPr>
      <w:r w:rsidRPr="00D35DF9">
        <w:t>Amending NTMP Values</w:t>
      </w:r>
    </w:p>
    <w:p w14:paraId="63E2AE96" w14:textId="5B8C6B0C" w:rsidR="00D35DF9" w:rsidRPr="00D35DF9" w:rsidRDefault="00D35DF9" w:rsidP="00FA3269">
      <w:pPr>
        <w:pStyle w:val="NumberedNormal"/>
      </w:pPr>
      <w:r w:rsidRPr="00D35DF9">
        <w:t xml:space="preserve">The NTMP Value for the licensee for a </w:t>
      </w:r>
      <w:proofErr w:type="gramStart"/>
      <w:r w:rsidRPr="00D35DF9">
        <w:t>particular Regulatory</w:t>
      </w:r>
      <w:proofErr w:type="gramEnd"/>
      <w:r w:rsidRPr="00D35DF9">
        <w:t xml:space="preserve"> Year is the total amount of the licensee’s Allowed Expenditure for Non-Technical Mitigation Projects for that Regulatory Year.</w:t>
      </w:r>
    </w:p>
    <w:p w14:paraId="0A50A502" w14:textId="613491FD" w:rsidR="00D35DF9" w:rsidRPr="00D35DF9" w:rsidRDefault="00D35DF9" w:rsidP="00FA3269">
      <w:pPr>
        <w:pStyle w:val="NumberedNormal"/>
      </w:pPr>
      <w:r w:rsidRPr="00D35DF9">
        <w:t xml:space="preserve">The Authority will decide on NTMP Values in accordance with the following formula: </w:t>
      </w:r>
    </w:p>
    <w:p w14:paraId="52D70283" w14:textId="77777777" w:rsidR="00D35DF9" w:rsidRPr="00D35DF9" w:rsidRDefault="00B913B6" w:rsidP="00FA3269">
      <w:pPr>
        <w:pStyle w:val="Equation"/>
      </w:pPr>
      <m:oMathPara>
        <m:oMathParaPr>
          <m:jc m:val="left"/>
        </m:oMathParaPr>
        <m:oMath>
          <m:sSub>
            <m:sSubPr>
              <m:ctrlPr>
                <w:rPr>
                  <w:rFonts w:ascii="Cambria Math" w:hAnsi="Cambria Math"/>
                </w:rPr>
              </m:ctrlPr>
            </m:sSubPr>
            <m:e>
              <m:r>
                <m:rPr>
                  <m:sty m:val="p"/>
                </m:rPr>
                <w:rPr>
                  <w:rFonts w:ascii="Cambria Math" w:hAnsi="Cambria Math"/>
                </w:rPr>
                <m:t>NTMP</m:t>
              </m:r>
            </m:e>
            <m:sub>
              <m:r>
                <m:rPr>
                  <m:sty m:val="p"/>
                </m:rPr>
                <w:rPr>
                  <w:rFonts w:ascii="Cambria Math" w:hAnsi="Cambria Math"/>
                </w:rPr>
                <m:t>t</m:t>
              </m:r>
            </m:sub>
          </m:sSub>
          <m:r>
            <m:rPr>
              <m:sty m:val="p"/>
            </m:rPr>
            <w:rPr>
              <w:rFonts w:ascii="Cambria Math" w:hAnsi="Cambria Math"/>
            </w:rPr>
            <m:t>=max</m:t>
          </m:r>
          <m:d>
            <m:dPr>
              <m:ctrlPr>
                <w:rPr>
                  <w:rFonts w:ascii="Cambria Math" w:hAnsi="Cambria Math"/>
                </w:rPr>
              </m:ctrlPr>
            </m:dPr>
            <m:e>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m:rPr>
                          <m:sty m:val="p"/>
                        </m:rPr>
                        <w:rPr>
                          <w:rFonts w:ascii="Cambria Math" w:hAnsi="Cambria Math"/>
                        </w:rPr>
                        <m:t>NTPAE</m:t>
                      </m:r>
                    </m:e>
                    <m:sub>
                      <m:r>
                        <m:rPr>
                          <m:sty m:val="p"/>
                        </m:rPr>
                        <w:rPr>
                          <w:rFonts w:ascii="Cambria Math" w:hAnsi="Cambria Math"/>
                        </w:rPr>
                        <m:t>t</m:t>
                      </m:r>
                    </m:sub>
                  </m:sSub>
                  <m:r>
                    <m:rPr>
                      <m:sty m:val="p"/>
                    </m:rPr>
                    <w:rPr>
                      <w:rFonts w:ascii="Cambria Math" w:hAnsi="Cambria Math"/>
                    </w:rPr>
                    <m:t>,  NTPC-</m:t>
                  </m:r>
                  <m:nary>
                    <m:naryPr>
                      <m:chr m:val="∑"/>
                      <m:limLoc m:val="undOvr"/>
                      <m:ctrlPr>
                        <w:rPr>
                          <w:rFonts w:ascii="Cambria Math" w:hAnsi="Cambria Math"/>
                        </w:rPr>
                      </m:ctrlPr>
                    </m:naryPr>
                    <m:sub>
                      <m:r>
                        <m:rPr>
                          <m:sty m:val="p"/>
                        </m:rPr>
                        <w:rPr>
                          <w:rFonts w:ascii="Cambria Math" w:hAnsi="Cambria Math"/>
                        </w:rPr>
                        <m:t>k=2021/22</m:t>
                      </m:r>
                    </m:sub>
                    <m:sup>
                      <m:r>
                        <m:rPr>
                          <m:sty m:val="p"/>
                        </m:rPr>
                        <w:rPr>
                          <w:rFonts w:ascii="Cambria Math" w:hAnsi="Cambria Math"/>
                        </w:rPr>
                        <m:t xml:space="preserve"> t-1</m:t>
                      </m:r>
                    </m:sup>
                    <m:e>
                      <m:sSub>
                        <m:sSubPr>
                          <m:ctrlPr>
                            <w:rPr>
                              <w:rFonts w:ascii="Cambria Math" w:hAnsi="Cambria Math"/>
                            </w:rPr>
                          </m:ctrlPr>
                        </m:sSubPr>
                        <m:e>
                          <m:r>
                            <m:rPr>
                              <m:sty m:val="p"/>
                            </m:rPr>
                            <w:rPr>
                              <w:rFonts w:ascii="Cambria Math" w:hAnsi="Cambria Math"/>
                            </w:rPr>
                            <m:t>NTPAE</m:t>
                          </m:r>
                        </m:e>
                        <m:sub>
                          <m:r>
                            <m:rPr>
                              <m:sty m:val="p"/>
                            </m:rPr>
                            <w:rPr>
                              <w:rFonts w:ascii="Cambria Math" w:hAnsi="Cambria Math"/>
                            </w:rPr>
                            <m:t>k</m:t>
                          </m:r>
                        </m:sub>
                      </m:sSub>
                    </m:e>
                  </m:nary>
                  <m:r>
                    <m:rPr>
                      <m:sty m:val="p"/>
                    </m:rPr>
                    <w:rPr>
                      <w:rFonts w:ascii="Cambria Math" w:hAnsi="Cambria Math"/>
                    </w:rPr>
                    <m:t xml:space="preserve">  </m:t>
                  </m:r>
                </m:e>
              </m:d>
              <m:r>
                <w:rPr>
                  <w:rFonts w:ascii="Cambria Math" w:hAnsi="Cambria Math"/>
                </w:rPr>
                <m:t>, 0</m:t>
              </m:r>
            </m:e>
          </m:d>
        </m:oMath>
      </m:oMathPara>
    </w:p>
    <w:p w14:paraId="1D882BB1" w14:textId="77777777" w:rsidR="00D35DF9" w:rsidRPr="00D35DF9" w:rsidRDefault="00D35DF9" w:rsidP="00D35DF9"/>
    <w:p w14:paraId="0C00DF73" w14:textId="77777777" w:rsidR="00D35DF9" w:rsidRPr="00D35DF9" w:rsidRDefault="00D35DF9" w:rsidP="00D35DF9">
      <w:r>
        <w:t>where:</w:t>
      </w:r>
    </w:p>
    <w:tbl>
      <w:tblPr>
        <w:tblW w:w="8613" w:type="dxa"/>
        <w:tblInd w:w="67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68"/>
        <w:gridCol w:w="6245"/>
      </w:tblGrid>
      <w:tr w:rsidR="00D35DF9" w:rsidRPr="00AE57AC" w14:paraId="6119D188" w14:textId="77777777" w:rsidTr="006544F3">
        <w:trPr>
          <w:trHeight w:val="454"/>
        </w:trPr>
        <w:tc>
          <w:tcPr>
            <w:tcW w:w="2368" w:type="dxa"/>
          </w:tcPr>
          <w:p w14:paraId="1888F075" w14:textId="77777777" w:rsidR="00D35DF9" w:rsidRPr="00D35DF9" w:rsidRDefault="00D35DF9" w:rsidP="00D35DF9">
            <w:r>
              <w:t>NTPC</w:t>
            </w:r>
          </w:p>
        </w:tc>
        <w:tc>
          <w:tcPr>
            <w:tcW w:w="6245" w:type="dxa"/>
          </w:tcPr>
          <w:p w14:paraId="587D7C63" w14:textId="73A03358" w:rsidR="00D35DF9" w:rsidRPr="00D35DF9" w:rsidRDefault="00D35DF9" w:rsidP="00D35DF9">
            <w:r>
              <w:t xml:space="preserve">means the total value of the </w:t>
            </w:r>
            <w:r w:rsidRPr="00D35DF9">
              <w:t>licensee’s expenditure cap for Non-Technical Mitigation Projects for the Price Control Period</w:t>
            </w:r>
            <w:r w:rsidR="00D57AB3">
              <w:t xml:space="preserve"> set out in Appendix 3</w:t>
            </w:r>
            <w:r w:rsidR="00E17A0B">
              <w:t>; and</w:t>
            </w:r>
          </w:p>
        </w:tc>
      </w:tr>
      <w:tr w:rsidR="00D35DF9" w:rsidRPr="00AE57AC" w14:paraId="1FF5E596" w14:textId="77777777" w:rsidTr="006544F3">
        <w:trPr>
          <w:trHeight w:val="454"/>
        </w:trPr>
        <w:tc>
          <w:tcPr>
            <w:tcW w:w="2368" w:type="dxa"/>
          </w:tcPr>
          <w:p w14:paraId="36883A01" w14:textId="77777777" w:rsidR="00D35DF9" w:rsidRPr="00D35DF9" w:rsidRDefault="00D35DF9" w:rsidP="00D35DF9">
            <w:proofErr w:type="spellStart"/>
            <w:r>
              <w:t>NTPAE</w:t>
            </w:r>
            <w:r w:rsidRPr="00D35DF9">
              <w:t>t</w:t>
            </w:r>
            <w:proofErr w:type="spellEnd"/>
          </w:p>
          <w:p w14:paraId="23260BE9" w14:textId="77777777" w:rsidR="00D35DF9" w:rsidRPr="00CD2FF8" w:rsidRDefault="00D35DF9" w:rsidP="00D35DF9"/>
        </w:tc>
        <w:tc>
          <w:tcPr>
            <w:tcW w:w="6245" w:type="dxa"/>
          </w:tcPr>
          <w:p w14:paraId="73DA7CE2" w14:textId="68AF0B21" w:rsidR="00D35DF9" w:rsidRPr="00CD2FF8" w:rsidRDefault="00D35DF9" w:rsidP="00D35DF9">
            <w:r w:rsidRPr="00664F55">
              <w:t xml:space="preserve">means </w:t>
            </w:r>
            <w:r w:rsidRPr="00D35DF9">
              <w:t xml:space="preserve">the </w:t>
            </w:r>
            <w:r w:rsidR="00D57AB3">
              <w:t>licensee's</w:t>
            </w:r>
            <w:r w:rsidRPr="00D35DF9">
              <w:t xml:space="preserve"> expenditure on Non-Technical Mitigation Projects.</w:t>
            </w:r>
          </w:p>
        </w:tc>
      </w:tr>
    </w:tbl>
    <w:p w14:paraId="37756C28" w14:textId="38D181FC" w:rsidR="00D35DF9" w:rsidRPr="00D35DF9" w:rsidRDefault="00D35DF9" w:rsidP="00FA3269">
      <w:pPr>
        <w:pStyle w:val="NumberedNormal"/>
      </w:pPr>
      <w:r w:rsidRPr="00D35DF9">
        <w:t>The Authority’s decisio</w:t>
      </w:r>
      <w:r w:rsidR="004D2943">
        <w:t xml:space="preserve">n on NTMP Values in paragraph </w:t>
      </w:r>
      <w:r w:rsidR="00E17A0B">
        <w:t>3.13.</w:t>
      </w:r>
      <w:r w:rsidR="00E17A0B" w:rsidRPr="00D35DF9">
        <w:t>1</w:t>
      </w:r>
      <w:r w:rsidR="00E17A0B">
        <w:t>7</w:t>
      </w:r>
      <w:r w:rsidR="00E17A0B" w:rsidRPr="00D35DF9">
        <w:t xml:space="preserve"> </w:t>
      </w:r>
      <w:r w:rsidRPr="00D35DF9">
        <w:t xml:space="preserve">will not exceed the expenditure cap for Non-Technical Mitigation Projects for </w:t>
      </w:r>
      <w:r w:rsidR="00E17A0B">
        <w:t xml:space="preserve">the </w:t>
      </w:r>
      <w:r w:rsidRPr="00D35DF9">
        <w:t>Price Control Period, specified in Appendix 2.</w:t>
      </w:r>
    </w:p>
    <w:p w14:paraId="2EC30B01" w14:textId="56343185" w:rsidR="00D35DF9" w:rsidRPr="00D35DF9" w:rsidRDefault="00D35DF9" w:rsidP="00FA3269">
      <w:pPr>
        <w:pStyle w:val="NumberedNormal"/>
      </w:pPr>
      <w:r w:rsidRPr="00D35DF9">
        <w:t>The Authority may amend NTMP Values</w:t>
      </w:r>
      <w:r w:rsidR="004D2943">
        <w:t xml:space="preserve"> in accordance with paragraph </w:t>
      </w:r>
      <w:r w:rsidR="00E17A0B">
        <w:t>3.13.</w:t>
      </w:r>
      <w:r w:rsidRPr="00D35DF9">
        <w:t xml:space="preserve">18 where the value of NTPAE for a </w:t>
      </w:r>
      <w:proofErr w:type="gramStart"/>
      <w:r w:rsidRPr="00D35DF9">
        <w:t>particular Regulatory</w:t>
      </w:r>
      <w:proofErr w:type="gramEnd"/>
      <w:r w:rsidRPr="00D35DF9">
        <w:t xml:space="preserve"> Year is amended by the licensee. </w:t>
      </w:r>
    </w:p>
    <w:p w14:paraId="0550E748" w14:textId="362DEF35" w:rsidR="0087303D" w:rsidRDefault="00E632BA" w:rsidP="0087303D">
      <w:pPr>
        <w:pStyle w:val="AppendixHeading"/>
      </w:pPr>
      <w:r w:rsidRPr="00C40BC3">
        <w:t xml:space="preserve"> </w:t>
      </w:r>
      <w:bookmarkStart w:id="89" w:name="_Toc51798279"/>
      <w:bookmarkEnd w:id="89"/>
    </w:p>
    <w:p w14:paraId="2217FE36" w14:textId="119823C8" w:rsidR="00E632BA" w:rsidRDefault="00E632BA" w:rsidP="0087303D">
      <w:pPr>
        <w:pStyle w:val="Caption"/>
      </w:pPr>
      <w:r>
        <w:t>Visual Impact Mitigation Price Control Deliverabl</w:t>
      </w:r>
      <w:r w:rsidR="0087303D">
        <w:t>e Allowance</w:t>
      </w:r>
    </w:p>
    <w:tbl>
      <w:tblPr>
        <w:tblStyle w:val="AppendixTable"/>
        <w:tblW w:w="5000" w:type="pct"/>
        <w:tblLook w:val="04A0" w:firstRow="1" w:lastRow="0" w:firstColumn="1" w:lastColumn="0" w:noHBand="0" w:noVBand="1"/>
      </w:tblPr>
      <w:tblGrid>
        <w:gridCol w:w="1934"/>
        <w:gridCol w:w="857"/>
        <w:gridCol w:w="1612"/>
        <w:gridCol w:w="729"/>
        <w:gridCol w:w="729"/>
        <w:gridCol w:w="729"/>
        <w:gridCol w:w="729"/>
        <w:gridCol w:w="729"/>
        <w:gridCol w:w="978"/>
      </w:tblGrid>
      <w:tr w:rsidR="00FC58D7" w:rsidRPr="00DE541A" w14:paraId="29028B01" w14:textId="77777777" w:rsidTr="002B3F4C">
        <w:trPr>
          <w:cnfStyle w:val="100000000000" w:firstRow="1" w:lastRow="0" w:firstColumn="0" w:lastColumn="0" w:oddVBand="0" w:evenVBand="0" w:oddHBand="0" w:evenHBand="0" w:firstRowFirstColumn="0" w:firstRowLastColumn="0" w:lastRowFirstColumn="0" w:lastRowLastColumn="0"/>
          <w:trHeight w:val="328"/>
        </w:trPr>
        <w:tc>
          <w:tcPr>
            <w:tcW w:w="1071" w:type="pct"/>
          </w:tcPr>
          <w:p w14:paraId="40134B74" w14:textId="3EEFDBD7" w:rsidR="00FC58D7" w:rsidRPr="001D0335" w:rsidRDefault="00FC58D7" w:rsidP="00DF4FC3">
            <w:r>
              <w:t>Designated Area</w:t>
            </w:r>
          </w:p>
        </w:tc>
        <w:tc>
          <w:tcPr>
            <w:tcW w:w="474" w:type="pct"/>
          </w:tcPr>
          <w:p w14:paraId="3F428745" w14:textId="77777777" w:rsidR="00FC58D7" w:rsidRPr="001D0335" w:rsidRDefault="00FC58D7" w:rsidP="00DF4FC3">
            <w:r>
              <w:t>Output</w:t>
            </w:r>
          </w:p>
        </w:tc>
        <w:tc>
          <w:tcPr>
            <w:tcW w:w="893" w:type="pct"/>
          </w:tcPr>
          <w:p w14:paraId="764C2BA5" w14:textId="77777777" w:rsidR="00FC58D7" w:rsidRPr="001D0335" w:rsidRDefault="00FC58D7" w:rsidP="00DF4FC3">
            <w:r>
              <w:t>Delivery Date</w:t>
            </w:r>
          </w:p>
        </w:tc>
        <w:tc>
          <w:tcPr>
            <w:tcW w:w="2020" w:type="pct"/>
            <w:gridSpan w:val="5"/>
          </w:tcPr>
          <w:p w14:paraId="63334104" w14:textId="77777777" w:rsidR="00FC58D7" w:rsidRPr="001D0335" w:rsidRDefault="00FC58D7" w:rsidP="00DF4FC3">
            <w:r>
              <w:t xml:space="preserve">Allowance </w:t>
            </w:r>
          </w:p>
        </w:tc>
        <w:tc>
          <w:tcPr>
            <w:tcW w:w="542" w:type="pct"/>
          </w:tcPr>
          <w:p w14:paraId="40521BD5" w14:textId="77777777" w:rsidR="00FC58D7" w:rsidRDefault="00FC58D7" w:rsidP="00DF4FC3"/>
        </w:tc>
      </w:tr>
      <w:tr w:rsidR="00FC58D7" w:rsidRPr="00D5104D" w14:paraId="54F77A0D" w14:textId="77777777" w:rsidTr="002B3F4C">
        <w:trPr>
          <w:trHeight w:val="345"/>
        </w:trPr>
        <w:tc>
          <w:tcPr>
            <w:tcW w:w="1071" w:type="pct"/>
          </w:tcPr>
          <w:p w14:paraId="619B69EC" w14:textId="77777777" w:rsidR="00FC58D7" w:rsidRDefault="00FC58D7" w:rsidP="00DF4FC3"/>
        </w:tc>
        <w:tc>
          <w:tcPr>
            <w:tcW w:w="474" w:type="pct"/>
          </w:tcPr>
          <w:p w14:paraId="223B644B" w14:textId="77777777" w:rsidR="00FC58D7" w:rsidRPr="0082533A" w:rsidRDefault="00FC58D7" w:rsidP="00DF4FC3"/>
        </w:tc>
        <w:tc>
          <w:tcPr>
            <w:tcW w:w="893" w:type="pct"/>
          </w:tcPr>
          <w:p w14:paraId="5B8357C1" w14:textId="77777777" w:rsidR="00FC58D7" w:rsidRPr="0082533A" w:rsidRDefault="00FC58D7" w:rsidP="00DF4FC3"/>
        </w:tc>
        <w:tc>
          <w:tcPr>
            <w:tcW w:w="404" w:type="pct"/>
          </w:tcPr>
          <w:p w14:paraId="58CA5E07" w14:textId="77777777" w:rsidR="00FC58D7" w:rsidRPr="001D0335" w:rsidRDefault="00FC58D7" w:rsidP="00DF4FC3">
            <w:r>
              <w:t>21/22</w:t>
            </w:r>
          </w:p>
        </w:tc>
        <w:tc>
          <w:tcPr>
            <w:tcW w:w="404" w:type="pct"/>
          </w:tcPr>
          <w:p w14:paraId="6686275B" w14:textId="77777777" w:rsidR="00FC58D7" w:rsidRPr="001D0335" w:rsidRDefault="00FC58D7" w:rsidP="00DF4FC3">
            <w:r>
              <w:t>22/23</w:t>
            </w:r>
          </w:p>
        </w:tc>
        <w:tc>
          <w:tcPr>
            <w:tcW w:w="404" w:type="pct"/>
          </w:tcPr>
          <w:p w14:paraId="43A0AEB7" w14:textId="77777777" w:rsidR="00FC58D7" w:rsidRPr="001D0335" w:rsidRDefault="00FC58D7" w:rsidP="00DF4FC3">
            <w:r>
              <w:t>23/24</w:t>
            </w:r>
          </w:p>
        </w:tc>
        <w:tc>
          <w:tcPr>
            <w:tcW w:w="404" w:type="pct"/>
          </w:tcPr>
          <w:p w14:paraId="065B8876" w14:textId="77777777" w:rsidR="00FC58D7" w:rsidRPr="001D0335" w:rsidRDefault="00FC58D7" w:rsidP="00DF4FC3">
            <w:r>
              <w:t>24/25</w:t>
            </w:r>
          </w:p>
        </w:tc>
        <w:tc>
          <w:tcPr>
            <w:tcW w:w="404" w:type="pct"/>
          </w:tcPr>
          <w:p w14:paraId="008ED284" w14:textId="77777777" w:rsidR="00FC58D7" w:rsidRPr="001D0335" w:rsidRDefault="00FC58D7" w:rsidP="00DF4FC3">
            <w:r>
              <w:t>25/26</w:t>
            </w:r>
          </w:p>
        </w:tc>
        <w:tc>
          <w:tcPr>
            <w:tcW w:w="542" w:type="pct"/>
          </w:tcPr>
          <w:p w14:paraId="022EB58C" w14:textId="77777777" w:rsidR="00FC58D7" w:rsidRPr="001D0335" w:rsidRDefault="00FC58D7" w:rsidP="00DF4FC3">
            <w:r>
              <w:t>All years</w:t>
            </w:r>
          </w:p>
        </w:tc>
      </w:tr>
    </w:tbl>
    <w:p w14:paraId="7AA2513B" w14:textId="77777777" w:rsidR="00FC58D7" w:rsidRPr="00C40BC3" w:rsidRDefault="00FC58D7" w:rsidP="00E632BA"/>
    <w:tbl>
      <w:tblPr>
        <w:tblStyle w:val="AppendixTable"/>
        <w:tblW w:w="5000" w:type="pct"/>
        <w:tblLook w:val="01E0" w:firstRow="1" w:lastRow="1" w:firstColumn="1" w:lastColumn="1" w:noHBand="0" w:noVBand="0"/>
      </w:tblPr>
      <w:tblGrid>
        <w:gridCol w:w="5625"/>
        <w:gridCol w:w="1830"/>
        <w:gridCol w:w="1571"/>
      </w:tblGrid>
      <w:tr w:rsidR="00E632BA" w:rsidRPr="00774853" w14:paraId="0217C34E" w14:textId="77777777" w:rsidTr="002B3F4C">
        <w:trPr>
          <w:cnfStyle w:val="100000000000" w:firstRow="1" w:lastRow="0" w:firstColumn="0" w:lastColumn="0" w:oddVBand="0" w:evenVBand="0" w:oddHBand="0" w:evenHBand="0" w:firstRowFirstColumn="0" w:firstRowLastColumn="0" w:lastRowFirstColumn="0" w:lastRowLastColumn="0"/>
          <w:trHeight w:val="390"/>
        </w:trPr>
        <w:tc>
          <w:tcPr>
            <w:tcW w:w="3116" w:type="pct"/>
          </w:tcPr>
          <w:p w14:paraId="0D8011EC" w14:textId="77777777" w:rsidR="00E632BA" w:rsidRPr="00D35DF9" w:rsidRDefault="00E632BA" w:rsidP="00DF4FC3">
            <w:r>
              <w:t>Description</w:t>
            </w:r>
          </w:p>
        </w:tc>
        <w:tc>
          <w:tcPr>
            <w:tcW w:w="1014" w:type="pct"/>
          </w:tcPr>
          <w:p w14:paraId="053C35F9" w14:textId="77777777" w:rsidR="00E632BA" w:rsidRPr="00D35DF9" w:rsidRDefault="00E632BA" w:rsidP="00DF4FC3">
            <w:r w:rsidRPr="00C40BC3">
              <w:t>Designated Area</w:t>
            </w:r>
          </w:p>
        </w:tc>
        <w:tc>
          <w:tcPr>
            <w:tcW w:w="870" w:type="pct"/>
          </w:tcPr>
          <w:p w14:paraId="71EF3D83" w14:textId="77777777" w:rsidR="00E632BA" w:rsidRPr="00D35DF9" w:rsidRDefault="00E632BA" w:rsidP="00DF4FC3">
            <w:r w:rsidRPr="00C40BC3">
              <w:t>Delivery date</w:t>
            </w:r>
          </w:p>
        </w:tc>
      </w:tr>
      <w:tr w:rsidR="00E632BA" w:rsidRPr="00774853" w14:paraId="1F233308" w14:textId="77777777" w:rsidTr="002B3F4C">
        <w:trPr>
          <w:trHeight w:val="476"/>
        </w:trPr>
        <w:tc>
          <w:tcPr>
            <w:tcW w:w="3116" w:type="pct"/>
          </w:tcPr>
          <w:p w14:paraId="64AC2C6C" w14:textId="77777777" w:rsidR="00E632BA" w:rsidRPr="00C40BC3" w:rsidRDefault="00E632BA" w:rsidP="00DF4FC3"/>
        </w:tc>
        <w:tc>
          <w:tcPr>
            <w:tcW w:w="1014" w:type="pct"/>
          </w:tcPr>
          <w:p w14:paraId="3C312811" w14:textId="77777777" w:rsidR="00E632BA" w:rsidRPr="00C40BC3" w:rsidRDefault="00E632BA" w:rsidP="00DF4FC3"/>
        </w:tc>
        <w:tc>
          <w:tcPr>
            <w:tcW w:w="870" w:type="pct"/>
          </w:tcPr>
          <w:p w14:paraId="44DAF62F" w14:textId="77777777" w:rsidR="00E632BA" w:rsidRPr="00C40BC3" w:rsidRDefault="00E632BA" w:rsidP="00DF4FC3"/>
        </w:tc>
      </w:tr>
      <w:tr w:rsidR="00E632BA" w:rsidRPr="00774853" w14:paraId="0117BB84" w14:textId="77777777" w:rsidTr="002B3F4C">
        <w:trPr>
          <w:trHeight w:val="476"/>
        </w:trPr>
        <w:tc>
          <w:tcPr>
            <w:tcW w:w="3116" w:type="pct"/>
          </w:tcPr>
          <w:p w14:paraId="24697819" w14:textId="77777777" w:rsidR="00E632BA" w:rsidRPr="00C40BC3" w:rsidRDefault="00E632BA" w:rsidP="00DF4FC3"/>
        </w:tc>
        <w:tc>
          <w:tcPr>
            <w:tcW w:w="1014" w:type="pct"/>
          </w:tcPr>
          <w:p w14:paraId="7D3127C7" w14:textId="77777777" w:rsidR="00E632BA" w:rsidRPr="00C40BC3" w:rsidRDefault="00E632BA" w:rsidP="00DF4FC3"/>
        </w:tc>
        <w:tc>
          <w:tcPr>
            <w:tcW w:w="870" w:type="pct"/>
          </w:tcPr>
          <w:p w14:paraId="61CFEF2F" w14:textId="77777777" w:rsidR="00E632BA" w:rsidRPr="00C40BC3" w:rsidRDefault="00E632BA" w:rsidP="00DF4FC3"/>
        </w:tc>
      </w:tr>
      <w:tr w:rsidR="00E632BA" w:rsidRPr="00774853" w14:paraId="31D20A98" w14:textId="77777777" w:rsidTr="002B3F4C">
        <w:trPr>
          <w:trHeight w:val="476"/>
        </w:trPr>
        <w:tc>
          <w:tcPr>
            <w:tcW w:w="3116" w:type="pct"/>
          </w:tcPr>
          <w:p w14:paraId="0681577A" w14:textId="77777777" w:rsidR="00E632BA" w:rsidRPr="00C40BC3" w:rsidRDefault="00E632BA" w:rsidP="00DF4FC3"/>
        </w:tc>
        <w:tc>
          <w:tcPr>
            <w:tcW w:w="1014" w:type="pct"/>
          </w:tcPr>
          <w:p w14:paraId="2B05905B" w14:textId="77777777" w:rsidR="00E632BA" w:rsidRPr="00C40BC3" w:rsidRDefault="00E632BA" w:rsidP="00DF4FC3"/>
        </w:tc>
        <w:tc>
          <w:tcPr>
            <w:tcW w:w="870" w:type="pct"/>
          </w:tcPr>
          <w:p w14:paraId="0F7FB867" w14:textId="77777777" w:rsidR="00E632BA" w:rsidRPr="00C40BC3" w:rsidRDefault="00E632BA" w:rsidP="00DF4FC3"/>
        </w:tc>
      </w:tr>
      <w:tr w:rsidR="00E632BA" w:rsidRPr="00774853" w14:paraId="7C75F664" w14:textId="77777777" w:rsidTr="002B3F4C">
        <w:trPr>
          <w:trHeight w:val="476"/>
        </w:trPr>
        <w:tc>
          <w:tcPr>
            <w:tcW w:w="3116" w:type="pct"/>
          </w:tcPr>
          <w:p w14:paraId="61ED29C5" w14:textId="77777777" w:rsidR="00E632BA" w:rsidRPr="00C40BC3" w:rsidRDefault="00E632BA" w:rsidP="00DF4FC3"/>
        </w:tc>
        <w:tc>
          <w:tcPr>
            <w:tcW w:w="1014" w:type="pct"/>
          </w:tcPr>
          <w:p w14:paraId="626843C4" w14:textId="77777777" w:rsidR="00E632BA" w:rsidRPr="00C40BC3" w:rsidRDefault="00E632BA" w:rsidP="00DF4FC3"/>
        </w:tc>
        <w:tc>
          <w:tcPr>
            <w:tcW w:w="870" w:type="pct"/>
          </w:tcPr>
          <w:p w14:paraId="54FCAC97" w14:textId="77777777" w:rsidR="00E632BA" w:rsidRPr="00C40BC3" w:rsidRDefault="00E632BA" w:rsidP="00DF4FC3"/>
        </w:tc>
      </w:tr>
      <w:tr w:rsidR="00E632BA" w:rsidRPr="00774853" w14:paraId="542DCA79" w14:textId="77777777" w:rsidTr="002B3F4C">
        <w:trPr>
          <w:cnfStyle w:val="010000000000" w:firstRow="0" w:lastRow="1" w:firstColumn="0" w:lastColumn="0" w:oddVBand="0" w:evenVBand="0" w:oddHBand="0" w:evenHBand="0" w:firstRowFirstColumn="0" w:firstRowLastColumn="0" w:lastRowFirstColumn="0" w:lastRowLastColumn="0"/>
          <w:trHeight w:val="476"/>
        </w:trPr>
        <w:tc>
          <w:tcPr>
            <w:tcW w:w="3116" w:type="pct"/>
          </w:tcPr>
          <w:p w14:paraId="547A5CDA" w14:textId="77777777" w:rsidR="00E632BA" w:rsidRPr="00C40BC3" w:rsidRDefault="00E632BA" w:rsidP="00DF4FC3"/>
        </w:tc>
        <w:tc>
          <w:tcPr>
            <w:tcW w:w="1014" w:type="pct"/>
          </w:tcPr>
          <w:p w14:paraId="75490137" w14:textId="77777777" w:rsidR="00E632BA" w:rsidRPr="00C40BC3" w:rsidRDefault="00E632BA" w:rsidP="00DF4FC3"/>
        </w:tc>
        <w:tc>
          <w:tcPr>
            <w:tcW w:w="870" w:type="pct"/>
          </w:tcPr>
          <w:p w14:paraId="0CC09C03" w14:textId="77777777" w:rsidR="00E632BA" w:rsidRPr="00C40BC3" w:rsidRDefault="00E632BA" w:rsidP="00DF4FC3"/>
        </w:tc>
      </w:tr>
    </w:tbl>
    <w:p w14:paraId="2E201A70" w14:textId="77777777" w:rsidR="002B3F4C" w:rsidRDefault="002B3F4C" w:rsidP="00D35DF9"/>
    <w:p w14:paraId="27A59B44" w14:textId="77777777" w:rsidR="002B3F4C" w:rsidRDefault="002B3F4C" w:rsidP="002B3F4C">
      <w:pPr>
        <w:pStyle w:val="AppendixHeading"/>
      </w:pPr>
      <w:bookmarkStart w:id="90" w:name="_Toc51798280"/>
      <w:bookmarkEnd w:id="90"/>
    </w:p>
    <w:p w14:paraId="49F0B01C" w14:textId="1A402C4B" w:rsidR="00D35DF9" w:rsidRPr="00D35DF9" w:rsidRDefault="00D35DF9" w:rsidP="002B3F4C">
      <w:pPr>
        <w:pStyle w:val="Caption"/>
      </w:pPr>
      <w:r w:rsidRPr="00D35DF9">
        <w:t>Maximum value (</w:t>
      </w:r>
      <w:r>
        <w:t xml:space="preserve">expressed </w:t>
      </w:r>
      <w:r w:rsidRPr="00D35DF9">
        <w:t>in</w:t>
      </w:r>
      <w:r>
        <w:t xml:space="preserve"> £m</w:t>
      </w:r>
      <w:r w:rsidRPr="00D35DF9">
        <w:t>) of the sum of VIME Values for all licensees in the price control period</w:t>
      </w:r>
    </w:p>
    <w:tbl>
      <w:tblPr>
        <w:tblStyle w:val="TableGrid"/>
        <w:tblW w:w="0" w:type="auto"/>
        <w:tblInd w:w="2689" w:type="dxa"/>
        <w:tblLook w:val="04A0" w:firstRow="1" w:lastRow="0" w:firstColumn="1" w:lastColumn="0" w:noHBand="0" w:noVBand="1"/>
      </w:tblPr>
      <w:tblGrid>
        <w:gridCol w:w="3827"/>
      </w:tblGrid>
      <w:tr w:rsidR="00D35DF9" w14:paraId="088EE9A7" w14:textId="77777777" w:rsidTr="006544F3">
        <w:trPr>
          <w:cnfStyle w:val="100000000000" w:firstRow="1" w:lastRow="0" w:firstColumn="0" w:lastColumn="0" w:oddVBand="0" w:evenVBand="0" w:oddHBand="0" w:evenHBand="0" w:firstRowFirstColumn="0" w:firstRowLastColumn="0" w:lastRowFirstColumn="0" w:lastRowLastColumn="0"/>
        </w:trPr>
        <w:tc>
          <w:tcPr>
            <w:tcW w:w="3827" w:type="dxa"/>
          </w:tcPr>
          <w:p w14:paraId="31A10022" w14:textId="77777777" w:rsidR="00D35DF9" w:rsidRPr="00D35DF9" w:rsidRDefault="00D35DF9" w:rsidP="00D35DF9"/>
        </w:tc>
      </w:tr>
    </w:tbl>
    <w:p w14:paraId="6DA66237" w14:textId="77777777" w:rsidR="00D35DF9" w:rsidRDefault="00D35DF9" w:rsidP="00D35DF9"/>
    <w:p w14:paraId="2312BAD0" w14:textId="460149C7" w:rsidR="00D35DF9" w:rsidRPr="00D143E3" w:rsidRDefault="00D35DF9" w:rsidP="002B3F4C">
      <w:pPr>
        <w:pStyle w:val="AppendixHeading"/>
      </w:pPr>
      <w:bookmarkStart w:id="91" w:name="_Toc51798281"/>
      <w:bookmarkEnd w:id="91"/>
    </w:p>
    <w:p w14:paraId="6DAD01F8" w14:textId="50CF4D16" w:rsidR="002B3F4C" w:rsidRDefault="00D35DF9" w:rsidP="003F66DB">
      <w:pPr>
        <w:pStyle w:val="AppendixHeading"/>
        <w:ind w:firstLine="0"/>
        <w:jc w:val="left"/>
      </w:pPr>
      <w:bookmarkStart w:id="92" w:name="_Toc51798282"/>
      <w:r w:rsidRPr="00D35DF9">
        <w:t>Value for the licensee’s NTPC term (</w:t>
      </w:r>
      <w:r>
        <w:t xml:space="preserve">expressed </w:t>
      </w:r>
      <w:r w:rsidRPr="00D35DF9">
        <w:t>in</w:t>
      </w:r>
      <w:r>
        <w:t xml:space="preserve"> £m</w:t>
      </w:r>
      <w:r w:rsidRPr="00D35DF9">
        <w:t>)</w:t>
      </w:r>
      <w:bookmarkEnd w:id="92"/>
      <w:r w:rsidRPr="00D35DF9">
        <w:t xml:space="preserve"> </w:t>
      </w:r>
    </w:p>
    <w:p w14:paraId="237CB782" w14:textId="5A4D972A" w:rsidR="00D35DF9" w:rsidRDefault="00D35DF9" w:rsidP="002B3F4C">
      <w:r w:rsidRPr="00D143E3">
        <w:t xml:space="preserve">(see </w:t>
      </w:r>
      <w:r>
        <w:t xml:space="preserve">Part </w:t>
      </w:r>
      <w:proofErr w:type="gramStart"/>
      <w:r>
        <w:t>D</w:t>
      </w:r>
      <w:r w:rsidRPr="00D143E3">
        <w:t xml:space="preserve"> )</w:t>
      </w:r>
      <w:proofErr w:type="gramEnd"/>
    </w:p>
    <w:tbl>
      <w:tblPr>
        <w:tblW w:w="3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6"/>
        <w:gridCol w:w="1018"/>
      </w:tblGrid>
      <w:tr w:rsidR="00D35DF9" w:rsidRPr="00B43143" w14:paraId="3838D8DB" w14:textId="77777777" w:rsidTr="006544F3">
        <w:trPr>
          <w:trHeight w:val="567"/>
          <w:jc w:val="center"/>
        </w:trPr>
        <w:tc>
          <w:tcPr>
            <w:tcW w:w="2836" w:type="dxa"/>
            <w:vAlign w:val="center"/>
          </w:tcPr>
          <w:p w14:paraId="358D0090" w14:textId="77777777" w:rsidR="00D35DF9" w:rsidRPr="00DE541A" w:rsidRDefault="00D35DF9" w:rsidP="00D35DF9"/>
        </w:tc>
        <w:tc>
          <w:tcPr>
            <w:tcW w:w="1018" w:type="dxa"/>
            <w:vAlign w:val="center"/>
          </w:tcPr>
          <w:p w14:paraId="7D5B7232" w14:textId="77777777" w:rsidR="00D35DF9" w:rsidRPr="00DE541A" w:rsidRDefault="00D35DF9" w:rsidP="00D35DF9"/>
        </w:tc>
      </w:tr>
      <w:tr w:rsidR="00D35DF9" w:rsidRPr="00B43143" w14:paraId="27985B9D" w14:textId="77777777" w:rsidTr="006544F3">
        <w:trPr>
          <w:trHeight w:val="567"/>
          <w:jc w:val="center"/>
        </w:trPr>
        <w:tc>
          <w:tcPr>
            <w:tcW w:w="2836" w:type="dxa"/>
            <w:vAlign w:val="center"/>
          </w:tcPr>
          <w:p w14:paraId="77E42A96" w14:textId="77777777" w:rsidR="00D35DF9" w:rsidRPr="00DE541A" w:rsidRDefault="00D35DF9" w:rsidP="00D35DF9"/>
        </w:tc>
        <w:tc>
          <w:tcPr>
            <w:tcW w:w="1018" w:type="dxa"/>
            <w:vAlign w:val="center"/>
          </w:tcPr>
          <w:p w14:paraId="0742C551" w14:textId="77777777" w:rsidR="00D35DF9" w:rsidRPr="00B43143" w:rsidRDefault="00D35DF9" w:rsidP="00D35DF9"/>
        </w:tc>
      </w:tr>
      <w:tr w:rsidR="00D35DF9" w:rsidRPr="00B43143" w14:paraId="07D559DD" w14:textId="77777777" w:rsidTr="006544F3">
        <w:trPr>
          <w:trHeight w:val="567"/>
          <w:jc w:val="center"/>
        </w:trPr>
        <w:tc>
          <w:tcPr>
            <w:tcW w:w="2836" w:type="dxa"/>
            <w:vAlign w:val="center"/>
          </w:tcPr>
          <w:p w14:paraId="1AFF6FCD" w14:textId="77777777" w:rsidR="00D35DF9" w:rsidRPr="00B43143" w:rsidRDefault="00D35DF9" w:rsidP="00D35DF9"/>
        </w:tc>
        <w:tc>
          <w:tcPr>
            <w:tcW w:w="1018" w:type="dxa"/>
            <w:vAlign w:val="center"/>
          </w:tcPr>
          <w:p w14:paraId="5470D62D" w14:textId="77777777" w:rsidR="00D35DF9" w:rsidRPr="00B43143" w:rsidRDefault="00D35DF9" w:rsidP="00D35DF9"/>
        </w:tc>
      </w:tr>
      <w:tr w:rsidR="00D35DF9" w:rsidRPr="00B43143" w14:paraId="13D8C47A" w14:textId="77777777" w:rsidTr="006544F3">
        <w:trPr>
          <w:trHeight w:val="567"/>
          <w:jc w:val="center"/>
        </w:trPr>
        <w:tc>
          <w:tcPr>
            <w:tcW w:w="2836" w:type="dxa"/>
            <w:vAlign w:val="center"/>
          </w:tcPr>
          <w:p w14:paraId="1EE51AC6" w14:textId="77777777" w:rsidR="00D35DF9" w:rsidRPr="00B43143" w:rsidRDefault="00D35DF9" w:rsidP="00D35DF9"/>
        </w:tc>
        <w:tc>
          <w:tcPr>
            <w:tcW w:w="1018" w:type="dxa"/>
            <w:vAlign w:val="center"/>
          </w:tcPr>
          <w:p w14:paraId="5640ED34" w14:textId="77777777" w:rsidR="00D35DF9" w:rsidRPr="00B43143" w:rsidRDefault="00D35DF9" w:rsidP="00D35DF9"/>
        </w:tc>
      </w:tr>
    </w:tbl>
    <w:p w14:paraId="0615FAF3" w14:textId="6CFA18C9" w:rsidR="00D35DF9" w:rsidRDefault="00F44816" w:rsidP="00D35DF9">
      <w:pPr>
        <w:pStyle w:val="Heading2"/>
      </w:pPr>
      <w:bookmarkStart w:id="93" w:name="_Toc51319614"/>
      <w:bookmarkStart w:id="94" w:name="_Toc51798283"/>
      <w:bookmarkStart w:id="95" w:name="_Toc52364897"/>
      <w:r>
        <w:t>Transmission Investment for Renewable Generatio</w:t>
      </w:r>
      <w:bookmarkEnd w:id="93"/>
      <w:r w:rsidR="007E6D46">
        <w:t>n</w:t>
      </w:r>
      <w:bookmarkEnd w:id="94"/>
      <w:bookmarkEnd w:id="95"/>
    </w:p>
    <w:p w14:paraId="5195D5DF" w14:textId="329544A6" w:rsidR="007E6D46" w:rsidRPr="003F66DB" w:rsidRDefault="00E17A0B" w:rsidP="007E6D46">
      <w:pPr>
        <w:pStyle w:val="NumberedNormal"/>
        <w:rPr>
          <w:i/>
          <w:iCs/>
        </w:rPr>
      </w:pPr>
      <w:r>
        <w:rPr>
          <w:i/>
          <w:iCs/>
        </w:rPr>
        <w:t>[</w:t>
      </w:r>
      <w:r w:rsidR="007E6D46" w:rsidRPr="003F66DB">
        <w:rPr>
          <w:i/>
          <w:iCs/>
        </w:rPr>
        <w:t>This condition is not being included as part of this consultation.</w:t>
      </w:r>
      <w:r>
        <w:rPr>
          <w:i/>
          <w:iCs/>
        </w:rPr>
        <w:t>]</w:t>
      </w:r>
      <w:r w:rsidR="007E6D46" w:rsidRPr="003F66DB">
        <w:rPr>
          <w:i/>
          <w:iCs/>
        </w:rPr>
        <w:t xml:space="preserve"> </w:t>
      </w:r>
    </w:p>
    <w:p w14:paraId="03D7A782" w14:textId="559F8B92" w:rsidR="00F44816" w:rsidRDefault="00F44816" w:rsidP="00F44816">
      <w:pPr>
        <w:pStyle w:val="Heading2"/>
      </w:pPr>
      <w:bookmarkStart w:id="96" w:name="_Toc51319615"/>
      <w:bookmarkStart w:id="97" w:name="_Toc51798284"/>
      <w:bookmarkStart w:id="98" w:name="_Toc52364898"/>
      <w:r>
        <w:lastRenderedPageBreak/>
        <w:t>Operational Transport Carbon Reduction Price Control Deliverable</w:t>
      </w:r>
      <w:bookmarkEnd w:id="96"/>
      <w:r w:rsidRPr="0057526A">
        <w:t xml:space="preserve"> </w:t>
      </w:r>
      <w:r w:rsidR="00936020">
        <w:t>(</w:t>
      </w:r>
      <w:proofErr w:type="spellStart"/>
      <w:r w:rsidR="00936020">
        <w:t>OTCt</w:t>
      </w:r>
      <w:proofErr w:type="spellEnd"/>
      <w:r w:rsidR="00936020">
        <w:t>)</w:t>
      </w:r>
      <w:bookmarkEnd w:id="97"/>
      <w:bookmarkEnd w:id="98"/>
    </w:p>
    <w:p w14:paraId="114C546D" w14:textId="77777777" w:rsidR="00F44816" w:rsidRPr="0057526A" w:rsidRDefault="00F44816" w:rsidP="00FA3269">
      <w:pPr>
        <w:pStyle w:val="Heading3nonumbering"/>
      </w:pPr>
      <w:r w:rsidRPr="0057526A">
        <w:t xml:space="preserve">Introduction </w:t>
      </w:r>
    </w:p>
    <w:p w14:paraId="384F995D" w14:textId="64AA30D0" w:rsidR="00F44816" w:rsidRPr="00F44816" w:rsidRDefault="00F44816" w:rsidP="00FA3269">
      <w:pPr>
        <w:pStyle w:val="NumberedNormal"/>
      </w:pPr>
      <w:r>
        <w:t>Th</w:t>
      </w:r>
      <w:r w:rsidRPr="00F44816">
        <w:t xml:space="preserve">e purpose of this condition is to calculate the term </w:t>
      </w:r>
      <w:proofErr w:type="spellStart"/>
      <w:r w:rsidRPr="00F44816">
        <w:t>OTCt</w:t>
      </w:r>
      <w:proofErr w:type="spellEnd"/>
      <w:r w:rsidRPr="00F44816">
        <w:t xml:space="preserve"> (the Operational Transport Carbon Reduction Price Control Deliverable term).  This contributes to the calculation of the Totex Allowance.</w:t>
      </w:r>
    </w:p>
    <w:p w14:paraId="6EBACEDA" w14:textId="77777777" w:rsidR="00355572" w:rsidRPr="00E364AD" w:rsidRDefault="00355572" w:rsidP="00355572">
      <w:pPr>
        <w:pStyle w:val="NumberedNormal"/>
      </w:pPr>
      <w:r>
        <w:t xml:space="preserve">This condition specifies the outputs, delivery dates and associated allowances for the </w:t>
      </w:r>
      <w:r w:rsidRPr="00E364AD">
        <w:t>Price Control Deliverable.</w:t>
      </w:r>
    </w:p>
    <w:p w14:paraId="0F9E60E2" w14:textId="49F76FEE" w:rsidR="00355572" w:rsidRPr="00E364AD" w:rsidRDefault="00355572" w:rsidP="00355572">
      <w:pPr>
        <w:pStyle w:val="NumberedNormal"/>
      </w:pPr>
      <w:r>
        <w:t>This condition also explains the process the Authority will follow when assessing the Price Control Deliverable.</w:t>
      </w:r>
    </w:p>
    <w:p w14:paraId="74EAA688" w14:textId="7322DAFF" w:rsidR="00F44816" w:rsidRDefault="00F44816" w:rsidP="00B074EF">
      <w:pPr>
        <w:pStyle w:val="Heading3"/>
      </w:pPr>
      <w:r>
        <w:t>Formula for calculating the Operational Transport Carbon Reduction Price Control Deliverable term</w:t>
      </w:r>
      <w:r w:rsidR="00355572">
        <w:t xml:space="preserve"> (</w:t>
      </w:r>
      <w:proofErr w:type="spellStart"/>
      <w:r w:rsidR="00355572">
        <w:t>OTCt</w:t>
      </w:r>
      <w:proofErr w:type="spellEnd"/>
      <w:r w:rsidR="00355572">
        <w:t>)</w:t>
      </w:r>
    </w:p>
    <w:p w14:paraId="690394B5" w14:textId="77777777" w:rsidR="00F44816" w:rsidRPr="00F44816" w:rsidRDefault="00F44816" w:rsidP="00B074EF">
      <w:pPr>
        <w:pStyle w:val="NumberedNormal"/>
      </w:pPr>
      <w:r>
        <w:t xml:space="preserve">The value of </w:t>
      </w:r>
      <w:r w:rsidRPr="00F44816">
        <w:t>OTC1t is derived in accordance with the following formula:</w:t>
      </w:r>
    </w:p>
    <w:p w14:paraId="496CD3C5" w14:textId="0B0793BC" w:rsidR="00F44816" w:rsidRPr="00F44816" w:rsidRDefault="00F44816" w:rsidP="003F66DB">
      <w:pPr>
        <w:pStyle w:val="Equation"/>
        <w:ind w:left="720"/>
      </w:pPr>
      <w:proofErr w:type="spellStart"/>
      <w:r>
        <w:t>OTC</w:t>
      </w:r>
      <w:r w:rsidRPr="00F44816">
        <w:t>t</w:t>
      </w:r>
      <w:proofErr w:type="spellEnd"/>
      <w:r w:rsidRPr="00F44816">
        <w:t xml:space="preserve"> </w:t>
      </w:r>
      <w:proofErr w:type="gramStart"/>
      <w:r w:rsidRPr="00F44816">
        <w:t xml:space="preserve">=  </w:t>
      </w:r>
      <w:proofErr w:type="spellStart"/>
      <w:r w:rsidRPr="00F44816">
        <w:t>OTCAt</w:t>
      </w:r>
      <w:proofErr w:type="spellEnd"/>
      <w:proofErr w:type="gramEnd"/>
      <w:r w:rsidRPr="00F44816">
        <w:t xml:space="preserve"> - </w:t>
      </w:r>
      <w:proofErr w:type="spellStart"/>
      <w:r w:rsidRPr="00F44816">
        <w:t>OTCRt</w:t>
      </w:r>
      <w:proofErr w:type="spellEnd"/>
    </w:p>
    <w:p w14:paraId="6F051B9C" w14:textId="77777777" w:rsidR="00F44816" w:rsidRPr="00F44816" w:rsidRDefault="00F44816" w:rsidP="003F66DB">
      <w:pPr>
        <w:ind w:left="720"/>
      </w:pPr>
      <w:r>
        <w:t>where:</w:t>
      </w:r>
    </w:p>
    <w:p w14:paraId="320110DB" w14:textId="33FF52FF" w:rsidR="00F44816" w:rsidRPr="00F44816" w:rsidRDefault="00F44816" w:rsidP="003F66DB">
      <w:pPr>
        <w:pStyle w:val="Equation"/>
        <w:ind w:left="720"/>
      </w:pPr>
      <w:proofErr w:type="spellStart"/>
      <w:r>
        <w:t>OTC</w:t>
      </w:r>
      <w:r w:rsidRPr="00F44816">
        <w:t>At</w:t>
      </w:r>
      <w:proofErr w:type="spellEnd"/>
      <w:r w:rsidRPr="00F44816">
        <w:tab/>
        <w:t>means the sum of allowances in Appendix 1</w:t>
      </w:r>
      <w:r w:rsidR="00E17A0B">
        <w:t>; and</w:t>
      </w:r>
      <w:r w:rsidRPr="00F44816">
        <w:t xml:space="preserve"> </w:t>
      </w:r>
    </w:p>
    <w:p w14:paraId="6DF06BA9" w14:textId="43FAB20A" w:rsidR="00F44816" w:rsidRPr="00F44816" w:rsidRDefault="00F44816" w:rsidP="003F66DB">
      <w:pPr>
        <w:pStyle w:val="Equation"/>
        <w:ind w:left="720"/>
      </w:pPr>
      <w:proofErr w:type="spellStart"/>
      <w:r>
        <w:t>OTC</w:t>
      </w:r>
      <w:r w:rsidRPr="00F44816">
        <w:t>Rt</w:t>
      </w:r>
      <w:proofErr w:type="spellEnd"/>
      <w:r w:rsidRPr="00F44816">
        <w:tab/>
      </w:r>
      <w:r w:rsidR="00355572" w:rsidRPr="00614C21">
        <w:t>has the value of zero unless otherwise directed by the Authority in accordance with Part D.</w:t>
      </w:r>
    </w:p>
    <w:p w14:paraId="3B5F24E3" w14:textId="094DCCDF" w:rsidR="00F44816" w:rsidRPr="00AE57AC" w:rsidRDefault="00F44816" w:rsidP="00B074EF">
      <w:pPr>
        <w:pStyle w:val="Heading3"/>
      </w:pPr>
      <w:r>
        <w:t>What is the licensee funded to deliver?</w:t>
      </w:r>
    </w:p>
    <w:p w14:paraId="0B85D00F" w14:textId="77777777" w:rsidR="00355572" w:rsidRPr="00614C21" w:rsidRDefault="00355572" w:rsidP="00355572">
      <w:pPr>
        <w:pStyle w:val="NumberedNormal"/>
      </w:pPr>
      <w:r>
        <w:t>Appendix 1 specifies the outputs that the licensee is funded to deliver, the delivery dates for those outputs and the allowances provided.</w:t>
      </w:r>
    </w:p>
    <w:p w14:paraId="24BF8A03" w14:textId="1B384B2C" w:rsidR="00F44816" w:rsidRDefault="00F44816" w:rsidP="00B074EF">
      <w:pPr>
        <w:pStyle w:val="Heading3"/>
      </w:pPr>
      <w:r>
        <w:t>Assessment of outputs</w:t>
      </w:r>
      <w:r w:rsidR="00355572">
        <w:t xml:space="preserve"> (</w:t>
      </w:r>
      <w:proofErr w:type="spellStart"/>
      <w:r w:rsidR="00355572">
        <w:t>OTCRt</w:t>
      </w:r>
      <w:proofErr w:type="spellEnd"/>
      <w:r w:rsidR="00355572">
        <w:t>)</w:t>
      </w:r>
    </w:p>
    <w:p w14:paraId="17108376" w14:textId="3287CDD4" w:rsidR="00355572" w:rsidRPr="00614C21" w:rsidRDefault="00355572" w:rsidP="00355572">
      <w:pPr>
        <w:pStyle w:val="NumberedNormal"/>
      </w:pPr>
      <w:r>
        <w:t>The Authority will</w:t>
      </w:r>
      <w:r w:rsidR="004C7E60">
        <w:t>, in accordance with the PCD Reporting Requirements and Methodology Document,</w:t>
      </w:r>
      <w:r>
        <w:t xml:space="preserve"> consider directing a value for </w:t>
      </w:r>
      <w:proofErr w:type="spellStart"/>
      <w:r>
        <w:t>OTCRt</w:t>
      </w:r>
      <w:proofErr w:type="spellEnd"/>
      <w:r>
        <w:t xml:space="preserve"> where the licensee has not Fully Delivered an output in Appendix 1.</w:t>
      </w:r>
    </w:p>
    <w:p w14:paraId="3FD8B662" w14:textId="7EDA8F76" w:rsidR="00F44816" w:rsidRPr="00AE57AC" w:rsidRDefault="00F44816" w:rsidP="00B074EF">
      <w:pPr>
        <w:pStyle w:val="Heading3"/>
      </w:pPr>
      <w:r>
        <w:t>What process will the Authority follow in</w:t>
      </w:r>
      <w:r w:rsidRPr="002902B4">
        <w:t xml:space="preserve"> making a direction</w:t>
      </w:r>
      <w:r>
        <w:t>?</w:t>
      </w:r>
    </w:p>
    <w:p w14:paraId="77D9A677" w14:textId="038E6513" w:rsidR="00F44816" w:rsidRPr="00F44816" w:rsidRDefault="00F44816" w:rsidP="00B074EF">
      <w:pPr>
        <w:pStyle w:val="NumberedNormal"/>
      </w:pPr>
      <w:r>
        <w:t>Before making a direction</w:t>
      </w:r>
      <w:r w:rsidRPr="00F44816">
        <w:t xml:space="preserve"> under paragraph </w:t>
      </w:r>
      <w:r w:rsidR="00E17A0B">
        <w:t>3.15.</w:t>
      </w:r>
      <w:r w:rsidRPr="00F44816">
        <w:t>6, the Authority will publish on the Authority's Website:</w:t>
      </w:r>
    </w:p>
    <w:p w14:paraId="73D40D67" w14:textId="77777777" w:rsidR="00F44816" w:rsidRPr="00F44816" w:rsidRDefault="00F44816" w:rsidP="00B074EF">
      <w:pPr>
        <w:pStyle w:val="ListNormal"/>
      </w:pPr>
      <w:r>
        <w:t>t</w:t>
      </w:r>
      <w:r w:rsidRPr="00F44816">
        <w:t xml:space="preserve">he text of the proposed </w:t>
      </w:r>
      <w:proofErr w:type="gramStart"/>
      <w:r w:rsidRPr="00F44816">
        <w:t>direction;</w:t>
      </w:r>
      <w:proofErr w:type="gramEnd"/>
    </w:p>
    <w:p w14:paraId="29131118" w14:textId="0A5B383E" w:rsidR="00F44816" w:rsidRPr="00F44816" w:rsidRDefault="00F44816" w:rsidP="00B074EF">
      <w:pPr>
        <w:pStyle w:val="ListNormal"/>
      </w:pPr>
      <w:r>
        <w:t>t</w:t>
      </w:r>
      <w:r w:rsidRPr="00F44816">
        <w:t>he reasons for the proposed direction;</w:t>
      </w:r>
      <w:r w:rsidR="00E17A0B">
        <w:t xml:space="preserve"> and</w:t>
      </w:r>
    </w:p>
    <w:p w14:paraId="2A5BBA84" w14:textId="77777777" w:rsidR="00355572" w:rsidRPr="00355572" w:rsidRDefault="00355572" w:rsidP="00355572">
      <w:pPr>
        <w:pStyle w:val="ListNormal"/>
        <w:tabs>
          <w:tab w:val="num" w:pos="879"/>
        </w:tabs>
      </w:pPr>
      <w:r w:rsidRPr="00355572">
        <w:t>a period during which representations may be made on the proposed direction, which will not be less than 28 days.</w:t>
      </w:r>
    </w:p>
    <w:p w14:paraId="107F75C4" w14:textId="4A6B4C03" w:rsidR="004A4F09" w:rsidRPr="004A4F09" w:rsidRDefault="00F44816" w:rsidP="004A4F09">
      <w:pPr>
        <w:pStyle w:val="Caption"/>
      </w:pPr>
      <w:r>
        <w:lastRenderedPageBreak/>
        <w:t>The direction will set out</w:t>
      </w:r>
      <w:r w:rsidR="00355572">
        <w:t xml:space="preserve"> </w:t>
      </w:r>
      <w:r>
        <w:t>any amen</w:t>
      </w:r>
      <w:r w:rsidRPr="00F44816">
        <w:t>dments to Appendix 1</w:t>
      </w:r>
      <w:r w:rsidR="00355572">
        <w:t>.</w:t>
      </w:r>
      <w:r w:rsidR="00E17A0B">
        <w:t xml:space="preserve">   </w:t>
      </w:r>
      <w:r w:rsidR="004A4F09">
        <w:t>Operational Transport Carbon Reduction Price Control Deliverable Allowance</w:t>
      </w:r>
    </w:p>
    <w:tbl>
      <w:tblPr>
        <w:tblW w:w="8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9"/>
        <w:gridCol w:w="1083"/>
        <w:gridCol w:w="1166"/>
        <w:gridCol w:w="814"/>
        <w:gridCol w:w="814"/>
        <w:gridCol w:w="814"/>
        <w:gridCol w:w="814"/>
        <w:gridCol w:w="814"/>
        <w:gridCol w:w="1198"/>
      </w:tblGrid>
      <w:tr w:rsidR="009F2357" w:rsidRPr="00DE541A" w14:paraId="63B53600" w14:textId="77777777" w:rsidTr="00FF1246">
        <w:trPr>
          <w:trHeight w:val="284"/>
        </w:trPr>
        <w:tc>
          <w:tcPr>
            <w:tcW w:w="1329" w:type="dxa"/>
          </w:tcPr>
          <w:p w14:paraId="50C01CEC" w14:textId="77777777" w:rsidR="009F2357" w:rsidRPr="00CC698D" w:rsidRDefault="009F2357" w:rsidP="00EB71C0">
            <w:pPr>
              <w:pStyle w:val="Normalbold"/>
            </w:pPr>
            <w:r w:rsidRPr="00DE541A">
              <w:t>Licensee</w:t>
            </w:r>
          </w:p>
        </w:tc>
        <w:tc>
          <w:tcPr>
            <w:tcW w:w="1629" w:type="dxa"/>
            <w:vAlign w:val="bottom"/>
          </w:tcPr>
          <w:p w14:paraId="75227627" w14:textId="77777777" w:rsidR="009F2357" w:rsidRPr="00CC698D" w:rsidRDefault="009F2357" w:rsidP="00EB71C0">
            <w:pPr>
              <w:pStyle w:val="Normalbold"/>
            </w:pPr>
            <w:r>
              <w:t>Output</w:t>
            </w:r>
          </w:p>
        </w:tc>
        <w:tc>
          <w:tcPr>
            <w:tcW w:w="1029" w:type="dxa"/>
          </w:tcPr>
          <w:p w14:paraId="461BB000" w14:textId="77777777" w:rsidR="009F2357" w:rsidRPr="00CC698D" w:rsidRDefault="009F2357" w:rsidP="00EB71C0">
            <w:pPr>
              <w:pStyle w:val="Normalbold"/>
            </w:pPr>
            <w:r>
              <w:t>Delivery Date</w:t>
            </w:r>
          </w:p>
        </w:tc>
        <w:tc>
          <w:tcPr>
            <w:tcW w:w="3569" w:type="dxa"/>
            <w:gridSpan w:val="5"/>
          </w:tcPr>
          <w:p w14:paraId="2F3BD754" w14:textId="77777777" w:rsidR="009F2357" w:rsidRPr="00CC698D" w:rsidRDefault="009F2357" w:rsidP="00EB71C0">
            <w:pPr>
              <w:pStyle w:val="Normalbold"/>
            </w:pPr>
            <w:r>
              <w:t xml:space="preserve">Allowance </w:t>
            </w:r>
          </w:p>
        </w:tc>
        <w:tc>
          <w:tcPr>
            <w:tcW w:w="1058" w:type="dxa"/>
          </w:tcPr>
          <w:p w14:paraId="25C07780" w14:textId="77777777" w:rsidR="009F2357" w:rsidRDefault="009F2357" w:rsidP="00EB71C0">
            <w:pPr>
              <w:pStyle w:val="Normalbold"/>
            </w:pPr>
          </w:p>
        </w:tc>
      </w:tr>
      <w:tr w:rsidR="009F2357" w:rsidRPr="00D5104D" w14:paraId="18686F36" w14:textId="77777777" w:rsidTr="00FF1246">
        <w:trPr>
          <w:trHeight w:val="299"/>
        </w:trPr>
        <w:tc>
          <w:tcPr>
            <w:tcW w:w="1329" w:type="dxa"/>
          </w:tcPr>
          <w:p w14:paraId="39E5894C" w14:textId="77777777" w:rsidR="009F2357" w:rsidRDefault="009F2357" w:rsidP="00EB71C0"/>
        </w:tc>
        <w:tc>
          <w:tcPr>
            <w:tcW w:w="1629" w:type="dxa"/>
            <w:vAlign w:val="bottom"/>
          </w:tcPr>
          <w:p w14:paraId="35D106A5" w14:textId="77777777" w:rsidR="009F2357" w:rsidRPr="0082533A" w:rsidRDefault="009F2357" w:rsidP="00EB71C0"/>
        </w:tc>
        <w:tc>
          <w:tcPr>
            <w:tcW w:w="1029" w:type="dxa"/>
          </w:tcPr>
          <w:p w14:paraId="2EF8C035" w14:textId="77777777" w:rsidR="009F2357" w:rsidRPr="0082533A" w:rsidRDefault="009F2357" w:rsidP="00EB71C0"/>
        </w:tc>
        <w:tc>
          <w:tcPr>
            <w:tcW w:w="713" w:type="dxa"/>
          </w:tcPr>
          <w:p w14:paraId="17F28A0C" w14:textId="77777777" w:rsidR="009F2357" w:rsidRPr="00CC698D" w:rsidRDefault="009F2357" w:rsidP="00EB71C0">
            <w:r>
              <w:t>21/22</w:t>
            </w:r>
          </w:p>
        </w:tc>
        <w:tc>
          <w:tcPr>
            <w:tcW w:w="0" w:type="auto"/>
          </w:tcPr>
          <w:p w14:paraId="4EA6AB33" w14:textId="77777777" w:rsidR="009F2357" w:rsidRPr="00CC698D" w:rsidRDefault="009F2357" w:rsidP="00EB71C0">
            <w:r>
              <w:t>22/23</w:t>
            </w:r>
          </w:p>
        </w:tc>
        <w:tc>
          <w:tcPr>
            <w:tcW w:w="0" w:type="auto"/>
          </w:tcPr>
          <w:p w14:paraId="6B02B03F" w14:textId="77777777" w:rsidR="009F2357" w:rsidRPr="00CC698D" w:rsidRDefault="009F2357" w:rsidP="00EB71C0">
            <w:r>
              <w:t>23/24</w:t>
            </w:r>
          </w:p>
        </w:tc>
        <w:tc>
          <w:tcPr>
            <w:tcW w:w="0" w:type="auto"/>
          </w:tcPr>
          <w:p w14:paraId="6130503A" w14:textId="77777777" w:rsidR="009F2357" w:rsidRPr="00CC698D" w:rsidRDefault="009F2357" w:rsidP="00EB71C0">
            <w:r>
              <w:t>24/25</w:t>
            </w:r>
          </w:p>
        </w:tc>
        <w:tc>
          <w:tcPr>
            <w:tcW w:w="0" w:type="auto"/>
          </w:tcPr>
          <w:p w14:paraId="1582BE47" w14:textId="77777777" w:rsidR="009F2357" w:rsidRPr="00CC698D" w:rsidRDefault="009F2357" w:rsidP="00EB71C0">
            <w:r>
              <w:t>25/26</w:t>
            </w:r>
          </w:p>
        </w:tc>
        <w:tc>
          <w:tcPr>
            <w:tcW w:w="1058" w:type="dxa"/>
          </w:tcPr>
          <w:p w14:paraId="53CA7146" w14:textId="77777777" w:rsidR="009F2357" w:rsidRPr="00CC698D" w:rsidRDefault="009F2357" w:rsidP="00EB71C0">
            <w:r>
              <w:t>Total Allowance (All years)</w:t>
            </w:r>
          </w:p>
        </w:tc>
      </w:tr>
      <w:tr w:rsidR="009F2357" w:rsidRPr="00D5104D" w14:paraId="7F933153" w14:textId="77777777" w:rsidTr="00FF1246">
        <w:trPr>
          <w:trHeight w:val="54"/>
        </w:trPr>
        <w:tc>
          <w:tcPr>
            <w:tcW w:w="1329" w:type="dxa"/>
          </w:tcPr>
          <w:p w14:paraId="797F29DA" w14:textId="77777777" w:rsidR="009F2357" w:rsidRPr="00CC698D" w:rsidRDefault="009F2357" w:rsidP="00EB71C0">
            <w:r>
              <w:t>Nati</w:t>
            </w:r>
            <w:r w:rsidRPr="00CC698D">
              <w:t>onal Grid Electricity Transmission</w:t>
            </w:r>
          </w:p>
        </w:tc>
        <w:tc>
          <w:tcPr>
            <w:tcW w:w="1629" w:type="dxa"/>
            <w:vAlign w:val="bottom"/>
          </w:tcPr>
          <w:p w14:paraId="1E759C17" w14:textId="77777777" w:rsidR="009F2357" w:rsidRPr="00CC698D" w:rsidRDefault="009F2357" w:rsidP="00EB71C0">
            <w:r>
              <w:t>Purchase 499 small panel van electric vehicles (unit cost £27,125)</w:t>
            </w:r>
          </w:p>
        </w:tc>
        <w:tc>
          <w:tcPr>
            <w:tcW w:w="1029" w:type="dxa"/>
          </w:tcPr>
          <w:p w14:paraId="20F1D6A1" w14:textId="77777777" w:rsidR="009F2357" w:rsidRPr="00CC698D" w:rsidRDefault="009F2357" w:rsidP="00EB71C0">
            <w:r>
              <w:t>31/03/26</w:t>
            </w:r>
          </w:p>
        </w:tc>
        <w:tc>
          <w:tcPr>
            <w:tcW w:w="713" w:type="dxa"/>
          </w:tcPr>
          <w:p w14:paraId="78C3A1C5" w14:textId="77777777" w:rsidR="009F2357" w:rsidRPr="0082533A" w:rsidRDefault="009F2357" w:rsidP="00EB71C0"/>
        </w:tc>
        <w:tc>
          <w:tcPr>
            <w:tcW w:w="0" w:type="auto"/>
          </w:tcPr>
          <w:p w14:paraId="0422071E" w14:textId="77777777" w:rsidR="009F2357" w:rsidRPr="0082533A" w:rsidRDefault="009F2357" w:rsidP="00EB71C0"/>
        </w:tc>
        <w:tc>
          <w:tcPr>
            <w:tcW w:w="0" w:type="auto"/>
          </w:tcPr>
          <w:p w14:paraId="2877C9D0" w14:textId="77777777" w:rsidR="009F2357" w:rsidRPr="0082533A" w:rsidRDefault="009F2357" w:rsidP="00EB71C0"/>
        </w:tc>
        <w:tc>
          <w:tcPr>
            <w:tcW w:w="0" w:type="auto"/>
          </w:tcPr>
          <w:p w14:paraId="16860815" w14:textId="77777777" w:rsidR="009F2357" w:rsidRPr="0082533A" w:rsidRDefault="009F2357" w:rsidP="00EB71C0"/>
        </w:tc>
        <w:tc>
          <w:tcPr>
            <w:tcW w:w="0" w:type="auto"/>
          </w:tcPr>
          <w:p w14:paraId="2EF0C71A" w14:textId="77777777" w:rsidR="009F2357" w:rsidRPr="0082533A" w:rsidRDefault="009F2357" w:rsidP="00EB71C0"/>
        </w:tc>
        <w:tc>
          <w:tcPr>
            <w:tcW w:w="1058" w:type="dxa"/>
          </w:tcPr>
          <w:p w14:paraId="6612F022" w14:textId="77777777" w:rsidR="009F2357" w:rsidRPr="0082533A" w:rsidRDefault="009F2357" w:rsidP="00EB71C0">
            <w:r>
              <w:t>£13.535m</w:t>
            </w:r>
          </w:p>
        </w:tc>
      </w:tr>
      <w:tr w:rsidR="009F2357" w:rsidRPr="00D5104D" w14:paraId="1C0D0F2D" w14:textId="77777777" w:rsidTr="00FF1246">
        <w:trPr>
          <w:trHeight w:val="299"/>
        </w:trPr>
        <w:tc>
          <w:tcPr>
            <w:tcW w:w="1329" w:type="dxa"/>
          </w:tcPr>
          <w:p w14:paraId="4CD82959" w14:textId="77777777" w:rsidR="009F2357" w:rsidRPr="00D5104D" w:rsidRDefault="009F2357" w:rsidP="00EB71C0">
            <w:r>
              <w:t>Nati</w:t>
            </w:r>
            <w:r w:rsidRPr="00343BEC">
              <w:t>onal Grid Electricity Transmission</w:t>
            </w:r>
          </w:p>
        </w:tc>
        <w:tc>
          <w:tcPr>
            <w:tcW w:w="1629" w:type="dxa"/>
            <w:vAlign w:val="bottom"/>
          </w:tcPr>
          <w:p w14:paraId="1BB72043" w14:textId="77777777" w:rsidR="009F2357" w:rsidRPr="00D5104D" w:rsidRDefault="009F2357" w:rsidP="00EB71C0">
            <w:r>
              <w:t>Install 1,430 standard and 40 DC charge-points across 234 sites (unit cost £6,500)</w:t>
            </w:r>
          </w:p>
        </w:tc>
        <w:tc>
          <w:tcPr>
            <w:tcW w:w="1029" w:type="dxa"/>
          </w:tcPr>
          <w:p w14:paraId="5B5D7784" w14:textId="77777777" w:rsidR="009F2357" w:rsidRPr="00D5104D" w:rsidRDefault="009F2357" w:rsidP="00EB71C0">
            <w:r>
              <w:t>31/03/26</w:t>
            </w:r>
          </w:p>
        </w:tc>
        <w:tc>
          <w:tcPr>
            <w:tcW w:w="713" w:type="dxa"/>
          </w:tcPr>
          <w:p w14:paraId="2BBEE03E" w14:textId="77777777" w:rsidR="009F2357" w:rsidRPr="00D5104D" w:rsidRDefault="009F2357" w:rsidP="00EB71C0"/>
        </w:tc>
        <w:tc>
          <w:tcPr>
            <w:tcW w:w="0" w:type="auto"/>
          </w:tcPr>
          <w:p w14:paraId="54AD6378" w14:textId="77777777" w:rsidR="009F2357" w:rsidRPr="00D5104D" w:rsidRDefault="009F2357" w:rsidP="00EB71C0"/>
        </w:tc>
        <w:tc>
          <w:tcPr>
            <w:tcW w:w="0" w:type="auto"/>
          </w:tcPr>
          <w:p w14:paraId="1ACDCE3C" w14:textId="77777777" w:rsidR="009F2357" w:rsidRPr="00D5104D" w:rsidRDefault="009F2357" w:rsidP="00EB71C0"/>
        </w:tc>
        <w:tc>
          <w:tcPr>
            <w:tcW w:w="0" w:type="auto"/>
          </w:tcPr>
          <w:p w14:paraId="646D8CE4" w14:textId="77777777" w:rsidR="009F2357" w:rsidRPr="00D5104D" w:rsidRDefault="009F2357" w:rsidP="00EB71C0"/>
        </w:tc>
        <w:tc>
          <w:tcPr>
            <w:tcW w:w="0" w:type="auto"/>
          </w:tcPr>
          <w:p w14:paraId="59C2F067" w14:textId="77777777" w:rsidR="009F2357" w:rsidRPr="00D5104D" w:rsidRDefault="009F2357" w:rsidP="00EB71C0"/>
        </w:tc>
        <w:tc>
          <w:tcPr>
            <w:tcW w:w="1058" w:type="dxa"/>
          </w:tcPr>
          <w:p w14:paraId="268D76A3" w14:textId="77777777" w:rsidR="009F2357" w:rsidRPr="00D5104D" w:rsidRDefault="009F2357" w:rsidP="00EB71C0">
            <w:r>
              <w:t>£9.30m</w:t>
            </w:r>
          </w:p>
        </w:tc>
      </w:tr>
    </w:tbl>
    <w:p w14:paraId="21C32C7F" w14:textId="1C11D6CE" w:rsidR="00936020" w:rsidRPr="00F44816" w:rsidRDefault="00936020" w:rsidP="00FF1246">
      <w:pPr>
        <w:pStyle w:val="NumberedNormal"/>
        <w:numPr>
          <w:ilvl w:val="0"/>
          <w:numId w:val="0"/>
        </w:numPr>
        <w:ind w:left="879"/>
      </w:pPr>
    </w:p>
    <w:p w14:paraId="7D865760" w14:textId="48E5CE02" w:rsidR="00F44816" w:rsidRPr="0057526A" w:rsidRDefault="00F44816" w:rsidP="00F44816">
      <w:pPr>
        <w:pStyle w:val="Heading2"/>
      </w:pPr>
      <w:bookmarkStart w:id="99" w:name="_Toc51319616"/>
      <w:bookmarkStart w:id="100" w:name="_Toc51798285"/>
      <w:bookmarkStart w:id="101" w:name="_Toc52364899"/>
      <w:r>
        <w:t>Net Zero Fund Price Control Deliverable</w:t>
      </w:r>
      <w:bookmarkEnd w:id="99"/>
      <w:r w:rsidR="00355572">
        <w:t xml:space="preserve"> (</w:t>
      </w:r>
      <w:proofErr w:type="spellStart"/>
      <w:r w:rsidR="00355572">
        <w:t>NZFt</w:t>
      </w:r>
      <w:proofErr w:type="spellEnd"/>
      <w:r w:rsidR="00355572">
        <w:t>)</w:t>
      </w:r>
      <w:bookmarkEnd w:id="100"/>
      <w:bookmarkEnd w:id="101"/>
    </w:p>
    <w:p w14:paraId="25D2FD2E" w14:textId="77777777" w:rsidR="00F44816" w:rsidRPr="0057526A" w:rsidRDefault="00F44816" w:rsidP="00BD7C8A">
      <w:pPr>
        <w:pStyle w:val="Heading3nonumbering"/>
      </w:pPr>
      <w:r w:rsidRPr="0057526A">
        <w:t xml:space="preserve">Introduction </w:t>
      </w:r>
    </w:p>
    <w:p w14:paraId="2A479891" w14:textId="4489E8C2" w:rsidR="00F44816" w:rsidRPr="00F44816" w:rsidRDefault="00F44816" w:rsidP="00BD7C8A">
      <w:pPr>
        <w:pStyle w:val="NumberedNormal"/>
      </w:pPr>
      <w:r w:rsidRPr="00BE7CEB">
        <w:t>Th</w:t>
      </w:r>
      <w:r w:rsidRPr="00F44816">
        <w:t xml:space="preserve">e purpose of this condition is to calculate the term </w:t>
      </w:r>
      <w:proofErr w:type="spellStart"/>
      <w:r w:rsidRPr="00F44816">
        <w:t>NZFt</w:t>
      </w:r>
      <w:proofErr w:type="spellEnd"/>
      <w:r w:rsidRPr="00F44816">
        <w:t xml:space="preserve"> (the Net Zero Fund Price Control Deliverable term). </w:t>
      </w:r>
      <w:r w:rsidR="00355572">
        <w:t>This contributes to the calculation of the Totex Allowance.</w:t>
      </w:r>
    </w:p>
    <w:p w14:paraId="17B4B7C3" w14:textId="77777777" w:rsidR="00F44816" w:rsidRPr="00F44816" w:rsidRDefault="00F44816" w:rsidP="00BD7C8A">
      <w:pPr>
        <w:pStyle w:val="NumberedNormal"/>
      </w:pPr>
      <w:r>
        <w:t>The effect of this condition is to</w:t>
      </w:r>
      <w:r w:rsidRPr="00F44816">
        <w:t>:</w:t>
      </w:r>
    </w:p>
    <w:p w14:paraId="0AFA7974" w14:textId="77777777" w:rsidR="00F44816" w:rsidRPr="00F44816" w:rsidRDefault="00F44816" w:rsidP="00BD7C8A">
      <w:pPr>
        <w:pStyle w:val="ListNormal"/>
      </w:pPr>
      <w:r w:rsidRPr="00172CF3">
        <w:lastRenderedPageBreak/>
        <w:t xml:space="preserve">specify the </w:t>
      </w:r>
      <w:r w:rsidRPr="00F44816">
        <w:t xml:space="preserve">associated allowance for the Net Zero Fund Price Control </w:t>
      </w:r>
      <w:proofErr w:type="gramStart"/>
      <w:r w:rsidRPr="00F44816">
        <w:t>Deliverable;</w:t>
      </w:r>
      <w:proofErr w:type="gramEnd"/>
    </w:p>
    <w:p w14:paraId="461200CD" w14:textId="77777777" w:rsidR="00F44816" w:rsidRPr="00F44816" w:rsidRDefault="00F44816" w:rsidP="00BD7C8A">
      <w:pPr>
        <w:pStyle w:val="ListNormal"/>
      </w:pPr>
      <w:r>
        <w:t xml:space="preserve">require the licensee to </w:t>
      </w:r>
      <w:r w:rsidRPr="00F44816">
        <w:t xml:space="preserve">publish details on the projects it decides to fund under the Net Zero </w:t>
      </w:r>
      <w:proofErr w:type="gramStart"/>
      <w:r w:rsidRPr="00F44816">
        <w:t>Fund;</w:t>
      </w:r>
      <w:proofErr w:type="gramEnd"/>
    </w:p>
    <w:p w14:paraId="3BB59203" w14:textId="77777777" w:rsidR="00F44816" w:rsidRPr="00F44816" w:rsidRDefault="00F44816" w:rsidP="00BD7C8A">
      <w:pPr>
        <w:pStyle w:val="ListNormal"/>
      </w:pPr>
      <w:r>
        <w:t xml:space="preserve">require the licensee to </w:t>
      </w:r>
      <w:r w:rsidRPr="00F44816">
        <w:t xml:space="preserve">submit Net Zero Fund evaluation </w:t>
      </w:r>
      <w:proofErr w:type="gramStart"/>
      <w:r w:rsidRPr="00F44816">
        <w:t>reports;</w:t>
      </w:r>
      <w:proofErr w:type="gramEnd"/>
      <w:r w:rsidRPr="00F44816">
        <w:t xml:space="preserve"> and</w:t>
      </w:r>
    </w:p>
    <w:p w14:paraId="3FAF5941" w14:textId="77777777" w:rsidR="00F44816" w:rsidRPr="00F44816" w:rsidRDefault="00F44816" w:rsidP="00BD7C8A">
      <w:pPr>
        <w:pStyle w:val="ListNormal"/>
      </w:pPr>
      <w:r>
        <w:t xml:space="preserve">provide </w:t>
      </w:r>
      <w:r w:rsidRPr="00F44816">
        <w:t xml:space="preserve">for an assessment of the Net Zero Fund Price Control Deliverable including a Use It </w:t>
      </w:r>
      <w:proofErr w:type="gramStart"/>
      <w:r w:rsidRPr="00F44816">
        <w:t>Or</w:t>
      </w:r>
      <w:proofErr w:type="gramEnd"/>
      <w:r w:rsidRPr="00F44816">
        <w:t xml:space="preserve"> Lose It Adjustment. </w:t>
      </w:r>
    </w:p>
    <w:p w14:paraId="44FFD620" w14:textId="5AAB3EA5" w:rsidR="00F44816" w:rsidRPr="00F44816" w:rsidRDefault="00F44816" w:rsidP="00BD7C8A">
      <w:pPr>
        <w:pStyle w:val="NumberedNormal"/>
      </w:pPr>
      <w:r>
        <w:t xml:space="preserve">This condition also explains the process the Authority will follow when </w:t>
      </w:r>
      <w:r w:rsidR="00B10923">
        <w:t>assessing the Price Control Deliverable</w:t>
      </w:r>
      <w:r w:rsidRPr="00F44816">
        <w:t>.</w:t>
      </w:r>
    </w:p>
    <w:p w14:paraId="25C6565A" w14:textId="208B6A64" w:rsidR="00F44816" w:rsidRDefault="00F44816" w:rsidP="00BD7C8A">
      <w:pPr>
        <w:pStyle w:val="Heading3"/>
      </w:pPr>
      <w:r>
        <w:t>Formula for calculating the Net Zero Fund Price Control Deliverable term</w:t>
      </w:r>
      <w:r w:rsidR="00355572">
        <w:t xml:space="preserve"> (</w:t>
      </w:r>
      <w:proofErr w:type="spellStart"/>
      <w:r w:rsidR="00355572">
        <w:t>NZFt</w:t>
      </w:r>
      <w:proofErr w:type="spellEnd"/>
      <w:r w:rsidR="00355572">
        <w:t>)</w:t>
      </w:r>
    </w:p>
    <w:p w14:paraId="44EB9489" w14:textId="77777777" w:rsidR="00F44816" w:rsidRPr="00F44816" w:rsidRDefault="00F44816" w:rsidP="0018659A">
      <w:pPr>
        <w:pStyle w:val="NumberedNormal"/>
      </w:pPr>
      <w:r>
        <w:t xml:space="preserve">The value of </w:t>
      </w:r>
      <w:proofErr w:type="spellStart"/>
      <w:r w:rsidRPr="00F44816">
        <w:t>NZFt</w:t>
      </w:r>
      <w:proofErr w:type="spellEnd"/>
      <w:r w:rsidRPr="00F44816">
        <w:t xml:space="preserve"> is derived in accordance with the following formula:</w:t>
      </w:r>
    </w:p>
    <w:p w14:paraId="1CAE1D72" w14:textId="77777777" w:rsidR="00F44816" w:rsidRPr="00F44816" w:rsidRDefault="00F44816" w:rsidP="003F66DB">
      <w:pPr>
        <w:pStyle w:val="Equation"/>
        <w:ind w:left="720"/>
      </w:pPr>
      <w:proofErr w:type="spellStart"/>
      <w:r>
        <w:t>NZF</w:t>
      </w:r>
      <w:r w:rsidRPr="00F44816">
        <w:t>t</w:t>
      </w:r>
      <w:proofErr w:type="spellEnd"/>
      <w:r w:rsidRPr="00F44816">
        <w:t xml:space="preserve"> = </w:t>
      </w:r>
      <w:proofErr w:type="spellStart"/>
      <w:r w:rsidRPr="00F44816">
        <w:t>NZFAt</w:t>
      </w:r>
      <w:proofErr w:type="spellEnd"/>
      <w:r w:rsidRPr="00F44816">
        <w:t xml:space="preserve"> - </w:t>
      </w:r>
      <w:proofErr w:type="spellStart"/>
      <w:r w:rsidRPr="00F44816">
        <w:t>NZFRt</w:t>
      </w:r>
      <w:proofErr w:type="spellEnd"/>
      <w:r w:rsidRPr="00F44816">
        <w:t xml:space="preserve"> </w:t>
      </w:r>
    </w:p>
    <w:p w14:paraId="5EAC5170" w14:textId="77777777" w:rsidR="00F44816" w:rsidRPr="00F44816" w:rsidRDefault="00F44816" w:rsidP="003F66DB">
      <w:pPr>
        <w:ind w:left="720"/>
      </w:pPr>
      <w:r>
        <w:t>where:</w:t>
      </w:r>
    </w:p>
    <w:tbl>
      <w:tblPr>
        <w:tblW w:w="8792" w:type="dxa"/>
        <w:tblInd w:w="720" w:type="dxa"/>
        <w:tblLook w:val="04A0" w:firstRow="1" w:lastRow="0" w:firstColumn="1" w:lastColumn="0" w:noHBand="0" w:noVBand="1"/>
      </w:tblPr>
      <w:tblGrid>
        <w:gridCol w:w="1276"/>
        <w:gridCol w:w="7516"/>
      </w:tblGrid>
      <w:tr w:rsidR="00F44816" w:rsidRPr="007442AB" w14:paraId="26B0D9A0" w14:textId="77777777" w:rsidTr="003F66DB">
        <w:trPr>
          <w:trHeight w:val="454"/>
        </w:trPr>
        <w:tc>
          <w:tcPr>
            <w:tcW w:w="1276" w:type="dxa"/>
          </w:tcPr>
          <w:p w14:paraId="13BD2A47" w14:textId="77777777" w:rsidR="00F44816" w:rsidRPr="00F44816" w:rsidRDefault="00F44816" w:rsidP="0018659A">
            <w:pPr>
              <w:pStyle w:val="Equation"/>
            </w:pPr>
            <w:proofErr w:type="spellStart"/>
            <w:r>
              <w:t>N</w:t>
            </w:r>
            <w:r w:rsidRPr="00F44816">
              <w:t>ZFAt</w:t>
            </w:r>
            <w:proofErr w:type="spellEnd"/>
          </w:p>
        </w:tc>
        <w:tc>
          <w:tcPr>
            <w:tcW w:w="7516" w:type="dxa"/>
          </w:tcPr>
          <w:p w14:paraId="5B0BB18B" w14:textId="29F67517" w:rsidR="00F44816" w:rsidRPr="00F44816" w:rsidRDefault="00F44816" w:rsidP="0018659A">
            <w:pPr>
              <w:pStyle w:val="Equation"/>
            </w:pPr>
            <w:r w:rsidRPr="00875028">
              <w:t xml:space="preserve">means the </w:t>
            </w:r>
            <w:r w:rsidRPr="00F44816">
              <w:t xml:space="preserve">Net Zero Fund allowance calculated in accordance with Part </w:t>
            </w:r>
            <w:proofErr w:type="gramStart"/>
            <w:r w:rsidRPr="00F44816">
              <w:t>B</w:t>
            </w:r>
            <w:r w:rsidR="00E17A0B">
              <w:t>;</w:t>
            </w:r>
            <w:proofErr w:type="gramEnd"/>
            <w:r w:rsidR="00E17A0B">
              <w:t xml:space="preserve"> and</w:t>
            </w:r>
            <w:r w:rsidRPr="00F44816">
              <w:t xml:space="preserve"> </w:t>
            </w:r>
          </w:p>
          <w:p w14:paraId="6AA713D6" w14:textId="77777777" w:rsidR="00F44816" w:rsidRPr="00002DD9" w:rsidRDefault="00F44816" w:rsidP="0018659A">
            <w:pPr>
              <w:pStyle w:val="Equation"/>
            </w:pPr>
          </w:p>
        </w:tc>
      </w:tr>
      <w:tr w:rsidR="00F44816" w:rsidRPr="007442AB" w14:paraId="7EFA3391" w14:textId="77777777" w:rsidTr="003F66DB">
        <w:trPr>
          <w:trHeight w:val="454"/>
        </w:trPr>
        <w:tc>
          <w:tcPr>
            <w:tcW w:w="1276" w:type="dxa"/>
          </w:tcPr>
          <w:p w14:paraId="6999A3A4" w14:textId="77777777" w:rsidR="00F44816" w:rsidRPr="00F44816" w:rsidRDefault="00F44816" w:rsidP="0018659A">
            <w:pPr>
              <w:pStyle w:val="Equation"/>
            </w:pPr>
            <w:proofErr w:type="spellStart"/>
            <w:r>
              <w:t>N</w:t>
            </w:r>
            <w:r w:rsidRPr="00F44816">
              <w:t>ZFRt</w:t>
            </w:r>
            <w:proofErr w:type="spellEnd"/>
            <w:r w:rsidRPr="00F44816">
              <w:tab/>
            </w:r>
          </w:p>
        </w:tc>
        <w:tc>
          <w:tcPr>
            <w:tcW w:w="7516" w:type="dxa"/>
          </w:tcPr>
          <w:p w14:paraId="4627C696" w14:textId="5C09713F" w:rsidR="00F44816" w:rsidRPr="00F44816" w:rsidRDefault="00355572" w:rsidP="0018659A">
            <w:pPr>
              <w:pStyle w:val="Equation"/>
            </w:pPr>
            <w:r w:rsidRPr="00614C21">
              <w:t>has the value of zero unless otherwise directed by the Authority in accordance with</w:t>
            </w:r>
            <w:r w:rsidDel="00355572">
              <w:t xml:space="preserve"> </w:t>
            </w:r>
            <w:r w:rsidR="00F44816" w:rsidRPr="00F44816">
              <w:t>Part</w:t>
            </w:r>
            <w:r w:rsidR="00E17A0B">
              <w:t xml:space="preserve"> E</w:t>
            </w:r>
            <w:r w:rsidR="00F44816" w:rsidRPr="00F44816">
              <w:t>.</w:t>
            </w:r>
          </w:p>
        </w:tc>
      </w:tr>
    </w:tbl>
    <w:p w14:paraId="5F994207" w14:textId="77777777" w:rsidR="00F44816" w:rsidRDefault="00F44816" w:rsidP="00F44816"/>
    <w:p w14:paraId="1586E63B" w14:textId="2FD75105" w:rsidR="00F44816" w:rsidRDefault="00355572" w:rsidP="0018659A">
      <w:pPr>
        <w:pStyle w:val="Heading3"/>
      </w:pPr>
      <w:r>
        <w:t>The Net Zero Fund allowance (</w:t>
      </w:r>
      <w:proofErr w:type="spellStart"/>
      <w:r>
        <w:t>NZFAt</w:t>
      </w:r>
      <w:proofErr w:type="spellEnd"/>
      <w:r>
        <w:t>)</w:t>
      </w:r>
    </w:p>
    <w:p w14:paraId="733B172F" w14:textId="3556D26C" w:rsidR="00F44816" w:rsidRPr="00F44816" w:rsidRDefault="00F44816" w:rsidP="0018659A">
      <w:pPr>
        <w:pStyle w:val="NumberedNormal"/>
      </w:pPr>
      <w:r>
        <w:t>T</w:t>
      </w:r>
      <w:r w:rsidRPr="00F44816">
        <w:t xml:space="preserve">he value of </w:t>
      </w:r>
      <w:proofErr w:type="spellStart"/>
      <w:r w:rsidRPr="00F44816">
        <w:t>NZFAt</w:t>
      </w:r>
      <w:proofErr w:type="spellEnd"/>
      <w:r w:rsidRPr="00F44816">
        <w:t xml:space="preserve"> is the total amount of the licensee’s expenditure for Net Zero projects.</w:t>
      </w:r>
    </w:p>
    <w:p w14:paraId="3CF5574B" w14:textId="20C5B0B5" w:rsidR="00F44816" w:rsidRPr="00F44816" w:rsidRDefault="0078732B" w:rsidP="0018659A">
      <w:pPr>
        <w:pStyle w:val="NumberedNormal"/>
      </w:pPr>
      <w:r>
        <w:t xml:space="preserve">The value of </w:t>
      </w:r>
      <w:proofErr w:type="spellStart"/>
      <w:r w:rsidR="00F44816" w:rsidRPr="00F44816">
        <w:t>NZFAt</w:t>
      </w:r>
      <w:proofErr w:type="spellEnd"/>
      <w:r w:rsidR="00F44816" w:rsidRPr="00F44816">
        <w:t xml:space="preserve"> for Regulatory Year t </w:t>
      </w:r>
      <w:r w:rsidR="00005313">
        <w:t xml:space="preserve">will be set </w:t>
      </w:r>
      <w:r w:rsidR="00F44816" w:rsidRPr="00F44816">
        <w:t xml:space="preserve">in accordance with the following formula: </w:t>
      </w:r>
    </w:p>
    <w:p w14:paraId="2B229D68" w14:textId="77777777" w:rsidR="00F44816" w:rsidRPr="00F44816" w:rsidRDefault="00B913B6" w:rsidP="0018659A">
      <w:pPr>
        <w:pStyle w:val="Equation"/>
      </w:pPr>
      <m:oMathPara>
        <m:oMathParaPr>
          <m:jc m:val="left"/>
        </m:oMathParaPr>
        <m:oMath>
          <m:sSub>
            <m:sSubPr>
              <m:ctrlPr>
                <w:rPr>
                  <w:rFonts w:ascii="Cambria Math" w:hAnsi="Cambria Math"/>
                </w:rPr>
              </m:ctrlPr>
            </m:sSubPr>
            <m:e>
              <m:r>
                <m:rPr>
                  <m:sty m:val="p"/>
                </m:rPr>
                <w:rPr>
                  <w:rFonts w:ascii="Cambria Math" w:hAnsi="Cambria Math"/>
                </w:rPr>
                <m:t>NZFA</m:t>
              </m:r>
            </m:e>
            <m:sub>
              <m:r>
                <m:rPr>
                  <m:sty m:val="p"/>
                </m:rPr>
                <w:rPr>
                  <w:rFonts w:ascii="Cambria Math" w:hAnsi="Cambria Math"/>
                </w:rPr>
                <m:t>t</m:t>
              </m:r>
            </m:sub>
          </m:sSub>
          <m:r>
            <m:rPr>
              <m:sty m:val="p"/>
            </m:rPr>
            <w:rPr>
              <w:rFonts w:ascii="Cambria Math" w:hAnsi="Cambria Math"/>
            </w:rPr>
            <m:t>=max</m:t>
          </m:r>
          <m:d>
            <m:dPr>
              <m:ctrlPr>
                <w:rPr>
                  <w:rFonts w:ascii="Cambria Math" w:hAnsi="Cambria Math"/>
                </w:rPr>
              </m:ctrlPr>
            </m:dPr>
            <m:e>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m:rPr>
                          <m:sty m:val="p"/>
                        </m:rPr>
                        <w:rPr>
                          <w:rFonts w:ascii="Cambria Math" w:hAnsi="Cambria Math"/>
                        </w:rPr>
                        <m:t>NZFE</m:t>
                      </m:r>
                    </m:e>
                    <m:sub>
                      <m:r>
                        <m:rPr>
                          <m:sty m:val="p"/>
                        </m:rPr>
                        <w:rPr>
                          <w:rFonts w:ascii="Cambria Math" w:hAnsi="Cambria Math"/>
                        </w:rPr>
                        <m:t>t</m:t>
                      </m:r>
                    </m:sub>
                  </m:sSub>
                  <m:r>
                    <m:rPr>
                      <m:sty m:val="p"/>
                    </m:rPr>
                    <w:rPr>
                      <w:rFonts w:ascii="Cambria Math" w:hAnsi="Cambria Math"/>
                    </w:rPr>
                    <m:t>,  NZFC-</m:t>
                  </m:r>
                  <m:nary>
                    <m:naryPr>
                      <m:chr m:val="∑"/>
                      <m:limLoc m:val="undOvr"/>
                      <m:ctrlPr>
                        <w:rPr>
                          <w:rFonts w:ascii="Cambria Math" w:hAnsi="Cambria Math"/>
                        </w:rPr>
                      </m:ctrlPr>
                    </m:naryPr>
                    <m:sub>
                      <m:r>
                        <m:rPr>
                          <m:sty m:val="p"/>
                        </m:rPr>
                        <w:rPr>
                          <w:rFonts w:ascii="Cambria Math" w:hAnsi="Cambria Math"/>
                        </w:rPr>
                        <m:t>k=2021/22</m:t>
                      </m:r>
                    </m:sub>
                    <m:sup>
                      <m:r>
                        <m:rPr>
                          <m:sty m:val="p"/>
                        </m:rPr>
                        <w:rPr>
                          <w:rFonts w:ascii="Cambria Math" w:hAnsi="Cambria Math"/>
                        </w:rPr>
                        <m:t xml:space="preserve"> t-1</m:t>
                      </m:r>
                    </m:sup>
                    <m:e>
                      <m:sSub>
                        <m:sSubPr>
                          <m:ctrlPr>
                            <w:rPr>
                              <w:rFonts w:ascii="Cambria Math" w:hAnsi="Cambria Math"/>
                            </w:rPr>
                          </m:ctrlPr>
                        </m:sSubPr>
                        <m:e>
                          <m:r>
                            <m:rPr>
                              <m:sty m:val="p"/>
                            </m:rPr>
                            <w:rPr>
                              <w:rFonts w:ascii="Cambria Math" w:hAnsi="Cambria Math"/>
                            </w:rPr>
                            <m:t>NZFE</m:t>
                          </m:r>
                        </m:e>
                        <m:sub>
                          <m:r>
                            <m:rPr>
                              <m:sty m:val="p"/>
                            </m:rPr>
                            <w:rPr>
                              <w:rFonts w:ascii="Cambria Math" w:hAnsi="Cambria Math"/>
                            </w:rPr>
                            <m:t>k</m:t>
                          </m:r>
                        </m:sub>
                      </m:sSub>
                    </m:e>
                  </m:nary>
                  <m:r>
                    <m:rPr>
                      <m:sty m:val="p"/>
                    </m:rPr>
                    <w:rPr>
                      <w:rFonts w:ascii="Cambria Math" w:hAnsi="Cambria Math"/>
                    </w:rPr>
                    <m:t xml:space="preserve">  </m:t>
                  </m:r>
                </m:e>
              </m:d>
              <m:r>
                <w:rPr>
                  <w:rFonts w:ascii="Cambria Math" w:hAnsi="Cambria Math"/>
                </w:rPr>
                <m:t>, 0</m:t>
              </m:r>
            </m:e>
          </m:d>
        </m:oMath>
      </m:oMathPara>
    </w:p>
    <w:p w14:paraId="69FD6B5B" w14:textId="77777777" w:rsidR="00F44816" w:rsidRPr="00AF0958" w:rsidRDefault="00F44816" w:rsidP="00F44816"/>
    <w:p w14:paraId="3A0C7453" w14:textId="77777777" w:rsidR="00F44816" w:rsidRPr="00AF0958" w:rsidRDefault="00F44816" w:rsidP="00F44816">
      <w:r w:rsidRPr="00AF0958">
        <w:t>where:</w:t>
      </w:r>
    </w:p>
    <w:tbl>
      <w:tblPr>
        <w:tblW w:w="8613" w:type="dxa"/>
        <w:tblInd w:w="67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68"/>
        <w:gridCol w:w="6245"/>
      </w:tblGrid>
      <w:tr w:rsidR="00F44816" w:rsidRPr="00AE57AC" w14:paraId="59F6D931" w14:textId="77777777" w:rsidTr="00E364AD">
        <w:trPr>
          <w:trHeight w:val="454"/>
        </w:trPr>
        <w:tc>
          <w:tcPr>
            <w:tcW w:w="2368" w:type="dxa"/>
          </w:tcPr>
          <w:p w14:paraId="0AD76E12" w14:textId="77777777" w:rsidR="00F44816" w:rsidRPr="00F44816" w:rsidRDefault="00F44816" w:rsidP="00F44816">
            <w:r w:rsidRPr="00AF0958">
              <w:t>N</w:t>
            </w:r>
            <w:r w:rsidRPr="00F44816">
              <w:t>ZFC</w:t>
            </w:r>
          </w:p>
        </w:tc>
        <w:tc>
          <w:tcPr>
            <w:tcW w:w="6245" w:type="dxa"/>
          </w:tcPr>
          <w:p w14:paraId="05A65AD2" w14:textId="641CE808" w:rsidR="00F44816" w:rsidRPr="00F44816" w:rsidRDefault="00F44816" w:rsidP="00F44816">
            <w:r>
              <w:t xml:space="preserve">means the </w:t>
            </w:r>
            <w:r w:rsidRPr="00F44816">
              <w:t xml:space="preserve">licensee’s expenditure cap </w:t>
            </w:r>
            <w:r w:rsidR="00047038">
              <w:t>for</w:t>
            </w:r>
            <w:r w:rsidRPr="00F44816">
              <w:t xml:space="preserve"> the Net Zero Fund</w:t>
            </w:r>
            <w:r w:rsidR="00047038">
              <w:t xml:space="preserve"> which is equal to £</w:t>
            </w:r>
            <w:proofErr w:type="gramStart"/>
            <w:r w:rsidR="00047038">
              <w:t>20m</w:t>
            </w:r>
            <w:r w:rsidR="00E17A0B">
              <w:t>;</w:t>
            </w:r>
            <w:proofErr w:type="gramEnd"/>
            <w:r w:rsidR="00E17A0B">
              <w:t xml:space="preserve"> and</w:t>
            </w:r>
          </w:p>
        </w:tc>
      </w:tr>
      <w:tr w:rsidR="00F44816" w:rsidRPr="00AE57AC" w14:paraId="309D422B" w14:textId="77777777" w:rsidTr="00E364AD">
        <w:trPr>
          <w:trHeight w:val="454"/>
        </w:trPr>
        <w:tc>
          <w:tcPr>
            <w:tcW w:w="2368" w:type="dxa"/>
          </w:tcPr>
          <w:p w14:paraId="6DF721C3" w14:textId="77777777" w:rsidR="00F44816" w:rsidRPr="00F44816" w:rsidRDefault="00F44816" w:rsidP="00F44816">
            <w:proofErr w:type="spellStart"/>
            <w:r>
              <w:t>NZFE</w:t>
            </w:r>
            <w:r w:rsidRPr="00F44816">
              <w:t>t</w:t>
            </w:r>
            <w:proofErr w:type="spellEnd"/>
          </w:p>
          <w:p w14:paraId="3CD7246F" w14:textId="77777777" w:rsidR="00F44816" w:rsidRPr="00CD2FF8" w:rsidRDefault="00F44816" w:rsidP="00F44816"/>
        </w:tc>
        <w:tc>
          <w:tcPr>
            <w:tcW w:w="6245" w:type="dxa"/>
          </w:tcPr>
          <w:p w14:paraId="249D9410" w14:textId="617B9276" w:rsidR="00F44816" w:rsidRPr="00F44816" w:rsidRDefault="00F44816" w:rsidP="00F44816">
            <w:r w:rsidRPr="00664F55">
              <w:t xml:space="preserve">means </w:t>
            </w:r>
            <w:r w:rsidRPr="00F44816">
              <w:t>the amount of the licensee's expenditure on Net Zero Fund projects.</w:t>
            </w:r>
          </w:p>
          <w:p w14:paraId="4C45E634" w14:textId="77777777" w:rsidR="00F44816" w:rsidRPr="00CD2FF8" w:rsidRDefault="00F44816" w:rsidP="00F44816"/>
        </w:tc>
      </w:tr>
    </w:tbl>
    <w:p w14:paraId="4CE3A62D" w14:textId="75A87D81" w:rsidR="00F44816" w:rsidRPr="00F44816" w:rsidRDefault="00F44816" w:rsidP="0018659A">
      <w:pPr>
        <w:pStyle w:val="NumberedNormal"/>
      </w:pPr>
      <w:r w:rsidRPr="003C0A78">
        <w:lastRenderedPageBreak/>
        <w:t xml:space="preserve">The </w:t>
      </w:r>
      <w:r w:rsidR="00C91F75">
        <w:t>value of</w:t>
      </w:r>
      <w:r w:rsidRPr="003C0A78">
        <w:t xml:space="preserve"> </w:t>
      </w:r>
      <w:proofErr w:type="spellStart"/>
      <w:r w:rsidRPr="00F44816">
        <w:t>NZ</w:t>
      </w:r>
      <w:r w:rsidR="00C91F75">
        <w:t>F</w:t>
      </w:r>
      <w:r w:rsidRPr="00F44816">
        <w:t>At</w:t>
      </w:r>
      <w:proofErr w:type="spellEnd"/>
      <w:r w:rsidRPr="00F44816">
        <w:t xml:space="preserve"> in paragraph </w:t>
      </w:r>
      <w:r w:rsidR="00E17A0B">
        <w:t>3.16</w:t>
      </w:r>
      <w:r w:rsidRPr="00F44816">
        <w:t>.6 will not exceed the expenditure cap for the Net Zero Fund for the RIIO-T2 price control.</w:t>
      </w:r>
    </w:p>
    <w:p w14:paraId="546ADB05" w14:textId="67FEFC2C" w:rsidR="00F44816" w:rsidRPr="00AE57AC" w:rsidRDefault="00F44816" w:rsidP="0018659A">
      <w:pPr>
        <w:pStyle w:val="Heading3"/>
      </w:pPr>
      <w:r>
        <w:t>Net Zero Fund projects</w:t>
      </w:r>
    </w:p>
    <w:p w14:paraId="22614462" w14:textId="5CAE969A" w:rsidR="00F44816" w:rsidRPr="00F44816" w:rsidRDefault="00F44816" w:rsidP="0018659A">
      <w:pPr>
        <w:pStyle w:val="NumberedNormal"/>
      </w:pPr>
      <w:r>
        <w:t xml:space="preserve">The licensee </w:t>
      </w:r>
      <w:r w:rsidRPr="00F44816">
        <w:t>must publish on its website details about the Net Zero Fund projects that it decides to take forward</w:t>
      </w:r>
      <w:r w:rsidR="00E25416">
        <w:t>.</w:t>
      </w:r>
      <w:r w:rsidRPr="00F44816">
        <w:t xml:space="preserve"> </w:t>
      </w:r>
    </w:p>
    <w:p w14:paraId="088916DB" w14:textId="30D474B4" w:rsidR="00F44816" w:rsidRPr="00F44816" w:rsidRDefault="00F44816" w:rsidP="003C19B3">
      <w:pPr>
        <w:pStyle w:val="NumberedNormal"/>
      </w:pPr>
      <w:r>
        <w:t>The publication</w:t>
      </w:r>
      <w:r w:rsidRPr="00F44816">
        <w:t xml:space="preserve"> under paragraph </w:t>
      </w:r>
      <w:r w:rsidR="008B7FE8">
        <w:t>3.1</w:t>
      </w:r>
      <w:r w:rsidR="00B62A7E">
        <w:t>6</w:t>
      </w:r>
      <w:r w:rsidR="008B7FE8">
        <w:t>.8</w:t>
      </w:r>
      <w:r w:rsidRPr="00F44816">
        <w:t xml:space="preserve"> must:</w:t>
      </w:r>
    </w:p>
    <w:p w14:paraId="0E3E8C54" w14:textId="7EA581E3" w:rsidR="00F44816" w:rsidRPr="00F44816" w:rsidRDefault="00F44816" w:rsidP="003C19B3">
      <w:pPr>
        <w:pStyle w:val="ListNormal"/>
      </w:pPr>
      <w:r>
        <w:t>be no later than</w:t>
      </w:r>
      <w:r w:rsidR="00177FE5">
        <w:t xml:space="preserve"> the end of the period of</w:t>
      </w:r>
      <w:r>
        <w:t xml:space="preserve"> [two] months </w:t>
      </w:r>
      <w:r w:rsidR="00177FE5">
        <w:t xml:space="preserve">beginning with the date of the </w:t>
      </w:r>
      <w:r>
        <w:t>decision</w:t>
      </w:r>
      <w:r w:rsidRPr="00F44816">
        <w:t xml:space="preserve"> by the licensee to proceed with </w:t>
      </w:r>
      <w:r w:rsidR="00B62A7E">
        <w:t>a</w:t>
      </w:r>
      <w:r w:rsidRPr="00F44816">
        <w:t xml:space="preserve"> Net Zero Fund </w:t>
      </w:r>
      <w:proofErr w:type="gramStart"/>
      <w:r w:rsidRPr="00F44816">
        <w:t>project;</w:t>
      </w:r>
      <w:proofErr w:type="gramEnd"/>
      <w:r w:rsidRPr="00F44816">
        <w:t xml:space="preserve"> and</w:t>
      </w:r>
    </w:p>
    <w:p w14:paraId="109A31E8" w14:textId="77777777" w:rsidR="00F44816" w:rsidRPr="00F44816" w:rsidRDefault="00F44816" w:rsidP="003C19B3">
      <w:pPr>
        <w:pStyle w:val="ListNormal"/>
      </w:pPr>
      <w:r>
        <w:t>include statements setting out:</w:t>
      </w:r>
    </w:p>
    <w:p w14:paraId="06795E63" w14:textId="2E149174" w:rsidR="00F44816" w:rsidRPr="00F44816" w:rsidRDefault="00B62A7E" w:rsidP="007E6D46">
      <w:pPr>
        <w:pStyle w:val="ListNormal"/>
        <w:numPr>
          <w:ilvl w:val="4"/>
          <w:numId w:val="8"/>
        </w:numPr>
      </w:pPr>
      <w:r>
        <w:t xml:space="preserve">the </w:t>
      </w:r>
      <w:r w:rsidR="00F44816">
        <w:t>p</w:t>
      </w:r>
      <w:r w:rsidR="00F44816" w:rsidRPr="00F44816">
        <w:t xml:space="preserve">roject </w:t>
      </w:r>
      <w:proofErr w:type="gramStart"/>
      <w:r w:rsidR="00F44816" w:rsidRPr="00F44816">
        <w:t>name;</w:t>
      </w:r>
      <w:proofErr w:type="gramEnd"/>
    </w:p>
    <w:p w14:paraId="7253FE60" w14:textId="66A6945F" w:rsidR="00F44816" w:rsidRPr="00F44816" w:rsidRDefault="00B62A7E" w:rsidP="007E6D46">
      <w:pPr>
        <w:pStyle w:val="ListNormal"/>
        <w:numPr>
          <w:ilvl w:val="4"/>
          <w:numId w:val="8"/>
        </w:numPr>
      </w:pPr>
      <w:r>
        <w:t xml:space="preserve">the </w:t>
      </w:r>
      <w:r w:rsidR="00F44816">
        <w:t xml:space="preserve">project </w:t>
      </w:r>
      <w:proofErr w:type="gramStart"/>
      <w:r w:rsidR="00F44816">
        <w:t>partners;</w:t>
      </w:r>
      <w:proofErr w:type="gramEnd"/>
    </w:p>
    <w:p w14:paraId="5B9E39CD" w14:textId="57ECE874" w:rsidR="00F44816" w:rsidRPr="00F44816" w:rsidRDefault="00F44816" w:rsidP="007E6D46">
      <w:pPr>
        <w:pStyle w:val="ListNormal"/>
        <w:numPr>
          <w:ilvl w:val="4"/>
          <w:numId w:val="8"/>
        </w:numPr>
      </w:pPr>
      <w:r>
        <w:t>t</w:t>
      </w:r>
      <w:r w:rsidRPr="00F44816">
        <w:t xml:space="preserve">he project's objectives and expected </w:t>
      </w:r>
      <w:proofErr w:type="gramStart"/>
      <w:r w:rsidRPr="00F44816">
        <w:t>benefits;</w:t>
      </w:r>
      <w:proofErr w:type="gramEnd"/>
    </w:p>
    <w:p w14:paraId="369E92E4" w14:textId="359D75BF" w:rsidR="00E25416" w:rsidRPr="00F44816" w:rsidRDefault="00177FE5" w:rsidP="007E6D46">
      <w:pPr>
        <w:pStyle w:val="ListNormal"/>
        <w:numPr>
          <w:ilvl w:val="4"/>
          <w:numId w:val="4"/>
        </w:numPr>
      </w:pPr>
      <w:r>
        <w:t>the</w:t>
      </w:r>
      <w:r w:rsidR="00B62A7E">
        <w:t xml:space="preserve"> </w:t>
      </w:r>
      <w:r w:rsidR="00E25416">
        <w:t xml:space="preserve">project cost; and </w:t>
      </w:r>
    </w:p>
    <w:p w14:paraId="38221726" w14:textId="3C7E64C7" w:rsidR="00F44816" w:rsidRPr="00F44816" w:rsidRDefault="00F44816" w:rsidP="007E6D46">
      <w:pPr>
        <w:pStyle w:val="ListNormal"/>
        <w:numPr>
          <w:ilvl w:val="4"/>
          <w:numId w:val="8"/>
        </w:numPr>
      </w:pPr>
      <w:r>
        <w:t>t</w:t>
      </w:r>
      <w:r w:rsidRPr="00F44816">
        <w:t>he project delivery plan, including key milestones and completion dates.</w:t>
      </w:r>
    </w:p>
    <w:p w14:paraId="0EDEE081" w14:textId="0C5621F0" w:rsidR="00F44816" w:rsidRDefault="00F44816" w:rsidP="003C19B3">
      <w:pPr>
        <w:pStyle w:val="Heading3"/>
      </w:pPr>
      <w:r>
        <w:t>Requirement to submit a Net Zero Fund evaluation report</w:t>
      </w:r>
    </w:p>
    <w:p w14:paraId="17576439" w14:textId="77777777" w:rsidR="00F44816" w:rsidRPr="00F44816" w:rsidRDefault="00F44816" w:rsidP="00795557">
      <w:pPr>
        <w:pStyle w:val="NumberedNormal"/>
      </w:pPr>
      <w:r>
        <w:t xml:space="preserve">The </w:t>
      </w:r>
      <w:r w:rsidRPr="00F44816">
        <w:t>licensee must submit to the Authority:</w:t>
      </w:r>
    </w:p>
    <w:p w14:paraId="0EAC8A65" w14:textId="77777777" w:rsidR="00F44816" w:rsidRPr="00F44816" w:rsidRDefault="00F44816" w:rsidP="00795557">
      <w:pPr>
        <w:pStyle w:val="ListNormal"/>
      </w:pPr>
      <w:r>
        <w:t>a</w:t>
      </w:r>
      <w:r w:rsidRPr="00F44816">
        <w:t xml:space="preserve">n interim Net Zero Fund evaluation report by [31 March 2025]; and </w:t>
      </w:r>
    </w:p>
    <w:p w14:paraId="0C45F433" w14:textId="77777777" w:rsidR="00F44816" w:rsidRPr="00F44816" w:rsidRDefault="00F44816" w:rsidP="00795557">
      <w:pPr>
        <w:pStyle w:val="ListNormal"/>
      </w:pPr>
      <w:r>
        <w:t xml:space="preserve">a final Net Zero Fund </w:t>
      </w:r>
      <w:r w:rsidRPr="00F44816">
        <w:t>evaluation report by [30 June 2026].</w:t>
      </w:r>
    </w:p>
    <w:p w14:paraId="72B60225" w14:textId="62696DBE" w:rsidR="00F44816" w:rsidRPr="00F44816" w:rsidRDefault="00F44816" w:rsidP="00795557">
      <w:pPr>
        <w:pStyle w:val="NumberedNormal"/>
      </w:pPr>
      <w:r>
        <w:t>The</w:t>
      </w:r>
      <w:r w:rsidRPr="00F44816">
        <w:t xml:space="preserve"> evaluation reports must include: </w:t>
      </w:r>
    </w:p>
    <w:p w14:paraId="65D13C10" w14:textId="77777777" w:rsidR="00B62A7E" w:rsidRDefault="00F44816" w:rsidP="00795557">
      <w:pPr>
        <w:pStyle w:val="ListNormal"/>
      </w:pPr>
      <w:r>
        <w:t xml:space="preserve">for each Net Zero Fund </w:t>
      </w:r>
      <w:r w:rsidRPr="00F44816">
        <w:t>project</w:t>
      </w:r>
      <w:r w:rsidR="00B62A7E">
        <w:t>:</w:t>
      </w:r>
    </w:p>
    <w:p w14:paraId="3DC068D0" w14:textId="2E74D12F" w:rsidR="00B62A7E" w:rsidRDefault="00F44816" w:rsidP="00B62A7E">
      <w:pPr>
        <w:pStyle w:val="ListNormal"/>
        <w:numPr>
          <w:ilvl w:val="4"/>
          <w:numId w:val="8"/>
        </w:numPr>
      </w:pPr>
      <w:r w:rsidRPr="00F44816">
        <w:t xml:space="preserve">a breakdown of project </w:t>
      </w:r>
      <w:proofErr w:type="gramStart"/>
      <w:r w:rsidRPr="00F44816">
        <w:t>expenditure</w:t>
      </w:r>
      <w:r w:rsidR="00B62A7E">
        <w:t>;</w:t>
      </w:r>
      <w:proofErr w:type="gramEnd"/>
    </w:p>
    <w:p w14:paraId="30D9EFCE" w14:textId="6D49AB02" w:rsidR="00B62A7E" w:rsidRDefault="00F44816" w:rsidP="00B62A7E">
      <w:pPr>
        <w:pStyle w:val="ListNormal"/>
        <w:numPr>
          <w:ilvl w:val="4"/>
          <w:numId w:val="8"/>
        </w:numPr>
      </w:pPr>
      <w:r w:rsidRPr="00F44816">
        <w:t>a summary of the progress made against its delivery plan</w:t>
      </w:r>
      <w:r w:rsidR="00B62A7E">
        <w:t>;</w:t>
      </w:r>
      <w:r w:rsidRPr="00F44816">
        <w:t xml:space="preserve"> and </w:t>
      </w:r>
    </w:p>
    <w:p w14:paraId="4B7D396E" w14:textId="49B49C38" w:rsidR="00F44816" w:rsidRPr="00F44816" w:rsidRDefault="00F44816" w:rsidP="00AB1D80">
      <w:pPr>
        <w:pStyle w:val="ListNormal"/>
        <w:numPr>
          <w:ilvl w:val="4"/>
          <w:numId w:val="8"/>
        </w:numPr>
      </w:pPr>
      <w:r w:rsidRPr="00F44816">
        <w:t>its impact relative to its objectives and expected benefits; and</w:t>
      </w:r>
    </w:p>
    <w:p w14:paraId="1E1111B2" w14:textId="3E325AA9" w:rsidR="00F44816" w:rsidRPr="00F44816" w:rsidRDefault="00F44816" w:rsidP="00795557">
      <w:pPr>
        <w:pStyle w:val="ListNormal"/>
      </w:pPr>
      <w:r>
        <w:t>an assessment of t</w:t>
      </w:r>
      <w:r w:rsidRPr="00F44816">
        <w:t>he overall impact of the Net Zero Fund, including:</w:t>
      </w:r>
    </w:p>
    <w:p w14:paraId="0FE0A040" w14:textId="4D7141F2" w:rsidR="00F44816" w:rsidRPr="00F44816" w:rsidRDefault="00F44816" w:rsidP="007E6D46">
      <w:pPr>
        <w:pStyle w:val="ListNormal"/>
        <w:numPr>
          <w:ilvl w:val="4"/>
          <w:numId w:val="8"/>
        </w:numPr>
      </w:pPr>
      <w:r>
        <w:t>a</w:t>
      </w:r>
      <w:r w:rsidRPr="00F44816">
        <w:t xml:space="preserve"> cost benefit analysis; and </w:t>
      </w:r>
    </w:p>
    <w:p w14:paraId="37706EC6" w14:textId="627DA026" w:rsidR="00F44816" w:rsidRPr="00F44816" w:rsidRDefault="00F44816" w:rsidP="007E6D46">
      <w:pPr>
        <w:pStyle w:val="ListNormal"/>
        <w:numPr>
          <w:ilvl w:val="4"/>
          <w:numId w:val="8"/>
        </w:numPr>
      </w:pPr>
      <w:r>
        <w:t xml:space="preserve">a summary of key </w:t>
      </w:r>
      <w:r w:rsidRPr="00F44816">
        <w:t xml:space="preserve">learnings the licensee has identified for supporting vulnerable communities in the Net Zero transition. </w:t>
      </w:r>
    </w:p>
    <w:p w14:paraId="6F566C42" w14:textId="6F602D95" w:rsidR="00F44816" w:rsidRPr="004C4DAD" w:rsidRDefault="00F44816" w:rsidP="00795557">
      <w:pPr>
        <w:pStyle w:val="Heading3"/>
      </w:pPr>
      <w:r>
        <w:t>Assessment of the Net Zero Fund Price Control Deliverable</w:t>
      </w:r>
      <w:r w:rsidR="00B62A7E">
        <w:t xml:space="preserve"> (</w:t>
      </w:r>
      <w:proofErr w:type="spellStart"/>
      <w:r w:rsidR="00B62A7E">
        <w:t>NZFRt</w:t>
      </w:r>
      <w:proofErr w:type="spellEnd"/>
      <w:r w:rsidR="00B62A7E">
        <w:t>)</w:t>
      </w:r>
    </w:p>
    <w:p w14:paraId="61840102" w14:textId="1CEEAD76" w:rsidR="00F44816" w:rsidRPr="00F44816" w:rsidRDefault="00F44816" w:rsidP="00795557">
      <w:pPr>
        <w:pStyle w:val="NumberedNormal"/>
      </w:pPr>
      <w:r>
        <w:t>The Authority will assess the</w:t>
      </w:r>
      <w:r w:rsidRPr="00F44816">
        <w:t xml:space="preserve"> Net Zero Fund Price Control Deliverable </w:t>
      </w:r>
      <w:r w:rsidR="00B62A7E">
        <w:t>after the Price Control Period</w:t>
      </w:r>
      <w:r w:rsidRPr="00F44816">
        <w:t xml:space="preserve">. </w:t>
      </w:r>
    </w:p>
    <w:p w14:paraId="20278C42" w14:textId="2B65B939" w:rsidR="00F44816" w:rsidRPr="00F44816" w:rsidRDefault="00F44816" w:rsidP="00795557">
      <w:pPr>
        <w:pStyle w:val="NumberedNormal"/>
      </w:pPr>
      <w:r>
        <w:t>T</w:t>
      </w:r>
      <w:r w:rsidRPr="00F44816">
        <w:t xml:space="preserve">he Authority will direct a </w:t>
      </w:r>
      <w:r w:rsidR="00F81702">
        <w:t>value for</w:t>
      </w:r>
      <w:r w:rsidRPr="00F44816">
        <w:t xml:space="preserve"> of </w:t>
      </w:r>
      <w:proofErr w:type="spellStart"/>
      <w:r w:rsidRPr="00F44816">
        <w:t>NZFRt</w:t>
      </w:r>
      <w:proofErr w:type="spellEnd"/>
      <w:r w:rsidRPr="00F44816">
        <w:t xml:space="preserve">, following the assessment in </w:t>
      </w:r>
      <w:r w:rsidR="00E25416">
        <w:t>3.</w:t>
      </w:r>
      <w:r w:rsidR="00177FE5">
        <w:t>16</w:t>
      </w:r>
      <w:r w:rsidR="00E25416">
        <w:t>.12</w:t>
      </w:r>
      <w:r w:rsidRPr="00F44816">
        <w:t>, where it considers that:</w:t>
      </w:r>
    </w:p>
    <w:p w14:paraId="283C9459" w14:textId="0B815340" w:rsidR="00F44816" w:rsidRPr="00F44816" w:rsidRDefault="00F44816" w:rsidP="00795557">
      <w:pPr>
        <w:pStyle w:val="ListNormal"/>
      </w:pPr>
      <w:r>
        <w:lastRenderedPageBreak/>
        <w:t xml:space="preserve">the licensee </w:t>
      </w:r>
      <w:r w:rsidRPr="00F44816">
        <w:t xml:space="preserve">has not Fully Delivered one or more Net Zero Fund </w:t>
      </w:r>
      <w:proofErr w:type="gramStart"/>
      <w:r w:rsidRPr="00F44816">
        <w:t>projects;</w:t>
      </w:r>
      <w:proofErr w:type="gramEnd"/>
      <w:r w:rsidRPr="00F44816">
        <w:t xml:space="preserve"> or</w:t>
      </w:r>
    </w:p>
    <w:p w14:paraId="10D36CF5" w14:textId="7B636762" w:rsidR="00F44816" w:rsidRDefault="00F44816" w:rsidP="00F44816">
      <w:pPr>
        <w:pStyle w:val="ListNormal"/>
      </w:pPr>
      <w:r>
        <w:t>a</w:t>
      </w:r>
      <w:r w:rsidRPr="00F44816">
        <w:t xml:space="preserve"> Use It </w:t>
      </w:r>
      <w:proofErr w:type="gramStart"/>
      <w:r w:rsidRPr="00F44816">
        <w:t>Or</w:t>
      </w:r>
      <w:proofErr w:type="gramEnd"/>
      <w:r w:rsidRPr="00F44816">
        <w:t xml:space="preserve"> Lose It Adjustment is appropriate.</w:t>
      </w:r>
    </w:p>
    <w:p w14:paraId="1A07A5E2" w14:textId="16160C73" w:rsidR="00F44816" w:rsidRDefault="00F44816" w:rsidP="00795557">
      <w:pPr>
        <w:pStyle w:val="Heading3"/>
      </w:pPr>
      <w:r>
        <w:t>What process will the Authority follow in making a direction?</w:t>
      </w:r>
    </w:p>
    <w:p w14:paraId="32738F64" w14:textId="787F9353" w:rsidR="00F44816" w:rsidRPr="00F44816" w:rsidRDefault="00F44816" w:rsidP="009419F2">
      <w:pPr>
        <w:pStyle w:val="NumberedNormal"/>
      </w:pPr>
      <w:r>
        <w:t>Before mak</w:t>
      </w:r>
      <w:r w:rsidRPr="00F44816">
        <w:t xml:space="preserve">ing a direction under paragraph </w:t>
      </w:r>
      <w:r w:rsidR="00E25416">
        <w:t>3.</w:t>
      </w:r>
      <w:r w:rsidR="00177FE5">
        <w:t>16</w:t>
      </w:r>
      <w:r w:rsidR="00E25416">
        <w:t>.</w:t>
      </w:r>
      <w:r w:rsidRPr="00F44816">
        <w:t>13, the Authority will publish on the Authority's Website:</w:t>
      </w:r>
    </w:p>
    <w:p w14:paraId="1650C353" w14:textId="77777777" w:rsidR="00F44816" w:rsidRPr="00F44816" w:rsidRDefault="00F44816" w:rsidP="009419F2">
      <w:pPr>
        <w:pStyle w:val="ListNormal"/>
      </w:pPr>
      <w:r>
        <w:t>t</w:t>
      </w:r>
      <w:r w:rsidRPr="00F44816">
        <w:t xml:space="preserve">he text of the proposed </w:t>
      </w:r>
      <w:proofErr w:type="gramStart"/>
      <w:r w:rsidRPr="00F44816">
        <w:t>direction;</w:t>
      </w:r>
      <w:proofErr w:type="gramEnd"/>
    </w:p>
    <w:p w14:paraId="33621262" w14:textId="77777777" w:rsidR="00F44816" w:rsidRPr="00F44816" w:rsidRDefault="00F44816" w:rsidP="009419F2">
      <w:pPr>
        <w:pStyle w:val="ListNormal"/>
      </w:pPr>
      <w:r>
        <w:t>t</w:t>
      </w:r>
      <w:r w:rsidRPr="00F44816">
        <w:t>he reasons for the proposed direction; and</w:t>
      </w:r>
    </w:p>
    <w:p w14:paraId="0EFD9259" w14:textId="77777777" w:rsidR="00B62A7E" w:rsidRPr="00B62A7E" w:rsidRDefault="00B62A7E" w:rsidP="00B62A7E">
      <w:pPr>
        <w:pStyle w:val="ListNormal"/>
        <w:tabs>
          <w:tab w:val="num" w:pos="879"/>
        </w:tabs>
      </w:pPr>
      <w:r w:rsidRPr="00B62A7E">
        <w:t>a period during which representations may be made on the proposed direction, which will not be less than 28 days.</w:t>
      </w:r>
    </w:p>
    <w:p w14:paraId="341B51A0" w14:textId="29519181" w:rsidR="00F44816" w:rsidRPr="00F44816" w:rsidRDefault="00F44816" w:rsidP="009419F2">
      <w:pPr>
        <w:pStyle w:val="NumberedNormal"/>
      </w:pPr>
      <w:r>
        <w:t xml:space="preserve">The direction will set out </w:t>
      </w:r>
      <w:r w:rsidRPr="00F44816">
        <w:t xml:space="preserve">the value of the </w:t>
      </w:r>
      <w:proofErr w:type="spellStart"/>
      <w:r w:rsidRPr="00F44816">
        <w:t>NZFRt</w:t>
      </w:r>
      <w:proofErr w:type="spellEnd"/>
      <w:r w:rsidRPr="00F44816">
        <w:t xml:space="preserve"> term and the Regulatory Years to which those adjustments relate.</w:t>
      </w:r>
      <w:r w:rsidR="00177FE5">
        <w:t xml:space="preserve">      </w:t>
      </w:r>
    </w:p>
    <w:p w14:paraId="17DC58A4" w14:textId="31F61572" w:rsidR="00F44816" w:rsidRDefault="00F44816" w:rsidP="00F44816">
      <w:pPr>
        <w:pStyle w:val="Heading2"/>
      </w:pPr>
      <w:bookmarkStart w:id="102" w:name="_Toc51319617"/>
      <w:bookmarkStart w:id="103" w:name="_Toc51798286"/>
      <w:bookmarkStart w:id="104" w:name="_Toc52364900"/>
      <w:r>
        <w:t>Net Zero Carbon Capital Construction Price Control Deliverable</w:t>
      </w:r>
      <w:bookmarkEnd w:id="102"/>
      <w:r w:rsidR="00EE0D88">
        <w:t xml:space="preserve"> (NZ3Ct)</w:t>
      </w:r>
      <w:bookmarkEnd w:id="103"/>
      <w:bookmarkEnd w:id="104"/>
    </w:p>
    <w:p w14:paraId="7B414E90" w14:textId="77777777" w:rsidR="00F44816" w:rsidRPr="0057526A" w:rsidRDefault="00F44816" w:rsidP="009419F2">
      <w:pPr>
        <w:pStyle w:val="Heading3nonumbering"/>
      </w:pPr>
      <w:r w:rsidRPr="0057526A">
        <w:t xml:space="preserve">Introduction </w:t>
      </w:r>
    </w:p>
    <w:p w14:paraId="136FD2FE" w14:textId="1F3CC51D" w:rsidR="00F44816" w:rsidRPr="00F44816" w:rsidRDefault="00F44816" w:rsidP="009419F2">
      <w:pPr>
        <w:pStyle w:val="NumberedNormal"/>
      </w:pPr>
      <w:r w:rsidRPr="00BE7CEB">
        <w:t>Th</w:t>
      </w:r>
      <w:r w:rsidRPr="00F44816">
        <w:t xml:space="preserve">e purpose of this condition is to calculate the term NZ3Ct (the Net Zero Carbon Capital Construction Price Control Deliverable term). </w:t>
      </w:r>
      <w:r w:rsidR="00EE0D88">
        <w:t>This contributes to the calculation of the Totex Allowance.</w:t>
      </w:r>
    </w:p>
    <w:p w14:paraId="43FE044F" w14:textId="77777777" w:rsidR="00F44816" w:rsidRPr="00F44816" w:rsidRDefault="00F44816" w:rsidP="009419F2">
      <w:pPr>
        <w:pStyle w:val="NumberedNormal"/>
      </w:pPr>
      <w:r>
        <w:t>The effect of this condition is to:</w:t>
      </w:r>
    </w:p>
    <w:p w14:paraId="02F820B9" w14:textId="77777777" w:rsidR="00F44816" w:rsidRPr="00F44816" w:rsidRDefault="00F44816" w:rsidP="009419F2">
      <w:pPr>
        <w:pStyle w:val="ListNormal"/>
      </w:pPr>
      <w:r>
        <w:t xml:space="preserve">specify the associated allowance for the </w:t>
      </w:r>
      <w:r w:rsidRPr="00F44816">
        <w:t xml:space="preserve">Net Zero Carbon Capital Construction Price Control </w:t>
      </w:r>
      <w:proofErr w:type="gramStart"/>
      <w:r w:rsidRPr="00F44816">
        <w:t>Deliverable;</w:t>
      </w:r>
      <w:proofErr w:type="gramEnd"/>
    </w:p>
    <w:p w14:paraId="040BFA67" w14:textId="77777777" w:rsidR="00F44816" w:rsidRPr="00F44816" w:rsidRDefault="00F44816" w:rsidP="009419F2">
      <w:pPr>
        <w:pStyle w:val="ListNormal"/>
      </w:pPr>
      <w:r>
        <w:t xml:space="preserve">require the licensee to submit a Net Zero Capital Construction evaluation report at the end of the Price Control </w:t>
      </w:r>
      <w:proofErr w:type="gramStart"/>
      <w:r>
        <w:t>Period;</w:t>
      </w:r>
      <w:proofErr w:type="gramEnd"/>
      <w:r>
        <w:t xml:space="preserve"> and</w:t>
      </w:r>
    </w:p>
    <w:p w14:paraId="5A9206CD" w14:textId="5D205A73" w:rsidR="00F44816" w:rsidRPr="00F44816" w:rsidRDefault="00F44816" w:rsidP="009419F2">
      <w:pPr>
        <w:pStyle w:val="ListNormal"/>
      </w:pPr>
      <w:r>
        <w:t xml:space="preserve">provide for </w:t>
      </w:r>
      <w:r w:rsidRPr="00F44816">
        <w:t xml:space="preserve">a Use It </w:t>
      </w:r>
      <w:proofErr w:type="gramStart"/>
      <w:r w:rsidRPr="00F44816">
        <w:t>Or</w:t>
      </w:r>
      <w:proofErr w:type="gramEnd"/>
      <w:r w:rsidRPr="00F44816">
        <w:t xml:space="preserve"> Lose It Adjustment</w:t>
      </w:r>
    </w:p>
    <w:p w14:paraId="2F1BDEF3" w14:textId="7FB36FAB" w:rsidR="00F44816" w:rsidRPr="00F44816" w:rsidRDefault="00F44816" w:rsidP="009419F2">
      <w:pPr>
        <w:pStyle w:val="NumberedNormal"/>
      </w:pPr>
      <w:r>
        <w:t xml:space="preserve">This condition also explains the process the Authority will follow when </w:t>
      </w:r>
      <w:r w:rsidR="00D61A22">
        <w:t>assessing the Price Control Deliverable</w:t>
      </w:r>
      <w:r w:rsidRPr="00F44816">
        <w:t>.</w:t>
      </w:r>
    </w:p>
    <w:p w14:paraId="5B44DDD4" w14:textId="625DCB5C" w:rsidR="00F44816" w:rsidRDefault="00F44816" w:rsidP="009419F2">
      <w:pPr>
        <w:pStyle w:val="Heading3"/>
      </w:pPr>
      <w:r>
        <w:t>Formula for calculating the Net Zero Carbon Capital Construction Price Control Deliverable term</w:t>
      </w:r>
      <w:r w:rsidR="00081786">
        <w:t xml:space="preserve"> (NZ3Ct)</w:t>
      </w:r>
    </w:p>
    <w:p w14:paraId="7BFEE7C7" w14:textId="77777777" w:rsidR="00F44816" w:rsidRPr="00F44816" w:rsidRDefault="00F44816" w:rsidP="009419F2">
      <w:pPr>
        <w:pStyle w:val="NumberedNormal"/>
      </w:pPr>
      <w:r>
        <w:t>The value of NZ3Ct is derived in accordance with the following formula:</w:t>
      </w:r>
    </w:p>
    <w:p w14:paraId="7D0EAE5B" w14:textId="77777777" w:rsidR="00F44816" w:rsidRPr="00F44816" w:rsidRDefault="00F44816" w:rsidP="003F66DB">
      <w:pPr>
        <w:pStyle w:val="Equation"/>
        <w:ind w:left="720"/>
      </w:pPr>
      <w:r>
        <w:t>NZ3Ct = NZ3</w:t>
      </w:r>
      <w:r w:rsidRPr="00F44816">
        <w:t>CAt – NZ3CRt</w:t>
      </w:r>
    </w:p>
    <w:p w14:paraId="3743DD02" w14:textId="3D3AD2A2" w:rsidR="00F44816" w:rsidRPr="00F44816" w:rsidRDefault="00081786" w:rsidP="003F66DB">
      <w:pPr>
        <w:ind w:left="720"/>
      </w:pPr>
      <w:r>
        <w:t>w</w:t>
      </w:r>
      <w:r w:rsidR="00F44816">
        <w:t>here:</w:t>
      </w:r>
    </w:p>
    <w:tbl>
      <w:tblPr>
        <w:tblW w:w="8792" w:type="dxa"/>
        <w:tblInd w:w="720" w:type="dxa"/>
        <w:tblCellMar>
          <w:left w:w="88" w:type="dxa"/>
          <w:right w:w="88" w:type="dxa"/>
        </w:tblCellMar>
        <w:tblLook w:val="04A0" w:firstRow="1" w:lastRow="0" w:firstColumn="1" w:lastColumn="0" w:noHBand="0" w:noVBand="1"/>
      </w:tblPr>
      <w:tblGrid>
        <w:gridCol w:w="1276"/>
        <w:gridCol w:w="7516"/>
      </w:tblGrid>
      <w:tr w:rsidR="00F44816" w:rsidRPr="00002DD9" w14:paraId="6BB9040C" w14:textId="77777777" w:rsidTr="003F66DB">
        <w:trPr>
          <w:trHeight w:val="372"/>
        </w:trPr>
        <w:tc>
          <w:tcPr>
            <w:tcW w:w="1276" w:type="dxa"/>
          </w:tcPr>
          <w:p w14:paraId="41826A9F" w14:textId="77777777" w:rsidR="00F44816" w:rsidRPr="00F44816" w:rsidRDefault="00F44816" w:rsidP="00F44816">
            <w:r w:rsidRPr="00F44816">
              <w:t>NZ3CAt</w:t>
            </w:r>
          </w:p>
        </w:tc>
        <w:tc>
          <w:tcPr>
            <w:tcW w:w="7516" w:type="dxa"/>
          </w:tcPr>
          <w:p w14:paraId="35A3E5F0" w14:textId="5ED5C49C" w:rsidR="00F44816" w:rsidRPr="00F44816" w:rsidRDefault="00F44816" w:rsidP="00F44816">
            <w:r w:rsidRPr="00F44816">
              <w:t xml:space="preserve">means the </w:t>
            </w:r>
            <w:r w:rsidR="00081786">
              <w:t xml:space="preserve">sum of </w:t>
            </w:r>
            <w:r w:rsidRPr="00F44816">
              <w:t>allowance</w:t>
            </w:r>
            <w:r w:rsidR="00081786">
              <w:t>s</w:t>
            </w:r>
            <w:r w:rsidRPr="00F44816">
              <w:t xml:space="preserve"> in Appendix 1</w:t>
            </w:r>
            <w:r w:rsidR="00177FE5">
              <w:t>; and</w:t>
            </w:r>
          </w:p>
        </w:tc>
      </w:tr>
      <w:tr w:rsidR="00F44816" w:rsidRPr="00002DD9" w14:paraId="0FCCE845" w14:textId="77777777" w:rsidTr="003F66DB">
        <w:trPr>
          <w:trHeight w:val="372"/>
        </w:trPr>
        <w:tc>
          <w:tcPr>
            <w:tcW w:w="1276" w:type="dxa"/>
          </w:tcPr>
          <w:p w14:paraId="33DD34B9" w14:textId="77777777" w:rsidR="00F44816" w:rsidRPr="00F44816" w:rsidRDefault="00F44816" w:rsidP="00F44816">
            <w:r w:rsidRPr="00F44816">
              <w:t>NZ3CRt</w:t>
            </w:r>
            <w:r w:rsidRPr="00F44816">
              <w:tab/>
            </w:r>
          </w:p>
        </w:tc>
        <w:tc>
          <w:tcPr>
            <w:tcW w:w="7516" w:type="dxa"/>
          </w:tcPr>
          <w:p w14:paraId="53341315" w14:textId="48529F7E" w:rsidR="00F44816" w:rsidRPr="00F44816" w:rsidRDefault="00081786" w:rsidP="00F44816">
            <w:r w:rsidRPr="00614C21">
              <w:t>has the value of zero unless otherwise directed by the Authority in accordance with Part D.</w:t>
            </w:r>
          </w:p>
        </w:tc>
      </w:tr>
    </w:tbl>
    <w:p w14:paraId="42F75829" w14:textId="215568BD" w:rsidR="00F44816" w:rsidRDefault="00F44816" w:rsidP="003505A3">
      <w:pPr>
        <w:pStyle w:val="Heading3"/>
      </w:pPr>
      <w:r>
        <w:lastRenderedPageBreak/>
        <w:t>Requirement to submit a Net Zero Carbon Capital Construction evaluation report</w:t>
      </w:r>
    </w:p>
    <w:p w14:paraId="25FE0678" w14:textId="6D497A60" w:rsidR="00F44816" w:rsidRPr="00F44816" w:rsidRDefault="00F44816" w:rsidP="003505A3">
      <w:pPr>
        <w:pStyle w:val="NumberedNormal"/>
      </w:pPr>
      <w:r>
        <w:t xml:space="preserve">The licensee must submit to the Authority a Net Zero Carbon Capital Construction evaluation report </w:t>
      </w:r>
      <w:r w:rsidRPr="00F44816">
        <w:t xml:space="preserve">by </w:t>
      </w:r>
      <w:r w:rsidR="00177FE5" w:rsidRPr="00F44816">
        <w:t>31</w:t>
      </w:r>
      <w:r w:rsidR="00177FE5">
        <w:t xml:space="preserve"> </w:t>
      </w:r>
      <w:r w:rsidRPr="00F44816">
        <w:t xml:space="preserve">July 2026. </w:t>
      </w:r>
    </w:p>
    <w:p w14:paraId="1D4B00D0" w14:textId="77777777" w:rsidR="00F44816" w:rsidRPr="00F44816" w:rsidRDefault="00F44816" w:rsidP="003505A3">
      <w:pPr>
        <w:pStyle w:val="NumberedNormal"/>
      </w:pPr>
      <w:r>
        <w:t>The report must include:</w:t>
      </w:r>
    </w:p>
    <w:p w14:paraId="616AEF85" w14:textId="77777777" w:rsidR="00F44816" w:rsidRPr="00F44816" w:rsidRDefault="00F44816" w:rsidP="003505A3">
      <w:pPr>
        <w:pStyle w:val="ListNormal"/>
      </w:pPr>
      <w:r>
        <w:t>a</w:t>
      </w:r>
      <w:r w:rsidRPr="00F44816">
        <w:t xml:space="preserve"> list and description of the projects undertaken by the licensee to offset carbon emissions created by Capital </w:t>
      </w:r>
      <w:proofErr w:type="gramStart"/>
      <w:r w:rsidRPr="00F44816">
        <w:t>Construction;</w:t>
      </w:r>
      <w:proofErr w:type="gramEnd"/>
    </w:p>
    <w:p w14:paraId="34F6632D" w14:textId="77777777" w:rsidR="00081786" w:rsidRDefault="00F44816" w:rsidP="003505A3">
      <w:pPr>
        <w:pStyle w:val="ListNormal"/>
      </w:pPr>
      <w:r>
        <w:t>t</w:t>
      </w:r>
      <w:r w:rsidRPr="00F44816">
        <w:t xml:space="preserve">he cost of each </w:t>
      </w:r>
      <w:proofErr w:type="gramStart"/>
      <w:r w:rsidRPr="00F44816">
        <w:t>project</w:t>
      </w:r>
      <w:r w:rsidR="00081786">
        <w:t>;</w:t>
      </w:r>
      <w:proofErr w:type="gramEnd"/>
    </w:p>
    <w:p w14:paraId="5E73B7DA" w14:textId="24BD83EF" w:rsidR="00F44816" w:rsidRPr="00F44816" w:rsidRDefault="00F44816" w:rsidP="003505A3">
      <w:pPr>
        <w:pStyle w:val="ListNormal"/>
      </w:pPr>
      <w:r w:rsidRPr="00F44816">
        <w:t>any evidence that the costs were efficiently incurred; and</w:t>
      </w:r>
    </w:p>
    <w:p w14:paraId="18610DAD" w14:textId="77777777" w:rsidR="00F44816" w:rsidRPr="00F44816" w:rsidRDefault="00F44816" w:rsidP="003505A3">
      <w:pPr>
        <w:pStyle w:val="ListNormal"/>
      </w:pPr>
      <w:r>
        <w:t>t</w:t>
      </w:r>
      <w:r w:rsidRPr="00F44816">
        <w:t>he emissions each project has offset in terms of T/CO2e.</w:t>
      </w:r>
    </w:p>
    <w:p w14:paraId="5E565367" w14:textId="649FEAAF" w:rsidR="00F44816" w:rsidRDefault="00F44816" w:rsidP="003505A3">
      <w:pPr>
        <w:pStyle w:val="Heading3"/>
      </w:pPr>
      <w:r>
        <w:t>Assessment of the Net Zero Carbon Capital Construction evaluation report</w:t>
      </w:r>
    </w:p>
    <w:p w14:paraId="30CA810B" w14:textId="32C13D62" w:rsidR="00F44816" w:rsidRPr="00F44816" w:rsidRDefault="00081786" w:rsidP="003505A3">
      <w:pPr>
        <w:pStyle w:val="NumberedNormal"/>
      </w:pPr>
      <w:r>
        <w:t>T</w:t>
      </w:r>
      <w:r w:rsidR="00F44816">
        <w:t>he Authority will direct a</w:t>
      </w:r>
      <w:r w:rsidR="00F44816" w:rsidRPr="00F44816">
        <w:t xml:space="preserve">n amendment to the value of NZ3CRt where it considers that a Use It </w:t>
      </w:r>
      <w:proofErr w:type="gramStart"/>
      <w:r w:rsidR="00F44816" w:rsidRPr="00F44816">
        <w:t>Or</w:t>
      </w:r>
      <w:proofErr w:type="gramEnd"/>
      <w:r w:rsidR="00F44816" w:rsidRPr="00F44816">
        <w:t xml:space="preserve"> Lose It Adjustment is appropriate.</w:t>
      </w:r>
    </w:p>
    <w:p w14:paraId="63C548AD" w14:textId="3046B522" w:rsidR="00F44816" w:rsidRDefault="00F44816" w:rsidP="003505A3">
      <w:pPr>
        <w:pStyle w:val="Heading3"/>
      </w:pPr>
      <w:r w:rsidRPr="0032209D">
        <w:t>Authority</w:t>
      </w:r>
      <w:r>
        <w:t>'s</w:t>
      </w:r>
      <w:r w:rsidRPr="0032209D">
        <w:t xml:space="preserve"> </w:t>
      </w:r>
      <w:r w:rsidRPr="008A34DA">
        <w:t>direction</w:t>
      </w:r>
      <w:r>
        <w:t xml:space="preserve"> process</w:t>
      </w:r>
    </w:p>
    <w:p w14:paraId="22821234" w14:textId="36E89442" w:rsidR="00F44816" w:rsidRPr="00F44816" w:rsidRDefault="00F44816" w:rsidP="003505A3">
      <w:pPr>
        <w:pStyle w:val="NumberedNormal"/>
      </w:pPr>
      <w:r>
        <w:t xml:space="preserve">Before making a direction under paragraph </w:t>
      </w:r>
      <w:r w:rsidR="00177FE5">
        <w:t>3.17.7</w:t>
      </w:r>
      <w:r w:rsidRPr="00F44816">
        <w:t>, the Authority will publish on the Authority's Website:</w:t>
      </w:r>
    </w:p>
    <w:p w14:paraId="73012A4E" w14:textId="77777777" w:rsidR="00F44816" w:rsidRPr="00F44816" w:rsidRDefault="00F44816" w:rsidP="003505A3">
      <w:pPr>
        <w:pStyle w:val="ListNormal"/>
      </w:pPr>
      <w:r>
        <w:t xml:space="preserve">the text of the proposed </w:t>
      </w:r>
      <w:proofErr w:type="gramStart"/>
      <w:r>
        <w:t>direction;</w:t>
      </w:r>
      <w:proofErr w:type="gramEnd"/>
    </w:p>
    <w:p w14:paraId="0EC0F53D" w14:textId="77777777" w:rsidR="00F44816" w:rsidRPr="00F44816" w:rsidRDefault="00F44816" w:rsidP="003505A3">
      <w:pPr>
        <w:pStyle w:val="ListNormal"/>
      </w:pPr>
      <w:r>
        <w:t>the reasons for the proposed direction; and</w:t>
      </w:r>
    </w:p>
    <w:p w14:paraId="62B82C13" w14:textId="77777777" w:rsidR="00081786" w:rsidRPr="00081786" w:rsidRDefault="00081786" w:rsidP="00081786">
      <w:pPr>
        <w:pStyle w:val="ListNormal"/>
        <w:tabs>
          <w:tab w:val="num" w:pos="879"/>
        </w:tabs>
      </w:pPr>
      <w:r w:rsidRPr="00081786">
        <w:t>a period during which representations may be made on the proposed direction, which will not be less than 28 days.</w:t>
      </w:r>
    </w:p>
    <w:p w14:paraId="7252A47F" w14:textId="0875C5DF" w:rsidR="00E86CCA" w:rsidRDefault="00F44816" w:rsidP="00556E83">
      <w:pPr>
        <w:pStyle w:val="NumberedNormal"/>
      </w:pPr>
      <w:r>
        <w:t xml:space="preserve">The direction will set out </w:t>
      </w:r>
      <w:r w:rsidRPr="00F44816">
        <w:t>the value of the NZ3CRt term</w:t>
      </w:r>
      <w:r w:rsidR="00E86CCA">
        <w:t xml:space="preserve"> </w:t>
      </w:r>
      <w:r w:rsidRPr="00F44816">
        <w:t>and the Regulatory Years to which those adjustments relate.</w:t>
      </w:r>
      <w:r w:rsidR="00177FE5">
        <w:t xml:space="preserve">     </w:t>
      </w:r>
      <w:r w:rsidR="00D12470">
        <w:t xml:space="preserve"> </w:t>
      </w:r>
    </w:p>
    <w:p w14:paraId="689B3353" w14:textId="77777777" w:rsidR="00E86CCA" w:rsidRDefault="00E86CCA" w:rsidP="00E86CCA">
      <w:pPr>
        <w:pStyle w:val="AppendixHeading"/>
      </w:pPr>
    </w:p>
    <w:p w14:paraId="3954A0A5" w14:textId="06874175" w:rsidR="00390C1E" w:rsidRDefault="00390C1E" w:rsidP="00BE37CC">
      <w:pPr>
        <w:pStyle w:val="Caption"/>
      </w:pPr>
      <w:r w:rsidRPr="00390C1E">
        <w:t xml:space="preserve"> </w:t>
      </w:r>
      <w:r>
        <w:t>NGET Net Zero Carbon Capital Construction allowance</w:t>
      </w:r>
      <w:r>
        <w:rPr>
          <w:szCs w:val="26"/>
        </w:rPr>
        <w:t xml:space="preserve"> (£m, 2018/19 prices</w:t>
      </w:r>
      <w:r w:rsidRPr="009B03B6">
        <w:rPr>
          <w:szCs w:val="26"/>
        </w:rPr>
        <w:t>)</w:t>
      </w:r>
    </w:p>
    <w:tbl>
      <w:tblPr>
        <w:tblStyle w:val="AppendixTable"/>
        <w:tblW w:w="9321" w:type="dxa"/>
        <w:tblLayout w:type="fixed"/>
        <w:tblLook w:val="04A0" w:firstRow="1" w:lastRow="0" w:firstColumn="1" w:lastColumn="0" w:noHBand="0" w:noVBand="1"/>
      </w:tblPr>
      <w:tblGrid>
        <w:gridCol w:w="1331"/>
        <w:gridCol w:w="1331"/>
        <w:gridCol w:w="1331"/>
        <w:gridCol w:w="1332"/>
        <w:gridCol w:w="1332"/>
        <w:gridCol w:w="1332"/>
        <w:gridCol w:w="1332"/>
      </w:tblGrid>
      <w:tr w:rsidR="00390C1E" w:rsidRPr="00DE541A" w14:paraId="0F326FBD" w14:textId="77777777" w:rsidTr="006C703C">
        <w:trPr>
          <w:cnfStyle w:val="100000000000" w:firstRow="1" w:lastRow="0" w:firstColumn="0" w:lastColumn="0" w:oddVBand="0" w:evenVBand="0" w:oddHBand="0" w:evenHBand="0" w:firstRowFirstColumn="0" w:firstRowLastColumn="0" w:lastRowFirstColumn="0" w:lastRowLastColumn="0"/>
          <w:trHeight w:val="317"/>
        </w:trPr>
        <w:tc>
          <w:tcPr>
            <w:tcW w:w="0" w:type="dxa"/>
          </w:tcPr>
          <w:p w14:paraId="7EA3A17F" w14:textId="77777777" w:rsidR="00390C1E" w:rsidRPr="00DE541A" w:rsidRDefault="00390C1E" w:rsidP="00EB71C0">
            <w:pPr>
              <w:pStyle w:val="Normalbold"/>
            </w:pPr>
          </w:p>
        </w:tc>
        <w:tc>
          <w:tcPr>
            <w:tcW w:w="0" w:type="dxa"/>
            <w:gridSpan w:val="6"/>
          </w:tcPr>
          <w:p w14:paraId="667770E2" w14:textId="77777777" w:rsidR="00390C1E" w:rsidRDefault="00390C1E" w:rsidP="00EB71C0">
            <w:pPr>
              <w:pStyle w:val="Normalbold"/>
              <w:jc w:val="center"/>
            </w:pPr>
            <w:r>
              <w:t>Regulatory</w:t>
            </w:r>
            <w:r w:rsidRPr="00DE541A">
              <w:t xml:space="preserve"> Year</w:t>
            </w:r>
          </w:p>
        </w:tc>
      </w:tr>
      <w:tr w:rsidR="00390C1E" w:rsidRPr="00DE541A" w14:paraId="3BF7D5F7" w14:textId="77777777" w:rsidTr="00BE37CC">
        <w:trPr>
          <w:trHeight w:val="305"/>
        </w:trPr>
        <w:tc>
          <w:tcPr>
            <w:tcW w:w="0" w:type="dxa"/>
          </w:tcPr>
          <w:p w14:paraId="1CF54CC6" w14:textId="77777777" w:rsidR="00390C1E" w:rsidRPr="00DE541A" w:rsidRDefault="00390C1E" w:rsidP="00EB71C0">
            <w:pPr>
              <w:pStyle w:val="Normalbold"/>
            </w:pPr>
          </w:p>
        </w:tc>
        <w:tc>
          <w:tcPr>
            <w:tcW w:w="0" w:type="dxa"/>
          </w:tcPr>
          <w:p w14:paraId="098F1ABB" w14:textId="77777777" w:rsidR="00390C1E" w:rsidRPr="00DE541A" w:rsidRDefault="00390C1E" w:rsidP="00EB71C0">
            <w:pPr>
              <w:pStyle w:val="Normalbold"/>
            </w:pPr>
            <w:r>
              <w:t>2021</w:t>
            </w:r>
            <w:r w:rsidRPr="00DE541A">
              <w:t>/</w:t>
            </w:r>
            <w:r>
              <w:t>22</w:t>
            </w:r>
          </w:p>
        </w:tc>
        <w:tc>
          <w:tcPr>
            <w:tcW w:w="0" w:type="dxa"/>
          </w:tcPr>
          <w:p w14:paraId="52012065" w14:textId="77777777" w:rsidR="00390C1E" w:rsidRPr="00DE541A" w:rsidRDefault="00390C1E" w:rsidP="00EB71C0">
            <w:pPr>
              <w:pStyle w:val="Normalbold"/>
            </w:pPr>
            <w:r>
              <w:t>2022</w:t>
            </w:r>
            <w:r w:rsidRPr="00DE541A">
              <w:t>/</w:t>
            </w:r>
            <w:r>
              <w:t>23</w:t>
            </w:r>
          </w:p>
        </w:tc>
        <w:tc>
          <w:tcPr>
            <w:tcW w:w="0" w:type="dxa"/>
          </w:tcPr>
          <w:p w14:paraId="10449FD5" w14:textId="77777777" w:rsidR="00390C1E" w:rsidRPr="00DE541A" w:rsidRDefault="00390C1E" w:rsidP="00EB71C0">
            <w:pPr>
              <w:pStyle w:val="Normalbold"/>
            </w:pPr>
            <w:r>
              <w:t>2023</w:t>
            </w:r>
            <w:r w:rsidRPr="00DE541A">
              <w:t>/</w:t>
            </w:r>
            <w:r>
              <w:t>24</w:t>
            </w:r>
          </w:p>
        </w:tc>
        <w:tc>
          <w:tcPr>
            <w:tcW w:w="0" w:type="dxa"/>
          </w:tcPr>
          <w:p w14:paraId="33B45964" w14:textId="77777777" w:rsidR="00390C1E" w:rsidRPr="00DE541A" w:rsidRDefault="00390C1E" w:rsidP="00EB71C0">
            <w:pPr>
              <w:pStyle w:val="Normalbold"/>
            </w:pPr>
            <w:r>
              <w:t>2024</w:t>
            </w:r>
            <w:r w:rsidRPr="00DE541A">
              <w:t>/</w:t>
            </w:r>
            <w:r>
              <w:t>25</w:t>
            </w:r>
          </w:p>
        </w:tc>
        <w:tc>
          <w:tcPr>
            <w:tcW w:w="0" w:type="dxa"/>
          </w:tcPr>
          <w:p w14:paraId="28D60ED9" w14:textId="77777777" w:rsidR="00390C1E" w:rsidRPr="00DE541A" w:rsidRDefault="00390C1E" w:rsidP="00EB71C0">
            <w:pPr>
              <w:pStyle w:val="Normalbold"/>
            </w:pPr>
            <w:r>
              <w:t>2025/26</w:t>
            </w:r>
          </w:p>
        </w:tc>
        <w:tc>
          <w:tcPr>
            <w:tcW w:w="0" w:type="dxa"/>
          </w:tcPr>
          <w:p w14:paraId="3704532E" w14:textId="77777777" w:rsidR="00390C1E" w:rsidRPr="00AE06C6" w:rsidRDefault="00390C1E" w:rsidP="00EB71C0">
            <w:pPr>
              <w:pStyle w:val="Normalbold"/>
            </w:pPr>
            <w:r>
              <w:t>Total</w:t>
            </w:r>
          </w:p>
        </w:tc>
      </w:tr>
      <w:tr w:rsidR="00390C1E" w:rsidRPr="00D5104D" w14:paraId="642E4405" w14:textId="77777777" w:rsidTr="00BE37CC">
        <w:trPr>
          <w:trHeight w:val="321"/>
        </w:trPr>
        <w:tc>
          <w:tcPr>
            <w:tcW w:w="0" w:type="dxa"/>
          </w:tcPr>
          <w:p w14:paraId="2DD83ECC" w14:textId="232AB34C" w:rsidR="00390C1E" w:rsidRPr="00D5104D" w:rsidRDefault="00D2590F" w:rsidP="00EB71C0">
            <w:r>
              <w:t>NZ3C</w:t>
            </w:r>
            <w:r w:rsidR="00390C1E">
              <w:t>At</w:t>
            </w:r>
          </w:p>
        </w:tc>
        <w:tc>
          <w:tcPr>
            <w:tcW w:w="0" w:type="dxa"/>
          </w:tcPr>
          <w:p w14:paraId="5BEDD852" w14:textId="77777777" w:rsidR="00390C1E" w:rsidRPr="00D5104D" w:rsidRDefault="00390C1E" w:rsidP="00EB71C0">
            <w:r w:rsidRPr="00D5104D">
              <w:t>X</w:t>
            </w:r>
          </w:p>
        </w:tc>
        <w:tc>
          <w:tcPr>
            <w:tcW w:w="0" w:type="dxa"/>
          </w:tcPr>
          <w:p w14:paraId="4E90B52E" w14:textId="77777777" w:rsidR="00390C1E" w:rsidRPr="00D5104D" w:rsidRDefault="00390C1E" w:rsidP="00EB71C0">
            <w:r w:rsidRPr="00D5104D">
              <w:t>X</w:t>
            </w:r>
          </w:p>
        </w:tc>
        <w:tc>
          <w:tcPr>
            <w:tcW w:w="0" w:type="dxa"/>
          </w:tcPr>
          <w:p w14:paraId="20837510" w14:textId="77777777" w:rsidR="00390C1E" w:rsidRPr="00D5104D" w:rsidRDefault="00390C1E" w:rsidP="00EB71C0">
            <w:r w:rsidRPr="00D5104D">
              <w:t>X</w:t>
            </w:r>
          </w:p>
        </w:tc>
        <w:tc>
          <w:tcPr>
            <w:tcW w:w="0" w:type="dxa"/>
          </w:tcPr>
          <w:p w14:paraId="6E2EA7FF" w14:textId="77777777" w:rsidR="00390C1E" w:rsidRPr="00D5104D" w:rsidRDefault="00390C1E" w:rsidP="00EB71C0">
            <w:r>
              <w:t>1.25</w:t>
            </w:r>
          </w:p>
        </w:tc>
        <w:tc>
          <w:tcPr>
            <w:tcW w:w="0" w:type="dxa"/>
          </w:tcPr>
          <w:p w14:paraId="0EEFE2E4" w14:textId="77777777" w:rsidR="00390C1E" w:rsidRPr="00D5104D" w:rsidRDefault="00390C1E" w:rsidP="00EB71C0">
            <w:r>
              <w:t>1.25</w:t>
            </w:r>
          </w:p>
        </w:tc>
        <w:tc>
          <w:tcPr>
            <w:tcW w:w="0" w:type="dxa"/>
          </w:tcPr>
          <w:p w14:paraId="23E0050B" w14:textId="77777777" w:rsidR="00390C1E" w:rsidRPr="00D5104D" w:rsidRDefault="00390C1E" w:rsidP="00EB71C0">
            <w:r>
              <w:t>2.5</w:t>
            </w:r>
          </w:p>
        </w:tc>
      </w:tr>
    </w:tbl>
    <w:p w14:paraId="662953F7" w14:textId="77777777" w:rsidR="009E0A61" w:rsidRDefault="009E0A61" w:rsidP="005938A4">
      <w:pPr>
        <w:pStyle w:val="NumberedNormal"/>
        <w:numPr>
          <w:ilvl w:val="0"/>
          <w:numId w:val="0"/>
        </w:numPr>
        <w:ind w:left="879"/>
      </w:pPr>
      <w:bookmarkStart w:id="105" w:name="_Toc51319618"/>
      <w:bookmarkStart w:id="106" w:name="_Toc51798287"/>
    </w:p>
    <w:p w14:paraId="6176C360" w14:textId="75D62124" w:rsidR="00F44816" w:rsidRPr="009E0A61" w:rsidRDefault="00F44816" w:rsidP="006C703C">
      <w:pPr>
        <w:pStyle w:val="Heading2"/>
      </w:pPr>
      <w:bookmarkStart w:id="107" w:name="_Toc52364901"/>
      <w:r w:rsidRPr="009E0A61">
        <w:lastRenderedPageBreak/>
        <w:t>Generation Connection volume driver</w:t>
      </w:r>
      <w:bookmarkEnd w:id="105"/>
      <w:r w:rsidR="00E63115" w:rsidRPr="009E0A61">
        <w:t xml:space="preserve"> (</w:t>
      </w:r>
      <w:proofErr w:type="spellStart"/>
      <w:r w:rsidR="00E63115" w:rsidRPr="009E0A61">
        <w:t>GCEt</w:t>
      </w:r>
      <w:proofErr w:type="spellEnd"/>
      <w:r w:rsidR="00E63115" w:rsidRPr="009E0A61">
        <w:t>)</w:t>
      </w:r>
      <w:bookmarkEnd w:id="106"/>
      <w:bookmarkEnd w:id="107"/>
    </w:p>
    <w:p w14:paraId="284276C0" w14:textId="3752BBC0" w:rsidR="00810933" w:rsidRPr="00810933" w:rsidRDefault="00810933" w:rsidP="00810933">
      <w:pPr>
        <w:pStyle w:val="Heading3nonumbering"/>
      </w:pPr>
      <w:r w:rsidRPr="00810933">
        <w:t>Introduction</w:t>
      </w:r>
    </w:p>
    <w:p w14:paraId="1CBEA36D" w14:textId="1500EFAC" w:rsidR="00505EB9" w:rsidRDefault="00505EB9" w:rsidP="00505EB9">
      <w:pPr>
        <w:pStyle w:val="NumberedNormal"/>
      </w:pPr>
      <w:r w:rsidRPr="005E2B69">
        <w:t xml:space="preserve">The purpose of this condition </w:t>
      </w:r>
      <w:r w:rsidRPr="00505EB9">
        <w:t xml:space="preserve">is to provide for the calculation of the term </w:t>
      </w:r>
      <w:proofErr w:type="spellStart"/>
      <w:r w:rsidRPr="00505EB9">
        <w:t>GCEt</w:t>
      </w:r>
      <w:proofErr w:type="spellEnd"/>
      <w:r w:rsidRPr="00505EB9">
        <w:t xml:space="preserve"> (the Generation Connections volume driver). This contributes to the calculation of the Totex Allowance. </w:t>
      </w:r>
    </w:p>
    <w:p w14:paraId="42854909" w14:textId="55195502" w:rsidR="00505EB9" w:rsidRPr="00810933" w:rsidRDefault="00505EB9" w:rsidP="005938A4">
      <w:pPr>
        <w:pStyle w:val="NumberedNormal"/>
      </w:pPr>
      <w:r w:rsidRPr="00F41059">
        <w:t xml:space="preserve">The effect of </w:t>
      </w:r>
      <w:r w:rsidRPr="00505EB9">
        <w:t xml:space="preserve">this condition is to adjust revenue to fund the licensee for Delivered Generation Connection Capacity, overhead </w:t>
      </w:r>
      <w:proofErr w:type="gramStart"/>
      <w:r w:rsidRPr="00505EB9">
        <w:t>lines</w:t>
      </w:r>
      <w:proofErr w:type="gramEnd"/>
      <w:r w:rsidRPr="00505EB9">
        <w:t xml:space="preserve"> and underground cables</w:t>
      </w:r>
      <w:r w:rsidR="003352AE">
        <w:t>,</w:t>
      </w:r>
      <w:r w:rsidRPr="00505EB9">
        <w:t xml:space="preserve"> relative to baseline allowances. </w:t>
      </w:r>
    </w:p>
    <w:p w14:paraId="7E584090" w14:textId="234AC02F" w:rsidR="00810933" w:rsidRPr="00810933" w:rsidRDefault="00810933" w:rsidP="00810933">
      <w:pPr>
        <w:pStyle w:val="Heading3"/>
      </w:pPr>
      <w:r w:rsidRPr="00810933">
        <w:t xml:space="preserve">Formula for calculating the </w:t>
      </w:r>
      <w:r w:rsidR="00505EB9">
        <w:t>Generation</w:t>
      </w:r>
      <w:r w:rsidR="00505EB9" w:rsidRPr="00810933">
        <w:t xml:space="preserve"> </w:t>
      </w:r>
      <w:r w:rsidRPr="00810933">
        <w:t xml:space="preserve">Connections volume driver </w:t>
      </w:r>
      <w:r w:rsidR="00E63115">
        <w:t>(</w:t>
      </w:r>
      <w:proofErr w:type="spellStart"/>
      <w:r w:rsidR="00E63115">
        <w:t>GCEt</w:t>
      </w:r>
      <w:proofErr w:type="spellEnd"/>
      <w:r w:rsidR="00E63115">
        <w:t>)</w:t>
      </w:r>
    </w:p>
    <w:p w14:paraId="0CC1416D" w14:textId="0F11B221" w:rsidR="00505EB9" w:rsidRPr="00505EB9" w:rsidRDefault="00810933" w:rsidP="0016349C">
      <w:pPr>
        <w:pStyle w:val="NumberedNormal"/>
      </w:pPr>
      <w:r>
        <w:t>The</w:t>
      </w:r>
      <w:r w:rsidR="00505EB9" w:rsidRPr="005E2B69">
        <w:t xml:space="preserve"> value of </w:t>
      </w:r>
      <w:proofErr w:type="spellStart"/>
      <w:r w:rsidR="00505EB9" w:rsidRPr="005E2B69">
        <w:t>GCE</w:t>
      </w:r>
      <w:r w:rsidR="00505EB9" w:rsidRPr="00505EB9">
        <w:t>t</w:t>
      </w:r>
      <w:proofErr w:type="spellEnd"/>
      <w:r w:rsidR="00505EB9" w:rsidRPr="00505EB9">
        <w:t xml:space="preserve"> is derived in accordance with the following formula:</w:t>
      </w:r>
    </w:p>
    <w:p w14:paraId="6CF7A7B8" w14:textId="5DE83FEE" w:rsidR="00505EB9" w:rsidRPr="00AB6023" w:rsidRDefault="00B913B6" w:rsidP="003F66DB">
      <w:pPr>
        <w:ind w:left="720"/>
      </w:pPr>
      <m:oMath>
        <m:sSub>
          <m:sSubPr>
            <m:ctrlPr>
              <w:rPr>
                <w:rFonts w:ascii="Cambria Math" w:hAnsi="Cambria Math"/>
              </w:rPr>
            </m:ctrlPr>
          </m:sSubPr>
          <m:e>
            <m:r>
              <w:rPr>
                <w:rFonts w:ascii="Cambria Math" w:hAnsi="Cambria Math"/>
              </w:rPr>
              <m:t>GCE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VGCE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OE</m:t>
            </m:r>
          </m:e>
          <m:sub>
            <m:r>
              <w:rPr>
                <w:rFonts w:ascii="Cambria Math" w:hAnsi="Cambria Math"/>
              </w:rPr>
              <m:t>t</m:t>
            </m:r>
          </m:sub>
        </m:sSub>
      </m:oMath>
      <w:r w:rsidR="00505EB9">
        <w:t xml:space="preserve"> </w:t>
      </w:r>
    </w:p>
    <w:p w14:paraId="7CF60AD9" w14:textId="773DA079" w:rsidR="00810933" w:rsidRPr="00810933" w:rsidRDefault="00524D01" w:rsidP="00810933">
      <w:r>
        <w:tab/>
      </w:r>
      <w:r w:rsidR="00810933" w:rsidRPr="00810933">
        <w:t>where:</w:t>
      </w:r>
    </w:p>
    <w:tbl>
      <w:tblPr>
        <w:tblW w:w="8222" w:type="dxa"/>
        <w:tblInd w:w="817" w:type="dxa"/>
        <w:tblLook w:val="04A0" w:firstRow="1" w:lastRow="0" w:firstColumn="1" w:lastColumn="0" w:noHBand="0" w:noVBand="1"/>
      </w:tblPr>
      <w:tblGrid>
        <w:gridCol w:w="3260"/>
        <w:gridCol w:w="4962"/>
      </w:tblGrid>
      <w:tr w:rsidR="00505EB9" w:rsidRPr="005E2B69" w14:paraId="60D21698" w14:textId="77777777" w:rsidTr="000F07F1">
        <w:trPr>
          <w:trHeight w:val="567"/>
        </w:trPr>
        <w:tc>
          <w:tcPr>
            <w:tcW w:w="3260" w:type="dxa"/>
          </w:tcPr>
          <w:p w14:paraId="665EDEC7" w14:textId="63329588" w:rsidR="00505EB9" w:rsidRPr="00810933" w:rsidRDefault="00505EB9" w:rsidP="00505EB9">
            <w:proofErr w:type="spellStart"/>
            <w:r w:rsidRPr="00505EB9">
              <w:t>VGCEt</w:t>
            </w:r>
            <w:proofErr w:type="spellEnd"/>
            <w:r w:rsidRPr="00505EB9">
              <w:t>,</w:t>
            </w:r>
          </w:p>
        </w:tc>
        <w:tc>
          <w:tcPr>
            <w:tcW w:w="4962" w:type="dxa"/>
          </w:tcPr>
          <w:p w14:paraId="609575B9" w14:textId="34EB62A6" w:rsidR="00505EB9" w:rsidRPr="00810933" w:rsidRDefault="00505EB9" w:rsidP="00505EB9">
            <w:r w:rsidRPr="00505EB9">
              <w:t xml:space="preserve">is derived in accordance with paragraph </w:t>
            </w:r>
            <w:r w:rsidR="009B7330">
              <w:t>3.18.</w:t>
            </w:r>
            <w:r w:rsidRPr="00505EB9">
              <w:t>4</w:t>
            </w:r>
            <w:r w:rsidR="009B7330">
              <w:t>; and</w:t>
            </w:r>
            <w:r w:rsidRPr="00505EB9">
              <w:t xml:space="preserve"> </w:t>
            </w:r>
          </w:p>
        </w:tc>
      </w:tr>
      <w:tr w:rsidR="00924572" w:rsidRPr="005E2B69" w14:paraId="1CCBE518" w14:textId="77777777" w:rsidTr="000F07F1">
        <w:trPr>
          <w:trHeight w:val="567"/>
        </w:trPr>
        <w:tc>
          <w:tcPr>
            <w:tcW w:w="3260" w:type="dxa"/>
          </w:tcPr>
          <w:p w14:paraId="6C7BA7BB" w14:textId="7B683312" w:rsidR="00924572" w:rsidRPr="00810933" w:rsidRDefault="00924572" w:rsidP="00924572">
            <w:proofErr w:type="spellStart"/>
            <w:r>
              <w:t>OE</w:t>
            </w:r>
            <w:r w:rsidRPr="00810933">
              <w:t>t</w:t>
            </w:r>
            <w:proofErr w:type="spellEnd"/>
          </w:p>
        </w:tc>
        <w:tc>
          <w:tcPr>
            <w:tcW w:w="4962" w:type="dxa"/>
          </w:tcPr>
          <w:p w14:paraId="67B11F46" w14:textId="77777777" w:rsidR="00924572" w:rsidRDefault="00924572" w:rsidP="00924572">
            <w:r>
              <w:t xml:space="preserve">means the sum of: </w:t>
            </w:r>
          </w:p>
          <w:p w14:paraId="11099F4B" w14:textId="77777777" w:rsidR="00924572" w:rsidRDefault="00924572" w:rsidP="00924572">
            <w:r>
              <w:t xml:space="preserve">additional closely associated indirect costs, calculated as a [X.X%] uplift to CAIs for a 1% capex uplift, and </w:t>
            </w:r>
          </w:p>
          <w:p w14:paraId="5EDE9A22" w14:textId="0333F5C5" w:rsidR="00924572" w:rsidRDefault="00924572" w:rsidP="00924572">
            <w:r>
              <w:t>additional network operating costs, calculated as [X.X</w:t>
            </w:r>
            <w:r w:rsidRPr="002E0F10">
              <w:t>%</w:t>
            </w:r>
            <w:r>
              <w:t>]</w:t>
            </w:r>
            <w:r w:rsidRPr="002E0F10">
              <w:t xml:space="preserve"> </w:t>
            </w:r>
            <w:r>
              <w:t xml:space="preserve">of the capital expenditure </w:t>
            </w:r>
            <w:r w:rsidRPr="002E0F10">
              <w:t>resulting from the project delivery</w:t>
            </w:r>
            <w:r>
              <w:t>.</w:t>
            </w:r>
          </w:p>
        </w:tc>
      </w:tr>
    </w:tbl>
    <w:p w14:paraId="6266C6AD" w14:textId="10C15027" w:rsidR="004D2765" w:rsidRPr="004D2765" w:rsidRDefault="004D2765" w:rsidP="0016349C">
      <w:pPr>
        <w:pStyle w:val="NumberedNormal"/>
      </w:pPr>
      <w:r w:rsidRPr="005E2B69">
        <w:t xml:space="preserve">The value of </w:t>
      </w:r>
      <w:proofErr w:type="spellStart"/>
      <w:r w:rsidRPr="005E2B69">
        <w:t>VGCE</w:t>
      </w:r>
      <w:r w:rsidRPr="004D2765">
        <w:t>t</w:t>
      </w:r>
      <w:proofErr w:type="spellEnd"/>
      <w:r w:rsidRPr="004D2765">
        <w:t>, is derived in accordance with the following formula:</w:t>
      </w:r>
    </w:p>
    <w:p w14:paraId="1BE0CF5D" w14:textId="77777777" w:rsidR="004D2765" w:rsidRPr="00AB6023" w:rsidRDefault="00B913B6" w:rsidP="004D2765">
      <m:oMathPara>
        <m:oMath>
          <m:sSub>
            <m:sSubPr>
              <m:ctrlPr>
                <w:rPr>
                  <w:rFonts w:ascii="Cambria Math" w:hAnsi="Cambria Math"/>
                </w:rPr>
              </m:ctrlPr>
            </m:sSubPr>
            <m:e>
              <m:r>
                <w:rPr>
                  <w:rFonts w:ascii="Cambria Math" w:hAnsi="Cambria Math"/>
                </w:rPr>
                <m:t>VGCE</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GUC</m:t>
              </m:r>
              <m:d>
                <m:dPr>
                  <m:ctrlPr>
                    <w:rPr>
                      <w:rFonts w:ascii="Cambria Math" w:hAnsi="Cambria Math"/>
                    </w:rPr>
                  </m:ctrlPr>
                </m:dPr>
                <m:e>
                  <m:sSub>
                    <m:sSubPr>
                      <m:ctrlPr>
                        <w:rPr>
                          <w:rFonts w:ascii="Cambria Math" w:hAnsi="Cambria Math"/>
                        </w:rPr>
                      </m:ctrlPr>
                    </m:sSubPr>
                    <m:e>
                      <m:r>
                        <w:rPr>
                          <w:rFonts w:ascii="Cambria Math" w:hAnsi="Cambria Math"/>
                        </w:rPr>
                        <m:t>AGO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BGO</m:t>
                      </m:r>
                    </m:e>
                    <m:sub>
                      <m:r>
                        <w:rPr>
                          <w:rFonts w:ascii="Cambria Math" w:hAnsi="Cambria Math"/>
                        </w:rPr>
                        <m:t>t</m:t>
                      </m:r>
                    </m:sub>
                  </m:sSub>
                </m:e>
              </m:d>
              <m:r>
                <w:rPr>
                  <w:rFonts w:ascii="Cambria Math" w:hAnsi="Cambria Math"/>
                </w:rPr>
                <m:t>+OHLGUC</m:t>
              </m:r>
              <m:d>
                <m:dPr>
                  <m:ctrlPr>
                    <w:rPr>
                      <w:rFonts w:ascii="Cambria Math" w:hAnsi="Cambria Math"/>
                    </w:rPr>
                  </m:ctrlPr>
                </m:dPr>
                <m:e>
                  <m:sSub>
                    <m:sSubPr>
                      <m:ctrlPr>
                        <w:rPr>
                          <w:rFonts w:ascii="Cambria Math" w:hAnsi="Cambria Math"/>
                        </w:rPr>
                      </m:ctrlPr>
                    </m:sSubPr>
                    <m:e>
                      <m:r>
                        <w:rPr>
                          <w:rFonts w:ascii="Cambria Math" w:hAnsi="Cambria Math"/>
                        </w:rPr>
                        <m:t>ALOHL</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BLOHL</m:t>
                      </m:r>
                    </m:e>
                    <m:sub>
                      <m:r>
                        <w:rPr>
                          <w:rFonts w:ascii="Cambria Math" w:hAnsi="Cambria Math"/>
                        </w:rPr>
                        <m:t>t</m:t>
                      </m:r>
                    </m:sub>
                  </m:sSub>
                </m:e>
              </m:d>
              <m:r>
                <w:rPr>
                  <w:rFonts w:ascii="Cambria Math" w:hAnsi="Cambria Math"/>
                </w:rPr>
                <m:t xml:space="preserve">+ </m:t>
              </m:r>
              <m:sSub>
                <m:sSubPr>
                  <m:ctrlPr>
                    <w:rPr>
                      <w:rFonts w:ascii="Cambria Math" w:hAnsi="Cambria Math"/>
                    </w:rPr>
                  </m:ctrlPr>
                </m:sSubPr>
                <m:e>
                  <m:r>
                    <w:rPr>
                      <w:rFonts w:ascii="Cambria Math" w:hAnsi="Cambria Math"/>
                    </w:rPr>
                    <m:t>(ALCBL</m:t>
                  </m:r>
                </m:e>
                <m:sub>
                  <m:r>
                    <w:rPr>
                      <w:rFonts w:ascii="Cambria Math" w:hAnsi="Cambria Math"/>
                    </w:rPr>
                    <m:t>t</m:t>
                  </m:r>
                </m:sub>
              </m:sSub>
              <m:r>
                <w:rPr>
                  <w:rFonts w:ascii="Cambria Math" w:hAnsi="Cambria Math"/>
                </w:rPr>
                <m:t xml:space="preserve"> x GUCUC)</m:t>
              </m:r>
            </m:e>
          </m:d>
        </m:oMath>
      </m:oMathPara>
    </w:p>
    <w:p w14:paraId="1A7FE792" w14:textId="77777777" w:rsidR="004D2765" w:rsidRPr="004D2765" w:rsidRDefault="004D2765" w:rsidP="004D2765"/>
    <w:p w14:paraId="37E39C23" w14:textId="71573FF1" w:rsidR="004D2765" w:rsidRPr="004D2765" w:rsidRDefault="00D93351" w:rsidP="004D2765">
      <w:r>
        <w:tab/>
      </w:r>
      <w:r w:rsidR="004D2765" w:rsidRPr="004D2765">
        <w:t>where:</w:t>
      </w:r>
    </w:p>
    <w:tbl>
      <w:tblPr>
        <w:tblW w:w="8222" w:type="dxa"/>
        <w:tblInd w:w="817" w:type="dxa"/>
        <w:tblLook w:val="04A0" w:firstRow="1" w:lastRow="0" w:firstColumn="1" w:lastColumn="0" w:noHBand="0" w:noVBand="1"/>
      </w:tblPr>
      <w:tblGrid>
        <w:gridCol w:w="3260"/>
        <w:gridCol w:w="4962"/>
      </w:tblGrid>
      <w:tr w:rsidR="004D2765" w:rsidRPr="005E2B69" w14:paraId="6DBD4AEB" w14:textId="77777777" w:rsidTr="0016349C">
        <w:trPr>
          <w:trHeight w:val="567"/>
        </w:trPr>
        <w:tc>
          <w:tcPr>
            <w:tcW w:w="3260" w:type="dxa"/>
          </w:tcPr>
          <w:p w14:paraId="3FDEE492" w14:textId="77777777" w:rsidR="004D2765" w:rsidRPr="004D2765" w:rsidRDefault="004D2765" w:rsidP="004D2765">
            <w:r w:rsidRPr="004D2765">
              <w:t>GUC</w:t>
            </w:r>
          </w:p>
        </w:tc>
        <w:tc>
          <w:tcPr>
            <w:tcW w:w="4962" w:type="dxa"/>
          </w:tcPr>
          <w:p w14:paraId="64F38835" w14:textId="11B03157" w:rsidR="004D2765" w:rsidRPr="004D2765" w:rsidRDefault="004D2765" w:rsidP="004D2765">
            <w:r w:rsidRPr="004D2765">
              <w:t>means the Generation Connection Capacity unit cost allowance as set out in Appendix 1</w:t>
            </w:r>
            <w:r w:rsidR="009B7330">
              <w:t>;</w:t>
            </w:r>
          </w:p>
        </w:tc>
      </w:tr>
      <w:tr w:rsidR="004D2765" w:rsidRPr="005E2B69" w14:paraId="205D9B8D" w14:textId="77777777" w:rsidTr="0016349C">
        <w:trPr>
          <w:trHeight w:val="567"/>
        </w:trPr>
        <w:tc>
          <w:tcPr>
            <w:tcW w:w="3260" w:type="dxa"/>
          </w:tcPr>
          <w:p w14:paraId="11F00845" w14:textId="77777777" w:rsidR="004D2765" w:rsidRPr="004D2765" w:rsidRDefault="004D2765" w:rsidP="004D2765">
            <w:proofErr w:type="spellStart"/>
            <w:r w:rsidRPr="004D2765">
              <w:t>AGOt</w:t>
            </w:r>
            <w:proofErr w:type="spellEnd"/>
          </w:p>
        </w:tc>
        <w:tc>
          <w:tcPr>
            <w:tcW w:w="4962" w:type="dxa"/>
          </w:tcPr>
          <w:p w14:paraId="4079EBF3" w14:textId="2F619612" w:rsidR="004D2765" w:rsidRPr="004D2765" w:rsidRDefault="004D2765" w:rsidP="004D2765">
            <w:r w:rsidRPr="004D2765">
              <w:t xml:space="preserve">means the actual Generation Connection Capacity as </w:t>
            </w:r>
            <w:proofErr w:type="gramStart"/>
            <w:r w:rsidRPr="004D2765">
              <w:t>at</w:t>
            </w:r>
            <w:proofErr w:type="gramEnd"/>
            <w:r w:rsidRPr="004D2765">
              <w:t xml:space="preserve"> 31 March in Regulatory Year t</w:t>
            </w:r>
            <w:r w:rsidR="009B7330">
              <w:t>;</w:t>
            </w:r>
          </w:p>
        </w:tc>
      </w:tr>
      <w:tr w:rsidR="004D2765" w:rsidRPr="005E2B69" w14:paraId="2C0F36B5" w14:textId="77777777" w:rsidTr="0016349C">
        <w:trPr>
          <w:trHeight w:val="567"/>
        </w:trPr>
        <w:tc>
          <w:tcPr>
            <w:tcW w:w="3260" w:type="dxa"/>
          </w:tcPr>
          <w:p w14:paraId="422534A2" w14:textId="77777777" w:rsidR="004D2765" w:rsidRPr="004D2765" w:rsidRDefault="004D2765" w:rsidP="004D2765">
            <w:proofErr w:type="spellStart"/>
            <w:r w:rsidRPr="004D2765">
              <w:t>BGOt</w:t>
            </w:r>
            <w:proofErr w:type="spellEnd"/>
          </w:p>
        </w:tc>
        <w:tc>
          <w:tcPr>
            <w:tcW w:w="4962" w:type="dxa"/>
          </w:tcPr>
          <w:p w14:paraId="2860FE79" w14:textId="4DC7049C" w:rsidR="004D2765" w:rsidRPr="004D2765" w:rsidRDefault="004D2765" w:rsidP="004D2765">
            <w:r w:rsidRPr="004D2765">
              <w:t>means the baseline Generation Connection Capacity as set out in Appendix 2</w:t>
            </w:r>
            <w:r w:rsidR="009B7330">
              <w:t>;</w:t>
            </w:r>
          </w:p>
        </w:tc>
      </w:tr>
      <w:tr w:rsidR="004D2765" w:rsidRPr="005E2B69" w14:paraId="00E68694" w14:textId="77777777" w:rsidTr="0016349C">
        <w:trPr>
          <w:trHeight w:val="567"/>
        </w:trPr>
        <w:tc>
          <w:tcPr>
            <w:tcW w:w="3260" w:type="dxa"/>
          </w:tcPr>
          <w:p w14:paraId="5EB293EB" w14:textId="77777777" w:rsidR="004D2765" w:rsidRPr="004D2765" w:rsidRDefault="004D2765" w:rsidP="004D2765">
            <w:r w:rsidRPr="004D2765">
              <w:lastRenderedPageBreak/>
              <w:t>OHLGUC</w:t>
            </w:r>
          </w:p>
        </w:tc>
        <w:tc>
          <w:tcPr>
            <w:tcW w:w="4962" w:type="dxa"/>
          </w:tcPr>
          <w:p w14:paraId="03E19A3B" w14:textId="6708A6DE" w:rsidR="004D2765" w:rsidRPr="004D2765" w:rsidRDefault="004D2765" w:rsidP="004D2765">
            <w:r w:rsidRPr="004D2765">
              <w:t>means the overhead line unit cost allowance as set out in Appendix 1</w:t>
            </w:r>
            <w:r w:rsidR="009B7330">
              <w:t>;</w:t>
            </w:r>
          </w:p>
        </w:tc>
      </w:tr>
      <w:tr w:rsidR="004D2765" w:rsidRPr="005E2B69" w14:paraId="75C329CE" w14:textId="77777777" w:rsidTr="0016349C">
        <w:trPr>
          <w:trHeight w:val="567"/>
        </w:trPr>
        <w:tc>
          <w:tcPr>
            <w:tcW w:w="3260" w:type="dxa"/>
          </w:tcPr>
          <w:p w14:paraId="26C597A3" w14:textId="77777777" w:rsidR="004D2765" w:rsidRPr="004D2765" w:rsidRDefault="004D2765" w:rsidP="004D2765">
            <w:proofErr w:type="spellStart"/>
            <w:r w:rsidRPr="004D2765">
              <w:t>ALOHLt</w:t>
            </w:r>
            <w:proofErr w:type="spellEnd"/>
          </w:p>
        </w:tc>
        <w:tc>
          <w:tcPr>
            <w:tcW w:w="4962" w:type="dxa"/>
          </w:tcPr>
          <w:p w14:paraId="055700B7" w14:textId="51F67674" w:rsidR="004D2765" w:rsidRPr="004D2765" w:rsidRDefault="004D2765" w:rsidP="004D2765">
            <w:r w:rsidRPr="004D2765">
              <w:t>means the actual length of overhead lines in circuit kilometres commissioned as part of the Generation Connection Capacity</w:t>
            </w:r>
            <w:r w:rsidR="006173B2">
              <w:t xml:space="preserve"> delivered</w:t>
            </w:r>
            <w:r w:rsidR="009B7330">
              <w:t>;</w:t>
            </w:r>
          </w:p>
        </w:tc>
      </w:tr>
      <w:tr w:rsidR="004D2765" w:rsidRPr="005E2B69" w14:paraId="5897E5FC" w14:textId="77777777" w:rsidTr="0016349C">
        <w:trPr>
          <w:trHeight w:val="567"/>
        </w:trPr>
        <w:tc>
          <w:tcPr>
            <w:tcW w:w="3260" w:type="dxa"/>
          </w:tcPr>
          <w:p w14:paraId="5B27CAAB" w14:textId="77777777" w:rsidR="004D2765" w:rsidRPr="004D2765" w:rsidRDefault="004D2765" w:rsidP="004D2765">
            <w:proofErr w:type="spellStart"/>
            <w:r w:rsidRPr="004D2765">
              <w:t>BLOHLt</w:t>
            </w:r>
            <w:proofErr w:type="spellEnd"/>
          </w:p>
        </w:tc>
        <w:tc>
          <w:tcPr>
            <w:tcW w:w="4962" w:type="dxa"/>
          </w:tcPr>
          <w:p w14:paraId="2096E9E6" w14:textId="772B17E1" w:rsidR="004D2765" w:rsidRPr="004D2765" w:rsidRDefault="004D2765" w:rsidP="004D2765">
            <w:r w:rsidRPr="004D2765">
              <w:t>means the baseline length of overhead lines as set out in Appendix 2</w:t>
            </w:r>
            <w:r w:rsidR="009B7330">
              <w:t>;</w:t>
            </w:r>
          </w:p>
        </w:tc>
      </w:tr>
      <w:tr w:rsidR="004D2765" w:rsidRPr="005E2B69" w14:paraId="489A572B" w14:textId="77777777" w:rsidTr="0016349C">
        <w:trPr>
          <w:trHeight w:val="567"/>
        </w:trPr>
        <w:tc>
          <w:tcPr>
            <w:tcW w:w="3260" w:type="dxa"/>
          </w:tcPr>
          <w:p w14:paraId="565ECEAF" w14:textId="77777777" w:rsidR="004D2765" w:rsidRPr="004D2765" w:rsidRDefault="004D2765" w:rsidP="004D2765">
            <w:proofErr w:type="spellStart"/>
            <w:r w:rsidRPr="004D2765">
              <w:t>ALCBLt</w:t>
            </w:r>
            <w:proofErr w:type="spellEnd"/>
          </w:p>
        </w:tc>
        <w:tc>
          <w:tcPr>
            <w:tcW w:w="4962" w:type="dxa"/>
          </w:tcPr>
          <w:p w14:paraId="0E2BFD1F" w14:textId="4B40077A" w:rsidR="004D2765" w:rsidRPr="004D2765" w:rsidRDefault="004D2765" w:rsidP="004D2765">
            <w:r w:rsidRPr="004D2765">
              <w:t>means the actual length of underground cabling in circuit kilometres commissioned as part of the Generation Connection Capacity</w:t>
            </w:r>
            <w:r w:rsidR="006173B2">
              <w:t xml:space="preserve"> delivered</w:t>
            </w:r>
            <w:r w:rsidR="009B7330">
              <w:t>; and</w:t>
            </w:r>
          </w:p>
        </w:tc>
      </w:tr>
      <w:tr w:rsidR="004D2765" w:rsidRPr="005E2B69" w14:paraId="7E94C647" w14:textId="77777777" w:rsidTr="0016349C">
        <w:trPr>
          <w:trHeight w:val="567"/>
        </w:trPr>
        <w:tc>
          <w:tcPr>
            <w:tcW w:w="3260" w:type="dxa"/>
          </w:tcPr>
          <w:p w14:paraId="640EDC58" w14:textId="77777777" w:rsidR="004D2765" w:rsidRPr="004D2765" w:rsidRDefault="004D2765" w:rsidP="004D2765">
            <w:r w:rsidRPr="004D2765">
              <w:t>GUCUC</w:t>
            </w:r>
          </w:p>
        </w:tc>
        <w:tc>
          <w:tcPr>
            <w:tcW w:w="4962" w:type="dxa"/>
          </w:tcPr>
          <w:p w14:paraId="29280000" w14:textId="77777777" w:rsidR="004D2765" w:rsidRPr="004D2765" w:rsidRDefault="004D2765" w:rsidP="004D2765">
            <w:r w:rsidRPr="004D2765">
              <w:t>means the underground cable unit cost allowance as set out in Appendix 1.</w:t>
            </w:r>
          </w:p>
        </w:tc>
      </w:tr>
    </w:tbl>
    <w:p w14:paraId="42A7A1E3" w14:textId="49BD5636" w:rsidR="003A7C1B" w:rsidRDefault="003A7C1B" w:rsidP="002429A8">
      <w:pPr>
        <w:pStyle w:val="AppendixHeading"/>
      </w:pPr>
      <w:bookmarkStart w:id="108" w:name="_Toc51798288"/>
      <w:bookmarkStart w:id="109" w:name="_Toc51319619"/>
      <w:bookmarkEnd w:id="108"/>
    </w:p>
    <w:p w14:paraId="07C0B8F5" w14:textId="3963BF1E" w:rsidR="00810933" w:rsidRPr="00810933" w:rsidRDefault="00810933" w:rsidP="003A7C1B">
      <w:pPr>
        <w:pStyle w:val="Caption"/>
      </w:pPr>
      <w:r w:rsidRPr="00810933">
        <w:t xml:space="preserve">Unit cost allowances for </w:t>
      </w:r>
      <w:r w:rsidR="004D2765">
        <w:t>Generation</w:t>
      </w:r>
      <w:r w:rsidR="004D2765" w:rsidRPr="00810933">
        <w:t xml:space="preserve"> </w:t>
      </w:r>
      <w:r w:rsidRPr="00810933">
        <w:t xml:space="preserve">Connection Capacity, overhead </w:t>
      </w:r>
      <w:proofErr w:type="gramStart"/>
      <w:r w:rsidRPr="00810933">
        <w:t>lines</w:t>
      </w:r>
      <w:proofErr w:type="gramEnd"/>
      <w:r w:rsidRPr="00810933">
        <w:t xml:space="preserve"> and underground cables</w:t>
      </w:r>
      <w:bookmarkEnd w:id="109"/>
    </w:p>
    <w:tbl>
      <w:tblPr>
        <w:tblStyle w:val="AppendixTable"/>
        <w:tblW w:w="5000" w:type="pct"/>
        <w:tblLook w:val="04A0" w:firstRow="1" w:lastRow="0" w:firstColumn="1" w:lastColumn="0" w:noHBand="0" w:noVBand="1"/>
      </w:tblPr>
      <w:tblGrid>
        <w:gridCol w:w="7894"/>
        <w:gridCol w:w="1132"/>
      </w:tblGrid>
      <w:tr w:rsidR="004D2765" w:rsidRPr="005E2B69" w14:paraId="1349F71E" w14:textId="77777777" w:rsidTr="003A7C1B">
        <w:trPr>
          <w:cnfStyle w:val="100000000000" w:firstRow="1" w:lastRow="0" w:firstColumn="0" w:lastColumn="0" w:oddVBand="0" w:evenVBand="0" w:oddHBand="0" w:evenHBand="0" w:firstRowFirstColumn="0" w:firstRowLastColumn="0" w:lastRowFirstColumn="0" w:lastRowLastColumn="0"/>
        </w:trPr>
        <w:tc>
          <w:tcPr>
            <w:tcW w:w="4373" w:type="pct"/>
          </w:tcPr>
          <w:p w14:paraId="07845537" w14:textId="47D6F726" w:rsidR="004D2765" w:rsidRPr="00810933" w:rsidRDefault="004D2765" w:rsidP="004D2765">
            <w:r w:rsidRPr="004D2765">
              <w:t>GUC (£/MW)</w:t>
            </w:r>
          </w:p>
        </w:tc>
        <w:tc>
          <w:tcPr>
            <w:tcW w:w="627" w:type="pct"/>
          </w:tcPr>
          <w:p w14:paraId="7AC5DA05" w14:textId="10F6248E" w:rsidR="004D2765" w:rsidRPr="00810933" w:rsidRDefault="004D2765" w:rsidP="004D2765">
            <w:r w:rsidRPr="004D2765">
              <w:t>XX</w:t>
            </w:r>
          </w:p>
        </w:tc>
      </w:tr>
      <w:tr w:rsidR="004D2765" w:rsidRPr="005E2B69" w14:paraId="005D9561" w14:textId="77777777" w:rsidTr="003A7C1B">
        <w:tc>
          <w:tcPr>
            <w:tcW w:w="4373" w:type="pct"/>
          </w:tcPr>
          <w:p w14:paraId="1799F2C6" w14:textId="1CD4473F" w:rsidR="004D2765" w:rsidRPr="00810933" w:rsidRDefault="004D2765" w:rsidP="004D2765">
            <w:r w:rsidRPr="004D2765">
              <w:t>OHLGUC (£/circuit km)</w:t>
            </w:r>
          </w:p>
        </w:tc>
        <w:tc>
          <w:tcPr>
            <w:tcW w:w="627" w:type="pct"/>
          </w:tcPr>
          <w:p w14:paraId="0803443D" w14:textId="4DE50672" w:rsidR="004D2765" w:rsidRPr="00810933" w:rsidRDefault="004D2765" w:rsidP="004D2765">
            <w:r w:rsidRPr="004D2765">
              <w:t>XX</w:t>
            </w:r>
          </w:p>
        </w:tc>
      </w:tr>
      <w:tr w:rsidR="004D2765" w:rsidRPr="005E2B69" w14:paraId="55321687" w14:textId="77777777" w:rsidTr="003A7C1B">
        <w:tc>
          <w:tcPr>
            <w:tcW w:w="4373" w:type="pct"/>
          </w:tcPr>
          <w:p w14:paraId="21386D14" w14:textId="16BDF895" w:rsidR="004D2765" w:rsidRPr="00810933" w:rsidRDefault="004D2765" w:rsidP="004D2765">
            <w:r w:rsidRPr="004D2765">
              <w:t>GUCUC (£/circuit km)</w:t>
            </w:r>
          </w:p>
        </w:tc>
        <w:tc>
          <w:tcPr>
            <w:tcW w:w="627" w:type="pct"/>
          </w:tcPr>
          <w:p w14:paraId="0CBD4CA5" w14:textId="6635195B" w:rsidR="004D2765" w:rsidRPr="00810933" w:rsidRDefault="004D2765" w:rsidP="004D2765">
            <w:r w:rsidRPr="004D2765">
              <w:t>XX</w:t>
            </w:r>
          </w:p>
        </w:tc>
      </w:tr>
    </w:tbl>
    <w:p w14:paraId="3B31873F" w14:textId="77777777" w:rsidR="002429A8" w:rsidRDefault="002429A8" w:rsidP="002429A8">
      <w:pPr>
        <w:pStyle w:val="AppendixHeading"/>
      </w:pPr>
      <w:bookmarkStart w:id="110" w:name="_Toc51798289"/>
      <w:bookmarkStart w:id="111" w:name="_Toc51319620"/>
      <w:bookmarkEnd w:id="110"/>
    </w:p>
    <w:p w14:paraId="2B0953C1" w14:textId="14DB70AC" w:rsidR="00810933" w:rsidRPr="00810933" w:rsidRDefault="00810933" w:rsidP="002429A8">
      <w:pPr>
        <w:pStyle w:val="Caption"/>
      </w:pPr>
      <w:r w:rsidRPr="00810933">
        <w:t xml:space="preserve">Baseline </w:t>
      </w:r>
      <w:r w:rsidR="004D2765" w:rsidRPr="002429A8">
        <w:t>Generation</w:t>
      </w:r>
      <w:r w:rsidR="004D2765" w:rsidRPr="00810933">
        <w:t xml:space="preserve"> </w:t>
      </w:r>
      <w:r w:rsidRPr="00810933">
        <w:t>Connection Capacity, length of overhead lines</w:t>
      </w:r>
      <w:bookmarkEnd w:id="111"/>
      <w:r w:rsidRPr="00810933">
        <w:t xml:space="preserve"> </w:t>
      </w:r>
    </w:p>
    <w:tbl>
      <w:tblPr>
        <w:tblStyle w:val="AppendixTable"/>
        <w:tblW w:w="5000" w:type="pct"/>
        <w:tblLook w:val="04A0" w:firstRow="1" w:lastRow="0" w:firstColumn="1" w:lastColumn="0" w:noHBand="0" w:noVBand="1"/>
      </w:tblPr>
      <w:tblGrid>
        <w:gridCol w:w="2963"/>
        <w:gridCol w:w="1213"/>
        <w:gridCol w:w="1213"/>
        <w:gridCol w:w="1213"/>
        <w:gridCol w:w="1213"/>
        <w:gridCol w:w="1211"/>
      </w:tblGrid>
      <w:tr w:rsidR="00810933" w:rsidRPr="005E2B69" w14:paraId="71233EB9" w14:textId="77777777" w:rsidTr="002429A8">
        <w:trPr>
          <w:cnfStyle w:val="100000000000" w:firstRow="1" w:lastRow="0" w:firstColumn="0" w:lastColumn="0" w:oddVBand="0" w:evenVBand="0" w:oddHBand="0" w:evenHBand="0" w:firstRowFirstColumn="0" w:firstRowLastColumn="0" w:lastRowFirstColumn="0" w:lastRowLastColumn="0"/>
          <w:trHeight w:val="279"/>
        </w:trPr>
        <w:tc>
          <w:tcPr>
            <w:tcW w:w="1641" w:type="pct"/>
            <w:vMerge w:val="restart"/>
          </w:tcPr>
          <w:p w14:paraId="42CB45A1" w14:textId="77777777" w:rsidR="00810933" w:rsidRPr="00810933" w:rsidRDefault="00810933" w:rsidP="00810933"/>
        </w:tc>
        <w:tc>
          <w:tcPr>
            <w:tcW w:w="3359" w:type="pct"/>
            <w:gridSpan w:val="5"/>
          </w:tcPr>
          <w:p w14:paraId="0B3AFDB2" w14:textId="77777777" w:rsidR="00810933" w:rsidRPr="00810933" w:rsidRDefault="00810933" w:rsidP="00810933">
            <w:r w:rsidRPr="00810933">
              <w:t xml:space="preserve">Regulatory Year </w:t>
            </w:r>
          </w:p>
        </w:tc>
      </w:tr>
      <w:tr w:rsidR="00810933" w:rsidRPr="005E2B69" w14:paraId="68EB7F52" w14:textId="77777777" w:rsidTr="002429A8">
        <w:trPr>
          <w:trHeight w:val="313"/>
        </w:trPr>
        <w:tc>
          <w:tcPr>
            <w:tcW w:w="1641" w:type="pct"/>
            <w:vMerge/>
          </w:tcPr>
          <w:p w14:paraId="702A2DB9" w14:textId="77777777" w:rsidR="00810933" w:rsidRPr="00810933" w:rsidRDefault="00810933" w:rsidP="00810933"/>
        </w:tc>
        <w:tc>
          <w:tcPr>
            <w:tcW w:w="672" w:type="pct"/>
          </w:tcPr>
          <w:p w14:paraId="1D290F6A" w14:textId="77777777" w:rsidR="00810933" w:rsidRPr="00810933" w:rsidRDefault="00810933" w:rsidP="00810933">
            <w:r w:rsidRPr="00810933">
              <w:t>2021/22</w:t>
            </w:r>
          </w:p>
        </w:tc>
        <w:tc>
          <w:tcPr>
            <w:tcW w:w="672" w:type="pct"/>
          </w:tcPr>
          <w:p w14:paraId="4B411D10" w14:textId="77777777" w:rsidR="00810933" w:rsidRPr="00810933" w:rsidRDefault="00810933" w:rsidP="00810933">
            <w:r w:rsidRPr="00810933">
              <w:t>2022/23</w:t>
            </w:r>
          </w:p>
        </w:tc>
        <w:tc>
          <w:tcPr>
            <w:tcW w:w="672" w:type="pct"/>
          </w:tcPr>
          <w:p w14:paraId="1C04DA90" w14:textId="77777777" w:rsidR="00810933" w:rsidRPr="00810933" w:rsidRDefault="00810933" w:rsidP="00810933">
            <w:r w:rsidRPr="00810933">
              <w:t>2023/24</w:t>
            </w:r>
          </w:p>
        </w:tc>
        <w:tc>
          <w:tcPr>
            <w:tcW w:w="672" w:type="pct"/>
          </w:tcPr>
          <w:p w14:paraId="0141816F" w14:textId="77777777" w:rsidR="00810933" w:rsidRPr="00810933" w:rsidRDefault="00810933" w:rsidP="00810933">
            <w:r w:rsidRPr="00810933">
              <w:t>2024/25</w:t>
            </w:r>
          </w:p>
        </w:tc>
        <w:tc>
          <w:tcPr>
            <w:tcW w:w="672" w:type="pct"/>
          </w:tcPr>
          <w:p w14:paraId="490F3EDD" w14:textId="77777777" w:rsidR="00810933" w:rsidRPr="00810933" w:rsidRDefault="00810933" w:rsidP="00810933">
            <w:r w:rsidRPr="00810933">
              <w:t>2025/26</w:t>
            </w:r>
          </w:p>
        </w:tc>
      </w:tr>
      <w:tr w:rsidR="004D2765" w:rsidRPr="005E2B69" w14:paraId="118F0C70" w14:textId="77777777" w:rsidTr="002429A8">
        <w:trPr>
          <w:trHeight w:val="574"/>
        </w:trPr>
        <w:tc>
          <w:tcPr>
            <w:tcW w:w="1641" w:type="pct"/>
          </w:tcPr>
          <w:p w14:paraId="2D806CB1" w14:textId="231B6A84" w:rsidR="004D2765" w:rsidRPr="00810933" w:rsidRDefault="004D2765" w:rsidP="004D2765">
            <w:r w:rsidRPr="004D2765">
              <w:t>BGO (MW)</w:t>
            </w:r>
          </w:p>
        </w:tc>
        <w:tc>
          <w:tcPr>
            <w:tcW w:w="672" w:type="pct"/>
          </w:tcPr>
          <w:p w14:paraId="32D69E77" w14:textId="77777777" w:rsidR="004D2765" w:rsidRPr="00810933" w:rsidRDefault="004D2765" w:rsidP="004D2765"/>
        </w:tc>
        <w:tc>
          <w:tcPr>
            <w:tcW w:w="672" w:type="pct"/>
          </w:tcPr>
          <w:p w14:paraId="6E89FEBD" w14:textId="77777777" w:rsidR="004D2765" w:rsidRPr="00810933" w:rsidRDefault="004D2765" w:rsidP="004D2765"/>
        </w:tc>
        <w:tc>
          <w:tcPr>
            <w:tcW w:w="672" w:type="pct"/>
          </w:tcPr>
          <w:p w14:paraId="3EFE8BC0" w14:textId="77777777" w:rsidR="004D2765" w:rsidRPr="00810933" w:rsidRDefault="004D2765" w:rsidP="004D2765"/>
        </w:tc>
        <w:tc>
          <w:tcPr>
            <w:tcW w:w="672" w:type="pct"/>
          </w:tcPr>
          <w:p w14:paraId="46441E97" w14:textId="77777777" w:rsidR="004D2765" w:rsidRPr="00810933" w:rsidRDefault="004D2765" w:rsidP="004D2765"/>
        </w:tc>
        <w:tc>
          <w:tcPr>
            <w:tcW w:w="672" w:type="pct"/>
          </w:tcPr>
          <w:p w14:paraId="3E565887" w14:textId="77777777" w:rsidR="004D2765" w:rsidRPr="00810933" w:rsidRDefault="004D2765" w:rsidP="004D2765"/>
        </w:tc>
      </w:tr>
      <w:tr w:rsidR="004D2765" w:rsidRPr="005E2B69" w14:paraId="5047EC68" w14:textId="77777777" w:rsidTr="002429A8">
        <w:trPr>
          <w:trHeight w:val="837"/>
        </w:trPr>
        <w:tc>
          <w:tcPr>
            <w:tcW w:w="1641" w:type="pct"/>
          </w:tcPr>
          <w:p w14:paraId="37DCCC8D" w14:textId="53682F55" w:rsidR="004D2765" w:rsidRPr="00810933" w:rsidRDefault="004D2765" w:rsidP="004D2765">
            <w:r w:rsidRPr="004D2765">
              <w:t>BLOHL (circuit km)</w:t>
            </w:r>
          </w:p>
        </w:tc>
        <w:tc>
          <w:tcPr>
            <w:tcW w:w="672" w:type="pct"/>
          </w:tcPr>
          <w:p w14:paraId="2CA008FA" w14:textId="77777777" w:rsidR="004D2765" w:rsidRPr="00810933" w:rsidRDefault="004D2765" w:rsidP="004D2765"/>
        </w:tc>
        <w:tc>
          <w:tcPr>
            <w:tcW w:w="672" w:type="pct"/>
          </w:tcPr>
          <w:p w14:paraId="12852ACD" w14:textId="77777777" w:rsidR="004D2765" w:rsidRPr="00810933" w:rsidRDefault="004D2765" w:rsidP="004D2765"/>
        </w:tc>
        <w:tc>
          <w:tcPr>
            <w:tcW w:w="672" w:type="pct"/>
          </w:tcPr>
          <w:p w14:paraId="19C7B4FF" w14:textId="77777777" w:rsidR="004D2765" w:rsidRPr="00810933" w:rsidRDefault="004D2765" w:rsidP="004D2765"/>
        </w:tc>
        <w:tc>
          <w:tcPr>
            <w:tcW w:w="672" w:type="pct"/>
          </w:tcPr>
          <w:p w14:paraId="1D7748CC" w14:textId="77777777" w:rsidR="004D2765" w:rsidRPr="00810933" w:rsidRDefault="004D2765" w:rsidP="004D2765"/>
        </w:tc>
        <w:tc>
          <w:tcPr>
            <w:tcW w:w="672" w:type="pct"/>
          </w:tcPr>
          <w:p w14:paraId="04306965" w14:textId="77777777" w:rsidR="004D2765" w:rsidRPr="00810933" w:rsidRDefault="004D2765" w:rsidP="004D2765"/>
        </w:tc>
      </w:tr>
    </w:tbl>
    <w:p w14:paraId="7B20E141" w14:textId="77777777" w:rsidR="00810933" w:rsidRPr="00810933" w:rsidRDefault="00810933" w:rsidP="005938A4">
      <w:pPr>
        <w:pStyle w:val="NumberedNormal"/>
        <w:numPr>
          <w:ilvl w:val="0"/>
          <w:numId w:val="0"/>
        </w:numPr>
      </w:pPr>
    </w:p>
    <w:p w14:paraId="74B430D8" w14:textId="77777777" w:rsidR="00E30565" w:rsidRDefault="00E30565" w:rsidP="00E30565">
      <w:pPr>
        <w:pStyle w:val="Heading2"/>
      </w:pPr>
      <w:bookmarkStart w:id="112" w:name="_Toc52364902"/>
      <w:bookmarkStart w:id="113" w:name="_Toc51798290"/>
      <w:r w:rsidRPr="00F44816">
        <w:lastRenderedPageBreak/>
        <w:t>Demand Related Infrastructure volume driver</w:t>
      </w:r>
      <w:r>
        <w:t xml:space="preserve"> (</w:t>
      </w:r>
      <w:proofErr w:type="spellStart"/>
      <w:r>
        <w:t>DRIt</w:t>
      </w:r>
      <w:proofErr w:type="spellEnd"/>
      <w:r>
        <w:t>)</w:t>
      </w:r>
      <w:bookmarkEnd w:id="112"/>
    </w:p>
    <w:p w14:paraId="3FC2D2B8" w14:textId="77777777" w:rsidR="00E30565" w:rsidRPr="00810933" w:rsidRDefault="00E30565" w:rsidP="00E30565">
      <w:pPr>
        <w:pStyle w:val="Heading3nonumbering"/>
      </w:pPr>
      <w:r w:rsidRPr="00810933">
        <w:t>Introduction</w:t>
      </w:r>
    </w:p>
    <w:p w14:paraId="301AA740" w14:textId="77777777" w:rsidR="00E30565" w:rsidRPr="00810933" w:rsidRDefault="00E30565" w:rsidP="00E30565">
      <w:pPr>
        <w:pStyle w:val="NumberedNormal"/>
      </w:pPr>
      <w:r w:rsidRPr="005E2B69">
        <w:t xml:space="preserve">The purpose of this condition </w:t>
      </w:r>
      <w:r w:rsidRPr="00810933">
        <w:t xml:space="preserve">is to provide for the calculation of the term </w:t>
      </w:r>
      <w:proofErr w:type="spellStart"/>
      <w:r w:rsidRPr="00810933">
        <w:t>DRIt</w:t>
      </w:r>
      <w:proofErr w:type="spellEnd"/>
      <w:r w:rsidRPr="00810933">
        <w:t xml:space="preserve"> (the Demand Connections volume driver). This contributes to the calculation of the Totex Allowance. </w:t>
      </w:r>
    </w:p>
    <w:p w14:paraId="098F03E4" w14:textId="77777777" w:rsidR="00E30565" w:rsidRPr="00810933" w:rsidRDefault="00E30565" w:rsidP="00E30565">
      <w:pPr>
        <w:pStyle w:val="NumberedNormal"/>
      </w:pPr>
      <w:r w:rsidRPr="00EF6752">
        <w:t xml:space="preserve">The effect of this condition is </w:t>
      </w:r>
      <w:r w:rsidRPr="00810933">
        <w:t xml:space="preserve">to adjust revenue to fund the licensee for Delivered Demand Connection Capacity, overhead </w:t>
      </w:r>
      <w:proofErr w:type="gramStart"/>
      <w:r w:rsidRPr="00810933">
        <w:t>lines</w:t>
      </w:r>
      <w:proofErr w:type="gramEnd"/>
      <w:r w:rsidRPr="00810933">
        <w:t xml:space="preserve"> and underground cables relative to baseline allowances. </w:t>
      </w:r>
    </w:p>
    <w:p w14:paraId="4E94F9CD" w14:textId="77777777" w:rsidR="00E30565" w:rsidRPr="00810933" w:rsidRDefault="00E30565" w:rsidP="00E30565">
      <w:pPr>
        <w:pStyle w:val="Heading3"/>
      </w:pPr>
      <w:r w:rsidRPr="00810933">
        <w:t xml:space="preserve">Formula for calculating the Demand Connections volume driver </w:t>
      </w:r>
    </w:p>
    <w:p w14:paraId="443FFB40" w14:textId="77777777" w:rsidR="00E30565" w:rsidRPr="00810933" w:rsidRDefault="00E30565" w:rsidP="00E30565">
      <w:pPr>
        <w:pStyle w:val="NumberedNormal"/>
      </w:pPr>
      <w:r>
        <w:t xml:space="preserve">The value of </w:t>
      </w:r>
      <w:proofErr w:type="spellStart"/>
      <w:r>
        <w:t>DRI</w:t>
      </w:r>
      <w:r w:rsidRPr="00810933">
        <w:t>t</w:t>
      </w:r>
      <w:proofErr w:type="spellEnd"/>
      <w:r w:rsidRPr="00810933">
        <w:t xml:space="preserve"> is derived in accordance with the following formula:</w:t>
      </w:r>
    </w:p>
    <w:p w14:paraId="65968E8E" w14:textId="77777777" w:rsidR="00E30565" w:rsidRPr="00AB6023" w:rsidRDefault="00B913B6" w:rsidP="00E30565">
      <m:oMathPara>
        <m:oMath>
          <m:sSub>
            <m:sSubPr>
              <m:ctrlPr>
                <w:rPr>
                  <w:rFonts w:ascii="Cambria Math" w:hAnsi="Cambria Math"/>
                </w:rPr>
              </m:ctrlPr>
            </m:sSubPr>
            <m:e>
              <m:r>
                <w:rPr>
                  <w:rFonts w:ascii="Cambria Math" w:hAnsi="Cambria Math"/>
                </w:rPr>
                <m:t>DRI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VDRI</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OE</m:t>
              </m:r>
            </m:e>
            <m:sub>
              <m:r>
                <w:rPr>
                  <w:rFonts w:ascii="Cambria Math" w:hAnsi="Cambria Math"/>
                </w:rPr>
                <m:t>t</m:t>
              </m:r>
            </m:sub>
          </m:sSub>
        </m:oMath>
      </m:oMathPara>
    </w:p>
    <w:p w14:paraId="5BE7C24A" w14:textId="77777777" w:rsidR="00E30565" w:rsidRPr="00810933" w:rsidRDefault="00E30565" w:rsidP="00E30565">
      <w:r>
        <w:tab/>
      </w:r>
      <w:r w:rsidRPr="00810933">
        <w:t>where:</w:t>
      </w:r>
    </w:p>
    <w:tbl>
      <w:tblPr>
        <w:tblW w:w="8222" w:type="dxa"/>
        <w:tblInd w:w="817" w:type="dxa"/>
        <w:tblLook w:val="04A0" w:firstRow="1" w:lastRow="0" w:firstColumn="1" w:lastColumn="0" w:noHBand="0" w:noVBand="1"/>
      </w:tblPr>
      <w:tblGrid>
        <w:gridCol w:w="3260"/>
        <w:gridCol w:w="4962"/>
      </w:tblGrid>
      <w:tr w:rsidR="00E30565" w:rsidRPr="005E2B69" w14:paraId="52116621" w14:textId="77777777" w:rsidTr="002F6BD2">
        <w:trPr>
          <w:trHeight w:val="567"/>
        </w:trPr>
        <w:tc>
          <w:tcPr>
            <w:tcW w:w="3260" w:type="dxa"/>
          </w:tcPr>
          <w:p w14:paraId="65156F84" w14:textId="77777777" w:rsidR="00E30565" w:rsidRPr="00810933" w:rsidRDefault="00E30565" w:rsidP="002F6BD2">
            <w:proofErr w:type="spellStart"/>
            <w:r w:rsidRPr="00810933">
              <w:t>VDRIt</w:t>
            </w:r>
            <w:proofErr w:type="spellEnd"/>
            <w:r w:rsidRPr="00810933">
              <w:t>,</w:t>
            </w:r>
          </w:p>
        </w:tc>
        <w:tc>
          <w:tcPr>
            <w:tcW w:w="4962" w:type="dxa"/>
          </w:tcPr>
          <w:p w14:paraId="0264049B" w14:textId="77777777" w:rsidR="00E30565" w:rsidRPr="00810933" w:rsidRDefault="00E30565" w:rsidP="002F6BD2">
            <w:r w:rsidRPr="00810933">
              <w:t xml:space="preserve">is derived in accordance with paragraph </w:t>
            </w:r>
            <w:r>
              <w:t>3.23</w:t>
            </w:r>
            <w:r w:rsidRPr="00810933">
              <w:t>.4</w:t>
            </w:r>
            <w:r>
              <w:t xml:space="preserve">; and </w:t>
            </w:r>
            <w:r w:rsidRPr="00810933">
              <w:t xml:space="preserve"> </w:t>
            </w:r>
          </w:p>
        </w:tc>
      </w:tr>
      <w:tr w:rsidR="00E30565" w:rsidRPr="005E2B69" w14:paraId="784DFADC" w14:textId="77777777" w:rsidTr="002F6BD2">
        <w:trPr>
          <w:trHeight w:val="567"/>
        </w:trPr>
        <w:tc>
          <w:tcPr>
            <w:tcW w:w="3260" w:type="dxa"/>
          </w:tcPr>
          <w:p w14:paraId="0087E632" w14:textId="77777777" w:rsidR="00E30565" w:rsidRPr="00810933" w:rsidRDefault="00E30565" w:rsidP="002F6BD2">
            <w:proofErr w:type="spellStart"/>
            <w:r>
              <w:t>OE</w:t>
            </w:r>
            <w:r w:rsidRPr="00810933">
              <w:t>t</w:t>
            </w:r>
            <w:proofErr w:type="spellEnd"/>
          </w:p>
        </w:tc>
        <w:tc>
          <w:tcPr>
            <w:tcW w:w="4962" w:type="dxa"/>
          </w:tcPr>
          <w:p w14:paraId="7896CD59" w14:textId="77777777" w:rsidR="00E30565" w:rsidRDefault="00E30565" w:rsidP="002F6BD2">
            <w:r>
              <w:t xml:space="preserve">means the sum of: </w:t>
            </w:r>
          </w:p>
          <w:p w14:paraId="4C50D096" w14:textId="77777777" w:rsidR="00E30565" w:rsidRDefault="00E30565" w:rsidP="002F6BD2">
            <w:r>
              <w:t xml:space="preserve">additional closely associated indirect costs, calculated as a [X.X%] uplift to CAIs for a 1% capex uplift, and </w:t>
            </w:r>
          </w:p>
          <w:p w14:paraId="535ED63E" w14:textId="77777777" w:rsidR="00E30565" w:rsidRPr="00810933" w:rsidRDefault="00E30565" w:rsidP="002F6BD2">
            <w:r>
              <w:t>additional network operating costs, calculated as [X.X</w:t>
            </w:r>
            <w:r w:rsidRPr="002E0F10">
              <w:t>%</w:t>
            </w:r>
            <w:r>
              <w:t>]</w:t>
            </w:r>
            <w:r w:rsidRPr="002E0F10">
              <w:t xml:space="preserve"> </w:t>
            </w:r>
            <w:r>
              <w:t xml:space="preserve">of the capital expenditure </w:t>
            </w:r>
            <w:r w:rsidRPr="002E0F10">
              <w:t>resulting from the project delivery</w:t>
            </w:r>
            <w:r>
              <w:t>.</w:t>
            </w:r>
          </w:p>
        </w:tc>
      </w:tr>
    </w:tbl>
    <w:p w14:paraId="629DD12A" w14:textId="77777777" w:rsidR="00E30565" w:rsidRPr="00810933" w:rsidRDefault="00E30565" w:rsidP="00E30565">
      <w:pPr>
        <w:pStyle w:val="NumberedNormal"/>
      </w:pPr>
      <w:r>
        <w:t xml:space="preserve">The value of </w:t>
      </w:r>
      <w:proofErr w:type="spellStart"/>
      <w:r>
        <w:t>VDRI</w:t>
      </w:r>
      <w:r w:rsidRPr="00810933">
        <w:t>t</w:t>
      </w:r>
      <w:proofErr w:type="spellEnd"/>
      <w:r w:rsidRPr="00810933">
        <w:t>, is derived in accordance with the following formula:</w:t>
      </w:r>
    </w:p>
    <w:p w14:paraId="5B6E3337" w14:textId="77777777" w:rsidR="00E30565" w:rsidRPr="00AB6023" w:rsidRDefault="00B913B6" w:rsidP="00E30565">
      <m:oMathPara>
        <m:oMath>
          <m:sSub>
            <m:sSubPr>
              <m:ctrlPr>
                <w:rPr>
                  <w:rFonts w:ascii="Cambria Math" w:hAnsi="Cambria Math"/>
                </w:rPr>
              </m:ctrlPr>
            </m:sSubPr>
            <m:e>
              <m:r>
                <w:rPr>
                  <w:rFonts w:ascii="Cambria Math" w:hAnsi="Cambria Math"/>
                </w:rPr>
                <m:t>VDRI</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DUC</m:t>
              </m:r>
              <m:d>
                <m:dPr>
                  <m:ctrlPr>
                    <w:rPr>
                      <w:rFonts w:ascii="Cambria Math" w:hAnsi="Cambria Math"/>
                    </w:rPr>
                  </m:ctrlPr>
                </m:dPr>
                <m:e>
                  <m:sSub>
                    <m:sSubPr>
                      <m:ctrlPr>
                        <w:rPr>
                          <w:rFonts w:ascii="Cambria Math" w:hAnsi="Cambria Math"/>
                        </w:rPr>
                      </m:ctrlPr>
                    </m:sSubPr>
                    <m:e>
                      <m:r>
                        <w:rPr>
                          <w:rFonts w:ascii="Cambria Math" w:hAnsi="Cambria Math"/>
                        </w:rPr>
                        <m:t>ADC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BDC</m:t>
                      </m:r>
                    </m:e>
                    <m:sub>
                      <m:r>
                        <w:rPr>
                          <w:rFonts w:ascii="Cambria Math" w:hAnsi="Cambria Math"/>
                        </w:rPr>
                        <m:t>t</m:t>
                      </m:r>
                    </m:sub>
                  </m:sSub>
                </m:e>
              </m:d>
              <m:r>
                <w:rPr>
                  <w:rFonts w:ascii="Cambria Math" w:hAnsi="Cambria Math"/>
                </w:rPr>
                <m:t>+OHLDUC</m:t>
              </m:r>
              <m:d>
                <m:dPr>
                  <m:ctrlPr>
                    <w:rPr>
                      <w:rFonts w:ascii="Cambria Math" w:hAnsi="Cambria Math"/>
                    </w:rPr>
                  </m:ctrlPr>
                </m:dPr>
                <m:e>
                  <m:sSub>
                    <m:sSubPr>
                      <m:ctrlPr>
                        <w:rPr>
                          <w:rFonts w:ascii="Cambria Math" w:hAnsi="Cambria Math"/>
                        </w:rPr>
                      </m:ctrlPr>
                    </m:sSubPr>
                    <m:e>
                      <m:r>
                        <w:rPr>
                          <w:rFonts w:ascii="Cambria Math" w:hAnsi="Cambria Math"/>
                        </w:rPr>
                        <m:t>ALDOHL</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BLDOHL</m:t>
                      </m:r>
                    </m:e>
                    <m:sub>
                      <m:r>
                        <w:rPr>
                          <w:rFonts w:ascii="Cambria Math" w:hAnsi="Cambria Math"/>
                        </w:rPr>
                        <m:t>t</m:t>
                      </m:r>
                    </m:sub>
                  </m:sSub>
                </m:e>
              </m:d>
              <m:r>
                <w:rPr>
                  <w:rFonts w:ascii="Cambria Math" w:hAnsi="Cambria Math"/>
                </w:rPr>
                <m:t xml:space="preserve">+ </m:t>
              </m:r>
              <m:sSub>
                <m:sSubPr>
                  <m:ctrlPr>
                    <w:rPr>
                      <w:rFonts w:ascii="Cambria Math" w:hAnsi="Cambria Math"/>
                    </w:rPr>
                  </m:ctrlPr>
                </m:sSubPr>
                <m:e>
                  <m:r>
                    <w:rPr>
                      <w:rFonts w:ascii="Cambria Math" w:hAnsi="Cambria Math"/>
                    </w:rPr>
                    <m:t>(ALDCBL</m:t>
                  </m:r>
                </m:e>
                <m:sub>
                  <m:r>
                    <w:rPr>
                      <w:rFonts w:ascii="Cambria Math" w:hAnsi="Cambria Math"/>
                    </w:rPr>
                    <m:t>t</m:t>
                  </m:r>
                </m:sub>
              </m:sSub>
              <m:r>
                <w:rPr>
                  <w:rFonts w:ascii="Cambria Math" w:hAnsi="Cambria Math"/>
                </w:rPr>
                <m:t xml:space="preserve"> x DUCUC)</m:t>
              </m:r>
            </m:e>
          </m:d>
        </m:oMath>
      </m:oMathPara>
    </w:p>
    <w:p w14:paraId="2DAFA198" w14:textId="77777777" w:rsidR="00E30565" w:rsidRPr="00810933" w:rsidRDefault="00E30565" w:rsidP="00E30565">
      <w:r>
        <w:tab/>
      </w:r>
      <w:r w:rsidRPr="00810933">
        <w:t>where:</w:t>
      </w:r>
    </w:p>
    <w:tbl>
      <w:tblPr>
        <w:tblW w:w="8222" w:type="dxa"/>
        <w:tblInd w:w="817" w:type="dxa"/>
        <w:tblLook w:val="04A0" w:firstRow="1" w:lastRow="0" w:firstColumn="1" w:lastColumn="0" w:noHBand="0" w:noVBand="1"/>
      </w:tblPr>
      <w:tblGrid>
        <w:gridCol w:w="3260"/>
        <w:gridCol w:w="4962"/>
      </w:tblGrid>
      <w:tr w:rsidR="00E30565" w:rsidRPr="005E2B69" w14:paraId="27CCFD35" w14:textId="77777777" w:rsidTr="002F6BD2">
        <w:trPr>
          <w:trHeight w:val="567"/>
        </w:trPr>
        <w:tc>
          <w:tcPr>
            <w:tcW w:w="3260" w:type="dxa"/>
          </w:tcPr>
          <w:p w14:paraId="45D70B2D" w14:textId="77777777" w:rsidR="00E30565" w:rsidRPr="00ED3448" w:rsidRDefault="00E30565" w:rsidP="002F6BD2">
            <w:pPr>
              <w:rPr>
                <w:i/>
                <w:iCs/>
              </w:rPr>
            </w:pPr>
            <w:r w:rsidRPr="00ED3448">
              <w:rPr>
                <w:i/>
                <w:iCs/>
              </w:rPr>
              <w:t>DUC</w:t>
            </w:r>
          </w:p>
        </w:tc>
        <w:tc>
          <w:tcPr>
            <w:tcW w:w="4962" w:type="dxa"/>
          </w:tcPr>
          <w:p w14:paraId="65D497B6" w14:textId="77777777" w:rsidR="00E30565" w:rsidRPr="00810933" w:rsidRDefault="00E30565" w:rsidP="002F6BD2">
            <w:r w:rsidRPr="00810933">
              <w:t>means the Demand Connection Capacity unit cost allowance as set out in Appendix 1</w:t>
            </w:r>
            <w:r>
              <w:t>;</w:t>
            </w:r>
            <w:r w:rsidRPr="00810933">
              <w:t xml:space="preserve"> </w:t>
            </w:r>
          </w:p>
        </w:tc>
      </w:tr>
      <w:tr w:rsidR="00E30565" w:rsidRPr="005E2B69" w14:paraId="781DF08A" w14:textId="77777777" w:rsidTr="002F6BD2">
        <w:trPr>
          <w:trHeight w:val="567"/>
        </w:trPr>
        <w:tc>
          <w:tcPr>
            <w:tcW w:w="3260" w:type="dxa"/>
          </w:tcPr>
          <w:p w14:paraId="7E1A96CB" w14:textId="77777777" w:rsidR="00E30565" w:rsidRPr="00ED3448" w:rsidRDefault="00E30565" w:rsidP="002F6BD2">
            <w:pPr>
              <w:rPr>
                <w:i/>
                <w:iCs/>
              </w:rPr>
            </w:pPr>
            <w:proofErr w:type="spellStart"/>
            <w:r w:rsidRPr="00ED3448">
              <w:rPr>
                <w:i/>
                <w:iCs/>
              </w:rPr>
              <w:t>ADCt</w:t>
            </w:r>
            <w:proofErr w:type="spellEnd"/>
          </w:p>
        </w:tc>
        <w:tc>
          <w:tcPr>
            <w:tcW w:w="4962" w:type="dxa"/>
          </w:tcPr>
          <w:p w14:paraId="5D17E0F5" w14:textId="77777777" w:rsidR="00E30565" w:rsidRPr="00810933" w:rsidRDefault="00E30565" w:rsidP="002F6BD2">
            <w:r w:rsidRPr="00810933">
              <w:t xml:space="preserve">means the actual Demand Connection Capacity delivered as </w:t>
            </w:r>
            <w:proofErr w:type="gramStart"/>
            <w:r w:rsidRPr="00810933">
              <w:t>at</w:t>
            </w:r>
            <w:proofErr w:type="gramEnd"/>
            <w:r w:rsidRPr="00810933">
              <w:t xml:space="preserve"> 31 March of Regulatory Year t</w:t>
            </w:r>
            <w:r>
              <w:t>;</w:t>
            </w:r>
          </w:p>
        </w:tc>
      </w:tr>
      <w:tr w:rsidR="00E30565" w:rsidRPr="005E2B69" w14:paraId="27C82EC0" w14:textId="77777777" w:rsidTr="002F6BD2">
        <w:trPr>
          <w:trHeight w:val="567"/>
        </w:trPr>
        <w:tc>
          <w:tcPr>
            <w:tcW w:w="3260" w:type="dxa"/>
          </w:tcPr>
          <w:p w14:paraId="2FA1E0A9" w14:textId="77777777" w:rsidR="00E30565" w:rsidRPr="00ED3448" w:rsidRDefault="00E30565" w:rsidP="002F6BD2">
            <w:pPr>
              <w:rPr>
                <w:i/>
                <w:iCs/>
              </w:rPr>
            </w:pPr>
            <w:proofErr w:type="spellStart"/>
            <w:r w:rsidRPr="00ED3448">
              <w:rPr>
                <w:i/>
                <w:iCs/>
              </w:rPr>
              <w:t>BDCt</w:t>
            </w:r>
            <w:proofErr w:type="spellEnd"/>
          </w:p>
        </w:tc>
        <w:tc>
          <w:tcPr>
            <w:tcW w:w="4962" w:type="dxa"/>
          </w:tcPr>
          <w:p w14:paraId="7034770D" w14:textId="77777777" w:rsidR="00E30565" w:rsidRPr="00810933" w:rsidRDefault="00E30565" w:rsidP="002F6BD2">
            <w:r w:rsidRPr="00810933">
              <w:t>means the baseline Demand Connection Capacity as set out in Appendix</w:t>
            </w:r>
            <w:r w:rsidRPr="00810933" w:rsidDel="00124EF0">
              <w:t xml:space="preserve"> </w:t>
            </w:r>
            <w:r w:rsidRPr="00810933">
              <w:t>2</w:t>
            </w:r>
            <w:r>
              <w:t>;</w:t>
            </w:r>
          </w:p>
        </w:tc>
      </w:tr>
      <w:tr w:rsidR="00E30565" w:rsidRPr="005E2B69" w14:paraId="78228F3D" w14:textId="77777777" w:rsidTr="002F6BD2">
        <w:trPr>
          <w:trHeight w:val="567"/>
        </w:trPr>
        <w:tc>
          <w:tcPr>
            <w:tcW w:w="3260" w:type="dxa"/>
          </w:tcPr>
          <w:p w14:paraId="45B64D7F" w14:textId="77777777" w:rsidR="00E30565" w:rsidRPr="00ED3448" w:rsidRDefault="00E30565" w:rsidP="002F6BD2">
            <w:pPr>
              <w:rPr>
                <w:i/>
                <w:iCs/>
              </w:rPr>
            </w:pPr>
            <w:r w:rsidRPr="00ED3448">
              <w:rPr>
                <w:i/>
                <w:iCs/>
              </w:rPr>
              <w:lastRenderedPageBreak/>
              <w:t>OHLDUC</w:t>
            </w:r>
          </w:p>
        </w:tc>
        <w:tc>
          <w:tcPr>
            <w:tcW w:w="4962" w:type="dxa"/>
          </w:tcPr>
          <w:p w14:paraId="7DC7E17E" w14:textId="77777777" w:rsidR="00E30565" w:rsidRPr="00810933" w:rsidRDefault="00E30565" w:rsidP="002F6BD2">
            <w:r w:rsidRPr="00810933">
              <w:t>means the overhead line unit cost allowance as set out in Appendix</w:t>
            </w:r>
            <w:r w:rsidRPr="00810933" w:rsidDel="00124EF0">
              <w:t xml:space="preserve"> </w:t>
            </w:r>
            <w:r w:rsidRPr="00810933">
              <w:t>1</w:t>
            </w:r>
            <w:r>
              <w:t>;</w:t>
            </w:r>
          </w:p>
        </w:tc>
      </w:tr>
      <w:tr w:rsidR="00E30565" w:rsidRPr="005E2B69" w14:paraId="34CB25AA" w14:textId="77777777" w:rsidTr="002F6BD2">
        <w:trPr>
          <w:trHeight w:val="567"/>
        </w:trPr>
        <w:tc>
          <w:tcPr>
            <w:tcW w:w="3260" w:type="dxa"/>
          </w:tcPr>
          <w:p w14:paraId="60DE09B9" w14:textId="77777777" w:rsidR="00E30565" w:rsidRPr="00ED3448" w:rsidRDefault="00E30565" w:rsidP="002F6BD2">
            <w:pPr>
              <w:rPr>
                <w:i/>
                <w:iCs/>
              </w:rPr>
            </w:pPr>
            <w:proofErr w:type="spellStart"/>
            <w:r w:rsidRPr="00ED3448">
              <w:rPr>
                <w:i/>
                <w:iCs/>
              </w:rPr>
              <w:t>ALDOHLt</w:t>
            </w:r>
            <w:proofErr w:type="spellEnd"/>
          </w:p>
        </w:tc>
        <w:tc>
          <w:tcPr>
            <w:tcW w:w="4962" w:type="dxa"/>
          </w:tcPr>
          <w:p w14:paraId="4127F412" w14:textId="77777777" w:rsidR="00E30565" w:rsidRPr="00810933" w:rsidRDefault="00E30565" w:rsidP="002F6BD2">
            <w:r w:rsidRPr="00810933">
              <w:t>means the actual length of overhead lines in circuit kilometres commissioned as part of the Demand Connection Capacity</w:t>
            </w:r>
            <w:r>
              <w:t xml:space="preserve"> delivered;</w:t>
            </w:r>
          </w:p>
        </w:tc>
      </w:tr>
      <w:tr w:rsidR="00E30565" w:rsidRPr="005E2B69" w14:paraId="304328A6" w14:textId="77777777" w:rsidTr="002F6BD2">
        <w:trPr>
          <w:trHeight w:val="567"/>
        </w:trPr>
        <w:tc>
          <w:tcPr>
            <w:tcW w:w="3260" w:type="dxa"/>
          </w:tcPr>
          <w:p w14:paraId="7070BD67" w14:textId="77777777" w:rsidR="00E30565" w:rsidRPr="00ED3448" w:rsidRDefault="00E30565" w:rsidP="002F6BD2">
            <w:pPr>
              <w:rPr>
                <w:i/>
                <w:iCs/>
              </w:rPr>
            </w:pPr>
            <w:proofErr w:type="spellStart"/>
            <w:r w:rsidRPr="00ED3448">
              <w:rPr>
                <w:i/>
                <w:iCs/>
              </w:rPr>
              <w:t>BLDOHLt</w:t>
            </w:r>
            <w:proofErr w:type="spellEnd"/>
          </w:p>
        </w:tc>
        <w:tc>
          <w:tcPr>
            <w:tcW w:w="4962" w:type="dxa"/>
          </w:tcPr>
          <w:p w14:paraId="301EFFAC" w14:textId="77777777" w:rsidR="00E30565" w:rsidRPr="00810933" w:rsidRDefault="00E30565" w:rsidP="002F6BD2">
            <w:r w:rsidRPr="00810933">
              <w:t>means the baseline length of overhead lines as set out in Appendix</w:t>
            </w:r>
            <w:r w:rsidRPr="00810933" w:rsidDel="00124EF0">
              <w:t xml:space="preserve"> </w:t>
            </w:r>
            <w:r w:rsidRPr="00810933">
              <w:t>2</w:t>
            </w:r>
            <w:r>
              <w:t>;</w:t>
            </w:r>
          </w:p>
        </w:tc>
      </w:tr>
      <w:tr w:rsidR="00E30565" w:rsidRPr="005E2B69" w14:paraId="1F5FDC0A" w14:textId="77777777" w:rsidTr="002F6BD2">
        <w:trPr>
          <w:trHeight w:val="567"/>
        </w:trPr>
        <w:tc>
          <w:tcPr>
            <w:tcW w:w="3260" w:type="dxa"/>
          </w:tcPr>
          <w:p w14:paraId="1B7B46DE" w14:textId="77777777" w:rsidR="00E30565" w:rsidRPr="00ED3448" w:rsidRDefault="00E30565" w:rsidP="002F6BD2">
            <w:pPr>
              <w:rPr>
                <w:i/>
                <w:iCs/>
              </w:rPr>
            </w:pPr>
            <w:proofErr w:type="spellStart"/>
            <w:r w:rsidRPr="00ED3448">
              <w:rPr>
                <w:i/>
                <w:iCs/>
              </w:rPr>
              <w:t>ALDCBLt</w:t>
            </w:r>
            <w:proofErr w:type="spellEnd"/>
          </w:p>
        </w:tc>
        <w:tc>
          <w:tcPr>
            <w:tcW w:w="4962" w:type="dxa"/>
          </w:tcPr>
          <w:p w14:paraId="635A6EF7" w14:textId="77777777" w:rsidR="00E30565" w:rsidRPr="00810933" w:rsidRDefault="00E30565" w:rsidP="002F6BD2">
            <w:r w:rsidRPr="00810933">
              <w:t>means the actual length of underground cabling in circuit kilometres commissioned as part of the Demand Connection Capacity</w:t>
            </w:r>
            <w:r>
              <w:t xml:space="preserve"> delivered and</w:t>
            </w:r>
          </w:p>
        </w:tc>
      </w:tr>
      <w:tr w:rsidR="00E30565" w:rsidRPr="005E2B69" w14:paraId="7E5BD45C" w14:textId="77777777" w:rsidTr="002F6BD2">
        <w:trPr>
          <w:trHeight w:val="567"/>
        </w:trPr>
        <w:tc>
          <w:tcPr>
            <w:tcW w:w="3260" w:type="dxa"/>
          </w:tcPr>
          <w:p w14:paraId="3B892B19" w14:textId="77777777" w:rsidR="00E30565" w:rsidRPr="00ED3448" w:rsidRDefault="00E30565" w:rsidP="002F6BD2">
            <w:pPr>
              <w:rPr>
                <w:i/>
                <w:iCs/>
              </w:rPr>
            </w:pPr>
            <w:r w:rsidRPr="00ED3448">
              <w:rPr>
                <w:i/>
                <w:iCs/>
              </w:rPr>
              <w:t>DUCUC</w:t>
            </w:r>
          </w:p>
        </w:tc>
        <w:tc>
          <w:tcPr>
            <w:tcW w:w="4962" w:type="dxa"/>
          </w:tcPr>
          <w:p w14:paraId="18473228" w14:textId="77777777" w:rsidR="00E30565" w:rsidRPr="00810933" w:rsidRDefault="00E30565" w:rsidP="002F6BD2">
            <w:r w:rsidRPr="00810933">
              <w:t>means the underground cable unit cost allowance as set out in Appendix</w:t>
            </w:r>
            <w:r w:rsidRPr="00810933" w:rsidDel="00124EF0">
              <w:t xml:space="preserve"> </w:t>
            </w:r>
            <w:r w:rsidRPr="00810933">
              <w:t>1.</w:t>
            </w:r>
          </w:p>
        </w:tc>
      </w:tr>
      <w:tr w:rsidR="00E30565" w:rsidRPr="005E2B69" w14:paraId="2F1822F5" w14:textId="77777777" w:rsidTr="002F6BD2">
        <w:trPr>
          <w:trHeight w:val="567"/>
        </w:trPr>
        <w:tc>
          <w:tcPr>
            <w:tcW w:w="3260" w:type="dxa"/>
          </w:tcPr>
          <w:p w14:paraId="23EED797" w14:textId="77777777" w:rsidR="00E30565" w:rsidRPr="00ED3448" w:rsidRDefault="00E30565" w:rsidP="002F6BD2">
            <w:pPr>
              <w:rPr>
                <w:i/>
                <w:iCs/>
              </w:rPr>
            </w:pPr>
          </w:p>
        </w:tc>
        <w:tc>
          <w:tcPr>
            <w:tcW w:w="4962" w:type="dxa"/>
          </w:tcPr>
          <w:p w14:paraId="1CD19399" w14:textId="77777777" w:rsidR="00E30565" w:rsidRPr="00810933" w:rsidRDefault="00E30565" w:rsidP="002F6BD2"/>
        </w:tc>
      </w:tr>
    </w:tbl>
    <w:p w14:paraId="4C01EAB1" w14:textId="77777777" w:rsidR="00E30565" w:rsidRDefault="00E30565" w:rsidP="00E30565">
      <w:pPr>
        <w:pStyle w:val="AppendixHeading"/>
      </w:pPr>
    </w:p>
    <w:p w14:paraId="00957267" w14:textId="77777777" w:rsidR="00E30565" w:rsidRPr="00810933" w:rsidRDefault="00E30565" w:rsidP="00E30565">
      <w:pPr>
        <w:pStyle w:val="Caption"/>
      </w:pPr>
      <w:r w:rsidRPr="00810933">
        <w:t xml:space="preserve">Unit cost allowances for Demand Connection Capacity, overhead </w:t>
      </w:r>
      <w:proofErr w:type="gramStart"/>
      <w:r w:rsidRPr="00810933">
        <w:t>lines</w:t>
      </w:r>
      <w:proofErr w:type="gramEnd"/>
      <w:r w:rsidRPr="00810933">
        <w:t xml:space="preserve"> and underground cables</w:t>
      </w:r>
    </w:p>
    <w:tbl>
      <w:tblPr>
        <w:tblStyle w:val="AppendixTable"/>
        <w:tblW w:w="5000" w:type="pct"/>
        <w:tblLook w:val="04A0" w:firstRow="1" w:lastRow="0" w:firstColumn="1" w:lastColumn="0" w:noHBand="0" w:noVBand="1"/>
      </w:tblPr>
      <w:tblGrid>
        <w:gridCol w:w="5629"/>
        <w:gridCol w:w="3397"/>
      </w:tblGrid>
      <w:tr w:rsidR="00E30565" w:rsidRPr="005E2B69" w14:paraId="6D204DCD" w14:textId="77777777" w:rsidTr="002F6BD2">
        <w:trPr>
          <w:cnfStyle w:val="100000000000" w:firstRow="1" w:lastRow="0" w:firstColumn="0" w:lastColumn="0" w:oddVBand="0" w:evenVBand="0" w:oddHBand="0" w:evenHBand="0" w:firstRowFirstColumn="0" w:firstRowLastColumn="0" w:lastRowFirstColumn="0" w:lastRowLastColumn="0"/>
        </w:trPr>
        <w:tc>
          <w:tcPr>
            <w:tcW w:w="3118" w:type="pct"/>
          </w:tcPr>
          <w:p w14:paraId="005294B1" w14:textId="77777777" w:rsidR="00E30565" w:rsidRPr="00810933" w:rsidRDefault="00E30565" w:rsidP="002F6BD2">
            <w:r w:rsidRPr="00810933">
              <w:t>DUC (£/MVA)</w:t>
            </w:r>
          </w:p>
        </w:tc>
        <w:tc>
          <w:tcPr>
            <w:tcW w:w="1882" w:type="pct"/>
          </w:tcPr>
          <w:p w14:paraId="7B1EF169" w14:textId="77777777" w:rsidR="00E30565" w:rsidRPr="00810933" w:rsidRDefault="00E30565" w:rsidP="002F6BD2">
            <w:r w:rsidRPr="00810933">
              <w:t>XX</w:t>
            </w:r>
          </w:p>
        </w:tc>
      </w:tr>
      <w:tr w:rsidR="00E30565" w:rsidRPr="005E2B69" w14:paraId="2CDCA6A2" w14:textId="77777777" w:rsidTr="002F6BD2">
        <w:tc>
          <w:tcPr>
            <w:tcW w:w="3118" w:type="pct"/>
          </w:tcPr>
          <w:p w14:paraId="0B55A132" w14:textId="77777777" w:rsidR="00E30565" w:rsidRPr="00810933" w:rsidRDefault="00E30565" w:rsidP="002F6BD2">
            <w:r w:rsidRPr="00810933">
              <w:t>OHDLUC (£/circuit km)</w:t>
            </w:r>
          </w:p>
        </w:tc>
        <w:tc>
          <w:tcPr>
            <w:tcW w:w="1882" w:type="pct"/>
          </w:tcPr>
          <w:p w14:paraId="6F15A80B" w14:textId="77777777" w:rsidR="00E30565" w:rsidRPr="00810933" w:rsidRDefault="00E30565" w:rsidP="002F6BD2">
            <w:r w:rsidRPr="00810933">
              <w:t>XX</w:t>
            </w:r>
          </w:p>
        </w:tc>
      </w:tr>
      <w:tr w:rsidR="00E30565" w:rsidRPr="005E2B69" w14:paraId="260EA9E6" w14:textId="77777777" w:rsidTr="002F6BD2">
        <w:tc>
          <w:tcPr>
            <w:tcW w:w="3118" w:type="pct"/>
          </w:tcPr>
          <w:p w14:paraId="27F1596A" w14:textId="77777777" w:rsidR="00E30565" w:rsidRPr="00810933" w:rsidRDefault="00E30565" w:rsidP="002F6BD2">
            <w:r w:rsidRPr="00810933">
              <w:t>DUCUC (£/circuit km)</w:t>
            </w:r>
          </w:p>
        </w:tc>
        <w:tc>
          <w:tcPr>
            <w:tcW w:w="1882" w:type="pct"/>
          </w:tcPr>
          <w:p w14:paraId="70FFF2B3" w14:textId="77777777" w:rsidR="00E30565" w:rsidRPr="00810933" w:rsidRDefault="00E30565" w:rsidP="002F6BD2">
            <w:r w:rsidRPr="00810933">
              <w:t>XX</w:t>
            </w:r>
          </w:p>
        </w:tc>
      </w:tr>
    </w:tbl>
    <w:p w14:paraId="1B98B38D" w14:textId="77777777" w:rsidR="00E30565" w:rsidRDefault="00E30565" w:rsidP="00E30565"/>
    <w:p w14:paraId="4C2CD747" w14:textId="77777777" w:rsidR="00E30565" w:rsidRPr="00810933" w:rsidRDefault="00E30565" w:rsidP="00E30565">
      <w:pPr>
        <w:pStyle w:val="AppendixHeading"/>
      </w:pPr>
    </w:p>
    <w:p w14:paraId="6F4B9B54" w14:textId="77777777" w:rsidR="00E30565" w:rsidRPr="00810933" w:rsidRDefault="00E30565" w:rsidP="00E30565">
      <w:pPr>
        <w:pStyle w:val="Caption"/>
      </w:pPr>
      <w:r w:rsidRPr="00810933">
        <w:t xml:space="preserve">Baseline Demand Connection Capacity, length of overhead lines </w:t>
      </w:r>
    </w:p>
    <w:tbl>
      <w:tblPr>
        <w:tblStyle w:val="AppendixTable"/>
        <w:tblW w:w="5000" w:type="pct"/>
        <w:tblLook w:val="04A0" w:firstRow="1" w:lastRow="0" w:firstColumn="1" w:lastColumn="0" w:noHBand="0" w:noVBand="1"/>
      </w:tblPr>
      <w:tblGrid>
        <w:gridCol w:w="1777"/>
        <w:gridCol w:w="1448"/>
        <w:gridCol w:w="1448"/>
        <w:gridCol w:w="1448"/>
        <w:gridCol w:w="1448"/>
        <w:gridCol w:w="1457"/>
      </w:tblGrid>
      <w:tr w:rsidR="00E30565" w:rsidRPr="005E2B69" w14:paraId="6E2CCDCD" w14:textId="77777777" w:rsidTr="002F6BD2">
        <w:trPr>
          <w:cnfStyle w:val="100000000000" w:firstRow="1" w:lastRow="0" w:firstColumn="0" w:lastColumn="0" w:oddVBand="0" w:evenVBand="0" w:oddHBand="0" w:evenHBand="0" w:firstRowFirstColumn="0" w:firstRowLastColumn="0" w:lastRowFirstColumn="0" w:lastRowLastColumn="0"/>
          <w:trHeight w:val="279"/>
        </w:trPr>
        <w:tc>
          <w:tcPr>
            <w:tcW w:w="985" w:type="pct"/>
            <w:vMerge w:val="restart"/>
          </w:tcPr>
          <w:p w14:paraId="4292CBDE" w14:textId="77777777" w:rsidR="00E30565" w:rsidRPr="00810933" w:rsidRDefault="00E30565" w:rsidP="002F6BD2"/>
        </w:tc>
        <w:tc>
          <w:tcPr>
            <w:tcW w:w="4015" w:type="pct"/>
            <w:gridSpan w:val="5"/>
          </w:tcPr>
          <w:p w14:paraId="14A3E249" w14:textId="77777777" w:rsidR="00E30565" w:rsidRPr="00810933" w:rsidRDefault="00E30565" w:rsidP="002F6BD2">
            <w:r w:rsidRPr="00810933">
              <w:t xml:space="preserve">Regulatory Year </w:t>
            </w:r>
          </w:p>
        </w:tc>
      </w:tr>
      <w:tr w:rsidR="00E30565" w:rsidRPr="005E2B69" w14:paraId="2F0F3E02" w14:textId="77777777" w:rsidTr="002F6BD2">
        <w:trPr>
          <w:trHeight w:val="313"/>
        </w:trPr>
        <w:tc>
          <w:tcPr>
            <w:tcW w:w="985" w:type="pct"/>
            <w:vMerge/>
          </w:tcPr>
          <w:p w14:paraId="47E03605" w14:textId="77777777" w:rsidR="00E30565" w:rsidRPr="00810933" w:rsidRDefault="00E30565" w:rsidP="002F6BD2"/>
        </w:tc>
        <w:tc>
          <w:tcPr>
            <w:tcW w:w="802" w:type="pct"/>
          </w:tcPr>
          <w:p w14:paraId="7F854417" w14:textId="77777777" w:rsidR="00E30565" w:rsidRPr="00810933" w:rsidRDefault="00E30565" w:rsidP="002F6BD2">
            <w:r w:rsidRPr="00810933">
              <w:t>2021/22</w:t>
            </w:r>
          </w:p>
        </w:tc>
        <w:tc>
          <w:tcPr>
            <w:tcW w:w="802" w:type="pct"/>
          </w:tcPr>
          <w:p w14:paraId="3692243C" w14:textId="77777777" w:rsidR="00E30565" w:rsidRPr="00810933" w:rsidRDefault="00E30565" w:rsidP="002F6BD2">
            <w:r w:rsidRPr="00810933">
              <w:t>2022/23</w:t>
            </w:r>
          </w:p>
        </w:tc>
        <w:tc>
          <w:tcPr>
            <w:tcW w:w="802" w:type="pct"/>
          </w:tcPr>
          <w:p w14:paraId="1F84F1A2" w14:textId="77777777" w:rsidR="00E30565" w:rsidRPr="00810933" w:rsidRDefault="00E30565" w:rsidP="002F6BD2">
            <w:r w:rsidRPr="00810933">
              <w:t>2023/24</w:t>
            </w:r>
          </w:p>
        </w:tc>
        <w:tc>
          <w:tcPr>
            <w:tcW w:w="802" w:type="pct"/>
          </w:tcPr>
          <w:p w14:paraId="4A36938A" w14:textId="77777777" w:rsidR="00E30565" w:rsidRPr="00810933" w:rsidRDefault="00E30565" w:rsidP="002F6BD2">
            <w:r w:rsidRPr="00810933">
              <w:t>2024/25</w:t>
            </w:r>
          </w:p>
        </w:tc>
        <w:tc>
          <w:tcPr>
            <w:tcW w:w="806" w:type="pct"/>
          </w:tcPr>
          <w:p w14:paraId="2AC6FE1C" w14:textId="77777777" w:rsidR="00E30565" w:rsidRPr="00810933" w:rsidRDefault="00E30565" w:rsidP="002F6BD2">
            <w:r w:rsidRPr="00810933">
              <w:t>2025/26</w:t>
            </w:r>
          </w:p>
        </w:tc>
      </w:tr>
      <w:tr w:rsidR="00E30565" w:rsidRPr="005E2B69" w14:paraId="30E928EC" w14:textId="77777777" w:rsidTr="002F6BD2">
        <w:trPr>
          <w:trHeight w:val="574"/>
        </w:trPr>
        <w:tc>
          <w:tcPr>
            <w:tcW w:w="985" w:type="pct"/>
          </w:tcPr>
          <w:p w14:paraId="76CA914A" w14:textId="77777777" w:rsidR="00E30565" w:rsidRPr="00810933" w:rsidRDefault="00E30565" w:rsidP="002F6BD2">
            <w:r w:rsidRPr="00810933">
              <w:t>BDC (MVA)</w:t>
            </w:r>
          </w:p>
        </w:tc>
        <w:tc>
          <w:tcPr>
            <w:tcW w:w="802" w:type="pct"/>
          </w:tcPr>
          <w:p w14:paraId="5434B76C" w14:textId="77777777" w:rsidR="00E30565" w:rsidRPr="00810933" w:rsidRDefault="00E30565" w:rsidP="002F6BD2"/>
        </w:tc>
        <w:tc>
          <w:tcPr>
            <w:tcW w:w="802" w:type="pct"/>
          </w:tcPr>
          <w:p w14:paraId="056D87AD" w14:textId="77777777" w:rsidR="00E30565" w:rsidRPr="00810933" w:rsidRDefault="00E30565" w:rsidP="002F6BD2"/>
        </w:tc>
        <w:tc>
          <w:tcPr>
            <w:tcW w:w="802" w:type="pct"/>
          </w:tcPr>
          <w:p w14:paraId="55FA985E" w14:textId="77777777" w:rsidR="00E30565" w:rsidRPr="00810933" w:rsidRDefault="00E30565" w:rsidP="002F6BD2"/>
        </w:tc>
        <w:tc>
          <w:tcPr>
            <w:tcW w:w="802" w:type="pct"/>
          </w:tcPr>
          <w:p w14:paraId="09B4218C" w14:textId="77777777" w:rsidR="00E30565" w:rsidRPr="00810933" w:rsidRDefault="00E30565" w:rsidP="002F6BD2"/>
        </w:tc>
        <w:tc>
          <w:tcPr>
            <w:tcW w:w="806" w:type="pct"/>
          </w:tcPr>
          <w:p w14:paraId="5E77B1B4" w14:textId="77777777" w:rsidR="00E30565" w:rsidRPr="00810933" w:rsidRDefault="00E30565" w:rsidP="002F6BD2"/>
        </w:tc>
      </w:tr>
      <w:tr w:rsidR="00E30565" w:rsidRPr="005E2B69" w14:paraId="683D39D8" w14:textId="77777777" w:rsidTr="002F6BD2">
        <w:trPr>
          <w:trHeight w:val="837"/>
        </w:trPr>
        <w:tc>
          <w:tcPr>
            <w:tcW w:w="985" w:type="pct"/>
          </w:tcPr>
          <w:p w14:paraId="7BD3BA1A" w14:textId="77777777" w:rsidR="00E30565" w:rsidRPr="00810933" w:rsidRDefault="00E30565" w:rsidP="002F6BD2">
            <w:r w:rsidRPr="00810933">
              <w:t xml:space="preserve">BLDOHL    </w:t>
            </w:r>
            <w:proofErr w:type="gramStart"/>
            <w:r w:rsidRPr="00810933">
              <w:t xml:space="preserve">   (</w:t>
            </w:r>
            <w:proofErr w:type="gramEnd"/>
            <w:r w:rsidRPr="00810933">
              <w:t>circuit km)</w:t>
            </w:r>
          </w:p>
        </w:tc>
        <w:tc>
          <w:tcPr>
            <w:tcW w:w="802" w:type="pct"/>
          </w:tcPr>
          <w:p w14:paraId="04976585" w14:textId="77777777" w:rsidR="00E30565" w:rsidRPr="00810933" w:rsidRDefault="00E30565" w:rsidP="002F6BD2"/>
        </w:tc>
        <w:tc>
          <w:tcPr>
            <w:tcW w:w="802" w:type="pct"/>
          </w:tcPr>
          <w:p w14:paraId="3F1E4C59" w14:textId="77777777" w:rsidR="00E30565" w:rsidRPr="00810933" w:rsidRDefault="00E30565" w:rsidP="002F6BD2"/>
        </w:tc>
        <w:tc>
          <w:tcPr>
            <w:tcW w:w="802" w:type="pct"/>
          </w:tcPr>
          <w:p w14:paraId="0863D28B" w14:textId="77777777" w:rsidR="00E30565" w:rsidRPr="00810933" w:rsidRDefault="00E30565" w:rsidP="002F6BD2"/>
        </w:tc>
        <w:tc>
          <w:tcPr>
            <w:tcW w:w="802" w:type="pct"/>
          </w:tcPr>
          <w:p w14:paraId="7890DAA9" w14:textId="77777777" w:rsidR="00E30565" w:rsidRPr="00810933" w:rsidRDefault="00E30565" w:rsidP="002F6BD2"/>
        </w:tc>
        <w:tc>
          <w:tcPr>
            <w:tcW w:w="806" w:type="pct"/>
          </w:tcPr>
          <w:p w14:paraId="68218020" w14:textId="77777777" w:rsidR="00E30565" w:rsidRPr="00810933" w:rsidRDefault="00E30565" w:rsidP="002F6BD2"/>
        </w:tc>
      </w:tr>
    </w:tbl>
    <w:p w14:paraId="4828C86A" w14:textId="26F30EDB" w:rsidR="00E30565" w:rsidRDefault="00E30565" w:rsidP="009E0A61"/>
    <w:p w14:paraId="55BF6B00" w14:textId="67B4482A" w:rsidR="00F44816" w:rsidRDefault="767EA0B8" w:rsidP="00F44816">
      <w:pPr>
        <w:pStyle w:val="Heading2"/>
      </w:pPr>
      <w:bookmarkStart w:id="114" w:name="_Toc52364903"/>
      <w:r>
        <w:lastRenderedPageBreak/>
        <w:t xml:space="preserve">Large Onshore Transmission Investment Re-opener </w:t>
      </w:r>
      <w:r w:rsidR="00DF4FC3">
        <w:t>(</w:t>
      </w:r>
      <w:proofErr w:type="spellStart"/>
      <w:r w:rsidR="00DF4FC3">
        <w:t>LOTIt</w:t>
      </w:r>
      <w:proofErr w:type="spellEnd"/>
      <w:r w:rsidR="00DF4FC3">
        <w:t>)</w:t>
      </w:r>
      <w:bookmarkEnd w:id="113"/>
      <w:bookmarkEnd w:id="114"/>
    </w:p>
    <w:p w14:paraId="0E60C40F" w14:textId="77777777" w:rsidR="00156224" w:rsidRPr="00156224" w:rsidRDefault="00156224" w:rsidP="00556E83">
      <w:pPr>
        <w:pStyle w:val="Heading3nonumbering"/>
      </w:pPr>
      <w:r w:rsidRPr="00156224">
        <w:t xml:space="preserve">Introduction </w:t>
      </w:r>
    </w:p>
    <w:p w14:paraId="314E3B9B" w14:textId="243E3AD8" w:rsidR="00156224" w:rsidRPr="00156224" w:rsidRDefault="00156224" w:rsidP="00556E83">
      <w:pPr>
        <w:pStyle w:val="NumberedNormal"/>
      </w:pPr>
      <w:r w:rsidRPr="00156224">
        <w:t xml:space="preserve">The purpose of this condition is to calculate the term </w:t>
      </w:r>
      <w:proofErr w:type="spellStart"/>
      <w:r w:rsidRPr="00156224">
        <w:t>LOTIt</w:t>
      </w:r>
      <w:proofErr w:type="spellEnd"/>
      <w:r w:rsidRPr="00156224">
        <w:t xml:space="preserve"> (the Large Onshore Transmission Investment Re-opener term).  This contributes to the calculation of the Totex Allowance.</w:t>
      </w:r>
    </w:p>
    <w:p w14:paraId="21518014" w14:textId="77777777" w:rsidR="00156224" w:rsidRPr="00156224" w:rsidRDefault="00156224" w:rsidP="00556E83">
      <w:pPr>
        <w:pStyle w:val="NumberedNormal"/>
      </w:pPr>
      <w:r w:rsidRPr="00156224">
        <w:t>The effect of this condition is to establish a Re-opener for the licensee to apply for an adjustment to its allowed expenditure where there is a need for additional investment in the transmission network.</w:t>
      </w:r>
    </w:p>
    <w:p w14:paraId="4EAB3FC7" w14:textId="39491E34" w:rsidR="00156224" w:rsidRPr="00156224" w:rsidRDefault="00156224" w:rsidP="00556E83">
      <w:pPr>
        <w:pStyle w:val="Heading3"/>
      </w:pPr>
      <w:r w:rsidRPr="00156224">
        <w:t>What costs are within scope of this Re-opener and what are the pre-application requirements?</w:t>
      </w:r>
    </w:p>
    <w:p w14:paraId="1ABA9E32" w14:textId="02642A18" w:rsidR="00156224" w:rsidRPr="00156224" w:rsidRDefault="00156224" w:rsidP="00556E83">
      <w:pPr>
        <w:pStyle w:val="NumberedNormal"/>
      </w:pPr>
      <w:r w:rsidRPr="00156224">
        <w:t>The licensee may, in respect of any LOTI, apply to the Authority for a Project Assessment Direction specifying a LOTI Output</w:t>
      </w:r>
      <w:r w:rsidR="00F21093">
        <w:t>, a LOTI Delivery Date and associated allowances</w:t>
      </w:r>
      <w:r w:rsidRPr="00156224">
        <w:t xml:space="preserve"> in Appendix 1.</w:t>
      </w:r>
    </w:p>
    <w:p w14:paraId="0453A308" w14:textId="77777777" w:rsidR="00156224" w:rsidRPr="00156224" w:rsidRDefault="00156224" w:rsidP="005B2ADE">
      <w:pPr>
        <w:pStyle w:val="NumberedNormal"/>
      </w:pPr>
      <w:r w:rsidRPr="00156224">
        <w:t>Before applying for a Project Assessment Direction, the licensee must:</w:t>
      </w:r>
    </w:p>
    <w:p w14:paraId="17A22C98" w14:textId="57AF81FB" w:rsidR="00156224" w:rsidRPr="00156224" w:rsidRDefault="00156224" w:rsidP="005B2ADE">
      <w:pPr>
        <w:pStyle w:val="ListNormal"/>
      </w:pPr>
      <w:r w:rsidRPr="00156224">
        <w:t xml:space="preserve">obtain approval of eligibility to apply as provided for in Part </w:t>
      </w:r>
      <w:proofErr w:type="gramStart"/>
      <w:r w:rsidRPr="00156224">
        <w:t>C;</w:t>
      </w:r>
      <w:proofErr w:type="gramEnd"/>
    </w:p>
    <w:p w14:paraId="43959005" w14:textId="031A5AEC" w:rsidR="00156224" w:rsidRPr="00156224" w:rsidRDefault="00156224" w:rsidP="005B2ADE">
      <w:pPr>
        <w:pStyle w:val="ListNormal"/>
      </w:pPr>
      <w:r w:rsidRPr="00156224">
        <w:t>submit an Initial Needs Case to the Authority for consideration as provided for in Part D, unless relieved of this requirement by the Authority by direction; and</w:t>
      </w:r>
    </w:p>
    <w:p w14:paraId="5BC2F09F" w14:textId="251EC6F5" w:rsidR="00156224" w:rsidRPr="00156224" w:rsidRDefault="00156224" w:rsidP="005B2ADE">
      <w:pPr>
        <w:pStyle w:val="ListNormal"/>
      </w:pPr>
      <w:r w:rsidRPr="00156224">
        <w:t>obtain the Authority's approval of a Final Needs Case as provided for in Part E.</w:t>
      </w:r>
    </w:p>
    <w:p w14:paraId="5034F1B3" w14:textId="603F8CB3" w:rsidR="00CD40FD" w:rsidRDefault="00CD40FD" w:rsidP="005B2ADE">
      <w:pPr>
        <w:pStyle w:val="Heading3"/>
      </w:pPr>
      <w:r>
        <w:t>LOTI Outputs</w:t>
      </w:r>
      <w:r w:rsidR="009B7330">
        <w:t xml:space="preserve">    </w:t>
      </w:r>
    </w:p>
    <w:p w14:paraId="540CD949" w14:textId="77777777" w:rsidR="003352AE" w:rsidRDefault="00DF4FC3" w:rsidP="003352AE">
      <w:pPr>
        <w:pStyle w:val="NumberedNormal"/>
      </w:pPr>
      <w:r>
        <w:t xml:space="preserve">The licensee must deliver the outputs specified in Appendix 1 by the delivery date specified in Appendix 1. </w:t>
      </w:r>
    </w:p>
    <w:p w14:paraId="34E9B6B5" w14:textId="0711E1B7" w:rsidR="00156224" w:rsidRPr="00156224" w:rsidRDefault="00156224" w:rsidP="003352AE">
      <w:pPr>
        <w:pStyle w:val="Heading3"/>
      </w:pPr>
      <w:r w:rsidRPr="00156224">
        <w:t>Approval of eligibility to apply for a LOTI Output</w:t>
      </w:r>
    </w:p>
    <w:p w14:paraId="2CF945CF" w14:textId="2B683F9C" w:rsidR="00156224" w:rsidRPr="00156224" w:rsidRDefault="00087F71" w:rsidP="006C703C">
      <w:pPr>
        <w:pStyle w:val="NumberedNormal"/>
      </w:pPr>
      <w:bookmarkStart w:id="115" w:name="_Ref26796345"/>
      <w:r>
        <w:t>N</w:t>
      </w:r>
      <w:r w:rsidRPr="00156224">
        <w:t>o</w:t>
      </w:r>
      <w:r>
        <w:t>t</w:t>
      </w:r>
      <w:r w:rsidRPr="00156224">
        <w:t xml:space="preserve"> less than six months prior to the licensee's intended date for submitting an Initial Needs Case</w:t>
      </w:r>
      <w:r>
        <w:t>,</w:t>
      </w:r>
      <w:r w:rsidRPr="00156224">
        <w:t xml:space="preserve"> </w:t>
      </w:r>
      <w:r>
        <w:t>a</w:t>
      </w:r>
      <w:r w:rsidRPr="00156224">
        <w:t xml:space="preserve">pproval </w:t>
      </w:r>
      <w:r w:rsidR="00156224" w:rsidRPr="00156224">
        <w:t>of eligibility to apply must</w:t>
      </w:r>
      <w:r w:rsidR="00D64F98" w:rsidRPr="00156224" w:rsidDel="00D64F98">
        <w:t xml:space="preserve"> </w:t>
      </w:r>
      <w:r w:rsidR="00D64F98">
        <w:t>b</w:t>
      </w:r>
      <w:r w:rsidR="00156224" w:rsidRPr="00156224">
        <w:t>e sought by way of written submission to the Authority, including statements setting out:</w:t>
      </w:r>
      <w:bookmarkEnd w:id="115"/>
    </w:p>
    <w:p w14:paraId="71F7EE63" w14:textId="77777777" w:rsidR="00156224" w:rsidRPr="00156224" w:rsidRDefault="00156224" w:rsidP="009E0A61">
      <w:pPr>
        <w:pStyle w:val="ListNormal"/>
        <w:numPr>
          <w:ilvl w:val="3"/>
          <w:numId w:val="30"/>
        </w:numPr>
        <w:tabs>
          <w:tab w:val="clear" w:pos="879"/>
        </w:tabs>
      </w:pPr>
      <w:r w:rsidRPr="00D64F98">
        <w:t>why</w:t>
      </w:r>
      <w:r w:rsidRPr="00156224">
        <w:t xml:space="preserve"> the investment falls within the scope of this Re-opener (i.e. why the investment is a LOTI</w:t>
      </w:r>
      <w:proofErr w:type="gramStart"/>
      <w:r w:rsidRPr="00156224">
        <w:t>);</w:t>
      </w:r>
      <w:proofErr w:type="gramEnd"/>
      <w:r w:rsidRPr="00156224">
        <w:t xml:space="preserve"> </w:t>
      </w:r>
    </w:p>
    <w:p w14:paraId="4F814FA7" w14:textId="77777777" w:rsidR="00156224" w:rsidRPr="00156224" w:rsidRDefault="00156224" w:rsidP="009E0A61">
      <w:pPr>
        <w:pStyle w:val="ListNormal"/>
        <w:numPr>
          <w:ilvl w:val="3"/>
          <w:numId w:val="30"/>
        </w:numPr>
        <w:tabs>
          <w:tab w:val="clear" w:pos="879"/>
        </w:tabs>
      </w:pPr>
      <w:r w:rsidRPr="00156224">
        <w:t>a brief description of the LOTI; and</w:t>
      </w:r>
    </w:p>
    <w:p w14:paraId="2ED98951" w14:textId="52F3E428" w:rsidR="00156224" w:rsidRPr="00156224" w:rsidRDefault="00156224" w:rsidP="009E0A61">
      <w:pPr>
        <w:pStyle w:val="ListNormal"/>
        <w:numPr>
          <w:ilvl w:val="3"/>
          <w:numId w:val="30"/>
        </w:numPr>
        <w:tabs>
          <w:tab w:val="clear" w:pos="879"/>
        </w:tabs>
      </w:pPr>
      <w:r w:rsidRPr="00156224">
        <w:t xml:space="preserve">if the licensee considers that the timings for the assessment of the LOTI should be </w:t>
      </w:r>
      <w:r w:rsidRPr="00D64F98">
        <w:t>different</w:t>
      </w:r>
      <w:r w:rsidRPr="00156224">
        <w:t xml:space="preserve"> to the timings set out in Parts D or E, proposed alternative timings. </w:t>
      </w:r>
    </w:p>
    <w:p w14:paraId="6A75C57C" w14:textId="4D396A0A" w:rsidR="00156224" w:rsidRPr="00156224" w:rsidRDefault="00156224" w:rsidP="00C34593">
      <w:pPr>
        <w:pStyle w:val="Heading3"/>
      </w:pPr>
      <w:r w:rsidRPr="00156224">
        <w:t>Initial Needs Case</w:t>
      </w:r>
    </w:p>
    <w:p w14:paraId="432616D0" w14:textId="31B5C4EF" w:rsidR="00156224" w:rsidRPr="00156224" w:rsidRDefault="00156224" w:rsidP="00C34593">
      <w:pPr>
        <w:pStyle w:val="NumberedNormal"/>
      </w:pPr>
      <w:bookmarkStart w:id="116" w:name="_Ref27663195"/>
      <w:r w:rsidRPr="00156224">
        <w:t>If the Authority approves the eligibility of the project, the licensee may submit an Initial Needs Case to the Authority for consideration.</w:t>
      </w:r>
    </w:p>
    <w:p w14:paraId="27461191" w14:textId="77777777" w:rsidR="00156224" w:rsidRPr="00156224" w:rsidRDefault="00156224" w:rsidP="00C34593">
      <w:pPr>
        <w:pStyle w:val="NumberedNormal"/>
      </w:pPr>
      <w:r w:rsidRPr="00156224">
        <w:lastRenderedPageBreak/>
        <w:t>The Initial Needs Case must be submitted:</w:t>
      </w:r>
    </w:p>
    <w:p w14:paraId="461C9FA6" w14:textId="77777777" w:rsidR="00156224" w:rsidRPr="00156224" w:rsidRDefault="00156224" w:rsidP="00C34593">
      <w:pPr>
        <w:pStyle w:val="ListNormal"/>
      </w:pPr>
      <w:r w:rsidRPr="00156224">
        <w:t xml:space="preserve">not less than twelve months prior to the licensee's intended date for issuing its Final Statutory Planning Consultation; or </w:t>
      </w:r>
    </w:p>
    <w:p w14:paraId="53257114" w14:textId="77777777" w:rsidR="00156224" w:rsidRPr="00156224" w:rsidRDefault="00156224" w:rsidP="00C34593">
      <w:pPr>
        <w:pStyle w:val="ListNormal"/>
      </w:pPr>
      <w:r w:rsidRPr="00156224">
        <w:t>by such other date as the Authority may direct.</w:t>
      </w:r>
      <w:bookmarkEnd w:id="116"/>
    </w:p>
    <w:p w14:paraId="5E6FFAEF" w14:textId="2EA5E1C4" w:rsidR="00156224" w:rsidRPr="00156224" w:rsidRDefault="00156224" w:rsidP="00C34593">
      <w:pPr>
        <w:pStyle w:val="Heading3"/>
      </w:pPr>
      <w:r w:rsidRPr="00156224">
        <w:t>Final Needs Case</w:t>
      </w:r>
    </w:p>
    <w:p w14:paraId="08FA8788" w14:textId="77777777" w:rsidR="00156224" w:rsidRPr="00156224" w:rsidRDefault="00156224" w:rsidP="00C34593">
      <w:pPr>
        <w:pStyle w:val="NumberedNormal"/>
      </w:pPr>
      <w:bookmarkStart w:id="117" w:name="_Ref27663984"/>
      <w:r w:rsidRPr="00156224">
        <w:t xml:space="preserve">If the licensee has submitted an Initial Needs Case to the Authority in respect of which the Authority has published a response, or the Authority has relieved the licensee of the requirement to submit an Initial Needs Case by direction, the licensee may seek the Authority's approval of the Final Needs Case. </w:t>
      </w:r>
    </w:p>
    <w:p w14:paraId="4ACDE852" w14:textId="3A6772E1" w:rsidR="00156224" w:rsidRPr="00156224" w:rsidRDefault="00B162ED" w:rsidP="006C703C">
      <w:pPr>
        <w:pStyle w:val="NumberedNormal"/>
      </w:pPr>
      <w:r>
        <w:t>Unless the Authority otherwise directs, a</w:t>
      </w:r>
      <w:r w:rsidRPr="00156224">
        <w:t xml:space="preserve">pproval </w:t>
      </w:r>
      <w:r w:rsidR="00156224" w:rsidRPr="00156224">
        <w:t>must be sought</w:t>
      </w:r>
      <w:r>
        <w:t xml:space="preserve"> </w:t>
      </w:r>
      <w:r w:rsidR="00156224" w:rsidRPr="00156224">
        <w:t>after the licensee has secured all material planning consents.</w:t>
      </w:r>
      <w:bookmarkEnd w:id="117"/>
      <w:r w:rsidR="00156224" w:rsidRPr="00156224">
        <w:t xml:space="preserve">  </w:t>
      </w:r>
    </w:p>
    <w:p w14:paraId="585677FD" w14:textId="2CD2F7C4" w:rsidR="00156224" w:rsidRPr="00156224" w:rsidRDefault="00156224" w:rsidP="00C34593">
      <w:pPr>
        <w:pStyle w:val="Heading3"/>
      </w:pPr>
      <w:r w:rsidRPr="00156224">
        <w:t xml:space="preserve">Cost and Output Adjusting Event </w:t>
      </w:r>
    </w:p>
    <w:p w14:paraId="08461BD3" w14:textId="609C7A22" w:rsidR="00156224" w:rsidRPr="00156224" w:rsidRDefault="00156224" w:rsidP="00C34593">
      <w:pPr>
        <w:pStyle w:val="NumberedNormal"/>
      </w:pPr>
      <w:bookmarkStart w:id="118" w:name="_Ref26796581"/>
      <w:r w:rsidRPr="00156224">
        <w:t>The licensee may apply to the Authority for a direction adjusting the LOTI Output</w:t>
      </w:r>
      <w:r w:rsidR="00F21093">
        <w:t>, the LOTI Delivery Date</w:t>
      </w:r>
      <w:r w:rsidRPr="00156224">
        <w:t xml:space="preserve"> or </w:t>
      </w:r>
      <w:r w:rsidR="003D6DEA">
        <w:t>associated allowances in Appendix 1 where there has been a</w:t>
      </w:r>
      <w:r w:rsidRPr="00156224">
        <w:t xml:space="preserve"> Cost and Output Adjusting Event</w:t>
      </w:r>
      <w:r w:rsidR="00A24275">
        <w:t xml:space="preserve"> if</w:t>
      </w:r>
      <w:r w:rsidRPr="00156224">
        <w:t>:</w:t>
      </w:r>
    </w:p>
    <w:p w14:paraId="6531BC8E" w14:textId="54654ADC" w:rsidR="003D6DEA" w:rsidRDefault="003D6DEA" w:rsidP="00C34593">
      <w:pPr>
        <w:pStyle w:val="ListNormal"/>
      </w:pPr>
      <w:r>
        <w:t>th</w:t>
      </w:r>
      <w:r w:rsidR="00156224" w:rsidRPr="00156224">
        <w:t>e licensee could not have reasonably foreseen</w:t>
      </w:r>
      <w:r w:rsidR="00A24275">
        <w:t xml:space="preserve"> the </w:t>
      </w:r>
      <w:proofErr w:type="gramStart"/>
      <w:r w:rsidR="00A24275">
        <w:t>Event</w:t>
      </w:r>
      <w:r>
        <w:t>;</w:t>
      </w:r>
      <w:proofErr w:type="gramEnd"/>
    </w:p>
    <w:p w14:paraId="04A62B3F" w14:textId="4CF5B050" w:rsidR="00156224" w:rsidRPr="00156224" w:rsidRDefault="003D6DEA" w:rsidP="00C34593">
      <w:pPr>
        <w:pStyle w:val="ListNormal"/>
      </w:pPr>
      <w:r>
        <w:t>the licensee could not</w:t>
      </w:r>
      <w:r w:rsidR="00156224" w:rsidRPr="00156224">
        <w:t xml:space="preserve"> have economically and efficiently planned a contingency</w:t>
      </w:r>
      <w:r w:rsidR="00A24275">
        <w:t xml:space="preserve"> for the </w:t>
      </w:r>
      <w:proofErr w:type="gramStart"/>
      <w:r w:rsidR="00A24275">
        <w:t>Event</w:t>
      </w:r>
      <w:r w:rsidR="00156224" w:rsidRPr="00156224">
        <w:t>;</w:t>
      </w:r>
      <w:proofErr w:type="gramEnd"/>
    </w:p>
    <w:p w14:paraId="75D5CF33" w14:textId="454BA102" w:rsidR="00156224" w:rsidRPr="00156224" w:rsidRDefault="00A24275" w:rsidP="00C34593">
      <w:pPr>
        <w:pStyle w:val="ListNormal"/>
      </w:pPr>
      <w:r>
        <w:t xml:space="preserve">the Event </w:t>
      </w:r>
      <w:r w:rsidR="00156224" w:rsidRPr="00156224">
        <w:t xml:space="preserve">has caused expenditure to increase or decrease by at least 20% relative to the relevant </w:t>
      </w:r>
      <w:r w:rsidR="003D6DEA">
        <w:t>allowance in Appendix 1</w:t>
      </w:r>
      <w:r w:rsidR="00156224" w:rsidRPr="00156224">
        <w:t xml:space="preserve">, or </w:t>
      </w:r>
      <w:r>
        <w:t xml:space="preserve">by at least </w:t>
      </w:r>
      <w:r w:rsidR="00156224" w:rsidRPr="00156224">
        <w:t xml:space="preserve">such other percentage as the Authority may direct (calculated before the application of the Totex Incentive Strength Rate); and </w:t>
      </w:r>
    </w:p>
    <w:p w14:paraId="267AC407" w14:textId="5FCEA305" w:rsidR="00156224" w:rsidRPr="00156224" w:rsidRDefault="00156224" w:rsidP="00C34593">
      <w:pPr>
        <w:pStyle w:val="ListNormal"/>
      </w:pPr>
      <w:r w:rsidRPr="00156224">
        <w:t>the increase or decrease in expenditure is expected to be efficiently incurred or saved.</w:t>
      </w:r>
      <w:bookmarkEnd w:id="118"/>
      <w:r w:rsidRPr="00156224">
        <w:t xml:space="preserve"> </w:t>
      </w:r>
    </w:p>
    <w:p w14:paraId="4EC86957" w14:textId="4C842217" w:rsidR="00A24275" w:rsidRDefault="00E644C2" w:rsidP="00C34593">
      <w:pPr>
        <w:pStyle w:val="NumberedNormal"/>
      </w:pPr>
      <w:bookmarkStart w:id="119" w:name="_Ref26796636"/>
      <w:r>
        <w:t>Unless the Authority otherwise directs, t</w:t>
      </w:r>
      <w:r w:rsidR="003D6DEA">
        <w:t>he licensee must make the</w:t>
      </w:r>
      <w:r w:rsidR="00156224" w:rsidRPr="00156224">
        <w:t xml:space="preserve"> application</w:t>
      </w:r>
      <w:r w:rsidR="00A24275">
        <w:t>:</w:t>
      </w:r>
    </w:p>
    <w:p w14:paraId="1650067F" w14:textId="2293F3EB" w:rsidR="00A24275" w:rsidRDefault="00A24275" w:rsidP="005938A4">
      <w:pPr>
        <w:pStyle w:val="NumberedNormal"/>
        <w:numPr>
          <w:ilvl w:val="0"/>
          <w:numId w:val="0"/>
        </w:numPr>
        <w:ind w:left="879"/>
      </w:pPr>
      <w:r>
        <w:t xml:space="preserve">(a) </w:t>
      </w:r>
      <w:r w:rsidR="00156224" w:rsidRPr="00156224">
        <w:t xml:space="preserve">as soon as is reasonably practicable after the Cost and Output Adjusting Event has </w:t>
      </w:r>
      <w:r w:rsidRPr="00156224">
        <w:t>occurred</w:t>
      </w:r>
      <w:r>
        <w:t xml:space="preserve">; </w:t>
      </w:r>
      <w:r w:rsidR="00156224" w:rsidRPr="00156224">
        <w:t xml:space="preserve">and </w:t>
      </w:r>
    </w:p>
    <w:p w14:paraId="5B1E27BC" w14:textId="0E3A96EE" w:rsidR="00A24275" w:rsidRPr="00156224" w:rsidRDefault="00A24275" w:rsidP="005938A4">
      <w:pPr>
        <w:pStyle w:val="NumberedNormal"/>
        <w:numPr>
          <w:ilvl w:val="0"/>
          <w:numId w:val="0"/>
        </w:numPr>
        <w:ind w:left="879"/>
      </w:pPr>
      <w:r>
        <w:t xml:space="preserve">(b) </w:t>
      </w:r>
      <w:r w:rsidR="00156224" w:rsidRPr="00156224">
        <w:t xml:space="preserve">in any event </w:t>
      </w:r>
      <w:r w:rsidR="00BC45AD">
        <w:t xml:space="preserve">before the end of </w:t>
      </w:r>
      <w:r>
        <w:t xml:space="preserve">the period of </w:t>
      </w:r>
      <w:r w:rsidR="00156224" w:rsidRPr="00156224">
        <w:t xml:space="preserve">three months </w:t>
      </w:r>
      <w:r>
        <w:t xml:space="preserve">beginning with </w:t>
      </w:r>
      <w:r w:rsidR="00156224" w:rsidRPr="00156224">
        <w:t xml:space="preserve">the end of the Regulatory Year in which </w:t>
      </w:r>
      <w:r>
        <w:t xml:space="preserve">the Event </w:t>
      </w:r>
      <w:r w:rsidR="00156224" w:rsidRPr="00156224">
        <w:t>occurred</w:t>
      </w:r>
      <w:r>
        <w:t>.</w:t>
      </w:r>
    </w:p>
    <w:p w14:paraId="0EBB3475" w14:textId="01008FD8" w:rsidR="00156224" w:rsidRPr="00156224" w:rsidRDefault="00156224" w:rsidP="00C34593">
      <w:pPr>
        <w:pStyle w:val="NumberedNormal"/>
      </w:pPr>
      <w:r w:rsidRPr="00156224">
        <w:t>An application</w:t>
      </w:r>
      <w:r w:rsidR="003D6DEA">
        <w:t xml:space="preserve"> under paragraph </w:t>
      </w:r>
      <w:r w:rsidR="00A24275">
        <w:t>3.19.</w:t>
      </w:r>
      <w:r w:rsidR="00287D70">
        <w:t>11</w:t>
      </w:r>
      <w:r w:rsidR="00287D70" w:rsidRPr="00156224">
        <w:t xml:space="preserve"> </w:t>
      </w:r>
      <w:r w:rsidRPr="00156224">
        <w:t>must</w:t>
      </w:r>
      <w:r w:rsidR="003D6DEA">
        <w:t xml:space="preserve"> be made in writing and must</w:t>
      </w:r>
      <w:r w:rsidRPr="00156224">
        <w:t xml:space="preserve">: </w:t>
      </w:r>
    </w:p>
    <w:p w14:paraId="050D6953" w14:textId="10FC73DD" w:rsidR="00156224" w:rsidRPr="00156224" w:rsidRDefault="00156224" w:rsidP="00C34593">
      <w:pPr>
        <w:pStyle w:val="ListNormal"/>
      </w:pPr>
      <w:r w:rsidRPr="00156224">
        <w:t>include evidence that a Cost and Output Adjusting Event</w:t>
      </w:r>
      <w:r w:rsidR="003D6DEA">
        <w:t xml:space="preserve"> meeting the requirements set out in paragraph </w:t>
      </w:r>
      <w:r w:rsidR="00A24275">
        <w:t>3.19.</w:t>
      </w:r>
      <w:r w:rsidR="00C12787">
        <w:t>11</w:t>
      </w:r>
      <w:r w:rsidR="00C12787" w:rsidRPr="00156224">
        <w:t xml:space="preserve"> </w:t>
      </w:r>
      <w:r w:rsidRPr="00156224">
        <w:t xml:space="preserve">has </w:t>
      </w:r>
      <w:proofErr w:type="gramStart"/>
      <w:r w:rsidRPr="00156224">
        <w:t>occurred;</w:t>
      </w:r>
      <w:bookmarkEnd w:id="119"/>
      <w:proofErr w:type="gramEnd"/>
      <w:r w:rsidRPr="00156224">
        <w:t xml:space="preserve"> </w:t>
      </w:r>
    </w:p>
    <w:p w14:paraId="0F44E77F" w14:textId="629B2DAF" w:rsidR="003D6DEA" w:rsidRDefault="003D6DEA" w:rsidP="00C34593">
      <w:pPr>
        <w:pStyle w:val="ListNormal"/>
      </w:pPr>
      <w:r>
        <w:t xml:space="preserve">set out any amendments requested to the LOTI output, the LOTI Delivery Date or associated allowances in Appendix </w:t>
      </w:r>
      <w:proofErr w:type="gramStart"/>
      <w:r>
        <w:t>1;</w:t>
      </w:r>
      <w:proofErr w:type="gramEnd"/>
    </w:p>
    <w:p w14:paraId="6E8E44BB" w14:textId="0E4A38AD" w:rsidR="00156224" w:rsidRPr="00156224" w:rsidRDefault="003D6DEA" w:rsidP="00C34593">
      <w:pPr>
        <w:pStyle w:val="ListNormal"/>
      </w:pPr>
      <w:r>
        <w:t>explain</w:t>
      </w:r>
      <w:r w:rsidR="00156224" w:rsidRPr="00156224">
        <w:t xml:space="preserve"> the basis of the calculation for any proposed adjustment to the </w:t>
      </w:r>
      <w:r>
        <w:t>allowances in Appendix 1</w:t>
      </w:r>
      <w:r w:rsidR="00156224" w:rsidRPr="00156224">
        <w:t xml:space="preserve">, which must be designed to keep, so far as is reasonably practicable, the financial position and performance of the </w:t>
      </w:r>
      <w:r w:rsidR="00156224" w:rsidRPr="00156224">
        <w:lastRenderedPageBreak/>
        <w:t>licensee the same as if the Cost and Output Adjusting Event had not occurred;</w:t>
      </w:r>
    </w:p>
    <w:p w14:paraId="6A4DDE10" w14:textId="036ACCC5" w:rsidR="003D6DEA" w:rsidRDefault="003D6DEA" w:rsidP="00C34593">
      <w:pPr>
        <w:pStyle w:val="ListNormal"/>
      </w:pPr>
      <w:r w:rsidRPr="00156224">
        <w:t xml:space="preserve">include a statement from a technical adviser, who is external to and independent from the licensee, whether, considered in the context of the value of the LOTI Output, the proposed adjustments to the </w:t>
      </w:r>
      <w:r>
        <w:t xml:space="preserve">LOTI Output, the LOTI Delivery Date </w:t>
      </w:r>
      <w:r w:rsidR="00A24275">
        <w:t xml:space="preserve">or </w:t>
      </w:r>
      <w:r>
        <w:t>associated allowances</w:t>
      </w:r>
      <w:r w:rsidRPr="00156224">
        <w:t xml:space="preserve"> fairly reflect the effects of the Cost and Output Adjusting Event</w:t>
      </w:r>
      <w:r>
        <w:t>; and</w:t>
      </w:r>
    </w:p>
    <w:p w14:paraId="1DFBEE1F" w14:textId="7EEA6C9B" w:rsidR="00156224" w:rsidRPr="00156224" w:rsidRDefault="00A24275" w:rsidP="005938A4">
      <w:pPr>
        <w:pStyle w:val="ListNormal"/>
      </w:pPr>
      <w:r>
        <w:t xml:space="preserve">include </w:t>
      </w:r>
      <w:r w:rsidR="00156224" w:rsidRPr="00156224">
        <w:t xml:space="preserve">any </w:t>
      </w:r>
      <w:r w:rsidR="003D6DEA">
        <w:t xml:space="preserve">other </w:t>
      </w:r>
      <w:r w:rsidR="00156224" w:rsidRPr="00156224">
        <w:t xml:space="preserve">relevant </w:t>
      </w:r>
      <w:r>
        <w:t xml:space="preserve">detailed </w:t>
      </w:r>
      <w:r w:rsidR="00156224" w:rsidRPr="00156224">
        <w:t xml:space="preserve">supporting </w:t>
      </w:r>
      <w:r>
        <w:t>evidence</w:t>
      </w:r>
      <w:r w:rsidR="003D6DEA">
        <w:t>.</w:t>
      </w:r>
    </w:p>
    <w:p w14:paraId="64EAE3F1" w14:textId="0E3A8CD2" w:rsidR="00156224" w:rsidRPr="00156224" w:rsidRDefault="00156224" w:rsidP="00C34593">
      <w:pPr>
        <w:pStyle w:val="Heading3"/>
      </w:pPr>
      <w:r w:rsidRPr="00156224">
        <w:t xml:space="preserve">What process will the Authority follow in making a direction? </w:t>
      </w:r>
    </w:p>
    <w:p w14:paraId="223775BC" w14:textId="62AD10FC" w:rsidR="00156224" w:rsidRPr="00156224" w:rsidRDefault="00156224" w:rsidP="00C34593">
      <w:pPr>
        <w:pStyle w:val="NumberedNormal"/>
      </w:pPr>
      <w:r w:rsidRPr="00156224">
        <w:t xml:space="preserve">Before initiating a Project Assessment Direction, the Authority will assess whether the contents of the proposed Project Assessment Direction </w:t>
      </w:r>
      <w:r w:rsidR="001E1EA9">
        <w:t>are</w:t>
      </w:r>
      <w:r w:rsidR="001E1EA9" w:rsidRPr="00156224">
        <w:t xml:space="preserve"> </w:t>
      </w:r>
      <w:r w:rsidRPr="00156224">
        <w:t>significantly different to the application submitted by the licensee under Part A.</w:t>
      </w:r>
    </w:p>
    <w:p w14:paraId="45121C80" w14:textId="2D588965" w:rsidR="00156224" w:rsidRPr="00156224" w:rsidRDefault="00156224" w:rsidP="00C34593">
      <w:pPr>
        <w:pStyle w:val="NumberedNormal"/>
      </w:pPr>
      <w:r w:rsidRPr="00156224">
        <w:t>In deciding whether the contents are significantly different, the Authority will have regard to</w:t>
      </w:r>
      <w:r w:rsidR="000E6074">
        <w:t xml:space="preserve"> </w:t>
      </w:r>
      <w:r w:rsidRPr="00156224">
        <w:t>the proposed</w:t>
      </w:r>
      <w:r w:rsidR="000E6074">
        <w:t xml:space="preserve"> </w:t>
      </w:r>
      <w:r w:rsidR="0081405E">
        <w:t>LOTI Output, the LOTI Delivery Date</w:t>
      </w:r>
      <w:r w:rsidRPr="00156224">
        <w:t xml:space="preserve"> </w:t>
      </w:r>
      <w:r w:rsidR="000E6074">
        <w:t>and associated allowances.</w:t>
      </w:r>
    </w:p>
    <w:p w14:paraId="62DC346A" w14:textId="7322B460" w:rsidR="00156224" w:rsidRPr="00156224" w:rsidRDefault="00156224" w:rsidP="00C34593">
      <w:pPr>
        <w:pStyle w:val="NumberedNormal"/>
      </w:pPr>
      <w:r w:rsidRPr="00156224">
        <w:t xml:space="preserve">If, having carried out the assessment in paragraph </w:t>
      </w:r>
      <w:r w:rsidR="00A24275">
        <w:t>3.19.</w:t>
      </w:r>
      <w:r w:rsidR="0081405E" w:rsidRPr="00156224">
        <w:t>1</w:t>
      </w:r>
      <w:r w:rsidR="00D63D86">
        <w:t>4</w:t>
      </w:r>
      <w:r w:rsidRPr="00156224">
        <w:t xml:space="preserve">, the Authority considers that the proposed Project Assessment Direction is not significantly different to the application submitted by the licensee under Part A, it will proceed with making a Project Assessment Direction in accordance with paragraphs </w:t>
      </w:r>
      <w:r w:rsidR="00A24275">
        <w:t>3.19.</w:t>
      </w:r>
      <w:r w:rsidR="0081405E">
        <w:t>1</w:t>
      </w:r>
      <w:r w:rsidR="00D63D86">
        <w:t>7</w:t>
      </w:r>
      <w:r w:rsidR="0081405E" w:rsidRPr="00156224">
        <w:t xml:space="preserve"> </w:t>
      </w:r>
      <w:r w:rsidRPr="00156224">
        <w:t xml:space="preserve">and </w:t>
      </w:r>
      <w:r w:rsidR="00A24275">
        <w:t>3.19.</w:t>
      </w:r>
      <w:r w:rsidR="0081405E">
        <w:t>1</w:t>
      </w:r>
      <w:r w:rsidR="00D63D86">
        <w:t>8</w:t>
      </w:r>
      <w:r w:rsidRPr="00156224">
        <w:t xml:space="preserve">. Otherwise, any amendments to the </w:t>
      </w:r>
      <w:r w:rsidR="0081405E">
        <w:t>s</w:t>
      </w:r>
      <w:r w:rsidRPr="00156224">
        <w:t xml:space="preserve">pecial </w:t>
      </w:r>
      <w:r w:rsidR="0081405E">
        <w:t>c</w:t>
      </w:r>
      <w:r w:rsidRPr="00156224">
        <w:t>onditions of this licence will be made under section 11A of the Act.</w:t>
      </w:r>
    </w:p>
    <w:p w14:paraId="34D39F26" w14:textId="61010A48" w:rsidR="00156224" w:rsidRPr="00156224" w:rsidRDefault="00156224" w:rsidP="00C34593">
      <w:pPr>
        <w:pStyle w:val="NumberedNormal"/>
      </w:pPr>
      <w:r w:rsidRPr="00156224">
        <w:t>Before making a Project Assessment Direction</w:t>
      </w:r>
      <w:r w:rsidRPr="00156224" w:rsidDel="004A1BB5">
        <w:t xml:space="preserve"> </w:t>
      </w:r>
      <w:r w:rsidRPr="00156224">
        <w:t xml:space="preserve">or a direction under paragraph </w:t>
      </w:r>
      <w:r w:rsidR="0081405E">
        <w:t>10</w:t>
      </w:r>
      <w:r w:rsidRPr="00156224">
        <w:t>, the Authority will publish on the Authority's Website:</w:t>
      </w:r>
    </w:p>
    <w:p w14:paraId="358D4A13" w14:textId="77777777" w:rsidR="00156224" w:rsidRPr="00156224" w:rsidRDefault="00156224" w:rsidP="00C34593">
      <w:pPr>
        <w:pStyle w:val="ListNormal"/>
      </w:pPr>
      <w:r w:rsidRPr="00156224">
        <w:t xml:space="preserve">the text of the proposed </w:t>
      </w:r>
      <w:proofErr w:type="gramStart"/>
      <w:r w:rsidRPr="00156224">
        <w:t>direction;</w:t>
      </w:r>
      <w:proofErr w:type="gramEnd"/>
    </w:p>
    <w:p w14:paraId="085F8981" w14:textId="6A5272B1" w:rsidR="00156224" w:rsidRPr="00156224" w:rsidRDefault="00156224" w:rsidP="00C34593">
      <w:pPr>
        <w:pStyle w:val="ListNormal"/>
      </w:pPr>
      <w:r w:rsidRPr="00156224">
        <w:t>the reasons for the proposed direction;</w:t>
      </w:r>
      <w:r w:rsidR="001E1EA9">
        <w:t xml:space="preserve"> and</w:t>
      </w:r>
    </w:p>
    <w:p w14:paraId="542AE218" w14:textId="72216098" w:rsidR="00156224" w:rsidRPr="00156224" w:rsidRDefault="0081405E" w:rsidP="005938A4">
      <w:pPr>
        <w:pStyle w:val="ListNormal"/>
        <w:tabs>
          <w:tab w:val="num" w:pos="879"/>
        </w:tabs>
      </w:pPr>
      <w:r w:rsidRPr="0081405E">
        <w:t>a period during which representations may be made on the proposed direction, which will not be less than 28 days.</w:t>
      </w:r>
    </w:p>
    <w:p w14:paraId="0C309075" w14:textId="77777777" w:rsidR="00156224" w:rsidRPr="00156224" w:rsidRDefault="00156224" w:rsidP="00C34593">
      <w:pPr>
        <w:pStyle w:val="NumberedNormal"/>
      </w:pPr>
      <w:r w:rsidRPr="00156224">
        <w:t>A Project Assessment Direction will set out:</w:t>
      </w:r>
    </w:p>
    <w:p w14:paraId="4FB6FE77" w14:textId="47969CB8" w:rsidR="00156224" w:rsidRPr="00156224" w:rsidRDefault="0081405E" w:rsidP="00C34593">
      <w:pPr>
        <w:pStyle w:val="ListNormal"/>
      </w:pPr>
      <w:r>
        <w:t>any amendments to Appendix 1;</w:t>
      </w:r>
      <w:r w:rsidR="001E1EA9">
        <w:t xml:space="preserve"> and</w:t>
      </w:r>
    </w:p>
    <w:p w14:paraId="3A4CFCF0" w14:textId="77777777" w:rsidR="00156224" w:rsidRPr="00156224" w:rsidRDefault="00156224" w:rsidP="00C34593">
      <w:pPr>
        <w:pStyle w:val="ListNormal"/>
      </w:pPr>
      <w:r w:rsidRPr="00156224">
        <w:t>any project-specific Cost and Output Adjusting Events.</w:t>
      </w:r>
    </w:p>
    <w:p w14:paraId="5CA2D359" w14:textId="1C75DB05" w:rsidR="0081405E" w:rsidRDefault="00156224" w:rsidP="00C34593">
      <w:pPr>
        <w:pStyle w:val="NumberedNormal"/>
      </w:pPr>
      <w:r w:rsidRPr="00156224">
        <w:t xml:space="preserve">A direction under paragraph </w:t>
      </w:r>
      <w:r w:rsidR="001E1EA9">
        <w:t>3.19.</w:t>
      </w:r>
      <w:r w:rsidR="0002426D" w:rsidRPr="00156224">
        <w:t>1</w:t>
      </w:r>
      <w:r w:rsidR="0002426D">
        <w:t>1</w:t>
      </w:r>
      <w:r w:rsidR="0002426D" w:rsidRPr="00156224">
        <w:t xml:space="preserve"> </w:t>
      </w:r>
      <w:r w:rsidRPr="00156224">
        <w:t>will set</w:t>
      </w:r>
      <w:r w:rsidR="001E1EA9">
        <w:t xml:space="preserve"> out</w:t>
      </w:r>
      <w:r w:rsidR="0081405E">
        <w:t>:</w:t>
      </w:r>
    </w:p>
    <w:p w14:paraId="5410BA7B" w14:textId="79456172" w:rsidR="0081405E" w:rsidRDefault="00156224" w:rsidP="0081405E">
      <w:pPr>
        <w:pStyle w:val="ListNormal"/>
      </w:pPr>
      <w:r w:rsidRPr="00156224">
        <w:t>any amendments to Appendix 1</w:t>
      </w:r>
      <w:r w:rsidR="004D2943">
        <w:t xml:space="preserve">, which will include any relevant </w:t>
      </w:r>
      <w:proofErr w:type="spellStart"/>
      <w:r w:rsidR="004D2943">
        <w:t>Opex</w:t>
      </w:r>
      <w:proofErr w:type="spellEnd"/>
      <w:r w:rsidR="004D2943">
        <w:t xml:space="preserve"> Uplift</w:t>
      </w:r>
      <w:r w:rsidR="0081405E">
        <w:t>;</w:t>
      </w:r>
      <w:r w:rsidRPr="00156224">
        <w:t xml:space="preserve"> and </w:t>
      </w:r>
    </w:p>
    <w:p w14:paraId="4946FA3E" w14:textId="10B6E8E1" w:rsidR="00156224" w:rsidRPr="00156224" w:rsidRDefault="00156224" w:rsidP="0081405E">
      <w:pPr>
        <w:pStyle w:val="ListNormal"/>
      </w:pPr>
      <w:r w:rsidRPr="00156224">
        <w:t>the Regulatory Years to which those adjustments relate.</w:t>
      </w:r>
    </w:p>
    <w:p w14:paraId="5D3635AD" w14:textId="6161770F" w:rsidR="00CD40FD" w:rsidRPr="00156224" w:rsidRDefault="00CD40FD" w:rsidP="00C34593">
      <w:pPr>
        <w:pStyle w:val="Heading3"/>
      </w:pPr>
      <w:r w:rsidRPr="00156224">
        <w:t>LOTI Guidance</w:t>
      </w:r>
    </w:p>
    <w:p w14:paraId="03B622F7" w14:textId="36ABF4DD" w:rsidR="00CD40FD" w:rsidRPr="00156224" w:rsidRDefault="00CD40FD" w:rsidP="00C34593">
      <w:pPr>
        <w:pStyle w:val="NumberedNormal"/>
      </w:pPr>
      <w:r w:rsidRPr="00156224">
        <w:t xml:space="preserve">The licensee must comply with LOTI Guidance when making an application under Part A or Part F, seeking approval under Part C or Part </w:t>
      </w:r>
      <w:proofErr w:type="gramStart"/>
      <w:r w:rsidRPr="00156224">
        <w:t>E</w:t>
      </w:r>
      <w:proofErr w:type="gramEnd"/>
      <w:r w:rsidRPr="00156224">
        <w:t xml:space="preserve"> </w:t>
      </w:r>
      <w:r w:rsidR="001E1EA9">
        <w:t xml:space="preserve">or </w:t>
      </w:r>
      <w:r w:rsidRPr="00156224">
        <w:t>making a submission under Part D.</w:t>
      </w:r>
    </w:p>
    <w:p w14:paraId="7D680D88" w14:textId="40FA793B" w:rsidR="00CD40FD" w:rsidRPr="00156224" w:rsidRDefault="00CD40FD" w:rsidP="00C34593">
      <w:pPr>
        <w:pStyle w:val="NumberedNormal"/>
      </w:pPr>
      <w:r w:rsidRPr="00156224">
        <w:lastRenderedPageBreak/>
        <w:t>The Authority will issue and amend LOTI Guidance by direction.</w:t>
      </w:r>
    </w:p>
    <w:p w14:paraId="1BDC1644" w14:textId="5F42B3DC" w:rsidR="00CD40FD" w:rsidRPr="00156224" w:rsidRDefault="00CD40FD" w:rsidP="00C34593">
      <w:pPr>
        <w:pStyle w:val="NumberedNormal"/>
      </w:pPr>
      <w:r w:rsidRPr="00156224">
        <w:t>The Authority will publish LOTI Guidance on the Authority's Website.</w:t>
      </w:r>
    </w:p>
    <w:p w14:paraId="43D3DEC7" w14:textId="37E0FEA3" w:rsidR="00CD40FD" w:rsidRPr="00156224" w:rsidRDefault="00CD40FD" w:rsidP="0016349C">
      <w:pPr>
        <w:pStyle w:val="NumberedNormal"/>
      </w:pPr>
      <w:r w:rsidRPr="00156224">
        <w:t>The LOTI Guidance will make provision about</w:t>
      </w:r>
      <w:r w:rsidR="00A600C8">
        <w:t xml:space="preserve"> </w:t>
      </w:r>
      <w:r w:rsidRPr="00156224">
        <w:t xml:space="preserve">the detailed requirements </w:t>
      </w:r>
      <w:r w:rsidR="001E1EA9">
        <w:t xml:space="preserve">for </w:t>
      </w:r>
      <w:r w:rsidRPr="00156224">
        <w:t>Parts A, C, D, E and F.</w:t>
      </w:r>
    </w:p>
    <w:p w14:paraId="321650DC" w14:textId="637F0747" w:rsidR="00CD40FD" w:rsidRPr="00156224" w:rsidRDefault="00CD40FD" w:rsidP="00C34593">
      <w:pPr>
        <w:pStyle w:val="NumberedNormal"/>
      </w:pPr>
      <w:r w:rsidRPr="00156224">
        <w:t xml:space="preserve">Before directing that </w:t>
      </w:r>
      <w:proofErr w:type="gramStart"/>
      <w:r w:rsidRPr="00156224">
        <w:t>LOTI</w:t>
      </w:r>
      <w:proofErr w:type="gramEnd"/>
      <w:r w:rsidRPr="00156224">
        <w:t xml:space="preserve"> Guidance comes into effect the Authority will publish on </w:t>
      </w:r>
      <w:r w:rsidR="00D9203B">
        <w:t>the Authority's Website</w:t>
      </w:r>
      <w:r w:rsidRPr="00156224">
        <w:t>:</w:t>
      </w:r>
    </w:p>
    <w:p w14:paraId="1D28D639" w14:textId="016A2376" w:rsidR="00CD40FD" w:rsidRPr="00156224" w:rsidRDefault="00CD40FD" w:rsidP="00C34593">
      <w:pPr>
        <w:pStyle w:val="ListNormal"/>
      </w:pPr>
      <w:r w:rsidRPr="00156224">
        <w:t>the text of the proposed LOTI Guidance;</w:t>
      </w:r>
      <w:r w:rsidR="001E1EA9">
        <w:t xml:space="preserve"> and</w:t>
      </w:r>
    </w:p>
    <w:p w14:paraId="42AF1B6E" w14:textId="7BAD76A3" w:rsidR="00CD40FD" w:rsidRPr="00156224" w:rsidRDefault="00CD40FD" w:rsidP="00C34593">
      <w:pPr>
        <w:pStyle w:val="ListNormal"/>
      </w:pPr>
      <w:r w:rsidRPr="00156224">
        <w:t xml:space="preserve">the date </w:t>
      </w:r>
      <w:r w:rsidR="000A3714">
        <w:t xml:space="preserve">on which </w:t>
      </w:r>
      <w:r w:rsidRPr="00156224">
        <w:t>the Authority intends the LOTI Guidance to come into effect</w:t>
      </w:r>
      <w:r w:rsidR="001E1EA9">
        <w:t>.</w:t>
      </w:r>
    </w:p>
    <w:p w14:paraId="142ABD30" w14:textId="53F709E5" w:rsidR="00CD40FD" w:rsidRPr="00156224" w:rsidRDefault="00CD40FD" w:rsidP="00C34593">
      <w:pPr>
        <w:pStyle w:val="NumberedNormal"/>
      </w:pPr>
      <w:r w:rsidRPr="00156224">
        <w:t xml:space="preserve">Before directing an amendment to the LOTI Guidance, the Authority will publish on </w:t>
      </w:r>
      <w:r w:rsidR="00D9203B">
        <w:t>the Authority's Website</w:t>
      </w:r>
      <w:r w:rsidRPr="00156224">
        <w:t>:</w:t>
      </w:r>
    </w:p>
    <w:p w14:paraId="46A88512" w14:textId="77777777" w:rsidR="00CD40FD" w:rsidRPr="00156224" w:rsidRDefault="00CD40FD" w:rsidP="00C34593">
      <w:pPr>
        <w:pStyle w:val="ListNormal"/>
      </w:pPr>
      <w:r w:rsidRPr="00156224">
        <w:t xml:space="preserve">the text of the amended LOTI </w:t>
      </w:r>
      <w:proofErr w:type="gramStart"/>
      <w:r w:rsidRPr="00156224">
        <w:t>Guidance;</w:t>
      </w:r>
      <w:proofErr w:type="gramEnd"/>
    </w:p>
    <w:p w14:paraId="4A05EAF1" w14:textId="42F92B83" w:rsidR="00CD40FD" w:rsidRPr="00156224" w:rsidRDefault="00CD40FD" w:rsidP="00C34593">
      <w:pPr>
        <w:pStyle w:val="ListNormal"/>
      </w:pPr>
      <w:r w:rsidRPr="00156224">
        <w:t xml:space="preserve">the date </w:t>
      </w:r>
      <w:r w:rsidR="003A2A50">
        <w:t xml:space="preserve">on which </w:t>
      </w:r>
      <w:r w:rsidRPr="00156224">
        <w:t xml:space="preserve">the Authority intends the amended LOTI Guidance to come into </w:t>
      </w:r>
      <w:proofErr w:type="gramStart"/>
      <w:r w:rsidRPr="00156224">
        <w:t>effect;</w:t>
      </w:r>
      <w:proofErr w:type="gramEnd"/>
    </w:p>
    <w:p w14:paraId="6012EC80" w14:textId="77777777" w:rsidR="00CD40FD" w:rsidRPr="00156224" w:rsidRDefault="00CD40FD" w:rsidP="00C34593">
      <w:pPr>
        <w:pStyle w:val="ListNormal"/>
      </w:pPr>
      <w:r w:rsidRPr="00156224">
        <w:t>the reasons for the amendments to the LOTI Guidance; and</w:t>
      </w:r>
    </w:p>
    <w:p w14:paraId="0320E0FF" w14:textId="584C0E42" w:rsidR="005A39DD" w:rsidRDefault="009345B6" w:rsidP="005A39DD">
      <w:pPr>
        <w:pStyle w:val="ListNormal"/>
        <w:tabs>
          <w:tab w:val="num" w:pos="879"/>
        </w:tabs>
      </w:pPr>
      <w:r w:rsidRPr="009345B6">
        <w:t xml:space="preserve">a period during which representations may be made on the </w:t>
      </w:r>
      <w:r>
        <w:t>amendments to the LOTI Guidance</w:t>
      </w:r>
      <w:r w:rsidRPr="009345B6">
        <w:t>, which will not be less than 28 days.</w:t>
      </w:r>
    </w:p>
    <w:p w14:paraId="78CBDBFB" w14:textId="77777777" w:rsidR="005A39DD" w:rsidRDefault="005A39DD" w:rsidP="00114EEE">
      <w:pPr>
        <w:pStyle w:val="ListNormal"/>
        <w:numPr>
          <w:ilvl w:val="0"/>
          <w:numId w:val="0"/>
        </w:numPr>
        <w:ind w:left="879"/>
      </w:pPr>
    </w:p>
    <w:p w14:paraId="03EBE319" w14:textId="77777777" w:rsidR="005A39DD" w:rsidRPr="00A23877" w:rsidRDefault="005A39DD" w:rsidP="009E0A61">
      <w:pPr>
        <w:pStyle w:val="Heading3"/>
        <w:jc w:val="center"/>
        <w:rPr>
          <w:sz w:val="28"/>
        </w:rPr>
      </w:pPr>
      <w:r w:rsidRPr="00A23877">
        <w:rPr>
          <w:sz w:val="28"/>
        </w:rPr>
        <w:t>Appendix 1</w:t>
      </w:r>
    </w:p>
    <w:p w14:paraId="7AA49184" w14:textId="4FAEADE2" w:rsidR="005A39DD" w:rsidRPr="005A39DD" w:rsidRDefault="005A39DD" w:rsidP="00114EEE">
      <w:pPr>
        <w:pStyle w:val="ListNormal"/>
        <w:numPr>
          <w:ilvl w:val="0"/>
          <w:numId w:val="0"/>
        </w:numPr>
        <w:ind w:left="879"/>
        <w:jc w:val="center"/>
      </w:pPr>
      <w:r w:rsidRPr="00A23877">
        <w:rPr>
          <w:rFonts w:ascii="Arial" w:hAnsi="Arial" w:cs="Arial"/>
          <w:b/>
          <w:sz w:val="28"/>
        </w:rPr>
        <w:t>LOTI Outputs and allowances</w:t>
      </w:r>
      <w:r w:rsidRPr="005A39DD">
        <w:rPr>
          <w:rFonts w:ascii="Arial" w:hAnsi="Arial" w:cs="Arial"/>
          <w:b/>
          <w:sz w:val="28"/>
          <w:szCs w:val="24"/>
        </w:rPr>
        <w:t xml:space="preserve"> (£m, 2018/19</w:t>
      </w:r>
      <w:r w:rsidRPr="00A23877">
        <w:rPr>
          <w:rFonts w:ascii="Arial" w:hAnsi="Arial" w:cs="Arial"/>
          <w:b/>
          <w:sz w:val="28"/>
          <w:szCs w:val="24"/>
        </w:rPr>
        <w:t xml:space="preserve"> prices)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2235"/>
        <w:gridCol w:w="1134"/>
        <w:gridCol w:w="1134"/>
        <w:gridCol w:w="1134"/>
        <w:gridCol w:w="1134"/>
        <w:gridCol w:w="1134"/>
      </w:tblGrid>
      <w:tr w:rsidR="006B1D87" w:rsidRPr="00B43143" w14:paraId="519677DC" w14:textId="77777777" w:rsidTr="006F5E02">
        <w:trPr>
          <w:trHeight w:val="317"/>
          <w:jc w:val="center"/>
        </w:trPr>
        <w:tc>
          <w:tcPr>
            <w:tcW w:w="2235" w:type="dxa"/>
            <w:vAlign w:val="bottom"/>
          </w:tcPr>
          <w:p w14:paraId="5AFC885F" w14:textId="77777777" w:rsidR="006B1D87" w:rsidRPr="00DE541A" w:rsidRDefault="006B1D87" w:rsidP="005A39DD">
            <w:pPr>
              <w:pStyle w:val="Normalbold"/>
            </w:pPr>
          </w:p>
        </w:tc>
        <w:tc>
          <w:tcPr>
            <w:tcW w:w="2235" w:type="dxa"/>
            <w:vAlign w:val="bottom"/>
          </w:tcPr>
          <w:p w14:paraId="06A9E743" w14:textId="77777777" w:rsidR="006B1D87" w:rsidRPr="00DE541A" w:rsidRDefault="006B1D87" w:rsidP="005A39DD">
            <w:pPr>
              <w:pStyle w:val="Normalbold"/>
              <w:jc w:val="center"/>
            </w:pPr>
          </w:p>
        </w:tc>
        <w:tc>
          <w:tcPr>
            <w:tcW w:w="5670" w:type="dxa"/>
            <w:gridSpan w:val="5"/>
            <w:vAlign w:val="bottom"/>
          </w:tcPr>
          <w:p w14:paraId="25087C54" w14:textId="16C6A9A7" w:rsidR="006B1D87" w:rsidRPr="00DE541A" w:rsidRDefault="006B1D87" w:rsidP="005A39DD">
            <w:pPr>
              <w:pStyle w:val="Normalbold"/>
              <w:jc w:val="center"/>
            </w:pPr>
            <w:r w:rsidRPr="00DE541A">
              <w:t>R</w:t>
            </w:r>
            <w:r>
              <w:t>elevant</w:t>
            </w:r>
            <w:r w:rsidRPr="00DE541A">
              <w:t xml:space="preserve"> Year</w:t>
            </w:r>
          </w:p>
        </w:tc>
      </w:tr>
      <w:tr w:rsidR="006B1D87" w:rsidRPr="00B43143" w14:paraId="12C53840" w14:textId="77777777" w:rsidTr="006F5E02">
        <w:trPr>
          <w:trHeight w:val="305"/>
          <w:jc w:val="center"/>
        </w:trPr>
        <w:tc>
          <w:tcPr>
            <w:tcW w:w="2235" w:type="dxa"/>
          </w:tcPr>
          <w:p w14:paraId="1481087E" w14:textId="77777777" w:rsidR="006B1D87" w:rsidRPr="00DE541A" w:rsidRDefault="006B1D87" w:rsidP="005A39DD">
            <w:pPr>
              <w:pStyle w:val="Normalbold"/>
            </w:pPr>
            <w:r>
              <w:t>LOTI output</w:t>
            </w:r>
          </w:p>
        </w:tc>
        <w:tc>
          <w:tcPr>
            <w:tcW w:w="2235" w:type="dxa"/>
          </w:tcPr>
          <w:p w14:paraId="4FCA13BD" w14:textId="50521B66" w:rsidR="006B1D87" w:rsidRDefault="006B1D87" w:rsidP="005A39DD">
            <w:pPr>
              <w:pStyle w:val="Normalbold"/>
            </w:pPr>
            <w:r>
              <w:t>Delivery Date</w:t>
            </w:r>
          </w:p>
        </w:tc>
        <w:tc>
          <w:tcPr>
            <w:tcW w:w="1134" w:type="dxa"/>
            <w:vAlign w:val="bottom"/>
          </w:tcPr>
          <w:p w14:paraId="352F8DE2" w14:textId="0E981C95" w:rsidR="006B1D87" w:rsidRPr="00DE541A" w:rsidRDefault="006B1D87" w:rsidP="005A39DD">
            <w:pPr>
              <w:pStyle w:val="Normalbold"/>
            </w:pPr>
            <w:r>
              <w:t>2021</w:t>
            </w:r>
            <w:r w:rsidRPr="00DE541A">
              <w:t>/</w:t>
            </w:r>
            <w:r>
              <w:t>22</w:t>
            </w:r>
          </w:p>
        </w:tc>
        <w:tc>
          <w:tcPr>
            <w:tcW w:w="1134" w:type="dxa"/>
            <w:vAlign w:val="bottom"/>
          </w:tcPr>
          <w:p w14:paraId="7C62F535" w14:textId="77777777" w:rsidR="006B1D87" w:rsidRPr="00DE541A" w:rsidRDefault="006B1D87" w:rsidP="005A39DD">
            <w:pPr>
              <w:pStyle w:val="Normalbold"/>
            </w:pPr>
            <w:r>
              <w:t>2022</w:t>
            </w:r>
            <w:r w:rsidRPr="00DE541A">
              <w:t>/</w:t>
            </w:r>
            <w:r>
              <w:t>23</w:t>
            </w:r>
          </w:p>
        </w:tc>
        <w:tc>
          <w:tcPr>
            <w:tcW w:w="1134" w:type="dxa"/>
            <w:vAlign w:val="bottom"/>
          </w:tcPr>
          <w:p w14:paraId="7B65F7D9" w14:textId="77777777" w:rsidR="006B1D87" w:rsidRPr="00DE541A" w:rsidRDefault="006B1D87" w:rsidP="005A39DD">
            <w:pPr>
              <w:pStyle w:val="Normalbold"/>
            </w:pPr>
            <w:r>
              <w:t>2023</w:t>
            </w:r>
            <w:r w:rsidRPr="00DE541A">
              <w:t>/</w:t>
            </w:r>
            <w:r>
              <w:t>24</w:t>
            </w:r>
          </w:p>
        </w:tc>
        <w:tc>
          <w:tcPr>
            <w:tcW w:w="1134" w:type="dxa"/>
            <w:vAlign w:val="bottom"/>
          </w:tcPr>
          <w:p w14:paraId="11E23AF1" w14:textId="77777777" w:rsidR="006B1D87" w:rsidRPr="00DE541A" w:rsidRDefault="006B1D87" w:rsidP="005A39DD">
            <w:pPr>
              <w:pStyle w:val="Normalbold"/>
            </w:pPr>
            <w:r>
              <w:t>2024</w:t>
            </w:r>
            <w:r w:rsidRPr="00DE541A">
              <w:t>/</w:t>
            </w:r>
            <w:r>
              <w:t>25</w:t>
            </w:r>
          </w:p>
        </w:tc>
        <w:tc>
          <w:tcPr>
            <w:tcW w:w="1134" w:type="dxa"/>
            <w:vAlign w:val="bottom"/>
          </w:tcPr>
          <w:p w14:paraId="2EFBF3D0" w14:textId="77777777" w:rsidR="006B1D87" w:rsidRPr="00DE541A" w:rsidRDefault="006B1D87" w:rsidP="005A39DD">
            <w:pPr>
              <w:pStyle w:val="Normalbold"/>
            </w:pPr>
            <w:r>
              <w:t>2025/26</w:t>
            </w:r>
          </w:p>
        </w:tc>
      </w:tr>
      <w:tr w:rsidR="006B1D87" w:rsidRPr="00B43143" w14:paraId="19BA868B" w14:textId="77777777" w:rsidTr="006F5E02">
        <w:trPr>
          <w:trHeight w:val="321"/>
          <w:jc w:val="center"/>
        </w:trPr>
        <w:tc>
          <w:tcPr>
            <w:tcW w:w="2235" w:type="dxa"/>
          </w:tcPr>
          <w:p w14:paraId="330B9FE1" w14:textId="6F867276" w:rsidR="006B1D87" w:rsidRPr="00D5104D" w:rsidRDefault="006B1D87" w:rsidP="00D325DA">
            <w:r>
              <w:t>[to contain project name and technical description of the output]</w:t>
            </w:r>
          </w:p>
        </w:tc>
        <w:tc>
          <w:tcPr>
            <w:tcW w:w="2235" w:type="dxa"/>
          </w:tcPr>
          <w:p w14:paraId="30DD0804" w14:textId="77777777" w:rsidR="006B1D87" w:rsidRPr="00D5104D" w:rsidRDefault="006B1D87" w:rsidP="005A39DD"/>
        </w:tc>
        <w:tc>
          <w:tcPr>
            <w:tcW w:w="1134" w:type="dxa"/>
            <w:vAlign w:val="bottom"/>
          </w:tcPr>
          <w:p w14:paraId="60015028" w14:textId="20D96204" w:rsidR="006B1D87" w:rsidRPr="00D5104D" w:rsidRDefault="006B1D87" w:rsidP="005A39DD"/>
        </w:tc>
        <w:tc>
          <w:tcPr>
            <w:tcW w:w="1134" w:type="dxa"/>
            <w:vAlign w:val="bottom"/>
          </w:tcPr>
          <w:p w14:paraId="2D6CEB12" w14:textId="77777777" w:rsidR="006B1D87" w:rsidRPr="00D5104D" w:rsidRDefault="006B1D87" w:rsidP="005A39DD"/>
        </w:tc>
        <w:tc>
          <w:tcPr>
            <w:tcW w:w="1134" w:type="dxa"/>
            <w:vAlign w:val="bottom"/>
          </w:tcPr>
          <w:p w14:paraId="4682D187" w14:textId="77777777" w:rsidR="006B1D87" w:rsidRPr="00D5104D" w:rsidRDefault="006B1D87" w:rsidP="005A39DD"/>
        </w:tc>
        <w:tc>
          <w:tcPr>
            <w:tcW w:w="1134" w:type="dxa"/>
            <w:vAlign w:val="bottom"/>
          </w:tcPr>
          <w:p w14:paraId="23AD0688" w14:textId="77777777" w:rsidR="006B1D87" w:rsidRPr="00D5104D" w:rsidRDefault="006B1D87" w:rsidP="005A39DD"/>
        </w:tc>
        <w:tc>
          <w:tcPr>
            <w:tcW w:w="1134" w:type="dxa"/>
            <w:vAlign w:val="bottom"/>
          </w:tcPr>
          <w:p w14:paraId="3FE044C1" w14:textId="77777777" w:rsidR="006B1D87" w:rsidRPr="00D5104D" w:rsidRDefault="006B1D87" w:rsidP="005A39DD"/>
        </w:tc>
      </w:tr>
      <w:tr w:rsidR="006B1D87" w:rsidRPr="00B43143" w14:paraId="5227F594" w14:textId="77777777" w:rsidTr="006F5E02">
        <w:trPr>
          <w:trHeight w:val="321"/>
          <w:jc w:val="center"/>
        </w:trPr>
        <w:tc>
          <w:tcPr>
            <w:tcW w:w="2235" w:type="dxa"/>
          </w:tcPr>
          <w:p w14:paraId="23C84196" w14:textId="5FDAE80C" w:rsidR="006B1D87" w:rsidRPr="00D5104D" w:rsidRDefault="006B1D87" w:rsidP="00D325DA">
            <w:r w:rsidRPr="00342F40">
              <w:t xml:space="preserve">[to contain project name and technical </w:t>
            </w:r>
            <w:r>
              <w:t>de</w:t>
            </w:r>
            <w:r w:rsidRPr="00461E16">
              <w:t>scription</w:t>
            </w:r>
            <w:r w:rsidRPr="00342F40">
              <w:t xml:space="preserve"> of the output]</w:t>
            </w:r>
          </w:p>
        </w:tc>
        <w:tc>
          <w:tcPr>
            <w:tcW w:w="2235" w:type="dxa"/>
          </w:tcPr>
          <w:p w14:paraId="53CC06FA" w14:textId="77777777" w:rsidR="006B1D87" w:rsidRPr="00D5104D" w:rsidRDefault="006B1D87" w:rsidP="005A39DD"/>
        </w:tc>
        <w:tc>
          <w:tcPr>
            <w:tcW w:w="1134" w:type="dxa"/>
            <w:vAlign w:val="bottom"/>
          </w:tcPr>
          <w:p w14:paraId="5488EF15" w14:textId="3DA14B7C" w:rsidR="006B1D87" w:rsidRPr="00D5104D" w:rsidRDefault="006B1D87" w:rsidP="005A39DD"/>
        </w:tc>
        <w:tc>
          <w:tcPr>
            <w:tcW w:w="1134" w:type="dxa"/>
            <w:vAlign w:val="bottom"/>
          </w:tcPr>
          <w:p w14:paraId="2448DF6F" w14:textId="77777777" w:rsidR="006B1D87" w:rsidRPr="00D5104D" w:rsidRDefault="006B1D87" w:rsidP="005A39DD"/>
        </w:tc>
        <w:tc>
          <w:tcPr>
            <w:tcW w:w="1134" w:type="dxa"/>
            <w:vAlign w:val="bottom"/>
          </w:tcPr>
          <w:p w14:paraId="1AB060E5" w14:textId="77777777" w:rsidR="006B1D87" w:rsidRPr="00D5104D" w:rsidRDefault="006B1D87" w:rsidP="005A39DD"/>
        </w:tc>
        <w:tc>
          <w:tcPr>
            <w:tcW w:w="1134" w:type="dxa"/>
            <w:vAlign w:val="bottom"/>
          </w:tcPr>
          <w:p w14:paraId="7B81F42D" w14:textId="77777777" w:rsidR="006B1D87" w:rsidRPr="00D5104D" w:rsidRDefault="006B1D87" w:rsidP="005A39DD"/>
        </w:tc>
        <w:tc>
          <w:tcPr>
            <w:tcW w:w="1134" w:type="dxa"/>
            <w:vAlign w:val="bottom"/>
          </w:tcPr>
          <w:p w14:paraId="43814B06" w14:textId="77777777" w:rsidR="006B1D87" w:rsidRPr="00D5104D" w:rsidRDefault="006B1D87" w:rsidP="005A39DD"/>
        </w:tc>
      </w:tr>
      <w:tr w:rsidR="006B1D87" w:rsidRPr="00B43143" w14:paraId="419291CD" w14:textId="77777777" w:rsidTr="006F5E02">
        <w:trPr>
          <w:trHeight w:val="315"/>
          <w:jc w:val="center"/>
        </w:trPr>
        <w:tc>
          <w:tcPr>
            <w:tcW w:w="2235" w:type="dxa"/>
          </w:tcPr>
          <w:p w14:paraId="620504C8" w14:textId="5D09F0AA" w:rsidR="006B1D87" w:rsidRPr="00D5104D" w:rsidRDefault="006B1D87" w:rsidP="00D325DA">
            <w:r w:rsidRPr="00342F40">
              <w:t xml:space="preserve">[to contain project name and technical </w:t>
            </w:r>
            <w:r>
              <w:t>de</w:t>
            </w:r>
            <w:r w:rsidRPr="00461E16">
              <w:t>scription</w:t>
            </w:r>
            <w:r w:rsidRPr="00342F40">
              <w:t xml:space="preserve"> of the output]</w:t>
            </w:r>
          </w:p>
        </w:tc>
        <w:tc>
          <w:tcPr>
            <w:tcW w:w="2235" w:type="dxa"/>
          </w:tcPr>
          <w:p w14:paraId="43C9F339" w14:textId="77777777" w:rsidR="006B1D87" w:rsidRPr="00D5104D" w:rsidRDefault="006B1D87" w:rsidP="005A39DD"/>
        </w:tc>
        <w:tc>
          <w:tcPr>
            <w:tcW w:w="1134" w:type="dxa"/>
            <w:vAlign w:val="bottom"/>
          </w:tcPr>
          <w:p w14:paraId="75955A93" w14:textId="73A98FB4" w:rsidR="006B1D87" w:rsidRPr="00D5104D" w:rsidRDefault="006B1D87" w:rsidP="005A39DD"/>
        </w:tc>
        <w:tc>
          <w:tcPr>
            <w:tcW w:w="1134" w:type="dxa"/>
            <w:vAlign w:val="bottom"/>
          </w:tcPr>
          <w:p w14:paraId="7DC0A525" w14:textId="77777777" w:rsidR="006B1D87" w:rsidRPr="00D5104D" w:rsidRDefault="006B1D87" w:rsidP="005A39DD"/>
        </w:tc>
        <w:tc>
          <w:tcPr>
            <w:tcW w:w="1134" w:type="dxa"/>
            <w:vAlign w:val="bottom"/>
          </w:tcPr>
          <w:p w14:paraId="628C846F" w14:textId="77777777" w:rsidR="006B1D87" w:rsidRPr="00D5104D" w:rsidRDefault="006B1D87" w:rsidP="005A39DD"/>
        </w:tc>
        <w:tc>
          <w:tcPr>
            <w:tcW w:w="1134" w:type="dxa"/>
            <w:vAlign w:val="bottom"/>
          </w:tcPr>
          <w:p w14:paraId="43C18A3D" w14:textId="77777777" w:rsidR="006B1D87" w:rsidRPr="00D5104D" w:rsidRDefault="006B1D87" w:rsidP="005A39DD"/>
        </w:tc>
        <w:tc>
          <w:tcPr>
            <w:tcW w:w="1134" w:type="dxa"/>
            <w:vAlign w:val="bottom"/>
          </w:tcPr>
          <w:p w14:paraId="72E11FEC" w14:textId="77777777" w:rsidR="006B1D87" w:rsidRPr="00D5104D" w:rsidRDefault="006B1D87" w:rsidP="005A39DD"/>
        </w:tc>
      </w:tr>
      <w:tr w:rsidR="006B1D87" w:rsidRPr="00B43143" w14:paraId="2357BEC8" w14:textId="77777777" w:rsidTr="006F5E02">
        <w:trPr>
          <w:trHeight w:val="349"/>
          <w:jc w:val="center"/>
        </w:trPr>
        <w:tc>
          <w:tcPr>
            <w:tcW w:w="2235" w:type="dxa"/>
          </w:tcPr>
          <w:p w14:paraId="2EF0430F" w14:textId="1E7012F3" w:rsidR="006B1D87" w:rsidRPr="00330034" w:rsidRDefault="006B1D87" w:rsidP="00D325DA">
            <w:r w:rsidRPr="00342F40">
              <w:t xml:space="preserve">[to contain project name and technical </w:t>
            </w:r>
            <w:r>
              <w:lastRenderedPageBreak/>
              <w:t>de</w:t>
            </w:r>
            <w:r w:rsidRPr="00461E16">
              <w:t>scription</w:t>
            </w:r>
            <w:r w:rsidRPr="00342F40">
              <w:t xml:space="preserve"> of the output]</w:t>
            </w:r>
          </w:p>
        </w:tc>
        <w:tc>
          <w:tcPr>
            <w:tcW w:w="2235" w:type="dxa"/>
          </w:tcPr>
          <w:p w14:paraId="5A6762BC" w14:textId="77777777" w:rsidR="006B1D87" w:rsidRPr="00B43143" w:rsidRDefault="006B1D87" w:rsidP="005A39DD"/>
        </w:tc>
        <w:tc>
          <w:tcPr>
            <w:tcW w:w="1134" w:type="dxa"/>
            <w:vAlign w:val="bottom"/>
          </w:tcPr>
          <w:p w14:paraId="52496B44" w14:textId="7169D574" w:rsidR="006B1D87" w:rsidRPr="00B43143" w:rsidRDefault="006B1D87" w:rsidP="005A39DD"/>
        </w:tc>
        <w:tc>
          <w:tcPr>
            <w:tcW w:w="1134" w:type="dxa"/>
            <w:vAlign w:val="bottom"/>
          </w:tcPr>
          <w:p w14:paraId="65A50138" w14:textId="77777777" w:rsidR="006B1D87" w:rsidRPr="00B43143" w:rsidRDefault="006B1D87" w:rsidP="005A39DD"/>
        </w:tc>
        <w:tc>
          <w:tcPr>
            <w:tcW w:w="1134" w:type="dxa"/>
            <w:vAlign w:val="bottom"/>
          </w:tcPr>
          <w:p w14:paraId="062CA24E" w14:textId="77777777" w:rsidR="006B1D87" w:rsidRPr="00B43143" w:rsidRDefault="006B1D87" w:rsidP="005A39DD"/>
        </w:tc>
        <w:tc>
          <w:tcPr>
            <w:tcW w:w="1134" w:type="dxa"/>
            <w:vAlign w:val="bottom"/>
          </w:tcPr>
          <w:p w14:paraId="795B3F75" w14:textId="77777777" w:rsidR="006B1D87" w:rsidRPr="00B43143" w:rsidRDefault="006B1D87" w:rsidP="005A39DD"/>
        </w:tc>
        <w:tc>
          <w:tcPr>
            <w:tcW w:w="1134" w:type="dxa"/>
            <w:vAlign w:val="bottom"/>
          </w:tcPr>
          <w:p w14:paraId="3C9E6364" w14:textId="77777777" w:rsidR="006B1D87" w:rsidRPr="00B43143" w:rsidRDefault="006B1D87" w:rsidP="005A39DD"/>
        </w:tc>
      </w:tr>
    </w:tbl>
    <w:p w14:paraId="59D38C18" w14:textId="77777777" w:rsidR="005A39DD" w:rsidRDefault="005A39DD" w:rsidP="00A23877">
      <w:pPr>
        <w:pStyle w:val="ListNormal"/>
        <w:numPr>
          <w:ilvl w:val="3"/>
          <w:numId w:val="0"/>
        </w:numPr>
        <w:ind w:left="879"/>
      </w:pPr>
    </w:p>
    <w:p w14:paraId="7983463D" w14:textId="34BCA020" w:rsidR="2FB74B12" w:rsidRDefault="2FB74B12" w:rsidP="00A23877">
      <w:pPr>
        <w:pStyle w:val="ListNormal"/>
        <w:numPr>
          <w:ilvl w:val="3"/>
          <w:numId w:val="0"/>
        </w:numPr>
        <w:ind w:left="879"/>
      </w:pPr>
    </w:p>
    <w:p w14:paraId="47987019" w14:textId="015DE134" w:rsidR="008F0658" w:rsidRPr="008F0658" w:rsidRDefault="00F44816" w:rsidP="008F0658">
      <w:pPr>
        <w:pStyle w:val="Heading2"/>
      </w:pPr>
      <w:bookmarkStart w:id="120" w:name="_Toc51319622"/>
      <w:bookmarkStart w:id="121" w:name="_Toc51798291"/>
      <w:bookmarkStart w:id="122" w:name="_Toc52364904"/>
      <w:r>
        <w:t xml:space="preserve">Medium sized investment projects </w:t>
      </w:r>
      <w:r w:rsidR="000474DD">
        <w:t>R</w:t>
      </w:r>
      <w:r>
        <w:t>e-opener</w:t>
      </w:r>
      <w:bookmarkEnd w:id="120"/>
      <w:r w:rsidR="001A4C2D">
        <w:t xml:space="preserve"> (</w:t>
      </w:r>
      <w:proofErr w:type="spellStart"/>
      <w:r w:rsidR="001A4C2D">
        <w:t>MSIPt</w:t>
      </w:r>
      <w:proofErr w:type="spellEnd"/>
      <w:r w:rsidR="001A4C2D">
        <w:t>)</w:t>
      </w:r>
      <w:bookmarkEnd w:id="121"/>
      <w:bookmarkEnd w:id="122"/>
    </w:p>
    <w:p w14:paraId="3E113C69" w14:textId="77777777" w:rsidR="008F0658" w:rsidRPr="008F0658" w:rsidRDefault="008F0658" w:rsidP="009343CB">
      <w:pPr>
        <w:pStyle w:val="Heading3nonumbering"/>
      </w:pPr>
      <w:r w:rsidRPr="008F0658">
        <w:t xml:space="preserve">Introduction </w:t>
      </w:r>
    </w:p>
    <w:p w14:paraId="36474D01" w14:textId="386290FE" w:rsidR="008F0658" w:rsidRPr="008F0658" w:rsidRDefault="008F0658" w:rsidP="009343CB">
      <w:pPr>
        <w:pStyle w:val="NumberedNormal"/>
      </w:pPr>
      <w:r w:rsidRPr="008F0658">
        <w:t xml:space="preserve">The purpose of this condition is to calculate the term </w:t>
      </w:r>
      <w:proofErr w:type="spellStart"/>
      <w:r w:rsidRPr="008F0658">
        <w:t>MSIPt</w:t>
      </w:r>
      <w:proofErr w:type="spellEnd"/>
      <w:r w:rsidRPr="008F0658">
        <w:t xml:space="preserve"> (the Medium Sized Investment Projects term). This contributes to the calculation of the Totex Allowance. </w:t>
      </w:r>
    </w:p>
    <w:p w14:paraId="6861F66E" w14:textId="188E119A" w:rsidR="008F0658" w:rsidRPr="008F0658" w:rsidRDefault="008F0658" w:rsidP="009343CB">
      <w:pPr>
        <w:pStyle w:val="NumberedNormal"/>
      </w:pPr>
      <w:r w:rsidRPr="008F0658">
        <w:t xml:space="preserve">The effect of this condition is to establish a Re-opener </w:t>
      </w:r>
      <w:r w:rsidR="001A4C2D" w:rsidRPr="008F0658">
        <w:t xml:space="preserve">triggered by the licensee </w:t>
      </w:r>
      <w:r w:rsidRPr="008F0658">
        <w:t>for Medium Sized Investment Project costs that result in material changes to the costs of License</w:t>
      </w:r>
      <w:r w:rsidR="00097773">
        <w:t>d</w:t>
      </w:r>
      <w:r w:rsidRPr="008F0658">
        <w:t xml:space="preserve"> Activity.</w:t>
      </w:r>
    </w:p>
    <w:p w14:paraId="1137B65A" w14:textId="77777777" w:rsidR="008F0658" w:rsidRPr="008F0658" w:rsidRDefault="008F0658" w:rsidP="009343CB">
      <w:pPr>
        <w:pStyle w:val="NumberedNormal"/>
      </w:pPr>
      <w:r w:rsidRPr="008F0658">
        <w:t xml:space="preserve">This condition also explains the process the Authority will follow when directing any changes </w:t>
      </w:r>
      <w:proofErr w:type="gramStart"/>
      <w:r w:rsidRPr="008F0658">
        <w:t>as a result of</w:t>
      </w:r>
      <w:proofErr w:type="gramEnd"/>
      <w:r w:rsidRPr="008F0658">
        <w:t xml:space="preserve"> the Re-opener.</w:t>
      </w:r>
    </w:p>
    <w:p w14:paraId="215B4CC0" w14:textId="5701D198" w:rsidR="008F0658" w:rsidRPr="008F0658" w:rsidRDefault="008F0658" w:rsidP="009343CB">
      <w:pPr>
        <w:pStyle w:val="Heading3"/>
      </w:pPr>
      <w:r w:rsidRPr="008F0658">
        <w:t>What costs are within scope of this Re-opener?</w:t>
      </w:r>
    </w:p>
    <w:p w14:paraId="469C221D" w14:textId="7C80F387" w:rsidR="008F0658" w:rsidRPr="008F0658" w:rsidRDefault="008F0658" w:rsidP="009343CB">
      <w:pPr>
        <w:pStyle w:val="NumberedNormal"/>
      </w:pPr>
      <w:r w:rsidRPr="008F0658">
        <w:t>The licensee may apply to the Authority for a direction a</w:t>
      </w:r>
      <w:r w:rsidR="001A4C2D">
        <w:t>mending the</w:t>
      </w:r>
      <w:r w:rsidRPr="008F0658">
        <w:t xml:space="preserve"> outputs, delivery dates or allowances in Appendix </w:t>
      </w:r>
      <w:r w:rsidR="0004104C">
        <w:t>1</w:t>
      </w:r>
      <w:r w:rsidR="0004104C" w:rsidRPr="008F0658">
        <w:t xml:space="preserve"> </w:t>
      </w:r>
      <w:r w:rsidRPr="008F0658">
        <w:t>for any Regulatory Year during the Price Control Period for costs that relate to one or more of the following activities:</w:t>
      </w:r>
    </w:p>
    <w:p w14:paraId="6ED58D7F" w14:textId="54352520" w:rsidR="008F0658" w:rsidRPr="008F0658" w:rsidRDefault="008F0658" w:rsidP="009343CB">
      <w:pPr>
        <w:pStyle w:val="ListNormal"/>
      </w:pPr>
      <w:r w:rsidRPr="008F0658">
        <w:t xml:space="preserve">a Generation Connection project the forecast costs of which are at least double the level that could be provided for under </w:t>
      </w:r>
      <w:r w:rsidR="0004104C">
        <w:t xml:space="preserve">Special Condition </w:t>
      </w:r>
      <w:r w:rsidR="00664627">
        <w:t xml:space="preserve">3.18 </w:t>
      </w:r>
      <w:r w:rsidR="0004104C">
        <w:t>(</w:t>
      </w:r>
      <w:r w:rsidRPr="008F0658">
        <w:t xml:space="preserve">Generation Connection </w:t>
      </w:r>
      <w:r w:rsidR="0004104C">
        <w:t>v</w:t>
      </w:r>
      <w:r w:rsidRPr="008F0658">
        <w:t xml:space="preserve">olume </w:t>
      </w:r>
      <w:r w:rsidR="0004104C">
        <w:t>d</w:t>
      </w:r>
      <w:r w:rsidRPr="008F0658">
        <w:t>river</w:t>
      </w:r>
      <w:proofErr w:type="gramStart"/>
      <w:r w:rsidR="0004104C">
        <w:t>)</w:t>
      </w:r>
      <w:r w:rsidRPr="008F0658">
        <w:t>;</w:t>
      </w:r>
      <w:proofErr w:type="gramEnd"/>
    </w:p>
    <w:p w14:paraId="11A22E9C" w14:textId="07657EA8" w:rsidR="008F0658" w:rsidRPr="008F0658" w:rsidRDefault="008F0658" w:rsidP="009343CB">
      <w:pPr>
        <w:pStyle w:val="ListNormal"/>
      </w:pPr>
      <w:r w:rsidRPr="008F0658">
        <w:t xml:space="preserve">a Demand Connection project the forecast costs of which are at least double the level that could be provided for under </w:t>
      </w:r>
      <w:r w:rsidR="0004104C">
        <w:t xml:space="preserve">Special Condition </w:t>
      </w:r>
      <w:r w:rsidR="003352AE">
        <w:t>3.23</w:t>
      </w:r>
      <w:r w:rsidR="0004104C">
        <w:t xml:space="preserve"> (</w:t>
      </w:r>
      <w:r w:rsidRPr="008F0658">
        <w:t xml:space="preserve">Demand </w:t>
      </w:r>
      <w:r w:rsidR="003352AE">
        <w:t>Related Infrastructure</w:t>
      </w:r>
      <w:r w:rsidR="003352AE" w:rsidRPr="008F0658">
        <w:t xml:space="preserve"> </w:t>
      </w:r>
      <w:r w:rsidR="003352AE">
        <w:t>v</w:t>
      </w:r>
      <w:r w:rsidRPr="008F0658">
        <w:t xml:space="preserve">olume </w:t>
      </w:r>
      <w:r w:rsidR="003352AE">
        <w:t>d</w:t>
      </w:r>
      <w:r w:rsidRPr="008F0658">
        <w:t>river</w:t>
      </w:r>
      <w:proofErr w:type="gramStart"/>
      <w:r w:rsidR="0004104C">
        <w:t>)</w:t>
      </w:r>
      <w:r w:rsidRPr="008F0658">
        <w:t>;</w:t>
      </w:r>
      <w:proofErr w:type="gramEnd"/>
    </w:p>
    <w:p w14:paraId="15E2D8B0" w14:textId="77777777" w:rsidR="008F0658" w:rsidRPr="008F0658" w:rsidRDefault="008F0658" w:rsidP="009343CB">
      <w:pPr>
        <w:pStyle w:val="ListNormal"/>
      </w:pPr>
      <w:r w:rsidRPr="008F0658">
        <w:t xml:space="preserve">a Boundary Reinforcement Project that has received </w:t>
      </w:r>
      <w:proofErr w:type="gramStart"/>
      <w:r w:rsidRPr="008F0658">
        <w:t>a</w:t>
      </w:r>
      <w:proofErr w:type="gramEnd"/>
      <w:r w:rsidRPr="008F0658">
        <w:t xml:space="preserve"> NOA Proceed Signal in the most recent NOA;</w:t>
      </w:r>
    </w:p>
    <w:p w14:paraId="3A9F8C63" w14:textId="77777777" w:rsidR="008F0658" w:rsidRPr="008F0658" w:rsidRDefault="008F0658" w:rsidP="009343CB">
      <w:pPr>
        <w:pStyle w:val="ListNormal"/>
      </w:pPr>
      <w:r w:rsidRPr="008F0658">
        <w:t>a Flooding Defence Project that is required following:</w:t>
      </w:r>
    </w:p>
    <w:p w14:paraId="15D99180" w14:textId="77777777" w:rsidR="008F0658" w:rsidRPr="008F0658" w:rsidRDefault="008F0658" w:rsidP="00AB1D80">
      <w:pPr>
        <w:pStyle w:val="ListNormal"/>
        <w:numPr>
          <w:ilvl w:val="4"/>
          <w:numId w:val="8"/>
        </w:numPr>
      </w:pPr>
      <w:r w:rsidRPr="008F0658">
        <w:t xml:space="preserve">updated Energy Networks Association Engineering Technical Report (ETR138) guidance on flooding; or </w:t>
      </w:r>
    </w:p>
    <w:p w14:paraId="56AFA5AE" w14:textId="2F7B468E" w:rsidR="008F0658" w:rsidRPr="008F0658" w:rsidRDefault="008F0658" w:rsidP="00AB1D80">
      <w:pPr>
        <w:pStyle w:val="ListNormal"/>
        <w:numPr>
          <w:ilvl w:val="4"/>
          <w:numId w:val="8"/>
        </w:numPr>
      </w:pPr>
      <w:r w:rsidRPr="008F0658">
        <w:t xml:space="preserve">a direction from government to protect sites from </w:t>
      </w:r>
      <w:proofErr w:type="gramStart"/>
      <w:r w:rsidRPr="008F0658">
        <w:t>flooding;</w:t>
      </w:r>
      <w:proofErr w:type="gramEnd"/>
    </w:p>
    <w:p w14:paraId="2B73D74F" w14:textId="5BB8A741" w:rsidR="008F0658" w:rsidRPr="008F0658" w:rsidRDefault="008F0658" w:rsidP="009343CB">
      <w:pPr>
        <w:pStyle w:val="ListNormal"/>
      </w:pPr>
      <w:r w:rsidRPr="008F0658">
        <w:t>Black Start Projects following the publication by government of a new Black Start Standard (or equivalent)</w:t>
      </w:r>
      <w:r w:rsidR="0004104C">
        <w:t>,</w:t>
      </w:r>
      <w:r w:rsidRPr="008F0658">
        <w:t xml:space="preserve"> published after 1st April </w:t>
      </w:r>
      <w:proofErr w:type="gramStart"/>
      <w:r w:rsidRPr="008F0658">
        <w:t>2021</w:t>
      </w:r>
      <w:r w:rsidR="00664627">
        <w:t>;</w:t>
      </w:r>
      <w:proofErr w:type="gramEnd"/>
    </w:p>
    <w:p w14:paraId="1617B609" w14:textId="77777777" w:rsidR="008F0658" w:rsidRPr="008F0658" w:rsidRDefault="008F0658" w:rsidP="004E7D96">
      <w:pPr>
        <w:pStyle w:val="ListNormal"/>
      </w:pPr>
      <w:r w:rsidRPr="008F0658">
        <w:t xml:space="preserve">a system operability or constraint management project that has been formally requested by the </w:t>
      </w:r>
      <w:proofErr w:type="gramStart"/>
      <w:r w:rsidRPr="008F0658">
        <w:t>ESO;</w:t>
      </w:r>
      <w:proofErr w:type="gramEnd"/>
      <w:r w:rsidRPr="008F0658">
        <w:t xml:space="preserve"> </w:t>
      </w:r>
    </w:p>
    <w:p w14:paraId="26AF43EC" w14:textId="77777777" w:rsidR="008F0658" w:rsidRPr="008F0658" w:rsidRDefault="008F0658" w:rsidP="004E7D96">
      <w:pPr>
        <w:pStyle w:val="ListNormal"/>
      </w:pPr>
      <w:r w:rsidRPr="008F0658">
        <w:t xml:space="preserve">NETS SQSS compliance projects that are required in order to meet NETS SQSS requirements regarding security and system </w:t>
      </w:r>
      <w:proofErr w:type="gramStart"/>
      <w:r w:rsidRPr="008F0658">
        <w:t>operability;</w:t>
      </w:r>
      <w:proofErr w:type="gramEnd"/>
      <w:r w:rsidRPr="008F0658">
        <w:t xml:space="preserve"> </w:t>
      </w:r>
    </w:p>
    <w:p w14:paraId="2CCD879B" w14:textId="77777777" w:rsidR="008F0658" w:rsidRPr="008F0658" w:rsidRDefault="008F0658" w:rsidP="004E7D96">
      <w:pPr>
        <w:pStyle w:val="ListNormal"/>
      </w:pPr>
      <w:r w:rsidRPr="008F0658">
        <w:lastRenderedPageBreak/>
        <w:t>Harmonic Filtering projects that are required following:</w:t>
      </w:r>
    </w:p>
    <w:p w14:paraId="63D81B1A" w14:textId="77777777" w:rsidR="008F0658" w:rsidRPr="008F0658" w:rsidRDefault="008F0658" w:rsidP="007E6D46">
      <w:pPr>
        <w:pStyle w:val="ListNormal"/>
        <w:numPr>
          <w:ilvl w:val="4"/>
          <w:numId w:val="8"/>
        </w:numPr>
      </w:pPr>
      <w:r w:rsidRPr="008F0658">
        <w:t xml:space="preserve">requests from the licensee’s customers to aggregate and deliver Harmonic Filtering requirements; or </w:t>
      </w:r>
    </w:p>
    <w:p w14:paraId="74948D75" w14:textId="77777777" w:rsidR="008F0658" w:rsidRPr="008F0658" w:rsidRDefault="008F0658" w:rsidP="007E6D46">
      <w:pPr>
        <w:pStyle w:val="ListNormal"/>
        <w:numPr>
          <w:ilvl w:val="4"/>
          <w:numId w:val="8"/>
        </w:numPr>
      </w:pPr>
      <w:r w:rsidRPr="008F0658">
        <w:t xml:space="preserve">system studies by the ESO or the licensee showing a requirement for additional Harmonic Filtering on the National Electricity Transmission </w:t>
      </w:r>
      <w:proofErr w:type="gramStart"/>
      <w:r w:rsidRPr="008F0658">
        <w:t>System;</w:t>
      </w:r>
      <w:proofErr w:type="gramEnd"/>
    </w:p>
    <w:p w14:paraId="0203B99E" w14:textId="77777777" w:rsidR="008F0658" w:rsidRPr="008F0658" w:rsidRDefault="008F0658" w:rsidP="002A7CEB">
      <w:pPr>
        <w:pStyle w:val="ListNormal"/>
      </w:pPr>
      <w:r w:rsidRPr="008F0658">
        <w:t xml:space="preserve">Energy System Data Transformation and Improvement Projects, to meet requests from stakeholders and recommendations from industry data working </w:t>
      </w:r>
      <w:proofErr w:type="gramStart"/>
      <w:r w:rsidRPr="008F0658">
        <w:t>groups;</w:t>
      </w:r>
      <w:proofErr w:type="gramEnd"/>
    </w:p>
    <w:p w14:paraId="63F49C77" w14:textId="77777777" w:rsidR="008F0658" w:rsidRPr="008F0658" w:rsidRDefault="008F0658" w:rsidP="002A7CEB">
      <w:pPr>
        <w:pStyle w:val="ListNormal"/>
      </w:pPr>
      <w:r w:rsidRPr="008F0658">
        <w:t xml:space="preserve">an Operational Load Management Scheme [SPT only] following the receipt of an STC planning </w:t>
      </w:r>
      <w:proofErr w:type="gramStart"/>
      <w:r w:rsidRPr="008F0658">
        <w:t>request;</w:t>
      </w:r>
      <w:proofErr w:type="gramEnd"/>
    </w:p>
    <w:p w14:paraId="3A2378AB" w14:textId="274E8204" w:rsidR="008F0658" w:rsidRPr="008F0658" w:rsidRDefault="008F0658" w:rsidP="002A7CEB">
      <w:pPr>
        <w:pStyle w:val="ListNormal"/>
      </w:pPr>
      <w:r w:rsidRPr="008F0658">
        <w:t>the Port of Tyne Diversion Project [NGET only], where the government has required the licensee to deliver this project.</w:t>
      </w:r>
    </w:p>
    <w:p w14:paraId="7DD91720" w14:textId="5CAA5182" w:rsidR="008F0658" w:rsidRPr="008F0658" w:rsidRDefault="008F0658" w:rsidP="002A7CEB">
      <w:pPr>
        <w:pStyle w:val="Heading3"/>
      </w:pPr>
      <w:r w:rsidRPr="008F0658">
        <w:t>When to make an application</w:t>
      </w:r>
    </w:p>
    <w:p w14:paraId="0C59331E" w14:textId="36F8B900" w:rsidR="008F0658" w:rsidRPr="008F0658" w:rsidRDefault="008F0658" w:rsidP="002A7CEB">
      <w:pPr>
        <w:pStyle w:val="NumberedNormal"/>
      </w:pPr>
      <w:r w:rsidRPr="008F0658">
        <w:t xml:space="preserve">The licensee may only apply to the Authority for an adjustment under paragraph </w:t>
      </w:r>
      <w:r w:rsidR="00664627">
        <w:t>3.2</w:t>
      </w:r>
      <w:r w:rsidR="00C36C06">
        <w:t>1</w:t>
      </w:r>
      <w:r w:rsidRPr="008F0658">
        <w:t xml:space="preserve">.4 </w:t>
      </w:r>
      <w:r w:rsidR="0004104C">
        <w:t>B</w:t>
      </w:r>
      <w:r w:rsidRPr="008F0658">
        <w:t xml:space="preserve">etween [25 January 2024 and 31 January 2024]. </w:t>
      </w:r>
    </w:p>
    <w:p w14:paraId="550ACF8D" w14:textId="0D05C537" w:rsidR="008F0658" w:rsidRPr="008F0658" w:rsidRDefault="008F0658" w:rsidP="002A7CEB">
      <w:pPr>
        <w:pStyle w:val="Heading3"/>
      </w:pPr>
      <w:r w:rsidRPr="008F0658">
        <w:t>How to make an application</w:t>
      </w:r>
    </w:p>
    <w:p w14:paraId="1AC94345" w14:textId="29143275" w:rsidR="008F0658" w:rsidRPr="008F0658" w:rsidRDefault="008F0658" w:rsidP="002A7CEB">
      <w:pPr>
        <w:pStyle w:val="NumberedNormal"/>
      </w:pPr>
      <w:r w:rsidRPr="008F0658">
        <w:t xml:space="preserve">An application under paragraph </w:t>
      </w:r>
      <w:r w:rsidR="00664627">
        <w:t>3.2</w:t>
      </w:r>
      <w:r w:rsidR="00C36C06">
        <w:t>1</w:t>
      </w:r>
      <w:r w:rsidRPr="008F0658">
        <w:t>.</w:t>
      </w:r>
      <w:r w:rsidR="0004104C">
        <w:t>4</w:t>
      </w:r>
      <w:r w:rsidRPr="008F0658">
        <w:t xml:space="preserve"> must be made in writing to the Authority and include:</w:t>
      </w:r>
    </w:p>
    <w:p w14:paraId="362668E3" w14:textId="77777777" w:rsidR="008F0658" w:rsidRPr="008F0658" w:rsidRDefault="008F0658" w:rsidP="002A7CEB">
      <w:pPr>
        <w:pStyle w:val="ListNormal"/>
      </w:pPr>
      <w:r w:rsidRPr="008F0658">
        <w:t xml:space="preserve">a detailed justification of the technical need and, where relevant, the consumer benefit that the project is expected to </w:t>
      </w:r>
      <w:proofErr w:type="gramStart"/>
      <w:r w:rsidRPr="008F0658">
        <w:t>deliver;</w:t>
      </w:r>
      <w:proofErr w:type="gramEnd"/>
    </w:p>
    <w:p w14:paraId="7A92967E" w14:textId="77777777" w:rsidR="008F0658" w:rsidRPr="008F0658" w:rsidRDefault="008F0658" w:rsidP="002A7CEB">
      <w:pPr>
        <w:pStyle w:val="ListNormal"/>
      </w:pPr>
      <w:r w:rsidRPr="008F0658">
        <w:t xml:space="preserve">the adjustments to the value of the </w:t>
      </w:r>
      <w:proofErr w:type="spellStart"/>
      <w:r w:rsidRPr="008F0658">
        <w:t>MSIPt</w:t>
      </w:r>
      <w:proofErr w:type="spellEnd"/>
      <w:r w:rsidRPr="008F0658">
        <w:t xml:space="preserve"> term that the licensee is requesting and the Regulatory Years to which those adjustments </w:t>
      </w:r>
      <w:proofErr w:type="gramStart"/>
      <w:r w:rsidRPr="008F0658">
        <w:t>relate;</w:t>
      </w:r>
      <w:proofErr w:type="gramEnd"/>
      <w:r w:rsidRPr="008F0658">
        <w:t xml:space="preserve"> </w:t>
      </w:r>
    </w:p>
    <w:p w14:paraId="64A44B4B" w14:textId="77777777" w:rsidR="008F0658" w:rsidRPr="008F0658" w:rsidRDefault="008F0658" w:rsidP="002A7CEB">
      <w:pPr>
        <w:pStyle w:val="ListNormal"/>
      </w:pPr>
      <w:r w:rsidRPr="008F0658">
        <w:t xml:space="preserve">the basis of the calculation for the proposed adjustments to the value of the </w:t>
      </w:r>
      <w:proofErr w:type="spellStart"/>
      <w:r w:rsidRPr="008F0658">
        <w:t>MSIPt</w:t>
      </w:r>
      <w:proofErr w:type="spellEnd"/>
      <w:r w:rsidRPr="008F0658">
        <w:t xml:space="preserve"> </w:t>
      </w:r>
      <w:proofErr w:type="gramStart"/>
      <w:r w:rsidRPr="008F0658">
        <w:t>term;</w:t>
      </w:r>
      <w:proofErr w:type="gramEnd"/>
    </w:p>
    <w:p w14:paraId="0DE96F44" w14:textId="77777777" w:rsidR="008F0658" w:rsidRPr="008F0658" w:rsidRDefault="008F0658" w:rsidP="002A7CEB">
      <w:pPr>
        <w:pStyle w:val="ListNormal"/>
      </w:pPr>
      <w:r w:rsidRPr="008F0658">
        <w:t xml:space="preserve">the specific outputs that the licensee proposes to deliver </w:t>
      </w:r>
      <w:proofErr w:type="gramStart"/>
      <w:r w:rsidRPr="008F0658">
        <w:t>as a result of</w:t>
      </w:r>
      <w:proofErr w:type="gramEnd"/>
      <w:r w:rsidRPr="008F0658">
        <w:t xml:space="preserve"> the adjustments to the value of the </w:t>
      </w:r>
      <w:proofErr w:type="spellStart"/>
      <w:r w:rsidRPr="008F0658">
        <w:t>MSIPt</w:t>
      </w:r>
      <w:proofErr w:type="spellEnd"/>
      <w:r w:rsidRPr="008F0658">
        <w:t xml:space="preserve"> term; and</w:t>
      </w:r>
    </w:p>
    <w:p w14:paraId="4F5E3036" w14:textId="4C8BCECF" w:rsidR="008F0658" w:rsidRPr="008F0658" w:rsidRDefault="008F0658" w:rsidP="002A7CEB">
      <w:pPr>
        <w:pStyle w:val="ListNormal"/>
        <w:rPr>
          <w:rFonts w:eastAsia="Cambria" w:cs="Cambria"/>
          <w:szCs w:val="24"/>
        </w:rPr>
      </w:pPr>
      <w:r w:rsidRPr="008F0658">
        <w:t xml:space="preserve">such </w:t>
      </w:r>
      <w:r w:rsidR="008C578E">
        <w:t xml:space="preserve">detailed </w:t>
      </w:r>
      <w:r w:rsidRPr="008F0658">
        <w:t xml:space="preserve">supporting evidence as may be specified in the </w:t>
      </w:r>
      <w:r w:rsidR="19E4DE9F" w:rsidRPr="02A95F8B">
        <w:t>Re-opener Application Requirements and Guidance Document</w:t>
      </w:r>
      <w:r w:rsidRPr="008F0658">
        <w:t>.</w:t>
      </w:r>
    </w:p>
    <w:p w14:paraId="6B6C5D68" w14:textId="3568D1B1" w:rsidR="008F0658" w:rsidRPr="008F0658" w:rsidRDefault="008F0658" w:rsidP="002A7CEB">
      <w:pPr>
        <w:pStyle w:val="NumberedNormal"/>
      </w:pPr>
      <w:r w:rsidRPr="008F0658">
        <w:t xml:space="preserve">An application under paragraph </w:t>
      </w:r>
      <w:r w:rsidR="00664627">
        <w:t>3.</w:t>
      </w:r>
      <w:r w:rsidR="00C36C06">
        <w:t>21</w:t>
      </w:r>
      <w:r w:rsidRPr="008F0658">
        <w:t>.5 must:</w:t>
      </w:r>
    </w:p>
    <w:p w14:paraId="37485E29" w14:textId="4C6BABBC" w:rsidR="008F0658" w:rsidRPr="008F0658" w:rsidRDefault="008F0658" w:rsidP="00715BDF">
      <w:pPr>
        <w:pStyle w:val="ListNormal"/>
      </w:pPr>
      <w:r w:rsidRPr="008F0658">
        <w:t>relate to costs incurred or expected to be incurred that exceed the materiality threshold specified for the licensee in Appendix 1;</w:t>
      </w:r>
      <w:r w:rsidR="00664627">
        <w:t xml:space="preserve"> and</w:t>
      </w:r>
    </w:p>
    <w:p w14:paraId="6E511CA4" w14:textId="5564844B" w:rsidR="008F0658" w:rsidRPr="008F0658" w:rsidRDefault="008F0658" w:rsidP="00715BDF">
      <w:pPr>
        <w:pStyle w:val="ListNormal"/>
      </w:pPr>
      <w:r w:rsidRPr="008F0658">
        <w:t xml:space="preserve">relate to costs incurred or expected to be incurred </w:t>
      </w:r>
      <w:r w:rsidR="002F1578">
        <w:t xml:space="preserve">on or </w:t>
      </w:r>
      <w:r w:rsidRPr="008F0658">
        <w:t>after 1 April 2021.</w:t>
      </w:r>
    </w:p>
    <w:p w14:paraId="38C49FF0" w14:textId="77777777" w:rsidR="008F0658" w:rsidRPr="008F0658" w:rsidRDefault="008F0658" w:rsidP="008F0658"/>
    <w:p w14:paraId="6A388470" w14:textId="53385EB5" w:rsidR="008F0658" w:rsidRPr="008F0658" w:rsidRDefault="008F0658" w:rsidP="00715BDF">
      <w:pPr>
        <w:pStyle w:val="Heading3"/>
      </w:pPr>
      <w:r w:rsidRPr="008F0658">
        <w:t>What process will the Authority follow in making a direction?</w:t>
      </w:r>
    </w:p>
    <w:p w14:paraId="153DBD1E" w14:textId="0D36FDEC" w:rsidR="008F0658" w:rsidRPr="008F0658" w:rsidRDefault="008F0658" w:rsidP="00844AD4">
      <w:pPr>
        <w:pStyle w:val="NumberedNormal"/>
      </w:pPr>
      <w:r w:rsidRPr="008F0658">
        <w:t xml:space="preserve">Before making a direction under paragraph </w:t>
      </w:r>
      <w:r w:rsidR="00664627">
        <w:t>3.2</w:t>
      </w:r>
      <w:r w:rsidR="00C36C06">
        <w:t>1</w:t>
      </w:r>
      <w:r w:rsidRPr="008F0658">
        <w:t>.4, the Authority will publish on the Authority's Website:</w:t>
      </w:r>
    </w:p>
    <w:p w14:paraId="7C8CE81C" w14:textId="77777777" w:rsidR="008F0658" w:rsidRPr="008F0658" w:rsidRDefault="008F0658" w:rsidP="00844AD4">
      <w:pPr>
        <w:pStyle w:val="ListNormal"/>
      </w:pPr>
      <w:r w:rsidRPr="008F0658">
        <w:lastRenderedPageBreak/>
        <w:t xml:space="preserve">the text of the proposed </w:t>
      </w:r>
      <w:proofErr w:type="gramStart"/>
      <w:r w:rsidRPr="008F0658">
        <w:t>direction;</w:t>
      </w:r>
      <w:proofErr w:type="gramEnd"/>
    </w:p>
    <w:p w14:paraId="44B16D90" w14:textId="44798EA9" w:rsidR="008F0658" w:rsidRPr="008F0658" w:rsidRDefault="008F0658" w:rsidP="00844AD4">
      <w:pPr>
        <w:pStyle w:val="ListNormal"/>
      </w:pPr>
      <w:r w:rsidRPr="008F0658">
        <w:t>the reasons for the proposed direction;</w:t>
      </w:r>
      <w:r w:rsidR="00664627">
        <w:t xml:space="preserve"> and</w:t>
      </w:r>
    </w:p>
    <w:p w14:paraId="65C4FCA9" w14:textId="09F9CF02" w:rsidR="008F0658" w:rsidRPr="008F0658" w:rsidRDefault="00A76735" w:rsidP="0003054A">
      <w:pPr>
        <w:pStyle w:val="ListNormal"/>
        <w:tabs>
          <w:tab w:val="num" w:pos="879"/>
        </w:tabs>
      </w:pPr>
      <w:r w:rsidRPr="00A76735">
        <w:t xml:space="preserve">a period during which representations may be made on </w:t>
      </w:r>
      <w:r>
        <w:t>the proposed direction</w:t>
      </w:r>
      <w:r w:rsidR="00664627">
        <w:t>,</w:t>
      </w:r>
      <w:r w:rsidRPr="00A76735">
        <w:t xml:space="preserve"> which </w:t>
      </w:r>
      <w:r>
        <w:t>will</w:t>
      </w:r>
      <w:r w:rsidRPr="00A76735">
        <w:t xml:space="preserve"> not be less than 28 days.</w:t>
      </w:r>
    </w:p>
    <w:p w14:paraId="7E660CCC" w14:textId="66188B22" w:rsidR="008F0658" w:rsidRPr="008F0658" w:rsidRDefault="008F0658" w:rsidP="00844AD4">
      <w:pPr>
        <w:pStyle w:val="NumberedNormal"/>
      </w:pPr>
      <w:r w:rsidRPr="008F0658">
        <w:t>The direction will set out</w:t>
      </w:r>
      <w:r w:rsidR="00A76735">
        <w:t>:</w:t>
      </w:r>
    </w:p>
    <w:p w14:paraId="05DAC28A" w14:textId="77777777" w:rsidR="00A76735" w:rsidRDefault="008F0658" w:rsidP="008F0658">
      <w:pPr>
        <w:pStyle w:val="ListNormal"/>
      </w:pPr>
      <w:r w:rsidRPr="008F0658">
        <w:t xml:space="preserve">any adjustments to the value of the </w:t>
      </w:r>
      <w:proofErr w:type="spellStart"/>
      <w:r w:rsidRPr="008F0658">
        <w:t>MSIPt</w:t>
      </w:r>
      <w:proofErr w:type="spellEnd"/>
      <w:r w:rsidRPr="008F0658">
        <w:t xml:space="preserve"> term</w:t>
      </w:r>
      <w:r w:rsidR="004D2943">
        <w:t xml:space="preserve">, which will include any relevant </w:t>
      </w:r>
      <w:proofErr w:type="spellStart"/>
      <w:r w:rsidR="004D2943">
        <w:t>Opex</w:t>
      </w:r>
      <w:proofErr w:type="spellEnd"/>
      <w:r w:rsidR="004D2943">
        <w:t xml:space="preserve"> Uplift</w:t>
      </w:r>
      <w:r w:rsidR="00A76735">
        <w:t>;</w:t>
      </w:r>
      <w:r w:rsidRPr="008F0658">
        <w:t xml:space="preserve"> and </w:t>
      </w:r>
    </w:p>
    <w:p w14:paraId="7C7A0EE0" w14:textId="45A5D49F" w:rsidR="008F0658" w:rsidRDefault="008F0658" w:rsidP="008F0658">
      <w:pPr>
        <w:pStyle w:val="ListNormal"/>
      </w:pPr>
      <w:r w:rsidRPr="008F0658">
        <w:t>the Regulatory Years to which those adjustments relate.</w:t>
      </w:r>
    </w:p>
    <w:p w14:paraId="18FC1A2C" w14:textId="1AC3ACD4" w:rsidR="0004104C" w:rsidRPr="0004104C" w:rsidRDefault="0004104C" w:rsidP="0003054A">
      <w:pPr>
        <w:pStyle w:val="NumberedNormal"/>
        <w:numPr>
          <w:ilvl w:val="0"/>
          <w:numId w:val="0"/>
        </w:numPr>
      </w:pPr>
    </w:p>
    <w:p w14:paraId="3F25B2D2" w14:textId="3AA0B304" w:rsidR="00F44816" w:rsidRDefault="00F44816" w:rsidP="00F44816">
      <w:pPr>
        <w:pStyle w:val="Heading2"/>
      </w:pPr>
      <w:bookmarkStart w:id="123" w:name="_Toc51319623"/>
      <w:bookmarkStart w:id="124" w:name="_Toc51798292"/>
      <w:bookmarkStart w:id="125" w:name="_Toc52364905"/>
      <w:r>
        <w:t xml:space="preserve">Pre-construction funding </w:t>
      </w:r>
      <w:r w:rsidR="000474DD">
        <w:t>R</w:t>
      </w:r>
      <w:r>
        <w:t>e-opener</w:t>
      </w:r>
      <w:bookmarkEnd w:id="123"/>
      <w:r w:rsidR="00A76735">
        <w:t xml:space="preserve"> (</w:t>
      </w:r>
      <w:proofErr w:type="spellStart"/>
      <w:r w:rsidR="00A76735">
        <w:t>PCFt</w:t>
      </w:r>
      <w:proofErr w:type="spellEnd"/>
      <w:r w:rsidR="00A76735">
        <w:t>)</w:t>
      </w:r>
      <w:bookmarkEnd w:id="124"/>
      <w:bookmarkEnd w:id="125"/>
    </w:p>
    <w:p w14:paraId="3FBCD01C" w14:textId="77777777" w:rsidR="008F0658" w:rsidRPr="008F0658" w:rsidRDefault="008F0658" w:rsidP="002E3EE2">
      <w:pPr>
        <w:pStyle w:val="Heading3nonumbering"/>
      </w:pPr>
      <w:r w:rsidRPr="008F0658">
        <w:t xml:space="preserve">Introduction </w:t>
      </w:r>
    </w:p>
    <w:p w14:paraId="4988A59A" w14:textId="4A24589F" w:rsidR="008F0658" w:rsidRPr="008F0658" w:rsidRDefault="008F0658" w:rsidP="002E3EE2">
      <w:pPr>
        <w:pStyle w:val="NumberedNormal"/>
      </w:pPr>
      <w:r w:rsidRPr="008F0658">
        <w:t xml:space="preserve">The purpose of this condition is to calculate the term </w:t>
      </w:r>
      <w:proofErr w:type="spellStart"/>
      <w:r w:rsidRPr="008F0658">
        <w:t>PCFt</w:t>
      </w:r>
      <w:proofErr w:type="spellEnd"/>
      <w:r w:rsidRPr="008F0658">
        <w:t xml:space="preserve"> (the Pre-Construction Funding term). This contributes to calculation of the Totex Allowance. </w:t>
      </w:r>
    </w:p>
    <w:p w14:paraId="1A45E036" w14:textId="77777777" w:rsidR="008F0658" w:rsidRPr="008F0658" w:rsidRDefault="008F0658" w:rsidP="002E3EE2">
      <w:pPr>
        <w:pStyle w:val="NumberedNormal"/>
      </w:pPr>
      <w:r w:rsidRPr="008F0658">
        <w:t>The effect of this condition is to establish a Re-opener for the licensee to trigger where it has incurred costs for Pre-Construction Works in relation to a LOTI.</w:t>
      </w:r>
    </w:p>
    <w:p w14:paraId="05B7343D" w14:textId="77777777" w:rsidR="008F0658" w:rsidRPr="008F0658" w:rsidRDefault="008F0658" w:rsidP="002E3EE2">
      <w:pPr>
        <w:pStyle w:val="NumberedNormal"/>
      </w:pPr>
      <w:r w:rsidRPr="008F0658">
        <w:t xml:space="preserve">This condition also explains the process the Authority will follow when directing any changes </w:t>
      </w:r>
      <w:proofErr w:type="gramStart"/>
      <w:r w:rsidRPr="008F0658">
        <w:t>as a result of</w:t>
      </w:r>
      <w:proofErr w:type="gramEnd"/>
      <w:r w:rsidRPr="008F0658">
        <w:t xml:space="preserve"> the Re-opener. </w:t>
      </w:r>
    </w:p>
    <w:p w14:paraId="605BB99C" w14:textId="5AE677E2" w:rsidR="008F0658" w:rsidRPr="008F0658" w:rsidRDefault="008F0658" w:rsidP="005A0A04">
      <w:pPr>
        <w:pStyle w:val="Heading3"/>
      </w:pPr>
      <w:r w:rsidRPr="008F0658">
        <w:t>What costs are within scope of this Re-opener?</w:t>
      </w:r>
    </w:p>
    <w:p w14:paraId="39EC9161" w14:textId="77777777" w:rsidR="008F0658" w:rsidRPr="008F0658" w:rsidRDefault="008F0658" w:rsidP="005A0A04">
      <w:pPr>
        <w:pStyle w:val="NumberedNormal"/>
      </w:pPr>
      <w:r w:rsidRPr="008F0658">
        <w:t xml:space="preserve">The licensee may apply to the Authority for a direction adjusting the value of the </w:t>
      </w:r>
      <w:proofErr w:type="spellStart"/>
      <w:r w:rsidRPr="008F0658">
        <w:t>PCFt</w:t>
      </w:r>
      <w:proofErr w:type="spellEnd"/>
      <w:r w:rsidRPr="008F0658">
        <w:t xml:space="preserve"> term for any Regulatory Year during the Price Control Period where:</w:t>
      </w:r>
    </w:p>
    <w:p w14:paraId="43920BCE" w14:textId="77777777" w:rsidR="008F0658" w:rsidRPr="008F0658" w:rsidRDefault="008F0658" w:rsidP="005A0A04">
      <w:pPr>
        <w:pStyle w:val="ListNormal"/>
      </w:pPr>
      <w:r w:rsidRPr="008F0658">
        <w:t xml:space="preserve">the licensee has incurred costs for Pre-Construction Works in relation to a </w:t>
      </w:r>
      <w:proofErr w:type="gramStart"/>
      <w:r w:rsidRPr="008F0658">
        <w:t>LOTI;</w:t>
      </w:r>
      <w:proofErr w:type="gramEnd"/>
      <w:r w:rsidRPr="008F0658">
        <w:t xml:space="preserve"> </w:t>
      </w:r>
    </w:p>
    <w:p w14:paraId="54DBC84F" w14:textId="77777777" w:rsidR="008F0658" w:rsidRPr="008F0658" w:rsidRDefault="008F0658" w:rsidP="005A0A04">
      <w:pPr>
        <w:pStyle w:val="ListNormal"/>
      </w:pPr>
      <w:r w:rsidRPr="008F0658">
        <w:t xml:space="preserve">the LOTI was subject to </w:t>
      </w:r>
      <w:proofErr w:type="gramStart"/>
      <w:r w:rsidRPr="008F0658">
        <w:t>a</w:t>
      </w:r>
      <w:proofErr w:type="gramEnd"/>
      <w:r w:rsidRPr="008F0658">
        <w:t xml:space="preserve"> NOA Proceed Signal at the time the costs were incurred; and</w:t>
      </w:r>
    </w:p>
    <w:p w14:paraId="0EA05CD0" w14:textId="47850F1F" w:rsidR="008F0658" w:rsidRPr="008F0658" w:rsidRDefault="008F0658" w:rsidP="005A0A04">
      <w:pPr>
        <w:pStyle w:val="ListNormal"/>
      </w:pPr>
      <w:r w:rsidRPr="008F0658">
        <w:t>the costs were incurred</w:t>
      </w:r>
      <w:r w:rsidR="00A76735">
        <w:t xml:space="preserve"> on or</w:t>
      </w:r>
      <w:r w:rsidRPr="008F0658">
        <w:t xml:space="preserve"> after 1 April 2021.  </w:t>
      </w:r>
    </w:p>
    <w:p w14:paraId="3915506F" w14:textId="451AE4DF" w:rsidR="008F0658" w:rsidRPr="008F0658" w:rsidRDefault="008F0658" w:rsidP="0041268A">
      <w:pPr>
        <w:pStyle w:val="Heading3"/>
      </w:pPr>
      <w:r w:rsidRPr="008F0658">
        <w:t>When to make an application</w:t>
      </w:r>
    </w:p>
    <w:p w14:paraId="01BB86FF" w14:textId="12597155" w:rsidR="008F0658" w:rsidRPr="008F0658" w:rsidRDefault="008F0658" w:rsidP="0041268A">
      <w:pPr>
        <w:pStyle w:val="NumberedNormal"/>
      </w:pPr>
      <w:r w:rsidRPr="008F0658">
        <w:t xml:space="preserve">The licensee may only apply to the Authority for an adjustment under paragraph </w:t>
      </w:r>
      <w:r w:rsidR="00862FFC">
        <w:t>3.2</w:t>
      </w:r>
      <w:r w:rsidR="0003054A">
        <w:t>2</w:t>
      </w:r>
      <w:r w:rsidRPr="008F0658">
        <w:t xml:space="preserve">.4 </w:t>
      </w:r>
      <w:r w:rsidR="00970CFA">
        <w:t>b</w:t>
      </w:r>
      <w:r w:rsidRPr="008F0658">
        <w:t xml:space="preserve">etween [25 January 2026 and 31 January 2026], or during such later period </w:t>
      </w:r>
      <w:r w:rsidR="008E7C31">
        <w:t>as the Authority may direct</w:t>
      </w:r>
      <w:r w:rsidRPr="008F0658">
        <w:t>.</w:t>
      </w:r>
    </w:p>
    <w:p w14:paraId="1236A1DB" w14:textId="33CB133B" w:rsidR="008F0658" w:rsidRPr="008F0658" w:rsidRDefault="008F0658" w:rsidP="0041268A">
      <w:pPr>
        <w:pStyle w:val="Heading3"/>
      </w:pPr>
      <w:r w:rsidRPr="008F0658">
        <w:t>How to make an application</w:t>
      </w:r>
    </w:p>
    <w:p w14:paraId="54EC1165" w14:textId="78B60834" w:rsidR="008F0658" w:rsidRPr="008F0658" w:rsidRDefault="008F0658" w:rsidP="0041268A">
      <w:pPr>
        <w:pStyle w:val="NumberedNormal"/>
      </w:pPr>
      <w:r w:rsidRPr="008F0658">
        <w:t xml:space="preserve">An application under paragraph </w:t>
      </w:r>
      <w:r w:rsidR="00862FFC">
        <w:t>3.2</w:t>
      </w:r>
      <w:r w:rsidR="0003054A">
        <w:t>2</w:t>
      </w:r>
      <w:r w:rsidRPr="008F0658">
        <w:t xml:space="preserve">.4 must be </w:t>
      </w:r>
      <w:r w:rsidR="008E7C31">
        <w:t xml:space="preserve">made </w:t>
      </w:r>
      <w:r w:rsidRPr="008F0658">
        <w:t>in writing and include:</w:t>
      </w:r>
    </w:p>
    <w:p w14:paraId="7F64416E" w14:textId="77777777" w:rsidR="008F0658" w:rsidRPr="008F0658" w:rsidRDefault="008F0658" w:rsidP="00307D4C">
      <w:pPr>
        <w:pStyle w:val="ListNormal"/>
      </w:pPr>
      <w:r w:rsidRPr="008F0658">
        <w:t xml:space="preserve">a detailed breakdown of what Pre-Construction Works were </w:t>
      </w:r>
      <w:proofErr w:type="gramStart"/>
      <w:r w:rsidRPr="008F0658">
        <w:t>undertaken;</w:t>
      </w:r>
      <w:proofErr w:type="gramEnd"/>
    </w:p>
    <w:p w14:paraId="442F0ED3" w14:textId="77777777" w:rsidR="008F0658" w:rsidRPr="008F0658" w:rsidRDefault="008F0658" w:rsidP="00307D4C">
      <w:pPr>
        <w:pStyle w:val="ListNormal"/>
      </w:pPr>
      <w:r w:rsidRPr="008F0658">
        <w:t xml:space="preserve">an overview of the LOTI to which the Pre-Construction Works </w:t>
      </w:r>
      <w:proofErr w:type="gramStart"/>
      <w:r w:rsidRPr="008F0658">
        <w:t>relate;</w:t>
      </w:r>
      <w:proofErr w:type="gramEnd"/>
      <w:r w:rsidRPr="008F0658">
        <w:t xml:space="preserve"> </w:t>
      </w:r>
    </w:p>
    <w:p w14:paraId="5C5883DA" w14:textId="77777777" w:rsidR="008F0658" w:rsidRPr="008F0658" w:rsidRDefault="008F0658" w:rsidP="00307D4C">
      <w:pPr>
        <w:pStyle w:val="ListNormal"/>
      </w:pPr>
      <w:r w:rsidRPr="008F0658">
        <w:t xml:space="preserve">a detailed justification of why the Pre-Construction Works were </w:t>
      </w:r>
      <w:proofErr w:type="gramStart"/>
      <w:r w:rsidRPr="008F0658">
        <w:t>required;</w:t>
      </w:r>
      <w:proofErr w:type="gramEnd"/>
    </w:p>
    <w:p w14:paraId="4AC71BCF" w14:textId="77777777" w:rsidR="008F0658" w:rsidRPr="008F0658" w:rsidRDefault="008F0658" w:rsidP="00307D4C">
      <w:pPr>
        <w:pStyle w:val="ListNormal"/>
      </w:pPr>
      <w:r w:rsidRPr="008F0658">
        <w:lastRenderedPageBreak/>
        <w:t xml:space="preserve">a statement that each LOTI was subject to </w:t>
      </w:r>
      <w:proofErr w:type="gramStart"/>
      <w:r w:rsidRPr="008F0658">
        <w:t>a</w:t>
      </w:r>
      <w:proofErr w:type="gramEnd"/>
      <w:r w:rsidRPr="008F0658">
        <w:t xml:space="preserve"> NOA Proceed Signal at the time the relevant costs were incurred;  </w:t>
      </w:r>
    </w:p>
    <w:p w14:paraId="5382B754" w14:textId="77777777" w:rsidR="008F0658" w:rsidRPr="008F0658" w:rsidRDefault="008F0658" w:rsidP="00307D4C">
      <w:pPr>
        <w:pStyle w:val="ListNormal"/>
      </w:pPr>
      <w:r w:rsidRPr="008F0658">
        <w:t xml:space="preserve">the adjustments to the value of the </w:t>
      </w:r>
      <w:proofErr w:type="spellStart"/>
      <w:r w:rsidRPr="008F0658">
        <w:t>PCFt</w:t>
      </w:r>
      <w:proofErr w:type="spellEnd"/>
      <w:r w:rsidRPr="008F0658">
        <w:t xml:space="preserve"> term that the licensee is requesting and the Regulatory Years to which those adjustments relate; and</w:t>
      </w:r>
    </w:p>
    <w:p w14:paraId="58BFF744" w14:textId="77777777" w:rsidR="008F0658" w:rsidRPr="008F0658" w:rsidRDefault="008F0658" w:rsidP="00307D4C">
      <w:pPr>
        <w:pStyle w:val="ListNormal"/>
      </w:pPr>
      <w:r w:rsidRPr="008F0658">
        <w:t xml:space="preserve">the basis of the calculation for the proposed adjustments to the value of the </w:t>
      </w:r>
      <w:proofErr w:type="spellStart"/>
      <w:r w:rsidRPr="008F0658">
        <w:t>PCFt</w:t>
      </w:r>
      <w:proofErr w:type="spellEnd"/>
      <w:r w:rsidRPr="008F0658">
        <w:t xml:space="preserve"> term. </w:t>
      </w:r>
    </w:p>
    <w:p w14:paraId="577DDF2B" w14:textId="1D7AEA5C" w:rsidR="008F0658" w:rsidRPr="008F0658" w:rsidRDefault="008F0658" w:rsidP="00307D4C">
      <w:pPr>
        <w:pStyle w:val="Heading3"/>
      </w:pPr>
      <w:r w:rsidRPr="008F0658">
        <w:t>What process will the Authority follow in making a direction?</w:t>
      </w:r>
    </w:p>
    <w:p w14:paraId="12E74AF1" w14:textId="28CB65F5" w:rsidR="008F0658" w:rsidRPr="008F0658" w:rsidRDefault="008F0658" w:rsidP="00307D4C">
      <w:pPr>
        <w:pStyle w:val="NumberedNormal"/>
      </w:pPr>
      <w:r w:rsidRPr="008F0658">
        <w:t xml:space="preserve">Before making a direction under </w:t>
      </w:r>
      <w:r w:rsidR="00664627">
        <w:t>3.2</w:t>
      </w:r>
      <w:r w:rsidR="0003054A">
        <w:t>2</w:t>
      </w:r>
      <w:r w:rsidRPr="008F0658">
        <w:t>.4 the Authority will publish on the Authority's Website:</w:t>
      </w:r>
    </w:p>
    <w:p w14:paraId="4E32BC9E" w14:textId="77777777" w:rsidR="008F0658" w:rsidRPr="008F0658" w:rsidRDefault="008F0658" w:rsidP="00307D4C">
      <w:pPr>
        <w:pStyle w:val="ListNormal"/>
      </w:pPr>
      <w:r w:rsidRPr="008F0658">
        <w:t xml:space="preserve">the text of the proposed </w:t>
      </w:r>
      <w:proofErr w:type="gramStart"/>
      <w:r w:rsidRPr="008F0658">
        <w:t>direction;</w:t>
      </w:r>
      <w:proofErr w:type="gramEnd"/>
    </w:p>
    <w:p w14:paraId="0B7AD4AA" w14:textId="77777777" w:rsidR="008F0658" w:rsidRPr="008F0658" w:rsidRDefault="008F0658" w:rsidP="00307D4C">
      <w:pPr>
        <w:pStyle w:val="ListNormal"/>
      </w:pPr>
      <w:r w:rsidRPr="008F0658">
        <w:t>the reasons for the proposed direction; and</w:t>
      </w:r>
    </w:p>
    <w:p w14:paraId="279EA8CB" w14:textId="0F366275" w:rsidR="00A76735" w:rsidRPr="00A76735" w:rsidRDefault="00A76735" w:rsidP="00A76735">
      <w:pPr>
        <w:pStyle w:val="ListNormal"/>
        <w:tabs>
          <w:tab w:val="num" w:pos="879"/>
        </w:tabs>
      </w:pPr>
      <w:r w:rsidRPr="00A76735">
        <w:t>a period during which representations may be made on</w:t>
      </w:r>
      <w:r>
        <w:t xml:space="preserve"> the</w:t>
      </w:r>
      <w:r w:rsidRPr="00A76735">
        <w:t xml:space="preserve"> proposed </w:t>
      </w:r>
      <w:r w:rsidR="00664627">
        <w:t xml:space="preserve">direction, which will not be less than </w:t>
      </w:r>
      <w:r w:rsidRPr="00A76735">
        <w:t>28 days.</w:t>
      </w:r>
    </w:p>
    <w:p w14:paraId="54A67556" w14:textId="77777777" w:rsidR="00A76735" w:rsidRDefault="008F0658" w:rsidP="00307D4C">
      <w:pPr>
        <w:pStyle w:val="NumberedNormal"/>
      </w:pPr>
      <w:r w:rsidRPr="008F0658">
        <w:t>The direction will set out</w:t>
      </w:r>
      <w:r w:rsidR="00A76735">
        <w:t>:</w:t>
      </w:r>
    </w:p>
    <w:p w14:paraId="7CFB4683" w14:textId="62AEF359" w:rsidR="00A76735" w:rsidRDefault="008F0658" w:rsidP="00A76735">
      <w:pPr>
        <w:pStyle w:val="ListNormal"/>
      </w:pPr>
      <w:r w:rsidRPr="008F0658">
        <w:t xml:space="preserve">any adjustments to the value of the </w:t>
      </w:r>
      <w:proofErr w:type="spellStart"/>
      <w:r w:rsidRPr="008F0658">
        <w:t>PCFt</w:t>
      </w:r>
      <w:proofErr w:type="spellEnd"/>
      <w:r w:rsidRPr="008F0658">
        <w:t xml:space="preserve"> term</w:t>
      </w:r>
      <w:r w:rsidR="004D2943">
        <w:t xml:space="preserve">, which will include any relevant </w:t>
      </w:r>
      <w:proofErr w:type="spellStart"/>
      <w:r w:rsidR="004D2943">
        <w:t>Opex</w:t>
      </w:r>
      <w:proofErr w:type="spellEnd"/>
      <w:r w:rsidR="004D2943">
        <w:t xml:space="preserve"> Uplift</w:t>
      </w:r>
      <w:r w:rsidR="00A76735">
        <w:t>;</w:t>
      </w:r>
      <w:r w:rsidRPr="008F0658">
        <w:t xml:space="preserve"> and </w:t>
      </w:r>
    </w:p>
    <w:p w14:paraId="63794E46" w14:textId="4B079566" w:rsidR="008F0658" w:rsidRPr="008F0658" w:rsidRDefault="008F0658" w:rsidP="00AB1D80">
      <w:pPr>
        <w:pStyle w:val="ListNormal"/>
      </w:pPr>
      <w:r w:rsidRPr="008F0658">
        <w:t>the Regulatory Years to which those adjustments relate.</w:t>
      </w:r>
    </w:p>
    <w:p w14:paraId="4C7BEF04" w14:textId="457B3DE5" w:rsidR="00F44816" w:rsidRDefault="00F44816" w:rsidP="00F44816">
      <w:pPr>
        <w:pStyle w:val="Heading2"/>
      </w:pPr>
      <w:bookmarkStart w:id="126" w:name="_Toc51319625"/>
      <w:bookmarkStart w:id="127" w:name="_Toc51798293"/>
      <w:bookmarkStart w:id="128" w:name="_Toc52364906"/>
      <w:r>
        <w:t xml:space="preserve">Subsea cable </w:t>
      </w:r>
      <w:r w:rsidR="00C31CDE">
        <w:t>R</w:t>
      </w:r>
      <w:r>
        <w:t>e-opener</w:t>
      </w:r>
      <w:bookmarkEnd w:id="126"/>
      <w:r w:rsidR="00C31CDE">
        <w:t xml:space="preserve"> (</w:t>
      </w:r>
      <w:proofErr w:type="spellStart"/>
      <w:r w:rsidR="00C31CDE">
        <w:t>SCRt</w:t>
      </w:r>
      <w:proofErr w:type="spellEnd"/>
      <w:r w:rsidR="00C31CDE">
        <w:t>)</w:t>
      </w:r>
      <w:bookmarkEnd w:id="127"/>
      <w:bookmarkEnd w:id="128"/>
    </w:p>
    <w:p w14:paraId="55437CE2" w14:textId="77777777" w:rsidR="008F0658" w:rsidRPr="008F0658" w:rsidRDefault="008F0658" w:rsidP="00307D4C">
      <w:pPr>
        <w:pStyle w:val="Heading3nonumbering"/>
      </w:pPr>
      <w:r w:rsidRPr="008F0658">
        <w:t xml:space="preserve">Introduction </w:t>
      </w:r>
    </w:p>
    <w:p w14:paraId="191AD1F4" w14:textId="1647A7E8" w:rsidR="008F0658" w:rsidRPr="008F0658" w:rsidRDefault="008F0658" w:rsidP="00307D4C">
      <w:pPr>
        <w:pStyle w:val="NumberedNormal"/>
      </w:pPr>
      <w:r w:rsidRPr="008F0658">
        <w:t xml:space="preserve">The purpose of this condition is to calculate the term </w:t>
      </w:r>
      <w:proofErr w:type="spellStart"/>
      <w:r w:rsidRPr="008F0658">
        <w:t>SCRt</w:t>
      </w:r>
      <w:proofErr w:type="spellEnd"/>
      <w:r w:rsidRPr="008F0658">
        <w:t xml:space="preserve"> (the Subsea Cable Repair term). This contributes to the calculation of the Totex Allowance.</w:t>
      </w:r>
    </w:p>
    <w:p w14:paraId="34F54E0A" w14:textId="77777777" w:rsidR="008F0658" w:rsidRPr="008F0658" w:rsidRDefault="008F0658" w:rsidP="00307D4C">
      <w:pPr>
        <w:pStyle w:val="NumberedNormal"/>
      </w:pPr>
      <w:r w:rsidRPr="008F0658">
        <w:t>The effect of this condition is to establish a Re-opener triggered by the licensee where there is a need for Subsea Cable repair works on the licensee’s Transmission System.</w:t>
      </w:r>
    </w:p>
    <w:p w14:paraId="41BFABA7" w14:textId="77777777" w:rsidR="008F0658" w:rsidRPr="008F0658" w:rsidRDefault="008F0658" w:rsidP="00307D4C">
      <w:pPr>
        <w:pStyle w:val="NumberedNormal"/>
      </w:pPr>
      <w:r w:rsidRPr="008F0658">
        <w:t xml:space="preserve">This condition also explains the process the Authority will follow when directing any changes </w:t>
      </w:r>
      <w:proofErr w:type="gramStart"/>
      <w:r w:rsidRPr="008F0658">
        <w:t>as a result of</w:t>
      </w:r>
      <w:proofErr w:type="gramEnd"/>
      <w:r w:rsidRPr="008F0658">
        <w:t xml:space="preserve"> the Re-opener.</w:t>
      </w:r>
    </w:p>
    <w:p w14:paraId="7128ED39" w14:textId="5E1647BB" w:rsidR="008F0658" w:rsidRPr="008F0658" w:rsidRDefault="008F0658" w:rsidP="00307D4C">
      <w:pPr>
        <w:pStyle w:val="Heading3"/>
      </w:pPr>
      <w:r w:rsidRPr="008F0658">
        <w:t>What costs are within scope of this Re-opener?</w:t>
      </w:r>
    </w:p>
    <w:p w14:paraId="4A218F74" w14:textId="77777777" w:rsidR="008F0658" w:rsidRPr="008F0658" w:rsidRDefault="008F0658" w:rsidP="00307D4C">
      <w:pPr>
        <w:pStyle w:val="NumberedNormal"/>
      </w:pPr>
      <w:r w:rsidRPr="008F0658">
        <w:t xml:space="preserve">The licensee may apply to the Authority for a direction adjusting the value of the </w:t>
      </w:r>
      <w:proofErr w:type="spellStart"/>
      <w:r w:rsidRPr="008F0658">
        <w:t>SCRt</w:t>
      </w:r>
      <w:proofErr w:type="spellEnd"/>
      <w:r w:rsidRPr="008F0658">
        <w:t xml:space="preserve"> term for any Regulatory Year during the Price Control Period </w:t>
      </w:r>
      <w:proofErr w:type="gramStart"/>
      <w:r w:rsidRPr="008F0658">
        <w:t>as a result of</w:t>
      </w:r>
      <w:proofErr w:type="gramEnd"/>
      <w:r w:rsidRPr="008F0658">
        <w:t>:</w:t>
      </w:r>
    </w:p>
    <w:p w14:paraId="048936C7" w14:textId="0DCB7676" w:rsidR="008F0658" w:rsidRPr="008F0658" w:rsidRDefault="008F0658" w:rsidP="00307D4C">
      <w:pPr>
        <w:pStyle w:val="ListNormal"/>
      </w:pPr>
      <w:r w:rsidRPr="008F0658">
        <w:t xml:space="preserve">repairing Subsea Cable Faults on the licensee’s Transmission System that the licensee did not reasonably anticipate at the start of the </w:t>
      </w:r>
      <w:r w:rsidR="00C31CDE">
        <w:t>P</w:t>
      </w:r>
      <w:r w:rsidRPr="008F0658">
        <w:t xml:space="preserve">rice </w:t>
      </w:r>
      <w:r w:rsidR="00C31CDE">
        <w:t>C</w:t>
      </w:r>
      <w:r w:rsidRPr="008F0658">
        <w:t xml:space="preserve">ontrol </w:t>
      </w:r>
      <w:r w:rsidR="00C31CDE">
        <w:t>P</w:t>
      </w:r>
      <w:r w:rsidRPr="008F0658">
        <w:t xml:space="preserve">eriod, or </w:t>
      </w:r>
    </w:p>
    <w:p w14:paraId="6E19C393" w14:textId="4DFD4FDB" w:rsidR="008F0658" w:rsidRPr="008F0658" w:rsidRDefault="008F0658" w:rsidP="008F0658">
      <w:pPr>
        <w:pStyle w:val="ListNormal"/>
      </w:pPr>
      <w:r w:rsidRPr="008F0658">
        <w:t>mitigating any material risk of a Subsea Cable Fault occurring in the future.</w:t>
      </w:r>
    </w:p>
    <w:p w14:paraId="6D70D396" w14:textId="09ED5BA1" w:rsidR="008F0658" w:rsidRPr="008F0658" w:rsidRDefault="008F0658" w:rsidP="00307D4C">
      <w:pPr>
        <w:pStyle w:val="Heading3"/>
      </w:pPr>
      <w:r w:rsidRPr="008F0658">
        <w:lastRenderedPageBreak/>
        <w:t>When to make an application</w:t>
      </w:r>
    </w:p>
    <w:p w14:paraId="1C7224FE" w14:textId="346BD695" w:rsidR="008F0658" w:rsidRPr="008F0658" w:rsidRDefault="008F0658" w:rsidP="00307D4C">
      <w:pPr>
        <w:pStyle w:val="NumberedNormal"/>
      </w:pPr>
      <w:r w:rsidRPr="008F0658">
        <w:t xml:space="preserve">An application under paragraph </w:t>
      </w:r>
      <w:r w:rsidR="00491DB4">
        <w:t>3.22</w:t>
      </w:r>
      <w:r w:rsidRPr="008F0658">
        <w:t>.4 may be made</w:t>
      </w:r>
      <w:r w:rsidR="00491DB4">
        <w:t>:</w:t>
      </w:r>
      <w:r w:rsidRPr="008F0658">
        <w:t xml:space="preserve"> </w:t>
      </w:r>
    </w:p>
    <w:p w14:paraId="6201F5B8" w14:textId="518C3481" w:rsidR="008F0658" w:rsidRPr="008F0658" w:rsidRDefault="00C31CDE" w:rsidP="00307D4C">
      <w:pPr>
        <w:pStyle w:val="ListNormal"/>
      </w:pPr>
      <w:r>
        <w:t>B</w:t>
      </w:r>
      <w:r w:rsidR="008F0658" w:rsidRPr="008F0658">
        <w:t xml:space="preserve">etween [25 January 2024 and 31 January 2024], or </w:t>
      </w:r>
    </w:p>
    <w:p w14:paraId="003C7EB2" w14:textId="1AF22D13" w:rsidR="008F0658" w:rsidRPr="008F0658" w:rsidRDefault="008F0658" w:rsidP="00307D4C">
      <w:pPr>
        <w:pStyle w:val="ListNormal"/>
      </w:pPr>
      <w:r w:rsidRPr="008F0658">
        <w:t xml:space="preserve">during a </w:t>
      </w:r>
      <w:r w:rsidR="00491DB4">
        <w:t xml:space="preserve">period </w:t>
      </w:r>
      <w:r w:rsidRPr="008F0658">
        <w:t xml:space="preserve">after the Price Control Period to be </w:t>
      </w:r>
      <w:r w:rsidR="00491DB4">
        <w:t xml:space="preserve">specified </w:t>
      </w:r>
      <w:r w:rsidRPr="008F0658">
        <w:t>by the Authority</w:t>
      </w:r>
      <w:r w:rsidR="00491DB4">
        <w:t xml:space="preserve"> by direction</w:t>
      </w:r>
      <w:r w:rsidRPr="008F0658">
        <w:t xml:space="preserve">. </w:t>
      </w:r>
    </w:p>
    <w:p w14:paraId="2BD526E4" w14:textId="027D7FE1" w:rsidR="008F0658" w:rsidRPr="008F0658" w:rsidRDefault="008F0658" w:rsidP="00331F8C">
      <w:pPr>
        <w:pStyle w:val="Heading3"/>
      </w:pPr>
      <w:r w:rsidRPr="008F0658">
        <w:t>How to make an application</w:t>
      </w:r>
    </w:p>
    <w:p w14:paraId="2B41C376" w14:textId="495CB891" w:rsidR="008F0658" w:rsidRPr="008F0658" w:rsidRDefault="008F0658" w:rsidP="00331F8C">
      <w:pPr>
        <w:pStyle w:val="NumberedNormal"/>
      </w:pPr>
      <w:r w:rsidRPr="008F0658">
        <w:t xml:space="preserve">An application under paragraph </w:t>
      </w:r>
      <w:r w:rsidR="00491DB4">
        <w:t>3.22</w:t>
      </w:r>
      <w:r w:rsidRPr="008F0658">
        <w:t>.</w:t>
      </w:r>
      <w:r w:rsidR="00C31CDE">
        <w:t>4</w:t>
      </w:r>
      <w:r w:rsidRPr="008F0658">
        <w:t xml:space="preserve"> must be made in writing and:</w:t>
      </w:r>
    </w:p>
    <w:p w14:paraId="14F4446F" w14:textId="00F41ACE" w:rsidR="008F0658" w:rsidRPr="008F0658" w:rsidRDefault="00491DB4" w:rsidP="00331F8C">
      <w:pPr>
        <w:pStyle w:val="ListNormal"/>
      </w:pPr>
      <w:r>
        <w:t xml:space="preserve">give </w:t>
      </w:r>
      <w:r w:rsidR="008F0658" w:rsidRPr="008F0658">
        <w:t xml:space="preserve">a detailed justification of the technical need and, where relevant, the consumer benefit that the repair works or mitigating actions would </w:t>
      </w:r>
      <w:proofErr w:type="gramStart"/>
      <w:r w:rsidR="008F0658" w:rsidRPr="008F0658">
        <w:t>deliver;</w:t>
      </w:r>
      <w:proofErr w:type="gramEnd"/>
    </w:p>
    <w:p w14:paraId="79F2237F" w14:textId="5C24C365" w:rsidR="008F0658" w:rsidRPr="008F0658" w:rsidRDefault="00491DB4" w:rsidP="00331F8C">
      <w:pPr>
        <w:pStyle w:val="ListNormal"/>
      </w:pPr>
      <w:r>
        <w:t xml:space="preserve">set out </w:t>
      </w:r>
      <w:r w:rsidR="008F0658" w:rsidRPr="008F0658">
        <w:t xml:space="preserve">the adjustments to the value of the </w:t>
      </w:r>
      <w:proofErr w:type="spellStart"/>
      <w:r w:rsidR="008F0658" w:rsidRPr="008F0658">
        <w:t>SCRt</w:t>
      </w:r>
      <w:proofErr w:type="spellEnd"/>
      <w:r w:rsidR="008F0658" w:rsidRPr="008F0658">
        <w:t xml:space="preserve"> term that the licensee is requesting and the Regulatory Years to which those adjustments </w:t>
      </w:r>
      <w:proofErr w:type="gramStart"/>
      <w:r w:rsidR="008F0658" w:rsidRPr="008F0658">
        <w:t>relate;</w:t>
      </w:r>
      <w:proofErr w:type="gramEnd"/>
      <w:r w:rsidR="008F0658" w:rsidRPr="008F0658">
        <w:t xml:space="preserve"> </w:t>
      </w:r>
    </w:p>
    <w:p w14:paraId="5948C2C9" w14:textId="23FD25C4" w:rsidR="008F0658" w:rsidRPr="008F0658" w:rsidRDefault="00491DB4" w:rsidP="00331F8C">
      <w:pPr>
        <w:pStyle w:val="ListNormal"/>
      </w:pPr>
      <w:r>
        <w:t xml:space="preserve">explain </w:t>
      </w:r>
      <w:r w:rsidR="008F0658" w:rsidRPr="008F0658">
        <w:t xml:space="preserve">the basis of the calculation for the proposed adjustments to the value of the </w:t>
      </w:r>
      <w:proofErr w:type="spellStart"/>
      <w:r w:rsidR="008F0658" w:rsidRPr="008F0658">
        <w:t>SCRt</w:t>
      </w:r>
      <w:proofErr w:type="spellEnd"/>
      <w:r w:rsidR="008F0658" w:rsidRPr="008F0658">
        <w:t xml:space="preserve"> term; and</w:t>
      </w:r>
    </w:p>
    <w:p w14:paraId="57657867" w14:textId="6BF29D4E" w:rsidR="008F0658" w:rsidRPr="008F0658" w:rsidRDefault="00491DB4" w:rsidP="00331F8C">
      <w:pPr>
        <w:pStyle w:val="ListNormal"/>
      </w:pPr>
      <w:r>
        <w:t xml:space="preserve">set out </w:t>
      </w:r>
      <w:r w:rsidR="008F0658" w:rsidRPr="008F0658">
        <w:t xml:space="preserve">the specific works that the licensee proposes to deliver </w:t>
      </w:r>
      <w:proofErr w:type="gramStart"/>
      <w:r w:rsidR="008F0658" w:rsidRPr="008F0658">
        <w:t>as a result of</w:t>
      </w:r>
      <w:proofErr w:type="gramEnd"/>
      <w:r w:rsidR="008F0658" w:rsidRPr="008F0658">
        <w:t xml:space="preserve"> the adjustments to the value of the </w:t>
      </w:r>
      <w:proofErr w:type="spellStart"/>
      <w:r w:rsidR="008F0658" w:rsidRPr="008F0658">
        <w:t>SCRt</w:t>
      </w:r>
      <w:proofErr w:type="spellEnd"/>
      <w:r w:rsidR="008F0658" w:rsidRPr="008F0658">
        <w:t xml:space="preserve"> term.</w:t>
      </w:r>
    </w:p>
    <w:p w14:paraId="6AC8EA05" w14:textId="41A3A0B1" w:rsidR="008F0658" w:rsidRPr="008F0658" w:rsidRDefault="008F0658" w:rsidP="00331F8C">
      <w:pPr>
        <w:pStyle w:val="NumberedNormal"/>
      </w:pPr>
      <w:r w:rsidRPr="008F0658">
        <w:t xml:space="preserve">An application under paragraph </w:t>
      </w:r>
      <w:r w:rsidR="00491DB4">
        <w:t>3.22.</w:t>
      </w:r>
      <w:r w:rsidR="00C31CDE">
        <w:t>4</w:t>
      </w:r>
      <w:r w:rsidRPr="008F0658">
        <w:t xml:space="preserve"> must</w:t>
      </w:r>
      <w:r w:rsidR="00491DB4">
        <w:t>:</w:t>
      </w:r>
      <w:r w:rsidRPr="008F0658">
        <w:t xml:space="preserve"> </w:t>
      </w:r>
    </w:p>
    <w:p w14:paraId="38C6C385" w14:textId="29CF9D80" w:rsidR="008F0658" w:rsidRPr="008F0658" w:rsidRDefault="00C31CDE" w:rsidP="00331F8C">
      <w:pPr>
        <w:pStyle w:val="ListNormal"/>
      </w:pPr>
      <w:r>
        <w:t>be confined</w:t>
      </w:r>
      <w:r w:rsidRPr="008F0658">
        <w:t xml:space="preserve"> </w:t>
      </w:r>
      <w:r w:rsidR="008F0658" w:rsidRPr="008F0658">
        <w:t xml:space="preserve">to costs incurred or expected to be incurred </w:t>
      </w:r>
      <w:r w:rsidR="002F1578">
        <w:t xml:space="preserve">on or </w:t>
      </w:r>
      <w:r w:rsidR="008F0658" w:rsidRPr="008F0658">
        <w:t xml:space="preserve">after 1 April 2021; </w:t>
      </w:r>
      <w:r w:rsidR="00491DB4">
        <w:t>and</w:t>
      </w:r>
    </w:p>
    <w:p w14:paraId="3C4788FA" w14:textId="0C8373ED" w:rsidR="008F0658" w:rsidRPr="008F0658" w:rsidRDefault="008F0658" w:rsidP="00331F8C">
      <w:pPr>
        <w:pStyle w:val="ListNormal"/>
      </w:pPr>
      <w:r w:rsidRPr="008F0658">
        <w:t>relate to costs incurred or expected to be incurred which exceed the materiality threshold set out in Appendix 1.</w:t>
      </w:r>
      <w:r w:rsidRPr="008F0658" w:rsidDel="00DC28AF">
        <w:t xml:space="preserve"> </w:t>
      </w:r>
    </w:p>
    <w:p w14:paraId="1F5EB97C" w14:textId="3B83D2AC" w:rsidR="008F0658" w:rsidRPr="008F0658" w:rsidRDefault="008F0658" w:rsidP="00BD4DD9">
      <w:pPr>
        <w:pStyle w:val="Heading3"/>
      </w:pPr>
      <w:r w:rsidRPr="008F0658">
        <w:t>What process will the Authority follow in making a direction?</w:t>
      </w:r>
    </w:p>
    <w:p w14:paraId="0FFE9BA6" w14:textId="052179A2" w:rsidR="008F0658" w:rsidRPr="008F0658" w:rsidRDefault="008F0658" w:rsidP="00BD4DD9">
      <w:pPr>
        <w:pStyle w:val="NumberedNormal"/>
      </w:pPr>
      <w:r w:rsidRPr="008F0658">
        <w:t xml:space="preserve">Before making a direction under paragraph </w:t>
      </w:r>
      <w:r w:rsidR="00491DB4">
        <w:t>3.22</w:t>
      </w:r>
      <w:r w:rsidRPr="008F0658">
        <w:t>.4 the Authority will publish on the Authority's Website:</w:t>
      </w:r>
    </w:p>
    <w:p w14:paraId="35A5DB5D" w14:textId="77777777" w:rsidR="008F0658" w:rsidRPr="008F0658" w:rsidRDefault="008F0658" w:rsidP="00BD4DD9">
      <w:pPr>
        <w:pStyle w:val="ListNormal"/>
      </w:pPr>
      <w:r w:rsidRPr="008F0658">
        <w:t xml:space="preserve">the text of the proposed </w:t>
      </w:r>
      <w:proofErr w:type="gramStart"/>
      <w:r w:rsidRPr="008F0658">
        <w:t>direction;</w:t>
      </w:r>
      <w:proofErr w:type="gramEnd"/>
    </w:p>
    <w:p w14:paraId="36DD5122" w14:textId="63FA00C3" w:rsidR="008F0658" w:rsidRPr="008F0658" w:rsidRDefault="008F0658" w:rsidP="00BD4DD9">
      <w:pPr>
        <w:pStyle w:val="ListNormal"/>
      </w:pPr>
      <w:r w:rsidRPr="008F0658">
        <w:t>the reasons for the proposed direction;</w:t>
      </w:r>
      <w:r w:rsidR="00491DB4">
        <w:t xml:space="preserve"> and</w:t>
      </w:r>
    </w:p>
    <w:p w14:paraId="37D09B21" w14:textId="7043DEFE" w:rsidR="00C31CDE" w:rsidRPr="00C31CDE" w:rsidRDefault="00C31CDE" w:rsidP="00C31CDE">
      <w:pPr>
        <w:pStyle w:val="ListNormal"/>
        <w:tabs>
          <w:tab w:val="num" w:pos="879"/>
        </w:tabs>
      </w:pPr>
      <w:r w:rsidRPr="00C31CDE">
        <w:t xml:space="preserve">a period during which representations may be made on the proposed </w:t>
      </w:r>
      <w:r w:rsidR="00664627">
        <w:t xml:space="preserve">direction, which will not be less than </w:t>
      </w:r>
      <w:r w:rsidRPr="00C31CDE">
        <w:t>28 days.</w:t>
      </w:r>
    </w:p>
    <w:p w14:paraId="22BF8F1D" w14:textId="77777777" w:rsidR="00C31CDE" w:rsidRDefault="008F0658" w:rsidP="00BD4DD9">
      <w:pPr>
        <w:pStyle w:val="NumberedNormal"/>
      </w:pPr>
      <w:r w:rsidRPr="008F0658">
        <w:t>The direction will set out</w:t>
      </w:r>
      <w:r w:rsidR="00C31CDE">
        <w:t>:</w:t>
      </w:r>
      <w:r w:rsidRPr="008F0658">
        <w:t xml:space="preserve"> </w:t>
      </w:r>
    </w:p>
    <w:p w14:paraId="4802B44E" w14:textId="60122F65" w:rsidR="00C31CDE" w:rsidRDefault="008F0658" w:rsidP="00C31CDE">
      <w:pPr>
        <w:pStyle w:val="ListNormal"/>
      </w:pPr>
      <w:r w:rsidRPr="008F0658">
        <w:t xml:space="preserve">any adjustments to the value of the </w:t>
      </w:r>
      <w:proofErr w:type="spellStart"/>
      <w:r w:rsidRPr="008F0658">
        <w:t>SCRt</w:t>
      </w:r>
      <w:proofErr w:type="spellEnd"/>
      <w:r w:rsidRPr="008F0658">
        <w:t xml:space="preserve"> term</w:t>
      </w:r>
      <w:r w:rsidR="004D2943">
        <w:t xml:space="preserve">, which will include any relevant </w:t>
      </w:r>
      <w:proofErr w:type="spellStart"/>
      <w:r w:rsidR="004D2943">
        <w:t>Opex</w:t>
      </w:r>
      <w:proofErr w:type="spellEnd"/>
      <w:r w:rsidR="004D2943">
        <w:t xml:space="preserve"> Uplift</w:t>
      </w:r>
      <w:r w:rsidR="00C31CDE">
        <w:t>;</w:t>
      </w:r>
      <w:r w:rsidRPr="008F0658">
        <w:t xml:space="preserve"> and </w:t>
      </w:r>
    </w:p>
    <w:p w14:paraId="662C2DE0" w14:textId="5893E541" w:rsidR="008F0658" w:rsidRPr="008F0658" w:rsidRDefault="008F0658" w:rsidP="00AB1D80">
      <w:pPr>
        <w:pStyle w:val="ListNormal"/>
      </w:pPr>
      <w:r w:rsidRPr="008F0658">
        <w:t>the Regulatory Years to which those adjustments relate.</w:t>
      </w:r>
      <w:r w:rsidR="00491DB4">
        <w:t xml:space="preserve">   </w:t>
      </w:r>
    </w:p>
    <w:p w14:paraId="4013D839" w14:textId="77777777" w:rsidR="009C57BE" w:rsidRPr="009C57BE" w:rsidRDefault="009C57BE" w:rsidP="009C57BE"/>
    <w:p w14:paraId="4E79FBF9" w14:textId="6ED647E6" w:rsidR="00F44816" w:rsidRPr="00F44816" w:rsidRDefault="00F44816" w:rsidP="00F44816">
      <w:pPr>
        <w:pStyle w:val="Heading2"/>
      </w:pPr>
      <w:bookmarkStart w:id="129" w:name="_Toc51319629"/>
      <w:bookmarkStart w:id="130" w:name="_Toc51798297"/>
      <w:bookmarkStart w:id="131" w:name="_Toc52364907"/>
      <w:r>
        <w:lastRenderedPageBreak/>
        <w:t>Uncertain</w:t>
      </w:r>
      <w:r w:rsidR="00C31CDE">
        <w:t xml:space="preserve"> Non-Load Related Projects</w:t>
      </w:r>
      <w:r>
        <w:t xml:space="preserve"> </w:t>
      </w:r>
      <w:r w:rsidR="00C31CDE">
        <w:t>R</w:t>
      </w:r>
      <w:r>
        <w:t>e-opener</w:t>
      </w:r>
      <w:bookmarkEnd w:id="129"/>
      <w:r w:rsidR="00C31CDE">
        <w:t xml:space="preserve"> and Price Control Deliverable</w:t>
      </w:r>
      <w:r>
        <w:t xml:space="preserve"> </w:t>
      </w:r>
      <w:r w:rsidR="00C31CDE">
        <w:t>(</w:t>
      </w:r>
      <w:proofErr w:type="spellStart"/>
      <w:r w:rsidR="00C31CDE">
        <w:t>UNLRt</w:t>
      </w:r>
      <w:proofErr w:type="spellEnd"/>
      <w:r w:rsidR="00C31CDE">
        <w:t>)</w:t>
      </w:r>
      <w:bookmarkEnd w:id="130"/>
      <w:bookmarkEnd w:id="131"/>
    </w:p>
    <w:p w14:paraId="1A538AE1" w14:textId="77777777" w:rsidR="008F0658" w:rsidRPr="008F0658" w:rsidRDefault="008F0658" w:rsidP="009C57BE">
      <w:pPr>
        <w:pStyle w:val="Heading3nonumbering"/>
      </w:pPr>
      <w:r w:rsidRPr="008F0658">
        <w:t xml:space="preserve">Introduction </w:t>
      </w:r>
    </w:p>
    <w:p w14:paraId="12038B45" w14:textId="67CCB2F8" w:rsidR="008F0658" w:rsidRPr="008F0658" w:rsidRDefault="008F0658" w:rsidP="009C57BE">
      <w:pPr>
        <w:pStyle w:val="NumberedNormal"/>
      </w:pPr>
      <w:r w:rsidRPr="008F0658">
        <w:t xml:space="preserve">The purpose of this condition is to calculate the term </w:t>
      </w:r>
      <w:proofErr w:type="spellStart"/>
      <w:r w:rsidRPr="008F0658">
        <w:t>UNLRt</w:t>
      </w:r>
      <w:proofErr w:type="spellEnd"/>
      <w:r w:rsidRPr="008F0658">
        <w:t xml:space="preserve"> (Uncertain Non-Load Related Projects </w:t>
      </w:r>
      <w:r w:rsidR="00C31CDE">
        <w:t>Price Control Deliverable</w:t>
      </w:r>
      <w:r w:rsidR="002157B6">
        <w:t xml:space="preserve"> </w:t>
      </w:r>
      <w:r w:rsidRPr="008F0658">
        <w:t>term). This contributes to the calculation of the Totex Allowance.</w:t>
      </w:r>
    </w:p>
    <w:p w14:paraId="2D028C04" w14:textId="77777777" w:rsidR="008F0658" w:rsidRPr="008F0658" w:rsidRDefault="008F0658" w:rsidP="009C57BE">
      <w:pPr>
        <w:pStyle w:val="NumberedNormal"/>
      </w:pPr>
      <w:r w:rsidRPr="008F0658">
        <w:t>The effect of this condition is to:</w:t>
      </w:r>
    </w:p>
    <w:p w14:paraId="55C246E6" w14:textId="5960083A" w:rsidR="008F0658" w:rsidRPr="008F0658" w:rsidRDefault="008F0658" w:rsidP="009C57BE">
      <w:pPr>
        <w:pStyle w:val="ListNormal"/>
      </w:pPr>
      <w:r w:rsidRPr="008F0658">
        <w:t xml:space="preserve">establish a Re-opener triggered by the licensee where there is a need to undertake one or more of the </w:t>
      </w:r>
      <w:r w:rsidR="00C31CDE">
        <w:t>N</w:t>
      </w:r>
      <w:r w:rsidRPr="008F0658">
        <w:t>on-</w:t>
      </w:r>
      <w:r w:rsidR="00C31CDE">
        <w:t>L</w:t>
      </w:r>
      <w:r w:rsidRPr="008F0658">
        <w:t xml:space="preserve">oad </w:t>
      </w:r>
      <w:r w:rsidR="00C31CDE">
        <w:t>R</w:t>
      </w:r>
      <w:r w:rsidRPr="008F0658">
        <w:t xml:space="preserve">elated </w:t>
      </w:r>
      <w:r w:rsidR="00C31CDE">
        <w:t>P</w:t>
      </w:r>
      <w:r w:rsidRPr="008F0658">
        <w:t xml:space="preserve">rojects in Appendix </w:t>
      </w:r>
      <w:proofErr w:type="gramStart"/>
      <w:r w:rsidRPr="008F0658">
        <w:t>1;</w:t>
      </w:r>
      <w:proofErr w:type="gramEnd"/>
      <w:r w:rsidRPr="008F0658">
        <w:t xml:space="preserve"> </w:t>
      </w:r>
    </w:p>
    <w:p w14:paraId="1926D068" w14:textId="3386596E" w:rsidR="008F0658" w:rsidRPr="008F0658" w:rsidRDefault="008F0658" w:rsidP="009C57BE">
      <w:pPr>
        <w:pStyle w:val="ListNormal"/>
      </w:pPr>
      <w:r w:rsidRPr="008F0658">
        <w:t>specify the outputs, delivery dates and associated allowances for the Price Control Deliverable;</w:t>
      </w:r>
      <w:r w:rsidR="00F06CCC">
        <w:t xml:space="preserve"> and</w:t>
      </w:r>
    </w:p>
    <w:p w14:paraId="0115DA03" w14:textId="1AFA580D" w:rsidR="008F0658" w:rsidRPr="008F0658" w:rsidRDefault="008F0658" w:rsidP="009C57BE">
      <w:pPr>
        <w:pStyle w:val="ListNormal"/>
      </w:pPr>
      <w:r w:rsidRPr="008F0658">
        <w:t>provide for an assessment of the Price Control Deliverable.</w:t>
      </w:r>
    </w:p>
    <w:p w14:paraId="3E59495B" w14:textId="03828594" w:rsidR="008F0658" w:rsidRPr="008F0658" w:rsidRDefault="008F0658" w:rsidP="009C57BE">
      <w:pPr>
        <w:pStyle w:val="NumberedNormal"/>
      </w:pPr>
      <w:r w:rsidRPr="008F0658">
        <w:t xml:space="preserve">This condition also explains the process the Authority will follow when directing </w:t>
      </w:r>
      <w:r w:rsidR="00C31CDE">
        <w:t xml:space="preserve">under paragraphs </w:t>
      </w:r>
      <w:r w:rsidR="00F06CCC">
        <w:t>3.24.</w:t>
      </w:r>
      <w:r w:rsidR="00C31CDE">
        <w:t xml:space="preserve">6 and </w:t>
      </w:r>
      <w:r w:rsidR="00F06CCC">
        <w:t>3.24.</w:t>
      </w:r>
      <w:r w:rsidR="00C31CDE">
        <w:t>10</w:t>
      </w:r>
      <w:r w:rsidRPr="008F0658">
        <w:t>.</w:t>
      </w:r>
    </w:p>
    <w:p w14:paraId="025FFE9B" w14:textId="0B094BE3" w:rsidR="008F0658" w:rsidRPr="008F0658" w:rsidRDefault="008F0658" w:rsidP="009C57BE">
      <w:pPr>
        <w:pStyle w:val="Heading3"/>
      </w:pPr>
      <w:r w:rsidRPr="008F0658">
        <w:t>Formula for calculating the Uncertain Non-Load Related Projects Funding term</w:t>
      </w:r>
      <w:r w:rsidR="00C31CDE">
        <w:t xml:space="preserve"> (</w:t>
      </w:r>
      <w:proofErr w:type="spellStart"/>
      <w:r w:rsidR="00C31CDE">
        <w:t>UNLRt</w:t>
      </w:r>
      <w:proofErr w:type="spellEnd"/>
      <w:r w:rsidR="00C31CDE">
        <w:t>)</w:t>
      </w:r>
    </w:p>
    <w:p w14:paraId="37B73762" w14:textId="77777777" w:rsidR="008F0658" w:rsidRPr="008F0658" w:rsidRDefault="008F0658" w:rsidP="009C57BE">
      <w:pPr>
        <w:pStyle w:val="NumberedNormal"/>
      </w:pPr>
      <w:r w:rsidRPr="008F0658">
        <w:t xml:space="preserve">The value of </w:t>
      </w:r>
      <w:proofErr w:type="spellStart"/>
      <w:r w:rsidRPr="008F0658">
        <w:t>UNLRt</w:t>
      </w:r>
      <w:proofErr w:type="spellEnd"/>
      <w:r w:rsidRPr="008F0658">
        <w:t xml:space="preserve"> is derived in accordance with the following formula:</w:t>
      </w:r>
    </w:p>
    <w:p w14:paraId="0AD4717D" w14:textId="77777777" w:rsidR="008F0658" w:rsidRPr="008F0658" w:rsidRDefault="008F0658" w:rsidP="003F66DB">
      <w:pPr>
        <w:pStyle w:val="Equation"/>
        <w:ind w:left="720"/>
      </w:pPr>
      <w:proofErr w:type="spellStart"/>
      <w:r w:rsidRPr="008F0658">
        <w:t>UNLRt</w:t>
      </w:r>
      <w:proofErr w:type="spellEnd"/>
      <w:r w:rsidRPr="008F0658">
        <w:t xml:space="preserve"> </w:t>
      </w:r>
      <w:proofErr w:type="gramStart"/>
      <w:r w:rsidRPr="008F0658">
        <w:t xml:space="preserve">=  </w:t>
      </w:r>
      <w:proofErr w:type="spellStart"/>
      <w:r w:rsidRPr="008F0658">
        <w:t>UNLRAt</w:t>
      </w:r>
      <w:proofErr w:type="spellEnd"/>
      <w:proofErr w:type="gramEnd"/>
      <w:r w:rsidRPr="008F0658">
        <w:t xml:space="preserve"> - </w:t>
      </w:r>
      <w:proofErr w:type="spellStart"/>
      <w:r w:rsidRPr="008F0658">
        <w:t>UNLRRt</w:t>
      </w:r>
      <w:proofErr w:type="spellEnd"/>
    </w:p>
    <w:p w14:paraId="13128C73" w14:textId="77777777" w:rsidR="008F0658" w:rsidRPr="008F0658" w:rsidRDefault="008F0658" w:rsidP="003F66DB">
      <w:pPr>
        <w:ind w:left="720"/>
      </w:pPr>
      <w:r w:rsidRPr="008F0658">
        <w:t>where:</w:t>
      </w:r>
    </w:p>
    <w:p w14:paraId="49A2C88E" w14:textId="6B84C41E" w:rsidR="008F0658" w:rsidRPr="008F0658" w:rsidRDefault="008F0658" w:rsidP="003F66DB">
      <w:pPr>
        <w:pStyle w:val="Equation"/>
        <w:ind w:left="720"/>
      </w:pPr>
      <w:proofErr w:type="spellStart"/>
      <w:r w:rsidRPr="008F0658">
        <w:t>UNLRAt</w:t>
      </w:r>
      <w:proofErr w:type="spellEnd"/>
      <w:r w:rsidRPr="008F0658">
        <w:tab/>
        <w:t xml:space="preserve">means the </w:t>
      </w:r>
      <w:r w:rsidR="00C31CDE">
        <w:t xml:space="preserve">sum of </w:t>
      </w:r>
      <w:r w:rsidRPr="008F0658">
        <w:t>allowances in Appendix 2</w:t>
      </w:r>
      <w:r w:rsidR="00F06CCC">
        <w:t>; and</w:t>
      </w:r>
      <w:r w:rsidRPr="008F0658">
        <w:t xml:space="preserve"> </w:t>
      </w:r>
      <w:r w:rsidR="00C31CDE" w:rsidRPr="008F0658">
        <w:t xml:space="preserve"> </w:t>
      </w:r>
    </w:p>
    <w:p w14:paraId="04F4D2F2" w14:textId="6A960BCA" w:rsidR="008F0658" w:rsidRPr="008F0658" w:rsidRDefault="008F0658" w:rsidP="003F66DB">
      <w:pPr>
        <w:pStyle w:val="Equation"/>
        <w:ind w:left="720"/>
      </w:pPr>
      <w:proofErr w:type="spellStart"/>
      <w:r w:rsidRPr="008F0658">
        <w:t>UNLRRt</w:t>
      </w:r>
      <w:proofErr w:type="spellEnd"/>
      <w:r w:rsidRPr="008F0658">
        <w:tab/>
        <w:t xml:space="preserve">has the value zero unless otherwise directed by the Authority in              accordance with Part </w:t>
      </w:r>
      <w:r w:rsidR="00C31CDE">
        <w:t>D</w:t>
      </w:r>
      <w:r w:rsidRPr="008F0658">
        <w:t>.</w:t>
      </w:r>
    </w:p>
    <w:p w14:paraId="4A8FFACA" w14:textId="4FD6FE65" w:rsidR="00C31CDE" w:rsidRPr="00614C21" w:rsidRDefault="00C31CDE" w:rsidP="00C31CDE">
      <w:pPr>
        <w:pStyle w:val="Heading3"/>
      </w:pPr>
      <w:r>
        <w:t>What is the licensee funded to deliver?</w:t>
      </w:r>
    </w:p>
    <w:p w14:paraId="1094E217" w14:textId="64CE3DE9" w:rsidR="00C31CDE" w:rsidRPr="00614C21" w:rsidRDefault="00C31CDE" w:rsidP="00C31CDE">
      <w:pPr>
        <w:pStyle w:val="NumberedNormal"/>
      </w:pPr>
      <w:r>
        <w:t>Appendix 2 specifies the outputs that the licensee is funded to deliver, the delivery dates for those outputs and the allowances provided.</w:t>
      </w:r>
    </w:p>
    <w:p w14:paraId="3F4D3BD8" w14:textId="03C7D85B" w:rsidR="008F0658" w:rsidRPr="008F0658" w:rsidRDefault="008F0658" w:rsidP="009C57BE">
      <w:pPr>
        <w:pStyle w:val="Heading3"/>
      </w:pPr>
      <w:r w:rsidRPr="008F0658">
        <w:t>Uncertain non-Load related projects Re-opener</w:t>
      </w:r>
    </w:p>
    <w:p w14:paraId="10FDB493" w14:textId="19626FCC" w:rsidR="008F0658" w:rsidRPr="008F0658" w:rsidRDefault="008F0658" w:rsidP="009C57BE">
      <w:pPr>
        <w:pStyle w:val="NumberedNormal"/>
      </w:pPr>
      <w:r w:rsidRPr="008F0658">
        <w:t xml:space="preserve">The licensee may apply to the Authority for a direction </w:t>
      </w:r>
      <w:r w:rsidR="00C31CDE">
        <w:t>amending the outputs, delivery dates and associated allowances in Appendix 3</w:t>
      </w:r>
      <w:r w:rsidRPr="008F0658">
        <w:t xml:space="preserve"> where the</w:t>
      </w:r>
      <w:r w:rsidR="00C31CDE">
        <w:t>re is a need to undertake work in relation to a Non-Load Related Project</w:t>
      </w:r>
      <w:r w:rsidR="00F06CCC">
        <w:t xml:space="preserve"> </w:t>
      </w:r>
      <w:r w:rsidRPr="008F0658">
        <w:t>in Appendix 1.</w:t>
      </w:r>
    </w:p>
    <w:p w14:paraId="70051C7A" w14:textId="7E5D1479" w:rsidR="008F0658" w:rsidRPr="008F0658" w:rsidRDefault="008F0658" w:rsidP="009C57BE">
      <w:pPr>
        <w:pStyle w:val="NumberedNormal"/>
      </w:pPr>
      <w:r w:rsidRPr="008F0658">
        <w:t xml:space="preserve">The licensee may only apply to the Authority under paragraph </w:t>
      </w:r>
      <w:proofErr w:type="gramStart"/>
      <w:r w:rsidR="00F06CCC">
        <w:t>3.24.</w:t>
      </w:r>
      <w:r w:rsidRPr="008F0658">
        <w:t>.</w:t>
      </w:r>
      <w:proofErr w:type="gramEnd"/>
      <w:r w:rsidR="00C31CDE">
        <w:t>6</w:t>
      </w:r>
      <w:r w:rsidR="00C31CDE" w:rsidRPr="008F0658">
        <w:t xml:space="preserve"> </w:t>
      </w:r>
      <w:r w:rsidR="00C31CDE">
        <w:t>B</w:t>
      </w:r>
      <w:r w:rsidRPr="008F0658">
        <w:t xml:space="preserve">etween 25 January 2024 and 31 January 2024, or </w:t>
      </w:r>
      <w:r w:rsidR="00F06CCC">
        <w:t xml:space="preserve">during </w:t>
      </w:r>
      <w:r w:rsidRPr="008F0658">
        <w:t xml:space="preserve">such later periods </w:t>
      </w:r>
      <w:r w:rsidR="008E7C31">
        <w:t>as the Authority may direct</w:t>
      </w:r>
      <w:r w:rsidRPr="008F0658">
        <w:t>.</w:t>
      </w:r>
      <w:r w:rsidRPr="008F0658" w:rsidDel="00C45041">
        <w:t xml:space="preserve"> </w:t>
      </w:r>
    </w:p>
    <w:p w14:paraId="0F22738D" w14:textId="53E77093" w:rsidR="008F0658" w:rsidRPr="008F0658" w:rsidRDefault="008F0658" w:rsidP="009C57BE">
      <w:pPr>
        <w:pStyle w:val="NumberedNormal"/>
      </w:pPr>
      <w:r w:rsidRPr="008F0658">
        <w:t xml:space="preserve">An application under paragraph </w:t>
      </w:r>
      <w:proofErr w:type="gramStart"/>
      <w:r w:rsidR="00F06CCC">
        <w:t>3.24.</w:t>
      </w:r>
      <w:r w:rsidRPr="008F0658">
        <w:t>.</w:t>
      </w:r>
      <w:proofErr w:type="gramEnd"/>
      <w:r w:rsidR="00C31CDE">
        <w:t>6</w:t>
      </w:r>
      <w:r w:rsidRPr="008F0658">
        <w:t xml:space="preserve"> must be made in writing to the Authority and include:</w:t>
      </w:r>
    </w:p>
    <w:p w14:paraId="1CF748C2" w14:textId="768A555C" w:rsidR="00C31CDE" w:rsidRDefault="00C31CDE" w:rsidP="009C57BE">
      <w:pPr>
        <w:pStyle w:val="ListNormal"/>
      </w:pPr>
      <w:r>
        <w:lastRenderedPageBreak/>
        <w:t xml:space="preserve">a statement of which Non-Load Related Projects in Appendix 1 the application </w:t>
      </w:r>
      <w:proofErr w:type="gramStart"/>
      <w:r>
        <w:t>relates;</w:t>
      </w:r>
      <w:proofErr w:type="gramEnd"/>
    </w:p>
    <w:p w14:paraId="2411C95C" w14:textId="028AB18E" w:rsidR="00C31CDE" w:rsidRDefault="00C31CDE" w:rsidP="009C57BE">
      <w:pPr>
        <w:pStyle w:val="ListNormal"/>
      </w:pPr>
      <w:r>
        <w:t xml:space="preserve">the amendments being sought to the outputs, delivery dates and associated allowances in Appendix </w:t>
      </w:r>
      <w:proofErr w:type="gramStart"/>
      <w:r>
        <w:t>2;</w:t>
      </w:r>
      <w:proofErr w:type="gramEnd"/>
    </w:p>
    <w:p w14:paraId="0B31FEB5" w14:textId="23E2B65C" w:rsidR="00C31CDE" w:rsidRDefault="00C31CDE" w:rsidP="00C31CDE">
      <w:pPr>
        <w:pStyle w:val="ListNormal"/>
        <w:tabs>
          <w:tab w:val="num" w:pos="879"/>
        </w:tabs>
      </w:pPr>
      <w:r>
        <w:t>explaining the basis of the calculations for any amendments requested to allowances; and</w:t>
      </w:r>
    </w:p>
    <w:p w14:paraId="6C850AB4" w14:textId="335A74C0" w:rsidR="008F0658" w:rsidRPr="008F0658" w:rsidRDefault="00C31CDE" w:rsidP="00F32DDA">
      <w:pPr>
        <w:pStyle w:val="ListNormal"/>
      </w:pPr>
      <w:r>
        <w:t xml:space="preserve">detailed </w:t>
      </w:r>
      <w:r w:rsidR="008F0658" w:rsidRPr="008F0658">
        <w:t>supporting evidence, which must include a needs case, detailed justification of the technical need for the project, and detailed justification of the consumer benefit that the project is expected to deliver</w:t>
      </w:r>
      <w:r>
        <w:t>.</w:t>
      </w:r>
    </w:p>
    <w:p w14:paraId="46F88603" w14:textId="2F291A53" w:rsidR="008F0658" w:rsidRPr="008F0658" w:rsidRDefault="008F0658" w:rsidP="00266526">
      <w:pPr>
        <w:pStyle w:val="NumberedNormal"/>
      </w:pPr>
      <w:r w:rsidRPr="008F0658">
        <w:t xml:space="preserve">An application under paragraph </w:t>
      </w:r>
      <w:r w:rsidR="00D12470">
        <w:t>3.24.</w:t>
      </w:r>
      <w:r w:rsidR="00C31CDE">
        <w:t>6</w:t>
      </w:r>
      <w:r w:rsidRPr="008F0658">
        <w:t xml:space="preserve"> must relate to costs incurred or expected to be incurred </w:t>
      </w:r>
      <w:r w:rsidR="00C31CDE">
        <w:t xml:space="preserve">on or </w:t>
      </w:r>
      <w:r w:rsidRPr="008F0658">
        <w:t xml:space="preserve">after 1 April 2021.  </w:t>
      </w:r>
    </w:p>
    <w:p w14:paraId="473A0D36" w14:textId="3FBFA340" w:rsidR="008F0658" w:rsidRPr="008F0658" w:rsidRDefault="008F0658" w:rsidP="00266526">
      <w:pPr>
        <w:pStyle w:val="Heading3"/>
      </w:pPr>
      <w:r w:rsidRPr="008F0658">
        <w:t>Assessment of outputs</w:t>
      </w:r>
      <w:r w:rsidR="00C31CDE">
        <w:t xml:space="preserve"> (</w:t>
      </w:r>
      <w:proofErr w:type="spellStart"/>
      <w:r w:rsidR="00C31CDE">
        <w:t>UNLRRt</w:t>
      </w:r>
      <w:proofErr w:type="spellEnd"/>
      <w:r w:rsidR="00C31CDE">
        <w:t>)</w:t>
      </w:r>
    </w:p>
    <w:p w14:paraId="1919AE94" w14:textId="0BD15B5A" w:rsidR="008F0658" w:rsidRPr="008F0658" w:rsidRDefault="008F0658" w:rsidP="00266526">
      <w:pPr>
        <w:pStyle w:val="NumberedNormal"/>
      </w:pPr>
      <w:r w:rsidRPr="008F0658">
        <w:t>The Authority will</w:t>
      </w:r>
      <w:r w:rsidR="004C7E60">
        <w:t xml:space="preserve">, </w:t>
      </w:r>
      <w:r w:rsidR="004C7E60" w:rsidRPr="008F0658">
        <w:t>in accordance with the PCD Reporting Requirements and Methodology Document</w:t>
      </w:r>
      <w:r w:rsidR="004C7E60">
        <w:t>,</w:t>
      </w:r>
      <w:r w:rsidRPr="008F0658">
        <w:t xml:space="preserve"> consider directing a value for </w:t>
      </w:r>
      <w:proofErr w:type="spellStart"/>
      <w:r w:rsidRPr="008F0658">
        <w:t>UNLRRt</w:t>
      </w:r>
      <w:proofErr w:type="spellEnd"/>
      <w:r w:rsidRPr="008F0658">
        <w:t xml:space="preserve"> where the licensee has not Fully Delivered an output in Appendix 2.  </w:t>
      </w:r>
    </w:p>
    <w:p w14:paraId="094B3511" w14:textId="0D998B46" w:rsidR="008F0658" w:rsidRPr="008F0658" w:rsidRDefault="008F0658" w:rsidP="00266526">
      <w:pPr>
        <w:pStyle w:val="Heading3"/>
      </w:pPr>
      <w:r w:rsidRPr="008F0658">
        <w:t>What process will the Authority follow in making a direction?</w:t>
      </w:r>
    </w:p>
    <w:p w14:paraId="253F83BA" w14:textId="759A4E4B" w:rsidR="008F0658" w:rsidRPr="008F0658" w:rsidRDefault="008F0658" w:rsidP="00266526">
      <w:pPr>
        <w:pStyle w:val="NumberedNormal"/>
      </w:pPr>
      <w:r w:rsidRPr="008F0658">
        <w:t xml:space="preserve">Before making a direction under paragraph </w:t>
      </w:r>
      <w:r w:rsidR="00D12470">
        <w:t>3.24.</w:t>
      </w:r>
      <w:r w:rsidR="00C31CDE">
        <w:t>6</w:t>
      </w:r>
      <w:r w:rsidR="00C31CDE" w:rsidRPr="008F0658">
        <w:t xml:space="preserve"> </w:t>
      </w:r>
      <w:r w:rsidRPr="008F0658">
        <w:t xml:space="preserve">or </w:t>
      </w:r>
      <w:r w:rsidR="00D12470">
        <w:t>3.24.</w:t>
      </w:r>
      <w:r w:rsidR="00C31CDE">
        <w:t>10</w:t>
      </w:r>
      <w:r w:rsidRPr="008F0658">
        <w:t>, the Authority will publish on the Authority's Website:</w:t>
      </w:r>
    </w:p>
    <w:p w14:paraId="10AD330A" w14:textId="77777777" w:rsidR="008F0658" w:rsidRPr="008F0658" w:rsidRDefault="008F0658" w:rsidP="00266526">
      <w:pPr>
        <w:pStyle w:val="ListNormal"/>
      </w:pPr>
      <w:r w:rsidRPr="008F0658">
        <w:t xml:space="preserve">the text of the proposed </w:t>
      </w:r>
      <w:proofErr w:type="gramStart"/>
      <w:r w:rsidRPr="008F0658">
        <w:t>direction;</w:t>
      </w:r>
      <w:proofErr w:type="gramEnd"/>
    </w:p>
    <w:p w14:paraId="5F8BD083" w14:textId="4FB311A4" w:rsidR="008F0658" w:rsidRPr="008F0658" w:rsidRDefault="008F0658" w:rsidP="00266526">
      <w:pPr>
        <w:pStyle w:val="ListNormal"/>
      </w:pPr>
      <w:r w:rsidRPr="008F0658">
        <w:t>the reasons for the proposed direction;</w:t>
      </w:r>
      <w:r w:rsidR="00D12470">
        <w:t xml:space="preserve"> and</w:t>
      </w:r>
    </w:p>
    <w:p w14:paraId="13A9E05D" w14:textId="79AA37D3" w:rsidR="00C31CDE" w:rsidRPr="00C31CDE" w:rsidRDefault="00C31CDE" w:rsidP="00C31CDE">
      <w:pPr>
        <w:pStyle w:val="ListNormal"/>
        <w:tabs>
          <w:tab w:val="num" w:pos="879"/>
        </w:tabs>
      </w:pPr>
      <w:r w:rsidRPr="00C31CDE">
        <w:t xml:space="preserve">a period during which representations may be made on the proposed </w:t>
      </w:r>
      <w:r w:rsidR="00664627">
        <w:t xml:space="preserve">direction, which will not be less than </w:t>
      </w:r>
      <w:r w:rsidRPr="00C31CDE">
        <w:t>28 days.</w:t>
      </w:r>
    </w:p>
    <w:p w14:paraId="3612062B" w14:textId="122C9955" w:rsidR="008F0658" w:rsidRPr="008F0658" w:rsidRDefault="008F0658" w:rsidP="00266526">
      <w:pPr>
        <w:pStyle w:val="NumberedNormal"/>
      </w:pPr>
      <w:r w:rsidRPr="008F0658">
        <w:t xml:space="preserve">A direction under paragraph </w:t>
      </w:r>
      <w:r w:rsidR="00D12470">
        <w:t>3.24.</w:t>
      </w:r>
      <w:r w:rsidR="00C31CDE">
        <w:t>6</w:t>
      </w:r>
      <w:r w:rsidR="00C31CDE" w:rsidRPr="008F0658">
        <w:t xml:space="preserve"> </w:t>
      </w:r>
      <w:r w:rsidRPr="008F0658">
        <w:t>will set out any amendments to Appendix 2.</w:t>
      </w:r>
    </w:p>
    <w:p w14:paraId="49BF75AE" w14:textId="16ED70C8" w:rsidR="00C31CDE" w:rsidRDefault="008F0658" w:rsidP="00266526">
      <w:pPr>
        <w:pStyle w:val="NumberedNormal"/>
      </w:pPr>
      <w:r w:rsidRPr="008F0658">
        <w:t xml:space="preserve">A direction under paragraph </w:t>
      </w:r>
      <w:r w:rsidR="00D12470">
        <w:t>3.24.</w:t>
      </w:r>
      <w:r w:rsidR="00C31CDE">
        <w:t>10</w:t>
      </w:r>
      <w:r w:rsidR="00C31CDE" w:rsidRPr="008F0658">
        <w:t xml:space="preserve"> </w:t>
      </w:r>
      <w:r w:rsidRPr="008F0658">
        <w:t>will set out</w:t>
      </w:r>
      <w:r w:rsidR="00C31CDE">
        <w:t>:</w:t>
      </w:r>
      <w:r w:rsidRPr="008F0658">
        <w:t xml:space="preserve"> </w:t>
      </w:r>
    </w:p>
    <w:p w14:paraId="59239FC9" w14:textId="77777777" w:rsidR="00F32DDA" w:rsidRDefault="008F0658" w:rsidP="00F32DDA">
      <w:pPr>
        <w:pStyle w:val="ListNormal"/>
      </w:pPr>
      <w:r w:rsidRPr="008F0658">
        <w:t xml:space="preserve">the value of the </w:t>
      </w:r>
      <w:proofErr w:type="spellStart"/>
      <w:r w:rsidRPr="008F0658">
        <w:t>UNLRRt</w:t>
      </w:r>
      <w:proofErr w:type="spellEnd"/>
      <w:r w:rsidRPr="008F0658">
        <w:t xml:space="preserve"> term</w:t>
      </w:r>
      <w:r w:rsidR="004D2943">
        <w:t xml:space="preserve">, which will include any relevant </w:t>
      </w:r>
      <w:proofErr w:type="spellStart"/>
      <w:r w:rsidR="004D2943">
        <w:t>Opex</w:t>
      </w:r>
      <w:proofErr w:type="spellEnd"/>
      <w:r w:rsidR="004D2943">
        <w:t xml:space="preserve"> Uplift</w:t>
      </w:r>
      <w:r w:rsidR="00C31CDE">
        <w:t>;</w:t>
      </w:r>
      <w:r w:rsidRPr="008F0658">
        <w:t xml:space="preserve"> and </w:t>
      </w:r>
    </w:p>
    <w:p w14:paraId="337C2559" w14:textId="05744910" w:rsidR="00F46279" w:rsidRDefault="008F0658" w:rsidP="00F32DDA">
      <w:pPr>
        <w:pStyle w:val="ListNormal"/>
      </w:pPr>
      <w:r w:rsidRPr="008F0658">
        <w:t xml:space="preserve">the Regulatory Years to </w:t>
      </w:r>
      <w:r w:rsidRPr="004C1464">
        <w:t>which</w:t>
      </w:r>
      <w:r w:rsidRPr="008F0658">
        <w:t xml:space="preserve"> those </w:t>
      </w:r>
      <w:r w:rsidRPr="004C1464">
        <w:t>values</w:t>
      </w:r>
      <w:r w:rsidRPr="008F0658">
        <w:t xml:space="preserve"> relate.</w:t>
      </w:r>
    </w:p>
    <w:p w14:paraId="3CB18CCB" w14:textId="2AA5D7C0" w:rsidR="00F46279" w:rsidRPr="004C1464" w:rsidRDefault="00F46279" w:rsidP="00445015">
      <w:pPr>
        <w:pStyle w:val="AppendixHeading"/>
      </w:pPr>
    </w:p>
    <w:p w14:paraId="027309D6" w14:textId="77777777" w:rsidR="00F46279" w:rsidRDefault="00F46279" w:rsidP="008F7F11">
      <w:pPr>
        <w:pStyle w:val="Caption"/>
      </w:pPr>
      <w:r>
        <w:t>Non-load related projects</w:t>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6804"/>
      </w:tblGrid>
      <w:tr w:rsidR="00F46279" w:rsidRPr="00DE541A" w14:paraId="75CCDA41" w14:textId="77777777" w:rsidTr="00C62BA6">
        <w:trPr>
          <w:trHeight w:val="305"/>
        </w:trPr>
        <w:tc>
          <w:tcPr>
            <w:tcW w:w="2122" w:type="dxa"/>
          </w:tcPr>
          <w:p w14:paraId="124D122A" w14:textId="77777777" w:rsidR="00F46279" w:rsidRDefault="00F46279" w:rsidP="00C62BA6">
            <w:pPr>
              <w:pStyle w:val="Normalbold"/>
            </w:pPr>
            <w:r>
              <w:t>Project reference</w:t>
            </w:r>
          </w:p>
        </w:tc>
        <w:tc>
          <w:tcPr>
            <w:tcW w:w="6804" w:type="dxa"/>
            <w:vAlign w:val="bottom"/>
          </w:tcPr>
          <w:p w14:paraId="31BE8A50" w14:textId="77777777" w:rsidR="00F46279" w:rsidRPr="0082533A" w:rsidRDefault="00F46279" w:rsidP="00C62BA6">
            <w:pPr>
              <w:pStyle w:val="Normalbold"/>
            </w:pPr>
            <w:r>
              <w:t>Project name</w:t>
            </w:r>
          </w:p>
        </w:tc>
      </w:tr>
      <w:tr w:rsidR="00F46279" w:rsidRPr="00D5104D" w14:paraId="7B1E4D0C" w14:textId="77777777" w:rsidTr="00C62BA6">
        <w:trPr>
          <w:trHeight w:val="321"/>
        </w:trPr>
        <w:tc>
          <w:tcPr>
            <w:tcW w:w="2122" w:type="dxa"/>
          </w:tcPr>
          <w:p w14:paraId="4EDDDC7C" w14:textId="77777777" w:rsidR="00F46279" w:rsidRPr="00E8338F" w:rsidRDefault="00F46279" w:rsidP="00C62BA6">
            <w:r w:rsidRPr="006F29B2">
              <w:t>SPNLT2034</w:t>
            </w:r>
          </w:p>
        </w:tc>
        <w:tc>
          <w:tcPr>
            <w:tcW w:w="6804" w:type="dxa"/>
          </w:tcPr>
          <w:p w14:paraId="3060580A" w14:textId="77777777" w:rsidR="00F46279" w:rsidRPr="00E8338F" w:rsidRDefault="00F46279" w:rsidP="00C62BA6">
            <w:r w:rsidRPr="006F29B2">
              <w:t>Westfield 275kV switchgear replacement (includes future 400kV upgrade)</w:t>
            </w:r>
          </w:p>
        </w:tc>
      </w:tr>
      <w:tr w:rsidR="00F46279" w:rsidRPr="00D5104D" w14:paraId="7D92BEDE" w14:textId="77777777" w:rsidTr="00C62BA6">
        <w:trPr>
          <w:trHeight w:val="321"/>
        </w:trPr>
        <w:tc>
          <w:tcPr>
            <w:tcW w:w="2122" w:type="dxa"/>
          </w:tcPr>
          <w:p w14:paraId="547EC842" w14:textId="77777777" w:rsidR="00F46279" w:rsidRPr="00E8338F" w:rsidRDefault="00F46279" w:rsidP="00C62BA6">
            <w:r w:rsidRPr="006F29B2">
              <w:t>SPNLT2063</w:t>
            </w:r>
          </w:p>
        </w:tc>
        <w:tc>
          <w:tcPr>
            <w:tcW w:w="6804" w:type="dxa"/>
          </w:tcPr>
          <w:p w14:paraId="1ED57268" w14:textId="77777777" w:rsidR="00F46279" w:rsidRPr="00E8338F" w:rsidRDefault="00F46279" w:rsidP="00C62BA6">
            <w:proofErr w:type="spellStart"/>
            <w:r w:rsidRPr="006F29B2">
              <w:t>Longannet</w:t>
            </w:r>
            <w:proofErr w:type="spellEnd"/>
            <w:r w:rsidRPr="006F29B2">
              <w:t xml:space="preserve"> 275kV series reactors refurbishment</w:t>
            </w:r>
          </w:p>
        </w:tc>
      </w:tr>
      <w:tr w:rsidR="00F46279" w:rsidRPr="00D5104D" w14:paraId="3CB3BB31" w14:textId="77777777" w:rsidTr="00C62BA6">
        <w:trPr>
          <w:trHeight w:val="321"/>
        </w:trPr>
        <w:tc>
          <w:tcPr>
            <w:tcW w:w="2122" w:type="dxa"/>
          </w:tcPr>
          <w:p w14:paraId="01B1489B" w14:textId="77777777" w:rsidR="00F46279" w:rsidRPr="00E8338F" w:rsidRDefault="00F46279" w:rsidP="00C62BA6">
            <w:r w:rsidRPr="006F29B2">
              <w:t>SPNLT2099</w:t>
            </w:r>
          </w:p>
        </w:tc>
        <w:tc>
          <w:tcPr>
            <w:tcW w:w="6804" w:type="dxa"/>
          </w:tcPr>
          <w:p w14:paraId="093B22D3" w14:textId="77777777" w:rsidR="00F46279" w:rsidRPr="00E8338F" w:rsidRDefault="00F46279" w:rsidP="00C62BA6">
            <w:proofErr w:type="spellStart"/>
            <w:r w:rsidRPr="006F29B2">
              <w:t>Longannet</w:t>
            </w:r>
            <w:proofErr w:type="spellEnd"/>
            <w:r w:rsidRPr="006F29B2">
              <w:t xml:space="preserve"> 275kV switchgear replacement (includes future 400kV upgrade)</w:t>
            </w:r>
          </w:p>
        </w:tc>
      </w:tr>
      <w:tr w:rsidR="00F46279" w:rsidRPr="00D5104D" w14:paraId="16EE7440" w14:textId="77777777" w:rsidTr="00C62BA6">
        <w:trPr>
          <w:trHeight w:val="321"/>
        </w:trPr>
        <w:tc>
          <w:tcPr>
            <w:tcW w:w="2122" w:type="dxa"/>
          </w:tcPr>
          <w:p w14:paraId="56211CA9" w14:textId="77777777" w:rsidR="00F46279" w:rsidRPr="00E8338F" w:rsidRDefault="00F46279" w:rsidP="00C62BA6">
            <w:r w:rsidRPr="006F29B2">
              <w:lastRenderedPageBreak/>
              <w:t>SPNLT20111</w:t>
            </w:r>
          </w:p>
        </w:tc>
        <w:tc>
          <w:tcPr>
            <w:tcW w:w="6804" w:type="dxa"/>
          </w:tcPr>
          <w:p w14:paraId="4F555017" w14:textId="77777777" w:rsidR="00F46279" w:rsidRPr="00E8338F" w:rsidRDefault="00F46279" w:rsidP="00C62BA6">
            <w:r w:rsidRPr="006F29B2">
              <w:t>XH &amp; XJ Routes 400kV Major Refurbishment</w:t>
            </w:r>
          </w:p>
        </w:tc>
      </w:tr>
      <w:tr w:rsidR="00F46279" w:rsidRPr="00D5104D" w14:paraId="78C2A9A9" w14:textId="77777777" w:rsidTr="00C62BA6">
        <w:trPr>
          <w:trHeight w:val="321"/>
        </w:trPr>
        <w:tc>
          <w:tcPr>
            <w:tcW w:w="2122" w:type="dxa"/>
          </w:tcPr>
          <w:p w14:paraId="54EE7252" w14:textId="77777777" w:rsidR="00F46279" w:rsidRPr="00D5104D" w:rsidRDefault="00F46279" w:rsidP="00C62BA6">
            <w:r w:rsidRPr="006F29B2">
              <w:t>SPNLT20112</w:t>
            </w:r>
          </w:p>
        </w:tc>
        <w:tc>
          <w:tcPr>
            <w:tcW w:w="6804" w:type="dxa"/>
          </w:tcPr>
          <w:p w14:paraId="5AA4A109" w14:textId="77777777" w:rsidR="00F46279" w:rsidRPr="00D5104D" w:rsidRDefault="00F46279" w:rsidP="00C62BA6">
            <w:r w:rsidRPr="006F29B2">
              <w:t>Currie-</w:t>
            </w:r>
            <w:proofErr w:type="spellStart"/>
            <w:r w:rsidRPr="006F29B2">
              <w:t>Gorgie</w:t>
            </w:r>
            <w:proofErr w:type="spellEnd"/>
            <w:r w:rsidRPr="006F29B2">
              <w:t xml:space="preserve"> 132kV Cable Replacement</w:t>
            </w:r>
          </w:p>
        </w:tc>
      </w:tr>
      <w:tr w:rsidR="00F46279" w:rsidRPr="00D5104D" w14:paraId="27019AB6" w14:textId="77777777" w:rsidTr="00C62BA6">
        <w:trPr>
          <w:trHeight w:val="321"/>
        </w:trPr>
        <w:tc>
          <w:tcPr>
            <w:tcW w:w="2122" w:type="dxa"/>
          </w:tcPr>
          <w:p w14:paraId="5EF3BEF7" w14:textId="77777777" w:rsidR="00F46279" w:rsidRPr="00D5104D" w:rsidRDefault="00F46279" w:rsidP="00C62BA6">
            <w:r w:rsidRPr="006F29B2">
              <w:t>SPNLT20113</w:t>
            </w:r>
          </w:p>
        </w:tc>
        <w:tc>
          <w:tcPr>
            <w:tcW w:w="6804" w:type="dxa"/>
          </w:tcPr>
          <w:p w14:paraId="47F1EC43" w14:textId="77777777" w:rsidR="00F46279" w:rsidRPr="00D5104D" w:rsidRDefault="00F46279" w:rsidP="00C62BA6">
            <w:r w:rsidRPr="006F29B2">
              <w:t>Cable Sealing End Proactive Programme</w:t>
            </w:r>
          </w:p>
        </w:tc>
      </w:tr>
    </w:tbl>
    <w:p w14:paraId="1F9B14FA" w14:textId="6CC02C32" w:rsidR="00F46279" w:rsidRPr="00951250" w:rsidRDefault="00F46279" w:rsidP="003016E1">
      <w:pPr>
        <w:pStyle w:val="AppendixHeading"/>
      </w:pPr>
    </w:p>
    <w:p w14:paraId="1B806DB3" w14:textId="77777777" w:rsidR="00F46279" w:rsidRPr="004A521E" w:rsidRDefault="00F46279" w:rsidP="008F7F11">
      <w:pPr>
        <w:pStyle w:val="Caption"/>
      </w:pPr>
      <w:r>
        <w:t>Uncertain Non-Load Related Projects Price Control Deliverable</w:t>
      </w:r>
    </w:p>
    <w:tbl>
      <w:tblPr>
        <w:tblW w:w="9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
        <w:gridCol w:w="963"/>
        <w:gridCol w:w="1498"/>
        <w:gridCol w:w="866"/>
        <w:gridCol w:w="866"/>
        <w:gridCol w:w="866"/>
        <w:gridCol w:w="866"/>
        <w:gridCol w:w="866"/>
        <w:gridCol w:w="1284"/>
      </w:tblGrid>
      <w:tr w:rsidR="00F46279" w:rsidRPr="00DE541A" w14:paraId="39D18C6F" w14:textId="77777777" w:rsidTr="00C62BA6">
        <w:trPr>
          <w:trHeight w:val="305"/>
        </w:trPr>
        <w:tc>
          <w:tcPr>
            <w:tcW w:w="921" w:type="dxa"/>
          </w:tcPr>
          <w:p w14:paraId="28FD2C51" w14:textId="77777777" w:rsidR="00F46279" w:rsidRPr="000E74EA" w:rsidRDefault="00F46279" w:rsidP="00C62BA6">
            <w:pPr>
              <w:pStyle w:val="Normalbold"/>
            </w:pPr>
            <w:r>
              <w:t>Project name</w:t>
            </w:r>
          </w:p>
        </w:tc>
        <w:tc>
          <w:tcPr>
            <w:tcW w:w="0" w:type="auto"/>
            <w:vAlign w:val="bottom"/>
          </w:tcPr>
          <w:p w14:paraId="1399F36C" w14:textId="77777777" w:rsidR="00F46279" w:rsidRPr="000E74EA" w:rsidRDefault="00F46279" w:rsidP="00C62BA6">
            <w:pPr>
              <w:pStyle w:val="Normalbold"/>
            </w:pPr>
            <w:r>
              <w:t>Output</w:t>
            </w:r>
          </w:p>
        </w:tc>
        <w:tc>
          <w:tcPr>
            <w:tcW w:w="0" w:type="auto"/>
          </w:tcPr>
          <w:p w14:paraId="141C4177" w14:textId="77777777" w:rsidR="00F46279" w:rsidRPr="000E74EA" w:rsidRDefault="00F46279" w:rsidP="00C62BA6">
            <w:pPr>
              <w:pStyle w:val="Normalbold"/>
            </w:pPr>
            <w:r>
              <w:t>Delivery Date</w:t>
            </w:r>
          </w:p>
        </w:tc>
        <w:tc>
          <w:tcPr>
            <w:tcW w:w="0" w:type="auto"/>
            <w:gridSpan w:val="5"/>
          </w:tcPr>
          <w:p w14:paraId="1B0833CC" w14:textId="77777777" w:rsidR="00F46279" w:rsidRPr="000E74EA" w:rsidRDefault="00F46279" w:rsidP="00C62BA6">
            <w:pPr>
              <w:pStyle w:val="Normalbold"/>
            </w:pPr>
            <w:r>
              <w:t xml:space="preserve">Allowance </w:t>
            </w:r>
          </w:p>
        </w:tc>
        <w:tc>
          <w:tcPr>
            <w:tcW w:w="1256" w:type="dxa"/>
          </w:tcPr>
          <w:p w14:paraId="24B7CA1D" w14:textId="77777777" w:rsidR="00F46279" w:rsidRDefault="00F46279" w:rsidP="00C62BA6">
            <w:pPr>
              <w:pStyle w:val="Normalbold"/>
            </w:pPr>
          </w:p>
        </w:tc>
      </w:tr>
      <w:tr w:rsidR="00F46279" w:rsidRPr="00D5104D" w14:paraId="012D6B91" w14:textId="77777777" w:rsidTr="00C62BA6">
        <w:trPr>
          <w:trHeight w:val="321"/>
        </w:trPr>
        <w:tc>
          <w:tcPr>
            <w:tcW w:w="921" w:type="dxa"/>
          </w:tcPr>
          <w:p w14:paraId="37054642" w14:textId="77777777" w:rsidR="00F46279" w:rsidRPr="0082533A" w:rsidRDefault="00F46279" w:rsidP="00C62BA6"/>
        </w:tc>
        <w:tc>
          <w:tcPr>
            <w:tcW w:w="0" w:type="auto"/>
            <w:vAlign w:val="bottom"/>
          </w:tcPr>
          <w:p w14:paraId="606513D6" w14:textId="77777777" w:rsidR="00F46279" w:rsidRPr="0082533A" w:rsidRDefault="00F46279" w:rsidP="00C62BA6"/>
        </w:tc>
        <w:tc>
          <w:tcPr>
            <w:tcW w:w="0" w:type="auto"/>
          </w:tcPr>
          <w:p w14:paraId="20B6EBFC" w14:textId="77777777" w:rsidR="00F46279" w:rsidRPr="0082533A" w:rsidRDefault="00F46279" w:rsidP="00C62BA6"/>
        </w:tc>
        <w:tc>
          <w:tcPr>
            <w:tcW w:w="0" w:type="auto"/>
          </w:tcPr>
          <w:p w14:paraId="2487E3F6" w14:textId="77777777" w:rsidR="00F46279" w:rsidRPr="000E74EA" w:rsidRDefault="00F46279" w:rsidP="00C62BA6">
            <w:r>
              <w:t>21/22</w:t>
            </w:r>
          </w:p>
        </w:tc>
        <w:tc>
          <w:tcPr>
            <w:tcW w:w="0" w:type="auto"/>
          </w:tcPr>
          <w:p w14:paraId="0C411DCD" w14:textId="77777777" w:rsidR="00F46279" w:rsidRPr="000E74EA" w:rsidRDefault="00F46279" w:rsidP="00C62BA6">
            <w:r>
              <w:t>22/23</w:t>
            </w:r>
          </w:p>
        </w:tc>
        <w:tc>
          <w:tcPr>
            <w:tcW w:w="0" w:type="auto"/>
          </w:tcPr>
          <w:p w14:paraId="3920F540" w14:textId="77777777" w:rsidR="00F46279" w:rsidRPr="000E74EA" w:rsidRDefault="00F46279" w:rsidP="00C62BA6">
            <w:r>
              <w:t>23/24</w:t>
            </w:r>
          </w:p>
        </w:tc>
        <w:tc>
          <w:tcPr>
            <w:tcW w:w="0" w:type="auto"/>
          </w:tcPr>
          <w:p w14:paraId="406D5F6F" w14:textId="77777777" w:rsidR="00F46279" w:rsidRPr="000E74EA" w:rsidRDefault="00F46279" w:rsidP="00C62BA6">
            <w:r>
              <w:t>24/25</w:t>
            </w:r>
          </w:p>
        </w:tc>
        <w:tc>
          <w:tcPr>
            <w:tcW w:w="0" w:type="auto"/>
          </w:tcPr>
          <w:p w14:paraId="3EF2EE3B" w14:textId="77777777" w:rsidR="00F46279" w:rsidRPr="000E74EA" w:rsidRDefault="00F46279" w:rsidP="00C62BA6">
            <w:r>
              <w:t>25/26</w:t>
            </w:r>
          </w:p>
        </w:tc>
        <w:tc>
          <w:tcPr>
            <w:tcW w:w="1256" w:type="dxa"/>
          </w:tcPr>
          <w:p w14:paraId="08AA1D29" w14:textId="77777777" w:rsidR="00F46279" w:rsidRPr="000E74EA" w:rsidRDefault="00F46279" w:rsidP="00C62BA6">
            <w:r>
              <w:t>Total Allowance (All years)</w:t>
            </w:r>
          </w:p>
        </w:tc>
      </w:tr>
      <w:tr w:rsidR="00F46279" w:rsidRPr="00D5104D" w14:paraId="5B53AA47" w14:textId="77777777" w:rsidTr="00C62BA6">
        <w:trPr>
          <w:trHeight w:val="321"/>
        </w:trPr>
        <w:tc>
          <w:tcPr>
            <w:tcW w:w="921" w:type="dxa"/>
          </w:tcPr>
          <w:p w14:paraId="46843998" w14:textId="77777777" w:rsidR="00F46279" w:rsidRPr="000E74EA" w:rsidRDefault="00F46279" w:rsidP="00C62BA6"/>
        </w:tc>
        <w:tc>
          <w:tcPr>
            <w:tcW w:w="0" w:type="auto"/>
            <w:vAlign w:val="bottom"/>
          </w:tcPr>
          <w:p w14:paraId="59A26498" w14:textId="77777777" w:rsidR="00F46279" w:rsidRPr="000E74EA" w:rsidRDefault="00F46279" w:rsidP="00C62BA6"/>
        </w:tc>
        <w:tc>
          <w:tcPr>
            <w:tcW w:w="0" w:type="auto"/>
          </w:tcPr>
          <w:p w14:paraId="45FA017F" w14:textId="77777777" w:rsidR="00F46279" w:rsidRPr="000E74EA" w:rsidRDefault="00F46279" w:rsidP="00C62BA6"/>
        </w:tc>
        <w:tc>
          <w:tcPr>
            <w:tcW w:w="0" w:type="auto"/>
          </w:tcPr>
          <w:p w14:paraId="23183CA8" w14:textId="77777777" w:rsidR="00F46279" w:rsidRPr="0082533A" w:rsidRDefault="00F46279" w:rsidP="00C62BA6"/>
        </w:tc>
        <w:tc>
          <w:tcPr>
            <w:tcW w:w="0" w:type="auto"/>
          </w:tcPr>
          <w:p w14:paraId="73DBB280" w14:textId="77777777" w:rsidR="00F46279" w:rsidRPr="0082533A" w:rsidRDefault="00F46279" w:rsidP="00C62BA6"/>
        </w:tc>
        <w:tc>
          <w:tcPr>
            <w:tcW w:w="0" w:type="auto"/>
          </w:tcPr>
          <w:p w14:paraId="4E5BBE8D" w14:textId="77777777" w:rsidR="00F46279" w:rsidRPr="0082533A" w:rsidRDefault="00F46279" w:rsidP="00C62BA6"/>
        </w:tc>
        <w:tc>
          <w:tcPr>
            <w:tcW w:w="0" w:type="auto"/>
          </w:tcPr>
          <w:p w14:paraId="30AA1059" w14:textId="77777777" w:rsidR="00F46279" w:rsidRPr="0082533A" w:rsidRDefault="00F46279" w:rsidP="00C62BA6"/>
        </w:tc>
        <w:tc>
          <w:tcPr>
            <w:tcW w:w="0" w:type="auto"/>
          </w:tcPr>
          <w:p w14:paraId="0741FA1B" w14:textId="77777777" w:rsidR="00F46279" w:rsidRPr="0082533A" w:rsidRDefault="00F46279" w:rsidP="00C62BA6"/>
        </w:tc>
        <w:tc>
          <w:tcPr>
            <w:tcW w:w="1256" w:type="dxa"/>
          </w:tcPr>
          <w:p w14:paraId="09249423" w14:textId="77777777" w:rsidR="00F46279" w:rsidRPr="0082533A" w:rsidRDefault="00F46279" w:rsidP="00C62BA6"/>
        </w:tc>
      </w:tr>
      <w:tr w:rsidR="00F46279" w:rsidRPr="00D5104D" w14:paraId="231D3FF6" w14:textId="77777777" w:rsidTr="00C62BA6">
        <w:trPr>
          <w:trHeight w:val="321"/>
        </w:trPr>
        <w:tc>
          <w:tcPr>
            <w:tcW w:w="921" w:type="dxa"/>
          </w:tcPr>
          <w:p w14:paraId="33B83C09" w14:textId="77777777" w:rsidR="00F46279" w:rsidRPr="000E74EA" w:rsidRDefault="00F46279" w:rsidP="00C62BA6"/>
        </w:tc>
        <w:tc>
          <w:tcPr>
            <w:tcW w:w="0" w:type="auto"/>
            <w:vAlign w:val="bottom"/>
          </w:tcPr>
          <w:p w14:paraId="3DE401BB" w14:textId="77777777" w:rsidR="00F46279" w:rsidRPr="000E74EA" w:rsidRDefault="00F46279" w:rsidP="00C62BA6"/>
        </w:tc>
        <w:tc>
          <w:tcPr>
            <w:tcW w:w="0" w:type="auto"/>
          </w:tcPr>
          <w:p w14:paraId="6F234251" w14:textId="77777777" w:rsidR="00F46279" w:rsidRPr="000E74EA" w:rsidRDefault="00F46279" w:rsidP="00C62BA6"/>
        </w:tc>
        <w:tc>
          <w:tcPr>
            <w:tcW w:w="0" w:type="auto"/>
          </w:tcPr>
          <w:p w14:paraId="36B40008" w14:textId="77777777" w:rsidR="00F46279" w:rsidRPr="00D5104D" w:rsidRDefault="00F46279" w:rsidP="00C62BA6"/>
        </w:tc>
        <w:tc>
          <w:tcPr>
            <w:tcW w:w="0" w:type="auto"/>
          </w:tcPr>
          <w:p w14:paraId="32720E3F" w14:textId="77777777" w:rsidR="00F46279" w:rsidRPr="00D5104D" w:rsidRDefault="00F46279" w:rsidP="00C62BA6"/>
        </w:tc>
        <w:tc>
          <w:tcPr>
            <w:tcW w:w="0" w:type="auto"/>
          </w:tcPr>
          <w:p w14:paraId="5C994A78" w14:textId="77777777" w:rsidR="00F46279" w:rsidRPr="00D5104D" w:rsidRDefault="00F46279" w:rsidP="00C62BA6"/>
        </w:tc>
        <w:tc>
          <w:tcPr>
            <w:tcW w:w="0" w:type="auto"/>
          </w:tcPr>
          <w:p w14:paraId="7FCAD7A6" w14:textId="77777777" w:rsidR="00F46279" w:rsidRPr="00D5104D" w:rsidRDefault="00F46279" w:rsidP="00C62BA6"/>
        </w:tc>
        <w:tc>
          <w:tcPr>
            <w:tcW w:w="0" w:type="auto"/>
          </w:tcPr>
          <w:p w14:paraId="23BFF763" w14:textId="77777777" w:rsidR="00F46279" w:rsidRPr="00D5104D" w:rsidRDefault="00F46279" w:rsidP="00C62BA6"/>
        </w:tc>
        <w:tc>
          <w:tcPr>
            <w:tcW w:w="1256" w:type="dxa"/>
          </w:tcPr>
          <w:p w14:paraId="16826304" w14:textId="77777777" w:rsidR="00F46279" w:rsidRPr="00D5104D" w:rsidRDefault="00F46279" w:rsidP="00C62BA6"/>
        </w:tc>
      </w:tr>
      <w:tr w:rsidR="00F46279" w:rsidRPr="00D5104D" w14:paraId="3ABC309C" w14:textId="77777777" w:rsidTr="00C62BA6">
        <w:trPr>
          <w:trHeight w:val="321"/>
        </w:trPr>
        <w:tc>
          <w:tcPr>
            <w:tcW w:w="921" w:type="dxa"/>
          </w:tcPr>
          <w:p w14:paraId="342B79FD" w14:textId="77777777" w:rsidR="00F46279" w:rsidRPr="00D5104D" w:rsidRDefault="00F46279" w:rsidP="00C62BA6"/>
        </w:tc>
        <w:tc>
          <w:tcPr>
            <w:tcW w:w="0" w:type="auto"/>
            <w:vAlign w:val="bottom"/>
          </w:tcPr>
          <w:p w14:paraId="02F3AC8A" w14:textId="77777777" w:rsidR="00F46279" w:rsidRPr="00D5104D" w:rsidRDefault="00F46279" w:rsidP="00C62BA6"/>
        </w:tc>
        <w:tc>
          <w:tcPr>
            <w:tcW w:w="0" w:type="auto"/>
          </w:tcPr>
          <w:p w14:paraId="592EE480" w14:textId="77777777" w:rsidR="00F46279" w:rsidRPr="00D5104D" w:rsidRDefault="00F46279" w:rsidP="00C62BA6"/>
        </w:tc>
        <w:tc>
          <w:tcPr>
            <w:tcW w:w="0" w:type="auto"/>
          </w:tcPr>
          <w:p w14:paraId="7700EF72" w14:textId="77777777" w:rsidR="00F46279" w:rsidRPr="00D5104D" w:rsidRDefault="00F46279" w:rsidP="00C62BA6"/>
        </w:tc>
        <w:tc>
          <w:tcPr>
            <w:tcW w:w="0" w:type="auto"/>
          </w:tcPr>
          <w:p w14:paraId="79EEDD4D" w14:textId="77777777" w:rsidR="00F46279" w:rsidRPr="00D5104D" w:rsidRDefault="00F46279" w:rsidP="00C62BA6"/>
        </w:tc>
        <w:tc>
          <w:tcPr>
            <w:tcW w:w="0" w:type="auto"/>
          </w:tcPr>
          <w:p w14:paraId="5BACBA99" w14:textId="77777777" w:rsidR="00F46279" w:rsidRPr="00D5104D" w:rsidRDefault="00F46279" w:rsidP="00C62BA6"/>
        </w:tc>
        <w:tc>
          <w:tcPr>
            <w:tcW w:w="0" w:type="auto"/>
          </w:tcPr>
          <w:p w14:paraId="0C7F6184" w14:textId="77777777" w:rsidR="00F46279" w:rsidRPr="00D5104D" w:rsidRDefault="00F46279" w:rsidP="00C62BA6"/>
        </w:tc>
        <w:tc>
          <w:tcPr>
            <w:tcW w:w="0" w:type="auto"/>
          </w:tcPr>
          <w:p w14:paraId="0DCCC7F1" w14:textId="77777777" w:rsidR="00F46279" w:rsidRPr="00D5104D" w:rsidRDefault="00F46279" w:rsidP="00C62BA6"/>
        </w:tc>
        <w:tc>
          <w:tcPr>
            <w:tcW w:w="1256" w:type="dxa"/>
          </w:tcPr>
          <w:p w14:paraId="041F2ADE" w14:textId="77777777" w:rsidR="00F46279" w:rsidRPr="00D5104D" w:rsidRDefault="00F46279" w:rsidP="00C62BA6"/>
        </w:tc>
      </w:tr>
    </w:tbl>
    <w:p w14:paraId="4E839FA9" w14:textId="77777777" w:rsidR="00F46279" w:rsidRPr="008F0658" w:rsidRDefault="00F46279" w:rsidP="00F32DDA">
      <w:pPr>
        <w:pStyle w:val="ListNormal"/>
        <w:numPr>
          <w:ilvl w:val="0"/>
          <w:numId w:val="0"/>
        </w:numPr>
        <w:ind w:left="1236"/>
      </w:pPr>
    </w:p>
    <w:p w14:paraId="0E2837F3" w14:textId="77777777" w:rsidR="00DF4562" w:rsidRDefault="00DF4562" w:rsidP="00DF4562">
      <w:pPr>
        <w:pStyle w:val="Heading2"/>
      </w:pPr>
      <w:bookmarkStart w:id="132" w:name="_Toc52364908"/>
      <w:bookmarkStart w:id="133" w:name="_Toc51319630"/>
      <w:bookmarkStart w:id="134" w:name="_Toc51798298"/>
      <w:r>
        <w:t>Consumer Value Proposition (</w:t>
      </w:r>
      <w:proofErr w:type="spellStart"/>
      <w:r>
        <w:t>CVP</w:t>
      </w:r>
      <w:r w:rsidRPr="00150818">
        <w:t>t</w:t>
      </w:r>
      <w:proofErr w:type="spellEnd"/>
      <w:r>
        <w:t>)</w:t>
      </w:r>
      <w:bookmarkEnd w:id="132"/>
    </w:p>
    <w:p w14:paraId="37F72F4F" w14:textId="77777777" w:rsidR="00DF4562" w:rsidRPr="00645878" w:rsidRDefault="00DF4562" w:rsidP="00DF4562">
      <w:pPr>
        <w:pStyle w:val="Heading3nonumbering"/>
      </w:pPr>
      <w:r w:rsidRPr="00645878">
        <w:t xml:space="preserve">Introduction </w:t>
      </w:r>
    </w:p>
    <w:p w14:paraId="52095490" w14:textId="77777777" w:rsidR="00EA6958" w:rsidRDefault="00EA6958" w:rsidP="008F7F11">
      <w:pPr>
        <w:pStyle w:val="NumberedNormal"/>
        <w:numPr>
          <w:ilvl w:val="2"/>
          <w:numId w:val="48"/>
        </w:numPr>
      </w:pPr>
      <w:r>
        <w:t xml:space="preserve">The </w:t>
      </w:r>
      <w:r w:rsidRPr="000C4EB0">
        <w:t>purpose</w:t>
      </w:r>
      <w:r>
        <w:t xml:space="preserve"> of this condition is to:</w:t>
      </w:r>
    </w:p>
    <w:p w14:paraId="4AFDEB42" w14:textId="77777777" w:rsidR="00EA6958" w:rsidRDefault="00EA6958" w:rsidP="00EA6958">
      <w:pPr>
        <w:pStyle w:val="ListNormal"/>
      </w:pPr>
      <w:r>
        <w:t xml:space="preserve">calculate the term </w:t>
      </w:r>
      <w:proofErr w:type="spellStart"/>
      <w:r>
        <w:t>CVPt</w:t>
      </w:r>
      <w:proofErr w:type="spellEnd"/>
      <w:r>
        <w:t xml:space="preserve"> (the Consumer Value Proposition term), which contributes to the calculation of the Totex </w:t>
      </w:r>
      <w:proofErr w:type="gramStart"/>
      <w:r>
        <w:t>Allowance;</w:t>
      </w:r>
      <w:proofErr w:type="gramEnd"/>
    </w:p>
    <w:p w14:paraId="0A371FBE" w14:textId="77777777" w:rsidR="00EA6958" w:rsidRDefault="00EA6958" w:rsidP="002D0362">
      <w:pPr>
        <w:pStyle w:val="ListNormal"/>
      </w:pPr>
      <w:r>
        <w:t xml:space="preserve">specify the CVP Outputs and associated CVP Rewards for the licensee's </w:t>
      </w:r>
      <w:proofErr w:type="gramStart"/>
      <w:r>
        <w:t>CVPs;</w:t>
      </w:r>
      <w:proofErr w:type="gramEnd"/>
    </w:p>
    <w:p w14:paraId="7FC96A8D" w14:textId="2CE55624" w:rsidR="00EA6958" w:rsidRPr="00645878" w:rsidRDefault="00EA6958" w:rsidP="00EA6958">
      <w:pPr>
        <w:pStyle w:val="ListNormal"/>
      </w:pPr>
      <w:r>
        <w:t xml:space="preserve">allow for the adjustment of the term </w:t>
      </w:r>
      <w:proofErr w:type="spellStart"/>
      <w:r>
        <w:t>BPIt</w:t>
      </w:r>
      <w:proofErr w:type="spellEnd"/>
      <w:r>
        <w:t xml:space="preserve"> (the business plan incentive term), which contributes to the calculation of Calculated Revenue</w:t>
      </w:r>
      <w:r w:rsidR="000C4EB0">
        <w:t xml:space="preserve"> in Special Condition 2.1 (Revenue Restriction)</w:t>
      </w:r>
      <w:r>
        <w:t>.</w:t>
      </w:r>
    </w:p>
    <w:p w14:paraId="6D099BB4" w14:textId="09C69B99" w:rsidR="00EA6958" w:rsidRDefault="00EA6958" w:rsidP="008F7F11">
      <w:pPr>
        <w:pStyle w:val="NumberedNormal"/>
        <w:numPr>
          <w:ilvl w:val="2"/>
          <w:numId w:val="48"/>
        </w:numPr>
      </w:pPr>
      <w:r w:rsidRPr="000C4EB0">
        <w:t>This</w:t>
      </w:r>
      <w:r>
        <w:t xml:space="preserve"> condition also explains the process the Authority will follow when assessing the delivery of the CVP Outputs</w:t>
      </w:r>
      <w:r w:rsidRPr="00083B7A">
        <w:t xml:space="preserve"> </w:t>
      </w:r>
      <w:r w:rsidRPr="00645878">
        <w:t xml:space="preserve">and directing a value for </w:t>
      </w:r>
      <w:proofErr w:type="spellStart"/>
      <w:r w:rsidRPr="00645878">
        <w:t>CVPRt</w:t>
      </w:r>
      <w:proofErr w:type="spellEnd"/>
      <w:r>
        <w:t xml:space="preserve"> or an adjustment to </w:t>
      </w:r>
      <w:proofErr w:type="spellStart"/>
      <w:r>
        <w:t>BPIt</w:t>
      </w:r>
      <w:proofErr w:type="spellEnd"/>
      <w:r>
        <w:t>.</w:t>
      </w:r>
    </w:p>
    <w:p w14:paraId="17C26556" w14:textId="77777777" w:rsidR="00DF4562" w:rsidRPr="00645878" w:rsidRDefault="00DF4562" w:rsidP="00DF4562">
      <w:pPr>
        <w:pStyle w:val="Heading3"/>
      </w:pPr>
      <w:r>
        <w:t>Formula for calculating the Consumer Value Proposition term (</w:t>
      </w:r>
      <w:proofErr w:type="spellStart"/>
      <w:r>
        <w:t>CVPt</w:t>
      </w:r>
      <w:proofErr w:type="spellEnd"/>
      <w:r>
        <w:t>)</w:t>
      </w:r>
    </w:p>
    <w:p w14:paraId="17B64686" w14:textId="77777777" w:rsidR="00DF4562" w:rsidRPr="00645878" w:rsidRDefault="00DF4562" w:rsidP="00DF4562">
      <w:pPr>
        <w:pStyle w:val="NumberedNormal"/>
      </w:pPr>
      <w:r>
        <w:t xml:space="preserve">The value of the </w:t>
      </w:r>
      <w:proofErr w:type="spellStart"/>
      <w:r>
        <w:t>CVPt</w:t>
      </w:r>
      <w:proofErr w:type="spellEnd"/>
      <w:r>
        <w:t xml:space="preserve"> term is derived in accordance with the following formula:</w:t>
      </w:r>
    </w:p>
    <w:p w14:paraId="46BC3196" w14:textId="77777777" w:rsidR="00DF4562" w:rsidRPr="00150818" w:rsidRDefault="00DF4562" w:rsidP="00DF4562">
      <w:pPr>
        <w:ind w:left="720"/>
      </w:pPr>
      <w:proofErr w:type="spellStart"/>
      <w:r w:rsidRPr="00645878">
        <w:t>CVPt</w:t>
      </w:r>
      <w:proofErr w:type="spellEnd"/>
      <w:r w:rsidRPr="00645878">
        <w:t xml:space="preserve"> </w:t>
      </w:r>
      <w:proofErr w:type="gramStart"/>
      <w:r w:rsidRPr="00645878">
        <w:t xml:space="preserve">=  </w:t>
      </w:r>
      <w:proofErr w:type="spellStart"/>
      <w:r w:rsidRPr="00645878">
        <w:t>CVPAt</w:t>
      </w:r>
      <w:proofErr w:type="spellEnd"/>
      <w:proofErr w:type="gramEnd"/>
      <w:r w:rsidRPr="00645878">
        <w:t xml:space="preserve"> - </w:t>
      </w:r>
      <w:proofErr w:type="spellStart"/>
      <w:r w:rsidRPr="00645878">
        <w:t>CVPRt</w:t>
      </w:r>
      <w:proofErr w:type="spellEnd"/>
    </w:p>
    <w:p w14:paraId="3CC71618" w14:textId="77777777" w:rsidR="00DF4562" w:rsidRPr="00645878" w:rsidRDefault="00DF4562" w:rsidP="00DF4562">
      <w:pPr>
        <w:ind w:left="720"/>
      </w:pPr>
      <w:r w:rsidRPr="00645878">
        <w:t>where:</w:t>
      </w:r>
    </w:p>
    <w:p w14:paraId="3CA75EF3" w14:textId="77777777" w:rsidR="00DF4562" w:rsidRPr="00150818" w:rsidRDefault="00DF4562" w:rsidP="00DF4562">
      <w:pPr>
        <w:ind w:left="720"/>
      </w:pPr>
      <w:proofErr w:type="spellStart"/>
      <w:r w:rsidRPr="00645878">
        <w:t>CVPAt</w:t>
      </w:r>
      <w:proofErr w:type="spellEnd"/>
      <w:r w:rsidRPr="00645878">
        <w:tab/>
        <w:t xml:space="preserve"> means the sum of values in the ‘Reward’ column of Appendix 1</w:t>
      </w:r>
      <w:r w:rsidRPr="00150818">
        <w:t xml:space="preserve">; and </w:t>
      </w:r>
    </w:p>
    <w:p w14:paraId="7BF26E02" w14:textId="77777777" w:rsidR="00DF4562" w:rsidRPr="00150818" w:rsidRDefault="00DF4562" w:rsidP="00DF4562">
      <w:pPr>
        <w:ind w:left="720"/>
      </w:pPr>
      <w:proofErr w:type="spellStart"/>
      <w:r w:rsidRPr="00645878">
        <w:lastRenderedPageBreak/>
        <w:t>CVPRt</w:t>
      </w:r>
      <w:proofErr w:type="spellEnd"/>
      <w:r w:rsidRPr="00645878">
        <w:t xml:space="preserve"> </w:t>
      </w:r>
      <w:r w:rsidRPr="00645878">
        <w:tab/>
      </w:r>
      <w:r w:rsidRPr="00150818">
        <w:t>has the value zero unless otherwise directed by the Authority in accordance with Part D.</w:t>
      </w:r>
    </w:p>
    <w:p w14:paraId="1E734BD9" w14:textId="77777777" w:rsidR="00DF4562" w:rsidRPr="00645878" w:rsidRDefault="00DF4562" w:rsidP="00DF4562">
      <w:pPr>
        <w:pStyle w:val="Heading3"/>
      </w:pPr>
      <w:r>
        <w:t>What is the licensee expected to deliver?</w:t>
      </w:r>
    </w:p>
    <w:p w14:paraId="483186E5" w14:textId="77777777" w:rsidR="00DF4562" w:rsidRPr="00645878" w:rsidRDefault="00DF4562" w:rsidP="00DF4562">
      <w:pPr>
        <w:pStyle w:val="NumberedNormal"/>
      </w:pPr>
      <w:r>
        <w:t>Appendix 1 specifies the CVP Outputs that the licensee is expected to deliver, the delivery dates for those outputs and the rewards and costs provided.</w:t>
      </w:r>
    </w:p>
    <w:p w14:paraId="2F10C879" w14:textId="77777777" w:rsidR="00DF4562" w:rsidRPr="00645878" w:rsidRDefault="00DF4562" w:rsidP="00DF4562">
      <w:pPr>
        <w:pStyle w:val="Heading3"/>
      </w:pPr>
      <w:r>
        <w:t>Reporting requirements</w:t>
      </w:r>
    </w:p>
    <w:p w14:paraId="31E79629" w14:textId="77777777" w:rsidR="00DF4562" w:rsidRPr="00645878" w:rsidRDefault="00DF4562" w:rsidP="00DF4562">
      <w:pPr>
        <w:pStyle w:val="NumberedNormal"/>
      </w:pPr>
      <w:r>
        <w:t xml:space="preserve">The licensee must submit a single report to the Authority on a date to be directed by the Authority, which will be after the Price Control Period ends, demonstrating how the licensee has delivered all of its CVP Outputs set out in Appendix 1. </w:t>
      </w:r>
    </w:p>
    <w:p w14:paraId="1C787252" w14:textId="15A9F26D" w:rsidR="00DF4562" w:rsidRPr="00645878" w:rsidRDefault="00DF4562" w:rsidP="00DF4562">
      <w:pPr>
        <w:pStyle w:val="NumberedNormal"/>
      </w:pPr>
      <w:r>
        <w:t xml:space="preserve">If the licensee has not delivered a CVP Output and believes that it no longer provides value to consumers, the licensee must include in the report required by paragraph </w:t>
      </w:r>
      <w:r w:rsidR="00B2398E">
        <w:t>3</w:t>
      </w:r>
      <w:r>
        <w:t>.</w:t>
      </w:r>
      <w:r w:rsidR="00AE18B8">
        <w:t>25</w:t>
      </w:r>
      <w:r>
        <w:t xml:space="preserve">.6: </w:t>
      </w:r>
    </w:p>
    <w:p w14:paraId="53C67BF2" w14:textId="77777777" w:rsidR="00DF4562" w:rsidRPr="00645878" w:rsidRDefault="00DF4562" w:rsidP="00DF4562">
      <w:pPr>
        <w:pStyle w:val="ListNormal"/>
        <w:tabs>
          <w:tab w:val="num" w:pos="879"/>
        </w:tabs>
      </w:pPr>
      <w:r>
        <w:t>justification for this belief; and</w:t>
      </w:r>
    </w:p>
    <w:p w14:paraId="008DC9AF" w14:textId="77777777" w:rsidR="00DF4562" w:rsidRPr="00645878" w:rsidRDefault="00DF4562" w:rsidP="00DF4562">
      <w:pPr>
        <w:pStyle w:val="ListNormal"/>
        <w:tabs>
          <w:tab w:val="num" w:pos="879"/>
        </w:tabs>
      </w:pPr>
      <w:r>
        <w:t xml:space="preserve">details of any alternative activity undertaken and evidence that it delivers outcomes with an equivalent or higher value to consumers.  </w:t>
      </w:r>
    </w:p>
    <w:p w14:paraId="5A7EFF16" w14:textId="77777777" w:rsidR="00DF4562" w:rsidRPr="00645878" w:rsidRDefault="00DF4562" w:rsidP="00DF4562">
      <w:pPr>
        <w:pStyle w:val="Heading3"/>
      </w:pPr>
      <w:r>
        <w:t>Authority Assessment and direction (</w:t>
      </w:r>
      <w:proofErr w:type="spellStart"/>
      <w:r>
        <w:t>CVPRt</w:t>
      </w:r>
      <w:proofErr w:type="spellEnd"/>
      <w:r>
        <w:t>)</w:t>
      </w:r>
    </w:p>
    <w:p w14:paraId="72824F75" w14:textId="77777777" w:rsidR="00D864EB" w:rsidRDefault="00D864EB" w:rsidP="008F7F11">
      <w:pPr>
        <w:pStyle w:val="NumberedNormal"/>
        <w:numPr>
          <w:ilvl w:val="2"/>
          <w:numId w:val="48"/>
        </w:numPr>
      </w:pPr>
      <w:r w:rsidRPr="00D864EB">
        <w:t>The</w:t>
      </w:r>
      <w:r>
        <w:t xml:space="preserve"> Authority will consider directing a value for </w:t>
      </w:r>
      <w:proofErr w:type="spellStart"/>
      <w:r>
        <w:t>CVPR</w:t>
      </w:r>
      <w:r w:rsidRPr="0039702C">
        <w:rPr>
          <w:vertAlign w:val="subscript"/>
        </w:rPr>
        <w:t>t</w:t>
      </w:r>
      <w:proofErr w:type="spellEnd"/>
      <w:r>
        <w:t xml:space="preserve"> and </w:t>
      </w:r>
      <w:proofErr w:type="spellStart"/>
      <w:r>
        <w:t>BPIt</w:t>
      </w:r>
      <w:proofErr w:type="spellEnd"/>
      <w:r>
        <w:t xml:space="preserve"> after the Price Control Period where the licensee has not demonstrated CVP Full Delivery for one or more CVP Outputs in Appendix 1.</w:t>
      </w:r>
    </w:p>
    <w:p w14:paraId="42151FD0" w14:textId="226B4993" w:rsidR="00D864EB" w:rsidRPr="00645878" w:rsidRDefault="00D864EB" w:rsidP="008F7F11">
      <w:pPr>
        <w:pStyle w:val="NumberedNormal"/>
        <w:numPr>
          <w:ilvl w:val="2"/>
          <w:numId w:val="48"/>
        </w:numPr>
      </w:pPr>
      <w:r w:rsidRPr="00D864EB">
        <w:t>Before</w:t>
      </w:r>
      <w:r>
        <w:t xml:space="preserve"> making a direction under paragraph 3.2</w:t>
      </w:r>
      <w:r w:rsidR="00AE18B8">
        <w:t>5</w:t>
      </w:r>
      <w:r>
        <w:t>.8 the Authority will publish on the Authority's Website:</w:t>
      </w:r>
    </w:p>
    <w:p w14:paraId="3F72537E" w14:textId="77777777" w:rsidR="00D864EB" w:rsidRPr="00645878" w:rsidRDefault="00D864EB" w:rsidP="008F7F11">
      <w:pPr>
        <w:pStyle w:val="ListNormal"/>
        <w:numPr>
          <w:ilvl w:val="3"/>
          <w:numId w:val="48"/>
        </w:numPr>
        <w:tabs>
          <w:tab w:val="clear" w:pos="879"/>
        </w:tabs>
      </w:pPr>
      <w:r w:rsidRPr="00D864EB">
        <w:t>the</w:t>
      </w:r>
      <w:r>
        <w:t xml:space="preserve"> text of the proposed </w:t>
      </w:r>
      <w:proofErr w:type="gramStart"/>
      <w:r>
        <w:t>direction;</w:t>
      </w:r>
      <w:proofErr w:type="gramEnd"/>
    </w:p>
    <w:p w14:paraId="1FF9D5F4" w14:textId="77777777" w:rsidR="00D864EB" w:rsidRPr="00645878" w:rsidRDefault="00D864EB" w:rsidP="008F7F11">
      <w:pPr>
        <w:pStyle w:val="ListNormal"/>
        <w:numPr>
          <w:ilvl w:val="3"/>
          <w:numId w:val="48"/>
        </w:numPr>
        <w:tabs>
          <w:tab w:val="clear" w:pos="879"/>
        </w:tabs>
      </w:pPr>
      <w:r w:rsidRPr="00D864EB">
        <w:t>the</w:t>
      </w:r>
      <w:r>
        <w:t xml:space="preserve"> reasons for the proposed direction; and</w:t>
      </w:r>
    </w:p>
    <w:p w14:paraId="4E91A890" w14:textId="77777777" w:rsidR="00D864EB" w:rsidRPr="00645878" w:rsidRDefault="00D864EB" w:rsidP="008F7F11">
      <w:pPr>
        <w:pStyle w:val="ListNormal"/>
        <w:numPr>
          <w:ilvl w:val="3"/>
          <w:numId w:val="48"/>
        </w:numPr>
        <w:tabs>
          <w:tab w:val="clear" w:pos="879"/>
        </w:tabs>
      </w:pPr>
      <w:r>
        <w:t xml:space="preserve">a </w:t>
      </w:r>
      <w:r w:rsidRPr="00D864EB">
        <w:t>period</w:t>
      </w:r>
      <w:r>
        <w:t xml:space="preserve"> during which representations may be made on the proposed direction, which will not be less than 28 days.</w:t>
      </w:r>
    </w:p>
    <w:p w14:paraId="61DF8DEC" w14:textId="77777777" w:rsidR="00DF4562" w:rsidRPr="008E271A" w:rsidRDefault="00DF4562" w:rsidP="00DF4562">
      <w:pPr>
        <w:pStyle w:val="AppendixHeading"/>
      </w:pPr>
    </w:p>
    <w:p w14:paraId="585470A6" w14:textId="4FC7F888" w:rsidR="00DF4562" w:rsidRPr="00150818" w:rsidRDefault="00DF4562" w:rsidP="00DF4562">
      <w:pPr>
        <w:pStyle w:val="Caption"/>
      </w:pPr>
      <w:r w:rsidRPr="00150818">
        <w:t>Consumer Value Proposition</w:t>
      </w:r>
    </w:p>
    <w:tbl>
      <w:tblPr>
        <w:tblStyle w:val="AppendixTable"/>
        <w:tblW w:w="9026" w:type="dxa"/>
        <w:tblLook w:val="04A0" w:firstRow="1" w:lastRow="0" w:firstColumn="1" w:lastColumn="0" w:noHBand="0" w:noVBand="1"/>
      </w:tblPr>
      <w:tblGrid>
        <w:gridCol w:w="1106"/>
        <w:gridCol w:w="1438"/>
        <w:gridCol w:w="2031"/>
        <w:gridCol w:w="2210"/>
        <w:gridCol w:w="1121"/>
        <w:gridCol w:w="1120"/>
      </w:tblGrid>
      <w:tr w:rsidR="00DF4562" w:rsidRPr="00DE541A" w14:paraId="472A7363" w14:textId="77777777" w:rsidTr="00DF1507">
        <w:trPr>
          <w:cnfStyle w:val="100000000000" w:firstRow="1" w:lastRow="0" w:firstColumn="0" w:lastColumn="0" w:oddVBand="0" w:evenVBand="0" w:oddHBand="0" w:evenHBand="0" w:firstRowFirstColumn="0" w:firstRowLastColumn="0" w:lastRowFirstColumn="0" w:lastRowLastColumn="0"/>
          <w:trHeight w:val="305"/>
        </w:trPr>
        <w:tc>
          <w:tcPr>
            <w:tcW w:w="1106" w:type="dxa"/>
          </w:tcPr>
          <w:p w14:paraId="3A7268F2" w14:textId="77777777" w:rsidR="00DF4562" w:rsidRPr="00150818" w:rsidRDefault="00DF4562" w:rsidP="00DF1507">
            <w:r w:rsidRPr="00D1751B">
              <w:t>Licensee</w:t>
            </w:r>
          </w:p>
        </w:tc>
        <w:tc>
          <w:tcPr>
            <w:tcW w:w="1438" w:type="dxa"/>
          </w:tcPr>
          <w:p w14:paraId="5230E12F" w14:textId="77777777" w:rsidR="00DF4562" w:rsidRPr="00150818" w:rsidRDefault="00DF4562" w:rsidP="00DF1507">
            <w:r w:rsidRPr="00D1751B">
              <w:t>CVP Name</w:t>
            </w:r>
          </w:p>
        </w:tc>
        <w:tc>
          <w:tcPr>
            <w:tcW w:w="2031" w:type="dxa"/>
          </w:tcPr>
          <w:p w14:paraId="383B96AD" w14:textId="77777777" w:rsidR="00DF4562" w:rsidRPr="00150818" w:rsidRDefault="00DF4562" w:rsidP="00DF1507">
            <w:r w:rsidRPr="00D1751B">
              <w:t>CVP Output</w:t>
            </w:r>
          </w:p>
        </w:tc>
        <w:tc>
          <w:tcPr>
            <w:tcW w:w="2210" w:type="dxa"/>
          </w:tcPr>
          <w:p w14:paraId="61103314" w14:textId="77777777" w:rsidR="00DF4562" w:rsidRPr="00150818" w:rsidRDefault="00DF4562" w:rsidP="00DF1507">
            <w:r>
              <w:t>Delivery date</w:t>
            </w:r>
          </w:p>
        </w:tc>
        <w:tc>
          <w:tcPr>
            <w:tcW w:w="1121" w:type="dxa"/>
          </w:tcPr>
          <w:p w14:paraId="45846400" w14:textId="77777777" w:rsidR="00DF4562" w:rsidRPr="00150818" w:rsidRDefault="00DF4562" w:rsidP="00DF1507">
            <w:r w:rsidRPr="00D1751B">
              <w:t>Reward</w:t>
            </w:r>
          </w:p>
        </w:tc>
        <w:tc>
          <w:tcPr>
            <w:tcW w:w="1120" w:type="dxa"/>
          </w:tcPr>
          <w:p w14:paraId="02FD36C2" w14:textId="77777777" w:rsidR="00DF4562" w:rsidRPr="00150818" w:rsidRDefault="00DF4562" w:rsidP="00DF1507">
            <w:r w:rsidRPr="00D1751B">
              <w:t>Costs</w:t>
            </w:r>
          </w:p>
        </w:tc>
      </w:tr>
      <w:tr w:rsidR="00DF4562" w:rsidRPr="00D5104D" w14:paraId="0C820F03" w14:textId="77777777" w:rsidTr="00DF1507">
        <w:trPr>
          <w:trHeight w:val="321"/>
        </w:trPr>
        <w:tc>
          <w:tcPr>
            <w:tcW w:w="1106" w:type="dxa"/>
          </w:tcPr>
          <w:p w14:paraId="42997EAD" w14:textId="77777777" w:rsidR="00DF4562" w:rsidRPr="00D1751B" w:rsidRDefault="00DF4562" w:rsidP="00DF1507"/>
        </w:tc>
        <w:tc>
          <w:tcPr>
            <w:tcW w:w="1438" w:type="dxa"/>
          </w:tcPr>
          <w:p w14:paraId="159D77EF" w14:textId="77777777" w:rsidR="00DF4562" w:rsidRPr="00D1751B" w:rsidRDefault="00DF4562" w:rsidP="00DF1507"/>
        </w:tc>
        <w:tc>
          <w:tcPr>
            <w:tcW w:w="2031" w:type="dxa"/>
          </w:tcPr>
          <w:p w14:paraId="550ED16F" w14:textId="77777777" w:rsidR="00DF4562" w:rsidRPr="00D1751B" w:rsidRDefault="00DF4562" w:rsidP="00DF1507"/>
        </w:tc>
        <w:tc>
          <w:tcPr>
            <w:tcW w:w="2210" w:type="dxa"/>
          </w:tcPr>
          <w:p w14:paraId="34855F59" w14:textId="77777777" w:rsidR="00DF4562" w:rsidRDefault="00DF4562" w:rsidP="00DF1507"/>
        </w:tc>
        <w:tc>
          <w:tcPr>
            <w:tcW w:w="1121" w:type="dxa"/>
          </w:tcPr>
          <w:p w14:paraId="7BA7B2DE" w14:textId="77777777" w:rsidR="00DF4562" w:rsidRPr="00D1751B" w:rsidRDefault="00DF4562" w:rsidP="00DF1507"/>
        </w:tc>
        <w:tc>
          <w:tcPr>
            <w:tcW w:w="1120" w:type="dxa"/>
          </w:tcPr>
          <w:p w14:paraId="6B85F12C" w14:textId="77777777" w:rsidR="00DF4562" w:rsidRPr="00D1751B" w:rsidRDefault="00DF4562" w:rsidP="00DF1507"/>
        </w:tc>
      </w:tr>
      <w:tr w:rsidR="00DF4562" w:rsidRPr="00D5104D" w14:paraId="1399D834" w14:textId="77777777" w:rsidTr="00DF1507">
        <w:trPr>
          <w:trHeight w:val="321"/>
        </w:trPr>
        <w:tc>
          <w:tcPr>
            <w:tcW w:w="1106" w:type="dxa"/>
          </w:tcPr>
          <w:p w14:paraId="74869A76" w14:textId="77777777" w:rsidR="00DF4562" w:rsidRPr="00D1751B" w:rsidRDefault="00DF4562" w:rsidP="00DF1507"/>
        </w:tc>
        <w:tc>
          <w:tcPr>
            <w:tcW w:w="1438" w:type="dxa"/>
          </w:tcPr>
          <w:p w14:paraId="6AE09FCB" w14:textId="77777777" w:rsidR="00DF4562" w:rsidRPr="00D1751B" w:rsidRDefault="00DF4562" w:rsidP="00DF1507"/>
        </w:tc>
        <w:tc>
          <w:tcPr>
            <w:tcW w:w="2031" w:type="dxa"/>
          </w:tcPr>
          <w:p w14:paraId="465F238F" w14:textId="77777777" w:rsidR="00DF4562" w:rsidRPr="00D1751B" w:rsidRDefault="00DF4562" w:rsidP="00DF1507"/>
        </w:tc>
        <w:tc>
          <w:tcPr>
            <w:tcW w:w="2210" w:type="dxa"/>
          </w:tcPr>
          <w:p w14:paraId="4AE405AE" w14:textId="77777777" w:rsidR="00DF4562" w:rsidRDefault="00DF4562" w:rsidP="00DF1507"/>
        </w:tc>
        <w:tc>
          <w:tcPr>
            <w:tcW w:w="1121" w:type="dxa"/>
          </w:tcPr>
          <w:p w14:paraId="28BAD129" w14:textId="77777777" w:rsidR="00DF4562" w:rsidRPr="00D1751B" w:rsidRDefault="00DF4562" w:rsidP="00DF1507"/>
        </w:tc>
        <w:tc>
          <w:tcPr>
            <w:tcW w:w="1120" w:type="dxa"/>
          </w:tcPr>
          <w:p w14:paraId="21F6C96B" w14:textId="77777777" w:rsidR="00DF4562" w:rsidRPr="00D1751B" w:rsidRDefault="00DF4562" w:rsidP="00DF1507"/>
        </w:tc>
      </w:tr>
      <w:tr w:rsidR="00DF4562" w:rsidRPr="00D5104D" w14:paraId="43648641" w14:textId="77777777" w:rsidTr="00DF1507">
        <w:trPr>
          <w:trHeight w:val="321"/>
        </w:trPr>
        <w:tc>
          <w:tcPr>
            <w:tcW w:w="1106" w:type="dxa"/>
          </w:tcPr>
          <w:p w14:paraId="1007FD90" w14:textId="77777777" w:rsidR="00DF4562" w:rsidRPr="00D1751B" w:rsidRDefault="00DF4562" w:rsidP="00DF1507"/>
        </w:tc>
        <w:tc>
          <w:tcPr>
            <w:tcW w:w="1438" w:type="dxa"/>
          </w:tcPr>
          <w:p w14:paraId="1D973968" w14:textId="77777777" w:rsidR="00DF4562" w:rsidRPr="00D1751B" w:rsidRDefault="00DF4562" w:rsidP="00DF1507"/>
        </w:tc>
        <w:tc>
          <w:tcPr>
            <w:tcW w:w="2031" w:type="dxa"/>
          </w:tcPr>
          <w:p w14:paraId="4D82182F" w14:textId="77777777" w:rsidR="00DF4562" w:rsidRPr="00D1751B" w:rsidRDefault="00DF4562" w:rsidP="00DF1507"/>
        </w:tc>
        <w:tc>
          <w:tcPr>
            <w:tcW w:w="2210" w:type="dxa"/>
          </w:tcPr>
          <w:p w14:paraId="12E68EE8" w14:textId="77777777" w:rsidR="00DF4562" w:rsidRDefault="00DF4562" w:rsidP="00DF1507"/>
        </w:tc>
        <w:tc>
          <w:tcPr>
            <w:tcW w:w="1121" w:type="dxa"/>
          </w:tcPr>
          <w:p w14:paraId="320506DD" w14:textId="77777777" w:rsidR="00DF4562" w:rsidRPr="00D1751B" w:rsidRDefault="00DF4562" w:rsidP="00DF1507"/>
        </w:tc>
        <w:tc>
          <w:tcPr>
            <w:tcW w:w="1120" w:type="dxa"/>
          </w:tcPr>
          <w:p w14:paraId="05E5290D" w14:textId="77777777" w:rsidR="00DF4562" w:rsidRPr="00D1751B" w:rsidRDefault="00DF4562" w:rsidP="00DF1507"/>
        </w:tc>
      </w:tr>
    </w:tbl>
    <w:p w14:paraId="027F3DBD" w14:textId="77777777" w:rsidR="00DF4562" w:rsidRPr="00645878" w:rsidRDefault="00DF4562" w:rsidP="008931D1">
      <w:pPr>
        <w:pStyle w:val="NumberedNormal"/>
        <w:numPr>
          <w:ilvl w:val="0"/>
          <w:numId w:val="0"/>
        </w:numPr>
        <w:ind w:left="879"/>
      </w:pPr>
    </w:p>
    <w:p w14:paraId="33D05106" w14:textId="03501DD7" w:rsidR="00876F29" w:rsidRPr="00876F29" w:rsidRDefault="00CA01A5" w:rsidP="00876F29">
      <w:pPr>
        <w:pStyle w:val="Heading1"/>
      </w:pPr>
      <w:bookmarkStart w:id="135" w:name="_Toc52364909"/>
      <w:r>
        <w:lastRenderedPageBreak/>
        <w:t>Output Delivery Incentives</w:t>
      </w:r>
      <w:bookmarkEnd w:id="133"/>
      <w:bookmarkEnd w:id="134"/>
      <w:bookmarkEnd w:id="135"/>
    </w:p>
    <w:p w14:paraId="178D6AB1" w14:textId="77777777" w:rsidR="00134ED6" w:rsidRDefault="00134ED6" w:rsidP="00301E83">
      <w:pPr>
        <w:pStyle w:val="Heading2"/>
      </w:pPr>
      <w:bookmarkStart w:id="136" w:name="_Toc51783663"/>
      <w:bookmarkStart w:id="137" w:name="_Toc52303854"/>
      <w:bookmarkStart w:id="138" w:name="_Toc52364910"/>
      <w:r>
        <w:t>Total output delivery incentive performance</w:t>
      </w:r>
      <w:bookmarkEnd w:id="136"/>
      <w:bookmarkEnd w:id="137"/>
      <w:bookmarkEnd w:id="138"/>
    </w:p>
    <w:p w14:paraId="2742CB97" w14:textId="77777777" w:rsidR="00134ED6" w:rsidRDefault="00134ED6" w:rsidP="00134ED6">
      <w:pPr>
        <w:pStyle w:val="Heading3nonumbering"/>
      </w:pPr>
      <w:r>
        <w:t>Introduction</w:t>
      </w:r>
    </w:p>
    <w:p w14:paraId="488917AD" w14:textId="77777777" w:rsidR="00134ED6" w:rsidRDefault="00134ED6" w:rsidP="00301E83">
      <w:pPr>
        <w:pStyle w:val="NumberedNormal"/>
      </w:pPr>
      <w:r>
        <w:t xml:space="preserve">The purpose of this condition is to calculate </w:t>
      </w:r>
      <w:proofErr w:type="spellStart"/>
      <w:r>
        <w:t>ODI</w:t>
      </w:r>
      <w:r w:rsidRPr="004E1E8E">
        <w:rPr>
          <w:vertAlign w:val="subscript"/>
        </w:rPr>
        <w:t>t</w:t>
      </w:r>
      <w:proofErr w:type="spellEnd"/>
      <w:r>
        <w:t xml:space="preserve"> (the output delivery incentives term). This contributes to the calculation of Calculated Revenues in Special Condition 2.1 (Revenue Restriction).</w:t>
      </w:r>
    </w:p>
    <w:p w14:paraId="4E5E2E0D" w14:textId="77777777" w:rsidR="00134ED6" w:rsidRPr="00CD759D" w:rsidRDefault="00134ED6" w:rsidP="00301E83">
      <w:pPr>
        <w:pStyle w:val="Heading3"/>
      </w:pPr>
      <w:r>
        <w:t>Formula for calculating total output delivery incentive performance</w:t>
      </w:r>
    </w:p>
    <w:p w14:paraId="0E197946" w14:textId="77777777" w:rsidR="00134ED6" w:rsidRPr="003C282C" w:rsidRDefault="00134ED6" w:rsidP="00301E83">
      <w:pPr>
        <w:pStyle w:val="NumberedNormal"/>
      </w:pPr>
      <w:r>
        <w:t xml:space="preserve">The value of </w:t>
      </w:r>
      <w:proofErr w:type="spellStart"/>
      <w:r>
        <w:t>ODI</w:t>
      </w:r>
      <w:r w:rsidRPr="00C74677">
        <w:rPr>
          <w:vertAlign w:val="subscript"/>
        </w:rPr>
        <w:t>t</w:t>
      </w:r>
      <w:proofErr w:type="spellEnd"/>
      <w:r>
        <w:t xml:space="preserve"> is derived in accordance with the following formula:</w:t>
      </w:r>
    </w:p>
    <w:p w14:paraId="024E3006" w14:textId="36D25D44" w:rsidR="00134ED6" w:rsidRDefault="00B913B6" w:rsidP="00134ED6">
      <m:oMathPara>
        <m:oMath>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ENSI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IIGI</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CONADJ</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ESI</m:t>
              </m:r>
            </m:e>
            <m:sub>
              <m:r>
                <w:rPr>
                  <w:rFonts w:ascii="Cambria Math" w:hAnsi="Cambria Math"/>
                </w:rPr>
                <m:t>t</m:t>
              </m:r>
            </m:sub>
          </m:sSub>
        </m:oMath>
      </m:oMathPara>
    </w:p>
    <w:p w14:paraId="0C95157F" w14:textId="77777777" w:rsidR="00134ED6" w:rsidRDefault="00134ED6" w:rsidP="00134ED6">
      <w:r>
        <w:tab/>
        <w:t>where:</w:t>
      </w:r>
    </w:p>
    <w:tbl>
      <w:tblPr>
        <w:tblStyle w:val="TableGridLight"/>
        <w:tblW w:w="0" w:type="auto"/>
        <w:tblLook w:val="04A0" w:firstRow="1" w:lastRow="0" w:firstColumn="1" w:lastColumn="0" w:noHBand="0" w:noVBand="1"/>
      </w:tblPr>
      <w:tblGrid>
        <w:gridCol w:w="1062"/>
        <w:gridCol w:w="5900"/>
      </w:tblGrid>
      <w:tr w:rsidR="00134ED6" w14:paraId="66A54834" w14:textId="77777777" w:rsidTr="00F066E5">
        <w:tc>
          <w:tcPr>
            <w:tcW w:w="0" w:type="auto"/>
          </w:tcPr>
          <w:p w14:paraId="4E666F45" w14:textId="53684906" w:rsidR="00134ED6" w:rsidRPr="002E2188" w:rsidRDefault="0058246E" w:rsidP="00F066E5">
            <w:pPr>
              <w:rPr>
                <w:i/>
                <w:iCs/>
              </w:rPr>
            </w:pPr>
            <w:proofErr w:type="spellStart"/>
            <w:r>
              <w:rPr>
                <w:i/>
                <w:iCs/>
              </w:rPr>
              <w:t>ENSI</w:t>
            </w:r>
            <w:r w:rsidR="00134ED6" w:rsidRPr="002E2188">
              <w:rPr>
                <w:i/>
                <w:iCs/>
                <w:vertAlign w:val="subscript"/>
              </w:rPr>
              <w:t>t</w:t>
            </w:r>
            <w:proofErr w:type="spellEnd"/>
          </w:p>
        </w:tc>
        <w:tc>
          <w:tcPr>
            <w:tcW w:w="0" w:type="auto"/>
          </w:tcPr>
          <w:p w14:paraId="4AC79B80" w14:textId="77777777" w:rsidR="00134ED6" w:rsidRPr="003C282C" w:rsidRDefault="00134ED6" w:rsidP="00F066E5">
            <w:r>
              <w:t>is d</w:t>
            </w:r>
            <w:r w:rsidRPr="003C282C">
              <w:t>erived in accordance with Special Condition</w:t>
            </w:r>
            <w:r>
              <w:t xml:space="preserve"> 4.2;</w:t>
            </w:r>
          </w:p>
        </w:tc>
      </w:tr>
      <w:tr w:rsidR="00134ED6" w14:paraId="7A219F6A" w14:textId="77777777" w:rsidTr="00F066E5">
        <w:tc>
          <w:tcPr>
            <w:tcW w:w="0" w:type="auto"/>
          </w:tcPr>
          <w:p w14:paraId="6DCFD066" w14:textId="7F156691" w:rsidR="00134ED6" w:rsidRPr="002E2188" w:rsidRDefault="0058246E" w:rsidP="00F066E5">
            <w:pPr>
              <w:rPr>
                <w:i/>
                <w:iCs/>
              </w:rPr>
            </w:pPr>
            <w:proofErr w:type="spellStart"/>
            <w:r>
              <w:rPr>
                <w:i/>
                <w:iCs/>
              </w:rPr>
              <w:t>IIGI</w:t>
            </w:r>
            <w:r w:rsidR="00134ED6" w:rsidRPr="002E2188">
              <w:rPr>
                <w:i/>
                <w:iCs/>
                <w:vertAlign w:val="subscript"/>
              </w:rPr>
              <w:t>t</w:t>
            </w:r>
            <w:proofErr w:type="spellEnd"/>
          </w:p>
        </w:tc>
        <w:tc>
          <w:tcPr>
            <w:tcW w:w="0" w:type="auto"/>
          </w:tcPr>
          <w:p w14:paraId="587ACD44" w14:textId="77777777" w:rsidR="00134ED6" w:rsidRDefault="00134ED6" w:rsidP="00F066E5">
            <w:r>
              <w:t>is d</w:t>
            </w:r>
            <w:r w:rsidRPr="00786899">
              <w:t xml:space="preserve">erived in accordance with Special Condition </w:t>
            </w:r>
            <w:r>
              <w:t xml:space="preserve">4.3; </w:t>
            </w:r>
          </w:p>
        </w:tc>
      </w:tr>
      <w:tr w:rsidR="00134ED6" w14:paraId="2214B090" w14:textId="77777777" w:rsidTr="00F066E5">
        <w:tc>
          <w:tcPr>
            <w:tcW w:w="0" w:type="auto"/>
          </w:tcPr>
          <w:p w14:paraId="76ED8D0E" w14:textId="3B0F4163" w:rsidR="00134ED6" w:rsidRPr="002E2188" w:rsidRDefault="0058246E" w:rsidP="00F066E5">
            <w:pPr>
              <w:rPr>
                <w:i/>
                <w:iCs/>
              </w:rPr>
            </w:pPr>
            <w:proofErr w:type="spellStart"/>
            <w:r>
              <w:rPr>
                <w:i/>
                <w:iCs/>
              </w:rPr>
              <w:t>CONADJ</w:t>
            </w:r>
            <w:r w:rsidR="00134ED6" w:rsidRPr="00B200C6">
              <w:rPr>
                <w:i/>
                <w:iCs/>
                <w:vertAlign w:val="subscript"/>
              </w:rPr>
              <w:t>t</w:t>
            </w:r>
            <w:proofErr w:type="spellEnd"/>
          </w:p>
        </w:tc>
        <w:tc>
          <w:tcPr>
            <w:tcW w:w="0" w:type="auto"/>
          </w:tcPr>
          <w:p w14:paraId="1249537D" w14:textId="77777777" w:rsidR="00134ED6" w:rsidRDefault="00134ED6" w:rsidP="00F066E5">
            <w:r>
              <w:t>is d</w:t>
            </w:r>
            <w:r w:rsidRPr="00786899">
              <w:t xml:space="preserve">erived in accordance with Special Condition </w:t>
            </w:r>
            <w:r>
              <w:t>4.4; and</w:t>
            </w:r>
          </w:p>
        </w:tc>
      </w:tr>
      <w:tr w:rsidR="00134ED6" w14:paraId="59E60938" w14:textId="77777777" w:rsidTr="00F066E5">
        <w:tc>
          <w:tcPr>
            <w:tcW w:w="0" w:type="auto"/>
          </w:tcPr>
          <w:p w14:paraId="0EC6491A" w14:textId="4EABCBF1" w:rsidR="00134ED6" w:rsidRPr="002E2188" w:rsidRDefault="00C51699" w:rsidP="00F066E5">
            <w:pPr>
              <w:rPr>
                <w:i/>
                <w:iCs/>
              </w:rPr>
            </w:pPr>
            <w:proofErr w:type="spellStart"/>
            <w:r>
              <w:rPr>
                <w:i/>
                <w:iCs/>
              </w:rPr>
              <w:t>ESI</w:t>
            </w:r>
            <w:r w:rsidR="00134ED6" w:rsidRPr="002E2188">
              <w:rPr>
                <w:i/>
                <w:iCs/>
                <w:vertAlign w:val="subscript"/>
              </w:rPr>
              <w:t>t</w:t>
            </w:r>
            <w:proofErr w:type="spellEnd"/>
          </w:p>
        </w:tc>
        <w:tc>
          <w:tcPr>
            <w:tcW w:w="0" w:type="auto"/>
          </w:tcPr>
          <w:p w14:paraId="67EF142E" w14:textId="77777777" w:rsidR="00134ED6" w:rsidRDefault="00134ED6" w:rsidP="00F066E5">
            <w:r>
              <w:t>is d</w:t>
            </w:r>
            <w:r w:rsidRPr="00786899">
              <w:t xml:space="preserve">erived in accordance with Special Condition </w:t>
            </w:r>
            <w:r>
              <w:t>4.5.</w:t>
            </w:r>
          </w:p>
        </w:tc>
      </w:tr>
    </w:tbl>
    <w:p w14:paraId="4375B73E" w14:textId="09961D8E" w:rsidR="005F4C23" w:rsidRPr="0057526A" w:rsidRDefault="005F4C23" w:rsidP="005F4C23">
      <w:pPr>
        <w:pStyle w:val="Heading2"/>
      </w:pPr>
      <w:bookmarkStart w:id="139" w:name="_Toc51319631"/>
      <w:bookmarkStart w:id="140" w:name="_Toc51798299"/>
      <w:bookmarkStart w:id="141" w:name="_Toc52364911"/>
      <w:r>
        <w:t>E</w:t>
      </w:r>
      <w:r w:rsidRPr="00334309">
        <w:t xml:space="preserve">nergy </w:t>
      </w:r>
      <w:r>
        <w:t>n</w:t>
      </w:r>
      <w:r w:rsidRPr="00334309">
        <w:t xml:space="preserve">ot </w:t>
      </w:r>
      <w:r>
        <w:t>s</w:t>
      </w:r>
      <w:r w:rsidRPr="00334309">
        <w:t>upplied</w:t>
      </w:r>
      <w:r>
        <w:t xml:space="preserve"> </w:t>
      </w:r>
      <w:r w:rsidR="00F105A6">
        <w:t>o</w:t>
      </w:r>
      <w:r>
        <w:t xml:space="preserve">utput </w:t>
      </w:r>
      <w:r w:rsidR="00F105A6">
        <w:t>d</w:t>
      </w:r>
      <w:r>
        <w:t xml:space="preserve">elivery </w:t>
      </w:r>
      <w:r w:rsidR="00F105A6">
        <w:t>i</w:t>
      </w:r>
      <w:r>
        <w:t>ncentive</w:t>
      </w:r>
      <w:bookmarkEnd w:id="139"/>
      <w:r w:rsidR="00F105A6">
        <w:t xml:space="preserve"> (</w:t>
      </w:r>
      <w:proofErr w:type="spellStart"/>
      <w:r w:rsidR="00F105A6">
        <w:t>ENSI</w:t>
      </w:r>
      <w:r w:rsidR="00F105A6" w:rsidRPr="0058246E">
        <w:rPr>
          <w:vertAlign w:val="subscript"/>
        </w:rPr>
        <w:t>t</w:t>
      </w:r>
      <w:proofErr w:type="spellEnd"/>
      <w:r w:rsidR="00F105A6">
        <w:t>)</w:t>
      </w:r>
      <w:bookmarkEnd w:id="140"/>
      <w:bookmarkEnd w:id="141"/>
    </w:p>
    <w:p w14:paraId="1603A8E2" w14:textId="077774E6" w:rsidR="005F4C23" w:rsidRPr="0057526A" w:rsidRDefault="005F4C23" w:rsidP="000C1F3C">
      <w:pPr>
        <w:pStyle w:val="Heading3nonumbering"/>
      </w:pPr>
      <w:r w:rsidRPr="0057526A">
        <w:t>Introduction</w:t>
      </w:r>
    </w:p>
    <w:p w14:paraId="25729409" w14:textId="05AA2376" w:rsidR="005F4C23" w:rsidRPr="005F4C23" w:rsidRDefault="005F4C23" w:rsidP="000C1F3C">
      <w:pPr>
        <w:pStyle w:val="NumberedNormal"/>
      </w:pPr>
      <w:r>
        <w:t>T</w:t>
      </w:r>
      <w:r w:rsidRPr="005F4C23">
        <w:t xml:space="preserve">he purpose of this condition is to provide for the calculation of the term </w:t>
      </w:r>
      <w:proofErr w:type="spellStart"/>
      <w:r w:rsidRPr="005F4C23">
        <w:t>ENSIt</w:t>
      </w:r>
      <w:proofErr w:type="spellEnd"/>
      <w:r w:rsidRPr="005F4C23">
        <w:t xml:space="preserve"> (the energy not supplied </w:t>
      </w:r>
      <w:r w:rsidR="00F105A6">
        <w:t xml:space="preserve">output delivery </w:t>
      </w:r>
      <w:r w:rsidRPr="005F4C23">
        <w:t xml:space="preserve">incentive term). This contributes to the calculation of the term </w:t>
      </w:r>
      <w:proofErr w:type="spellStart"/>
      <w:r w:rsidRPr="005F4C23">
        <w:t>ODIt</w:t>
      </w:r>
      <w:proofErr w:type="spellEnd"/>
      <w:r w:rsidRPr="005F4C23">
        <w:t xml:space="preserve"> (the output delivery incentives term), which in turn feeds into Calculated Revenue in </w:t>
      </w:r>
      <w:r w:rsidR="00A148E7">
        <w:t>Special Condition 2.1 (Revenue Restriction)</w:t>
      </w:r>
      <w:r w:rsidRPr="005F4C23">
        <w:t>.</w:t>
      </w:r>
    </w:p>
    <w:p w14:paraId="37A5DE02" w14:textId="77777777" w:rsidR="005F4C23" w:rsidRPr="005F4C23" w:rsidRDefault="005F4C23" w:rsidP="000C1F3C">
      <w:pPr>
        <w:pStyle w:val="NumberedNormal"/>
      </w:pPr>
      <w:r w:rsidRPr="006E19DD">
        <w:t>The</w:t>
      </w:r>
      <w:r w:rsidRPr="005F4C23">
        <w:t xml:space="preserve"> effect of the energy not supplied incentive is to reward or penalise the licensee’s performance in relation to energy not supplied.</w:t>
      </w:r>
    </w:p>
    <w:p w14:paraId="7142CA2A" w14:textId="77777777" w:rsidR="005F4C23" w:rsidRPr="005F4C23" w:rsidRDefault="005F4C23" w:rsidP="000C1F3C">
      <w:pPr>
        <w:pStyle w:val="NumberedNormal"/>
      </w:pPr>
      <w:r w:rsidRPr="00315556">
        <w:t>This condition al</w:t>
      </w:r>
      <w:r w:rsidRPr="005F4C23">
        <w:t>so places obligations on the licensee:</w:t>
      </w:r>
    </w:p>
    <w:p w14:paraId="2A52AC7D" w14:textId="77777777" w:rsidR="005F4C23" w:rsidRPr="005F4C23" w:rsidRDefault="005F4C23" w:rsidP="000C1F3C">
      <w:pPr>
        <w:pStyle w:val="ListNormal"/>
      </w:pPr>
      <w:r>
        <w:t>to</w:t>
      </w:r>
      <w:r w:rsidRPr="005F4C23">
        <w:t xml:space="preserve"> maintain and comply with the ENS Incentive Methodology </w:t>
      </w:r>
      <w:proofErr w:type="gramStart"/>
      <w:r w:rsidRPr="005F4C23">
        <w:t>Statement;</w:t>
      </w:r>
      <w:proofErr w:type="gramEnd"/>
    </w:p>
    <w:p w14:paraId="40AFFB5F" w14:textId="77777777" w:rsidR="005F4C23" w:rsidRPr="005F4C23" w:rsidRDefault="005F4C23" w:rsidP="000C1F3C">
      <w:pPr>
        <w:pStyle w:val="ListNormal"/>
      </w:pPr>
      <w:r>
        <w:t xml:space="preserve">in relation to </w:t>
      </w:r>
      <w:r w:rsidRPr="005F4C23">
        <w:t>ENS Exceptional Events; and</w:t>
      </w:r>
    </w:p>
    <w:p w14:paraId="3A4B3BB0" w14:textId="77777777" w:rsidR="005F4C23" w:rsidRPr="005F4C23" w:rsidRDefault="005F4C23" w:rsidP="000C1F3C">
      <w:pPr>
        <w:pStyle w:val="ListNormal"/>
      </w:pPr>
      <w:r w:rsidRPr="000473B3">
        <w:t>in relation to Incentivised Loss of Supply Events</w:t>
      </w:r>
      <w:r w:rsidRPr="005F4C23">
        <w:t>.</w:t>
      </w:r>
    </w:p>
    <w:p w14:paraId="733D900C" w14:textId="7A81D3FB" w:rsidR="005F4C23" w:rsidRDefault="005F4C23" w:rsidP="000C1F3C">
      <w:pPr>
        <w:pStyle w:val="Heading3"/>
      </w:pPr>
      <w:r>
        <w:t>Formula for calculating the energy not supplied incentive</w:t>
      </w:r>
      <w:r w:rsidR="00041D03">
        <w:t xml:space="preserve"> (</w:t>
      </w:r>
      <w:proofErr w:type="spellStart"/>
      <w:r w:rsidR="00041D03">
        <w:t>ENSIt</w:t>
      </w:r>
      <w:proofErr w:type="spellEnd"/>
      <w:r w:rsidR="00041D03">
        <w:t>)</w:t>
      </w:r>
    </w:p>
    <w:p w14:paraId="7F8D7C33" w14:textId="77777777" w:rsidR="005F4C23" w:rsidRPr="005F4C23" w:rsidRDefault="005F4C23" w:rsidP="000C1F3C">
      <w:pPr>
        <w:pStyle w:val="NumberedNormal"/>
      </w:pPr>
      <w:r w:rsidRPr="006440FA">
        <w:t xml:space="preserve">The </w:t>
      </w:r>
      <w:r w:rsidRPr="005F4C23">
        <w:t xml:space="preserve">value of </w:t>
      </w:r>
      <w:proofErr w:type="spellStart"/>
      <w:r w:rsidRPr="005F4C23">
        <w:t>ENSIt</w:t>
      </w:r>
      <w:proofErr w:type="spellEnd"/>
      <w:r w:rsidRPr="005F4C23">
        <w:t xml:space="preserve"> term is derived in accordance with the following formula: </w:t>
      </w:r>
    </w:p>
    <w:p w14:paraId="71E29C92" w14:textId="77777777" w:rsidR="005F4C23" w:rsidRPr="001262F6" w:rsidRDefault="00B913B6" w:rsidP="00A35C32">
      <w:pPr>
        <w:pStyle w:val="Equation"/>
        <w:rPr>
          <w:lang w:val="fr-FR"/>
        </w:rPr>
      </w:pPr>
      <m:oMathPara>
        <m:oMath>
          <m:sSub>
            <m:sSubPr>
              <m:ctrlPr>
                <w:rPr>
                  <w:rFonts w:ascii="Cambria Math" w:hAnsi="Cambria Math"/>
                </w:rPr>
              </m:ctrlPr>
            </m:sSubPr>
            <m:e>
              <m:r>
                <w:rPr>
                  <w:rFonts w:ascii="Cambria Math" w:hAnsi="Cambria Math"/>
                </w:rPr>
                <m:t>ENSI</m:t>
              </m:r>
            </m:e>
            <m:sub>
              <m:r>
                <w:rPr>
                  <w:rFonts w:ascii="Cambria Math" w:hAnsi="Cambria Math"/>
                </w:rPr>
                <m:t>t</m:t>
              </m:r>
            </m:sub>
          </m:sSub>
          <m:r>
            <m:rPr>
              <m:sty m:val="p"/>
            </m:rPr>
            <w:rPr>
              <w:rFonts w:ascii="Cambria Math" w:hAnsi="Cambria Math"/>
              <w:lang w:val="fr-FR"/>
            </w:rPr>
            <m:t>=</m:t>
          </m:r>
          <m:r>
            <m:rPr>
              <m:nor/>
            </m:rPr>
            <w:rPr>
              <w:lang w:val="fr-FR"/>
            </w:rPr>
            <m:t>max</m:t>
          </m:r>
          <m:d>
            <m:dPr>
              <m:begChr m:val="["/>
              <m:endChr m:val="]"/>
              <m:ctrlPr>
                <w:rPr>
                  <w:rFonts w:ascii="Cambria Math" w:hAnsi="Cambria Math"/>
                </w:rPr>
              </m:ctrlPr>
            </m:dPr>
            <m:e>
              <m:r>
                <w:rPr>
                  <w:rFonts w:ascii="Cambria Math" w:hAnsi="Cambria Math"/>
                </w:rPr>
                <m:t>VOLL</m:t>
              </m:r>
              <m:r>
                <m:rPr>
                  <m:sty m:val="p"/>
                </m:rPr>
                <w:rPr>
                  <w:rFonts w:ascii="Cambria Math" w:hAnsi="Cambria Math"/>
                  <w:lang w:val="fr-FR"/>
                </w:rPr>
                <m:t>∙</m:t>
              </m:r>
              <m:r>
                <w:rPr>
                  <w:rFonts w:ascii="Cambria Math" w:hAnsi="Cambria Math"/>
                </w:rPr>
                <m:t>TIS</m:t>
              </m:r>
              <m:d>
                <m:dPr>
                  <m:ctrlPr>
                    <w:rPr>
                      <w:rFonts w:ascii="Cambria Math" w:hAnsi="Cambria Math"/>
                    </w:rPr>
                  </m:ctrlPr>
                </m:dPr>
                <m:e>
                  <m:sSub>
                    <m:sSubPr>
                      <m:ctrlPr>
                        <w:rPr>
                          <w:rFonts w:ascii="Cambria Math" w:hAnsi="Cambria Math"/>
                        </w:rPr>
                      </m:ctrlPr>
                    </m:sSubPr>
                    <m:e>
                      <m:r>
                        <w:rPr>
                          <w:rFonts w:ascii="Cambria Math" w:hAnsi="Cambria Math"/>
                        </w:rPr>
                        <m:t>ENST</m:t>
                      </m:r>
                    </m:e>
                    <m:sub>
                      <m:r>
                        <w:rPr>
                          <w:rFonts w:ascii="Cambria Math" w:hAnsi="Cambria Math"/>
                        </w:rPr>
                        <m:t>t</m:t>
                      </m:r>
                    </m:sub>
                  </m:sSub>
                  <m:r>
                    <m:rPr>
                      <m:sty m:val="p"/>
                    </m:rPr>
                    <w:rPr>
                      <w:rFonts w:ascii="Cambria Math" w:hAnsi="Cambria Math"/>
                      <w:lang w:val="fr-FR"/>
                    </w:rPr>
                    <m:t>-</m:t>
                  </m:r>
                  <m:sSub>
                    <m:sSubPr>
                      <m:ctrlPr>
                        <w:rPr>
                          <w:rFonts w:ascii="Cambria Math" w:hAnsi="Cambria Math"/>
                        </w:rPr>
                      </m:ctrlPr>
                    </m:sSubPr>
                    <m:e>
                      <m:r>
                        <w:rPr>
                          <w:rFonts w:ascii="Cambria Math" w:hAnsi="Cambria Math"/>
                        </w:rPr>
                        <m:t>ENSA</m:t>
                      </m:r>
                    </m:e>
                    <m:sub>
                      <m:r>
                        <w:rPr>
                          <w:rFonts w:ascii="Cambria Math" w:hAnsi="Cambria Math"/>
                        </w:rPr>
                        <m:t>t</m:t>
                      </m:r>
                    </m:sub>
                  </m:sSub>
                </m:e>
              </m:d>
              <m:r>
                <m:rPr>
                  <m:sty m:val="p"/>
                </m:rPr>
                <w:rPr>
                  <w:rFonts w:ascii="Cambria Math" w:hAnsi="Cambria Math"/>
                  <w:lang w:val="fr-FR"/>
                </w:rPr>
                <m:t>, -</m:t>
              </m:r>
              <m:r>
                <w:rPr>
                  <w:rFonts w:ascii="Cambria Math" w:hAnsi="Cambria Math"/>
                </w:rPr>
                <m:t>RIDPA</m:t>
              </m:r>
              <m:r>
                <m:rPr>
                  <m:sty m:val="p"/>
                </m:rPr>
                <w:rPr>
                  <w:rFonts w:ascii="Cambria Math" w:hAnsi="Cambria Math"/>
                  <w:lang w:val="fr-FR"/>
                </w:rPr>
                <m:t>∙</m:t>
              </m:r>
              <m:sSub>
                <m:sSubPr>
                  <m:ctrlPr>
                    <w:rPr>
                      <w:rFonts w:ascii="Cambria Math" w:hAnsi="Cambria Math"/>
                    </w:rPr>
                  </m:ctrlPr>
                </m:sSubPr>
                <m:e>
                  <m:r>
                    <w:rPr>
                      <w:rFonts w:ascii="Cambria Math" w:hAnsi="Cambria Math"/>
                    </w:rPr>
                    <m:t>EABR</m:t>
                  </m:r>
                </m:e>
                <m:sub>
                  <m:r>
                    <w:rPr>
                      <w:rFonts w:ascii="Cambria Math" w:hAnsi="Cambria Math"/>
                    </w:rPr>
                    <m:t>t</m:t>
                  </m:r>
                </m:sub>
              </m:sSub>
            </m:e>
          </m:d>
        </m:oMath>
      </m:oMathPara>
    </w:p>
    <w:p w14:paraId="1D9D8A8C" w14:textId="77777777" w:rsidR="005F4C23" w:rsidRPr="005F4C23" w:rsidRDefault="005F4C23" w:rsidP="003F66DB">
      <w:pPr>
        <w:ind w:left="720"/>
      </w:pPr>
      <w:r>
        <w:t>where:</w:t>
      </w:r>
    </w:p>
    <w:tbl>
      <w:tblPr>
        <w:tblStyle w:val="TableGrid"/>
        <w:tblW w:w="8792"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516"/>
      </w:tblGrid>
      <w:tr w:rsidR="005F4C23" w:rsidRPr="00AE57AC" w14:paraId="4A3E9067" w14:textId="77777777" w:rsidTr="003F66DB">
        <w:trPr>
          <w:cnfStyle w:val="100000000000" w:firstRow="1" w:lastRow="0" w:firstColumn="0" w:lastColumn="0" w:oddVBand="0" w:evenVBand="0" w:oddHBand="0" w:evenHBand="0" w:firstRowFirstColumn="0" w:firstRowLastColumn="0" w:lastRowFirstColumn="0" w:lastRowLastColumn="0"/>
          <w:trHeight w:val="454"/>
        </w:trPr>
        <w:tc>
          <w:tcPr>
            <w:tcW w:w="1276" w:type="dxa"/>
          </w:tcPr>
          <w:p w14:paraId="3FD8D9ED" w14:textId="77777777" w:rsidR="005F4C23" w:rsidRPr="005F4C23" w:rsidRDefault="005F4C23" w:rsidP="00654455">
            <w:pPr>
              <w:pStyle w:val="Equation"/>
            </w:pPr>
            <w:r w:rsidRPr="007442AB">
              <w:lastRenderedPageBreak/>
              <w:t>VOLL</w:t>
            </w:r>
          </w:p>
        </w:tc>
        <w:tc>
          <w:tcPr>
            <w:tcW w:w="7516" w:type="dxa"/>
          </w:tcPr>
          <w:p w14:paraId="7D2D345B" w14:textId="6B1F23E8" w:rsidR="005F4C23" w:rsidRPr="005F4C23" w:rsidRDefault="005F4C23" w:rsidP="00654455">
            <w:pPr>
              <w:pStyle w:val="Equation"/>
            </w:pPr>
            <w:r>
              <w:t xml:space="preserve">means </w:t>
            </w:r>
            <w:r w:rsidRPr="005F4C23">
              <w:t>the value of lost load which has the value £21,008 per MWh</w:t>
            </w:r>
            <w:r w:rsidR="00D12470">
              <w:t>;</w:t>
            </w:r>
          </w:p>
        </w:tc>
      </w:tr>
      <w:tr w:rsidR="005F4C23" w:rsidRPr="00AE57AC" w14:paraId="43EFDA89" w14:textId="77777777" w:rsidTr="003F66DB">
        <w:trPr>
          <w:trHeight w:val="454"/>
        </w:trPr>
        <w:tc>
          <w:tcPr>
            <w:tcW w:w="1276" w:type="dxa"/>
          </w:tcPr>
          <w:p w14:paraId="5D36974F" w14:textId="77777777" w:rsidR="005F4C23" w:rsidRPr="005F4C23" w:rsidRDefault="005F4C23" w:rsidP="00654455">
            <w:pPr>
              <w:pStyle w:val="Equation"/>
            </w:pPr>
            <w:bookmarkStart w:id="142" w:name="_Toc343072809"/>
            <w:r w:rsidRPr="00B76D9F">
              <w:t>TIS</w:t>
            </w:r>
            <w:bookmarkEnd w:id="142"/>
          </w:p>
        </w:tc>
        <w:tc>
          <w:tcPr>
            <w:tcW w:w="7516" w:type="dxa"/>
          </w:tcPr>
          <w:p w14:paraId="12578E04" w14:textId="023AAEFE" w:rsidR="005F4C23" w:rsidRPr="005F4C23" w:rsidRDefault="005F4C23" w:rsidP="00654455">
            <w:pPr>
              <w:pStyle w:val="Equation"/>
            </w:pPr>
            <w:r w:rsidRPr="00B76D9F">
              <w:t xml:space="preserve">means the </w:t>
            </w:r>
            <w:r w:rsidRPr="005F4C23">
              <w:t>Totex Incentive Strength</w:t>
            </w:r>
            <w:r w:rsidR="00D12470">
              <w:t>;</w:t>
            </w:r>
          </w:p>
        </w:tc>
      </w:tr>
      <w:tr w:rsidR="005F4C23" w:rsidRPr="00AE57AC" w14:paraId="53ED838A" w14:textId="77777777" w:rsidTr="003F66DB">
        <w:trPr>
          <w:trHeight w:val="454"/>
        </w:trPr>
        <w:tc>
          <w:tcPr>
            <w:tcW w:w="1276" w:type="dxa"/>
          </w:tcPr>
          <w:p w14:paraId="639FA49E" w14:textId="77777777" w:rsidR="005F4C23" w:rsidRPr="005F4C23" w:rsidRDefault="005F4C23" w:rsidP="00654455">
            <w:pPr>
              <w:pStyle w:val="Equation"/>
            </w:pPr>
            <w:proofErr w:type="spellStart"/>
            <w:r w:rsidRPr="007442AB">
              <w:t>ENST</w:t>
            </w:r>
            <w:r w:rsidRPr="005F4C23">
              <w:t>t</w:t>
            </w:r>
            <w:proofErr w:type="spellEnd"/>
          </w:p>
        </w:tc>
        <w:tc>
          <w:tcPr>
            <w:tcW w:w="7516" w:type="dxa"/>
          </w:tcPr>
          <w:p w14:paraId="7E7B1BFC" w14:textId="2057EAB1" w:rsidR="005F4C23" w:rsidRPr="005F4C23" w:rsidRDefault="005F4C23" w:rsidP="00654455">
            <w:pPr>
              <w:pStyle w:val="Equation"/>
            </w:pPr>
            <w:r>
              <w:t xml:space="preserve">means </w:t>
            </w:r>
            <w:r w:rsidRPr="005F4C23">
              <w:t xml:space="preserve">the </w:t>
            </w:r>
            <w:proofErr w:type="spellStart"/>
            <w:r w:rsidRPr="005F4C23">
              <w:t>incentivised</w:t>
            </w:r>
            <w:proofErr w:type="spellEnd"/>
            <w:r w:rsidRPr="005F4C23">
              <w:t xml:space="preserve"> loss of supply volume target and has the value of [316 MWh]</w:t>
            </w:r>
            <w:r w:rsidR="00D12470">
              <w:t>;</w:t>
            </w:r>
          </w:p>
        </w:tc>
      </w:tr>
      <w:tr w:rsidR="005F4C23" w:rsidRPr="00AE57AC" w14:paraId="6B338030" w14:textId="77777777" w:rsidTr="003F66DB">
        <w:trPr>
          <w:trHeight w:val="454"/>
        </w:trPr>
        <w:tc>
          <w:tcPr>
            <w:tcW w:w="1276" w:type="dxa"/>
          </w:tcPr>
          <w:p w14:paraId="59DC1BAC" w14:textId="77777777" w:rsidR="005F4C23" w:rsidRPr="005F4C23" w:rsidRDefault="005F4C23" w:rsidP="00654455">
            <w:pPr>
              <w:pStyle w:val="Equation"/>
            </w:pPr>
            <w:proofErr w:type="spellStart"/>
            <w:r w:rsidRPr="007442AB">
              <w:t>ENSA</w:t>
            </w:r>
            <w:r w:rsidRPr="005F4C23">
              <w:t>t</w:t>
            </w:r>
            <w:proofErr w:type="spellEnd"/>
          </w:p>
        </w:tc>
        <w:tc>
          <w:tcPr>
            <w:tcW w:w="7516" w:type="dxa"/>
          </w:tcPr>
          <w:p w14:paraId="6C1E8DD1" w14:textId="67D3466B" w:rsidR="005F4C23" w:rsidRPr="005F4C23" w:rsidRDefault="005F4C23" w:rsidP="00654455">
            <w:pPr>
              <w:pStyle w:val="Equation"/>
            </w:pPr>
            <w:r>
              <w:t>means</w:t>
            </w:r>
            <w:r w:rsidRPr="005F4C23">
              <w:t xml:space="preserve"> the sum of the volumes of energy not supplied in all </w:t>
            </w:r>
            <w:proofErr w:type="spellStart"/>
            <w:r w:rsidRPr="005F4C23">
              <w:t>Incentivised</w:t>
            </w:r>
            <w:proofErr w:type="spellEnd"/>
            <w:r w:rsidRPr="005F4C23">
              <w:t xml:space="preserve"> Loss of Supply Events</w:t>
            </w:r>
            <w:r w:rsidR="00D12470">
              <w:t>;</w:t>
            </w:r>
          </w:p>
        </w:tc>
      </w:tr>
      <w:tr w:rsidR="005F4C23" w:rsidRPr="00AE57AC" w14:paraId="77D74766" w14:textId="77777777" w:rsidTr="003F66DB">
        <w:trPr>
          <w:trHeight w:val="454"/>
        </w:trPr>
        <w:tc>
          <w:tcPr>
            <w:tcW w:w="1276" w:type="dxa"/>
          </w:tcPr>
          <w:p w14:paraId="31C9959E" w14:textId="77777777" w:rsidR="005F4C23" w:rsidRPr="005F4C23" w:rsidRDefault="005F4C23" w:rsidP="00654455">
            <w:pPr>
              <w:pStyle w:val="Equation"/>
            </w:pPr>
            <w:r w:rsidRPr="00B76D9F">
              <w:t>RIDPA</w:t>
            </w:r>
          </w:p>
        </w:tc>
        <w:tc>
          <w:tcPr>
            <w:tcW w:w="7516" w:type="dxa"/>
          </w:tcPr>
          <w:p w14:paraId="1D7DA2B2" w14:textId="59F86042" w:rsidR="005F4C23" w:rsidRPr="005F4C23" w:rsidRDefault="005F4C23" w:rsidP="00654455">
            <w:pPr>
              <w:pStyle w:val="Equation"/>
            </w:pPr>
            <w:r>
              <w:t>means</w:t>
            </w:r>
            <w:r w:rsidRPr="005F4C23">
              <w:t xml:space="preserve"> the maximum downside percentage adjustment, and</w:t>
            </w:r>
            <w:r w:rsidR="003352AE">
              <w:t xml:space="preserve"> has the value</w:t>
            </w:r>
            <w:r w:rsidR="002157B6">
              <w:t xml:space="preserve"> </w:t>
            </w:r>
            <w:r w:rsidRPr="005F4C23">
              <w:t>3 per cent</w:t>
            </w:r>
            <w:r w:rsidR="00D12470">
              <w:t>; and</w:t>
            </w:r>
          </w:p>
        </w:tc>
      </w:tr>
      <w:tr w:rsidR="005F4C23" w:rsidRPr="00D64F98" w14:paraId="363FD211" w14:textId="77777777" w:rsidTr="003F66DB">
        <w:trPr>
          <w:trHeight w:val="454"/>
        </w:trPr>
        <w:tc>
          <w:tcPr>
            <w:tcW w:w="1276" w:type="dxa"/>
          </w:tcPr>
          <w:p w14:paraId="18DB11DD" w14:textId="77777777" w:rsidR="005F4C23" w:rsidRPr="005F4C23" w:rsidRDefault="005F4C23" w:rsidP="00654455">
            <w:pPr>
              <w:pStyle w:val="Equation"/>
            </w:pPr>
            <w:proofErr w:type="spellStart"/>
            <w:r>
              <w:t>EA</w:t>
            </w:r>
            <w:r w:rsidRPr="005F4C23">
              <w:t>BRt</w:t>
            </w:r>
            <w:proofErr w:type="spellEnd"/>
          </w:p>
        </w:tc>
        <w:tc>
          <w:tcPr>
            <w:tcW w:w="7516" w:type="dxa"/>
          </w:tcPr>
          <w:p w14:paraId="2748FDDD" w14:textId="7FA9FE46" w:rsidR="005F4C23" w:rsidRPr="001262F6" w:rsidRDefault="005F4C23" w:rsidP="00654455">
            <w:pPr>
              <w:pStyle w:val="Equation"/>
              <w:rPr>
                <w:lang w:val="fr-FR"/>
              </w:rPr>
            </w:pPr>
            <w:proofErr w:type="spellStart"/>
            <w:proofErr w:type="gramStart"/>
            <w:r w:rsidRPr="001262F6">
              <w:rPr>
                <w:lang w:val="fr-FR"/>
              </w:rPr>
              <w:t>means</w:t>
            </w:r>
            <w:proofErr w:type="spellEnd"/>
            <w:proofErr w:type="gramEnd"/>
            <w:r w:rsidRPr="001262F6">
              <w:rPr>
                <w:lang w:val="fr-FR"/>
              </w:rPr>
              <w:t xml:space="preserve"> Ex-Ante Base Revenue.</w:t>
            </w:r>
          </w:p>
        </w:tc>
      </w:tr>
    </w:tbl>
    <w:p w14:paraId="496A944B" w14:textId="77777777" w:rsidR="005F4C23" w:rsidRPr="001262F6" w:rsidRDefault="005F4C23" w:rsidP="005F4C23">
      <w:pPr>
        <w:rPr>
          <w:lang w:val="fr-FR"/>
        </w:rPr>
      </w:pPr>
    </w:p>
    <w:p w14:paraId="18C7CAFA" w14:textId="3E751FEE" w:rsidR="005F4C23" w:rsidRDefault="005F4C23" w:rsidP="00654455">
      <w:pPr>
        <w:pStyle w:val="Heading3"/>
      </w:pPr>
      <w:r>
        <w:t>ENS Incentive Methodology Statement</w:t>
      </w:r>
    </w:p>
    <w:p w14:paraId="43C2A878" w14:textId="77777777" w:rsidR="005F4C23" w:rsidRPr="005F4C23" w:rsidRDefault="005F4C23" w:rsidP="00654455">
      <w:pPr>
        <w:pStyle w:val="NumberedNormal"/>
      </w:pPr>
      <w:r w:rsidRPr="000977B6">
        <w:t xml:space="preserve">The </w:t>
      </w:r>
      <w:r w:rsidRPr="005F4C23">
        <w:t xml:space="preserve">licensee must have in place an ENS Incentive Methodology Statement approved by the Authority. </w:t>
      </w:r>
    </w:p>
    <w:p w14:paraId="1DC5E0A8" w14:textId="77777777" w:rsidR="005F4C23" w:rsidRPr="005F4C23" w:rsidRDefault="005F4C23" w:rsidP="00654455">
      <w:pPr>
        <w:pStyle w:val="NumberedNormal"/>
      </w:pPr>
      <w:r>
        <w:t xml:space="preserve">When preparing the </w:t>
      </w:r>
      <w:r w:rsidRPr="005F4C23">
        <w:t>ENS Incentive Methodology Statement, the licensee must have regard to:</w:t>
      </w:r>
    </w:p>
    <w:p w14:paraId="4B48576F" w14:textId="0FCB57B7" w:rsidR="005F4C23" w:rsidRPr="005F4C23" w:rsidRDefault="005F4C23" w:rsidP="00654455">
      <w:pPr>
        <w:pStyle w:val="ListNormal"/>
      </w:pPr>
      <w:r w:rsidRPr="000977B6">
        <w:t>the approaches taken by the other Transmission Licensees subject to a condition of equivalent effect to this condition</w:t>
      </w:r>
      <w:r w:rsidR="00C16DBA">
        <w:t>;</w:t>
      </w:r>
      <w:r w:rsidR="00C16DBA" w:rsidRPr="005F4C23">
        <w:t xml:space="preserve"> </w:t>
      </w:r>
      <w:r w:rsidRPr="005F4C23">
        <w:t>and</w:t>
      </w:r>
    </w:p>
    <w:p w14:paraId="314F2553" w14:textId="77777777" w:rsidR="005F4C23" w:rsidRPr="005F4C23" w:rsidRDefault="005F4C23" w:rsidP="00654455">
      <w:pPr>
        <w:pStyle w:val="ListNormal"/>
      </w:pPr>
      <w:r>
        <w:t xml:space="preserve">the </w:t>
      </w:r>
      <w:r w:rsidRPr="005F4C23">
        <w:t xml:space="preserve">National Electricity Transmission System Security and Quality of Supply Standards. </w:t>
      </w:r>
    </w:p>
    <w:p w14:paraId="4457BF7D" w14:textId="69FFFE1A" w:rsidR="005F4C23" w:rsidRPr="005F4C23" w:rsidRDefault="005F4C23" w:rsidP="00654455">
      <w:pPr>
        <w:pStyle w:val="NumberedNormal"/>
      </w:pPr>
      <w:r w:rsidRPr="000977B6">
        <w:t xml:space="preserve">The </w:t>
      </w:r>
      <w:r w:rsidRPr="005F4C23">
        <w:t xml:space="preserve">licensee must use </w:t>
      </w:r>
      <w:r w:rsidR="00041D03">
        <w:t xml:space="preserve">its </w:t>
      </w:r>
      <w:r w:rsidRPr="005F4C23">
        <w:t xml:space="preserve">best endeavours to apply the methodology in the ENS Incentive Methodology Statement. </w:t>
      </w:r>
    </w:p>
    <w:p w14:paraId="7559EC2F" w14:textId="1CC422F5" w:rsidR="005F4C23" w:rsidRPr="005F4C23" w:rsidRDefault="005F4C23" w:rsidP="00654455">
      <w:pPr>
        <w:pStyle w:val="NumberedNormal"/>
      </w:pPr>
      <w:r>
        <w:t>The l</w:t>
      </w:r>
      <w:r w:rsidRPr="005F4C23">
        <w:t xml:space="preserve">icensee must from time to time and at least once in every two years, review and propose any revisions to the ENS Incentive Methodology Statement as may be necessary in order to ensure that it continues to enable the reasonable estimation of the term </w:t>
      </w:r>
      <w:proofErr w:type="spellStart"/>
      <w:r w:rsidRPr="005F4C23">
        <w:t>ENSA</w:t>
      </w:r>
      <w:r w:rsidR="00041D03">
        <w:t>t</w:t>
      </w:r>
      <w:proofErr w:type="spellEnd"/>
      <w:r w:rsidRPr="005F4C23">
        <w:t>.</w:t>
      </w:r>
    </w:p>
    <w:p w14:paraId="15C6B5BF" w14:textId="77777777" w:rsidR="005F4C23" w:rsidRPr="005F4C23" w:rsidRDefault="005F4C23" w:rsidP="00654455">
      <w:pPr>
        <w:pStyle w:val="NumberedNormal"/>
      </w:pPr>
      <w:r w:rsidRPr="000977B6">
        <w:t xml:space="preserve">Before revising the </w:t>
      </w:r>
      <w:r w:rsidRPr="005F4C23">
        <w:t>ENS Incentive Methodology Statement, the licensee must provide a copy of the proposed revisions to the Authority.</w:t>
      </w:r>
    </w:p>
    <w:p w14:paraId="03371ECE" w14:textId="77777777" w:rsidR="005F4C23" w:rsidRPr="005F4C23" w:rsidRDefault="005F4C23" w:rsidP="00654455">
      <w:pPr>
        <w:pStyle w:val="NumberedNormal"/>
      </w:pPr>
      <w:r>
        <w:t>T</w:t>
      </w:r>
      <w:r w:rsidRPr="005F4C23">
        <w:t>he Authority will either:</w:t>
      </w:r>
    </w:p>
    <w:p w14:paraId="74A58413" w14:textId="378CAE47" w:rsidR="005F4C23" w:rsidRPr="005F4C23" w:rsidRDefault="005F4C23" w:rsidP="00654455">
      <w:pPr>
        <w:pStyle w:val="ListNormal"/>
      </w:pPr>
      <w:r>
        <w:t>approve</w:t>
      </w:r>
      <w:r w:rsidRPr="005F4C23">
        <w:t xml:space="preserve"> the </w:t>
      </w:r>
      <w:r w:rsidR="00041D03">
        <w:t xml:space="preserve">proposed </w:t>
      </w:r>
      <w:proofErr w:type="gramStart"/>
      <w:r w:rsidRPr="005F4C23">
        <w:t>revisions;</w:t>
      </w:r>
      <w:proofErr w:type="gramEnd"/>
      <w:r w:rsidRPr="005F4C23">
        <w:t xml:space="preserve"> </w:t>
      </w:r>
    </w:p>
    <w:p w14:paraId="0CC8B270" w14:textId="77777777" w:rsidR="005F4C23" w:rsidRPr="005F4C23" w:rsidRDefault="005F4C23" w:rsidP="00654455">
      <w:pPr>
        <w:pStyle w:val="ListNormal"/>
      </w:pPr>
      <w:r>
        <w:t>reject the proposed revisions</w:t>
      </w:r>
      <w:r w:rsidRPr="005F4C23">
        <w:t>; or</w:t>
      </w:r>
    </w:p>
    <w:p w14:paraId="0A721B87" w14:textId="06F0D1E3" w:rsidR="005F4C23" w:rsidRPr="005F4C23" w:rsidRDefault="005F4C23" w:rsidP="00654455">
      <w:pPr>
        <w:pStyle w:val="ListNormal"/>
      </w:pPr>
      <w:r>
        <w:t>reject the proposed revisions</w:t>
      </w:r>
      <w:r w:rsidRPr="005F4C23">
        <w:t xml:space="preserve"> and give recommendations as to alternative revisions that it considers </w:t>
      </w:r>
      <w:r w:rsidR="008C578E">
        <w:t>should be made</w:t>
      </w:r>
      <w:r w:rsidRPr="005F4C23">
        <w:t>.</w:t>
      </w:r>
    </w:p>
    <w:p w14:paraId="5696BD4B" w14:textId="5872FBB1" w:rsidR="005F4C23" w:rsidRPr="005F4C23" w:rsidRDefault="005F4C23" w:rsidP="00654455">
      <w:pPr>
        <w:pStyle w:val="NumberedNormal"/>
      </w:pPr>
      <w:r w:rsidRPr="000977B6">
        <w:t>The Authority may direct that the value of</w:t>
      </w:r>
      <w:r w:rsidRPr="005F4C23">
        <w:t xml:space="preserve"> the </w:t>
      </w:r>
      <w:proofErr w:type="spellStart"/>
      <w:r w:rsidRPr="005F4C23">
        <w:t>ENST</w:t>
      </w:r>
      <w:r w:rsidR="00041D03">
        <w:t>t</w:t>
      </w:r>
      <w:proofErr w:type="spellEnd"/>
      <w:r w:rsidRPr="005F4C23">
        <w:t xml:space="preserve"> term in any Regulatory Year be changed as a result of any proposed revisions to the ENS Incentive Methodology Statement in order to ensure as far as possible that the measured performance of the licensee against this incentive is the same as if the revision to that statement had not taken place.</w:t>
      </w:r>
    </w:p>
    <w:p w14:paraId="21FAFA2E" w14:textId="3FAE6413" w:rsidR="005F4C23" w:rsidRDefault="005F4C23" w:rsidP="00654455">
      <w:pPr>
        <w:pStyle w:val="Heading3"/>
      </w:pPr>
      <w:r>
        <w:lastRenderedPageBreak/>
        <w:t xml:space="preserve">Amendment of VOLL </w:t>
      </w:r>
    </w:p>
    <w:p w14:paraId="345C6C49" w14:textId="048C2759" w:rsidR="005F4C23" w:rsidRPr="005F4C23" w:rsidRDefault="005F4C23" w:rsidP="00654455">
      <w:pPr>
        <w:pStyle w:val="NumberedNormal"/>
      </w:pPr>
      <w:r>
        <w:t xml:space="preserve">The Authority may </w:t>
      </w:r>
      <w:r w:rsidRPr="005F4C23">
        <w:t xml:space="preserve">direct that the VOLL term be changed once during the </w:t>
      </w:r>
      <w:r w:rsidR="00041D03">
        <w:t>P</w:t>
      </w:r>
      <w:r w:rsidRPr="005F4C23">
        <w:t xml:space="preserve">rice </w:t>
      </w:r>
      <w:r w:rsidR="00041D03">
        <w:t>C</w:t>
      </w:r>
      <w:r w:rsidRPr="005F4C23">
        <w:t xml:space="preserve">ontrol </w:t>
      </w:r>
      <w:r w:rsidR="00041D03">
        <w:t>P</w:t>
      </w:r>
      <w:r w:rsidRPr="005F4C23">
        <w:t xml:space="preserve">eriod </w:t>
      </w:r>
      <w:proofErr w:type="gramStart"/>
      <w:r w:rsidRPr="005F4C23">
        <w:t>in order to</w:t>
      </w:r>
      <w:proofErr w:type="gramEnd"/>
      <w:r w:rsidRPr="005F4C23">
        <w:t xml:space="preserve"> ensure as far as possible that it best reflects customers’ </w:t>
      </w:r>
      <w:r w:rsidR="00D10289">
        <w:t>valuation of reliable electricity supply</w:t>
      </w:r>
      <w:r w:rsidRPr="005F4C23">
        <w:t>.</w:t>
      </w:r>
    </w:p>
    <w:p w14:paraId="40556B42" w14:textId="2041F97B" w:rsidR="005F4C23" w:rsidRDefault="005F4C23" w:rsidP="00654455">
      <w:pPr>
        <w:pStyle w:val="Heading3"/>
      </w:pPr>
      <w:r w:rsidRPr="007D6692">
        <w:t xml:space="preserve">Notification and </w:t>
      </w:r>
      <w:r>
        <w:t>t</w:t>
      </w:r>
      <w:r w:rsidRPr="007D6692">
        <w:t xml:space="preserve">reatment of </w:t>
      </w:r>
      <w:r>
        <w:t xml:space="preserve">ENS </w:t>
      </w:r>
      <w:r w:rsidRPr="007D6692">
        <w:t>Exceptional Events</w:t>
      </w:r>
    </w:p>
    <w:p w14:paraId="28009D44" w14:textId="77777777" w:rsidR="005F4C23" w:rsidRPr="005F4C23" w:rsidRDefault="005F4C23" w:rsidP="00654455">
      <w:pPr>
        <w:pStyle w:val="NumberedNormal"/>
      </w:pPr>
      <w:r w:rsidRPr="001E529C">
        <w:t xml:space="preserve">Where the </w:t>
      </w:r>
      <w:r w:rsidRPr="005F4C23">
        <w:t>licensee considers that an ENS Exceptional Event has wholly or partly caused energy not to be supplied to a customer, the licensee must:</w:t>
      </w:r>
    </w:p>
    <w:p w14:paraId="3A9E0ED3" w14:textId="6376F2A1" w:rsidR="005F4C23" w:rsidRPr="005F4C23" w:rsidRDefault="005F4C23" w:rsidP="00654455">
      <w:pPr>
        <w:pStyle w:val="ListNormal"/>
      </w:pPr>
      <w:r w:rsidRPr="001E529C">
        <w:t>notify the Authority of that event</w:t>
      </w:r>
      <w:r w:rsidR="00C16DBA" w:rsidRPr="001E529C">
        <w:t xml:space="preserve"> </w:t>
      </w:r>
      <w:r w:rsidRPr="001E529C">
        <w:t>as soon as reasonably practicable</w:t>
      </w:r>
      <w:r w:rsidRPr="005F4C23">
        <w:t xml:space="preserve">, but at the latest </w:t>
      </w:r>
      <w:r w:rsidR="00BC45AD">
        <w:t xml:space="preserve">before the end of </w:t>
      </w:r>
      <w:r w:rsidR="00C16DBA">
        <w:t xml:space="preserve">the period of </w:t>
      </w:r>
      <w:r w:rsidRPr="005F4C23">
        <w:t xml:space="preserve">14 days </w:t>
      </w:r>
      <w:r w:rsidR="00C16DBA">
        <w:t xml:space="preserve">beginning with the date of the </w:t>
      </w:r>
      <w:proofErr w:type="gramStart"/>
      <w:r w:rsidR="00C16DBA">
        <w:t>event</w:t>
      </w:r>
      <w:r w:rsidRPr="005F4C23">
        <w:t>;</w:t>
      </w:r>
      <w:proofErr w:type="gramEnd"/>
    </w:p>
    <w:p w14:paraId="5CAB7550" w14:textId="3266BECB" w:rsidR="005F4C23" w:rsidRPr="005F4C23" w:rsidRDefault="005F4C23" w:rsidP="00654455">
      <w:pPr>
        <w:pStyle w:val="ListNormal"/>
      </w:pPr>
      <w:r>
        <w:t>except where</w:t>
      </w:r>
      <w:r w:rsidRPr="005F4C23">
        <w:t xml:space="preserve"> the Authority otherwise consents, </w:t>
      </w:r>
      <w:r w:rsidR="00C16DBA">
        <w:t xml:space="preserve">during the period of </w:t>
      </w:r>
      <w:r w:rsidRPr="005F4C23">
        <w:t xml:space="preserve">30 days </w:t>
      </w:r>
      <w:r w:rsidR="00C16DBA">
        <w:t xml:space="preserve">beginning with the date of </w:t>
      </w:r>
      <w:r w:rsidRPr="005F4C23">
        <w:t xml:space="preserve">notification under </w:t>
      </w:r>
      <w:r w:rsidR="00C16DBA">
        <w:t>sub-</w:t>
      </w:r>
      <w:r w:rsidRPr="005F4C23">
        <w:t>paragraph (a), provide</w:t>
      </w:r>
      <w:r w:rsidR="00C16DBA">
        <w:t xml:space="preserve"> to the Authority</w:t>
      </w:r>
      <w:r w:rsidRPr="005F4C23">
        <w:t>:</w:t>
      </w:r>
    </w:p>
    <w:p w14:paraId="38C074E6" w14:textId="12307340" w:rsidR="005F4C23" w:rsidRPr="005F4C23" w:rsidRDefault="005F4C23" w:rsidP="00AB1D80">
      <w:pPr>
        <w:pStyle w:val="ListNormal"/>
        <w:numPr>
          <w:ilvl w:val="4"/>
          <w:numId w:val="8"/>
        </w:numPr>
      </w:pPr>
      <w:r w:rsidRPr="001E529C">
        <w:t xml:space="preserve">details of the volume of energy </w:t>
      </w:r>
      <w:r w:rsidRPr="005F4C23">
        <w:t xml:space="preserve">not supplied that it considers resulted from the ENS Exceptional Event; </w:t>
      </w:r>
      <w:r w:rsidR="00C16DBA">
        <w:t>and</w:t>
      </w:r>
    </w:p>
    <w:p w14:paraId="4A51788A" w14:textId="2AB23F86" w:rsidR="005F4C23" w:rsidRPr="005F4C23" w:rsidRDefault="005F4C23" w:rsidP="00AB1D80">
      <w:pPr>
        <w:pStyle w:val="ListNormal"/>
        <w:numPr>
          <w:ilvl w:val="4"/>
          <w:numId w:val="8"/>
        </w:numPr>
      </w:pPr>
      <w:r>
        <w:t>any</w:t>
      </w:r>
      <w:r w:rsidRPr="005F4C23">
        <w:t xml:space="preserve"> evidence available which demonstrates that the event was not attributable to any error on </w:t>
      </w:r>
      <w:r w:rsidR="00C16DBA">
        <w:t xml:space="preserve">the licensee’s </w:t>
      </w:r>
      <w:r w:rsidRPr="005F4C23">
        <w:t>part; and</w:t>
      </w:r>
    </w:p>
    <w:p w14:paraId="328A2FEF" w14:textId="385974E3" w:rsidR="005F4C23" w:rsidRDefault="005F4C23" w:rsidP="00654455">
      <w:pPr>
        <w:pStyle w:val="ListNormal"/>
      </w:pPr>
      <w:r>
        <w:t>t</w:t>
      </w:r>
      <w:r w:rsidRPr="005F4C23">
        <w:t xml:space="preserve">o the extent applicable, </w:t>
      </w:r>
      <w:r w:rsidR="00C16DBA">
        <w:t xml:space="preserve">provide to the Authority </w:t>
      </w:r>
      <w:r w:rsidRPr="005F4C23">
        <w:t xml:space="preserve">any evidence available that </w:t>
      </w:r>
      <w:r w:rsidR="00C16DBA">
        <w:t xml:space="preserve">the licensee took </w:t>
      </w:r>
      <w:r w:rsidRPr="005F4C23">
        <w:t>reasonable preventative and mitigating actions before and after the event, to limit the effect of the ENS Exceptional Event and to restore supplies quickly and efficiently having due regard to safety and other relevant legal obligations.</w:t>
      </w:r>
    </w:p>
    <w:p w14:paraId="7809C908" w14:textId="0F2D85F5" w:rsidR="00041D03" w:rsidRPr="005F4C23" w:rsidRDefault="00041D03" w:rsidP="00AB1D80">
      <w:pPr>
        <w:pStyle w:val="NumberedNormal"/>
      </w:pPr>
      <w:r>
        <w:t>Where an ENS Exception</w:t>
      </w:r>
      <w:r w:rsidR="00C16DBA">
        <w:t>al</w:t>
      </w:r>
      <w:r>
        <w:t xml:space="preserve"> Event occurs, the Authority will consider directing an adjustment to the value of the ENSA term.</w:t>
      </w:r>
    </w:p>
    <w:p w14:paraId="3ACA6E39" w14:textId="7952EC98" w:rsidR="005F4C23" w:rsidRDefault="005F4C23" w:rsidP="00D14AD8">
      <w:pPr>
        <w:pStyle w:val="Heading3"/>
      </w:pPr>
      <w:r w:rsidRPr="007E07BF">
        <w:t xml:space="preserve">Licensee’s obligations in </w:t>
      </w:r>
      <w:r>
        <w:t>respect of</w:t>
      </w:r>
      <w:r w:rsidRPr="007E07BF">
        <w:t xml:space="preserve"> </w:t>
      </w:r>
      <w:r>
        <w:t xml:space="preserve">Incentivised Loss of Supply Events </w:t>
      </w:r>
    </w:p>
    <w:p w14:paraId="02F34F9C" w14:textId="0746E775" w:rsidR="005F4C23" w:rsidRPr="005F4C23" w:rsidRDefault="005F4C23" w:rsidP="00D14AD8">
      <w:pPr>
        <w:pStyle w:val="NumberedNormal"/>
      </w:pPr>
      <w:r>
        <w:t>The l</w:t>
      </w:r>
      <w:r w:rsidRPr="005F4C23">
        <w:t xml:space="preserve">icensee must use </w:t>
      </w:r>
      <w:r w:rsidR="00041D03">
        <w:t xml:space="preserve">its </w:t>
      </w:r>
      <w:r w:rsidRPr="005F4C23">
        <w:t xml:space="preserve">reasonable endeavours to: </w:t>
      </w:r>
    </w:p>
    <w:p w14:paraId="4B41D16A" w14:textId="77777777" w:rsidR="005F4C23" w:rsidRPr="005F4C23" w:rsidRDefault="005F4C23" w:rsidP="00D14AD8">
      <w:pPr>
        <w:pStyle w:val="ListNormal"/>
      </w:pPr>
      <w:r>
        <w:t xml:space="preserve">prevent Incentivised Loss of Supply Events on its </w:t>
      </w:r>
      <w:r w:rsidRPr="005F4C23">
        <w:t xml:space="preserve">Transmission </w:t>
      </w:r>
      <w:proofErr w:type="gramStart"/>
      <w:r w:rsidRPr="005F4C23">
        <w:t>System;</w:t>
      </w:r>
      <w:proofErr w:type="gramEnd"/>
      <w:r w:rsidRPr="005F4C23">
        <w:t xml:space="preserve"> </w:t>
      </w:r>
    </w:p>
    <w:p w14:paraId="370B9CC3" w14:textId="77777777" w:rsidR="005F4C23" w:rsidRPr="005F4C23" w:rsidRDefault="005F4C23" w:rsidP="00D14AD8">
      <w:pPr>
        <w:pStyle w:val="ListNormal"/>
      </w:pPr>
      <w:r>
        <w:t>mitigate the impact</w:t>
      </w:r>
      <w:r w:rsidRPr="005F4C23">
        <w:t xml:space="preserve"> after any such event to limit its effect; and </w:t>
      </w:r>
    </w:p>
    <w:p w14:paraId="4A5B08E8" w14:textId="462A2F72" w:rsidR="005F4C23" w:rsidRDefault="005F4C23" w:rsidP="00D14AD8">
      <w:pPr>
        <w:pStyle w:val="ListNormal"/>
      </w:pPr>
      <w:r>
        <w:t xml:space="preserve">restore supplies quickly and efficiently after such an event, having due regard to safety and other relevant legal obligations.  </w:t>
      </w:r>
    </w:p>
    <w:p w14:paraId="5B6B0E3E" w14:textId="72C853C9" w:rsidR="00041D03" w:rsidRDefault="00041D03" w:rsidP="00041D03">
      <w:pPr>
        <w:pStyle w:val="Heading3"/>
      </w:pPr>
      <w:r>
        <w:t>Process for issuing directions</w:t>
      </w:r>
    </w:p>
    <w:p w14:paraId="01CF5910" w14:textId="09F24FAE" w:rsidR="00041D03" w:rsidRPr="005F4C23" w:rsidRDefault="00041D03" w:rsidP="00041D03">
      <w:pPr>
        <w:pStyle w:val="NumberedNormal"/>
      </w:pPr>
      <w:r>
        <w:t>Before issuing a direction under paragraph 11, 12 or 14</w:t>
      </w:r>
      <w:r w:rsidRPr="005F4C23">
        <w:t xml:space="preserve">, the Authority will publish on </w:t>
      </w:r>
      <w:r w:rsidR="00D9203B">
        <w:t>the Authority's W</w:t>
      </w:r>
      <w:r w:rsidRPr="005F4C23">
        <w:t>ebsite:</w:t>
      </w:r>
    </w:p>
    <w:p w14:paraId="0A9879C1" w14:textId="77777777" w:rsidR="00041D03" w:rsidRPr="005F4C23" w:rsidRDefault="00041D03" w:rsidP="00041D03">
      <w:pPr>
        <w:pStyle w:val="ListNormal"/>
        <w:tabs>
          <w:tab w:val="num" w:pos="879"/>
        </w:tabs>
      </w:pPr>
      <w:r>
        <w:t>t</w:t>
      </w:r>
      <w:r w:rsidRPr="005F4C23">
        <w:t xml:space="preserve">he text of the proposed </w:t>
      </w:r>
      <w:proofErr w:type="gramStart"/>
      <w:r w:rsidRPr="005F4C23">
        <w:t>direction;</w:t>
      </w:r>
      <w:proofErr w:type="gramEnd"/>
    </w:p>
    <w:p w14:paraId="1683AAC6" w14:textId="77777777" w:rsidR="00041D03" w:rsidRPr="005F4C23" w:rsidRDefault="00041D03" w:rsidP="00041D03">
      <w:pPr>
        <w:pStyle w:val="ListNormal"/>
        <w:tabs>
          <w:tab w:val="num" w:pos="879"/>
        </w:tabs>
      </w:pPr>
      <w:r>
        <w:t>t</w:t>
      </w:r>
      <w:r w:rsidRPr="005F4C23">
        <w:t>he reasons why it proposes to issue the direction; and</w:t>
      </w:r>
    </w:p>
    <w:p w14:paraId="543B273D" w14:textId="5AE5EBD3" w:rsidR="00041D03" w:rsidRPr="00041D03" w:rsidRDefault="00041D03" w:rsidP="00041D03">
      <w:pPr>
        <w:pStyle w:val="ListNormal"/>
        <w:tabs>
          <w:tab w:val="num" w:pos="879"/>
        </w:tabs>
      </w:pPr>
      <w:r w:rsidRPr="00041D03">
        <w:t xml:space="preserve">a period during which representations may be made on the proposed </w:t>
      </w:r>
      <w:r w:rsidR="00664627">
        <w:t xml:space="preserve">direction, which will not be less than </w:t>
      </w:r>
      <w:r w:rsidRPr="00041D03">
        <w:t>28 days.</w:t>
      </w:r>
    </w:p>
    <w:p w14:paraId="7E44A6A5" w14:textId="4524226F" w:rsidR="005F4C23" w:rsidRPr="0057526A" w:rsidRDefault="005F4C23" w:rsidP="005F4C23">
      <w:pPr>
        <w:pStyle w:val="Heading2"/>
      </w:pPr>
      <w:bookmarkStart w:id="143" w:name="_Toc51319632"/>
      <w:bookmarkStart w:id="144" w:name="_Toc51798300"/>
      <w:bookmarkStart w:id="145" w:name="_Toc52364912"/>
      <w:r w:rsidRPr="00A237CB">
        <w:lastRenderedPageBreak/>
        <w:t>Insulation and Interruption Gas</w:t>
      </w:r>
      <w:r>
        <w:t xml:space="preserve"> emissions </w:t>
      </w:r>
      <w:r w:rsidR="003A46B3">
        <w:t>o</w:t>
      </w:r>
      <w:r>
        <w:t xml:space="preserve">utput </w:t>
      </w:r>
      <w:r w:rsidR="003A46B3">
        <w:t>d</w:t>
      </w:r>
      <w:r>
        <w:t xml:space="preserve">elivery </w:t>
      </w:r>
      <w:r w:rsidR="003A46B3">
        <w:t>i</w:t>
      </w:r>
      <w:r>
        <w:t>ncentive</w:t>
      </w:r>
      <w:bookmarkEnd w:id="143"/>
      <w:r w:rsidR="003A46B3">
        <w:t xml:space="preserve"> (</w:t>
      </w:r>
      <w:proofErr w:type="spellStart"/>
      <w:r w:rsidR="003A46B3">
        <w:t>IIGIt</w:t>
      </w:r>
      <w:proofErr w:type="spellEnd"/>
      <w:r w:rsidR="003A46B3">
        <w:t>)</w:t>
      </w:r>
      <w:bookmarkEnd w:id="144"/>
      <w:bookmarkEnd w:id="145"/>
    </w:p>
    <w:p w14:paraId="2AB9F304" w14:textId="77777777" w:rsidR="005F4C23" w:rsidRDefault="005F4C23" w:rsidP="0071314E">
      <w:pPr>
        <w:pStyle w:val="Heading3nonumbering"/>
      </w:pPr>
      <w:r w:rsidRPr="0057526A">
        <w:t>Introduction</w:t>
      </w:r>
    </w:p>
    <w:p w14:paraId="3AACA9A9" w14:textId="07CDDAEC" w:rsidR="005F4C23" w:rsidRPr="005F4C23" w:rsidRDefault="005F4C23" w:rsidP="0071314E">
      <w:pPr>
        <w:pStyle w:val="NumberedNormal"/>
      </w:pPr>
      <w:r>
        <w:t>T</w:t>
      </w:r>
      <w:r w:rsidRPr="005F4C23">
        <w:t xml:space="preserve">he purpose of this condition is to calculate the term </w:t>
      </w:r>
      <w:proofErr w:type="spellStart"/>
      <w:r w:rsidRPr="005F4C23">
        <w:t>IIGIt</w:t>
      </w:r>
      <w:proofErr w:type="spellEnd"/>
      <w:r w:rsidRPr="005F4C23">
        <w:t xml:space="preserve"> (the Insulation and Interruption Gas emissions </w:t>
      </w:r>
      <w:r w:rsidR="003A46B3">
        <w:t xml:space="preserve">output delivery </w:t>
      </w:r>
      <w:r w:rsidRPr="005F4C23">
        <w:t xml:space="preserve">incentive term). This contributes to the calculation of the term </w:t>
      </w:r>
      <w:proofErr w:type="spellStart"/>
      <w:r w:rsidRPr="005F4C23">
        <w:t>ODIt</w:t>
      </w:r>
      <w:proofErr w:type="spellEnd"/>
      <w:r w:rsidRPr="005F4C23">
        <w:t xml:space="preserve"> (the output delivery incentives term), which in turn feeds into Calculated Revenue in Special Condition </w:t>
      </w:r>
      <w:r w:rsidR="00C16DBA">
        <w:t>2.1</w:t>
      </w:r>
      <w:r w:rsidR="00C16DBA" w:rsidRPr="005F4C23">
        <w:t xml:space="preserve"> </w:t>
      </w:r>
      <w:r w:rsidRPr="005F4C23">
        <w:t>(</w:t>
      </w:r>
      <w:r w:rsidR="003A46B3">
        <w:t xml:space="preserve">Revenue </w:t>
      </w:r>
      <w:r w:rsidRPr="005F4C23">
        <w:t>Restriction).</w:t>
      </w:r>
    </w:p>
    <w:p w14:paraId="0CF57DA2" w14:textId="77777777" w:rsidR="005F4C23" w:rsidRPr="005F4C23" w:rsidRDefault="005F4C23" w:rsidP="0071314E">
      <w:pPr>
        <w:pStyle w:val="NumberedNormal"/>
      </w:pPr>
      <w:r>
        <w:t xml:space="preserve">The </w:t>
      </w:r>
      <w:r w:rsidRPr="005F4C23">
        <w:t>effect of the Insulation and Interruption Gas emissions incentive is to reward or penalise the licensee to reflect its performance in relation to Insulation and Interruption Gas emissions from assets forming part of its Transmission System compared to the calculated baseline target emissions.</w:t>
      </w:r>
    </w:p>
    <w:p w14:paraId="40E15D09" w14:textId="77777777" w:rsidR="005F4C23" w:rsidRPr="005F4C23" w:rsidRDefault="005F4C23" w:rsidP="0071314E">
      <w:pPr>
        <w:pStyle w:val="NumberedNormal"/>
      </w:pPr>
      <w:r>
        <w:t xml:space="preserve">This condition </w:t>
      </w:r>
      <w:r w:rsidRPr="005F4C23">
        <w:t>also places obligations on the licensee:</w:t>
      </w:r>
    </w:p>
    <w:p w14:paraId="20BAEA0E" w14:textId="77777777" w:rsidR="005F4C23" w:rsidRPr="005F4C23" w:rsidRDefault="005F4C23" w:rsidP="0071314E">
      <w:pPr>
        <w:pStyle w:val="ListNormal"/>
      </w:pPr>
      <w:r>
        <w:t xml:space="preserve">to </w:t>
      </w:r>
      <w:r w:rsidRPr="005F4C23">
        <w:t>maintain and comply with the IIG Methodology Statement; and</w:t>
      </w:r>
    </w:p>
    <w:p w14:paraId="3DB1CF03" w14:textId="77777777" w:rsidR="005F4C23" w:rsidRPr="005F4C23" w:rsidRDefault="005F4C23" w:rsidP="0071314E">
      <w:pPr>
        <w:pStyle w:val="ListNormal"/>
      </w:pPr>
      <w:r>
        <w:t>in relation to IIG Exceptional Events</w:t>
      </w:r>
      <w:r w:rsidRPr="005F4C23">
        <w:t>.</w:t>
      </w:r>
    </w:p>
    <w:p w14:paraId="0F068749" w14:textId="58AFC9D2" w:rsidR="005F4C23" w:rsidRPr="00B76D9F" w:rsidRDefault="005F4C23" w:rsidP="0071314E">
      <w:pPr>
        <w:pStyle w:val="Heading3"/>
      </w:pPr>
      <w:r w:rsidRPr="00B76D9F">
        <w:t xml:space="preserve">Formula </w:t>
      </w:r>
      <w:r>
        <w:t>for</w:t>
      </w:r>
      <w:r w:rsidRPr="00B76D9F">
        <w:t xml:space="preserve"> calculat</w:t>
      </w:r>
      <w:r>
        <w:t>ing</w:t>
      </w:r>
      <w:r w:rsidRPr="00B76D9F">
        <w:t xml:space="preserve"> the </w:t>
      </w:r>
      <w:r w:rsidRPr="00A237CB">
        <w:t>Insulation and Interruption Gas</w:t>
      </w:r>
      <w:r>
        <w:t xml:space="preserve"> emissions</w:t>
      </w:r>
      <w:r w:rsidRPr="00A237CB">
        <w:t xml:space="preserve"> </w:t>
      </w:r>
      <w:r>
        <w:t>i</w:t>
      </w:r>
      <w:r w:rsidRPr="00B76D9F">
        <w:t>ncentive</w:t>
      </w:r>
      <w:r>
        <w:t xml:space="preserve"> term </w:t>
      </w:r>
      <w:r w:rsidR="003A46B3">
        <w:t>(</w:t>
      </w:r>
      <w:proofErr w:type="spellStart"/>
      <w:r>
        <w:t>IIGI</w:t>
      </w:r>
      <w:r w:rsidRPr="005F4C23">
        <w:t>t</w:t>
      </w:r>
      <w:proofErr w:type="spellEnd"/>
      <w:r w:rsidR="003A46B3">
        <w:t>)</w:t>
      </w:r>
      <w:r w:rsidRPr="00B76D9F">
        <w:t xml:space="preserve"> </w:t>
      </w:r>
    </w:p>
    <w:p w14:paraId="0880A5A2" w14:textId="77777777" w:rsidR="005F4C23" w:rsidRPr="005F4C23" w:rsidRDefault="005F4C23" w:rsidP="0071314E">
      <w:pPr>
        <w:pStyle w:val="NumberedNormal"/>
      </w:pPr>
      <w:r>
        <w:t>T</w:t>
      </w:r>
      <w:r w:rsidRPr="005F4C23">
        <w:t xml:space="preserve">he value of </w:t>
      </w:r>
      <w:proofErr w:type="spellStart"/>
      <w:r w:rsidRPr="005F4C23">
        <w:t>IIGIt</w:t>
      </w:r>
      <w:proofErr w:type="spellEnd"/>
      <w:r w:rsidRPr="005F4C23">
        <w:t xml:space="preserve"> is derived in accordance with the following formula:</w:t>
      </w:r>
    </w:p>
    <w:p w14:paraId="4A5EEE79" w14:textId="77777777" w:rsidR="005F4C23" w:rsidRPr="00A237CB" w:rsidRDefault="00B913B6" w:rsidP="0071314E">
      <w:pPr>
        <w:pStyle w:val="Equation"/>
      </w:pPr>
      <m:oMathPara>
        <m:oMath>
          <m:sSub>
            <m:sSubPr>
              <m:ctrlPr>
                <w:rPr>
                  <w:rFonts w:ascii="Cambria Math" w:hAnsi="Cambria Math"/>
                </w:rPr>
              </m:ctrlPr>
            </m:sSubPr>
            <m:e>
              <m:r>
                <w:rPr>
                  <w:rFonts w:ascii="Cambria Math" w:hAnsi="Cambria Math"/>
                </w:rPr>
                <m:t>IIGI</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CTE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ALE</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NTPC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1D51B53D" w14:textId="5AC4074D" w:rsidR="005F4C23" w:rsidRPr="00A237CB" w:rsidRDefault="008704D6" w:rsidP="005F4C23">
      <w:r>
        <w:tab/>
      </w:r>
      <w:r w:rsidR="005F4C23" w:rsidRPr="00B76D9F">
        <w:t xml:space="preserve">where: </w:t>
      </w:r>
    </w:p>
    <w:tbl>
      <w:tblPr>
        <w:tblW w:w="8506" w:type="dxa"/>
        <w:tblInd w:w="817" w:type="dxa"/>
        <w:tblLayout w:type="fixed"/>
        <w:tblLook w:val="04A0" w:firstRow="1" w:lastRow="0" w:firstColumn="1" w:lastColumn="0" w:noHBand="0" w:noVBand="1"/>
      </w:tblPr>
      <w:tblGrid>
        <w:gridCol w:w="1985"/>
        <w:gridCol w:w="6521"/>
      </w:tblGrid>
      <w:tr w:rsidR="005F4C23" w:rsidRPr="00774853" w14:paraId="13EC7BD8" w14:textId="77777777" w:rsidTr="005F4C23">
        <w:trPr>
          <w:trHeight w:val="567"/>
        </w:trPr>
        <w:tc>
          <w:tcPr>
            <w:tcW w:w="1985" w:type="dxa"/>
          </w:tcPr>
          <w:p w14:paraId="62A29CC1" w14:textId="77777777" w:rsidR="005F4C23" w:rsidRPr="005F4C23" w:rsidRDefault="005F4C23" w:rsidP="0071314E">
            <w:pPr>
              <w:pStyle w:val="Equation"/>
            </w:pPr>
            <w:proofErr w:type="spellStart"/>
            <w:r w:rsidRPr="00B76D9F">
              <w:t>CTE</w:t>
            </w:r>
            <w:r w:rsidRPr="005F4C23">
              <w:t>t</w:t>
            </w:r>
            <w:proofErr w:type="spellEnd"/>
          </w:p>
        </w:tc>
        <w:tc>
          <w:tcPr>
            <w:tcW w:w="6521" w:type="dxa"/>
          </w:tcPr>
          <w:p w14:paraId="13648FC7" w14:textId="7F543A4A" w:rsidR="005F4C23" w:rsidRPr="005F4C23" w:rsidRDefault="005F4C23" w:rsidP="0071314E">
            <w:pPr>
              <w:pStyle w:val="Equation"/>
            </w:pPr>
            <w:r>
              <w:t xml:space="preserve">means </w:t>
            </w:r>
            <w:r w:rsidRPr="005F4C23">
              <w:t xml:space="preserve">the calculated baseline target emissions Insulation and Interruption Gas emissions in tonnes CO2e from assets comprising part of the licensee’s Transmission System and is derived in accordance with paragraph </w:t>
            </w:r>
            <w:r w:rsidR="00C16DBA">
              <w:t>4.2.</w:t>
            </w:r>
            <w:r w:rsidRPr="005F4C23">
              <w:t>5</w:t>
            </w:r>
            <w:r w:rsidR="00C16DBA">
              <w:t>;</w:t>
            </w:r>
          </w:p>
        </w:tc>
      </w:tr>
      <w:tr w:rsidR="005F4C23" w:rsidRPr="00774853" w14:paraId="45BD57E9" w14:textId="77777777" w:rsidTr="005F4C23">
        <w:trPr>
          <w:trHeight w:val="567"/>
        </w:trPr>
        <w:tc>
          <w:tcPr>
            <w:tcW w:w="1985" w:type="dxa"/>
          </w:tcPr>
          <w:p w14:paraId="7257C9EF" w14:textId="77777777" w:rsidR="005F4C23" w:rsidRPr="005F4C23" w:rsidRDefault="005F4C23" w:rsidP="0071314E">
            <w:pPr>
              <w:pStyle w:val="Equation"/>
            </w:pPr>
            <w:proofErr w:type="spellStart"/>
            <w:r w:rsidRPr="00B76D9F">
              <w:t>ALE</w:t>
            </w:r>
            <w:r w:rsidRPr="005F4C23">
              <w:t>t</w:t>
            </w:r>
            <w:proofErr w:type="spellEnd"/>
          </w:p>
        </w:tc>
        <w:tc>
          <w:tcPr>
            <w:tcW w:w="6521" w:type="dxa"/>
          </w:tcPr>
          <w:p w14:paraId="2CEAC611" w14:textId="5D4D2FAD" w:rsidR="005F4C23" w:rsidRPr="005F4C23" w:rsidRDefault="005F4C23" w:rsidP="0071314E">
            <w:pPr>
              <w:pStyle w:val="Equation"/>
            </w:pPr>
            <w:r w:rsidRPr="00B76D9F">
              <w:t xml:space="preserve">means the actual </w:t>
            </w:r>
            <w:r w:rsidRPr="005F4C23">
              <w:t>Insulation and Interruption Gas emissions in tonnes of CO2e from assets forming part of the licensee’s Transmission System as calculated by the licensee in accordance with the IIG Methodology Statement</w:t>
            </w:r>
            <w:r w:rsidR="00C16DBA">
              <w:t>;</w:t>
            </w:r>
          </w:p>
        </w:tc>
      </w:tr>
      <w:tr w:rsidR="005F4C23" w:rsidRPr="00774853" w14:paraId="374F4A39" w14:textId="77777777" w:rsidTr="005F4C23">
        <w:trPr>
          <w:trHeight w:val="567"/>
        </w:trPr>
        <w:tc>
          <w:tcPr>
            <w:tcW w:w="1985" w:type="dxa"/>
          </w:tcPr>
          <w:p w14:paraId="0BE26867" w14:textId="77777777" w:rsidR="005F4C23" w:rsidRPr="005F4C23" w:rsidRDefault="005F4C23" w:rsidP="0071314E">
            <w:pPr>
              <w:pStyle w:val="Equation"/>
            </w:pPr>
            <w:proofErr w:type="spellStart"/>
            <w:r w:rsidRPr="00B76D9F">
              <w:t>NTPC</w:t>
            </w:r>
            <w:r w:rsidRPr="005F4C23">
              <w:t>t</w:t>
            </w:r>
            <w:proofErr w:type="spellEnd"/>
          </w:p>
        </w:tc>
        <w:tc>
          <w:tcPr>
            <w:tcW w:w="6521" w:type="dxa"/>
          </w:tcPr>
          <w:p w14:paraId="07CBFA55" w14:textId="752AF75B" w:rsidR="005F4C23" w:rsidRPr="005F4C23" w:rsidRDefault="005F4C23" w:rsidP="0071314E">
            <w:pPr>
              <w:pStyle w:val="Equation"/>
            </w:pPr>
            <w:r w:rsidRPr="00B76D9F">
              <w:t xml:space="preserve">means the relevant </w:t>
            </w:r>
            <w:r w:rsidRPr="005F4C23">
              <w:t>central non-traded price per tonne of CO2e as set out in the Green Book Supplementary Guidance</w:t>
            </w:r>
            <w:r w:rsidR="00C16DBA">
              <w:t>; and</w:t>
            </w:r>
          </w:p>
        </w:tc>
      </w:tr>
      <w:tr w:rsidR="005F4C23" w:rsidRPr="00774853" w14:paraId="25DE84D2" w14:textId="77777777" w:rsidTr="005F4C23">
        <w:trPr>
          <w:trHeight w:val="567"/>
        </w:trPr>
        <w:tc>
          <w:tcPr>
            <w:tcW w:w="1985" w:type="dxa"/>
          </w:tcPr>
          <w:p w14:paraId="77DF4126" w14:textId="77777777" w:rsidR="005F4C23" w:rsidRPr="005F4C23" w:rsidRDefault="005F4C23" w:rsidP="0071314E">
            <w:pPr>
              <w:pStyle w:val="Equation"/>
            </w:pPr>
            <w:proofErr w:type="spellStart"/>
            <w:r w:rsidRPr="00B76D9F">
              <w:t>TIS</w:t>
            </w:r>
            <w:r w:rsidRPr="005F4C23">
              <w:t>t</w:t>
            </w:r>
            <w:proofErr w:type="spellEnd"/>
          </w:p>
        </w:tc>
        <w:tc>
          <w:tcPr>
            <w:tcW w:w="6521" w:type="dxa"/>
          </w:tcPr>
          <w:p w14:paraId="4AD343D8" w14:textId="77777777" w:rsidR="005F4C23" w:rsidRPr="005F4C23" w:rsidRDefault="005F4C23" w:rsidP="0071314E">
            <w:pPr>
              <w:pStyle w:val="Equation"/>
            </w:pPr>
            <w:r>
              <w:t>means the</w:t>
            </w:r>
            <w:r w:rsidRPr="005F4C23">
              <w:t xml:space="preserve"> Totex Incentive Strength Rate.</w:t>
            </w:r>
          </w:p>
        </w:tc>
      </w:tr>
    </w:tbl>
    <w:p w14:paraId="649A2D7A" w14:textId="77777777" w:rsidR="005F4C23" w:rsidRDefault="005F4C23" w:rsidP="005F4C23"/>
    <w:p w14:paraId="77DCE3C1" w14:textId="77777777" w:rsidR="005F4C23" w:rsidRPr="005F4C23" w:rsidRDefault="005F4C23" w:rsidP="00C73172">
      <w:pPr>
        <w:pStyle w:val="NumberedNormal"/>
      </w:pPr>
      <w:r>
        <w:t>The</w:t>
      </w:r>
      <w:r w:rsidRPr="005F4C23">
        <w:t xml:space="preserve"> value of CTE is derived in accordance with the following formula: </w:t>
      </w:r>
    </w:p>
    <w:p w14:paraId="701A4F88" w14:textId="77777777" w:rsidR="005F4C23" w:rsidRDefault="00B913B6" w:rsidP="00C73172">
      <w:pPr>
        <w:pStyle w:val="Equation"/>
      </w:pPr>
      <m:oMathPara>
        <m:oMath>
          <m:sSub>
            <m:sSubPr>
              <m:ctrlPr>
                <w:rPr>
                  <w:rFonts w:ascii="Cambria Math" w:hAnsi="Cambria Math"/>
                </w:rPr>
              </m:ctrlPr>
            </m:sSubPr>
            <m:e>
              <m:r>
                <w:rPr>
                  <w:rFonts w:ascii="Cambria Math" w:hAnsi="Cambria Math"/>
                </w:rPr>
                <m:t>CTE</m:t>
              </m:r>
            </m:e>
            <m:sub>
              <m:r>
                <w:rPr>
                  <w:rFonts w:ascii="Cambria Math" w:hAnsi="Cambria Math"/>
                </w:rPr>
                <m:t>t</m:t>
              </m:r>
            </m:sub>
          </m:sSub>
          <m:r>
            <m:rPr>
              <m:sty m:val="p"/>
            </m:rPr>
            <w:rPr>
              <w:rFonts w:ascii="Cambria Math" w:hAnsi="Cambria Math"/>
            </w:rPr>
            <m:t>=</m:t>
          </m:r>
          <m:r>
            <w:rPr>
              <w:rFonts w:ascii="Cambria Math" w:hAnsi="Cambria Math"/>
            </w:rPr>
            <m:t>BASE</m:t>
          </m:r>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=2021/22</m:t>
              </m:r>
            </m:sub>
            <m:sup>
              <m:r>
                <w:rPr>
                  <w:rFonts w:ascii="Cambria Math" w:hAnsi="Cambria Math"/>
                </w:rPr>
                <m:t>t</m:t>
              </m:r>
            </m:sup>
            <m:e>
              <m:d>
                <m:dPr>
                  <m:ctrlPr>
                    <w:rPr>
                      <w:rFonts w:ascii="Cambria Math" w:hAnsi="Cambria Math"/>
                    </w:rPr>
                  </m:ctrlPr>
                </m:dPr>
                <m:e>
                  <m:sSub>
                    <m:sSubPr>
                      <m:ctrlPr>
                        <w:rPr>
                          <w:rFonts w:ascii="Cambria Math" w:hAnsi="Cambria Math"/>
                        </w:rPr>
                      </m:ctrlPr>
                    </m:sSubPr>
                    <m:e>
                      <m:r>
                        <w:rPr>
                          <w:rFonts w:ascii="Cambria Math" w:hAnsi="Cambria Math"/>
                        </w:rPr>
                        <m:t>ADD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DSP</m:t>
                      </m:r>
                    </m:e>
                    <m:sub>
                      <m:r>
                        <w:rPr>
                          <w:rFonts w:ascii="Cambria Math" w:hAnsi="Cambria Math"/>
                        </w:rPr>
                        <m:t>t</m:t>
                      </m:r>
                    </m:sub>
                  </m:sSub>
                </m:e>
              </m:d>
            </m:e>
          </m:nary>
        </m:oMath>
      </m:oMathPara>
    </w:p>
    <w:p w14:paraId="4BB40148" w14:textId="408C2068" w:rsidR="005F4C23" w:rsidRPr="00A237CB" w:rsidRDefault="008704D6" w:rsidP="005F4C23">
      <w:r>
        <w:tab/>
      </w:r>
      <w:r w:rsidR="005F4C23" w:rsidRPr="00B76D9F">
        <w:t xml:space="preserve">where: </w:t>
      </w:r>
    </w:p>
    <w:tbl>
      <w:tblPr>
        <w:tblW w:w="8506" w:type="dxa"/>
        <w:tblInd w:w="817" w:type="dxa"/>
        <w:tblLayout w:type="fixed"/>
        <w:tblLook w:val="04A0" w:firstRow="1" w:lastRow="0" w:firstColumn="1" w:lastColumn="0" w:noHBand="0" w:noVBand="1"/>
      </w:tblPr>
      <w:tblGrid>
        <w:gridCol w:w="1985"/>
        <w:gridCol w:w="6521"/>
      </w:tblGrid>
      <w:tr w:rsidR="005F4C23" w:rsidRPr="00774853" w14:paraId="793F8B43" w14:textId="77777777" w:rsidTr="005F4C23">
        <w:trPr>
          <w:trHeight w:val="567"/>
        </w:trPr>
        <w:tc>
          <w:tcPr>
            <w:tcW w:w="1985" w:type="dxa"/>
          </w:tcPr>
          <w:p w14:paraId="53A2086A" w14:textId="77777777" w:rsidR="005F4C23" w:rsidRPr="005F4C23" w:rsidRDefault="005F4C23" w:rsidP="005F4C23">
            <w:r w:rsidRPr="00B76D9F">
              <w:t>BASE</w:t>
            </w:r>
          </w:p>
        </w:tc>
        <w:tc>
          <w:tcPr>
            <w:tcW w:w="6521" w:type="dxa"/>
          </w:tcPr>
          <w:p w14:paraId="0A299B82" w14:textId="0C605366" w:rsidR="005F4C23" w:rsidRPr="005F4C23" w:rsidRDefault="005F4C23" w:rsidP="005F4C23">
            <w:r>
              <w:t>m</w:t>
            </w:r>
            <w:r w:rsidRPr="005F4C23">
              <w:t>eans [the licensee’s baseline leakage rate of Insulation and Interruption Gas emissions in tonnes CO2e</w:t>
            </w:r>
            <w:r w:rsidRPr="005F4C23" w:rsidDel="008C45D7">
              <w:t xml:space="preserve"> </w:t>
            </w:r>
            <w:r w:rsidRPr="005F4C23">
              <w:t>and is calculated in 2021/22 by multiplying the licensee’s IIG Inventory at the end of RIIO-T1, by the Average IIG Leakage Rate from 2013/14 to 2019/20, multiplied by 0.85]</w:t>
            </w:r>
            <w:r w:rsidR="00C16DBA">
              <w:t>;</w:t>
            </w:r>
          </w:p>
        </w:tc>
      </w:tr>
      <w:tr w:rsidR="005F4C23" w:rsidRPr="00774853" w14:paraId="2EF2E4B0" w14:textId="77777777" w:rsidTr="005F4C23">
        <w:trPr>
          <w:trHeight w:val="567"/>
        </w:trPr>
        <w:tc>
          <w:tcPr>
            <w:tcW w:w="1985" w:type="dxa"/>
          </w:tcPr>
          <w:p w14:paraId="15CE7CA8" w14:textId="77777777" w:rsidR="005F4C23" w:rsidRPr="005F4C23" w:rsidRDefault="005F4C23" w:rsidP="005F4C23">
            <w:proofErr w:type="spellStart"/>
            <w:r w:rsidRPr="00B76D9F">
              <w:t>ADD</w:t>
            </w:r>
            <w:r w:rsidRPr="005F4C23">
              <w:t>t</w:t>
            </w:r>
            <w:proofErr w:type="spellEnd"/>
          </w:p>
        </w:tc>
        <w:tc>
          <w:tcPr>
            <w:tcW w:w="6521" w:type="dxa"/>
          </w:tcPr>
          <w:p w14:paraId="2D91017D" w14:textId="6036CC13" w:rsidR="005F4C23" w:rsidRPr="005F4C23" w:rsidRDefault="005F4C23" w:rsidP="005F4C23">
            <w:r w:rsidRPr="00B76D9F">
              <w:t xml:space="preserve">means the </w:t>
            </w:r>
            <w:r w:rsidRPr="005F4C23">
              <w:t>Insulation and Interruption Gas emissions in tonnes CO2e</w:t>
            </w:r>
            <w:r w:rsidRPr="005F4C23" w:rsidDel="008C45D7">
              <w:t xml:space="preserve"> </w:t>
            </w:r>
            <w:r w:rsidRPr="005F4C23">
              <w:t xml:space="preserve">from new assets added to the licensee’s Transmission System as calculated in accordance with the IIG Methodology Statement. For an asset added during Regulatory Year t, a proportion of the annual emissions should be calculated based on the number of quarters of the Regulatory Year t </w:t>
            </w:r>
            <w:r w:rsidR="00C16DBA">
              <w:t xml:space="preserve">for which </w:t>
            </w:r>
            <w:r w:rsidRPr="005F4C23">
              <w:t xml:space="preserve">it formed part </w:t>
            </w:r>
            <w:r w:rsidR="00C16DBA">
              <w:t xml:space="preserve">of </w:t>
            </w:r>
            <w:r w:rsidRPr="005F4C23">
              <w:t>the licensee’s Transmission System</w:t>
            </w:r>
            <w:r w:rsidR="00C16DBA">
              <w:t>; and</w:t>
            </w:r>
          </w:p>
        </w:tc>
      </w:tr>
      <w:tr w:rsidR="005F4C23" w:rsidRPr="00774853" w14:paraId="63F94226" w14:textId="77777777" w:rsidTr="005F4C23">
        <w:trPr>
          <w:trHeight w:val="567"/>
        </w:trPr>
        <w:tc>
          <w:tcPr>
            <w:tcW w:w="1985" w:type="dxa"/>
          </w:tcPr>
          <w:p w14:paraId="373C0A55" w14:textId="77777777" w:rsidR="005F4C23" w:rsidRPr="005F4C23" w:rsidRDefault="005F4C23" w:rsidP="005F4C23">
            <w:proofErr w:type="spellStart"/>
            <w:r w:rsidRPr="00B76D9F">
              <w:t>DSP</w:t>
            </w:r>
            <w:r w:rsidRPr="005F4C23">
              <w:t>t</w:t>
            </w:r>
            <w:proofErr w:type="spellEnd"/>
          </w:p>
        </w:tc>
        <w:tc>
          <w:tcPr>
            <w:tcW w:w="6521" w:type="dxa"/>
          </w:tcPr>
          <w:p w14:paraId="156522EB" w14:textId="0DFAF1DD" w:rsidR="005F4C23" w:rsidRPr="005F4C23" w:rsidRDefault="005F4C23" w:rsidP="005F4C23">
            <w:r w:rsidRPr="00B76D9F">
              <w:t>means</w:t>
            </w:r>
            <w:r w:rsidRPr="005F4C23">
              <w:t xml:space="preserve"> the reduction in Insulation and Interruption Gas emissions in tonnes CO2e</w:t>
            </w:r>
            <w:r w:rsidRPr="005F4C23" w:rsidDel="008C45D7">
              <w:t xml:space="preserve"> </w:t>
            </w:r>
            <w:r w:rsidRPr="005F4C23">
              <w:t>from assets decommissioned from service on the licensee’s Transmission System</w:t>
            </w:r>
            <w:r w:rsidRPr="005F4C23" w:rsidDel="0090755D">
              <w:t xml:space="preserve"> </w:t>
            </w:r>
            <w:r w:rsidRPr="005F4C23">
              <w:t xml:space="preserve">as calculated in accordance with the IIG Methodology Statement. For an asset removed during Regulatory Year t, a proportion of the annual emissions should be calculated based on the number of quarters of the Regulatory Year t </w:t>
            </w:r>
            <w:r w:rsidR="00C16DBA">
              <w:t xml:space="preserve">for which </w:t>
            </w:r>
            <w:r w:rsidRPr="005F4C23">
              <w:t>it did not form part</w:t>
            </w:r>
            <w:r w:rsidR="00C16DBA">
              <w:t xml:space="preserve"> of</w:t>
            </w:r>
            <w:r w:rsidRPr="005F4C23">
              <w:t xml:space="preserve"> the licensee’s Transmission System.</w:t>
            </w:r>
          </w:p>
        </w:tc>
      </w:tr>
    </w:tbl>
    <w:p w14:paraId="7BF4D49C" w14:textId="6BE7CFE5" w:rsidR="005F4C23" w:rsidRPr="00B76D9F" w:rsidRDefault="005F4C23" w:rsidP="00C73172">
      <w:pPr>
        <w:pStyle w:val="Heading3"/>
      </w:pPr>
      <w:r>
        <w:t xml:space="preserve">IIG </w:t>
      </w:r>
      <w:r w:rsidRPr="00B76D9F">
        <w:t xml:space="preserve">Methodology </w:t>
      </w:r>
      <w:r>
        <w:t>S</w:t>
      </w:r>
      <w:r w:rsidRPr="00B76D9F">
        <w:t xml:space="preserve">tatement </w:t>
      </w:r>
    </w:p>
    <w:p w14:paraId="7A8D6984" w14:textId="77777777" w:rsidR="005F4C23" w:rsidRPr="005F4C23" w:rsidRDefault="005F4C23" w:rsidP="00C73172">
      <w:pPr>
        <w:pStyle w:val="NumberedNormal"/>
      </w:pPr>
      <w:r>
        <w:t>The l</w:t>
      </w:r>
      <w:r w:rsidRPr="005F4C23">
        <w:t>icensee must have in place an IIG Methodology Statement approved by the Authority.</w:t>
      </w:r>
    </w:p>
    <w:p w14:paraId="1E15EF1B" w14:textId="77777777" w:rsidR="005F4C23" w:rsidRPr="005F4C23" w:rsidRDefault="005F4C23" w:rsidP="00C73172">
      <w:pPr>
        <w:pStyle w:val="NumberedNormal"/>
      </w:pPr>
      <w:r w:rsidRPr="00B76D9F">
        <w:t xml:space="preserve">The </w:t>
      </w:r>
      <w:r w:rsidRPr="005F4C23">
        <w:t>IIG Methodology Statement must:</w:t>
      </w:r>
    </w:p>
    <w:p w14:paraId="4A82A5EA" w14:textId="10AFD243" w:rsidR="005F4C23" w:rsidRPr="005F4C23" w:rsidRDefault="005F4C23" w:rsidP="00C73172">
      <w:pPr>
        <w:pStyle w:val="ListNormal"/>
      </w:pPr>
      <w:r>
        <w:t xml:space="preserve">be </w:t>
      </w:r>
      <w:r w:rsidRPr="005F4C23">
        <w:t xml:space="preserve">consistent with industry best practice for measuring actual and estimating expected leakage of Insulation and Interruption Gases from the assets forming part of the licensee's Transmission System; </w:t>
      </w:r>
      <w:r w:rsidR="00C16DBA">
        <w:t>and</w:t>
      </w:r>
    </w:p>
    <w:p w14:paraId="1123EA50" w14:textId="77777777" w:rsidR="005F4C23" w:rsidRPr="005F4C23" w:rsidRDefault="005F4C23" w:rsidP="00C73172">
      <w:pPr>
        <w:pStyle w:val="ListNormal"/>
      </w:pPr>
      <w:r>
        <w:t>in respect of each Insulation and Interrup</w:t>
      </w:r>
      <w:r w:rsidRPr="005F4C23">
        <w:t>tion Gas:</w:t>
      </w:r>
    </w:p>
    <w:p w14:paraId="29E0AC8C" w14:textId="77777777" w:rsidR="005F4C23" w:rsidRPr="005F4C23" w:rsidRDefault="005F4C23" w:rsidP="00AB1D80">
      <w:pPr>
        <w:pStyle w:val="ListNormal"/>
        <w:numPr>
          <w:ilvl w:val="4"/>
          <w:numId w:val="8"/>
        </w:numPr>
      </w:pPr>
      <w:r>
        <w:t xml:space="preserve">set out </w:t>
      </w:r>
      <w:r w:rsidRPr="005F4C23">
        <w:t>how the licensee’s actual and expected emissions are adjusted to tonnes of CO2e by using the relevant global warming potential values published on the Greenhouse Gas Protocol Website; or</w:t>
      </w:r>
    </w:p>
    <w:p w14:paraId="2B483427" w14:textId="77777777" w:rsidR="005F4C23" w:rsidRPr="005F4C23" w:rsidRDefault="005F4C23" w:rsidP="00AB1D80">
      <w:pPr>
        <w:pStyle w:val="ListNormal"/>
        <w:numPr>
          <w:ilvl w:val="4"/>
          <w:numId w:val="8"/>
        </w:numPr>
      </w:pPr>
      <w:r>
        <w:t>where</w:t>
      </w:r>
      <w:r w:rsidRPr="005F4C23">
        <w:t xml:space="preserve"> this information is not available from the Greenhouse Gas Protocol Website, specify the source of the global warming potential value adopted and set out the process undertaken to verify that source; and</w:t>
      </w:r>
    </w:p>
    <w:p w14:paraId="0C0585FA" w14:textId="313FD14A" w:rsidR="005F4C23" w:rsidRPr="005F4C23" w:rsidRDefault="00C16DBA" w:rsidP="003F66DB">
      <w:pPr>
        <w:pStyle w:val="ListNormal"/>
      </w:pPr>
      <w:r>
        <w:lastRenderedPageBreak/>
        <w:t xml:space="preserve">in </w:t>
      </w:r>
      <w:r w:rsidRPr="003352AE">
        <w:t>respect</w:t>
      </w:r>
      <w:r>
        <w:t xml:space="preserve"> of each Insulation and Interruption Gas </w:t>
      </w:r>
      <w:r w:rsidR="005F4C23" w:rsidRPr="00B76D9F">
        <w:t xml:space="preserve">set out the methodology by which the </w:t>
      </w:r>
      <w:r w:rsidR="005F4C23" w:rsidRPr="005F4C23">
        <w:t xml:space="preserve">licensee will determine the leakage of Insulation and Interruption Gases from the assets forming part of its Transmission System for the </w:t>
      </w:r>
      <w:proofErr w:type="spellStart"/>
      <w:r w:rsidR="005F4C23" w:rsidRPr="005F4C23">
        <w:t>ALE</w:t>
      </w:r>
      <w:r w:rsidR="00D9203B" w:rsidRPr="00FE27C7">
        <w:rPr>
          <w:vertAlign w:val="subscript"/>
        </w:rPr>
        <w:t>t</w:t>
      </w:r>
      <w:proofErr w:type="spellEnd"/>
      <w:r w:rsidR="005F4C23" w:rsidRPr="005F4C23">
        <w:t xml:space="preserve">, </w:t>
      </w:r>
      <w:proofErr w:type="spellStart"/>
      <w:r w:rsidR="005F4C23" w:rsidRPr="005F4C23">
        <w:t>ADD</w:t>
      </w:r>
      <w:r w:rsidR="00D9203B" w:rsidRPr="00FE27C7">
        <w:rPr>
          <w:vertAlign w:val="subscript"/>
        </w:rPr>
        <w:t>t</w:t>
      </w:r>
      <w:proofErr w:type="spellEnd"/>
      <w:r w:rsidR="005F4C23" w:rsidRPr="005F4C23">
        <w:t xml:space="preserve"> and </w:t>
      </w:r>
      <w:proofErr w:type="spellStart"/>
      <w:r w:rsidR="005F4C23" w:rsidRPr="005F4C23">
        <w:t>DSP</w:t>
      </w:r>
      <w:r w:rsidR="00D9203B" w:rsidRPr="00FE27C7">
        <w:rPr>
          <w:vertAlign w:val="subscript"/>
        </w:rPr>
        <w:t>t</w:t>
      </w:r>
      <w:proofErr w:type="spellEnd"/>
      <w:r w:rsidR="005F4C23" w:rsidRPr="005F4C23">
        <w:t xml:space="preserve"> terms.</w:t>
      </w:r>
    </w:p>
    <w:p w14:paraId="4AF17813" w14:textId="1987EB41" w:rsidR="005F4C23" w:rsidRPr="005F4C23" w:rsidRDefault="005F4C23" w:rsidP="00121C5A">
      <w:pPr>
        <w:pStyle w:val="NumberedNormal"/>
      </w:pPr>
      <w:r>
        <w:t>T</w:t>
      </w:r>
      <w:r w:rsidRPr="005F4C23">
        <w:t xml:space="preserve">he licensee must use </w:t>
      </w:r>
      <w:r w:rsidR="00D9203B">
        <w:t xml:space="preserve">its </w:t>
      </w:r>
      <w:r w:rsidRPr="005F4C23">
        <w:t>best endeavours to apply the methodology in the IIG Methodology Statement.</w:t>
      </w:r>
    </w:p>
    <w:p w14:paraId="2C9849D8" w14:textId="784CDC4C" w:rsidR="005F4C23" w:rsidRPr="005F4C23" w:rsidRDefault="005F4C23" w:rsidP="00121C5A">
      <w:pPr>
        <w:pStyle w:val="NumberedNormal"/>
      </w:pPr>
      <w:r w:rsidRPr="005A3074">
        <w:t xml:space="preserve">The </w:t>
      </w:r>
      <w:r w:rsidRPr="005F4C23">
        <w:t xml:space="preserve">licensee must from time to time and </w:t>
      </w:r>
      <w:r w:rsidR="00D9203B">
        <w:t>in any event not less than once in every period of two Regulatory Years</w:t>
      </w:r>
      <w:r w:rsidRPr="005F4C23">
        <w:t xml:space="preserve">, review and propose any revisions to the IIG Methodology Statement as may be necessary in order to ensure that it continues to comply with paragraph </w:t>
      </w:r>
      <w:r w:rsidR="00C16DBA">
        <w:t>4.2</w:t>
      </w:r>
      <w:r w:rsidRPr="005F4C23">
        <w:t>.7.</w:t>
      </w:r>
    </w:p>
    <w:p w14:paraId="6955AE3F" w14:textId="77777777" w:rsidR="005F4C23" w:rsidRPr="005F4C23" w:rsidRDefault="005F4C23" w:rsidP="00121C5A">
      <w:pPr>
        <w:pStyle w:val="NumberedNormal"/>
      </w:pPr>
      <w:r w:rsidRPr="00B76D9F">
        <w:t xml:space="preserve">Before revising the </w:t>
      </w:r>
      <w:r w:rsidRPr="005F4C23">
        <w:t>IIG Methodology Statement, the licensee must submit a copy of the proposed revisions to the Authority.</w:t>
      </w:r>
    </w:p>
    <w:p w14:paraId="170A8B5E" w14:textId="77777777" w:rsidR="005F4C23" w:rsidRPr="005F4C23" w:rsidRDefault="005F4C23" w:rsidP="00121C5A">
      <w:pPr>
        <w:pStyle w:val="NumberedNormal"/>
      </w:pPr>
      <w:r>
        <w:t>T</w:t>
      </w:r>
      <w:r w:rsidRPr="005F4C23">
        <w:t>he Authority will either:</w:t>
      </w:r>
    </w:p>
    <w:p w14:paraId="0A915EE2" w14:textId="517039FD" w:rsidR="005F4C23" w:rsidRPr="005F4C23" w:rsidRDefault="005F4C23" w:rsidP="00121C5A">
      <w:pPr>
        <w:pStyle w:val="ListNormal"/>
      </w:pPr>
      <w:r>
        <w:t xml:space="preserve">approve the </w:t>
      </w:r>
      <w:r w:rsidR="00D9203B">
        <w:t xml:space="preserve">proposed </w:t>
      </w:r>
      <w:proofErr w:type="gramStart"/>
      <w:r>
        <w:t>revisions</w:t>
      </w:r>
      <w:r w:rsidRPr="005F4C23">
        <w:t>;</w:t>
      </w:r>
      <w:proofErr w:type="gramEnd"/>
      <w:r w:rsidRPr="005F4C23">
        <w:t xml:space="preserve"> </w:t>
      </w:r>
    </w:p>
    <w:p w14:paraId="05F1AD64" w14:textId="77777777" w:rsidR="005F4C23" w:rsidRPr="005F4C23" w:rsidRDefault="005F4C23" w:rsidP="00121C5A">
      <w:pPr>
        <w:pStyle w:val="ListNormal"/>
      </w:pPr>
      <w:r>
        <w:t>reject the proposed revisions</w:t>
      </w:r>
      <w:r w:rsidRPr="005F4C23">
        <w:t>; or</w:t>
      </w:r>
    </w:p>
    <w:p w14:paraId="23958C07" w14:textId="37AC3656" w:rsidR="005F4C23" w:rsidRPr="005F4C23" w:rsidRDefault="005F4C23" w:rsidP="00121C5A">
      <w:pPr>
        <w:pStyle w:val="ListNormal"/>
      </w:pPr>
      <w:r>
        <w:t xml:space="preserve">reject the proposed revisions and </w:t>
      </w:r>
      <w:r w:rsidRPr="005F4C23">
        <w:t xml:space="preserve">give recommendations as to alternative revisions which it considers </w:t>
      </w:r>
      <w:r w:rsidR="008C578E">
        <w:t>should be made</w:t>
      </w:r>
      <w:r w:rsidRPr="005F4C23">
        <w:t>.</w:t>
      </w:r>
    </w:p>
    <w:p w14:paraId="3B29B2F3" w14:textId="2ED95461" w:rsidR="005F4C23" w:rsidRPr="00B76D9F" w:rsidRDefault="005F4C23" w:rsidP="00121C5A">
      <w:pPr>
        <w:pStyle w:val="Heading3"/>
      </w:pPr>
      <w:r w:rsidRPr="00B76D9F">
        <w:t xml:space="preserve">Notification and treatment of </w:t>
      </w:r>
      <w:r>
        <w:t xml:space="preserve">IIG </w:t>
      </w:r>
      <w:r w:rsidRPr="00B76D9F">
        <w:t>Exceptional Events</w:t>
      </w:r>
    </w:p>
    <w:p w14:paraId="49C2D5EA" w14:textId="77777777" w:rsidR="005F4C23" w:rsidRPr="005F4C23" w:rsidRDefault="005F4C23" w:rsidP="00121C5A">
      <w:pPr>
        <w:pStyle w:val="NumberedNormal"/>
      </w:pPr>
      <w:r w:rsidRPr="00B76D9F">
        <w:t xml:space="preserve">Where the </w:t>
      </w:r>
      <w:r w:rsidRPr="005F4C23">
        <w:t>licensee considers that an IIG Exceptional Event</w:t>
      </w:r>
      <w:r w:rsidRPr="005F4C23" w:rsidDel="00B54C4E">
        <w:t xml:space="preserve"> </w:t>
      </w:r>
      <w:r w:rsidRPr="005F4C23">
        <w:t>has wholly or partly caused leakage of an Insultation and Interruption Gas, it must:</w:t>
      </w:r>
    </w:p>
    <w:p w14:paraId="52955057" w14:textId="20412F9D" w:rsidR="005F4C23" w:rsidRPr="005F4C23" w:rsidRDefault="005F4C23" w:rsidP="00121C5A">
      <w:pPr>
        <w:pStyle w:val="ListNormal"/>
      </w:pPr>
      <w:r w:rsidRPr="00B76D9F">
        <w:t>notify the Authority of</w:t>
      </w:r>
      <w:r w:rsidRPr="005F4C23">
        <w:t xml:space="preserve"> that event as soon as reasonably practicable but at the latest </w:t>
      </w:r>
      <w:r w:rsidR="00692707">
        <w:t xml:space="preserve">before the end of the period of </w:t>
      </w:r>
      <w:r w:rsidRPr="005F4C23">
        <w:t xml:space="preserve">14 days </w:t>
      </w:r>
      <w:r w:rsidR="00692707">
        <w:t xml:space="preserve">beginning with the date of the </w:t>
      </w:r>
      <w:proofErr w:type="gramStart"/>
      <w:r w:rsidR="00692707">
        <w:t>event</w:t>
      </w:r>
      <w:r w:rsidRPr="005F4C23">
        <w:t>;</w:t>
      </w:r>
      <w:proofErr w:type="gramEnd"/>
      <w:r w:rsidRPr="005F4C23">
        <w:t xml:space="preserve"> </w:t>
      </w:r>
    </w:p>
    <w:p w14:paraId="45380DBF" w14:textId="2466E207" w:rsidR="005F4C23" w:rsidRPr="005F4C23" w:rsidRDefault="005F4C23" w:rsidP="00121C5A">
      <w:pPr>
        <w:pStyle w:val="ListNormal"/>
      </w:pPr>
      <w:r>
        <w:t xml:space="preserve">except where the Authority otherwise consents, </w:t>
      </w:r>
      <w:r w:rsidR="00692707">
        <w:t xml:space="preserve">during the period of </w:t>
      </w:r>
      <w:r w:rsidRPr="005F4C23">
        <w:t xml:space="preserve">30 days </w:t>
      </w:r>
      <w:r w:rsidR="00692707">
        <w:t xml:space="preserve">beginning with the </w:t>
      </w:r>
      <w:r w:rsidRPr="005F4C23">
        <w:t xml:space="preserve">notification under </w:t>
      </w:r>
      <w:r w:rsidR="00692707">
        <w:t xml:space="preserve">sub-paragraph </w:t>
      </w:r>
      <w:r w:rsidRPr="005F4C23">
        <w:t>(a), provide</w:t>
      </w:r>
      <w:r w:rsidR="00692707">
        <w:t xml:space="preserve"> to the Authority</w:t>
      </w:r>
      <w:r w:rsidRPr="005F4C23">
        <w:t>:</w:t>
      </w:r>
    </w:p>
    <w:p w14:paraId="127420B2" w14:textId="77777777" w:rsidR="005F4C23" w:rsidRPr="005F4C23" w:rsidRDefault="005F4C23" w:rsidP="00AB1D80">
      <w:pPr>
        <w:pStyle w:val="ListNormal"/>
        <w:numPr>
          <w:ilvl w:val="4"/>
          <w:numId w:val="8"/>
        </w:numPr>
      </w:pPr>
      <w:r w:rsidRPr="001E529C">
        <w:t xml:space="preserve">details of the volume of </w:t>
      </w:r>
      <w:r w:rsidRPr="005F4C23">
        <w:t xml:space="preserve">leakage of Insultation and Interruption Gas that it considers resulted from the IIG Exceptional </w:t>
      </w:r>
      <w:proofErr w:type="gramStart"/>
      <w:r w:rsidRPr="005F4C23">
        <w:t>Event;</w:t>
      </w:r>
      <w:proofErr w:type="gramEnd"/>
      <w:r w:rsidRPr="005F4C23">
        <w:t xml:space="preserve"> </w:t>
      </w:r>
    </w:p>
    <w:p w14:paraId="0C170B02" w14:textId="19F9DFA4" w:rsidR="005F4C23" w:rsidRPr="005F4C23" w:rsidRDefault="005F4C23" w:rsidP="00AB1D80">
      <w:pPr>
        <w:pStyle w:val="ListNormal"/>
        <w:numPr>
          <w:ilvl w:val="4"/>
          <w:numId w:val="8"/>
        </w:numPr>
      </w:pPr>
      <w:r>
        <w:t xml:space="preserve">any evidence available which demonstrates that the event was not attributable to any </w:t>
      </w:r>
      <w:r w:rsidRPr="005F4C23">
        <w:t xml:space="preserve">error on </w:t>
      </w:r>
      <w:r w:rsidR="00692707">
        <w:t xml:space="preserve">the licensee’s </w:t>
      </w:r>
      <w:r w:rsidRPr="005F4C23">
        <w:t>part; and</w:t>
      </w:r>
    </w:p>
    <w:p w14:paraId="6B0E03FF" w14:textId="220559CA" w:rsidR="005F4C23" w:rsidRPr="005F4C23" w:rsidRDefault="005F4C23" w:rsidP="00AB1D80">
      <w:pPr>
        <w:pStyle w:val="ListNormal"/>
        <w:numPr>
          <w:ilvl w:val="4"/>
          <w:numId w:val="8"/>
        </w:numPr>
      </w:pPr>
      <w:r>
        <w:t>any</w:t>
      </w:r>
      <w:r w:rsidRPr="005F4C23">
        <w:t xml:space="preserve"> evidence available that it had taken reasonable preventative and mitigating actions before and after the event to limit its effect.</w:t>
      </w:r>
    </w:p>
    <w:p w14:paraId="13BC374A" w14:textId="42527199" w:rsidR="005F4C23" w:rsidRPr="005F4C23" w:rsidRDefault="005F4C23" w:rsidP="00121C5A">
      <w:pPr>
        <w:pStyle w:val="NumberedNormal"/>
      </w:pPr>
      <w:r>
        <w:t xml:space="preserve">The licensee must not provide the details required by paragraph </w:t>
      </w:r>
      <w:r w:rsidR="0012229C">
        <w:t>4.2.</w:t>
      </w:r>
      <w:r>
        <w:t>12(b) where the cost of doing so</w:t>
      </w:r>
      <w:r w:rsidR="00D9203B">
        <w:t xml:space="preserve"> is likely to</w:t>
      </w:r>
      <w:r>
        <w:t xml:space="preserve"> exceed the value of the volume of leakage under paragraph </w:t>
      </w:r>
      <w:r w:rsidR="0012229C">
        <w:t>4.2.12</w:t>
      </w:r>
      <w:r w:rsidR="0012229C" w:rsidDel="0012229C">
        <w:t xml:space="preserve"> </w:t>
      </w:r>
      <w:r>
        <w:t>(b)(</w:t>
      </w:r>
      <w:proofErr w:type="spellStart"/>
      <w:r>
        <w:t>i</w:t>
      </w:r>
      <w:proofErr w:type="spellEnd"/>
      <w:r>
        <w:t xml:space="preserve">). </w:t>
      </w:r>
    </w:p>
    <w:p w14:paraId="36A1C9DB" w14:textId="4FE0994F" w:rsidR="005F4C23" w:rsidRPr="005F4C23" w:rsidRDefault="005F4C23" w:rsidP="004431E5">
      <w:pPr>
        <w:pStyle w:val="NumberedNormal"/>
      </w:pPr>
      <w:r>
        <w:t xml:space="preserve">Before </w:t>
      </w:r>
      <w:r w:rsidRPr="005F4C23">
        <w:t xml:space="preserve">directing an adjustment to </w:t>
      </w:r>
      <w:proofErr w:type="spellStart"/>
      <w:r w:rsidRPr="005F4C23">
        <w:t>ALE</w:t>
      </w:r>
      <w:r w:rsidR="00D9203B">
        <w:t>t</w:t>
      </w:r>
      <w:proofErr w:type="spellEnd"/>
      <w:r w:rsidRPr="005F4C23">
        <w:t xml:space="preserve"> </w:t>
      </w:r>
      <w:proofErr w:type="gramStart"/>
      <w:r w:rsidRPr="005F4C23">
        <w:t>as a result of</w:t>
      </w:r>
      <w:proofErr w:type="gramEnd"/>
      <w:r w:rsidRPr="005F4C23">
        <w:t xml:space="preserve"> an IIG Exceptional Event, the Authority will publish on </w:t>
      </w:r>
      <w:r w:rsidR="00D9203B">
        <w:t>the Authority's Website</w:t>
      </w:r>
      <w:r w:rsidRPr="005F4C23">
        <w:t>:</w:t>
      </w:r>
    </w:p>
    <w:p w14:paraId="77C9A455" w14:textId="77777777" w:rsidR="005F4C23" w:rsidRPr="005F4C23" w:rsidRDefault="005F4C23" w:rsidP="004431E5">
      <w:pPr>
        <w:pStyle w:val="ListNormal"/>
      </w:pPr>
      <w:r>
        <w:t>t</w:t>
      </w:r>
      <w:r w:rsidRPr="005F4C23">
        <w:t xml:space="preserve">he text of the proposed </w:t>
      </w:r>
      <w:proofErr w:type="gramStart"/>
      <w:r w:rsidRPr="005F4C23">
        <w:t>direction;</w:t>
      </w:r>
      <w:proofErr w:type="gramEnd"/>
    </w:p>
    <w:p w14:paraId="0DB23F8D" w14:textId="76664CCE" w:rsidR="005F4C23" w:rsidRPr="005F4C23" w:rsidRDefault="005F4C23" w:rsidP="004431E5">
      <w:pPr>
        <w:pStyle w:val="ListNormal"/>
      </w:pPr>
      <w:r>
        <w:lastRenderedPageBreak/>
        <w:t>t</w:t>
      </w:r>
      <w:r w:rsidRPr="005F4C23">
        <w:t xml:space="preserve">he reasons </w:t>
      </w:r>
      <w:r w:rsidR="007D7622">
        <w:t>for the proposed direction</w:t>
      </w:r>
      <w:r w:rsidRPr="005F4C23">
        <w:t>; and</w:t>
      </w:r>
    </w:p>
    <w:p w14:paraId="3172E4A6" w14:textId="6FDCE4E7" w:rsidR="00D9203B" w:rsidRPr="00D9203B" w:rsidRDefault="00D9203B" w:rsidP="00D9203B">
      <w:pPr>
        <w:pStyle w:val="ListNormal"/>
        <w:tabs>
          <w:tab w:val="num" w:pos="879"/>
        </w:tabs>
      </w:pPr>
      <w:r w:rsidRPr="00D9203B">
        <w:t xml:space="preserve">a period during which representations may be made on the proposed </w:t>
      </w:r>
      <w:r w:rsidR="00664627">
        <w:t xml:space="preserve">direction, which will not be less than </w:t>
      </w:r>
      <w:r w:rsidRPr="00D9203B">
        <w:t>28 days.</w:t>
      </w:r>
    </w:p>
    <w:p w14:paraId="2492793E" w14:textId="64AA337F" w:rsidR="005F4C23" w:rsidRDefault="005F4C23" w:rsidP="005F4C23">
      <w:pPr>
        <w:pStyle w:val="Heading2"/>
      </w:pPr>
      <w:bookmarkStart w:id="146" w:name="_Toc51319633"/>
      <w:bookmarkStart w:id="147" w:name="_Toc51798301"/>
      <w:bookmarkStart w:id="148" w:name="_Toc52364913"/>
      <w:r w:rsidRPr="0055061E">
        <w:t xml:space="preserve">Timely Connections </w:t>
      </w:r>
      <w:bookmarkEnd w:id="146"/>
      <w:r w:rsidR="00C779C8">
        <w:t>o</w:t>
      </w:r>
      <w:r>
        <w:t xml:space="preserve">utput </w:t>
      </w:r>
      <w:r w:rsidR="00C779C8">
        <w:t>d</w:t>
      </w:r>
      <w:r>
        <w:t xml:space="preserve">elivery </w:t>
      </w:r>
      <w:r w:rsidR="00C779C8">
        <w:t>i</w:t>
      </w:r>
      <w:r>
        <w:t>ncentive</w:t>
      </w:r>
      <w:r w:rsidR="00D9203B">
        <w:t xml:space="preserve"> (</w:t>
      </w:r>
      <w:proofErr w:type="spellStart"/>
      <w:r w:rsidR="00D9203B">
        <w:t>CONADJt</w:t>
      </w:r>
      <w:proofErr w:type="spellEnd"/>
      <w:r w:rsidR="00D9203B">
        <w:t>)</w:t>
      </w:r>
      <w:bookmarkEnd w:id="147"/>
      <w:bookmarkEnd w:id="148"/>
    </w:p>
    <w:p w14:paraId="57A991F2" w14:textId="77777777" w:rsidR="005F4C23" w:rsidRPr="0057526A" w:rsidRDefault="005F4C23" w:rsidP="004431E5">
      <w:pPr>
        <w:pStyle w:val="Heading3nonumbering"/>
      </w:pPr>
      <w:r w:rsidRPr="0057526A">
        <w:t xml:space="preserve">Introduction </w:t>
      </w:r>
    </w:p>
    <w:p w14:paraId="1F50DA31" w14:textId="06106E10" w:rsidR="005F4C23" w:rsidRPr="005F4C23" w:rsidRDefault="005F4C23" w:rsidP="00583233">
      <w:pPr>
        <w:pStyle w:val="NumberedNormal"/>
      </w:pPr>
      <w:r w:rsidRPr="00894D91">
        <w:t xml:space="preserve">The purpose of this condition is to </w:t>
      </w:r>
      <w:r w:rsidRPr="005F4C23">
        <w:t xml:space="preserve">calculate the term </w:t>
      </w:r>
      <w:proofErr w:type="spellStart"/>
      <w:r w:rsidRPr="005F4C23">
        <w:t>CONADJt</w:t>
      </w:r>
      <w:proofErr w:type="spellEnd"/>
      <w:r w:rsidRPr="005F4C23">
        <w:t xml:space="preserve"> (the timely connections </w:t>
      </w:r>
      <w:r w:rsidR="00954A9C">
        <w:t xml:space="preserve">output delivery </w:t>
      </w:r>
      <w:r w:rsidRPr="005F4C23">
        <w:t xml:space="preserve">incentive term). This contributes to the calculation of the term </w:t>
      </w:r>
      <w:proofErr w:type="spellStart"/>
      <w:r w:rsidRPr="005F4C23">
        <w:t>ODIt</w:t>
      </w:r>
      <w:proofErr w:type="spellEnd"/>
      <w:r w:rsidRPr="005F4C23">
        <w:t xml:space="preserve"> (the output delivery incentives term), which in turn feeds into Calculated Revenue in </w:t>
      </w:r>
      <w:r w:rsidR="00A148E7">
        <w:t>Special Condition 2.1 (Revenue Restriction)</w:t>
      </w:r>
      <w:r w:rsidRPr="005F4C23">
        <w:t>.</w:t>
      </w:r>
    </w:p>
    <w:p w14:paraId="7BCF4524" w14:textId="77777777" w:rsidR="005F4C23" w:rsidRPr="005F4C23" w:rsidRDefault="005F4C23" w:rsidP="00583233">
      <w:pPr>
        <w:pStyle w:val="NumberedNormal"/>
      </w:pPr>
      <w:r>
        <w:t>Where the Authority decides to apply t</w:t>
      </w:r>
      <w:r w:rsidRPr="005F4C23">
        <w:t xml:space="preserve">he </w:t>
      </w:r>
      <w:proofErr w:type="spellStart"/>
      <w:r w:rsidRPr="005F4C23">
        <w:t>CONADJt</w:t>
      </w:r>
      <w:proofErr w:type="spellEnd"/>
      <w:r w:rsidRPr="005F4C23">
        <w:t xml:space="preserve"> term, the effect will be to penalise the licensee for failing to deliver timely offers for connection to the licensee's Transmission System.</w:t>
      </w:r>
    </w:p>
    <w:p w14:paraId="599C70E2" w14:textId="5A6624B6" w:rsidR="005F4C23" w:rsidRPr="007C1AD9" w:rsidRDefault="005F4C23" w:rsidP="00583233">
      <w:pPr>
        <w:pStyle w:val="Heading3"/>
      </w:pPr>
      <w:r>
        <w:t>Formula for calculating the Timely Connections incentive</w:t>
      </w:r>
      <w:r w:rsidR="007D7622">
        <w:t xml:space="preserve"> (</w:t>
      </w:r>
      <w:proofErr w:type="spellStart"/>
      <w:r w:rsidR="007D7622">
        <w:t>CONADJt</w:t>
      </w:r>
      <w:proofErr w:type="spellEnd"/>
      <w:r w:rsidR="007D7622">
        <w:t>)</w:t>
      </w:r>
    </w:p>
    <w:p w14:paraId="61A38336" w14:textId="77777777" w:rsidR="005F4C23" w:rsidRPr="005F4C23" w:rsidRDefault="005F4C23" w:rsidP="00583233">
      <w:pPr>
        <w:pStyle w:val="NumberedNormal"/>
      </w:pPr>
      <w:r>
        <w:t xml:space="preserve">The value of </w:t>
      </w:r>
      <w:proofErr w:type="spellStart"/>
      <w:r w:rsidRPr="005F4C23">
        <w:t>CONADJt</w:t>
      </w:r>
      <w:proofErr w:type="spellEnd"/>
      <w:r w:rsidRPr="005F4C23">
        <w:t xml:space="preserve"> is derived in accordance with the following formula:</w:t>
      </w:r>
    </w:p>
    <w:p w14:paraId="58EDAB26" w14:textId="0589FB66" w:rsidR="005F4C23" w:rsidRPr="00583233" w:rsidRDefault="00B913B6" w:rsidP="00583233">
      <w:pPr>
        <w:pStyle w:val="Equation"/>
      </w:pPr>
      <m:oMathPara>
        <m:oMath>
          <m:sSub>
            <m:sSubPr>
              <m:ctrlPr>
                <w:rPr>
                  <w:rFonts w:ascii="Cambria Math" w:hAnsi="Cambria Math"/>
                </w:rPr>
              </m:ctrlPr>
            </m:sSubPr>
            <m:e>
              <m:r>
                <m:rPr>
                  <m:sty m:val="p"/>
                </m:rPr>
                <w:rPr>
                  <w:rFonts w:ascii="Cambria Math" w:hAnsi="Cambria Math"/>
                </w:rPr>
                <m:t>CONADJ</m:t>
              </m:r>
            </m:e>
            <m:sub>
              <m:r>
                <w:rPr>
                  <w:rFonts w:ascii="Cambria Math" w:hAnsi="Cambria Math"/>
                </w:rPr>
                <m:t>t</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Untimely</m:t>
                  </m:r>
                  <m:r>
                    <m:rPr>
                      <m:sty m:val="p"/>
                    </m:rPr>
                    <w:rPr>
                      <w:rFonts w:ascii="Cambria Math" w:hAnsi="Cambria Math"/>
                    </w:rPr>
                    <m:t xml:space="preserve"> </m:t>
                  </m:r>
                  <m:r>
                    <w:rPr>
                      <w:rFonts w:ascii="Cambria Math" w:hAnsi="Cambria Math"/>
                    </w:rPr>
                    <m:t>Offers</m:t>
                  </m:r>
                </m:e>
                <m:sub>
                  <m:r>
                    <w:rPr>
                      <w:rFonts w:ascii="Cambria Math" w:hAnsi="Cambria Math"/>
                    </w:rPr>
                    <m:t>t</m:t>
                  </m:r>
                </m:sub>
              </m:sSub>
            </m:num>
            <m:den>
              <m:sSub>
                <m:sSubPr>
                  <m:ctrlPr>
                    <w:rPr>
                      <w:rFonts w:ascii="Cambria Math" w:hAnsi="Cambria Math"/>
                    </w:rPr>
                  </m:ctrlPr>
                </m:sSubPr>
                <m:e>
                  <m:r>
                    <w:rPr>
                      <w:rFonts w:ascii="Cambria Math" w:hAnsi="Cambria Math"/>
                    </w:rPr>
                    <m:t>Total</m:t>
                  </m:r>
                  <m:r>
                    <m:rPr>
                      <m:sty m:val="p"/>
                    </m:rPr>
                    <w:rPr>
                      <w:rFonts w:ascii="Cambria Math" w:hAnsi="Cambria Math"/>
                    </w:rPr>
                    <m:t xml:space="preserve"> </m:t>
                  </m:r>
                  <m:r>
                    <w:rPr>
                      <w:rFonts w:ascii="Cambria Math" w:hAnsi="Cambria Math"/>
                    </w:rPr>
                    <m:t>Offers</m:t>
                  </m:r>
                </m:e>
                <m:sub>
                  <m:r>
                    <w:rPr>
                      <w:rFonts w:ascii="Cambria Math" w:hAnsi="Cambria Math"/>
                    </w:rPr>
                    <m:t>t</m:t>
                  </m:r>
                </m:sub>
              </m:sSub>
            </m:den>
          </m:f>
          <m:r>
            <m:rPr>
              <m:sty m:val="p"/>
            </m:rPr>
            <w:rPr>
              <w:rFonts w:ascii="Cambria Math" w:hAnsi="Cambria Math"/>
            </w:rPr>
            <m:t xml:space="preserve"> [0.005] </m:t>
          </m:r>
          <m:sSub>
            <m:sSubPr>
              <m:ctrlPr>
                <w:rPr>
                  <w:rFonts w:ascii="Cambria Math" w:hAnsi="Cambria Math"/>
                </w:rPr>
              </m:ctrlPr>
            </m:sSubPr>
            <m:e>
              <m:r>
                <w:rPr>
                  <w:rFonts w:ascii="Cambria Math" w:hAnsi="Cambria Math"/>
                </w:rPr>
                <m:t>EABR</m:t>
              </m:r>
            </m:e>
            <m:sub>
              <m:r>
                <w:rPr>
                  <w:rFonts w:ascii="Cambria Math" w:hAnsi="Cambria Math"/>
                </w:rPr>
                <m:t>t</m:t>
              </m:r>
            </m:sub>
          </m:sSub>
          <m:r>
            <m:rPr>
              <m:sty m:val="p"/>
            </m:rPr>
            <w:rPr>
              <w:rFonts w:ascii="Cambria Math" w:hAnsi="Cambria Math"/>
            </w:rPr>
            <m:t xml:space="preserve"> </m:t>
          </m:r>
        </m:oMath>
      </m:oMathPara>
    </w:p>
    <w:p w14:paraId="30CBA64D" w14:textId="197E2850" w:rsidR="005F4C23" w:rsidRPr="00B54F09" w:rsidRDefault="00880856" w:rsidP="005F4C23">
      <w:r>
        <w:tab/>
      </w:r>
      <w:r w:rsidR="005F4C23" w:rsidRPr="0055061E">
        <w:t xml:space="preserve">where: </w:t>
      </w:r>
    </w:p>
    <w:tbl>
      <w:tblPr>
        <w:tblStyle w:val="TableGridLight"/>
        <w:tblW w:w="5000" w:type="pct"/>
        <w:tblLook w:val="0000" w:firstRow="0" w:lastRow="0" w:firstColumn="0" w:lastColumn="0" w:noHBand="0" w:noVBand="0"/>
      </w:tblPr>
      <w:tblGrid>
        <w:gridCol w:w="1589"/>
        <w:gridCol w:w="7437"/>
      </w:tblGrid>
      <w:tr w:rsidR="005F4C23" w14:paraId="06F23702" w14:textId="77777777" w:rsidTr="00817E1A">
        <w:trPr>
          <w:trHeight w:val="385"/>
        </w:trPr>
        <w:tc>
          <w:tcPr>
            <w:tcW w:w="880" w:type="pct"/>
          </w:tcPr>
          <w:p w14:paraId="10E05BC5" w14:textId="787A9CA8" w:rsidR="005F4C23" w:rsidRPr="005F4C23" w:rsidRDefault="005F4C23" w:rsidP="005F4C23">
            <w:r w:rsidRPr="0055061E">
              <w:t xml:space="preserve">Untimely </w:t>
            </w:r>
            <w:proofErr w:type="spellStart"/>
            <w:r w:rsidRPr="0055061E">
              <w:t>Offers</w:t>
            </w:r>
            <w:r w:rsidR="00817E1A">
              <w:rPr>
                <w:vertAlign w:val="subscript"/>
              </w:rPr>
              <w:t>t</w:t>
            </w:r>
            <w:proofErr w:type="spellEnd"/>
            <w:r w:rsidRPr="005F4C23">
              <w:t xml:space="preserve"> </w:t>
            </w:r>
          </w:p>
        </w:tc>
        <w:tc>
          <w:tcPr>
            <w:tcW w:w="4120" w:type="pct"/>
          </w:tcPr>
          <w:p w14:paraId="0A2D4D11" w14:textId="3F5B17D5" w:rsidR="005F4C23" w:rsidRPr="005F4C23" w:rsidRDefault="005F4C23" w:rsidP="005F4C23">
            <w:r>
              <w:t>means</w:t>
            </w:r>
            <w:r w:rsidRPr="005F4C23">
              <w:t xml:space="preserve"> the total number of Untimely </w:t>
            </w:r>
            <w:r w:rsidR="0012229C" w:rsidRPr="005F4C23">
              <w:t>Offers</w:t>
            </w:r>
            <w:r w:rsidR="0012229C">
              <w:t>;</w:t>
            </w:r>
          </w:p>
        </w:tc>
      </w:tr>
      <w:tr w:rsidR="005F4C23" w14:paraId="7240EA66" w14:textId="77777777" w:rsidTr="00817E1A">
        <w:trPr>
          <w:trHeight w:val="661"/>
        </w:trPr>
        <w:tc>
          <w:tcPr>
            <w:tcW w:w="880" w:type="pct"/>
          </w:tcPr>
          <w:p w14:paraId="1534F330" w14:textId="12D8D74A" w:rsidR="005F4C23" w:rsidRPr="005F4C23" w:rsidRDefault="005F4C23" w:rsidP="005F4C23">
            <w:r w:rsidRPr="0055061E">
              <w:t xml:space="preserve">Total </w:t>
            </w:r>
            <w:proofErr w:type="spellStart"/>
            <w:r w:rsidRPr="0055061E">
              <w:t>Offers</w:t>
            </w:r>
            <w:r w:rsidRPr="00817E1A">
              <w:rPr>
                <w:vertAlign w:val="subscript"/>
              </w:rPr>
              <w:t>t</w:t>
            </w:r>
            <w:proofErr w:type="spellEnd"/>
            <w:r w:rsidRPr="005F4C23">
              <w:t xml:space="preserve"> </w:t>
            </w:r>
          </w:p>
        </w:tc>
        <w:tc>
          <w:tcPr>
            <w:tcW w:w="4120" w:type="pct"/>
          </w:tcPr>
          <w:p w14:paraId="2B623967" w14:textId="24AE0CD0" w:rsidR="005F4C23" w:rsidRPr="005F4C23" w:rsidRDefault="005F4C23" w:rsidP="005F4C23">
            <w:r>
              <w:t>means</w:t>
            </w:r>
            <w:r w:rsidRPr="005F4C23">
              <w:t xml:space="preserve"> the total number of connection offers, i.e. the sum of the number of Untimely Offers and the number of offers made consistent with the licensee's Timely Connections Obligations</w:t>
            </w:r>
            <w:r w:rsidR="0012229C">
              <w:t>; and</w:t>
            </w:r>
            <w:r w:rsidR="0012229C" w:rsidRPr="005F4C23">
              <w:t xml:space="preserve"> </w:t>
            </w:r>
          </w:p>
        </w:tc>
      </w:tr>
      <w:tr w:rsidR="005F4C23" w:rsidRPr="00D64F98" w14:paraId="167F9D08" w14:textId="77777777" w:rsidTr="00817E1A">
        <w:trPr>
          <w:trHeight w:val="523"/>
        </w:trPr>
        <w:tc>
          <w:tcPr>
            <w:tcW w:w="880" w:type="pct"/>
          </w:tcPr>
          <w:p w14:paraId="3F6D3DEC" w14:textId="77777777" w:rsidR="005F4C23" w:rsidRPr="005F4C23" w:rsidRDefault="005F4C23" w:rsidP="005F4C23">
            <w:proofErr w:type="spellStart"/>
            <w:r>
              <w:t>E</w:t>
            </w:r>
            <w:r w:rsidRPr="005F4C23">
              <w:t>ABR</w:t>
            </w:r>
            <w:r w:rsidRPr="00817E1A">
              <w:rPr>
                <w:vertAlign w:val="subscript"/>
              </w:rPr>
              <w:t>t</w:t>
            </w:r>
            <w:proofErr w:type="spellEnd"/>
          </w:p>
        </w:tc>
        <w:tc>
          <w:tcPr>
            <w:tcW w:w="4120" w:type="pct"/>
          </w:tcPr>
          <w:p w14:paraId="5CED4BBE" w14:textId="77777777" w:rsidR="005F4C23" w:rsidRPr="001262F6" w:rsidRDefault="005F4C23" w:rsidP="005F4C23">
            <w:pPr>
              <w:rPr>
                <w:lang w:val="fr-FR"/>
              </w:rPr>
            </w:pPr>
            <w:proofErr w:type="spellStart"/>
            <w:proofErr w:type="gramStart"/>
            <w:r w:rsidRPr="001262F6">
              <w:rPr>
                <w:lang w:val="fr-FR"/>
              </w:rPr>
              <w:t>means</w:t>
            </w:r>
            <w:proofErr w:type="spellEnd"/>
            <w:proofErr w:type="gramEnd"/>
            <w:r w:rsidRPr="001262F6">
              <w:rPr>
                <w:lang w:val="fr-FR"/>
              </w:rPr>
              <w:t xml:space="preserve"> Ex-Ante Base Revenue.</w:t>
            </w:r>
          </w:p>
        </w:tc>
      </w:tr>
    </w:tbl>
    <w:p w14:paraId="71316B20" w14:textId="1C70018E" w:rsidR="005F4C23" w:rsidRDefault="005F4C23" w:rsidP="00583233">
      <w:pPr>
        <w:pStyle w:val="Heading3"/>
      </w:pPr>
      <w:r>
        <w:t xml:space="preserve">Process for directing the application of the </w:t>
      </w:r>
      <w:proofErr w:type="spellStart"/>
      <w:r>
        <w:t>CONADJt</w:t>
      </w:r>
      <w:proofErr w:type="spellEnd"/>
      <w:r>
        <w:t xml:space="preserve"> term</w:t>
      </w:r>
    </w:p>
    <w:p w14:paraId="0FE7A91C" w14:textId="77777777" w:rsidR="005F4C23" w:rsidRPr="005F4C23" w:rsidRDefault="005F4C23" w:rsidP="00583233">
      <w:pPr>
        <w:pStyle w:val="NumberedNormal"/>
      </w:pPr>
      <w:r>
        <w:t xml:space="preserve">Where the Authority considers that </w:t>
      </w:r>
      <w:r w:rsidRPr="005F4C23">
        <w:t xml:space="preserve">the </w:t>
      </w:r>
      <w:proofErr w:type="spellStart"/>
      <w:r w:rsidRPr="005F4C23">
        <w:t>CONADJt</w:t>
      </w:r>
      <w:proofErr w:type="spellEnd"/>
      <w:r w:rsidRPr="005F4C23">
        <w:t xml:space="preserve"> term should apply as an adjustment to the licensee's incentive revenue it will do so by direction. </w:t>
      </w:r>
    </w:p>
    <w:p w14:paraId="454F52BD" w14:textId="62C0A8AC" w:rsidR="005F4C23" w:rsidRPr="005F4C23" w:rsidRDefault="005F4C23" w:rsidP="00583233">
      <w:pPr>
        <w:pStyle w:val="NumberedNormal"/>
      </w:pPr>
      <w:r>
        <w:t xml:space="preserve">Before issuing a direction under paragraph </w:t>
      </w:r>
      <w:r w:rsidR="002157B6">
        <w:t>4.3</w:t>
      </w:r>
      <w:r w:rsidRPr="005F4C23">
        <w:t xml:space="preserve">.4 the Authority </w:t>
      </w:r>
      <w:r w:rsidR="007D7622">
        <w:t>publish on the Authority's Website</w:t>
      </w:r>
      <w:r w:rsidRPr="005F4C23">
        <w:t>:</w:t>
      </w:r>
    </w:p>
    <w:p w14:paraId="0F260603" w14:textId="1DDC88C8" w:rsidR="005F4C23" w:rsidRPr="005F4C23" w:rsidRDefault="007D7622" w:rsidP="00583233">
      <w:pPr>
        <w:pStyle w:val="ListNormal"/>
      </w:pPr>
      <w:r>
        <w:t xml:space="preserve">the text of the proposed </w:t>
      </w:r>
      <w:proofErr w:type="gramStart"/>
      <w:r>
        <w:t>direction;</w:t>
      </w:r>
      <w:proofErr w:type="gramEnd"/>
    </w:p>
    <w:p w14:paraId="560F36BD" w14:textId="55777113" w:rsidR="005F4C23" w:rsidRPr="005F4C23" w:rsidRDefault="005F4C23" w:rsidP="00583233">
      <w:pPr>
        <w:pStyle w:val="ListNormal"/>
      </w:pPr>
      <w:r>
        <w:t xml:space="preserve">the reasons for the </w:t>
      </w:r>
      <w:r w:rsidR="007D7622">
        <w:t>proposed direction</w:t>
      </w:r>
      <w:r w:rsidRPr="005F4C23">
        <w:t>; and</w:t>
      </w:r>
    </w:p>
    <w:p w14:paraId="25B49A35" w14:textId="442E5783" w:rsidR="007D7622" w:rsidRPr="007D7622" w:rsidRDefault="007D7622" w:rsidP="007D7622">
      <w:pPr>
        <w:pStyle w:val="ListNormal"/>
        <w:tabs>
          <w:tab w:val="num" w:pos="879"/>
        </w:tabs>
      </w:pPr>
      <w:r w:rsidRPr="007D7622">
        <w:t xml:space="preserve">a period during which representations may be made on the proposed </w:t>
      </w:r>
      <w:r w:rsidR="00664627">
        <w:t xml:space="preserve">direction, which will not be less than </w:t>
      </w:r>
      <w:r>
        <w:t>14</w:t>
      </w:r>
      <w:r w:rsidRPr="007D7622">
        <w:t xml:space="preserve"> days.</w:t>
      </w:r>
    </w:p>
    <w:p w14:paraId="6DEA0C50" w14:textId="0A8CBF6D" w:rsidR="005F4C23" w:rsidRDefault="005F4C23" w:rsidP="00EB6484">
      <w:pPr>
        <w:pStyle w:val="Heading2"/>
      </w:pPr>
      <w:bookmarkStart w:id="149" w:name="_Toc51319635"/>
      <w:bookmarkStart w:id="150" w:name="_Toc51798304"/>
      <w:bookmarkStart w:id="151" w:name="_Toc52364914"/>
      <w:r>
        <w:lastRenderedPageBreak/>
        <w:t xml:space="preserve">Environmental </w:t>
      </w:r>
      <w:r w:rsidR="007D7622">
        <w:t>S</w:t>
      </w:r>
      <w:r>
        <w:t xml:space="preserve">corecard </w:t>
      </w:r>
      <w:r w:rsidR="00660E5B">
        <w:t>o</w:t>
      </w:r>
      <w:r>
        <w:t xml:space="preserve">utput </w:t>
      </w:r>
      <w:r w:rsidR="00660E5B">
        <w:t>d</w:t>
      </w:r>
      <w:r>
        <w:t xml:space="preserve">elivery </w:t>
      </w:r>
      <w:r w:rsidR="00660E5B">
        <w:t>i</w:t>
      </w:r>
      <w:r>
        <w:t>ncentive</w:t>
      </w:r>
      <w:bookmarkEnd w:id="149"/>
      <w:r w:rsidR="00660E5B">
        <w:t xml:space="preserve"> (</w:t>
      </w:r>
      <w:proofErr w:type="spellStart"/>
      <w:r w:rsidR="00660E5B">
        <w:t>ESIt</w:t>
      </w:r>
      <w:proofErr w:type="spellEnd"/>
      <w:r w:rsidR="00660E5B">
        <w:t>)</w:t>
      </w:r>
      <w:bookmarkEnd w:id="150"/>
      <w:bookmarkEnd w:id="151"/>
    </w:p>
    <w:p w14:paraId="34021B55" w14:textId="1223ED56" w:rsidR="005F4C23" w:rsidRPr="0057526A" w:rsidRDefault="005F4C23" w:rsidP="00E00DAB">
      <w:pPr>
        <w:pStyle w:val="Heading3nonumbering"/>
      </w:pPr>
      <w:r w:rsidRPr="0057526A">
        <w:t>Introduction</w:t>
      </w:r>
    </w:p>
    <w:p w14:paraId="4FDF4E6A" w14:textId="45C148CF" w:rsidR="005F4C23" w:rsidRPr="005F4C23" w:rsidRDefault="005F4C23" w:rsidP="00E00DAB">
      <w:pPr>
        <w:pStyle w:val="NumberedNormal"/>
      </w:pPr>
      <w:r w:rsidRPr="00BE7CEB">
        <w:t>Th</w:t>
      </w:r>
      <w:r w:rsidRPr="005F4C23">
        <w:t xml:space="preserve">e purpose of this condition is to calculate the term </w:t>
      </w:r>
      <w:proofErr w:type="spellStart"/>
      <w:r w:rsidRPr="005F4C23">
        <w:t>ESIt</w:t>
      </w:r>
      <w:proofErr w:type="spellEnd"/>
      <w:r w:rsidRPr="005F4C23">
        <w:t xml:space="preserve"> (the environmental scorecard</w:t>
      </w:r>
      <w:r w:rsidR="00660E5B">
        <w:t xml:space="preserve"> output delivery</w:t>
      </w:r>
      <w:r w:rsidRPr="005F4C23">
        <w:t xml:space="preserve"> incentive term). This contributes to the calculation of the </w:t>
      </w:r>
      <w:proofErr w:type="spellStart"/>
      <w:r w:rsidRPr="005F4C23">
        <w:t>ODIt</w:t>
      </w:r>
      <w:proofErr w:type="spellEnd"/>
      <w:r w:rsidRPr="005F4C23">
        <w:t xml:space="preserve"> term (the output delivery incentives term), which in turn feeds into Calculated Revenue in </w:t>
      </w:r>
      <w:r w:rsidR="00A148E7">
        <w:t>Special Condition 2.1 (Revenue Restriction)</w:t>
      </w:r>
      <w:r w:rsidRPr="005F4C23">
        <w:t xml:space="preserve">. </w:t>
      </w:r>
    </w:p>
    <w:p w14:paraId="44D01DBC" w14:textId="2221BF1E" w:rsidR="005F4C23" w:rsidRPr="005F4C23" w:rsidRDefault="005F4C23" w:rsidP="00E00DAB">
      <w:pPr>
        <w:pStyle w:val="NumberedNormal"/>
      </w:pPr>
      <w:r>
        <w:t xml:space="preserve">The effect of </w:t>
      </w:r>
      <w:r w:rsidRPr="005F4C23">
        <w:t xml:space="preserve">the environmental scorecard </w:t>
      </w:r>
      <w:r w:rsidR="00660E5B">
        <w:t xml:space="preserve">output delivery </w:t>
      </w:r>
      <w:r w:rsidRPr="005F4C23">
        <w:t xml:space="preserve">incentive is to reward or penalise the licensee's performance in the seven environmental areas compared to annual improvement thresholds. </w:t>
      </w:r>
    </w:p>
    <w:p w14:paraId="7F119E58" w14:textId="42608CE1" w:rsidR="005F4C23" w:rsidRDefault="005F4C23" w:rsidP="00E00DAB">
      <w:pPr>
        <w:pStyle w:val="Heading3"/>
      </w:pPr>
      <w:r>
        <w:t>Formula for calculating the environmental scorecard incentive</w:t>
      </w:r>
      <w:r w:rsidR="00660E5B">
        <w:t xml:space="preserve"> (</w:t>
      </w:r>
      <w:proofErr w:type="spellStart"/>
      <w:r w:rsidR="00660E5B">
        <w:t>ESIt</w:t>
      </w:r>
      <w:proofErr w:type="spellEnd"/>
      <w:r w:rsidR="00660E5B">
        <w:t>)</w:t>
      </w:r>
    </w:p>
    <w:p w14:paraId="61F48922" w14:textId="77777777" w:rsidR="005F4C23" w:rsidRPr="005F4C23" w:rsidRDefault="005F4C23" w:rsidP="00E00DAB">
      <w:pPr>
        <w:pStyle w:val="NumberedNormal"/>
      </w:pPr>
      <w:r>
        <w:t xml:space="preserve">The value of </w:t>
      </w:r>
      <w:proofErr w:type="spellStart"/>
      <w:r w:rsidRPr="005F4C23">
        <w:t>ESIt</w:t>
      </w:r>
      <w:proofErr w:type="spellEnd"/>
      <w:r w:rsidRPr="005F4C23">
        <w:t xml:space="preserve"> is derived in accordance with the following formula:</w:t>
      </w:r>
    </w:p>
    <w:p w14:paraId="7D3DBE3B" w14:textId="019AEDE1" w:rsidR="005F4C23" w:rsidRPr="005F4C23" w:rsidRDefault="005F4C23" w:rsidP="003F66DB">
      <w:pPr>
        <w:pStyle w:val="Equation"/>
        <w:ind w:left="720"/>
      </w:pPr>
      <w:proofErr w:type="spellStart"/>
      <w:r w:rsidRPr="001A102F">
        <w:t>ES</w:t>
      </w:r>
      <w:r w:rsidRPr="005F4C23">
        <w:t>It</w:t>
      </w:r>
      <w:proofErr w:type="spellEnd"/>
      <w:r w:rsidRPr="005F4C23">
        <w:t xml:space="preserve"> = (</w:t>
      </w:r>
      <w:proofErr w:type="spellStart"/>
      <w:r w:rsidR="003E3BFE">
        <w:t>FE</w:t>
      </w:r>
      <w:r w:rsidRPr="005F4C23">
        <w:t>t+B</w:t>
      </w:r>
      <w:r w:rsidR="00D9577B">
        <w:t>M</w:t>
      </w:r>
      <w:r w:rsidRPr="005F4C23">
        <w:t>t+WRt+OWt+WUt+EVt+</w:t>
      </w:r>
      <w:proofErr w:type="gramStart"/>
      <w:r w:rsidRPr="005F4C23">
        <w:t>BGt</w:t>
      </w:r>
      <w:proofErr w:type="spellEnd"/>
      <w:r w:rsidRPr="005F4C23">
        <w:t>)*</w:t>
      </w:r>
      <w:proofErr w:type="gramEnd"/>
      <w:r w:rsidRPr="005F4C23">
        <w:t>TIS</w:t>
      </w:r>
    </w:p>
    <w:p w14:paraId="44B7D851" w14:textId="77777777" w:rsidR="005F4C23" w:rsidRPr="005F4C23" w:rsidRDefault="005F4C23" w:rsidP="003F66DB">
      <w:pPr>
        <w:ind w:left="720"/>
      </w:pPr>
      <w:r>
        <w:t>where</w:t>
      </w:r>
      <w:r w:rsidRPr="005F4C23">
        <w:t>:</w:t>
      </w:r>
    </w:p>
    <w:tbl>
      <w:tblPr>
        <w:tblW w:w="8792" w:type="dxa"/>
        <w:tblInd w:w="720" w:type="dxa"/>
        <w:tblLook w:val="04A0" w:firstRow="1" w:lastRow="0" w:firstColumn="1" w:lastColumn="0" w:noHBand="0" w:noVBand="1"/>
      </w:tblPr>
      <w:tblGrid>
        <w:gridCol w:w="1276"/>
        <w:gridCol w:w="7516"/>
      </w:tblGrid>
      <w:tr w:rsidR="005F4C23" w:rsidRPr="007442AB" w14:paraId="58DE0383" w14:textId="77777777" w:rsidTr="003F66DB">
        <w:trPr>
          <w:trHeight w:val="454"/>
        </w:trPr>
        <w:tc>
          <w:tcPr>
            <w:tcW w:w="1276" w:type="dxa"/>
          </w:tcPr>
          <w:p w14:paraId="5BF27111" w14:textId="7BAC70F0" w:rsidR="005F4C23" w:rsidRPr="005F4C23" w:rsidRDefault="003E3BFE" w:rsidP="005F4C23">
            <w:proofErr w:type="spellStart"/>
            <w:r>
              <w:t>FE</w:t>
            </w:r>
            <w:r w:rsidR="005F4C23" w:rsidRPr="005F4C23">
              <w:t>t</w:t>
            </w:r>
            <w:proofErr w:type="spellEnd"/>
          </w:p>
        </w:tc>
        <w:tc>
          <w:tcPr>
            <w:tcW w:w="7516" w:type="dxa"/>
          </w:tcPr>
          <w:p w14:paraId="7EE88A9D" w14:textId="3A3634E6" w:rsidR="005F4C23" w:rsidRPr="005F4C23" w:rsidRDefault="005F4C23" w:rsidP="005F4C23">
            <w:r>
              <w:t>=</w:t>
            </w:r>
            <w:r w:rsidRPr="005F4C23">
              <w:t xml:space="preserve"> 2*</w:t>
            </w:r>
            <w:proofErr w:type="spellStart"/>
            <w:r w:rsidR="003E3BFE">
              <w:t>FE</w:t>
            </w:r>
            <w:r w:rsidRPr="005F4C23">
              <w:t>It</w:t>
            </w:r>
            <w:proofErr w:type="spellEnd"/>
            <w:r w:rsidRPr="005F4C23">
              <w:t xml:space="preserve">, if </w:t>
            </w:r>
            <w:proofErr w:type="spellStart"/>
            <w:r w:rsidR="003E3BFE">
              <w:t>FE</w:t>
            </w:r>
            <w:r w:rsidRPr="005F4C23">
              <w:t>At</w:t>
            </w:r>
            <w:proofErr w:type="spellEnd"/>
            <w:r w:rsidRPr="005F4C23">
              <w:t xml:space="preserve"> &gt; </w:t>
            </w:r>
            <w:r w:rsidR="003E3BFE">
              <w:t>FE</w:t>
            </w:r>
            <w:r w:rsidRPr="005F4C23">
              <w:t>TR2t</w:t>
            </w:r>
          </w:p>
          <w:p w14:paraId="3A1AA963" w14:textId="5BBFDF6D" w:rsidR="005F4C23" w:rsidRPr="005F4C23" w:rsidRDefault="005F4C23" w:rsidP="005F4C23">
            <w:r>
              <w:t>=</w:t>
            </w:r>
            <w:r w:rsidRPr="005F4C23">
              <w:t xml:space="preserve"> </w:t>
            </w:r>
            <w:proofErr w:type="spellStart"/>
            <w:r w:rsidR="003E3BFE">
              <w:t>FE</w:t>
            </w:r>
            <w:r w:rsidRPr="005F4C23">
              <w:t>It</w:t>
            </w:r>
            <w:proofErr w:type="spellEnd"/>
            <w:r w:rsidRPr="005F4C23">
              <w:t xml:space="preserve">, if </w:t>
            </w:r>
            <w:r w:rsidR="003E3BFE">
              <w:t>FE</w:t>
            </w:r>
            <w:r w:rsidRPr="005F4C23">
              <w:t xml:space="preserve">TR1t &lt; </w:t>
            </w:r>
            <w:proofErr w:type="spellStart"/>
            <w:r w:rsidR="003E3BFE">
              <w:t>FE</w:t>
            </w:r>
            <w:r w:rsidRPr="005F4C23">
              <w:t>A</w:t>
            </w:r>
            <w:r w:rsidR="003E3BFE">
              <w:t>t</w:t>
            </w:r>
            <w:proofErr w:type="spellEnd"/>
            <w:r w:rsidRPr="005F4C23">
              <w:t xml:space="preserve"> &lt; </w:t>
            </w:r>
            <w:r w:rsidR="003E3BFE">
              <w:t>FE</w:t>
            </w:r>
            <w:r w:rsidRPr="005F4C23">
              <w:t>TR2t</w:t>
            </w:r>
          </w:p>
          <w:p w14:paraId="2BE11AA6" w14:textId="218ADECD" w:rsidR="005F4C23" w:rsidRPr="005F4C23" w:rsidRDefault="005F4C23" w:rsidP="005F4C23">
            <w:r>
              <w:t>=</w:t>
            </w:r>
            <w:r w:rsidRPr="005F4C23">
              <w:t xml:space="preserve"> -2*</w:t>
            </w:r>
            <w:proofErr w:type="spellStart"/>
            <w:r w:rsidR="003E3BFE">
              <w:t>FE</w:t>
            </w:r>
            <w:r w:rsidRPr="005F4C23">
              <w:t>It</w:t>
            </w:r>
            <w:proofErr w:type="spellEnd"/>
            <w:r w:rsidRPr="005F4C23">
              <w:t xml:space="preserve">, if </w:t>
            </w:r>
            <w:proofErr w:type="spellStart"/>
            <w:r w:rsidR="003E3BFE">
              <w:t>FE</w:t>
            </w:r>
            <w:r w:rsidRPr="005F4C23">
              <w:t>At</w:t>
            </w:r>
            <w:proofErr w:type="spellEnd"/>
            <w:r w:rsidRPr="005F4C23">
              <w:t xml:space="preserve"> &lt; </w:t>
            </w:r>
            <w:r w:rsidR="003E3BFE">
              <w:t>FE</w:t>
            </w:r>
            <w:r w:rsidRPr="005F4C23">
              <w:t>TP2t</w:t>
            </w:r>
          </w:p>
          <w:p w14:paraId="75C82A6B" w14:textId="5550C97F" w:rsidR="005F4C23" w:rsidRPr="005F4C23" w:rsidRDefault="005F4C23" w:rsidP="005F4C23">
            <w:r>
              <w:t>=</w:t>
            </w:r>
            <w:r w:rsidRPr="005F4C23">
              <w:t xml:space="preserve"> -1*</w:t>
            </w:r>
            <w:proofErr w:type="spellStart"/>
            <w:r w:rsidR="003E3BFE">
              <w:t>FE</w:t>
            </w:r>
            <w:r w:rsidRPr="005F4C23">
              <w:t>It</w:t>
            </w:r>
            <w:proofErr w:type="spellEnd"/>
            <w:r w:rsidRPr="005F4C23">
              <w:t xml:space="preserve">, if </w:t>
            </w:r>
            <w:r w:rsidR="003E3BFE">
              <w:t>FE</w:t>
            </w:r>
            <w:r w:rsidRPr="005F4C23">
              <w:t xml:space="preserve">TP1t &lt; </w:t>
            </w:r>
            <w:proofErr w:type="spellStart"/>
            <w:r w:rsidR="003E3BFE">
              <w:t>FE</w:t>
            </w:r>
            <w:r w:rsidRPr="005F4C23">
              <w:t>At</w:t>
            </w:r>
            <w:proofErr w:type="spellEnd"/>
            <w:r w:rsidRPr="005F4C23">
              <w:t xml:space="preserve"> &gt; </w:t>
            </w:r>
            <w:r w:rsidR="003E3BFE">
              <w:t>FE</w:t>
            </w:r>
            <w:r w:rsidRPr="005F4C23">
              <w:t>TP2t</w:t>
            </w:r>
          </w:p>
          <w:p w14:paraId="1B103C17" w14:textId="549F73DA" w:rsidR="005F4C23" w:rsidRPr="005F4C23" w:rsidRDefault="005F4C23" w:rsidP="005F4C23">
            <w:r>
              <w:t>o</w:t>
            </w:r>
            <w:r w:rsidRPr="005F4C23">
              <w:t>therwise has a value of zero</w:t>
            </w:r>
            <w:r w:rsidR="009B6653">
              <w:t>;</w:t>
            </w:r>
          </w:p>
        </w:tc>
      </w:tr>
      <w:tr w:rsidR="005F4C23" w:rsidRPr="007442AB" w14:paraId="5BB928BB" w14:textId="77777777" w:rsidTr="003F66DB">
        <w:trPr>
          <w:trHeight w:val="454"/>
        </w:trPr>
        <w:tc>
          <w:tcPr>
            <w:tcW w:w="1276" w:type="dxa"/>
          </w:tcPr>
          <w:p w14:paraId="5839AB87" w14:textId="653D57DA" w:rsidR="005F4C23" w:rsidRPr="005F4C23" w:rsidRDefault="005F4C23" w:rsidP="005F4C23">
            <w:proofErr w:type="spellStart"/>
            <w:r>
              <w:t>B</w:t>
            </w:r>
            <w:r w:rsidR="00D4231B">
              <w:t>M</w:t>
            </w:r>
            <w:r w:rsidRPr="005F4C23">
              <w:t>t</w:t>
            </w:r>
            <w:proofErr w:type="spellEnd"/>
          </w:p>
        </w:tc>
        <w:tc>
          <w:tcPr>
            <w:tcW w:w="7516" w:type="dxa"/>
          </w:tcPr>
          <w:p w14:paraId="37764C4F" w14:textId="6132024F" w:rsidR="005F4C23" w:rsidRPr="005F4C23" w:rsidRDefault="005F4C23" w:rsidP="005F4C23">
            <w:r>
              <w:t>=</w:t>
            </w:r>
            <w:r w:rsidRPr="005F4C23">
              <w:t xml:space="preserve"> 2*</w:t>
            </w:r>
            <w:proofErr w:type="spellStart"/>
            <w:r w:rsidRPr="005F4C23">
              <w:t>B</w:t>
            </w:r>
            <w:r w:rsidR="00D4231B">
              <w:t>M</w:t>
            </w:r>
            <w:r w:rsidRPr="005F4C23">
              <w:t>It</w:t>
            </w:r>
            <w:proofErr w:type="spellEnd"/>
            <w:r w:rsidRPr="005F4C23">
              <w:t xml:space="preserve">, if </w:t>
            </w:r>
            <w:proofErr w:type="spellStart"/>
            <w:r w:rsidRPr="005F4C23">
              <w:t>B</w:t>
            </w:r>
            <w:r w:rsidR="00D4231B">
              <w:t>M</w:t>
            </w:r>
            <w:r w:rsidRPr="005F4C23">
              <w:t>At</w:t>
            </w:r>
            <w:proofErr w:type="spellEnd"/>
            <w:r w:rsidRPr="005F4C23">
              <w:t xml:space="preserve"> &gt; B</w:t>
            </w:r>
            <w:r w:rsidR="00D4231B">
              <w:t>M</w:t>
            </w:r>
            <w:r w:rsidRPr="005F4C23">
              <w:t>TR2t</w:t>
            </w:r>
          </w:p>
          <w:p w14:paraId="505A4C9D" w14:textId="7ABD357B" w:rsidR="005F4C23" w:rsidRPr="005F4C23" w:rsidRDefault="005F4C23" w:rsidP="005F4C23">
            <w:r>
              <w:t>=</w:t>
            </w:r>
            <w:r w:rsidRPr="005F4C23">
              <w:t xml:space="preserve"> </w:t>
            </w:r>
            <w:proofErr w:type="spellStart"/>
            <w:r w:rsidRPr="005F4C23">
              <w:t>B</w:t>
            </w:r>
            <w:r w:rsidR="00D4231B">
              <w:t>M</w:t>
            </w:r>
            <w:r w:rsidRPr="005F4C23">
              <w:t>It</w:t>
            </w:r>
            <w:proofErr w:type="spellEnd"/>
            <w:r w:rsidRPr="005F4C23">
              <w:t>, if B</w:t>
            </w:r>
            <w:r w:rsidR="00D4231B">
              <w:t>M</w:t>
            </w:r>
            <w:r w:rsidRPr="005F4C23">
              <w:t xml:space="preserve">TR1t &lt; </w:t>
            </w:r>
            <w:proofErr w:type="spellStart"/>
            <w:r w:rsidRPr="005F4C23">
              <w:t>B</w:t>
            </w:r>
            <w:r w:rsidR="00D4231B">
              <w:t>M</w:t>
            </w:r>
            <w:r w:rsidRPr="005F4C23">
              <w:t>At</w:t>
            </w:r>
            <w:proofErr w:type="spellEnd"/>
            <w:r w:rsidRPr="005F4C23">
              <w:t xml:space="preserve"> &lt; B</w:t>
            </w:r>
            <w:r w:rsidR="00D4231B">
              <w:t>M</w:t>
            </w:r>
            <w:r w:rsidRPr="005F4C23">
              <w:t>TR2t</w:t>
            </w:r>
          </w:p>
          <w:p w14:paraId="3339FBAD" w14:textId="315FD710" w:rsidR="005F4C23" w:rsidRPr="005F4C23" w:rsidRDefault="005F4C23" w:rsidP="005F4C23">
            <w:r>
              <w:t xml:space="preserve">= </w:t>
            </w:r>
            <w:r w:rsidRPr="005F4C23">
              <w:t>-2*</w:t>
            </w:r>
            <w:proofErr w:type="spellStart"/>
            <w:r w:rsidRPr="005F4C23">
              <w:t>B</w:t>
            </w:r>
            <w:r w:rsidR="00D4231B">
              <w:t>M</w:t>
            </w:r>
            <w:r w:rsidRPr="005F4C23">
              <w:t>It</w:t>
            </w:r>
            <w:proofErr w:type="spellEnd"/>
            <w:r w:rsidRPr="005F4C23">
              <w:t xml:space="preserve">, if </w:t>
            </w:r>
            <w:proofErr w:type="spellStart"/>
            <w:r w:rsidRPr="005F4C23">
              <w:t>B</w:t>
            </w:r>
            <w:r w:rsidR="00D4231B">
              <w:t>M</w:t>
            </w:r>
            <w:r w:rsidRPr="005F4C23">
              <w:t>At</w:t>
            </w:r>
            <w:proofErr w:type="spellEnd"/>
            <w:r w:rsidRPr="005F4C23">
              <w:t xml:space="preserve"> &lt; B</w:t>
            </w:r>
            <w:r w:rsidR="00D4231B">
              <w:t>M</w:t>
            </w:r>
            <w:r w:rsidRPr="005F4C23">
              <w:t>TP2t</w:t>
            </w:r>
          </w:p>
          <w:p w14:paraId="5278F11E" w14:textId="25CC9360" w:rsidR="005F4C23" w:rsidRPr="005F4C23" w:rsidRDefault="005F4C23" w:rsidP="005F4C23">
            <w:r>
              <w:t>=</w:t>
            </w:r>
            <w:r w:rsidRPr="005F4C23">
              <w:t xml:space="preserve"> -1*</w:t>
            </w:r>
            <w:proofErr w:type="spellStart"/>
            <w:r w:rsidRPr="005F4C23">
              <w:t>B</w:t>
            </w:r>
            <w:r w:rsidR="00D4231B">
              <w:t>M</w:t>
            </w:r>
            <w:r w:rsidRPr="005F4C23">
              <w:t>It</w:t>
            </w:r>
            <w:proofErr w:type="spellEnd"/>
            <w:r w:rsidRPr="005F4C23">
              <w:t>, if B</w:t>
            </w:r>
            <w:r w:rsidR="00D4231B">
              <w:t>M</w:t>
            </w:r>
            <w:r w:rsidRPr="005F4C23">
              <w:t xml:space="preserve">TP1t &lt; </w:t>
            </w:r>
            <w:proofErr w:type="spellStart"/>
            <w:r w:rsidRPr="005F4C23">
              <w:t>B</w:t>
            </w:r>
            <w:r w:rsidR="00D4231B">
              <w:t>M</w:t>
            </w:r>
            <w:r w:rsidRPr="005F4C23">
              <w:t>At</w:t>
            </w:r>
            <w:proofErr w:type="spellEnd"/>
            <w:r w:rsidRPr="005F4C23">
              <w:t xml:space="preserve"> &gt; B</w:t>
            </w:r>
            <w:r w:rsidR="00D4231B">
              <w:t>M</w:t>
            </w:r>
            <w:r w:rsidRPr="005F4C23">
              <w:t>TP2t</w:t>
            </w:r>
          </w:p>
          <w:p w14:paraId="04C6DA81" w14:textId="042C4645" w:rsidR="005F4C23" w:rsidRPr="005F4C23" w:rsidRDefault="005F4C23" w:rsidP="005F4C23">
            <w:r>
              <w:t>o</w:t>
            </w:r>
            <w:r w:rsidRPr="005F4C23">
              <w:t>therwise has a value of zero</w:t>
            </w:r>
            <w:r w:rsidR="009B6653">
              <w:t>;</w:t>
            </w:r>
          </w:p>
        </w:tc>
      </w:tr>
      <w:tr w:rsidR="005F4C23" w:rsidRPr="007442AB" w14:paraId="3C3F129D" w14:textId="77777777" w:rsidTr="003F66DB">
        <w:trPr>
          <w:trHeight w:val="454"/>
        </w:trPr>
        <w:tc>
          <w:tcPr>
            <w:tcW w:w="1276" w:type="dxa"/>
          </w:tcPr>
          <w:p w14:paraId="695C6BAB" w14:textId="77777777" w:rsidR="005F4C23" w:rsidRPr="005F4C23" w:rsidRDefault="005F4C23" w:rsidP="005F4C23">
            <w:proofErr w:type="spellStart"/>
            <w:r>
              <w:t>WR</w:t>
            </w:r>
            <w:r w:rsidRPr="005F4C23">
              <w:t>t</w:t>
            </w:r>
            <w:proofErr w:type="spellEnd"/>
          </w:p>
        </w:tc>
        <w:tc>
          <w:tcPr>
            <w:tcW w:w="7516" w:type="dxa"/>
          </w:tcPr>
          <w:p w14:paraId="199B61E1" w14:textId="77777777" w:rsidR="005F4C23" w:rsidRPr="005F4C23" w:rsidRDefault="005F4C23" w:rsidP="005F4C23">
            <w:r>
              <w:t xml:space="preserve">= </w:t>
            </w:r>
            <w:r w:rsidRPr="005F4C23">
              <w:t>2*</w:t>
            </w:r>
            <w:proofErr w:type="spellStart"/>
            <w:r w:rsidRPr="005F4C23">
              <w:t>WRIt</w:t>
            </w:r>
            <w:proofErr w:type="spellEnd"/>
            <w:r w:rsidRPr="005F4C23">
              <w:t xml:space="preserve">, if </w:t>
            </w:r>
            <w:proofErr w:type="spellStart"/>
            <w:r w:rsidRPr="005F4C23">
              <w:t>WRAt</w:t>
            </w:r>
            <w:proofErr w:type="spellEnd"/>
            <w:r w:rsidRPr="005F4C23">
              <w:t xml:space="preserve"> &gt; WRTR2t</w:t>
            </w:r>
          </w:p>
          <w:p w14:paraId="7906B7A5" w14:textId="77777777" w:rsidR="005F4C23" w:rsidRPr="005F4C23" w:rsidRDefault="005F4C23" w:rsidP="005F4C23">
            <w:r>
              <w:t>=</w:t>
            </w:r>
            <w:r w:rsidRPr="005F4C23">
              <w:t xml:space="preserve"> </w:t>
            </w:r>
            <w:proofErr w:type="spellStart"/>
            <w:r w:rsidRPr="005F4C23">
              <w:t>WRIt</w:t>
            </w:r>
            <w:proofErr w:type="spellEnd"/>
            <w:r w:rsidRPr="005F4C23">
              <w:t xml:space="preserve">, if WRTR1t &lt; </w:t>
            </w:r>
            <w:proofErr w:type="spellStart"/>
            <w:r w:rsidRPr="005F4C23">
              <w:t>WRAt</w:t>
            </w:r>
            <w:proofErr w:type="spellEnd"/>
            <w:r w:rsidRPr="005F4C23">
              <w:t xml:space="preserve"> &lt; WRTR2t</w:t>
            </w:r>
          </w:p>
          <w:p w14:paraId="11C03D04" w14:textId="77777777" w:rsidR="005F4C23" w:rsidRPr="005F4C23" w:rsidRDefault="005F4C23" w:rsidP="005F4C23">
            <w:r>
              <w:t xml:space="preserve">= </w:t>
            </w:r>
            <w:r w:rsidRPr="005F4C23">
              <w:t>-2*</w:t>
            </w:r>
            <w:proofErr w:type="spellStart"/>
            <w:r w:rsidRPr="005F4C23">
              <w:t>WRIt</w:t>
            </w:r>
            <w:proofErr w:type="spellEnd"/>
            <w:r w:rsidRPr="005F4C23">
              <w:t xml:space="preserve">, if </w:t>
            </w:r>
            <w:proofErr w:type="spellStart"/>
            <w:r w:rsidRPr="005F4C23">
              <w:t>WRAt</w:t>
            </w:r>
            <w:proofErr w:type="spellEnd"/>
            <w:r w:rsidRPr="005F4C23">
              <w:t xml:space="preserve"> &lt; WRTP2t</w:t>
            </w:r>
          </w:p>
          <w:p w14:paraId="16F17089" w14:textId="77777777" w:rsidR="005F4C23" w:rsidRPr="005F4C23" w:rsidRDefault="005F4C23" w:rsidP="005F4C23">
            <w:r>
              <w:t>=</w:t>
            </w:r>
            <w:r w:rsidRPr="005F4C23">
              <w:t xml:space="preserve"> -1*</w:t>
            </w:r>
            <w:proofErr w:type="spellStart"/>
            <w:r w:rsidRPr="005F4C23">
              <w:t>WRIt</w:t>
            </w:r>
            <w:proofErr w:type="spellEnd"/>
            <w:r w:rsidRPr="005F4C23">
              <w:t xml:space="preserve">, if WRTP1t &lt; </w:t>
            </w:r>
            <w:proofErr w:type="spellStart"/>
            <w:r w:rsidRPr="005F4C23">
              <w:t>WRAt</w:t>
            </w:r>
            <w:proofErr w:type="spellEnd"/>
            <w:r w:rsidRPr="005F4C23">
              <w:t xml:space="preserve"> &gt; WRTP2t</w:t>
            </w:r>
          </w:p>
          <w:p w14:paraId="47770672" w14:textId="319070E7" w:rsidR="005F4C23" w:rsidRPr="005F4C23" w:rsidRDefault="005F4C23" w:rsidP="005F4C23">
            <w:r>
              <w:t>otherwise has a value of zero</w:t>
            </w:r>
            <w:r w:rsidR="009B6653">
              <w:t>;</w:t>
            </w:r>
          </w:p>
        </w:tc>
      </w:tr>
      <w:tr w:rsidR="005F4C23" w:rsidRPr="007442AB" w14:paraId="2BF2B7A9" w14:textId="77777777" w:rsidTr="003F66DB">
        <w:trPr>
          <w:trHeight w:val="454"/>
        </w:trPr>
        <w:tc>
          <w:tcPr>
            <w:tcW w:w="1276" w:type="dxa"/>
          </w:tcPr>
          <w:p w14:paraId="5AB9EAA6" w14:textId="77777777" w:rsidR="005F4C23" w:rsidRPr="005F4C23" w:rsidRDefault="005F4C23" w:rsidP="005F4C23">
            <w:proofErr w:type="spellStart"/>
            <w:r>
              <w:t>OW</w:t>
            </w:r>
            <w:r w:rsidRPr="005F4C23">
              <w:t>t</w:t>
            </w:r>
            <w:proofErr w:type="spellEnd"/>
          </w:p>
        </w:tc>
        <w:tc>
          <w:tcPr>
            <w:tcW w:w="7516" w:type="dxa"/>
          </w:tcPr>
          <w:p w14:paraId="296BC570" w14:textId="77777777" w:rsidR="005F4C23" w:rsidRPr="005F4C23" w:rsidRDefault="005F4C23" w:rsidP="005F4C23">
            <w:r>
              <w:t xml:space="preserve">= </w:t>
            </w:r>
            <w:r w:rsidRPr="005F4C23">
              <w:t>2*</w:t>
            </w:r>
            <w:proofErr w:type="spellStart"/>
            <w:r w:rsidRPr="005F4C23">
              <w:t>OWIt</w:t>
            </w:r>
            <w:proofErr w:type="spellEnd"/>
            <w:r w:rsidRPr="005F4C23">
              <w:t xml:space="preserve">, if </w:t>
            </w:r>
            <w:proofErr w:type="spellStart"/>
            <w:r w:rsidRPr="005F4C23">
              <w:t>OWAt</w:t>
            </w:r>
            <w:proofErr w:type="spellEnd"/>
            <w:r w:rsidRPr="005F4C23">
              <w:t xml:space="preserve"> &gt; OWTR2t</w:t>
            </w:r>
          </w:p>
          <w:p w14:paraId="26821914" w14:textId="77777777" w:rsidR="005F4C23" w:rsidRPr="005F4C23" w:rsidRDefault="005F4C23" w:rsidP="005F4C23">
            <w:r>
              <w:t>=</w:t>
            </w:r>
            <w:r w:rsidRPr="005F4C23">
              <w:t xml:space="preserve"> </w:t>
            </w:r>
            <w:proofErr w:type="spellStart"/>
            <w:r w:rsidRPr="005F4C23">
              <w:t>OWIt</w:t>
            </w:r>
            <w:proofErr w:type="spellEnd"/>
            <w:r w:rsidRPr="005F4C23">
              <w:t xml:space="preserve">, if OWTR1t &lt; </w:t>
            </w:r>
            <w:proofErr w:type="spellStart"/>
            <w:r w:rsidRPr="005F4C23">
              <w:t>OWAt</w:t>
            </w:r>
            <w:proofErr w:type="spellEnd"/>
            <w:r w:rsidRPr="005F4C23">
              <w:t xml:space="preserve"> &lt; OWTR2t</w:t>
            </w:r>
          </w:p>
          <w:p w14:paraId="6808E15D" w14:textId="77777777" w:rsidR="005F4C23" w:rsidRPr="005F4C23" w:rsidRDefault="005F4C23" w:rsidP="005F4C23">
            <w:r>
              <w:lastRenderedPageBreak/>
              <w:t>=</w:t>
            </w:r>
            <w:r w:rsidRPr="005F4C23">
              <w:t xml:space="preserve"> -2*</w:t>
            </w:r>
            <w:proofErr w:type="spellStart"/>
            <w:r w:rsidRPr="005F4C23">
              <w:t>OWIt</w:t>
            </w:r>
            <w:proofErr w:type="spellEnd"/>
            <w:r w:rsidRPr="005F4C23">
              <w:t xml:space="preserve">, if </w:t>
            </w:r>
            <w:proofErr w:type="spellStart"/>
            <w:r w:rsidRPr="005F4C23">
              <w:t>OWAt</w:t>
            </w:r>
            <w:proofErr w:type="spellEnd"/>
            <w:r w:rsidRPr="005F4C23">
              <w:t xml:space="preserve"> &lt; OWTP2t</w:t>
            </w:r>
          </w:p>
          <w:p w14:paraId="37BAA977" w14:textId="77777777" w:rsidR="005F4C23" w:rsidRPr="005F4C23" w:rsidRDefault="005F4C23" w:rsidP="005F4C23">
            <w:r>
              <w:t>=</w:t>
            </w:r>
            <w:r w:rsidRPr="005F4C23">
              <w:t xml:space="preserve"> -1*</w:t>
            </w:r>
            <w:proofErr w:type="spellStart"/>
            <w:r w:rsidRPr="005F4C23">
              <w:t>OWIt</w:t>
            </w:r>
            <w:proofErr w:type="spellEnd"/>
            <w:r w:rsidRPr="005F4C23">
              <w:t xml:space="preserve">, if OWTP1t &lt; </w:t>
            </w:r>
            <w:proofErr w:type="spellStart"/>
            <w:r w:rsidRPr="005F4C23">
              <w:t>OWAt</w:t>
            </w:r>
            <w:proofErr w:type="spellEnd"/>
            <w:r w:rsidRPr="005F4C23">
              <w:t xml:space="preserve"> &gt; OWTP2t</w:t>
            </w:r>
          </w:p>
          <w:p w14:paraId="0F041DAA" w14:textId="0D480B5D" w:rsidR="005F4C23" w:rsidRPr="005F4C23" w:rsidRDefault="005F4C23" w:rsidP="005F4C23">
            <w:r>
              <w:t>otherwise has a value of zero</w:t>
            </w:r>
            <w:r w:rsidR="009B6653">
              <w:t>;</w:t>
            </w:r>
          </w:p>
        </w:tc>
      </w:tr>
      <w:tr w:rsidR="005F4C23" w:rsidRPr="007442AB" w14:paraId="273F79DE" w14:textId="77777777" w:rsidTr="003F66DB">
        <w:trPr>
          <w:trHeight w:val="454"/>
        </w:trPr>
        <w:tc>
          <w:tcPr>
            <w:tcW w:w="1276" w:type="dxa"/>
          </w:tcPr>
          <w:p w14:paraId="197C8B04" w14:textId="77777777" w:rsidR="005F4C23" w:rsidRPr="005F4C23" w:rsidRDefault="005F4C23" w:rsidP="005F4C23">
            <w:proofErr w:type="spellStart"/>
            <w:r>
              <w:lastRenderedPageBreak/>
              <w:t>WU</w:t>
            </w:r>
            <w:r w:rsidRPr="005F4C23">
              <w:t>t</w:t>
            </w:r>
            <w:proofErr w:type="spellEnd"/>
          </w:p>
        </w:tc>
        <w:tc>
          <w:tcPr>
            <w:tcW w:w="7516" w:type="dxa"/>
          </w:tcPr>
          <w:p w14:paraId="59EDC9E8" w14:textId="77777777" w:rsidR="005F4C23" w:rsidRPr="005F4C23" w:rsidRDefault="005F4C23" w:rsidP="005F4C23">
            <w:r>
              <w:t>=</w:t>
            </w:r>
            <w:r w:rsidRPr="005F4C23">
              <w:t xml:space="preserve"> 2*</w:t>
            </w:r>
            <w:proofErr w:type="spellStart"/>
            <w:r w:rsidRPr="005F4C23">
              <w:t>WUIt</w:t>
            </w:r>
            <w:proofErr w:type="spellEnd"/>
            <w:r w:rsidRPr="005F4C23">
              <w:t xml:space="preserve">, if </w:t>
            </w:r>
            <w:proofErr w:type="spellStart"/>
            <w:r w:rsidRPr="005F4C23">
              <w:t>WUAt</w:t>
            </w:r>
            <w:proofErr w:type="spellEnd"/>
            <w:r w:rsidRPr="005F4C23">
              <w:t xml:space="preserve"> &gt; WUTR2t</w:t>
            </w:r>
          </w:p>
          <w:p w14:paraId="12679EA1" w14:textId="77777777" w:rsidR="005F4C23" w:rsidRPr="005F4C23" w:rsidRDefault="005F4C23" w:rsidP="005F4C23">
            <w:r>
              <w:t>=</w:t>
            </w:r>
            <w:r w:rsidRPr="005F4C23">
              <w:t xml:space="preserve"> </w:t>
            </w:r>
            <w:proofErr w:type="spellStart"/>
            <w:r w:rsidRPr="005F4C23">
              <w:t>WUIt</w:t>
            </w:r>
            <w:proofErr w:type="spellEnd"/>
            <w:r w:rsidRPr="005F4C23">
              <w:t xml:space="preserve">, if WUTR1t &lt; </w:t>
            </w:r>
            <w:proofErr w:type="spellStart"/>
            <w:r w:rsidRPr="005F4C23">
              <w:t>WUAt</w:t>
            </w:r>
            <w:proofErr w:type="spellEnd"/>
            <w:r w:rsidRPr="005F4C23">
              <w:t xml:space="preserve"> &lt; WUTR2t</w:t>
            </w:r>
          </w:p>
          <w:p w14:paraId="2C3D35B2" w14:textId="77777777" w:rsidR="005F4C23" w:rsidRPr="005F4C23" w:rsidRDefault="005F4C23" w:rsidP="005F4C23">
            <w:r>
              <w:t>=</w:t>
            </w:r>
            <w:r w:rsidRPr="005F4C23">
              <w:t xml:space="preserve"> -2*</w:t>
            </w:r>
            <w:proofErr w:type="spellStart"/>
            <w:r w:rsidRPr="005F4C23">
              <w:t>WUIt</w:t>
            </w:r>
            <w:proofErr w:type="spellEnd"/>
            <w:r w:rsidRPr="005F4C23">
              <w:t xml:space="preserve">, if </w:t>
            </w:r>
            <w:proofErr w:type="spellStart"/>
            <w:r w:rsidRPr="005F4C23">
              <w:t>WUAt</w:t>
            </w:r>
            <w:proofErr w:type="spellEnd"/>
            <w:r w:rsidRPr="005F4C23">
              <w:t xml:space="preserve"> &lt; WUTP2t</w:t>
            </w:r>
          </w:p>
          <w:p w14:paraId="4341B1C6" w14:textId="77777777" w:rsidR="005F4C23" w:rsidRPr="005F4C23" w:rsidRDefault="005F4C23" w:rsidP="005F4C23">
            <w:r>
              <w:t>=</w:t>
            </w:r>
            <w:r w:rsidRPr="005F4C23">
              <w:t xml:space="preserve"> -1*</w:t>
            </w:r>
            <w:proofErr w:type="spellStart"/>
            <w:r w:rsidRPr="005F4C23">
              <w:t>WUIt</w:t>
            </w:r>
            <w:proofErr w:type="spellEnd"/>
            <w:r w:rsidRPr="005F4C23">
              <w:t xml:space="preserve">, if WUTP1t &lt; </w:t>
            </w:r>
            <w:proofErr w:type="spellStart"/>
            <w:r w:rsidRPr="005F4C23">
              <w:t>WUAt</w:t>
            </w:r>
            <w:proofErr w:type="spellEnd"/>
            <w:r w:rsidRPr="005F4C23">
              <w:t xml:space="preserve"> &gt; WUTP2t</w:t>
            </w:r>
          </w:p>
          <w:p w14:paraId="4A4DD70A" w14:textId="1FE8A02A" w:rsidR="005F4C23" w:rsidRPr="005F4C23" w:rsidRDefault="005F4C23" w:rsidP="005F4C23">
            <w:r>
              <w:t>otherwise has a value of zero</w:t>
            </w:r>
            <w:r w:rsidR="009B6653">
              <w:t>;</w:t>
            </w:r>
          </w:p>
        </w:tc>
      </w:tr>
      <w:tr w:rsidR="005F4C23" w:rsidRPr="007442AB" w14:paraId="60FEB4CB" w14:textId="77777777" w:rsidTr="003F66DB">
        <w:trPr>
          <w:trHeight w:val="454"/>
        </w:trPr>
        <w:tc>
          <w:tcPr>
            <w:tcW w:w="1276" w:type="dxa"/>
          </w:tcPr>
          <w:p w14:paraId="49330E51" w14:textId="77777777" w:rsidR="005F4C23" w:rsidRPr="005F4C23" w:rsidRDefault="005F4C23" w:rsidP="005F4C23">
            <w:proofErr w:type="spellStart"/>
            <w:r>
              <w:t>EV</w:t>
            </w:r>
            <w:r w:rsidRPr="005F4C23">
              <w:t>t</w:t>
            </w:r>
            <w:proofErr w:type="spellEnd"/>
          </w:p>
        </w:tc>
        <w:tc>
          <w:tcPr>
            <w:tcW w:w="7516" w:type="dxa"/>
          </w:tcPr>
          <w:p w14:paraId="46B91D01" w14:textId="77777777" w:rsidR="005F4C23" w:rsidRPr="005F4C23" w:rsidRDefault="005F4C23" w:rsidP="005F4C23">
            <w:r>
              <w:t>=</w:t>
            </w:r>
            <w:r w:rsidRPr="005F4C23">
              <w:t xml:space="preserve"> 2*</w:t>
            </w:r>
            <w:proofErr w:type="spellStart"/>
            <w:r w:rsidRPr="005F4C23">
              <w:t>EVIt</w:t>
            </w:r>
            <w:proofErr w:type="spellEnd"/>
            <w:r w:rsidRPr="005F4C23">
              <w:t xml:space="preserve">, if </w:t>
            </w:r>
            <w:proofErr w:type="spellStart"/>
            <w:r w:rsidRPr="005F4C23">
              <w:t>EVAt</w:t>
            </w:r>
            <w:proofErr w:type="spellEnd"/>
            <w:r w:rsidRPr="005F4C23">
              <w:t xml:space="preserve"> &gt; EVTR2t</w:t>
            </w:r>
          </w:p>
          <w:p w14:paraId="469A9890" w14:textId="77777777" w:rsidR="005F4C23" w:rsidRPr="005F4C23" w:rsidRDefault="005F4C23" w:rsidP="005F4C23">
            <w:r>
              <w:t>=</w:t>
            </w:r>
            <w:r w:rsidRPr="005F4C23">
              <w:t xml:space="preserve"> </w:t>
            </w:r>
            <w:proofErr w:type="spellStart"/>
            <w:r w:rsidRPr="005F4C23">
              <w:t>EVIt</w:t>
            </w:r>
            <w:proofErr w:type="spellEnd"/>
            <w:r w:rsidRPr="005F4C23">
              <w:t xml:space="preserve">, if EVRT1t &lt; </w:t>
            </w:r>
            <w:proofErr w:type="spellStart"/>
            <w:r w:rsidRPr="005F4C23">
              <w:t>EVAt</w:t>
            </w:r>
            <w:proofErr w:type="spellEnd"/>
            <w:r w:rsidRPr="005F4C23">
              <w:t xml:space="preserve"> &lt; EVRTt2</w:t>
            </w:r>
          </w:p>
          <w:p w14:paraId="33DBA70D" w14:textId="77777777" w:rsidR="005F4C23" w:rsidRPr="005F4C23" w:rsidRDefault="005F4C23" w:rsidP="005F4C23">
            <w:r>
              <w:t>=</w:t>
            </w:r>
            <w:r w:rsidRPr="005F4C23">
              <w:t xml:space="preserve"> -2*</w:t>
            </w:r>
            <w:proofErr w:type="spellStart"/>
            <w:r w:rsidRPr="005F4C23">
              <w:t>EVIt</w:t>
            </w:r>
            <w:proofErr w:type="spellEnd"/>
            <w:r w:rsidRPr="005F4C23">
              <w:t xml:space="preserve">, if </w:t>
            </w:r>
            <w:proofErr w:type="spellStart"/>
            <w:r w:rsidRPr="005F4C23">
              <w:t>EVAt</w:t>
            </w:r>
            <w:proofErr w:type="spellEnd"/>
            <w:r w:rsidRPr="005F4C23">
              <w:t xml:space="preserve"> &lt; EVTP2t</w:t>
            </w:r>
          </w:p>
          <w:p w14:paraId="0CA4764B" w14:textId="77777777" w:rsidR="005F4C23" w:rsidRPr="005F4C23" w:rsidRDefault="005F4C23" w:rsidP="005F4C23">
            <w:r>
              <w:t>=</w:t>
            </w:r>
            <w:r w:rsidRPr="005F4C23">
              <w:t xml:space="preserve"> -1*</w:t>
            </w:r>
            <w:proofErr w:type="spellStart"/>
            <w:r w:rsidRPr="005F4C23">
              <w:t>EVIt</w:t>
            </w:r>
            <w:proofErr w:type="spellEnd"/>
            <w:r w:rsidRPr="005F4C23">
              <w:t xml:space="preserve">, if EVTP1t &lt; </w:t>
            </w:r>
            <w:proofErr w:type="spellStart"/>
            <w:r w:rsidRPr="005F4C23">
              <w:t>EVAt</w:t>
            </w:r>
            <w:proofErr w:type="spellEnd"/>
            <w:r w:rsidRPr="005F4C23">
              <w:t xml:space="preserve"> &gt; EVTP2t</w:t>
            </w:r>
          </w:p>
          <w:p w14:paraId="1C5AC32F" w14:textId="3A5539A2" w:rsidR="005F4C23" w:rsidRPr="005F4C23" w:rsidRDefault="005F4C23" w:rsidP="005F4C23">
            <w:r>
              <w:t xml:space="preserve">otherwise has a </w:t>
            </w:r>
            <w:r w:rsidRPr="005F4C23">
              <w:t>value of zero</w:t>
            </w:r>
            <w:r w:rsidR="009B6653">
              <w:t>;</w:t>
            </w:r>
          </w:p>
        </w:tc>
      </w:tr>
      <w:tr w:rsidR="005F4C23" w:rsidRPr="007442AB" w14:paraId="7F01A1E7" w14:textId="77777777" w:rsidTr="003F66DB">
        <w:trPr>
          <w:trHeight w:val="454"/>
        </w:trPr>
        <w:tc>
          <w:tcPr>
            <w:tcW w:w="1276" w:type="dxa"/>
          </w:tcPr>
          <w:p w14:paraId="266ABDF8" w14:textId="20B04ED8" w:rsidR="005F4C23" w:rsidRPr="005F4C23" w:rsidRDefault="00D4231B" w:rsidP="005F4C23">
            <w:proofErr w:type="spellStart"/>
            <w:r>
              <w:t>E</w:t>
            </w:r>
            <w:r w:rsidR="005F4C23">
              <w:t>G</w:t>
            </w:r>
            <w:r w:rsidR="005F4C23" w:rsidRPr="005F4C23">
              <w:t>t</w:t>
            </w:r>
            <w:proofErr w:type="spellEnd"/>
          </w:p>
        </w:tc>
        <w:tc>
          <w:tcPr>
            <w:tcW w:w="7516" w:type="dxa"/>
          </w:tcPr>
          <w:p w14:paraId="68068DFC" w14:textId="056340F8" w:rsidR="005F4C23" w:rsidRPr="001262F6" w:rsidRDefault="005F4C23" w:rsidP="005F4C23">
            <w:pPr>
              <w:rPr>
                <w:lang w:val="fr-FR"/>
              </w:rPr>
            </w:pPr>
            <w:r w:rsidRPr="001262F6">
              <w:rPr>
                <w:lang w:val="fr-FR"/>
              </w:rPr>
              <w:t xml:space="preserve">= 2* </w:t>
            </w:r>
            <w:proofErr w:type="spellStart"/>
            <w:r w:rsidRPr="001262F6">
              <w:rPr>
                <w:lang w:val="fr-FR"/>
              </w:rPr>
              <w:t>ƩNCPit</w:t>
            </w:r>
            <w:proofErr w:type="spellEnd"/>
            <w:r w:rsidRPr="001262F6">
              <w:rPr>
                <w:lang w:val="fr-FR"/>
              </w:rPr>
              <w:t>*</w:t>
            </w:r>
            <w:proofErr w:type="spellStart"/>
            <w:r w:rsidR="00D4231B" w:rsidRPr="001262F6">
              <w:rPr>
                <w:lang w:val="fr-FR"/>
              </w:rPr>
              <w:t>E</w:t>
            </w:r>
            <w:r w:rsidRPr="001262F6">
              <w:rPr>
                <w:lang w:val="fr-FR"/>
              </w:rPr>
              <w:t>GIt</w:t>
            </w:r>
            <w:proofErr w:type="spellEnd"/>
            <w:r w:rsidRPr="001262F6">
              <w:rPr>
                <w:lang w:val="fr-FR"/>
              </w:rPr>
              <w:t xml:space="preserve">, if </w:t>
            </w:r>
            <w:proofErr w:type="spellStart"/>
            <w:r w:rsidRPr="001262F6">
              <w:rPr>
                <w:lang w:val="fr-FR"/>
              </w:rPr>
              <w:t>Ʃ</w:t>
            </w:r>
            <w:r w:rsidR="00D4231B" w:rsidRPr="001262F6">
              <w:rPr>
                <w:lang w:val="fr-FR"/>
              </w:rPr>
              <w:t>E</w:t>
            </w:r>
            <w:r w:rsidRPr="001262F6">
              <w:rPr>
                <w:lang w:val="fr-FR"/>
              </w:rPr>
              <w:t>GAit</w:t>
            </w:r>
            <w:proofErr w:type="spellEnd"/>
            <w:r w:rsidRPr="001262F6">
              <w:rPr>
                <w:lang w:val="fr-FR"/>
              </w:rPr>
              <w:t>/</w:t>
            </w:r>
            <w:proofErr w:type="spellStart"/>
            <w:r w:rsidRPr="001262F6">
              <w:rPr>
                <w:lang w:val="fr-FR"/>
              </w:rPr>
              <w:t>ƩNCPit</w:t>
            </w:r>
            <w:proofErr w:type="spellEnd"/>
            <w:r w:rsidRPr="001262F6">
              <w:rPr>
                <w:lang w:val="fr-FR"/>
              </w:rPr>
              <w:t xml:space="preserve"> &gt; </w:t>
            </w:r>
            <w:r w:rsidR="00D4231B" w:rsidRPr="001262F6">
              <w:rPr>
                <w:lang w:val="fr-FR"/>
              </w:rPr>
              <w:t>E</w:t>
            </w:r>
            <w:r w:rsidRPr="001262F6">
              <w:rPr>
                <w:lang w:val="fr-FR"/>
              </w:rPr>
              <w:t>GTR2t</w:t>
            </w:r>
          </w:p>
          <w:p w14:paraId="5E81F3E8" w14:textId="4589B7A0" w:rsidR="005F4C23" w:rsidRPr="001262F6" w:rsidRDefault="005F4C23" w:rsidP="005F4C23">
            <w:pPr>
              <w:rPr>
                <w:lang w:val="fr-FR"/>
              </w:rPr>
            </w:pPr>
            <w:r w:rsidRPr="001262F6">
              <w:rPr>
                <w:lang w:val="fr-FR"/>
              </w:rPr>
              <w:t xml:space="preserve">= </w:t>
            </w:r>
            <w:proofErr w:type="spellStart"/>
            <w:r w:rsidRPr="001262F6">
              <w:rPr>
                <w:lang w:val="fr-FR"/>
              </w:rPr>
              <w:t>ƩNCPit</w:t>
            </w:r>
            <w:proofErr w:type="spellEnd"/>
            <w:r w:rsidRPr="001262F6">
              <w:rPr>
                <w:lang w:val="fr-FR"/>
              </w:rPr>
              <w:t>*</w:t>
            </w:r>
            <w:proofErr w:type="spellStart"/>
            <w:r w:rsidR="00D4231B" w:rsidRPr="001262F6">
              <w:rPr>
                <w:lang w:val="fr-FR"/>
              </w:rPr>
              <w:t>E</w:t>
            </w:r>
            <w:r w:rsidRPr="001262F6">
              <w:rPr>
                <w:lang w:val="fr-FR"/>
              </w:rPr>
              <w:t>GIt</w:t>
            </w:r>
            <w:proofErr w:type="spellEnd"/>
            <w:r w:rsidRPr="001262F6">
              <w:rPr>
                <w:lang w:val="fr-FR"/>
              </w:rPr>
              <w:t xml:space="preserve">, if </w:t>
            </w:r>
            <w:r w:rsidR="00D4231B" w:rsidRPr="001262F6">
              <w:rPr>
                <w:lang w:val="fr-FR"/>
              </w:rPr>
              <w:t>E</w:t>
            </w:r>
            <w:r w:rsidRPr="001262F6">
              <w:rPr>
                <w:lang w:val="fr-FR"/>
              </w:rPr>
              <w:t xml:space="preserve">GTR1t &lt; </w:t>
            </w:r>
            <w:proofErr w:type="spellStart"/>
            <w:r w:rsidRPr="001262F6">
              <w:rPr>
                <w:lang w:val="fr-FR"/>
              </w:rPr>
              <w:t>Ʃ</w:t>
            </w:r>
            <w:r w:rsidR="00D4231B" w:rsidRPr="001262F6">
              <w:rPr>
                <w:lang w:val="fr-FR"/>
              </w:rPr>
              <w:t>E</w:t>
            </w:r>
            <w:r w:rsidRPr="001262F6">
              <w:rPr>
                <w:lang w:val="fr-FR"/>
              </w:rPr>
              <w:t>GAit</w:t>
            </w:r>
            <w:proofErr w:type="spellEnd"/>
            <w:r w:rsidRPr="001262F6">
              <w:rPr>
                <w:lang w:val="fr-FR"/>
              </w:rPr>
              <w:t>/</w:t>
            </w:r>
            <w:proofErr w:type="spellStart"/>
            <w:r w:rsidRPr="001262F6">
              <w:rPr>
                <w:lang w:val="fr-FR"/>
              </w:rPr>
              <w:t>ƩNCPit</w:t>
            </w:r>
            <w:proofErr w:type="spellEnd"/>
            <w:r w:rsidRPr="001262F6">
              <w:rPr>
                <w:lang w:val="fr-FR"/>
              </w:rPr>
              <w:t xml:space="preserve"> &lt; </w:t>
            </w:r>
            <w:r w:rsidR="00D4231B" w:rsidRPr="001262F6">
              <w:rPr>
                <w:lang w:val="fr-FR"/>
              </w:rPr>
              <w:t>E</w:t>
            </w:r>
            <w:r w:rsidRPr="001262F6">
              <w:rPr>
                <w:lang w:val="fr-FR"/>
              </w:rPr>
              <w:t>GTR2t</w:t>
            </w:r>
          </w:p>
          <w:p w14:paraId="3A76F2AF" w14:textId="70FAD76A" w:rsidR="005F4C23" w:rsidRPr="001262F6" w:rsidRDefault="005F4C23" w:rsidP="005F4C23">
            <w:pPr>
              <w:rPr>
                <w:lang w:val="fr-FR"/>
              </w:rPr>
            </w:pPr>
            <w:r w:rsidRPr="001262F6">
              <w:rPr>
                <w:lang w:val="fr-FR"/>
              </w:rPr>
              <w:t xml:space="preserve">= -2* </w:t>
            </w:r>
            <w:proofErr w:type="spellStart"/>
            <w:r w:rsidRPr="001262F6">
              <w:rPr>
                <w:lang w:val="fr-FR"/>
              </w:rPr>
              <w:t>ƩNCPit</w:t>
            </w:r>
            <w:proofErr w:type="spellEnd"/>
            <w:r w:rsidRPr="001262F6">
              <w:rPr>
                <w:lang w:val="fr-FR"/>
              </w:rPr>
              <w:t xml:space="preserve"> *</w:t>
            </w:r>
            <w:proofErr w:type="spellStart"/>
            <w:r w:rsidR="00D4231B" w:rsidRPr="001262F6">
              <w:rPr>
                <w:lang w:val="fr-FR"/>
              </w:rPr>
              <w:t>E</w:t>
            </w:r>
            <w:r w:rsidRPr="001262F6">
              <w:rPr>
                <w:lang w:val="fr-FR"/>
              </w:rPr>
              <w:t>GIt</w:t>
            </w:r>
            <w:proofErr w:type="spellEnd"/>
            <w:r w:rsidRPr="001262F6">
              <w:rPr>
                <w:lang w:val="fr-FR"/>
              </w:rPr>
              <w:t xml:space="preserve">, if </w:t>
            </w:r>
            <w:proofErr w:type="spellStart"/>
            <w:r w:rsidRPr="001262F6">
              <w:rPr>
                <w:lang w:val="fr-FR"/>
              </w:rPr>
              <w:t>Ʃ</w:t>
            </w:r>
            <w:r w:rsidR="00D4231B" w:rsidRPr="001262F6">
              <w:rPr>
                <w:lang w:val="fr-FR"/>
              </w:rPr>
              <w:t>E</w:t>
            </w:r>
            <w:r w:rsidRPr="001262F6">
              <w:rPr>
                <w:lang w:val="fr-FR"/>
              </w:rPr>
              <w:t>GAit</w:t>
            </w:r>
            <w:proofErr w:type="spellEnd"/>
            <w:r w:rsidRPr="001262F6">
              <w:rPr>
                <w:lang w:val="fr-FR"/>
              </w:rPr>
              <w:t>/</w:t>
            </w:r>
            <w:proofErr w:type="spellStart"/>
            <w:r w:rsidRPr="001262F6">
              <w:rPr>
                <w:lang w:val="fr-FR"/>
              </w:rPr>
              <w:t>ƩNCPit</w:t>
            </w:r>
            <w:proofErr w:type="spellEnd"/>
            <w:r w:rsidRPr="001262F6">
              <w:rPr>
                <w:lang w:val="fr-FR"/>
              </w:rPr>
              <w:t xml:space="preserve"> &lt; </w:t>
            </w:r>
            <w:r w:rsidR="00D4231B" w:rsidRPr="001262F6">
              <w:rPr>
                <w:lang w:val="fr-FR"/>
              </w:rPr>
              <w:t>E</w:t>
            </w:r>
            <w:r w:rsidRPr="001262F6">
              <w:rPr>
                <w:lang w:val="fr-FR"/>
              </w:rPr>
              <w:t>GTP2t</w:t>
            </w:r>
          </w:p>
          <w:p w14:paraId="0048F088" w14:textId="2A3718B4" w:rsidR="005F4C23" w:rsidRPr="001262F6" w:rsidRDefault="005F4C23" w:rsidP="005F4C23">
            <w:pPr>
              <w:rPr>
                <w:lang w:val="fr-FR"/>
              </w:rPr>
            </w:pPr>
            <w:r w:rsidRPr="001262F6">
              <w:rPr>
                <w:lang w:val="fr-FR"/>
              </w:rPr>
              <w:t xml:space="preserve">= -1* </w:t>
            </w:r>
            <w:proofErr w:type="spellStart"/>
            <w:r w:rsidRPr="001262F6">
              <w:rPr>
                <w:lang w:val="fr-FR"/>
              </w:rPr>
              <w:t>ƩNCPit</w:t>
            </w:r>
            <w:proofErr w:type="spellEnd"/>
            <w:r w:rsidRPr="001262F6">
              <w:rPr>
                <w:lang w:val="fr-FR"/>
              </w:rPr>
              <w:t>*</w:t>
            </w:r>
            <w:proofErr w:type="spellStart"/>
            <w:r w:rsidR="00D4231B" w:rsidRPr="001262F6">
              <w:rPr>
                <w:lang w:val="fr-FR"/>
              </w:rPr>
              <w:t>E</w:t>
            </w:r>
            <w:r w:rsidRPr="001262F6">
              <w:rPr>
                <w:lang w:val="fr-FR"/>
              </w:rPr>
              <w:t>GIt</w:t>
            </w:r>
            <w:proofErr w:type="spellEnd"/>
            <w:r w:rsidRPr="001262F6">
              <w:rPr>
                <w:lang w:val="fr-FR"/>
              </w:rPr>
              <w:t xml:space="preserve">, if BGTP1t &lt; </w:t>
            </w:r>
            <w:proofErr w:type="spellStart"/>
            <w:r w:rsidRPr="001262F6">
              <w:rPr>
                <w:lang w:val="fr-FR"/>
              </w:rPr>
              <w:t>Ʃ</w:t>
            </w:r>
            <w:r w:rsidR="00D4231B" w:rsidRPr="001262F6">
              <w:rPr>
                <w:lang w:val="fr-FR"/>
              </w:rPr>
              <w:t>E</w:t>
            </w:r>
            <w:r w:rsidRPr="001262F6">
              <w:rPr>
                <w:lang w:val="fr-FR"/>
              </w:rPr>
              <w:t>GAit</w:t>
            </w:r>
            <w:proofErr w:type="spellEnd"/>
            <w:r w:rsidRPr="001262F6">
              <w:rPr>
                <w:lang w:val="fr-FR"/>
              </w:rPr>
              <w:t>/</w:t>
            </w:r>
            <w:proofErr w:type="spellStart"/>
            <w:r w:rsidRPr="001262F6">
              <w:rPr>
                <w:lang w:val="fr-FR"/>
              </w:rPr>
              <w:t>ƩNCPit</w:t>
            </w:r>
            <w:proofErr w:type="spellEnd"/>
            <w:r w:rsidRPr="001262F6">
              <w:rPr>
                <w:lang w:val="fr-FR"/>
              </w:rPr>
              <w:t xml:space="preserve"> &gt; </w:t>
            </w:r>
            <w:r w:rsidR="00D4231B" w:rsidRPr="001262F6">
              <w:rPr>
                <w:lang w:val="fr-FR"/>
              </w:rPr>
              <w:t>E</w:t>
            </w:r>
            <w:r w:rsidRPr="001262F6">
              <w:rPr>
                <w:lang w:val="fr-FR"/>
              </w:rPr>
              <w:t>GTP2t</w:t>
            </w:r>
          </w:p>
          <w:p w14:paraId="0940336D" w14:textId="7290D58A" w:rsidR="005F4C23" w:rsidRPr="005F4C23" w:rsidRDefault="005F4C23" w:rsidP="005F4C23">
            <w:r>
              <w:t>otherwise has a value of zero</w:t>
            </w:r>
            <w:r w:rsidR="009B6653">
              <w:t>;</w:t>
            </w:r>
          </w:p>
        </w:tc>
      </w:tr>
      <w:tr w:rsidR="005F4C23" w:rsidRPr="007442AB" w14:paraId="656ABDDD" w14:textId="77777777" w:rsidTr="003F66DB">
        <w:trPr>
          <w:trHeight w:val="454"/>
        </w:trPr>
        <w:tc>
          <w:tcPr>
            <w:tcW w:w="1276" w:type="dxa"/>
          </w:tcPr>
          <w:p w14:paraId="7CAD2A2B" w14:textId="77777777" w:rsidR="005F4C23" w:rsidRPr="005F4C23" w:rsidRDefault="005F4C23" w:rsidP="005F4C23">
            <w:r>
              <w:t>TIS</w:t>
            </w:r>
          </w:p>
        </w:tc>
        <w:tc>
          <w:tcPr>
            <w:tcW w:w="7516" w:type="dxa"/>
          </w:tcPr>
          <w:p w14:paraId="1A37B014" w14:textId="3ED22E11" w:rsidR="005F4C23" w:rsidRPr="005F4C23" w:rsidRDefault="005F4C23" w:rsidP="005F4C23">
            <w:r>
              <w:t xml:space="preserve">means </w:t>
            </w:r>
            <w:r w:rsidRPr="005F4C23">
              <w:t>the Totex Incentive Strength</w:t>
            </w:r>
          </w:p>
        </w:tc>
      </w:tr>
    </w:tbl>
    <w:p w14:paraId="4B02B5E1" w14:textId="77777777" w:rsidR="005F4C23" w:rsidRDefault="005F4C23" w:rsidP="003F66DB">
      <w:pPr>
        <w:ind w:left="720"/>
      </w:pPr>
    </w:p>
    <w:p w14:paraId="42085679" w14:textId="77777777" w:rsidR="005F4C23" w:rsidRPr="00351B55" w:rsidRDefault="005F4C23" w:rsidP="003F66DB">
      <w:pPr>
        <w:ind w:left="720"/>
      </w:pPr>
      <w:r>
        <w:t>w</w:t>
      </w:r>
      <w:r w:rsidRPr="00351B55">
        <w:t>here:</w:t>
      </w:r>
    </w:p>
    <w:tbl>
      <w:tblPr>
        <w:tblW w:w="9072" w:type="dxa"/>
        <w:tblInd w:w="720" w:type="dxa"/>
        <w:tblLook w:val="04A0" w:firstRow="1" w:lastRow="0" w:firstColumn="1" w:lastColumn="0" w:noHBand="0" w:noVBand="1"/>
      </w:tblPr>
      <w:tblGrid>
        <w:gridCol w:w="1390"/>
        <w:gridCol w:w="7682"/>
      </w:tblGrid>
      <w:tr w:rsidR="005F4C23" w:rsidRPr="007442AB" w14:paraId="4C56C309" w14:textId="77777777" w:rsidTr="003F66DB">
        <w:trPr>
          <w:trHeight w:val="454"/>
        </w:trPr>
        <w:tc>
          <w:tcPr>
            <w:tcW w:w="1390" w:type="dxa"/>
          </w:tcPr>
          <w:p w14:paraId="54EA42B6" w14:textId="2E603766" w:rsidR="005F4C23" w:rsidRPr="005F4C23" w:rsidRDefault="003E3BFE" w:rsidP="005F4C23">
            <w:proofErr w:type="spellStart"/>
            <w:r>
              <w:t>FE</w:t>
            </w:r>
            <w:r w:rsidR="005F4C23">
              <w:t>A</w:t>
            </w:r>
            <w:r w:rsidR="005F4C23" w:rsidRPr="005F4C23">
              <w:t>t</w:t>
            </w:r>
            <w:proofErr w:type="spellEnd"/>
          </w:p>
        </w:tc>
        <w:tc>
          <w:tcPr>
            <w:tcW w:w="7682" w:type="dxa"/>
          </w:tcPr>
          <w:p w14:paraId="3A0E2964" w14:textId="2312FD99" w:rsidR="005F4C23" w:rsidRPr="005F4C23" w:rsidRDefault="005F4C23" w:rsidP="005F4C23">
            <w:r>
              <w:t>means the p</w:t>
            </w:r>
            <w:r w:rsidRPr="005F4C23">
              <w:t xml:space="preserve">ercentage </w:t>
            </w:r>
            <w:r w:rsidR="003E3BFE">
              <w:t>reduction</w:t>
            </w:r>
            <w:r w:rsidRPr="005F4C23">
              <w:t xml:space="preserve"> in the licensee's total </w:t>
            </w:r>
            <w:r w:rsidR="003E3BFE">
              <w:t>fleet</w:t>
            </w:r>
            <w:r w:rsidRPr="005F4C23">
              <w:t xml:space="preserve"> </w:t>
            </w:r>
            <w:r w:rsidR="003E3BFE">
              <w:t>emissions</w:t>
            </w:r>
            <w:r w:rsidRPr="005F4C23">
              <w:t xml:space="preserve"> CO2e emissions compared to levels reported in the Annual Regulatory Report for Regulatory Year 2020/21.</w:t>
            </w:r>
            <w:r w:rsidR="009B6653">
              <w:t>;</w:t>
            </w:r>
          </w:p>
        </w:tc>
      </w:tr>
      <w:tr w:rsidR="005F4C23" w:rsidRPr="007442AB" w14:paraId="38D660BB" w14:textId="77777777" w:rsidTr="003F66DB">
        <w:trPr>
          <w:trHeight w:val="454"/>
        </w:trPr>
        <w:tc>
          <w:tcPr>
            <w:tcW w:w="1390" w:type="dxa"/>
          </w:tcPr>
          <w:p w14:paraId="378504B7" w14:textId="7BE9F49E" w:rsidR="005F4C23" w:rsidRPr="005F4C23" w:rsidRDefault="005F4C23" w:rsidP="005F4C23">
            <w:proofErr w:type="spellStart"/>
            <w:r>
              <w:t>B</w:t>
            </w:r>
            <w:r w:rsidR="00D4231B">
              <w:t>M</w:t>
            </w:r>
            <w:r>
              <w:t>A</w:t>
            </w:r>
            <w:r w:rsidRPr="005F4C23">
              <w:t>t</w:t>
            </w:r>
            <w:proofErr w:type="spellEnd"/>
          </w:p>
        </w:tc>
        <w:tc>
          <w:tcPr>
            <w:tcW w:w="7682" w:type="dxa"/>
          </w:tcPr>
          <w:p w14:paraId="0512AF29" w14:textId="2A97AC9A" w:rsidR="005F4C23" w:rsidRPr="005F4C23" w:rsidRDefault="005F4C23" w:rsidP="005F4C23">
            <w:r>
              <w:t>means the p</w:t>
            </w:r>
            <w:r w:rsidRPr="005F4C23">
              <w:t xml:space="preserve">ercentage change in the licensee's total business </w:t>
            </w:r>
            <w:r w:rsidR="00D4231B">
              <w:t>mileage</w:t>
            </w:r>
            <w:r w:rsidRPr="005F4C23">
              <w:t xml:space="preserve"> CO2e emissions compared to levels reported in the Annual Regulatory Report for Regulatory Year 2020/21.</w:t>
            </w:r>
            <w:r w:rsidR="009B6653">
              <w:t>;</w:t>
            </w:r>
          </w:p>
        </w:tc>
      </w:tr>
      <w:tr w:rsidR="005F4C23" w:rsidRPr="007442AB" w14:paraId="15380FAA" w14:textId="77777777" w:rsidTr="003F66DB">
        <w:trPr>
          <w:trHeight w:val="454"/>
        </w:trPr>
        <w:tc>
          <w:tcPr>
            <w:tcW w:w="1390" w:type="dxa"/>
          </w:tcPr>
          <w:p w14:paraId="1349BF8D" w14:textId="77777777" w:rsidR="005F4C23" w:rsidRPr="005F4C23" w:rsidRDefault="005F4C23" w:rsidP="005F4C23">
            <w:proofErr w:type="spellStart"/>
            <w:r>
              <w:t>WRA</w:t>
            </w:r>
            <w:r w:rsidRPr="005F4C23">
              <w:t>t</w:t>
            </w:r>
            <w:proofErr w:type="spellEnd"/>
          </w:p>
        </w:tc>
        <w:tc>
          <w:tcPr>
            <w:tcW w:w="7682" w:type="dxa"/>
          </w:tcPr>
          <w:p w14:paraId="0F4640FE" w14:textId="17C55781" w:rsidR="005F4C23" w:rsidRPr="005F4C23" w:rsidRDefault="005F4C23" w:rsidP="005F4C23">
            <w:r>
              <w:t xml:space="preserve">means the </w:t>
            </w:r>
            <w:r w:rsidRPr="005F4C23">
              <w:t>percentage of the licensee's operational and office waste that is recycled.</w:t>
            </w:r>
            <w:r w:rsidR="009B6653">
              <w:t>;</w:t>
            </w:r>
          </w:p>
        </w:tc>
      </w:tr>
      <w:tr w:rsidR="005F4C23" w:rsidRPr="007442AB" w14:paraId="26D91E98" w14:textId="77777777" w:rsidTr="003F66DB">
        <w:trPr>
          <w:trHeight w:val="454"/>
        </w:trPr>
        <w:tc>
          <w:tcPr>
            <w:tcW w:w="1390" w:type="dxa"/>
          </w:tcPr>
          <w:p w14:paraId="22BDB9DC" w14:textId="77777777" w:rsidR="005F4C23" w:rsidRPr="005F4C23" w:rsidRDefault="005F4C23" w:rsidP="005F4C23">
            <w:proofErr w:type="spellStart"/>
            <w:r>
              <w:t>OWA</w:t>
            </w:r>
            <w:r w:rsidRPr="005F4C23">
              <w:t>t</w:t>
            </w:r>
            <w:proofErr w:type="spellEnd"/>
          </w:p>
        </w:tc>
        <w:tc>
          <w:tcPr>
            <w:tcW w:w="7682" w:type="dxa"/>
          </w:tcPr>
          <w:p w14:paraId="6390033D" w14:textId="08BAB540" w:rsidR="005F4C23" w:rsidRPr="005F4C23" w:rsidRDefault="005F4C23" w:rsidP="005F4C23">
            <w:r>
              <w:t>means the p</w:t>
            </w:r>
            <w:r w:rsidRPr="005F4C23">
              <w:t xml:space="preserve">ercentage change in the weight (in tonnes) of waste created at the Licensee's Offices compared to </w:t>
            </w:r>
            <w:r w:rsidR="00660E5B">
              <w:t xml:space="preserve">the </w:t>
            </w:r>
            <w:r w:rsidRPr="005F4C23">
              <w:t xml:space="preserve">2019/20 level set out in Appendix </w:t>
            </w:r>
            <w:proofErr w:type="gramStart"/>
            <w:r w:rsidRPr="005F4C23">
              <w:t>1</w:t>
            </w:r>
            <w:r w:rsidR="009B6653">
              <w:t>;</w:t>
            </w:r>
            <w:proofErr w:type="gramEnd"/>
          </w:p>
        </w:tc>
      </w:tr>
      <w:tr w:rsidR="005F4C23" w:rsidRPr="007442AB" w14:paraId="25FABEA2" w14:textId="77777777" w:rsidTr="003F66DB">
        <w:trPr>
          <w:trHeight w:val="454"/>
        </w:trPr>
        <w:tc>
          <w:tcPr>
            <w:tcW w:w="1390" w:type="dxa"/>
          </w:tcPr>
          <w:p w14:paraId="7277621E" w14:textId="77777777" w:rsidR="005F4C23" w:rsidRPr="005F4C23" w:rsidRDefault="005F4C23" w:rsidP="005F4C23">
            <w:proofErr w:type="spellStart"/>
            <w:r>
              <w:lastRenderedPageBreak/>
              <w:t>WUA</w:t>
            </w:r>
            <w:r w:rsidRPr="005F4C23">
              <w:t>t</w:t>
            </w:r>
            <w:proofErr w:type="spellEnd"/>
          </w:p>
        </w:tc>
        <w:tc>
          <w:tcPr>
            <w:tcW w:w="7682" w:type="dxa"/>
          </w:tcPr>
          <w:p w14:paraId="68FBFBE0" w14:textId="7DC8135D" w:rsidR="005F4C23" w:rsidRPr="005F4C23" w:rsidRDefault="005F4C23" w:rsidP="005F4C23">
            <w:r>
              <w:t>means the p</w:t>
            </w:r>
            <w:r w:rsidRPr="005F4C23">
              <w:t xml:space="preserve">ercentage change in the volume of water use at the Licensee's Offices compared to </w:t>
            </w:r>
            <w:r w:rsidR="00660E5B">
              <w:t xml:space="preserve">the </w:t>
            </w:r>
            <w:r w:rsidRPr="005F4C23">
              <w:t xml:space="preserve">2019/20 levels set out in Appendix </w:t>
            </w:r>
            <w:proofErr w:type="gramStart"/>
            <w:r w:rsidRPr="005F4C23">
              <w:t>1</w:t>
            </w:r>
            <w:r w:rsidR="009B6653">
              <w:t>;</w:t>
            </w:r>
            <w:proofErr w:type="gramEnd"/>
            <w:r w:rsidRPr="005F4C23">
              <w:t xml:space="preserve"> </w:t>
            </w:r>
          </w:p>
        </w:tc>
      </w:tr>
      <w:tr w:rsidR="005F4C23" w:rsidRPr="007442AB" w14:paraId="4EC27938" w14:textId="77777777" w:rsidTr="003F66DB">
        <w:trPr>
          <w:trHeight w:val="454"/>
        </w:trPr>
        <w:tc>
          <w:tcPr>
            <w:tcW w:w="1390" w:type="dxa"/>
          </w:tcPr>
          <w:p w14:paraId="1F7002CD" w14:textId="77777777" w:rsidR="005F4C23" w:rsidRPr="005F4C23" w:rsidRDefault="005F4C23" w:rsidP="005F4C23">
            <w:proofErr w:type="spellStart"/>
            <w:r>
              <w:t>EVA</w:t>
            </w:r>
            <w:r w:rsidRPr="005F4C23">
              <w:t>t</w:t>
            </w:r>
            <w:proofErr w:type="spellEnd"/>
          </w:p>
        </w:tc>
        <w:tc>
          <w:tcPr>
            <w:tcW w:w="7682" w:type="dxa"/>
          </w:tcPr>
          <w:p w14:paraId="272843EC" w14:textId="7F9BE30C" w:rsidR="005F4C23" w:rsidRPr="005F4C23" w:rsidRDefault="005F4C23" w:rsidP="005F4C23">
            <w:r>
              <w:t>means the p</w:t>
            </w:r>
            <w:r w:rsidRPr="005F4C23">
              <w:t xml:space="preserve">ercentage change in the Environmental Value of the licensee's non-operational land compared to </w:t>
            </w:r>
            <w:r w:rsidR="00660E5B">
              <w:t xml:space="preserve">the </w:t>
            </w:r>
            <w:r w:rsidRPr="005F4C23">
              <w:t xml:space="preserve">2020/21 levels set out in Appendix </w:t>
            </w:r>
            <w:proofErr w:type="gramStart"/>
            <w:r w:rsidRPr="005F4C23">
              <w:t>1</w:t>
            </w:r>
            <w:r w:rsidR="009B6653">
              <w:t>;</w:t>
            </w:r>
            <w:proofErr w:type="gramEnd"/>
          </w:p>
        </w:tc>
      </w:tr>
      <w:tr w:rsidR="005F4C23" w:rsidRPr="007442AB" w14:paraId="1A9092AF" w14:textId="77777777" w:rsidTr="003F66DB">
        <w:trPr>
          <w:trHeight w:val="454"/>
        </w:trPr>
        <w:tc>
          <w:tcPr>
            <w:tcW w:w="1390" w:type="dxa"/>
          </w:tcPr>
          <w:p w14:paraId="15B133EF" w14:textId="4924813D" w:rsidR="005F4C23" w:rsidRPr="005F4C23" w:rsidRDefault="005F4C23" w:rsidP="005F4C23">
            <w:proofErr w:type="spellStart"/>
            <w:r>
              <w:t>Ʃ</w:t>
            </w:r>
            <w:r w:rsidR="00D4231B">
              <w:t>E</w:t>
            </w:r>
            <w:r w:rsidRPr="005F4C23">
              <w:t>GAit</w:t>
            </w:r>
            <w:proofErr w:type="spellEnd"/>
          </w:p>
        </w:tc>
        <w:tc>
          <w:tcPr>
            <w:tcW w:w="7682" w:type="dxa"/>
          </w:tcPr>
          <w:p w14:paraId="4A222274" w14:textId="1A6244C3" w:rsidR="005F4C23" w:rsidRPr="005F4C23" w:rsidRDefault="005F4C23" w:rsidP="005F4C23">
            <w:r>
              <w:t xml:space="preserve">means the </w:t>
            </w:r>
            <w:proofErr w:type="gramStart"/>
            <w:r w:rsidRPr="005F4C23">
              <w:t>sum total</w:t>
            </w:r>
            <w:proofErr w:type="gramEnd"/>
            <w:r w:rsidRPr="005F4C23">
              <w:t xml:space="preserve"> percentage change of </w:t>
            </w:r>
            <w:r w:rsidR="00D4231B">
              <w:t>Environmental</w:t>
            </w:r>
            <w:r w:rsidRPr="005F4C23">
              <w:t xml:space="preserve"> Net Gain achieved on all new construction projects completed</w:t>
            </w:r>
            <w:r w:rsidR="009B6653">
              <w:t>; and</w:t>
            </w:r>
            <w:r w:rsidR="009B6653" w:rsidRPr="005F4C23">
              <w:t xml:space="preserve"> </w:t>
            </w:r>
          </w:p>
        </w:tc>
      </w:tr>
      <w:tr w:rsidR="005F4C23" w:rsidRPr="007442AB" w14:paraId="20EF7895" w14:textId="77777777" w:rsidTr="003F66DB">
        <w:trPr>
          <w:trHeight w:val="454"/>
        </w:trPr>
        <w:tc>
          <w:tcPr>
            <w:tcW w:w="1390" w:type="dxa"/>
          </w:tcPr>
          <w:p w14:paraId="3758158C" w14:textId="77777777" w:rsidR="005F4C23" w:rsidRPr="005F4C23" w:rsidRDefault="005F4C23" w:rsidP="005F4C23">
            <w:proofErr w:type="spellStart"/>
            <w:r>
              <w:t>ƩNC</w:t>
            </w:r>
            <w:r w:rsidRPr="005F4C23">
              <w:t>Pit</w:t>
            </w:r>
            <w:proofErr w:type="spellEnd"/>
          </w:p>
        </w:tc>
        <w:tc>
          <w:tcPr>
            <w:tcW w:w="7682" w:type="dxa"/>
          </w:tcPr>
          <w:p w14:paraId="493F6AC2" w14:textId="673A69F1" w:rsidR="005F4C23" w:rsidRPr="005F4C23" w:rsidRDefault="005F4C23" w:rsidP="005F4C23">
            <w:r>
              <w:t xml:space="preserve">means the </w:t>
            </w:r>
            <w:r w:rsidRPr="005F4C23">
              <w:t xml:space="preserve">total number of new construction projects completed. </w:t>
            </w:r>
          </w:p>
        </w:tc>
      </w:tr>
    </w:tbl>
    <w:p w14:paraId="5D61A27E" w14:textId="2AB26AEA" w:rsidR="005F4C23" w:rsidRPr="00351B55" w:rsidRDefault="00F4114E" w:rsidP="008F7F11">
      <w:pPr>
        <w:pStyle w:val="NumberedNormal"/>
      </w:pPr>
      <w:r>
        <w:t>The</w:t>
      </w:r>
      <w:r w:rsidR="005F4C23">
        <w:t xml:space="preserve"> penalty and reward thresholds applicable in each environmental area are</w:t>
      </w:r>
      <w:r w:rsidR="005F4C23" w:rsidRPr="00351B55">
        <w:t>:</w:t>
      </w:r>
    </w:p>
    <w:tbl>
      <w:tblPr>
        <w:tblStyle w:val="AppendixTable"/>
        <w:tblW w:w="5000" w:type="pct"/>
        <w:tblLook w:val="04A0" w:firstRow="1" w:lastRow="0" w:firstColumn="1" w:lastColumn="0" w:noHBand="0" w:noVBand="1"/>
      </w:tblPr>
      <w:tblGrid>
        <w:gridCol w:w="1859"/>
        <w:gridCol w:w="1425"/>
        <w:gridCol w:w="1437"/>
        <w:gridCol w:w="1435"/>
        <w:gridCol w:w="1435"/>
        <w:gridCol w:w="1435"/>
      </w:tblGrid>
      <w:tr w:rsidR="005F4C23" w:rsidRPr="007442AB" w14:paraId="11F57174" w14:textId="77777777" w:rsidTr="00F04AD9">
        <w:trPr>
          <w:cnfStyle w:val="100000000000" w:firstRow="1" w:lastRow="0" w:firstColumn="0" w:lastColumn="0" w:oddVBand="0" w:evenVBand="0" w:oddHBand="0" w:evenHBand="0" w:firstRowFirstColumn="0" w:firstRowLastColumn="0" w:lastRowFirstColumn="0" w:lastRowLastColumn="0"/>
          <w:trHeight w:val="454"/>
          <w:tblHeader/>
        </w:trPr>
        <w:tc>
          <w:tcPr>
            <w:tcW w:w="1029" w:type="pct"/>
          </w:tcPr>
          <w:p w14:paraId="05A396F7" w14:textId="77777777" w:rsidR="005F4C23" w:rsidRPr="005F4C23" w:rsidRDefault="005F4C23" w:rsidP="005F4C23">
            <w:r>
              <w:t>Regulatory Year</w:t>
            </w:r>
          </w:p>
        </w:tc>
        <w:tc>
          <w:tcPr>
            <w:tcW w:w="789" w:type="pct"/>
          </w:tcPr>
          <w:p w14:paraId="6FE33760" w14:textId="17F16AFB" w:rsidR="005F4C23" w:rsidRPr="005F4C23" w:rsidRDefault="005F4C23" w:rsidP="00F25579">
            <w:pPr>
              <w:jc w:val="right"/>
            </w:pPr>
            <w:r>
              <w:t>2021</w:t>
            </w:r>
            <w:r w:rsidR="00660E5B">
              <w:t>/2022</w:t>
            </w:r>
          </w:p>
        </w:tc>
        <w:tc>
          <w:tcPr>
            <w:tcW w:w="796" w:type="pct"/>
          </w:tcPr>
          <w:p w14:paraId="7AD0602C" w14:textId="7329D8BD" w:rsidR="005F4C23" w:rsidRPr="005F4C23" w:rsidRDefault="005F4C23" w:rsidP="00F25579">
            <w:pPr>
              <w:jc w:val="right"/>
            </w:pPr>
            <w:r>
              <w:t>2022</w:t>
            </w:r>
            <w:r w:rsidR="00660E5B">
              <w:t>/2023</w:t>
            </w:r>
          </w:p>
        </w:tc>
        <w:tc>
          <w:tcPr>
            <w:tcW w:w="795" w:type="pct"/>
          </w:tcPr>
          <w:p w14:paraId="27067365" w14:textId="3ED62C90" w:rsidR="005F4C23" w:rsidRPr="005F4C23" w:rsidRDefault="005F4C23" w:rsidP="00F25579">
            <w:pPr>
              <w:jc w:val="right"/>
            </w:pPr>
            <w:r>
              <w:t>2023</w:t>
            </w:r>
            <w:r w:rsidR="00660E5B">
              <w:t>/2024</w:t>
            </w:r>
          </w:p>
        </w:tc>
        <w:tc>
          <w:tcPr>
            <w:tcW w:w="795" w:type="pct"/>
          </w:tcPr>
          <w:p w14:paraId="3D85A376" w14:textId="5B13A54D" w:rsidR="005F4C23" w:rsidRPr="005F4C23" w:rsidRDefault="005F4C23" w:rsidP="00F25579">
            <w:pPr>
              <w:jc w:val="right"/>
            </w:pPr>
            <w:r>
              <w:t>2024</w:t>
            </w:r>
            <w:r w:rsidR="00660E5B">
              <w:t>/2025</w:t>
            </w:r>
          </w:p>
        </w:tc>
        <w:tc>
          <w:tcPr>
            <w:tcW w:w="795" w:type="pct"/>
          </w:tcPr>
          <w:p w14:paraId="4ADCC16E" w14:textId="6F172CCC" w:rsidR="005F4C23" w:rsidRPr="005F4C23" w:rsidRDefault="005F4C23" w:rsidP="00F25579">
            <w:pPr>
              <w:jc w:val="right"/>
            </w:pPr>
            <w:r>
              <w:t>2025</w:t>
            </w:r>
            <w:r w:rsidR="00660E5B">
              <w:t>/2026</w:t>
            </w:r>
          </w:p>
        </w:tc>
      </w:tr>
      <w:tr w:rsidR="005F4C23" w:rsidRPr="007442AB" w14:paraId="1AA75F04" w14:textId="77777777" w:rsidTr="00572E20">
        <w:trPr>
          <w:trHeight w:val="454"/>
        </w:trPr>
        <w:tc>
          <w:tcPr>
            <w:tcW w:w="1029" w:type="pct"/>
          </w:tcPr>
          <w:p w14:paraId="100E367A" w14:textId="5B3862EC" w:rsidR="005F4C23" w:rsidRPr="005F4C23" w:rsidRDefault="00D4231B" w:rsidP="005F4C23">
            <w:r>
              <w:t>FE</w:t>
            </w:r>
            <w:r w:rsidR="005F4C23">
              <w:t>TR2</w:t>
            </w:r>
          </w:p>
          <w:p w14:paraId="0C4C96CD" w14:textId="60498E69" w:rsidR="005F4C23" w:rsidRPr="005F4C23" w:rsidRDefault="00D4231B" w:rsidP="005F4C23">
            <w:r>
              <w:t>FE</w:t>
            </w:r>
            <w:r w:rsidR="005F4C23">
              <w:t>TR1</w:t>
            </w:r>
          </w:p>
          <w:p w14:paraId="7141FDF4" w14:textId="0BF1390E" w:rsidR="005F4C23" w:rsidRPr="005F4C23" w:rsidRDefault="00D4231B" w:rsidP="005F4C23">
            <w:r>
              <w:t>FE</w:t>
            </w:r>
            <w:r w:rsidR="005F4C23">
              <w:t>TP1</w:t>
            </w:r>
          </w:p>
          <w:p w14:paraId="0BB85E6C" w14:textId="286C3F30" w:rsidR="005F4C23" w:rsidRPr="005F4C23" w:rsidRDefault="00D4231B" w:rsidP="005F4C23">
            <w:r>
              <w:t>FE</w:t>
            </w:r>
            <w:r w:rsidR="005F4C23">
              <w:t>TP2</w:t>
            </w:r>
          </w:p>
        </w:tc>
        <w:tc>
          <w:tcPr>
            <w:tcW w:w="789" w:type="pct"/>
          </w:tcPr>
          <w:p w14:paraId="3B0B148D" w14:textId="77777777" w:rsidR="005F4C23" w:rsidRPr="005F4C23" w:rsidRDefault="005F4C23" w:rsidP="00F25579">
            <w:pPr>
              <w:jc w:val="right"/>
            </w:pPr>
            <w:r>
              <w:t>-</w:t>
            </w:r>
            <w:r w:rsidRPr="005F4C23">
              <w:t>8%</w:t>
            </w:r>
          </w:p>
          <w:p w14:paraId="33202B5B" w14:textId="77777777" w:rsidR="005F4C23" w:rsidRPr="005F4C23" w:rsidRDefault="005F4C23" w:rsidP="00F25579">
            <w:pPr>
              <w:jc w:val="right"/>
            </w:pPr>
            <w:r>
              <w:t>-</w:t>
            </w:r>
            <w:r w:rsidRPr="005F4C23">
              <w:t>7%</w:t>
            </w:r>
          </w:p>
          <w:p w14:paraId="742C1C7F" w14:textId="77777777" w:rsidR="005F4C23" w:rsidRPr="005F4C23" w:rsidRDefault="005F4C23" w:rsidP="00F25579">
            <w:pPr>
              <w:jc w:val="right"/>
            </w:pPr>
            <w:r>
              <w:t>-</w:t>
            </w:r>
            <w:r w:rsidRPr="005F4C23">
              <w:t>5%</w:t>
            </w:r>
          </w:p>
          <w:p w14:paraId="5B4E1731" w14:textId="77777777" w:rsidR="005F4C23" w:rsidRPr="005F4C23" w:rsidRDefault="005F4C23" w:rsidP="00F25579">
            <w:pPr>
              <w:jc w:val="right"/>
            </w:pPr>
            <w:r>
              <w:t>-</w:t>
            </w:r>
            <w:r w:rsidRPr="005F4C23">
              <w:t>4%</w:t>
            </w:r>
          </w:p>
        </w:tc>
        <w:tc>
          <w:tcPr>
            <w:tcW w:w="796" w:type="pct"/>
          </w:tcPr>
          <w:p w14:paraId="5DDC91BC" w14:textId="77777777" w:rsidR="005F4C23" w:rsidRPr="005F4C23" w:rsidRDefault="005F4C23" w:rsidP="00F25579">
            <w:pPr>
              <w:jc w:val="right"/>
            </w:pPr>
            <w:r>
              <w:t>-</w:t>
            </w:r>
            <w:r w:rsidRPr="005F4C23">
              <w:t>18%</w:t>
            </w:r>
          </w:p>
          <w:p w14:paraId="71CFB874" w14:textId="77777777" w:rsidR="005F4C23" w:rsidRPr="005F4C23" w:rsidRDefault="005F4C23" w:rsidP="00F25579">
            <w:pPr>
              <w:jc w:val="right"/>
            </w:pPr>
            <w:r>
              <w:t>-</w:t>
            </w:r>
            <w:r w:rsidRPr="005F4C23">
              <w:t>16%</w:t>
            </w:r>
          </w:p>
          <w:p w14:paraId="48E42E34" w14:textId="77777777" w:rsidR="005F4C23" w:rsidRPr="005F4C23" w:rsidRDefault="005F4C23" w:rsidP="00F25579">
            <w:pPr>
              <w:jc w:val="right"/>
            </w:pPr>
            <w:r>
              <w:t>-</w:t>
            </w:r>
            <w:r w:rsidRPr="005F4C23">
              <w:t>12%</w:t>
            </w:r>
          </w:p>
          <w:p w14:paraId="74CD68AA" w14:textId="77777777" w:rsidR="005F4C23" w:rsidRPr="005F4C23" w:rsidRDefault="005F4C23" w:rsidP="00F25579">
            <w:pPr>
              <w:jc w:val="right"/>
            </w:pPr>
            <w:r>
              <w:t>-</w:t>
            </w:r>
            <w:r w:rsidRPr="005F4C23">
              <w:t>10%</w:t>
            </w:r>
          </w:p>
        </w:tc>
        <w:tc>
          <w:tcPr>
            <w:tcW w:w="795" w:type="pct"/>
          </w:tcPr>
          <w:p w14:paraId="0735318E" w14:textId="77777777" w:rsidR="005F4C23" w:rsidRPr="005F4C23" w:rsidRDefault="005F4C23" w:rsidP="00F25579">
            <w:pPr>
              <w:jc w:val="right"/>
            </w:pPr>
            <w:r>
              <w:t>TBC</w:t>
            </w:r>
          </w:p>
          <w:p w14:paraId="1EBAC85D" w14:textId="77777777" w:rsidR="005F4C23" w:rsidRPr="005F4C23" w:rsidRDefault="005F4C23" w:rsidP="00F25579">
            <w:pPr>
              <w:jc w:val="right"/>
            </w:pPr>
            <w:r>
              <w:t>TBC</w:t>
            </w:r>
          </w:p>
          <w:p w14:paraId="7EA55EF7" w14:textId="77777777" w:rsidR="005F4C23" w:rsidRPr="005F4C23" w:rsidRDefault="005F4C23" w:rsidP="00F25579">
            <w:pPr>
              <w:jc w:val="right"/>
            </w:pPr>
            <w:r>
              <w:t>TBC</w:t>
            </w:r>
          </w:p>
          <w:p w14:paraId="29391900" w14:textId="77777777" w:rsidR="005F4C23" w:rsidRPr="005F4C23" w:rsidRDefault="005F4C23" w:rsidP="00F25579">
            <w:pPr>
              <w:jc w:val="right"/>
            </w:pPr>
            <w:r>
              <w:t>TBC</w:t>
            </w:r>
          </w:p>
        </w:tc>
        <w:tc>
          <w:tcPr>
            <w:tcW w:w="795" w:type="pct"/>
          </w:tcPr>
          <w:p w14:paraId="0E80E4CD" w14:textId="77777777" w:rsidR="005F4C23" w:rsidRPr="005F4C23" w:rsidRDefault="005F4C23" w:rsidP="00F25579">
            <w:pPr>
              <w:jc w:val="right"/>
            </w:pPr>
            <w:r>
              <w:t>-</w:t>
            </w:r>
            <w:r w:rsidRPr="005F4C23">
              <w:t>33%</w:t>
            </w:r>
          </w:p>
          <w:p w14:paraId="01D6511C" w14:textId="77777777" w:rsidR="005F4C23" w:rsidRPr="005F4C23" w:rsidRDefault="005F4C23" w:rsidP="00F25579">
            <w:pPr>
              <w:jc w:val="right"/>
            </w:pPr>
            <w:r>
              <w:t>-</w:t>
            </w:r>
            <w:r w:rsidRPr="005F4C23">
              <w:t>30%</w:t>
            </w:r>
          </w:p>
          <w:p w14:paraId="15F26156" w14:textId="77777777" w:rsidR="005F4C23" w:rsidRPr="005F4C23" w:rsidRDefault="005F4C23" w:rsidP="00F25579">
            <w:pPr>
              <w:jc w:val="right"/>
            </w:pPr>
            <w:r>
              <w:t>-</w:t>
            </w:r>
            <w:r w:rsidRPr="005F4C23">
              <w:t>24%</w:t>
            </w:r>
          </w:p>
          <w:p w14:paraId="0E8CE2A2" w14:textId="77777777" w:rsidR="005F4C23" w:rsidRPr="005F4C23" w:rsidRDefault="005F4C23" w:rsidP="00F25579">
            <w:pPr>
              <w:jc w:val="right"/>
            </w:pPr>
            <w:r>
              <w:t>-</w:t>
            </w:r>
            <w:r w:rsidRPr="005F4C23">
              <w:t>21%</w:t>
            </w:r>
          </w:p>
        </w:tc>
        <w:tc>
          <w:tcPr>
            <w:tcW w:w="795" w:type="pct"/>
          </w:tcPr>
          <w:p w14:paraId="4DDF28C8" w14:textId="77777777" w:rsidR="005F4C23" w:rsidRPr="005F4C23" w:rsidRDefault="005F4C23" w:rsidP="00F25579">
            <w:pPr>
              <w:jc w:val="right"/>
            </w:pPr>
            <w:r>
              <w:t>-</w:t>
            </w:r>
            <w:r w:rsidRPr="005F4C23">
              <w:t>62%</w:t>
            </w:r>
          </w:p>
          <w:p w14:paraId="052C68E3" w14:textId="77777777" w:rsidR="005F4C23" w:rsidRPr="005F4C23" w:rsidRDefault="005F4C23" w:rsidP="00F25579">
            <w:pPr>
              <w:jc w:val="right"/>
            </w:pPr>
            <w:r>
              <w:t>-</w:t>
            </w:r>
            <w:r w:rsidRPr="005F4C23">
              <w:t>58%</w:t>
            </w:r>
          </w:p>
          <w:p w14:paraId="13C072FB" w14:textId="77777777" w:rsidR="005F4C23" w:rsidRPr="005F4C23" w:rsidRDefault="005F4C23" w:rsidP="00F25579">
            <w:pPr>
              <w:jc w:val="right"/>
            </w:pPr>
            <w:r>
              <w:t>-</w:t>
            </w:r>
            <w:r w:rsidRPr="005F4C23">
              <w:t>50%</w:t>
            </w:r>
          </w:p>
          <w:p w14:paraId="5907C898" w14:textId="77777777" w:rsidR="005F4C23" w:rsidRPr="005F4C23" w:rsidRDefault="005F4C23" w:rsidP="00F25579">
            <w:pPr>
              <w:jc w:val="right"/>
            </w:pPr>
            <w:r>
              <w:t>-</w:t>
            </w:r>
            <w:r w:rsidRPr="005F4C23">
              <w:t>46%</w:t>
            </w:r>
          </w:p>
        </w:tc>
      </w:tr>
      <w:tr w:rsidR="005F4C23" w:rsidRPr="007442AB" w14:paraId="2CA2B741" w14:textId="77777777" w:rsidTr="00572E20">
        <w:trPr>
          <w:trHeight w:val="454"/>
        </w:trPr>
        <w:tc>
          <w:tcPr>
            <w:tcW w:w="1029" w:type="pct"/>
          </w:tcPr>
          <w:p w14:paraId="21F4D03B" w14:textId="6C3505FC" w:rsidR="005F4C23" w:rsidRPr="005F4C23" w:rsidRDefault="005F4C23" w:rsidP="005F4C23">
            <w:r>
              <w:t>B</w:t>
            </w:r>
            <w:r w:rsidR="00D4231B">
              <w:t>M</w:t>
            </w:r>
            <w:r w:rsidRPr="005F4C23">
              <w:t>TR2</w:t>
            </w:r>
          </w:p>
          <w:p w14:paraId="47E52E9E" w14:textId="0238036C" w:rsidR="005F4C23" w:rsidRPr="005F4C23" w:rsidRDefault="005F4C23" w:rsidP="005F4C23">
            <w:r>
              <w:t>B</w:t>
            </w:r>
            <w:r w:rsidR="00D4231B">
              <w:t>M</w:t>
            </w:r>
            <w:r w:rsidRPr="005F4C23">
              <w:t>TR1</w:t>
            </w:r>
          </w:p>
          <w:p w14:paraId="3E3A2C4E" w14:textId="7859DDDD" w:rsidR="005F4C23" w:rsidRPr="005F4C23" w:rsidRDefault="005F4C23" w:rsidP="005F4C23">
            <w:r>
              <w:t>B</w:t>
            </w:r>
            <w:r w:rsidR="00D4231B">
              <w:t>M</w:t>
            </w:r>
            <w:r w:rsidRPr="005F4C23">
              <w:t>TP1</w:t>
            </w:r>
          </w:p>
          <w:p w14:paraId="58C27C0F" w14:textId="2ED9190B" w:rsidR="005F4C23" w:rsidRPr="005F4C23" w:rsidRDefault="005F4C23" w:rsidP="005F4C23">
            <w:r>
              <w:t>B</w:t>
            </w:r>
            <w:r w:rsidR="00D4231B">
              <w:t>M</w:t>
            </w:r>
            <w:r w:rsidRPr="005F4C23">
              <w:t>TP2</w:t>
            </w:r>
          </w:p>
        </w:tc>
        <w:tc>
          <w:tcPr>
            <w:tcW w:w="789" w:type="pct"/>
          </w:tcPr>
          <w:p w14:paraId="381E2F7B" w14:textId="77777777" w:rsidR="005F4C23" w:rsidRPr="005F4C23" w:rsidRDefault="005F4C23" w:rsidP="00F25579">
            <w:pPr>
              <w:jc w:val="right"/>
            </w:pPr>
            <w:r>
              <w:t>-</w:t>
            </w:r>
            <w:r w:rsidRPr="005F4C23">
              <w:t>4%</w:t>
            </w:r>
          </w:p>
          <w:p w14:paraId="791047F7" w14:textId="77777777" w:rsidR="005F4C23" w:rsidRPr="005F4C23" w:rsidRDefault="005F4C23" w:rsidP="00F25579">
            <w:pPr>
              <w:jc w:val="right"/>
            </w:pPr>
            <w:r>
              <w:t>-</w:t>
            </w:r>
            <w:r w:rsidRPr="005F4C23">
              <w:t>3%</w:t>
            </w:r>
          </w:p>
          <w:p w14:paraId="00A5B71C" w14:textId="77777777" w:rsidR="005F4C23" w:rsidRPr="005F4C23" w:rsidRDefault="005F4C23" w:rsidP="00F25579">
            <w:pPr>
              <w:jc w:val="right"/>
            </w:pPr>
            <w:r>
              <w:t>-</w:t>
            </w:r>
            <w:r w:rsidRPr="005F4C23">
              <w:t>1%</w:t>
            </w:r>
          </w:p>
          <w:p w14:paraId="706E61B2" w14:textId="77777777" w:rsidR="005F4C23" w:rsidRPr="005F4C23" w:rsidRDefault="005F4C23" w:rsidP="00F25579">
            <w:pPr>
              <w:jc w:val="right"/>
            </w:pPr>
            <w:r>
              <w:t>-</w:t>
            </w:r>
            <w:r w:rsidRPr="005F4C23">
              <w:t>0%</w:t>
            </w:r>
          </w:p>
        </w:tc>
        <w:tc>
          <w:tcPr>
            <w:tcW w:w="796" w:type="pct"/>
          </w:tcPr>
          <w:p w14:paraId="55A6D02B" w14:textId="77777777" w:rsidR="005F4C23" w:rsidRPr="005F4C23" w:rsidRDefault="005F4C23" w:rsidP="00F25579">
            <w:pPr>
              <w:jc w:val="right"/>
            </w:pPr>
            <w:r>
              <w:t>-</w:t>
            </w:r>
            <w:r w:rsidRPr="005F4C23">
              <w:t>6%</w:t>
            </w:r>
          </w:p>
          <w:p w14:paraId="7B8CD337" w14:textId="77777777" w:rsidR="005F4C23" w:rsidRPr="005F4C23" w:rsidRDefault="005F4C23" w:rsidP="00F25579">
            <w:pPr>
              <w:jc w:val="right"/>
            </w:pPr>
            <w:r>
              <w:t>-</w:t>
            </w:r>
            <w:r w:rsidRPr="005F4C23">
              <w:t>5%</w:t>
            </w:r>
          </w:p>
          <w:p w14:paraId="648FDDC3" w14:textId="77777777" w:rsidR="005F4C23" w:rsidRPr="005F4C23" w:rsidRDefault="005F4C23" w:rsidP="00F25579">
            <w:pPr>
              <w:jc w:val="right"/>
            </w:pPr>
            <w:r>
              <w:t>-</w:t>
            </w:r>
            <w:r w:rsidRPr="005F4C23">
              <w:t>3%</w:t>
            </w:r>
          </w:p>
          <w:p w14:paraId="7E3B7A8C" w14:textId="77777777" w:rsidR="005F4C23" w:rsidRPr="005F4C23" w:rsidRDefault="005F4C23" w:rsidP="00F25579">
            <w:pPr>
              <w:jc w:val="right"/>
            </w:pPr>
            <w:r>
              <w:t>-</w:t>
            </w:r>
            <w:r w:rsidRPr="005F4C23">
              <w:t>2%</w:t>
            </w:r>
          </w:p>
        </w:tc>
        <w:tc>
          <w:tcPr>
            <w:tcW w:w="795" w:type="pct"/>
          </w:tcPr>
          <w:p w14:paraId="4AD93E9A" w14:textId="77777777" w:rsidR="005F4C23" w:rsidRPr="005F4C23" w:rsidRDefault="005F4C23" w:rsidP="00F25579">
            <w:pPr>
              <w:jc w:val="right"/>
            </w:pPr>
            <w:r>
              <w:t>-</w:t>
            </w:r>
            <w:r w:rsidRPr="005F4C23">
              <w:t>8%</w:t>
            </w:r>
          </w:p>
          <w:p w14:paraId="0B436999" w14:textId="77777777" w:rsidR="005F4C23" w:rsidRPr="005F4C23" w:rsidRDefault="005F4C23" w:rsidP="00F25579">
            <w:pPr>
              <w:jc w:val="right"/>
            </w:pPr>
            <w:r>
              <w:t>-</w:t>
            </w:r>
            <w:r w:rsidRPr="005F4C23">
              <w:t>7%</w:t>
            </w:r>
          </w:p>
          <w:p w14:paraId="3436C948" w14:textId="77777777" w:rsidR="005F4C23" w:rsidRPr="005F4C23" w:rsidRDefault="005F4C23" w:rsidP="00F25579">
            <w:pPr>
              <w:jc w:val="right"/>
            </w:pPr>
            <w:r>
              <w:t>-</w:t>
            </w:r>
            <w:r w:rsidRPr="005F4C23">
              <w:t>5%</w:t>
            </w:r>
          </w:p>
          <w:p w14:paraId="34D49990" w14:textId="77777777" w:rsidR="005F4C23" w:rsidRPr="005F4C23" w:rsidRDefault="005F4C23" w:rsidP="00F25579">
            <w:pPr>
              <w:jc w:val="right"/>
            </w:pPr>
            <w:r>
              <w:t>-</w:t>
            </w:r>
            <w:r w:rsidRPr="005F4C23">
              <w:t>4%</w:t>
            </w:r>
          </w:p>
        </w:tc>
        <w:tc>
          <w:tcPr>
            <w:tcW w:w="795" w:type="pct"/>
          </w:tcPr>
          <w:p w14:paraId="5B13EAF3" w14:textId="77777777" w:rsidR="005F4C23" w:rsidRPr="005F4C23" w:rsidRDefault="005F4C23" w:rsidP="00F25579">
            <w:pPr>
              <w:jc w:val="right"/>
            </w:pPr>
            <w:r>
              <w:t>-</w:t>
            </w:r>
            <w:r w:rsidRPr="005F4C23">
              <w:t>12%</w:t>
            </w:r>
          </w:p>
          <w:p w14:paraId="26294A9D" w14:textId="77777777" w:rsidR="005F4C23" w:rsidRPr="005F4C23" w:rsidRDefault="005F4C23" w:rsidP="00F25579">
            <w:pPr>
              <w:jc w:val="right"/>
            </w:pPr>
            <w:r>
              <w:t>-</w:t>
            </w:r>
            <w:r w:rsidRPr="005F4C23">
              <w:t>10%</w:t>
            </w:r>
          </w:p>
          <w:p w14:paraId="192036D0" w14:textId="77777777" w:rsidR="005F4C23" w:rsidRPr="005F4C23" w:rsidRDefault="005F4C23" w:rsidP="00F25579">
            <w:pPr>
              <w:jc w:val="right"/>
            </w:pPr>
            <w:r>
              <w:t>-</w:t>
            </w:r>
            <w:r w:rsidRPr="005F4C23">
              <w:t>6%</w:t>
            </w:r>
          </w:p>
          <w:p w14:paraId="03E391DF" w14:textId="77777777" w:rsidR="005F4C23" w:rsidRPr="005F4C23" w:rsidRDefault="005F4C23" w:rsidP="00F25579">
            <w:pPr>
              <w:jc w:val="right"/>
            </w:pPr>
            <w:r>
              <w:t>-</w:t>
            </w:r>
            <w:r w:rsidRPr="005F4C23">
              <w:t>4%</w:t>
            </w:r>
          </w:p>
        </w:tc>
        <w:tc>
          <w:tcPr>
            <w:tcW w:w="795" w:type="pct"/>
          </w:tcPr>
          <w:p w14:paraId="4C5FD65A" w14:textId="77777777" w:rsidR="005F4C23" w:rsidRPr="005F4C23" w:rsidRDefault="005F4C23" w:rsidP="00F25579">
            <w:pPr>
              <w:jc w:val="right"/>
            </w:pPr>
            <w:r>
              <w:t>-</w:t>
            </w:r>
            <w:r w:rsidRPr="005F4C23">
              <w:t>14%</w:t>
            </w:r>
          </w:p>
          <w:p w14:paraId="13AF1955" w14:textId="77777777" w:rsidR="005F4C23" w:rsidRPr="005F4C23" w:rsidRDefault="005F4C23" w:rsidP="00F25579">
            <w:pPr>
              <w:jc w:val="right"/>
            </w:pPr>
            <w:r>
              <w:t>-</w:t>
            </w:r>
            <w:r w:rsidRPr="005F4C23">
              <w:t>12%</w:t>
            </w:r>
          </w:p>
          <w:p w14:paraId="3F6B952A" w14:textId="77777777" w:rsidR="005F4C23" w:rsidRPr="005F4C23" w:rsidRDefault="005F4C23" w:rsidP="00F25579">
            <w:pPr>
              <w:jc w:val="right"/>
            </w:pPr>
            <w:r>
              <w:t>-</w:t>
            </w:r>
            <w:r w:rsidRPr="005F4C23">
              <w:t>8%</w:t>
            </w:r>
          </w:p>
          <w:p w14:paraId="1D464A72" w14:textId="77777777" w:rsidR="005F4C23" w:rsidRPr="005F4C23" w:rsidRDefault="005F4C23" w:rsidP="00F25579">
            <w:pPr>
              <w:jc w:val="right"/>
            </w:pPr>
            <w:r>
              <w:t>-</w:t>
            </w:r>
            <w:r w:rsidRPr="005F4C23">
              <w:t>6%</w:t>
            </w:r>
          </w:p>
        </w:tc>
      </w:tr>
      <w:tr w:rsidR="005F4C23" w:rsidRPr="007442AB" w14:paraId="099B2E60" w14:textId="77777777" w:rsidTr="00572E20">
        <w:trPr>
          <w:trHeight w:val="454"/>
        </w:trPr>
        <w:tc>
          <w:tcPr>
            <w:tcW w:w="1029" w:type="pct"/>
          </w:tcPr>
          <w:p w14:paraId="795D0928" w14:textId="77777777" w:rsidR="005F4C23" w:rsidRPr="005F4C23" w:rsidRDefault="005F4C23" w:rsidP="005F4C23">
            <w:r>
              <w:t>WR</w:t>
            </w:r>
            <w:r w:rsidRPr="005F4C23">
              <w:t>TR2</w:t>
            </w:r>
          </w:p>
          <w:p w14:paraId="01354DDA" w14:textId="77777777" w:rsidR="005F4C23" w:rsidRPr="005F4C23" w:rsidRDefault="005F4C23" w:rsidP="005F4C23">
            <w:r>
              <w:t>WR</w:t>
            </w:r>
            <w:r w:rsidRPr="005F4C23">
              <w:t>TR1</w:t>
            </w:r>
          </w:p>
          <w:p w14:paraId="74F863A8" w14:textId="77777777" w:rsidR="005F4C23" w:rsidRPr="005F4C23" w:rsidRDefault="005F4C23" w:rsidP="005F4C23">
            <w:r>
              <w:t>WR</w:t>
            </w:r>
            <w:r w:rsidRPr="005F4C23">
              <w:t>TP1</w:t>
            </w:r>
          </w:p>
          <w:p w14:paraId="78141E76" w14:textId="77777777" w:rsidR="005F4C23" w:rsidRPr="005F4C23" w:rsidRDefault="005F4C23" w:rsidP="005F4C23">
            <w:r>
              <w:t>WR</w:t>
            </w:r>
            <w:r w:rsidRPr="005F4C23">
              <w:t>TP2</w:t>
            </w:r>
          </w:p>
        </w:tc>
        <w:tc>
          <w:tcPr>
            <w:tcW w:w="789" w:type="pct"/>
          </w:tcPr>
          <w:p w14:paraId="36E198F7" w14:textId="77777777" w:rsidR="005F4C23" w:rsidRPr="005F4C23" w:rsidRDefault="005F4C23" w:rsidP="00F25579">
            <w:pPr>
              <w:jc w:val="right"/>
            </w:pPr>
            <w:r>
              <w:t>56</w:t>
            </w:r>
            <w:r w:rsidRPr="005F4C23">
              <w:t>%</w:t>
            </w:r>
          </w:p>
          <w:p w14:paraId="07B61E91" w14:textId="77777777" w:rsidR="005F4C23" w:rsidRPr="005F4C23" w:rsidRDefault="005F4C23" w:rsidP="00F25579">
            <w:pPr>
              <w:jc w:val="right"/>
            </w:pPr>
            <w:r>
              <w:t>52</w:t>
            </w:r>
            <w:r w:rsidRPr="005F4C23">
              <w:t>%</w:t>
            </w:r>
          </w:p>
          <w:p w14:paraId="70BF4430" w14:textId="77777777" w:rsidR="005F4C23" w:rsidRPr="005F4C23" w:rsidRDefault="005F4C23" w:rsidP="00F25579">
            <w:pPr>
              <w:jc w:val="right"/>
            </w:pPr>
            <w:r>
              <w:t>44</w:t>
            </w:r>
            <w:r w:rsidRPr="005F4C23">
              <w:t>%</w:t>
            </w:r>
          </w:p>
          <w:p w14:paraId="74A7E962" w14:textId="77777777" w:rsidR="005F4C23" w:rsidRPr="005F4C23" w:rsidRDefault="005F4C23" w:rsidP="00F25579">
            <w:pPr>
              <w:jc w:val="right"/>
            </w:pPr>
            <w:r>
              <w:t>40</w:t>
            </w:r>
            <w:r w:rsidRPr="005F4C23">
              <w:t>%</w:t>
            </w:r>
          </w:p>
        </w:tc>
        <w:tc>
          <w:tcPr>
            <w:tcW w:w="796" w:type="pct"/>
          </w:tcPr>
          <w:p w14:paraId="68B14FDB" w14:textId="77777777" w:rsidR="005F4C23" w:rsidRPr="005F4C23" w:rsidRDefault="005F4C23" w:rsidP="00F25579">
            <w:pPr>
              <w:jc w:val="right"/>
            </w:pPr>
            <w:r>
              <w:t>58</w:t>
            </w:r>
            <w:r w:rsidRPr="005F4C23">
              <w:t>%</w:t>
            </w:r>
          </w:p>
          <w:p w14:paraId="75517D1E" w14:textId="77777777" w:rsidR="005F4C23" w:rsidRPr="005F4C23" w:rsidRDefault="005F4C23" w:rsidP="00F25579">
            <w:pPr>
              <w:jc w:val="right"/>
            </w:pPr>
            <w:r>
              <w:t>54</w:t>
            </w:r>
            <w:r w:rsidRPr="005F4C23">
              <w:t>%</w:t>
            </w:r>
          </w:p>
          <w:p w14:paraId="5239CBB4" w14:textId="77777777" w:rsidR="005F4C23" w:rsidRPr="005F4C23" w:rsidRDefault="005F4C23" w:rsidP="00F25579">
            <w:pPr>
              <w:jc w:val="right"/>
            </w:pPr>
            <w:r>
              <w:t>46</w:t>
            </w:r>
            <w:r w:rsidRPr="005F4C23">
              <w:t>%</w:t>
            </w:r>
          </w:p>
          <w:p w14:paraId="0E489023" w14:textId="77777777" w:rsidR="005F4C23" w:rsidRPr="005F4C23" w:rsidRDefault="005F4C23" w:rsidP="00F25579">
            <w:pPr>
              <w:jc w:val="right"/>
            </w:pPr>
            <w:r>
              <w:t>42</w:t>
            </w:r>
            <w:r w:rsidRPr="005F4C23">
              <w:t>%</w:t>
            </w:r>
          </w:p>
        </w:tc>
        <w:tc>
          <w:tcPr>
            <w:tcW w:w="795" w:type="pct"/>
          </w:tcPr>
          <w:p w14:paraId="10CE36BB" w14:textId="77777777" w:rsidR="005F4C23" w:rsidRPr="005F4C23" w:rsidRDefault="005F4C23" w:rsidP="00F25579">
            <w:pPr>
              <w:jc w:val="right"/>
            </w:pPr>
            <w:r>
              <w:t>61</w:t>
            </w:r>
            <w:r w:rsidRPr="005F4C23">
              <w:t>%</w:t>
            </w:r>
          </w:p>
          <w:p w14:paraId="52165742" w14:textId="77777777" w:rsidR="005F4C23" w:rsidRPr="005F4C23" w:rsidRDefault="005F4C23" w:rsidP="00F25579">
            <w:pPr>
              <w:jc w:val="right"/>
            </w:pPr>
            <w:r>
              <w:t>57</w:t>
            </w:r>
            <w:r w:rsidRPr="005F4C23">
              <w:t>%</w:t>
            </w:r>
          </w:p>
          <w:p w14:paraId="3E1E6913" w14:textId="77777777" w:rsidR="005F4C23" w:rsidRPr="005F4C23" w:rsidRDefault="005F4C23" w:rsidP="00F25579">
            <w:pPr>
              <w:jc w:val="right"/>
            </w:pPr>
            <w:r>
              <w:t>29</w:t>
            </w:r>
            <w:r w:rsidRPr="005F4C23">
              <w:t>%</w:t>
            </w:r>
          </w:p>
          <w:p w14:paraId="2FB1DF89" w14:textId="77777777" w:rsidR="005F4C23" w:rsidRPr="005F4C23" w:rsidRDefault="005F4C23" w:rsidP="00F25579">
            <w:pPr>
              <w:jc w:val="right"/>
            </w:pPr>
            <w:r>
              <w:t>45</w:t>
            </w:r>
            <w:r w:rsidRPr="005F4C23">
              <w:t>%</w:t>
            </w:r>
          </w:p>
        </w:tc>
        <w:tc>
          <w:tcPr>
            <w:tcW w:w="795" w:type="pct"/>
          </w:tcPr>
          <w:p w14:paraId="55D9583F" w14:textId="77777777" w:rsidR="005F4C23" w:rsidRPr="005F4C23" w:rsidRDefault="005F4C23" w:rsidP="00F25579">
            <w:pPr>
              <w:jc w:val="right"/>
            </w:pPr>
            <w:r>
              <w:t>65</w:t>
            </w:r>
            <w:r w:rsidRPr="005F4C23">
              <w:t>%</w:t>
            </w:r>
          </w:p>
          <w:p w14:paraId="0E1B3BB0" w14:textId="77777777" w:rsidR="005F4C23" w:rsidRPr="005F4C23" w:rsidRDefault="005F4C23" w:rsidP="00F25579">
            <w:pPr>
              <w:jc w:val="right"/>
            </w:pPr>
            <w:r>
              <w:t>61</w:t>
            </w:r>
            <w:r w:rsidRPr="005F4C23">
              <w:t>%</w:t>
            </w:r>
          </w:p>
          <w:p w14:paraId="45CD7766" w14:textId="77777777" w:rsidR="005F4C23" w:rsidRPr="005F4C23" w:rsidRDefault="005F4C23" w:rsidP="00F25579">
            <w:pPr>
              <w:jc w:val="right"/>
            </w:pPr>
            <w:r>
              <w:t>53</w:t>
            </w:r>
            <w:r w:rsidRPr="005F4C23">
              <w:t>%</w:t>
            </w:r>
          </w:p>
          <w:p w14:paraId="766A6130" w14:textId="77777777" w:rsidR="005F4C23" w:rsidRPr="005F4C23" w:rsidRDefault="005F4C23" w:rsidP="00F25579">
            <w:pPr>
              <w:jc w:val="right"/>
            </w:pPr>
            <w:r>
              <w:t>49</w:t>
            </w:r>
            <w:r w:rsidRPr="005F4C23">
              <w:t>%</w:t>
            </w:r>
          </w:p>
        </w:tc>
        <w:tc>
          <w:tcPr>
            <w:tcW w:w="795" w:type="pct"/>
          </w:tcPr>
          <w:p w14:paraId="6A1F662C" w14:textId="77777777" w:rsidR="005F4C23" w:rsidRPr="005F4C23" w:rsidRDefault="005F4C23" w:rsidP="00F25579">
            <w:pPr>
              <w:jc w:val="right"/>
            </w:pPr>
            <w:r>
              <w:t>70</w:t>
            </w:r>
            <w:r w:rsidRPr="005F4C23">
              <w:t>%</w:t>
            </w:r>
          </w:p>
          <w:p w14:paraId="519F8A03" w14:textId="77777777" w:rsidR="005F4C23" w:rsidRPr="005F4C23" w:rsidRDefault="005F4C23" w:rsidP="00F25579">
            <w:pPr>
              <w:jc w:val="right"/>
            </w:pPr>
            <w:r>
              <w:t>65</w:t>
            </w:r>
            <w:r w:rsidRPr="005F4C23">
              <w:t>%</w:t>
            </w:r>
          </w:p>
          <w:p w14:paraId="707E81BC" w14:textId="77777777" w:rsidR="005F4C23" w:rsidRPr="005F4C23" w:rsidRDefault="005F4C23" w:rsidP="00F25579">
            <w:pPr>
              <w:jc w:val="right"/>
            </w:pPr>
            <w:r>
              <w:t>55</w:t>
            </w:r>
            <w:r w:rsidRPr="005F4C23">
              <w:t>%</w:t>
            </w:r>
          </w:p>
          <w:p w14:paraId="4043F1AC" w14:textId="77777777" w:rsidR="005F4C23" w:rsidRPr="005F4C23" w:rsidRDefault="005F4C23" w:rsidP="00F25579">
            <w:pPr>
              <w:jc w:val="right"/>
            </w:pPr>
            <w:r>
              <w:t>50</w:t>
            </w:r>
            <w:r w:rsidRPr="005F4C23">
              <w:t>%</w:t>
            </w:r>
          </w:p>
        </w:tc>
      </w:tr>
      <w:tr w:rsidR="005F4C23" w:rsidRPr="007442AB" w14:paraId="7732E312" w14:textId="77777777" w:rsidTr="00572E20">
        <w:trPr>
          <w:trHeight w:val="454"/>
        </w:trPr>
        <w:tc>
          <w:tcPr>
            <w:tcW w:w="1029" w:type="pct"/>
          </w:tcPr>
          <w:p w14:paraId="214ED904" w14:textId="77777777" w:rsidR="005F4C23" w:rsidRPr="005F4C23" w:rsidRDefault="005F4C23" w:rsidP="005F4C23">
            <w:r>
              <w:t>OW</w:t>
            </w:r>
            <w:r w:rsidRPr="005F4C23">
              <w:t>TR2</w:t>
            </w:r>
          </w:p>
          <w:p w14:paraId="68E83482" w14:textId="77777777" w:rsidR="005F4C23" w:rsidRPr="005F4C23" w:rsidRDefault="005F4C23" w:rsidP="005F4C23">
            <w:r>
              <w:t>OW</w:t>
            </w:r>
            <w:r w:rsidRPr="005F4C23">
              <w:t>TR1</w:t>
            </w:r>
          </w:p>
          <w:p w14:paraId="2F335910" w14:textId="77777777" w:rsidR="005F4C23" w:rsidRPr="005F4C23" w:rsidRDefault="005F4C23" w:rsidP="005F4C23">
            <w:r>
              <w:t>OW</w:t>
            </w:r>
            <w:r w:rsidRPr="005F4C23">
              <w:t>TP1</w:t>
            </w:r>
          </w:p>
          <w:p w14:paraId="5FEC7BA0" w14:textId="77777777" w:rsidR="005F4C23" w:rsidRPr="005F4C23" w:rsidRDefault="005F4C23" w:rsidP="005F4C23">
            <w:r>
              <w:t>OWTP2</w:t>
            </w:r>
          </w:p>
        </w:tc>
        <w:tc>
          <w:tcPr>
            <w:tcW w:w="789" w:type="pct"/>
          </w:tcPr>
          <w:p w14:paraId="0E4F878A" w14:textId="77777777" w:rsidR="005F4C23" w:rsidRPr="005F4C23" w:rsidRDefault="005F4C23" w:rsidP="00F25579">
            <w:pPr>
              <w:jc w:val="right"/>
            </w:pPr>
            <w:r>
              <w:t>-</w:t>
            </w:r>
            <w:r w:rsidRPr="005F4C23">
              <w:t>4%</w:t>
            </w:r>
          </w:p>
          <w:p w14:paraId="1C0F6784" w14:textId="77777777" w:rsidR="005F4C23" w:rsidRPr="005F4C23" w:rsidRDefault="005F4C23" w:rsidP="00F25579">
            <w:pPr>
              <w:jc w:val="right"/>
            </w:pPr>
            <w:r>
              <w:t>-</w:t>
            </w:r>
            <w:r w:rsidRPr="005F4C23">
              <w:t>3%</w:t>
            </w:r>
          </w:p>
          <w:p w14:paraId="1602F724" w14:textId="77777777" w:rsidR="005F4C23" w:rsidRPr="005F4C23" w:rsidRDefault="005F4C23" w:rsidP="00F25579">
            <w:pPr>
              <w:jc w:val="right"/>
            </w:pPr>
            <w:r>
              <w:t>-</w:t>
            </w:r>
            <w:r w:rsidRPr="005F4C23">
              <w:t>1%</w:t>
            </w:r>
          </w:p>
          <w:p w14:paraId="0ACFDECC" w14:textId="77777777" w:rsidR="005F4C23" w:rsidRPr="005F4C23" w:rsidRDefault="005F4C23" w:rsidP="00F25579">
            <w:pPr>
              <w:jc w:val="right"/>
            </w:pPr>
            <w:r>
              <w:t>-</w:t>
            </w:r>
            <w:r w:rsidRPr="005F4C23">
              <w:t>0%</w:t>
            </w:r>
          </w:p>
        </w:tc>
        <w:tc>
          <w:tcPr>
            <w:tcW w:w="796" w:type="pct"/>
          </w:tcPr>
          <w:p w14:paraId="63A2ECDB" w14:textId="77777777" w:rsidR="005F4C23" w:rsidRPr="005F4C23" w:rsidRDefault="005F4C23" w:rsidP="00F25579">
            <w:pPr>
              <w:jc w:val="right"/>
            </w:pPr>
            <w:r>
              <w:t>6</w:t>
            </w:r>
            <w:r w:rsidRPr="005F4C23">
              <w:t>%</w:t>
            </w:r>
          </w:p>
          <w:p w14:paraId="7C6588F6" w14:textId="77777777" w:rsidR="005F4C23" w:rsidRPr="005F4C23" w:rsidRDefault="005F4C23" w:rsidP="00F25579">
            <w:pPr>
              <w:jc w:val="right"/>
            </w:pPr>
            <w:r>
              <w:t>5</w:t>
            </w:r>
            <w:r w:rsidRPr="005F4C23">
              <w:t>%</w:t>
            </w:r>
          </w:p>
          <w:p w14:paraId="5E444BC9" w14:textId="77777777" w:rsidR="005F4C23" w:rsidRPr="005F4C23" w:rsidRDefault="005F4C23" w:rsidP="00F25579">
            <w:pPr>
              <w:jc w:val="right"/>
            </w:pPr>
            <w:r>
              <w:t>3</w:t>
            </w:r>
            <w:r w:rsidRPr="005F4C23">
              <w:t>%</w:t>
            </w:r>
          </w:p>
          <w:p w14:paraId="7D1C5920" w14:textId="77777777" w:rsidR="005F4C23" w:rsidRPr="005F4C23" w:rsidRDefault="005F4C23" w:rsidP="00F25579">
            <w:pPr>
              <w:jc w:val="right"/>
            </w:pPr>
            <w:r>
              <w:t>2</w:t>
            </w:r>
            <w:r w:rsidRPr="005F4C23">
              <w:t>%</w:t>
            </w:r>
          </w:p>
        </w:tc>
        <w:tc>
          <w:tcPr>
            <w:tcW w:w="795" w:type="pct"/>
          </w:tcPr>
          <w:p w14:paraId="43940B2C" w14:textId="77777777" w:rsidR="005F4C23" w:rsidRPr="005F4C23" w:rsidRDefault="005F4C23" w:rsidP="00F25579">
            <w:pPr>
              <w:jc w:val="right"/>
            </w:pPr>
            <w:r>
              <w:t>9</w:t>
            </w:r>
            <w:r w:rsidRPr="005F4C23">
              <w:t>%</w:t>
            </w:r>
          </w:p>
          <w:p w14:paraId="217D7C37" w14:textId="77777777" w:rsidR="005F4C23" w:rsidRPr="005F4C23" w:rsidRDefault="005F4C23" w:rsidP="00F25579">
            <w:pPr>
              <w:jc w:val="right"/>
            </w:pPr>
            <w:r>
              <w:t>7</w:t>
            </w:r>
            <w:r w:rsidRPr="005F4C23">
              <w:t>%</w:t>
            </w:r>
          </w:p>
          <w:p w14:paraId="66130CAA" w14:textId="77777777" w:rsidR="005F4C23" w:rsidRPr="005F4C23" w:rsidRDefault="005F4C23" w:rsidP="00F25579">
            <w:pPr>
              <w:jc w:val="right"/>
            </w:pPr>
            <w:r>
              <w:t>5</w:t>
            </w:r>
            <w:r w:rsidRPr="005F4C23">
              <w:t>%</w:t>
            </w:r>
          </w:p>
          <w:p w14:paraId="03D9C8ED" w14:textId="77777777" w:rsidR="005F4C23" w:rsidRPr="005F4C23" w:rsidRDefault="005F4C23" w:rsidP="00F25579">
            <w:pPr>
              <w:jc w:val="right"/>
            </w:pPr>
            <w:r>
              <w:t>3</w:t>
            </w:r>
            <w:r w:rsidRPr="005F4C23">
              <w:t>%</w:t>
            </w:r>
          </w:p>
        </w:tc>
        <w:tc>
          <w:tcPr>
            <w:tcW w:w="795" w:type="pct"/>
          </w:tcPr>
          <w:p w14:paraId="54FDE68A" w14:textId="77777777" w:rsidR="005F4C23" w:rsidRPr="005F4C23" w:rsidRDefault="005F4C23" w:rsidP="00F25579">
            <w:pPr>
              <w:jc w:val="right"/>
            </w:pPr>
            <w:r>
              <w:t>12</w:t>
            </w:r>
            <w:r w:rsidRPr="005F4C23">
              <w:t>%</w:t>
            </w:r>
          </w:p>
          <w:p w14:paraId="2B82300C" w14:textId="77777777" w:rsidR="005F4C23" w:rsidRPr="005F4C23" w:rsidRDefault="005F4C23" w:rsidP="00F25579">
            <w:pPr>
              <w:jc w:val="right"/>
            </w:pPr>
            <w:r>
              <w:t>10</w:t>
            </w:r>
            <w:r w:rsidRPr="005F4C23">
              <w:t>%</w:t>
            </w:r>
          </w:p>
          <w:p w14:paraId="3C7A1620" w14:textId="77777777" w:rsidR="005F4C23" w:rsidRPr="005F4C23" w:rsidRDefault="005F4C23" w:rsidP="00F25579">
            <w:pPr>
              <w:jc w:val="right"/>
            </w:pPr>
            <w:r>
              <w:t>6</w:t>
            </w:r>
            <w:r w:rsidRPr="005F4C23">
              <w:t>%</w:t>
            </w:r>
          </w:p>
          <w:p w14:paraId="32AF9454" w14:textId="77777777" w:rsidR="005F4C23" w:rsidRPr="005F4C23" w:rsidRDefault="005F4C23" w:rsidP="00F25579">
            <w:pPr>
              <w:jc w:val="right"/>
            </w:pPr>
            <w:r>
              <w:t>4</w:t>
            </w:r>
            <w:r w:rsidRPr="005F4C23">
              <w:t>%</w:t>
            </w:r>
          </w:p>
        </w:tc>
        <w:tc>
          <w:tcPr>
            <w:tcW w:w="795" w:type="pct"/>
          </w:tcPr>
          <w:p w14:paraId="14DA3807" w14:textId="77777777" w:rsidR="005F4C23" w:rsidRPr="005F4C23" w:rsidRDefault="005F4C23" w:rsidP="00F25579">
            <w:pPr>
              <w:jc w:val="right"/>
            </w:pPr>
            <w:r>
              <w:t>30</w:t>
            </w:r>
            <w:r w:rsidRPr="005F4C23">
              <w:t>%</w:t>
            </w:r>
          </w:p>
          <w:p w14:paraId="12A43266" w14:textId="77777777" w:rsidR="005F4C23" w:rsidRPr="005F4C23" w:rsidRDefault="005F4C23" w:rsidP="00F25579">
            <w:pPr>
              <w:jc w:val="right"/>
            </w:pPr>
            <w:r>
              <w:t>25</w:t>
            </w:r>
            <w:r w:rsidRPr="005F4C23">
              <w:t>%</w:t>
            </w:r>
          </w:p>
          <w:p w14:paraId="402E1BF7" w14:textId="77777777" w:rsidR="005F4C23" w:rsidRPr="005F4C23" w:rsidRDefault="005F4C23" w:rsidP="00F25579">
            <w:pPr>
              <w:jc w:val="right"/>
            </w:pPr>
            <w:r>
              <w:t>15</w:t>
            </w:r>
            <w:r w:rsidRPr="005F4C23">
              <w:t>%</w:t>
            </w:r>
          </w:p>
          <w:p w14:paraId="43F3B350" w14:textId="77777777" w:rsidR="005F4C23" w:rsidRPr="005F4C23" w:rsidRDefault="005F4C23" w:rsidP="00F25579">
            <w:pPr>
              <w:jc w:val="right"/>
            </w:pPr>
            <w:r>
              <w:t>10</w:t>
            </w:r>
            <w:r w:rsidRPr="005F4C23">
              <w:t>%</w:t>
            </w:r>
          </w:p>
        </w:tc>
      </w:tr>
      <w:tr w:rsidR="005F4C23" w:rsidRPr="007442AB" w14:paraId="1777C2BF" w14:textId="77777777" w:rsidTr="00572E20">
        <w:trPr>
          <w:trHeight w:val="454"/>
        </w:trPr>
        <w:tc>
          <w:tcPr>
            <w:tcW w:w="1029" w:type="pct"/>
          </w:tcPr>
          <w:p w14:paraId="763E0FAA" w14:textId="77777777" w:rsidR="005F4C23" w:rsidRPr="005F4C23" w:rsidRDefault="005F4C23" w:rsidP="005F4C23">
            <w:r>
              <w:t>WU</w:t>
            </w:r>
            <w:r w:rsidRPr="005F4C23">
              <w:t>TR2</w:t>
            </w:r>
          </w:p>
          <w:p w14:paraId="45EBDCC7" w14:textId="77777777" w:rsidR="005F4C23" w:rsidRPr="005F4C23" w:rsidRDefault="005F4C23" w:rsidP="005F4C23">
            <w:r>
              <w:t>WU</w:t>
            </w:r>
            <w:r w:rsidRPr="005F4C23">
              <w:t>TR1</w:t>
            </w:r>
          </w:p>
          <w:p w14:paraId="0481870D" w14:textId="77777777" w:rsidR="005F4C23" w:rsidRPr="005F4C23" w:rsidRDefault="005F4C23" w:rsidP="005F4C23">
            <w:r>
              <w:t>WU</w:t>
            </w:r>
            <w:r w:rsidRPr="005F4C23">
              <w:t>TP1</w:t>
            </w:r>
          </w:p>
          <w:p w14:paraId="7826BF82" w14:textId="77777777" w:rsidR="005F4C23" w:rsidRPr="005F4C23" w:rsidRDefault="005F4C23" w:rsidP="005F4C23">
            <w:r>
              <w:t>WU</w:t>
            </w:r>
            <w:r w:rsidRPr="005F4C23">
              <w:t>TP2</w:t>
            </w:r>
          </w:p>
        </w:tc>
        <w:tc>
          <w:tcPr>
            <w:tcW w:w="789" w:type="pct"/>
          </w:tcPr>
          <w:p w14:paraId="018DCA81" w14:textId="77777777" w:rsidR="005F4C23" w:rsidRPr="005F4C23" w:rsidRDefault="005F4C23" w:rsidP="00F25579">
            <w:pPr>
              <w:jc w:val="right"/>
            </w:pPr>
            <w:r>
              <w:t>-</w:t>
            </w:r>
            <w:r w:rsidRPr="005F4C23">
              <w:t>4%</w:t>
            </w:r>
          </w:p>
          <w:p w14:paraId="379E561C" w14:textId="77777777" w:rsidR="005F4C23" w:rsidRPr="005F4C23" w:rsidRDefault="005F4C23" w:rsidP="00F25579">
            <w:pPr>
              <w:jc w:val="right"/>
            </w:pPr>
            <w:r>
              <w:t>-</w:t>
            </w:r>
            <w:r w:rsidRPr="005F4C23">
              <w:t>3%</w:t>
            </w:r>
          </w:p>
          <w:p w14:paraId="505A4032" w14:textId="77777777" w:rsidR="005F4C23" w:rsidRPr="005F4C23" w:rsidRDefault="005F4C23" w:rsidP="00F25579">
            <w:pPr>
              <w:jc w:val="right"/>
            </w:pPr>
            <w:r>
              <w:t>-</w:t>
            </w:r>
            <w:r w:rsidRPr="005F4C23">
              <w:t>1%</w:t>
            </w:r>
          </w:p>
          <w:p w14:paraId="315DA32B" w14:textId="77777777" w:rsidR="005F4C23" w:rsidRPr="005F4C23" w:rsidRDefault="005F4C23" w:rsidP="00F25579">
            <w:pPr>
              <w:jc w:val="right"/>
            </w:pPr>
            <w:r>
              <w:t>-</w:t>
            </w:r>
            <w:r w:rsidRPr="005F4C23">
              <w:t>0%</w:t>
            </w:r>
          </w:p>
        </w:tc>
        <w:tc>
          <w:tcPr>
            <w:tcW w:w="796" w:type="pct"/>
          </w:tcPr>
          <w:p w14:paraId="70497CC3" w14:textId="77777777" w:rsidR="005F4C23" w:rsidRPr="005F4C23" w:rsidRDefault="005F4C23" w:rsidP="00F25579">
            <w:pPr>
              <w:jc w:val="right"/>
            </w:pPr>
            <w:r>
              <w:t>-</w:t>
            </w:r>
            <w:r w:rsidRPr="005F4C23">
              <w:t>6%</w:t>
            </w:r>
          </w:p>
          <w:p w14:paraId="4E44445E" w14:textId="77777777" w:rsidR="005F4C23" w:rsidRPr="005F4C23" w:rsidRDefault="005F4C23" w:rsidP="00F25579">
            <w:pPr>
              <w:jc w:val="right"/>
            </w:pPr>
            <w:r>
              <w:t>-</w:t>
            </w:r>
            <w:r w:rsidRPr="005F4C23">
              <w:t>5%</w:t>
            </w:r>
          </w:p>
          <w:p w14:paraId="2BFFA9FC" w14:textId="77777777" w:rsidR="005F4C23" w:rsidRPr="005F4C23" w:rsidRDefault="005F4C23" w:rsidP="00F25579">
            <w:pPr>
              <w:jc w:val="right"/>
            </w:pPr>
            <w:r>
              <w:t>-</w:t>
            </w:r>
            <w:r w:rsidRPr="005F4C23">
              <w:t>3%</w:t>
            </w:r>
          </w:p>
          <w:p w14:paraId="0A28E83D" w14:textId="77777777" w:rsidR="005F4C23" w:rsidRPr="005F4C23" w:rsidRDefault="005F4C23" w:rsidP="00F25579">
            <w:pPr>
              <w:jc w:val="right"/>
            </w:pPr>
            <w:r>
              <w:t>-</w:t>
            </w:r>
            <w:r w:rsidRPr="005F4C23">
              <w:t>2%</w:t>
            </w:r>
          </w:p>
        </w:tc>
        <w:tc>
          <w:tcPr>
            <w:tcW w:w="795" w:type="pct"/>
          </w:tcPr>
          <w:p w14:paraId="5E622EC5" w14:textId="77777777" w:rsidR="005F4C23" w:rsidRPr="005F4C23" w:rsidRDefault="005F4C23" w:rsidP="00F25579">
            <w:pPr>
              <w:jc w:val="right"/>
            </w:pPr>
            <w:r>
              <w:t>-</w:t>
            </w:r>
            <w:r w:rsidRPr="005F4C23">
              <w:t>9%</w:t>
            </w:r>
          </w:p>
          <w:p w14:paraId="77A927C3" w14:textId="77777777" w:rsidR="005F4C23" w:rsidRPr="005F4C23" w:rsidRDefault="005F4C23" w:rsidP="00F25579">
            <w:pPr>
              <w:jc w:val="right"/>
            </w:pPr>
            <w:r>
              <w:t>-</w:t>
            </w:r>
            <w:r w:rsidRPr="005F4C23">
              <w:t>7%</w:t>
            </w:r>
          </w:p>
          <w:p w14:paraId="2F6748C5" w14:textId="77777777" w:rsidR="005F4C23" w:rsidRPr="005F4C23" w:rsidRDefault="005F4C23" w:rsidP="00F25579">
            <w:pPr>
              <w:jc w:val="right"/>
            </w:pPr>
            <w:r>
              <w:t>-</w:t>
            </w:r>
            <w:r w:rsidRPr="005F4C23">
              <w:t>5%</w:t>
            </w:r>
          </w:p>
          <w:p w14:paraId="285F7AD2" w14:textId="77777777" w:rsidR="005F4C23" w:rsidRPr="005F4C23" w:rsidRDefault="005F4C23" w:rsidP="00F25579">
            <w:pPr>
              <w:jc w:val="right"/>
            </w:pPr>
            <w:r>
              <w:t>-</w:t>
            </w:r>
            <w:r w:rsidRPr="005F4C23">
              <w:t>3%</w:t>
            </w:r>
          </w:p>
        </w:tc>
        <w:tc>
          <w:tcPr>
            <w:tcW w:w="795" w:type="pct"/>
          </w:tcPr>
          <w:p w14:paraId="71F7882D" w14:textId="77777777" w:rsidR="005F4C23" w:rsidRPr="005F4C23" w:rsidRDefault="005F4C23" w:rsidP="00F25579">
            <w:pPr>
              <w:jc w:val="right"/>
            </w:pPr>
            <w:r>
              <w:t>-</w:t>
            </w:r>
            <w:r w:rsidRPr="005F4C23">
              <w:t>12%</w:t>
            </w:r>
          </w:p>
          <w:p w14:paraId="403027E6" w14:textId="77777777" w:rsidR="005F4C23" w:rsidRPr="005F4C23" w:rsidRDefault="005F4C23" w:rsidP="00F25579">
            <w:pPr>
              <w:jc w:val="right"/>
            </w:pPr>
            <w:r>
              <w:t>-</w:t>
            </w:r>
            <w:r w:rsidRPr="005F4C23">
              <w:t>10%</w:t>
            </w:r>
          </w:p>
          <w:p w14:paraId="12777EA5" w14:textId="77777777" w:rsidR="005F4C23" w:rsidRPr="005F4C23" w:rsidRDefault="005F4C23" w:rsidP="00F25579">
            <w:pPr>
              <w:jc w:val="right"/>
            </w:pPr>
            <w:r>
              <w:t>-</w:t>
            </w:r>
            <w:r w:rsidRPr="005F4C23">
              <w:t>6%</w:t>
            </w:r>
          </w:p>
          <w:p w14:paraId="0D423C7D" w14:textId="77777777" w:rsidR="005F4C23" w:rsidRPr="005F4C23" w:rsidRDefault="005F4C23" w:rsidP="00F25579">
            <w:pPr>
              <w:jc w:val="right"/>
            </w:pPr>
            <w:r>
              <w:t>-</w:t>
            </w:r>
            <w:r w:rsidRPr="005F4C23">
              <w:t>4%</w:t>
            </w:r>
          </w:p>
        </w:tc>
        <w:tc>
          <w:tcPr>
            <w:tcW w:w="795" w:type="pct"/>
          </w:tcPr>
          <w:p w14:paraId="411731E5" w14:textId="77777777" w:rsidR="005F4C23" w:rsidRPr="005F4C23" w:rsidRDefault="005F4C23" w:rsidP="00F25579">
            <w:pPr>
              <w:jc w:val="right"/>
            </w:pPr>
            <w:r>
              <w:t>-</w:t>
            </w:r>
            <w:r w:rsidRPr="005F4C23">
              <w:t>30%</w:t>
            </w:r>
          </w:p>
          <w:p w14:paraId="31E1F7A8" w14:textId="77777777" w:rsidR="005F4C23" w:rsidRPr="005F4C23" w:rsidRDefault="005F4C23" w:rsidP="00F25579">
            <w:pPr>
              <w:jc w:val="right"/>
            </w:pPr>
            <w:r>
              <w:t>-</w:t>
            </w:r>
            <w:r w:rsidRPr="005F4C23">
              <w:t>25%</w:t>
            </w:r>
          </w:p>
          <w:p w14:paraId="44E6BD3A" w14:textId="77777777" w:rsidR="005F4C23" w:rsidRPr="005F4C23" w:rsidRDefault="005F4C23" w:rsidP="00F25579">
            <w:pPr>
              <w:jc w:val="right"/>
            </w:pPr>
            <w:r>
              <w:t>-</w:t>
            </w:r>
            <w:r w:rsidRPr="005F4C23">
              <w:t>15%</w:t>
            </w:r>
          </w:p>
          <w:p w14:paraId="62F621B3" w14:textId="77777777" w:rsidR="005F4C23" w:rsidRPr="005F4C23" w:rsidRDefault="005F4C23" w:rsidP="00F25579">
            <w:pPr>
              <w:jc w:val="right"/>
            </w:pPr>
            <w:r>
              <w:t>-</w:t>
            </w:r>
            <w:r w:rsidRPr="005F4C23">
              <w:t>10%</w:t>
            </w:r>
          </w:p>
        </w:tc>
      </w:tr>
      <w:tr w:rsidR="005F4C23" w:rsidRPr="007442AB" w14:paraId="54EB253B" w14:textId="77777777" w:rsidTr="00572E20">
        <w:trPr>
          <w:trHeight w:val="454"/>
        </w:trPr>
        <w:tc>
          <w:tcPr>
            <w:tcW w:w="1029" w:type="pct"/>
          </w:tcPr>
          <w:p w14:paraId="6876D062" w14:textId="77777777" w:rsidR="005F4C23" w:rsidRPr="005F4C23" w:rsidRDefault="005F4C23" w:rsidP="005F4C23">
            <w:r>
              <w:t>EV</w:t>
            </w:r>
            <w:r w:rsidRPr="005F4C23">
              <w:t>TR2</w:t>
            </w:r>
          </w:p>
          <w:p w14:paraId="312525E1" w14:textId="77777777" w:rsidR="005F4C23" w:rsidRPr="005F4C23" w:rsidRDefault="005F4C23" w:rsidP="005F4C23">
            <w:r>
              <w:t>EV</w:t>
            </w:r>
            <w:r w:rsidRPr="005F4C23">
              <w:t>TR1</w:t>
            </w:r>
          </w:p>
          <w:p w14:paraId="792B0040" w14:textId="77777777" w:rsidR="005F4C23" w:rsidRPr="005F4C23" w:rsidRDefault="005F4C23" w:rsidP="005F4C23">
            <w:r>
              <w:t>EV</w:t>
            </w:r>
            <w:r w:rsidRPr="005F4C23">
              <w:t>TP1</w:t>
            </w:r>
          </w:p>
          <w:p w14:paraId="01B59D73" w14:textId="77777777" w:rsidR="005F4C23" w:rsidRPr="005F4C23" w:rsidRDefault="005F4C23" w:rsidP="005F4C23">
            <w:r>
              <w:t>EV</w:t>
            </w:r>
            <w:r w:rsidRPr="005F4C23">
              <w:t>TP2</w:t>
            </w:r>
          </w:p>
        </w:tc>
        <w:tc>
          <w:tcPr>
            <w:tcW w:w="789" w:type="pct"/>
          </w:tcPr>
          <w:p w14:paraId="2F66048B" w14:textId="77777777" w:rsidR="005F4C23" w:rsidRPr="005F4C23" w:rsidRDefault="005F4C23" w:rsidP="00F25579">
            <w:pPr>
              <w:jc w:val="right"/>
            </w:pPr>
            <w:r>
              <w:t>4</w:t>
            </w:r>
            <w:r w:rsidRPr="005F4C23">
              <w:t>%</w:t>
            </w:r>
          </w:p>
          <w:p w14:paraId="77C91213" w14:textId="77777777" w:rsidR="005F4C23" w:rsidRPr="005F4C23" w:rsidRDefault="005F4C23" w:rsidP="00F25579">
            <w:pPr>
              <w:jc w:val="right"/>
            </w:pPr>
            <w:r>
              <w:t>3</w:t>
            </w:r>
            <w:r w:rsidRPr="005F4C23">
              <w:t>%</w:t>
            </w:r>
          </w:p>
          <w:p w14:paraId="77C761FA" w14:textId="77777777" w:rsidR="005F4C23" w:rsidRPr="005F4C23" w:rsidRDefault="005F4C23" w:rsidP="00F25579">
            <w:pPr>
              <w:jc w:val="right"/>
            </w:pPr>
            <w:r>
              <w:t>1</w:t>
            </w:r>
            <w:r w:rsidRPr="005F4C23">
              <w:t>%</w:t>
            </w:r>
          </w:p>
          <w:p w14:paraId="3706B66C" w14:textId="77777777" w:rsidR="005F4C23" w:rsidRPr="005F4C23" w:rsidRDefault="005F4C23" w:rsidP="00F25579">
            <w:pPr>
              <w:jc w:val="right"/>
            </w:pPr>
            <w:r>
              <w:t>0</w:t>
            </w:r>
            <w:r w:rsidRPr="005F4C23">
              <w:t>%</w:t>
            </w:r>
          </w:p>
        </w:tc>
        <w:tc>
          <w:tcPr>
            <w:tcW w:w="796" w:type="pct"/>
          </w:tcPr>
          <w:p w14:paraId="179117CA" w14:textId="77777777" w:rsidR="005F4C23" w:rsidRPr="005F4C23" w:rsidRDefault="005F4C23" w:rsidP="00F25579">
            <w:pPr>
              <w:jc w:val="right"/>
            </w:pPr>
            <w:r>
              <w:t>7</w:t>
            </w:r>
            <w:r w:rsidRPr="005F4C23">
              <w:t>%</w:t>
            </w:r>
          </w:p>
          <w:p w14:paraId="344A6FF5" w14:textId="77777777" w:rsidR="005F4C23" w:rsidRPr="005F4C23" w:rsidRDefault="005F4C23" w:rsidP="00F25579">
            <w:pPr>
              <w:jc w:val="right"/>
            </w:pPr>
            <w:r>
              <w:t>5</w:t>
            </w:r>
            <w:r w:rsidRPr="005F4C23">
              <w:t>%</w:t>
            </w:r>
          </w:p>
          <w:p w14:paraId="26B5E019" w14:textId="77777777" w:rsidR="005F4C23" w:rsidRPr="005F4C23" w:rsidRDefault="005F4C23" w:rsidP="00F25579">
            <w:pPr>
              <w:jc w:val="right"/>
            </w:pPr>
            <w:r>
              <w:t>3</w:t>
            </w:r>
            <w:r w:rsidRPr="005F4C23">
              <w:t>%</w:t>
            </w:r>
          </w:p>
          <w:p w14:paraId="2A62ED9C" w14:textId="77777777" w:rsidR="005F4C23" w:rsidRPr="005F4C23" w:rsidRDefault="005F4C23" w:rsidP="00F25579">
            <w:pPr>
              <w:jc w:val="right"/>
            </w:pPr>
            <w:r>
              <w:t>1</w:t>
            </w:r>
            <w:r w:rsidRPr="005F4C23">
              <w:t>%</w:t>
            </w:r>
          </w:p>
        </w:tc>
        <w:tc>
          <w:tcPr>
            <w:tcW w:w="795" w:type="pct"/>
          </w:tcPr>
          <w:p w14:paraId="30423AF0" w14:textId="77777777" w:rsidR="005F4C23" w:rsidRPr="005F4C23" w:rsidRDefault="005F4C23" w:rsidP="00F25579">
            <w:pPr>
              <w:jc w:val="right"/>
            </w:pPr>
            <w:r>
              <w:t>10</w:t>
            </w:r>
            <w:r w:rsidRPr="005F4C23">
              <w:t>%</w:t>
            </w:r>
          </w:p>
          <w:p w14:paraId="77DBC4AD" w14:textId="77777777" w:rsidR="005F4C23" w:rsidRPr="005F4C23" w:rsidRDefault="005F4C23" w:rsidP="00F25579">
            <w:pPr>
              <w:jc w:val="right"/>
            </w:pPr>
            <w:r>
              <w:t>8</w:t>
            </w:r>
            <w:r w:rsidRPr="005F4C23">
              <w:t>%</w:t>
            </w:r>
          </w:p>
          <w:p w14:paraId="45152998" w14:textId="77777777" w:rsidR="005F4C23" w:rsidRPr="005F4C23" w:rsidRDefault="005F4C23" w:rsidP="00F25579">
            <w:pPr>
              <w:jc w:val="right"/>
            </w:pPr>
            <w:r>
              <w:t>4</w:t>
            </w:r>
            <w:r w:rsidRPr="005F4C23">
              <w:t>%</w:t>
            </w:r>
          </w:p>
          <w:p w14:paraId="57E972BA" w14:textId="77777777" w:rsidR="005F4C23" w:rsidRPr="005F4C23" w:rsidRDefault="005F4C23" w:rsidP="00F25579">
            <w:pPr>
              <w:jc w:val="right"/>
            </w:pPr>
            <w:r>
              <w:t>2</w:t>
            </w:r>
            <w:r w:rsidRPr="005F4C23">
              <w:t>%</w:t>
            </w:r>
          </w:p>
        </w:tc>
        <w:tc>
          <w:tcPr>
            <w:tcW w:w="795" w:type="pct"/>
          </w:tcPr>
          <w:p w14:paraId="31E3207D" w14:textId="77777777" w:rsidR="005F4C23" w:rsidRPr="005F4C23" w:rsidRDefault="005F4C23" w:rsidP="00F25579">
            <w:pPr>
              <w:jc w:val="right"/>
            </w:pPr>
            <w:r>
              <w:t>12</w:t>
            </w:r>
            <w:r w:rsidRPr="005F4C23">
              <w:t>%</w:t>
            </w:r>
          </w:p>
          <w:p w14:paraId="716229DB" w14:textId="77777777" w:rsidR="005F4C23" w:rsidRPr="005F4C23" w:rsidRDefault="005F4C23" w:rsidP="00F25579">
            <w:pPr>
              <w:jc w:val="right"/>
            </w:pPr>
            <w:r>
              <w:t>10</w:t>
            </w:r>
            <w:r w:rsidRPr="005F4C23">
              <w:t>%</w:t>
            </w:r>
          </w:p>
          <w:p w14:paraId="5DECBD94" w14:textId="77777777" w:rsidR="005F4C23" w:rsidRPr="005F4C23" w:rsidRDefault="005F4C23" w:rsidP="00F25579">
            <w:pPr>
              <w:jc w:val="right"/>
            </w:pPr>
            <w:r>
              <w:t>6</w:t>
            </w:r>
            <w:r w:rsidRPr="005F4C23">
              <w:t>%</w:t>
            </w:r>
          </w:p>
          <w:p w14:paraId="5E31BCE4" w14:textId="77777777" w:rsidR="005F4C23" w:rsidRPr="005F4C23" w:rsidRDefault="005F4C23" w:rsidP="00F25579">
            <w:pPr>
              <w:jc w:val="right"/>
            </w:pPr>
            <w:r>
              <w:t>4</w:t>
            </w:r>
            <w:r w:rsidRPr="005F4C23">
              <w:t>%</w:t>
            </w:r>
          </w:p>
        </w:tc>
        <w:tc>
          <w:tcPr>
            <w:tcW w:w="795" w:type="pct"/>
          </w:tcPr>
          <w:p w14:paraId="352866C6" w14:textId="77777777" w:rsidR="005F4C23" w:rsidRPr="005F4C23" w:rsidRDefault="005F4C23" w:rsidP="00F25579">
            <w:pPr>
              <w:jc w:val="right"/>
            </w:pPr>
            <w:r>
              <w:t>14</w:t>
            </w:r>
            <w:r w:rsidRPr="005F4C23">
              <w:t>%</w:t>
            </w:r>
          </w:p>
          <w:p w14:paraId="69FB7BA4" w14:textId="77777777" w:rsidR="005F4C23" w:rsidRPr="005F4C23" w:rsidRDefault="005F4C23" w:rsidP="00F25579">
            <w:pPr>
              <w:jc w:val="right"/>
            </w:pPr>
            <w:r>
              <w:t>12</w:t>
            </w:r>
            <w:r w:rsidRPr="005F4C23">
              <w:t>%</w:t>
            </w:r>
          </w:p>
          <w:p w14:paraId="6FC327E1" w14:textId="77777777" w:rsidR="005F4C23" w:rsidRPr="005F4C23" w:rsidRDefault="005F4C23" w:rsidP="00F25579">
            <w:pPr>
              <w:jc w:val="right"/>
            </w:pPr>
            <w:r>
              <w:t>8</w:t>
            </w:r>
            <w:r w:rsidRPr="005F4C23">
              <w:t>%</w:t>
            </w:r>
          </w:p>
          <w:p w14:paraId="2CDDD2C2" w14:textId="77777777" w:rsidR="005F4C23" w:rsidRPr="005F4C23" w:rsidRDefault="005F4C23" w:rsidP="00F25579">
            <w:pPr>
              <w:jc w:val="right"/>
            </w:pPr>
            <w:r>
              <w:t>6</w:t>
            </w:r>
            <w:r w:rsidRPr="005F4C23">
              <w:t>%</w:t>
            </w:r>
          </w:p>
        </w:tc>
      </w:tr>
      <w:tr w:rsidR="005F4C23" w:rsidRPr="007442AB" w14:paraId="70F5FB14" w14:textId="77777777" w:rsidTr="00572E20">
        <w:trPr>
          <w:trHeight w:val="454"/>
        </w:trPr>
        <w:tc>
          <w:tcPr>
            <w:tcW w:w="1029" w:type="pct"/>
          </w:tcPr>
          <w:p w14:paraId="5C003095" w14:textId="24163070" w:rsidR="005F4C23" w:rsidRPr="005F4C23" w:rsidRDefault="00D4231B" w:rsidP="005F4C23">
            <w:r>
              <w:t>E</w:t>
            </w:r>
            <w:r w:rsidR="005F4C23">
              <w:t>G</w:t>
            </w:r>
            <w:r w:rsidR="005F4C23" w:rsidRPr="005F4C23">
              <w:t>TR2</w:t>
            </w:r>
          </w:p>
          <w:p w14:paraId="0E54B067" w14:textId="6BB62FF3" w:rsidR="005F4C23" w:rsidRPr="005F4C23" w:rsidRDefault="00D4231B" w:rsidP="005F4C23">
            <w:r>
              <w:t>E</w:t>
            </w:r>
            <w:r w:rsidR="005F4C23">
              <w:t>G</w:t>
            </w:r>
            <w:r w:rsidR="005F4C23" w:rsidRPr="005F4C23">
              <w:t>TR1</w:t>
            </w:r>
          </w:p>
          <w:p w14:paraId="620024F3" w14:textId="627104BB" w:rsidR="005F4C23" w:rsidRPr="005F4C23" w:rsidRDefault="00D4231B" w:rsidP="005F4C23">
            <w:r>
              <w:t>E</w:t>
            </w:r>
            <w:r w:rsidR="005F4C23">
              <w:t>G</w:t>
            </w:r>
            <w:r w:rsidR="005F4C23" w:rsidRPr="005F4C23">
              <w:t>TP1</w:t>
            </w:r>
          </w:p>
          <w:p w14:paraId="3A966DB2" w14:textId="49AC9209" w:rsidR="005F4C23" w:rsidRPr="005F4C23" w:rsidRDefault="00D4231B" w:rsidP="005F4C23">
            <w:r>
              <w:t>E</w:t>
            </w:r>
            <w:r w:rsidR="005F4C23">
              <w:t>G</w:t>
            </w:r>
            <w:r w:rsidR="005F4C23" w:rsidRPr="005F4C23">
              <w:t>TP2</w:t>
            </w:r>
          </w:p>
        </w:tc>
        <w:tc>
          <w:tcPr>
            <w:tcW w:w="789" w:type="pct"/>
          </w:tcPr>
          <w:p w14:paraId="37FB2353" w14:textId="77777777" w:rsidR="005F4C23" w:rsidRPr="005F4C23" w:rsidRDefault="005F4C23" w:rsidP="00F25579">
            <w:pPr>
              <w:jc w:val="right"/>
            </w:pPr>
            <w:r>
              <w:t>20</w:t>
            </w:r>
            <w:r w:rsidRPr="005F4C23">
              <w:t>%</w:t>
            </w:r>
          </w:p>
          <w:p w14:paraId="388702F1" w14:textId="77777777" w:rsidR="005F4C23" w:rsidRPr="005F4C23" w:rsidRDefault="005F4C23" w:rsidP="00F25579">
            <w:pPr>
              <w:jc w:val="right"/>
            </w:pPr>
            <w:r>
              <w:t>15</w:t>
            </w:r>
            <w:r w:rsidRPr="005F4C23">
              <w:t>%</w:t>
            </w:r>
          </w:p>
          <w:p w14:paraId="2E889E96" w14:textId="77777777" w:rsidR="005F4C23" w:rsidRPr="005F4C23" w:rsidRDefault="005F4C23" w:rsidP="00F25579">
            <w:pPr>
              <w:jc w:val="right"/>
            </w:pPr>
            <w:r>
              <w:t>5</w:t>
            </w:r>
            <w:r w:rsidRPr="005F4C23">
              <w:t>%</w:t>
            </w:r>
          </w:p>
          <w:p w14:paraId="4A389B76" w14:textId="77777777" w:rsidR="005F4C23" w:rsidRPr="005F4C23" w:rsidRDefault="005F4C23" w:rsidP="00F25579">
            <w:pPr>
              <w:jc w:val="right"/>
            </w:pPr>
            <w:r>
              <w:t>0</w:t>
            </w:r>
            <w:r w:rsidRPr="005F4C23">
              <w:t>%</w:t>
            </w:r>
          </w:p>
        </w:tc>
        <w:tc>
          <w:tcPr>
            <w:tcW w:w="796" w:type="pct"/>
          </w:tcPr>
          <w:p w14:paraId="78B0D5D4" w14:textId="77777777" w:rsidR="005F4C23" w:rsidRPr="005F4C23" w:rsidRDefault="005F4C23" w:rsidP="00F25579">
            <w:pPr>
              <w:jc w:val="right"/>
            </w:pPr>
            <w:r>
              <w:t>20%</w:t>
            </w:r>
          </w:p>
          <w:p w14:paraId="33082FA9" w14:textId="77777777" w:rsidR="005F4C23" w:rsidRPr="005F4C23" w:rsidRDefault="005F4C23" w:rsidP="00F25579">
            <w:pPr>
              <w:jc w:val="right"/>
            </w:pPr>
            <w:r>
              <w:t>15%</w:t>
            </w:r>
          </w:p>
          <w:p w14:paraId="5C1933CB" w14:textId="77777777" w:rsidR="005F4C23" w:rsidRPr="005F4C23" w:rsidRDefault="005F4C23" w:rsidP="00F25579">
            <w:pPr>
              <w:jc w:val="right"/>
            </w:pPr>
            <w:r>
              <w:t>5%</w:t>
            </w:r>
          </w:p>
          <w:p w14:paraId="4DE4E4F0" w14:textId="77777777" w:rsidR="005F4C23" w:rsidRPr="005F4C23" w:rsidRDefault="005F4C23" w:rsidP="00F25579">
            <w:pPr>
              <w:jc w:val="right"/>
            </w:pPr>
            <w:r>
              <w:t>0%</w:t>
            </w:r>
          </w:p>
        </w:tc>
        <w:tc>
          <w:tcPr>
            <w:tcW w:w="795" w:type="pct"/>
          </w:tcPr>
          <w:p w14:paraId="612F9E22" w14:textId="77777777" w:rsidR="005F4C23" w:rsidRPr="005F4C23" w:rsidRDefault="005F4C23" w:rsidP="00F25579">
            <w:pPr>
              <w:jc w:val="right"/>
            </w:pPr>
            <w:r>
              <w:t>20%</w:t>
            </w:r>
          </w:p>
          <w:p w14:paraId="7AD25B1C" w14:textId="77777777" w:rsidR="005F4C23" w:rsidRPr="005F4C23" w:rsidRDefault="005F4C23" w:rsidP="00F25579">
            <w:pPr>
              <w:jc w:val="right"/>
            </w:pPr>
            <w:r>
              <w:t>15%</w:t>
            </w:r>
          </w:p>
          <w:p w14:paraId="72FE3C6D" w14:textId="77777777" w:rsidR="005F4C23" w:rsidRPr="005F4C23" w:rsidRDefault="005F4C23" w:rsidP="00F25579">
            <w:pPr>
              <w:jc w:val="right"/>
            </w:pPr>
            <w:r>
              <w:t>5%</w:t>
            </w:r>
          </w:p>
          <w:p w14:paraId="1E611A29" w14:textId="77777777" w:rsidR="005F4C23" w:rsidRPr="005F4C23" w:rsidRDefault="005F4C23" w:rsidP="00F25579">
            <w:pPr>
              <w:jc w:val="right"/>
            </w:pPr>
            <w:r>
              <w:t>0%</w:t>
            </w:r>
          </w:p>
        </w:tc>
        <w:tc>
          <w:tcPr>
            <w:tcW w:w="795" w:type="pct"/>
          </w:tcPr>
          <w:p w14:paraId="0E35546A" w14:textId="77777777" w:rsidR="005F4C23" w:rsidRPr="005F4C23" w:rsidRDefault="005F4C23" w:rsidP="00F25579">
            <w:pPr>
              <w:jc w:val="right"/>
            </w:pPr>
            <w:r>
              <w:t>20%</w:t>
            </w:r>
          </w:p>
          <w:p w14:paraId="2EF41EDB" w14:textId="77777777" w:rsidR="005F4C23" w:rsidRPr="005F4C23" w:rsidRDefault="005F4C23" w:rsidP="00F25579">
            <w:pPr>
              <w:jc w:val="right"/>
            </w:pPr>
            <w:r>
              <w:t>15%</w:t>
            </w:r>
          </w:p>
          <w:p w14:paraId="665081CF" w14:textId="77777777" w:rsidR="005F4C23" w:rsidRPr="005F4C23" w:rsidRDefault="005F4C23" w:rsidP="00F25579">
            <w:pPr>
              <w:jc w:val="right"/>
            </w:pPr>
            <w:r>
              <w:t>5%</w:t>
            </w:r>
          </w:p>
          <w:p w14:paraId="3990E2A1" w14:textId="77777777" w:rsidR="005F4C23" w:rsidRPr="005F4C23" w:rsidRDefault="005F4C23" w:rsidP="00F25579">
            <w:pPr>
              <w:jc w:val="right"/>
            </w:pPr>
            <w:r>
              <w:t>0%</w:t>
            </w:r>
          </w:p>
        </w:tc>
        <w:tc>
          <w:tcPr>
            <w:tcW w:w="795" w:type="pct"/>
          </w:tcPr>
          <w:p w14:paraId="0652FAB5" w14:textId="77777777" w:rsidR="005F4C23" w:rsidRPr="005F4C23" w:rsidRDefault="005F4C23" w:rsidP="00F25579">
            <w:pPr>
              <w:jc w:val="right"/>
            </w:pPr>
            <w:r>
              <w:t>20%</w:t>
            </w:r>
          </w:p>
          <w:p w14:paraId="3868986B" w14:textId="77777777" w:rsidR="005F4C23" w:rsidRPr="005F4C23" w:rsidRDefault="005F4C23" w:rsidP="00F25579">
            <w:pPr>
              <w:jc w:val="right"/>
            </w:pPr>
            <w:r>
              <w:t>15%</w:t>
            </w:r>
          </w:p>
          <w:p w14:paraId="1FAC1039" w14:textId="77777777" w:rsidR="005F4C23" w:rsidRPr="005F4C23" w:rsidRDefault="005F4C23" w:rsidP="00F25579">
            <w:pPr>
              <w:jc w:val="right"/>
            </w:pPr>
            <w:r>
              <w:t>5%</w:t>
            </w:r>
          </w:p>
          <w:p w14:paraId="26F71BE6" w14:textId="77777777" w:rsidR="005F4C23" w:rsidRPr="005F4C23" w:rsidRDefault="005F4C23" w:rsidP="00F25579">
            <w:pPr>
              <w:jc w:val="right"/>
            </w:pPr>
            <w:r>
              <w:t>0%</w:t>
            </w:r>
          </w:p>
        </w:tc>
      </w:tr>
    </w:tbl>
    <w:p w14:paraId="27AE14C5" w14:textId="77777777" w:rsidR="005F4C23" w:rsidRDefault="005F4C23" w:rsidP="005F4C23"/>
    <w:p w14:paraId="5C5F8F9F" w14:textId="74005D14" w:rsidR="005F4C23" w:rsidRPr="00351B55" w:rsidRDefault="00F4114E">
      <w:pPr>
        <w:pStyle w:val="NumberedNormal"/>
      </w:pPr>
      <w:r>
        <w:t>The</w:t>
      </w:r>
      <w:r w:rsidR="005F4C23">
        <w:t xml:space="preserve"> value of the incentive applicable in each environmental area is</w:t>
      </w:r>
      <w:r w:rsidR="005F4C23" w:rsidRPr="00351B55">
        <w:t>:</w:t>
      </w:r>
    </w:p>
    <w:tbl>
      <w:tblPr>
        <w:tblStyle w:val="AppendixTable"/>
        <w:tblW w:w="5000" w:type="pct"/>
        <w:tblLook w:val="04A0" w:firstRow="1" w:lastRow="0" w:firstColumn="1" w:lastColumn="0" w:noHBand="0" w:noVBand="1"/>
      </w:tblPr>
      <w:tblGrid>
        <w:gridCol w:w="1386"/>
        <w:gridCol w:w="1528"/>
        <w:gridCol w:w="1527"/>
        <w:gridCol w:w="1527"/>
        <w:gridCol w:w="1529"/>
        <w:gridCol w:w="1529"/>
      </w:tblGrid>
      <w:tr w:rsidR="005F4C23" w:rsidRPr="007442AB" w14:paraId="650B5950" w14:textId="77777777" w:rsidTr="00D061FF">
        <w:trPr>
          <w:cnfStyle w:val="100000000000" w:firstRow="1" w:lastRow="0" w:firstColumn="0" w:lastColumn="0" w:oddVBand="0" w:evenVBand="0" w:oddHBand="0" w:evenHBand="0" w:firstRowFirstColumn="0" w:firstRowLastColumn="0" w:lastRowFirstColumn="0" w:lastRowLastColumn="0"/>
          <w:trHeight w:val="454"/>
        </w:trPr>
        <w:tc>
          <w:tcPr>
            <w:tcW w:w="767" w:type="pct"/>
          </w:tcPr>
          <w:p w14:paraId="5915C098" w14:textId="77777777" w:rsidR="005F4C23" w:rsidRPr="005F4C23" w:rsidRDefault="005F4C23" w:rsidP="005F4C23">
            <w:r>
              <w:lastRenderedPageBreak/>
              <w:t>Regulatory year</w:t>
            </w:r>
          </w:p>
        </w:tc>
        <w:tc>
          <w:tcPr>
            <w:tcW w:w="846" w:type="pct"/>
          </w:tcPr>
          <w:p w14:paraId="328A6E65" w14:textId="4E8C9486" w:rsidR="005F4C23" w:rsidRPr="005F4C23" w:rsidRDefault="005F4C23" w:rsidP="005F4C23">
            <w:r>
              <w:t>2021</w:t>
            </w:r>
            <w:r w:rsidR="00660E5B">
              <w:t>/2022</w:t>
            </w:r>
          </w:p>
        </w:tc>
        <w:tc>
          <w:tcPr>
            <w:tcW w:w="846" w:type="pct"/>
          </w:tcPr>
          <w:p w14:paraId="03B9F71B" w14:textId="0B32B315" w:rsidR="005F4C23" w:rsidRPr="005F4C23" w:rsidRDefault="005F4C23" w:rsidP="005F4C23">
            <w:r>
              <w:t>2022</w:t>
            </w:r>
            <w:r w:rsidR="00660E5B">
              <w:t>/2023</w:t>
            </w:r>
          </w:p>
        </w:tc>
        <w:tc>
          <w:tcPr>
            <w:tcW w:w="846" w:type="pct"/>
          </w:tcPr>
          <w:p w14:paraId="10497531" w14:textId="7B405B11" w:rsidR="005F4C23" w:rsidRPr="005F4C23" w:rsidRDefault="005F4C23" w:rsidP="005F4C23">
            <w:r>
              <w:t>2023</w:t>
            </w:r>
            <w:r w:rsidR="00660E5B">
              <w:t>/2024</w:t>
            </w:r>
          </w:p>
        </w:tc>
        <w:tc>
          <w:tcPr>
            <w:tcW w:w="847" w:type="pct"/>
          </w:tcPr>
          <w:p w14:paraId="6D219CFC" w14:textId="1DE94967" w:rsidR="005F4C23" w:rsidRPr="005F4C23" w:rsidRDefault="005F4C23" w:rsidP="005F4C23">
            <w:r>
              <w:t>2024</w:t>
            </w:r>
            <w:r w:rsidR="00660E5B">
              <w:t>/2025</w:t>
            </w:r>
          </w:p>
        </w:tc>
        <w:tc>
          <w:tcPr>
            <w:tcW w:w="847" w:type="pct"/>
          </w:tcPr>
          <w:p w14:paraId="3D9054A0" w14:textId="13039994" w:rsidR="005F4C23" w:rsidRPr="005F4C23" w:rsidRDefault="005F4C23" w:rsidP="005F4C23">
            <w:r>
              <w:t>2025</w:t>
            </w:r>
            <w:r w:rsidR="00660E5B">
              <w:t>/2026</w:t>
            </w:r>
          </w:p>
        </w:tc>
      </w:tr>
      <w:tr w:rsidR="005F4C23" w:rsidRPr="007442AB" w14:paraId="58CB716F" w14:textId="77777777" w:rsidTr="00D061FF">
        <w:trPr>
          <w:trHeight w:val="454"/>
        </w:trPr>
        <w:tc>
          <w:tcPr>
            <w:tcW w:w="767" w:type="pct"/>
          </w:tcPr>
          <w:p w14:paraId="7F6E2E12" w14:textId="28085D56" w:rsidR="005F4C23" w:rsidRPr="005F4C23" w:rsidRDefault="00D4231B" w:rsidP="005F4C23">
            <w:proofErr w:type="spellStart"/>
            <w:r>
              <w:t>FE</w:t>
            </w:r>
            <w:r w:rsidR="005F4C23">
              <w:t>I</w:t>
            </w:r>
            <w:r w:rsidR="005F4C23" w:rsidRPr="005F4C23">
              <w:t>t</w:t>
            </w:r>
            <w:proofErr w:type="spellEnd"/>
          </w:p>
        </w:tc>
        <w:tc>
          <w:tcPr>
            <w:tcW w:w="846" w:type="pct"/>
          </w:tcPr>
          <w:p w14:paraId="40EA6AD7" w14:textId="77777777" w:rsidR="005F4C23" w:rsidRPr="005F4C23" w:rsidRDefault="005F4C23" w:rsidP="005F4C23">
            <w:r>
              <w:t>£4,895</w:t>
            </w:r>
          </w:p>
        </w:tc>
        <w:tc>
          <w:tcPr>
            <w:tcW w:w="846" w:type="pct"/>
          </w:tcPr>
          <w:p w14:paraId="7C118F25" w14:textId="77777777" w:rsidR="005F4C23" w:rsidRPr="005F4C23" w:rsidRDefault="005F4C23" w:rsidP="005F4C23">
            <w:r>
              <w:t>£9,789</w:t>
            </w:r>
          </w:p>
        </w:tc>
        <w:tc>
          <w:tcPr>
            <w:tcW w:w="846" w:type="pct"/>
          </w:tcPr>
          <w:p w14:paraId="48AD84DD" w14:textId="77777777" w:rsidR="005F4C23" w:rsidRPr="005F4C23" w:rsidRDefault="005F4C23" w:rsidP="005F4C23">
            <w:r>
              <w:t>£</w:t>
            </w:r>
            <w:r w:rsidRPr="005F4C23">
              <w:t>9,789</w:t>
            </w:r>
          </w:p>
        </w:tc>
        <w:tc>
          <w:tcPr>
            <w:tcW w:w="847" w:type="pct"/>
          </w:tcPr>
          <w:p w14:paraId="43CEE707" w14:textId="77777777" w:rsidR="005F4C23" w:rsidRPr="005F4C23" w:rsidRDefault="005F4C23" w:rsidP="005F4C23">
            <w:r>
              <w:t>£14,684</w:t>
            </w:r>
          </w:p>
        </w:tc>
        <w:tc>
          <w:tcPr>
            <w:tcW w:w="847" w:type="pct"/>
          </w:tcPr>
          <w:p w14:paraId="7381E217" w14:textId="77777777" w:rsidR="005F4C23" w:rsidRPr="005F4C23" w:rsidRDefault="005F4C23" w:rsidP="005F4C23">
            <w:r>
              <w:t>£19,578</w:t>
            </w:r>
          </w:p>
        </w:tc>
      </w:tr>
      <w:tr w:rsidR="005F4C23" w:rsidRPr="007442AB" w14:paraId="786D1020" w14:textId="77777777" w:rsidTr="00D061FF">
        <w:trPr>
          <w:trHeight w:val="454"/>
        </w:trPr>
        <w:tc>
          <w:tcPr>
            <w:tcW w:w="767" w:type="pct"/>
          </w:tcPr>
          <w:p w14:paraId="0FCB8A84" w14:textId="2A4A9BDB" w:rsidR="005F4C23" w:rsidRPr="005F4C23" w:rsidRDefault="005F4C23" w:rsidP="005F4C23">
            <w:proofErr w:type="spellStart"/>
            <w:r>
              <w:t>B</w:t>
            </w:r>
            <w:r w:rsidR="00B52664">
              <w:t>M</w:t>
            </w:r>
            <w:r>
              <w:t>I</w:t>
            </w:r>
            <w:r w:rsidRPr="005F4C23">
              <w:t>t</w:t>
            </w:r>
            <w:proofErr w:type="spellEnd"/>
          </w:p>
        </w:tc>
        <w:tc>
          <w:tcPr>
            <w:tcW w:w="846" w:type="pct"/>
          </w:tcPr>
          <w:p w14:paraId="0E8D9F9B" w14:textId="77777777" w:rsidR="005F4C23" w:rsidRPr="005F4C23" w:rsidRDefault="005F4C23" w:rsidP="005F4C23">
            <w:r>
              <w:t>£</w:t>
            </w:r>
            <w:r w:rsidRPr="005F4C23">
              <w:t>2,795</w:t>
            </w:r>
          </w:p>
        </w:tc>
        <w:tc>
          <w:tcPr>
            <w:tcW w:w="846" w:type="pct"/>
          </w:tcPr>
          <w:p w14:paraId="6A30B2E1" w14:textId="77777777" w:rsidR="005F4C23" w:rsidRPr="005F4C23" w:rsidRDefault="005F4C23" w:rsidP="005F4C23">
            <w:r>
              <w:t>£</w:t>
            </w:r>
            <w:r w:rsidRPr="005F4C23">
              <w:t>2,795</w:t>
            </w:r>
          </w:p>
        </w:tc>
        <w:tc>
          <w:tcPr>
            <w:tcW w:w="846" w:type="pct"/>
          </w:tcPr>
          <w:p w14:paraId="694B5D11" w14:textId="77777777" w:rsidR="005F4C23" w:rsidRPr="005F4C23" w:rsidRDefault="005F4C23" w:rsidP="005F4C23">
            <w:r>
              <w:t>£</w:t>
            </w:r>
            <w:r w:rsidRPr="005F4C23">
              <w:t>2,795</w:t>
            </w:r>
          </w:p>
        </w:tc>
        <w:tc>
          <w:tcPr>
            <w:tcW w:w="847" w:type="pct"/>
          </w:tcPr>
          <w:p w14:paraId="0B3E54A2" w14:textId="77777777" w:rsidR="005F4C23" w:rsidRPr="005F4C23" w:rsidRDefault="005F4C23" w:rsidP="005F4C23">
            <w:r>
              <w:t>£5,590</w:t>
            </w:r>
          </w:p>
        </w:tc>
        <w:tc>
          <w:tcPr>
            <w:tcW w:w="847" w:type="pct"/>
          </w:tcPr>
          <w:p w14:paraId="71417D33" w14:textId="77777777" w:rsidR="005F4C23" w:rsidRPr="005F4C23" w:rsidRDefault="005F4C23" w:rsidP="005F4C23">
            <w:r>
              <w:t>£</w:t>
            </w:r>
            <w:r w:rsidRPr="005F4C23">
              <w:t>5,590</w:t>
            </w:r>
          </w:p>
        </w:tc>
      </w:tr>
      <w:tr w:rsidR="005F4C23" w:rsidRPr="007442AB" w14:paraId="580FA358" w14:textId="77777777" w:rsidTr="00D061FF">
        <w:trPr>
          <w:trHeight w:val="454"/>
        </w:trPr>
        <w:tc>
          <w:tcPr>
            <w:tcW w:w="767" w:type="pct"/>
          </w:tcPr>
          <w:p w14:paraId="0B108C8C" w14:textId="77777777" w:rsidR="005F4C23" w:rsidRPr="005F4C23" w:rsidRDefault="005F4C23" w:rsidP="005F4C23">
            <w:proofErr w:type="spellStart"/>
            <w:r>
              <w:t>WRI</w:t>
            </w:r>
            <w:r w:rsidRPr="005F4C23">
              <w:t>t</w:t>
            </w:r>
            <w:proofErr w:type="spellEnd"/>
          </w:p>
        </w:tc>
        <w:tc>
          <w:tcPr>
            <w:tcW w:w="846" w:type="pct"/>
          </w:tcPr>
          <w:p w14:paraId="14EC8026" w14:textId="77777777" w:rsidR="005F4C23" w:rsidRPr="005F4C23" w:rsidRDefault="005F4C23" w:rsidP="005F4C23">
            <w:r>
              <w:t>=</w:t>
            </w:r>
            <w:r w:rsidRPr="005F4C23">
              <w:t xml:space="preserve"> [TBC]</w:t>
            </w:r>
          </w:p>
        </w:tc>
        <w:tc>
          <w:tcPr>
            <w:tcW w:w="846" w:type="pct"/>
          </w:tcPr>
          <w:p w14:paraId="4FFCE880" w14:textId="77777777" w:rsidR="005F4C23" w:rsidRDefault="005F4C23" w:rsidP="005F4C23"/>
        </w:tc>
        <w:tc>
          <w:tcPr>
            <w:tcW w:w="846" w:type="pct"/>
          </w:tcPr>
          <w:p w14:paraId="34706745" w14:textId="77777777" w:rsidR="005F4C23" w:rsidRDefault="005F4C23" w:rsidP="005F4C23"/>
        </w:tc>
        <w:tc>
          <w:tcPr>
            <w:tcW w:w="847" w:type="pct"/>
          </w:tcPr>
          <w:p w14:paraId="573683B4" w14:textId="77777777" w:rsidR="005F4C23" w:rsidRDefault="005F4C23" w:rsidP="005F4C23"/>
        </w:tc>
        <w:tc>
          <w:tcPr>
            <w:tcW w:w="847" w:type="pct"/>
          </w:tcPr>
          <w:p w14:paraId="61676EB9" w14:textId="77777777" w:rsidR="005F4C23" w:rsidRDefault="005F4C23" w:rsidP="005F4C23"/>
        </w:tc>
      </w:tr>
      <w:tr w:rsidR="005F4C23" w:rsidRPr="007442AB" w14:paraId="3AFF3766" w14:textId="77777777" w:rsidTr="00D061FF">
        <w:trPr>
          <w:trHeight w:val="454"/>
        </w:trPr>
        <w:tc>
          <w:tcPr>
            <w:tcW w:w="767" w:type="pct"/>
          </w:tcPr>
          <w:p w14:paraId="6AFA55A3" w14:textId="77777777" w:rsidR="005F4C23" w:rsidRPr="005F4C23" w:rsidRDefault="005F4C23" w:rsidP="005F4C23">
            <w:proofErr w:type="spellStart"/>
            <w:r>
              <w:t>OWI</w:t>
            </w:r>
            <w:r w:rsidRPr="005F4C23">
              <w:t>t</w:t>
            </w:r>
            <w:proofErr w:type="spellEnd"/>
          </w:p>
        </w:tc>
        <w:tc>
          <w:tcPr>
            <w:tcW w:w="846" w:type="pct"/>
          </w:tcPr>
          <w:p w14:paraId="20B432EC" w14:textId="77777777" w:rsidR="005F4C23" w:rsidRPr="005F4C23" w:rsidRDefault="005F4C23" w:rsidP="005F4C23">
            <w:r>
              <w:t>=</w:t>
            </w:r>
            <w:r w:rsidRPr="005F4C23">
              <w:t xml:space="preserve"> [TBC]</w:t>
            </w:r>
          </w:p>
        </w:tc>
        <w:tc>
          <w:tcPr>
            <w:tcW w:w="846" w:type="pct"/>
          </w:tcPr>
          <w:p w14:paraId="3C124002" w14:textId="77777777" w:rsidR="005F4C23" w:rsidRDefault="005F4C23" w:rsidP="005F4C23"/>
        </w:tc>
        <w:tc>
          <w:tcPr>
            <w:tcW w:w="846" w:type="pct"/>
          </w:tcPr>
          <w:p w14:paraId="232E5004" w14:textId="77777777" w:rsidR="005F4C23" w:rsidRDefault="005F4C23" w:rsidP="005F4C23"/>
        </w:tc>
        <w:tc>
          <w:tcPr>
            <w:tcW w:w="847" w:type="pct"/>
          </w:tcPr>
          <w:p w14:paraId="42C06146" w14:textId="77777777" w:rsidR="005F4C23" w:rsidRDefault="005F4C23" w:rsidP="005F4C23"/>
        </w:tc>
        <w:tc>
          <w:tcPr>
            <w:tcW w:w="847" w:type="pct"/>
          </w:tcPr>
          <w:p w14:paraId="6960A0A1" w14:textId="77777777" w:rsidR="005F4C23" w:rsidRDefault="005F4C23" w:rsidP="005F4C23"/>
        </w:tc>
      </w:tr>
      <w:tr w:rsidR="005F4C23" w:rsidRPr="007442AB" w14:paraId="52602FD4" w14:textId="77777777" w:rsidTr="00D061FF">
        <w:trPr>
          <w:trHeight w:val="454"/>
        </w:trPr>
        <w:tc>
          <w:tcPr>
            <w:tcW w:w="767" w:type="pct"/>
          </w:tcPr>
          <w:p w14:paraId="6BFD2802" w14:textId="77777777" w:rsidR="005F4C23" w:rsidRPr="005F4C23" w:rsidRDefault="005F4C23" w:rsidP="005F4C23">
            <w:proofErr w:type="spellStart"/>
            <w:r>
              <w:t>WUI</w:t>
            </w:r>
            <w:r w:rsidRPr="005F4C23">
              <w:t>t</w:t>
            </w:r>
            <w:proofErr w:type="spellEnd"/>
          </w:p>
        </w:tc>
        <w:tc>
          <w:tcPr>
            <w:tcW w:w="846" w:type="pct"/>
          </w:tcPr>
          <w:p w14:paraId="69F4BA67" w14:textId="77777777" w:rsidR="005F4C23" w:rsidRPr="005F4C23" w:rsidRDefault="005F4C23" w:rsidP="005F4C23">
            <w:r>
              <w:t>=</w:t>
            </w:r>
            <w:r w:rsidRPr="005F4C23">
              <w:t xml:space="preserve"> [TBC]</w:t>
            </w:r>
          </w:p>
        </w:tc>
        <w:tc>
          <w:tcPr>
            <w:tcW w:w="846" w:type="pct"/>
          </w:tcPr>
          <w:p w14:paraId="6C9FEDFD" w14:textId="77777777" w:rsidR="005F4C23" w:rsidRDefault="005F4C23" w:rsidP="005F4C23"/>
        </w:tc>
        <w:tc>
          <w:tcPr>
            <w:tcW w:w="846" w:type="pct"/>
          </w:tcPr>
          <w:p w14:paraId="4E79E451" w14:textId="77777777" w:rsidR="005F4C23" w:rsidRDefault="005F4C23" w:rsidP="005F4C23"/>
        </w:tc>
        <w:tc>
          <w:tcPr>
            <w:tcW w:w="847" w:type="pct"/>
          </w:tcPr>
          <w:p w14:paraId="3538D65C" w14:textId="77777777" w:rsidR="005F4C23" w:rsidRDefault="005F4C23" w:rsidP="005F4C23"/>
        </w:tc>
        <w:tc>
          <w:tcPr>
            <w:tcW w:w="847" w:type="pct"/>
          </w:tcPr>
          <w:p w14:paraId="60846694" w14:textId="77777777" w:rsidR="005F4C23" w:rsidRDefault="005F4C23" w:rsidP="005F4C23"/>
        </w:tc>
      </w:tr>
      <w:tr w:rsidR="005F4C23" w:rsidRPr="007442AB" w14:paraId="026B3336" w14:textId="77777777" w:rsidTr="00D061FF">
        <w:trPr>
          <w:trHeight w:val="454"/>
        </w:trPr>
        <w:tc>
          <w:tcPr>
            <w:tcW w:w="767" w:type="pct"/>
          </w:tcPr>
          <w:p w14:paraId="4F17BFB7" w14:textId="77777777" w:rsidR="005F4C23" w:rsidRPr="005F4C23" w:rsidRDefault="005F4C23" w:rsidP="005F4C23">
            <w:proofErr w:type="spellStart"/>
            <w:r>
              <w:t>EVI</w:t>
            </w:r>
            <w:r w:rsidRPr="005F4C23">
              <w:t>t</w:t>
            </w:r>
            <w:proofErr w:type="spellEnd"/>
          </w:p>
        </w:tc>
        <w:tc>
          <w:tcPr>
            <w:tcW w:w="846" w:type="pct"/>
          </w:tcPr>
          <w:p w14:paraId="5D22B84E" w14:textId="77777777" w:rsidR="005F4C23" w:rsidRPr="005F4C23" w:rsidRDefault="005F4C23" w:rsidP="005F4C23">
            <w:r>
              <w:t>=</w:t>
            </w:r>
            <w:r w:rsidRPr="005F4C23">
              <w:t xml:space="preserve"> [TBC]</w:t>
            </w:r>
          </w:p>
        </w:tc>
        <w:tc>
          <w:tcPr>
            <w:tcW w:w="846" w:type="pct"/>
          </w:tcPr>
          <w:p w14:paraId="18056699" w14:textId="77777777" w:rsidR="005F4C23" w:rsidRDefault="005F4C23" w:rsidP="005F4C23"/>
        </w:tc>
        <w:tc>
          <w:tcPr>
            <w:tcW w:w="846" w:type="pct"/>
          </w:tcPr>
          <w:p w14:paraId="223DC264" w14:textId="77777777" w:rsidR="005F4C23" w:rsidRDefault="005F4C23" w:rsidP="005F4C23"/>
        </w:tc>
        <w:tc>
          <w:tcPr>
            <w:tcW w:w="847" w:type="pct"/>
          </w:tcPr>
          <w:p w14:paraId="365742C2" w14:textId="77777777" w:rsidR="005F4C23" w:rsidRDefault="005F4C23" w:rsidP="005F4C23"/>
        </w:tc>
        <w:tc>
          <w:tcPr>
            <w:tcW w:w="847" w:type="pct"/>
          </w:tcPr>
          <w:p w14:paraId="4CA8CA71" w14:textId="77777777" w:rsidR="005F4C23" w:rsidRDefault="005F4C23" w:rsidP="005F4C23"/>
        </w:tc>
      </w:tr>
      <w:tr w:rsidR="005F4C23" w:rsidRPr="007442AB" w14:paraId="13A54EEF" w14:textId="77777777" w:rsidTr="00D061FF">
        <w:trPr>
          <w:trHeight w:val="454"/>
        </w:trPr>
        <w:tc>
          <w:tcPr>
            <w:tcW w:w="767" w:type="pct"/>
          </w:tcPr>
          <w:p w14:paraId="65985025" w14:textId="4CE09F95" w:rsidR="005F4C23" w:rsidRPr="005F4C23" w:rsidRDefault="00D4231B" w:rsidP="005F4C23">
            <w:proofErr w:type="spellStart"/>
            <w:r>
              <w:t>E</w:t>
            </w:r>
            <w:r w:rsidR="005F4C23">
              <w:t>GI</w:t>
            </w:r>
            <w:r w:rsidR="005F4C23" w:rsidRPr="005F4C23">
              <w:t>t</w:t>
            </w:r>
            <w:proofErr w:type="spellEnd"/>
          </w:p>
        </w:tc>
        <w:tc>
          <w:tcPr>
            <w:tcW w:w="846" w:type="pct"/>
          </w:tcPr>
          <w:p w14:paraId="1F4777C2" w14:textId="77777777" w:rsidR="005F4C23" w:rsidRPr="005F4C23" w:rsidRDefault="005F4C23" w:rsidP="005F4C23">
            <w:r>
              <w:t>=</w:t>
            </w:r>
            <w:r w:rsidRPr="005F4C23">
              <w:t xml:space="preserve"> [TBC]</w:t>
            </w:r>
          </w:p>
        </w:tc>
        <w:tc>
          <w:tcPr>
            <w:tcW w:w="846" w:type="pct"/>
          </w:tcPr>
          <w:p w14:paraId="13CA0F91" w14:textId="77777777" w:rsidR="005F4C23" w:rsidRDefault="005F4C23" w:rsidP="005F4C23"/>
        </w:tc>
        <w:tc>
          <w:tcPr>
            <w:tcW w:w="846" w:type="pct"/>
          </w:tcPr>
          <w:p w14:paraId="49C3E918" w14:textId="77777777" w:rsidR="005F4C23" w:rsidRDefault="005F4C23" w:rsidP="005F4C23"/>
        </w:tc>
        <w:tc>
          <w:tcPr>
            <w:tcW w:w="847" w:type="pct"/>
          </w:tcPr>
          <w:p w14:paraId="7BD21921" w14:textId="77777777" w:rsidR="005F4C23" w:rsidRDefault="005F4C23" w:rsidP="005F4C23"/>
        </w:tc>
        <w:tc>
          <w:tcPr>
            <w:tcW w:w="847" w:type="pct"/>
          </w:tcPr>
          <w:p w14:paraId="461AF7E8" w14:textId="77777777" w:rsidR="005F4C23" w:rsidRDefault="005F4C23" w:rsidP="005F4C23"/>
        </w:tc>
      </w:tr>
      <w:tr w:rsidR="005F4C23" w:rsidRPr="007442AB" w14:paraId="232D307C" w14:textId="77777777" w:rsidTr="00D061FF">
        <w:trPr>
          <w:trHeight w:val="454"/>
        </w:trPr>
        <w:tc>
          <w:tcPr>
            <w:tcW w:w="767" w:type="pct"/>
          </w:tcPr>
          <w:p w14:paraId="47D1DD86" w14:textId="77777777" w:rsidR="005F4C23" w:rsidRDefault="005F4C23" w:rsidP="005F4C23"/>
        </w:tc>
        <w:tc>
          <w:tcPr>
            <w:tcW w:w="846" w:type="pct"/>
          </w:tcPr>
          <w:p w14:paraId="592C2815" w14:textId="77777777" w:rsidR="005F4C23" w:rsidRDefault="005F4C23" w:rsidP="005F4C23"/>
        </w:tc>
        <w:tc>
          <w:tcPr>
            <w:tcW w:w="846" w:type="pct"/>
          </w:tcPr>
          <w:p w14:paraId="0E0A95A2" w14:textId="77777777" w:rsidR="005F4C23" w:rsidRDefault="005F4C23" w:rsidP="005F4C23"/>
        </w:tc>
        <w:tc>
          <w:tcPr>
            <w:tcW w:w="846" w:type="pct"/>
          </w:tcPr>
          <w:p w14:paraId="471B1FD3" w14:textId="77777777" w:rsidR="005F4C23" w:rsidRDefault="005F4C23" w:rsidP="005F4C23"/>
        </w:tc>
        <w:tc>
          <w:tcPr>
            <w:tcW w:w="847" w:type="pct"/>
          </w:tcPr>
          <w:p w14:paraId="76A0AF6D" w14:textId="77777777" w:rsidR="005F4C23" w:rsidRDefault="005F4C23" w:rsidP="005F4C23"/>
        </w:tc>
        <w:tc>
          <w:tcPr>
            <w:tcW w:w="847" w:type="pct"/>
          </w:tcPr>
          <w:p w14:paraId="0D76D745" w14:textId="77777777" w:rsidR="005F4C23" w:rsidRDefault="005F4C23" w:rsidP="005F4C23"/>
        </w:tc>
      </w:tr>
    </w:tbl>
    <w:p w14:paraId="17A9C44A" w14:textId="77777777" w:rsidR="005F4C23" w:rsidRDefault="005F4C23" w:rsidP="005F4C23"/>
    <w:p w14:paraId="73C0F5AD" w14:textId="77777777" w:rsidR="00D061FF" w:rsidRDefault="00D061FF" w:rsidP="00D061FF">
      <w:pPr>
        <w:pStyle w:val="AppendixHeading"/>
      </w:pPr>
      <w:bookmarkStart w:id="152" w:name="_Toc51798305"/>
      <w:bookmarkEnd w:id="152"/>
    </w:p>
    <w:p w14:paraId="227A4CEC" w14:textId="5F7D9497" w:rsidR="005F4C23" w:rsidRPr="00D143E3" w:rsidRDefault="005F4C23" w:rsidP="00D061FF">
      <w:pPr>
        <w:pStyle w:val="Caption"/>
      </w:pPr>
      <w:r>
        <w:t>Baseline measures</w:t>
      </w:r>
    </w:p>
    <w:tbl>
      <w:tblPr>
        <w:tblStyle w:val="AppendixTable"/>
        <w:tblW w:w="5000" w:type="pct"/>
        <w:tblLook w:val="04A0" w:firstRow="1" w:lastRow="0" w:firstColumn="1" w:lastColumn="0" w:noHBand="0" w:noVBand="1"/>
      </w:tblPr>
      <w:tblGrid>
        <w:gridCol w:w="5618"/>
        <w:gridCol w:w="1581"/>
        <w:gridCol w:w="1827"/>
      </w:tblGrid>
      <w:tr w:rsidR="005F4C23" w:rsidRPr="00B43143" w14:paraId="02AAC596" w14:textId="77777777" w:rsidTr="00D061FF">
        <w:trPr>
          <w:cnfStyle w:val="100000000000" w:firstRow="1" w:lastRow="0" w:firstColumn="0" w:lastColumn="0" w:oddVBand="0" w:evenVBand="0" w:oddHBand="0" w:evenHBand="0" w:firstRowFirstColumn="0" w:firstRowLastColumn="0" w:lastRowFirstColumn="0" w:lastRowLastColumn="0"/>
          <w:trHeight w:val="567"/>
        </w:trPr>
        <w:tc>
          <w:tcPr>
            <w:tcW w:w="3111" w:type="pct"/>
          </w:tcPr>
          <w:p w14:paraId="48E5B60D" w14:textId="77777777" w:rsidR="005F4C23" w:rsidRPr="005F4C23" w:rsidRDefault="005F4C23" w:rsidP="005F4C23">
            <w:r>
              <w:t>Impact area</w:t>
            </w:r>
          </w:p>
        </w:tc>
        <w:tc>
          <w:tcPr>
            <w:tcW w:w="876" w:type="pct"/>
          </w:tcPr>
          <w:p w14:paraId="2F85F308" w14:textId="77777777" w:rsidR="005F4C23" w:rsidRPr="005F4C23" w:rsidRDefault="005F4C23" w:rsidP="005F4C23">
            <w:r>
              <w:t>Year</w:t>
            </w:r>
          </w:p>
        </w:tc>
        <w:tc>
          <w:tcPr>
            <w:tcW w:w="1012" w:type="pct"/>
          </w:tcPr>
          <w:p w14:paraId="40C9395F" w14:textId="46FF296D" w:rsidR="005F4C23" w:rsidRPr="005F4C23" w:rsidRDefault="00660E5B" w:rsidP="005F4C23">
            <w:r>
              <w:t>Level</w:t>
            </w:r>
          </w:p>
        </w:tc>
      </w:tr>
      <w:tr w:rsidR="005F4C23" w:rsidRPr="00B43143" w14:paraId="12EA19EF" w14:textId="77777777" w:rsidTr="00D061FF">
        <w:trPr>
          <w:trHeight w:val="567"/>
        </w:trPr>
        <w:tc>
          <w:tcPr>
            <w:tcW w:w="3111" w:type="pct"/>
          </w:tcPr>
          <w:p w14:paraId="6C6AB753" w14:textId="77777777" w:rsidR="005F4C23" w:rsidRPr="005F4C23" w:rsidRDefault="005F4C23" w:rsidP="005F4C23">
            <w:r>
              <w:t>Licensee's o</w:t>
            </w:r>
            <w:r w:rsidRPr="005F4C23">
              <w:t>ffice waste in tonnes</w:t>
            </w:r>
          </w:p>
        </w:tc>
        <w:tc>
          <w:tcPr>
            <w:tcW w:w="876" w:type="pct"/>
          </w:tcPr>
          <w:p w14:paraId="5507CEF5" w14:textId="77777777" w:rsidR="005F4C23" w:rsidRPr="005F4C23" w:rsidRDefault="005F4C23" w:rsidP="005F4C23">
            <w:r>
              <w:t>2019/20</w:t>
            </w:r>
          </w:p>
        </w:tc>
        <w:tc>
          <w:tcPr>
            <w:tcW w:w="1012" w:type="pct"/>
          </w:tcPr>
          <w:p w14:paraId="279B7BD3" w14:textId="77777777" w:rsidR="005F4C23" w:rsidRPr="005F4C23" w:rsidRDefault="005F4C23" w:rsidP="005F4C23">
            <w:r>
              <w:t>TBC</w:t>
            </w:r>
          </w:p>
        </w:tc>
      </w:tr>
      <w:tr w:rsidR="005F4C23" w:rsidRPr="00B43143" w14:paraId="1669F8C8" w14:textId="77777777" w:rsidTr="00D061FF">
        <w:trPr>
          <w:trHeight w:val="567"/>
        </w:trPr>
        <w:tc>
          <w:tcPr>
            <w:tcW w:w="3111" w:type="pct"/>
          </w:tcPr>
          <w:p w14:paraId="39F195DB" w14:textId="77777777" w:rsidR="005F4C23" w:rsidRPr="005F4C23" w:rsidRDefault="005F4C23" w:rsidP="005F4C23">
            <w:r>
              <w:t>Licensee's o</w:t>
            </w:r>
            <w:r w:rsidRPr="005F4C23">
              <w:t>ffice water use in litres</w:t>
            </w:r>
          </w:p>
        </w:tc>
        <w:tc>
          <w:tcPr>
            <w:tcW w:w="876" w:type="pct"/>
          </w:tcPr>
          <w:p w14:paraId="040EB699" w14:textId="77777777" w:rsidR="005F4C23" w:rsidRPr="005F4C23" w:rsidRDefault="005F4C23" w:rsidP="005F4C23">
            <w:r>
              <w:t>2019/20</w:t>
            </w:r>
          </w:p>
        </w:tc>
        <w:tc>
          <w:tcPr>
            <w:tcW w:w="1012" w:type="pct"/>
          </w:tcPr>
          <w:p w14:paraId="437FBC5C" w14:textId="77777777" w:rsidR="005F4C23" w:rsidRPr="005F4C23" w:rsidRDefault="005F4C23" w:rsidP="005F4C23">
            <w:r>
              <w:t>TBC</w:t>
            </w:r>
          </w:p>
        </w:tc>
      </w:tr>
      <w:tr w:rsidR="005F4C23" w:rsidRPr="00B43143" w14:paraId="27BF7143" w14:textId="77777777" w:rsidTr="00D061FF">
        <w:trPr>
          <w:trHeight w:val="567"/>
        </w:trPr>
        <w:tc>
          <w:tcPr>
            <w:tcW w:w="3111" w:type="pct"/>
          </w:tcPr>
          <w:p w14:paraId="7A79BE96" w14:textId="77777777" w:rsidR="005F4C23" w:rsidRPr="005F4C23" w:rsidRDefault="005F4C23" w:rsidP="005F4C23">
            <w:r>
              <w:t xml:space="preserve">Environmental </w:t>
            </w:r>
            <w:r w:rsidRPr="005F4C23">
              <w:t>value of licensee's non-operational land (£M)</w:t>
            </w:r>
          </w:p>
        </w:tc>
        <w:tc>
          <w:tcPr>
            <w:tcW w:w="876" w:type="pct"/>
          </w:tcPr>
          <w:p w14:paraId="2B916798" w14:textId="77777777" w:rsidR="005F4C23" w:rsidRPr="005F4C23" w:rsidRDefault="005F4C23" w:rsidP="005F4C23">
            <w:r>
              <w:t>2020/21</w:t>
            </w:r>
          </w:p>
        </w:tc>
        <w:tc>
          <w:tcPr>
            <w:tcW w:w="1012" w:type="pct"/>
          </w:tcPr>
          <w:p w14:paraId="044009AA" w14:textId="77777777" w:rsidR="005F4C23" w:rsidRPr="005F4C23" w:rsidRDefault="005F4C23" w:rsidP="005F4C23">
            <w:r>
              <w:t>TBC</w:t>
            </w:r>
          </w:p>
        </w:tc>
      </w:tr>
    </w:tbl>
    <w:p w14:paraId="7668DB26" w14:textId="77777777" w:rsidR="005F4C23" w:rsidRDefault="005F4C23" w:rsidP="005F4C23"/>
    <w:p w14:paraId="5DF0C866" w14:textId="77777777" w:rsidR="00150818" w:rsidRDefault="00150818" w:rsidP="00150818">
      <w:pPr>
        <w:pStyle w:val="Heading1"/>
      </w:pPr>
      <w:bookmarkStart w:id="153" w:name="_Toc51680390"/>
      <w:bookmarkStart w:id="154" w:name="_Toc51798306"/>
      <w:bookmarkStart w:id="155" w:name="_Toc52364915"/>
      <w:bookmarkStart w:id="156" w:name="_Toc51319638"/>
      <w:r w:rsidRPr="007C287B">
        <w:lastRenderedPageBreak/>
        <w:t>Innovation</w:t>
      </w:r>
      <w:bookmarkEnd w:id="153"/>
      <w:bookmarkEnd w:id="154"/>
      <w:bookmarkEnd w:id="155"/>
    </w:p>
    <w:p w14:paraId="618CC951" w14:textId="0BC136BA" w:rsidR="00150818" w:rsidRDefault="00150818" w:rsidP="00150818">
      <w:pPr>
        <w:pStyle w:val="Heading2"/>
      </w:pPr>
      <w:bookmarkStart w:id="157" w:name="_Toc51680391"/>
      <w:bookmarkStart w:id="158" w:name="_Toc51798307"/>
      <w:bookmarkStart w:id="159" w:name="_Toc52364916"/>
      <w:r>
        <w:t>Total innovation allowance</w:t>
      </w:r>
      <w:bookmarkEnd w:id="157"/>
      <w:r w:rsidR="00660E5B">
        <w:t xml:space="preserve"> (</w:t>
      </w:r>
      <w:proofErr w:type="spellStart"/>
      <w:r w:rsidR="00660E5B">
        <w:t>INNVt</w:t>
      </w:r>
      <w:proofErr w:type="spellEnd"/>
      <w:r w:rsidR="00660E5B">
        <w:t>)</w:t>
      </w:r>
      <w:bookmarkEnd w:id="158"/>
      <w:bookmarkEnd w:id="159"/>
    </w:p>
    <w:p w14:paraId="71140675" w14:textId="77777777" w:rsidR="00150818" w:rsidRDefault="00150818" w:rsidP="00150818">
      <w:pPr>
        <w:pStyle w:val="Heading3"/>
      </w:pPr>
      <w:r>
        <w:t>Introduction</w:t>
      </w:r>
    </w:p>
    <w:p w14:paraId="2848B522" w14:textId="77777777" w:rsidR="00150818" w:rsidRDefault="00150818" w:rsidP="00150818">
      <w:pPr>
        <w:pStyle w:val="NumberedNormal"/>
      </w:pPr>
      <w:r>
        <w:t xml:space="preserve">The purpose of this condition is to calculate the term </w:t>
      </w:r>
      <w:proofErr w:type="spellStart"/>
      <w:r>
        <w:t>INNV</w:t>
      </w:r>
      <w:r w:rsidRPr="00150818">
        <w:t>t</w:t>
      </w:r>
      <w:proofErr w:type="spellEnd"/>
      <w:r>
        <w:t xml:space="preserve"> (the innovation allowance term). This contributes to the calculation of Calculated Revenues in Special Condition 2.1 (Revenue Restriction).</w:t>
      </w:r>
    </w:p>
    <w:p w14:paraId="0859B24C" w14:textId="77777777" w:rsidR="00150818" w:rsidRPr="00CD759D" w:rsidRDefault="00150818" w:rsidP="00150818">
      <w:pPr>
        <w:pStyle w:val="Heading3"/>
      </w:pPr>
      <w:r>
        <w:t>Formula for calculating total innovation allowance</w:t>
      </w:r>
    </w:p>
    <w:p w14:paraId="7419B206" w14:textId="77777777" w:rsidR="00150818" w:rsidRPr="003C282C" w:rsidRDefault="00150818" w:rsidP="00150818">
      <w:pPr>
        <w:pStyle w:val="NumberedNormal"/>
      </w:pPr>
      <w:r>
        <w:t xml:space="preserve">The value of </w:t>
      </w:r>
      <w:proofErr w:type="spellStart"/>
      <w:r>
        <w:t>INNV</w:t>
      </w:r>
      <w:r w:rsidRPr="00150818">
        <w:t>t</w:t>
      </w:r>
      <w:proofErr w:type="spellEnd"/>
      <w:r>
        <w:t xml:space="preserve"> is derived in accordance with the following formula:</w:t>
      </w:r>
    </w:p>
    <w:p w14:paraId="18CF74A9" w14:textId="3DD5AE44" w:rsidR="00150818" w:rsidRDefault="00B913B6" w:rsidP="00150818">
      <m:oMathPara>
        <m:oMath>
          <m:sSub>
            <m:sSubPr>
              <m:ctrlPr>
                <w:rPr>
                  <w:rFonts w:ascii="Cambria Math" w:hAnsi="Cambria Math"/>
                </w:rPr>
              </m:ctrlPr>
            </m:sSubPr>
            <m:e>
              <m:r>
                <w:rPr>
                  <w:rFonts w:ascii="Cambria Math" w:hAnsi="Cambria Math"/>
                </w:rPr>
                <m:t>INNV</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oMath>
      </m:oMathPara>
    </w:p>
    <w:p w14:paraId="69BB4132" w14:textId="26A84749" w:rsidR="00150818" w:rsidRDefault="001F40B0" w:rsidP="00150818">
      <w:r>
        <w:tab/>
      </w:r>
      <w:r w:rsidR="00150818">
        <w:t>where:</w:t>
      </w:r>
    </w:p>
    <w:tbl>
      <w:tblPr>
        <w:tblStyle w:val="TableGridLight"/>
        <w:tblW w:w="0" w:type="auto"/>
        <w:tblLook w:val="04A0" w:firstRow="1" w:lastRow="0" w:firstColumn="1" w:lastColumn="0" w:noHBand="0" w:noVBand="1"/>
      </w:tblPr>
      <w:tblGrid>
        <w:gridCol w:w="850"/>
        <w:gridCol w:w="7496"/>
      </w:tblGrid>
      <w:tr w:rsidR="00150818" w14:paraId="40F5A661" w14:textId="77777777" w:rsidTr="001F40B0">
        <w:tc>
          <w:tcPr>
            <w:tcW w:w="0" w:type="auto"/>
          </w:tcPr>
          <w:p w14:paraId="4FC11825" w14:textId="0FE4931C" w:rsidR="00150818" w:rsidRPr="001F40B0" w:rsidRDefault="00B913B6" w:rsidP="00150818">
            <m:oMathPara>
              <m:oMathParaPr>
                <m:jc m:val="left"/>
              </m:oMathParaPr>
              <m:oMath>
                <m:sSub>
                  <m:sSubPr>
                    <m:ctrlPr>
                      <w:rPr>
                        <w:rFonts w:ascii="Cambria Math" w:hAnsi="Cambria Math"/>
                      </w:rPr>
                    </m:ctrlPr>
                  </m:sSubPr>
                  <m:e>
                    <m:r>
                      <w:rPr>
                        <w:rFonts w:ascii="Cambria Math" w:hAnsi="Cambria Math"/>
                      </w:rPr>
                      <m:t>NIA</m:t>
                    </m:r>
                  </m:e>
                  <m:sub>
                    <m:r>
                      <w:rPr>
                        <w:rFonts w:ascii="Cambria Math" w:hAnsi="Cambria Math"/>
                      </w:rPr>
                      <m:t>t</m:t>
                    </m:r>
                  </m:sub>
                </m:sSub>
              </m:oMath>
            </m:oMathPara>
          </w:p>
        </w:tc>
        <w:tc>
          <w:tcPr>
            <w:tcW w:w="0" w:type="auto"/>
          </w:tcPr>
          <w:p w14:paraId="3DC81C62" w14:textId="58E0E300" w:rsidR="00150818" w:rsidRPr="00150818" w:rsidRDefault="00150818" w:rsidP="00150818">
            <w:r w:rsidRPr="003402B7">
              <w:t xml:space="preserve">is derived in accordance with Special Condition </w:t>
            </w:r>
            <w:r w:rsidR="00501E31">
              <w:t>5.2 (The RIIO-2 Network Innovation Allowance); and</w:t>
            </w:r>
          </w:p>
        </w:tc>
      </w:tr>
      <w:tr w:rsidR="00150818" w14:paraId="51F2160D" w14:textId="77777777" w:rsidTr="001F40B0">
        <w:tc>
          <w:tcPr>
            <w:tcW w:w="0" w:type="auto"/>
          </w:tcPr>
          <w:p w14:paraId="2AFCBBB8" w14:textId="1BB05A9D" w:rsidR="00150818" w:rsidRPr="001F40B0" w:rsidRDefault="00B913B6" w:rsidP="00150818">
            <m:oMathPara>
              <m:oMathParaPr>
                <m:jc m:val="left"/>
              </m:oMathParaPr>
              <m:oMath>
                <m:sSub>
                  <m:sSubPr>
                    <m:ctrlPr>
                      <w:rPr>
                        <w:rFonts w:ascii="Cambria Math" w:hAnsi="Cambria Math"/>
                      </w:rPr>
                    </m:ctrlPr>
                  </m:sSubPr>
                  <m:e>
                    <m:r>
                      <w:rPr>
                        <w:rFonts w:ascii="Cambria Math" w:hAnsi="Cambria Math"/>
                      </w:rPr>
                      <m:t>CNIA</m:t>
                    </m:r>
                  </m:e>
                  <m:sub>
                    <m:r>
                      <w:rPr>
                        <w:rFonts w:ascii="Cambria Math" w:hAnsi="Cambria Math"/>
                      </w:rPr>
                      <m:t>t</m:t>
                    </m:r>
                  </m:sub>
                </m:sSub>
              </m:oMath>
            </m:oMathPara>
          </w:p>
        </w:tc>
        <w:tc>
          <w:tcPr>
            <w:tcW w:w="0" w:type="auto"/>
          </w:tcPr>
          <w:p w14:paraId="3CBA4B93" w14:textId="61B4488C" w:rsidR="00150818" w:rsidRPr="00150818" w:rsidRDefault="00150818" w:rsidP="00150818">
            <w:r>
              <w:t xml:space="preserve"> </w:t>
            </w:r>
            <w:r w:rsidR="001F40B0" w:rsidRPr="003402B7">
              <w:t xml:space="preserve">is derived in accordance with Special Condition </w:t>
            </w:r>
            <w:r w:rsidR="00501E31">
              <w:t>5.3 (Carry</w:t>
            </w:r>
            <w:r w:rsidR="0082675D">
              <w:t>-over RII</w:t>
            </w:r>
            <w:r w:rsidR="000D246F">
              <w:t>O</w:t>
            </w:r>
            <w:r w:rsidR="0082675D">
              <w:t>-1 Network Innovation Allowance).</w:t>
            </w:r>
          </w:p>
        </w:tc>
      </w:tr>
    </w:tbl>
    <w:p w14:paraId="3C01CB21" w14:textId="77777777" w:rsidR="00150818" w:rsidRPr="003402B7" w:rsidRDefault="00150818" w:rsidP="00150818">
      <w:pPr>
        <w:pStyle w:val="Heading2"/>
      </w:pPr>
      <w:bookmarkStart w:id="160" w:name="_Toc51680392"/>
      <w:bookmarkStart w:id="161" w:name="_Toc51798308"/>
      <w:bookmarkStart w:id="162" w:name="_Toc52364917"/>
      <w:r w:rsidRPr="003402B7">
        <w:t>The RIIO-2 Network Innovation Allowance</w:t>
      </w:r>
      <w:r>
        <w:t xml:space="preserve"> (</w:t>
      </w:r>
      <w:proofErr w:type="spellStart"/>
      <w:r>
        <w:t>NIA</w:t>
      </w:r>
      <w:r w:rsidRPr="00150818">
        <w:t>t</w:t>
      </w:r>
      <w:proofErr w:type="spellEnd"/>
      <w:r>
        <w:t>)</w:t>
      </w:r>
      <w:bookmarkEnd w:id="160"/>
      <w:bookmarkEnd w:id="161"/>
      <w:bookmarkEnd w:id="162"/>
    </w:p>
    <w:p w14:paraId="2BDA794C" w14:textId="77777777" w:rsidR="00150818" w:rsidRPr="003402B7" w:rsidRDefault="00150818" w:rsidP="00150818">
      <w:pPr>
        <w:pStyle w:val="Heading3nonumbering"/>
      </w:pPr>
      <w:r w:rsidRPr="003402B7">
        <w:t>Introduction</w:t>
      </w:r>
    </w:p>
    <w:p w14:paraId="776C16F2" w14:textId="52E620AD" w:rsidR="00150818" w:rsidRPr="003402B7" w:rsidRDefault="00150818" w:rsidP="00150818">
      <w:pPr>
        <w:pStyle w:val="NumberedNormal"/>
      </w:pPr>
      <w:r>
        <w:t>The purpose of this condition is to calculate</w:t>
      </w:r>
      <w:r w:rsidR="00B87F7E">
        <w:t xml:space="preserve"> the term</w:t>
      </w:r>
      <w:r>
        <w:t xml:space="preserve"> </w:t>
      </w:r>
      <w:proofErr w:type="spellStart"/>
      <w:r>
        <w:t>NIA</w:t>
      </w:r>
      <w:r w:rsidRPr="00150818">
        <w:t>t</w:t>
      </w:r>
      <w:proofErr w:type="spellEnd"/>
      <w:r>
        <w:t xml:space="preserve"> (the Network Innovation Allowance term). This contributes to the calculation of the term </w:t>
      </w:r>
      <w:proofErr w:type="spellStart"/>
      <w:r>
        <w:t>INNVt</w:t>
      </w:r>
      <w:proofErr w:type="spellEnd"/>
      <w:r>
        <w:t xml:space="preserve"> (the innovation term), which in turn feeds into Calculated Revenue in Special Condition 2.1 (Revenue Restriction).</w:t>
      </w:r>
    </w:p>
    <w:p w14:paraId="08B946EA" w14:textId="77777777" w:rsidR="00150818" w:rsidRPr="003402B7" w:rsidRDefault="00150818" w:rsidP="00150818">
      <w:pPr>
        <w:pStyle w:val="NumberedNormal"/>
      </w:pPr>
      <w:r>
        <w:t>The effect of this condition is to fund investment in innovation by means of the NIA.</w:t>
      </w:r>
    </w:p>
    <w:p w14:paraId="46E2425E" w14:textId="77777777" w:rsidR="00150818" w:rsidRPr="003402B7" w:rsidRDefault="00150818" w:rsidP="00150818">
      <w:pPr>
        <w:pStyle w:val="NumberedNormal"/>
      </w:pPr>
      <w:r>
        <w:t>This condition also establishes a framework for the governance and administration of the NIA.</w:t>
      </w:r>
    </w:p>
    <w:p w14:paraId="7118F54D" w14:textId="0620CAB4" w:rsidR="00150818" w:rsidRPr="003402B7" w:rsidRDefault="000B58D7" w:rsidP="00150818">
      <w:pPr>
        <w:pStyle w:val="Heading3"/>
      </w:pPr>
      <w:r>
        <w:t xml:space="preserve">Formula for calculating </w:t>
      </w:r>
      <w:r w:rsidR="00150818">
        <w:t xml:space="preserve">the Network Innovation Allowance </w:t>
      </w:r>
      <w:r>
        <w:t>(</w:t>
      </w:r>
      <w:proofErr w:type="spellStart"/>
      <w:r>
        <w:t>NIA</w:t>
      </w:r>
      <w:r w:rsidRPr="000B58D7">
        <w:rPr>
          <w:vertAlign w:val="subscript"/>
        </w:rPr>
        <w:t>t</w:t>
      </w:r>
      <w:proofErr w:type="spellEnd"/>
      <w:r>
        <w:t>)</w:t>
      </w:r>
    </w:p>
    <w:p w14:paraId="65876D0D" w14:textId="028FA45E" w:rsidR="00150818" w:rsidRPr="003402B7" w:rsidRDefault="00150818" w:rsidP="00150818">
      <w:pPr>
        <w:pStyle w:val="NumberedNormal"/>
      </w:pPr>
      <w:r>
        <w:t xml:space="preserve">The value of the </w:t>
      </w:r>
      <w:proofErr w:type="spellStart"/>
      <w:r>
        <w:t>NIA</w:t>
      </w:r>
      <w:r w:rsidRPr="000B58D7">
        <w:rPr>
          <w:vertAlign w:val="subscript"/>
        </w:rPr>
        <w:t>t</w:t>
      </w:r>
      <w:proofErr w:type="spellEnd"/>
      <w:r>
        <w:t xml:space="preserve"> term is the total Allowable NIA Expenditure incurred by the licensee, subject to the following limit: </w:t>
      </w:r>
    </w:p>
    <w:p w14:paraId="176F8316" w14:textId="77777777" w:rsidR="00150818" w:rsidRPr="003402B7" w:rsidRDefault="00B913B6" w:rsidP="00150818">
      <m:oMathPara>
        <m:oMath>
          <m:nary>
            <m:naryPr>
              <m:chr m:val="∑"/>
              <m:limLoc m:val="undOvr"/>
              <m:ctrlPr>
                <w:rPr>
                  <w:rFonts w:ascii="Cambria Math" w:hAnsi="Cambria Math"/>
                </w:rPr>
              </m:ctrlPr>
            </m:naryPr>
            <m:sub>
              <m:r>
                <w:rPr>
                  <w:rFonts w:ascii="Cambria Math" w:hAnsi="Cambria Math"/>
                </w:rPr>
                <m:t>t=2021/22</m:t>
              </m:r>
            </m:sub>
            <m:sup>
              <m:r>
                <w:rPr>
                  <w:rFonts w:ascii="Cambria Math" w:hAnsi="Cambria Math"/>
                </w:rPr>
                <m:t>2025/26</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w:rPr>
              <w:rFonts w:ascii="Cambria Math" w:hAnsi="Cambria Math"/>
            </w:rPr>
            <m:t>≤£X,000,000</m:t>
          </m:r>
        </m:oMath>
      </m:oMathPara>
    </w:p>
    <w:p w14:paraId="2C04A408" w14:textId="77777777" w:rsidR="00150818" w:rsidRPr="003402B7" w:rsidRDefault="00150818" w:rsidP="00150818">
      <w:pPr>
        <w:pStyle w:val="Heading3"/>
      </w:pPr>
      <w:r>
        <w:t xml:space="preserve">The RIIO-2 NIA Governance Document </w:t>
      </w:r>
    </w:p>
    <w:p w14:paraId="491593DB" w14:textId="77777777" w:rsidR="00150818" w:rsidRPr="003402B7" w:rsidRDefault="00150818" w:rsidP="00150818">
      <w:pPr>
        <w:pStyle w:val="NumberedNormal"/>
      </w:pPr>
      <w:r>
        <w:t>The licensee must comply with the RIIO-2 NIA Governance Document.</w:t>
      </w:r>
    </w:p>
    <w:p w14:paraId="5BD6274D" w14:textId="77777777" w:rsidR="00150818" w:rsidRPr="003402B7" w:rsidRDefault="00150818" w:rsidP="00150818">
      <w:pPr>
        <w:pStyle w:val="NumberedNormal"/>
      </w:pPr>
      <w:r>
        <w:lastRenderedPageBreak/>
        <w:t xml:space="preserve">The Authority will issue and amend the RIIO-2 NIA Governance Document by direction. </w:t>
      </w:r>
    </w:p>
    <w:p w14:paraId="41AEA0A5" w14:textId="77777777" w:rsidR="00150818" w:rsidRPr="003402B7" w:rsidRDefault="00150818" w:rsidP="00150818">
      <w:pPr>
        <w:pStyle w:val="NumberedNormal"/>
      </w:pPr>
      <w:r>
        <w:t>The Authority will publish the RIIO-2 NIA Governance Document on the Authority’s Website.</w:t>
      </w:r>
    </w:p>
    <w:p w14:paraId="6355B474" w14:textId="77777777" w:rsidR="00150818" w:rsidRPr="003402B7" w:rsidRDefault="00150818" w:rsidP="00150818">
      <w:pPr>
        <w:pStyle w:val="NumberedNormal"/>
      </w:pPr>
      <w:r>
        <w:t>The RIIO-2 NIA Governance Document will make provision about the governance and administration of the NIA, including:</w:t>
      </w:r>
    </w:p>
    <w:p w14:paraId="69F8B029" w14:textId="77777777" w:rsidR="00150818" w:rsidRPr="003402B7" w:rsidRDefault="00150818" w:rsidP="00150818">
      <w:pPr>
        <w:pStyle w:val="ListNormal"/>
        <w:tabs>
          <w:tab w:val="num" w:pos="879"/>
        </w:tabs>
      </w:pPr>
      <w:r>
        <w:t xml:space="preserve">the definition of Allowable NIA Expenditure and Unrecoverable NIA </w:t>
      </w:r>
      <w:proofErr w:type="gramStart"/>
      <w:r>
        <w:t>Expenditure;</w:t>
      </w:r>
      <w:proofErr w:type="gramEnd"/>
    </w:p>
    <w:p w14:paraId="048B15ED" w14:textId="77777777" w:rsidR="00150818" w:rsidRPr="003402B7" w:rsidRDefault="00150818" w:rsidP="00150818">
      <w:pPr>
        <w:pStyle w:val="ListNormal"/>
        <w:tabs>
          <w:tab w:val="num" w:pos="879"/>
        </w:tabs>
      </w:pPr>
      <w:r>
        <w:t xml:space="preserve">the eligibility criteria, which RIIO-2 NIA Projects must </w:t>
      </w:r>
      <w:proofErr w:type="gramStart"/>
      <w:r>
        <w:t>meet;</w:t>
      </w:r>
      <w:proofErr w:type="gramEnd"/>
      <w:r>
        <w:t xml:space="preserve"> </w:t>
      </w:r>
    </w:p>
    <w:p w14:paraId="66D4D054" w14:textId="77777777" w:rsidR="00150818" w:rsidRPr="003402B7" w:rsidRDefault="00150818" w:rsidP="00150818">
      <w:pPr>
        <w:pStyle w:val="ListNormal"/>
        <w:tabs>
          <w:tab w:val="num" w:pos="879"/>
        </w:tabs>
      </w:pPr>
      <w:r>
        <w:t xml:space="preserve">the information that is to be published by the licensee before RIIO-2 NIA Projects can </w:t>
      </w:r>
      <w:proofErr w:type="gramStart"/>
      <w:r>
        <w:t>begin;</w:t>
      </w:r>
      <w:proofErr w:type="gramEnd"/>
    </w:p>
    <w:p w14:paraId="3501DD2D" w14:textId="603AAF70" w:rsidR="00691651" w:rsidRPr="00691651" w:rsidRDefault="00691651" w:rsidP="00691651">
      <w:pPr>
        <w:pStyle w:val="ListNormal"/>
        <w:tabs>
          <w:tab w:val="num" w:pos="879"/>
        </w:tabs>
      </w:pPr>
      <w:r w:rsidRPr="00691651">
        <w:t>the circumstances in which the licensee will require approval</w:t>
      </w:r>
      <w:r w:rsidR="00A53156">
        <w:t xml:space="preserve"> </w:t>
      </w:r>
      <w:r w:rsidRPr="00691651">
        <w:t xml:space="preserve">from the Authority before beginning a RIIO-2 NIA Project, and the processes and procedures for that </w:t>
      </w:r>
      <w:proofErr w:type="gramStart"/>
      <w:r w:rsidRPr="00691651">
        <w:t>approval;</w:t>
      </w:r>
      <w:proofErr w:type="gramEnd"/>
    </w:p>
    <w:p w14:paraId="1BE6D82B" w14:textId="77777777" w:rsidR="00150818" w:rsidRPr="003402B7" w:rsidRDefault="00150818" w:rsidP="00150818">
      <w:pPr>
        <w:pStyle w:val="ListNormal"/>
        <w:tabs>
          <w:tab w:val="num" w:pos="879"/>
        </w:tabs>
      </w:pPr>
      <w:r>
        <w:t xml:space="preserve">arrangements for ensuring that learning from RIIO-2 NIA Projects can be captured and disseminated by the licensee to other Gas Transporter </w:t>
      </w:r>
      <w:proofErr w:type="gramStart"/>
      <w:r>
        <w:t>Licensees;</w:t>
      </w:r>
      <w:proofErr w:type="gramEnd"/>
    </w:p>
    <w:p w14:paraId="01FFB920" w14:textId="77777777" w:rsidR="00150818" w:rsidRPr="003402B7" w:rsidRDefault="00150818" w:rsidP="00150818">
      <w:pPr>
        <w:pStyle w:val="ListNormal"/>
        <w:tabs>
          <w:tab w:val="num" w:pos="879"/>
        </w:tabs>
      </w:pPr>
      <w:r>
        <w:t>the reporting obligations in respect of RIIO-2 NIA Projects (which may include reporting in respect of the funding and the completion of such projects, and the provisions of the RIIO-2 NIA Governance Document); and</w:t>
      </w:r>
    </w:p>
    <w:p w14:paraId="4A6DA963" w14:textId="77777777" w:rsidR="00150818" w:rsidRPr="003402B7" w:rsidRDefault="00150818" w:rsidP="00150818">
      <w:pPr>
        <w:pStyle w:val="ListNormal"/>
        <w:tabs>
          <w:tab w:val="num" w:pos="879"/>
        </w:tabs>
      </w:pPr>
      <w:r>
        <w:t>arrangements relating to the treatment of intellectual property rights in respect of RIIO-2 NIA Projects.</w:t>
      </w:r>
    </w:p>
    <w:p w14:paraId="6C080D9C" w14:textId="77777777" w:rsidR="00150818" w:rsidRPr="003402B7" w:rsidRDefault="00150818" w:rsidP="00150818">
      <w:pPr>
        <w:pStyle w:val="NumberedNormal"/>
      </w:pPr>
      <w:r>
        <w:t>Before directing that the RIIO-2 NIA Governance Document comes into effect, the Authority will publish on the Authority’s Website:</w:t>
      </w:r>
    </w:p>
    <w:p w14:paraId="0BFF17EE" w14:textId="77777777" w:rsidR="00150818" w:rsidRPr="003402B7" w:rsidRDefault="00150818" w:rsidP="00150818">
      <w:pPr>
        <w:pStyle w:val="ListNormal"/>
        <w:tabs>
          <w:tab w:val="num" w:pos="879"/>
        </w:tabs>
      </w:pPr>
      <w:r>
        <w:t xml:space="preserve">the text of the proposed RIIO-2 NIA Governance </w:t>
      </w:r>
      <w:proofErr w:type="gramStart"/>
      <w:r>
        <w:t>Document;</w:t>
      </w:r>
      <w:proofErr w:type="gramEnd"/>
    </w:p>
    <w:p w14:paraId="5445BB7C" w14:textId="77777777" w:rsidR="00150818" w:rsidRPr="003402B7" w:rsidRDefault="00150818" w:rsidP="00150818">
      <w:pPr>
        <w:pStyle w:val="ListNormal"/>
        <w:tabs>
          <w:tab w:val="num" w:pos="879"/>
        </w:tabs>
      </w:pPr>
      <w:r>
        <w:t>the date on which the Authority intends the RIIO-2 NIA Governance Document to come into effect; and</w:t>
      </w:r>
    </w:p>
    <w:p w14:paraId="12365C77" w14:textId="5FB8E2A9" w:rsidR="00150818" w:rsidRPr="003402B7" w:rsidRDefault="00150818" w:rsidP="00150818">
      <w:pPr>
        <w:pStyle w:val="ListNormal"/>
        <w:tabs>
          <w:tab w:val="num" w:pos="879"/>
        </w:tabs>
      </w:pPr>
      <w:r>
        <w:t xml:space="preserve">a period during which representations may be made on the content of the RIIO-2 NIA Governance Document, which </w:t>
      </w:r>
      <w:r w:rsidR="00691651">
        <w:t xml:space="preserve">will </w:t>
      </w:r>
      <w:r>
        <w:t>not be less than 28 days.</w:t>
      </w:r>
    </w:p>
    <w:p w14:paraId="4A860198" w14:textId="77777777" w:rsidR="00150818" w:rsidRPr="003402B7" w:rsidRDefault="00150818" w:rsidP="00150818">
      <w:pPr>
        <w:pStyle w:val="NumberedNormal"/>
      </w:pPr>
      <w:r>
        <w:t xml:space="preserve">Before directing an amendment to the RIIO-2 NIA Governance Document, the Authority will publish on the Authority’s Website: </w:t>
      </w:r>
    </w:p>
    <w:p w14:paraId="11F7FF2F" w14:textId="77777777" w:rsidR="00150818" w:rsidRPr="003402B7" w:rsidRDefault="00150818" w:rsidP="00150818">
      <w:pPr>
        <w:pStyle w:val="ListNormal"/>
        <w:tabs>
          <w:tab w:val="num" w:pos="879"/>
        </w:tabs>
      </w:pPr>
      <w:r>
        <w:t xml:space="preserve">the text of the amended RIIO-2 NIA Governance </w:t>
      </w:r>
      <w:proofErr w:type="gramStart"/>
      <w:r>
        <w:t>Document;</w:t>
      </w:r>
      <w:proofErr w:type="gramEnd"/>
    </w:p>
    <w:p w14:paraId="7205752E" w14:textId="77777777" w:rsidR="00150818" w:rsidRPr="003402B7" w:rsidRDefault="00150818" w:rsidP="00150818">
      <w:pPr>
        <w:pStyle w:val="ListNormal"/>
        <w:tabs>
          <w:tab w:val="num" w:pos="879"/>
        </w:tabs>
      </w:pPr>
      <w:r>
        <w:t xml:space="preserve">the date on which the Authority intends the amended RIIO-2 NIA Governance Document to come into </w:t>
      </w:r>
      <w:proofErr w:type="gramStart"/>
      <w:r>
        <w:t>effect;</w:t>
      </w:r>
      <w:proofErr w:type="gramEnd"/>
    </w:p>
    <w:p w14:paraId="566D4E03" w14:textId="77777777" w:rsidR="00150818" w:rsidRPr="003402B7" w:rsidRDefault="00150818" w:rsidP="00150818">
      <w:pPr>
        <w:pStyle w:val="ListNormal"/>
        <w:tabs>
          <w:tab w:val="num" w:pos="879"/>
        </w:tabs>
      </w:pPr>
      <w:r>
        <w:t>the reasons for the amendments to the RIIO-2 NIA Governance Document; and</w:t>
      </w:r>
    </w:p>
    <w:p w14:paraId="3A569CEF" w14:textId="52DC5E76" w:rsidR="00150818" w:rsidRPr="003402B7" w:rsidRDefault="00150818" w:rsidP="00150818">
      <w:pPr>
        <w:pStyle w:val="ListNormal"/>
        <w:tabs>
          <w:tab w:val="num" w:pos="879"/>
        </w:tabs>
      </w:pPr>
      <w:r>
        <w:t xml:space="preserve">a period during which representations may be made on the amendments to the RIIO-2 NIA Governance Document, which </w:t>
      </w:r>
      <w:r w:rsidR="00691651">
        <w:t xml:space="preserve">will </w:t>
      </w:r>
      <w:r>
        <w:t>not be less than 28 days.</w:t>
      </w:r>
    </w:p>
    <w:p w14:paraId="27CF607B" w14:textId="77777777" w:rsidR="00150818" w:rsidRPr="003402B7" w:rsidRDefault="00150818" w:rsidP="00150818">
      <w:pPr>
        <w:pStyle w:val="Heading2"/>
      </w:pPr>
      <w:bookmarkStart w:id="163" w:name="_Toc51680393"/>
      <w:bookmarkStart w:id="164" w:name="_Toc51798309"/>
      <w:bookmarkStart w:id="165" w:name="_Toc52364918"/>
      <w:r w:rsidRPr="003402B7">
        <w:lastRenderedPageBreak/>
        <w:t xml:space="preserve">Carry-over RIIO-1 Network Innovation Allowance </w:t>
      </w:r>
      <w:r>
        <w:t>(</w:t>
      </w:r>
      <w:proofErr w:type="spellStart"/>
      <w:r>
        <w:t>CNIAt</w:t>
      </w:r>
      <w:proofErr w:type="spellEnd"/>
      <w:r>
        <w:t>)</w:t>
      </w:r>
      <w:bookmarkEnd w:id="163"/>
      <w:bookmarkEnd w:id="164"/>
      <w:bookmarkEnd w:id="165"/>
    </w:p>
    <w:p w14:paraId="59B5187D" w14:textId="77777777" w:rsidR="00150818" w:rsidRPr="003402B7" w:rsidRDefault="00150818" w:rsidP="00150818">
      <w:pPr>
        <w:pStyle w:val="Heading3nonumbering"/>
      </w:pPr>
      <w:r w:rsidRPr="003402B7">
        <w:t xml:space="preserve">Introduction </w:t>
      </w:r>
    </w:p>
    <w:p w14:paraId="13794A08" w14:textId="77777777" w:rsidR="00150818" w:rsidRPr="003402B7" w:rsidRDefault="00150818" w:rsidP="00150818">
      <w:pPr>
        <w:pStyle w:val="NumberedNormal"/>
      </w:pPr>
      <w:r>
        <w:t xml:space="preserve">The purpose of this condition is to calculate the term </w:t>
      </w:r>
      <w:proofErr w:type="spellStart"/>
      <w:r>
        <w:t>CNIAt</w:t>
      </w:r>
      <w:proofErr w:type="spellEnd"/>
      <w:r>
        <w:t xml:space="preserve"> (the Carry-over Network Innovation Allowance term). This contributes to the calculation of the term </w:t>
      </w:r>
      <w:proofErr w:type="spellStart"/>
      <w:r>
        <w:t>INNVt</w:t>
      </w:r>
      <w:proofErr w:type="spellEnd"/>
      <w:r>
        <w:t xml:space="preserve"> (the innovation term), which in turn feeds into Calculated Revenue in Special Condition 2.1 (Revenue Restriction). </w:t>
      </w:r>
    </w:p>
    <w:p w14:paraId="2F19C77C" w14:textId="77777777" w:rsidR="00150818" w:rsidRPr="003402B7" w:rsidRDefault="00150818" w:rsidP="00150818">
      <w:pPr>
        <w:pStyle w:val="NumberedNormal"/>
      </w:pPr>
      <w:r>
        <w:t xml:space="preserve">The effect of this condition is to extend RIIO-1 Network Innovation Allowance funding. </w:t>
      </w:r>
    </w:p>
    <w:p w14:paraId="0B06AAD4" w14:textId="77777777" w:rsidR="00150818" w:rsidRPr="003402B7" w:rsidRDefault="00150818" w:rsidP="00150818">
      <w:pPr>
        <w:pStyle w:val="NumberedNormal"/>
      </w:pPr>
      <w:r>
        <w:t xml:space="preserve">This condition also makes appropriate provision for arrangements relating to the regulation, </w:t>
      </w:r>
      <w:proofErr w:type="gramStart"/>
      <w:r>
        <w:t>administration</w:t>
      </w:r>
      <w:proofErr w:type="gramEnd"/>
      <w:r>
        <w:t xml:space="preserve"> and governance of the Carry-over Network Innovation Allowance. </w:t>
      </w:r>
    </w:p>
    <w:p w14:paraId="19D44522" w14:textId="1C06ECD9" w:rsidR="00150818" w:rsidRPr="003402B7" w:rsidRDefault="00B11C95" w:rsidP="00150818">
      <w:pPr>
        <w:pStyle w:val="Heading3"/>
      </w:pPr>
      <w:r>
        <w:t xml:space="preserve">Formula for calculating the </w:t>
      </w:r>
      <w:r w:rsidR="00150818">
        <w:t>Carry-over N</w:t>
      </w:r>
      <w:r>
        <w:t xml:space="preserve">etwork </w:t>
      </w:r>
      <w:r w:rsidR="00150818">
        <w:t>I</w:t>
      </w:r>
      <w:r>
        <w:t xml:space="preserve">nnovation </w:t>
      </w:r>
      <w:r w:rsidR="00150818">
        <w:t>A</w:t>
      </w:r>
      <w:r>
        <w:t>llowance term (</w:t>
      </w:r>
      <w:proofErr w:type="spellStart"/>
      <w:r>
        <w:t>CNIA</w:t>
      </w:r>
      <w:r w:rsidRPr="00B11C95">
        <w:rPr>
          <w:vertAlign w:val="subscript"/>
        </w:rPr>
        <w:t>t</w:t>
      </w:r>
      <w:proofErr w:type="spellEnd"/>
      <w:r>
        <w:t>)</w:t>
      </w:r>
    </w:p>
    <w:p w14:paraId="11B63C48" w14:textId="5E8B2612" w:rsidR="00150818" w:rsidRPr="003402B7" w:rsidRDefault="00150818" w:rsidP="00150818">
      <w:pPr>
        <w:pStyle w:val="NumberedNormal"/>
      </w:pPr>
      <w:r>
        <w:t xml:space="preserve">For the Regulatory Year commencing on 1 April 2021, the value of </w:t>
      </w:r>
      <w:proofErr w:type="spellStart"/>
      <w:r>
        <w:t>CNIA</w:t>
      </w:r>
      <w:r w:rsidR="00B11C95" w:rsidRPr="008F7F11">
        <w:rPr>
          <w:vertAlign w:val="subscript"/>
        </w:rPr>
        <w:t>t</w:t>
      </w:r>
      <w:proofErr w:type="spellEnd"/>
      <w:r>
        <w:t xml:space="preserve"> is derived in accordance with the following formula: </w:t>
      </w:r>
    </w:p>
    <w:p w14:paraId="362A9BCC" w14:textId="77777777" w:rsidR="00090BC3" w:rsidRPr="003402B7" w:rsidRDefault="00B913B6" w:rsidP="00822F02">
      <w:pPr>
        <w:pStyle w:val="Equation"/>
      </w:pPr>
      <m:oMathPara>
        <m:oMath>
          <m:sSub>
            <m:sSubPr>
              <m:ctrlPr>
                <w:rPr>
                  <w:rFonts w:ascii="Cambria Math" w:hAnsi="Cambria Math"/>
                </w:rPr>
              </m:ctrlPr>
            </m:sSubPr>
            <m:e>
              <m:r>
                <w:rPr>
                  <w:rFonts w:ascii="Cambria Math" w:hAnsi="Cambria Math"/>
                </w:rPr>
                <m:t>CNIA</m:t>
              </m:r>
            </m:e>
            <m:sub>
              <m:r>
                <w:rPr>
                  <w:rFonts w:ascii="Cambria Math" w:hAnsi="Cambria Math"/>
                </w:rPr>
                <m:t>t</m:t>
              </m:r>
            </m:sub>
          </m:sSub>
          <m:r>
            <m:rPr>
              <m:sty m:val="p"/>
            </m:rPr>
            <w:rPr>
              <w:rFonts w:ascii="Cambria Math" w:hAnsi="Cambria Math"/>
            </w:rPr>
            <m:t>=</m:t>
          </m:r>
          <m:d>
            <m:dPr>
              <m:ctrlPr>
                <w:rPr>
                  <w:rFonts w:ascii="Cambria Math" w:hAnsi="Cambria Math"/>
                </w:rPr>
              </m:ctrlPr>
            </m:dPr>
            <m:e>
              <m:r>
                <m:rPr>
                  <m:sty m:val="p"/>
                </m:rPr>
                <w:rPr>
                  <w:rFonts w:ascii="Cambria Math" w:hAnsi="Cambria Math"/>
                </w:rPr>
                <m:t>0.9∙</m:t>
              </m:r>
              <m:r>
                <m:rPr>
                  <m:nor/>
                </m:rPr>
                <m:t>min</m:t>
              </m:r>
              <m:d>
                <m:dPr>
                  <m:begChr m:val="["/>
                  <m:endChr m:val="]"/>
                  <m:ctrlPr>
                    <w:rPr>
                      <w:rFonts w:ascii="Cambria Math" w:hAnsi="Cambria Math"/>
                    </w:rPr>
                  </m:ctrlPr>
                </m:dPr>
                <m:e>
                  <m:sSub>
                    <m:sSubPr>
                      <m:ctrlPr>
                        <w:rPr>
                          <w:rFonts w:ascii="Cambria Math" w:hAnsi="Cambria Math"/>
                        </w:rPr>
                      </m:ctrlPr>
                    </m:sSubPr>
                    <m:e>
                      <m:r>
                        <w:rPr>
                          <w:rFonts w:ascii="Cambria Math" w:hAnsi="Cambria Math"/>
                        </w:rPr>
                        <m:t>ECNIA</m:t>
                      </m:r>
                    </m:e>
                    <m:sub>
                      <m:r>
                        <w:rPr>
                          <w:rFonts w:ascii="Cambria Math" w:hAnsi="Cambria Math"/>
                        </w:rPr>
                        <m:t>t</m:t>
                      </m:r>
                    </m:sub>
                  </m:sSub>
                  <m:r>
                    <m:rPr>
                      <m:sty m:val="p"/>
                    </m:rPr>
                    <w:rPr>
                      <w:rFonts w:ascii="Cambria Math" w:hAnsi="Cambria Math"/>
                    </w:rPr>
                    <m:t>,</m:t>
                  </m:r>
                  <m:r>
                    <w:rPr>
                      <w:rFonts w:ascii="Cambria Math" w:hAnsi="Cambria Math"/>
                    </w:rPr>
                    <m:t>CNIAV</m:t>
                  </m:r>
                </m:e>
              </m:d>
              <m:r>
                <m:rPr>
                  <m:sty m:val="p"/>
                </m:rP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f>
            <m:fPr>
              <m:ctrlPr>
                <w:rPr>
                  <w:rFonts w:ascii="Cambria Math" w:hAnsi="Cambria Math"/>
                </w:rPr>
              </m:ctrlPr>
            </m:fPr>
            <m:num>
              <m:sSub>
                <m:sSubPr>
                  <m:ctrlPr>
                    <w:rPr>
                      <w:rFonts w:ascii="Cambria Math" w:hAnsi="Cambria Math"/>
                    </w:rPr>
                  </m:ctrlPr>
                </m:sSubPr>
                <m:e>
                  <m:r>
                    <w:rPr>
                      <w:rFonts w:ascii="Cambria Math" w:hAnsi="Cambria Math"/>
                    </w:rPr>
                    <m:t>PI</m:t>
                  </m:r>
                </m:e>
                <m:sub>
                  <m:r>
                    <m:rPr>
                      <m:sty m:val="p"/>
                    </m:rPr>
                    <w:rPr>
                      <w:rFonts w:ascii="Cambria Math" w:hAnsi="Cambria Math"/>
                    </w:rPr>
                    <m:t>2018/19</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261B17D6" w14:textId="0699DCBC" w:rsidR="00150818" w:rsidRPr="003402B7" w:rsidRDefault="00EC734A" w:rsidP="00150818">
      <w:r>
        <w:tab/>
      </w:r>
      <w:r w:rsidR="00150818" w:rsidRPr="003402B7">
        <w:t xml:space="preserve">where </w:t>
      </w:r>
    </w:p>
    <w:tbl>
      <w:tblPr>
        <w:tblStyle w:val="TableGridLight"/>
        <w:tblW w:w="0" w:type="auto"/>
        <w:tblLayout w:type="fixed"/>
        <w:tblLook w:val="0000" w:firstRow="0" w:lastRow="0" w:firstColumn="0" w:lastColumn="0" w:noHBand="0" w:noVBand="0"/>
      </w:tblPr>
      <w:tblGrid>
        <w:gridCol w:w="1231"/>
        <w:gridCol w:w="6779"/>
        <w:gridCol w:w="68"/>
      </w:tblGrid>
      <w:tr w:rsidR="00150818" w:rsidRPr="00E72EE5" w14:paraId="219997DE" w14:textId="77777777" w:rsidTr="00EC734A">
        <w:trPr>
          <w:trHeight w:val="799"/>
        </w:trPr>
        <w:tc>
          <w:tcPr>
            <w:tcW w:w="1231" w:type="dxa"/>
          </w:tcPr>
          <w:p w14:paraId="786E2A41" w14:textId="77777777" w:rsidR="00150818" w:rsidRPr="00EC734A" w:rsidRDefault="00150818" w:rsidP="00150818">
            <w:pPr>
              <w:rPr>
                <w:i/>
              </w:rPr>
            </w:pPr>
            <w:proofErr w:type="spellStart"/>
            <w:r w:rsidRPr="00EC734A">
              <w:rPr>
                <w:i/>
              </w:rPr>
              <w:t>ECNIA</w:t>
            </w:r>
            <w:r w:rsidRPr="00EC734A">
              <w:rPr>
                <w:i/>
                <w:vertAlign w:val="subscript"/>
              </w:rPr>
              <w:t>t</w:t>
            </w:r>
            <w:proofErr w:type="spellEnd"/>
            <w:r w:rsidRPr="00EC734A">
              <w:rPr>
                <w:i/>
              </w:rPr>
              <w:t xml:space="preserve"> </w:t>
            </w:r>
          </w:p>
        </w:tc>
        <w:tc>
          <w:tcPr>
            <w:tcW w:w="6779" w:type="dxa"/>
            <w:gridSpan w:val="2"/>
          </w:tcPr>
          <w:p w14:paraId="355804B0" w14:textId="187D6671" w:rsidR="00150818" w:rsidRPr="00150818" w:rsidRDefault="00150818" w:rsidP="00150818">
            <w:r w:rsidRPr="003402B7">
              <w:t xml:space="preserve">means the expenditure incurred by the licensee in respect of Eligible CNIA Projects as calculated by the licensee in accordance with the RIIO-1 NIA Governance Document and reported to the Authority in accordance with Standard Condition </w:t>
            </w:r>
            <w:r w:rsidR="00691651">
              <w:t>B15</w:t>
            </w:r>
            <w:r w:rsidRPr="003402B7">
              <w:t xml:space="preserve"> (Regulatory Instructions and Guidance</w:t>
            </w:r>
            <w:proofErr w:type="gramStart"/>
            <w:r w:rsidRPr="003402B7">
              <w:t>)</w:t>
            </w:r>
            <w:r w:rsidRPr="00150818">
              <w:t>;</w:t>
            </w:r>
            <w:proofErr w:type="gramEnd"/>
          </w:p>
          <w:p w14:paraId="0CB89E32" w14:textId="77777777" w:rsidR="00150818" w:rsidRPr="003402B7" w:rsidRDefault="00150818" w:rsidP="00150818"/>
        </w:tc>
      </w:tr>
      <w:tr w:rsidR="00150818" w:rsidRPr="00E72EE5" w14:paraId="32B6426A" w14:textId="77777777" w:rsidTr="00EC734A">
        <w:trPr>
          <w:trHeight w:val="385"/>
        </w:trPr>
        <w:tc>
          <w:tcPr>
            <w:tcW w:w="1231" w:type="dxa"/>
          </w:tcPr>
          <w:p w14:paraId="1C63DFDD" w14:textId="77777777" w:rsidR="00150818" w:rsidRPr="00EC734A" w:rsidRDefault="00150818" w:rsidP="00150818">
            <w:pPr>
              <w:rPr>
                <w:i/>
              </w:rPr>
            </w:pPr>
            <w:r w:rsidRPr="00EC734A">
              <w:rPr>
                <w:i/>
              </w:rPr>
              <w:t xml:space="preserve">CNIAV </w:t>
            </w:r>
          </w:p>
        </w:tc>
        <w:tc>
          <w:tcPr>
            <w:tcW w:w="6779" w:type="dxa"/>
            <w:gridSpan w:val="2"/>
          </w:tcPr>
          <w:p w14:paraId="3E8FEE50" w14:textId="63666EAF" w:rsidR="00150818" w:rsidRPr="00150818" w:rsidRDefault="00150818" w:rsidP="00150818">
            <w:r w:rsidRPr="003402B7">
              <w:t>is derived in accordance with Part B</w:t>
            </w:r>
            <w:r w:rsidRPr="00150818">
              <w:t>; and</w:t>
            </w:r>
          </w:p>
        </w:tc>
      </w:tr>
      <w:tr w:rsidR="00150818" w:rsidRPr="00E72EE5" w14:paraId="287A57BA" w14:textId="77777777" w:rsidTr="00EC734A">
        <w:trPr>
          <w:trHeight w:val="385"/>
        </w:trPr>
        <w:tc>
          <w:tcPr>
            <w:tcW w:w="1231" w:type="dxa"/>
          </w:tcPr>
          <w:p w14:paraId="151E9DB3" w14:textId="77777777" w:rsidR="00150818" w:rsidRPr="00EC734A" w:rsidRDefault="00150818" w:rsidP="00150818">
            <w:pPr>
              <w:rPr>
                <w:i/>
              </w:rPr>
            </w:pPr>
            <w:r w:rsidRPr="00EC734A">
              <w:rPr>
                <w:i/>
              </w:rPr>
              <w:t>CNIAR</w:t>
            </w:r>
          </w:p>
        </w:tc>
        <w:tc>
          <w:tcPr>
            <w:tcW w:w="6779" w:type="dxa"/>
            <w:gridSpan w:val="2"/>
          </w:tcPr>
          <w:p w14:paraId="5294908D" w14:textId="77777777" w:rsidR="00150818" w:rsidRPr="00150818" w:rsidRDefault="00150818" w:rsidP="00150818">
            <w:r w:rsidRPr="003402B7">
              <w:t>means</w:t>
            </w:r>
            <w:r w:rsidRPr="00150818">
              <w:t xml:space="preserve"> an amount recovered by the licensee in relation to the Regulatory Year 2021/22 under the RIIO-1 NIA which the Authority has directed is unrecoverable in accordance with the RIIO-1 NIA Governance Document.</w:t>
            </w:r>
          </w:p>
        </w:tc>
      </w:tr>
      <w:tr w:rsidR="00EC734A" w:rsidRPr="00E72EE5" w14:paraId="4507F56A" w14:textId="77777777" w:rsidTr="00EC734A">
        <w:trPr>
          <w:gridAfter w:val="1"/>
          <w:wAfter w:w="68" w:type="dxa"/>
          <w:trHeight w:val="385"/>
        </w:trPr>
        <w:tc>
          <w:tcPr>
            <w:tcW w:w="1231" w:type="dxa"/>
          </w:tcPr>
          <w:p w14:paraId="05122AA6" w14:textId="151EB033" w:rsidR="00EC734A" w:rsidRPr="00EC734A" w:rsidRDefault="00EC734A" w:rsidP="00150818">
            <w:pPr>
              <w:rPr>
                <w:i/>
                <w:iCs/>
              </w:rPr>
            </w:pPr>
            <w:proofErr w:type="spellStart"/>
            <w:r w:rsidRPr="00EC734A">
              <w:rPr>
                <w:i/>
                <w:iCs/>
              </w:rPr>
              <w:t>PI</w:t>
            </w:r>
            <w:r w:rsidRPr="00EC734A">
              <w:rPr>
                <w:i/>
                <w:iCs/>
                <w:vertAlign w:val="subscript"/>
              </w:rPr>
              <w:t>t</w:t>
            </w:r>
            <w:proofErr w:type="spellEnd"/>
          </w:p>
        </w:tc>
        <w:tc>
          <w:tcPr>
            <w:tcW w:w="6779" w:type="dxa"/>
          </w:tcPr>
          <w:p w14:paraId="24FACFF0" w14:textId="3749D46F" w:rsidR="00EC734A" w:rsidRPr="003402B7" w:rsidRDefault="00C858FA" w:rsidP="00150818">
            <w:r w:rsidRPr="007E49B6">
              <w:t>is the</w:t>
            </w:r>
            <w:r>
              <w:t xml:space="preserve"> </w:t>
            </w:r>
            <w:r w:rsidRPr="007E49B6">
              <w:t xml:space="preserve">price index </w:t>
            </w:r>
            <w:r>
              <w:t xml:space="preserve">calculated </w:t>
            </w:r>
            <w:r w:rsidRPr="00D74E41">
              <w:t xml:space="preserve">in accordance with </w:t>
            </w:r>
            <w:r>
              <w:t xml:space="preserve">Part D of Special Condition </w:t>
            </w:r>
            <w:proofErr w:type="gramStart"/>
            <w:r>
              <w:t>2.1.</w:t>
            </w:r>
            <w:proofErr w:type="gramEnd"/>
          </w:p>
        </w:tc>
      </w:tr>
    </w:tbl>
    <w:p w14:paraId="04B033F6" w14:textId="2F99203D" w:rsidR="00150818" w:rsidRPr="003402B7" w:rsidRDefault="00150818" w:rsidP="00150818">
      <w:pPr>
        <w:pStyle w:val="NumberedNormal"/>
      </w:pPr>
      <w:r>
        <w:t xml:space="preserve">For Regulatory Years commencing on or after 1 April 2022, the value of </w:t>
      </w:r>
      <w:proofErr w:type="spellStart"/>
      <w:r>
        <w:t>CNIA</w:t>
      </w:r>
      <w:r w:rsidR="00014E61" w:rsidRPr="008F7F11">
        <w:rPr>
          <w:vertAlign w:val="subscript"/>
        </w:rPr>
        <w:t>t</w:t>
      </w:r>
      <w:proofErr w:type="spellEnd"/>
      <w:r>
        <w:t xml:space="preserve"> is equal to zero.  </w:t>
      </w:r>
    </w:p>
    <w:p w14:paraId="76C62554" w14:textId="6BB95DD8" w:rsidR="00150818" w:rsidRPr="003402B7" w:rsidRDefault="00150818" w:rsidP="00150818">
      <w:pPr>
        <w:pStyle w:val="NumberedNormal"/>
      </w:pPr>
      <w:r>
        <w:t xml:space="preserve">Eligible CNIA Internal Expenditure </w:t>
      </w:r>
      <w:r w:rsidR="00AF1B86">
        <w:t>may not</w:t>
      </w:r>
      <w:r>
        <w:t xml:space="preserve"> exceed 25% of the total Eligible </w:t>
      </w:r>
      <w:proofErr w:type="gramStart"/>
      <w:r>
        <w:t>CNIA, unless</w:t>
      </w:r>
      <w:proofErr w:type="gramEnd"/>
      <w:r>
        <w:t xml:space="preserve"> the Authority consents.</w:t>
      </w:r>
    </w:p>
    <w:p w14:paraId="2A92F3DD" w14:textId="19CC8399" w:rsidR="00150818" w:rsidRPr="003402B7" w:rsidRDefault="00B11C95" w:rsidP="00150818">
      <w:pPr>
        <w:pStyle w:val="Heading3"/>
      </w:pPr>
      <w:r>
        <w:lastRenderedPageBreak/>
        <w:t xml:space="preserve">Formula for calculating </w:t>
      </w:r>
      <w:r w:rsidR="00150818">
        <w:t>the Carry-over Network Innovation Allowance</w:t>
      </w:r>
      <w:r w:rsidR="000F1E48">
        <w:t xml:space="preserve"> </w:t>
      </w:r>
      <w:r w:rsidR="00CD7423">
        <w:t xml:space="preserve">Value </w:t>
      </w:r>
      <w:r w:rsidR="000F1E48">
        <w:t>term</w:t>
      </w:r>
      <w:r>
        <w:t xml:space="preserve"> (CNIAV)</w:t>
      </w:r>
    </w:p>
    <w:p w14:paraId="62A231EF" w14:textId="77777777" w:rsidR="00150818" w:rsidRPr="003402B7" w:rsidRDefault="00150818" w:rsidP="00150818">
      <w:pPr>
        <w:pStyle w:val="NumberedNormal"/>
      </w:pPr>
      <w:r>
        <w:t>The value of CNIAV is derived in accordance with the following formula:</w:t>
      </w:r>
    </w:p>
    <w:p w14:paraId="03629710" w14:textId="77777777" w:rsidR="00150818" w:rsidRPr="003402B7" w:rsidRDefault="00150818" w:rsidP="00150818">
      <m:oMathPara>
        <m:oMath>
          <m:r>
            <w:rPr>
              <w:rFonts w:ascii="Cambria Math" w:hAnsi="Cambria Math"/>
            </w:rPr>
            <m:t>CNIAV=</m:t>
          </m:r>
          <m:sSub>
            <m:sSubPr>
              <m:ctrlPr>
                <w:rPr>
                  <w:rFonts w:ascii="Cambria Math" w:hAnsi="Cambria Math"/>
                </w:rPr>
              </m:ctrlPr>
            </m:sSubPr>
            <m:e>
              <m:r>
                <w:rPr>
                  <w:rFonts w:ascii="Cambria Math" w:hAnsi="Cambria Math"/>
                </w:rPr>
                <m:t>NIAV</m:t>
              </m:r>
            </m:e>
            <m:sub>
              <m:r>
                <w:rPr>
                  <w:rFonts w:ascii="Cambria Math" w:hAnsi="Cambria Math"/>
                </w:rPr>
                <m:t>2020/21</m:t>
              </m:r>
            </m:sub>
          </m:sSub>
          <m:r>
            <w:rPr>
              <w:rFonts w:ascii="Cambria Math" w:hAnsi="Cambria Math"/>
            </w:rPr>
            <m:t>∙</m:t>
          </m:r>
          <m:sSub>
            <m:sSubPr>
              <m:ctrlPr>
                <w:rPr>
                  <w:rFonts w:ascii="Cambria Math" w:hAnsi="Cambria Math"/>
                </w:rPr>
              </m:ctrlPr>
            </m:sSubPr>
            <m:e>
              <m:r>
                <w:rPr>
                  <w:rFonts w:ascii="Cambria Math" w:hAnsi="Cambria Math"/>
                </w:rPr>
                <m:t>BR</m:t>
              </m:r>
            </m:e>
            <m:sub>
              <m:r>
                <w:rPr>
                  <w:rFonts w:ascii="Cambria Math" w:hAnsi="Cambria Math"/>
                </w:rPr>
                <m:t>2020/21</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ENIA</m:t>
                  </m:r>
                </m:e>
                <m:sub>
                  <m:r>
                    <w:rPr>
                      <w:rFonts w:ascii="Cambria Math" w:hAnsi="Cambria Math"/>
                    </w:rPr>
                    <m:t>2020/21</m:t>
                  </m:r>
                </m:sub>
              </m:sSub>
              <m:r>
                <w:rPr>
                  <w:rFonts w:ascii="Cambria Math" w:hAnsi="Cambria Math"/>
                </w:rPr>
                <m:t>+</m:t>
              </m:r>
              <m:sSub>
                <m:sSubPr>
                  <m:ctrlPr>
                    <w:rPr>
                      <w:rFonts w:ascii="Cambria Math" w:hAnsi="Cambria Math"/>
                    </w:rPr>
                  </m:ctrlPr>
                </m:sSubPr>
                <m:e>
                  <m:r>
                    <w:rPr>
                      <w:rFonts w:ascii="Cambria Math" w:hAnsi="Cambria Math"/>
                    </w:rPr>
                    <m:t>BPC</m:t>
                  </m:r>
                </m:e>
                <m:sub>
                  <m:r>
                    <w:rPr>
                      <w:rFonts w:ascii="Cambria Math" w:hAnsi="Cambria Math"/>
                    </w:rPr>
                    <m:t>2020/21</m:t>
                  </m:r>
                </m:sub>
              </m:sSub>
            </m:e>
          </m:d>
        </m:oMath>
      </m:oMathPara>
    </w:p>
    <w:p w14:paraId="7849F03D" w14:textId="4CDB4162" w:rsidR="00150818" w:rsidRPr="003402B7" w:rsidRDefault="000A1543" w:rsidP="00150818">
      <w:r>
        <w:tab/>
      </w:r>
      <w:r w:rsidR="00150818" w:rsidRPr="003402B7">
        <w:t>where:</w:t>
      </w:r>
    </w:p>
    <w:tbl>
      <w:tblPr>
        <w:tblStyle w:val="TableGridLight"/>
        <w:tblW w:w="0" w:type="auto"/>
        <w:tblLook w:val="04A0" w:firstRow="1" w:lastRow="0" w:firstColumn="1" w:lastColumn="0" w:noHBand="0" w:noVBand="1"/>
      </w:tblPr>
      <w:tblGrid>
        <w:gridCol w:w="1969"/>
        <w:gridCol w:w="6327"/>
      </w:tblGrid>
      <w:tr w:rsidR="00150818" w:rsidRPr="00E72EE5" w14:paraId="155DE619" w14:textId="77777777" w:rsidTr="000A1543">
        <w:tc>
          <w:tcPr>
            <w:tcW w:w="1969" w:type="dxa"/>
          </w:tcPr>
          <w:p w14:paraId="4792538A" w14:textId="77777777" w:rsidR="00150818" w:rsidRPr="00150818" w:rsidRDefault="00150818" w:rsidP="00150818">
            <w:r w:rsidRPr="003402B7">
              <w:t>NIAV</w:t>
            </w:r>
            <w:r w:rsidRPr="00150818">
              <w:t>2020/21</w:t>
            </w:r>
          </w:p>
        </w:tc>
        <w:tc>
          <w:tcPr>
            <w:tcW w:w="6327" w:type="dxa"/>
          </w:tcPr>
          <w:p w14:paraId="539BA6E1" w14:textId="77777777" w:rsidR="00150818" w:rsidRPr="00150818" w:rsidRDefault="00150818" w:rsidP="00150818">
            <w:r w:rsidRPr="003402B7">
              <w:t xml:space="preserve">is calculated in accordance with Part B of Special Condition 1H (The Network Innovation Allowance) of this licence as in force on 31 March </w:t>
            </w:r>
            <w:proofErr w:type="gramStart"/>
            <w:r w:rsidRPr="003402B7">
              <w:t>2021</w:t>
            </w:r>
            <w:r w:rsidRPr="00150818">
              <w:t>;</w:t>
            </w:r>
            <w:proofErr w:type="gramEnd"/>
          </w:p>
        </w:tc>
      </w:tr>
      <w:tr w:rsidR="00150818" w:rsidRPr="00E72EE5" w14:paraId="6D997B21" w14:textId="77777777" w:rsidTr="000A1543">
        <w:tc>
          <w:tcPr>
            <w:tcW w:w="1969" w:type="dxa"/>
          </w:tcPr>
          <w:p w14:paraId="4E511730" w14:textId="77777777" w:rsidR="00150818" w:rsidRPr="00150818" w:rsidRDefault="00150818" w:rsidP="00150818">
            <w:r w:rsidRPr="003402B7">
              <w:t>BR</w:t>
            </w:r>
            <w:r w:rsidRPr="00150818">
              <w:t>2020/21</w:t>
            </w:r>
          </w:p>
        </w:tc>
        <w:tc>
          <w:tcPr>
            <w:tcW w:w="6327" w:type="dxa"/>
          </w:tcPr>
          <w:p w14:paraId="17F35891" w14:textId="77777777" w:rsidR="00150818" w:rsidRPr="00150818" w:rsidRDefault="00150818" w:rsidP="00150818">
            <w:r w:rsidRPr="003402B7">
              <w:t xml:space="preserve">is calculated in accordance with Part B of Special Condition 1H (The Network Innovation Allowance) of this licence as in force on 31 March </w:t>
            </w:r>
            <w:proofErr w:type="gramStart"/>
            <w:r w:rsidRPr="003402B7">
              <w:t>2021</w:t>
            </w:r>
            <w:r w:rsidRPr="00150818">
              <w:t>;</w:t>
            </w:r>
            <w:proofErr w:type="gramEnd"/>
          </w:p>
        </w:tc>
      </w:tr>
      <w:tr w:rsidR="00150818" w:rsidRPr="00E72EE5" w14:paraId="739D2AE0" w14:textId="77777777" w:rsidTr="000A1543">
        <w:tc>
          <w:tcPr>
            <w:tcW w:w="1969" w:type="dxa"/>
          </w:tcPr>
          <w:p w14:paraId="341593A1" w14:textId="77777777" w:rsidR="00150818" w:rsidRPr="00150818" w:rsidRDefault="00150818" w:rsidP="00150818">
            <w:r w:rsidRPr="003402B7">
              <w:t>ENIA</w:t>
            </w:r>
            <w:r w:rsidRPr="00150818">
              <w:t>2020/21</w:t>
            </w:r>
          </w:p>
        </w:tc>
        <w:tc>
          <w:tcPr>
            <w:tcW w:w="6327" w:type="dxa"/>
          </w:tcPr>
          <w:p w14:paraId="3ACD5E08" w14:textId="77777777" w:rsidR="00150818" w:rsidRPr="00150818" w:rsidRDefault="00150818" w:rsidP="00150818">
            <w:r w:rsidRPr="003402B7">
              <w:t xml:space="preserve">is calculated in accordance with Part B of Special Condition 1H (The </w:t>
            </w:r>
            <w:r w:rsidRPr="00150818">
              <w:t xml:space="preserve">Network Innovation Allowance) of this licence as in force on 31 March </w:t>
            </w:r>
            <w:proofErr w:type="gramStart"/>
            <w:r w:rsidRPr="00150818">
              <w:t>2021;</w:t>
            </w:r>
            <w:proofErr w:type="gramEnd"/>
            <w:r w:rsidRPr="00150818">
              <w:t xml:space="preserve"> and</w:t>
            </w:r>
          </w:p>
        </w:tc>
      </w:tr>
      <w:tr w:rsidR="00150818" w:rsidRPr="00E72EE5" w14:paraId="55076BFC" w14:textId="77777777" w:rsidTr="000A1543">
        <w:tc>
          <w:tcPr>
            <w:tcW w:w="1969" w:type="dxa"/>
          </w:tcPr>
          <w:p w14:paraId="6F82C8A3" w14:textId="77777777" w:rsidR="00150818" w:rsidRPr="00150818" w:rsidRDefault="00150818" w:rsidP="00150818">
            <w:r w:rsidRPr="003402B7">
              <w:t>BPC</w:t>
            </w:r>
            <w:r w:rsidRPr="00150818">
              <w:t>2020/21</w:t>
            </w:r>
          </w:p>
        </w:tc>
        <w:tc>
          <w:tcPr>
            <w:tcW w:w="6327" w:type="dxa"/>
          </w:tcPr>
          <w:p w14:paraId="0757F966" w14:textId="77777777" w:rsidR="00150818" w:rsidRPr="00150818" w:rsidRDefault="00150818" w:rsidP="00150818">
            <w:r w:rsidRPr="003402B7">
              <w:t>is calculated in accordance with Part B of Special Condition 1H (The Network Innovation Allowance) of this licence as in force on 31 March 2021.</w:t>
            </w:r>
          </w:p>
        </w:tc>
      </w:tr>
    </w:tbl>
    <w:p w14:paraId="139B7CC0" w14:textId="77777777" w:rsidR="00150818" w:rsidRPr="003402B7" w:rsidRDefault="00150818" w:rsidP="00150818">
      <w:pPr>
        <w:pStyle w:val="Heading3"/>
      </w:pPr>
      <w:r>
        <w:t>The RIIO-1 NIA Governance Document</w:t>
      </w:r>
    </w:p>
    <w:p w14:paraId="4F0D8440" w14:textId="77777777" w:rsidR="00150818" w:rsidRPr="007C04E1" w:rsidRDefault="00150818" w:rsidP="00150818">
      <w:pPr>
        <w:pStyle w:val="NumberedNormal"/>
      </w:pPr>
      <w:r>
        <w:t xml:space="preserve">The licensee must comply with the RIIO-1 NIA Governance Document. </w:t>
      </w:r>
    </w:p>
    <w:p w14:paraId="5497756C" w14:textId="77777777" w:rsidR="00150818" w:rsidRPr="003402B7" w:rsidRDefault="00150818" w:rsidP="00150818">
      <w:pPr>
        <w:pStyle w:val="NumberedNormal"/>
      </w:pPr>
      <w:r>
        <w:t xml:space="preserve">The Authority will amend the RIIO-1 NIA Governance Document by direction. </w:t>
      </w:r>
    </w:p>
    <w:p w14:paraId="518098D5" w14:textId="77777777" w:rsidR="00150818" w:rsidRPr="003402B7" w:rsidRDefault="00150818" w:rsidP="00150818">
      <w:pPr>
        <w:pStyle w:val="NumberedNormal"/>
      </w:pPr>
      <w:r>
        <w:t xml:space="preserve">The RIIO-1 NIA Governance Document makes and will continue to make provision in respect of: </w:t>
      </w:r>
    </w:p>
    <w:p w14:paraId="4D741319" w14:textId="376EB965" w:rsidR="00150818" w:rsidRPr="003402B7" w:rsidRDefault="00150818" w:rsidP="00150818">
      <w:pPr>
        <w:pStyle w:val="ListNormal"/>
        <w:tabs>
          <w:tab w:val="num" w:pos="879"/>
        </w:tabs>
      </w:pPr>
      <w:r>
        <w:t xml:space="preserve">arrangements for ensuring that relevant learning from Eligible CNIA Projects can be captured and disseminated by the licensee </w:t>
      </w:r>
      <w:r w:rsidR="0072096C" w:rsidRPr="0072096C">
        <w:t xml:space="preserve">to other Transmission Licensees and holders of a Distribution </w:t>
      </w:r>
      <w:proofErr w:type="gramStart"/>
      <w:r w:rsidR="0072096C" w:rsidRPr="0072096C">
        <w:t>Licen</w:t>
      </w:r>
      <w:r w:rsidR="0072096C">
        <w:t>c</w:t>
      </w:r>
      <w:r w:rsidR="0072096C" w:rsidRPr="0072096C">
        <w:t>e</w:t>
      </w:r>
      <w:r>
        <w:t>;</w:t>
      </w:r>
      <w:proofErr w:type="gramEnd"/>
    </w:p>
    <w:p w14:paraId="790D7940" w14:textId="77777777" w:rsidR="00150818" w:rsidRPr="003402B7" w:rsidRDefault="00150818" w:rsidP="00150818">
      <w:pPr>
        <w:pStyle w:val="ListNormal"/>
        <w:tabs>
          <w:tab w:val="num" w:pos="879"/>
        </w:tabs>
      </w:pPr>
      <w:r>
        <w:t xml:space="preserve">the nature of the reporting obligations in respect of such projects (which may include reporting in respect of the funding and the completion of such projects, as well as reporting on compliance with this condition and the provisions of the RIIO-1 NIA Governance Document); </w:t>
      </w:r>
    </w:p>
    <w:p w14:paraId="14F17DEB" w14:textId="77777777" w:rsidR="00150818" w:rsidRPr="003402B7" w:rsidRDefault="00150818" w:rsidP="00150818">
      <w:pPr>
        <w:pStyle w:val="ListNormal"/>
        <w:tabs>
          <w:tab w:val="num" w:pos="879"/>
        </w:tabs>
      </w:pPr>
      <w:r>
        <w:t xml:space="preserve">arrangements relating to the treatment of intellectual property rights in respect of Eligible CNIA Projects; and </w:t>
      </w:r>
    </w:p>
    <w:p w14:paraId="0F7868FB" w14:textId="77777777" w:rsidR="00150818" w:rsidRPr="003402B7" w:rsidRDefault="00150818" w:rsidP="00150818">
      <w:pPr>
        <w:pStyle w:val="ListNormal"/>
        <w:tabs>
          <w:tab w:val="num" w:pos="879"/>
        </w:tabs>
      </w:pPr>
      <w:r>
        <w:t xml:space="preserve">any other matters relating to the regulation, </w:t>
      </w:r>
      <w:proofErr w:type="gramStart"/>
      <w:r>
        <w:t>governance</w:t>
      </w:r>
      <w:proofErr w:type="gramEnd"/>
      <w:r>
        <w:t xml:space="preserve"> or administration of the Carry-over Network Innovation Allowance. </w:t>
      </w:r>
    </w:p>
    <w:p w14:paraId="16AD3C6C" w14:textId="77777777" w:rsidR="00150818" w:rsidRPr="003402B7" w:rsidRDefault="00150818" w:rsidP="00150818">
      <w:pPr>
        <w:pStyle w:val="Heading3"/>
      </w:pPr>
      <w:r>
        <w:t xml:space="preserve">Procedure for amending the RIIO-1 NIA Governance Document </w:t>
      </w:r>
    </w:p>
    <w:p w14:paraId="0EF3C006" w14:textId="77777777" w:rsidR="00150818" w:rsidRPr="003402B7" w:rsidRDefault="00150818" w:rsidP="00150818">
      <w:pPr>
        <w:pStyle w:val="NumberedNormal"/>
      </w:pPr>
      <w:r>
        <w:t xml:space="preserve">Before amending the RIIO-1 NIA Governance Document by direction, the Authority will publish on the Authority’s Website: </w:t>
      </w:r>
    </w:p>
    <w:p w14:paraId="381A4FEA" w14:textId="77777777" w:rsidR="00150818" w:rsidRPr="003402B7" w:rsidRDefault="00150818" w:rsidP="00150818">
      <w:pPr>
        <w:pStyle w:val="ListNormal"/>
        <w:tabs>
          <w:tab w:val="num" w:pos="879"/>
        </w:tabs>
      </w:pPr>
      <w:r>
        <w:t xml:space="preserve">the text of the amended RIIO-1 NIA Governance </w:t>
      </w:r>
      <w:proofErr w:type="gramStart"/>
      <w:r>
        <w:t>Document;</w:t>
      </w:r>
      <w:proofErr w:type="gramEnd"/>
      <w:r>
        <w:t xml:space="preserve"> </w:t>
      </w:r>
    </w:p>
    <w:p w14:paraId="6478A483" w14:textId="77777777" w:rsidR="00150818" w:rsidRPr="007C04E1" w:rsidRDefault="00150818" w:rsidP="00150818">
      <w:pPr>
        <w:pStyle w:val="ListNormal"/>
        <w:tabs>
          <w:tab w:val="num" w:pos="879"/>
        </w:tabs>
      </w:pPr>
      <w:r w:rsidRPr="007C04E1">
        <w:lastRenderedPageBreak/>
        <w:t xml:space="preserve">the date </w:t>
      </w:r>
      <w:r>
        <w:t xml:space="preserve">on which </w:t>
      </w:r>
      <w:r w:rsidRPr="007C04E1">
        <w:t>the Authority intends the amended RIIO-</w:t>
      </w:r>
      <w:r>
        <w:t>1</w:t>
      </w:r>
      <w:r w:rsidRPr="007C04E1">
        <w:t xml:space="preserve"> NIA Governance Document to come into </w:t>
      </w:r>
      <w:proofErr w:type="gramStart"/>
      <w:r w:rsidRPr="007C04E1">
        <w:t>effect;</w:t>
      </w:r>
      <w:proofErr w:type="gramEnd"/>
    </w:p>
    <w:p w14:paraId="034C33FF" w14:textId="77777777" w:rsidR="00150818" w:rsidRPr="003402B7" w:rsidRDefault="00150818" w:rsidP="00150818">
      <w:pPr>
        <w:pStyle w:val="ListNormal"/>
        <w:tabs>
          <w:tab w:val="num" w:pos="879"/>
        </w:tabs>
      </w:pPr>
      <w:r>
        <w:t xml:space="preserve">the reasons for the amendments to the RIIO-1 NIA Governance Document; and </w:t>
      </w:r>
    </w:p>
    <w:p w14:paraId="1D738186" w14:textId="6377EB45" w:rsidR="00150818" w:rsidRPr="003402B7" w:rsidRDefault="00150818" w:rsidP="00150818">
      <w:pPr>
        <w:pStyle w:val="ListNormal"/>
        <w:tabs>
          <w:tab w:val="num" w:pos="879"/>
        </w:tabs>
      </w:pPr>
      <w:r>
        <w:t xml:space="preserve">a period during which representations may be made on the amendments to the RIIO-1 NIA Governance Document, which </w:t>
      </w:r>
      <w:r w:rsidR="00935D68">
        <w:t>will</w:t>
      </w:r>
      <w:r>
        <w:t xml:space="preserve"> not be less than 28 days. </w:t>
      </w:r>
    </w:p>
    <w:p w14:paraId="733CBAE2" w14:textId="77777777" w:rsidR="00150818" w:rsidRDefault="00150818" w:rsidP="00150818"/>
    <w:p w14:paraId="00CD836C" w14:textId="143D3DC1" w:rsidR="00CA01A5" w:rsidRDefault="00CA01A5" w:rsidP="00CA01A5">
      <w:pPr>
        <w:pStyle w:val="Heading1"/>
      </w:pPr>
      <w:bookmarkStart w:id="166" w:name="_Toc51798310"/>
      <w:bookmarkStart w:id="167" w:name="_Toc52364919"/>
      <w:r>
        <w:lastRenderedPageBreak/>
        <w:t>Pass-through expenditure</w:t>
      </w:r>
      <w:bookmarkEnd w:id="156"/>
      <w:bookmarkEnd w:id="166"/>
      <w:bookmarkEnd w:id="167"/>
    </w:p>
    <w:p w14:paraId="0C76CC1D" w14:textId="13B3DA7C" w:rsidR="00CA01A5" w:rsidRDefault="00935D68" w:rsidP="00CA01A5">
      <w:pPr>
        <w:pStyle w:val="Heading2"/>
      </w:pPr>
      <w:bookmarkStart w:id="168" w:name="_Toc51319639"/>
      <w:bookmarkStart w:id="169" w:name="_Toc51798311"/>
      <w:bookmarkStart w:id="170" w:name="_Toc52364920"/>
      <w:r>
        <w:t>P</w:t>
      </w:r>
      <w:r w:rsidR="00481B07">
        <w:t>ass-through items</w:t>
      </w:r>
      <w:bookmarkEnd w:id="168"/>
      <w:r>
        <w:t xml:space="preserve"> (</w:t>
      </w:r>
      <w:proofErr w:type="spellStart"/>
      <w:r>
        <w:t>PTt</w:t>
      </w:r>
      <w:proofErr w:type="spellEnd"/>
      <w:r>
        <w:t>)</w:t>
      </w:r>
      <w:bookmarkEnd w:id="169"/>
      <w:bookmarkEnd w:id="170"/>
    </w:p>
    <w:p w14:paraId="3B2BCEA7" w14:textId="77777777" w:rsidR="005641DC" w:rsidRPr="005641DC" w:rsidRDefault="005641DC" w:rsidP="00640F8D">
      <w:pPr>
        <w:pStyle w:val="Heading3nonumbering"/>
      </w:pPr>
      <w:r w:rsidRPr="0057526A">
        <w:t xml:space="preserve">Introduction </w:t>
      </w:r>
    </w:p>
    <w:p w14:paraId="1AA3AC05" w14:textId="39D8892E" w:rsidR="005641DC" w:rsidRPr="005641DC" w:rsidRDefault="005641DC" w:rsidP="00640F8D">
      <w:pPr>
        <w:pStyle w:val="NumberedNormal"/>
      </w:pPr>
      <w:r w:rsidRPr="005641DC">
        <w:t xml:space="preserve">The purpose of this condition is to calculate the term </w:t>
      </w:r>
      <w:proofErr w:type="spellStart"/>
      <w:r w:rsidRPr="005641DC">
        <w:t>PTt</w:t>
      </w:r>
      <w:proofErr w:type="spellEnd"/>
      <w:r w:rsidRPr="005641DC">
        <w:t xml:space="preserve"> (the allowed pass-through term). This feeds into Calculated Revenue in Special Condition </w:t>
      </w:r>
      <w:r w:rsidR="000D246F">
        <w:t xml:space="preserve">2.1 </w:t>
      </w:r>
      <w:r w:rsidRPr="005641DC">
        <w:t>(Re</w:t>
      </w:r>
      <w:r w:rsidR="00E51BE6">
        <w:t>venue Restriction</w:t>
      </w:r>
      <w:r w:rsidRPr="005641DC">
        <w:t>).</w:t>
      </w:r>
    </w:p>
    <w:p w14:paraId="140AFD02" w14:textId="7D9CAE78" w:rsidR="005641DC" w:rsidRPr="005641DC" w:rsidRDefault="005641DC" w:rsidP="00640F8D">
      <w:pPr>
        <w:pStyle w:val="NumberedNormal"/>
      </w:pPr>
      <w:r w:rsidRPr="005641DC">
        <w:t>The effect of this condition is to ensure that the licensee’s Allowed Revenue reflects that certain costs can be passed through to users.</w:t>
      </w:r>
    </w:p>
    <w:p w14:paraId="0498EA41" w14:textId="413283E9" w:rsidR="005641DC" w:rsidRPr="005641DC" w:rsidRDefault="005641DC" w:rsidP="00640F8D">
      <w:pPr>
        <w:pStyle w:val="Heading3"/>
      </w:pPr>
      <w:r w:rsidRPr="00E2123C">
        <w:t>Formula for calculating the allowed pass-through term</w:t>
      </w:r>
      <w:r w:rsidR="00935D68">
        <w:t xml:space="preserve"> (</w:t>
      </w:r>
      <w:proofErr w:type="spellStart"/>
      <w:r w:rsidR="00935D68">
        <w:t>PTt</w:t>
      </w:r>
      <w:proofErr w:type="spellEnd"/>
      <w:r w:rsidR="00935D68">
        <w:t>)</w:t>
      </w:r>
    </w:p>
    <w:p w14:paraId="795F7FC0" w14:textId="49F7DC48" w:rsidR="005641DC" w:rsidRDefault="005641DC" w:rsidP="00640F8D">
      <w:pPr>
        <w:pStyle w:val="NumberedNormal"/>
      </w:pPr>
      <w:r w:rsidRPr="005641DC">
        <w:t xml:space="preserve">The value of the </w:t>
      </w:r>
      <w:proofErr w:type="spellStart"/>
      <w:r w:rsidRPr="00FE375A">
        <w:rPr>
          <w:i/>
        </w:rPr>
        <w:t>PT</w:t>
      </w:r>
      <w:r w:rsidRPr="00FE375A">
        <w:rPr>
          <w:i/>
          <w:vertAlign w:val="subscript"/>
        </w:rPr>
        <w:t>t</w:t>
      </w:r>
      <w:proofErr w:type="spellEnd"/>
      <w:r w:rsidRPr="005641DC">
        <w:t xml:space="preserve"> term is derived in accordance with the following formula:</w:t>
      </w:r>
    </w:p>
    <w:p w14:paraId="44CA99E3" w14:textId="0910470F" w:rsidR="000F2AD1" w:rsidRPr="005641DC" w:rsidRDefault="00B913B6" w:rsidP="000F2AD1">
      <m:oMathPara>
        <m:oMath>
          <m:sSub>
            <m:sSubPr>
              <m:ctrlPr>
                <w:rPr>
                  <w:rFonts w:ascii="Cambria Math" w:hAnsi="Cambria Math"/>
                  <w:i/>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RB</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EDE</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TPD</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CPMR</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SHCP</m:t>
              </m:r>
            </m:e>
            <m:sub>
              <m:r>
                <w:rPr>
                  <w:rFonts w:ascii="Cambria Math" w:hAnsi="Cambria Math"/>
                </w:rPr>
                <m:t>t</m:t>
              </m:r>
            </m:sub>
          </m:sSub>
        </m:oMath>
      </m:oMathPara>
    </w:p>
    <w:p w14:paraId="3762CC88" w14:textId="686EBDBF" w:rsidR="005641DC" w:rsidRPr="005641DC" w:rsidRDefault="000F2AD1" w:rsidP="005641DC">
      <w:r>
        <w:tab/>
      </w:r>
      <w:r w:rsidR="005641DC">
        <w:t>where</w:t>
      </w:r>
    </w:p>
    <w:tbl>
      <w:tblPr>
        <w:tblStyle w:val="TableGridLight"/>
        <w:tblW w:w="0" w:type="auto"/>
        <w:tblLook w:val="04A0" w:firstRow="1" w:lastRow="0" w:firstColumn="1" w:lastColumn="0" w:noHBand="0" w:noVBand="1"/>
      </w:tblPr>
      <w:tblGrid>
        <w:gridCol w:w="848"/>
        <w:gridCol w:w="7498"/>
      </w:tblGrid>
      <w:tr w:rsidR="005641DC" w:rsidRPr="00B76D9F" w14:paraId="32AEE0B1" w14:textId="77777777" w:rsidTr="000F2AD1">
        <w:trPr>
          <w:trHeight w:val="567"/>
        </w:trPr>
        <w:tc>
          <w:tcPr>
            <w:tcW w:w="0" w:type="auto"/>
          </w:tcPr>
          <w:p w14:paraId="644D4530" w14:textId="2D70EB8A" w:rsidR="005641DC" w:rsidRPr="005641DC" w:rsidRDefault="00B913B6" w:rsidP="005641DC">
            <m:oMathPara>
              <m:oMath>
                <m:sSub>
                  <m:sSubPr>
                    <m:ctrlPr>
                      <w:rPr>
                        <w:rFonts w:ascii="Cambria Math" w:hAnsi="Cambria Math"/>
                        <w:i/>
                      </w:rPr>
                    </m:ctrlPr>
                  </m:sSubPr>
                  <m:e>
                    <m:r>
                      <w:rPr>
                        <w:rFonts w:ascii="Cambria Math" w:hAnsi="Cambria Math"/>
                      </w:rPr>
                      <m:t>RB</m:t>
                    </m:r>
                  </m:e>
                  <m:sub>
                    <m:r>
                      <w:rPr>
                        <w:rFonts w:ascii="Cambria Math" w:hAnsi="Cambria Math"/>
                      </w:rPr>
                      <m:t>t</m:t>
                    </m:r>
                  </m:sub>
                </m:sSub>
              </m:oMath>
            </m:oMathPara>
          </w:p>
        </w:tc>
        <w:tc>
          <w:tcPr>
            <w:tcW w:w="0" w:type="auto"/>
          </w:tcPr>
          <w:p w14:paraId="03641CBB" w14:textId="69D2E6AF" w:rsidR="005641DC" w:rsidRPr="005641DC" w:rsidRDefault="005641DC" w:rsidP="005641DC">
            <w:r w:rsidRPr="00B76D9F">
              <w:t xml:space="preserve">means the </w:t>
            </w:r>
            <w:r w:rsidRPr="005641DC">
              <w:t xml:space="preserve">amount levied on </w:t>
            </w:r>
            <w:r w:rsidR="00935D68">
              <w:t xml:space="preserve">the </w:t>
            </w:r>
            <w:r w:rsidRPr="005641DC">
              <w:t>licensee in respect of the Prescribed Rates or an amount directed under Part B</w:t>
            </w:r>
            <w:r w:rsidR="00A53156">
              <w:t>;</w:t>
            </w:r>
          </w:p>
        </w:tc>
      </w:tr>
      <w:tr w:rsidR="00761B3F" w:rsidRPr="00B76D9F" w14:paraId="310038AF" w14:textId="77777777" w:rsidTr="000F2AD1">
        <w:trPr>
          <w:trHeight w:val="567"/>
        </w:trPr>
        <w:tc>
          <w:tcPr>
            <w:tcW w:w="0" w:type="auto"/>
          </w:tcPr>
          <w:p w14:paraId="7B548FF0" w14:textId="50477A88" w:rsidR="00761B3F" w:rsidRPr="009A1D08" w:rsidRDefault="00761B3F" w:rsidP="000F07F1">
            <w:pPr>
              <w:rPr>
                <w:rFonts w:eastAsia="Calibri" w:cs="Arial"/>
                <w:i/>
              </w:rPr>
            </w:pPr>
            <w:proofErr w:type="spellStart"/>
            <w:r w:rsidRPr="009A1D08">
              <w:rPr>
                <w:rFonts w:eastAsia="Calibri" w:cs="Arial"/>
                <w:i/>
              </w:rPr>
              <w:t>EDE</w:t>
            </w:r>
            <w:r w:rsidRPr="009A1D08">
              <w:rPr>
                <w:rFonts w:eastAsia="Calibri" w:cs="Arial"/>
                <w:i/>
                <w:vertAlign w:val="subscript"/>
              </w:rPr>
              <w:t>t</w:t>
            </w:r>
            <w:proofErr w:type="spellEnd"/>
          </w:p>
        </w:tc>
        <w:tc>
          <w:tcPr>
            <w:tcW w:w="0" w:type="auto"/>
          </w:tcPr>
          <w:p w14:paraId="7622D2DC" w14:textId="27D97147" w:rsidR="00761B3F" w:rsidRPr="000F07F1" w:rsidRDefault="004461F2" w:rsidP="000F07F1">
            <w:r w:rsidRPr="004461F2">
              <w:t xml:space="preserve">means the payments in relation to the </w:t>
            </w:r>
            <w:r w:rsidR="00BA429F" w:rsidRPr="00BA429F">
              <w:t xml:space="preserve">Pension Scheme </w:t>
            </w:r>
            <w:r w:rsidRPr="004461F2">
              <w:t xml:space="preserve">Established Deficit </w:t>
            </w:r>
            <w:r w:rsidR="00BA429F" w:rsidRPr="00BA429F">
              <w:t>repair expenditure for each Regulatory Year</w:t>
            </w:r>
            <w:r w:rsidR="00876596">
              <w:t>;</w:t>
            </w:r>
          </w:p>
        </w:tc>
      </w:tr>
      <w:tr w:rsidR="000F07F1" w:rsidRPr="00B76D9F" w14:paraId="28950207" w14:textId="77777777" w:rsidTr="000F2AD1">
        <w:trPr>
          <w:trHeight w:val="567"/>
        </w:trPr>
        <w:tc>
          <w:tcPr>
            <w:tcW w:w="0" w:type="auto"/>
          </w:tcPr>
          <w:p w14:paraId="79EEA6F6" w14:textId="24E9FA86" w:rsidR="000F07F1" w:rsidRPr="000F07F1" w:rsidRDefault="00B913B6" w:rsidP="000F07F1">
            <m:oMathPara>
              <m:oMath>
                <m:sSub>
                  <m:sSubPr>
                    <m:ctrlPr>
                      <w:rPr>
                        <w:rFonts w:ascii="Cambria Math" w:hAnsi="Cambria Math"/>
                        <w:i/>
                      </w:rPr>
                    </m:ctrlPr>
                  </m:sSubPr>
                  <m:e>
                    <m:r>
                      <w:rPr>
                        <w:rFonts w:ascii="Cambria Math" w:hAnsi="Cambria Math"/>
                      </w:rPr>
                      <m:t>TPD</m:t>
                    </m:r>
                  </m:e>
                  <m:sub>
                    <m:r>
                      <w:rPr>
                        <w:rFonts w:ascii="Cambria Math" w:hAnsi="Cambria Math"/>
                      </w:rPr>
                      <m:t>t</m:t>
                    </m:r>
                  </m:sub>
                </m:sSub>
              </m:oMath>
            </m:oMathPara>
          </w:p>
        </w:tc>
        <w:tc>
          <w:tcPr>
            <w:tcW w:w="0" w:type="auto"/>
          </w:tcPr>
          <w:p w14:paraId="3A593D6A" w14:textId="77777777" w:rsidR="000F07F1" w:rsidRDefault="000F07F1" w:rsidP="000F07F1">
            <w:r w:rsidRPr="000F07F1">
              <w:t>means the temporary physical disconnection costs incurred by the licensee in relation to interruption payments made by the System Operator as part of its balancing services activity in the licensee's Transmission Area that are charged to the licensee in accordance with the provisions of</w:t>
            </w:r>
            <w:r w:rsidR="00167CCC">
              <w:t xml:space="preserve"> the STC</w:t>
            </w:r>
            <w:r w:rsidR="00A53156">
              <w:t>; and</w:t>
            </w:r>
          </w:p>
          <w:p w14:paraId="53882234" w14:textId="4611F7B9" w:rsidR="001F77A5" w:rsidRPr="000F07F1" w:rsidRDefault="001F77A5" w:rsidP="000F07F1"/>
        </w:tc>
      </w:tr>
      <w:tr w:rsidR="001F77A5" w:rsidRPr="00B76D9F" w14:paraId="43AC2B21" w14:textId="77777777" w:rsidTr="000F2AD1">
        <w:trPr>
          <w:trHeight w:val="567"/>
        </w:trPr>
        <w:tc>
          <w:tcPr>
            <w:tcW w:w="0" w:type="auto"/>
          </w:tcPr>
          <w:p w14:paraId="4FCB8A9E" w14:textId="7721F885" w:rsidR="001F77A5" w:rsidRPr="00DE6B1B" w:rsidRDefault="001F77A5" w:rsidP="000F07F1">
            <w:pPr>
              <w:rPr>
                <w:rFonts w:eastAsia="Calibri" w:cs="Arial"/>
                <w:i/>
                <w:iCs/>
              </w:rPr>
            </w:pPr>
            <w:proofErr w:type="spellStart"/>
            <w:r w:rsidRPr="00DE6B1B">
              <w:rPr>
                <w:rFonts w:eastAsia="Calibri" w:cs="Arial"/>
                <w:i/>
                <w:iCs/>
              </w:rPr>
              <w:t>CPMR</w:t>
            </w:r>
            <w:r w:rsidRPr="001702DA">
              <w:rPr>
                <w:rFonts w:eastAsia="Calibri" w:cs="Arial"/>
                <w:i/>
                <w:vertAlign w:val="subscript"/>
              </w:rPr>
              <w:t>t</w:t>
            </w:r>
            <w:proofErr w:type="spellEnd"/>
          </w:p>
        </w:tc>
        <w:tc>
          <w:tcPr>
            <w:tcW w:w="0" w:type="auto"/>
          </w:tcPr>
          <w:p w14:paraId="4E919FCC" w14:textId="31BA7ECD" w:rsidR="001F77A5" w:rsidRPr="000F07F1" w:rsidRDefault="001F77A5" w:rsidP="000F07F1">
            <w:r>
              <w:t xml:space="preserve">means the </w:t>
            </w:r>
            <w:r w:rsidR="00726E31" w:rsidRPr="00481B07">
              <w:t>Competition Proxy Model term</w:t>
            </w:r>
            <w:r w:rsidR="00726E31">
              <w:t xml:space="preserve"> </w:t>
            </w:r>
            <w:r w:rsidR="00127B17">
              <w:t>in Sp</w:t>
            </w:r>
            <w:r w:rsidR="006C37A0">
              <w:t xml:space="preserve">ecial </w:t>
            </w:r>
            <w:r w:rsidR="00127B17">
              <w:t>C</w:t>
            </w:r>
            <w:r w:rsidR="006C37A0">
              <w:t xml:space="preserve">ondition </w:t>
            </w:r>
            <w:r w:rsidR="001D300D">
              <w:t>6.2</w:t>
            </w:r>
          </w:p>
        </w:tc>
      </w:tr>
      <w:tr w:rsidR="00127B17" w:rsidRPr="00B76D9F" w14:paraId="71ED647C" w14:textId="77777777" w:rsidTr="000F2AD1">
        <w:trPr>
          <w:trHeight w:val="567"/>
        </w:trPr>
        <w:tc>
          <w:tcPr>
            <w:tcW w:w="0" w:type="auto"/>
          </w:tcPr>
          <w:p w14:paraId="0F1E94D4" w14:textId="5BDDADF5" w:rsidR="00127B17" w:rsidRDefault="00127B17" w:rsidP="00127B17">
            <w:pPr>
              <w:rPr>
                <w:rFonts w:eastAsia="Calibri" w:cs="Arial"/>
              </w:rPr>
            </w:pPr>
            <w:proofErr w:type="spellStart"/>
            <w:r w:rsidRPr="00DE6B1B">
              <w:rPr>
                <w:rFonts w:eastAsia="Calibri" w:cs="Arial"/>
                <w:i/>
                <w:iCs/>
              </w:rPr>
              <w:t>SHCP</w:t>
            </w:r>
            <w:r w:rsidRPr="001702DA">
              <w:rPr>
                <w:rFonts w:eastAsia="Calibri" w:cs="Arial"/>
                <w:vertAlign w:val="subscript"/>
              </w:rPr>
              <w:t>t</w:t>
            </w:r>
            <w:proofErr w:type="spellEnd"/>
          </w:p>
        </w:tc>
        <w:tc>
          <w:tcPr>
            <w:tcW w:w="0" w:type="auto"/>
          </w:tcPr>
          <w:p w14:paraId="23403992" w14:textId="542A4E43" w:rsidR="00127B17" w:rsidRDefault="00127B17" w:rsidP="00127B17">
            <w:r>
              <w:t xml:space="preserve">means the ENS Compensatory </w:t>
            </w:r>
            <w:r w:rsidR="006C37A0">
              <w:t xml:space="preserve">payments pass through term in Special Condition </w:t>
            </w:r>
            <w:r w:rsidR="001D300D">
              <w:t>6.3</w:t>
            </w:r>
          </w:p>
        </w:tc>
      </w:tr>
    </w:tbl>
    <w:p w14:paraId="5B7FCFE3" w14:textId="2C50FF91" w:rsidR="005641DC" w:rsidRPr="005641DC" w:rsidRDefault="005641DC" w:rsidP="00426328">
      <w:pPr>
        <w:pStyle w:val="Heading3"/>
      </w:pPr>
      <w:r>
        <w:t>Review of Prescribed Rates pass</w:t>
      </w:r>
      <w:r w:rsidR="00CF4B0A">
        <w:t>-</w:t>
      </w:r>
      <w:r>
        <w:t>through term (</w:t>
      </w:r>
      <w:proofErr w:type="spellStart"/>
      <w:r>
        <w:t>RBt</w:t>
      </w:r>
      <w:proofErr w:type="spellEnd"/>
      <w:r>
        <w:t>)</w:t>
      </w:r>
    </w:p>
    <w:p w14:paraId="51571640" w14:textId="77777777" w:rsidR="005641DC" w:rsidRPr="005641DC" w:rsidRDefault="005641DC" w:rsidP="00774758">
      <w:pPr>
        <w:pStyle w:val="NumberedNormal"/>
      </w:pPr>
      <w:r w:rsidRPr="005641DC">
        <w:t>As part of any periodic revaluation, the licensee must:</w:t>
      </w:r>
    </w:p>
    <w:p w14:paraId="14FD667A" w14:textId="2DCE6B9D" w:rsidR="005641DC" w:rsidRPr="005641DC" w:rsidRDefault="005641DC" w:rsidP="00774758">
      <w:pPr>
        <w:pStyle w:val="ListNormal"/>
      </w:pPr>
      <w:r w:rsidRPr="005641DC">
        <w:t>engage with the Relevant Valuation Agency; and</w:t>
      </w:r>
    </w:p>
    <w:p w14:paraId="585105E6" w14:textId="4426066F" w:rsidR="005641DC" w:rsidRPr="005641DC" w:rsidRDefault="005641DC" w:rsidP="00774758">
      <w:pPr>
        <w:pStyle w:val="ListNormal"/>
      </w:pPr>
      <w:r w:rsidRPr="007B7322">
        <w:t xml:space="preserve">use its </w:t>
      </w:r>
      <w:r w:rsidR="00B739D0">
        <w:t xml:space="preserve">reasonable </w:t>
      </w:r>
      <w:r w:rsidRPr="007B7322">
        <w:t xml:space="preserve">endeavours to minimise the amount of the Prescribed Rates to which it is liable. </w:t>
      </w:r>
    </w:p>
    <w:p w14:paraId="375C2F82" w14:textId="77777777" w:rsidR="005641DC" w:rsidRPr="005641DC" w:rsidRDefault="005641DC" w:rsidP="00774758">
      <w:pPr>
        <w:pStyle w:val="NumberedNormal"/>
      </w:pPr>
      <w:r w:rsidRPr="005641DC">
        <w:t>The Authority will review the licensee’s engagement with the Relevant Valuation Agency with respect to a revaluation.</w:t>
      </w:r>
    </w:p>
    <w:p w14:paraId="5DF719CC" w14:textId="30CA3068" w:rsidR="000F07F1" w:rsidRPr="005641DC" w:rsidRDefault="005641DC" w:rsidP="00B739D0">
      <w:pPr>
        <w:pStyle w:val="NumberedNormal"/>
      </w:pPr>
      <w:r w:rsidRPr="005641DC">
        <w:t xml:space="preserve">If, after reviewing the licensee’s engagement with the Relevant Valuation Agency with respect to a </w:t>
      </w:r>
      <w:proofErr w:type="gramStart"/>
      <w:r w:rsidRPr="005641DC">
        <w:t>particular revaluation</w:t>
      </w:r>
      <w:proofErr w:type="gramEnd"/>
      <w:r w:rsidRPr="005641DC">
        <w:t xml:space="preserve">, the Authority considers that </w:t>
      </w:r>
      <w:r w:rsidRPr="005641DC">
        <w:lastRenderedPageBreak/>
        <w:t xml:space="preserve">the licensee has not complied with paragraph </w:t>
      </w:r>
      <w:r w:rsidR="006F5BA5">
        <w:t>6.1.4</w:t>
      </w:r>
      <w:r w:rsidRPr="005641DC">
        <w:t xml:space="preserve">, the Authority will adjust the value of </w:t>
      </w:r>
      <w:proofErr w:type="spellStart"/>
      <w:r w:rsidRPr="005641DC">
        <w:t>RBt</w:t>
      </w:r>
      <w:proofErr w:type="spellEnd"/>
      <w:r w:rsidRPr="005641DC">
        <w:t xml:space="preserve"> by direction.</w:t>
      </w:r>
    </w:p>
    <w:p w14:paraId="6764DFDB" w14:textId="65D7A977" w:rsidR="005641DC" w:rsidRDefault="00481B07" w:rsidP="00481B07">
      <w:pPr>
        <w:pStyle w:val="Heading2"/>
      </w:pPr>
      <w:bookmarkStart w:id="171" w:name="_Toc51319640"/>
      <w:bookmarkStart w:id="172" w:name="_Toc51798312"/>
      <w:bookmarkStart w:id="173" w:name="_Toc52364921"/>
      <w:r>
        <w:t xml:space="preserve">Competition Proxy Model </w:t>
      </w:r>
      <w:r w:rsidR="009E6630">
        <w:t>p</w:t>
      </w:r>
      <w:r>
        <w:t>ass</w:t>
      </w:r>
      <w:r w:rsidR="00F34257">
        <w:t>-</w:t>
      </w:r>
      <w:r>
        <w:t>through cost and Re-opener</w:t>
      </w:r>
      <w:bookmarkEnd w:id="171"/>
      <w:r w:rsidR="006F5BA5">
        <w:t xml:space="preserve"> (</w:t>
      </w:r>
      <w:proofErr w:type="spellStart"/>
      <w:r w:rsidR="006F5BA5">
        <w:t>CPMRt</w:t>
      </w:r>
      <w:proofErr w:type="spellEnd"/>
      <w:r w:rsidR="006F5BA5">
        <w:t>)</w:t>
      </w:r>
      <w:bookmarkEnd w:id="172"/>
      <w:bookmarkEnd w:id="173"/>
    </w:p>
    <w:p w14:paraId="309DF278" w14:textId="77777777" w:rsidR="00481B07" w:rsidRPr="0057526A" w:rsidRDefault="00481B07" w:rsidP="00774758">
      <w:pPr>
        <w:pStyle w:val="Heading3nonumbering"/>
      </w:pPr>
      <w:r w:rsidRPr="0057526A">
        <w:t xml:space="preserve">Introduction </w:t>
      </w:r>
    </w:p>
    <w:p w14:paraId="366BA549" w14:textId="52E763FC" w:rsidR="00481B07" w:rsidRPr="00481B07" w:rsidRDefault="00481B07" w:rsidP="00774758">
      <w:pPr>
        <w:pStyle w:val="NumberedNormal"/>
      </w:pPr>
      <w:bookmarkStart w:id="174" w:name="_Ref38384630"/>
      <w:r w:rsidRPr="00FF2D27">
        <w:t xml:space="preserve">The </w:t>
      </w:r>
      <w:r w:rsidRPr="00481B07">
        <w:t xml:space="preserve">purpose of this condition is to calculate the term </w:t>
      </w:r>
      <w:proofErr w:type="spellStart"/>
      <w:r w:rsidRPr="00481B07">
        <w:t>CPM</w:t>
      </w:r>
      <w:r w:rsidR="001C4575">
        <w:t>R</w:t>
      </w:r>
      <w:r w:rsidRPr="00481B07">
        <w:t>t</w:t>
      </w:r>
      <w:proofErr w:type="spellEnd"/>
      <w:r w:rsidRPr="00481B07">
        <w:t xml:space="preserve"> (the Competition Proxy Model term). This contributes to the calculation of the </w:t>
      </w:r>
      <w:proofErr w:type="spellStart"/>
      <w:r w:rsidRPr="00481B07">
        <w:t>PTt</w:t>
      </w:r>
      <w:proofErr w:type="spellEnd"/>
      <w:r w:rsidRPr="00481B07">
        <w:t xml:space="preserve"> term (the allowed pass-through term), which in turn feeds into the calculation of Calculated Revenue in </w:t>
      </w:r>
      <w:r w:rsidR="00A148E7">
        <w:t>Special Condition 2.1 (Revenue Restriction)</w:t>
      </w:r>
      <w:r w:rsidRPr="00481B07">
        <w:t>.</w:t>
      </w:r>
      <w:bookmarkEnd w:id="174"/>
      <w:r w:rsidRPr="00481B07">
        <w:t xml:space="preserve"> </w:t>
      </w:r>
    </w:p>
    <w:p w14:paraId="5AB0A421" w14:textId="77777777" w:rsidR="00481B07" w:rsidRPr="00481B07" w:rsidRDefault="00481B07" w:rsidP="00774758">
      <w:pPr>
        <w:pStyle w:val="NumberedNormal"/>
      </w:pPr>
      <w:r w:rsidRPr="00FA701A">
        <w:t>The effect of this condition is to establish a Re-opener for the licensee to apply for an adjustment to its allowed expenditure where there is a need for additional investment in the transmission network.</w:t>
      </w:r>
    </w:p>
    <w:p w14:paraId="276C52FE" w14:textId="086ECFED" w:rsidR="00A65304" w:rsidRDefault="00A65304" w:rsidP="00A65304">
      <w:pPr>
        <w:pStyle w:val="Heading3"/>
      </w:pPr>
      <w:r>
        <w:t>Formula f</w:t>
      </w:r>
      <w:r w:rsidRPr="00A65304">
        <w:t>or calculating the Competition Proxy Model Re-opener term</w:t>
      </w:r>
      <w:r w:rsidR="006F5BA5">
        <w:t xml:space="preserve"> (</w:t>
      </w:r>
      <w:proofErr w:type="spellStart"/>
      <w:r w:rsidR="006F5BA5">
        <w:t>CPMRt</w:t>
      </w:r>
      <w:proofErr w:type="spellEnd"/>
      <w:r w:rsidR="006F5BA5">
        <w:t>)</w:t>
      </w:r>
    </w:p>
    <w:p w14:paraId="6961E9B6" w14:textId="77777777" w:rsidR="00A65304" w:rsidRPr="00A65304" w:rsidRDefault="00A65304" w:rsidP="00A65304">
      <w:pPr>
        <w:pStyle w:val="NumberedNormal"/>
      </w:pPr>
      <w:r>
        <w:t xml:space="preserve">The value of </w:t>
      </w:r>
      <w:proofErr w:type="spellStart"/>
      <w:r w:rsidRPr="00F00269">
        <w:rPr>
          <w:i/>
        </w:rPr>
        <w:t>CPMR</w:t>
      </w:r>
      <w:r w:rsidRPr="00F00269">
        <w:rPr>
          <w:i/>
          <w:vertAlign w:val="subscript"/>
        </w:rPr>
        <w:t>t</w:t>
      </w:r>
      <w:proofErr w:type="spellEnd"/>
      <w:r w:rsidRPr="00A65304">
        <w:t xml:space="preserve"> is derived in accordance with the following formula:</w:t>
      </w:r>
    </w:p>
    <w:p w14:paraId="6C4FE300" w14:textId="5AEA6E4F" w:rsidR="00A65304" w:rsidRPr="008F1937" w:rsidRDefault="00A65304" w:rsidP="003F66DB">
      <w:pPr>
        <w:ind w:left="720"/>
        <w:rPr>
          <w:i/>
        </w:rPr>
      </w:pPr>
      <w:proofErr w:type="spellStart"/>
      <w:r w:rsidRPr="008F1937">
        <w:rPr>
          <w:i/>
        </w:rPr>
        <w:t>CPMR</w:t>
      </w:r>
      <w:r w:rsidRPr="008F1937">
        <w:rPr>
          <w:i/>
          <w:vertAlign w:val="subscript"/>
        </w:rPr>
        <w:t>t</w:t>
      </w:r>
      <w:proofErr w:type="spellEnd"/>
      <w:r w:rsidRPr="008F1937">
        <w:rPr>
          <w:i/>
        </w:rPr>
        <w:t xml:space="preserve"> = </w:t>
      </w:r>
      <w:proofErr w:type="spellStart"/>
      <w:r w:rsidRPr="008F1937">
        <w:rPr>
          <w:i/>
        </w:rPr>
        <w:t>CPMRC</w:t>
      </w:r>
      <w:r w:rsidRPr="008F1937">
        <w:rPr>
          <w:i/>
          <w:vertAlign w:val="subscript"/>
        </w:rPr>
        <w:t>t</w:t>
      </w:r>
      <w:proofErr w:type="spellEnd"/>
      <w:r w:rsidRPr="008F1937">
        <w:rPr>
          <w:i/>
        </w:rPr>
        <w:t xml:space="preserve"> + </w:t>
      </w:r>
      <w:proofErr w:type="spellStart"/>
      <w:r w:rsidRPr="008F1937">
        <w:rPr>
          <w:i/>
        </w:rPr>
        <w:t>CPMRO</w:t>
      </w:r>
      <w:r w:rsidRPr="008F1937">
        <w:rPr>
          <w:i/>
          <w:vertAlign w:val="subscript"/>
        </w:rPr>
        <w:t>t</w:t>
      </w:r>
      <w:proofErr w:type="spellEnd"/>
      <w:r w:rsidRPr="008F1937">
        <w:rPr>
          <w:i/>
        </w:rPr>
        <w:t xml:space="preserve"> </w:t>
      </w:r>
    </w:p>
    <w:p w14:paraId="4FC468D1" w14:textId="77777777" w:rsidR="00A65304" w:rsidRPr="00A65304" w:rsidRDefault="00A65304" w:rsidP="003F66DB">
      <w:pPr>
        <w:ind w:left="720"/>
      </w:pPr>
      <w:r>
        <w:t>where:</w:t>
      </w:r>
    </w:p>
    <w:tbl>
      <w:tblPr>
        <w:tblW w:w="8792" w:type="dxa"/>
        <w:tblInd w:w="720" w:type="dxa"/>
        <w:tblLook w:val="04A0" w:firstRow="1" w:lastRow="0" w:firstColumn="1" w:lastColumn="0" w:noHBand="0" w:noVBand="1"/>
      </w:tblPr>
      <w:tblGrid>
        <w:gridCol w:w="1276"/>
        <w:gridCol w:w="7516"/>
      </w:tblGrid>
      <w:tr w:rsidR="00A65304" w:rsidRPr="007442AB" w14:paraId="070A7294" w14:textId="77777777" w:rsidTr="003F66DB">
        <w:trPr>
          <w:trHeight w:val="454"/>
        </w:trPr>
        <w:tc>
          <w:tcPr>
            <w:tcW w:w="1276" w:type="dxa"/>
          </w:tcPr>
          <w:p w14:paraId="3CF5F078" w14:textId="77777777" w:rsidR="00A65304" w:rsidRPr="008F1937" w:rsidRDefault="00A65304" w:rsidP="00A65304">
            <w:pPr>
              <w:rPr>
                <w:i/>
              </w:rPr>
            </w:pPr>
            <w:proofErr w:type="spellStart"/>
            <w:r w:rsidRPr="008F1937">
              <w:rPr>
                <w:i/>
              </w:rPr>
              <w:t>CPMRCt</w:t>
            </w:r>
            <w:proofErr w:type="spellEnd"/>
          </w:p>
        </w:tc>
        <w:tc>
          <w:tcPr>
            <w:tcW w:w="7516" w:type="dxa"/>
          </w:tcPr>
          <w:p w14:paraId="4216FD91" w14:textId="4AC6A31B" w:rsidR="00A65304" w:rsidRPr="00A65304" w:rsidRDefault="00A65304" w:rsidP="00A65304">
            <w:r w:rsidRPr="00875028">
              <w:t>means the</w:t>
            </w:r>
            <w:r w:rsidRPr="00A65304">
              <w:t xml:space="preserve"> sum of the revenue allowances for each project listed in Appendix 1, derived from each project’s CPM Project Financial Model using the inputs in Appendix 1</w:t>
            </w:r>
            <w:r w:rsidR="00A53156">
              <w:t>; and</w:t>
            </w:r>
          </w:p>
        </w:tc>
      </w:tr>
      <w:tr w:rsidR="00A65304" w:rsidRPr="007442AB" w14:paraId="6DB71192" w14:textId="77777777" w:rsidTr="003F66DB">
        <w:trPr>
          <w:trHeight w:val="454"/>
        </w:trPr>
        <w:tc>
          <w:tcPr>
            <w:tcW w:w="1276" w:type="dxa"/>
          </w:tcPr>
          <w:p w14:paraId="36DA5582" w14:textId="77777777" w:rsidR="00A65304" w:rsidRPr="008F1937" w:rsidRDefault="00A65304" w:rsidP="00A65304">
            <w:pPr>
              <w:rPr>
                <w:i/>
              </w:rPr>
            </w:pPr>
            <w:proofErr w:type="spellStart"/>
            <w:r w:rsidRPr="008F1937">
              <w:rPr>
                <w:i/>
              </w:rPr>
              <w:t>CPMROt</w:t>
            </w:r>
            <w:proofErr w:type="spellEnd"/>
            <w:r w:rsidRPr="008F1937">
              <w:rPr>
                <w:i/>
              </w:rPr>
              <w:tab/>
            </w:r>
          </w:p>
        </w:tc>
        <w:tc>
          <w:tcPr>
            <w:tcW w:w="7516" w:type="dxa"/>
          </w:tcPr>
          <w:p w14:paraId="710F297A" w14:textId="5F7584A7" w:rsidR="00A65304" w:rsidRPr="00A65304" w:rsidRDefault="00A65304" w:rsidP="00A65304">
            <w:r w:rsidRPr="00875028">
              <w:t>means the</w:t>
            </w:r>
            <w:r w:rsidRPr="00A65304">
              <w:t xml:space="preserve"> sum of the revenue allowances for each project listed in Appendix 1, derived from each project’s CPM Project Financial Model using the inputs in Appendix 2.</w:t>
            </w:r>
          </w:p>
        </w:tc>
      </w:tr>
    </w:tbl>
    <w:p w14:paraId="4595722F" w14:textId="37F0AEBD" w:rsidR="00481B07" w:rsidRDefault="00481B07" w:rsidP="00774758">
      <w:pPr>
        <w:pStyle w:val="Heading3"/>
      </w:pPr>
      <w:r>
        <w:t>Application of this condition</w:t>
      </w:r>
    </w:p>
    <w:p w14:paraId="114A5A01" w14:textId="55D3639F" w:rsidR="00481B07" w:rsidRPr="00481B07" w:rsidRDefault="00481B07" w:rsidP="00774758">
      <w:pPr>
        <w:pStyle w:val="NumberedNormal"/>
      </w:pPr>
      <w:r>
        <w:t xml:space="preserve">If the licensee has submitted an Initial Needs Case </w:t>
      </w:r>
      <w:r w:rsidRPr="00481B07">
        <w:t xml:space="preserve">for a LOTI to the Authority under Part D of Special Condition </w:t>
      </w:r>
      <w:r w:rsidR="00A53156">
        <w:t>3.</w:t>
      </w:r>
      <w:r w:rsidR="001D300D">
        <w:t>20</w:t>
      </w:r>
      <w:r w:rsidRPr="00481B07">
        <w:t xml:space="preserve"> (Large Onshore Transmission Investment), the Authority </w:t>
      </w:r>
      <w:r w:rsidR="00A53156">
        <w:t>may</w:t>
      </w:r>
      <w:r w:rsidRPr="00481B07">
        <w:t xml:space="preserve">, if it considers it appropriate to do so, direct that some or all of any Qualifying Assets constituting the LOTI </w:t>
      </w:r>
      <w:r w:rsidR="00A53156">
        <w:t xml:space="preserve">are </w:t>
      </w:r>
      <w:r w:rsidR="32BE2080">
        <w:t>to be treated as</w:t>
      </w:r>
      <w:r w:rsidR="00A53156">
        <w:t xml:space="preserve"> </w:t>
      </w:r>
      <w:r w:rsidRPr="00481B07">
        <w:t xml:space="preserve">a CPM Project. </w:t>
      </w:r>
    </w:p>
    <w:p w14:paraId="6C6BA589" w14:textId="2ACEA886" w:rsidR="00481B07" w:rsidRPr="00AE57AC" w:rsidRDefault="00481B07" w:rsidP="00774758">
      <w:pPr>
        <w:pStyle w:val="Heading3"/>
      </w:pPr>
      <w:r w:rsidRPr="002267B4">
        <w:t>Scope of the Re-opener and pre-application requirements</w:t>
      </w:r>
    </w:p>
    <w:p w14:paraId="78BA7C6A" w14:textId="77777777" w:rsidR="00481B07" w:rsidRPr="00481B07" w:rsidRDefault="00481B07" w:rsidP="000516DB">
      <w:pPr>
        <w:pStyle w:val="NumberedNormal"/>
      </w:pPr>
      <w:r>
        <w:t>T</w:t>
      </w:r>
      <w:r w:rsidRPr="00481B07">
        <w:t>he licensee may, in respect of any CPM Project, apply to the Authority for a CPM Project Assessment Decision.</w:t>
      </w:r>
    </w:p>
    <w:p w14:paraId="2543F442" w14:textId="2F49BF70" w:rsidR="00481B07" w:rsidRPr="00481B07" w:rsidRDefault="00481B07" w:rsidP="000516DB">
      <w:pPr>
        <w:pStyle w:val="NumberedNormal"/>
      </w:pPr>
      <w:r>
        <w:t xml:space="preserve">Before applying </w:t>
      </w:r>
      <w:r w:rsidRPr="00481B07">
        <w:t xml:space="preserve">for a CPM Project Assessment Decision under paragraph </w:t>
      </w:r>
      <w:r w:rsidR="00A53156">
        <w:t>6.2.</w:t>
      </w:r>
      <w:r w:rsidR="00AC5829">
        <w:t>5</w:t>
      </w:r>
      <w:r w:rsidRPr="00481B07">
        <w:t xml:space="preserve">, the licensee must obtain approval of a CPM Needs Case, unless the licensee has already obtained approval of a Final Needs Case in respect of the CPM Project </w:t>
      </w:r>
      <w:r w:rsidRPr="00481B07">
        <w:lastRenderedPageBreak/>
        <w:t xml:space="preserve">under Part </w:t>
      </w:r>
      <w:r w:rsidR="00AC5829">
        <w:t>F</w:t>
      </w:r>
      <w:r w:rsidRPr="00481B07">
        <w:t xml:space="preserve"> of Special Condition </w:t>
      </w:r>
      <w:r w:rsidR="00A53156">
        <w:t>3.</w:t>
      </w:r>
      <w:r w:rsidR="001D300D">
        <w:t>20</w:t>
      </w:r>
      <w:r w:rsidR="00A53156" w:rsidRPr="00481B07">
        <w:t xml:space="preserve"> </w:t>
      </w:r>
      <w:r w:rsidRPr="00481B07">
        <w:t>(Large Onshore Transmission Investment).</w:t>
      </w:r>
    </w:p>
    <w:p w14:paraId="3AFE444B" w14:textId="77777777" w:rsidR="00481B07" w:rsidRPr="00481B07" w:rsidRDefault="00481B07" w:rsidP="00334E71">
      <w:pPr>
        <w:pStyle w:val="NumberedNormal"/>
      </w:pPr>
      <w:r>
        <w:t xml:space="preserve">CPM Needs Case </w:t>
      </w:r>
      <w:r w:rsidRPr="00481B07">
        <w:t xml:space="preserve">approval must be sought from the Authority after: </w:t>
      </w:r>
    </w:p>
    <w:p w14:paraId="478ED38D" w14:textId="77777777" w:rsidR="00481B07" w:rsidRPr="00481B07" w:rsidRDefault="00481B07" w:rsidP="00334E71">
      <w:pPr>
        <w:pStyle w:val="ListNormal"/>
      </w:pPr>
      <w:r w:rsidRPr="0078319F">
        <w:t xml:space="preserve">the licensee has secured all </w:t>
      </w:r>
      <w:r w:rsidRPr="00481B07">
        <w:t xml:space="preserve">material planning consents; or </w:t>
      </w:r>
    </w:p>
    <w:p w14:paraId="4D56AE0D" w14:textId="77777777" w:rsidR="00481B07" w:rsidRPr="00481B07" w:rsidRDefault="00481B07" w:rsidP="00334E71">
      <w:pPr>
        <w:pStyle w:val="ListNormal"/>
      </w:pPr>
      <w:r>
        <w:t>such other date specified by the Authority by direction.</w:t>
      </w:r>
    </w:p>
    <w:p w14:paraId="2A71C9F2" w14:textId="4E084FF9" w:rsidR="00481B07" w:rsidRDefault="00481B07" w:rsidP="00334E71">
      <w:pPr>
        <w:pStyle w:val="Heading3"/>
      </w:pPr>
      <w:r>
        <w:t>CPM Outputs</w:t>
      </w:r>
    </w:p>
    <w:p w14:paraId="2FF0DE1F" w14:textId="540DE252" w:rsidR="0069352D" w:rsidRPr="0069352D" w:rsidRDefault="00A53156" w:rsidP="0069352D">
      <w:pPr>
        <w:pStyle w:val="NumberedNormal"/>
      </w:pPr>
      <w:r>
        <w:t xml:space="preserve"> </w:t>
      </w:r>
      <w:r w:rsidR="00165573">
        <w:t>The licensee must deliver the outputs specified in Appendix 1 by the delivery date specified in Appendix 1.</w:t>
      </w:r>
    </w:p>
    <w:p w14:paraId="0C5D8EDA" w14:textId="32872A8F" w:rsidR="00481B07" w:rsidRDefault="00481B07" w:rsidP="00334E71">
      <w:pPr>
        <w:pStyle w:val="Heading3"/>
      </w:pPr>
      <w:r>
        <w:t>CPM Mid Construction Review</w:t>
      </w:r>
    </w:p>
    <w:p w14:paraId="7C3DF485" w14:textId="087352E6" w:rsidR="00481B07" w:rsidRPr="00481B07" w:rsidRDefault="00481B07" w:rsidP="00334E71">
      <w:pPr>
        <w:pStyle w:val="NumberedNormal"/>
      </w:pPr>
      <w:bookmarkStart w:id="175" w:name="_Ref38384665"/>
      <w:r>
        <w:t xml:space="preserve">The </w:t>
      </w:r>
      <w:r w:rsidRPr="00481B07">
        <w:t xml:space="preserve">licensee may apply to the Authority for a CPM Mid Construction Review Direction, amending the CPM Output, CPM Delivery </w:t>
      </w:r>
      <w:proofErr w:type="gramStart"/>
      <w:r w:rsidRPr="00481B07">
        <w:t>Date</w:t>
      </w:r>
      <w:proofErr w:type="gramEnd"/>
      <w:r w:rsidRPr="00481B07">
        <w:t xml:space="preserve"> and associated allowance in Appendix 1, where:</w:t>
      </w:r>
      <w:bookmarkEnd w:id="175"/>
    </w:p>
    <w:p w14:paraId="6FDA7C6A" w14:textId="77777777" w:rsidR="00481B07" w:rsidRPr="00481B07" w:rsidRDefault="00481B07" w:rsidP="00334E71">
      <w:pPr>
        <w:pStyle w:val="ListNormal"/>
      </w:pPr>
      <w:r>
        <w:t>o</w:t>
      </w:r>
      <w:r w:rsidRPr="00481B07">
        <w:t>wing to circumstances beyond the licensee's control:</w:t>
      </w:r>
    </w:p>
    <w:p w14:paraId="2BE3D024" w14:textId="77777777" w:rsidR="00481B07" w:rsidRPr="00481B07" w:rsidRDefault="00481B07" w:rsidP="00AB1D80">
      <w:pPr>
        <w:pStyle w:val="ListNormal"/>
        <w:numPr>
          <w:ilvl w:val="4"/>
          <w:numId w:val="8"/>
        </w:numPr>
      </w:pPr>
      <w:r>
        <w:t>the licensee</w:t>
      </w:r>
      <w:r w:rsidRPr="00481B07">
        <w:t xml:space="preserve"> will be unable to Deliver a CPM </w:t>
      </w:r>
      <w:proofErr w:type="gramStart"/>
      <w:r w:rsidRPr="00481B07">
        <w:t>Output;</w:t>
      </w:r>
      <w:proofErr w:type="gramEnd"/>
      <w:r w:rsidRPr="00481B07">
        <w:t xml:space="preserve"> </w:t>
      </w:r>
    </w:p>
    <w:p w14:paraId="5DB4C2A1" w14:textId="77777777" w:rsidR="00481B07" w:rsidRPr="00481B07" w:rsidRDefault="00481B07" w:rsidP="00AB1D80">
      <w:pPr>
        <w:pStyle w:val="ListNormal"/>
        <w:numPr>
          <w:ilvl w:val="4"/>
          <w:numId w:val="8"/>
        </w:numPr>
      </w:pPr>
      <w:r>
        <w:t xml:space="preserve">the licensee will be unable </w:t>
      </w:r>
      <w:r w:rsidRPr="00481B07">
        <w:t>to Deliver a CPM Output by the CPM Delivery Date; or</w:t>
      </w:r>
    </w:p>
    <w:p w14:paraId="7A9B7440" w14:textId="77777777" w:rsidR="00481B07" w:rsidRPr="00481B07" w:rsidRDefault="00481B07" w:rsidP="00AB1D80">
      <w:pPr>
        <w:pStyle w:val="ListNormal"/>
        <w:numPr>
          <w:ilvl w:val="4"/>
          <w:numId w:val="8"/>
        </w:numPr>
      </w:pPr>
      <w:r w:rsidRPr="0071799A">
        <w:t xml:space="preserve">expenditure on </w:t>
      </w:r>
      <w:r w:rsidRPr="00481B07">
        <w:t>Delivery of a CPM Output will exceed the CPM Construction Cost Allowance; or</w:t>
      </w:r>
    </w:p>
    <w:p w14:paraId="38C7AC51" w14:textId="06786B5F" w:rsidR="00481B07" w:rsidRPr="00481B07" w:rsidRDefault="00481B07" w:rsidP="00334E71">
      <w:pPr>
        <w:pStyle w:val="ListNormal"/>
      </w:pPr>
      <w:r>
        <w:t>any</w:t>
      </w:r>
      <w:r w:rsidRPr="00481B07">
        <w:t xml:space="preserve"> generation project underlying the CPM Delivery Date: </w:t>
      </w:r>
    </w:p>
    <w:p w14:paraId="5F2A7D02" w14:textId="54BBD08F" w:rsidR="00481B07" w:rsidRPr="00481B07" w:rsidRDefault="00A53156" w:rsidP="00AB1D80">
      <w:pPr>
        <w:pStyle w:val="ListNormal"/>
        <w:numPr>
          <w:ilvl w:val="4"/>
          <w:numId w:val="8"/>
        </w:numPr>
      </w:pPr>
      <w:r>
        <w:t xml:space="preserve">is </w:t>
      </w:r>
      <w:r w:rsidR="00481B07">
        <w:t>expected to</w:t>
      </w:r>
      <w:r w:rsidR="00481B07" w:rsidRPr="00481B07">
        <w:t xml:space="preserve"> be delivered later than anticipated in the CPM Project Assessment Decision; or</w:t>
      </w:r>
    </w:p>
    <w:p w14:paraId="7C0AB0E8" w14:textId="443CEEDE" w:rsidR="00481B07" w:rsidRPr="00481B07" w:rsidRDefault="00A53156" w:rsidP="00AB1D80">
      <w:pPr>
        <w:pStyle w:val="ListNormal"/>
        <w:numPr>
          <w:ilvl w:val="4"/>
          <w:numId w:val="8"/>
        </w:numPr>
      </w:pPr>
      <w:r>
        <w:t xml:space="preserve">is </w:t>
      </w:r>
      <w:r w:rsidR="00481B07">
        <w:t>no longer expected to</w:t>
      </w:r>
      <w:r w:rsidR="00481B07" w:rsidRPr="00481B07">
        <w:t xml:space="preserve"> proceed. </w:t>
      </w:r>
    </w:p>
    <w:p w14:paraId="28B26425" w14:textId="16CC626B" w:rsidR="00481B07" w:rsidRPr="00481B07" w:rsidRDefault="00481B07" w:rsidP="00334E71">
      <w:pPr>
        <w:pStyle w:val="NumberedNormal"/>
      </w:pPr>
      <w:bookmarkStart w:id="176" w:name="_Ref532293250"/>
      <w:r>
        <w:t xml:space="preserve">An application </w:t>
      </w:r>
      <w:r w:rsidRPr="00481B07">
        <w:t xml:space="preserve">under paragraph </w:t>
      </w:r>
      <w:r w:rsidR="00A53156">
        <w:t>6.2.</w:t>
      </w:r>
      <w:r w:rsidR="00AC5829">
        <w:t>9</w:t>
      </w:r>
      <w:r w:rsidRPr="00481B07">
        <w:t xml:space="preserve"> must be made:</w:t>
      </w:r>
    </w:p>
    <w:bookmarkEnd w:id="176"/>
    <w:p w14:paraId="5EB89B88" w14:textId="77777777" w:rsidR="00481B07" w:rsidRPr="00481B07" w:rsidRDefault="00481B07" w:rsidP="00334E71">
      <w:pPr>
        <w:pStyle w:val="ListNormal"/>
      </w:pPr>
      <w:r w:rsidRPr="0071799A">
        <w:t xml:space="preserve">at least 1 year before the CPM Delivery Date; </w:t>
      </w:r>
      <w:r w:rsidRPr="00481B07">
        <w:t>and</w:t>
      </w:r>
    </w:p>
    <w:p w14:paraId="6B33A42B" w14:textId="1898BE36" w:rsidR="00481B07" w:rsidRPr="00481B07" w:rsidRDefault="00481B07" w:rsidP="00334E71">
      <w:pPr>
        <w:pStyle w:val="ListNormal"/>
      </w:pPr>
      <w:r>
        <w:t>in the case of paragraph</w:t>
      </w:r>
      <w:r w:rsidRPr="00481B07">
        <w:t xml:space="preserve"> </w:t>
      </w:r>
      <w:r w:rsidR="00A53156">
        <w:t>6.2.9</w:t>
      </w:r>
      <w:r w:rsidRPr="00481B07">
        <w:t>(a)(iii), only once 90% of the CPM Construction Cost Allowance has been spent or committed.</w:t>
      </w:r>
    </w:p>
    <w:p w14:paraId="372DF7D0" w14:textId="36C5DC09" w:rsidR="00481B07" w:rsidRPr="00481B07" w:rsidRDefault="00481B07" w:rsidP="00334E71">
      <w:pPr>
        <w:pStyle w:val="NumberedNormal"/>
      </w:pPr>
      <w:bookmarkStart w:id="177" w:name="_Ref45638638"/>
      <w:r>
        <w:t xml:space="preserve">An application </w:t>
      </w:r>
      <w:r w:rsidR="006F5BA5">
        <w:t xml:space="preserve">under paragraph </w:t>
      </w:r>
      <w:r w:rsidR="00A53156">
        <w:t>6.2.9</w:t>
      </w:r>
      <w:r w:rsidR="006F5BA5">
        <w:t xml:space="preserve"> </w:t>
      </w:r>
      <w:r>
        <w:t>must:</w:t>
      </w:r>
      <w:bookmarkEnd w:id="177"/>
    </w:p>
    <w:p w14:paraId="7988B981" w14:textId="77777777" w:rsidR="00481B07" w:rsidRPr="00481B07" w:rsidRDefault="00481B07" w:rsidP="00334E71">
      <w:pPr>
        <w:pStyle w:val="ListNormal"/>
      </w:pPr>
      <w:r>
        <w:t>be made in writing</w:t>
      </w:r>
      <w:r w:rsidRPr="00481B07">
        <w:t xml:space="preserve"> to the </w:t>
      </w:r>
      <w:proofErr w:type="gramStart"/>
      <w:r w:rsidRPr="00481B07">
        <w:t>Authority;</w:t>
      </w:r>
      <w:proofErr w:type="gramEnd"/>
      <w:r w:rsidRPr="00481B07">
        <w:t xml:space="preserve"> </w:t>
      </w:r>
    </w:p>
    <w:p w14:paraId="0D418CFE" w14:textId="3249CA66" w:rsidR="00481B07" w:rsidRPr="00481B07" w:rsidRDefault="00481B07" w:rsidP="00334E71">
      <w:pPr>
        <w:pStyle w:val="ListNormal"/>
      </w:pPr>
      <w:bookmarkStart w:id="178" w:name="_Ref45638617"/>
      <w:r>
        <w:t xml:space="preserve">set </w:t>
      </w:r>
      <w:r w:rsidRPr="00481B07">
        <w:t>out the changes requested to the:</w:t>
      </w:r>
      <w:bookmarkEnd w:id="178"/>
    </w:p>
    <w:p w14:paraId="26CA9AF5" w14:textId="15D3EE1F" w:rsidR="00481B07" w:rsidRPr="00481B07" w:rsidRDefault="00481B07" w:rsidP="007E6D46">
      <w:pPr>
        <w:pStyle w:val="ListNormal"/>
        <w:numPr>
          <w:ilvl w:val="4"/>
          <w:numId w:val="8"/>
        </w:numPr>
      </w:pPr>
      <w:proofErr w:type="spellStart"/>
      <w:r w:rsidRPr="0002046F">
        <w:t>CPMt</w:t>
      </w:r>
      <w:proofErr w:type="spellEnd"/>
      <w:r w:rsidRPr="0002046F">
        <w:t xml:space="preserve"> term</w:t>
      </w:r>
      <w:r w:rsidRPr="00481B07">
        <w:t xml:space="preserve"> and the Regulatory Years to which the changes requested </w:t>
      </w:r>
      <w:proofErr w:type="gramStart"/>
      <w:r w:rsidRPr="00481B07">
        <w:t>relate;</w:t>
      </w:r>
      <w:proofErr w:type="gramEnd"/>
      <w:r w:rsidRPr="00481B07">
        <w:t xml:space="preserve"> </w:t>
      </w:r>
    </w:p>
    <w:p w14:paraId="45A762B3" w14:textId="32583BB6" w:rsidR="00481B07" w:rsidRPr="00481B07" w:rsidRDefault="00481B07" w:rsidP="007E6D46">
      <w:pPr>
        <w:pStyle w:val="ListNormal"/>
        <w:numPr>
          <w:ilvl w:val="4"/>
          <w:numId w:val="8"/>
        </w:numPr>
      </w:pPr>
      <w:r>
        <w:t xml:space="preserve">the </w:t>
      </w:r>
      <w:r w:rsidRPr="00481B07">
        <w:t xml:space="preserve">CPM Output; or </w:t>
      </w:r>
    </w:p>
    <w:p w14:paraId="4182419F" w14:textId="4FBC6A41" w:rsidR="00481B07" w:rsidRPr="00481B07" w:rsidRDefault="00481B07" w:rsidP="006F5BA5">
      <w:pPr>
        <w:pStyle w:val="ListNormal"/>
        <w:numPr>
          <w:ilvl w:val="4"/>
          <w:numId w:val="8"/>
        </w:numPr>
      </w:pPr>
      <w:r>
        <w:t xml:space="preserve">the </w:t>
      </w:r>
      <w:r w:rsidRPr="00481B07">
        <w:t xml:space="preserve">CPM Delivery Date; and </w:t>
      </w:r>
    </w:p>
    <w:p w14:paraId="3D1C4D60" w14:textId="77777777" w:rsidR="00481B07" w:rsidRPr="00481B07" w:rsidRDefault="00481B07" w:rsidP="003B4467">
      <w:pPr>
        <w:pStyle w:val="ListNormal"/>
      </w:pPr>
      <w:r>
        <w:t>include an explanation of</w:t>
      </w:r>
      <w:r w:rsidRPr="00481B07">
        <w:t>:</w:t>
      </w:r>
    </w:p>
    <w:p w14:paraId="01D122D6" w14:textId="32558A24" w:rsidR="00481B07" w:rsidRPr="00481B07" w:rsidRDefault="00481B07" w:rsidP="007E6D46">
      <w:pPr>
        <w:pStyle w:val="ListNormal"/>
        <w:numPr>
          <w:ilvl w:val="4"/>
          <w:numId w:val="8"/>
        </w:numPr>
      </w:pPr>
      <w:r>
        <w:t xml:space="preserve">how the changes </w:t>
      </w:r>
      <w:r w:rsidRPr="00481B07">
        <w:t xml:space="preserve">requested under </w:t>
      </w:r>
      <w:r w:rsidR="00A53156">
        <w:t>sub-paragraph</w:t>
      </w:r>
      <w:r w:rsidRPr="00481B07">
        <w:t xml:space="preserve"> </w:t>
      </w:r>
      <w:r w:rsidRPr="00481B07">
        <w:fldChar w:fldCharType="begin"/>
      </w:r>
      <w:r w:rsidRPr="00481B07">
        <w:instrText xml:space="preserve"> REF _Ref45638617 \r \h </w:instrText>
      </w:r>
      <w:r w:rsidR="003B4467">
        <w:instrText xml:space="preserve"> \* MERGEFORMAT </w:instrText>
      </w:r>
      <w:r w:rsidRPr="00481B07">
        <w:fldChar w:fldCharType="separate"/>
      </w:r>
      <w:r w:rsidR="007F27F4">
        <w:t>(b)</w:t>
      </w:r>
      <w:r w:rsidRPr="00481B07">
        <w:fldChar w:fldCharType="end"/>
      </w:r>
      <w:r w:rsidRPr="00481B07">
        <w:t>(</w:t>
      </w:r>
      <w:proofErr w:type="spellStart"/>
      <w:r w:rsidRPr="00481B07">
        <w:t>i</w:t>
      </w:r>
      <w:proofErr w:type="spellEnd"/>
      <w:r w:rsidRPr="00481B07">
        <w:t>) have been calculated; and</w:t>
      </w:r>
    </w:p>
    <w:p w14:paraId="4F321FBE" w14:textId="16A15B27" w:rsidR="00481B07" w:rsidRPr="00481B07" w:rsidRDefault="00481B07" w:rsidP="007E6D46">
      <w:pPr>
        <w:pStyle w:val="ListNormal"/>
        <w:numPr>
          <w:ilvl w:val="4"/>
          <w:numId w:val="8"/>
        </w:numPr>
      </w:pPr>
      <w:r>
        <w:lastRenderedPageBreak/>
        <w:t xml:space="preserve">the reasons for the </w:t>
      </w:r>
      <w:r w:rsidRPr="00481B07">
        <w:t xml:space="preserve">changes requested under </w:t>
      </w:r>
      <w:r w:rsidR="00A53156">
        <w:t>sub-paragraph</w:t>
      </w:r>
      <w:r w:rsidRPr="00481B07">
        <w:t xml:space="preserve"> </w:t>
      </w:r>
      <w:r w:rsidRPr="00481B07">
        <w:fldChar w:fldCharType="begin"/>
      </w:r>
      <w:r w:rsidRPr="00481B07">
        <w:instrText xml:space="preserve"> REF _Ref45638617 \r \h </w:instrText>
      </w:r>
      <w:r w:rsidRPr="00481B07">
        <w:fldChar w:fldCharType="separate"/>
      </w:r>
      <w:r w:rsidR="007F27F4">
        <w:t>(b)</w:t>
      </w:r>
      <w:r w:rsidRPr="00481B07">
        <w:fldChar w:fldCharType="end"/>
      </w:r>
      <w:r w:rsidRPr="00481B07">
        <w:t xml:space="preserve">. </w:t>
      </w:r>
    </w:p>
    <w:p w14:paraId="50F8981D" w14:textId="6A1AD47D" w:rsidR="00481B07" w:rsidRDefault="00481B07" w:rsidP="00C95CFC">
      <w:pPr>
        <w:pStyle w:val="Heading3"/>
      </w:pPr>
      <w:r>
        <w:t>CPM Post Construction Review</w:t>
      </w:r>
    </w:p>
    <w:p w14:paraId="6BF06414" w14:textId="7A3E4ACD" w:rsidR="00481B07" w:rsidRPr="00481B07" w:rsidRDefault="00BC45AD" w:rsidP="00C95CFC">
      <w:pPr>
        <w:pStyle w:val="NumberedNormal"/>
      </w:pPr>
      <w:r>
        <w:t xml:space="preserve">During </w:t>
      </w:r>
      <w:r w:rsidR="00A53156">
        <w:t xml:space="preserve">the period of </w:t>
      </w:r>
      <w:r w:rsidR="00481B07">
        <w:t xml:space="preserve">3 months </w:t>
      </w:r>
      <w:r w:rsidR="00A53156">
        <w:t xml:space="preserve">beginning with </w:t>
      </w:r>
      <w:r w:rsidR="00481B07">
        <w:t xml:space="preserve">the </w:t>
      </w:r>
      <w:r w:rsidR="00481B07" w:rsidRPr="00481B07">
        <w:t xml:space="preserve">CPM Delivery Date, the licensee must submit a report to the Authority detailing the delivery of the CPM Output and the costs incurred. </w:t>
      </w:r>
    </w:p>
    <w:p w14:paraId="003C416A" w14:textId="24923438" w:rsidR="00481B07" w:rsidRPr="00481B07" w:rsidRDefault="00481B07" w:rsidP="00C95CFC">
      <w:pPr>
        <w:pStyle w:val="NumberedNormal"/>
      </w:pPr>
      <w:r>
        <w:t xml:space="preserve">Following </w:t>
      </w:r>
      <w:r w:rsidRPr="00481B07">
        <w:t xml:space="preserve">consideration of this report, the Authority will consider making a CPM Post Construction Review Direction amending the CPM Output, CPM Delivery </w:t>
      </w:r>
      <w:proofErr w:type="gramStart"/>
      <w:r w:rsidRPr="00481B07">
        <w:t>Date</w:t>
      </w:r>
      <w:proofErr w:type="gramEnd"/>
      <w:r w:rsidRPr="00481B07">
        <w:t xml:space="preserve"> and associated allowance in </w:t>
      </w:r>
      <w:r w:rsidR="00C06933" w:rsidRPr="00481B07">
        <w:t>Appendi</w:t>
      </w:r>
      <w:r w:rsidR="00C06933">
        <w:t>ces</w:t>
      </w:r>
      <w:r w:rsidR="00C06933" w:rsidRPr="00481B07">
        <w:t xml:space="preserve"> </w:t>
      </w:r>
      <w:r w:rsidRPr="00481B07">
        <w:t>1</w:t>
      </w:r>
      <w:r w:rsidR="00AC5829">
        <w:t xml:space="preserve"> and 2</w:t>
      </w:r>
      <w:r w:rsidRPr="00481B07">
        <w:t xml:space="preserve">. </w:t>
      </w:r>
    </w:p>
    <w:p w14:paraId="22A63396" w14:textId="2256A730" w:rsidR="00481B07" w:rsidRDefault="00481B07" w:rsidP="00C95CFC">
      <w:pPr>
        <w:pStyle w:val="Heading3"/>
      </w:pPr>
      <w:r>
        <w:t>CPM Operational Cost Adjustment Direction</w:t>
      </w:r>
    </w:p>
    <w:p w14:paraId="5D15BE2F" w14:textId="17EA02A4" w:rsidR="00481B07" w:rsidRPr="00481B07" w:rsidRDefault="00481B07" w:rsidP="00C95CFC">
      <w:pPr>
        <w:pStyle w:val="NumberedNormal"/>
      </w:pPr>
      <w:bookmarkStart w:id="179" w:name="_Ref50121616"/>
      <w:bookmarkStart w:id="180" w:name="_Ref38896975"/>
      <w:r>
        <w:t xml:space="preserve">In respect of the Operational Period, the licensee may apply to the Authority for a CPM </w:t>
      </w:r>
      <w:r w:rsidRPr="00481B07">
        <w:t xml:space="preserve">Operational Cost Adjustment Direction, amending the allowance in Appendix </w:t>
      </w:r>
      <w:r w:rsidR="00AC5829">
        <w:t>2</w:t>
      </w:r>
      <w:r w:rsidRPr="00481B07">
        <w:t>, in relation to any increase or decrease in costs where:</w:t>
      </w:r>
      <w:bookmarkEnd w:id="179"/>
    </w:p>
    <w:p w14:paraId="262DFE3F" w14:textId="77777777" w:rsidR="00481B07" w:rsidRPr="00481B07" w:rsidRDefault="00481B07" w:rsidP="00C95CFC">
      <w:pPr>
        <w:pStyle w:val="ListNormal"/>
      </w:pPr>
      <w:r>
        <w:t>t</w:t>
      </w:r>
      <w:r w:rsidRPr="00481B07">
        <w:t xml:space="preserve">he licensee could not have reasonably foreseen the circumstances leading to the increase or decrease in </w:t>
      </w:r>
      <w:proofErr w:type="gramStart"/>
      <w:r w:rsidRPr="00481B07">
        <w:t>costs;</w:t>
      </w:r>
      <w:proofErr w:type="gramEnd"/>
    </w:p>
    <w:p w14:paraId="4D7F8350" w14:textId="77777777" w:rsidR="00481B07" w:rsidRPr="00481B07" w:rsidRDefault="00481B07" w:rsidP="00C95CFC">
      <w:pPr>
        <w:pStyle w:val="ListNormal"/>
      </w:pPr>
      <w:r>
        <w:t>the licensee could not</w:t>
      </w:r>
      <w:r w:rsidRPr="00481B07">
        <w:t xml:space="preserve"> have economically and efficiently planned a contingency for the circumstances leading to the increase or decrease in </w:t>
      </w:r>
      <w:proofErr w:type="gramStart"/>
      <w:r w:rsidRPr="00481B07">
        <w:t>costs;</w:t>
      </w:r>
      <w:proofErr w:type="gramEnd"/>
    </w:p>
    <w:p w14:paraId="2FDD7865" w14:textId="77777777" w:rsidR="00481B07" w:rsidRPr="00481B07" w:rsidRDefault="00481B07" w:rsidP="00C95CFC">
      <w:pPr>
        <w:pStyle w:val="ListNormal"/>
      </w:pPr>
      <w:r w:rsidRPr="00367465">
        <w:t xml:space="preserve">the </w:t>
      </w:r>
      <w:r w:rsidRPr="00481B07">
        <w:t>increase or decrease in costs exceeds or is expected to exceed the CPM Operational Cost Adjustment Threshold; and</w:t>
      </w:r>
    </w:p>
    <w:p w14:paraId="5E60767C" w14:textId="74AB0518" w:rsidR="00481B07" w:rsidRPr="00481B07" w:rsidRDefault="00481B07" w:rsidP="00C95CFC">
      <w:pPr>
        <w:pStyle w:val="ListNormal"/>
      </w:pPr>
      <w:r>
        <w:t xml:space="preserve">the </w:t>
      </w:r>
      <w:r w:rsidRPr="00481B07">
        <w:t>increase or decrease in costs is, or is expected to be</w:t>
      </w:r>
      <w:r w:rsidR="0052585F">
        <w:t>,</w:t>
      </w:r>
      <w:r w:rsidRPr="00481B07">
        <w:t xml:space="preserve"> efficiently </w:t>
      </w:r>
      <w:proofErr w:type="gramStart"/>
      <w:r w:rsidRPr="00481B07">
        <w:t>incurred</w:t>
      </w:r>
      <w:proofErr w:type="gramEnd"/>
      <w:r w:rsidRPr="00481B07">
        <w:t xml:space="preserve"> or saved.</w:t>
      </w:r>
    </w:p>
    <w:p w14:paraId="35AE4AF0" w14:textId="77777777" w:rsidR="00481B07" w:rsidRPr="00481B07" w:rsidRDefault="00481B07" w:rsidP="00512512">
      <w:pPr>
        <w:pStyle w:val="NumberedNormal"/>
      </w:pPr>
      <w:bookmarkStart w:id="181" w:name="_Ref38961848"/>
      <w:r>
        <w:t>To apply for</w:t>
      </w:r>
      <w:r w:rsidRPr="00481B07">
        <w:t xml:space="preserve"> a CPM Operational Cost Adjustment Direction, the licensee must:</w:t>
      </w:r>
      <w:bookmarkEnd w:id="181"/>
    </w:p>
    <w:p w14:paraId="7A7DB57F" w14:textId="2CB1B928" w:rsidR="00481B07" w:rsidRPr="00481B07" w:rsidRDefault="00481B07" w:rsidP="00512512">
      <w:pPr>
        <w:pStyle w:val="ListNormal"/>
      </w:pPr>
      <w:bookmarkStart w:id="182" w:name="_Ref38896914"/>
      <w:bookmarkEnd w:id="180"/>
      <w:r w:rsidRPr="00B76D9F">
        <w:t>notify the Authority of</w:t>
      </w:r>
      <w:r w:rsidRPr="00481B07">
        <w:t xml:space="preserve"> the circumstances leading to the increase or decrease in costs as soon as reasonably practicable but at the latest </w:t>
      </w:r>
      <w:r w:rsidR="00BC45AD">
        <w:t xml:space="preserve">before the end of the period of </w:t>
      </w:r>
      <w:r w:rsidRPr="00481B07">
        <w:t xml:space="preserve">14 days </w:t>
      </w:r>
      <w:r w:rsidR="00BC45AD">
        <w:t xml:space="preserve">beginning with the date on which the licensee became </w:t>
      </w:r>
      <w:r w:rsidRPr="00481B07">
        <w:t xml:space="preserve">aware </w:t>
      </w:r>
      <w:r w:rsidR="00BC45AD">
        <w:t>of the circumstances</w:t>
      </w:r>
      <w:r w:rsidRPr="00481B07">
        <w:t>;</w:t>
      </w:r>
      <w:bookmarkEnd w:id="182"/>
      <w:r w:rsidRPr="00481B07">
        <w:t xml:space="preserve"> and</w:t>
      </w:r>
    </w:p>
    <w:p w14:paraId="43A8C0F2" w14:textId="79065692" w:rsidR="00481B07" w:rsidRPr="00481B07" w:rsidRDefault="00481B07" w:rsidP="00512512">
      <w:pPr>
        <w:pStyle w:val="ListNormal"/>
      </w:pPr>
      <w:r>
        <w:t xml:space="preserve">except where the Authority otherwise consents, </w:t>
      </w:r>
      <w:r w:rsidR="00BC45AD">
        <w:t xml:space="preserve">before the end of </w:t>
      </w:r>
      <w:r w:rsidR="00C06933">
        <w:t xml:space="preserve">the period of </w:t>
      </w:r>
      <w:r w:rsidRPr="00481B07">
        <w:t xml:space="preserve">30 days </w:t>
      </w:r>
      <w:r w:rsidR="00C06933">
        <w:t xml:space="preserve">beginning with </w:t>
      </w:r>
      <w:r w:rsidRPr="00481B07">
        <w:t xml:space="preserve">the </w:t>
      </w:r>
      <w:r w:rsidR="00C06933">
        <w:t xml:space="preserve">date of </w:t>
      </w:r>
      <w:r w:rsidRPr="00481B07">
        <w:t xml:space="preserve">notification under </w:t>
      </w:r>
      <w:r w:rsidR="00A53156">
        <w:t>sub-paragraph</w:t>
      </w:r>
      <w:r w:rsidRPr="00481B07">
        <w:t xml:space="preserve"> </w:t>
      </w:r>
      <w:r w:rsidRPr="00481B07">
        <w:fldChar w:fldCharType="begin"/>
      </w:r>
      <w:r w:rsidRPr="00481B07">
        <w:instrText xml:space="preserve"> REF _Ref38896914 \r \h </w:instrText>
      </w:r>
      <w:r w:rsidRPr="00481B07">
        <w:fldChar w:fldCharType="separate"/>
      </w:r>
      <w:r w:rsidR="007F27F4">
        <w:t>(a)</w:t>
      </w:r>
      <w:r w:rsidRPr="00481B07">
        <w:fldChar w:fldCharType="end"/>
      </w:r>
      <w:r w:rsidRPr="00481B07">
        <w:t xml:space="preserve">, provide evidence that the conditions set out in paragraph </w:t>
      </w:r>
      <w:r w:rsidRPr="00481B07">
        <w:fldChar w:fldCharType="begin"/>
      </w:r>
      <w:r w:rsidRPr="00481B07">
        <w:instrText xml:space="preserve"> REF _Ref50121616 \r \h </w:instrText>
      </w:r>
      <w:r w:rsidRPr="00481B07">
        <w:fldChar w:fldCharType="separate"/>
      </w:r>
      <w:r w:rsidR="007F27F4">
        <w:t>6.2.14</w:t>
      </w:r>
      <w:r w:rsidRPr="00481B07">
        <w:fldChar w:fldCharType="end"/>
      </w:r>
      <w:r w:rsidR="00755A1C">
        <w:t xml:space="preserve"> have been met</w:t>
      </w:r>
      <w:r w:rsidRPr="00481B07">
        <w:t>.</w:t>
      </w:r>
    </w:p>
    <w:p w14:paraId="3E1D694D" w14:textId="070DA714" w:rsidR="00481B07" w:rsidRPr="00446166" w:rsidRDefault="00481B07" w:rsidP="00512512">
      <w:pPr>
        <w:pStyle w:val="Heading3"/>
      </w:pPr>
      <w:r w:rsidRPr="00446166">
        <w:t xml:space="preserve">What process will the Authority follow </w:t>
      </w:r>
      <w:r>
        <w:t>in</w:t>
      </w:r>
      <w:r w:rsidRPr="00446166">
        <w:t xml:space="preserve"> </w:t>
      </w:r>
      <w:proofErr w:type="gramStart"/>
      <w:r w:rsidRPr="00446166">
        <w:t xml:space="preserve">making a </w:t>
      </w:r>
      <w:r>
        <w:t>decision</w:t>
      </w:r>
      <w:proofErr w:type="gramEnd"/>
      <w:r>
        <w:t xml:space="preserve"> or </w:t>
      </w:r>
      <w:r w:rsidRPr="00446166">
        <w:t xml:space="preserve">direction? </w:t>
      </w:r>
    </w:p>
    <w:p w14:paraId="095D757C" w14:textId="77777777" w:rsidR="00481B07" w:rsidRPr="00481B07" w:rsidRDefault="00481B07" w:rsidP="00512512">
      <w:pPr>
        <w:pStyle w:val="NumberedNormal"/>
      </w:pPr>
      <w:r>
        <w:t xml:space="preserve">A </w:t>
      </w:r>
      <w:r w:rsidRPr="00481B07">
        <w:t>CPM Project Assessment Decision will set out:</w:t>
      </w:r>
    </w:p>
    <w:p w14:paraId="6170C699" w14:textId="77777777" w:rsidR="00481B07" w:rsidRPr="00481B07" w:rsidRDefault="00481B07" w:rsidP="00512512">
      <w:pPr>
        <w:pStyle w:val="ListNormal"/>
      </w:pPr>
      <w:r>
        <w:t xml:space="preserve">the CPM </w:t>
      </w:r>
      <w:proofErr w:type="gramStart"/>
      <w:r>
        <w:t>Output</w:t>
      </w:r>
      <w:bookmarkStart w:id="183" w:name="_Ref444315"/>
      <w:r w:rsidRPr="00481B07">
        <w:t>;</w:t>
      </w:r>
      <w:bookmarkEnd w:id="183"/>
      <w:proofErr w:type="gramEnd"/>
    </w:p>
    <w:p w14:paraId="3E7FD065" w14:textId="5B2C43F9" w:rsidR="00481B07" w:rsidRPr="00481B07" w:rsidRDefault="00481B07" w:rsidP="00512512">
      <w:pPr>
        <w:pStyle w:val="ListNormal"/>
      </w:pPr>
      <w:bookmarkStart w:id="184" w:name="_Ref444325"/>
      <w:r>
        <w:t xml:space="preserve">the </w:t>
      </w:r>
      <w:r w:rsidRPr="00481B07">
        <w:t>CPM Delivery Date;</w:t>
      </w:r>
      <w:bookmarkEnd w:id="184"/>
      <w:r w:rsidRPr="00481B07">
        <w:t xml:space="preserve"> </w:t>
      </w:r>
      <w:r w:rsidR="00D05C48">
        <w:t>and</w:t>
      </w:r>
    </w:p>
    <w:p w14:paraId="486A9359" w14:textId="4B7B78AB" w:rsidR="00481B07" w:rsidRPr="00481B07" w:rsidRDefault="00481B07" w:rsidP="00512512">
      <w:pPr>
        <w:pStyle w:val="ListNormal"/>
      </w:pPr>
      <w:r>
        <w:t>the CPM Project Financial Model</w:t>
      </w:r>
      <w:r w:rsidRPr="00481B07">
        <w:t xml:space="preserve"> and CPM Variable Inputs</w:t>
      </w:r>
      <w:r w:rsidR="00016B48">
        <w:t>, the project-specific CPM Co</w:t>
      </w:r>
      <w:r w:rsidR="00106EAA">
        <w:t>nstruction Co</w:t>
      </w:r>
      <w:r w:rsidR="00016B48">
        <w:t>st of Capital</w:t>
      </w:r>
      <w:r w:rsidR="00D05C48">
        <w:t>, and the CPM Sharing Factors.</w:t>
      </w:r>
    </w:p>
    <w:p w14:paraId="0E085050" w14:textId="67FDD694" w:rsidR="00481B07" w:rsidRPr="00481B07" w:rsidRDefault="00481B07" w:rsidP="00FE45B8">
      <w:pPr>
        <w:pStyle w:val="NumberedNormal"/>
      </w:pPr>
      <w:r>
        <w:lastRenderedPageBreak/>
        <w:t>A</w:t>
      </w:r>
      <w:r w:rsidRPr="00481B07">
        <w:t xml:space="preserve">ny modifications to this licence </w:t>
      </w:r>
      <w:r w:rsidR="00755A1C">
        <w:t xml:space="preserve">as part of </w:t>
      </w:r>
      <w:r w:rsidRPr="00481B07">
        <w:t>a CPM Project Assessment Decision will be made under section 11A of the Act.</w:t>
      </w:r>
    </w:p>
    <w:p w14:paraId="6FFDB765" w14:textId="033419C7" w:rsidR="00481B07" w:rsidRPr="00481B07" w:rsidRDefault="00481B07" w:rsidP="00FE45B8">
      <w:pPr>
        <w:pStyle w:val="NumberedNormal"/>
      </w:pPr>
      <w:bookmarkStart w:id="185" w:name="_Ref45120531"/>
      <w:r w:rsidRPr="00030FC9">
        <w:t>Before making a direction</w:t>
      </w:r>
      <w:r w:rsidRPr="00481B07">
        <w:t xml:space="preserve"> under paragraphs </w:t>
      </w:r>
      <w:bookmarkStart w:id="186" w:name="_Hlk51851605"/>
      <w:r w:rsidR="00C06933">
        <w:t>6.2.</w:t>
      </w:r>
      <w:bookmarkEnd w:id="186"/>
      <w:r w:rsidR="00AC5829">
        <w:t>4</w:t>
      </w:r>
      <w:r w:rsidRPr="00481B07">
        <w:t xml:space="preserve">, </w:t>
      </w:r>
      <w:r w:rsidR="00C06933">
        <w:t>6.2.</w:t>
      </w:r>
      <w:r w:rsidR="00755A1C">
        <w:t>8</w:t>
      </w:r>
      <w:r w:rsidRPr="00481B07">
        <w:t xml:space="preserve">, </w:t>
      </w:r>
      <w:r w:rsidR="00C06933">
        <w:t>6.2.</w:t>
      </w:r>
      <w:r w:rsidR="00755A1C" w:rsidRPr="00481B07">
        <w:t>1</w:t>
      </w:r>
      <w:r w:rsidR="00755A1C">
        <w:t>2</w:t>
      </w:r>
      <w:r w:rsidR="00755A1C" w:rsidRPr="00481B07">
        <w:t xml:space="preserve"> </w:t>
      </w:r>
      <w:r w:rsidRPr="00481B07">
        <w:t xml:space="preserve">or </w:t>
      </w:r>
      <w:r w:rsidR="00C06933">
        <w:t>6.2.</w:t>
      </w:r>
      <w:r w:rsidR="00755A1C" w:rsidRPr="00481B07">
        <w:t>1</w:t>
      </w:r>
      <w:r w:rsidR="00755A1C">
        <w:t>3</w:t>
      </w:r>
      <w:r w:rsidRPr="00481B07">
        <w:t>, the Authority will publish on the Authority's Website:</w:t>
      </w:r>
    </w:p>
    <w:p w14:paraId="73718F94" w14:textId="77777777" w:rsidR="00481B07" w:rsidRPr="00481B07" w:rsidRDefault="00481B07" w:rsidP="00FE45B8">
      <w:pPr>
        <w:pStyle w:val="ListNormal"/>
      </w:pPr>
      <w:r w:rsidRPr="00030FC9">
        <w:t xml:space="preserve">the text of the proposed </w:t>
      </w:r>
      <w:proofErr w:type="gramStart"/>
      <w:r w:rsidRPr="00030FC9">
        <w:t>direction;</w:t>
      </w:r>
      <w:proofErr w:type="gramEnd"/>
    </w:p>
    <w:p w14:paraId="669E2490" w14:textId="51FA7CAB" w:rsidR="00481B07" w:rsidRPr="00481B07" w:rsidRDefault="00481B07" w:rsidP="00FE45B8">
      <w:pPr>
        <w:pStyle w:val="ListNormal"/>
      </w:pPr>
      <w:r w:rsidRPr="00030FC9">
        <w:t>the reasons for the proposed direction;</w:t>
      </w:r>
      <w:r w:rsidR="00755A1C">
        <w:t xml:space="preserve"> and</w:t>
      </w:r>
    </w:p>
    <w:p w14:paraId="4D353FA5" w14:textId="61DDAFBA" w:rsidR="00755A1C" w:rsidRPr="00755A1C" w:rsidRDefault="00755A1C" w:rsidP="00755A1C">
      <w:pPr>
        <w:pStyle w:val="ListNormal"/>
        <w:tabs>
          <w:tab w:val="num" w:pos="879"/>
        </w:tabs>
      </w:pPr>
      <w:r w:rsidRPr="00755A1C">
        <w:t xml:space="preserve">a period during which representations may be made on </w:t>
      </w:r>
      <w:r>
        <w:t>proposed direction</w:t>
      </w:r>
      <w:r w:rsidRPr="00755A1C">
        <w:t xml:space="preserve">, which will not be less than 28 days. </w:t>
      </w:r>
    </w:p>
    <w:p w14:paraId="3E07435B" w14:textId="3A1D0530" w:rsidR="00481B07" w:rsidRPr="00481B07" w:rsidRDefault="00481B07" w:rsidP="00FD097F">
      <w:pPr>
        <w:pStyle w:val="NumberedNormal"/>
      </w:pPr>
      <w:r>
        <w:t>A CPM Mid Construction Review Direction will set out</w:t>
      </w:r>
      <w:bookmarkStart w:id="187" w:name="_Ref45285437"/>
      <w:bookmarkEnd w:id="185"/>
      <w:r w:rsidR="00FD097F">
        <w:t xml:space="preserve"> </w:t>
      </w:r>
      <w:r>
        <w:t>a</w:t>
      </w:r>
      <w:r w:rsidRPr="00481B07">
        <w:t>ll relevant adjustments to the CPM Variable Inputs</w:t>
      </w:r>
      <w:r w:rsidR="006A36E4">
        <w:t>, including the allowances set out in Appendix 1</w:t>
      </w:r>
      <w:bookmarkEnd w:id="187"/>
      <w:r w:rsidRPr="00481B07">
        <w:t xml:space="preserve">. </w:t>
      </w:r>
    </w:p>
    <w:p w14:paraId="37AFBE2B" w14:textId="77777777" w:rsidR="00481B07" w:rsidRPr="00481B07" w:rsidRDefault="00481B07" w:rsidP="00FE45B8">
      <w:pPr>
        <w:pStyle w:val="NumberedNormal"/>
      </w:pPr>
      <w:bookmarkStart w:id="188" w:name="_Ref45120536"/>
      <w:r>
        <w:t>A CPM Post Construction Review Direction will set out:</w:t>
      </w:r>
      <w:bookmarkEnd w:id="188"/>
    </w:p>
    <w:p w14:paraId="0928C62C" w14:textId="77777777" w:rsidR="00481B07" w:rsidRPr="00481B07" w:rsidRDefault="00481B07" w:rsidP="00FE45B8">
      <w:pPr>
        <w:pStyle w:val="ListNormal"/>
      </w:pPr>
      <w:bookmarkStart w:id="189" w:name="_Ref45285995"/>
      <w:r w:rsidRPr="00837209">
        <w:t>a</w:t>
      </w:r>
      <w:r w:rsidRPr="00481B07">
        <w:t xml:space="preserve">ll relevant adjustments to the CPM Variable </w:t>
      </w:r>
      <w:proofErr w:type="gramStart"/>
      <w:r w:rsidRPr="00481B07">
        <w:t>Inputs;</w:t>
      </w:r>
      <w:bookmarkEnd w:id="189"/>
      <w:proofErr w:type="gramEnd"/>
    </w:p>
    <w:p w14:paraId="7C47345D" w14:textId="614ED8AD" w:rsidR="00481B07" w:rsidRPr="00481B07" w:rsidRDefault="009E6E49" w:rsidP="00FE45B8">
      <w:pPr>
        <w:pStyle w:val="ListNormal"/>
      </w:pPr>
      <w:r w:rsidRPr="009E6E49">
        <w:t>adjustments to the allowance set ou</w:t>
      </w:r>
      <w:r>
        <w:t>t</w:t>
      </w:r>
      <w:r w:rsidRPr="009E6E49">
        <w:t xml:space="preserve"> in </w:t>
      </w:r>
      <w:r w:rsidR="00755A1C" w:rsidRPr="009E6E49">
        <w:t>Appendi</w:t>
      </w:r>
      <w:r w:rsidR="00755A1C">
        <w:t>ces</w:t>
      </w:r>
      <w:r w:rsidR="00755A1C" w:rsidRPr="009E6E49">
        <w:t xml:space="preserve"> </w:t>
      </w:r>
      <w:r w:rsidRPr="009E6E49">
        <w:t>1</w:t>
      </w:r>
      <w:r>
        <w:t xml:space="preserve"> and </w:t>
      </w:r>
      <w:proofErr w:type="gramStart"/>
      <w:r>
        <w:t>2</w:t>
      </w:r>
      <w:r w:rsidR="00481B07" w:rsidRPr="00481B07">
        <w:t>;</w:t>
      </w:r>
      <w:proofErr w:type="gramEnd"/>
    </w:p>
    <w:p w14:paraId="52B0BE55" w14:textId="0410F30D" w:rsidR="00481B07" w:rsidRPr="00481B07" w:rsidRDefault="00481B07" w:rsidP="00FE45B8">
      <w:pPr>
        <w:pStyle w:val="ListNormal"/>
      </w:pPr>
      <w:r w:rsidRPr="002611AD">
        <w:t xml:space="preserve">the </w:t>
      </w:r>
      <w:r w:rsidR="00CE3A40">
        <w:t>CPM Operational Cost of Capital</w:t>
      </w:r>
      <w:r w:rsidRPr="00481B07">
        <w:t>; and</w:t>
      </w:r>
    </w:p>
    <w:p w14:paraId="6182A81B" w14:textId="77777777" w:rsidR="00481B07" w:rsidRPr="00481B07" w:rsidRDefault="00481B07" w:rsidP="00FE45B8">
      <w:pPr>
        <w:pStyle w:val="ListNormal"/>
      </w:pPr>
      <w:r w:rsidRPr="000C7CC1">
        <w:t xml:space="preserve">the CPM Operational Cost </w:t>
      </w:r>
      <w:r w:rsidRPr="00481B07">
        <w:t>Adjustment Threshold.</w:t>
      </w:r>
    </w:p>
    <w:p w14:paraId="522C50B9" w14:textId="77777777" w:rsidR="00481B07" w:rsidRPr="00481B07" w:rsidRDefault="00481B07" w:rsidP="00FE45B8">
      <w:pPr>
        <w:pStyle w:val="NumberedNormal"/>
      </w:pPr>
      <w:bookmarkStart w:id="190" w:name="_Ref45120542"/>
      <w:r>
        <w:t xml:space="preserve">A </w:t>
      </w:r>
      <w:r w:rsidRPr="00481B07">
        <w:t>CPM Operational Cost Adjustment Direction will set out:</w:t>
      </w:r>
      <w:bookmarkEnd w:id="190"/>
    </w:p>
    <w:p w14:paraId="6B8708DF" w14:textId="77777777" w:rsidR="00481B07" w:rsidRPr="00481B07" w:rsidRDefault="00481B07" w:rsidP="006C5F00">
      <w:pPr>
        <w:pStyle w:val="ListNormal"/>
      </w:pPr>
      <w:bookmarkStart w:id="191" w:name="_Ref45288240"/>
      <w:r w:rsidRPr="009B0CA5">
        <w:t>a</w:t>
      </w:r>
      <w:r w:rsidRPr="00481B07">
        <w:t xml:space="preserve">ll relevant adjustments to the CPM Variable </w:t>
      </w:r>
      <w:proofErr w:type="gramStart"/>
      <w:r w:rsidRPr="00481B07">
        <w:t>Inputs;</w:t>
      </w:r>
      <w:bookmarkEnd w:id="191"/>
      <w:proofErr w:type="gramEnd"/>
    </w:p>
    <w:p w14:paraId="366C4F05" w14:textId="4439C96F" w:rsidR="00481B07" w:rsidRPr="00481B07" w:rsidRDefault="009E6E49" w:rsidP="009E6E49">
      <w:pPr>
        <w:pStyle w:val="ListNormal"/>
      </w:pPr>
      <w:r w:rsidRPr="009E6E49">
        <w:t>adjustments to the allowance set out in Appendix 2</w:t>
      </w:r>
      <w:r w:rsidR="00481B07" w:rsidRPr="00481B07">
        <w:t>; and</w:t>
      </w:r>
    </w:p>
    <w:p w14:paraId="74203DF7" w14:textId="29E51063" w:rsidR="00481B07" w:rsidRPr="00481B07" w:rsidRDefault="00481B07" w:rsidP="006C5F00">
      <w:pPr>
        <w:pStyle w:val="ListNormal"/>
      </w:pPr>
      <w:r w:rsidRPr="0002046F">
        <w:t xml:space="preserve">the Regulatory Years to which the adjustment to the </w:t>
      </w:r>
      <w:proofErr w:type="spellStart"/>
      <w:r w:rsidRPr="0002046F">
        <w:t>CPM</w:t>
      </w:r>
      <w:r w:rsidR="004959C4">
        <w:t>R</w:t>
      </w:r>
      <w:r w:rsidRPr="0002046F">
        <w:t>t</w:t>
      </w:r>
      <w:proofErr w:type="spellEnd"/>
      <w:r w:rsidRPr="0002046F">
        <w:t xml:space="preserve"> term</w:t>
      </w:r>
      <w:r w:rsidRPr="00481B07" w:rsidDel="0002046F">
        <w:t xml:space="preserve"> </w:t>
      </w:r>
      <w:r w:rsidRPr="00481B07">
        <w:t>relates.</w:t>
      </w:r>
    </w:p>
    <w:p w14:paraId="6737B25C" w14:textId="6F6B3EEF" w:rsidR="00481B07" w:rsidRDefault="00481B07" w:rsidP="00E56E55">
      <w:pPr>
        <w:pStyle w:val="Heading3"/>
      </w:pPr>
      <w:r>
        <w:t>CPM Guidance</w:t>
      </w:r>
    </w:p>
    <w:p w14:paraId="5EC252E1" w14:textId="5FCA0B2C" w:rsidR="00481B07" w:rsidRPr="00481B07" w:rsidRDefault="00481B07" w:rsidP="000C7095">
      <w:pPr>
        <w:pStyle w:val="NumberedNormal"/>
      </w:pPr>
      <w:r>
        <w:t xml:space="preserve">The licensee must comply with the CPM Guidance when </w:t>
      </w:r>
      <w:r w:rsidRPr="00481B07">
        <w:t xml:space="preserve">making an application under Part </w:t>
      </w:r>
      <w:r w:rsidR="004959C4">
        <w:t>C</w:t>
      </w:r>
      <w:r w:rsidRPr="00481B07">
        <w:t xml:space="preserve">, </w:t>
      </w:r>
      <w:r w:rsidR="004959C4">
        <w:t>E</w:t>
      </w:r>
      <w:r w:rsidRPr="00481B07">
        <w:t xml:space="preserve"> or </w:t>
      </w:r>
      <w:r w:rsidR="004959C4">
        <w:t>G</w:t>
      </w:r>
      <w:r w:rsidRPr="00481B07">
        <w:t xml:space="preserve"> or when submitting a report under Part </w:t>
      </w:r>
      <w:r w:rsidR="004959C4">
        <w:t>F</w:t>
      </w:r>
      <w:r w:rsidRPr="00481B07">
        <w:t>.</w:t>
      </w:r>
    </w:p>
    <w:p w14:paraId="5FF26B50" w14:textId="77777777" w:rsidR="00481B07" w:rsidRPr="00481B07" w:rsidRDefault="00481B07" w:rsidP="000C7095">
      <w:pPr>
        <w:pStyle w:val="NumberedNormal"/>
      </w:pPr>
      <w:r>
        <w:t xml:space="preserve">The Authority will issue and </w:t>
      </w:r>
      <w:r w:rsidRPr="00481B07">
        <w:t>amend the CPM Guidance by direction.</w:t>
      </w:r>
    </w:p>
    <w:p w14:paraId="720BB347" w14:textId="77777777" w:rsidR="00481B07" w:rsidRPr="00481B07" w:rsidRDefault="00481B07" w:rsidP="000C7095">
      <w:pPr>
        <w:pStyle w:val="NumberedNormal"/>
      </w:pPr>
      <w:r>
        <w:t>The Authority will publish the CPM Guidance on the Authority's Website.</w:t>
      </w:r>
    </w:p>
    <w:p w14:paraId="45E9951E" w14:textId="77777777" w:rsidR="00481B07" w:rsidRPr="00481B07" w:rsidRDefault="00481B07" w:rsidP="000C7095">
      <w:pPr>
        <w:pStyle w:val="NumberedNormal"/>
      </w:pPr>
      <w:r>
        <w:t>The CPM Guidance will make provision about:</w:t>
      </w:r>
    </w:p>
    <w:p w14:paraId="2D0A7026" w14:textId="7E03977A" w:rsidR="00481B07" w:rsidRPr="00481B07" w:rsidRDefault="00481B07" w:rsidP="000C7095">
      <w:pPr>
        <w:pStyle w:val="ListNormal"/>
      </w:pPr>
      <w:r>
        <w:t>t</w:t>
      </w:r>
      <w:r w:rsidRPr="00481B07">
        <w:t xml:space="preserve">he detailed requirements pertaining to Parts </w:t>
      </w:r>
      <w:r w:rsidR="004959C4">
        <w:t>C</w:t>
      </w:r>
      <w:r w:rsidRPr="00481B07">
        <w:t xml:space="preserve">, </w:t>
      </w:r>
      <w:r w:rsidR="004959C4">
        <w:t>E</w:t>
      </w:r>
      <w:r w:rsidRPr="00481B07">
        <w:t xml:space="preserve">, </w:t>
      </w:r>
      <w:r w:rsidR="004959C4">
        <w:t>F</w:t>
      </w:r>
      <w:r w:rsidRPr="00481B07">
        <w:t xml:space="preserve"> and </w:t>
      </w:r>
      <w:proofErr w:type="gramStart"/>
      <w:r w:rsidR="004959C4">
        <w:t>G</w:t>
      </w:r>
      <w:r w:rsidRPr="00481B07">
        <w:t>;</w:t>
      </w:r>
      <w:proofErr w:type="gramEnd"/>
      <w:r w:rsidRPr="00481B07">
        <w:t xml:space="preserve"> </w:t>
      </w:r>
    </w:p>
    <w:p w14:paraId="047D29E4" w14:textId="651B855A" w:rsidR="00481B07" w:rsidRPr="00481B07" w:rsidRDefault="00481B07" w:rsidP="000C7095">
      <w:pPr>
        <w:pStyle w:val="ListNormal"/>
      </w:pPr>
      <w:r>
        <w:t xml:space="preserve">the </w:t>
      </w:r>
      <w:r w:rsidRPr="00481B07">
        <w:t xml:space="preserve">way the Authority will decide whether to make a direction under Part </w:t>
      </w:r>
      <w:r w:rsidR="004959C4">
        <w:t>B</w:t>
      </w:r>
      <w:r w:rsidRPr="00481B07">
        <w:t>.</w:t>
      </w:r>
    </w:p>
    <w:p w14:paraId="50BCB943" w14:textId="6AD71EF3" w:rsidR="00481B07" w:rsidRPr="00481B07" w:rsidRDefault="00481B07" w:rsidP="004C0395">
      <w:pPr>
        <w:pStyle w:val="NumberedNormal"/>
      </w:pPr>
      <w:r>
        <w:t xml:space="preserve">Before directing that the CPM Guidance comes into effect the Authority will publish on </w:t>
      </w:r>
      <w:r w:rsidR="00D9203B">
        <w:t>the Authority's Website</w:t>
      </w:r>
      <w:r>
        <w:t>:</w:t>
      </w:r>
    </w:p>
    <w:p w14:paraId="731C2A56" w14:textId="77777777" w:rsidR="00481B07" w:rsidRPr="00481B07" w:rsidRDefault="00481B07" w:rsidP="000C7095">
      <w:pPr>
        <w:pStyle w:val="ListNormal"/>
      </w:pPr>
      <w:r>
        <w:t xml:space="preserve">the text of the </w:t>
      </w:r>
      <w:r w:rsidRPr="00481B07">
        <w:t xml:space="preserve">proposed CPM </w:t>
      </w:r>
      <w:proofErr w:type="gramStart"/>
      <w:r w:rsidRPr="00481B07">
        <w:t>Guidance;</w:t>
      </w:r>
      <w:proofErr w:type="gramEnd"/>
    </w:p>
    <w:p w14:paraId="1A910DC5" w14:textId="6BD7BCE3" w:rsidR="00481B07" w:rsidRPr="00481B07" w:rsidRDefault="00481B07" w:rsidP="000C7095">
      <w:pPr>
        <w:pStyle w:val="ListNormal"/>
      </w:pPr>
      <w:r>
        <w:t xml:space="preserve">the date </w:t>
      </w:r>
      <w:r w:rsidR="000A3714">
        <w:t xml:space="preserve">on which </w:t>
      </w:r>
      <w:r>
        <w:t>the Authority intends the CPM Guidance to come into effect;</w:t>
      </w:r>
      <w:r w:rsidRPr="00481B07">
        <w:t xml:space="preserve"> and</w:t>
      </w:r>
    </w:p>
    <w:p w14:paraId="77A35F07" w14:textId="1EE0A5BC" w:rsidR="00755A1C" w:rsidRPr="00755A1C" w:rsidRDefault="00755A1C" w:rsidP="00755A1C">
      <w:pPr>
        <w:pStyle w:val="ListNormal"/>
        <w:tabs>
          <w:tab w:val="num" w:pos="879"/>
        </w:tabs>
      </w:pPr>
      <w:r w:rsidRPr="00755A1C">
        <w:t xml:space="preserve">a period during which representations may be made on the </w:t>
      </w:r>
      <w:r>
        <w:t>content of the CPM Guidance</w:t>
      </w:r>
      <w:r w:rsidRPr="00755A1C">
        <w:t xml:space="preserve">, which will not be less than 28 days. </w:t>
      </w:r>
    </w:p>
    <w:p w14:paraId="659647CD" w14:textId="22F43481" w:rsidR="00481B07" w:rsidRPr="00481B07" w:rsidRDefault="00481B07" w:rsidP="00883D77">
      <w:pPr>
        <w:pStyle w:val="NumberedNormal"/>
      </w:pPr>
      <w:r>
        <w:lastRenderedPageBreak/>
        <w:t xml:space="preserve">Before directing an amendment to the CPM Guidance, the Authority will publish on </w:t>
      </w:r>
      <w:r w:rsidR="00D9203B">
        <w:t>the Authority's Website</w:t>
      </w:r>
      <w:r>
        <w:t>:</w:t>
      </w:r>
    </w:p>
    <w:p w14:paraId="514D70A4" w14:textId="77777777" w:rsidR="00481B07" w:rsidRPr="00481B07" w:rsidRDefault="00481B07" w:rsidP="00883D77">
      <w:pPr>
        <w:pStyle w:val="ListNormal"/>
      </w:pPr>
      <w:r>
        <w:t xml:space="preserve">the text of the amended </w:t>
      </w:r>
      <w:r w:rsidRPr="00481B07">
        <w:t xml:space="preserve">CPM </w:t>
      </w:r>
      <w:proofErr w:type="gramStart"/>
      <w:r w:rsidRPr="00481B07">
        <w:t>Guidance;</w:t>
      </w:r>
      <w:proofErr w:type="gramEnd"/>
    </w:p>
    <w:p w14:paraId="22E7365F" w14:textId="52396F56" w:rsidR="00481B07" w:rsidRPr="00481B07" w:rsidRDefault="00481B07" w:rsidP="00883D77">
      <w:pPr>
        <w:pStyle w:val="ListNormal"/>
      </w:pPr>
      <w:r>
        <w:t>the date</w:t>
      </w:r>
      <w:r w:rsidR="00755A1C">
        <w:t xml:space="preserve"> on which</w:t>
      </w:r>
      <w:r>
        <w:t xml:space="preserve"> the Authority intends the amended CPM Guidance to come into </w:t>
      </w:r>
      <w:proofErr w:type="gramStart"/>
      <w:r>
        <w:t>effect;</w:t>
      </w:r>
      <w:proofErr w:type="gramEnd"/>
    </w:p>
    <w:p w14:paraId="1B1D987B" w14:textId="77777777" w:rsidR="00481B07" w:rsidRPr="00481B07" w:rsidRDefault="00481B07" w:rsidP="00883D77">
      <w:pPr>
        <w:pStyle w:val="ListNormal"/>
      </w:pPr>
      <w:r>
        <w:t>the reasons for the amendments to the CPM Guidance;</w:t>
      </w:r>
      <w:r w:rsidRPr="00481B07">
        <w:t xml:space="preserve"> and</w:t>
      </w:r>
    </w:p>
    <w:p w14:paraId="58CDC543" w14:textId="086772FA" w:rsidR="00755A1C" w:rsidRPr="00755A1C" w:rsidRDefault="00755A1C" w:rsidP="00755A1C">
      <w:pPr>
        <w:pStyle w:val="ListNormal"/>
        <w:tabs>
          <w:tab w:val="num" w:pos="879"/>
        </w:tabs>
      </w:pPr>
      <w:r w:rsidRPr="00755A1C">
        <w:t xml:space="preserve">a period during which representations may be made on the </w:t>
      </w:r>
      <w:r>
        <w:t>amendments to</w:t>
      </w:r>
      <w:r w:rsidRPr="00755A1C">
        <w:t xml:space="preserve"> the CPM Guidance, which will not be less than 28 days. </w:t>
      </w:r>
    </w:p>
    <w:p w14:paraId="2121BA37" w14:textId="77777777" w:rsidR="00481B07" w:rsidRDefault="00481B07" w:rsidP="00481B07"/>
    <w:p w14:paraId="2525444B" w14:textId="78E36D3F" w:rsidR="00481B07" w:rsidRPr="00951250" w:rsidRDefault="00481B07" w:rsidP="007E4FD6">
      <w:pPr>
        <w:pStyle w:val="AppendixHeading"/>
      </w:pPr>
      <w:bookmarkStart w:id="192" w:name="_Toc51798313"/>
      <w:bookmarkEnd w:id="192"/>
    </w:p>
    <w:tbl>
      <w:tblPr>
        <w:tblStyle w:val="AppendixTable"/>
        <w:tblW w:w="9255" w:type="dxa"/>
        <w:tblLook w:val="04A0" w:firstRow="1" w:lastRow="0" w:firstColumn="1" w:lastColumn="0" w:noHBand="0" w:noVBand="1"/>
      </w:tblPr>
      <w:tblGrid>
        <w:gridCol w:w="2210"/>
        <w:gridCol w:w="2084"/>
        <w:gridCol w:w="2409"/>
        <w:gridCol w:w="2552"/>
      </w:tblGrid>
      <w:tr w:rsidR="00481B07" w14:paraId="074AC84D" w14:textId="77777777" w:rsidTr="007E4FD6">
        <w:trPr>
          <w:cnfStyle w:val="100000000000" w:firstRow="1" w:lastRow="0" w:firstColumn="0" w:lastColumn="0" w:oddVBand="0" w:evenVBand="0" w:oddHBand="0" w:evenHBand="0" w:firstRowFirstColumn="0" w:firstRowLastColumn="0" w:lastRowFirstColumn="0" w:lastRowLastColumn="0"/>
        </w:trPr>
        <w:tc>
          <w:tcPr>
            <w:tcW w:w="2210" w:type="dxa"/>
          </w:tcPr>
          <w:p w14:paraId="21B9BE6D" w14:textId="77777777" w:rsidR="00481B07" w:rsidRPr="00481B07" w:rsidRDefault="00481B07" w:rsidP="00481B07">
            <w:r w:rsidRPr="00202BD0">
              <w:t>Project Name</w:t>
            </w:r>
          </w:p>
        </w:tc>
        <w:tc>
          <w:tcPr>
            <w:tcW w:w="2084" w:type="dxa"/>
          </w:tcPr>
          <w:p w14:paraId="6DCB1285" w14:textId="77777777" w:rsidR="00481B07" w:rsidRDefault="00481B07" w:rsidP="00481B07"/>
        </w:tc>
        <w:tc>
          <w:tcPr>
            <w:tcW w:w="2409" w:type="dxa"/>
          </w:tcPr>
          <w:p w14:paraId="229257A1" w14:textId="77777777" w:rsidR="00481B07" w:rsidRDefault="00481B07" w:rsidP="00481B07"/>
        </w:tc>
        <w:tc>
          <w:tcPr>
            <w:tcW w:w="2552" w:type="dxa"/>
          </w:tcPr>
          <w:p w14:paraId="633870C3" w14:textId="77777777" w:rsidR="00481B07" w:rsidRDefault="00481B07" w:rsidP="00481B07"/>
        </w:tc>
      </w:tr>
      <w:tr w:rsidR="00481B07" w14:paraId="3AC39239" w14:textId="77777777" w:rsidTr="007E4FD6">
        <w:tc>
          <w:tcPr>
            <w:tcW w:w="2210" w:type="dxa"/>
          </w:tcPr>
          <w:p w14:paraId="5AF2F52F" w14:textId="77777777" w:rsidR="00481B07" w:rsidRPr="00481B07" w:rsidRDefault="00481B07" w:rsidP="00481B07">
            <w:r w:rsidRPr="00202BD0">
              <w:t>CPM Output</w:t>
            </w:r>
          </w:p>
        </w:tc>
        <w:tc>
          <w:tcPr>
            <w:tcW w:w="2084" w:type="dxa"/>
          </w:tcPr>
          <w:p w14:paraId="35B4E34B" w14:textId="77777777" w:rsidR="00481B07" w:rsidRDefault="00481B07" w:rsidP="00481B07"/>
        </w:tc>
        <w:tc>
          <w:tcPr>
            <w:tcW w:w="2409" w:type="dxa"/>
          </w:tcPr>
          <w:p w14:paraId="77807834" w14:textId="77777777" w:rsidR="00481B07" w:rsidRDefault="00481B07" w:rsidP="00481B07"/>
        </w:tc>
        <w:tc>
          <w:tcPr>
            <w:tcW w:w="2552" w:type="dxa"/>
          </w:tcPr>
          <w:p w14:paraId="1690596E" w14:textId="77777777" w:rsidR="00481B07" w:rsidRDefault="00481B07" w:rsidP="00481B07"/>
        </w:tc>
      </w:tr>
      <w:tr w:rsidR="00481B07" w14:paraId="4586515F" w14:textId="77777777" w:rsidTr="007E4FD6">
        <w:tc>
          <w:tcPr>
            <w:tcW w:w="2210" w:type="dxa"/>
          </w:tcPr>
          <w:p w14:paraId="7BCD768F" w14:textId="77777777" w:rsidR="00481B07" w:rsidRPr="00481B07" w:rsidRDefault="00481B07" w:rsidP="00481B07">
            <w:r w:rsidRPr="00202BD0">
              <w:t>CPM Delivery Date</w:t>
            </w:r>
          </w:p>
        </w:tc>
        <w:tc>
          <w:tcPr>
            <w:tcW w:w="2084" w:type="dxa"/>
          </w:tcPr>
          <w:p w14:paraId="144A54B2" w14:textId="77777777" w:rsidR="00481B07" w:rsidRDefault="00481B07" w:rsidP="00481B07"/>
        </w:tc>
        <w:tc>
          <w:tcPr>
            <w:tcW w:w="2409" w:type="dxa"/>
          </w:tcPr>
          <w:p w14:paraId="029FF72D" w14:textId="77777777" w:rsidR="00481B07" w:rsidRDefault="00481B07" w:rsidP="00481B07"/>
        </w:tc>
        <w:tc>
          <w:tcPr>
            <w:tcW w:w="2552" w:type="dxa"/>
          </w:tcPr>
          <w:p w14:paraId="4DDA29E7" w14:textId="77777777" w:rsidR="00481B07" w:rsidRDefault="00481B07" w:rsidP="00481B07"/>
        </w:tc>
      </w:tr>
      <w:tr w:rsidR="00481B07" w14:paraId="2AE4D943" w14:textId="77777777" w:rsidTr="007E4FD6">
        <w:tc>
          <w:tcPr>
            <w:tcW w:w="2210" w:type="dxa"/>
          </w:tcPr>
          <w:p w14:paraId="4CEC7ACF" w14:textId="77777777" w:rsidR="00481B07" w:rsidRPr="00481B07" w:rsidRDefault="00481B07" w:rsidP="00481B07">
            <w:r w:rsidRPr="00202BD0">
              <w:t>CPM Sharing Factor(s)</w:t>
            </w:r>
          </w:p>
        </w:tc>
        <w:tc>
          <w:tcPr>
            <w:tcW w:w="2084" w:type="dxa"/>
          </w:tcPr>
          <w:p w14:paraId="2730341D" w14:textId="77777777" w:rsidR="00481B07" w:rsidRDefault="00481B07" w:rsidP="00481B07"/>
        </w:tc>
        <w:tc>
          <w:tcPr>
            <w:tcW w:w="2409" w:type="dxa"/>
          </w:tcPr>
          <w:p w14:paraId="7F4BF900" w14:textId="77777777" w:rsidR="00481B07" w:rsidRDefault="00481B07" w:rsidP="00481B07"/>
        </w:tc>
        <w:tc>
          <w:tcPr>
            <w:tcW w:w="2552" w:type="dxa"/>
          </w:tcPr>
          <w:p w14:paraId="209C653F" w14:textId="77777777" w:rsidR="00481B07" w:rsidRDefault="00481B07" w:rsidP="00481B07"/>
        </w:tc>
      </w:tr>
      <w:tr w:rsidR="00481B07" w14:paraId="76E15F3C" w14:textId="77777777" w:rsidTr="007E4FD6">
        <w:tc>
          <w:tcPr>
            <w:tcW w:w="2210" w:type="dxa"/>
          </w:tcPr>
          <w:p w14:paraId="286F9BBC" w14:textId="77777777" w:rsidR="00481B07" w:rsidRPr="00481B07" w:rsidRDefault="00481B07" w:rsidP="00481B07">
            <w:r w:rsidRPr="00202BD0">
              <w:t>CPM Allowed First-Year Operational Revenue</w:t>
            </w:r>
          </w:p>
        </w:tc>
        <w:tc>
          <w:tcPr>
            <w:tcW w:w="2084" w:type="dxa"/>
          </w:tcPr>
          <w:p w14:paraId="5CB63E35" w14:textId="77777777" w:rsidR="00481B07" w:rsidDel="00A3309C" w:rsidRDefault="00481B07" w:rsidP="00481B07"/>
        </w:tc>
        <w:tc>
          <w:tcPr>
            <w:tcW w:w="2409" w:type="dxa"/>
          </w:tcPr>
          <w:p w14:paraId="567D58F6" w14:textId="77777777" w:rsidR="00481B07" w:rsidRDefault="00481B07" w:rsidP="00481B07"/>
        </w:tc>
        <w:tc>
          <w:tcPr>
            <w:tcW w:w="2552" w:type="dxa"/>
          </w:tcPr>
          <w:p w14:paraId="21CAA9D0" w14:textId="77777777" w:rsidR="00481B07" w:rsidRDefault="00481B07" w:rsidP="00481B07"/>
        </w:tc>
      </w:tr>
      <w:tr w:rsidR="00481B07" w14:paraId="4F3C811C" w14:textId="77777777" w:rsidTr="007E4FD6">
        <w:tc>
          <w:tcPr>
            <w:tcW w:w="9255" w:type="dxa"/>
            <w:gridSpan w:val="4"/>
          </w:tcPr>
          <w:p w14:paraId="3F0F765C" w14:textId="77777777" w:rsidR="00481B07" w:rsidRPr="00481B07" w:rsidRDefault="00481B07" w:rsidP="00481B07">
            <w:r w:rsidRPr="00202BD0">
              <w:t>CPM Construction Cost Allowance</w:t>
            </w:r>
          </w:p>
        </w:tc>
      </w:tr>
      <w:tr w:rsidR="00481B07" w14:paraId="750A4E37" w14:textId="77777777" w:rsidTr="007E4FD6">
        <w:tc>
          <w:tcPr>
            <w:tcW w:w="2210" w:type="dxa"/>
          </w:tcPr>
          <w:p w14:paraId="5F31F945" w14:textId="77777777" w:rsidR="00481B07" w:rsidRPr="00481B07" w:rsidRDefault="00481B07" w:rsidP="00481B07">
            <w:r>
              <w:t>2021/22</w:t>
            </w:r>
          </w:p>
        </w:tc>
        <w:tc>
          <w:tcPr>
            <w:tcW w:w="2084" w:type="dxa"/>
          </w:tcPr>
          <w:p w14:paraId="1B34ADB3" w14:textId="77777777" w:rsidR="00481B07" w:rsidRDefault="00481B07" w:rsidP="00481B07"/>
        </w:tc>
        <w:tc>
          <w:tcPr>
            <w:tcW w:w="2409" w:type="dxa"/>
          </w:tcPr>
          <w:p w14:paraId="4EF87981" w14:textId="77777777" w:rsidR="00481B07" w:rsidRDefault="00481B07" w:rsidP="00481B07"/>
        </w:tc>
        <w:tc>
          <w:tcPr>
            <w:tcW w:w="2552" w:type="dxa"/>
          </w:tcPr>
          <w:p w14:paraId="2D5A1CA9" w14:textId="77777777" w:rsidR="00481B07" w:rsidRDefault="00481B07" w:rsidP="00481B07"/>
        </w:tc>
      </w:tr>
      <w:tr w:rsidR="00481B07" w14:paraId="24D48682" w14:textId="77777777" w:rsidTr="007E4FD6">
        <w:tc>
          <w:tcPr>
            <w:tcW w:w="2210" w:type="dxa"/>
          </w:tcPr>
          <w:p w14:paraId="2767977B" w14:textId="77777777" w:rsidR="00481B07" w:rsidRPr="00481B07" w:rsidRDefault="00481B07" w:rsidP="00481B07">
            <w:r>
              <w:t>2022/23</w:t>
            </w:r>
          </w:p>
        </w:tc>
        <w:tc>
          <w:tcPr>
            <w:tcW w:w="2084" w:type="dxa"/>
          </w:tcPr>
          <w:p w14:paraId="4C2B1B21" w14:textId="77777777" w:rsidR="00481B07" w:rsidRDefault="00481B07" w:rsidP="00481B07"/>
        </w:tc>
        <w:tc>
          <w:tcPr>
            <w:tcW w:w="2409" w:type="dxa"/>
          </w:tcPr>
          <w:p w14:paraId="2CBCABD6" w14:textId="77777777" w:rsidR="00481B07" w:rsidRDefault="00481B07" w:rsidP="00481B07"/>
        </w:tc>
        <w:tc>
          <w:tcPr>
            <w:tcW w:w="2552" w:type="dxa"/>
          </w:tcPr>
          <w:p w14:paraId="5D190B54" w14:textId="77777777" w:rsidR="00481B07" w:rsidRDefault="00481B07" w:rsidP="00481B07"/>
        </w:tc>
      </w:tr>
      <w:tr w:rsidR="00481B07" w14:paraId="2616A258" w14:textId="77777777" w:rsidTr="007E4FD6">
        <w:tc>
          <w:tcPr>
            <w:tcW w:w="2210" w:type="dxa"/>
          </w:tcPr>
          <w:p w14:paraId="0838FFC6" w14:textId="77777777" w:rsidR="00481B07" w:rsidRPr="00481B07" w:rsidRDefault="00481B07" w:rsidP="00481B07">
            <w:r>
              <w:t>2023/24</w:t>
            </w:r>
          </w:p>
        </w:tc>
        <w:tc>
          <w:tcPr>
            <w:tcW w:w="2084" w:type="dxa"/>
          </w:tcPr>
          <w:p w14:paraId="0DB8FA8B" w14:textId="77777777" w:rsidR="00481B07" w:rsidRDefault="00481B07" w:rsidP="00481B07"/>
        </w:tc>
        <w:tc>
          <w:tcPr>
            <w:tcW w:w="2409" w:type="dxa"/>
          </w:tcPr>
          <w:p w14:paraId="0C704F09" w14:textId="77777777" w:rsidR="00481B07" w:rsidRDefault="00481B07" w:rsidP="00481B07"/>
        </w:tc>
        <w:tc>
          <w:tcPr>
            <w:tcW w:w="2552" w:type="dxa"/>
          </w:tcPr>
          <w:p w14:paraId="4B94CA03" w14:textId="77777777" w:rsidR="00481B07" w:rsidRDefault="00481B07" w:rsidP="00481B07"/>
        </w:tc>
      </w:tr>
      <w:tr w:rsidR="00481B07" w14:paraId="197AC723" w14:textId="77777777" w:rsidTr="007E4FD6">
        <w:tc>
          <w:tcPr>
            <w:tcW w:w="2210" w:type="dxa"/>
          </w:tcPr>
          <w:p w14:paraId="4D5EC7DC" w14:textId="77777777" w:rsidR="00481B07" w:rsidRPr="00481B07" w:rsidRDefault="00481B07" w:rsidP="00481B07">
            <w:r>
              <w:t>2024/25</w:t>
            </w:r>
          </w:p>
        </w:tc>
        <w:tc>
          <w:tcPr>
            <w:tcW w:w="2084" w:type="dxa"/>
          </w:tcPr>
          <w:p w14:paraId="48261E1C" w14:textId="77777777" w:rsidR="00481B07" w:rsidRDefault="00481B07" w:rsidP="00481B07"/>
        </w:tc>
        <w:tc>
          <w:tcPr>
            <w:tcW w:w="2409" w:type="dxa"/>
          </w:tcPr>
          <w:p w14:paraId="795DF42E" w14:textId="77777777" w:rsidR="00481B07" w:rsidRDefault="00481B07" w:rsidP="00481B07"/>
        </w:tc>
        <w:tc>
          <w:tcPr>
            <w:tcW w:w="2552" w:type="dxa"/>
          </w:tcPr>
          <w:p w14:paraId="246D8B03" w14:textId="77777777" w:rsidR="00481B07" w:rsidRDefault="00481B07" w:rsidP="00481B07"/>
        </w:tc>
      </w:tr>
      <w:tr w:rsidR="00481B07" w14:paraId="1200CE55" w14:textId="77777777" w:rsidTr="007E4FD6">
        <w:tc>
          <w:tcPr>
            <w:tcW w:w="2210" w:type="dxa"/>
          </w:tcPr>
          <w:p w14:paraId="1636436A" w14:textId="77777777" w:rsidR="00481B07" w:rsidRPr="00481B07" w:rsidRDefault="00481B07" w:rsidP="00481B07">
            <w:r>
              <w:t>2025/26</w:t>
            </w:r>
          </w:p>
        </w:tc>
        <w:tc>
          <w:tcPr>
            <w:tcW w:w="2084" w:type="dxa"/>
          </w:tcPr>
          <w:p w14:paraId="3AC4E7BD" w14:textId="77777777" w:rsidR="00481B07" w:rsidRDefault="00481B07" w:rsidP="00481B07"/>
        </w:tc>
        <w:tc>
          <w:tcPr>
            <w:tcW w:w="2409" w:type="dxa"/>
          </w:tcPr>
          <w:p w14:paraId="2EFB1A46" w14:textId="77777777" w:rsidR="00481B07" w:rsidRDefault="00481B07" w:rsidP="00481B07"/>
        </w:tc>
        <w:tc>
          <w:tcPr>
            <w:tcW w:w="2552" w:type="dxa"/>
          </w:tcPr>
          <w:p w14:paraId="722BB662" w14:textId="77777777" w:rsidR="00481B07" w:rsidRDefault="00481B07" w:rsidP="00481B07"/>
        </w:tc>
      </w:tr>
      <w:tr w:rsidR="00481B07" w14:paraId="574F47CC" w14:textId="77777777" w:rsidTr="007E4FD6">
        <w:tc>
          <w:tcPr>
            <w:tcW w:w="2210" w:type="dxa"/>
          </w:tcPr>
          <w:p w14:paraId="43F848C1" w14:textId="77777777" w:rsidR="00481B07" w:rsidRPr="00481B07" w:rsidRDefault="00481B07" w:rsidP="00481B07">
            <w:r>
              <w:t>2026/27</w:t>
            </w:r>
          </w:p>
        </w:tc>
        <w:tc>
          <w:tcPr>
            <w:tcW w:w="2084" w:type="dxa"/>
          </w:tcPr>
          <w:p w14:paraId="270BDE98" w14:textId="77777777" w:rsidR="00481B07" w:rsidRDefault="00481B07" w:rsidP="00481B07"/>
        </w:tc>
        <w:tc>
          <w:tcPr>
            <w:tcW w:w="2409" w:type="dxa"/>
          </w:tcPr>
          <w:p w14:paraId="0D6735D4" w14:textId="77777777" w:rsidR="00481B07" w:rsidRDefault="00481B07" w:rsidP="00481B07"/>
        </w:tc>
        <w:tc>
          <w:tcPr>
            <w:tcW w:w="2552" w:type="dxa"/>
          </w:tcPr>
          <w:p w14:paraId="4B88B9DE" w14:textId="77777777" w:rsidR="00481B07" w:rsidRDefault="00481B07" w:rsidP="00481B07"/>
        </w:tc>
      </w:tr>
    </w:tbl>
    <w:p w14:paraId="2D79A569" w14:textId="77777777" w:rsidR="00481B07" w:rsidRPr="00202BD0" w:rsidRDefault="00481B07" w:rsidP="00481B07">
      <w:pPr>
        <w:pStyle w:val="AppendixHeading"/>
      </w:pPr>
      <w:bookmarkStart w:id="193" w:name="_Toc51798314"/>
      <w:bookmarkEnd w:id="193"/>
    </w:p>
    <w:tbl>
      <w:tblPr>
        <w:tblStyle w:val="AppendixTable"/>
        <w:tblpPr w:leftFromText="106" w:rightFromText="106" w:vertAnchor="text" w:horzAnchor="margin" w:tblpY="-3"/>
        <w:tblW w:w="8923" w:type="dxa"/>
        <w:tblLook w:val="04A0" w:firstRow="1" w:lastRow="0" w:firstColumn="1" w:lastColumn="0" w:noHBand="0" w:noVBand="1"/>
      </w:tblPr>
      <w:tblGrid>
        <w:gridCol w:w="2270"/>
        <w:gridCol w:w="2122"/>
        <w:gridCol w:w="2126"/>
        <w:gridCol w:w="2405"/>
      </w:tblGrid>
      <w:tr w:rsidR="00481B07" w:rsidRPr="008670D8" w14:paraId="1638B594" w14:textId="77777777" w:rsidTr="00E21095">
        <w:trPr>
          <w:cnfStyle w:val="100000000000" w:firstRow="1" w:lastRow="0" w:firstColumn="0" w:lastColumn="0" w:oddVBand="0" w:evenVBand="0" w:oddHBand="0" w:evenHBand="0" w:firstRowFirstColumn="0" w:firstRowLastColumn="0" w:lastRowFirstColumn="0" w:lastRowLastColumn="0"/>
        </w:trPr>
        <w:tc>
          <w:tcPr>
            <w:tcW w:w="2270" w:type="dxa"/>
          </w:tcPr>
          <w:p w14:paraId="2ECB8530" w14:textId="77777777" w:rsidR="00481B07" w:rsidRPr="00481B07" w:rsidRDefault="00481B07" w:rsidP="00481B07">
            <w:r w:rsidRPr="00202BD0">
              <w:t>Project name</w:t>
            </w:r>
          </w:p>
        </w:tc>
        <w:tc>
          <w:tcPr>
            <w:tcW w:w="2122" w:type="dxa"/>
          </w:tcPr>
          <w:p w14:paraId="50C14652" w14:textId="77777777" w:rsidR="00481B07" w:rsidRPr="00202BD0" w:rsidRDefault="00481B07" w:rsidP="00481B07"/>
        </w:tc>
        <w:tc>
          <w:tcPr>
            <w:tcW w:w="2126" w:type="dxa"/>
          </w:tcPr>
          <w:p w14:paraId="21B3A75C" w14:textId="77777777" w:rsidR="00481B07" w:rsidRPr="00202BD0" w:rsidRDefault="00481B07" w:rsidP="00481B07"/>
        </w:tc>
        <w:tc>
          <w:tcPr>
            <w:tcW w:w="2405" w:type="dxa"/>
          </w:tcPr>
          <w:p w14:paraId="042839A9" w14:textId="77777777" w:rsidR="00481B07" w:rsidRPr="00202BD0" w:rsidRDefault="00481B07" w:rsidP="00481B07"/>
        </w:tc>
      </w:tr>
      <w:tr w:rsidR="00481B07" w14:paraId="28DDC951" w14:textId="77777777" w:rsidTr="00E21095">
        <w:tc>
          <w:tcPr>
            <w:tcW w:w="2270" w:type="dxa"/>
          </w:tcPr>
          <w:p w14:paraId="189AB68D" w14:textId="77777777" w:rsidR="00481B07" w:rsidRPr="00481B07" w:rsidRDefault="00481B07" w:rsidP="00481B07">
            <w:r w:rsidRPr="00202BD0">
              <w:t>CPM Operational Period (first year)</w:t>
            </w:r>
          </w:p>
        </w:tc>
        <w:tc>
          <w:tcPr>
            <w:tcW w:w="2122" w:type="dxa"/>
          </w:tcPr>
          <w:p w14:paraId="0259F327" w14:textId="77777777" w:rsidR="00481B07" w:rsidRDefault="00481B07" w:rsidP="00481B07"/>
        </w:tc>
        <w:tc>
          <w:tcPr>
            <w:tcW w:w="2126" w:type="dxa"/>
          </w:tcPr>
          <w:p w14:paraId="4FD1CDEC" w14:textId="77777777" w:rsidR="00481B07" w:rsidRDefault="00481B07" w:rsidP="00481B07"/>
        </w:tc>
        <w:tc>
          <w:tcPr>
            <w:tcW w:w="2405" w:type="dxa"/>
          </w:tcPr>
          <w:p w14:paraId="3ED5BDC3" w14:textId="77777777" w:rsidR="00481B07" w:rsidRDefault="00481B07" w:rsidP="00481B07"/>
        </w:tc>
      </w:tr>
      <w:tr w:rsidR="00481B07" w14:paraId="3F73CDCE" w14:textId="77777777" w:rsidTr="00E21095">
        <w:tc>
          <w:tcPr>
            <w:tcW w:w="2270" w:type="dxa"/>
          </w:tcPr>
          <w:p w14:paraId="5F80FC58" w14:textId="77777777" w:rsidR="00481B07" w:rsidRPr="00481B07" w:rsidRDefault="00481B07" w:rsidP="00481B07">
            <w:r w:rsidRPr="00202BD0">
              <w:t>CPM Operational Period (final year)</w:t>
            </w:r>
          </w:p>
        </w:tc>
        <w:tc>
          <w:tcPr>
            <w:tcW w:w="2122" w:type="dxa"/>
          </w:tcPr>
          <w:p w14:paraId="725DA697" w14:textId="77777777" w:rsidR="00481B07" w:rsidRDefault="00481B07" w:rsidP="00481B07"/>
        </w:tc>
        <w:tc>
          <w:tcPr>
            <w:tcW w:w="2126" w:type="dxa"/>
          </w:tcPr>
          <w:p w14:paraId="0DCCDAE8" w14:textId="77777777" w:rsidR="00481B07" w:rsidRDefault="00481B07" w:rsidP="00481B07"/>
        </w:tc>
        <w:tc>
          <w:tcPr>
            <w:tcW w:w="2405" w:type="dxa"/>
          </w:tcPr>
          <w:p w14:paraId="06F6A710" w14:textId="77777777" w:rsidR="00481B07" w:rsidRDefault="00481B07" w:rsidP="00481B07"/>
        </w:tc>
      </w:tr>
      <w:tr w:rsidR="00481B07" w14:paraId="3EB636A1" w14:textId="77777777" w:rsidTr="00E21095">
        <w:tc>
          <w:tcPr>
            <w:tcW w:w="2270" w:type="dxa"/>
          </w:tcPr>
          <w:p w14:paraId="58AB2C21" w14:textId="77777777" w:rsidR="00481B07" w:rsidRPr="00481B07" w:rsidRDefault="00481B07" w:rsidP="00481B07">
            <w:r w:rsidRPr="00202BD0">
              <w:t>CPM Operational Cost Adjustment Threshold</w:t>
            </w:r>
          </w:p>
        </w:tc>
        <w:tc>
          <w:tcPr>
            <w:tcW w:w="2122" w:type="dxa"/>
          </w:tcPr>
          <w:p w14:paraId="39C8D517" w14:textId="77777777" w:rsidR="00481B07" w:rsidRDefault="00481B07" w:rsidP="00481B07"/>
        </w:tc>
        <w:tc>
          <w:tcPr>
            <w:tcW w:w="2126" w:type="dxa"/>
          </w:tcPr>
          <w:p w14:paraId="68A3AACB" w14:textId="77777777" w:rsidR="00481B07" w:rsidRDefault="00481B07" w:rsidP="00481B07"/>
        </w:tc>
        <w:tc>
          <w:tcPr>
            <w:tcW w:w="2405" w:type="dxa"/>
          </w:tcPr>
          <w:p w14:paraId="69DC2CF9" w14:textId="77777777" w:rsidR="00481B07" w:rsidRDefault="00481B07" w:rsidP="00481B07"/>
        </w:tc>
      </w:tr>
      <w:tr w:rsidR="00481B07" w14:paraId="03C8E6B7" w14:textId="77777777" w:rsidTr="00E21095">
        <w:tc>
          <w:tcPr>
            <w:tcW w:w="8923" w:type="dxa"/>
            <w:gridSpan w:val="4"/>
          </w:tcPr>
          <w:p w14:paraId="6F5AA716" w14:textId="2F7E3EC8" w:rsidR="00481B07" w:rsidRPr="00481B07" w:rsidRDefault="00481B07" w:rsidP="00383717">
            <w:r w:rsidRPr="00202BD0">
              <w:t xml:space="preserve">CPM Allowed Operational </w:t>
            </w:r>
            <w:r w:rsidR="00383717">
              <w:t>Cost</w:t>
            </w:r>
          </w:p>
        </w:tc>
      </w:tr>
      <w:tr w:rsidR="00481B07" w14:paraId="78ACDE3E" w14:textId="77777777" w:rsidTr="00E21095">
        <w:tc>
          <w:tcPr>
            <w:tcW w:w="2270" w:type="dxa"/>
          </w:tcPr>
          <w:p w14:paraId="4D47A75D" w14:textId="77777777" w:rsidR="00481B07" w:rsidRPr="00481B07" w:rsidRDefault="00481B07" w:rsidP="00481B07">
            <w:r>
              <w:t>2024/25</w:t>
            </w:r>
          </w:p>
        </w:tc>
        <w:tc>
          <w:tcPr>
            <w:tcW w:w="2122" w:type="dxa"/>
          </w:tcPr>
          <w:p w14:paraId="50EC6D0E" w14:textId="77777777" w:rsidR="00481B07" w:rsidRDefault="00481B07" w:rsidP="00481B07"/>
        </w:tc>
        <w:tc>
          <w:tcPr>
            <w:tcW w:w="2126" w:type="dxa"/>
          </w:tcPr>
          <w:p w14:paraId="19209CDD" w14:textId="77777777" w:rsidR="00481B07" w:rsidRDefault="00481B07" w:rsidP="00481B07"/>
        </w:tc>
        <w:tc>
          <w:tcPr>
            <w:tcW w:w="2405" w:type="dxa"/>
          </w:tcPr>
          <w:p w14:paraId="132E778B" w14:textId="77777777" w:rsidR="00481B07" w:rsidRDefault="00481B07" w:rsidP="00481B07"/>
        </w:tc>
      </w:tr>
      <w:tr w:rsidR="00481B07" w14:paraId="2AB913E0" w14:textId="77777777" w:rsidTr="00E21095">
        <w:tc>
          <w:tcPr>
            <w:tcW w:w="2270" w:type="dxa"/>
          </w:tcPr>
          <w:p w14:paraId="1AD6ED0F" w14:textId="77777777" w:rsidR="00481B07" w:rsidRPr="00481B07" w:rsidRDefault="00481B07" w:rsidP="00481B07">
            <w:r>
              <w:t>2025/26</w:t>
            </w:r>
          </w:p>
        </w:tc>
        <w:tc>
          <w:tcPr>
            <w:tcW w:w="2122" w:type="dxa"/>
          </w:tcPr>
          <w:p w14:paraId="425107BB" w14:textId="77777777" w:rsidR="00481B07" w:rsidRDefault="00481B07" w:rsidP="00481B07"/>
        </w:tc>
        <w:tc>
          <w:tcPr>
            <w:tcW w:w="2126" w:type="dxa"/>
          </w:tcPr>
          <w:p w14:paraId="39A25C03" w14:textId="77777777" w:rsidR="00481B07" w:rsidRDefault="00481B07" w:rsidP="00481B07"/>
        </w:tc>
        <w:tc>
          <w:tcPr>
            <w:tcW w:w="2405" w:type="dxa"/>
          </w:tcPr>
          <w:p w14:paraId="24B0B915" w14:textId="77777777" w:rsidR="00481B07" w:rsidRDefault="00481B07" w:rsidP="00481B07"/>
        </w:tc>
      </w:tr>
      <w:tr w:rsidR="00481B07" w14:paraId="0925F7CD" w14:textId="77777777" w:rsidTr="00E21095">
        <w:tc>
          <w:tcPr>
            <w:tcW w:w="2270" w:type="dxa"/>
          </w:tcPr>
          <w:p w14:paraId="193C4986" w14:textId="77777777" w:rsidR="00481B07" w:rsidRPr="00481B07" w:rsidRDefault="00481B07" w:rsidP="00481B07">
            <w:r>
              <w:t>2026/27</w:t>
            </w:r>
          </w:p>
        </w:tc>
        <w:tc>
          <w:tcPr>
            <w:tcW w:w="2122" w:type="dxa"/>
          </w:tcPr>
          <w:p w14:paraId="38DD68A8" w14:textId="77777777" w:rsidR="00481B07" w:rsidRDefault="00481B07" w:rsidP="00481B07"/>
        </w:tc>
        <w:tc>
          <w:tcPr>
            <w:tcW w:w="2126" w:type="dxa"/>
          </w:tcPr>
          <w:p w14:paraId="2104B9BE" w14:textId="77777777" w:rsidR="00481B07" w:rsidRDefault="00481B07" w:rsidP="00481B07"/>
        </w:tc>
        <w:tc>
          <w:tcPr>
            <w:tcW w:w="2405" w:type="dxa"/>
          </w:tcPr>
          <w:p w14:paraId="4D567727" w14:textId="77777777" w:rsidR="00481B07" w:rsidRDefault="00481B07" w:rsidP="00481B07"/>
        </w:tc>
      </w:tr>
      <w:tr w:rsidR="00481B07" w14:paraId="02677A76" w14:textId="77777777" w:rsidTr="00E21095">
        <w:tc>
          <w:tcPr>
            <w:tcW w:w="2270" w:type="dxa"/>
          </w:tcPr>
          <w:p w14:paraId="10A024C7" w14:textId="77777777" w:rsidR="00481B07" w:rsidRPr="00481B07" w:rsidRDefault="00481B07" w:rsidP="00481B07">
            <w:r>
              <w:t>2027/28</w:t>
            </w:r>
          </w:p>
        </w:tc>
        <w:tc>
          <w:tcPr>
            <w:tcW w:w="2122" w:type="dxa"/>
          </w:tcPr>
          <w:p w14:paraId="6AAFADB3" w14:textId="77777777" w:rsidR="00481B07" w:rsidRPr="00102B08" w:rsidRDefault="00481B07" w:rsidP="00481B07"/>
        </w:tc>
        <w:tc>
          <w:tcPr>
            <w:tcW w:w="2126" w:type="dxa"/>
          </w:tcPr>
          <w:p w14:paraId="70A789D6" w14:textId="77777777" w:rsidR="00481B07" w:rsidRDefault="00481B07" w:rsidP="00481B07"/>
        </w:tc>
        <w:tc>
          <w:tcPr>
            <w:tcW w:w="2405" w:type="dxa"/>
          </w:tcPr>
          <w:p w14:paraId="665FC077" w14:textId="77777777" w:rsidR="00481B07" w:rsidRDefault="00481B07" w:rsidP="00481B07"/>
        </w:tc>
      </w:tr>
      <w:tr w:rsidR="00481B07" w14:paraId="5813B6E1" w14:textId="77777777" w:rsidTr="00E21095">
        <w:tc>
          <w:tcPr>
            <w:tcW w:w="2270" w:type="dxa"/>
          </w:tcPr>
          <w:p w14:paraId="56D1C38D" w14:textId="77777777" w:rsidR="00481B07" w:rsidRPr="00481B07" w:rsidRDefault="00481B07" w:rsidP="00481B07">
            <w:r>
              <w:t>2028/29</w:t>
            </w:r>
          </w:p>
        </w:tc>
        <w:tc>
          <w:tcPr>
            <w:tcW w:w="2122" w:type="dxa"/>
          </w:tcPr>
          <w:p w14:paraId="4847EB64" w14:textId="77777777" w:rsidR="00481B07" w:rsidRPr="00102B08" w:rsidRDefault="00481B07" w:rsidP="00481B07"/>
        </w:tc>
        <w:tc>
          <w:tcPr>
            <w:tcW w:w="2126" w:type="dxa"/>
          </w:tcPr>
          <w:p w14:paraId="0A1E2CC7" w14:textId="77777777" w:rsidR="00481B07" w:rsidRDefault="00481B07" w:rsidP="00481B07"/>
        </w:tc>
        <w:tc>
          <w:tcPr>
            <w:tcW w:w="2405" w:type="dxa"/>
          </w:tcPr>
          <w:p w14:paraId="42A892C7" w14:textId="77777777" w:rsidR="00481B07" w:rsidRDefault="00481B07" w:rsidP="00481B07"/>
        </w:tc>
      </w:tr>
      <w:tr w:rsidR="00481B07" w14:paraId="2277278C" w14:textId="77777777" w:rsidTr="00E21095">
        <w:tc>
          <w:tcPr>
            <w:tcW w:w="2270" w:type="dxa"/>
          </w:tcPr>
          <w:p w14:paraId="075BC6BC" w14:textId="77777777" w:rsidR="00481B07" w:rsidRPr="00481B07" w:rsidRDefault="00481B07" w:rsidP="00481B07">
            <w:r>
              <w:t>2029/30</w:t>
            </w:r>
          </w:p>
        </w:tc>
        <w:tc>
          <w:tcPr>
            <w:tcW w:w="2122" w:type="dxa"/>
          </w:tcPr>
          <w:p w14:paraId="66E3CA79" w14:textId="77777777" w:rsidR="00481B07" w:rsidRPr="00102B08" w:rsidRDefault="00481B07" w:rsidP="00481B07"/>
        </w:tc>
        <w:tc>
          <w:tcPr>
            <w:tcW w:w="2126" w:type="dxa"/>
          </w:tcPr>
          <w:p w14:paraId="4BDB7C4B" w14:textId="77777777" w:rsidR="00481B07" w:rsidRDefault="00481B07" w:rsidP="00481B07"/>
        </w:tc>
        <w:tc>
          <w:tcPr>
            <w:tcW w:w="2405" w:type="dxa"/>
          </w:tcPr>
          <w:p w14:paraId="3E3C1825" w14:textId="77777777" w:rsidR="00481B07" w:rsidRDefault="00481B07" w:rsidP="00481B07"/>
        </w:tc>
      </w:tr>
      <w:tr w:rsidR="00481B07" w14:paraId="2CCCBED8" w14:textId="77777777" w:rsidTr="00E21095">
        <w:tc>
          <w:tcPr>
            <w:tcW w:w="2270" w:type="dxa"/>
          </w:tcPr>
          <w:p w14:paraId="5034F31C" w14:textId="77777777" w:rsidR="00481B07" w:rsidRPr="00481B07" w:rsidRDefault="00481B07" w:rsidP="00481B07">
            <w:r>
              <w:t>2030/31</w:t>
            </w:r>
          </w:p>
        </w:tc>
        <w:tc>
          <w:tcPr>
            <w:tcW w:w="2122" w:type="dxa"/>
          </w:tcPr>
          <w:p w14:paraId="1A5F5D6E" w14:textId="77777777" w:rsidR="00481B07" w:rsidRPr="0073272F" w:rsidRDefault="00481B07" w:rsidP="00481B07"/>
        </w:tc>
        <w:tc>
          <w:tcPr>
            <w:tcW w:w="2126" w:type="dxa"/>
          </w:tcPr>
          <w:p w14:paraId="578FF9C9" w14:textId="77777777" w:rsidR="00481B07" w:rsidRPr="003B6F11" w:rsidRDefault="00481B07" w:rsidP="00481B07"/>
        </w:tc>
        <w:tc>
          <w:tcPr>
            <w:tcW w:w="2405" w:type="dxa"/>
          </w:tcPr>
          <w:p w14:paraId="496E7008" w14:textId="77777777" w:rsidR="00481B07" w:rsidRDefault="00481B07" w:rsidP="00481B07"/>
        </w:tc>
      </w:tr>
      <w:tr w:rsidR="00481B07" w14:paraId="65844735" w14:textId="77777777" w:rsidTr="00E21095">
        <w:tc>
          <w:tcPr>
            <w:tcW w:w="2270" w:type="dxa"/>
          </w:tcPr>
          <w:p w14:paraId="45C23970" w14:textId="77777777" w:rsidR="00481B07" w:rsidRPr="00481B07" w:rsidRDefault="00481B07" w:rsidP="00481B07">
            <w:r>
              <w:t>2031/32</w:t>
            </w:r>
          </w:p>
        </w:tc>
        <w:tc>
          <w:tcPr>
            <w:tcW w:w="2122" w:type="dxa"/>
          </w:tcPr>
          <w:p w14:paraId="472256C7" w14:textId="77777777" w:rsidR="00481B07" w:rsidRPr="0073272F" w:rsidRDefault="00481B07" w:rsidP="00481B07"/>
        </w:tc>
        <w:tc>
          <w:tcPr>
            <w:tcW w:w="2126" w:type="dxa"/>
          </w:tcPr>
          <w:p w14:paraId="0B67E903" w14:textId="77777777" w:rsidR="00481B07" w:rsidRPr="003B6F11" w:rsidRDefault="00481B07" w:rsidP="00481B07"/>
        </w:tc>
        <w:tc>
          <w:tcPr>
            <w:tcW w:w="2405" w:type="dxa"/>
          </w:tcPr>
          <w:p w14:paraId="2C62CDF7" w14:textId="77777777" w:rsidR="00481B07" w:rsidRDefault="00481B07" w:rsidP="00481B07"/>
        </w:tc>
      </w:tr>
      <w:tr w:rsidR="00481B07" w14:paraId="77CBBE58" w14:textId="77777777" w:rsidTr="00E21095">
        <w:tc>
          <w:tcPr>
            <w:tcW w:w="2270" w:type="dxa"/>
          </w:tcPr>
          <w:p w14:paraId="1EACAB3A" w14:textId="77777777" w:rsidR="00481B07" w:rsidRPr="00481B07" w:rsidRDefault="00481B07" w:rsidP="00481B07">
            <w:r>
              <w:t>2032/33</w:t>
            </w:r>
          </w:p>
        </w:tc>
        <w:tc>
          <w:tcPr>
            <w:tcW w:w="2122" w:type="dxa"/>
          </w:tcPr>
          <w:p w14:paraId="613183EB" w14:textId="77777777" w:rsidR="00481B07" w:rsidRPr="0073272F" w:rsidRDefault="00481B07" w:rsidP="00481B07"/>
        </w:tc>
        <w:tc>
          <w:tcPr>
            <w:tcW w:w="2126" w:type="dxa"/>
          </w:tcPr>
          <w:p w14:paraId="439EC2E2" w14:textId="77777777" w:rsidR="00481B07" w:rsidRPr="003B6F11" w:rsidRDefault="00481B07" w:rsidP="00481B07"/>
        </w:tc>
        <w:tc>
          <w:tcPr>
            <w:tcW w:w="2405" w:type="dxa"/>
          </w:tcPr>
          <w:p w14:paraId="3CA74340" w14:textId="77777777" w:rsidR="00481B07" w:rsidRDefault="00481B07" w:rsidP="00481B07"/>
        </w:tc>
      </w:tr>
      <w:tr w:rsidR="00481B07" w14:paraId="7EA91C75" w14:textId="77777777" w:rsidTr="00E21095">
        <w:tc>
          <w:tcPr>
            <w:tcW w:w="2270" w:type="dxa"/>
          </w:tcPr>
          <w:p w14:paraId="5E523CD7" w14:textId="77777777" w:rsidR="00481B07" w:rsidRPr="00481B07" w:rsidRDefault="00481B07" w:rsidP="00481B07">
            <w:r>
              <w:t>2033/34</w:t>
            </w:r>
          </w:p>
        </w:tc>
        <w:tc>
          <w:tcPr>
            <w:tcW w:w="2122" w:type="dxa"/>
          </w:tcPr>
          <w:p w14:paraId="13F4DC26" w14:textId="77777777" w:rsidR="00481B07" w:rsidRPr="0073272F" w:rsidRDefault="00481B07" w:rsidP="00481B07"/>
        </w:tc>
        <w:tc>
          <w:tcPr>
            <w:tcW w:w="2126" w:type="dxa"/>
          </w:tcPr>
          <w:p w14:paraId="33AE61B1" w14:textId="77777777" w:rsidR="00481B07" w:rsidRPr="003B6F11" w:rsidRDefault="00481B07" w:rsidP="00481B07"/>
        </w:tc>
        <w:tc>
          <w:tcPr>
            <w:tcW w:w="2405" w:type="dxa"/>
          </w:tcPr>
          <w:p w14:paraId="43E68C81" w14:textId="77777777" w:rsidR="00481B07" w:rsidRDefault="00481B07" w:rsidP="00481B07"/>
        </w:tc>
      </w:tr>
      <w:tr w:rsidR="00481B07" w14:paraId="48074EAD" w14:textId="77777777" w:rsidTr="00E21095">
        <w:tc>
          <w:tcPr>
            <w:tcW w:w="2270" w:type="dxa"/>
          </w:tcPr>
          <w:p w14:paraId="38B5AE6A" w14:textId="77777777" w:rsidR="00481B07" w:rsidRPr="00481B07" w:rsidRDefault="00481B07" w:rsidP="00481B07">
            <w:r>
              <w:t>2034/35</w:t>
            </w:r>
          </w:p>
        </w:tc>
        <w:tc>
          <w:tcPr>
            <w:tcW w:w="2122" w:type="dxa"/>
          </w:tcPr>
          <w:p w14:paraId="2CF0E05E" w14:textId="77777777" w:rsidR="00481B07" w:rsidRPr="0073272F" w:rsidRDefault="00481B07" w:rsidP="00481B07"/>
        </w:tc>
        <w:tc>
          <w:tcPr>
            <w:tcW w:w="2126" w:type="dxa"/>
          </w:tcPr>
          <w:p w14:paraId="2FDC310B" w14:textId="77777777" w:rsidR="00481B07" w:rsidRPr="003B6F11" w:rsidRDefault="00481B07" w:rsidP="00481B07"/>
        </w:tc>
        <w:tc>
          <w:tcPr>
            <w:tcW w:w="2405" w:type="dxa"/>
          </w:tcPr>
          <w:p w14:paraId="2D5243FF" w14:textId="77777777" w:rsidR="00481B07" w:rsidRDefault="00481B07" w:rsidP="00481B07"/>
        </w:tc>
      </w:tr>
      <w:tr w:rsidR="00481B07" w14:paraId="2EE7D6EB" w14:textId="77777777" w:rsidTr="00E21095">
        <w:tc>
          <w:tcPr>
            <w:tcW w:w="2270" w:type="dxa"/>
          </w:tcPr>
          <w:p w14:paraId="5B620FCC" w14:textId="77777777" w:rsidR="00481B07" w:rsidRPr="00481B07" w:rsidRDefault="00481B07" w:rsidP="00481B07">
            <w:r>
              <w:t>2035/36</w:t>
            </w:r>
          </w:p>
        </w:tc>
        <w:tc>
          <w:tcPr>
            <w:tcW w:w="2122" w:type="dxa"/>
          </w:tcPr>
          <w:p w14:paraId="5C04F3DA" w14:textId="77777777" w:rsidR="00481B07" w:rsidRPr="0073272F" w:rsidRDefault="00481B07" w:rsidP="00481B07"/>
        </w:tc>
        <w:tc>
          <w:tcPr>
            <w:tcW w:w="2126" w:type="dxa"/>
          </w:tcPr>
          <w:p w14:paraId="450BDDDE" w14:textId="77777777" w:rsidR="00481B07" w:rsidRPr="003B6F11" w:rsidRDefault="00481B07" w:rsidP="00481B07"/>
        </w:tc>
        <w:tc>
          <w:tcPr>
            <w:tcW w:w="2405" w:type="dxa"/>
          </w:tcPr>
          <w:p w14:paraId="734B6829" w14:textId="77777777" w:rsidR="00481B07" w:rsidRDefault="00481B07" w:rsidP="00481B07"/>
        </w:tc>
      </w:tr>
      <w:tr w:rsidR="00481B07" w14:paraId="6C924C36" w14:textId="77777777" w:rsidTr="00E21095">
        <w:tc>
          <w:tcPr>
            <w:tcW w:w="2270" w:type="dxa"/>
          </w:tcPr>
          <w:p w14:paraId="0F2CD01D" w14:textId="7B5E11EE" w:rsidR="00481B07" w:rsidRPr="00481B07" w:rsidRDefault="00481B07" w:rsidP="00481B07"/>
        </w:tc>
        <w:tc>
          <w:tcPr>
            <w:tcW w:w="2122" w:type="dxa"/>
          </w:tcPr>
          <w:p w14:paraId="45389ABD" w14:textId="77777777" w:rsidR="00481B07" w:rsidRDefault="00481B07" w:rsidP="00481B07"/>
        </w:tc>
        <w:tc>
          <w:tcPr>
            <w:tcW w:w="2126" w:type="dxa"/>
          </w:tcPr>
          <w:p w14:paraId="279512F6" w14:textId="77777777" w:rsidR="00481B07" w:rsidRDefault="00481B07" w:rsidP="00481B07"/>
        </w:tc>
        <w:tc>
          <w:tcPr>
            <w:tcW w:w="2405" w:type="dxa"/>
          </w:tcPr>
          <w:p w14:paraId="1D053A17" w14:textId="77777777" w:rsidR="00481B07" w:rsidRDefault="00481B07" w:rsidP="00481B07"/>
        </w:tc>
      </w:tr>
      <w:tr w:rsidR="00481B07" w14:paraId="3CBFC827" w14:textId="77777777" w:rsidTr="00E21095">
        <w:trPr>
          <w:trHeight w:val="31"/>
        </w:trPr>
        <w:tc>
          <w:tcPr>
            <w:tcW w:w="2270" w:type="dxa"/>
          </w:tcPr>
          <w:p w14:paraId="438294E0" w14:textId="77777777" w:rsidR="00481B07" w:rsidRPr="00481B07" w:rsidRDefault="00481B07" w:rsidP="00481B07">
            <w:r>
              <w:t>2050/51</w:t>
            </w:r>
          </w:p>
        </w:tc>
        <w:tc>
          <w:tcPr>
            <w:tcW w:w="2122" w:type="dxa"/>
          </w:tcPr>
          <w:p w14:paraId="03962687" w14:textId="77777777" w:rsidR="00481B07" w:rsidRPr="00102B08" w:rsidRDefault="00481B07" w:rsidP="00481B07"/>
        </w:tc>
        <w:tc>
          <w:tcPr>
            <w:tcW w:w="2126" w:type="dxa"/>
          </w:tcPr>
          <w:p w14:paraId="3250B1A8" w14:textId="77777777" w:rsidR="00481B07" w:rsidRDefault="00481B07" w:rsidP="00481B07"/>
        </w:tc>
        <w:tc>
          <w:tcPr>
            <w:tcW w:w="2405" w:type="dxa"/>
          </w:tcPr>
          <w:p w14:paraId="5CBC3EBD" w14:textId="77777777" w:rsidR="00481B07" w:rsidRDefault="00481B07" w:rsidP="00481B07"/>
        </w:tc>
      </w:tr>
      <w:tr w:rsidR="00481B07" w14:paraId="705BBD77" w14:textId="77777777" w:rsidTr="00E21095">
        <w:tc>
          <w:tcPr>
            <w:tcW w:w="2270" w:type="dxa"/>
          </w:tcPr>
          <w:p w14:paraId="246E64CC" w14:textId="77777777" w:rsidR="00481B07" w:rsidRPr="00481B07" w:rsidRDefault="00481B07" w:rsidP="00481B07">
            <w:r>
              <w:t>2051/52</w:t>
            </w:r>
          </w:p>
        </w:tc>
        <w:tc>
          <w:tcPr>
            <w:tcW w:w="2122" w:type="dxa"/>
          </w:tcPr>
          <w:p w14:paraId="3A1DBDC7" w14:textId="77777777" w:rsidR="00481B07" w:rsidRDefault="00481B07" w:rsidP="00481B07"/>
        </w:tc>
        <w:tc>
          <w:tcPr>
            <w:tcW w:w="2126" w:type="dxa"/>
          </w:tcPr>
          <w:p w14:paraId="220642B4" w14:textId="77777777" w:rsidR="00481B07" w:rsidRDefault="00481B07" w:rsidP="00481B07"/>
        </w:tc>
        <w:tc>
          <w:tcPr>
            <w:tcW w:w="2405" w:type="dxa"/>
          </w:tcPr>
          <w:p w14:paraId="6539AAD6" w14:textId="77777777" w:rsidR="00481B07" w:rsidRDefault="00481B07" w:rsidP="00481B07"/>
        </w:tc>
      </w:tr>
    </w:tbl>
    <w:p w14:paraId="0A806363" w14:textId="77777777" w:rsidR="00481B07" w:rsidRPr="00A2204C" w:rsidRDefault="00481B07" w:rsidP="00481B07"/>
    <w:p w14:paraId="25F185EE" w14:textId="00B5D688" w:rsidR="00481B07" w:rsidRDefault="00481B07" w:rsidP="00481B07">
      <w:pPr>
        <w:pStyle w:val="Heading2"/>
      </w:pPr>
      <w:bookmarkStart w:id="194" w:name="_Toc51319641"/>
      <w:bookmarkStart w:id="195" w:name="_Toc51798315"/>
      <w:bookmarkStart w:id="196" w:name="_Toc52364922"/>
      <w:r>
        <w:t xml:space="preserve">Energy Not Supplied Compensatory Scheme </w:t>
      </w:r>
      <w:r w:rsidR="003D73EC">
        <w:t>p</w:t>
      </w:r>
      <w:r>
        <w:t>ass</w:t>
      </w:r>
      <w:r w:rsidR="00694FF4">
        <w:t>-</w:t>
      </w:r>
      <w:r>
        <w:t>through</w:t>
      </w:r>
      <w:bookmarkEnd w:id="194"/>
      <w:r>
        <w:t xml:space="preserve"> </w:t>
      </w:r>
      <w:r w:rsidR="00694FF4">
        <w:t>(</w:t>
      </w:r>
      <w:proofErr w:type="spellStart"/>
      <w:r w:rsidR="00694FF4">
        <w:t>SHCPt</w:t>
      </w:r>
      <w:proofErr w:type="spellEnd"/>
      <w:r w:rsidR="00694FF4">
        <w:t>)</w:t>
      </w:r>
      <w:bookmarkEnd w:id="195"/>
      <w:bookmarkEnd w:id="196"/>
    </w:p>
    <w:p w14:paraId="6795A8E1" w14:textId="77777777" w:rsidR="00481B07" w:rsidRPr="0057526A" w:rsidRDefault="00481B07" w:rsidP="00D544D1">
      <w:pPr>
        <w:pStyle w:val="Heading3nonumbering"/>
      </w:pPr>
      <w:r w:rsidRPr="0057526A">
        <w:t xml:space="preserve">Introduction </w:t>
      </w:r>
    </w:p>
    <w:p w14:paraId="737CBD3E" w14:textId="1A29B2F0" w:rsidR="00481B07" w:rsidRPr="00481B07" w:rsidRDefault="00481B07" w:rsidP="00D544D1">
      <w:pPr>
        <w:pStyle w:val="NumberedNormal"/>
      </w:pPr>
      <w:r>
        <w:t xml:space="preserve">The purpose of this condition is to </w:t>
      </w:r>
      <w:r w:rsidRPr="00481B07">
        <w:t xml:space="preserve">calculate the term </w:t>
      </w:r>
      <w:proofErr w:type="spellStart"/>
      <w:r w:rsidRPr="00481B07">
        <w:t>SHCPt</w:t>
      </w:r>
      <w:proofErr w:type="spellEnd"/>
      <w:r w:rsidRPr="00481B07">
        <w:t xml:space="preserve"> (the compensatory payments </w:t>
      </w:r>
      <w:r w:rsidR="00694FF4">
        <w:t>pass-through</w:t>
      </w:r>
      <w:r w:rsidR="00694FF4" w:rsidRPr="00481B07">
        <w:t xml:space="preserve"> </w:t>
      </w:r>
      <w:r w:rsidRPr="00481B07">
        <w:t xml:space="preserve">term). This contributes to the calculation of the term </w:t>
      </w:r>
      <w:proofErr w:type="spellStart"/>
      <w:r w:rsidRPr="00481B07">
        <w:t>PTt</w:t>
      </w:r>
      <w:proofErr w:type="spellEnd"/>
      <w:r w:rsidRPr="00481B07">
        <w:t xml:space="preserve"> (the allowed pass-through term), which in turns feed into Calculated Revenue in </w:t>
      </w:r>
      <w:r w:rsidR="00A148E7">
        <w:t>Special Condition 2.1 (Revenue Restriction)</w:t>
      </w:r>
      <w:r w:rsidRPr="00481B07">
        <w:t>.</w:t>
      </w:r>
    </w:p>
    <w:p w14:paraId="1374D6E2" w14:textId="77777777" w:rsidR="00481B07" w:rsidRPr="00481B07" w:rsidRDefault="00481B07" w:rsidP="00D544D1">
      <w:pPr>
        <w:pStyle w:val="NumberedNormal"/>
      </w:pPr>
      <w:r>
        <w:t>The effect of th</w:t>
      </w:r>
      <w:r w:rsidRPr="00481B07">
        <w:t>is condition is to adjust the licensee’s revenue to reflect payments made in accordance with the ENS Compensatory Payment Statement Methodology.</w:t>
      </w:r>
    </w:p>
    <w:p w14:paraId="04644A30" w14:textId="77777777" w:rsidR="00481B07" w:rsidRPr="00481B07" w:rsidRDefault="00481B07" w:rsidP="00D544D1">
      <w:pPr>
        <w:pStyle w:val="NumberedNormal"/>
      </w:pPr>
      <w:r>
        <w:t>This condition also places obligations on the licensee</w:t>
      </w:r>
      <w:r w:rsidRPr="00481B07">
        <w:t xml:space="preserve"> with respect to that methodology.</w:t>
      </w:r>
    </w:p>
    <w:p w14:paraId="167EBBC0" w14:textId="78720266" w:rsidR="00481B07" w:rsidRDefault="00481B07" w:rsidP="00D544D1">
      <w:pPr>
        <w:pStyle w:val="Heading3"/>
      </w:pPr>
      <w:r>
        <w:lastRenderedPageBreak/>
        <w:t xml:space="preserve">Formula for calculating the compensatory payments adjustment term </w:t>
      </w:r>
      <w:r w:rsidR="00694FF4">
        <w:t>(</w:t>
      </w:r>
      <w:proofErr w:type="spellStart"/>
      <w:r>
        <w:t>SHCPt</w:t>
      </w:r>
      <w:proofErr w:type="spellEnd"/>
      <w:r w:rsidR="00694FF4">
        <w:t>)</w:t>
      </w:r>
    </w:p>
    <w:p w14:paraId="16F583F4" w14:textId="77777777" w:rsidR="00481B07" w:rsidRPr="00481B07" w:rsidRDefault="00481B07" w:rsidP="00D544D1">
      <w:pPr>
        <w:pStyle w:val="NumberedNormal"/>
      </w:pPr>
      <w:r>
        <w:t xml:space="preserve"> </w:t>
      </w:r>
      <w:r w:rsidRPr="00481B07">
        <w:t xml:space="preserve">The value of </w:t>
      </w:r>
      <w:proofErr w:type="spellStart"/>
      <w:r w:rsidRPr="00481B07">
        <w:t>SHCPt</w:t>
      </w:r>
      <w:proofErr w:type="spellEnd"/>
      <w:r w:rsidRPr="00481B07">
        <w:t xml:space="preserve"> is derived in accordance with the following formula:</w:t>
      </w:r>
    </w:p>
    <w:p w14:paraId="63D3DAE4" w14:textId="77777777" w:rsidR="00481B07" w:rsidRPr="00481B07" w:rsidRDefault="00481B07" w:rsidP="003F66DB">
      <w:pPr>
        <w:pStyle w:val="Equation"/>
        <w:ind w:left="720"/>
      </w:pPr>
      <w:proofErr w:type="spellStart"/>
      <w:r>
        <w:t>SHCP</w:t>
      </w:r>
      <w:r w:rsidRPr="00481B07">
        <w:t>t</w:t>
      </w:r>
      <w:proofErr w:type="spellEnd"/>
      <w:r w:rsidRPr="00481B07">
        <w:t xml:space="preserve"> = (</w:t>
      </w:r>
      <w:proofErr w:type="spellStart"/>
      <w:r w:rsidRPr="00481B07">
        <w:t>DCPt</w:t>
      </w:r>
      <w:proofErr w:type="spellEnd"/>
      <w:r w:rsidRPr="00481B07">
        <w:t xml:space="preserve"> + </w:t>
      </w:r>
      <w:proofErr w:type="spellStart"/>
      <w:r w:rsidRPr="00481B07">
        <w:t>CCPt</w:t>
      </w:r>
      <w:proofErr w:type="spellEnd"/>
      <w:r w:rsidRPr="00481B07">
        <w:t xml:space="preserve">) </w:t>
      </w:r>
    </w:p>
    <w:p w14:paraId="51813FF5" w14:textId="77777777" w:rsidR="00481B07" w:rsidRPr="00481B07" w:rsidRDefault="00481B07" w:rsidP="003F66DB">
      <w:pPr>
        <w:ind w:left="720"/>
      </w:pPr>
      <w:r>
        <w:t>where:</w:t>
      </w:r>
    </w:p>
    <w:tbl>
      <w:tblPr>
        <w:tblW w:w="8363" w:type="dxa"/>
        <w:tblInd w:w="1537" w:type="dxa"/>
        <w:tblLayout w:type="fixed"/>
        <w:tblLook w:val="04A0" w:firstRow="1" w:lastRow="0" w:firstColumn="1" w:lastColumn="0" w:noHBand="0" w:noVBand="1"/>
      </w:tblPr>
      <w:tblGrid>
        <w:gridCol w:w="2126"/>
        <w:gridCol w:w="6237"/>
      </w:tblGrid>
      <w:tr w:rsidR="00481B07" w:rsidRPr="004C3792" w14:paraId="0C50BE16" w14:textId="77777777" w:rsidTr="003F66DB">
        <w:trPr>
          <w:trHeight w:val="567"/>
        </w:trPr>
        <w:tc>
          <w:tcPr>
            <w:tcW w:w="2126" w:type="dxa"/>
          </w:tcPr>
          <w:p w14:paraId="667F7FC1" w14:textId="77777777" w:rsidR="00481B07" w:rsidRPr="00481B07" w:rsidRDefault="00481B07" w:rsidP="00481B07">
            <w:proofErr w:type="spellStart"/>
            <w:r w:rsidRPr="004C3792">
              <w:t>DCP</w:t>
            </w:r>
            <w:r w:rsidRPr="00481B07">
              <w:t>t</w:t>
            </w:r>
            <w:proofErr w:type="spellEnd"/>
          </w:p>
        </w:tc>
        <w:tc>
          <w:tcPr>
            <w:tcW w:w="6237" w:type="dxa"/>
          </w:tcPr>
          <w:p w14:paraId="44550294" w14:textId="584D7760" w:rsidR="00481B07" w:rsidRPr="00481B07" w:rsidRDefault="00481B07" w:rsidP="004A6C66">
            <w:r>
              <w:t xml:space="preserve">is the sum of </w:t>
            </w:r>
            <w:r w:rsidRPr="00481B07">
              <w:t xml:space="preserve">compensatory payments made to Domestic Customers corresponding to Loss of Supply Events, as derived in accordance with paragraph </w:t>
            </w:r>
            <w:r w:rsidR="00A0683B">
              <w:t>6.3</w:t>
            </w:r>
            <w:r w:rsidRPr="00481B07">
              <w:t>.5</w:t>
            </w:r>
            <w:r w:rsidR="00A0683B">
              <w:t>; and</w:t>
            </w:r>
          </w:p>
        </w:tc>
      </w:tr>
      <w:tr w:rsidR="00481B07" w:rsidRPr="004C3792" w14:paraId="66C06218" w14:textId="77777777" w:rsidTr="003F66DB">
        <w:trPr>
          <w:trHeight w:val="567"/>
        </w:trPr>
        <w:tc>
          <w:tcPr>
            <w:tcW w:w="2126" w:type="dxa"/>
          </w:tcPr>
          <w:p w14:paraId="10990F10" w14:textId="77777777" w:rsidR="00481B07" w:rsidRPr="00481B07" w:rsidRDefault="00481B07" w:rsidP="00481B07">
            <w:proofErr w:type="spellStart"/>
            <w:r w:rsidRPr="004C3792">
              <w:t>CCP</w:t>
            </w:r>
            <w:r w:rsidRPr="00481B07">
              <w:t>t</w:t>
            </w:r>
            <w:proofErr w:type="spellEnd"/>
            <w:r w:rsidRPr="00481B07">
              <w:t xml:space="preserve"> </w:t>
            </w:r>
          </w:p>
        </w:tc>
        <w:tc>
          <w:tcPr>
            <w:tcW w:w="6237" w:type="dxa"/>
          </w:tcPr>
          <w:p w14:paraId="5AE38DB6" w14:textId="2EE97804" w:rsidR="00481B07" w:rsidRPr="00481B07" w:rsidRDefault="00481B07" w:rsidP="004A6C66">
            <w:r>
              <w:t xml:space="preserve">is the sum of </w:t>
            </w:r>
            <w:r w:rsidRPr="00481B07">
              <w:t xml:space="preserve">compensatory payments made to Commercial Customers corresponding to Loss of Supply Events, as derived in accordance with paragraph </w:t>
            </w:r>
            <w:proofErr w:type="gramStart"/>
            <w:r w:rsidR="00A0683B">
              <w:t>6.3</w:t>
            </w:r>
            <w:r w:rsidRPr="00481B07">
              <w:t>.6.</w:t>
            </w:r>
            <w:proofErr w:type="gramEnd"/>
          </w:p>
        </w:tc>
      </w:tr>
    </w:tbl>
    <w:p w14:paraId="7D8030E5" w14:textId="1E0CCA5A" w:rsidR="00481B07" w:rsidRPr="00481B07" w:rsidRDefault="00694FF4" w:rsidP="007C0D67">
      <w:pPr>
        <w:pStyle w:val="NumberedNormal"/>
      </w:pPr>
      <w:r>
        <w:t xml:space="preserve">The value of </w:t>
      </w:r>
      <w:proofErr w:type="spellStart"/>
      <w:r w:rsidR="00481B07">
        <w:t>DCP</w:t>
      </w:r>
      <w:r w:rsidR="00481B07" w:rsidRPr="00481B07">
        <w:t>t</w:t>
      </w:r>
      <w:proofErr w:type="spellEnd"/>
      <w:r w:rsidR="00481B07" w:rsidRPr="00481B07">
        <w:t xml:space="preserve"> is derived in accordance with the following formula:</w:t>
      </w:r>
    </w:p>
    <w:p w14:paraId="39E0BCE6" w14:textId="77777777" w:rsidR="00481B07" w:rsidRPr="00481B07" w:rsidRDefault="00481B07" w:rsidP="003F66DB">
      <w:pPr>
        <w:pStyle w:val="Equation"/>
        <w:ind w:left="720"/>
      </w:pPr>
      <w:proofErr w:type="spellStart"/>
      <w:r w:rsidRPr="00481B07">
        <w:t>DCPt</w:t>
      </w:r>
      <w:proofErr w:type="spellEnd"/>
      <w:r w:rsidRPr="00481B07">
        <w:t>= (</w:t>
      </w:r>
      <w:proofErr w:type="spellStart"/>
      <w:r w:rsidRPr="00481B07">
        <w:t>DCOSt</w:t>
      </w:r>
      <w:proofErr w:type="spellEnd"/>
      <w:r w:rsidRPr="00481B07">
        <w:t xml:space="preserve"> x DC) + (</w:t>
      </w:r>
      <w:proofErr w:type="spellStart"/>
      <w:r w:rsidRPr="00481B07">
        <w:t>EDCOSt</w:t>
      </w:r>
      <w:proofErr w:type="spellEnd"/>
      <w:r w:rsidRPr="00481B07">
        <w:t xml:space="preserve"> x EDC)</w:t>
      </w:r>
    </w:p>
    <w:p w14:paraId="7DBB9932" w14:textId="77777777" w:rsidR="00481B07" w:rsidRPr="004C3792" w:rsidRDefault="00481B07" w:rsidP="003F66DB">
      <w:pPr>
        <w:pStyle w:val="ListParagraph"/>
        <w:ind w:left="720"/>
      </w:pPr>
      <w:r w:rsidRPr="00481B07">
        <w:t>where:</w:t>
      </w:r>
    </w:p>
    <w:tbl>
      <w:tblPr>
        <w:tblW w:w="8505" w:type="dxa"/>
        <w:tblInd w:w="1537" w:type="dxa"/>
        <w:tblLayout w:type="fixed"/>
        <w:tblLook w:val="04A0" w:firstRow="1" w:lastRow="0" w:firstColumn="1" w:lastColumn="0" w:noHBand="0" w:noVBand="1"/>
      </w:tblPr>
      <w:tblGrid>
        <w:gridCol w:w="2126"/>
        <w:gridCol w:w="6379"/>
      </w:tblGrid>
      <w:tr w:rsidR="00481B07" w:rsidRPr="004C3792" w14:paraId="1B616AF6" w14:textId="77777777" w:rsidTr="003F66DB">
        <w:trPr>
          <w:trHeight w:val="567"/>
        </w:trPr>
        <w:tc>
          <w:tcPr>
            <w:tcW w:w="2126" w:type="dxa"/>
          </w:tcPr>
          <w:p w14:paraId="20F1049C" w14:textId="77777777" w:rsidR="00481B07" w:rsidRPr="00481B07" w:rsidRDefault="00481B07" w:rsidP="00481B07">
            <w:r w:rsidRPr="004C3792">
              <w:t>DCOS</w:t>
            </w:r>
          </w:p>
        </w:tc>
        <w:tc>
          <w:tcPr>
            <w:tcW w:w="6379" w:type="dxa"/>
          </w:tcPr>
          <w:p w14:paraId="594A8872" w14:textId="4DADF8A2" w:rsidR="00481B07" w:rsidRPr="00481B07" w:rsidRDefault="00481B07" w:rsidP="004A6C66">
            <w:r>
              <w:t xml:space="preserve">is the total number of Domestic Customers off supply for a period of six hours or more </w:t>
            </w:r>
            <w:r w:rsidRPr="00481B07">
              <w:t>that are eligible for a compensatory payment under the ENS Compensatory Payment Methodology</w:t>
            </w:r>
            <w:r w:rsidR="00A0683B">
              <w:t>;</w:t>
            </w:r>
          </w:p>
        </w:tc>
      </w:tr>
      <w:tr w:rsidR="00481B07" w:rsidRPr="004C3792" w14:paraId="45381D33" w14:textId="77777777" w:rsidTr="003F66DB">
        <w:trPr>
          <w:trHeight w:val="567"/>
        </w:trPr>
        <w:tc>
          <w:tcPr>
            <w:tcW w:w="2126" w:type="dxa"/>
          </w:tcPr>
          <w:p w14:paraId="03512847" w14:textId="77777777" w:rsidR="00481B07" w:rsidRPr="00481B07" w:rsidRDefault="00481B07" w:rsidP="00481B07">
            <w:r w:rsidRPr="004C3792">
              <w:t>DC</w:t>
            </w:r>
          </w:p>
        </w:tc>
        <w:tc>
          <w:tcPr>
            <w:tcW w:w="6379" w:type="dxa"/>
          </w:tcPr>
          <w:p w14:paraId="5B82D527" w14:textId="26284E1F" w:rsidR="00481B07" w:rsidRPr="00481B07" w:rsidRDefault="00481B07" w:rsidP="004A6C66">
            <w:r>
              <w:t>is the compensatory payment</w:t>
            </w:r>
            <w:r w:rsidRPr="00481B07">
              <w:t xml:space="preserve"> for Domestic Customers set out in the ENS Compensatory Payment Methodology in force at the time of the Loss of Supply Event</w:t>
            </w:r>
            <w:r w:rsidR="00A0683B">
              <w:t>;</w:t>
            </w:r>
          </w:p>
        </w:tc>
      </w:tr>
      <w:tr w:rsidR="00481B07" w:rsidRPr="004C3792" w14:paraId="40C0C2A6" w14:textId="77777777" w:rsidTr="003F66DB">
        <w:trPr>
          <w:trHeight w:val="567"/>
        </w:trPr>
        <w:tc>
          <w:tcPr>
            <w:tcW w:w="2126" w:type="dxa"/>
          </w:tcPr>
          <w:p w14:paraId="14C50AD1" w14:textId="77777777" w:rsidR="00481B07" w:rsidRPr="00481B07" w:rsidRDefault="00481B07" w:rsidP="00481B07">
            <w:proofErr w:type="spellStart"/>
            <w:r w:rsidRPr="004C3792">
              <w:t>EDCOS</w:t>
            </w:r>
            <w:r w:rsidRPr="00481B07">
              <w:t>t</w:t>
            </w:r>
            <w:proofErr w:type="spellEnd"/>
          </w:p>
        </w:tc>
        <w:tc>
          <w:tcPr>
            <w:tcW w:w="6379" w:type="dxa"/>
          </w:tcPr>
          <w:p w14:paraId="663CACDF" w14:textId="7349CAFC" w:rsidR="00481B07" w:rsidRPr="00481B07" w:rsidRDefault="00481B07" w:rsidP="004A6C66">
            <w:r>
              <w:t xml:space="preserve">is the total number of Domestic Customers off supply for a period of twelve hours or more </w:t>
            </w:r>
            <w:r w:rsidRPr="00481B07">
              <w:t>that are eligible for enhanced compensatory payment under the ENS Compensatory Payment Methodology</w:t>
            </w:r>
            <w:r w:rsidR="00A0683B">
              <w:t>; and</w:t>
            </w:r>
          </w:p>
        </w:tc>
      </w:tr>
      <w:tr w:rsidR="00481B07" w:rsidRPr="004C3792" w14:paraId="2B70D4BA" w14:textId="77777777" w:rsidTr="003F66DB">
        <w:trPr>
          <w:trHeight w:val="567"/>
        </w:trPr>
        <w:tc>
          <w:tcPr>
            <w:tcW w:w="2126" w:type="dxa"/>
          </w:tcPr>
          <w:p w14:paraId="3DF839C4" w14:textId="77777777" w:rsidR="00481B07" w:rsidRPr="00481B07" w:rsidRDefault="00481B07" w:rsidP="00481B07">
            <w:proofErr w:type="spellStart"/>
            <w:r w:rsidRPr="004C3792">
              <w:t>EDC</w:t>
            </w:r>
            <w:r w:rsidRPr="00481B07">
              <w:t>t</w:t>
            </w:r>
            <w:proofErr w:type="spellEnd"/>
          </w:p>
        </w:tc>
        <w:tc>
          <w:tcPr>
            <w:tcW w:w="6379" w:type="dxa"/>
          </w:tcPr>
          <w:p w14:paraId="76CCD769" w14:textId="2491DF72" w:rsidR="00481B07" w:rsidRPr="00481B07" w:rsidRDefault="00481B07" w:rsidP="004A6C66">
            <w:r>
              <w:t>is the enhanced compensatory payment for Domestic Customers set out in the</w:t>
            </w:r>
            <w:r w:rsidRPr="00481B07">
              <w:t xml:space="preserve"> ENS Compensatory Payment Methodology in force at the time of the Loss of Supply Event.</w:t>
            </w:r>
          </w:p>
        </w:tc>
      </w:tr>
    </w:tbl>
    <w:p w14:paraId="229DA788" w14:textId="37189B5D" w:rsidR="00481B07" w:rsidRPr="00481B07" w:rsidRDefault="00694FF4" w:rsidP="00AB1D80">
      <w:pPr>
        <w:pStyle w:val="NumberedNormal"/>
      </w:pPr>
      <w:r>
        <w:t xml:space="preserve">The value of </w:t>
      </w:r>
      <w:proofErr w:type="spellStart"/>
      <w:r w:rsidR="00481B07">
        <w:t>CCP</w:t>
      </w:r>
      <w:r w:rsidR="00481B07" w:rsidRPr="00481B07">
        <w:t>t</w:t>
      </w:r>
      <w:proofErr w:type="spellEnd"/>
      <w:r w:rsidR="00481B07" w:rsidRPr="00481B07">
        <w:t xml:space="preserve"> is derived in accordance with the following formula:</w:t>
      </w:r>
    </w:p>
    <w:p w14:paraId="1530DC95" w14:textId="77777777" w:rsidR="00481B07" w:rsidRPr="00481B07" w:rsidRDefault="00481B07" w:rsidP="003F66DB">
      <w:pPr>
        <w:pStyle w:val="Equation"/>
        <w:ind w:left="720"/>
      </w:pPr>
      <w:proofErr w:type="spellStart"/>
      <w:r w:rsidRPr="004C3792">
        <w:t>CCP</w:t>
      </w:r>
      <w:r w:rsidRPr="00481B07">
        <w:t>t</w:t>
      </w:r>
      <w:proofErr w:type="spellEnd"/>
      <w:r w:rsidRPr="00481B07">
        <w:t xml:space="preserve"> = (</w:t>
      </w:r>
      <w:proofErr w:type="spellStart"/>
      <w:r w:rsidRPr="00481B07">
        <w:t>CCOSt</w:t>
      </w:r>
      <w:proofErr w:type="spellEnd"/>
      <w:r w:rsidRPr="00481B07">
        <w:t xml:space="preserve"> x CC) + (</w:t>
      </w:r>
      <w:proofErr w:type="spellStart"/>
      <w:r w:rsidRPr="00481B07">
        <w:t>ECCOSt</w:t>
      </w:r>
      <w:proofErr w:type="spellEnd"/>
      <w:r w:rsidRPr="00481B07">
        <w:t xml:space="preserve"> x ECC)</w:t>
      </w:r>
    </w:p>
    <w:p w14:paraId="0E8B013F" w14:textId="77777777" w:rsidR="00481B07" w:rsidRPr="00481B07" w:rsidRDefault="00481B07" w:rsidP="003F66DB">
      <w:pPr>
        <w:ind w:left="720"/>
      </w:pPr>
      <w:r w:rsidRPr="004C3792">
        <w:t>where:</w:t>
      </w:r>
    </w:p>
    <w:tbl>
      <w:tblPr>
        <w:tblW w:w="8363" w:type="dxa"/>
        <w:tblInd w:w="1537" w:type="dxa"/>
        <w:tblLayout w:type="fixed"/>
        <w:tblLook w:val="04A0" w:firstRow="1" w:lastRow="0" w:firstColumn="1" w:lastColumn="0" w:noHBand="0" w:noVBand="1"/>
      </w:tblPr>
      <w:tblGrid>
        <w:gridCol w:w="2126"/>
        <w:gridCol w:w="6237"/>
      </w:tblGrid>
      <w:tr w:rsidR="00481B07" w:rsidRPr="004C3792" w14:paraId="12371A89" w14:textId="77777777" w:rsidTr="003F66DB">
        <w:trPr>
          <w:trHeight w:val="567"/>
        </w:trPr>
        <w:tc>
          <w:tcPr>
            <w:tcW w:w="2126" w:type="dxa"/>
          </w:tcPr>
          <w:p w14:paraId="05BB7B72" w14:textId="77777777" w:rsidR="00481B07" w:rsidRPr="00481B07" w:rsidRDefault="00481B07" w:rsidP="00481B07">
            <w:proofErr w:type="spellStart"/>
            <w:r w:rsidRPr="004C3792">
              <w:t>CCOS</w:t>
            </w:r>
            <w:r w:rsidRPr="00481B07">
              <w:t>t</w:t>
            </w:r>
            <w:proofErr w:type="spellEnd"/>
          </w:p>
        </w:tc>
        <w:tc>
          <w:tcPr>
            <w:tcW w:w="6237" w:type="dxa"/>
          </w:tcPr>
          <w:p w14:paraId="047B88AD" w14:textId="70FD0993" w:rsidR="00481B07" w:rsidRPr="00481B07" w:rsidRDefault="00481B07" w:rsidP="004A6C66">
            <w:r>
              <w:t xml:space="preserve">is the total number of </w:t>
            </w:r>
            <w:r w:rsidRPr="00481B07">
              <w:t>Commercial Customers off supply for a period of six hours or more that are eligible for compensatory payment under the ENS Compensatory Payment Methodology</w:t>
            </w:r>
            <w:r w:rsidR="00A0683B">
              <w:t>;</w:t>
            </w:r>
          </w:p>
        </w:tc>
      </w:tr>
      <w:tr w:rsidR="00481B07" w:rsidRPr="004C3792" w14:paraId="119A5E7F" w14:textId="77777777" w:rsidTr="003F66DB">
        <w:trPr>
          <w:trHeight w:val="567"/>
        </w:trPr>
        <w:tc>
          <w:tcPr>
            <w:tcW w:w="2126" w:type="dxa"/>
          </w:tcPr>
          <w:p w14:paraId="6701AA65" w14:textId="77777777" w:rsidR="00481B07" w:rsidRPr="00481B07" w:rsidRDefault="00481B07" w:rsidP="00481B07">
            <w:r w:rsidRPr="004C3792">
              <w:lastRenderedPageBreak/>
              <w:t>CC</w:t>
            </w:r>
          </w:p>
        </w:tc>
        <w:tc>
          <w:tcPr>
            <w:tcW w:w="6237" w:type="dxa"/>
          </w:tcPr>
          <w:p w14:paraId="45F2E079" w14:textId="36653920" w:rsidR="00481B07" w:rsidRPr="00481B07" w:rsidRDefault="00481B07" w:rsidP="004A6C66">
            <w:r>
              <w:t>is the compensatory payment for Commercial Customers set out in the</w:t>
            </w:r>
            <w:r w:rsidRPr="00481B07">
              <w:t xml:space="preserve"> ENS Compensatory Payment Methodology in force at the time of the Loss of Supply Event</w:t>
            </w:r>
            <w:r w:rsidR="00A0683B">
              <w:t>;</w:t>
            </w:r>
          </w:p>
        </w:tc>
      </w:tr>
      <w:tr w:rsidR="00481B07" w:rsidRPr="004C3792" w14:paraId="75C7ADE2" w14:textId="77777777" w:rsidTr="003F66DB">
        <w:trPr>
          <w:trHeight w:val="567"/>
        </w:trPr>
        <w:tc>
          <w:tcPr>
            <w:tcW w:w="2126" w:type="dxa"/>
          </w:tcPr>
          <w:p w14:paraId="6A27EE20" w14:textId="77777777" w:rsidR="00481B07" w:rsidRPr="00481B07" w:rsidRDefault="00481B07" w:rsidP="00481B07">
            <w:proofErr w:type="spellStart"/>
            <w:r w:rsidRPr="004C3792">
              <w:t>ECCOS</w:t>
            </w:r>
            <w:r w:rsidRPr="00481B07">
              <w:t>t</w:t>
            </w:r>
            <w:proofErr w:type="spellEnd"/>
          </w:p>
        </w:tc>
        <w:tc>
          <w:tcPr>
            <w:tcW w:w="6237" w:type="dxa"/>
          </w:tcPr>
          <w:p w14:paraId="18E7201D" w14:textId="644D49AE" w:rsidR="00481B07" w:rsidRPr="00481B07" w:rsidRDefault="00481B07" w:rsidP="004A6C66">
            <w:r>
              <w:t xml:space="preserve">is the total number of Commercial Customers off supply for a period of twelve hours or more </w:t>
            </w:r>
            <w:r w:rsidRPr="00481B07">
              <w:t>that are eligible for enhanced compensatory payment under the ENS Compensatory Payment Methodology</w:t>
            </w:r>
            <w:r w:rsidR="00A0683B">
              <w:t>; and</w:t>
            </w:r>
          </w:p>
        </w:tc>
      </w:tr>
      <w:tr w:rsidR="00481B07" w:rsidRPr="004C3792" w14:paraId="5E65A499" w14:textId="77777777" w:rsidTr="003F66DB">
        <w:trPr>
          <w:trHeight w:val="567"/>
        </w:trPr>
        <w:tc>
          <w:tcPr>
            <w:tcW w:w="2126" w:type="dxa"/>
          </w:tcPr>
          <w:p w14:paraId="08669D88" w14:textId="77777777" w:rsidR="00481B07" w:rsidRPr="00481B07" w:rsidRDefault="00481B07" w:rsidP="00481B07">
            <w:r w:rsidRPr="004C3792">
              <w:t>ECC</w:t>
            </w:r>
          </w:p>
        </w:tc>
        <w:tc>
          <w:tcPr>
            <w:tcW w:w="6237" w:type="dxa"/>
          </w:tcPr>
          <w:p w14:paraId="63B62992" w14:textId="14F5EB3D" w:rsidR="00481B07" w:rsidRPr="00481B07" w:rsidRDefault="00481B07" w:rsidP="004A6C66">
            <w:r>
              <w:t xml:space="preserve">is the enhanced compensatory payment for Commercial Customers set out in the </w:t>
            </w:r>
            <w:r w:rsidRPr="00481B07">
              <w:t>ENS Compensatory Payment Methodology in force at the time of the Loss of Supply Event.</w:t>
            </w:r>
          </w:p>
        </w:tc>
      </w:tr>
    </w:tbl>
    <w:p w14:paraId="7C686442" w14:textId="77777777" w:rsidR="00481B07" w:rsidRPr="004C3792" w:rsidRDefault="00481B07" w:rsidP="00201DD6">
      <w:pPr>
        <w:pStyle w:val="Heading3"/>
      </w:pPr>
      <w:r>
        <w:t>Part B: ENS Compensatory Payment Methodology</w:t>
      </w:r>
    </w:p>
    <w:p w14:paraId="4BDB40A5" w14:textId="77777777" w:rsidR="00481B07" w:rsidRPr="00481B07" w:rsidRDefault="00481B07" w:rsidP="00201DD6">
      <w:pPr>
        <w:pStyle w:val="NumberedNormal"/>
      </w:pPr>
      <w:r>
        <w:t>The licensee must have in place an ENS Compensatory Payment Methodology approved by the Authority.</w:t>
      </w:r>
    </w:p>
    <w:p w14:paraId="354BDFC5" w14:textId="77777777" w:rsidR="00481B07" w:rsidRPr="00481B07" w:rsidRDefault="00481B07" w:rsidP="00201DD6">
      <w:pPr>
        <w:pStyle w:val="NumberedNormal"/>
      </w:pPr>
      <w:r>
        <w:t xml:space="preserve">The ENS Compensatory Payment Methodology must set out the methodology by which the licensee will: </w:t>
      </w:r>
    </w:p>
    <w:p w14:paraId="3AD45CA3" w14:textId="77777777" w:rsidR="00481B07" w:rsidRPr="00481B07" w:rsidRDefault="00481B07" w:rsidP="00201DD6">
      <w:pPr>
        <w:pStyle w:val="ListNormal"/>
      </w:pPr>
      <w:r w:rsidRPr="004C3792">
        <w:t xml:space="preserve">identify </w:t>
      </w:r>
      <w:r w:rsidRPr="00481B07">
        <w:t xml:space="preserve">and contact eligible </w:t>
      </w:r>
      <w:proofErr w:type="gramStart"/>
      <w:r w:rsidRPr="00481B07">
        <w:t>customers;</w:t>
      </w:r>
      <w:proofErr w:type="gramEnd"/>
      <w:r w:rsidRPr="00481B07">
        <w:t xml:space="preserve"> </w:t>
      </w:r>
    </w:p>
    <w:p w14:paraId="7FF2AB68" w14:textId="77777777" w:rsidR="00481B07" w:rsidRPr="00481B07" w:rsidRDefault="00481B07" w:rsidP="00201DD6">
      <w:pPr>
        <w:pStyle w:val="ListNormal"/>
      </w:pPr>
      <w:r>
        <w:t>c</w:t>
      </w:r>
      <w:r w:rsidRPr="00481B07">
        <w:t xml:space="preserve">alculate payment amounts; and </w:t>
      </w:r>
    </w:p>
    <w:p w14:paraId="390089B5" w14:textId="041075E0" w:rsidR="00694FF4" w:rsidRDefault="00481B07" w:rsidP="00201DD6">
      <w:pPr>
        <w:pStyle w:val="ListNormal"/>
      </w:pPr>
      <w:r>
        <w:t>process compensatory payments for Loss of Supply Events</w:t>
      </w:r>
      <w:r w:rsidR="00A0683B">
        <w:t>.</w:t>
      </w:r>
    </w:p>
    <w:p w14:paraId="1BA6BEF4" w14:textId="69D78F38" w:rsidR="00481B07" w:rsidRPr="00481B07" w:rsidRDefault="00481B07" w:rsidP="00AB1D80">
      <w:pPr>
        <w:pStyle w:val="NumberedNormal"/>
      </w:pPr>
      <w:r>
        <w:t xml:space="preserve">The licensee must use </w:t>
      </w:r>
      <w:r w:rsidR="00694FF4">
        <w:t xml:space="preserve">its </w:t>
      </w:r>
      <w:r>
        <w:t>best endeavours to apply the ENS Compensatory Payment Methodology.</w:t>
      </w:r>
    </w:p>
    <w:p w14:paraId="66F84804" w14:textId="0686C7CD" w:rsidR="00481B07" w:rsidRPr="00481B07" w:rsidRDefault="00481B07" w:rsidP="00201DD6">
      <w:pPr>
        <w:pStyle w:val="NumberedNormal"/>
      </w:pPr>
      <w:r>
        <w:t>The licensee must from time to time</w:t>
      </w:r>
      <w:r w:rsidR="00A0683B">
        <w:t>,</w:t>
      </w:r>
      <w:r>
        <w:t xml:space="preserve"> </w:t>
      </w:r>
      <w:r w:rsidR="00694FF4" w:rsidRPr="00E43BB1">
        <w:t>and in any event not less than once in every period of two Regulatory Years</w:t>
      </w:r>
      <w:r>
        <w:t xml:space="preserve">, review and propose any revisions to the ENS </w:t>
      </w:r>
      <w:r w:rsidRPr="00481B07">
        <w:t>Compensatory Payment Methodology as may be necessary in order to ensure that it continues to enable the identification and contacting of eligible customers, and the processing of compensatory payments.</w:t>
      </w:r>
    </w:p>
    <w:p w14:paraId="5DEFB631" w14:textId="77777777" w:rsidR="00481B07" w:rsidRPr="00481B07" w:rsidRDefault="00481B07" w:rsidP="00201DD6">
      <w:pPr>
        <w:pStyle w:val="NumberedNormal"/>
      </w:pPr>
      <w:r>
        <w:t xml:space="preserve">Before revising the ENS </w:t>
      </w:r>
      <w:r w:rsidRPr="00481B07">
        <w:t>Compensatory Payment Methodology, the licensee must provide a copy of the proposed revisions to the Authority.</w:t>
      </w:r>
    </w:p>
    <w:p w14:paraId="502D4F7D" w14:textId="77777777" w:rsidR="00481B07" w:rsidRPr="00481B07" w:rsidRDefault="00481B07" w:rsidP="00201DD6">
      <w:pPr>
        <w:pStyle w:val="NumberedNormal"/>
      </w:pPr>
      <w:r>
        <w:t>The Authority will either:</w:t>
      </w:r>
    </w:p>
    <w:p w14:paraId="754F5881" w14:textId="0AC363AC" w:rsidR="00481B07" w:rsidRPr="00481B07" w:rsidRDefault="00481B07" w:rsidP="00201DD6">
      <w:pPr>
        <w:pStyle w:val="ListNormal"/>
      </w:pPr>
      <w:r>
        <w:t xml:space="preserve">approve the </w:t>
      </w:r>
      <w:r w:rsidR="00694FF4">
        <w:t xml:space="preserve">proposed </w:t>
      </w:r>
      <w:proofErr w:type="gramStart"/>
      <w:r>
        <w:t>revisions;</w:t>
      </w:r>
      <w:proofErr w:type="gramEnd"/>
      <w:r>
        <w:t xml:space="preserve"> </w:t>
      </w:r>
    </w:p>
    <w:p w14:paraId="000354DD" w14:textId="77777777" w:rsidR="00481B07" w:rsidRPr="00481B07" w:rsidRDefault="00481B07" w:rsidP="00201DD6">
      <w:pPr>
        <w:pStyle w:val="ListNormal"/>
      </w:pPr>
      <w:r>
        <w:t>reject the proposed revisions; or</w:t>
      </w:r>
    </w:p>
    <w:p w14:paraId="1ADB497A" w14:textId="7BABCA80" w:rsidR="00481B07" w:rsidRPr="00481B07" w:rsidRDefault="00481B07" w:rsidP="00201DD6">
      <w:pPr>
        <w:pStyle w:val="ListNormal"/>
      </w:pPr>
      <w:r>
        <w:t xml:space="preserve">reject the proposed revisions and give recommendations as to alternative revisions that it considers </w:t>
      </w:r>
      <w:r w:rsidR="008C578E">
        <w:t>should be made</w:t>
      </w:r>
      <w:r>
        <w:t>.</w:t>
      </w:r>
    </w:p>
    <w:p w14:paraId="7DE81D4C" w14:textId="77777777" w:rsidR="00B23AA0" w:rsidRPr="00481B07" w:rsidRDefault="00B23AA0" w:rsidP="00B23AA0">
      <w:pPr>
        <w:pStyle w:val="NumberedNormal"/>
        <w:numPr>
          <w:ilvl w:val="0"/>
          <w:numId w:val="0"/>
        </w:numPr>
        <w:ind w:left="879"/>
      </w:pPr>
    </w:p>
    <w:p w14:paraId="2BC5F74C" w14:textId="102D0F9C" w:rsidR="00CA01A5" w:rsidRDefault="00CA01A5" w:rsidP="00CA01A5">
      <w:pPr>
        <w:pStyle w:val="Heading1"/>
      </w:pPr>
      <w:bookmarkStart w:id="197" w:name="_Toc51319642"/>
      <w:bookmarkStart w:id="198" w:name="_Toc51798316"/>
      <w:bookmarkStart w:id="199" w:name="_Toc52364923"/>
      <w:r>
        <w:lastRenderedPageBreak/>
        <w:t>Legacy Adjustments</w:t>
      </w:r>
      <w:bookmarkEnd w:id="197"/>
      <w:bookmarkEnd w:id="198"/>
      <w:bookmarkEnd w:id="199"/>
    </w:p>
    <w:p w14:paraId="2BBC7BE9" w14:textId="76E08E9F" w:rsidR="00CA01A5" w:rsidRDefault="00481B07" w:rsidP="00CA01A5">
      <w:pPr>
        <w:pStyle w:val="Heading2"/>
      </w:pPr>
      <w:bookmarkStart w:id="200" w:name="_Toc51319643"/>
      <w:bookmarkStart w:id="201" w:name="_Toc51798317"/>
      <w:bookmarkStart w:id="202" w:name="_Toc52364924"/>
      <w:r>
        <w:t>Legacy price control adjustments</w:t>
      </w:r>
      <w:bookmarkEnd w:id="200"/>
      <w:bookmarkEnd w:id="201"/>
      <w:r w:rsidR="00C21AB2">
        <w:t xml:space="preserve"> (</w:t>
      </w:r>
      <w:proofErr w:type="spellStart"/>
      <w:r w:rsidR="00C21AB2">
        <w:t>LAR</w:t>
      </w:r>
      <w:r w:rsidR="00C21AB2" w:rsidRPr="00C21AB2">
        <w:rPr>
          <w:vertAlign w:val="subscript"/>
        </w:rPr>
        <w:t>t</w:t>
      </w:r>
      <w:proofErr w:type="spellEnd"/>
      <w:r w:rsidR="00C21AB2">
        <w:t>)</w:t>
      </w:r>
      <w:bookmarkEnd w:id="202"/>
    </w:p>
    <w:p w14:paraId="62485C8A" w14:textId="77777777" w:rsidR="00B11CD9" w:rsidRDefault="00B11CD9" w:rsidP="00B11CD9">
      <w:pPr>
        <w:pStyle w:val="Heading3nonumbering"/>
      </w:pPr>
      <w:r>
        <w:t>Introduction</w:t>
      </w:r>
    </w:p>
    <w:p w14:paraId="0D12FB65" w14:textId="77777777" w:rsidR="00B11CD9" w:rsidRDefault="00B11CD9" w:rsidP="00B11CD9">
      <w:pPr>
        <w:pStyle w:val="NumberedNormal"/>
      </w:pPr>
      <w:r>
        <w:t xml:space="preserve">The purpose of this condition is to calculate the term </w:t>
      </w:r>
      <w:proofErr w:type="spellStart"/>
      <w:r w:rsidRPr="00B82BD6">
        <w:t>LAR</w:t>
      </w:r>
      <w:r w:rsidRPr="00B82BD6">
        <w:rPr>
          <w:vertAlign w:val="subscript"/>
        </w:rPr>
        <w:t>t</w:t>
      </w:r>
      <w:proofErr w:type="spellEnd"/>
      <w:r>
        <w:t xml:space="preserve"> (the legacy adjustments term), which in turn feeds into Calculated Revenue in Special Condition 2.1 (Revenue Restriction).</w:t>
      </w:r>
    </w:p>
    <w:p w14:paraId="2C42FC54" w14:textId="70B22F2D" w:rsidR="00B11CD9" w:rsidRPr="00CD759D" w:rsidRDefault="00B11CD9" w:rsidP="00B11CD9">
      <w:pPr>
        <w:pStyle w:val="Heading3"/>
      </w:pPr>
      <w:r>
        <w:t xml:space="preserve">Formula for calculating </w:t>
      </w:r>
      <w:r w:rsidRPr="00B11CD9">
        <w:t>total</w:t>
      </w:r>
      <w:r>
        <w:t xml:space="preserve"> legacy adjustments</w:t>
      </w:r>
      <w:r w:rsidR="007614B6">
        <w:t xml:space="preserve"> (</w:t>
      </w:r>
      <w:proofErr w:type="spellStart"/>
      <w:r w:rsidR="007614B6">
        <w:t>LAR</w:t>
      </w:r>
      <w:r w:rsidR="007614B6" w:rsidRPr="007614B6">
        <w:rPr>
          <w:vertAlign w:val="subscript"/>
        </w:rPr>
        <w:t>t</w:t>
      </w:r>
      <w:proofErr w:type="spellEnd"/>
      <w:r w:rsidR="007614B6">
        <w:t>)</w:t>
      </w:r>
    </w:p>
    <w:p w14:paraId="20D6E38E" w14:textId="77777777" w:rsidR="00B11CD9" w:rsidRDefault="00B11CD9" w:rsidP="00B11CD9">
      <w:pPr>
        <w:pStyle w:val="NumberedNormal"/>
      </w:pPr>
      <w:r>
        <w:t xml:space="preserve">The value of the </w:t>
      </w:r>
      <w:proofErr w:type="spellStart"/>
      <w:r>
        <w:t>LAR</w:t>
      </w:r>
      <w:r w:rsidRPr="007614B6">
        <w:rPr>
          <w:vertAlign w:val="subscript"/>
        </w:rPr>
        <w:t>t</w:t>
      </w:r>
      <w:proofErr w:type="spellEnd"/>
      <w:r>
        <w:t xml:space="preserve"> term is derived in accordance with the following formula:</w:t>
      </w:r>
    </w:p>
    <w:p w14:paraId="6EE48B89" w14:textId="57AFE440" w:rsidR="00B11CD9" w:rsidRPr="003C282C" w:rsidRDefault="00B913B6" w:rsidP="00B11CD9">
      <m:oMathPara>
        <m:oMath>
          <m:sSub>
            <m:sSubPr>
              <m:ctrlPr>
                <w:rPr>
                  <w:rFonts w:ascii="Cambria Math" w:hAnsi="Cambria Math"/>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NOCO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LSSO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LEDR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LSFI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LRI</m:t>
              </m:r>
            </m:e>
            <m:sub>
              <m:r>
                <w:rPr>
                  <w:rFonts w:ascii="Cambria Math" w:hAnsi="Cambria Math"/>
                </w:rPr>
                <m:t>t</m:t>
              </m:r>
            </m:sub>
          </m:sSub>
        </m:oMath>
      </m:oMathPara>
    </w:p>
    <w:p w14:paraId="50C9F583" w14:textId="77777777" w:rsidR="00B11CD9" w:rsidRDefault="00B11CD9" w:rsidP="00B11CD9">
      <w:r>
        <w:tab/>
        <w:t>where:</w:t>
      </w:r>
    </w:p>
    <w:tbl>
      <w:tblPr>
        <w:tblStyle w:val="TableGridLight"/>
        <w:tblW w:w="0" w:type="auto"/>
        <w:tblLook w:val="04A0" w:firstRow="1" w:lastRow="0" w:firstColumn="1" w:lastColumn="0" w:noHBand="0" w:noVBand="1"/>
      </w:tblPr>
      <w:tblGrid>
        <w:gridCol w:w="920"/>
        <w:gridCol w:w="7426"/>
      </w:tblGrid>
      <w:tr w:rsidR="00B11CD9" w14:paraId="06E4BB27" w14:textId="77777777" w:rsidTr="00D17BBC">
        <w:tc>
          <w:tcPr>
            <w:tcW w:w="920" w:type="dxa"/>
          </w:tcPr>
          <w:p w14:paraId="6EDC8E69" w14:textId="77777777" w:rsidR="00B11CD9" w:rsidRPr="00B11CD9" w:rsidRDefault="00B11CD9" w:rsidP="00B11CD9">
            <w:proofErr w:type="spellStart"/>
            <w:r>
              <w:t>LPT</w:t>
            </w:r>
            <w:r w:rsidRPr="00D17BBC">
              <w:rPr>
                <w:vertAlign w:val="subscript"/>
              </w:rPr>
              <w:t>t</w:t>
            </w:r>
            <w:proofErr w:type="spellEnd"/>
          </w:p>
        </w:tc>
        <w:tc>
          <w:tcPr>
            <w:tcW w:w="7426" w:type="dxa"/>
          </w:tcPr>
          <w:p w14:paraId="1E503A99" w14:textId="6E94BA80" w:rsidR="00B11CD9" w:rsidRPr="00B11CD9" w:rsidRDefault="00B11CD9" w:rsidP="00B11CD9">
            <w:r>
              <w:t>m</w:t>
            </w:r>
            <w:r w:rsidRPr="00B11CD9">
              <w:t xml:space="preserve">eans the legacy pass-through term and is derived in accordance with Special Condition </w:t>
            </w:r>
            <w:r w:rsidR="00453D2C">
              <w:t>7.2 (Close out of RIIO-ET1 pass through items)</w:t>
            </w:r>
            <w:r w:rsidR="002E5239">
              <w:t>;</w:t>
            </w:r>
          </w:p>
        </w:tc>
      </w:tr>
      <w:tr w:rsidR="00B11CD9" w14:paraId="521748CB" w14:textId="77777777" w:rsidTr="00D17BBC">
        <w:tc>
          <w:tcPr>
            <w:tcW w:w="920" w:type="dxa"/>
          </w:tcPr>
          <w:p w14:paraId="0FEC8A28" w14:textId="77777777" w:rsidR="00B11CD9" w:rsidRPr="00B11CD9" w:rsidRDefault="00B11CD9" w:rsidP="00B11CD9">
            <w:proofErr w:type="spellStart"/>
            <w:r>
              <w:t>LMOD</w:t>
            </w:r>
            <w:r w:rsidRPr="00D17BBC">
              <w:rPr>
                <w:vertAlign w:val="subscript"/>
              </w:rPr>
              <w:t>t</w:t>
            </w:r>
            <w:proofErr w:type="spellEnd"/>
          </w:p>
        </w:tc>
        <w:tc>
          <w:tcPr>
            <w:tcW w:w="7426" w:type="dxa"/>
          </w:tcPr>
          <w:p w14:paraId="007CE2D9" w14:textId="44F187F5" w:rsidR="00B11CD9" w:rsidRPr="00B11CD9" w:rsidRDefault="00130AB0" w:rsidP="00B11CD9">
            <w:r>
              <w:t xml:space="preserve">has the </w:t>
            </w:r>
            <w:r w:rsidR="00CA719E">
              <w:t>value in sheet X of the ET2 Price Control Financial Model unless the Authority directs otherwise in accordance with Special Condition 7.3 (Legacy MOD);</w:t>
            </w:r>
          </w:p>
        </w:tc>
      </w:tr>
      <w:tr w:rsidR="00B11CD9" w14:paraId="12E8919C" w14:textId="77777777" w:rsidTr="00D17BBC">
        <w:tc>
          <w:tcPr>
            <w:tcW w:w="920" w:type="dxa"/>
          </w:tcPr>
          <w:p w14:paraId="625062CB" w14:textId="77777777" w:rsidR="00B11CD9" w:rsidRPr="00B11CD9" w:rsidRDefault="00B11CD9" w:rsidP="00B11CD9">
            <w:proofErr w:type="spellStart"/>
            <w:r>
              <w:t>LK</w:t>
            </w:r>
            <w:r w:rsidRPr="00D17BBC">
              <w:rPr>
                <w:vertAlign w:val="subscript"/>
              </w:rPr>
              <w:t>t</w:t>
            </w:r>
            <w:proofErr w:type="spellEnd"/>
          </w:p>
        </w:tc>
        <w:tc>
          <w:tcPr>
            <w:tcW w:w="7426" w:type="dxa"/>
          </w:tcPr>
          <w:p w14:paraId="40EB0340" w14:textId="08C0992C" w:rsidR="00B11CD9" w:rsidRPr="00B11CD9" w:rsidRDefault="00B11CD9" w:rsidP="00B11CD9">
            <w:r>
              <w:t>m</w:t>
            </w:r>
            <w:r w:rsidRPr="00B11CD9">
              <w:t xml:space="preserve">eans the legacy K correction term and is derived in accordance with Special Condition </w:t>
            </w:r>
            <w:r w:rsidR="002E5239">
              <w:t>7.4</w:t>
            </w:r>
            <w:r w:rsidR="00307C16">
              <w:t xml:space="preserve"> (Legacy K correction term)</w:t>
            </w:r>
            <w:r w:rsidR="002E5239">
              <w:t>;</w:t>
            </w:r>
          </w:p>
        </w:tc>
      </w:tr>
      <w:tr w:rsidR="00B11CD9" w14:paraId="40DAA5CD" w14:textId="77777777" w:rsidTr="00D17BBC">
        <w:tc>
          <w:tcPr>
            <w:tcW w:w="920" w:type="dxa"/>
          </w:tcPr>
          <w:p w14:paraId="7F26BB99" w14:textId="77777777" w:rsidR="00B11CD9" w:rsidRPr="00B11CD9" w:rsidRDefault="00B11CD9" w:rsidP="00B11CD9">
            <w:proofErr w:type="spellStart"/>
            <w:r>
              <w:t>LTRU</w:t>
            </w:r>
            <w:r w:rsidRPr="00D17BBC">
              <w:rPr>
                <w:vertAlign w:val="subscript"/>
              </w:rPr>
              <w:t>t</w:t>
            </w:r>
            <w:proofErr w:type="spellEnd"/>
          </w:p>
        </w:tc>
        <w:tc>
          <w:tcPr>
            <w:tcW w:w="7426" w:type="dxa"/>
          </w:tcPr>
          <w:p w14:paraId="0BF7EA0D" w14:textId="1DFD94DD" w:rsidR="00B11CD9" w:rsidRPr="00B11CD9" w:rsidRDefault="00B11CD9" w:rsidP="00B11CD9">
            <w:r>
              <w:t>m</w:t>
            </w:r>
            <w:r w:rsidRPr="00B11CD9">
              <w:t xml:space="preserve">eans the legacy TRU term and is derived in accordance with Special Condition </w:t>
            </w:r>
            <w:r w:rsidR="002E5239">
              <w:t>7.5</w:t>
            </w:r>
            <w:r w:rsidR="00307C16">
              <w:t xml:space="preserve"> (Legacy TRU term)</w:t>
            </w:r>
            <w:r w:rsidR="002E5239">
              <w:t>;</w:t>
            </w:r>
          </w:p>
        </w:tc>
      </w:tr>
      <w:tr w:rsidR="00B11CD9" w14:paraId="0A59561C" w14:textId="77777777" w:rsidTr="00D17BBC">
        <w:tc>
          <w:tcPr>
            <w:tcW w:w="920" w:type="dxa"/>
          </w:tcPr>
          <w:p w14:paraId="1F178257" w14:textId="0561B13C" w:rsidR="00B11CD9" w:rsidRPr="00B11CD9" w:rsidRDefault="00B11CD9" w:rsidP="00B11CD9">
            <w:proofErr w:type="spellStart"/>
            <w:r>
              <w:t>NO</w:t>
            </w:r>
            <w:r w:rsidR="00964FC8">
              <w:t>CO</w:t>
            </w:r>
            <w:r w:rsidRPr="00D17BBC">
              <w:rPr>
                <w:vertAlign w:val="subscript"/>
              </w:rPr>
              <w:t>t</w:t>
            </w:r>
            <w:proofErr w:type="spellEnd"/>
          </w:p>
        </w:tc>
        <w:tc>
          <w:tcPr>
            <w:tcW w:w="7426" w:type="dxa"/>
          </w:tcPr>
          <w:p w14:paraId="63F0076A" w14:textId="27A3771A" w:rsidR="00B11CD9" w:rsidRPr="00B11CD9" w:rsidRDefault="00B11CD9" w:rsidP="00B11CD9">
            <w:r>
              <w:t xml:space="preserve">is derived in accordance with Special Condition </w:t>
            </w:r>
            <w:r w:rsidR="002E5239">
              <w:t>7.6</w:t>
            </w:r>
            <w:r w:rsidR="00307C16">
              <w:t xml:space="preserve"> (</w:t>
            </w:r>
            <w:r w:rsidR="00F65237">
              <w:t>Close out of RIIO-1 Network Output</w:t>
            </w:r>
            <w:r w:rsidR="002E187D">
              <w:t>s</w:t>
            </w:r>
            <w:r w:rsidR="00F65237">
              <w:t>)</w:t>
            </w:r>
            <w:r w:rsidR="002E5239">
              <w:t>;</w:t>
            </w:r>
          </w:p>
        </w:tc>
      </w:tr>
      <w:tr w:rsidR="00B11CD9" w14:paraId="4DBDE048" w14:textId="77777777" w:rsidTr="00D17BBC">
        <w:tc>
          <w:tcPr>
            <w:tcW w:w="920" w:type="dxa"/>
          </w:tcPr>
          <w:p w14:paraId="20493987" w14:textId="66AF7378" w:rsidR="00B11CD9" w:rsidRPr="00B11CD9" w:rsidRDefault="00573A09" w:rsidP="00B11CD9">
            <w:proofErr w:type="spellStart"/>
            <w:r>
              <w:t>LSSO</w:t>
            </w:r>
            <w:r w:rsidRPr="00D17BBC">
              <w:rPr>
                <w:vertAlign w:val="subscript"/>
              </w:rPr>
              <w:t>t</w:t>
            </w:r>
            <w:proofErr w:type="spellEnd"/>
          </w:p>
        </w:tc>
        <w:tc>
          <w:tcPr>
            <w:tcW w:w="7426" w:type="dxa"/>
          </w:tcPr>
          <w:p w14:paraId="3430C337" w14:textId="0AAA75B0" w:rsidR="00B11CD9" w:rsidRPr="00B11CD9" w:rsidRDefault="00B11CD9" w:rsidP="00B11CD9">
            <w:r>
              <w:t xml:space="preserve">is derived in accordance with Special Condition </w:t>
            </w:r>
            <w:r w:rsidR="00E83D2E">
              <w:t xml:space="preserve">7.7 (Close out of the RIIO-ET1 Stakeholder Satisfaction </w:t>
            </w:r>
            <w:r w:rsidR="00CE6C19">
              <w:t>Output)</w:t>
            </w:r>
            <w:r w:rsidR="002E5239">
              <w:t>;</w:t>
            </w:r>
          </w:p>
        </w:tc>
      </w:tr>
      <w:tr w:rsidR="00B11CD9" w14:paraId="6CB82E5D" w14:textId="77777777" w:rsidTr="00D17BBC">
        <w:tc>
          <w:tcPr>
            <w:tcW w:w="920" w:type="dxa"/>
          </w:tcPr>
          <w:p w14:paraId="0852190E" w14:textId="74940E14" w:rsidR="00B11CD9" w:rsidRPr="00B11CD9" w:rsidRDefault="00573A09" w:rsidP="00B11CD9">
            <w:proofErr w:type="spellStart"/>
            <w:r>
              <w:t>LEDR</w:t>
            </w:r>
            <w:r w:rsidRPr="00D17BBC">
              <w:rPr>
                <w:vertAlign w:val="subscript"/>
              </w:rPr>
              <w:t>t</w:t>
            </w:r>
            <w:proofErr w:type="spellEnd"/>
          </w:p>
        </w:tc>
        <w:tc>
          <w:tcPr>
            <w:tcW w:w="7426" w:type="dxa"/>
          </w:tcPr>
          <w:p w14:paraId="5097DAF8" w14:textId="6D0F57CF" w:rsidR="00B11CD9" w:rsidRPr="00B11CD9" w:rsidRDefault="00B11CD9" w:rsidP="00B11CD9">
            <w:r>
              <w:t xml:space="preserve">is derived in accordance with Special Condition </w:t>
            </w:r>
            <w:r w:rsidR="00CE6C19">
              <w:t>7.8 (Close out of the RIIO-1 adjustment</w:t>
            </w:r>
            <w:r w:rsidR="00661154">
              <w:t xml:space="preserve"> in respect of the Environmental Discretionary Reward Scheme</w:t>
            </w:r>
            <w:r w:rsidR="002E5239">
              <w:t>;</w:t>
            </w:r>
          </w:p>
        </w:tc>
      </w:tr>
      <w:tr w:rsidR="00B11CD9" w14:paraId="3ACD3CBC" w14:textId="77777777" w:rsidTr="00D17BBC">
        <w:tc>
          <w:tcPr>
            <w:tcW w:w="920" w:type="dxa"/>
          </w:tcPr>
          <w:p w14:paraId="70D7908E" w14:textId="48FF260A" w:rsidR="00B11CD9" w:rsidRPr="00B11CD9" w:rsidRDefault="00573A09" w:rsidP="00B11CD9">
            <w:proofErr w:type="spellStart"/>
            <w:r>
              <w:t>LSFI</w:t>
            </w:r>
            <w:r w:rsidRPr="00D17BBC">
              <w:rPr>
                <w:vertAlign w:val="subscript"/>
              </w:rPr>
              <w:t>t</w:t>
            </w:r>
            <w:proofErr w:type="spellEnd"/>
          </w:p>
        </w:tc>
        <w:tc>
          <w:tcPr>
            <w:tcW w:w="7426" w:type="dxa"/>
          </w:tcPr>
          <w:p w14:paraId="18D191A6" w14:textId="71454B39" w:rsidR="00B11CD9" w:rsidRPr="00B11CD9" w:rsidRDefault="00B11CD9" w:rsidP="00B11CD9">
            <w:r>
              <w:t xml:space="preserve">is derived in accordance with Special Condition </w:t>
            </w:r>
            <w:r w:rsidR="00102053">
              <w:t xml:space="preserve">7.9 (Close out of the RIIO-ET1 Incentive in respect of </w:t>
            </w:r>
            <w:r w:rsidR="00B934D3">
              <w:t xml:space="preserve">Sulphur </w:t>
            </w:r>
            <w:proofErr w:type="spellStart"/>
            <w:r w:rsidR="007A3B5D">
              <w:t>Hexaflouride</w:t>
            </w:r>
            <w:proofErr w:type="spellEnd"/>
            <w:r w:rsidR="007A3B5D">
              <w:t xml:space="preserve"> </w:t>
            </w:r>
            <w:r w:rsidR="00485E93">
              <w:t>Gas Emissions Incentive)</w:t>
            </w:r>
            <w:r w:rsidR="002E5239">
              <w:t>;</w:t>
            </w:r>
            <w:r w:rsidR="002707BF">
              <w:t xml:space="preserve"> </w:t>
            </w:r>
            <w:r w:rsidR="000E69D9">
              <w:t>and</w:t>
            </w:r>
          </w:p>
        </w:tc>
      </w:tr>
      <w:tr w:rsidR="00B11CD9" w14:paraId="698AD4A1" w14:textId="77777777" w:rsidTr="00D17BBC">
        <w:tc>
          <w:tcPr>
            <w:tcW w:w="920" w:type="dxa"/>
          </w:tcPr>
          <w:p w14:paraId="6E9FD14F" w14:textId="054DEEE0" w:rsidR="00B11CD9" w:rsidRPr="00B11CD9" w:rsidRDefault="00573A09" w:rsidP="00B11CD9">
            <w:proofErr w:type="spellStart"/>
            <w:r>
              <w:t>LRI</w:t>
            </w:r>
            <w:r w:rsidRPr="00D17BBC">
              <w:rPr>
                <w:vertAlign w:val="subscript"/>
              </w:rPr>
              <w:t>t</w:t>
            </w:r>
            <w:proofErr w:type="spellEnd"/>
          </w:p>
        </w:tc>
        <w:tc>
          <w:tcPr>
            <w:tcW w:w="7426" w:type="dxa"/>
          </w:tcPr>
          <w:p w14:paraId="042DBBD0" w14:textId="315CC05C" w:rsidR="00B11CD9" w:rsidRPr="00B11CD9" w:rsidRDefault="00B11CD9" w:rsidP="00B11CD9">
            <w:r>
              <w:t xml:space="preserve">is derived in accordance with Special Condition </w:t>
            </w:r>
            <w:r w:rsidR="00E3489A">
              <w:t>7.10 (Close out of the RIIO-ET1 Reliability incentive</w:t>
            </w:r>
            <w:r w:rsidR="00701A05">
              <w:t xml:space="preserve"> in respect of Energy Not Supplied)</w:t>
            </w:r>
            <w:r w:rsidR="000E69D9">
              <w:t>.</w:t>
            </w:r>
          </w:p>
        </w:tc>
      </w:tr>
    </w:tbl>
    <w:p w14:paraId="3F87E8AA" w14:textId="77777777" w:rsidR="00406FD5" w:rsidRDefault="00406FD5" w:rsidP="00406FD5">
      <w:bookmarkStart w:id="203" w:name="_Toc51783683"/>
      <w:bookmarkStart w:id="204" w:name="_Toc51797770"/>
    </w:p>
    <w:p w14:paraId="31552042" w14:textId="77777777" w:rsidR="00C04DD0" w:rsidRDefault="00C04DD0" w:rsidP="00C04DD0">
      <w:pPr>
        <w:pStyle w:val="Heading2"/>
        <w:numPr>
          <w:ilvl w:val="1"/>
          <w:numId w:val="28"/>
        </w:numPr>
      </w:pPr>
      <w:bookmarkStart w:id="205" w:name="_Toc51319651"/>
      <w:bookmarkStart w:id="206" w:name="_Toc51798318"/>
      <w:bookmarkStart w:id="207" w:name="_Toc52364925"/>
      <w:bookmarkStart w:id="208" w:name="_Toc51797771"/>
      <w:bookmarkEnd w:id="203"/>
      <w:bookmarkEnd w:id="204"/>
      <w:r>
        <w:t>Close out of RIIO-ET1 pass-through items</w:t>
      </w:r>
      <w:bookmarkEnd w:id="205"/>
      <w:r>
        <w:t xml:space="preserve"> (</w:t>
      </w:r>
      <w:proofErr w:type="spellStart"/>
      <w:r>
        <w:t>LPTt</w:t>
      </w:r>
      <w:proofErr w:type="spellEnd"/>
      <w:r>
        <w:t>)</w:t>
      </w:r>
      <w:bookmarkEnd w:id="206"/>
      <w:bookmarkEnd w:id="207"/>
    </w:p>
    <w:p w14:paraId="29C349BD" w14:textId="77777777" w:rsidR="00C04DD0" w:rsidRPr="0057526A" w:rsidRDefault="00C04DD0" w:rsidP="00C04DD0">
      <w:pPr>
        <w:pStyle w:val="Heading3nonumbering"/>
      </w:pPr>
      <w:r w:rsidRPr="0057526A">
        <w:t xml:space="preserve">Introduction </w:t>
      </w:r>
    </w:p>
    <w:p w14:paraId="43F08F42" w14:textId="6EB58510" w:rsidR="00C04DD0" w:rsidRPr="002D330F" w:rsidRDefault="00C04DD0" w:rsidP="00C04DD0">
      <w:pPr>
        <w:pStyle w:val="NumberedNormal"/>
        <w:numPr>
          <w:ilvl w:val="2"/>
          <w:numId w:val="28"/>
        </w:numPr>
      </w:pPr>
      <w:r>
        <w:t xml:space="preserve">The purpose of this condition is to calculate the </w:t>
      </w:r>
      <w:proofErr w:type="spellStart"/>
      <w:r w:rsidR="00940297">
        <w:t>LPT</w:t>
      </w:r>
      <w:r w:rsidRPr="00940297">
        <w:rPr>
          <w:vertAlign w:val="subscript"/>
        </w:rPr>
        <w:t>t</w:t>
      </w:r>
      <w:proofErr w:type="spellEnd"/>
      <w:r w:rsidRPr="002D330F">
        <w:t xml:space="preserve"> term (the RIIO-ET1 pass-through items close out term). This contributes to the calculation of the </w:t>
      </w:r>
      <w:proofErr w:type="spellStart"/>
      <w:r w:rsidRPr="002D330F">
        <w:t>LAR</w:t>
      </w:r>
      <w:r w:rsidRPr="00E43AC6">
        <w:rPr>
          <w:vertAlign w:val="subscript"/>
        </w:rPr>
        <w:t>t</w:t>
      </w:r>
      <w:proofErr w:type="spellEnd"/>
      <w:r w:rsidRPr="00E43AC6">
        <w:rPr>
          <w:vertAlign w:val="subscript"/>
        </w:rPr>
        <w:t xml:space="preserve"> </w:t>
      </w:r>
      <w:r w:rsidRPr="002D330F">
        <w:lastRenderedPageBreak/>
        <w:t xml:space="preserve">term (the legacy adjustments term), which in turn feeds into Calculated Revenue in </w:t>
      </w:r>
      <w:r w:rsidR="00A148E7">
        <w:t>Special Condition 2.1 (Revenue Restriction)</w:t>
      </w:r>
      <w:r w:rsidRPr="002D330F">
        <w:t xml:space="preserve">. </w:t>
      </w:r>
    </w:p>
    <w:p w14:paraId="7EB4A845" w14:textId="258F09D0" w:rsidR="00C04DD0" w:rsidRPr="002D330F" w:rsidRDefault="00C04DD0" w:rsidP="00C04DD0">
      <w:pPr>
        <w:pStyle w:val="NumberedNormal"/>
        <w:numPr>
          <w:ilvl w:val="2"/>
          <w:numId w:val="28"/>
        </w:numPr>
      </w:pPr>
      <w:r w:rsidRPr="00BA4626">
        <w:t xml:space="preserve">The effect of this condition is to close out </w:t>
      </w:r>
      <w:r>
        <w:t>certain</w:t>
      </w:r>
      <w:r w:rsidRPr="002D330F">
        <w:t xml:space="preserve"> RIIO-ET1 allowed pass-through terms, such that revenue in Regulatory Years commencing </w:t>
      </w:r>
      <w:r w:rsidR="001D3554">
        <w:t xml:space="preserve">on </w:t>
      </w:r>
      <w:r w:rsidRPr="002D330F">
        <w:t>1 April 2021 and 1 April 2022 reflect</w:t>
      </w:r>
      <w:r w:rsidR="002E5239">
        <w:t>s</w:t>
      </w:r>
      <w:r w:rsidRPr="002D330F">
        <w:t xml:space="preserve"> the </w:t>
      </w:r>
      <w:r>
        <w:t>specified pass</w:t>
      </w:r>
      <w:r w:rsidR="00CF4B0A">
        <w:t>-</w:t>
      </w:r>
      <w:r>
        <w:t>through costs</w:t>
      </w:r>
      <w:r w:rsidR="003B1625">
        <w:t xml:space="preserve"> adjustments </w:t>
      </w:r>
      <w:r w:rsidR="005631B7">
        <w:t>relating to Regulatory Years commencing on 1 April 2019 and 1 April 2020 respectively</w:t>
      </w:r>
      <w:r w:rsidRPr="002D330F">
        <w:t>.</w:t>
      </w:r>
    </w:p>
    <w:p w14:paraId="73A86257" w14:textId="1EF8F6DA" w:rsidR="00C04DD0" w:rsidRPr="00BA4626" w:rsidRDefault="00CC06CB" w:rsidP="00C04DD0">
      <w:pPr>
        <w:pStyle w:val="Heading3"/>
        <w:numPr>
          <w:ilvl w:val="5"/>
          <w:numId w:val="28"/>
        </w:numPr>
      </w:pPr>
      <w:r>
        <w:t>Formula for c</w:t>
      </w:r>
      <w:r w:rsidR="00C04DD0">
        <w:t>alculating the RIIO-ET1 Reliability Incentive close-out term</w:t>
      </w:r>
      <w:r w:rsidR="00CF63A3">
        <w:t xml:space="preserve"> (</w:t>
      </w:r>
      <w:proofErr w:type="spellStart"/>
      <w:r w:rsidR="00C04DD0">
        <w:t>LPT</w:t>
      </w:r>
      <w:r w:rsidR="00C04DD0" w:rsidRPr="00CF63A3">
        <w:rPr>
          <w:vertAlign w:val="subscript"/>
        </w:rPr>
        <w:t>t</w:t>
      </w:r>
      <w:proofErr w:type="spellEnd"/>
      <w:r w:rsidR="00CF63A3">
        <w:t>)</w:t>
      </w:r>
    </w:p>
    <w:p w14:paraId="1DD18670" w14:textId="6AFF14FA" w:rsidR="00C04DD0" w:rsidRPr="002D330F" w:rsidRDefault="00C04DD0" w:rsidP="00C04DD0">
      <w:pPr>
        <w:pStyle w:val="NumberedNormal"/>
        <w:numPr>
          <w:ilvl w:val="2"/>
          <w:numId w:val="28"/>
        </w:numPr>
      </w:pPr>
      <w:r>
        <w:t xml:space="preserve">For Regulatory Years commencing </w:t>
      </w:r>
      <w:r w:rsidR="001D3554">
        <w:t xml:space="preserve">on </w:t>
      </w:r>
      <w:r>
        <w:t xml:space="preserve">1 April 2021 and 1 April 2022, the value of </w:t>
      </w:r>
      <w:proofErr w:type="spellStart"/>
      <w:r w:rsidR="00826D69">
        <w:t>LPT</w:t>
      </w:r>
      <w:r w:rsidRPr="00891242">
        <w:rPr>
          <w:vertAlign w:val="subscript"/>
        </w:rPr>
        <w:t>t</w:t>
      </w:r>
      <w:proofErr w:type="spellEnd"/>
      <w:r w:rsidRPr="002D330F">
        <w:t xml:space="preserve"> is derived in accordance with the following formula: </w:t>
      </w:r>
    </w:p>
    <w:p w14:paraId="0A1F40A5" w14:textId="4921A153" w:rsidR="00C04DD0" w:rsidRPr="00CF4DDE" w:rsidRDefault="00EF4B21" w:rsidP="00EF4B21">
      <w:pPr>
        <w:pStyle w:val="Equation"/>
        <w:rPr>
          <w:i/>
        </w:rPr>
      </w:pPr>
      <w:r>
        <w:tab/>
      </w:r>
      <w:proofErr w:type="spellStart"/>
      <w:r w:rsidR="005E58FB" w:rsidRPr="00CF4DDE">
        <w:rPr>
          <w:i/>
        </w:rPr>
        <w:t>L</w:t>
      </w:r>
      <w:r w:rsidR="00C04DD0" w:rsidRPr="00CF4DDE">
        <w:rPr>
          <w:i/>
        </w:rPr>
        <w:t>PT</w:t>
      </w:r>
      <w:r w:rsidR="00C04DD0" w:rsidRPr="00CF4DDE">
        <w:rPr>
          <w:i/>
          <w:vertAlign w:val="subscript"/>
        </w:rPr>
        <w:t>t</w:t>
      </w:r>
      <w:proofErr w:type="spellEnd"/>
      <w:r w:rsidR="00C04DD0" w:rsidRPr="00CF4DDE">
        <w:rPr>
          <w:i/>
        </w:rPr>
        <w:t xml:space="preserve"> = </w:t>
      </w:r>
      <w:proofErr w:type="spellStart"/>
      <w:r w:rsidR="005E58FB" w:rsidRPr="00CF4DDE">
        <w:rPr>
          <w:i/>
        </w:rPr>
        <w:t>L</w:t>
      </w:r>
      <w:r w:rsidR="00C04DD0" w:rsidRPr="00CF4DDE">
        <w:rPr>
          <w:i/>
        </w:rPr>
        <w:t>LF</w:t>
      </w:r>
      <w:r w:rsidR="00C04DD0" w:rsidRPr="00CF4DDE">
        <w:rPr>
          <w:i/>
          <w:vertAlign w:val="subscript"/>
        </w:rPr>
        <w:t>t</w:t>
      </w:r>
      <w:proofErr w:type="spellEnd"/>
      <w:r w:rsidR="00C04DD0" w:rsidRPr="00CF4DDE">
        <w:rPr>
          <w:i/>
          <w:vertAlign w:val="subscript"/>
        </w:rPr>
        <w:t xml:space="preserve"> </w:t>
      </w:r>
      <w:r w:rsidR="00C04DD0" w:rsidRPr="00CF4DDE">
        <w:rPr>
          <w:i/>
        </w:rPr>
        <w:t xml:space="preserve">+ </w:t>
      </w:r>
      <w:proofErr w:type="spellStart"/>
      <w:r w:rsidR="005E58FB" w:rsidRPr="00CF4DDE">
        <w:rPr>
          <w:i/>
        </w:rPr>
        <w:t>L</w:t>
      </w:r>
      <w:r w:rsidR="00B14961" w:rsidRPr="00CF4DDE">
        <w:rPr>
          <w:i/>
        </w:rPr>
        <w:t>T</w:t>
      </w:r>
      <w:r w:rsidR="005631B7" w:rsidRPr="00CF4DDE">
        <w:rPr>
          <w:i/>
        </w:rPr>
        <w:t>P</w:t>
      </w:r>
      <w:r w:rsidR="00B14961" w:rsidRPr="00CF4DDE">
        <w:rPr>
          <w:i/>
        </w:rPr>
        <w:t>D</w:t>
      </w:r>
      <w:r w:rsidR="00C04DD0" w:rsidRPr="00CF4DDE">
        <w:rPr>
          <w:i/>
          <w:vertAlign w:val="subscript"/>
        </w:rPr>
        <w:t>t</w:t>
      </w:r>
      <w:proofErr w:type="spellEnd"/>
      <w:r w:rsidR="00C04DD0" w:rsidRPr="00CF4DDE">
        <w:rPr>
          <w:i/>
        </w:rPr>
        <w:t xml:space="preserve"> </w:t>
      </w:r>
    </w:p>
    <w:p w14:paraId="6BFFB821" w14:textId="2A36B7B5" w:rsidR="00C04DD0" w:rsidRPr="002D330F" w:rsidRDefault="00EF4B21" w:rsidP="00EF4B21">
      <w:r>
        <w:tab/>
      </w:r>
      <w:r w:rsidR="00C04DD0">
        <w:t>where</w:t>
      </w:r>
    </w:p>
    <w:tbl>
      <w:tblPr>
        <w:tblStyle w:val="TableGridLight"/>
        <w:tblW w:w="0" w:type="auto"/>
        <w:tblLook w:val="04A0" w:firstRow="1" w:lastRow="0" w:firstColumn="1" w:lastColumn="0" w:noHBand="0" w:noVBand="1"/>
      </w:tblPr>
      <w:tblGrid>
        <w:gridCol w:w="805"/>
        <w:gridCol w:w="7541"/>
      </w:tblGrid>
      <w:tr w:rsidR="00C04DD0" w:rsidRPr="000701FC" w14:paraId="7C7BE38E" w14:textId="77777777" w:rsidTr="006408E5">
        <w:trPr>
          <w:trHeight w:val="567"/>
        </w:trPr>
        <w:tc>
          <w:tcPr>
            <w:tcW w:w="0" w:type="auto"/>
          </w:tcPr>
          <w:p w14:paraId="4C47C10D" w14:textId="47067C88" w:rsidR="00C04DD0" w:rsidRPr="00896819" w:rsidRDefault="005E58FB" w:rsidP="00B5071D">
            <w:pPr>
              <w:rPr>
                <w:i/>
              </w:rPr>
            </w:pPr>
            <w:proofErr w:type="spellStart"/>
            <w:r w:rsidRPr="00896819">
              <w:rPr>
                <w:i/>
              </w:rPr>
              <w:t>L</w:t>
            </w:r>
            <w:r w:rsidR="00C04DD0" w:rsidRPr="00896819">
              <w:rPr>
                <w:i/>
              </w:rPr>
              <w:t>LF</w:t>
            </w:r>
            <w:r w:rsidR="00C04DD0" w:rsidRPr="00896819">
              <w:rPr>
                <w:i/>
                <w:vertAlign w:val="subscript"/>
              </w:rPr>
              <w:t>t</w:t>
            </w:r>
            <w:proofErr w:type="spellEnd"/>
          </w:p>
        </w:tc>
        <w:tc>
          <w:tcPr>
            <w:tcW w:w="0" w:type="auto"/>
          </w:tcPr>
          <w:p w14:paraId="77C5DB52" w14:textId="3E13BA5B" w:rsidR="00C04DD0" w:rsidRPr="002D330F" w:rsidRDefault="00F364ED" w:rsidP="00B5071D">
            <w:r>
              <w:t xml:space="preserve">has the value of </w:t>
            </w:r>
            <w:proofErr w:type="spellStart"/>
            <w:r>
              <w:t>LF</w:t>
            </w:r>
            <w:r w:rsidRPr="00F364ED">
              <w:rPr>
                <w:vertAlign w:val="subscript"/>
              </w:rPr>
              <w:t>t</w:t>
            </w:r>
            <w:proofErr w:type="spellEnd"/>
            <w:r>
              <w:t xml:space="preserve"> as determined in accordance with </w:t>
            </w:r>
            <w:r w:rsidR="00AC15D8">
              <w:t>Part B of</w:t>
            </w:r>
            <w:r>
              <w:t xml:space="preserve"> Special Condition </w:t>
            </w:r>
            <w:r w:rsidR="0010608A">
              <w:t>3B</w:t>
            </w:r>
            <w:r>
              <w:t xml:space="preserve"> (</w:t>
            </w:r>
            <w:r w:rsidR="00C4550B" w:rsidRPr="00C4550B">
              <w:t>Calculation of</w:t>
            </w:r>
            <w:r w:rsidRPr="001E567D">
              <w:t xml:space="preserve"> allowed pass-through items</w:t>
            </w:r>
            <w:r>
              <w:t>) of this licence as in force on 31 March 2021.</w:t>
            </w:r>
          </w:p>
        </w:tc>
      </w:tr>
      <w:tr w:rsidR="00C04DD0" w:rsidRPr="000701FC" w14:paraId="1883F506" w14:textId="77777777" w:rsidTr="006408E5">
        <w:trPr>
          <w:trHeight w:val="567"/>
        </w:trPr>
        <w:tc>
          <w:tcPr>
            <w:tcW w:w="0" w:type="auto"/>
          </w:tcPr>
          <w:p w14:paraId="37D5A7B6" w14:textId="7C53A546" w:rsidR="00C04DD0" w:rsidRPr="00896819" w:rsidRDefault="005E58FB" w:rsidP="00B5071D">
            <w:pPr>
              <w:rPr>
                <w:i/>
              </w:rPr>
            </w:pPr>
            <w:proofErr w:type="spellStart"/>
            <w:r w:rsidRPr="00896819">
              <w:rPr>
                <w:i/>
                <w:iCs/>
              </w:rPr>
              <w:t>L</w:t>
            </w:r>
            <w:r w:rsidR="00896819">
              <w:rPr>
                <w:i/>
                <w:iCs/>
              </w:rPr>
              <w:t>TPD</w:t>
            </w:r>
            <w:r w:rsidR="00C04DD0" w:rsidRPr="00896819">
              <w:rPr>
                <w:i/>
                <w:iCs/>
                <w:vertAlign w:val="subscript"/>
              </w:rPr>
              <w:t>t</w:t>
            </w:r>
            <w:proofErr w:type="spellEnd"/>
          </w:p>
        </w:tc>
        <w:tc>
          <w:tcPr>
            <w:tcW w:w="0" w:type="auto"/>
          </w:tcPr>
          <w:p w14:paraId="1A8FC4F7" w14:textId="47407661" w:rsidR="00C04DD0" w:rsidRPr="002D330F" w:rsidRDefault="00F364ED" w:rsidP="00B5071D">
            <w:r>
              <w:t xml:space="preserve">has the value of </w:t>
            </w:r>
            <w:proofErr w:type="spellStart"/>
            <w:r w:rsidR="00896819">
              <w:t>TPD</w:t>
            </w:r>
            <w:r w:rsidR="00896819" w:rsidRPr="00896819">
              <w:rPr>
                <w:vertAlign w:val="subscript"/>
              </w:rPr>
              <w:t>t</w:t>
            </w:r>
            <w:proofErr w:type="spellEnd"/>
            <w:r>
              <w:t xml:space="preserve"> as determined in accordance with </w:t>
            </w:r>
            <w:r w:rsidR="00AC15D8">
              <w:t>Part D</w:t>
            </w:r>
            <w:r>
              <w:t xml:space="preserve"> Special Condition </w:t>
            </w:r>
            <w:r w:rsidR="0010608A">
              <w:t>3B</w:t>
            </w:r>
            <w:r>
              <w:t xml:space="preserve"> (</w:t>
            </w:r>
            <w:r w:rsidR="00C4550B" w:rsidRPr="00C4550B">
              <w:t>Calculation of</w:t>
            </w:r>
            <w:r w:rsidRPr="001E567D">
              <w:t xml:space="preserve"> allowed pass-through items</w:t>
            </w:r>
            <w:r>
              <w:t>) of this licence as in force on 31 March 2021.</w:t>
            </w:r>
          </w:p>
        </w:tc>
      </w:tr>
    </w:tbl>
    <w:p w14:paraId="195BB0FD" w14:textId="38253E67" w:rsidR="00C04DD0" w:rsidRPr="002D330F" w:rsidRDefault="00C04DD0" w:rsidP="00C04DD0">
      <w:pPr>
        <w:pStyle w:val="NumberedNormal"/>
        <w:numPr>
          <w:ilvl w:val="2"/>
          <w:numId w:val="28"/>
        </w:numPr>
      </w:pPr>
      <w:r w:rsidRPr="002D330F">
        <w:t xml:space="preserve">For Regulatory Years commencing on or after 1 April 2023, the value of </w:t>
      </w:r>
      <w:proofErr w:type="spellStart"/>
      <w:r w:rsidR="00633CBF">
        <w:t>L</w:t>
      </w:r>
      <w:r w:rsidRPr="002D330F">
        <w:t>PT</w:t>
      </w:r>
      <w:r w:rsidR="00F331C3" w:rsidRPr="00F331C3">
        <w:rPr>
          <w:vertAlign w:val="subscript"/>
        </w:rPr>
        <w:t>t</w:t>
      </w:r>
      <w:proofErr w:type="spellEnd"/>
      <w:r w:rsidRPr="002D330F">
        <w:t xml:space="preserve"> is equal to zero.</w:t>
      </w:r>
    </w:p>
    <w:p w14:paraId="169821BA" w14:textId="77777777" w:rsidR="009070A2" w:rsidRDefault="009070A2" w:rsidP="00533EBF">
      <w:pPr>
        <w:pStyle w:val="Heading2"/>
      </w:pPr>
      <w:bookmarkStart w:id="209" w:name="_Toc52303869"/>
      <w:bookmarkStart w:id="210" w:name="_Toc52364926"/>
      <w:bookmarkStart w:id="211" w:name="_Toc51783686"/>
      <w:bookmarkEnd w:id="208"/>
      <w:r>
        <w:t>Legacy MOD (</w:t>
      </w:r>
      <w:proofErr w:type="spellStart"/>
      <w:r>
        <w:t>LMOD</w:t>
      </w:r>
      <w:r w:rsidRPr="000157F3">
        <w:rPr>
          <w:vertAlign w:val="subscript"/>
        </w:rPr>
        <w:t>t</w:t>
      </w:r>
      <w:proofErr w:type="spellEnd"/>
      <w:r>
        <w:t>)</w:t>
      </w:r>
      <w:bookmarkEnd w:id="209"/>
      <w:bookmarkEnd w:id="210"/>
    </w:p>
    <w:bookmarkEnd w:id="211"/>
    <w:p w14:paraId="6552A639" w14:textId="77777777" w:rsidR="00406FD5" w:rsidRDefault="00406FD5" w:rsidP="00406FD5">
      <w:pPr>
        <w:pStyle w:val="Heading3nonumbering"/>
      </w:pPr>
      <w:r>
        <w:t>Introduction</w:t>
      </w:r>
    </w:p>
    <w:p w14:paraId="2EBFC7C1" w14:textId="77777777" w:rsidR="009070A2" w:rsidRDefault="009070A2" w:rsidP="009070A2">
      <w:pPr>
        <w:pStyle w:val="NumberedNormal"/>
      </w:pPr>
      <w:r>
        <w:t>This condition explains the process the Authority will follow when</w:t>
      </w:r>
      <w:r w:rsidRPr="00645878">
        <w:t xml:space="preserve"> directing values for </w:t>
      </w:r>
      <w:r>
        <w:t xml:space="preserve">the term </w:t>
      </w:r>
      <w:proofErr w:type="spellStart"/>
      <w:r>
        <w:t>LMOD</w:t>
      </w:r>
      <w:r w:rsidRPr="006A2046">
        <w:rPr>
          <w:vertAlign w:val="subscript"/>
        </w:rPr>
        <w:t>t</w:t>
      </w:r>
      <w:proofErr w:type="spellEnd"/>
      <w:r>
        <w:t xml:space="preserve"> (the legacy MOD term). This contributes to the calculation of the term </w:t>
      </w:r>
      <w:proofErr w:type="spellStart"/>
      <w:r>
        <w:t>LAR</w:t>
      </w:r>
      <w:r w:rsidRPr="00AC5DAC">
        <w:rPr>
          <w:vertAlign w:val="subscript"/>
        </w:rPr>
        <w:t>t</w:t>
      </w:r>
      <w:proofErr w:type="spellEnd"/>
      <w:r>
        <w:rPr>
          <w:vertAlign w:val="subscript"/>
        </w:rPr>
        <w:t xml:space="preserve"> </w:t>
      </w:r>
      <w:r>
        <w:t>(the legacy adjustments term), which in turn feeds into the Calculated Revenue in Special Condition 2.1 (Revenue Restriction).</w:t>
      </w:r>
    </w:p>
    <w:p w14:paraId="0E5EF1EF" w14:textId="77777777" w:rsidR="009070A2" w:rsidRPr="00946DAA" w:rsidRDefault="009070A2" w:rsidP="009070A2">
      <w:pPr>
        <w:pStyle w:val="NumberedNormal"/>
      </w:pPr>
      <w:r>
        <w:t>The effect is to reflect the close out of the RIIO-1 Price Control Financial Model.</w:t>
      </w:r>
    </w:p>
    <w:p w14:paraId="6B7427DA" w14:textId="77777777" w:rsidR="009070A2" w:rsidRPr="00645878" w:rsidRDefault="009070A2" w:rsidP="009070A2">
      <w:pPr>
        <w:pStyle w:val="Heading3"/>
        <w:numPr>
          <w:ilvl w:val="5"/>
          <w:numId w:val="18"/>
        </w:numPr>
      </w:pPr>
      <w:r>
        <w:t>Authority Assessment and direction</w:t>
      </w:r>
    </w:p>
    <w:p w14:paraId="6229C1B7" w14:textId="77777777" w:rsidR="009070A2" w:rsidRDefault="009070A2" w:rsidP="009070A2">
      <w:pPr>
        <w:pStyle w:val="NumberedNormal"/>
        <w:numPr>
          <w:ilvl w:val="2"/>
          <w:numId w:val="18"/>
        </w:numPr>
      </w:pPr>
      <w:r>
        <w:t xml:space="preserve">The Authority will direct revisions to </w:t>
      </w:r>
      <w:proofErr w:type="spellStart"/>
      <w:r>
        <w:t>LMOD</w:t>
      </w:r>
      <w:r w:rsidRPr="00B56C00">
        <w:rPr>
          <w:vertAlign w:val="subscript"/>
        </w:rPr>
        <w:t>t</w:t>
      </w:r>
      <w:proofErr w:type="spellEnd"/>
      <w:r>
        <w:rPr>
          <w:vertAlign w:val="subscript"/>
        </w:rPr>
        <w:t>,</w:t>
      </w:r>
      <w:r>
        <w:t xml:space="preserve"> coinciding with the Annual Iteration Process.</w:t>
      </w:r>
    </w:p>
    <w:p w14:paraId="76F97C7E" w14:textId="77777777" w:rsidR="009070A2" w:rsidRPr="00645878" w:rsidRDefault="009070A2" w:rsidP="009070A2">
      <w:pPr>
        <w:pStyle w:val="NumberedNormal"/>
        <w:numPr>
          <w:ilvl w:val="2"/>
          <w:numId w:val="18"/>
        </w:numPr>
      </w:pPr>
      <w:r>
        <w:t>Before making a direction under paragraph 7.3.3 the Authority will publish on the Authority's Website:</w:t>
      </w:r>
    </w:p>
    <w:p w14:paraId="5C29E702" w14:textId="77777777" w:rsidR="009070A2" w:rsidRPr="00645878" w:rsidRDefault="009070A2" w:rsidP="009070A2">
      <w:pPr>
        <w:pStyle w:val="ListNormal"/>
        <w:numPr>
          <w:ilvl w:val="3"/>
          <w:numId w:val="18"/>
        </w:numPr>
      </w:pPr>
      <w:r>
        <w:t xml:space="preserve">the text of the proposed </w:t>
      </w:r>
      <w:proofErr w:type="gramStart"/>
      <w:r>
        <w:t>direction;</w:t>
      </w:r>
      <w:proofErr w:type="gramEnd"/>
    </w:p>
    <w:p w14:paraId="4E900DAB" w14:textId="77777777" w:rsidR="009070A2" w:rsidRPr="00645878" w:rsidRDefault="009070A2" w:rsidP="009070A2">
      <w:pPr>
        <w:pStyle w:val="ListNormal"/>
        <w:numPr>
          <w:ilvl w:val="3"/>
          <w:numId w:val="18"/>
        </w:numPr>
      </w:pPr>
      <w:r>
        <w:t>the reasons for the proposed direction; and</w:t>
      </w:r>
    </w:p>
    <w:p w14:paraId="07694014" w14:textId="77777777" w:rsidR="009070A2" w:rsidRDefault="009070A2" w:rsidP="009070A2">
      <w:pPr>
        <w:pStyle w:val="ListNormal"/>
      </w:pPr>
      <w:r>
        <w:lastRenderedPageBreak/>
        <w:t xml:space="preserve">a period during which representations may be made on the proposed direction, </w:t>
      </w:r>
      <w:r w:rsidRPr="000E3CD5">
        <w:t>which</w:t>
      </w:r>
      <w:r>
        <w:t xml:space="preserve"> will not be less than 28 days.</w:t>
      </w:r>
    </w:p>
    <w:p w14:paraId="6BCBE268" w14:textId="7322F067" w:rsidR="009070A2" w:rsidRDefault="009070A2" w:rsidP="00533EBF">
      <w:pPr>
        <w:pStyle w:val="Heading2"/>
      </w:pPr>
      <w:bookmarkStart w:id="212" w:name="_Toc52303870"/>
      <w:bookmarkStart w:id="213" w:name="_Toc52364927"/>
      <w:r>
        <w:t xml:space="preserve">Legacy K </w:t>
      </w:r>
      <w:r w:rsidR="00117648">
        <w:t>c</w:t>
      </w:r>
      <w:r>
        <w:t>orrection (</w:t>
      </w:r>
      <w:proofErr w:type="spellStart"/>
      <w:r>
        <w:t>LK</w:t>
      </w:r>
      <w:r w:rsidRPr="000157F3">
        <w:rPr>
          <w:vertAlign w:val="subscript"/>
        </w:rPr>
        <w:t>t</w:t>
      </w:r>
      <w:proofErr w:type="spellEnd"/>
      <w:r>
        <w:t>)</w:t>
      </w:r>
      <w:bookmarkEnd w:id="212"/>
      <w:bookmarkEnd w:id="213"/>
    </w:p>
    <w:p w14:paraId="07B990E4" w14:textId="77777777" w:rsidR="009070A2" w:rsidRPr="0057526A" w:rsidRDefault="009070A2" w:rsidP="009070A2">
      <w:pPr>
        <w:pStyle w:val="Heading3nonumbering"/>
      </w:pPr>
      <w:r w:rsidRPr="0057526A">
        <w:t xml:space="preserve">Introduction </w:t>
      </w:r>
    </w:p>
    <w:p w14:paraId="74F83DE3" w14:textId="77777777" w:rsidR="009070A2" w:rsidRPr="00946DAA" w:rsidRDefault="009070A2" w:rsidP="009070A2">
      <w:pPr>
        <w:pStyle w:val="NumberedNormal"/>
      </w:pPr>
      <w:r>
        <w:t xml:space="preserve">The purpose of this condition is to calculate the term </w:t>
      </w:r>
      <w:proofErr w:type="spellStart"/>
      <w:r>
        <w:t>LK</w:t>
      </w:r>
      <w:r w:rsidRPr="00AC5DAC">
        <w:rPr>
          <w:vertAlign w:val="subscript"/>
        </w:rPr>
        <w:t>t</w:t>
      </w:r>
      <w:proofErr w:type="spellEnd"/>
      <w:r>
        <w:t xml:space="preserve"> (the legacy correction term). This contributes to the calculation of the term </w:t>
      </w:r>
      <w:proofErr w:type="spellStart"/>
      <w:r>
        <w:t>LAR</w:t>
      </w:r>
      <w:r w:rsidRPr="00AC5DAC">
        <w:rPr>
          <w:vertAlign w:val="subscript"/>
        </w:rPr>
        <w:t>t</w:t>
      </w:r>
      <w:proofErr w:type="spellEnd"/>
      <w:r>
        <w:t xml:space="preserve"> (the legacy adjustments term), which in turn feeds into the Calculated Revenue in Special Condition 2.1 (Revenue Restriction).</w:t>
      </w:r>
    </w:p>
    <w:p w14:paraId="726B1D1B" w14:textId="77777777" w:rsidR="009070A2" w:rsidRPr="00946DAA" w:rsidRDefault="009070A2" w:rsidP="009070A2">
      <w:pPr>
        <w:pStyle w:val="NumberedNormal"/>
      </w:pPr>
      <w:r>
        <w:t xml:space="preserve">The effect of this condition is to close out the RIIO-1 correction term such that revenue in the Regulatory Years commencing on 1 April 2021 and 1 April 2022 reflect correction values relating to Regulatory Years commencing on 1 April 2019 and </w:t>
      </w:r>
      <w:proofErr w:type="gramStart"/>
      <w:r>
        <w:t>1 April 2020</w:t>
      </w:r>
      <w:proofErr w:type="gramEnd"/>
      <w:r>
        <w:t xml:space="preserve"> respectively.</w:t>
      </w:r>
    </w:p>
    <w:p w14:paraId="12488787" w14:textId="77777777" w:rsidR="009070A2" w:rsidRPr="00AE57AC" w:rsidRDefault="009070A2" w:rsidP="009070A2">
      <w:pPr>
        <w:pStyle w:val="Heading3"/>
      </w:pPr>
      <w:r>
        <w:t>Formula for calculating the legacy correction term (</w:t>
      </w:r>
      <w:proofErr w:type="spellStart"/>
      <w:r>
        <w:t>LK</w:t>
      </w:r>
      <w:r w:rsidRPr="00367735">
        <w:rPr>
          <w:vertAlign w:val="subscript"/>
        </w:rPr>
        <w:t>t</w:t>
      </w:r>
      <w:proofErr w:type="spellEnd"/>
      <w:r>
        <w:t>)</w:t>
      </w:r>
    </w:p>
    <w:p w14:paraId="0383FD1F" w14:textId="45F8D25D" w:rsidR="009070A2" w:rsidRPr="00946DAA" w:rsidRDefault="009070A2" w:rsidP="009070A2">
      <w:pPr>
        <w:pStyle w:val="NumberedNormal"/>
      </w:pPr>
      <w:r>
        <w:t xml:space="preserve">For the Regulatory Years commencing on 1 April 2021 and 1 April 2022, the value of LK has the value of K as determined in accordance with Part </w:t>
      </w:r>
      <w:r w:rsidR="00320AA7">
        <w:t>E</w:t>
      </w:r>
      <w:r>
        <w:t xml:space="preserve"> of Special Condition </w:t>
      </w:r>
      <w:r w:rsidR="00320AA7">
        <w:t>3A</w:t>
      </w:r>
      <w:r>
        <w:t xml:space="preserve"> (</w:t>
      </w:r>
      <w:r w:rsidRPr="00D23D4E">
        <w:t xml:space="preserve">Restriction of </w:t>
      </w:r>
      <w:r w:rsidR="00320AA7" w:rsidRPr="00EA16E7">
        <w:t>Transmission</w:t>
      </w:r>
      <w:r w:rsidRPr="00D23D4E">
        <w:t xml:space="preserve"> Network </w:t>
      </w:r>
      <w:r w:rsidR="00320AA7" w:rsidRPr="00EA16E7">
        <w:t>Revenue</w:t>
      </w:r>
      <w:r>
        <w:t>) of this licence as in force on 31 March 2021.</w:t>
      </w:r>
    </w:p>
    <w:p w14:paraId="79922EC7" w14:textId="77777777" w:rsidR="009070A2" w:rsidRPr="00B77F93" w:rsidRDefault="009070A2" w:rsidP="009070A2">
      <w:pPr>
        <w:pStyle w:val="NumberedNormal"/>
      </w:pPr>
      <w:r>
        <w:t xml:space="preserve">The value of </w:t>
      </w:r>
      <w:proofErr w:type="spellStart"/>
      <w:r>
        <w:t>LK</w:t>
      </w:r>
      <w:r w:rsidRPr="00EE5963">
        <w:rPr>
          <w:vertAlign w:val="subscript"/>
        </w:rPr>
        <w:t>t</w:t>
      </w:r>
      <w:proofErr w:type="spellEnd"/>
      <w:r>
        <w:rPr>
          <w:vertAlign w:val="subscript"/>
        </w:rPr>
        <w:t xml:space="preserve"> </w:t>
      </w:r>
      <w:r>
        <w:t>for Regulatory Years commencing on or after 1 April 2023 is zero.</w:t>
      </w:r>
    </w:p>
    <w:p w14:paraId="7819820C" w14:textId="77777777" w:rsidR="00406FD5" w:rsidRDefault="00406FD5" w:rsidP="00536192">
      <w:pPr>
        <w:pStyle w:val="Heading2"/>
      </w:pPr>
      <w:bookmarkStart w:id="214" w:name="_Toc51783688"/>
      <w:bookmarkStart w:id="215" w:name="_Toc52303871"/>
      <w:bookmarkStart w:id="216" w:name="_Toc52364928"/>
      <w:r>
        <w:t>Legacy TRU Term (</w:t>
      </w:r>
      <w:proofErr w:type="spellStart"/>
      <w:r>
        <w:t>LTRU</w:t>
      </w:r>
      <w:r w:rsidRPr="000157F3">
        <w:rPr>
          <w:vertAlign w:val="subscript"/>
        </w:rPr>
        <w:t>t</w:t>
      </w:r>
      <w:proofErr w:type="spellEnd"/>
      <w:r>
        <w:t>)</w:t>
      </w:r>
      <w:bookmarkEnd w:id="214"/>
      <w:bookmarkEnd w:id="215"/>
      <w:bookmarkEnd w:id="216"/>
    </w:p>
    <w:p w14:paraId="059F0D02" w14:textId="77777777" w:rsidR="009070A2" w:rsidRPr="0057526A" w:rsidRDefault="009070A2" w:rsidP="009070A2">
      <w:pPr>
        <w:pStyle w:val="Heading3nonumbering"/>
      </w:pPr>
      <w:r w:rsidRPr="0057526A">
        <w:t xml:space="preserve">Introduction </w:t>
      </w:r>
    </w:p>
    <w:p w14:paraId="41C2C8F0" w14:textId="77777777" w:rsidR="009070A2" w:rsidRPr="00946DAA" w:rsidRDefault="009070A2" w:rsidP="009070A2">
      <w:pPr>
        <w:pStyle w:val="NumberedNormal"/>
      </w:pPr>
      <w:r>
        <w:t xml:space="preserve">The purpose of this condition is to calculate the term </w:t>
      </w:r>
      <w:proofErr w:type="spellStart"/>
      <w:r>
        <w:t>LTRU</w:t>
      </w:r>
      <w:r w:rsidRPr="00AC5DAC">
        <w:rPr>
          <w:vertAlign w:val="subscript"/>
        </w:rPr>
        <w:t>t</w:t>
      </w:r>
      <w:proofErr w:type="spellEnd"/>
      <w:r>
        <w:t xml:space="preserve"> (the legacy TRU term). This contributes to the calculation of the term </w:t>
      </w:r>
      <w:proofErr w:type="spellStart"/>
      <w:r>
        <w:t>LAR</w:t>
      </w:r>
      <w:r w:rsidRPr="00AC5DAC">
        <w:rPr>
          <w:vertAlign w:val="subscript"/>
        </w:rPr>
        <w:t>t</w:t>
      </w:r>
      <w:proofErr w:type="spellEnd"/>
      <w:r>
        <w:t xml:space="preserve"> (the legacy adjustments term), which in turn feeds into the Calculated Revenue in Special Condition 2.1 (Revenue Restriction).</w:t>
      </w:r>
    </w:p>
    <w:p w14:paraId="68A37667" w14:textId="77777777" w:rsidR="009070A2" w:rsidRPr="00946DAA" w:rsidRDefault="009070A2" w:rsidP="009070A2">
      <w:pPr>
        <w:pStyle w:val="NumberedNormal"/>
      </w:pPr>
      <w:r>
        <w:t xml:space="preserve">The effect of this condition is to close out the RIIO-1 TRU term such that revenue in the Regulatory Years commencing on 1 April 2021 and 1 April 2022 reflect TRU adjustments relating to Regulatory Years commencing on 1 April 2019 and </w:t>
      </w:r>
      <w:proofErr w:type="gramStart"/>
      <w:r>
        <w:t>1 April 2020</w:t>
      </w:r>
      <w:proofErr w:type="gramEnd"/>
      <w:r>
        <w:t xml:space="preserve"> respectively.</w:t>
      </w:r>
    </w:p>
    <w:p w14:paraId="620237BD" w14:textId="77777777" w:rsidR="009070A2" w:rsidRPr="00AE57AC" w:rsidRDefault="009070A2" w:rsidP="009070A2">
      <w:pPr>
        <w:pStyle w:val="Heading3"/>
      </w:pPr>
      <w:r>
        <w:t>Formula for calculating the legacy TRU term (</w:t>
      </w:r>
      <w:proofErr w:type="spellStart"/>
      <w:r>
        <w:t>LTRU</w:t>
      </w:r>
      <w:r w:rsidRPr="00367735">
        <w:rPr>
          <w:vertAlign w:val="subscript"/>
        </w:rPr>
        <w:t>t</w:t>
      </w:r>
      <w:proofErr w:type="spellEnd"/>
      <w:r>
        <w:t>)</w:t>
      </w:r>
    </w:p>
    <w:p w14:paraId="0A214433" w14:textId="108E1A8E" w:rsidR="009070A2" w:rsidRPr="00946DAA" w:rsidRDefault="009070A2" w:rsidP="009070A2">
      <w:pPr>
        <w:pStyle w:val="NumberedNormal"/>
      </w:pPr>
      <w:r>
        <w:t xml:space="preserve">For the Regulatory Years commencing on 1 April 2021 and 1 April 2022, the value of </w:t>
      </w:r>
      <w:proofErr w:type="spellStart"/>
      <w:r>
        <w:t>LTRU</w:t>
      </w:r>
      <w:r w:rsidRPr="00034169">
        <w:rPr>
          <w:vertAlign w:val="subscript"/>
        </w:rPr>
        <w:t>t</w:t>
      </w:r>
      <w:proofErr w:type="spellEnd"/>
      <w:r>
        <w:t xml:space="preserve"> is equivalent to </w:t>
      </w:r>
      <w:proofErr w:type="spellStart"/>
      <w:r>
        <w:t>TRU</w:t>
      </w:r>
      <w:r w:rsidRPr="00576FE2">
        <w:rPr>
          <w:vertAlign w:val="subscript"/>
        </w:rPr>
        <w:t>t</w:t>
      </w:r>
      <w:proofErr w:type="spellEnd"/>
      <w:r>
        <w:t xml:space="preserve"> as determined in accordance with Part C of Special Condition </w:t>
      </w:r>
      <w:r w:rsidR="00430E91">
        <w:t>3A</w:t>
      </w:r>
      <w:r>
        <w:t xml:space="preserve"> (</w:t>
      </w:r>
      <w:r w:rsidRPr="00D23D4E">
        <w:t xml:space="preserve">Restriction of </w:t>
      </w:r>
      <w:r w:rsidR="00EA16E7" w:rsidRPr="00EA16E7">
        <w:t>Transmission</w:t>
      </w:r>
      <w:r w:rsidRPr="00D23D4E">
        <w:t xml:space="preserve"> Network </w:t>
      </w:r>
      <w:r w:rsidR="00EA16E7" w:rsidRPr="00EA16E7">
        <w:t>Revenue</w:t>
      </w:r>
      <w:r>
        <w:t>) of this licence as in force on 31 March 2021.</w:t>
      </w:r>
    </w:p>
    <w:p w14:paraId="394219A4" w14:textId="77777777" w:rsidR="009070A2" w:rsidRPr="00B77F93" w:rsidRDefault="009070A2" w:rsidP="009070A2">
      <w:pPr>
        <w:pStyle w:val="NumberedNormal"/>
      </w:pPr>
      <w:bookmarkStart w:id="217" w:name="_Toc51319644"/>
      <w:bookmarkStart w:id="218" w:name="_Toc51798322"/>
      <w:r>
        <w:t xml:space="preserve">The value of </w:t>
      </w:r>
      <w:proofErr w:type="spellStart"/>
      <w:r>
        <w:t>LTRU</w:t>
      </w:r>
      <w:r w:rsidRPr="00EE5963">
        <w:rPr>
          <w:vertAlign w:val="subscript"/>
        </w:rPr>
        <w:t>t</w:t>
      </w:r>
      <w:proofErr w:type="spellEnd"/>
      <w:r>
        <w:rPr>
          <w:vertAlign w:val="subscript"/>
        </w:rPr>
        <w:t xml:space="preserve"> </w:t>
      </w:r>
      <w:r>
        <w:t>for Regulatory Years commencing on or after 1 April 2023 is zero.</w:t>
      </w:r>
    </w:p>
    <w:p w14:paraId="5E7F6712" w14:textId="26F9B22B" w:rsidR="007325DA" w:rsidRPr="007325DA" w:rsidRDefault="00481B07" w:rsidP="007325DA">
      <w:pPr>
        <w:pStyle w:val="Heading2"/>
      </w:pPr>
      <w:bookmarkStart w:id="219" w:name="_Toc52364929"/>
      <w:r>
        <w:lastRenderedPageBreak/>
        <w:t>Close out of RIIO-1 Network Output</w:t>
      </w:r>
      <w:r w:rsidR="005E11E6">
        <w:t>s</w:t>
      </w:r>
      <w:r>
        <w:t xml:space="preserve"> </w:t>
      </w:r>
      <w:bookmarkEnd w:id="217"/>
      <w:r w:rsidR="00662607">
        <w:t>(</w:t>
      </w:r>
      <w:proofErr w:type="spellStart"/>
      <w:r w:rsidR="00662607">
        <w:t>NO</w:t>
      </w:r>
      <w:r w:rsidR="002564C4">
        <w:t>CO</w:t>
      </w:r>
      <w:r w:rsidR="00662607" w:rsidRPr="00155CE1">
        <w:rPr>
          <w:vertAlign w:val="subscript"/>
        </w:rPr>
        <w:t>t</w:t>
      </w:r>
      <w:proofErr w:type="spellEnd"/>
      <w:r w:rsidR="00662607">
        <w:t>)</w:t>
      </w:r>
      <w:bookmarkEnd w:id="218"/>
      <w:bookmarkEnd w:id="219"/>
    </w:p>
    <w:p w14:paraId="58A20CF5" w14:textId="77777777" w:rsidR="007325DA" w:rsidRPr="007325DA" w:rsidRDefault="007325DA" w:rsidP="00201DD6">
      <w:pPr>
        <w:pStyle w:val="Heading3nonumbering"/>
      </w:pPr>
      <w:r w:rsidRPr="007325DA">
        <w:t xml:space="preserve">Introduction </w:t>
      </w:r>
    </w:p>
    <w:p w14:paraId="60764DFB" w14:textId="316C15E6" w:rsidR="00662607" w:rsidRPr="00B37816" w:rsidRDefault="00662607" w:rsidP="00662607">
      <w:pPr>
        <w:pStyle w:val="NumberedNormal"/>
      </w:pPr>
      <w:r>
        <w:t xml:space="preserve">The purpose of this condition is to set out the process for deciding the term </w:t>
      </w:r>
      <w:proofErr w:type="spellStart"/>
      <w:r>
        <w:t>NO</w:t>
      </w:r>
      <w:r w:rsidR="002564C4">
        <w:t>CO</w:t>
      </w:r>
      <w:r w:rsidRPr="00662607">
        <w:t>t</w:t>
      </w:r>
      <w:proofErr w:type="spellEnd"/>
      <w:r>
        <w:t xml:space="preserve"> (the RIIO-1 Network Outputs close out term).  This contributes to the calculation of the </w:t>
      </w:r>
      <w:proofErr w:type="spellStart"/>
      <w:r>
        <w:t>LARt</w:t>
      </w:r>
      <w:proofErr w:type="spellEnd"/>
      <w:r>
        <w:t xml:space="preserve"> term (the legacy adjustment term), which in turn feeds into Calculated Revenue in Special Condition 2.1 (Revenue Restriction). </w:t>
      </w:r>
    </w:p>
    <w:p w14:paraId="0638858C" w14:textId="77777777" w:rsidR="007325DA" w:rsidRPr="007325DA" w:rsidRDefault="007325DA" w:rsidP="00201DD6">
      <w:pPr>
        <w:pStyle w:val="NumberedNormal"/>
      </w:pPr>
      <w:r w:rsidRPr="007325DA">
        <w:t xml:space="preserve">The effect of this condition is to adjust the licensee's revenue to reflect its RIIO-1 Network Outputs delivery.  </w:t>
      </w:r>
    </w:p>
    <w:p w14:paraId="416812E4" w14:textId="77777777" w:rsidR="007325DA" w:rsidRPr="007325DA" w:rsidRDefault="007325DA" w:rsidP="00201DD6">
      <w:pPr>
        <w:pStyle w:val="Heading3"/>
      </w:pPr>
      <w:r w:rsidRPr="007325DA">
        <w:t xml:space="preserve">Part A: RIIO-1 Network Outputs information to be provided by the licensee </w:t>
      </w:r>
    </w:p>
    <w:p w14:paraId="50A99629" w14:textId="77777777" w:rsidR="007325DA" w:rsidRPr="007325DA" w:rsidRDefault="007325DA" w:rsidP="00201DD6">
      <w:pPr>
        <w:pStyle w:val="NumberedNormal"/>
      </w:pPr>
      <w:r w:rsidRPr="007325DA">
        <w:t>By 31 July 2021, the licensee must provide to the Authority a report consistent with the requirements of the NOMs Incentive Methodology which sets out why it considers that it has delivered:</w:t>
      </w:r>
    </w:p>
    <w:p w14:paraId="14F27ADD" w14:textId="77777777" w:rsidR="007325DA" w:rsidRPr="007325DA" w:rsidRDefault="007325DA" w:rsidP="00201DD6">
      <w:pPr>
        <w:pStyle w:val="ListNormal"/>
      </w:pPr>
      <w:r w:rsidRPr="007325DA">
        <w:t>any RIIO-1 Network Output in accordance with the relevant specifications; and</w:t>
      </w:r>
    </w:p>
    <w:p w14:paraId="35602D34" w14:textId="77777777" w:rsidR="007325DA" w:rsidRPr="007325DA" w:rsidRDefault="007325DA" w:rsidP="00201DD6">
      <w:pPr>
        <w:pStyle w:val="ListNormal"/>
      </w:pPr>
      <w:r w:rsidRPr="007325DA">
        <w:t>any RIIO-1 Materially Equivalent Outputs; and</w:t>
      </w:r>
    </w:p>
    <w:p w14:paraId="45B2F137" w14:textId="67285241" w:rsidR="007325DA" w:rsidRPr="007325DA" w:rsidRDefault="007325DA" w:rsidP="00201DD6">
      <w:pPr>
        <w:pStyle w:val="ListNormal"/>
      </w:pPr>
      <w:r w:rsidRPr="007325DA">
        <w:t>any RIIO-1 Justified Material Over-delivery</w:t>
      </w:r>
      <w:r w:rsidR="002E5239">
        <w:t xml:space="preserve"> or Under-delivery.</w:t>
      </w:r>
    </w:p>
    <w:p w14:paraId="7CDCB633" w14:textId="10E863EE" w:rsidR="007325DA" w:rsidRPr="007325DA" w:rsidRDefault="007325DA" w:rsidP="003F66DB">
      <w:pPr>
        <w:pStyle w:val="ListNormal"/>
        <w:ind w:left="879"/>
      </w:pPr>
    </w:p>
    <w:p w14:paraId="3A46BFF5" w14:textId="049059BC" w:rsidR="007325DA" w:rsidRPr="007325DA" w:rsidRDefault="007325DA" w:rsidP="00201DD6">
      <w:pPr>
        <w:pStyle w:val="Heading3"/>
      </w:pPr>
      <w:r w:rsidRPr="007325DA">
        <w:t>Process for directing the</w:t>
      </w:r>
      <w:r w:rsidR="001C31C8">
        <w:t xml:space="preserve"> RIIO-1 Network Outputs close out term</w:t>
      </w:r>
      <w:r w:rsidRPr="007325DA">
        <w:t xml:space="preserve"> </w:t>
      </w:r>
      <w:r w:rsidR="001C31C8">
        <w:t>(</w:t>
      </w:r>
      <w:proofErr w:type="spellStart"/>
      <w:r w:rsidRPr="007325DA">
        <w:t>NO</w:t>
      </w:r>
      <w:r w:rsidR="002564C4">
        <w:t>CO</w:t>
      </w:r>
      <w:r w:rsidR="001C31C8" w:rsidRPr="001C31C8">
        <w:rPr>
          <w:vertAlign w:val="subscript"/>
        </w:rPr>
        <w:t>t</w:t>
      </w:r>
      <w:proofErr w:type="spellEnd"/>
      <w:r w:rsidR="001C31C8">
        <w:t>)</w:t>
      </w:r>
    </w:p>
    <w:p w14:paraId="473EF68A" w14:textId="069334AB" w:rsidR="007325DA" w:rsidRPr="007325DA" w:rsidRDefault="007325DA" w:rsidP="00201DD6">
      <w:pPr>
        <w:pStyle w:val="NumberedNormal"/>
      </w:pPr>
      <w:r w:rsidRPr="007325DA">
        <w:t xml:space="preserve">The Authority will assess the licensee's RIIO-1 Network Outputs delivery in accordance with the principles in </w:t>
      </w:r>
      <w:r w:rsidR="00662607">
        <w:t>Appendix</w:t>
      </w:r>
      <w:r w:rsidR="00662607" w:rsidRPr="007325DA">
        <w:t xml:space="preserve"> </w:t>
      </w:r>
      <w:r w:rsidRPr="007325DA">
        <w:t>1, which are further clarified and supplemented by the NOMs Incentive Methodology.</w:t>
      </w:r>
    </w:p>
    <w:p w14:paraId="5584F27C" w14:textId="647F66E3" w:rsidR="007325DA" w:rsidRPr="007325DA" w:rsidRDefault="007325DA" w:rsidP="00201DD6">
      <w:pPr>
        <w:pStyle w:val="NumberedNormal"/>
      </w:pPr>
      <w:r w:rsidRPr="007325DA">
        <w:t xml:space="preserve">Before directing the value of </w:t>
      </w:r>
      <w:proofErr w:type="spellStart"/>
      <w:r w:rsidR="00AF7FE8">
        <w:t>N</w:t>
      </w:r>
      <w:r w:rsidRPr="007325DA">
        <w:t>O</w:t>
      </w:r>
      <w:r w:rsidR="002564C4">
        <w:t>CO</w:t>
      </w:r>
      <w:r w:rsidR="00662607">
        <w:t>t</w:t>
      </w:r>
      <w:proofErr w:type="spellEnd"/>
      <w:r w:rsidRPr="007325DA">
        <w:t xml:space="preserve">, the Authority will publish on </w:t>
      </w:r>
      <w:r w:rsidR="00D9203B">
        <w:t>the Authority's Website</w:t>
      </w:r>
      <w:r w:rsidRPr="007325DA">
        <w:t xml:space="preserve">:  </w:t>
      </w:r>
    </w:p>
    <w:p w14:paraId="68575D88" w14:textId="77777777" w:rsidR="007325DA" w:rsidRPr="007325DA" w:rsidRDefault="007325DA" w:rsidP="00201DD6">
      <w:pPr>
        <w:pStyle w:val="ListNormal"/>
      </w:pPr>
      <w:r w:rsidRPr="007325DA">
        <w:t xml:space="preserve">the text of the proposed </w:t>
      </w:r>
      <w:proofErr w:type="gramStart"/>
      <w:r w:rsidRPr="007325DA">
        <w:t>direction;</w:t>
      </w:r>
      <w:proofErr w:type="gramEnd"/>
    </w:p>
    <w:p w14:paraId="7AAC061D" w14:textId="77777777" w:rsidR="007325DA" w:rsidRPr="007325DA" w:rsidRDefault="007325DA" w:rsidP="00201DD6">
      <w:pPr>
        <w:pStyle w:val="ListNormal"/>
      </w:pPr>
      <w:r w:rsidRPr="007325DA">
        <w:t>the reasons why it proposes to issue the direction; and</w:t>
      </w:r>
    </w:p>
    <w:p w14:paraId="643DEE98" w14:textId="19B1D1F7" w:rsidR="00662607" w:rsidRPr="00B37816" w:rsidRDefault="00662607" w:rsidP="00662607">
      <w:pPr>
        <w:pStyle w:val="ListNormal"/>
        <w:tabs>
          <w:tab w:val="num" w:pos="879"/>
        </w:tabs>
      </w:pPr>
      <w:r>
        <w:t>a period during which representations may be made on the proposed direction, which will not be less than 28 days.</w:t>
      </w:r>
    </w:p>
    <w:p w14:paraId="2EDCC926" w14:textId="77777777" w:rsidR="007325DA" w:rsidRPr="007325DA" w:rsidRDefault="007325DA" w:rsidP="0003768C">
      <w:pPr>
        <w:pStyle w:val="AppendixHeading"/>
      </w:pPr>
      <w:bookmarkStart w:id="220" w:name="_Toc51798323"/>
      <w:bookmarkEnd w:id="220"/>
    </w:p>
    <w:p w14:paraId="671D743E" w14:textId="3C132DA0" w:rsidR="007325DA" w:rsidRPr="007325DA" w:rsidRDefault="007325DA" w:rsidP="0003768C">
      <w:pPr>
        <w:pStyle w:val="Caption"/>
      </w:pPr>
      <w:r w:rsidRPr="007325DA">
        <w:t>Treatment of under-delivery and over-delivery of RIIO-1 Network Outputs</w:t>
      </w:r>
    </w:p>
    <w:tbl>
      <w:tblPr>
        <w:tblStyle w:val="AppendixTable"/>
        <w:tblW w:w="8897" w:type="dxa"/>
        <w:tblLayout w:type="fixed"/>
        <w:tblLook w:val="0020" w:firstRow="1" w:lastRow="0" w:firstColumn="0" w:lastColumn="0" w:noHBand="0" w:noVBand="0"/>
      </w:tblPr>
      <w:tblGrid>
        <w:gridCol w:w="2802"/>
        <w:gridCol w:w="3118"/>
        <w:gridCol w:w="2977"/>
      </w:tblGrid>
      <w:tr w:rsidR="007325DA" w:rsidRPr="00774853" w14:paraId="43B0AF4D" w14:textId="77777777" w:rsidTr="00EB69B4">
        <w:trPr>
          <w:cnfStyle w:val="100000000000" w:firstRow="1" w:lastRow="0" w:firstColumn="0" w:lastColumn="0" w:oddVBand="0" w:evenVBand="0" w:oddHBand="0" w:evenHBand="0" w:firstRowFirstColumn="0" w:firstRowLastColumn="0" w:lastRowFirstColumn="0" w:lastRowLastColumn="0"/>
          <w:trHeight w:val="87"/>
        </w:trPr>
        <w:tc>
          <w:tcPr>
            <w:tcW w:w="2802" w:type="dxa"/>
          </w:tcPr>
          <w:p w14:paraId="70016CA0" w14:textId="77777777" w:rsidR="007325DA" w:rsidRPr="007325DA" w:rsidRDefault="007325DA" w:rsidP="007325DA">
            <w:r w:rsidRPr="007325DA">
              <w:t xml:space="preserve">Incentives </w:t>
            </w:r>
          </w:p>
        </w:tc>
        <w:tc>
          <w:tcPr>
            <w:tcW w:w="3118" w:type="dxa"/>
          </w:tcPr>
          <w:p w14:paraId="01B12ADE" w14:textId="77777777" w:rsidR="007325DA" w:rsidRPr="007325DA" w:rsidRDefault="007325DA" w:rsidP="007325DA">
            <w:r w:rsidRPr="007325DA">
              <w:t xml:space="preserve">Justified </w:t>
            </w:r>
          </w:p>
        </w:tc>
        <w:tc>
          <w:tcPr>
            <w:tcW w:w="2977" w:type="dxa"/>
          </w:tcPr>
          <w:p w14:paraId="04C63A21" w14:textId="77777777" w:rsidR="007325DA" w:rsidRPr="007325DA" w:rsidRDefault="007325DA" w:rsidP="007325DA">
            <w:r w:rsidRPr="007325DA">
              <w:t xml:space="preserve">Unjustified </w:t>
            </w:r>
          </w:p>
        </w:tc>
      </w:tr>
      <w:tr w:rsidR="007325DA" w:rsidRPr="00774853" w14:paraId="1ADD882D" w14:textId="77777777" w:rsidTr="00EB69B4">
        <w:trPr>
          <w:trHeight w:val="204"/>
        </w:trPr>
        <w:tc>
          <w:tcPr>
            <w:tcW w:w="2802" w:type="dxa"/>
          </w:tcPr>
          <w:p w14:paraId="6C41E6FD" w14:textId="77777777" w:rsidR="007325DA" w:rsidRPr="007325DA" w:rsidRDefault="007325DA" w:rsidP="007325DA">
            <w:r w:rsidRPr="007325DA">
              <w:t xml:space="preserve">Over-delivery </w:t>
            </w:r>
          </w:p>
        </w:tc>
        <w:tc>
          <w:tcPr>
            <w:tcW w:w="3118" w:type="dxa"/>
          </w:tcPr>
          <w:p w14:paraId="37477A83" w14:textId="77777777" w:rsidR="007325DA" w:rsidRPr="007325DA" w:rsidRDefault="007325DA" w:rsidP="007325DA">
            <w:r w:rsidRPr="007325DA">
              <w:t>Cost of over-delivery will be included in the licensee's revenue.</w:t>
            </w:r>
          </w:p>
          <w:p w14:paraId="4C33BE25" w14:textId="77777777" w:rsidR="007325DA" w:rsidRPr="007325DA" w:rsidRDefault="007325DA" w:rsidP="007325DA">
            <w:r w:rsidRPr="007325DA">
              <w:lastRenderedPageBreak/>
              <w:t>The financing cost incurred by the licensee in advancing investment will be reimbursed.</w:t>
            </w:r>
          </w:p>
          <w:p w14:paraId="78126103" w14:textId="77777777" w:rsidR="007325DA" w:rsidRPr="007325DA" w:rsidRDefault="007325DA" w:rsidP="007325DA">
            <w:r w:rsidRPr="007325DA">
              <w:t>Reward of 2.5 per cent of the additional costs associated with the material over-delivery.</w:t>
            </w:r>
          </w:p>
        </w:tc>
        <w:tc>
          <w:tcPr>
            <w:tcW w:w="2977" w:type="dxa"/>
          </w:tcPr>
          <w:p w14:paraId="7420AC8B" w14:textId="77777777" w:rsidR="007325DA" w:rsidRPr="007325DA" w:rsidRDefault="007325DA" w:rsidP="007325DA">
            <w:r w:rsidRPr="007325DA">
              <w:lastRenderedPageBreak/>
              <w:t>Cost of over-delivery will be included in the licensee's revenue.</w:t>
            </w:r>
          </w:p>
          <w:p w14:paraId="24884576" w14:textId="77777777" w:rsidR="007325DA" w:rsidRPr="007325DA" w:rsidRDefault="007325DA" w:rsidP="007325DA">
            <w:r w:rsidRPr="007325DA">
              <w:lastRenderedPageBreak/>
              <w:t xml:space="preserve">The licensee will incur the financing cost of earlier investment. </w:t>
            </w:r>
          </w:p>
        </w:tc>
      </w:tr>
      <w:tr w:rsidR="007325DA" w:rsidRPr="00774853" w14:paraId="325134A7" w14:textId="77777777" w:rsidTr="00EB69B4">
        <w:trPr>
          <w:trHeight w:val="1072"/>
        </w:trPr>
        <w:tc>
          <w:tcPr>
            <w:tcW w:w="2802" w:type="dxa"/>
          </w:tcPr>
          <w:p w14:paraId="3FBDE4B0" w14:textId="77777777" w:rsidR="007325DA" w:rsidRPr="007325DA" w:rsidRDefault="007325DA" w:rsidP="007325DA">
            <w:r w:rsidRPr="007325DA">
              <w:lastRenderedPageBreak/>
              <w:t xml:space="preserve">Under-delivery </w:t>
            </w:r>
          </w:p>
        </w:tc>
        <w:tc>
          <w:tcPr>
            <w:tcW w:w="3118" w:type="dxa"/>
          </w:tcPr>
          <w:p w14:paraId="72FB1292" w14:textId="77777777" w:rsidR="007325DA" w:rsidRPr="007325DA" w:rsidRDefault="007325DA" w:rsidP="007325DA">
            <w:r w:rsidRPr="007325DA">
              <w:t>Cost of under-delivery will be excluded from the licensee's revenue.</w:t>
            </w:r>
          </w:p>
          <w:p w14:paraId="250454B1" w14:textId="77777777" w:rsidR="007325DA" w:rsidRPr="007325DA" w:rsidRDefault="007325DA" w:rsidP="007325DA">
            <w:r w:rsidRPr="007325DA">
              <w:t>The licensee will benefit from the financing cost of delayed investment.</w:t>
            </w:r>
          </w:p>
        </w:tc>
        <w:tc>
          <w:tcPr>
            <w:tcW w:w="2977" w:type="dxa"/>
          </w:tcPr>
          <w:p w14:paraId="3231C246" w14:textId="77777777" w:rsidR="007325DA" w:rsidRPr="007325DA" w:rsidRDefault="007325DA" w:rsidP="007325DA">
            <w:r w:rsidRPr="007325DA">
              <w:t>Cost of under-delivery will be excluded from the licensee's revenue.</w:t>
            </w:r>
          </w:p>
          <w:p w14:paraId="39F6C535" w14:textId="77777777" w:rsidR="007325DA" w:rsidRPr="007325DA" w:rsidRDefault="007325DA" w:rsidP="007325DA">
            <w:r w:rsidRPr="007325DA">
              <w:t>The benefit arising to the licensee from the financing cost of delayed investment will be clawed back.</w:t>
            </w:r>
          </w:p>
          <w:p w14:paraId="4AF84A8F" w14:textId="77777777" w:rsidR="007325DA" w:rsidRPr="007325DA" w:rsidRDefault="007325DA" w:rsidP="007325DA">
            <w:r w:rsidRPr="007325DA">
              <w:t>Penalty of 2.5 per cent of the avoided costs associated with the material under-delivery.</w:t>
            </w:r>
          </w:p>
        </w:tc>
      </w:tr>
    </w:tbl>
    <w:p w14:paraId="705DC94D" w14:textId="77777777" w:rsidR="007325DA" w:rsidRPr="007325DA" w:rsidRDefault="007325DA" w:rsidP="007325DA"/>
    <w:p w14:paraId="6A11D7E4" w14:textId="6EBB90BC" w:rsidR="00481B07" w:rsidRDefault="00481B07" w:rsidP="00481B07">
      <w:pPr>
        <w:pStyle w:val="Heading2"/>
      </w:pPr>
      <w:bookmarkStart w:id="221" w:name="_Toc51319646"/>
      <w:bookmarkStart w:id="222" w:name="_Toc51798324"/>
      <w:bookmarkStart w:id="223" w:name="_Toc52364930"/>
      <w:r>
        <w:t>Close out of RIIO-</w:t>
      </w:r>
      <w:r w:rsidR="003C1BC1">
        <w:t>ET</w:t>
      </w:r>
      <w:r>
        <w:t>1 Stakeholder Satisfaction Output</w:t>
      </w:r>
      <w:bookmarkEnd w:id="221"/>
      <w:r w:rsidR="007D3411">
        <w:t xml:space="preserve"> (</w:t>
      </w:r>
      <w:proofErr w:type="spellStart"/>
      <w:r w:rsidR="005D2E82">
        <w:t>L</w:t>
      </w:r>
      <w:r w:rsidR="007D3411">
        <w:t>SSOt</w:t>
      </w:r>
      <w:proofErr w:type="spellEnd"/>
      <w:r w:rsidR="007D3411">
        <w:t>)</w:t>
      </w:r>
      <w:bookmarkEnd w:id="222"/>
      <w:bookmarkEnd w:id="223"/>
    </w:p>
    <w:p w14:paraId="0B455BBA" w14:textId="30D9BA94" w:rsidR="00481B07" w:rsidRDefault="00481B07" w:rsidP="007C0D67">
      <w:pPr>
        <w:pStyle w:val="Heading3nonumbering"/>
      </w:pPr>
      <w:r w:rsidRPr="0057526A">
        <w:t xml:space="preserve">Introduction </w:t>
      </w:r>
      <w:r>
        <w:t>[SPT and SHET]</w:t>
      </w:r>
    </w:p>
    <w:p w14:paraId="76E815DD" w14:textId="1959ABB9" w:rsidR="00D75F87" w:rsidRPr="00CB3479" w:rsidRDefault="00D75F87" w:rsidP="00D75F87">
      <w:pPr>
        <w:rPr>
          <w:i/>
        </w:rPr>
      </w:pPr>
      <w:r w:rsidRPr="00CB3479">
        <w:rPr>
          <w:i/>
        </w:rPr>
        <w:t>[</w:t>
      </w:r>
      <w:r>
        <w:rPr>
          <w:i/>
        </w:rPr>
        <w:t xml:space="preserve">The close out of the </w:t>
      </w:r>
      <w:r w:rsidRPr="00CB3479">
        <w:rPr>
          <w:i/>
        </w:rPr>
        <w:t>Stake</w:t>
      </w:r>
      <w:r>
        <w:rPr>
          <w:i/>
        </w:rPr>
        <w:t>holder satisfaction output for SHET and SPT’s</w:t>
      </w:r>
      <w:r w:rsidRPr="00CB3479">
        <w:rPr>
          <w:i/>
        </w:rPr>
        <w:t xml:space="preserve"> licence]</w:t>
      </w:r>
    </w:p>
    <w:p w14:paraId="7EDCA62A" w14:textId="107D4D95" w:rsidR="00481B07" w:rsidRPr="00481B07" w:rsidRDefault="00481B07" w:rsidP="007C0D67">
      <w:pPr>
        <w:pStyle w:val="NumberedNormal"/>
      </w:pPr>
      <w:r w:rsidRPr="00D05829">
        <w:t>The purpose of this condition is to calculat</w:t>
      </w:r>
      <w:r w:rsidRPr="00481B07">
        <w:t xml:space="preserve">e the term </w:t>
      </w:r>
      <w:proofErr w:type="spellStart"/>
      <w:r w:rsidR="005D2E82">
        <w:t>L</w:t>
      </w:r>
      <w:r w:rsidRPr="00481B07">
        <w:t>SSOt</w:t>
      </w:r>
      <w:proofErr w:type="spellEnd"/>
      <w:r w:rsidRPr="00481B07">
        <w:t xml:space="preserve"> (the RIIO-ET1 Stakeholder Satisfaction Output close out term). This contributes to the calculation of the </w:t>
      </w:r>
      <w:proofErr w:type="spellStart"/>
      <w:r w:rsidRPr="00481B07">
        <w:t>LARt</w:t>
      </w:r>
      <w:proofErr w:type="spellEnd"/>
      <w:r w:rsidRPr="00481B07">
        <w:t xml:space="preserve"> term (the legacy adjustments term), which in turn feeds into Calculated Revenue in </w:t>
      </w:r>
      <w:r w:rsidR="00A148E7">
        <w:t>Special Condition 2.1 (Revenue Restriction)</w:t>
      </w:r>
      <w:r w:rsidRPr="00481B07">
        <w:t xml:space="preserve">. </w:t>
      </w:r>
    </w:p>
    <w:p w14:paraId="71DF90EA" w14:textId="77777777" w:rsidR="00481B07" w:rsidRPr="00481B07" w:rsidRDefault="00481B07" w:rsidP="007C0D67">
      <w:pPr>
        <w:pStyle w:val="NumberedNormal"/>
      </w:pPr>
      <w:r>
        <w:t>The effect</w:t>
      </w:r>
      <w:r w:rsidRPr="00481B07">
        <w:t xml:space="preserve"> of this condition is to close out the RIIO-ET1 Stakeholder Satisfaction Output. </w:t>
      </w:r>
    </w:p>
    <w:p w14:paraId="28C7645C" w14:textId="77777777" w:rsidR="00481B07" w:rsidRPr="00481B07" w:rsidRDefault="00481B07" w:rsidP="007C0D67">
      <w:pPr>
        <w:pStyle w:val="NumberedNormal"/>
      </w:pPr>
      <w:r>
        <w:t>This condition also:</w:t>
      </w:r>
    </w:p>
    <w:p w14:paraId="0461E0F0" w14:textId="77777777" w:rsidR="00481B07" w:rsidRPr="00481B07" w:rsidRDefault="00481B07" w:rsidP="007C0D67">
      <w:pPr>
        <w:pStyle w:val="ListNormal"/>
      </w:pPr>
      <w:r>
        <w:t xml:space="preserve">sets out the process the Authority will follow when amending the Stakeholder Engagement Reward </w:t>
      </w:r>
      <w:proofErr w:type="gramStart"/>
      <w:r>
        <w:t>Guidance;</w:t>
      </w:r>
      <w:proofErr w:type="gramEnd"/>
      <w:r>
        <w:t xml:space="preserve"> </w:t>
      </w:r>
    </w:p>
    <w:p w14:paraId="39FEFD8D" w14:textId="771BBBDF" w:rsidR="00481B07" w:rsidRPr="00481B07" w:rsidRDefault="00481B07" w:rsidP="007C0D67">
      <w:pPr>
        <w:pStyle w:val="ListNormal"/>
      </w:pPr>
      <w:r>
        <w:t>requires the licensee to maintain Key Performance Indicators</w:t>
      </w:r>
      <w:r w:rsidRPr="00481B07">
        <w:t xml:space="preserve"> until 1 April 2022;</w:t>
      </w:r>
      <w:r w:rsidR="0012387B">
        <w:t xml:space="preserve"> and</w:t>
      </w:r>
    </w:p>
    <w:p w14:paraId="0651E411" w14:textId="77777777" w:rsidR="00481B07" w:rsidRPr="00481B07" w:rsidRDefault="00481B07" w:rsidP="007C0D67">
      <w:pPr>
        <w:pStyle w:val="ListNormal"/>
      </w:pPr>
      <w:r>
        <w:t>requires the licensee to maintain an External Assurance Methodology and Terms of Reference</w:t>
      </w:r>
      <w:r w:rsidRPr="00481B07">
        <w:t xml:space="preserve"> until 1 April 2022.</w:t>
      </w:r>
    </w:p>
    <w:p w14:paraId="0EA70B7D" w14:textId="667FCAE5" w:rsidR="00481B07" w:rsidRPr="00AE57AC" w:rsidRDefault="00481B07" w:rsidP="00B749AE">
      <w:pPr>
        <w:pStyle w:val="Heading3"/>
      </w:pPr>
      <w:r>
        <w:t xml:space="preserve">Formula for calculating the RIIO-ET1 </w:t>
      </w:r>
      <w:r w:rsidRPr="004C3792">
        <w:t>Stakeholder Satisfaction Output</w:t>
      </w:r>
      <w:r>
        <w:t xml:space="preserve"> close out</w:t>
      </w:r>
      <w:r w:rsidRPr="004C3792">
        <w:t xml:space="preserve"> term</w:t>
      </w:r>
      <w:r w:rsidR="00092750">
        <w:t xml:space="preserve"> (</w:t>
      </w:r>
      <w:proofErr w:type="spellStart"/>
      <w:r w:rsidR="005D2E82">
        <w:t>L</w:t>
      </w:r>
      <w:r w:rsidR="00092750">
        <w:t>SSOt</w:t>
      </w:r>
      <w:proofErr w:type="spellEnd"/>
      <w:r w:rsidR="00092750">
        <w:t>)</w:t>
      </w:r>
    </w:p>
    <w:p w14:paraId="39706D70" w14:textId="2EEA60D8" w:rsidR="00481B07" w:rsidRPr="00481B07" w:rsidRDefault="00481B07" w:rsidP="00B749AE">
      <w:pPr>
        <w:pStyle w:val="NumberedNormal"/>
      </w:pPr>
      <w:r>
        <w:t>The</w:t>
      </w:r>
      <w:r w:rsidRPr="00481B07">
        <w:t xml:space="preserve"> value of </w:t>
      </w:r>
      <w:proofErr w:type="spellStart"/>
      <w:r w:rsidR="001C31C8">
        <w:t>L</w:t>
      </w:r>
      <w:r w:rsidRPr="00481B07">
        <w:t>SSOt</w:t>
      </w:r>
      <w:proofErr w:type="spellEnd"/>
      <w:r w:rsidRPr="00481B07">
        <w:t xml:space="preserve"> is derived in accordance with the following formula:</w:t>
      </w:r>
    </w:p>
    <w:p w14:paraId="29232FEA" w14:textId="6B48E4D6" w:rsidR="00481B07" w:rsidRPr="00D05829" w:rsidRDefault="00B913B6" w:rsidP="00B749AE">
      <w:pPr>
        <w:pStyle w:val="Equation"/>
      </w:pPr>
      <m:oMathPara>
        <m:oMath>
          <m:sSub>
            <m:sSubPr>
              <m:ctrlPr>
                <w:rPr>
                  <w:rFonts w:ascii="Cambria Math" w:hAnsi="Cambria Math"/>
                </w:rPr>
              </m:ctrlPr>
            </m:sSubPr>
            <m:e>
              <m:r>
                <m:rPr>
                  <m:sty m:val="p"/>
                </m:rPr>
                <w:rPr>
                  <w:rFonts w:ascii="Cambria Math" w:hAnsi="Cambria Math"/>
                </w:rPr>
                <m:t>LSSO</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SER</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SSI</m:t>
                  </m:r>
                </m:e>
                <m:sub>
                  <m:r>
                    <m:rPr>
                      <m:sty m:val="p"/>
                    </m:rPr>
                    <w:rPr>
                      <w:rFonts w:ascii="Cambria Math" w:hAnsi="Cambria Math"/>
                    </w:rPr>
                    <m:t>t</m:t>
                  </m:r>
                </m:sub>
              </m:sSub>
            </m:e>
          </m:d>
        </m:oMath>
      </m:oMathPara>
    </w:p>
    <w:p w14:paraId="45F1EFC3" w14:textId="77777777" w:rsidR="00481B07" w:rsidRPr="004C3792" w:rsidRDefault="00481B07" w:rsidP="003F66DB">
      <w:pPr>
        <w:ind w:left="720"/>
      </w:pPr>
      <w:r w:rsidRPr="004C3792">
        <w:t>where</w:t>
      </w:r>
      <w:r w:rsidRPr="00D05829">
        <w:t>:</w:t>
      </w:r>
    </w:p>
    <w:tbl>
      <w:tblPr>
        <w:tblW w:w="8363" w:type="dxa"/>
        <w:tblInd w:w="1537" w:type="dxa"/>
        <w:tblLayout w:type="fixed"/>
        <w:tblLook w:val="04A0" w:firstRow="1" w:lastRow="0" w:firstColumn="1" w:lastColumn="0" w:noHBand="0" w:noVBand="1"/>
      </w:tblPr>
      <w:tblGrid>
        <w:gridCol w:w="2126"/>
        <w:gridCol w:w="6237"/>
      </w:tblGrid>
      <w:tr w:rsidR="00481B07" w:rsidRPr="00791A1F" w14:paraId="3C08D2CB" w14:textId="77777777" w:rsidTr="003F66DB">
        <w:trPr>
          <w:trHeight w:val="567"/>
        </w:trPr>
        <w:tc>
          <w:tcPr>
            <w:tcW w:w="2126" w:type="dxa"/>
            <w:shd w:val="clear" w:color="auto" w:fill="auto"/>
          </w:tcPr>
          <w:p w14:paraId="6D87D7D1" w14:textId="77777777" w:rsidR="00481B07" w:rsidRPr="00481B07" w:rsidRDefault="00481B07" w:rsidP="00481B07">
            <w:proofErr w:type="spellStart"/>
            <w:r w:rsidRPr="004C3792">
              <w:t>SER</w:t>
            </w:r>
            <w:r w:rsidRPr="00481B07">
              <w:t>t</w:t>
            </w:r>
            <w:proofErr w:type="spellEnd"/>
          </w:p>
        </w:tc>
        <w:tc>
          <w:tcPr>
            <w:tcW w:w="6237" w:type="dxa"/>
            <w:shd w:val="clear" w:color="auto" w:fill="auto"/>
          </w:tcPr>
          <w:p w14:paraId="0F6F4DD0" w14:textId="3215FD4F" w:rsidR="00481B07" w:rsidRPr="00481B07" w:rsidRDefault="00481B07" w:rsidP="00481B07">
            <w:r>
              <w:t>is derived in accordance with Part B</w:t>
            </w:r>
            <w:r w:rsidR="0012387B">
              <w:t>; and</w:t>
            </w:r>
          </w:p>
        </w:tc>
      </w:tr>
      <w:tr w:rsidR="00481B07" w:rsidRPr="00791A1F" w14:paraId="0C81559B" w14:textId="77777777" w:rsidTr="003F66DB">
        <w:trPr>
          <w:trHeight w:val="567"/>
        </w:trPr>
        <w:tc>
          <w:tcPr>
            <w:tcW w:w="2126" w:type="dxa"/>
            <w:shd w:val="clear" w:color="auto" w:fill="auto"/>
          </w:tcPr>
          <w:p w14:paraId="398B925C" w14:textId="77777777" w:rsidR="00481B07" w:rsidRPr="00481B07" w:rsidRDefault="00481B07" w:rsidP="00481B07">
            <w:proofErr w:type="spellStart"/>
            <w:r w:rsidRPr="004C3792">
              <w:t>SS</w:t>
            </w:r>
            <w:r w:rsidRPr="00481B07">
              <w:t>It</w:t>
            </w:r>
            <w:proofErr w:type="spellEnd"/>
          </w:p>
        </w:tc>
        <w:tc>
          <w:tcPr>
            <w:tcW w:w="6237" w:type="dxa"/>
            <w:shd w:val="clear" w:color="auto" w:fill="auto"/>
          </w:tcPr>
          <w:p w14:paraId="3A7A9A61" w14:textId="10A391AD" w:rsidR="00481B07" w:rsidRPr="00481B07" w:rsidRDefault="00481B07" w:rsidP="00481B07">
            <w:r>
              <w:t>i</w:t>
            </w:r>
            <w:r w:rsidRPr="00481B07">
              <w:t>s derived in accordance with Part D.</w:t>
            </w:r>
          </w:p>
        </w:tc>
      </w:tr>
    </w:tbl>
    <w:p w14:paraId="1A0BB39D" w14:textId="77777777" w:rsidR="00481B07" w:rsidRPr="00481B07" w:rsidRDefault="00481B07" w:rsidP="00B749AE">
      <w:pPr>
        <w:pStyle w:val="NumberedNormal"/>
      </w:pPr>
      <w:r>
        <w:t xml:space="preserve">This condition will cease to have effect </w:t>
      </w:r>
      <w:r w:rsidRPr="00481B07">
        <w:t xml:space="preserve">on 1 April 2022. </w:t>
      </w:r>
    </w:p>
    <w:p w14:paraId="4DF63CDD" w14:textId="6F17ECA7" w:rsidR="00481B07" w:rsidRPr="00871392" w:rsidRDefault="00481B07" w:rsidP="00B749AE">
      <w:pPr>
        <w:pStyle w:val="Heading3"/>
      </w:pPr>
      <w:r>
        <w:t>Direction</w:t>
      </w:r>
      <w:r w:rsidRPr="00871392">
        <w:t xml:space="preserve"> of the </w:t>
      </w:r>
      <w:r>
        <w:t>Stakeholder Engagement Reward term</w:t>
      </w:r>
      <w:r w:rsidR="001C31C8">
        <w:t xml:space="preserve"> (</w:t>
      </w:r>
      <w:proofErr w:type="spellStart"/>
      <w:r w:rsidR="001C31C8">
        <w:t>SER</w:t>
      </w:r>
      <w:r w:rsidR="001C31C8" w:rsidRPr="00155CE1">
        <w:rPr>
          <w:vertAlign w:val="subscript"/>
        </w:rPr>
        <w:t>t</w:t>
      </w:r>
      <w:proofErr w:type="spellEnd"/>
      <w:r w:rsidR="001C31C8">
        <w:t>)</w:t>
      </w:r>
    </w:p>
    <w:p w14:paraId="7A89D847" w14:textId="77777777" w:rsidR="00481B07" w:rsidRPr="00481B07" w:rsidRDefault="00481B07" w:rsidP="00B749AE">
      <w:pPr>
        <w:pStyle w:val="NumberedNormal"/>
      </w:pPr>
      <w:r w:rsidRPr="00F54B52">
        <w:t xml:space="preserve">The </w:t>
      </w:r>
      <w:r w:rsidRPr="00481B07">
        <w:t xml:space="preserve">licensee may apply to the Authority for a direction adjusting the value of the </w:t>
      </w:r>
      <w:proofErr w:type="spellStart"/>
      <w:r w:rsidRPr="00481B07">
        <w:t>SERt</w:t>
      </w:r>
      <w:proofErr w:type="spellEnd"/>
      <w:r w:rsidRPr="00481B07">
        <w:t xml:space="preserve"> term in accordance with the Stakeholder Engagement Reward Guidance published on the Authority's Website.</w:t>
      </w:r>
    </w:p>
    <w:p w14:paraId="153B0E83" w14:textId="30B7EF88" w:rsidR="00481B07" w:rsidRPr="00481B07" w:rsidRDefault="00481B07" w:rsidP="00B749AE">
      <w:pPr>
        <w:pStyle w:val="NumberedNormal"/>
      </w:pPr>
      <w:r w:rsidRPr="00FE308D">
        <w:t xml:space="preserve">The maximum value of </w:t>
      </w:r>
      <w:proofErr w:type="spellStart"/>
      <w:r w:rsidRPr="00FE308D">
        <w:t>SE</w:t>
      </w:r>
      <w:r w:rsidRPr="00481B07">
        <w:t>Rt</w:t>
      </w:r>
      <w:proofErr w:type="spellEnd"/>
      <w:r w:rsidRPr="00481B07">
        <w:t xml:space="preserve"> that the Authority will direct is 0.5 per cent of Base Transmission Revenue as calculated in accordance with Part C of Special Condition 3A (Restriction of Transmission Network Revenue) as in force on 31 March 2021. </w:t>
      </w:r>
    </w:p>
    <w:p w14:paraId="15A86EAA" w14:textId="48679FDD" w:rsidR="00481B07" w:rsidRPr="004C3792" w:rsidRDefault="00481B07" w:rsidP="00B749AE">
      <w:pPr>
        <w:pStyle w:val="Heading3"/>
      </w:pPr>
      <w:r>
        <w:t>Amendments to</w:t>
      </w:r>
      <w:r w:rsidRPr="004C3792">
        <w:t xml:space="preserve"> the Stakeholder Engagement Reward Guidance </w:t>
      </w:r>
    </w:p>
    <w:p w14:paraId="79AA36A3" w14:textId="77777777" w:rsidR="00481B07" w:rsidRPr="00481B07" w:rsidRDefault="00481B07" w:rsidP="00B749AE">
      <w:pPr>
        <w:pStyle w:val="NumberedNormal"/>
      </w:pPr>
      <w:r w:rsidRPr="009E1DD8">
        <w:t xml:space="preserve">The Authority will </w:t>
      </w:r>
      <w:r w:rsidRPr="00481B07">
        <w:t>amend the Stakeholder Engagement Reward Guidance by direction.</w:t>
      </w:r>
    </w:p>
    <w:p w14:paraId="11FF04FA" w14:textId="1B6CF479" w:rsidR="00481B07" w:rsidRPr="00481B07" w:rsidRDefault="00481B07" w:rsidP="00B749AE">
      <w:pPr>
        <w:pStyle w:val="NumberedNormal"/>
      </w:pPr>
      <w:r w:rsidRPr="009E1DD8">
        <w:t xml:space="preserve">Before </w:t>
      </w:r>
      <w:r w:rsidRPr="00481B07">
        <w:t xml:space="preserve">amending the Stakeholder Engagement Reward Guidance by direction, the Authority will publish on </w:t>
      </w:r>
      <w:r w:rsidR="00D9203B">
        <w:t>the Authority's Website</w:t>
      </w:r>
      <w:r w:rsidRPr="00481B07">
        <w:t>:</w:t>
      </w:r>
    </w:p>
    <w:p w14:paraId="7F6EA4BD" w14:textId="77777777" w:rsidR="00481B07" w:rsidRPr="00481B07" w:rsidRDefault="00481B07" w:rsidP="00FF7262">
      <w:pPr>
        <w:pStyle w:val="ListNormal"/>
      </w:pPr>
      <w:r w:rsidRPr="009E1DD8">
        <w:t xml:space="preserve">the text of the amended Stakeholder Engagement Reward </w:t>
      </w:r>
      <w:proofErr w:type="gramStart"/>
      <w:r w:rsidRPr="009E1DD8">
        <w:t>Guidance;</w:t>
      </w:r>
      <w:proofErr w:type="gramEnd"/>
    </w:p>
    <w:p w14:paraId="52B2D029" w14:textId="4115C3B4" w:rsidR="00481B07" w:rsidRPr="00481B07" w:rsidRDefault="00481B07" w:rsidP="00FF7262">
      <w:pPr>
        <w:pStyle w:val="ListNormal"/>
      </w:pPr>
      <w:r>
        <w:t>t</w:t>
      </w:r>
      <w:r w:rsidRPr="00481B07">
        <w:t>he date</w:t>
      </w:r>
      <w:r w:rsidR="007D3411">
        <w:t xml:space="preserve"> on which</w:t>
      </w:r>
      <w:r w:rsidRPr="00481B07">
        <w:t xml:space="preserve"> the Authority intends the amended Stakeholder Engagement Reward Guidance to come into </w:t>
      </w:r>
      <w:proofErr w:type="gramStart"/>
      <w:r w:rsidRPr="00481B07">
        <w:t>effect;</w:t>
      </w:r>
      <w:proofErr w:type="gramEnd"/>
    </w:p>
    <w:p w14:paraId="30E88525" w14:textId="77777777" w:rsidR="00481B07" w:rsidRPr="00481B07" w:rsidRDefault="00481B07" w:rsidP="00FF7262">
      <w:pPr>
        <w:pStyle w:val="ListNormal"/>
      </w:pPr>
      <w:r w:rsidRPr="009E1DD8">
        <w:t>the reasons for the amendments to the Stakeholder Engagement Reward Guidance;</w:t>
      </w:r>
      <w:r w:rsidRPr="00481B07">
        <w:t xml:space="preserve"> and</w:t>
      </w:r>
    </w:p>
    <w:p w14:paraId="6348A485" w14:textId="5D281E30" w:rsidR="00481B07" w:rsidRPr="00481B07" w:rsidRDefault="0012387B" w:rsidP="00FF7262">
      <w:pPr>
        <w:pStyle w:val="ListNormal"/>
      </w:pPr>
      <w:r>
        <w:t xml:space="preserve">a </w:t>
      </w:r>
      <w:r w:rsidR="007D3411" w:rsidRPr="007E6D46">
        <w:t xml:space="preserve">period during which representations may be made on the amendments to the </w:t>
      </w:r>
      <w:r w:rsidR="007D3411">
        <w:t>Stakeholder Engagement Reward Guidance</w:t>
      </w:r>
      <w:r w:rsidR="007D3411" w:rsidRPr="007E6D46">
        <w:t xml:space="preserve">, which </w:t>
      </w:r>
      <w:r w:rsidR="007D3411">
        <w:t>will</w:t>
      </w:r>
      <w:r w:rsidR="007D3411" w:rsidRPr="007E6D46">
        <w:t xml:space="preserve"> not be less than 28 days</w:t>
      </w:r>
      <w:r w:rsidR="00481B07" w:rsidRPr="009E1DD8">
        <w:t xml:space="preserve">. </w:t>
      </w:r>
    </w:p>
    <w:p w14:paraId="4906CB51" w14:textId="7B4B1C7F" w:rsidR="00481B07" w:rsidRPr="00871392" w:rsidRDefault="00481B07" w:rsidP="00FF7262">
      <w:pPr>
        <w:pStyle w:val="Heading3"/>
      </w:pPr>
      <w:r>
        <w:t xml:space="preserve">Formula for calculating the </w:t>
      </w:r>
      <w:r w:rsidRPr="00871392">
        <w:t>Stakeholder Satisfaction Incentive</w:t>
      </w:r>
      <w:r>
        <w:t xml:space="preserve"> term</w:t>
      </w:r>
      <w:r w:rsidR="001C31C8">
        <w:t xml:space="preserve"> (</w:t>
      </w:r>
      <w:proofErr w:type="spellStart"/>
      <w:r w:rsidR="001C31C8">
        <w:t>SSI</w:t>
      </w:r>
      <w:r w:rsidR="001C31C8" w:rsidRPr="00155CE1">
        <w:rPr>
          <w:vertAlign w:val="subscript"/>
        </w:rPr>
        <w:t>t</w:t>
      </w:r>
      <w:proofErr w:type="spellEnd"/>
      <w:r w:rsidR="001C31C8">
        <w:t>)</w:t>
      </w:r>
    </w:p>
    <w:p w14:paraId="24B2CAF4" w14:textId="77777777" w:rsidR="00481B07" w:rsidRPr="00481B07" w:rsidRDefault="00481B07" w:rsidP="00FF7262">
      <w:pPr>
        <w:pStyle w:val="NumberedNormal"/>
      </w:pPr>
      <w:r>
        <w:t>T</w:t>
      </w:r>
      <w:r w:rsidRPr="00481B07">
        <w:t xml:space="preserve">he value of </w:t>
      </w:r>
      <w:proofErr w:type="spellStart"/>
      <w:r w:rsidRPr="00481B07">
        <w:t>SSIt</w:t>
      </w:r>
      <w:proofErr w:type="spellEnd"/>
      <w:r w:rsidRPr="00481B07">
        <w:t xml:space="preserve"> is derived in accordance with the following formula: </w:t>
      </w:r>
    </w:p>
    <w:p w14:paraId="7A20B506" w14:textId="77777777" w:rsidR="00481B07" w:rsidRPr="00481B07" w:rsidRDefault="00481B07" w:rsidP="00FF7262">
      <w:pPr>
        <w:pStyle w:val="Equation"/>
      </w:pPr>
      <m:oMathPara>
        <m:oMath>
          <m:r>
            <m:rPr>
              <m:sty m:val="p"/>
            </m:rPr>
            <w:rPr>
              <w:rFonts w:ascii="Cambria Math" w:hAnsi="Cambria Math"/>
            </w:rPr>
            <m:t>SSIt=</m:t>
          </m:r>
          <m:d>
            <m:dPr>
              <m:ctrlPr>
                <w:rPr>
                  <w:rFonts w:ascii="Cambria Math" w:hAnsi="Cambria Math"/>
                </w:rPr>
              </m:ctrlPr>
            </m:dPr>
            <m:e>
              <m:d>
                <m:dPr>
                  <m:ctrlPr>
                    <w:rPr>
                      <w:rFonts w:ascii="Cambria Math" w:hAnsi="Cambria Math"/>
                    </w:rPr>
                  </m:ctrlPr>
                </m:dPr>
                <m:e>
                  <m:r>
                    <m:rPr>
                      <m:sty m:val="p"/>
                    </m:rPr>
                    <w:rPr>
                      <w:rFonts w:ascii="Cambria Math" w:hAnsi="Cambria Math"/>
                    </w:rPr>
                    <m:t>SSPROt ∙ SSt</m:t>
                  </m:r>
                </m:e>
              </m:d>
              <m:r>
                <m:rPr>
                  <m:sty m:val="p"/>
                </m:rPr>
                <w:rPr>
                  <w:rFonts w:ascii="Cambria Math" w:hAnsi="Cambria Math"/>
                </w:rPr>
                <m:t>+</m:t>
              </m:r>
              <m:d>
                <m:dPr>
                  <m:ctrlPr>
                    <w:rPr>
                      <w:rFonts w:ascii="Cambria Math" w:hAnsi="Cambria Math"/>
                    </w:rPr>
                  </m:ctrlPr>
                </m:dPr>
                <m:e>
                  <m:r>
                    <m:rPr>
                      <m:sty m:val="p"/>
                    </m:rPr>
                    <w:rPr>
                      <w:rFonts w:ascii="Cambria Math" w:hAnsi="Cambria Math"/>
                    </w:rPr>
                    <m:t>SKPIPROt ∙SKPIt</m:t>
                  </m:r>
                </m:e>
              </m:d>
              <m:r>
                <m:rPr>
                  <m:sty m:val="p"/>
                </m:rPr>
                <w:rPr>
                  <w:rFonts w:ascii="Cambria Math" w:hAnsi="Cambria Math"/>
                </w:rPr>
                <m:t>+</m:t>
              </m:r>
              <m:d>
                <m:dPr>
                  <m:ctrlPr>
                    <w:rPr>
                      <w:rFonts w:ascii="Cambria Math" w:hAnsi="Cambria Math"/>
                    </w:rPr>
                  </m:ctrlPr>
                </m:dPr>
                <m:e>
                  <m:r>
                    <m:rPr>
                      <m:sty m:val="p"/>
                    </m:rPr>
                    <w:rPr>
                      <w:rFonts w:ascii="Cambria Math" w:hAnsi="Cambria Math"/>
                    </w:rPr>
                    <m:t>SEAPROt∙SEAt</m:t>
                  </m:r>
                </m:e>
              </m:d>
            </m:e>
          </m:d>
          <m:r>
            <m:rPr>
              <m:sty m:val="p"/>
            </m:rPr>
            <w:rPr>
              <w:rFonts w:ascii="Cambria Math" w:hAnsi="Cambria Math"/>
            </w:rPr>
            <m:t>∙</m:t>
          </m:r>
          <m:sSub>
            <m:sSubPr>
              <m:ctrlPr>
                <w:rPr>
                  <w:rFonts w:ascii="Cambria Math" w:hAnsi="Cambria Math"/>
                </w:rPr>
              </m:ctrlPr>
            </m:sSubPr>
            <m:e>
              <m:r>
                <w:rPr>
                  <w:rFonts w:ascii="Cambria Math" w:hAnsi="Cambria Math"/>
                </w:rPr>
                <m:t>R1BR</m:t>
              </m:r>
            </m:e>
            <m:sub>
              <m:r>
                <w:rPr>
                  <w:rFonts w:ascii="Cambria Math" w:hAnsi="Cambria Math"/>
                </w:rPr>
                <m:t>t</m:t>
              </m:r>
            </m:sub>
          </m:sSub>
          <m:r>
            <m:rPr>
              <m:sty m:val="p"/>
            </m:rPr>
            <w:rPr>
              <w:rFonts w:ascii="Cambria Math" w:hAnsi="Cambria Math"/>
            </w:rPr>
            <m:t xml:space="preserve">∙0.01 </m:t>
          </m:r>
        </m:oMath>
      </m:oMathPara>
    </w:p>
    <w:p w14:paraId="53CDA4D5" w14:textId="77777777" w:rsidR="00481B07" w:rsidRPr="00481B07" w:rsidRDefault="00481B07" w:rsidP="00481B07">
      <w:r w:rsidRPr="004C3792">
        <w:tab/>
      </w:r>
      <w:r w:rsidRPr="004C3792">
        <w:tab/>
      </w:r>
      <w:r w:rsidRPr="00481B07">
        <w:t>where:</w:t>
      </w:r>
    </w:p>
    <w:tbl>
      <w:tblPr>
        <w:tblW w:w="10013" w:type="dxa"/>
        <w:tblInd w:w="675" w:type="dxa"/>
        <w:tblLayout w:type="fixed"/>
        <w:tblLook w:val="04A0" w:firstRow="1" w:lastRow="0" w:firstColumn="1" w:lastColumn="0" w:noHBand="0" w:noVBand="1"/>
      </w:tblPr>
      <w:tblGrid>
        <w:gridCol w:w="657"/>
        <w:gridCol w:w="369"/>
        <w:gridCol w:w="657"/>
        <w:gridCol w:w="7673"/>
        <w:gridCol w:w="657"/>
      </w:tblGrid>
      <w:tr w:rsidR="00481B07" w:rsidRPr="00791A1F" w14:paraId="2FDFD383" w14:textId="77777777" w:rsidTr="003F66DB">
        <w:trPr>
          <w:gridAfter w:val="1"/>
          <w:wAfter w:w="657" w:type="dxa"/>
          <w:trHeight w:val="426"/>
        </w:trPr>
        <w:tc>
          <w:tcPr>
            <w:tcW w:w="1026" w:type="dxa"/>
            <w:gridSpan w:val="2"/>
          </w:tcPr>
          <w:p w14:paraId="133970C0" w14:textId="77777777" w:rsidR="00481B07" w:rsidRPr="00481B07" w:rsidRDefault="00481B07" w:rsidP="00481B07">
            <w:proofErr w:type="spellStart"/>
            <w:r w:rsidRPr="00871392">
              <w:t>SSt</w:t>
            </w:r>
            <w:proofErr w:type="spellEnd"/>
          </w:p>
        </w:tc>
        <w:tc>
          <w:tcPr>
            <w:tcW w:w="8330" w:type="dxa"/>
            <w:gridSpan w:val="2"/>
          </w:tcPr>
          <w:p w14:paraId="1DA72269" w14:textId="77777777" w:rsidR="00481B07" w:rsidRPr="00481B07" w:rsidRDefault="00481B07" w:rsidP="00481B07">
            <w:r>
              <w:t>is derived in accordance with the following</w:t>
            </w:r>
            <w:r w:rsidRPr="00481B07">
              <w:t xml:space="preserve"> formula:</w:t>
            </w:r>
          </w:p>
        </w:tc>
      </w:tr>
      <w:tr w:rsidR="00481B07" w:rsidRPr="00791A1F" w14:paraId="16452191" w14:textId="77777777" w:rsidTr="003F66DB">
        <w:trPr>
          <w:gridAfter w:val="1"/>
          <w:wAfter w:w="657" w:type="dxa"/>
          <w:trHeight w:val="3392"/>
        </w:trPr>
        <w:tc>
          <w:tcPr>
            <w:tcW w:w="1026" w:type="dxa"/>
            <w:gridSpan w:val="2"/>
          </w:tcPr>
          <w:p w14:paraId="38C2195D" w14:textId="77777777" w:rsidR="00481B07" w:rsidRPr="00871392" w:rsidRDefault="00481B07" w:rsidP="00481B07"/>
          <w:p w14:paraId="0953D749" w14:textId="77777777" w:rsidR="00481B07" w:rsidRPr="00871392" w:rsidRDefault="00481B07" w:rsidP="00481B07"/>
          <w:p w14:paraId="7076BE78" w14:textId="77777777" w:rsidR="00481B07" w:rsidRPr="00871392" w:rsidRDefault="00481B07" w:rsidP="00481B07"/>
          <w:p w14:paraId="1675EF37" w14:textId="77777777" w:rsidR="00481B07" w:rsidRPr="00871392" w:rsidRDefault="00481B07" w:rsidP="00481B07"/>
          <w:p w14:paraId="4566E0EE" w14:textId="77777777" w:rsidR="00481B07" w:rsidRPr="00871392" w:rsidRDefault="00481B07" w:rsidP="00481B07"/>
        </w:tc>
        <w:tc>
          <w:tcPr>
            <w:tcW w:w="8330" w:type="dxa"/>
            <w:gridSpan w:val="2"/>
          </w:tcPr>
          <w:p w14:paraId="16CFDD09" w14:textId="77777777" w:rsidR="00481B07" w:rsidRPr="00481B07" w:rsidRDefault="00481B07" w:rsidP="00481B07">
            <w:r>
              <w:t xml:space="preserve">      </w:t>
            </w:r>
            <w:r w:rsidRPr="00481B07">
              <w:t>If SSCt-2&gt; SST:</w:t>
            </w:r>
          </w:p>
          <w:p w14:paraId="3F5F5C31" w14:textId="77777777" w:rsidR="00481B07" w:rsidRPr="00481B07" w:rsidRDefault="00481B07" w:rsidP="00481B07">
            <w:proofErr w:type="spellStart"/>
            <w:r w:rsidRPr="00871392">
              <w:t>SSt</w:t>
            </w:r>
            <w:proofErr w:type="spellEnd"/>
            <w:r w:rsidRPr="00871392">
              <w:t xml:space="preserve"> </w:t>
            </w:r>
            <m:oMath>
              <m:r>
                <m:rPr>
                  <m:sty m:val="p"/>
                </m:rPr>
                <w:rPr>
                  <w:rFonts w:ascii="Cambria Math" w:hAnsi="Cambria Math"/>
                </w:rPr>
                <m:t>=min</m:t>
              </m:r>
              <m:d>
                <m:dPr>
                  <m:ctrlPr>
                    <w:rPr>
                      <w:rFonts w:ascii="Cambria Math" w:hAnsi="Cambria Math"/>
                      <w:lang w:val="en-US"/>
                    </w:rPr>
                  </m:ctrlPr>
                </m:dPr>
                <m:e>
                  <m:r>
                    <m:rPr>
                      <m:sty m:val="p"/>
                    </m:rPr>
                    <w:rPr>
                      <w:rFonts w:ascii="Cambria Math" w:hAnsi="Cambria Math"/>
                    </w:rPr>
                    <m:t>SSUPA, SSUPA∙</m:t>
                  </m:r>
                  <m:d>
                    <m:dPr>
                      <m:begChr m:val="["/>
                      <m:endChr m:val="]"/>
                      <m:ctrlPr>
                        <w:rPr>
                          <w:rFonts w:ascii="Cambria Math" w:hAnsi="Cambria Math"/>
                          <w:lang w:val="en-US"/>
                        </w:rPr>
                      </m:ctrlPr>
                    </m:dPr>
                    <m:e>
                      <m:f>
                        <m:fPr>
                          <m:ctrlPr>
                            <w:rPr>
                              <w:rFonts w:ascii="Cambria Math" w:hAnsi="Cambria Math"/>
                              <w:lang w:val="en-US"/>
                            </w:rPr>
                          </m:ctrlPr>
                        </m:fPr>
                        <m:num>
                          <m:sSub>
                            <m:sSubPr>
                              <m:ctrlPr>
                                <w:rPr>
                                  <w:rFonts w:ascii="Cambria Math" w:hAnsi="Cambria Math"/>
                                  <w:lang w:val="en-US"/>
                                </w:rPr>
                              </m:ctrlPr>
                            </m:sSubPr>
                            <m:e>
                              <m:r>
                                <m:rPr>
                                  <m:sty m:val="p"/>
                                </m:rPr>
                                <w:rPr>
                                  <w:rFonts w:ascii="Cambria Math" w:hAnsi="Cambria Math"/>
                                </w:rPr>
                                <m:t>SSC</m:t>
                              </m:r>
                            </m:e>
                            <m:sub>
                              <m:r>
                                <m:rPr>
                                  <m:sty m:val="p"/>
                                </m:rPr>
                                <w:rPr>
                                  <w:rFonts w:ascii="Cambria Math" w:hAnsi="Cambria Math"/>
                                </w:rPr>
                                <m:t>t</m:t>
                              </m:r>
                            </m:sub>
                          </m:sSub>
                          <m:r>
                            <m:rPr>
                              <m:sty m:val="p"/>
                            </m:rPr>
                            <w:rPr>
                              <w:rFonts w:ascii="Cambria Math" w:hAnsi="Cambria Math"/>
                            </w:rPr>
                            <m:t>-SST</m:t>
                          </m:r>
                        </m:num>
                        <m:den>
                          <m:r>
                            <m:rPr>
                              <m:sty m:val="p"/>
                            </m:rPr>
                            <w:rPr>
                              <w:rFonts w:ascii="Cambria Math" w:hAnsi="Cambria Math"/>
                            </w:rPr>
                            <m:t>SSCAP-SST</m:t>
                          </m:r>
                        </m:den>
                      </m:f>
                    </m:e>
                  </m:d>
                </m:e>
              </m:d>
            </m:oMath>
            <w:r w:rsidRPr="00481B07">
              <w:fldChar w:fldCharType="begin"/>
            </w:r>
            <w:r w:rsidRPr="00481B07">
              <w:instrText xml:space="preserve"> QUOTE </w:instrText>
            </w:r>
            <m:oMath>
              <m:r>
                <m:rPr>
                  <m:sty m:val="p"/>
                </m:rPr>
                <w:rPr>
                  <w:rFonts w:ascii="Cambria Math" w:hAnsi="Cambria Math"/>
                </w:rPr>
                <m:t>=min</m:t>
              </m:r>
              <m:d>
                <m:dPr>
                  <m:ctrlPr>
                    <w:rPr>
                      <w:rFonts w:ascii="Cambria Math" w:hAnsi="Cambria Math"/>
                      <w:lang w:val="en-US"/>
                    </w:rPr>
                  </m:ctrlPr>
                </m:dPr>
                <m:e>
                  <m:r>
                    <m:rPr>
                      <m:sty m:val="p"/>
                    </m:rPr>
                    <w:rPr>
                      <w:rFonts w:ascii="Cambria Math" w:hAnsi="Cambria Math"/>
                    </w:rPr>
                    <m:t>SSUPA, SSUPA×</m:t>
                  </m:r>
                  <m:d>
                    <m:dPr>
                      <m:begChr m:val="["/>
                      <m:endChr m:val="]"/>
                      <m:ctrlPr>
                        <w:rPr>
                          <w:rFonts w:ascii="Cambria Math" w:hAnsi="Cambria Math"/>
                          <w:lang w:val="en-US"/>
                        </w:rPr>
                      </m:ctrlPr>
                    </m:dPr>
                    <m:e>
                      <m:f>
                        <m:fPr>
                          <m:ctrlPr>
                            <w:rPr>
                              <w:rFonts w:ascii="Cambria Math" w:hAnsi="Cambria Math"/>
                              <w:lang w:val="en-US"/>
                            </w:rPr>
                          </m:ctrlPr>
                        </m:fPr>
                        <m:num>
                          <m:sSub>
                            <m:sSubPr>
                              <m:ctrlPr>
                                <w:rPr>
                                  <w:rFonts w:ascii="Cambria Math" w:hAnsi="Cambria Math"/>
                                  <w:lang w:val="en-US"/>
                                </w:rPr>
                              </m:ctrlPr>
                            </m:sSubPr>
                            <m:e>
                              <m:r>
                                <m:rPr>
                                  <m:sty m:val="p"/>
                                </m:rPr>
                                <w:rPr>
                                  <w:rFonts w:ascii="Cambria Math" w:hAnsi="Cambria Math"/>
                                </w:rPr>
                                <m:t>SSC</m:t>
                              </m:r>
                            </m:e>
                            <m:sub>
                              <m:r>
                                <m:rPr>
                                  <m:sty m:val="p"/>
                                </m:rPr>
                                <w:rPr>
                                  <w:rFonts w:ascii="Cambria Math" w:hAnsi="Cambria Math"/>
                                </w:rPr>
                                <m:t>t-2</m:t>
                              </m:r>
                            </m:sub>
                          </m:sSub>
                          <m:r>
                            <m:rPr>
                              <m:sty m:val="p"/>
                            </m:rPr>
                            <w:rPr>
                              <w:rFonts w:ascii="Cambria Math" w:hAnsi="Cambria Math"/>
                            </w:rPr>
                            <m:t>-SST</m:t>
                          </m:r>
                        </m:num>
                        <m:den>
                          <m:r>
                            <m:rPr>
                              <m:sty m:val="p"/>
                            </m:rPr>
                            <w:rPr>
                              <w:rFonts w:ascii="Cambria Math" w:hAnsi="Cambria Math"/>
                            </w:rPr>
                            <m:t>SSCAP-SST</m:t>
                          </m:r>
                        </m:den>
                      </m:f>
                    </m:e>
                  </m:d>
                </m:e>
              </m:d>
            </m:oMath>
            <w:r w:rsidRPr="00481B07">
              <w:instrText xml:space="preserve"> </w:instrText>
            </w:r>
            <w:r w:rsidRPr="00481B07">
              <w:fldChar w:fldCharType="end"/>
            </w:r>
          </w:p>
          <w:p w14:paraId="486086F0" w14:textId="77777777" w:rsidR="00481B07" w:rsidRPr="00481B07" w:rsidRDefault="00481B07" w:rsidP="00481B07">
            <w:r w:rsidRPr="00871392">
              <w:t xml:space="preserve">If </w:t>
            </w:r>
            <w:proofErr w:type="spellStart"/>
            <w:r w:rsidRPr="00871392">
              <w:t>SSCt</w:t>
            </w:r>
            <w:proofErr w:type="spellEnd"/>
            <w:r w:rsidRPr="00871392">
              <w:t>&lt; SST:</w:t>
            </w:r>
          </w:p>
          <w:p w14:paraId="3A257570" w14:textId="77777777" w:rsidR="00481B07" w:rsidRPr="00481B07" w:rsidRDefault="00481B07" w:rsidP="00481B07">
            <w:proofErr w:type="spellStart"/>
            <w:r w:rsidRPr="00871392">
              <w:t>SSt</w:t>
            </w:r>
            <w:proofErr w:type="spellEnd"/>
            <w:r w:rsidRPr="00871392">
              <w:t xml:space="preserve"> </w:t>
            </w:r>
            <m:oMath>
              <m:r>
                <m:rPr>
                  <m:sty m:val="p"/>
                </m:rPr>
                <w:rPr>
                  <w:rFonts w:ascii="Cambria Math" w:hAnsi="Cambria Math"/>
                </w:rPr>
                <m:t>=max</m:t>
              </m:r>
              <m:d>
                <m:dPr>
                  <m:ctrlPr>
                    <w:rPr>
                      <w:rFonts w:ascii="Cambria Math" w:hAnsi="Cambria Math"/>
                      <w:lang w:val="en-US"/>
                    </w:rPr>
                  </m:ctrlPr>
                </m:dPr>
                <m:e>
                  <m:r>
                    <m:rPr>
                      <m:sty m:val="p"/>
                    </m:rPr>
                    <w:rPr>
                      <w:rFonts w:ascii="Cambria Math" w:hAnsi="Cambria Math"/>
                    </w:rPr>
                    <m:t>SSDPA, SSDPA∙</m:t>
                  </m:r>
                  <m:d>
                    <m:dPr>
                      <m:begChr m:val="["/>
                      <m:endChr m:val="]"/>
                      <m:ctrlPr>
                        <w:rPr>
                          <w:rFonts w:ascii="Cambria Math" w:hAnsi="Cambria Math"/>
                          <w:lang w:val="en-US"/>
                        </w:rPr>
                      </m:ctrlPr>
                    </m:dPr>
                    <m:e>
                      <m:f>
                        <m:fPr>
                          <m:ctrlPr>
                            <w:rPr>
                              <w:rFonts w:ascii="Cambria Math" w:hAnsi="Cambria Math"/>
                              <w:lang w:val="en-US"/>
                            </w:rPr>
                          </m:ctrlPr>
                        </m:fPr>
                        <m:num>
                          <m:r>
                            <m:rPr>
                              <m:sty m:val="p"/>
                            </m:rPr>
                            <w:rPr>
                              <w:rFonts w:ascii="Cambria Math" w:hAnsi="Cambria Math"/>
                            </w:rPr>
                            <m:t>SST-</m:t>
                          </m:r>
                          <m:sSub>
                            <m:sSubPr>
                              <m:ctrlPr>
                                <w:rPr>
                                  <w:rFonts w:ascii="Cambria Math" w:hAnsi="Cambria Math"/>
                                  <w:lang w:val="en-US"/>
                                </w:rPr>
                              </m:ctrlPr>
                            </m:sSubPr>
                            <m:e>
                              <m:r>
                                <m:rPr>
                                  <m:sty m:val="p"/>
                                </m:rPr>
                                <w:rPr>
                                  <w:rFonts w:ascii="Cambria Math" w:hAnsi="Cambria Math"/>
                                </w:rPr>
                                <m:t>SSC</m:t>
                              </m:r>
                            </m:e>
                            <m:sub>
                              <m:r>
                                <m:rPr>
                                  <m:sty m:val="p"/>
                                </m:rPr>
                                <w:rPr>
                                  <w:rFonts w:ascii="Cambria Math" w:hAnsi="Cambria Math"/>
                                </w:rPr>
                                <m:t>t</m:t>
                              </m:r>
                            </m:sub>
                          </m:sSub>
                        </m:num>
                        <m:den>
                          <m:r>
                            <m:rPr>
                              <m:sty m:val="p"/>
                            </m:rPr>
                            <w:rPr>
                              <w:rFonts w:ascii="Cambria Math" w:hAnsi="Cambria Math"/>
                            </w:rPr>
                            <m:t>SST-SSCOL</m:t>
                          </m:r>
                        </m:den>
                      </m:f>
                    </m:e>
                  </m:d>
                </m:e>
              </m:d>
            </m:oMath>
            <w:r w:rsidRPr="00481B07">
              <w:fldChar w:fldCharType="begin"/>
            </w:r>
            <w:r w:rsidRPr="00481B07">
              <w:instrText xml:space="preserve"> QUOTE </w:instrText>
            </w:r>
            <m:oMath>
              <m:r>
                <m:rPr>
                  <m:sty m:val="p"/>
                </m:rPr>
                <w:rPr>
                  <w:rFonts w:ascii="Cambria Math" w:hAnsi="Cambria Math"/>
                </w:rPr>
                <m:t>=max</m:t>
              </m:r>
              <m:d>
                <m:dPr>
                  <m:ctrlPr>
                    <w:rPr>
                      <w:rFonts w:ascii="Cambria Math" w:hAnsi="Cambria Math"/>
                      <w:lang w:val="en-US"/>
                    </w:rPr>
                  </m:ctrlPr>
                </m:dPr>
                <m:e>
                  <m:r>
                    <m:rPr>
                      <m:sty m:val="p"/>
                    </m:rPr>
                    <w:rPr>
                      <w:rFonts w:ascii="Cambria Math" w:hAnsi="Cambria Math"/>
                    </w:rPr>
                    <m:t>SSDPA, SSDPA×</m:t>
                  </m:r>
                  <m:d>
                    <m:dPr>
                      <m:begChr m:val="["/>
                      <m:endChr m:val="]"/>
                      <m:ctrlPr>
                        <w:rPr>
                          <w:rFonts w:ascii="Cambria Math" w:hAnsi="Cambria Math"/>
                          <w:lang w:val="en-US"/>
                        </w:rPr>
                      </m:ctrlPr>
                    </m:dPr>
                    <m:e>
                      <m:f>
                        <m:fPr>
                          <m:ctrlPr>
                            <w:rPr>
                              <w:rFonts w:ascii="Cambria Math" w:hAnsi="Cambria Math"/>
                              <w:lang w:val="en-US"/>
                            </w:rPr>
                          </m:ctrlPr>
                        </m:fPr>
                        <m:num>
                          <m:r>
                            <m:rPr>
                              <m:sty m:val="p"/>
                            </m:rPr>
                            <w:rPr>
                              <w:rFonts w:ascii="Cambria Math" w:hAnsi="Cambria Math"/>
                            </w:rPr>
                            <m:t>SST-</m:t>
                          </m:r>
                          <m:sSub>
                            <m:sSubPr>
                              <m:ctrlPr>
                                <w:rPr>
                                  <w:rFonts w:ascii="Cambria Math" w:hAnsi="Cambria Math"/>
                                  <w:lang w:val="en-US"/>
                                </w:rPr>
                              </m:ctrlPr>
                            </m:sSubPr>
                            <m:e>
                              <m:r>
                                <m:rPr>
                                  <m:sty m:val="p"/>
                                </m:rPr>
                                <w:rPr>
                                  <w:rFonts w:ascii="Cambria Math" w:hAnsi="Cambria Math"/>
                                </w:rPr>
                                <m:t>SSC</m:t>
                              </m:r>
                            </m:e>
                            <m:sub>
                              <m:r>
                                <m:rPr>
                                  <m:sty m:val="p"/>
                                </m:rPr>
                                <w:rPr>
                                  <w:rFonts w:ascii="Cambria Math" w:hAnsi="Cambria Math"/>
                                </w:rPr>
                                <m:t>t-2</m:t>
                              </m:r>
                            </m:sub>
                          </m:sSub>
                        </m:num>
                        <m:den>
                          <m:r>
                            <m:rPr>
                              <m:sty m:val="p"/>
                            </m:rPr>
                            <w:rPr>
                              <w:rFonts w:ascii="Cambria Math" w:hAnsi="Cambria Math"/>
                            </w:rPr>
                            <m:t>SST-SSCOL</m:t>
                          </m:r>
                        </m:den>
                      </m:f>
                    </m:e>
                  </m:d>
                </m:e>
              </m:d>
            </m:oMath>
            <w:r w:rsidRPr="00481B07">
              <w:instrText xml:space="preserve"> </w:instrText>
            </w:r>
            <w:r w:rsidRPr="00481B07">
              <w:fldChar w:fldCharType="end"/>
            </w:r>
          </w:p>
          <w:p w14:paraId="4A1711C5" w14:textId="55D0F514" w:rsidR="00481B07" w:rsidRPr="00481B07" w:rsidRDefault="007D3411" w:rsidP="00481B07">
            <w:r>
              <w:t>o</w:t>
            </w:r>
            <w:r w:rsidR="00481B07" w:rsidRPr="00871392">
              <w:t>therwise:</w:t>
            </w:r>
          </w:p>
          <w:p w14:paraId="7211825D" w14:textId="77777777" w:rsidR="00481B07" w:rsidRPr="00481B07" w:rsidRDefault="00481B07" w:rsidP="00481B07">
            <w:proofErr w:type="spellStart"/>
            <w:r w:rsidRPr="00046525">
              <w:t>SS</w:t>
            </w:r>
            <w:r w:rsidRPr="00481B07">
              <w:t>t</w:t>
            </w:r>
            <w:proofErr w:type="spellEnd"/>
            <w:r w:rsidRPr="00481B07">
              <w:t xml:space="preserve"> = 0</w:t>
            </w:r>
          </w:p>
          <w:p w14:paraId="24C314C9" w14:textId="77777777" w:rsidR="00481B07" w:rsidRPr="00481B07" w:rsidRDefault="00481B07" w:rsidP="00481B07">
            <w:r w:rsidRPr="00871392">
              <w:t xml:space="preserve">where </w:t>
            </w:r>
          </w:p>
          <w:p w14:paraId="6B01252E" w14:textId="6E184262" w:rsidR="00481B07" w:rsidRPr="00481B07" w:rsidRDefault="00481B07" w:rsidP="00481B07">
            <w:r w:rsidRPr="00871392">
              <w:t>SST</w:t>
            </w:r>
            <w:r w:rsidRPr="00871392">
              <w:tab/>
              <w:t>is the Stakehol</w:t>
            </w:r>
            <w:r w:rsidRPr="00481B07">
              <w:t xml:space="preserve">der Satisfaction Survey target, and </w:t>
            </w:r>
            <w:r w:rsidR="007D3411">
              <w:t>has</w:t>
            </w:r>
            <w:r w:rsidRPr="00481B07">
              <w:t xml:space="preserve"> the value </w:t>
            </w:r>
            <w:proofErr w:type="gramStart"/>
            <w:r w:rsidRPr="00481B07">
              <w:t>7.4</w:t>
            </w:r>
            <w:r w:rsidR="0012387B">
              <w:t>;</w:t>
            </w:r>
            <w:proofErr w:type="gramEnd"/>
          </w:p>
          <w:p w14:paraId="25FC3E76" w14:textId="33B78DB5" w:rsidR="00481B07" w:rsidRPr="00481B07" w:rsidRDefault="00481B07" w:rsidP="00481B07">
            <w:r w:rsidRPr="00871392">
              <w:t>SSCAP</w:t>
            </w:r>
            <w:r w:rsidRPr="00871392">
              <w:tab/>
              <w:t xml:space="preserve">is the </w:t>
            </w:r>
            <w:r w:rsidRPr="00481B07">
              <w:t xml:space="preserve">Stakeholder Satisfaction Survey cap and </w:t>
            </w:r>
            <w:r w:rsidR="007D3411">
              <w:t>has</w:t>
            </w:r>
            <w:r w:rsidRPr="00481B07">
              <w:t xml:space="preserve"> the value </w:t>
            </w:r>
            <w:proofErr w:type="gramStart"/>
            <w:r w:rsidRPr="00481B07">
              <w:t>9</w:t>
            </w:r>
            <w:r w:rsidR="0012387B">
              <w:t>;</w:t>
            </w:r>
            <w:proofErr w:type="gramEnd"/>
          </w:p>
          <w:p w14:paraId="58F50C4F" w14:textId="23C42602" w:rsidR="00481B07" w:rsidRPr="00481B07" w:rsidRDefault="00481B07" w:rsidP="00481B07">
            <w:r w:rsidRPr="00871392">
              <w:t>SSUPA</w:t>
            </w:r>
            <w:r w:rsidRPr="00871392">
              <w:tab/>
              <w:t xml:space="preserve">is the stakeholder satisfaction maximum upside percentage point adjustment and </w:t>
            </w:r>
            <w:r w:rsidR="007D3411">
              <w:t>has</w:t>
            </w:r>
            <w:r w:rsidRPr="00871392">
              <w:t xml:space="preserve"> the value </w:t>
            </w:r>
            <w:proofErr w:type="gramStart"/>
            <w:r w:rsidRPr="00871392">
              <w:t>1</w:t>
            </w:r>
            <w:r w:rsidR="0012387B">
              <w:t>;</w:t>
            </w:r>
            <w:proofErr w:type="gramEnd"/>
            <w:r w:rsidR="0012387B" w:rsidRPr="00871392">
              <w:t xml:space="preserve"> </w:t>
            </w:r>
          </w:p>
          <w:p w14:paraId="4BE60B90" w14:textId="36F2D89E" w:rsidR="00481B07" w:rsidRPr="00481B07" w:rsidRDefault="00481B07" w:rsidP="00481B07">
            <w:r w:rsidRPr="00871392">
              <w:t>SSCOL</w:t>
            </w:r>
            <w:r w:rsidRPr="00871392">
              <w:tab/>
              <w:t xml:space="preserve">is the Stakeholder Satisfaction Survey collar and </w:t>
            </w:r>
            <w:r w:rsidR="007D3411">
              <w:t>has</w:t>
            </w:r>
            <w:r w:rsidRPr="00871392">
              <w:t xml:space="preserve"> the value </w:t>
            </w:r>
            <w:proofErr w:type="gramStart"/>
            <w:r w:rsidRPr="00871392">
              <w:t>5.8</w:t>
            </w:r>
            <w:r w:rsidR="0012387B">
              <w:t>;</w:t>
            </w:r>
            <w:proofErr w:type="gramEnd"/>
          </w:p>
          <w:p w14:paraId="53567D7C" w14:textId="1D6D0097" w:rsidR="00481B07" w:rsidRPr="00481B07" w:rsidRDefault="00481B07" w:rsidP="00481B07">
            <w:r w:rsidRPr="00871392">
              <w:t>SSDPA</w:t>
            </w:r>
            <w:r w:rsidRPr="00871392">
              <w:tab/>
              <w:t xml:space="preserve">is the stakeholder satisfaction maximum downside percentage point adjustment, and </w:t>
            </w:r>
            <w:r w:rsidR="007D3411">
              <w:t>has</w:t>
            </w:r>
            <w:r w:rsidRPr="00871392">
              <w:t xml:space="preserve"> the value </w:t>
            </w:r>
            <w:proofErr w:type="gramStart"/>
            <w:r w:rsidRPr="00871392">
              <w:t>-1</w:t>
            </w:r>
            <w:r w:rsidR="0012387B">
              <w:t>;</w:t>
            </w:r>
            <w:proofErr w:type="gramEnd"/>
          </w:p>
          <w:p w14:paraId="3818E6A6" w14:textId="79BC5680" w:rsidR="00481B07" w:rsidRPr="00481B07" w:rsidRDefault="00481B07" w:rsidP="00481B07">
            <w:proofErr w:type="spellStart"/>
            <w:r w:rsidRPr="00871392">
              <w:t>SSCt</w:t>
            </w:r>
            <w:proofErr w:type="spellEnd"/>
            <w:r w:rsidRPr="00871392">
              <w:tab/>
              <w:t xml:space="preserve">is the </w:t>
            </w:r>
            <w:r w:rsidRPr="00481B07">
              <w:t xml:space="preserve">licensee’s Stakeholder Satisfaction Score, being a value between 1 and 10 inclusive, based on responses to the question in relation to overall stakeholder </w:t>
            </w:r>
            <w:proofErr w:type="gramStart"/>
            <w:r w:rsidRPr="00481B07">
              <w:t>satisfaction</w:t>
            </w:r>
            <w:r w:rsidR="0012387B">
              <w:t>;</w:t>
            </w:r>
            <w:proofErr w:type="gramEnd"/>
          </w:p>
          <w:p w14:paraId="2E5537A9" w14:textId="77777777" w:rsidR="00481B07" w:rsidRPr="00871392" w:rsidRDefault="00481B07" w:rsidP="00481B07"/>
        </w:tc>
      </w:tr>
      <w:tr w:rsidR="00481B07" w:rsidRPr="00791A1F" w14:paraId="20E202BA" w14:textId="77777777" w:rsidTr="003F66DB">
        <w:trPr>
          <w:gridBefore w:val="1"/>
          <w:wBefore w:w="657" w:type="dxa"/>
          <w:trHeight w:val="567"/>
        </w:trPr>
        <w:tc>
          <w:tcPr>
            <w:tcW w:w="1026" w:type="dxa"/>
            <w:gridSpan w:val="2"/>
          </w:tcPr>
          <w:p w14:paraId="752582FA" w14:textId="77777777" w:rsidR="00481B07" w:rsidRPr="00481B07" w:rsidRDefault="00481B07" w:rsidP="00481B07">
            <w:proofErr w:type="spellStart"/>
            <w:r>
              <w:t>S</w:t>
            </w:r>
            <w:r w:rsidRPr="00481B07">
              <w:t>SPROt</w:t>
            </w:r>
            <w:proofErr w:type="spellEnd"/>
          </w:p>
        </w:tc>
        <w:tc>
          <w:tcPr>
            <w:tcW w:w="8330" w:type="dxa"/>
            <w:gridSpan w:val="2"/>
          </w:tcPr>
          <w:p w14:paraId="3B1E9FB7" w14:textId="494F6ECD" w:rsidR="00481B07" w:rsidRPr="00481B07" w:rsidRDefault="00481B07" w:rsidP="00481B07">
            <w:r w:rsidRPr="00046525">
              <w:t xml:space="preserve">is the proportion of the Stakeholder Satisfaction Incentive which will be based on the Stakeholder Satisfaction Survey, which has the value </w:t>
            </w:r>
            <w:r w:rsidRPr="00481B07">
              <w:t>of 0.6</w:t>
            </w:r>
            <w:r w:rsidR="0012387B">
              <w:t>;</w:t>
            </w:r>
          </w:p>
        </w:tc>
      </w:tr>
      <w:tr w:rsidR="00481B07" w:rsidRPr="00791A1F" w14:paraId="14176E22" w14:textId="77777777" w:rsidTr="003F66DB">
        <w:trPr>
          <w:gridBefore w:val="1"/>
          <w:wBefore w:w="657" w:type="dxa"/>
          <w:trHeight w:val="567"/>
        </w:trPr>
        <w:tc>
          <w:tcPr>
            <w:tcW w:w="1026" w:type="dxa"/>
            <w:gridSpan w:val="2"/>
          </w:tcPr>
          <w:p w14:paraId="198F6BD8" w14:textId="77777777" w:rsidR="00481B07" w:rsidRPr="00481B07" w:rsidRDefault="00481B07" w:rsidP="00481B07">
            <w:proofErr w:type="spellStart"/>
            <w:r w:rsidRPr="00871392">
              <w:t>SKPIt</w:t>
            </w:r>
            <w:proofErr w:type="spellEnd"/>
          </w:p>
        </w:tc>
        <w:tc>
          <w:tcPr>
            <w:tcW w:w="8330" w:type="dxa"/>
            <w:gridSpan w:val="2"/>
          </w:tcPr>
          <w:p w14:paraId="2E2901E1" w14:textId="77777777" w:rsidR="00481B07" w:rsidRPr="00481B07" w:rsidRDefault="00481B07" w:rsidP="00481B07">
            <w:r>
              <w:t>is derived in accordance with the following</w:t>
            </w:r>
            <w:r w:rsidRPr="00481B07">
              <w:t xml:space="preserve"> formula:</w:t>
            </w:r>
          </w:p>
          <w:p w14:paraId="7639E85B" w14:textId="77777777" w:rsidR="00481B07" w:rsidRPr="00481B07" w:rsidRDefault="00481B07" w:rsidP="00481B07">
            <w:r w:rsidRPr="00871392">
              <w:t>If</w:t>
            </w:r>
            <w:r w:rsidRPr="00481B07">
              <w:t xml:space="preserve"> </w:t>
            </w:r>
            <w:proofErr w:type="spellStart"/>
            <w:r w:rsidRPr="00481B07">
              <w:t>SKPICt</w:t>
            </w:r>
            <w:proofErr w:type="spellEnd"/>
            <w:r w:rsidRPr="00481B07">
              <w:t>&gt; SKPIT:</w:t>
            </w:r>
          </w:p>
          <w:p w14:paraId="2693E02C" w14:textId="77777777" w:rsidR="00481B07" w:rsidRPr="00481B07" w:rsidRDefault="00481B07" w:rsidP="00481B07">
            <w:proofErr w:type="spellStart"/>
            <w:r w:rsidRPr="00871392">
              <w:t>SKPIt</w:t>
            </w:r>
            <w:proofErr w:type="spellEnd"/>
            <w:r w:rsidRPr="00871392">
              <w:t xml:space="preserve"> </w:t>
            </w:r>
            <m:oMath>
              <m:r>
                <m:rPr>
                  <m:sty m:val="p"/>
                </m:rPr>
                <w:rPr>
                  <w:rFonts w:ascii="Cambria Math" w:hAnsi="Cambria Math"/>
                </w:rPr>
                <m:t>=min</m:t>
              </m:r>
              <m:d>
                <m:dPr>
                  <m:ctrlPr>
                    <w:rPr>
                      <w:rFonts w:ascii="Cambria Math" w:hAnsi="Cambria Math"/>
                      <w:lang w:val="en-US"/>
                    </w:rPr>
                  </m:ctrlPr>
                </m:dPr>
                <m:e>
                  <m:r>
                    <m:rPr>
                      <m:sty m:val="p"/>
                    </m:rPr>
                    <w:rPr>
                      <w:rFonts w:ascii="Cambria Math" w:hAnsi="Cambria Math"/>
                    </w:rPr>
                    <m:t>SKPIUPA, SKPIUPA∙</m:t>
                  </m:r>
                  <m:d>
                    <m:dPr>
                      <m:begChr m:val="["/>
                      <m:endChr m:val="]"/>
                      <m:ctrlPr>
                        <w:rPr>
                          <w:rFonts w:ascii="Cambria Math" w:hAnsi="Cambria Math"/>
                          <w:lang w:val="en-US"/>
                        </w:rPr>
                      </m:ctrlPr>
                    </m:dPr>
                    <m:e>
                      <m:f>
                        <m:fPr>
                          <m:ctrlPr>
                            <w:rPr>
                              <w:rFonts w:ascii="Cambria Math" w:hAnsi="Cambria Math"/>
                              <w:lang w:val="en-US"/>
                            </w:rPr>
                          </m:ctrlPr>
                        </m:fPr>
                        <m:num>
                          <m:sSub>
                            <m:sSubPr>
                              <m:ctrlPr>
                                <w:rPr>
                                  <w:rFonts w:ascii="Cambria Math" w:hAnsi="Cambria Math"/>
                                  <w:lang w:val="en-US"/>
                                </w:rPr>
                              </m:ctrlPr>
                            </m:sSubPr>
                            <m:e>
                              <m:r>
                                <m:rPr>
                                  <m:sty m:val="p"/>
                                </m:rPr>
                                <w:rPr>
                                  <w:rFonts w:ascii="Cambria Math" w:hAnsi="Cambria Math"/>
                                </w:rPr>
                                <m:t>SKPIC</m:t>
                              </m:r>
                            </m:e>
                            <m:sub>
                              <m:r>
                                <m:rPr>
                                  <m:sty m:val="p"/>
                                </m:rPr>
                                <w:rPr>
                                  <w:rFonts w:ascii="Cambria Math" w:hAnsi="Cambria Math"/>
                                </w:rPr>
                                <m:t>t</m:t>
                              </m:r>
                            </m:sub>
                          </m:sSub>
                          <m:r>
                            <m:rPr>
                              <m:sty m:val="p"/>
                            </m:rPr>
                            <w:rPr>
                              <w:rFonts w:ascii="Cambria Math" w:hAnsi="Cambria Math"/>
                            </w:rPr>
                            <m:t>-SKPIT</m:t>
                          </m:r>
                        </m:num>
                        <m:den>
                          <m:r>
                            <m:rPr>
                              <m:sty m:val="p"/>
                            </m:rPr>
                            <w:rPr>
                              <w:rFonts w:ascii="Cambria Math" w:hAnsi="Cambria Math"/>
                            </w:rPr>
                            <m:t>SKPICAP-SKPIT</m:t>
                          </m:r>
                        </m:den>
                      </m:f>
                    </m:e>
                  </m:d>
                </m:e>
              </m:d>
            </m:oMath>
            <w:r w:rsidRPr="00481B07">
              <w:fldChar w:fldCharType="begin"/>
            </w:r>
            <w:r w:rsidRPr="00481B07">
              <w:instrText xml:space="preserve"> QUOTE </w:instrText>
            </w:r>
            <m:oMath>
              <m:r>
                <m:rPr>
                  <m:sty m:val="p"/>
                </m:rPr>
                <w:rPr>
                  <w:rFonts w:ascii="Cambria Math" w:hAnsi="Cambria Math"/>
                </w:rPr>
                <m:t>=min</m:t>
              </m:r>
              <m:d>
                <m:dPr>
                  <m:ctrlPr>
                    <w:rPr>
                      <w:rFonts w:ascii="Cambria Math" w:hAnsi="Cambria Math"/>
                      <w:lang w:val="en-US"/>
                    </w:rPr>
                  </m:ctrlPr>
                </m:dPr>
                <m:e>
                  <m:r>
                    <m:rPr>
                      <m:sty m:val="p"/>
                    </m:rPr>
                    <w:rPr>
                      <w:rFonts w:ascii="Cambria Math" w:hAnsi="Cambria Math"/>
                    </w:rPr>
                    <m:t>SKPIUPA, SKPIUPA×</m:t>
                  </m:r>
                  <m:d>
                    <m:dPr>
                      <m:begChr m:val="["/>
                      <m:endChr m:val="]"/>
                      <m:ctrlPr>
                        <w:rPr>
                          <w:rFonts w:ascii="Cambria Math" w:hAnsi="Cambria Math"/>
                          <w:lang w:val="en-US"/>
                        </w:rPr>
                      </m:ctrlPr>
                    </m:dPr>
                    <m:e>
                      <m:f>
                        <m:fPr>
                          <m:ctrlPr>
                            <w:rPr>
                              <w:rFonts w:ascii="Cambria Math" w:hAnsi="Cambria Math"/>
                              <w:lang w:val="en-US"/>
                            </w:rPr>
                          </m:ctrlPr>
                        </m:fPr>
                        <m:num>
                          <m:sSub>
                            <m:sSubPr>
                              <m:ctrlPr>
                                <w:rPr>
                                  <w:rFonts w:ascii="Cambria Math" w:hAnsi="Cambria Math"/>
                                  <w:lang w:val="en-US"/>
                                </w:rPr>
                              </m:ctrlPr>
                            </m:sSubPr>
                            <m:e>
                              <m:r>
                                <m:rPr>
                                  <m:sty m:val="p"/>
                                </m:rPr>
                                <w:rPr>
                                  <w:rFonts w:ascii="Cambria Math" w:hAnsi="Cambria Math"/>
                                </w:rPr>
                                <m:t>SKPIC</m:t>
                              </m:r>
                            </m:e>
                            <m:sub>
                              <m:r>
                                <m:rPr>
                                  <m:sty m:val="p"/>
                                </m:rPr>
                                <w:rPr>
                                  <w:rFonts w:ascii="Cambria Math" w:hAnsi="Cambria Math"/>
                                </w:rPr>
                                <m:t>t-2</m:t>
                              </m:r>
                            </m:sub>
                          </m:sSub>
                          <m:r>
                            <m:rPr>
                              <m:sty m:val="p"/>
                            </m:rPr>
                            <w:rPr>
                              <w:rFonts w:ascii="Cambria Math" w:hAnsi="Cambria Math"/>
                            </w:rPr>
                            <m:t>-SKPIT</m:t>
                          </m:r>
                        </m:num>
                        <m:den>
                          <m:r>
                            <m:rPr>
                              <m:sty m:val="p"/>
                            </m:rPr>
                            <w:rPr>
                              <w:rFonts w:ascii="Cambria Math" w:hAnsi="Cambria Math"/>
                            </w:rPr>
                            <m:t>SKPICAP-SKPIT</m:t>
                          </m:r>
                        </m:den>
                      </m:f>
                    </m:e>
                  </m:d>
                </m:e>
              </m:d>
            </m:oMath>
            <w:r w:rsidRPr="00481B07">
              <w:instrText xml:space="preserve"> </w:instrText>
            </w:r>
            <w:r w:rsidRPr="00481B07">
              <w:fldChar w:fldCharType="end"/>
            </w:r>
          </w:p>
          <w:p w14:paraId="120BCE3B" w14:textId="77777777" w:rsidR="00481B07" w:rsidRPr="00481B07" w:rsidRDefault="00481B07" w:rsidP="00481B07">
            <w:r w:rsidRPr="00871392">
              <w:t>If SKPICt-2&lt; SKPIT:</w:t>
            </w:r>
          </w:p>
          <w:p w14:paraId="69F36388" w14:textId="77777777" w:rsidR="00481B07" w:rsidRPr="00481B07" w:rsidRDefault="00481B07" w:rsidP="00481B07">
            <w:proofErr w:type="spellStart"/>
            <w:r w:rsidRPr="00871392">
              <w:t>SKPIt</w:t>
            </w:r>
            <w:proofErr w:type="spellEnd"/>
            <w:r w:rsidRPr="00871392">
              <w:t xml:space="preserve"> </w:t>
            </w:r>
            <m:oMath>
              <m:r>
                <m:rPr>
                  <m:sty m:val="p"/>
                </m:rPr>
                <w:rPr>
                  <w:rFonts w:ascii="Cambria Math" w:hAnsi="Cambria Math"/>
                </w:rPr>
                <m:t>=max</m:t>
              </m:r>
              <m:d>
                <m:dPr>
                  <m:ctrlPr>
                    <w:rPr>
                      <w:rFonts w:ascii="Cambria Math" w:hAnsi="Cambria Math"/>
                      <w:lang w:val="en-US"/>
                    </w:rPr>
                  </m:ctrlPr>
                </m:dPr>
                <m:e>
                  <m:r>
                    <m:rPr>
                      <m:sty m:val="p"/>
                    </m:rPr>
                    <w:rPr>
                      <w:rFonts w:ascii="Cambria Math" w:hAnsi="Cambria Math"/>
                    </w:rPr>
                    <m:t>SKPIDPA, SKPIDPA∙</m:t>
                  </m:r>
                  <m:d>
                    <m:dPr>
                      <m:begChr m:val="["/>
                      <m:endChr m:val="]"/>
                      <m:ctrlPr>
                        <w:rPr>
                          <w:rFonts w:ascii="Cambria Math" w:hAnsi="Cambria Math"/>
                          <w:lang w:val="en-US"/>
                        </w:rPr>
                      </m:ctrlPr>
                    </m:dPr>
                    <m:e>
                      <m:f>
                        <m:fPr>
                          <m:ctrlPr>
                            <w:rPr>
                              <w:rFonts w:ascii="Cambria Math" w:hAnsi="Cambria Math"/>
                              <w:lang w:val="en-US"/>
                            </w:rPr>
                          </m:ctrlPr>
                        </m:fPr>
                        <m:num>
                          <m:r>
                            <m:rPr>
                              <m:sty m:val="p"/>
                            </m:rPr>
                            <w:rPr>
                              <w:rFonts w:ascii="Cambria Math" w:hAnsi="Cambria Math"/>
                            </w:rPr>
                            <m:t>SKPIT-</m:t>
                          </m:r>
                          <m:sSub>
                            <m:sSubPr>
                              <m:ctrlPr>
                                <w:rPr>
                                  <w:rFonts w:ascii="Cambria Math" w:hAnsi="Cambria Math"/>
                                  <w:lang w:val="en-US"/>
                                </w:rPr>
                              </m:ctrlPr>
                            </m:sSubPr>
                            <m:e>
                              <m:r>
                                <m:rPr>
                                  <m:sty m:val="p"/>
                                </m:rPr>
                                <w:rPr>
                                  <w:rFonts w:ascii="Cambria Math" w:hAnsi="Cambria Math"/>
                                </w:rPr>
                                <m:t>SKPIC</m:t>
                              </m:r>
                            </m:e>
                            <m:sub>
                              <m:r>
                                <m:rPr>
                                  <m:sty m:val="p"/>
                                </m:rPr>
                                <w:rPr>
                                  <w:rFonts w:ascii="Cambria Math" w:hAnsi="Cambria Math"/>
                                </w:rPr>
                                <m:t>t</m:t>
                              </m:r>
                            </m:sub>
                          </m:sSub>
                        </m:num>
                        <m:den>
                          <m:r>
                            <m:rPr>
                              <m:sty m:val="p"/>
                            </m:rPr>
                            <w:rPr>
                              <w:rFonts w:ascii="Cambria Math" w:hAnsi="Cambria Math"/>
                            </w:rPr>
                            <m:t>SKPIT-SKPICOL</m:t>
                          </m:r>
                        </m:den>
                      </m:f>
                    </m:e>
                  </m:d>
                </m:e>
              </m:d>
            </m:oMath>
            <w:r w:rsidRPr="00481B07">
              <w:fldChar w:fldCharType="begin"/>
            </w:r>
            <w:r w:rsidRPr="00481B07">
              <w:instrText xml:space="preserve"> QUOTE </w:instrText>
            </w:r>
            <m:oMath>
              <m:r>
                <m:rPr>
                  <m:sty m:val="p"/>
                </m:rPr>
                <w:rPr>
                  <w:rFonts w:ascii="Cambria Math" w:hAnsi="Cambria Math"/>
                </w:rPr>
                <m:t>=max</m:t>
              </m:r>
              <m:d>
                <m:dPr>
                  <m:ctrlPr>
                    <w:rPr>
                      <w:rFonts w:ascii="Cambria Math" w:hAnsi="Cambria Math"/>
                      <w:lang w:val="en-US"/>
                    </w:rPr>
                  </m:ctrlPr>
                </m:dPr>
                <m:e>
                  <m:r>
                    <m:rPr>
                      <m:sty m:val="p"/>
                    </m:rPr>
                    <w:rPr>
                      <w:rFonts w:ascii="Cambria Math" w:hAnsi="Cambria Math"/>
                    </w:rPr>
                    <m:t>SKPIDPA, SKPIDPA×</m:t>
                  </m:r>
                  <m:d>
                    <m:dPr>
                      <m:begChr m:val="["/>
                      <m:endChr m:val="]"/>
                      <m:ctrlPr>
                        <w:rPr>
                          <w:rFonts w:ascii="Cambria Math" w:hAnsi="Cambria Math"/>
                          <w:lang w:val="en-US"/>
                        </w:rPr>
                      </m:ctrlPr>
                    </m:dPr>
                    <m:e>
                      <m:f>
                        <m:fPr>
                          <m:ctrlPr>
                            <w:rPr>
                              <w:rFonts w:ascii="Cambria Math" w:hAnsi="Cambria Math"/>
                              <w:lang w:val="en-US"/>
                            </w:rPr>
                          </m:ctrlPr>
                        </m:fPr>
                        <m:num>
                          <m:r>
                            <m:rPr>
                              <m:sty m:val="p"/>
                            </m:rPr>
                            <w:rPr>
                              <w:rFonts w:ascii="Cambria Math" w:hAnsi="Cambria Math"/>
                            </w:rPr>
                            <m:t>SKPIT-</m:t>
                          </m:r>
                          <m:sSub>
                            <m:sSubPr>
                              <m:ctrlPr>
                                <w:rPr>
                                  <w:rFonts w:ascii="Cambria Math" w:hAnsi="Cambria Math"/>
                                  <w:lang w:val="en-US"/>
                                </w:rPr>
                              </m:ctrlPr>
                            </m:sSubPr>
                            <m:e>
                              <m:r>
                                <m:rPr>
                                  <m:sty m:val="p"/>
                                </m:rPr>
                                <w:rPr>
                                  <w:rFonts w:ascii="Cambria Math" w:hAnsi="Cambria Math"/>
                                </w:rPr>
                                <m:t>SKPIC</m:t>
                              </m:r>
                            </m:e>
                            <m:sub>
                              <m:r>
                                <m:rPr>
                                  <m:sty m:val="p"/>
                                </m:rPr>
                                <w:rPr>
                                  <w:rFonts w:ascii="Cambria Math" w:hAnsi="Cambria Math"/>
                                </w:rPr>
                                <m:t>t-2</m:t>
                              </m:r>
                            </m:sub>
                          </m:sSub>
                        </m:num>
                        <m:den>
                          <m:r>
                            <m:rPr>
                              <m:sty m:val="p"/>
                            </m:rPr>
                            <w:rPr>
                              <w:rFonts w:ascii="Cambria Math" w:hAnsi="Cambria Math"/>
                            </w:rPr>
                            <m:t>SKPIT-SKPICOL</m:t>
                          </m:r>
                        </m:den>
                      </m:f>
                    </m:e>
                  </m:d>
                </m:e>
              </m:d>
            </m:oMath>
            <w:r w:rsidRPr="00481B07">
              <w:instrText xml:space="preserve"> </w:instrText>
            </w:r>
            <w:r w:rsidRPr="00481B07">
              <w:fldChar w:fldCharType="end"/>
            </w:r>
          </w:p>
          <w:p w14:paraId="393E37CA" w14:textId="766DEDE5" w:rsidR="00481B07" w:rsidRPr="00481B07" w:rsidRDefault="007D3411" w:rsidP="00481B07">
            <w:r>
              <w:t>o</w:t>
            </w:r>
            <w:r w:rsidR="00481B07" w:rsidRPr="00871392">
              <w:t>therwise:</w:t>
            </w:r>
          </w:p>
          <w:p w14:paraId="22EF22FE" w14:textId="77777777" w:rsidR="00481B07" w:rsidRPr="00481B07" w:rsidRDefault="00481B07" w:rsidP="00481B07">
            <w:proofErr w:type="spellStart"/>
            <w:r w:rsidRPr="009B7703">
              <w:t>SKPI</w:t>
            </w:r>
            <w:r w:rsidRPr="00481B07">
              <w:t>t</w:t>
            </w:r>
            <w:proofErr w:type="spellEnd"/>
            <w:r w:rsidRPr="00481B07">
              <w:t xml:space="preserve"> = 0</w:t>
            </w:r>
          </w:p>
          <w:p w14:paraId="4B1E1F3F" w14:textId="77777777" w:rsidR="00481B07" w:rsidRPr="00481B07" w:rsidRDefault="00481B07" w:rsidP="00481B07">
            <w:r w:rsidRPr="009B7703">
              <w:t xml:space="preserve">where </w:t>
            </w:r>
          </w:p>
          <w:p w14:paraId="5DA19DD5" w14:textId="075A8385" w:rsidR="00481B07" w:rsidRPr="00481B07" w:rsidRDefault="00481B07" w:rsidP="00481B07">
            <w:r w:rsidRPr="00871392">
              <w:t>SKPIT</w:t>
            </w:r>
            <w:r w:rsidRPr="00871392">
              <w:tab/>
              <w:t xml:space="preserve">is the Key Performance Indicators target, and </w:t>
            </w:r>
            <w:r w:rsidR="007D3411">
              <w:t>has</w:t>
            </w:r>
            <w:r w:rsidRPr="00871392">
              <w:t xml:space="preserve"> the value </w:t>
            </w:r>
            <w:proofErr w:type="gramStart"/>
            <w:r w:rsidRPr="00871392">
              <w:t>69</w:t>
            </w:r>
            <w:r w:rsidR="0012387B">
              <w:t>;</w:t>
            </w:r>
            <w:proofErr w:type="gramEnd"/>
            <w:r w:rsidR="0012387B" w:rsidRPr="00871392">
              <w:t xml:space="preserve"> </w:t>
            </w:r>
          </w:p>
          <w:p w14:paraId="1C30EE71" w14:textId="36743F03" w:rsidR="00481B07" w:rsidRPr="00481B07" w:rsidRDefault="00481B07" w:rsidP="00481B07">
            <w:r w:rsidRPr="00871392">
              <w:t>SKPICAP</w:t>
            </w:r>
            <w:r w:rsidRPr="00871392">
              <w:tab/>
              <w:t xml:space="preserve">is the Key Performance Indicators cap and </w:t>
            </w:r>
            <w:r w:rsidR="007D3411">
              <w:t>has</w:t>
            </w:r>
            <w:r w:rsidRPr="00871392">
              <w:t xml:space="preserve"> the value </w:t>
            </w:r>
            <w:proofErr w:type="gramStart"/>
            <w:r w:rsidRPr="00871392">
              <w:t>85</w:t>
            </w:r>
            <w:r w:rsidR="0012387B">
              <w:t>;</w:t>
            </w:r>
            <w:proofErr w:type="gramEnd"/>
          </w:p>
          <w:p w14:paraId="1C381468" w14:textId="24A22AB0" w:rsidR="00481B07" w:rsidRPr="00481B07" w:rsidRDefault="00481B07" w:rsidP="00481B07">
            <w:r w:rsidRPr="00871392">
              <w:lastRenderedPageBreak/>
              <w:t>SKPIUPA</w:t>
            </w:r>
            <w:r w:rsidRPr="00871392">
              <w:tab/>
              <w:t xml:space="preserve">is the Key Performance Indicators maximum upside percentage point adjustment and </w:t>
            </w:r>
            <w:r w:rsidR="007D3411">
              <w:t>has</w:t>
            </w:r>
            <w:r w:rsidRPr="00871392">
              <w:t xml:space="preserve"> the value </w:t>
            </w:r>
            <w:proofErr w:type="gramStart"/>
            <w:r w:rsidRPr="00871392">
              <w:t>1</w:t>
            </w:r>
            <w:r w:rsidR="0012387B">
              <w:t>;</w:t>
            </w:r>
            <w:proofErr w:type="gramEnd"/>
            <w:r w:rsidR="0012387B" w:rsidRPr="00871392">
              <w:t xml:space="preserve"> </w:t>
            </w:r>
          </w:p>
          <w:p w14:paraId="2E73ABD4" w14:textId="7C4C582F" w:rsidR="00481B07" w:rsidRPr="00481B07" w:rsidRDefault="00481B07" w:rsidP="00481B07">
            <w:r w:rsidRPr="00871392">
              <w:t>SKPICOL</w:t>
            </w:r>
            <w:r w:rsidRPr="00871392">
              <w:tab/>
              <w:t xml:space="preserve">is the Key Performance Indicators collar and </w:t>
            </w:r>
            <w:r w:rsidR="007D3411">
              <w:t>has</w:t>
            </w:r>
            <w:r w:rsidRPr="00871392">
              <w:t xml:space="preserve"> the value </w:t>
            </w:r>
            <w:proofErr w:type="gramStart"/>
            <w:r w:rsidRPr="00871392">
              <w:t>53</w:t>
            </w:r>
            <w:r w:rsidR="0012387B">
              <w:t>;</w:t>
            </w:r>
            <w:proofErr w:type="gramEnd"/>
          </w:p>
          <w:p w14:paraId="2693B9E3" w14:textId="17DFF066" w:rsidR="00481B07" w:rsidRPr="00481B07" w:rsidRDefault="00481B07" w:rsidP="00481B07">
            <w:r w:rsidRPr="00871392">
              <w:t>SKPIDPA</w:t>
            </w:r>
            <w:r w:rsidRPr="00871392">
              <w:tab/>
              <w:t xml:space="preserve">is the Key Performance Indicators maximum downside percentage point adjustment, and </w:t>
            </w:r>
            <w:r w:rsidR="007D3411">
              <w:t>has</w:t>
            </w:r>
            <w:r w:rsidRPr="00871392">
              <w:t xml:space="preserve"> the value </w:t>
            </w:r>
            <w:proofErr w:type="gramStart"/>
            <w:r w:rsidRPr="00871392">
              <w:t>-1</w:t>
            </w:r>
            <w:r w:rsidR="0012387B">
              <w:t>;</w:t>
            </w:r>
            <w:proofErr w:type="gramEnd"/>
          </w:p>
          <w:p w14:paraId="0C4EF317" w14:textId="05162D22" w:rsidR="00481B07" w:rsidRPr="00481B07" w:rsidRDefault="00481B07" w:rsidP="00481B07">
            <w:proofErr w:type="spellStart"/>
            <w:r w:rsidRPr="00871392">
              <w:t>SKPICt</w:t>
            </w:r>
            <w:proofErr w:type="spellEnd"/>
            <w:r w:rsidRPr="00871392">
              <w:tab/>
              <w:t xml:space="preserve">is the </w:t>
            </w:r>
            <w:r w:rsidRPr="00481B07">
              <w:t xml:space="preserve">licensee’s measured score against its Key Performance Indicators, being a value between 0 and 100 </w:t>
            </w:r>
            <w:proofErr w:type="gramStart"/>
            <w:r w:rsidRPr="00481B07">
              <w:t>inclusive</w:t>
            </w:r>
            <w:r w:rsidR="0012387B">
              <w:t>;</w:t>
            </w:r>
            <w:proofErr w:type="gramEnd"/>
          </w:p>
          <w:p w14:paraId="4BD0609E" w14:textId="77777777" w:rsidR="00481B07" w:rsidRPr="00871392" w:rsidRDefault="00481B07" w:rsidP="00481B07"/>
        </w:tc>
      </w:tr>
      <w:tr w:rsidR="00481B07" w:rsidRPr="00791A1F" w14:paraId="25FDBA73" w14:textId="77777777" w:rsidTr="003F66DB">
        <w:trPr>
          <w:gridBefore w:val="1"/>
          <w:wBefore w:w="657" w:type="dxa"/>
          <w:trHeight w:val="426"/>
        </w:trPr>
        <w:tc>
          <w:tcPr>
            <w:tcW w:w="1026" w:type="dxa"/>
            <w:gridSpan w:val="2"/>
          </w:tcPr>
          <w:p w14:paraId="61E8D4EF" w14:textId="77777777" w:rsidR="00481B07" w:rsidRPr="00481B07" w:rsidRDefault="00481B07" w:rsidP="00481B07">
            <w:proofErr w:type="spellStart"/>
            <w:r w:rsidRPr="00842C53">
              <w:lastRenderedPageBreak/>
              <w:t>SKPIPRO</w:t>
            </w:r>
            <w:r w:rsidRPr="00481B07">
              <w:t>t</w:t>
            </w:r>
            <w:proofErr w:type="spellEnd"/>
            <w:r w:rsidRPr="00481B07">
              <w:t>-</w:t>
            </w:r>
          </w:p>
        </w:tc>
        <w:tc>
          <w:tcPr>
            <w:tcW w:w="8330" w:type="dxa"/>
            <w:gridSpan w:val="2"/>
          </w:tcPr>
          <w:p w14:paraId="3C3DB2B6" w14:textId="3ECE2E0B" w:rsidR="00481B07" w:rsidRPr="00481B07" w:rsidRDefault="00481B07" w:rsidP="00481B07">
            <w:r w:rsidRPr="00842C53">
              <w:t>is the proportion of the Stakeholder Satisfaction Incentive based on the Key Performance Indicators</w:t>
            </w:r>
            <w:r w:rsidR="007D3411">
              <w:t xml:space="preserve"> and has</w:t>
            </w:r>
            <w:r w:rsidRPr="00842C53">
              <w:t xml:space="preserve"> the value </w:t>
            </w:r>
            <w:r w:rsidRPr="00481B07">
              <w:t>of 0.3</w:t>
            </w:r>
            <w:r w:rsidR="0012387B">
              <w:t>;</w:t>
            </w:r>
          </w:p>
        </w:tc>
      </w:tr>
      <w:tr w:rsidR="00481B07" w:rsidRPr="00791A1F" w14:paraId="171DEB1A" w14:textId="77777777" w:rsidTr="003F66DB">
        <w:trPr>
          <w:gridBefore w:val="1"/>
          <w:wBefore w:w="657" w:type="dxa"/>
          <w:trHeight w:val="6106"/>
        </w:trPr>
        <w:tc>
          <w:tcPr>
            <w:tcW w:w="1026" w:type="dxa"/>
            <w:gridSpan w:val="2"/>
          </w:tcPr>
          <w:p w14:paraId="11E68873" w14:textId="77777777" w:rsidR="00481B07" w:rsidRPr="00871392" w:rsidRDefault="00481B07" w:rsidP="00481B07"/>
          <w:p w14:paraId="540D5FDE" w14:textId="77777777" w:rsidR="00481B07" w:rsidRPr="00871392" w:rsidRDefault="00481B07" w:rsidP="00481B07"/>
          <w:p w14:paraId="2023BB6A" w14:textId="77777777" w:rsidR="00481B07" w:rsidRPr="00481B07" w:rsidRDefault="00481B07" w:rsidP="00481B07">
            <w:proofErr w:type="spellStart"/>
            <w:r w:rsidRPr="00871392">
              <w:t>SEAt</w:t>
            </w:r>
            <w:proofErr w:type="spellEnd"/>
          </w:p>
          <w:p w14:paraId="15D99D57" w14:textId="77777777" w:rsidR="00481B07" w:rsidRPr="00871392" w:rsidRDefault="00481B07" w:rsidP="00481B07"/>
          <w:p w14:paraId="5875BF30" w14:textId="77777777" w:rsidR="00481B07" w:rsidRPr="00871392" w:rsidRDefault="00481B07" w:rsidP="00481B07"/>
          <w:p w14:paraId="38347133" w14:textId="77777777" w:rsidR="00481B07" w:rsidRPr="00871392" w:rsidRDefault="00481B07" w:rsidP="00481B07"/>
          <w:p w14:paraId="4EE7866C" w14:textId="77777777" w:rsidR="00481B07" w:rsidRPr="00871392" w:rsidRDefault="00481B07" w:rsidP="00481B07"/>
          <w:p w14:paraId="231CAF5C" w14:textId="77777777" w:rsidR="00481B07" w:rsidRPr="00871392" w:rsidRDefault="00481B07" w:rsidP="00481B07"/>
        </w:tc>
        <w:tc>
          <w:tcPr>
            <w:tcW w:w="8330" w:type="dxa"/>
            <w:gridSpan w:val="2"/>
          </w:tcPr>
          <w:p w14:paraId="1E8012E6" w14:textId="77777777" w:rsidR="00481B07" w:rsidRPr="00871392" w:rsidRDefault="00481B07" w:rsidP="00481B07"/>
          <w:p w14:paraId="3261B70E" w14:textId="77777777" w:rsidR="00481B07" w:rsidRPr="00871392" w:rsidRDefault="00481B07" w:rsidP="00481B07"/>
          <w:p w14:paraId="69B86216" w14:textId="75A0247F" w:rsidR="00481B07" w:rsidRPr="00481B07" w:rsidRDefault="00481B07" w:rsidP="00481B07">
            <w:r w:rsidRPr="00871392">
              <w:t>means the adjustment in respect of the</w:t>
            </w:r>
            <w:r w:rsidRPr="00481B07">
              <w:t xml:space="preserve"> licensee’s performance in its External Assurance of its Stakeholder Engagement</w:t>
            </w:r>
            <w:r w:rsidR="007D3411">
              <w:t xml:space="preserve"> and has</w:t>
            </w:r>
            <w:r w:rsidRPr="00481B07">
              <w:t xml:space="preserve"> the value specified in the following table:</w:t>
            </w:r>
          </w:p>
          <w:p w14:paraId="6197C334" w14:textId="77777777" w:rsidR="00481B07" w:rsidRPr="00871392" w:rsidRDefault="00481B07" w:rsidP="00481B07"/>
          <w:tbl>
            <w:tblPr>
              <w:tblStyle w:val="AppendixTable"/>
              <w:tblpPr w:leftFromText="180" w:rightFromText="180" w:vertAnchor="text" w:horzAnchor="margin" w:tblpX="831" w:tblpY="-236"/>
              <w:tblW w:w="3860" w:type="dxa"/>
              <w:tblLayout w:type="fixed"/>
              <w:tblLook w:val="04A0" w:firstRow="1" w:lastRow="0" w:firstColumn="1" w:lastColumn="0" w:noHBand="0" w:noVBand="1"/>
            </w:tblPr>
            <w:tblGrid>
              <w:gridCol w:w="2443"/>
              <w:gridCol w:w="1417"/>
            </w:tblGrid>
            <w:tr w:rsidR="00481B07" w:rsidRPr="004C3792" w14:paraId="78FB7BE2" w14:textId="77777777" w:rsidTr="00C5545B">
              <w:trPr>
                <w:cnfStyle w:val="100000000000" w:firstRow="1" w:lastRow="0" w:firstColumn="0" w:lastColumn="0" w:oddVBand="0" w:evenVBand="0" w:oddHBand="0" w:evenHBand="0" w:firstRowFirstColumn="0" w:firstRowLastColumn="0" w:lastRowFirstColumn="0" w:lastRowLastColumn="0"/>
              </w:trPr>
              <w:tc>
                <w:tcPr>
                  <w:tcW w:w="2443" w:type="dxa"/>
                </w:tcPr>
                <w:p w14:paraId="16287A3C" w14:textId="77777777" w:rsidR="00481B07" w:rsidRPr="00481B07" w:rsidRDefault="00481B07" w:rsidP="00481B07">
                  <w:r w:rsidRPr="00871392">
                    <w:t>SEA Band</w:t>
                  </w:r>
                </w:p>
              </w:tc>
              <w:tc>
                <w:tcPr>
                  <w:tcW w:w="1417" w:type="dxa"/>
                </w:tcPr>
                <w:p w14:paraId="29E60932" w14:textId="77777777" w:rsidR="00481B07" w:rsidRPr="00481B07" w:rsidRDefault="00481B07" w:rsidP="00481B07">
                  <w:proofErr w:type="spellStart"/>
                  <w:r w:rsidRPr="00871392">
                    <w:t>SEAt</w:t>
                  </w:r>
                  <w:proofErr w:type="spellEnd"/>
                  <w:r w:rsidRPr="00481B07">
                    <w:t xml:space="preserve"> value</w:t>
                  </w:r>
                </w:p>
              </w:tc>
            </w:tr>
            <w:tr w:rsidR="00481B07" w:rsidRPr="004C3792" w14:paraId="07D09B00" w14:textId="77777777" w:rsidTr="00C5545B">
              <w:tc>
                <w:tcPr>
                  <w:tcW w:w="2443" w:type="dxa"/>
                </w:tcPr>
                <w:p w14:paraId="62CC7A32" w14:textId="77777777" w:rsidR="00481B07" w:rsidRPr="00481B07" w:rsidRDefault="00481B07" w:rsidP="00481B07">
                  <w:r w:rsidRPr="00871392">
                    <w:t>Non-Compliant with stakeholder strategy</w:t>
                  </w:r>
                </w:p>
              </w:tc>
              <w:tc>
                <w:tcPr>
                  <w:tcW w:w="1417" w:type="dxa"/>
                </w:tcPr>
                <w:p w14:paraId="5978BBFC" w14:textId="77777777" w:rsidR="00481B07" w:rsidRPr="00481B07" w:rsidRDefault="00481B07" w:rsidP="00481B07">
                  <w:r w:rsidRPr="00683AB5">
                    <w:t>-1.0</w:t>
                  </w:r>
                </w:p>
              </w:tc>
            </w:tr>
            <w:tr w:rsidR="00481B07" w:rsidRPr="004C3792" w14:paraId="47A76913" w14:textId="77777777" w:rsidTr="00C5545B">
              <w:tc>
                <w:tcPr>
                  <w:tcW w:w="2443" w:type="dxa"/>
                </w:tcPr>
                <w:p w14:paraId="68D70A6A" w14:textId="77777777" w:rsidR="00481B07" w:rsidRPr="00481B07" w:rsidRDefault="00481B07" w:rsidP="00481B07">
                  <w:r w:rsidRPr="00871392">
                    <w:t xml:space="preserve">Compliant with stakeholder </w:t>
                  </w:r>
                  <w:r w:rsidRPr="00481B07">
                    <w:t>strategy</w:t>
                  </w:r>
                </w:p>
              </w:tc>
              <w:tc>
                <w:tcPr>
                  <w:tcW w:w="1417" w:type="dxa"/>
                </w:tcPr>
                <w:p w14:paraId="1CB78649" w14:textId="77777777" w:rsidR="00481B07" w:rsidRPr="00481B07" w:rsidRDefault="00481B07" w:rsidP="00481B07">
                  <w:r w:rsidRPr="00683AB5">
                    <w:t>0.5</w:t>
                  </w:r>
                </w:p>
              </w:tc>
            </w:tr>
            <w:tr w:rsidR="00481B07" w:rsidRPr="004C3792" w14:paraId="757E8C1B" w14:textId="77777777" w:rsidTr="00C5545B">
              <w:tc>
                <w:tcPr>
                  <w:tcW w:w="2443" w:type="dxa"/>
                </w:tcPr>
                <w:p w14:paraId="7C76CD79" w14:textId="77777777" w:rsidR="00481B07" w:rsidRPr="00481B07" w:rsidRDefault="00481B07" w:rsidP="00481B07">
                  <w:r w:rsidRPr="00871392">
                    <w:t>Exceeding stakeholder strategy</w:t>
                  </w:r>
                </w:p>
              </w:tc>
              <w:tc>
                <w:tcPr>
                  <w:tcW w:w="1417" w:type="dxa"/>
                </w:tcPr>
                <w:p w14:paraId="74B59769" w14:textId="1DD5A11A" w:rsidR="00481B07" w:rsidRPr="00481B07" w:rsidRDefault="00481B07" w:rsidP="00481B07">
                  <w:r w:rsidRPr="00683AB5">
                    <w:t>1.0</w:t>
                  </w:r>
                  <w:r w:rsidR="0012387B">
                    <w:t>;</w:t>
                  </w:r>
                </w:p>
              </w:tc>
            </w:tr>
          </w:tbl>
          <w:p w14:paraId="12D1D67B" w14:textId="77777777" w:rsidR="00481B07" w:rsidRPr="00871392" w:rsidRDefault="00481B07" w:rsidP="00481B07"/>
        </w:tc>
      </w:tr>
      <w:tr w:rsidR="00481B07" w:rsidRPr="00842C53" w14:paraId="30336215" w14:textId="77777777" w:rsidTr="003F66DB">
        <w:trPr>
          <w:gridBefore w:val="1"/>
          <w:wBefore w:w="657" w:type="dxa"/>
          <w:trHeight w:val="567"/>
        </w:trPr>
        <w:tc>
          <w:tcPr>
            <w:tcW w:w="1026" w:type="dxa"/>
            <w:gridSpan w:val="2"/>
          </w:tcPr>
          <w:p w14:paraId="71D103AF" w14:textId="77777777" w:rsidR="00481B07" w:rsidRPr="00481B07" w:rsidRDefault="00481B07" w:rsidP="00481B07">
            <w:proofErr w:type="spellStart"/>
            <w:r w:rsidRPr="00842C53">
              <w:t>SEAPRO</w:t>
            </w:r>
            <w:r w:rsidRPr="00481B07">
              <w:t>t</w:t>
            </w:r>
            <w:proofErr w:type="spellEnd"/>
          </w:p>
        </w:tc>
        <w:tc>
          <w:tcPr>
            <w:tcW w:w="8330" w:type="dxa"/>
            <w:gridSpan w:val="2"/>
          </w:tcPr>
          <w:p w14:paraId="7A873619" w14:textId="06C93AC9" w:rsidR="00481B07" w:rsidRPr="00481B07" w:rsidRDefault="00481B07" w:rsidP="00481B07">
            <w:r w:rsidRPr="00842C53">
              <w:t xml:space="preserve">is the proportion of the Stakeholder Satisfaction Incentive based on the stakeholder </w:t>
            </w:r>
            <w:r w:rsidRPr="00481B07">
              <w:t xml:space="preserve">External </w:t>
            </w:r>
            <w:proofErr w:type="gramStart"/>
            <w:r w:rsidRPr="00481B07">
              <w:t xml:space="preserve">Assurance, </w:t>
            </w:r>
            <w:r w:rsidR="007D3411">
              <w:t xml:space="preserve"> and</w:t>
            </w:r>
            <w:proofErr w:type="gramEnd"/>
            <w:r w:rsidR="007D3411" w:rsidRPr="00481B07">
              <w:t xml:space="preserve"> </w:t>
            </w:r>
            <w:r w:rsidRPr="00481B07">
              <w:t>has the value of 0.1</w:t>
            </w:r>
            <w:r w:rsidR="0012387B">
              <w:t>; and</w:t>
            </w:r>
          </w:p>
        </w:tc>
      </w:tr>
    </w:tbl>
    <w:p w14:paraId="3E4682FD" w14:textId="77777777" w:rsidR="00481B07" w:rsidRDefault="00481B07" w:rsidP="003F66DB">
      <w:pPr>
        <w:ind w:left="657"/>
      </w:pPr>
    </w:p>
    <w:tbl>
      <w:tblPr>
        <w:tblW w:w="7726" w:type="dxa"/>
        <w:tblInd w:w="1544" w:type="dxa"/>
        <w:tblLook w:val="04A0" w:firstRow="1" w:lastRow="0" w:firstColumn="1" w:lastColumn="0" w:noHBand="0" w:noVBand="1"/>
      </w:tblPr>
      <w:tblGrid>
        <w:gridCol w:w="1097"/>
        <w:gridCol w:w="6629"/>
      </w:tblGrid>
      <w:tr w:rsidR="00481B07" w:rsidRPr="00692A0B" w14:paraId="75EDFE1C" w14:textId="77777777" w:rsidTr="003F66DB">
        <w:trPr>
          <w:trHeight w:val="454"/>
        </w:trPr>
        <w:tc>
          <w:tcPr>
            <w:tcW w:w="1097" w:type="dxa"/>
          </w:tcPr>
          <w:p w14:paraId="321C0911" w14:textId="77777777" w:rsidR="00481B07" w:rsidRPr="00481B07" w:rsidRDefault="00481B07" w:rsidP="00481B07">
            <w:r>
              <w:t>R1BR</w:t>
            </w:r>
            <w:r w:rsidRPr="00481B07">
              <w:t>t</w:t>
            </w:r>
          </w:p>
        </w:tc>
        <w:tc>
          <w:tcPr>
            <w:tcW w:w="6629" w:type="dxa"/>
          </w:tcPr>
          <w:p w14:paraId="78948CE4" w14:textId="258286B5" w:rsidR="00481B07" w:rsidRPr="00481B07" w:rsidRDefault="00481B07" w:rsidP="00481B07">
            <w:r w:rsidRPr="00F35517">
              <w:t xml:space="preserve">means the amount of Base </w:t>
            </w:r>
            <w:r w:rsidRPr="00481B07">
              <w:t>Transmission Revenue as calculated in accordance with Part C of Special Condition 3A (Restriction of Transmission Network Revenue) as in force on 31 March 2021.</w:t>
            </w:r>
          </w:p>
        </w:tc>
      </w:tr>
    </w:tbl>
    <w:p w14:paraId="4D25C13E" w14:textId="660F2C5E" w:rsidR="00481B07" w:rsidRDefault="00481B07" w:rsidP="00B00C2D">
      <w:pPr>
        <w:pStyle w:val="Heading3"/>
      </w:pPr>
      <w:r>
        <w:t xml:space="preserve">Key Performance Indicators </w:t>
      </w:r>
    </w:p>
    <w:p w14:paraId="3C733680" w14:textId="77777777" w:rsidR="00481B07" w:rsidRPr="00481B07" w:rsidRDefault="00481B07" w:rsidP="00B00C2D">
      <w:pPr>
        <w:pStyle w:val="NumberedNormal"/>
      </w:pPr>
      <w:r>
        <w:t xml:space="preserve">The licensee must have in place Key Performance Indicators approved by the Authority. </w:t>
      </w:r>
    </w:p>
    <w:p w14:paraId="2AFE9136" w14:textId="77777777" w:rsidR="00481B07" w:rsidRPr="00481B07" w:rsidRDefault="00481B07" w:rsidP="00B00C2D">
      <w:pPr>
        <w:pStyle w:val="NumberedNormal"/>
      </w:pPr>
      <w:r>
        <w:lastRenderedPageBreak/>
        <w:t xml:space="preserve">The </w:t>
      </w:r>
      <w:r w:rsidRPr="00481B07">
        <w:t xml:space="preserve">licensee may </w:t>
      </w:r>
      <w:proofErr w:type="gramStart"/>
      <w:r w:rsidRPr="00481B07">
        <w:t>make revisions to</w:t>
      </w:r>
      <w:proofErr w:type="gramEnd"/>
      <w:r w:rsidRPr="00481B07">
        <w:t xml:space="preserve"> its Key Performance Indicators that it considers necessary to ensure the Key Performance Indicators continue to provide an objective measure of the service provided. </w:t>
      </w:r>
    </w:p>
    <w:p w14:paraId="03158DC0" w14:textId="77777777" w:rsidR="00481B07" w:rsidRPr="00481B07" w:rsidRDefault="00481B07" w:rsidP="00B00C2D">
      <w:pPr>
        <w:pStyle w:val="NumberedNormal"/>
      </w:pPr>
      <w:r w:rsidRPr="00140D68">
        <w:t xml:space="preserve">Before </w:t>
      </w:r>
      <w:r w:rsidRPr="00481B07">
        <w:t xml:space="preserve">revising the Key Performance </w:t>
      </w:r>
      <w:proofErr w:type="gramStart"/>
      <w:r w:rsidRPr="00481B07">
        <w:t>Indictors</w:t>
      </w:r>
      <w:proofErr w:type="gramEnd"/>
      <w:r w:rsidRPr="00481B07">
        <w:t xml:space="preserve"> the licensee must submit to the Authority a report setting out:</w:t>
      </w:r>
    </w:p>
    <w:p w14:paraId="6CEBBD03" w14:textId="77777777" w:rsidR="00481B07" w:rsidRPr="00481B07" w:rsidRDefault="00481B07" w:rsidP="00B00C2D">
      <w:pPr>
        <w:pStyle w:val="ListNormal"/>
      </w:pPr>
      <w:r w:rsidRPr="00140D68">
        <w:t xml:space="preserve">the proposed </w:t>
      </w:r>
      <w:r w:rsidRPr="00481B07">
        <w:t xml:space="preserve">revisions to its Key Performance </w:t>
      </w:r>
      <w:proofErr w:type="gramStart"/>
      <w:r w:rsidRPr="00481B07">
        <w:t>Indicators;</w:t>
      </w:r>
      <w:proofErr w:type="gramEnd"/>
    </w:p>
    <w:p w14:paraId="2ABF1A20" w14:textId="77777777" w:rsidR="00481B07" w:rsidRPr="00481B07" w:rsidRDefault="00481B07" w:rsidP="00B00C2D">
      <w:pPr>
        <w:pStyle w:val="ListNormal"/>
      </w:pPr>
      <w:r w:rsidRPr="00140D68">
        <w:t xml:space="preserve">details of </w:t>
      </w:r>
      <w:r w:rsidRPr="00481B07">
        <w:t xml:space="preserve">the consultation undertaken with stakeholders on the proposed </w:t>
      </w:r>
      <w:proofErr w:type="gramStart"/>
      <w:r w:rsidRPr="00481B07">
        <w:t>revisions;</w:t>
      </w:r>
      <w:proofErr w:type="gramEnd"/>
    </w:p>
    <w:p w14:paraId="0059F5C0" w14:textId="1B7684C1" w:rsidR="00481B07" w:rsidRPr="00481B07" w:rsidRDefault="00481B07" w:rsidP="00B00C2D">
      <w:pPr>
        <w:pStyle w:val="ListNormal"/>
      </w:pPr>
      <w:r w:rsidRPr="00140D68">
        <w:t>a</w:t>
      </w:r>
      <w:r w:rsidRPr="00481B07">
        <w:t xml:space="preserve">ny representations made to the licensee in respect of the Key Performance Indicators or the proposed </w:t>
      </w:r>
      <w:proofErr w:type="gramStart"/>
      <w:r w:rsidRPr="00481B07">
        <w:t>revisions;</w:t>
      </w:r>
      <w:proofErr w:type="gramEnd"/>
    </w:p>
    <w:p w14:paraId="16357C1A" w14:textId="2CCFA007" w:rsidR="00481B07" w:rsidRPr="00481B07" w:rsidRDefault="00481B07" w:rsidP="00B00C2D">
      <w:pPr>
        <w:pStyle w:val="ListNormal"/>
      </w:pPr>
      <w:r w:rsidRPr="00140D68">
        <w:t xml:space="preserve">how the proposed </w:t>
      </w:r>
      <w:r w:rsidRPr="00481B07">
        <w:t>revisions provide a better measure of the service provided, including an explanation of the additions</w:t>
      </w:r>
      <w:r w:rsidR="007D3411">
        <w:t xml:space="preserve"> or </w:t>
      </w:r>
      <w:r w:rsidRPr="00481B07">
        <w:t>removals proposed and how these improve the Key Performance Indicators; and</w:t>
      </w:r>
    </w:p>
    <w:p w14:paraId="1CE6B183" w14:textId="77777777" w:rsidR="00481B07" w:rsidRPr="00481B07" w:rsidRDefault="00481B07" w:rsidP="00B00C2D">
      <w:pPr>
        <w:pStyle w:val="ListNormal"/>
      </w:pPr>
      <w:r w:rsidRPr="00140D68">
        <w:t>a timetable for implementati</w:t>
      </w:r>
      <w:r w:rsidRPr="00481B07">
        <w:t>on of the proposed revisions.</w:t>
      </w:r>
    </w:p>
    <w:p w14:paraId="5934BC0C" w14:textId="77777777" w:rsidR="00481B07" w:rsidRPr="00481B07" w:rsidRDefault="00481B07" w:rsidP="00B00C2D">
      <w:pPr>
        <w:pStyle w:val="NumberedNormal"/>
      </w:pPr>
      <w:r>
        <w:t xml:space="preserve">The Authority will either: </w:t>
      </w:r>
    </w:p>
    <w:p w14:paraId="571EF306" w14:textId="343B040F" w:rsidR="00481B07" w:rsidRPr="00481B07" w:rsidRDefault="00481B07" w:rsidP="00B00C2D">
      <w:pPr>
        <w:pStyle w:val="ListNormal"/>
      </w:pPr>
      <w:r w:rsidRPr="003A0878">
        <w:t>approve the</w:t>
      </w:r>
      <w:r w:rsidR="007D3411">
        <w:t xml:space="preserve"> proposed</w:t>
      </w:r>
      <w:r w:rsidRPr="003A0878">
        <w:t xml:space="preserve"> </w:t>
      </w:r>
      <w:proofErr w:type="gramStart"/>
      <w:r w:rsidRPr="00481B07">
        <w:t>revisions;</w:t>
      </w:r>
      <w:proofErr w:type="gramEnd"/>
    </w:p>
    <w:p w14:paraId="595DFEC6" w14:textId="77777777" w:rsidR="00481B07" w:rsidRPr="00481B07" w:rsidRDefault="00481B07" w:rsidP="00B00C2D">
      <w:pPr>
        <w:pStyle w:val="ListNormal"/>
      </w:pPr>
      <w:r w:rsidRPr="00143117">
        <w:t xml:space="preserve">reject the proposed </w:t>
      </w:r>
      <w:r w:rsidRPr="00481B07">
        <w:t>revisions; or</w:t>
      </w:r>
    </w:p>
    <w:p w14:paraId="0603EAB8" w14:textId="7D601CAD" w:rsidR="00481B07" w:rsidRPr="00481B07" w:rsidRDefault="00481B07" w:rsidP="00B00C2D">
      <w:pPr>
        <w:pStyle w:val="ListNormal"/>
      </w:pPr>
      <w:r w:rsidRPr="00143117">
        <w:t xml:space="preserve">reject </w:t>
      </w:r>
      <w:r w:rsidRPr="00481B07">
        <w:t xml:space="preserve">the proposed revisions and give recommendations as to alternative revisions which it considers </w:t>
      </w:r>
      <w:r w:rsidR="008C578E">
        <w:t>should be made</w:t>
      </w:r>
      <w:r w:rsidRPr="00481B07">
        <w:t xml:space="preserve"> with a date by which the licensee is required to submit those revisions.</w:t>
      </w:r>
    </w:p>
    <w:p w14:paraId="5F5040D3" w14:textId="6F25FBCB" w:rsidR="00481B07" w:rsidRDefault="00481B07" w:rsidP="00B00C2D">
      <w:pPr>
        <w:pStyle w:val="Heading3"/>
      </w:pPr>
      <w:r>
        <w:t>External Assurance Methodology and Terms of Reference</w:t>
      </w:r>
    </w:p>
    <w:p w14:paraId="24D3D065" w14:textId="77777777" w:rsidR="00481B07" w:rsidRPr="00481B07" w:rsidRDefault="00481B07" w:rsidP="00461ECF">
      <w:pPr>
        <w:pStyle w:val="NumberedNormal"/>
      </w:pPr>
      <w:r w:rsidRPr="00143117">
        <w:t xml:space="preserve">The licensee must have in place </w:t>
      </w:r>
      <w:r w:rsidRPr="00481B07">
        <w:t xml:space="preserve">an External Assurance Methodology and Terms of Reference approved by the Authority. </w:t>
      </w:r>
    </w:p>
    <w:p w14:paraId="6CEE8230" w14:textId="77777777" w:rsidR="00481B07" w:rsidRPr="00481B07" w:rsidRDefault="00481B07" w:rsidP="00461ECF">
      <w:pPr>
        <w:pStyle w:val="NumberedNormal"/>
      </w:pPr>
      <w:r w:rsidRPr="007C4305">
        <w:t xml:space="preserve">The </w:t>
      </w:r>
      <w:r w:rsidRPr="00481B07">
        <w:t xml:space="preserve">licensee may </w:t>
      </w:r>
      <w:proofErr w:type="gramStart"/>
      <w:r w:rsidRPr="00481B07">
        <w:t>make revisions to</w:t>
      </w:r>
      <w:proofErr w:type="gramEnd"/>
      <w:r w:rsidRPr="00481B07">
        <w:t xml:space="preserve"> its External Assurance Methodology and Terms of Reference to ensure that they provide an objective measure of the inclusion of stakeholder views.</w:t>
      </w:r>
    </w:p>
    <w:p w14:paraId="150560EE" w14:textId="77777777" w:rsidR="00481B07" w:rsidRPr="00481B07" w:rsidRDefault="00481B07" w:rsidP="00461ECF">
      <w:pPr>
        <w:pStyle w:val="NumberedNormal"/>
      </w:pPr>
      <w:r w:rsidRPr="007C4305">
        <w:t xml:space="preserve">Before </w:t>
      </w:r>
      <w:r w:rsidRPr="00481B07">
        <w:t>revising the External Assurance Methodology and Terms of Reference the licensee must submit to the Authority a report setting out:</w:t>
      </w:r>
    </w:p>
    <w:p w14:paraId="0A6436BF" w14:textId="77777777" w:rsidR="00481B07" w:rsidRPr="00481B07" w:rsidRDefault="00481B07" w:rsidP="00461ECF">
      <w:pPr>
        <w:pStyle w:val="ListNormal"/>
      </w:pPr>
      <w:r w:rsidRPr="00140D68">
        <w:t xml:space="preserve">the proposed </w:t>
      </w:r>
      <w:r w:rsidRPr="00481B07">
        <w:t xml:space="preserve">revisions to the External Assurance Methodology and Terms of </w:t>
      </w:r>
      <w:proofErr w:type="gramStart"/>
      <w:r w:rsidRPr="00481B07">
        <w:t>Reference;</w:t>
      </w:r>
      <w:proofErr w:type="gramEnd"/>
    </w:p>
    <w:p w14:paraId="4194FE46" w14:textId="77777777" w:rsidR="00481B07" w:rsidRPr="00481B07" w:rsidRDefault="00481B07" w:rsidP="00461ECF">
      <w:pPr>
        <w:pStyle w:val="ListNormal"/>
      </w:pPr>
      <w:r w:rsidRPr="00140D68">
        <w:t xml:space="preserve">the details of consultation undertaken with stakeholders on the proposed </w:t>
      </w:r>
      <w:proofErr w:type="gramStart"/>
      <w:r w:rsidRPr="00481B07">
        <w:t>revisions;</w:t>
      </w:r>
      <w:proofErr w:type="gramEnd"/>
    </w:p>
    <w:p w14:paraId="0BEBA8D0" w14:textId="57179348" w:rsidR="00481B07" w:rsidRPr="00481B07" w:rsidRDefault="00481B07" w:rsidP="00461ECF">
      <w:pPr>
        <w:pStyle w:val="ListNormal"/>
      </w:pPr>
      <w:r w:rsidRPr="00140D68">
        <w:t>a</w:t>
      </w:r>
      <w:r w:rsidRPr="00481B07">
        <w:t xml:space="preserve">ny representations made to the licensee in respect of the External Assurance Methodology and Terms of Reference or the proposed </w:t>
      </w:r>
      <w:proofErr w:type="gramStart"/>
      <w:r w:rsidRPr="00481B07">
        <w:t>revisions;</w:t>
      </w:r>
      <w:proofErr w:type="gramEnd"/>
    </w:p>
    <w:p w14:paraId="6AB7DDD2" w14:textId="04EABBA3" w:rsidR="00481B07" w:rsidRPr="00481B07" w:rsidRDefault="00481B07" w:rsidP="00461ECF">
      <w:pPr>
        <w:pStyle w:val="ListNormal"/>
      </w:pPr>
      <w:r w:rsidRPr="00140D68">
        <w:t xml:space="preserve">how the proposed </w:t>
      </w:r>
      <w:r w:rsidRPr="00481B07">
        <w:t xml:space="preserve">revisions provide a better assessment of the inclusion of stakeholder views, including an explanation of the </w:t>
      </w:r>
      <w:r w:rsidR="00092750">
        <w:t>revisions</w:t>
      </w:r>
      <w:r w:rsidRPr="00481B07">
        <w:t xml:space="preserve"> proposed and how these improve the assessment of stakeholder views; and</w:t>
      </w:r>
    </w:p>
    <w:p w14:paraId="2AC5AC37" w14:textId="77777777" w:rsidR="00481B07" w:rsidRPr="00481B07" w:rsidRDefault="00481B07" w:rsidP="00461ECF">
      <w:pPr>
        <w:pStyle w:val="ListNormal"/>
      </w:pPr>
      <w:r w:rsidRPr="00140D68">
        <w:t xml:space="preserve">a timetable for the implementation of the proposed </w:t>
      </w:r>
      <w:r w:rsidRPr="00481B07">
        <w:t xml:space="preserve">revisions. </w:t>
      </w:r>
    </w:p>
    <w:p w14:paraId="7C6C752C" w14:textId="77777777" w:rsidR="00481B07" w:rsidRPr="00481B07" w:rsidRDefault="00481B07" w:rsidP="009F0961">
      <w:pPr>
        <w:pStyle w:val="NumberedNormal"/>
      </w:pPr>
      <w:r>
        <w:lastRenderedPageBreak/>
        <w:t xml:space="preserve">The Authority will either: </w:t>
      </w:r>
    </w:p>
    <w:p w14:paraId="67D805DA" w14:textId="3C2D0307" w:rsidR="00481B07" w:rsidRPr="00481B07" w:rsidRDefault="00481B07" w:rsidP="009F0961">
      <w:pPr>
        <w:pStyle w:val="ListNormal"/>
      </w:pPr>
      <w:r w:rsidRPr="003A0878">
        <w:t xml:space="preserve">approve the </w:t>
      </w:r>
      <w:r w:rsidR="00092750">
        <w:t xml:space="preserve">proposed </w:t>
      </w:r>
      <w:proofErr w:type="gramStart"/>
      <w:r w:rsidRPr="00481B07">
        <w:t>revisions;</w:t>
      </w:r>
      <w:proofErr w:type="gramEnd"/>
    </w:p>
    <w:p w14:paraId="6565798C" w14:textId="77777777" w:rsidR="00481B07" w:rsidRPr="00481B07" w:rsidRDefault="00481B07" w:rsidP="009F0961">
      <w:pPr>
        <w:pStyle w:val="ListNormal"/>
      </w:pPr>
      <w:r w:rsidRPr="00143117">
        <w:t>reject the proposed revisions; or</w:t>
      </w:r>
    </w:p>
    <w:p w14:paraId="22B4C063" w14:textId="6B39263C" w:rsidR="00481B07" w:rsidRPr="00481B07" w:rsidRDefault="00481B07" w:rsidP="009F0961">
      <w:pPr>
        <w:pStyle w:val="ListNormal"/>
      </w:pPr>
      <w:r w:rsidRPr="00143117">
        <w:t xml:space="preserve">reject the proposed revisions and give recommendations as to alternative revisions which it considers </w:t>
      </w:r>
      <w:r w:rsidR="008C578E">
        <w:t>should be made</w:t>
      </w:r>
      <w:r w:rsidRPr="00143117">
        <w:t xml:space="preserve"> with</w:t>
      </w:r>
      <w:r w:rsidRPr="00481B07">
        <w:t xml:space="preserve"> a date by which the licensee is required to submit those revisions</w:t>
      </w:r>
      <w:r w:rsidR="0012387B">
        <w:t>.</w:t>
      </w:r>
    </w:p>
    <w:p w14:paraId="4EF84E20" w14:textId="2ACE287E" w:rsidR="00481B07" w:rsidRPr="0057526A" w:rsidRDefault="00481B07" w:rsidP="009F0961">
      <w:pPr>
        <w:pStyle w:val="Heading3nonumbering"/>
      </w:pPr>
      <w:r w:rsidRPr="0057526A">
        <w:t xml:space="preserve">Introduction </w:t>
      </w:r>
      <w:r>
        <w:t>[NGET only]</w:t>
      </w:r>
    </w:p>
    <w:p w14:paraId="2C9ECA2F" w14:textId="44A37362" w:rsidR="00D75F87" w:rsidRPr="00CB3479" w:rsidRDefault="00D75F87" w:rsidP="00D75F87">
      <w:pPr>
        <w:rPr>
          <w:i/>
        </w:rPr>
      </w:pPr>
      <w:r w:rsidRPr="00CB3479">
        <w:rPr>
          <w:i/>
        </w:rPr>
        <w:t>[</w:t>
      </w:r>
      <w:r>
        <w:rPr>
          <w:i/>
        </w:rPr>
        <w:t xml:space="preserve">The close out of the </w:t>
      </w:r>
      <w:r w:rsidRPr="00CB3479">
        <w:rPr>
          <w:i/>
        </w:rPr>
        <w:t>Stakeholder satisfaction output for NGET’s licence]</w:t>
      </w:r>
    </w:p>
    <w:p w14:paraId="26D9F685" w14:textId="344AEB31" w:rsidR="00481B07" w:rsidRPr="00481B07" w:rsidRDefault="00D75F87" w:rsidP="00D75F87">
      <w:pPr>
        <w:pStyle w:val="NumberedNormal"/>
      </w:pPr>
      <w:r w:rsidRPr="00D05829">
        <w:t xml:space="preserve"> </w:t>
      </w:r>
      <w:r w:rsidR="00481B07" w:rsidRPr="00D05829">
        <w:t>The purpose of this condition is to calculat</w:t>
      </w:r>
      <w:r w:rsidR="00481B07" w:rsidRPr="00481B07">
        <w:t xml:space="preserve">e the </w:t>
      </w:r>
      <w:proofErr w:type="spellStart"/>
      <w:r>
        <w:t>L</w:t>
      </w:r>
      <w:r w:rsidR="00481B07" w:rsidRPr="00481B07">
        <w:t>SSOt</w:t>
      </w:r>
      <w:proofErr w:type="spellEnd"/>
      <w:r w:rsidR="00481B07" w:rsidRPr="00481B07">
        <w:t xml:space="preserve"> term (the RIIO-ET1 Stakeholder Satisfaction Output). This contributes to the calculation of the </w:t>
      </w:r>
      <w:proofErr w:type="spellStart"/>
      <w:r w:rsidR="00481B07" w:rsidRPr="00481B07">
        <w:t>LARt</w:t>
      </w:r>
      <w:proofErr w:type="spellEnd"/>
      <w:r w:rsidR="00481B07" w:rsidRPr="00481B07">
        <w:t xml:space="preserve"> term (the legacy adjustments term), which in turn feeds into Calculated Revenue in </w:t>
      </w:r>
      <w:r w:rsidR="00A148E7">
        <w:t>Special Condition 2.1 (Revenue Restriction)</w:t>
      </w:r>
      <w:r w:rsidR="00481B07" w:rsidRPr="00481B07">
        <w:t>.</w:t>
      </w:r>
    </w:p>
    <w:p w14:paraId="12D31E71" w14:textId="77777777" w:rsidR="00481B07" w:rsidRPr="00481B07" w:rsidRDefault="00481B07" w:rsidP="009F0961">
      <w:pPr>
        <w:pStyle w:val="NumberedNormal"/>
      </w:pPr>
      <w:r>
        <w:t xml:space="preserve">The effect </w:t>
      </w:r>
      <w:r w:rsidRPr="00481B07">
        <w:t xml:space="preserve">of this condition is to close out the RIIO-ET1 Stakeholder Satisfaction Output. </w:t>
      </w:r>
    </w:p>
    <w:p w14:paraId="48438B86" w14:textId="4FB9D07B" w:rsidR="00481B07" w:rsidRPr="00B76D9F" w:rsidRDefault="00CC06CB" w:rsidP="003F66DB">
      <w:pPr>
        <w:pStyle w:val="Heading3"/>
        <w:numPr>
          <w:ilvl w:val="5"/>
          <w:numId w:val="32"/>
        </w:numPr>
      </w:pPr>
      <w:r>
        <w:t>Formula for calculating</w:t>
      </w:r>
      <w:r w:rsidR="00481B07" w:rsidRPr="00B76D9F">
        <w:t xml:space="preserve"> the </w:t>
      </w:r>
      <w:r w:rsidR="00481B07">
        <w:t xml:space="preserve">RIIO-ET1 </w:t>
      </w:r>
      <w:r w:rsidR="00481B07" w:rsidRPr="00B76D9F">
        <w:t>Stakeholder Satisfaction Output term</w:t>
      </w:r>
      <w:r w:rsidR="00092750">
        <w:t xml:space="preserve"> (</w:t>
      </w:r>
      <w:proofErr w:type="spellStart"/>
      <w:r w:rsidR="00D75F87">
        <w:t>L</w:t>
      </w:r>
      <w:r w:rsidR="00092750">
        <w:t>SSOt</w:t>
      </w:r>
      <w:proofErr w:type="spellEnd"/>
      <w:r w:rsidR="00092750">
        <w:t>)</w:t>
      </w:r>
    </w:p>
    <w:p w14:paraId="624C6F8A" w14:textId="6FEFB623" w:rsidR="00481B07" w:rsidRPr="00481B07" w:rsidRDefault="00481B07" w:rsidP="009F0961">
      <w:pPr>
        <w:pStyle w:val="NumberedNormal"/>
      </w:pPr>
      <w:r w:rsidRPr="0078355D">
        <w:t xml:space="preserve"> </w:t>
      </w:r>
      <w:r w:rsidRPr="00481B07">
        <w:t xml:space="preserve">The </w:t>
      </w:r>
      <w:proofErr w:type="spellStart"/>
      <w:r w:rsidR="00D75F87">
        <w:t>L</w:t>
      </w:r>
      <w:r w:rsidRPr="00481B07">
        <w:t>SSOt</w:t>
      </w:r>
      <w:proofErr w:type="spellEnd"/>
      <w:r w:rsidRPr="00481B07">
        <w:t xml:space="preserve"> term is derived in accordance with the following formula:</w:t>
      </w:r>
    </w:p>
    <w:p w14:paraId="295FF580" w14:textId="51153B81" w:rsidR="00481B07" w:rsidRPr="0078355D" w:rsidRDefault="00B913B6" w:rsidP="009F0961">
      <w:pPr>
        <w:pStyle w:val="Equation"/>
      </w:pPr>
      <m:oMathPara>
        <m:oMath>
          <m:sSub>
            <m:sSubPr>
              <m:ctrlPr>
                <w:rPr>
                  <w:rFonts w:ascii="Cambria Math" w:hAnsi="Cambria Math"/>
                </w:rPr>
              </m:ctrlPr>
            </m:sSubPr>
            <m:e>
              <m:r>
                <m:rPr>
                  <m:sty m:val="p"/>
                </m:rPr>
                <w:rPr>
                  <w:rFonts w:ascii="Cambria Math" w:hAnsi="Cambria Math"/>
                </w:rPr>
                <m:t>LSSO</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SER</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SSS</m:t>
                  </m:r>
                </m:e>
                <m:sub>
                  <m:r>
                    <m:rPr>
                      <m:sty m:val="p"/>
                    </m:rPr>
                    <w:rPr>
                      <w:rFonts w:ascii="Cambria Math" w:hAnsi="Cambria Math"/>
                    </w:rPr>
                    <m:t>t</m:t>
                  </m:r>
                </m:sub>
              </m:sSub>
            </m:e>
          </m:d>
        </m:oMath>
      </m:oMathPara>
    </w:p>
    <w:p w14:paraId="6159E659" w14:textId="77777777" w:rsidR="00481B07" w:rsidRPr="0078355D" w:rsidRDefault="00481B07" w:rsidP="00481B07">
      <w:r w:rsidRPr="00B76D9F">
        <w:t>where</w:t>
      </w:r>
      <w:r w:rsidRPr="0078355D">
        <w:t>:</w:t>
      </w:r>
    </w:p>
    <w:p w14:paraId="50E6BCAC" w14:textId="77777777" w:rsidR="00481B07" w:rsidRPr="00B76D9F" w:rsidRDefault="00481B07" w:rsidP="00481B07"/>
    <w:tbl>
      <w:tblPr>
        <w:tblW w:w="8363" w:type="dxa"/>
        <w:tblInd w:w="817" w:type="dxa"/>
        <w:tblLayout w:type="fixed"/>
        <w:tblLook w:val="04A0" w:firstRow="1" w:lastRow="0" w:firstColumn="1" w:lastColumn="0" w:noHBand="0" w:noVBand="1"/>
      </w:tblPr>
      <w:tblGrid>
        <w:gridCol w:w="2126"/>
        <w:gridCol w:w="6237"/>
      </w:tblGrid>
      <w:tr w:rsidR="00481B07" w:rsidRPr="00774853" w14:paraId="3B8F0E68" w14:textId="77777777" w:rsidTr="00481B07">
        <w:trPr>
          <w:trHeight w:val="567"/>
        </w:trPr>
        <w:tc>
          <w:tcPr>
            <w:tcW w:w="2126" w:type="dxa"/>
            <w:shd w:val="clear" w:color="auto" w:fill="auto"/>
          </w:tcPr>
          <w:p w14:paraId="3EE0F23E" w14:textId="77777777" w:rsidR="00481B07" w:rsidRPr="00481B07" w:rsidRDefault="00481B07" w:rsidP="00481B07">
            <w:proofErr w:type="spellStart"/>
            <w:r w:rsidRPr="00D16397">
              <w:t>SERt</w:t>
            </w:r>
            <w:proofErr w:type="spellEnd"/>
          </w:p>
        </w:tc>
        <w:tc>
          <w:tcPr>
            <w:tcW w:w="6237" w:type="dxa"/>
            <w:shd w:val="clear" w:color="auto" w:fill="auto"/>
          </w:tcPr>
          <w:p w14:paraId="56BA139B" w14:textId="034CC880" w:rsidR="00481B07" w:rsidRPr="00481B07" w:rsidRDefault="00481B07" w:rsidP="00481B07">
            <w:r w:rsidRPr="00D16397">
              <w:t xml:space="preserve">means the adjustment to the licensee's revenue </w:t>
            </w:r>
            <w:r w:rsidRPr="00481B07">
              <w:t xml:space="preserve">in respect of the licensee’s performance in the Regulatory Year 2020/2021 </w:t>
            </w:r>
            <w:r w:rsidR="00092750">
              <w:t>derived in accordance with</w:t>
            </w:r>
            <w:r w:rsidRPr="00481B07">
              <w:t xml:space="preserve"> Part B</w:t>
            </w:r>
            <w:r w:rsidR="00706F14">
              <w:t>; and</w:t>
            </w:r>
          </w:p>
        </w:tc>
      </w:tr>
      <w:tr w:rsidR="00481B07" w:rsidRPr="00774853" w14:paraId="4C1C579A" w14:textId="77777777" w:rsidTr="00481B07">
        <w:trPr>
          <w:trHeight w:val="567"/>
        </w:trPr>
        <w:tc>
          <w:tcPr>
            <w:tcW w:w="2126" w:type="dxa"/>
            <w:shd w:val="clear" w:color="auto" w:fill="auto"/>
          </w:tcPr>
          <w:p w14:paraId="7A28713D" w14:textId="77777777" w:rsidR="00481B07" w:rsidRPr="00481B07" w:rsidRDefault="00481B07" w:rsidP="00481B07">
            <w:proofErr w:type="spellStart"/>
            <w:r w:rsidRPr="00D16397">
              <w:t>SSSt</w:t>
            </w:r>
            <w:proofErr w:type="spellEnd"/>
          </w:p>
        </w:tc>
        <w:tc>
          <w:tcPr>
            <w:tcW w:w="6237" w:type="dxa"/>
            <w:shd w:val="clear" w:color="auto" w:fill="auto"/>
          </w:tcPr>
          <w:p w14:paraId="7C8D199B" w14:textId="68E027D7" w:rsidR="00481B07" w:rsidRPr="00481B07" w:rsidRDefault="00481B07" w:rsidP="00481B07">
            <w:r w:rsidRPr="00D16397">
              <w:t>m</w:t>
            </w:r>
            <w:r w:rsidRPr="00481B07">
              <w:t xml:space="preserve">eans the adjustment to the licensee's revenue in respect of the licensee’s performance in the Regulatory Year 2020/2021 </w:t>
            </w:r>
            <w:r w:rsidR="00092750">
              <w:t>derived in accordance with</w:t>
            </w:r>
            <w:r w:rsidRPr="00481B07">
              <w:t xml:space="preserve"> under Part D.</w:t>
            </w:r>
          </w:p>
        </w:tc>
      </w:tr>
    </w:tbl>
    <w:p w14:paraId="7659985E" w14:textId="77777777" w:rsidR="00481B07" w:rsidRPr="00481B07" w:rsidRDefault="00481B07" w:rsidP="00A858BA">
      <w:pPr>
        <w:pStyle w:val="NumberedNormal"/>
      </w:pPr>
      <w:r>
        <w:t xml:space="preserve">This condition will cease to have effect </w:t>
      </w:r>
      <w:r w:rsidRPr="00481B07">
        <w:t>on 1 April 2022.</w:t>
      </w:r>
    </w:p>
    <w:p w14:paraId="66373DCA" w14:textId="4BDEA145" w:rsidR="00481B07" w:rsidRPr="00B76D9F" w:rsidRDefault="00481B07" w:rsidP="00A858BA">
      <w:pPr>
        <w:pStyle w:val="Heading3"/>
      </w:pPr>
      <w:r>
        <w:t>Direction</w:t>
      </w:r>
      <w:r w:rsidRPr="00B76D9F">
        <w:t xml:space="preserve"> of the </w:t>
      </w:r>
      <w:r w:rsidR="001C31C8">
        <w:t>Stakeholder Engagement Reward term (</w:t>
      </w:r>
      <w:proofErr w:type="spellStart"/>
      <w:r>
        <w:t>SER</w:t>
      </w:r>
      <w:r w:rsidRPr="001C31C8">
        <w:rPr>
          <w:vertAlign w:val="subscript"/>
        </w:rPr>
        <w:t>t</w:t>
      </w:r>
      <w:proofErr w:type="spellEnd"/>
      <w:r w:rsidR="001C31C8">
        <w:t>)</w:t>
      </w:r>
    </w:p>
    <w:p w14:paraId="704A6118" w14:textId="77777777" w:rsidR="00481B07" w:rsidRPr="00481B07" w:rsidRDefault="00481B07" w:rsidP="00243BD6">
      <w:pPr>
        <w:pStyle w:val="NumberedNormal"/>
      </w:pPr>
      <w:r>
        <w:t xml:space="preserve">The </w:t>
      </w:r>
      <w:r w:rsidRPr="00481B07">
        <w:t xml:space="preserve">licensee may apply to the Authority for a direction adjusting the value of the </w:t>
      </w:r>
      <w:proofErr w:type="spellStart"/>
      <w:r w:rsidRPr="00481B07">
        <w:t>SER</w:t>
      </w:r>
      <w:r w:rsidRPr="001C31C8">
        <w:rPr>
          <w:vertAlign w:val="subscript"/>
        </w:rPr>
        <w:t>t</w:t>
      </w:r>
      <w:proofErr w:type="spellEnd"/>
      <w:r w:rsidRPr="00481B07">
        <w:t xml:space="preserve"> term in accordance with the Stakeholder Engagement Reward Guidance published on the Authority's Website.</w:t>
      </w:r>
    </w:p>
    <w:p w14:paraId="707BD971" w14:textId="77777777" w:rsidR="00481B07" w:rsidRPr="00481B07" w:rsidRDefault="00481B07" w:rsidP="00243BD6">
      <w:pPr>
        <w:pStyle w:val="NumberedNormal"/>
      </w:pPr>
      <w:r w:rsidRPr="00D16397">
        <w:t xml:space="preserve">The maximum value of </w:t>
      </w:r>
      <w:proofErr w:type="spellStart"/>
      <w:r w:rsidRPr="00D16397">
        <w:t>SER</w:t>
      </w:r>
      <w:r w:rsidRPr="001C31C8">
        <w:rPr>
          <w:vertAlign w:val="subscript"/>
        </w:rPr>
        <w:t>t</w:t>
      </w:r>
      <w:proofErr w:type="spellEnd"/>
      <w:r w:rsidRPr="00D16397">
        <w:t xml:space="preserve"> that the Authority will direct is equal to 0.5 per cent of Base Transmission Revenue in Regulatory Year t as calculated in accordance with Part C of Special Condition 3A (</w:t>
      </w:r>
      <w:r w:rsidRPr="00481B07">
        <w:t xml:space="preserve">Restriction of Transmission Network Revenue) as in force on 31 March 2021. </w:t>
      </w:r>
    </w:p>
    <w:p w14:paraId="0A05EFDA" w14:textId="14E5B322" w:rsidR="00481B07" w:rsidRPr="00B76D9F" w:rsidRDefault="00481B07" w:rsidP="00243BD6">
      <w:pPr>
        <w:pStyle w:val="Heading3"/>
      </w:pPr>
      <w:r w:rsidRPr="00B76D9F">
        <w:lastRenderedPageBreak/>
        <w:t xml:space="preserve">Modification of the Stakeholder Engagement Reward Guidance </w:t>
      </w:r>
    </w:p>
    <w:p w14:paraId="20CF3665" w14:textId="77777777" w:rsidR="00481B07" w:rsidRPr="00481B07" w:rsidRDefault="00481B07" w:rsidP="00243BD6">
      <w:pPr>
        <w:pStyle w:val="NumberedNormal"/>
      </w:pPr>
      <w:r w:rsidRPr="00D16397">
        <w:t>The Authority will modify the Stakeholder Engagement Reward Guidance by direction.</w:t>
      </w:r>
    </w:p>
    <w:p w14:paraId="48667D02" w14:textId="7A654CAD" w:rsidR="00481B07" w:rsidRPr="00481B07" w:rsidRDefault="00481B07" w:rsidP="00243BD6">
      <w:pPr>
        <w:pStyle w:val="NumberedNormal"/>
      </w:pPr>
      <w:r w:rsidRPr="00D16397">
        <w:t xml:space="preserve">Before amending the Stakeholder Engagement Reward Guidance by direction, the Authority will publish on </w:t>
      </w:r>
      <w:r w:rsidR="00D9203B">
        <w:t>the Authority's Website</w:t>
      </w:r>
      <w:r w:rsidRPr="00D16397">
        <w:t>:</w:t>
      </w:r>
    </w:p>
    <w:p w14:paraId="1ED69809" w14:textId="77777777" w:rsidR="00481B07" w:rsidRPr="00481B07" w:rsidRDefault="00481B07" w:rsidP="00243BD6">
      <w:pPr>
        <w:pStyle w:val="ListNormal"/>
      </w:pPr>
      <w:r w:rsidRPr="00D16397">
        <w:t xml:space="preserve">the text of the amended Stakeholder Engagement Reward </w:t>
      </w:r>
      <w:proofErr w:type="gramStart"/>
      <w:r w:rsidRPr="00D16397">
        <w:t>Guidance;</w:t>
      </w:r>
      <w:proofErr w:type="gramEnd"/>
    </w:p>
    <w:p w14:paraId="299350BC" w14:textId="12D4CF50" w:rsidR="00481B07" w:rsidRPr="00481B07" w:rsidRDefault="00481B07" w:rsidP="00243BD6">
      <w:pPr>
        <w:pStyle w:val="ListNormal"/>
      </w:pPr>
      <w:r w:rsidRPr="00D16397">
        <w:t xml:space="preserve">the date </w:t>
      </w:r>
      <w:r w:rsidR="00092750">
        <w:t xml:space="preserve">on which </w:t>
      </w:r>
      <w:r w:rsidRPr="00D16397">
        <w:t xml:space="preserve">the Authority intends the amended Stakeholder Engagement Reward Guidance to come into </w:t>
      </w:r>
      <w:proofErr w:type="gramStart"/>
      <w:r w:rsidRPr="00D16397">
        <w:t>effect;</w:t>
      </w:r>
      <w:proofErr w:type="gramEnd"/>
    </w:p>
    <w:p w14:paraId="138D105F" w14:textId="338B1422" w:rsidR="00481B07" w:rsidRPr="00481B07" w:rsidRDefault="00481B07" w:rsidP="00243BD6">
      <w:pPr>
        <w:pStyle w:val="ListNormal"/>
      </w:pPr>
      <w:r w:rsidRPr="00D16397">
        <w:t>the reasons for the amendments to the Stakeholder Engagement Reward Guidance;</w:t>
      </w:r>
      <w:r w:rsidR="001D3554">
        <w:t xml:space="preserve"> and</w:t>
      </w:r>
    </w:p>
    <w:p w14:paraId="521AD797" w14:textId="2ADAFA3A" w:rsidR="00092750" w:rsidRPr="00481B07" w:rsidRDefault="001D3554" w:rsidP="00092750">
      <w:pPr>
        <w:pStyle w:val="ListNormal"/>
        <w:tabs>
          <w:tab w:val="num" w:pos="879"/>
        </w:tabs>
      </w:pPr>
      <w:r>
        <w:t xml:space="preserve">a </w:t>
      </w:r>
      <w:r w:rsidR="00092750" w:rsidRPr="007E6D46">
        <w:t xml:space="preserve">period during which representations may be made on the amendments to the </w:t>
      </w:r>
      <w:r w:rsidR="00092750">
        <w:t>Stakeholder Engagement Reward Guidance</w:t>
      </w:r>
      <w:r w:rsidR="00092750" w:rsidRPr="007E6D46">
        <w:t xml:space="preserve">, which </w:t>
      </w:r>
      <w:r w:rsidR="00092750">
        <w:t>will</w:t>
      </w:r>
      <w:r w:rsidR="00092750" w:rsidRPr="007E6D46">
        <w:t xml:space="preserve"> not be less than 28 days</w:t>
      </w:r>
      <w:r w:rsidR="00092750" w:rsidRPr="009E1DD8">
        <w:t xml:space="preserve">. </w:t>
      </w:r>
    </w:p>
    <w:p w14:paraId="561EE2AB" w14:textId="474086F2" w:rsidR="00481B07" w:rsidRPr="0075590D" w:rsidRDefault="00CC06CB" w:rsidP="00E95A2F">
      <w:pPr>
        <w:pStyle w:val="Heading3"/>
      </w:pPr>
      <w:r>
        <w:t xml:space="preserve">Formula for calculating </w:t>
      </w:r>
      <w:r w:rsidR="00481B07" w:rsidRPr="0075590D">
        <w:t xml:space="preserve">the </w:t>
      </w:r>
      <w:r w:rsidR="00481B07">
        <w:t>Cu</w:t>
      </w:r>
      <w:r w:rsidR="00481B07" w:rsidRPr="0075590D">
        <w:t xml:space="preserve">stomer and </w:t>
      </w:r>
      <w:r w:rsidR="00481B07">
        <w:t>S</w:t>
      </w:r>
      <w:r w:rsidR="00481B07" w:rsidRPr="0075590D">
        <w:t xml:space="preserve">takeholder </w:t>
      </w:r>
      <w:r w:rsidR="00481B07">
        <w:t>S</w:t>
      </w:r>
      <w:r w:rsidR="00481B07" w:rsidRPr="0075590D">
        <w:t xml:space="preserve">atisfaction </w:t>
      </w:r>
      <w:r w:rsidR="00481B07">
        <w:t>Incentive</w:t>
      </w:r>
      <w:r w:rsidR="001C31C8">
        <w:t xml:space="preserve"> (</w:t>
      </w:r>
      <w:proofErr w:type="spellStart"/>
      <w:r w:rsidR="001C31C8">
        <w:t>SSS</w:t>
      </w:r>
      <w:r w:rsidR="001C31C8" w:rsidRPr="001C31C8">
        <w:rPr>
          <w:vertAlign w:val="subscript"/>
        </w:rPr>
        <w:t>t</w:t>
      </w:r>
      <w:proofErr w:type="spellEnd"/>
      <w:r w:rsidR="001C31C8">
        <w:t>)</w:t>
      </w:r>
    </w:p>
    <w:p w14:paraId="79EAAEDB" w14:textId="77777777" w:rsidR="00481B07" w:rsidRPr="00481B07" w:rsidRDefault="00481B07" w:rsidP="00E95A2F">
      <w:pPr>
        <w:pStyle w:val="NumberedNormal"/>
      </w:pPr>
      <w:r w:rsidRPr="0075590D">
        <w:t xml:space="preserve">The </w:t>
      </w:r>
      <w:proofErr w:type="spellStart"/>
      <w:r w:rsidRPr="0075590D">
        <w:t>SSSt</w:t>
      </w:r>
      <w:proofErr w:type="spellEnd"/>
      <w:r w:rsidRPr="00481B07">
        <w:t xml:space="preserve"> term is derived in accordance with the following formula: </w:t>
      </w:r>
    </w:p>
    <w:p w14:paraId="1587D5D9" w14:textId="77777777" w:rsidR="00481B07" w:rsidRPr="00481B07" w:rsidRDefault="00481B07" w:rsidP="00E95A2F">
      <w:pPr>
        <w:pStyle w:val="Equation"/>
      </w:pPr>
      <m:oMathPara>
        <m:oMath>
          <m:r>
            <m:rPr>
              <m:sty m:val="p"/>
            </m:rPr>
            <w:rPr>
              <w:rFonts w:ascii="Cambria Math" w:hAnsi="Cambria Math"/>
            </w:rPr>
            <m:t>SSSt=</m:t>
          </m:r>
          <m:d>
            <m:dPr>
              <m:ctrlPr>
                <w:rPr>
                  <w:rFonts w:ascii="Cambria Math" w:hAnsi="Cambria Math"/>
                </w:rPr>
              </m:ctrlPr>
            </m:dPr>
            <m:e>
              <m:d>
                <m:dPr>
                  <m:ctrlPr>
                    <w:rPr>
                      <w:rFonts w:ascii="Cambria Math" w:hAnsi="Cambria Math"/>
                    </w:rPr>
                  </m:ctrlPr>
                </m:dPr>
                <m:e>
                  <m:r>
                    <m:rPr>
                      <m:sty m:val="p"/>
                    </m:rPr>
                    <w:rPr>
                      <w:rFonts w:ascii="Cambria Math" w:hAnsi="Cambria Math"/>
                    </w:rPr>
                    <m:t>CSSAFt ∙ CSSPROt</m:t>
                  </m:r>
                </m:e>
              </m:d>
              <m:r>
                <m:rPr>
                  <m:sty m:val="p"/>
                </m:rPr>
                <w:rPr>
                  <w:rFonts w:ascii="Cambria Math" w:hAnsi="Cambria Math"/>
                </w:rPr>
                <m:t>+</m:t>
              </m:r>
              <m:d>
                <m:dPr>
                  <m:ctrlPr>
                    <w:rPr>
                      <w:rFonts w:ascii="Cambria Math" w:hAnsi="Cambria Math"/>
                    </w:rPr>
                  </m:ctrlPr>
                </m:dPr>
                <m:e>
                  <m:r>
                    <m:rPr>
                      <m:sty m:val="p"/>
                    </m:rPr>
                    <w:rPr>
                      <w:rFonts w:ascii="Cambria Math" w:hAnsi="Cambria Math"/>
                    </w:rPr>
                    <m:t>SSSAFt ∙SSSPROt</m:t>
                  </m:r>
                </m:e>
              </m:d>
            </m:e>
          </m:d>
          <m:r>
            <m:rPr>
              <m:sty m:val="p"/>
            </m:rPr>
            <w:rPr>
              <w:rFonts w:ascii="Cambria Math" w:hAnsi="Cambria Math"/>
            </w:rPr>
            <m:t>∙</m:t>
          </m:r>
          <m:sSub>
            <m:sSubPr>
              <m:ctrlPr>
                <w:rPr>
                  <w:rFonts w:ascii="Cambria Math" w:hAnsi="Cambria Math"/>
                </w:rPr>
              </m:ctrlPr>
            </m:sSubPr>
            <m:e>
              <m:r>
                <w:rPr>
                  <w:rFonts w:ascii="Cambria Math" w:hAnsi="Cambria Math"/>
                </w:rPr>
                <m:t>R1BR</m:t>
              </m:r>
            </m:e>
            <m:sub>
              <m:r>
                <w:rPr>
                  <w:rFonts w:ascii="Cambria Math" w:hAnsi="Cambria Math"/>
                </w:rPr>
                <m:t>t</m:t>
              </m:r>
            </m:sub>
          </m:sSub>
          <m:r>
            <m:rPr>
              <m:sty m:val="p"/>
            </m:rPr>
            <w:rPr>
              <w:rFonts w:ascii="Cambria Math" w:hAnsi="Cambria Math"/>
            </w:rPr>
            <m:t>∙0.01</m:t>
          </m:r>
        </m:oMath>
      </m:oMathPara>
    </w:p>
    <w:p w14:paraId="1723A812" w14:textId="77777777" w:rsidR="00481B07" w:rsidRPr="00481B07" w:rsidRDefault="00481B07" w:rsidP="003F66DB">
      <w:pPr>
        <w:ind w:left="720"/>
      </w:pPr>
      <w:r w:rsidRPr="0005287E">
        <w:t>where:</w:t>
      </w:r>
    </w:p>
    <w:p w14:paraId="1217BB5D" w14:textId="4835FB65" w:rsidR="00481B07" w:rsidRPr="00481B07" w:rsidRDefault="00481B07" w:rsidP="00D75F87">
      <w:pPr>
        <w:pStyle w:val="Quote"/>
      </w:pPr>
      <w:proofErr w:type="spellStart"/>
      <w:r w:rsidRPr="008E1EFB">
        <w:t>CSSAFt</w:t>
      </w:r>
      <w:proofErr w:type="spellEnd"/>
      <w:r w:rsidRPr="00481B07">
        <w:tab/>
        <w:t>means the adjustment factor in respect of the licensee’s performance in the Customer Satisfaction Survey</w:t>
      </w:r>
      <w:r w:rsidR="00092750">
        <w:t xml:space="preserve"> and is derived in accordance with the following</w:t>
      </w:r>
      <w:r w:rsidRPr="00481B07">
        <w:t xml:space="preserve"> formula:</w:t>
      </w:r>
    </w:p>
    <w:p w14:paraId="337BAA17" w14:textId="77777777" w:rsidR="00481B07" w:rsidRPr="00481B07" w:rsidRDefault="00481B07" w:rsidP="00D75F87">
      <w:pPr>
        <w:pStyle w:val="Quote"/>
      </w:pPr>
      <w:r w:rsidRPr="008E1EFB">
        <w:t xml:space="preserve">If </w:t>
      </w:r>
      <w:proofErr w:type="spellStart"/>
      <w:r w:rsidRPr="008E1EFB">
        <w:t>CSSPt</w:t>
      </w:r>
      <w:proofErr w:type="spellEnd"/>
      <w:r w:rsidRPr="00481B07">
        <w:t>&gt; CSST:</w:t>
      </w:r>
    </w:p>
    <w:p w14:paraId="2A38FCE3" w14:textId="77777777" w:rsidR="00481B07" w:rsidRPr="00481B07" w:rsidRDefault="00481B07" w:rsidP="00D75F87">
      <w:pPr>
        <w:pStyle w:val="Quote"/>
      </w:pPr>
      <w:r w:rsidRPr="008E1EFB">
        <w:t>CSSAF</w:t>
      </w:r>
      <w:r w:rsidRPr="00481B07">
        <w:t>(t)=</w:t>
      </w:r>
      <w:proofErr w:type="gramStart"/>
      <w:r w:rsidRPr="00481B07">
        <w:t>min(</w:t>
      </w:r>
      <w:proofErr w:type="gramEnd"/>
      <w:r w:rsidRPr="00481B07">
        <w:t>CSSUPA,CSSUPA×[(CSSP_(t-2)-CSST)/(CSSCAP-CSST)])</w:t>
      </w:r>
    </w:p>
    <w:p w14:paraId="674A63B5" w14:textId="77777777" w:rsidR="00481B07" w:rsidRPr="00481B07" w:rsidRDefault="00481B07" w:rsidP="00D75F87">
      <w:pPr>
        <w:pStyle w:val="Quote"/>
      </w:pPr>
      <w:r w:rsidRPr="008E1EFB">
        <w:t xml:space="preserve">If </w:t>
      </w:r>
      <w:proofErr w:type="spellStart"/>
      <w:r w:rsidRPr="008E1EFB">
        <w:t>CSSPt</w:t>
      </w:r>
      <w:proofErr w:type="spellEnd"/>
      <w:r w:rsidRPr="00481B07">
        <w:t>&lt; CSST:</w:t>
      </w:r>
    </w:p>
    <w:p w14:paraId="2BE00F64" w14:textId="77777777" w:rsidR="00481B07" w:rsidRPr="00481B07" w:rsidRDefault="00481B07" w:rsidP="00D75F87">
      <w:pPr>
        <w:pStyle w:val="Quote"/>
      </w:pPr>
      <w:proofErr w:type="spellStart"/>
      <w:r w:rsidRPr="008E1EFB">
        <w:t>CSSAF</w:t>
      </w:r>
      <w:r w:rsidRPr="00481B07">
        <w:t>t</w:t>
      </w:r>
      <w:proofErr w:type="spellEnd"/>
      <w:r w:rsidRPr="00481B07">
        <w:t>=</w:t>
      </w:r>
      <w:proofErr w:type="gramStart"/>
      <w:r w:rsidRPr="00481B07">
        <w:t>max(</w:t>
      </w:r>
      <w:proofErr w:type="gramEnd"/>
      <w:r w:rsidRPr="00481B07">
        <w:t>CSSDPA,CSSDPA×[(CSST-CSSP_(t))/(CSST-CSSCOL)])</w:t>
      </w:r>
    </w:p>
    <w:p w14:paraId="4DBB33BD" w14:textId="59FA3C50" w:rsidR="00481B07" w:rsidRPr="00481B07" w:rsidRDefault="00092750" w:rsidP="00D75F87">
      <w:pPr>
        <w:pStyle w:val="Quote"/>
      </w:pPr>
      <w:r>
        <w:t>o</w:t>
      </w:r>
      <w:r w:rsidR="00481B07" w:rsidRPr="008E1EFB">
        <w:t>therwise:</w:t>
      </w:r>
    </w:p>
    <w:p w14:paraId="21BCAD48" w14:textId="77777777" w:rsidR="00481B07" w:rsidRPr="00481B07" w:rsidRDefault="00481B07" w:rsidP="00D75F87">
      <w:pPr>
        <w:pStyle w:val="Quote"/>
      </w:pPr>
      <w:proofErr w:type="spellStart"/>
      <w:r w:rsidRPr="008E1EFB">
        <w:t>CSSAFt</w:t>
      </w:r>
      <w:proofErr w:type="spellEnd"/>
      <w:r w:rsidRPr="00481B07">
        <w:t xml:space="preserve"> = 0</w:t>
      </w:r>
    </w:p>
    <w:p w14:paraId="5E5071E8" w14:textId="77777777" w:rsidR="00481B07" w:rsidRPr="00481B07" w:rsidRDefault="00481B07" w:rsidP="00D75F87">
      <w:pPr>
        <w:pStyle w:val="Quote"/>
      </w:pPr>
      <w:r w:rsidRPr="008E1EFB">
        <w:tab/>
      </w:r>
      <w:r w:rsidRPr="008E1EFB">
        <w:tab/>
      </w:r>
      <w:r w:rsidRPr="008E1EFB">
        <w:tab/>
        <w:t>where:</w:t>
      </w:r>
    </w:p>
    <w:p w14:paraId="4F2EA773" w14:textId="6A8FC692" w:rsidR="00481B07" w:rsidRPr="00481B07" w:rsidRDefault="00481B07" w:rsidP="00D75F87">
      <w:pPr>
        <w:pStyle w:val="Quote"/>
      </w:pPr>
      <w:r w:rsidRPr="008E1EFB">
        <w:t>CSST</w:t>
      </w:r>
      <w:r w:rsidRPr="008E1EFB">
        <w:tab/>
        <w:t xml:space="preserve">is the customer satisfaction survey target, and </w:t>
      </w:r>
      <w:r w:rsidR="00092750">
        <w:t>has</w:t>
      </w:r>
      <w:r w:rsidRPr="008E1EFB">
        <w:t xml:space="preserve"> the value </w:t>
      </w:r>
      <w:proofErr w:type="gramStart"/>
      <w:r w:rsidRPr="008E1EFB">
        <w:t>6.9</w:t>
      </w:r>
      <w:r w:rsidR="001D3554">
        <w:t>;</w:t>
      </w:r>
      <w:proofErr w:type="gramEnd"/>
    </w:p>
    <w:p w14:paraId="4BDABC45" w14:textId="28C1CD98" w:rsidR="00481B07" w:rsidRPr="00481B07" w:rsidRDefault="00481B07" w:rsidP="00D75F87">
      <w:pPr>
        <w:pStyle w:val="Quote"/>
      </w:pPr>
      <w:r w:rsidRPr="008E1EFB">
        <w:t>CSSCAP</w:t>
      </w:r>
      <w:r w:rsidRPr="008E1EFB">
        <w:tab/>
        <w:t xml:space="preserve">is the customer satisfaction survey cap, and </w:t>
      </w:r>
      <w:r w:rsidR="00092750">
        <w:t>has</w:t>
      </w:r>
      <w:r w:rsidRPr="008E1EFB">
        <w:t xml:space="preserve"> the value </w:t>
      </w:r>
      <w:proofErr w:type="gramStart"/>
      <w:r w:rsidRPr="008E1EFB">
        <w:t>8.5</w:t>
      </w:r>
      <w:r w:rsidR="001D3554">
        <w:t>;</w:t>
      </w:r>
      <w:proofErr w:type="gramEnd"/>
    </w:p>
    <w:p w14:paraId="21758693" w14:textId="2DF9120B" w:rsidR="00481B07" w:rsidRPr="00481B07" w:rsidRDefault="00481B07" w:rsidP="00D75F87">
      <w:pPr>
        <w:pStyle w:val="Quote"/>
      </w:pPr>
      <w:r w:rsidRPr="008E1EFB">
        <w:t>CSSUPA</w:t>
      </w:r>
      <w:r w:rsidRPr="008E1EFB">
        <w:tab/>
        <w:t xml:space="preserve">is the customer satisfaction maximum upside percentage adjustment, and </w:t>
      </w:r>
      <w:r w:rsidR="00092750">
        <w:t>has</w:t>
      </w:r>
      <w:r w:rsidRPr="008E1EFB">
        <w:t xml:space="preserve"> the value </w:t>
      </w:r>
      <w:proofErr w:type="gramStart"/>
      <w:r w:rsidRPr="008E1EFB">
        <w:t>1</w:t>
      </w:r>
      <w:r w:rsidR="001D3554" w:rsidRPr="008E1EFB">
        <w:t>%</w:t>
      </w:r>
      <w:r w:rsidR="001D3554">
        <w:t>;</w:t>
      </w:r>
      <w:proofErr w:type="gramEnd"/>
    </w:p>
    <w:p w14:paraId="34B87145" w14:textId="4735F0F5" w:rsidR="00481B07" w:rsidRPr="00481B07" w:rsidRDefault="00481B07" w:rsidP="00D75F87">
      <w:pPr>
        <w:pStyle w:val="Quote"/>
      </w:pPr>
      <w:r w:rsidRPr="008E1EFB">
        <w:lastRenderedPageBreak/>
        <w:t xml:space="preserve">CSSCOL </w:t>
      </w:r>
      <w:r w:rsidRPr="008E1EFB">
        <w:tab/>
        <w:t xml:space="preserve">is the customer satisfaction survey collar, and </w:t>
      </w:r>
      <w:r w:rsidR="00092750">
        <w:t>has</w:t>
      </w:r>
      <w:r w:rsidRPr="008E1EFB">
        <w:t xml:space="preserve"> the value of </w:t>
      </w:r>
      <w:proofErr w:type="gramStart"/>
      <w:r w:rsidRPr="008E1EFB">
        <w:t>5.3</w:t>
      </w:r>
      <w:r w:rsidR="001D3554">
        <w:t>;</w:t>
      </w:r>
      <w:proofErr w:type="gramEnd"/>
    </w:p>
    <w:p w14:paraId="22DE42ED" w14:textId="7B69D359" w:rsidR="00481B07" w:rsidRPr="00481B07" w:rsidRDefault="00481B07" w:rsidP="00D75F87">
      <w:pPr>
        <w:pStyle w:val="Quote"/>
      </w:pPr>
      <w:r w:rsidRPr="008E1EFB">
        <w:t>CSSDPA</w:t>
      </w:r>
      <w:r w:rsidRPr="008E1EFB">
        <w:tab/>
        <w:t xml:space="preserve">is the customer satisfaction maximum downside percentage adjustment, and </w:t>
      </w:r>
      <w:r w:rsidR="00092750">
        <w:t>has</w:t>
      </w:r>
      <w:r w:rsidRPr="008E1EFB">
        <w:t xml:space="preserve"> the value -1</w:t>
      </w:r>
      <w:proofErr w:type="gramStart"/>
      <w:r w:rsidR="001D3554" w:rsidRPr="008E1EFB">
        <w:t>%</w:t>
      </w:r>
      <w:r w:rsidR="001D3554">
        <w:t>;</w:t>
      </w:r>
      <w:proofErr w:type="gramEnd"/>
    </w:p>
    <w:p w14:paraId="6812AEB7" w14:textId="54A5C209" w:rsidR="00481B07" w:rsidRPr="00481B07" w:rsidRDefault="00481B07" w:rsidP="00D75F87">
      <w:pPr>
        <w:pStyle w:val="Quote"/>
      </w:pPr>
      <w:proofErr w:type="spellStart"/>
      <w:r w:rsidRPr="008E1EFB">
        <w:t>CSSPt</w:t>
      </w:r>
      <w:proofErr w:type="spellEnd"/>
      <w:r w:rsidRPr="00481B07">
        <w:tab/>
        <w:t xml:space="preserve">is the overall customer satisfaction survey </w:t>
      </w:r>
      <w:proofErr w:type="spellStart"/>
      <w:proofErr w:type="gramStart"/>
      <w:r w:rsidRPr="00481B07">
        <w:t>result;</w:t>
      </w:r>
      <w:r w:rsidRPr="008E1EFB">
        <w:t>SSSAFt</w:t>
      </w:r>
      <w:proofErr w:type="spellEnd"/>
      <w:proofErr w:type="gramEnd"/>
      <w:r w:rsidRPr="00481B07">
        <w:tab/>
        <w:t>means the adjustment factor in respect of the licensee’s performance in the Stakeholder Satisfaction Survey</w:t>
      </w:r>
      <w:r w:rsidR="00092750">
        <w:t xml:space="preserve"> and is derived in accordance with the following</w:t>
      </w:r>
      <w:r w:rsidRPr="00481B07">
        <w:t xml:space="preserve"> formula:</w:t>
      </w:r>
    </w:p>
    <w:p w14:paraId="2FC58ED4" w14:textId="77777777" w:rsidR="00481B07" w:rsidRPr="00481B07" w:rsidRDefault="00481B07" w:rsidP="00D75F87">
      <w:pPr>
        <w:pStyle w:val="Quote"/>
      </w:pPr>
      <w:r w:rsidRPr="008E1EFB">
        <w:t xml:space="preserve">If </w:t>
      </w:r>
      <w:proofErr w:type="spellStart"/>
      <w:r w:rsidRPr="008E1EFB">
        <w:t>SSSPt</w:t>
      </w:r>
      <w:proofErr w:type="spellEnd"/>
      <w:r w:rsidRPr="00481B07">
        <w:t>&gt; SSST:</w:t>
      </w:r>
    </w:p>
    <w:p w14:paraId="49052784" w14:textId="77777777" w:rsidR="00481B07" w:rsidRPr="00481B07" w:rsidRDefault="00481B07" w:rsidP="00D75F87">
      <w:pPr>
        <w:pStyle w:val="Quote"/>
      </w:pPr>
      <w:proofErr w:type="spellStart"/>
      <w:r w:rsidRPr="008E1EFB">
        <w:t>SSSAF</w:t>
      </w:r>
      <w:r w:rsidRPr="00481B07">
        <w:t>t</w:t>
      </w:r>
      <w:proofErr w:type="spellEnd"/>
      <w:r w:rsidRPr="00481B07">
        <w:t>=</w:t>
      </w:r>
      <w:proofErr w:type="gramStart"/>
      <w:r w:rsidRPr="00481B07">
        <w:t>min(</w:t>
      </w:r>
      <w:proofErr w:type="gramEnd"/>
      <w:r w:rsidRPr="00481B07">
        <w:t>SSSUPA,SSSUPA×[(</w:t>
      </w:r>
      <w:proofErr w:type="spellStart"/>
      <w:r w:rsidRPr="00481B07">
        <w:t>SSSPt</w:t>
      </w:r>
      <w:proofErr w:type="spellEnd"/>
      <w:r w:rsidRPr="00481B07">
        <w:t>-SSST)/(SSSCAP-SSST)])</w:t>
      </w:r>
    </w:p>
    <w:p w14:paraId="65C9DE40" w14:textId="77777777" w:rsidR="00481B07" w:rsidRPr="00481B07" w:rsidRDefault="00481B07" w:rsidP="00D75F87">
      <w:pPr>
        <w:pStyle w:val="Quote"/>
      </w:pPr>
      <w:r w:rsidRPr="008E1EFB">
        <w:t xml:space="preserve">If </w:t>
      </w:r>
      <w:proofErr w:type="spellStart"/>
      <w:r w:rsidRPr="008E1EFB">
        <w:t>SSSPt</w:t>
      </w:r>
      <w:proofErr w:type="spellEnd"/>
      <w:r w:rsidRPr="00481B07">
        <w:t>&lt; SSST:</w:t>
      </w:r>
    </w:p>
    <w:p w14:paraId="0C601B4A" w14:textId="77777777" w:rsidR="00481B07" w:rsidRPr="00481B07" w:rsidRDefault="00481B07" w:rsidP="00D75F87">
      <w:pPr>
        <w:pStyle w:val="Quote"/>
      </w:pPr>
      <w:proofErr w:type="spellStart"/>
      <w:r w:rsidRPr="008E1EFB">
        <w:t>SSSAF</w:t>
      </w:r>
      <w:r w:rsidRPr="00481B07">
        <w:t>t</w:t>
      </w:r>
      <w:proofErr w:type="spellEnd"/>
      <w:r w:rsidRPr="00481B07">
        <w:t>=</w:t>
      </w:r>
      <w:proofErr w:type="gramStart"/>
      <w:r w:rsidRPr="00481B07">
        <w:t>max(</w:t>
      </w:r>
      <w:proofErr w:type="gramEnd"/>
      <w:r w:rsidRPr="00481B07">
        <w:t>SSSDPA,SSSDPA×[(SSST-</w:t>
      </w:r>
      <w:proofErr w:type="spellStart"/>
      <w:r w:rsidRPr="00481B07">
        <w:t>SSSPt</w:t>
      </w:r>
      <w:proofErr w:type="spellEnd"/>
      <w:r w:rsidRPr="00481B07">
        <w:t>)/(SSST-SSSCOL)])</w:t>
      </w:r>
    </w:p>
    <w:p w14:paraId="5E0397C9" w14:textId="477C7711" w:rsidR="00481B07" w:rsidRPr="00481B07" w:rsidRDefault="00092750" w:rsidP="00D75F87">
      <w:pPr>
        <w:pStyle w:val="Quote"/>
      </w:pPr>
      <w:r>
        <w:t>o</w:t>
      </w:r>
      <w:r w:rsidR="00481B07" w:rsidRPr="008E1EFB">
        <w:t>therwise:</w:t>
      </w:r>
    </w:p>
    <w:p w14:paraId="4AE2D2CF" w14:textId="77777777" w:rsidR="00481B07" w:rsidRPr="00481B07" w:rsidRDefault="00481B07" w:rsidP="00D75F87">
      <w:pPr>
        <w:pStyle w:val="Quote"/>
      </w:pPr>
      <w:proofErr w:type="spellStart"/>
      <w:r w:rsidRPr="008E1EFB">
        <w:t>SSSAFt</w:t>
      </w:r>
      <w:proofErr w:type="spellEnd"/>
      <w:r w:rsidRPr="00481B07">
        <w:t xml:space="preserve"> = 0</w:t>
      </w:r>
    </w:p>
    <w:p w14:paraId="7ABE3267" w14:textId="77777777" w:rsidR="00481B07" w:rsidRPr="00481B07" w:rsidRDefault="00481B07" w:rsidP="00D75F87">
      <w:pPr>
        <w:pStyle w:val="Quote"/>
      </w:pPr>
      <w:r w:rsidRPr="008E1EFB">
        <w:t>where:</w:t>
      </w:r>
    </w:p>
    <w:p w14:paraId="6DA08623" w14:textId="7611C47C" w:rsidR="00481B07" w:rsidRPr="00481B07" w:rsidRDefault="00481B07" w:rsidP="00D75F87">
      <w:pPr>
        <w:pStyle w:val="Quote"/>
      </w:pPr>
      <w:r w:rsidRPr="008E1EFB">
        <w:t>SSST</w:t>
      </w:r>
      <w:r w:rsidRPr="008E1EFB">
        <w:tab/>
        <w:t xml:space="preserve">is the stakeholder satisfaction survey target, and </w:t>
      </w:r>
      <w:r w:rsidR="00092750">
        <w:t>has</w:t>
      </w:r>
      <w:r w:rsidRPr="008E1EFB">
        <w:t xml:space="preserve"> the value </w:t>
      </w:r>
      <w:proofErr w:type="gramStart"/>
      <w:r w:rsidRPr="008E1EFB">
        <w:t>7.4</w:t>
      </w:r>
      <w:r w:rsidR="001D3554">
        <w:t>;</w:t>
      </w:r>
      <w:proofErr w:type="gramEnd"/>
    </w:p>
    <w:p w14:paraId="4246DC22" w14:textId="22ABB47F" w:rsidR="00481B07" w:rsidRPr="00481B07" w:rsidRDefault="00481B07" w:rsidP="00D75F87">
      <w:pPr>
        <w:pStyle w:val="Quote"/>
      </w:pPr>
      <w:r w:rsidRPr="008E1EFB">
        <w:t>SSSCAP</w:t>
      </w:r>
      <w:r w:rsidRPr="008E1EFB">
        <w:tab/>
        <w:t xml:space="preserve">is the stakeholder satisfaction survey cap and </w:t>
      </w:r>
      <w:r w:rsidR="00092750">
        <w:t>has</w:t>
      </w:r>
      <w:r w:rsidRPr="008E1EFB">
        <w:t xml:space="preserve"> the value </w:t>
      </w:r>
      <w:proofErr w:type="gramStart"/>
      <w:r w:rsidRPr="008E1EFB">
        <w:t>9</w:t>
      </w:r>
      <w:r w:rsidR="001D3554">
        <w:t>;</w:t>
      </w:r>
      <w:proofErr w:type="gramEnd"/>
    </w:p>
    <w:p w14:paraId="3377E217" w14:textId="303831E5" w:rsidR="00481B07" w:rsidRPr="00481B07" w:rsidRDefault="00481B07" w:rsidP="00D75F87">
      <w:pPr>
        <w:pStyle w:val="Quote"/>
      </w:pPr>
      <w:r w:rsidRPr="008E1EFB">
        <w:t>SSSUPA</w:t>
      </w:r>
      <w:r w:rsidRPr="008E1EFB">
        <w:tab/>
        <w:t xml:space="preserve">is the stakeholder satisfaction maximum upside percentage adjustment and </w:t>
      </w:r>
      <w:r w:rsidR="00092750">
        <w:t>has</w:t>
      </w:r>
      <w:r w:rsidRPr="008E1EFB">
        <w:t xml:space="preserve"> the value </w:t>
      </w:r>
      <w:proofErr w:type="gramStart"/>
      <w:r w:rsidRPr="008E1EFB">
        <w:t>1</w:t>
      </w:r>
      <w:r w:rsidR="001D3554" w:rsidRPr="008E1EFB">
        <w:t>%</w:t>
      </w:r>
      <w:r w:rsidR="001D3554">
        <w:t>;</w:t>
      </w:r>
      <w:proofErr w:type="gramEnd"/>
      <w:r w:rsidR="001D3554" w:rsidRPr="008E1EFB">
        <w:t xml:space="preserve"> </w:t>
      </w:r>
    </w:p>
    <w:p w14:paraId="192948C0" w14:textId="76DEFC26" w:rsidR="00481B07" w:rsidRPr="00481B07" w:rsidRDefault="00481B07" w:rsidP="00D75F87">
      <w:pPr>
        <w:pStyle w:val="Quote"/>
      </w:pPr>
      <w:r w:rsidRPr="008E1EFB">
        <w:t>SSSCOL</w:t>
      </w:r>
      <w:r w:rsidRPr="008E1EFB">
        <w:tab/>
        <w:t xml:space="preserve">is the stakeholder satisfaction survey collar and </w:t>
      </w:r>
      <w:r w:rsidR="00092750">
        <w:t>has</w:t>
      </w:r>
      <w:r w:rsidRPr="008E1EFB">
        <w:t xml:space="preserve"> the value </w:t>
      </w:r>
      <w:proofErr w:type="gramStart"/>
      <w:r w:rsidRPr="008E1EFB">
        <w:t>5.8</w:t>
      </w:r>
      <w:r w:rsidR="001D3554">
        <w:t>;</w:t>
      </w:r>
      <w:proofErr w:type="gramEnd"/>
    </w:p>
    <w:p w14:paraId="5FD8B0A9" w14:textId="637C3577" w:rsidR="00481B07" w:rsidRPr="00481B07" w:rsidRDefault="00481B07" w:rsidP="00D75F87">
      <w:pPr>
        <w:pStyle w:val="Quote"/>
      </w:pPr>
      <w:r w:rsidRPr="008E1EFB">
        <w:t>SSSDPA</w:t>
      </w:r>
      <w:r w:rsidRPr="008E1EFB">
        <w:tab/>
        <w:t xml:space="preserve">is the stakeholder satisfaction maximum downside percentage adjustment, and </w:t>
      </w:r>
      <w:r w:rsidR="00092750">
        <w:t>has</w:t>
      </w:r>
      <w:r w:rsidRPr="008E1EFB">
        <w:t xml:space="preserve"> the value -1</w:t>
      </w:r>
      <w:proofErr w:type="gramStart"/>
      <w:r w:rsidR="001D3554" w:rsidRPr="008E1EFB">
        <w:t>%</w:t>
      </w:r>
      <w:r w:rsidR="001D3554">
        <w:t>;</w:t>
      </w:r>
      <w:proofErr w:type="gramEnd"/>
    </w:p>
    <w:p w14:paraId="16FE251B" w14:textId="2F1BF338" w:rsidR="00481B07" w:rsidRPr="00481B07" w:rsidRDefault="00481B07" w:rsidP="00D75F87">
      <w:pPr>
        <w:pStyle w:val="Quote"/>
      </w:pPr>
      <w:proofErr w:type="spellStart"/>
      <w:r w:rsidRPr="008E1EFB">
        <w:t>SSSPt</w:t>
      </w:r>
      <w:proofErr w:type="spellEnd"/>
      <w:r w:rsidRPr="00481B07">
        <w:tab/>
        <w:t xml:space="preserve">is the overall stakeholder satisfaction survey </w:t>
      </w:r>
      <w:proofErr w:type="gramStart"/>
      <w:r w:rsidRPr="00481B07">
        <w:t>result</w:t>
      </w:r>
      <w:r w:rsidR="001D3554">
        <w:t>;</w:t>
      </w:r>
      <w:proofErr w:type="gramEnd"/>
    </w:p>
    <w:p w14:paraId="387C07EE" w14:textId="6397F997" w:rsidR="00481B07" w:rsidRPr="008E1EFB" w:rsidRDefault="00481B07" w:rsidP="00D75F87">
      <w:pPr>
        <w:pStyle w:val="Quote"/>
      </w:pPr>
      <w:proofErr w:type="spellStart"/>
      <w:r w:rsidRPr="008E1EFB">
        <w:t>CSSPROt</w:t>
      </w:r>
      <w:proofErr w:type="spellEnd"/>
      <w:r w:rsidRPr="00481B07">
        <w:tab/>
        <w:t xml:space="preserve">is the proportion of the Customer and Stakeholder Satisfaction Incentive which will be based on the Customer Satisfaction Survey </w:t>
      </w:r>
      <w:r w:rsidR="00092750">
        <w:t>and</w:t>
      </w:r>
      <w:r w:rsidRPr="00481B07">
        <w:t xml:space="preserve"> has the value </w:t>
      </w:r>
      <w:proofErr w:type="gramStart"/>
      <w:r w:rsidR="00092750">
        <w:t>0.7</w:t>
      </w:r>
      <w:r w:rsidR="001D3554">
        <w:t>;</w:t>
      </w:r>
      <w:proofErr w:type="gramEnd"/>
    </w:p>
    <w:p w14:paraId="094918E5" w14:textId="60EBC89E" w:rsidR="00481B07" w:rsidRPr="00481B07" w:rsidRDefault="00481B07" w:rsidP="00D75F87">
      <w:pPr>
        <w:pStyle w:val="Quote"/>
      </w:pPr>
      <w:r w:rsidRPr="008E1EFB">
        <w:t>SSSPROt-2</w:t>
      </w:r>
      <w:r w:rsidRPr="008E1EFB">
        <w:tab/>
        <w:t xml:space="preserve">is the proportion of the Customer and Stakeholder Satisfaction Incentive which will be based on the stakeholder satisfaction survey </w:t>
      </w:r>
      <w:r w:rsidRPr="00481B07">
        <w:t>and is derived from the following formula:</w:t>
      </w:r>
    </w:p>
    <w:p w14:paraId="544CBE17" w14:textId="77777777" w:rsidR="00481B07" w:rsidRPr="00481B07" w:rsidRDefault="00481B07" w:rsidP="00D75F87">
      <w:pPr>
        <w:pStyle w:val="Quote"/>
      </w:pPr>
      <w:proofErr w:type="spellStart"/>
      <w:r w:rsidRPr="008E1EFB">
        <w:t>SSSPROt</w:t>
      </w:r>
      <w:proofErr w:type="spellEnd"/>
      <w:r w:rsidRPr="008E1EFB">
        <w:t xml:space="preserve"> = 1 - </w:t>
      </w:r>
      <w:proofErr w:type="spellStart"/>
      <w:r w:rsidRPr="008E1EFB">
        <w:t>CSSPROt</w:t>
      </w:r>
      <w:proofErr w:type="spellEnd"/>
    </w:p>
    <w:tbl>
      <w:tblPr>
        <w:tblW w:w="7726" w:type="dxa"/>
        <w:tblInd w:w="1607" w:type="dxa"/>
        <w:tblLook w:val="04A0" w:firstRow="1" w:lastRow="0" w:firstColumn="1" w:lastColumn="0" w:noHBand="0" w:noVBand="1"/>
      </w:tblPr>
      <w:tblGrid>
        <w:gridCol w:w="2599"/>
        <w:gridCol w:w="5127"/>
      </w:tblGrid>
      <w:tr w:rsidR="00481B07" w:rsidRPr="009C150A" w14:paraId="32AD76CB" w14:textId="77777777" w:rsidTr="003F66DB">
        <w:trPr>
          <w:trHeight w:val="454"/>
        </w:trPr>
        <w:tc>
          <w:tcPr>
            <w:tcW w:w="1097" w:type="dxa"/>
          </w:tcPr>
          <w:p w14:paraId="1F255B57" w14:textId="77777777" w:rsidR="00481B07" w:rsidRPr="00481B07" w:rsidRDefault="00481B07" w:rsidP="00D75F87">
            <w:pPr>
              <w:pStyle w:val="Quote"/>
            </w:pPr>
            <w:r w:rsidRPr="00D16397">
              <w:lastRenderedPageBreak/>
              <w:t>R1BRt</w:t>
            </w:r>
          </w:p>
        </w:tc>
        <w:tc>
          <w:tcPr>
            <w:tcW w:w="6629" w:type="dxa"/>
          </w:tcPr>
          <w:p w14:paraId="772DCA0E" w14:textId="475DFDA3" w:rsidR="00481B07" w:rsidRPr="00481B07" w:rsidRDefault="00481B07" w:rsidP="00D75F87">
            <w:pPr>
              <w:pStyle w:val="Quote"/>
            </w:pPr>
            <w:r w:rsidRPr="00D16397">
              <w:t xml:space="preserve">means the amount of </w:t>
            </w:r>
            <w:r w:rsidRPr="00481B07">
              <w:t>Base Transmission Revenue as calculated in accordance with Part C of Special Condition 3A (Restriction of Transmission Network Revenue) as in force on 31 March 2021.</w:t>
            </w:r>
          </w:p>
        </w:tc>
      </w:tr>
    </w:tbl>
    <w:p w14:paraId="437407E7" w14:textId="6D47FA65" w:rsidR="00481B07" w:rsidRDefault="00481B07" w:rsidP="00481B07">
      <w:pPr>
        <w:pStyle w:val="Heading2"/>
      </w:pPr>
      <w:bookmarkStart w:id="224" w:name="_Toc51319648"/>
      <w:bookmarkStart w:id="225" w:name="_Toc51798325"/>
      <w:bookmarkStart w:id="226" w:name="_Toc52364931"/>
      <w:r>
        <w:t xml:space="preserve">Close out of </w:t>
      </w:r>
      <w:r w:rsidR="00917F0C">
        <w:t xml:space="preserve">the </w:t>
      </w:r>
      <w:r>
        <w:t xml:space="preserve">RIIO-1 </w:t>
      </w:r>
      <w:r w:rsidR="002374D0">
        <w:t>a</w:t>
      </w:r>
      <w:r>
        <w:t xml:space="preserve">djustment in </w:t>
      </w:r>
      <w:r w:rsidR="008824A6">
        <w:t>r</w:t>
      </w:r>
      <w:r>
        <w:t>espect of the Environmental Discretionary Reward Scheme</w:t>
      </w:r>
      <w:bookmarkEnd w:id="224"/>
      <w:r w:rsidR="00B249CC">
        <w:t xml:space="preserve"> (</w:t>
      </w:r>
      <w:proofErr w:type="spellStart"/>
      <w:r w:rsidR="00084E8F">
        <w:t>L</w:t>
      </w:r>
      <w:r w:rsidR="00B249CC">
        <w:t>EDR</w:t>
      </w:r>
      <w:r w:rsidR="00B249CC" w:rsidRPr="001C31C8">
        <w:rPr>
          <w:vertAlign w:val="subscript"/>
        </w:rPr>
        <w:t>t</w:t>
      </w:r>
      <w:proofErr w:type="spellEnd"/>
      <w:r w:rsidR="00B249CC">
        <w:t>)</w:t>
      </w:r>
      <w:bookmarkEnd w:id="225"/>
      <w:bookmarkEnd w:id="226"/>
    </w:p>
    <w:p w14:paraId="4F80F778" w14:textId="77777777" w:rsidR="00481B07" w:rsidRPr="0057526A" w:rsidRDefault="00481B07" w:rsidP="00E95A2F">
      <w:pPr>
        <w:pStyle w:val="Heading3nonumbering"/>
      </w:pPr>
      <w:r w:rsidRPr="0057526A">
        <w:t xml:space="preserve">Introduction </w:t>
      </w:r>
    </w:p>
    <w:p w14:paraId="21A29202" w14:textId="392FD181" w:rsidR="00481B07" w:rsidRPr="00481B07" w:rsidRDefault="00481B07" w:rsidP="00E95A2F">
      <w:pPr>
        <w:pStyle w:val="NumberedNormal"/>
      </w:pPr>
      <w:r>
        <w:t xml:space="preserve">The purpose of this </w:t>
      </w:r>
      <w:r w:rsidRPr="00481B07">
        <w:t xml:space="preserve">condition is to direct the term </w:t>
      </w:r>
      <w:proofErr w:type="spellStart"/>
      <w:r w:rsidR="00084E8F">
        <w:t>L</w:t>
      </w:r>
      <w:r w:rsidRPr="00481B07">
        <w:t>EDRt</w:t>
      </w:r>
      <w:proofErr w:type="spellEnd"/>
      <w:r w:rsidRPr="00481B07">
        <w:t xml:space="preserve"> (the Environmental Discretionary Reward Scheme close out term). This contributes to the calculation of the </w:t>
      </w:r>
      <w:proofErr w:type="spellStart"/>
      <w:r w:rsidRPr="00481B07">
        <w:t>LARt</w:t>
      </w:r>
      <w:proofErr w:type="spellEnd"/>
      <w:r w:rsidRPr="00481B07">
        <w:t xml:space="preserve"> term (the legacy adjustments term), which in turn feeds into Calculated Revenue in </w:t>
      </w:r>
      <w:r w:rsidR="00A148E7">
        <w:t>Special Condition 2.1 (Revenue Restriction)</w:t>
      </w:r>
      <w:r w:rsidRPr="00481B07">
        <w:t>.</w:t>
      </w:r>
    </w:p>
    <w:p w14:paraId="74C82147" w14:textId="4082BB39" w:rsidR="00481B07" w:rsidRPr="00481B07" w:rsidRDefault="00481B07" w:rsidP="00E95A2F">
      <w:pPr>
        <w:pStyle w:val="NumberedNormal"/>
      </w:pPr>
      <w:r>
        <w:t>The effect</w:t>
      </w:r>
      <w:r w:rsidR="00B249CC">
        <w:t xml:space="preserve"> of the condition</w:t>
      </w:r>
      <w:r>
        <w:t xml:space="preserve"> is to close out the RIIO-ET1 Environmental Discretionary Reward Scheme</w:t>
      </w:r>
      <w:r w:rsidRPr="00481B07">
        <w:t>.</w:t>
      </w:r>
    </w:p>
    <w:p w14:paraId="3CB196BB" w14:textId="77777777" w:rsidR="00481B07" w:rsidRPr="00481B07" w:rsidRDefault="00481B07" w:rsidP="00E95A2F">
      <w:pPr>
        <w:pStyle w:val="NumberedNormal"/>
      </w:pPr>
      <w:r>
        <w:t>This condition also sets out the process the Authority will follow when amending the Environmental Discretionary Reward Scheme Guidance.</w:t>
      </w:r>
    </w:p>
    <w:p w14:paraId="03F05A2E" w14:textId="7F2381D5" w:rsidR="00481B07" w:rsidRDefault="00481B07" w:rsidP="00E95A2F">
      <w:pPr>
        <w:pStyle w:val="Heading3"/>
      </w:pPr>
      <w:r>
        <w:t xml:space="preserve">Direction </w:t>
      </w:r>
      <w:r w:rsidRPr="00D26212">
        <w:t>of the</w:t>
      </w:r>
      <w:r w:rsidR="001C31C8">
        <w:t xml:space="preserve"> Environmental Discretionary Reward Scheme close out term</w:t>
      </w:r>
      <w:r w:rsidRPr="00D26212">
        <w:t xml:space="preserve"> </w:t>
      </w:r>
      <w:r w:rsidR="001C31C8">
        <w:t>(</w:t>
      </w:r>
      <w:proofErr w:type="spellStart"/>
      <w:r w:rsidR="00084E8F">
        <w:t>L</w:t>
      </w:r>
      <w:r w:rsidRPr="00D26212">
        <w:t>EDR</w:t>
      </w:r>
      <w:r w:rsidRPr="001C31C8">
        <w:rPr>
          <w:vertAlign w:val="subscript"/>
        </w:rPr>
        <w:t>t</w:t>
      </w:r>
      <w:proofErr w:type="spellEnd"/>
      <w:r w:rsidR="001C31C8">
        <w:t>)</w:t>
      </w:r>
      <w:r w:rsidRPr="00D26212" w:rsidDel="001C31C8">
        <w:t xml:space="preserve"> </w:t>
      </w:r>
    </w:p>
    <w:p w14:paraId="36C04CCF" w14:textId="17703625" w:rsidR="00481B07" w:rsidRPr="00481B07" w:rsidRDefault="00481B07" w:rsidP="000F7C72">
      <w:pPr>
        <w:pStyle w:val="NumberedNormal"/>
      </w:pPr>
      <w:r w:rsidRPr="008D71AB">
        <w:t>The</w:t>
      </w:r>
      <w:r w:rsidRPr="00481B07">
        <w:t xml:space="preserve"> licensee may apply to the Authority for a direction adjusting the value of the </w:t>
      </w:r>
      <w:proofErr w:type="spellStart"/>
      <w:r w:rsidR="00084E8F">
        <w:t>L</w:t>
      </w:r>
      <w:r w:rsidRPr="00481B07">
        <w:t>EDR</w:t>
      </w:r>
      <w:r w:rsidRPr="001C31C8">
        <w:rPr>
          <w:vertAlign w:val="subscript"/>
        </w:rPr>
        <w:t>t</w:t>
      </w:r>
      <w:proofErr w:type="spellEnd"/>
      <w:r w:rsidRPr="00481B07">
        <w:t xml:space="preserve"> term for Regulatory Year 2021/22 in accordance with the Environmental Discretionary Reward Scheme Guidance.</w:t>
      </w:r>
    </w:p>
    <w:p w14:paraId="0A4F8096" w14:textId="77777777" w:rsidR="00481B07" w:rsidRPr="00481B07" w:rsidRDefault="00481B07" w:rsidP="000F7C72">
      <w:pPr>
        <w:pStyle w:val="NumberedNormal"/>
      </w:pPr>
      <w:r>
        <w:t xml:space="preserve">This condition will cease to have effect </w:t>
      </w:r>
      <w:r w:rsidRPr="00481B07">
        <w:t xml:space="preserve">on 1 April 2022. </w:t>
      </w:r>
    </w:p>
    <w:p w14:paraId="2704B6BD" w14:textId="3BE0C673" w:rsidR="00481B07" w:rsidRDefault="00481B07" w:rsidP="000F7C72">
      <w:pPr>
        <w:pStyle w:val="Heading3"/>
      </w:pPr>
      <w:r>
        <w:t>Amendments to the</w:t>
      </w:r>
      <w:r w:rsidRPr="00D26212">
        <w:t xml:space="preserve"> E</w:t>
      </w:r>
      <w:r>
        <w:t>nvironmental Discretionary Reward Scheme Guidance</w:t>
      </w:r>
    </w:p>
    <w:p w14:paraId="7AE325A2" w14:textId="77777777" w:rsidR="00481B07" w:rsidRPr="00481B07" w:rsidRDefault="00481B07" w:rsidP="000F7C72">
      <w:pPr>
        <w:pStyle w:val="NumberedNormal"/>
      </w:pPr>
      <w:r w:rsidRPr="00B30E48">
        <w:t xml:space="preserve">The Authority will </w:t>
      </w:r>
      <w:r w:rsidRPr="00481B07">
        <w:t>amend the Environmental Discretionary Reward Scheme Guidance by direction.</w:t>
      </w:r>
    </w:p>
    <w:p w14:paraId="7727A1CC" w14:textId="77777777" w:rsidR="00481B07" w:rsidRPr="00481B07" w:rsidRDefault="00481B07" w:rsidP="000F7C72">
      <w:pPr>
        <w:pStyle w:val="NumberedNormal"/>
      </w:pPr>
      <w:r w:rsidRPr="00B30E48">
        <w:t>Before</w:t>
      </w:r>
      <w:r w:rsidRPr="00481B07">
        <w:t xml:space="preserve"> amending the Environmental Discretionary Reward Scheme Guidance by direction, the Authority will publish on the Authority's website:</w:t>
      </w:r>
    </w:p>
    <w:p w14:paraId="46770951" w14:textId="77777777" w:rsidR="00481B07" w:rsidRPr="00481B07" w:rsidRDefault="00481B07" w:rsidP="000F7C72">
      <w:pPr>
        <w:pStyle w:val="ListNormal"/>
      </w:pPr>
      <w:r w:rsidRPr="00B30E48">
        <w:t xml:space="preserve">the text of the amended </w:t>
      </w:r>
      <w:r w:rsidRPr="00481B07">
        <w:t xml:space="preserve">Environmental Discretionary Reward Scheme </w:t>
      </w:r>
      <w:proofErr w:type="gramStart"/>
      <w:r w:rsidRPr="00481B07">
        <w:t>Guidance;</w:t>
      </w:r>
      <w:proofErr w:type="gramEnd"/>
    </w:p>
    <w:p w14:paraId="5FAD4C27" w14:textId="5070CEC3" w:rsidR="00481B07" w:rsidRPr="00481B07" w:rsidRDefault="00481B07" w:rsidP="000F7C72">
      <w:pPr>
        <w:pStyle w:val="ListNormal"/>
      </w:pPr>
      <w:r>
        <w:t>t</w:t>
      </w:r>
      <w:r w:rsidRPr="00481B07">
        <w:t xml:space="preserve">he date </w:t>
      </w:r>
      <w:r w:rsidR="00481CDC">
        <w:t xml:space="preserve">on which </w:t>
      </w:r>
      <w:r w:rsidRPr="00481B07">
        <w:t xml:space="preserve">the Authority intends the amended Environmental Discretionary Reward Scheme Guidance to come into </w:t>
      </w:r>
      <w:proofErr w:type="gramStart"/>
      <w:r w:rsidRPr="00481B07">
        <w:t>effect;</w:t>
      </w:r>
      <w:proofErr w:type="gramEnd"/>
    </w:p>
    <w:p w14:paraId="164F6B4F" w14:textId="219C0A73" w:rsidR="00481B07" w:rsidRPr="00481B07" w:rsidRDefault="00481B07" w:rsidP="000F7C72">
      <w:pPr>
        <w:pStyle w:val="ListNormal"/>
      </w:pPr>
      <w:r w:rsidRPr="00B30E48">
        <w:t xml:space="preserve">the reasons for the amendments to the </w:t>
      </w:r>
      <w:r w:rsidRPr="00481B07">
        <w:t>Environmental Discretionary Reward Scheme Guidance;</w:t>
      </w:r>
      <w:r w:rsidR="001D3554">
        <w:t xml:space="preserve"> and</w:t>
      </w:r>
    </w:p>
    <w:p w14:paraId="6F1D3010" w14:textId="77444F05" w:rsidR="00481CDC" w:rsidRPr="00481CDC" w:rsidRDefault="001D3554" w:rsidP="00481CDC">
      <w:pPr>
        <w:pStyle w:val="ListNormal"/>
        <w:tabs>
          <w:tab w:val="num" w:pos="879"/>
        </w:tabs>
      </w:pPr>
      <w:r>
        <w:lastRenderedPageBreak/>
        <w:t xml:space="preserve">a </w:t>
      </w:r>
      <w:r w:rsidR="00481CDC" w:rsidRPr="00481CDC">
        <w:t xml:space="preserve">period during which representations may be made on the amendments to the </w:t>
      </w:r>
      <w:r w:rsidR="00481CDC">
        <w:t>Environmental Discretionary Reward Scheme</w:t>
      </w:r>
      <w:r w:rsidR="00481CDC" w:rsidRPr="00481CDC">
        <w:t xml:space="preserve"> Guidance, which will not be less than 28 days. </w:t>
      </w:r>
    </w:p>
    <w:p w14:paraId="3103DF9D" w14:textId="5F64975D" w:rsidR="00481B07" w:rsidRDefault="00481B07" w:rsidP="00481B07">
      <w:pPr>
        <w:pStyle w:val="Heading2"/>
      </w:pPr>
      <w:bookmarkStart w:id="227" w:name="_Toc51319649"/>
      <w:bookmarkStart w:id="228" w:name="_Toc51798326"/>
      <w:bookmarkStart w:id="229" w:name="_Toc52364932"/>
      <w:r>
        <w:t>Close out of RIIO-</w:t>
      </w:r>
      <w:r w:rsidR="003C1BC1">
        <w:t>ET</w:t>
      </w:r>
      <w:r>
        <w:t>1 Incentive in R</w:t>
      </w:r>
      <w:r w:rsidR="002D330F">
        <w:t xml:space="preserve">espect of Sulphur Hexafluoride </w:t>
      </w:r>
      <w:r>
        <w:t>Gas Emissions incentive</w:t>
      </w:r>
      <w:bookmarkEnd w:id="227"/>
      <w:r w:rsidR="003C1BC1">
        <w:t xml:space="preserve"> (</w:t>
      </w:r>
      <w:proofErr w:type="spellStart"/>
      <w:r w:rsidR="003C1BC1">
        <w:t>LSFI</w:t>
      </w:r>
      <w:r w:rsidR="003C1BC1" w:rsidRPr="001C31C8">
        <w:rPr>
          <w:vertAlign w:val="subscript"/>
        </w:rPr>
        <w:t>t</w:t>
      </w:r>
      <w:proofErr w:type="spellEnd"/>
      <w:r w:rsidR="003C1BC1">
        <w:t>)</w:t>
      </w:r>
      <w:bookmarkEnd w:id="228"/>
      <w:bookmarkEnd w:id="229"/>
    </w:p>
    <w:p w14:paraId="0C3D8B89" w14:textId="33B6F411" w:rsidR="002D330F" w:rsidRDefault="002D330F" w:rsidP="00E4213B">
      <w:pPr>
        <w:pStyle w:val="Heading3nonumbering"/>
      </w:pPr>
      <w:r>
        <w:t>Introduction</w:t>
      </w:r>
    </w:p>
    <w:p w14:paraId="301EAB90" w14:textId="111502D9" w:rsidR="002D330F" w:rsidRPr="002D330F" w:rsidRDefault="002D330F" w:rsidP="00E4213B">
      <w:pPr>
        <w:pStyle w:val="NumberedNormal"/>
      </w:pPr>
      <w:r>
        <w:t xml:space="preserve">The purpose of this condition is to calculate the </w:t>
      </w:r>
      <w:proofErr w:type="spellStart"/>
      <w:r w:rsidRPr="002D330F">
        <w:t>LSFIt</w:t>
      </w:r>
      <w:proofErr w:type="spellEnd"/>
      <w:r w:rsidRPr="002D330F">
        <w:t xml:space="preserve"> term (the RIIO-ET1 Sulphur Hexafluoride </w:t>
      </w:r>
      <w:r w:rsidR="003C1BC1">
        <w:t>i</w:t>
      </w:r>
      <w:r w:rsidRPr="002D330F">
        <w:t>ncentive close-out</w:t>
      </w:r>
      <w:r w:rsidRPr="0016349C">
        <w:t xml:space="preserve"> term</w:t>
      </w:r>
      <w:r w:rsidRPr="002D330F">
        <w:t xml:space="preserve">). This contributes to the calculation of the </w:t>
      </w:r>
      <w:proofErr w:type="spellStart"/>
      <w:r w:rsidRPr="002D330F">
        <w:t>LARt</w:t>
      </w:r>
      <w:proofErr w:type="spellEnd"/>
      <w:r w:rsidRPr="002D330F">
        <w:t xml:space="preserve"> term (the legacy adjustments term), which in turn feeds into Calculated Revenue in </w:t>
      </w:r>
      <w:r w:rsidR="00A148E7">
        <w:t>Special Condition 2.1 (Revenue Restriction)</w:t>
      </w:r>
      <w:r w:rsidRPr="002D330F">
        <w:t xml:space="preserve">. </w:t>
      </w:r>
    </w:p>
    <w:p w14:paraId="23A86DE9" w14:textId="4FDBE476" w:rsidR="002D330F" w:rsidRPr="002D330F" w:rsidRDefault="002D330F" w:rsidP="00E4213B">
      <w:pPr>
        <w:pStyle w:val="NumberedNormal"/>
      </w:pPr>
      <w:r>
        <w:t xml:space="preserve">The effect of this condition is to close out the RIIO-ET1 </w:t>
      </w:r>
      <w:r w:rsidRPr="002D330F">
        <w:t xml:space="preserve">Incentive in respect of Sulphur Hexafluoride Gas Emissions, such that revenue in Regulatory Years commencing </w:t>
      </w:r>
      <w:r w:rsidR="001D3554">
        <w:t xml:space="preserve">on </w:t>
      </w:r>
      <w:r w:rsidRPr="002D330F">
        <w:t xml:space="preserve">1 April 2021 and 1 April 2022 reflect the licensee’s performance under that incentive in Regulatory Years commencing </w:t>
      </w:r>
      <w:r w:rsidR="001D3554">
        <w:t xml:space="preserve">on </w:t>
      </w:r>
      <w:r w:rsidRPr="002D330F">
        <w:t xml:space="preserve">1 April 2019 and </w:t>
      </w:r>
      <w:r w:rsidR="001D3554">
        <w:t xml:space="preserve">on </w:t>
      </w:r>
      <w:r w:rsidRPr="002D330F">
        <w:t>1 April 2020 respectively.</w:t>
      </w:r>
    </w:p>
    <w:p w14:paraId="37C7AF17" w14:textId="04ED82DD" w:rsidR="002D330F" w:rsidRPr="002D330F" w:rsidRDefault="00CC06CB" w:rsidP="00E4213B">
      <w:pPr>
        <w:pStyle w:val="Heading3"/>
      </w:pPr>
      <w:r>
        <w:t>Formula for c</w:t>
      </w:r>
      <w:r w:rsidR="002D330F">
        <w:t>alculating the RIIO-ET1 Sulphur Hexafluoride Incentive close-out term</w:t>
      </w:r>
      <w:r w:rsidR="001C31C8">
        <w:t xml:space="preserve"> (</w:t>
      </w:r>
      <w:proofErr w:type="spellStart"/>
      <w:r w:rsidR="002D330F">
        <w:t>LSFI</w:t>
      </w:r>
      <w:r w:rsidR="002D330F" w:rsidRPr="001C31C8">
        <w:rPr>
          <w:vertAlign w:val="subscript"/>
        </w:rPr>
        <w:t>t</w:t>
      </w:r>
      <w:proofErr w:type="spellEnd"/>
      <w:r w:rsidR="001C31C8">
        <w:t>)</w:t>
      </w:r>
    </w:p>
    <w:p w14:paraId="221B6BAB" w14:textId="11691909" w:rsidR="002D330F" w:rsidRPr="002D330F" w:rsidRDefault="002D330F" w:rsidP="00E4213B">
      <w:pPr>
        <w:pStyle w:val="NumberedNormal"/>
      </w:pPr>
      <w:r>
        <w:t xml:space="preserve">For </w:t>
      </w:r>
      <w:r w:rsidR="001D3554">
        <w:t xml:space="preserve">the </w:t>
      </w:r>
      <w:r>
        <w:t>Regulatory Years commencing</w:t>
      </w:r>
      <w:r w:rsidR="001D3554">
        <w:t xml:space="preserve"> on</w:t>
      </w:r>
      <w:r>
        <w:t xml:space="preserve"> 1 April 2021 </w:t>
      </w:r>
      <w:r w:rsidRPr="002D330F">
        <w:t xml:space="preserve">and </w:t>
      </w:r>
      <w:r w:rsidR="001D3554">
        <w:t xml:space="preserve">on </w:t>
      </w:r>
      <w:r w:rsidRPr="002D330F">
        <w:t xml:space="preserve">1 April 2022, the value of </w:t>
      </w:r>
      <w:proofErr w:type="spellStart"/>
      <w:r w:rsidRPr="002D330F">
        <w:t>LSFI</w:t>
      </w:r>
      <w:r w:rsidRPr="001C31C8">
        <w:rPr>
          <w:vertAlign w:val="subscript"/>
        </w:rPr>
        <w:t>t</w:t>
      </w:r>
      <w:proofErr w:type="spellEnd"/>
      <w:r w:rsidRPr="002D330F">
        <w:t xml:space="preserve"> is calculated in accordance with Part A of Special Condition 3E (Incentive in Respect of Sulphur Hexafluoride (SF6) Gas Emissions) of this licence as in force on 31 March 2021.</w:t>
      </w:r>
    </w:p>
    <w:p w14:paraId="10FE4A21" w14:textId="77777777" w:rsidR="002D330F" w:rsidRPr="002D330F" w:rsidRDefault="002D330F" w:rsidP="00E4213B">
      <w:pPr>
        <w:pStyle w:val="NumberedNormal"/>
      </w:pPr>
      <w:r>
        <w:t xml:space="preserve">For Regulatory Years commencing </w:t>
      </w:r>
      <w:r w:rsidRPr="002D330F">
        <w:t xml:space="preserve">on or after 1 April 2023, the value of LSFI is equal to zero.  </w:t>
      </w:r>
    </w:p>
    <w:p w14:paraId="59EB6D2B" w14:textId="2D4C1A60" w:rsidR="00481B07" w:rsidRDefault="00481B07" w:rsidP="00481B07">
      <w:pPr>
        <w:pStyle w:val="Heading2"/>
      </w:pPr>
      <w:bookmarkStart w:id="230" w:name="_Toc51319650"/>
      <w:bookmarkStart w:id="231" w:name="_Toc51798327"/>
      <w:bookmarkStart w:id="232" w:name="_Toc52364933"/>
      <w:r>
        <w:t>Close out of RIIO-</w:t>
      </w:r>
      <w:r w:rsidR="003C1BC1">
        <w:t>ET</w:t>
      </w:r>
      <w:r>
        <w:t xml:space="preserve">1 </w:t>
      </w:r>
      <w:r w:rsidR="003C1BC1">
        <w:t>Reliability</w:t>
      </w:r>
      <w:r>
        <w:t xml:space="preserve"> incentive</w:t>
      </w:r>
      <w:bookmarkEnd w:id="230"/>
      <w:r w:rsidR="003C1BC1">
        <w:t xml:space="preserve"> in respect of Energy not Supplied (</w:t>
      </w:r>
      <w:proofErr w:type="spellStart"/>
      <w:r w:rsidR="003C1BC1">
        <w:t>LRI</w:t>
      </w:r>
      <w:r w:rsidR="003C1BC1" w:rsidRPr="001C31C8">
        <w:rPr>
          <w:vertAlign w:val="subscript"/>
        </w:rPr>
        <w:t>t</w:t>
      </w:r>
      <w:proofErr w:type="spellEnd"/>
      <w:r w:rsidR="003C1BC1">
        <w:t>)</w:t>
      </w:r>
      <w:bookmarkEnd w:id="231"/>
      <w:bookmarkEnd w:id="232"/>
    </w:p>
    <w:p w14:paraId="5B4882EE" w14:textId="43934A77" w:rsidR="002D330F" w:rsidRDefault="002D330F" w:rsidP="00262E8B">
      <w:pPr>
        <w:pStyle w:val="Heading3nonumbering"/>
      </w:pPr>
      <w:r w:rsidRPr="0057526A">
        <w:t>Introduction</w:t>
      </w:r>
    </w:p>
    <w:p w14:paraId="07D3CC3E" w14:textId="59F59A18" w:rsidR="002D330F" w:rsidRPr="002D330F" w:rsidRDefault="002D330F" w:rsidP="00262E8B">
      <w:pPr>
        <w:pStyle w:val="NumberedNormal"/>
      </w:pPr>
      <w:r w:rsidRPr="002D330F">
        <w:t xml:space="preserve">The purpose of this condition is to calculate the </w:t>
      </w:r>
      <w:proofErr w:type="spellStart"/>
      <w:r w:rsidRPr="002D330F">
        <w:t>LRI</w:t>
      </w:r>
      <w:r w:rsidRPr="001C31C8">
        <w:rPr>
          <w:vertAlign w:val="subscript"/>
        </w:rPr>
        <w:t>t</w:t>
      </w:r>
      <w:proofErr w:type="spellEnd"/>
      <w:r w:rsidRPr="002D330F">
        <w:t xml:space="preserve"> term (the RIIO-ET1 Reliability Incentive close-out term). This contributes to the calculation of the </w:t>
      </w:r>
      <w:proofErr w:type="spellStart"/>
      <w:r w:rsidRPr="002D330F">
        <w:t>LARt</w:t>
      </w:r>
      <w:proofErr w:type="spellEnd"/>
      <w:r w:rsidRPr="002D330F">
        <w:t xml:space="preserve"> term (the legacy adjustments term), which in turn feeds into Calculated Revenue in </w:t>
      </w:r>
      <w:r w:rsidR="00A148E7">
        <w:t>Special Condition 2.1 (Revenue Restriction)</w:t>
      </w:r>
      <w:r w:rsidRPr="002D330F">
        <w:t xml:space="preserve">. </w:t>
      </w:r>
    </w:p>
    <w:p w14:paraId="634F0997" w14:textId="3E2572B8" w:rsidR="002D330F" w:rsidRPr="002D330F" w:rsidRDefault="002D330F" w:rsidP="00A859AC">
      <w:pPr>
        <w:pStyle w:val="NumberedNormal"/>
      </w:pPr>
      <w:r w:rsidRPr="002D330F">
        <w:t xml:space="preserve">The effect of this condition is to close out the RIIO-ET1 Reliability Incentive in Respect of Energy Not Supplied, such that revenue in </w:t>
      </w:r>
      <w:r w:rsidR="001D3554">
        <w:t xml:space="preserve">the </w:t>
      </w:r>
      <w:r w:rsidRPr="002D330F">
        <w:t>Regulatory Years commencing</w:t>
      </w:r>
      <w:r w:rsidR="001D3554">
        <w:t xml:space="preserve"> on </w:t>
      </w:r>
      <w:r w:rsidRPr="002D330F">
        <w:t xml:space="preserve">1 April 2021 and </w:t>
      </w:r>
      <w:r w:rsidR="001D3554">
        <w:t xml:space="preserve">on </w:t>
      </w:r>
      <w:r w:rsidRPr="002D330F">
        <w:t>1 April 2022 reflect the licensee’s performance under that incentive in</w:t>
      </w:r>
      <w:r w:rsidR="001D3554">
        <w:t xml:space="preserve"> the</w:t>
      </w:r>
      <w:r w:rsidRPr="002D330F">
        <w:t xml:space="preserve"> Regulatory Years commencing </w:t>
      </w:r>
      <w:r w:rsidR="001D3554">
        <w:t xml:space="preserve">on </w:t>
      </w:r>
      <w:r w:rsidRPr="002D330F">
        <w:t xml:space="preserve">1 April 2019 and </w:t>
      </w:r>
      <w:r w:rsidR="001D3554">
        <w:t xml:space="preserve">on </w:t>
      </w:r>
      <w:r w:rsidRPr="002D330F">
        <w:t>1 April 2020 respectively.</w:t>
      </w:r>
    </w:p>
    <w:p w14:paraId="6A2FBFFE" w14:textId="34B354ED" w:rsidR="002D330F" w:rsidRPr="002D330F" w:rsidRDefault="00CC06CB" w:rsidP="00A859AC">
      <w:pPr>
        <w:pStyle w:val="Heading3"/>
      </w:pPr>
      <w:r>
        <w:lastRenderedPageBreak/>
        <w:t>Formula for c</w:t>
      </w:r>
      <w:r w:rsidR="002D330F">
        <w:t xml:space="preserve">alculating the RIIO-ET1 Reliability Incentive close-out term </w:t>
      </w:r>
      <w:r w:rsidR="003C1BC1">
        <w:t>(</w:t>
      </w:r>
      <w:proofErr w:type="spellStart"/>
      <w:r w:rsidR="002D330F">
        <w:t>LRI</w:t>
      </w:r>
      <w:r w:rsidR="002D330F" w:rsidRPr="001C31C8">
        <w:rPr>
          <w:vertAlign w:val="subscript"/>
        </w:rPr>
        <w:t>t</w:t>
      </w:r>
      <w:proofErr w:type="spellEnd"/>
      <w:r w:rsidR="003C1BC1">
        <w:t>)</w:t>
      </w:r>
    </w:p>
    <w:p w14:paraId="3074946B" w14:textId="541885B0" w:rsidR="00CF61E3" w:rsidRDefault="00CF61E3" w:rsidP="006C703C">
      <w:pPr>
        <w:pStyle w:val="NumberedNormal"/>
      </w:pPr>
      <w:r>
        <w:t xml:space="preserve">For Regulatory Years commencing 1 April 2021 and 1 April 2022, the value of </w:t>
      </w:r>
      <w:proofErr w:type="spellStart"/>
      <w:r>
        <w:t>LRIt</w:t>
      </w:r>
      <w:proofErr w:type="spellEnd"/>
      <w:r>
        <w:t xml:space="preserve"> is equal to the value of </w:t>
      </w:r>
      <w:proofErr w:type="spellStart"/>
      <w:r>
        <w:t>RIt</w:t>
      </w:r>
      <w:proofErr w:type="spellEnd"/>
      <w:r>
        <w:t xml:space="preserve"> calculated in accordance with Part A of Special Condition 3C (Reliability Incentive Adjustment in Respect of Energy Not Supplied) as in force on 31 March 2021.</w:t>
      </w:r>
    </w:p>
    <w:p w14:paraId="1BC64AE4" w14:textId="47A6A671" w:rsidR="002D330F" w:rsidRPr="002D330F" w:rsidRDefault="002D330F" w:rsidP="00A859AC">
      <w:pPr>
        <w:pStyle w:val="NumberedNormal"/>
      </w:pPr>
      <w:r w:rsidRPr="002D330F">
        <w:t xml:space="preserve">For Regulatory Years commencing on or after 1 April 2023, the value of LRI is equal to zero.  </w:t>
      </w:r>
    </w:p>
    <w:p w14:paraId="240C9B87" w14:textId="77777777" w:rsidR="00084E8F" w:rsidRDefault="00084E8F" w:rsidP="00084E8F">
      <w:pPr>
        <w:pStyle w:val="Heading2"/>
        <w:numPr>
          <w:ilvl w:val="1"/>
          <w:numId w:val="28"/>
        </w:numPr>
      </w:pPr>
      <w:bookmarkStart w:id="233" w:name="_Toc51319645"/>
      <w:bookmarkStart w:id="234" w:name="_Toc51798328"/>
      <w:bookmarkStart w:id="235" w:name="_Toc52364934"/>
      <w:bookmarkStart w:id="236" w:name="_Toc51319652"/>
      <w:r>
        <w:t>Close out of RIIO-1 Network Innovation Competition</w:t>
      </w:r>
      <w:bookmarkEnd w:id="233"/>
      <w:bookmarkEnd w:id="234"/>
      <w:bookmarkEnd w:id="235"/>
    </w:p>
    <w:p w14:paraId="12B7502E" w14:textId="77777777" w:rsidR="00084E8F" w:rsidRPr="007E6D46" w:rsidRDefault="00084E8F" w:rsidP="00084E8F">
      <w:pPr>
        <w:pStyle w:val="Heading3nonumbering"/>
      </w:pPr>
      <w:r w:rsidRPr="00BF36D8">
        <w:t xml:space="preserve">Introduction </w:t>
      </w:r>
    </w:p>
    <w:p w14:paraId="1D8BA8CA" w14:textId="77777777" w:rsidR="00084E8F" w:rsidRPr="007E6D46" w:rsidRDefault="00084E8F" w:rsidP="00084E8F">
      <w:pPr>
        <w:pStyle w:val="NumberedNormal"/>
        <w:numPr>
          <w:ilvl w:val="2"/>
          <w:numId w:val="28"/>
        </w:numPr>
      </w:pPr>
      <w:r w:rsidRPr="007E6D46">
        <w:t xml:space="preserve">The Network Innovation Competition ran during the RIIO-1 price control period to fund innovative low carbon or environmental projects. Although it will no longer run for the licensee from 1 April 2021, this condition makes provision for arrangements relating to the regulation, </w:t>
      </w:r>
      <w:proofErr w:type="gramStart"/>
      <w:r w:rsidRPr="007E6D46">
        <w:t>administration</w:t>
      </w:r>
      <w:proofErr w:type="gramEnd"/>
      <w:r w:rsidRPr="007E6D46">
        <w:t xml:space="preserve"> and governance of NIC Funding transferred before 1 April 2021.</w:t>
      </w:r>
    </w:p>
    <w:p w14:paraId="11D70A14" w14:textId="77777777" w:rsidR="00084E8F" w:rsidRPr="007E6D46" w:rsidRDefault="00084E8F" w:rsidP="00084E8F">
      <w:pPr>
        <w:pStyle w:val="Heading3"/>
        <w:numPr>
          <w:ilvl w:val="5"/>
          <w:numId w:val="28"/>
        </w:numPr>
      </w:pPr>
      <w:r w:rsidRPr="007E6D46">
        <w:t>The Funding Return Mechanism</w:t>
      </w:r>
    </w:p>
    <w:p w14:paraId="01AA59B1" w14:textId="77777777" w:rsidR="00084E8F" w:rsidRPr="007E6D46" w:rsidRDefault="00084E8F" w:rsidP="00084E8F">
      <w:pPr>
        <w:pStyle w:val="NumberedNormal"/>
        <w:numPr>
          <w:ilvl w:val="2"/>
          <w:numId w:val="28"/>
        </w:numPr>
      </w:pPr>
      <w:r w:rsidRPr="007E6D46">
        <w:t xml:space="preserve">The Authority may direct how Returned Project Revenues should be paid to customers through the Funding Return Mechanism, or where the Authority considers it to be appropriate, how they should be retained by the licensee. </w:t>
      </w:r>
    </w:p>
    <w:p w14:paraId="7F3F8628" w14:textId="77777777" w:rsidR="00084E8F" w:rsidRPr="007E6D46" w:rsidRDefault="00084E8F" w:rsidP="00084E8F">
      <w:pPr>
        <w:pStyle w:val="NumberedNormal"/>
        <w:numPr>
          <w:ilvl w:val="2"/>
          <w:numId w:val="28"/>
        </w:numPr>
      </w:pPr>
      <w:r w:rsidRPr="007E6D46">
        <w:t>In each Regulatory Year, in accordance with the appropriate provisions of the NIC Governance Document, the Authority will calculate and then, by direction given to the licensee, specify:</w:t>
      </w:r>
    </w:p>
    <w:p w14:paraId="430AA8D7" w14:textId="77777777" w:rsidR="00084E8F" w:rsidRPr="007E6D46" w:rsidRDefault="00084E8F" w:rsidP="00084E8F">
      <w:pPr>
        <w:pStyle w:val="ListNormal"/>
        <w:numPr>
          <w:ilvl w:val="3"/>
          <w:numId w:val="28"/>
        </w:numPr>
      </w:pPr>
      <w:r w:rsidRPr="007E6D46">
        <w:t>the amount of any Funding Return that the licensee must pay to the NTS Operator; and</w:t>
      </w:r>
    </w:p>
    <w:p w14:paraId="0AFC0C50" w14:textId="77777777" w:rsidR="00084E8F" w:rsidRPr="007E6D46" w:rsidRDefault="00084E8F" w:rsidP="00084E8F">
      <w:pPr>
        <w:pStyle w:val="ListNormal"/>
        <w:numPr>
          <w:ilvl w:val="3"/>
          <w:numId w:val="28"/>
        </w:numPr>
      </w:pPr>
      <w:r w:rsidRPr="007E6D46">
        <w:t xml:space="preserve">the </w:t>
      </w:r>
      <w:proofErr w:type="gramStart"/>
      <w:r w:rsidRPr="007E6D46">
        <w:t>manner in which</w:t>
      </w:r>
      <w:proofErr w:type="gramEnd"/>
      <w:r w:rsidRPr="007E6D46">
        <w:t xml:space="preserve"> and the timescale over which the licensee must pay that amount. </w:t>
      </w:r>
    </w:p>
    <w:p w14:paraId="02710221" w14:textId="77777777" w:rsidR="00084E8F" w:rsidRPr="007E6D46" w:rsidRDefault="00084E8F" w:rsidP="00084E8F">
      <w:pPr>
        <w:pStyle w:val="Heading3"/>
        <w:numPr>
          <w:ilvl w:val="5"/>
          <w:numId w:val="28"/>
        </w:numPr>
      </w:pPr>
      <w:r w:rsidRPr="007E6D46">
        <w:t>The NIC Governance Document</w:t>
      </w:r>
    </w:p>
    <w:p w14:paraId="446B4DC8" w14:textId="77777777" w:rsidR="00084E8F" w:rsidRPr="007E6D46" w:rsidRDefault="00084E8F" w:rsidP="00084E8F">
      <w:pPr>
        <w:pStyle w:val="NumberedNormal"/>
        <w:numPr>
          <w:ilvl w:val="2"/>
          <w:numId w:val="28"/>
        </w:numPr>
      </w:pPr>
      <w:r w:rsidRPr="007E6D46">
        <w:t xml:space="preserve">The licensee must comply with the NIC Governance Document. </w:t>
      </w:r>
    </w:p>
    <w:p w14:paraId="6393C86C" w14:textId="77777777" w:rsidR="00084E8F" w:rsidRPr="007E6D46" w:rsidRDefault="00084E8F" w:rsidP="00084E8F">
      <w:pPr>
        <w:pStyle w:val="NumberedNormal"/>
        <w:numPr>
          <w:ilvl w:val="2"/>
          <w:numId w:val="28"/>
        </w:numPr>
      </w:pPr>
      <w:r w:rsidRPr="007E6D46">
        <w:t xml:space="preserve">The Authority will amend the NIC Governance Document by direction. </w:t>
      </w:r>
    </w:p>
    <w:p w14:paraId="377CD51D" w14:textId="77777777" w:rsidR="00084E8F" w:rsidRPr="007E6D46" w:rsidRDefault="00084E8F" w:rsidP="00084E8F">
      <w:pPr>
        <w:pStyle w:val="NumberedNormal"/>
        <w:numPr>
          <w:ilvl w:val="2"/>
          <w:numId w:val="28"/>
        </w:numPr>
      </w:pPr>
      <w:r w:rsidRPr="007E6D46">
        <w:t xml:space="preserve">The Authority will publish the NIC Governance Document on the Authority's Website. </w:t>
      </w:r>
    </w:p>
    <w:p w14:paraId="4B08995E" w14:textId="77777777" w:rsidR="00084E8F" w:rsidRPr="007E6D46" w:rsidRDefault="00084E8F" w:rsidP="00084E8F">
      <w:pPr>
        <w:pStyle w:val="NumberedNormal"/>
        <w:numPr>
          <w:ilvl w:val="2"/>
          <w:numId w:val="28"/>
        </w:numPr>
      </w:pPr>
      <w:r w:rsidRPr="007E6D46">
        <w:t>The NIC Governance Document makes and will continue to make provision about:</w:t>
      </w:r>
    </w:p>
    <w:p w14:paraId="23F09134" w14:textId="77777777" w:rsidR="00084E8F" w:rsidRPr="007E6D46" w:rsidRDefault="00084E8F" w:rsidP="00084E8F">
      <w:pPr>
        <w:pStyle w:val="ListNormal"/>
        <w:numPr>
          <w:ilvl w:val="3"/>
          <w:numId w:val="28"/>
        </w:numPr>
      </w:pPr>
      <w:r w:rsidRPr="007E6D46">
        <w:t>the process and procedures that will be in place for the assessment, approval, and financing of project funding (where necessary</w:t>
      </w:r>
      <w:proofErr w:type="gramStart"/>
      <w:r w:rsidRPr="007E6D46">
        <w:t>);</w:t>
      </w:r>
      <w:proofErr w:type="gramEnd"/>
    </w:p>
    <w:p w14:paraId="5EFF3A80" w14:textId="77777777" w:rsidR="00084E8F" w:rsidRPr="007E6D46" w:rsidRDefault="00084E8F" w:rsidP="00084E8F">
      <w:pPr>
        <w:pStyle w:val="ListNormal"/>
        <w:numPr>
          <w:ilvl w:val="3"/>
          <w:numId w:val="28"/>
        </w:numPr>
      </w:pPr>
      <w:r w:rsidRPr="007E6D46">
        <w:lastRenderedPageBreak/>
        <w:t xml:space="preserve">arrangements to ensure that relevant matters the licensee learned from the implementation of Eligible NIC Projects can be captured and disseminated by the licensee to other </w:t>
      </w:r>
      <w:r>
        <w:t xml:space="preserve">electricity Transmission Licensees and Electricity Distribution </w:t>
      </w:r>
      <w:proofErr w:type="gramStart"/>
      <w:r>
        <w:t>Licensees</w:t>
      </w:r>
      <w:r w:rsidRPr="007E6D46">
        <w:t>;</w:t>
      </w:r>
      <w:proofErr w:type="gramEnd"/>
    </w:p>
    <w:p w14:paraId="00742CB3" w14:textId="77777777" w:rsidR="00084E8F" w:rsidRPr="007E6D46" w:rsidRDefault="00084E8F" w:rsidP="00084E8F">
      <w:pPr>
        <w:pStyle w:val="ListNormal"/>
        <w:numPr>
          <w:ilvl w:val="3"/>
          <w:numId w:val="28"/>
        </w:numPr>
      </w:pPr>
      <w:r w:rsidRPr="007E6D46">
        <w:t>the nature of the reporting obligations in respect of such projects (which may include reporting in respect of the funding and the completion of such projects, as well as reporting on compliance with this condition and the provisions of the NIC Governance Document);</w:t>
      </w:r>
    </w:p>
    <w:p w14:paraId="03E38D99" w14:textId="77777777" w:rsidR="00084E8F" w:rsidRPr="007E6D46" w:rsidRDefault="00084E8F" w:rsidP="00084E8F">
      <w:pPr>
        <w:pStyle w:val="ListNormal"/>
        <w:numPr>
          <w:ilvl w:val="3"/>
          <w:numId w:val="28"/>
        </w:numPr>
      </w:pPr>
      <w:r w:rsidRPr="007E6D46">
        <w:t>arrangements relating to the treatment of intellectual property rights including Returned Royalty Income in respect of Eligible NIC Projects; and</w:t>
      </w:r>
    </w:p>
    <w:p w14:paraId="4BBBCD65" w14:textId="77777777" w:rsidR="00084E8F" w:rsidRPr="007E6D46" w:rsidRDefault="00084E8F" w:rsidP="00084E8F">
      <w:pPr>
        <w:pStyle w:val="ListNormal"/>
        <w:numPr>
          <w:ilvl w:val="3"/>
          <w:numId w:val="28"/>
        </w:numPr>
      </w:pPr>
      <w:r w:rsidRPr="007E6D46">
        <w:t xml:space="preserve">any other matters the Authority considers appropriate.  </w:t>
      </w:r>
    </w:p>
    <w:p w14:paraId="7EC38478" w14:textId="77777777" w:rsidR="00084E8F" w:rsidRPr="007E6D46" w:rsidRDefault="00084E8F" w:rsidP="00084E8F">
      <w:pPr>
        <w:pStyle w:val="Heading3"/>
        <w:numPr>
          <w:ilvl w:val="5"/>
          <w:numId w:val="28"/>
        </w:numPr>
      </w:pPr>
      <w:r w:rsidRPr="007E6D46">
        <w:t>Procedure for amending the NIC Governance Document</w:t>
      </w:r>
    </w:p>
    <w:p w14:paraId="2DBDFC4F" w14:textId="77777777" w:rsidR="00084E8F" w:rsidRPr="007E6D46" w:rsidRDefault="00084E8F" w:rsidP="00084E8F">
      <w:pPr>
        <w:pStyle w:val="NumberedNormal"/>
        <w:numPr>
          <w:ilvl w:val="2"/>
          <w:numId w:val="28"/>
        </w:numPr>
      </w:pPr>
      <w:r w:rsidRPr="007E6D46">
        <w:t>Before amending the NIC Governance Document by direction, the Authority will publish on the Authority's Website:</w:t>
      </w:r>
    </w:p>
    <w:p w14:paraId="6C854155" w14:textId="77777777" w:rsidR="00084E8F" w:rsidRPr="007E6D46" w:rsidRDefault="00084E8F" w:rsidP="00084E8F">
      <w:pPr>
        <w:pStyle w:val="ListNormal"/>
        <w:numPr>
          <w:ilvl w:val="3"/>
          <w:numId w:val="28"/>
        </w:numPr>
      </w:pPr>
      <w:r w:rsidRPr="007E6D46">
        <w:t xml:space="preserve">the text of the amended NIC Governance </w:t>
      </w:r>
      <w:proofErr w:type="gramStart"/>
      <w:r w:rsidRPr="007E6D46">
        <w:t>Document;</w:t>
      </w:r>
      <w:proofErr w:type="gramEnd"/>
      <w:r w:rsidRPr="007E6D46">
        <w:t xml:space="preserve"> </w:t>
      </w:r>
    </w:p>
    <w:p w14:paraId="4F284387" w14:textId="77777777" w:rsidR="00084E8F" w:rsidRPr="007E6D46" w:rsidRDefault="00084E8F" w:rsidP="00084E8F">
      <w:pPr>
        <w:pStyle w:val="ListNormal"/>
        <w:numPr>
          <w:ilvl w:val="3"/>
          <w:numId w:val="28"/>
        </w:numPr>
      </w:pPr>
      <w:r w:rsidRPr="007E6D46">
        <w:t xml:space="preserve">the date on which the Authority intends the amended NIC Governance Document to come into </w:t>
      </w:r>
      <w:proofErr w:type="gramStart"/>
      <w:r w:rsidRPr="007E6D46">
        <w:t>effect;</w:t>
      </w:r>
      <w:proofErr w:type="gramEnd"/>
      <w:r w:rsidRPr="007E6D46">
        <w:t xml:space="preserve"> </w:t>
      </w:r>
    </w:p>
    <w:p w14:paraId="56B37060" w14:textId="77777777" w:rsidR="00084E8F" w:rsidRPr="007E6D46" w:rsidRDefault="00084E8F" w:rsidP="00084E8F">
      <w:pPr>
        <w:pStyle w:val="ListNormal"/>
        <w:numPr>
          <w:ilvl w:val="3"/>
          <w:numId w:val="28"/>
        </w:numPr>
      </w:pPr>
      <w:r w:rsidRPr="007E6D46">
        <w:t>the reasons for the amendments to the NIC Governance Document; and</w:t>
      </w:r>
    </w:p>
    <w:p w14:paraId="3CEB0704" w14:textId="77777777" w:rsidR="00084E8F" w:rsidRPr="007E6D46" w:rsidRDefault="00084E8F" w:rsidP="00084E8F">
      <w:pPr>
        <w:pStyle w:val="ListNormal"/>
        <w:numPr>
          <w:ilvl w:val="3"/>
          <w:numId w:val="28"/>
        </w:numPr>
      </w:pPr>
      <w:r w:rsidRPr="007E6D46">
        <w:t xml:space="preserve">a period during which representations may be made on the amendments to the NIC Governance Document, which </w:t>
      </w:r>
      <w:r>
        <w:t>will</w:t>
      </w:r>
      <w:r w:rsidRPr="007E6D46">
        <w:t xml:space="preserve"> not be less than 28 days. </w:t>
      </w:r>
    </w:p>
    <w:p w14:paraId="52B9AC1C" w14:textId="789DFA73" w:rsidR="00CA01A5" w:rsidRDefault="00CA01A5" w:rsidP="00CA01A5">
      <w:pPr>
        <w:pStyle w:val="Heading1"/>
      </w:pPr>
      <w:bookmarkStart w:id="237" w:name="_Toc51798329"/>
      <w:bookmarkStart w:id="238" w:name="_Toc52364935"/>
      <w:r>
        <w:lastRenderedPageBreak/>
        <w:t>Governance</w:t>
      </w:r>
      <w:bookmarkEnd w:id="236"/>
      <w:bookmarkEnd w:id="237"/>
      <w:bookmarkEnd w:id="238"/>
    </w:p>
    <w:p w14:paraId="08EA2EB3" w14:textId="1035577C" w:rsidR="009F56C4" w:rsidRPr="009F56C4" w:rsidRDefault="009F56C4" w:rsidP="007E6D46">
      <w:pPr>
        <w:pStyle w:val="Heading2"/>
      </w:pPr>
      <w:bookmarkStart w:id="239" w:name="_Toc50970339"/>
      <w:bookmarkStart w:id="240" w:name="_Toc51319653"/>
      <w:bookmarkStart w:id="241" w:name="_Toc51798330"/>
      <w:bookmarkStart w:id="242" w:name="_Toc52364936"/>
      <w:r>
        <w:t>Governance of the ET</w:t>
      </w:r>
      <w:r w:rsidRPr="009F56C4">
        <w:t>2 Price Control Financial Instruments</w:t>
      </w:r>
      <w:bookmarkEnd w:id="239"/>
      <w:bookmarkEnd w:id="240"/>
      <w:bookmarkEnd w:id="241"/>
      <w:bookmarkEnd w:id="242"/>
    </w:p>
    <w:p w14:paraId="1B0E3C95" w14:textId="77777777" w:rsidR="009F56C4" w:rsidRPr="009F56C4" w:rsidRDefault="009F56C4" w:rsidP="009F56C4">
      <w:pPr>
        <w:pStyle w:val="Heading3nonumbering"/>
      </w:pPr>
      <w:r w:rsidRPr="009F56C4">
        <w:t xml:space="preserve">Introduction </w:t>
      </w:r>
    </w:p>
    <w:p w14:paraId="0C36D269" w14:textId="22E85644" w:rsidR="009F56C4" w:rsidRPr="009F56C4" w:rsidRDefault="009F56C4" w:rsidP="007E6D46">
      <w:pPr>
        <w:pStyle w:val="NumberedNormal"/>
      </w:pPr>
      <w:r w:rsidRPr="009F56C4">
        <w:t xml:space="preserve">The purpose of this condition is to establish a robust and transparent change control framework for each of the following </w:t>
      </w:r>
      <w:r>
        <w:t>ET2</w:t>
      </w:r>
      <w:r w:rsidRPr="009F56C4">
        <w:t xml:space="preserve"> Price Control Financial Instruments: </w:t>
      </w:r>
    </w:p>
    <w:p w14:paraId="2E32B50D" w14:textId="41B27C3A" w:rsidR="009F56C4" w:rsidRPr="009F56C4" w:rsidRDefault="009F56C4" w:rsidP="007E6D46">
      <w:pPr>
        <w:pStyle w:val="ListNormal"/>
        <w:tabs>
          <w:tab w:val="num" w:pos="879"/>
        </w:tabs>
      </w:pPr>
      <w:r w:rsidRPr="009F56C4">
        <w:t xml:space="preserve">the </w:t>
      </w:r>
      <w:r>
        <w:t>ET2</w:t>
      </w:r>
      <w:r w:rsidRPr="009F56C4">
        <w:t xml:space="preserve"> Price Control Financial Handbook; and </w:t>
      </w:r>
    </w:p>
    <w:p w14:paraId="6A588252" w14:textId="12B6A937" w:rsidR="009F56C4" w:rsidRPr="009F56C4" w:rsidRDefault="009F56C4" w:rsidP="007E6D46">
      <w:pPr>
        <w:pStyle w:val="ListNormal"/>
        <w:tabs>
          <w:tab w:val="num" w:pos="879"/>
        </w:tabs>
      </w:pPr>
      <w:r w:rsidRPr="009F56C4">
        <w:t xml:space="preserve">the </w:t>
      </w:r>
      <w:r>
        <w:t>ET2</w:t>
      </w:r>
      <w:r w:rsidRPr="009F56C4">
        <w:t xml:space="preserve"> Price Control Financial Model. </w:t>
      </w:r>
    </w:p>
    <w:p w14:paraId="608C7262" w14:textId="77777777" w:rsidR="009F56C4" w:rsidRPr="009F56C4" w:rsidRDefault="009F56C4" w:rsidP="009F56C4">
      <w:pPr>
        <w:pStyle w:val="Heading3nonumbering"/>
      </w:pPr>
      <w:r w:rsidRPr="009F56C4">
        <w:t>Part A: Assessment of the likely impact of an intended modification</w:t>
      </w:r>
    </w:p>
    <w:p w14:paraId="070CF757" w14:textId="7C8BC20A" w:rsidR="009F56C4" w:rsidRPr="009F56C4" w:rsidRDefault="009F56C4" w:rsidP="007E6D46">
      <w:pPr>
        <w:pStyle w:val="NumberedNormal"/>
      </w:pPr>
      <w:r w:rsidRPr="009F56C4">
        <w:t xml:space="preserve">Before initiating any modification of </w:t>
      </w:r>
      <w:proofErr w:type="gramStart"/>
      <w:r w:rsidRPr="009F56C4">
        <w:t>a</w:t>
      </w:r>
      <w:proofErr w:type="gramEnd"/>
      <w:r w:rsidRPr="009F56C4">
        <w:t xml:space="preserve"> </w:t>
      </w:r>
      <w:r>
        <w:t>ET2</w:t>
      </w:r>
      <w:r w:rsidRPr="009F56C4">
        <w:t xml:space="preserve"> Price Control Financial Instrument, the Authority will assess whether that modification would be likely to have a significant impact on any of the following persons: </w:t>
      </w:r>
    </w:p>
    <w:p w14:paraId="17798100" w14:textId="77777777" w:rsidR="009F56C4" w:rsidRPr="009F56C4" w:rsidRDefault="009F56C4" w:rsidP="007E6D46">
      <w:pPr>
        <w:pStyle w:val="ListNormal"/>
        <w:tabs>
          <w:tab w:val="num" w:pos="879"/>
        </w:tabs>
      </w:pPr>
      <w:r w:rsidRPr="009F56C4">
        <w:t xml:space="preserve">the </w:t>
      </w:r>
      <w:proofErr w:type="gramStart"/>
      <w:r w:rsidRPr="009F56C4">
        <w:t>licensee;</w:t>
      </w:r>
      <w:proofErr w:type="gramEnd"/>
      <w:r w:rsidRPr="009F56C4">
        <w:t xml:space="preserve"> </w:t>
      </w:r>
    </w:p>
    <w:p w14:paraId="2B569FEA" w14:textId="0072D709" w:rsidR="009F56C4" w:rsidRPr="009F56C4" w:rsidRDefault="009F56C4" w:rsidP="007E6D46">
      <w:pPr>
        <w:pStyle w:val="ListNormal"/>
        <w:tabs>
          <w:tab w:val="num" w:pos="879"/>
        </w:tabs>
      </w:pPr>
      <w:r w:rsidRPr="009F56C4">
        <w:t xml:space="preserve">any other </w:t>
      </w:r>
      <w:r>
        <w:t>electricity transmission l</w:t>
      </w:r>
      <w:r w:rsidRPr="009F56C4">
        <w:t xml:space="preserve">icensee in whose licence a condition equivalent to this one has </w:t>
      </w:r>
      <w:proofErr w:type="gramStart"/>
      <w:r w:rsidRPr="009F56C4">
        <w:t>effect;</w:t>
      </w:r>
      <w:proofErr w:type="gramEnd"/>
      <w:r w:rsidRPr="009F56C4">
        <w:t xml:space="preserve"> </w:t>
      </w:r>
    </w:p>
    <w:p w14:paraId="35418F5A" w14:textId="77777777" w:rsidR="009F56C4" w:rsidRPr="009F56C4" w:rsidRDefault="009F56C4" w:rsidP="007E6D46">
      <w:pPr>
        <w:pStyle w:val="ListNormal"/>
        <w:tabs>
          <w:tab w:val="num" w:pos="879"/>
        </w:tabs>
      </w:pPr>
      <w:r w:rsidRPr="009F56C4">
        <w:t xml:space="preserve">any person engaged in the shipping, transportation, or supply of gas conveyed through pipes or in the generation, transmission, distribution, or supply of electricity; and </w:t>
      </w:r>
    </w:p>
    <w:p w14:paraId="2F254424" w14:textId="2249412B" w:rsidR="009F56C4" w:rsidRPr="009F56C4" w:rsidRDefault="009F56C4" w:rsidP="007E6D46">
      <w:pPr>
        <w:pStyle w:val="ListNormal"/>
        <w:tabs>
          <w:tab w:val="num" w:pos="879"/>
        </w:tabs>
      </w:pPr>
      <w:r w:rsidRPr="009F56C4">
        <w:t>energy consumers (whether considered individually</w:t>
      </w:r>
      <w:proofErr w:type="gramStart"/>
      <w:r w:rsidRPr="009F56C4">
        <w:t>, as a whole, or</w:t>
      </w:r>
      <w:proofErr w:type="gramEnd"/>
      <w:r w:rsidRPr="009F56C4">
        <w:t xml:space="preserve"> by reference to any class or category of them) in Great Britain.</w:t>
      </w:r>
    </w:p>
    <w:p w14:paraId="43B3E7C1" w14:textId="151A8A27" w:rsidR="009F56C4" w:rsidRPr="009F56C4" w:rsidRDefault="009F56C4" w:rsidP="007E6D46">
      <w:pPr>
        <w:pStyle w:val="NumberedNormal"/>
      </w:pPr>
      <w:r w:rsidRPr="009F56C4">
        <w:t xml:space="preserve">In making the assessment required by paragraph </w:t>
      </w:r>
      <w:r>
        <w:t>8.1</w:t>
      </w:r>
      <w:r w:rsidRPr="009F56C4">
        <w:t xml:space="preserve">.2, the Authority will have regard to all relevant factors including: </w:t>
      </w:r>
    </w:p>
    <w:p w14:paraId="67CEA64F" w14:textId="2A4AFB80" w:rsidR="009F56C4" w:rsidRPr="009F56C4" w:rsidRDefault="009F56C4" w:rsidP="007E6D46">
      <w:pPr>
        <w:pStyle w:val="ListNormal"/>
        <w:tabs>
          <w:tab w:val="num" w:pos="879"/>
        </w:tabs>
      </w:pPr>
      <w:r w:rsidRPr="009F56C4">
        <w:t xml:space="preserve">any impact which an intended modification would be likely to have on any component of </w:t>
      </w:r>
      <w:r w:rsidR="004D51E2">
        <w:t xml:space="preserve">the </w:t>
      </w:r>
      <w:r w:rsidRPr="009F56C4">
        <w:t xml:space="preserve">licensee’s Allowed Revenue or on any value, rate, </w:t>
      </w:r>
      <w:proofErr w:type="gramStart"/>
      <w:r w:rsidRPr="009F56C4">
        <w:t>time period</w:t>
      </w:r>
      <w:proofErr w:type="gramEnd"/>
      <w:r w:rsidRPr="009F56C4">
        <w:t xml:space="preserve">, or calculation used in the determination of Allowed Revenues; and </w:t>
      </w:r>
    </w:p>
    <w:p w14:paraId="7DCF24AC" w14:textId="04305D72" w:rsidR="009F56C4" w:rsidRPr="009F56C4" w:rsidRDefault="009F56C4" w:rsidP="007E6D46">
      <w:pPr>
        <w:pStyle w:val="ListNormal"/>
        <w:tabs>
          <w:tab w:val="num" w:pos="879"/>
        </w:tabs>
      </w:pPr>
      <w:r w:rsidRPr="009F56C4">
        <w:t xml:space="preserve">in respect of modifications to the </w:t>
      </w:r>
      <w:r>
        <w:t>ET2</w:t>
      </w:r>
      <w:r w:rsidRPr="009F56C4">
        <w:t xml:space="preserve"> Price Control Financial Model, any views expressed by the </w:t>
      </w:r>
      <w:r>
        <w:t>ET2</w:t>
      </w:r>
      <w:r w:rsidRPr="009F56C4">
        <w:t xml:space="preserve"> Price Control Financial Model Working Group.</w:t>
      </w:r>
    </w:p>
    <w:p w14:paraId="0EBEE3FB" w14:textId="6F55CFCE" w:rsidR="009F56C4" w:rsidRPr="009F56C4" w:rsidRDefault="009F56C4" w:rsidP="007E6D46">
      <w:pPr>
        <w:pStyle w:val="NumberedNormal"/>
      </w:pPr>
      <w:r w:rsidRPr="009F56C4">
        <w:t xml:space="preserve">For the purposes of paragraph </w:t>
      </w:r>
      <w:r>
        <w:t>8.1</w:t>
      </w:r>
      <w:r w:rsidRPr="009F56C4">
        <w:t xml:space="preserve">.2, it is to be presumed that a modification which serves to correct a manifest error contained in a </w:t>
      </w:r>
      <w:r>
        <w:t>ET2</w:t>
      </w:r>
      <w:r w:rsidRPr="009F56C4">
        <w:t xml:space="preserve"> Price Control Financial Instrument will not have a significant impact on any of the persons mentioned in that paragraph.</w:t>
      </w:r>
    </w:p>
    <w:p w14:paraId="4C3CD3A6" w14:textId="77777777" w:rsidR="009F56C4" w:rsidRPr="009F56C4" w:rsidRDefault="009F56C4" w:rsidP="009F56C4">
      <w:pPr>
        <w:pStyle w:val="Heading3nonumbering"/>
      </w:pPr>
      <w:r w:rsidRPr="009F56C4">
        <w:t>Part B: Circumstances in which a modification may be made</w:t>
      </w:r>
    </w:p>
    <w:p w14:paraId="54905B60" w14:textId="5D25DD1C" w:rsidR="009F56C4" w:rsidRPr="009F56C4" w:rsidRDefault="009F56C4" w:rsidP="007E6D46">
      <w:pPr>
        <w:pStyle w:val="NumberedNormal"/>
      </w:pPr>
      <w:r w:rsidRPr="009F56C4">
        <w:t xml:space="preserve">If, having carried out the required assessment under Part A, the Authority considers that an intended modification of a </w:t>
      </w:r>
      <w:r>
        <w:t>ET2</w:t>
      </w:r>
      <w:r w:rsidRPr="009F56C4">
        <w:t xml:space="preserve"> Price Control Financial Instrument would not be likely to have a significant impact on any of the </w:t>
      </w:r>
      <w:r w:rsidRPr="009F56C4">
        <w:lastRenderedPageBreak/>
        <w:t>persons mentioned in paragraph 8</w:t>
      </w:r>
      <w:r>
        <w:t>.1</w:t>
      </w:r>
      <w:r w:rsidRPr="009F56C4">
        <w:t>.2, it may modify that instrument by direction. Otherwise any modification will be made under section 23 of the Act.</w:t>
      </w:r>
    </w:p>
    <w:p w14:paraId="410E4412" w14:textId="6EDEA27B" w:rsidR="009F56C4" w:rsidRPr="009F56C4" w:rsidRDefault="009F56C4" w:rsidP="007E6D46">
      <w:pPr>
        <w:pStyle w:val="NumberedNormal"/>
      </w:pPr>
      <w:r w:rsidRPr="009F56C4">
        <w:t xml:space="preserve">Before making a direction under paragraph </w:t>
      </w:r>
      <w:r>
        <w:t>8.1</w:t>
      </w:r>
      <w:r w:rsidRPr="009F56C4">
        <w:t>.5, the Authority will publish on the Authority's Website:</w:t>
      </w:r>
    </w:p>
    <w:p w14:paraId="5B564A58" w14:textId="77777777" w:rsidR="009F56C4" w:rsidRPr="009F56C4" w:rsidRDefault="009F56C4" w:rsidP="007E6D46">
      <w:pPr>
        <w:pStyle w:val="ListNormal"/>
        <w:tabs>
          <w:tab w:val="num" w:pos="879"/>
        </w:tabs>
      </w:pPr>
      <w:r w:rsidRPr="009F56C4">
        <w:t xml:space="preserve">the text of the proposed </w:t>
      </w:r>
      <w:proofErr w:type="gramStart"/>
      <w:r w:rsidRPr="009F56C4">
        <w:t>direction;</w:t>
      </w:r>
      <w:proofErr w:type="gramEnd"/>
    </w:p>
    <w:p w14:paraId="186EE9B6" w14:textId="32731992" w:rsidR="009F56C4" w:rsidRPr="009F56C4" w:rsidRDefault="009F56C4" w:rsidP="007E6D46">
      <w:pPr>
        <w:pStyle w:val="ListNormal"/>
        <w:tabs>
          <w:tab w:val="num" w:pos="879"/>
        </w:tabs>
      </w:pPr>
      <w:r w:rsidRPr="009F56C4">
        <w:t>the reasons for the proposed direction, including why the Authority believes that the modification would not be likely to have a significant impact on any of the persons mentioned in paragraph 8</w:t>
      </w:r>
      <w:r>
        <w:t>.1</w:t>
      </w:r>
      <w:r w:rsidRPr="009F56C4">
        <w:t xml:space="preserve">.2; and </w:t>
      </w:r>
    </w:p>
    <w:p w14:paraId="7208B97D" w14:textId="04A8C312" w:rsidR="009F56C4" w:rsidRPr="009F56C4" w:rsidRDefault="004D51E2" w:rsidP="007E6D46">
      <w:pPr>
        <w:pStyle w:val="ListNormal"/>
        <w:tabs>
          <w:tab w:val="num" w:pos="879"/>
        </w:tabs>
      </w:pPr>
      <w:r>
        <w:t xml:space="preserve">a period during which representations may be made on the proposed direction, which </w:t>
      </w:r>
      <w:r w:rsidR="009F56C4" w:rsidRPr="009F56C4">
        <w:t>will not be less than 28 days.</w:t>
      </w:r>
    </w:p>
    <w:p w14:paraId="53C0F076" w14:textId="4650DC40" w:rsidR="009F56C4" w:rsidRPr="009F56C4" w:rsidRDefault="009F56C4" w:rsidP="007E6D46">
      <w:pPr>
        <w:pStyle w:val="NumberedNormal"/>
      </w:pPr>
      <w:r w:rsidRPr="009F56C4">
        <w:t xml:space="preserve">A direction under paragraph </w:t>
      </w:r>
      <w:r>
        <w:t>8.1</w:t>
      </w:r>
      <w:r w:rsidRPr="009F56C4">
        <w:t>.5 will set out:</w:t>
      </w:r>
    </w:p>
    <w:p w14:paraId="2BD5C90B" w14:textId="77777777" w:rsidR="009F56C4" w:rsidRPr="009F56C4" w:rsidRDefault="009F56C4" w:rsidP="007E6D46">
      <w:pPr>
        <w:pStyle w:val="ListNormal"/>
        <w:tabs>
          <w:tab w:val="num" w:pos="879"/>
        </w:tabs>
      </w:pPr>
      <w:r w:rsidRPr="009F56C4">
        <w:t xml:space="preserve">the modifications to the Price Control Finance Instruments; and </w:t>
      </w:r>
    </w:p>
    <w:p w14:paraId="438E6D3C" w14:textId="77777777" w:rsidR="009F56C4" w:rsidRPr="009F56C4" w:rsidRDefault="009F56C4" w:rsidP="007E6D46">
      <w:pPr>
        <w:pStyle w:val="ListNormal"/>
        <w:tabs>
          <w:tab w:val="num" w:pos="879"/>
        </w:tabs>
      </w:pPr>
      <w:r w:rsidRPr="009F56C4">
        <w:t>the date from which it is to have effect or the mechanism by which that date is to be determined.</w:t>
      </w:r>
    </w:p>
    <w:p w14:paraId="4A016027" w14:textId="19F7CB5B" w:rsidR="009F56C4" w:rsidRPr="009F56C4" w:rsidRDefault="009F56C4" w:rsidP="009F56C4">
      <w:pPr>
        <w:pStyle w:val="Heading3nonumbering"/>
      </w:pPr>
      <w:r w:rsidRPr="009F56C4">
        <w:t xml:space="preserve">Part C: Availability and updating of </w:t>
      </w:r>
      <w:r>
        <w:t>ET2</w:t>
      </w:r>
      <w:r w:rsidRPr="009F56C4">
        <w:t xml:space="preserve"> Price Control Financial Instruments</w:t>
      </w:r>
    </w:p>
    <w:p w14:paraId="31D28B57" w14:textId="59503286" w:rsidR="009F56C4" w:rsidRPr="009F56C4" w:rsidRDefault="009F56C4" w:rsidP="007E6D46">
      <w:pPr>
        <w:pStyle w:val="NumberedNormal"/>
      </w:pPr>
      <w:r w:rsidRPr="009F56C4">
        <w:t xml:space="preserve">This Part has effect in relation to the publication and availability of the </w:t>
      </w:r>
      <w:r>
        <w:t>ET2</w:t>
      </w:r>
      <w:r w:rsidRPr="009F56C4">
        <w:t xml:space="preserve"> Price Control Financial Handbook, and the </w:t>
      </w:r>
      <w:r>
        <w:t>ET2</w:t>
      </w:r>
      <w:r w:rsidRPr="009F56C4">
        <w:t xml:space="preserve"> Price Control Financial Model.</w:t>
      </w:r>
    </w:p>
    <w:p w14:paraId="753853E8" w14:textId="0FF5AC01" w:rsidR="009F56C4" w:rsidRPr="009F56C4" w:rsidRDefault="009F56C4" w:rsidP="007E6D46">
      <w:pPr>
        <w:pStyle w:val="NumberedNormal"/>
      </w:pPr>
      <w:r w:rsidRPr="009F56C4">
        <w:t xml:space="preserve">The Authority will ensure that any modifications of the </w:t>
      </w:r>
      <w:r>
        <w:t>ET2</w:t>
      </w:r>
      <w:r w:rsidRPr="009F56C4">
        <w:t xml:space="preserve"> Price Control Financial Handbook, whether under Part B or otherwise, are promptly incorporated into a consolidated version of the </w:t>
      </w:r>
      <w:r>
        <w:t>ET2</w:t>
      </w:r>
      <w:r w:rsidRPr="009F56C4">
        <w:t xml:space="preserve"> Price Control Financial Handbook maintained on the Authority’s Website.</w:t>
      </w:r>
    </w:p>
    <w:p w14:paraId="0CF7DA2E" w14:textId="322171EF" w:rsidR="009F56C4" w:rsidRPr="009F56C4" w:rsidRDefault="009F56C4" w:rsidP="007E6D46">
      <w:pPr>
        <w:pStyle w:val="NumberedNormal"/>
      </w:pPr>
      <w:r w:rsidRPr="009F56C4">
        <w:t xml:space="preserve">The Authority will ensure that any modifications of the </w:t>
      </w:r>
      <w:r>
        <w:t>ET2</w:t>
      </w:r>
      <w:r w:rsidRPr="009F56C4">
        <w:t xml:space="preserve"> Price Control Financial Model, whether under Part B or otherwise, are promptly incorporated into a consolidated version of the </w:t>
      </w:r>
      <w:r>
        <w:t>ET2</w:t>
      </w:r>
      <w:r w:rsidRPr="009F56C4">
        <w:t xml:space="preserve"> Price Control Financial Model maintained on the Authority’s Website.</w:t>
      </w:r>
    </w:p>
    <w:p w14:paraId="1B79C398" w14:textId="74AF263A" w:rsidR="009F56C4" w:rsidRPr="009F56C4" w:rsidRDefault="009F56C4" w:rsidP="007E6D46">
      <w:pPr>
        <w:pStyle w:val="NumberedNormal"/>
      </w:pPr>
      <w:r w:rsidRPr="009F56C4">
        <w:t>Without limiting the general effect of paragraph 8</w:t>
      </w:r>
      <w:r>
        <w:t>.1</w:t>
      </w:r>
      <w:r w:rsidRPr="009F56C4">
        <w:t>.10, the Authority</w:t>
      </w:r>
      <w:r w:rsidR="006D265B">
        <w:t xml:space="preserve"> will, </w:t>
      </w:r>
      <w:r w:rsidRPr="009F56C4">
        <w:t>by no later than 30 November in each Regulatory Year:</w:t>
      </w:r>
    </w:p>
    <w:p w14:paraId="2951707E" w14:textId="7E5A8051" w:rsidR="009F56C4" w:rsidRPr="009F56C4" w:rsidRDefault="009F56C4" w:rsidP="007E6D46">
      <w:pPr>
        <w:pStyle w:val="ListNormal"/>
        <w:tabs>
          <w:tab w:val="num" w:pos="879"/>
        </w:tabs>
      </w:pPr>
      <w:r w:rsidRPr="009F56C4">
        <w:t xml:space="preserve">publish on the Authority’s Website, in Microsoft Excel ® format, the version of the </w:t>
      </w:r>
      <w:r>
        <w:t>ET2</w:t>
      </w:r>
      <w:r w:rsidRPr="009F56C4">
        <w:t xml:space="preserve"> Price Control Financial Model that will be used to determine the value of the term </w:t>
      </w:r>
      <w:proofErr w:type="spellStart"/>
      <w:r w:rsidRPr="009F56C4">
        <w:t>ARt</w:t>
      </w:r>
      <w:proofErr w:type="spellEnd"/>
      <w:r w:rsidRPr="009F56C4">
        <w:t xml:space="preserve"> for the purposes of Part </w:t>
      </w:r>
      <w:r w:rsidR="004D51E2">
        <w:t>C</w:t>
      </w:r>
      <w:r w:rsidR="004D51E2" w:rsidRPr="009F56C4">
        <w:t xml:space="preserve"> </w:t>
      </w:r>
      <w:r w:rsidRPr="009F56C4">
        <w:t xml:space="preserve">of Special Condition </w:t>
      </w:r>
      <w:r>
        <w:t>2.1</w:t>
      </w:r>
      <w:r w:rsidR="004D51E2">
        <w:t xml:space="preserve"> (Revenue Restriction)</w:t>
      </w:r>
      <w:r w:rsidRPr="009F56C4">
        <w:t xml:space="preserve">; </w:t>
      </w:r>
    </w:p>
    <w:p w14:paraId="3455562F" w14:textId="422EE4DB" w:rsidR="009F56C4" w:rsidRPr="009F56C4" w:rsidRDefault="009F56C4" w:rsidP="007E6D46">
      <w:pPr>
        <w:pStyle w:val="ListNormal"/>
        <w:tabs>
          <w:tab w:val="num" w:pos="879"/>
        </w:tabs>
      </w:pPr>
      <w:r w:rsidRPr="009F56C4">
        <w:t>ensure that the electronic name of the file is “</w:t>
      </w:r>
      <w:r>
        <w:t>ET2</w:t>
      </w:r>
      <w:r w:rsidRPr="009F56C4">
        <w:t xml:space="preserve"> PCFM” followed by “November 20XX” where 20XX represents the calendar year containing the month of November prior to the Regulatory Year </w:t>
      </w:r>
      <w:proofErr w:type="gramStart"/>
      <w:r w:rsidRPr="009F56C4">
        <w:t>t;</w:t>
      </w:r>
      <w:proofErr w:type="gramEnd"/>
      <w:r w:rsidRPr="009F56C4">
        <w:t xml:space="preserve"> </w:t>
      </w:r>
    </w:p>
    <w:p w14:paraId="48D81CB2" w14:textId="1A122220" w:rsidR="009F56C4" w:rsidRPr="009F56C4" w:rsidRDefault="009F56C4" w:rsidP="007E6D46">
      <w:pPr>
        <w:pStyle w:val="ListNormal"/>
        <w:tabs>
          <w:tab w:val="num" w:pos="879"/>
        </w:tabs>
      </w:pPr>
      <w:r w:rsidRPr="009F56C4">
        <w:t>ensure that the words “</w:t>
      </w:r>
      <w:r>
        <w:t>ET2</w:t>
      </w:r>
      <w:r w:rsidRPr="009F56C4">
        <w:t xml:space="preserve"> Price Control Financial Model for the Annual Iteration Process that will take place by 30 November” followed by the preceding Regulatory Year expressed in the format 20XX/XX are included as text within the file itself; and  </w:t>
      </w:r>
    </w:p>
    <w:p w14:paraId="25D1A76A" w14:textId="107129ED" w:rsidR="009F56C4" w:rsidRPr="009F56C4" w:rsidRDefault="009F56C4" w:rsidP="007E6D46">
      <w:pPr>
        <w:pStyle w:val="ListNormal"/>
        <w:tabs>
          <w:tab w:val="num" w:pos="879"/>
        </w:tabs>
      </w:pPr>
      <w:r w:rsidRPr="009F56C4">
        <w:lastRenderedPageBreak/>
        <w:t xml:space="preserve">publish an up-to-date schedule of any modifications that have been made to the </w:t>
      </w:r>
      <w:r>
        <w:t>ET2</w:t>
      </w:r>
      <w:r w:rsidRPr="009F56C4">
        <w:t xml:space="preserve"> Price Control Financial Model, whether under Part B or otherwise, up to and including the date of such publication.</w:t>
      </w:r>
    </w:p>
    <w:p w14:paraId="771063AC" w14:textId="5C4CF355" w:rsidR="009F56C4" w:rsidRPr="009F56C4" w:rsidRDefault="009F56C4" w:rsidP="007E6D46">
      <w:pPr>
        <w:pStyle w:val="NumberedNormal"/>
      </w:pPr>
      <w:r w:rsidRPr="009F56C4">
        <w:t xml:space="preserve">The first Regulatory Year in which the Authority will publish a version of the </w:t>
      </w:r>
      <w:r>
        <w:t>ET2</w:t>
      </w:r>
      <w:r w:rsidRPr="009F56C4">
        <w:t xml:space="preserve"> Price Control Financial Model on the Authority’s Website for the purposes of paragraph </w:t>
      </w:r>
      <w:r>
        <w:t>8.1.11</w:t>
      </w:r>
      <w:r w:rsidRPr="009F56C4">
        <w:t xml:space="preserve"> will be Regulatory Year 2021/22 and the last Regulatory Year will be 2024/25.</w:t>
      </w:r>
    </w:p>
    <w:p w14:paraId="4ACCB957" w14:textId="4D9ADC1B" w:rsidR="009F56C4" w:rsidRPr="009F56C4" w:rsidRDefault="009F56C4" w:rsidP="007E6D46">
      <w:pPr>
        <w:pStyle w:val="Heading2"/>
      </w:pPr>
      <w:bookmarkStart w:id="243" w:name="_Toc50970340"/>
      <w:bookmarkStart w:id="244" w:name="_Toc51319654"/>
      <w:bookmarkStart w:id="245" w:name="_Toc51798331"/>
      <w:bookmarkStart w:id="246" w:name="_Toc52364937"/>
      <w:r w:rsidRPr="009F56C4">
        <w:t xml:space="preserve">Annual Iteration Process for the </w:t>
      </w:r>
      <w:r>
        <w:t>ET2</w:t>
      </w:r>
      <w:r w:rsidRPr="009F56C4">
        <w:t xml:space="preserve"> Price Control Financial Model</w:t>
      </w:r>
      <w:bookmarkEnd w:id="243"/>
      <w:bookmarkEnd w:id="244"/>
      <w:bookmarkEnd w:id="245"/>
      <w:bookmarkEnd w:id="246"/>
    </w:p>
    <w:p w14:paraId="2AEF2230" w14:textId="77777777" w:rsidR="009F56C4" w:rsidRPr="009F56C4" w:rsidRDefault="009F56C4" w:rsidP="007E6D46">
      <w:pPr>
        <w:pStyle w:val="Heading3"/>
      </w:pPr>
      <w:r w:rsidRPr="009F56C4">
        <w:t xml:space="preserve">Introduction </w:t>
      </w:r>
    </w:p>
    <w:p w14:paraId="32FF4E46" w14:textId="54745C55" w:rsidR="009F56C4" w:rsidRPr="009F56C4" w:rsidRDefault="009F56C4" w:rsidP="007E6D46">
      <w:pPr>
        <w:pStyle w:val="NumberedNormal"/>
      </w:pPr>
      <w:r w:rsidRPr="009F56C4">
        <w:t xml:space="preserve">The purpose of this condition is to set out the steps of the Annual Iteration Process that will be carried out by the licensee and the Authority each year in relation to the </w:t>
      </w:r>
      <w:r>
        <w:t>ET2</w:t>
      </w:r>
      <w:r w:rsidRPr="009F56C4">
        <w:t xml:space="preserve"> Price Control Financial Model, in order to determine the value of the term </w:t>
      </w:r>
      <w:proofErr w:type="spellStart"/>
      <w:r w:rsidRPr="009F56C4">
        <w:t>ARt</w:t>
      </w:r>
      <w:proofErr w:type="spellEnd"/>
      <w:r w:rsidRPr="009F56C4">
        <w:t xml:space="preserve"> for the purposes </w:t>
      </w:r>
      <w:r w:rsidR="001C5E83">
        <w:t>of Special Condition 2.1</w:t>
      </w:r>
      <w:r w:rsidRPr="009F56C4">
        <w:t xml:space="preserve"> (</w:t>
      </w:r>
      <w:r w:rsidR="001C5E83">
        <w:t xml:space="preserve">Revenue </w:t>
      </w:r>
      <w:r w:rsidRPr="009F56C4">
        <w:t xml:space="preserve">Restriction). </w:t>
      </w:r>
    </w:p>
    <w:p w14:paraId="076AAE2C" w14:textId="77777777" w:rsidR="009F56C4" w:rsidRPr="009F56C4" w:rsidRDefault="009F56C4" w:rsidP="007E6D46">
      <w:pPr>
        <w:pStyle w:val="NumberedNormal"/>
      </w:pPr>
      <w:r w:rsidRPr="009F56C4">
        <w:t>This condition also explains the process the Authority will follow in issuing and amending the PCFM Guidance.</w:t>
      </w:r>
    </w:p>
    <w:p w14:paraId="22A88030" w14:textId="77777777" w:rsidR="009F56C4" w:rsidRPr="009F56C4" w:rsidRDefault="009F56C4" w:rsidP="009F56C4">
      <w:pPr>
        <w:pStyle w:val="Heading3nonumbering"/>
      </w:pPr>
      <w:r w:rsidRPr="009F56C4">
        <w:t>Part A: Steps comprising the Annual Iteration Process</w:t>
      </w:r>
    </w:p>
    <w:p w14:paraId="354A7FBD" w14:textId="77777777" w:rsidR="009F56C4" w:rsidRPr="009F56C4" w:rsidRDefault="009F56C4" w:rsidP="007E6D46">
      <w:pPr>
        <w:pStyle w:val="NumberedNormal"/>
      </w:pPr>
      <w:r w:rsidRPr="009F56C4">
        <w:t>The paragraphs in this Part set out the steps that comprise the Annual Iteration Process.</w:t>
      </w:r>
    </w:p>
    <w:p w14:paraId="06134863" w14:textId="77777777" w:rsidR="009F56C4" w:rsidRPr="009F56C4" w:rsidRDefault="009F56C4" w:rsidP="007E6D46">
      <w:pPr>
        <w:pStyle w:val="NumberedNormal"/>
      </w:pPr>
      <w:r w:rsidRPr="009F56C4">
        <w:t>Step 1: The licensee must, by 31 July prior to each Regulatory Year:</w:t>
      </w:r>
    </w:p>
    <w:p w14:paraId="2CCC9F76" w14:textId="77777777" w:rsidR="009F56C4" w:rsidRPr="009F56C4" w:rsidRDefault="009F56C4" w:rsidP="007E6D46">
      <w:pPr>
        <w:pStyle w:val="ListNormal"/>
        <w:tabs>
          <w:tab w:val="num" w:pos="879"/>
        </w:tabs>
      </w:pPr>
      <w:r w:rsidRPr="009F56C4">
        <w:t xml:space="preserve">complete the PCFM Variable Values Table with the PCFM Variable Values in accordance with the PCFM </w:t>
      </w:r>
      <w:proofErr w:type="gramStart"/>
      <w:r w:rsidRPr="009F56C4">
        <w:t>Guidance;</w:t>
      </w:r>
      <w:proofErr w:type="gramEnd"/>
    </w:p>
    <w:p w14:paraId="410E2CC3" w14:textId="229C17A8" w:rsidR="009F56C4" w:rsidRPr="009F56C4" w:rsidRDefault="009F56C4" w:rsidP="007E6D46">
      <w:pPr>
        <w:pStyle w:val="ListNormal"/>
        <w:tabs>
          <w:tab w:val="num" w:pos="879"/>
        </w:tabs>
      </w:pPr>
      <w:r w:rsidRPr="009F56C4">
        <w:t xml:space="preserve">run the </w:t>
      </w:r>
      <w:r>
        <w:t>ET2</w:t>
      </w:r>
      <w:r w:rsidRPr="009F56C4">
        <w:t xml:space="preserve"> Price Control Financial Model to calculate the term </w:t>
      </w:r>
      <w:proofErr w:type="spellStart"/>
      <w:proofErr w:type="gramStart"/>
      <w:r w:rsidRPr="009F56C4">
        <w:t>ARt</w:t>
      </w:r>
      <w:proofErr w:type="spellEnd"/>
      <w:r w:rsidRPr="009F56C4">
        <w:t>;</w:t>
      </w:r>
      <w:proofErr w:type="gramEnd"/>
    </w:p>
    <w:p w14:paraId="57D805D6" w14:textId="1703993A" w:rsidR="009F56C4" w:rsidRPr="009F56C4" w:rsidRDefault="009F56C4" w:rsidP="007E6D46">
      <w:pPr>
        <w:pStyle w:val="ListNormal"/>
        <w:tabs>
          <w:tab w:val="num" w:pos="879"/>
        </w:tabs>
      </w:pPr>
      <w:r w:rsidRPr="009F56C4">
        <w:t xml:space="preserve">save the </w:t>
      </w:r>
      <w:r>
        <w:t>ET2</w:t>
      </w:r>
      <w:r w:rsidRPr="009F56C4">
        <w:t xml:space="preserve"> Price Control Financial Model;</w:t>
      </w:r>
      <w:r w:rsidR="000E0441">
        <w:t xml:space="preserve"> and</w:t>
      </w:r>
    </w:p>
    <w:p w14:paraId="1564CA25" w14:textId="0874DDA2" w:rsidR="009F56C4" w:rsidRPr="009F56C4" w:rsidRDefault="009F56C4" w:rsidP="007E6D46">
      <w:pPr>
        <w:pStyle w:val="ListNormal"/>
        <w:tabs>
          <w:tab w:val="num" w:pos="879"/>
        </w:tabs>
      </w:pPr>
      <w:r w:rsidRPr="009F56C4">
        <w:t xml:space="preserve">submit the </w:t>
      </w:r>
      <w:r>
        <w:t>ET2</w:t>
      </w:r>
      <w:r w:rsidRPr="009F56C4">
        <w:t xml:space="preserve"> Price Control Financial Model to the Authority.</w:t>
      </w:r>
    </w:p>
    <w:p w14:paraId="56ABBA64" w14:textId="118D044B" w:rsidR="009F56C4" w:rsidRPr="009F56C4" w:rsidRDefault="009F56C4" w:rsidP="007E6D46">
      <w:pPr>
        <w:pStyle w:val="NumberedNormal"/>
      </w:pPr>
      <w:r w:rsidRPr="009F56C4">
        <w:t xml:space="preserve">Step 2: The Authority will, </w:t>
      </w:r>
      <w:proofErr w:type="gramStart"/>
      <w:r w:rsidRPr="009F56C4">
        <w:t>taking into account</w:t>
      </w:r>
      <w:proofErr w:type="gramEnd"/>
      <w:r w:rsidRPr="009F56C4">
        <w:t xml:space="preserve"> </w:t>
      </w:r>
      <w:r w:rsidRPr="00A31689">
        <w:t xml:space="preserve">any decisions made by it in relation to PCFM Variable Values under Chapters </w:t>
      </w:r>
      <w:r w:rsidR="00A31689" w:rsidRPr="00A31689">
        <w:t>2</w:t>
      </w:r>
      <w:r w:rsidRPr="00A31689">
        <w:t xml:space="preserve"> to </w:t>
      </w:r>
      <w:r w:rsidR="00A31689" w:rsidRPr="00A31689">
        <w:t>7</w:t>
      </w:r>
      <w:r w:rsidRPr="009F56C4">
        <w:t>:</w:t>
      </w:r>
    </w:p>
    <w:p w14:paraId="151A7D13" w14:textId="07770FE8" w:rsidR="009F56C4" w:rsidRPr="009F56C4" w:rsidRDefault="009F56C4" w:rsidP="007E6D46">
      <w:pPr>
        <w:pStyle w:val="ListNormal"/>
        <w:tabs>
          <w:tab w:val="num" w:pos="879"/>
        </w:tabs>
      </w:pPr>
      <w:r w:rsidRPr="009F56C4">
        <w:t xml:space="preserve">review the </w:t>
      </w:r>
      <w:r>
        <w:t>ET2</w:t>
      </w:r>
      <w:r w:rsidRPr="009F56C4">
        <w:t xml:space="preserve"> Price Control Financial Model submitted by the licensee and confirm or amend any PCFM Variable Values; or</w:t>
      </w:r>
    </w:p>
    <w:p w14:paraId="343D0736" w14:textId="35EFD340" w:rsidR="009F56C4" w:rsidRPr="009F56C4" w:rsidRDefault="009F56C4" w:rsidP="007E6D46">
      <w:pPr>
        <w:pStyle w:val="ListNormal"/>
        <w:tabs>
          <w:tab w:val="num" w:pos="879"/>
        </w:tabs>
      </w:pPr>
      <w:r w:rsidRPr="009F56C4">
        <w:t>where the licensee has not complied with Step 1, complete the PCFM Variable Values Table.</w:t>
      </w:r>
    </w:p>
    <w:p w14:paraId="244A7D22" w14:textId="3F8CD36B" w:rsidR="009F56C4" w:rsidRPr="009F56C4" w:rsidRDefault="009F56C4" w:rsidP="007E6D46">
      <w:pPr>
        <w:pStyle w:val="NumberedNormal"/>
      </w:pPr>
      <w:r w:rsidRPr="009F56C4">
        <w:t xml:space="preserve">Step 3: The Authority will run the </w:t>
      </w:r>
      <w:r>
        <w:t>ET2</w:t>
      </w:r>
      <w:r w:rsidRPr="009F56C4">
        <w:t xml:space="preserve"> Price Control Financial Model to calculate the term </w:t>
      </w:r>
      <w:proofErr w:type="spellStart"/>
      <w:r w:rsidRPr="009F56C4">
        <w:t>ARt.</w:t>
      </w:r>
      <w:proofErr w:type="spellEnd"/>
      <w:r w:rsidRPr="009F56C4">
        <w:t xml:space="preserve"> </w:t>
      </w:r>
    </w:p>
    <w:p w14:paraId="58AF4503" w14:textId="1B8CC1FB" w:rsidR="009F56C4" w:rsidRPr="009F56C4" w:rsidRDefault="009F56C4" w:rsidP="007E6D46">
      <w:pPr>
        <w:pStyle w:val="NumberedNormal"/>
      </w:pPr>
      <w:r w:rsidRPr="009F56C4">
        <w:t xml:space="preserve">Step 4: The Authority will publish the value of the term </w:t>
      </w:r>
      <w:proofErr w:type="spellStart"/>
      <w:r w:rsidRPr="009F56C4">
        <w:t>ARt</w:t>
      </w:r>
      <w:proofErr w:type="spellEnd"/>
      <w:r w:rsidRPr="009F56C4">
        <w:t xml:space="preserve"> on </w:t>
      </w:r>
      <w:r w:rsidR="00D9203B">
        <w:t>the Authority's Website</w:t>
      </w:r>
      <w:r w:rsidRPr="009F56C4">
        <w:t xml:space="preserve"> in accordance with Part B.</w:t>
      </w:r>
    </w:p>
    <w:p w14:paraId="56F75EC1" w14:textId="01FA6AF7" w:rsidR="009F56C4" w:rsidRPr="009F56C4" w:rsidRDefault="009F56C4" w:rsidP="007E6D46">
      <w:pPr>
        <w:pStyle w:val="NumberedNormal"/>
      </w:pPr>
      <w:r w:rsidRPr="009F56C4">
        <w:lastRenderedPageBreak/>
        <w:t>In relation to Step 1 in p</w:t>
      </w:r>
      <w:r w:rsidR="006D265B">
        <w:t>aragraph 8.2.5</w:t>
      </w:r>
      <w:r w:rsidRPr="009F56C4">
        <w:t>:</w:t>
      </w:r>
    </w:p>
    <w:p w14:paraId="50F50EA3" w14:textId="77777777" w:rsidR="004D51E2" w:rsidRDefault="009F56C4" w:rsidP="007E6D46">
      <w:pPr>
        <w:pStyle w:val="ListNormal"/>
        <w:tabs>
          <w:tab w:val="num" w:pos="879"/>
        </w:tabs>
      </w:pPr>
      <w:r w:rsidRPr="009F56C4">
        <w:t xml:space="preserve">where a PCFM Variable Value is not known at the time of submission, the licensee must calculate that value in accordance with the </w:t>
      </w:r>
      <w:r>
        <w:t>ET2</w:t>
      </w:r>
      <w:r w:rsidRPr="009F56C4">
        <w:t xml:space="preserve"> Price Control Financial Handbook or the PCFM Guidance, as applicable and otherwise provide its best estimate using the information available at the time</w:t>
      </w:r>
      <w:r w:rsidR="004D51E2">
        <w:t>; and</w:t>
      </w:r>
    </w:p>
    <w:p w14:paraId="643F5901" w14:textId="77777777" w:rsidR="004D51E2" w:rsidRPr="004D51E2" w:rsidRDefault="004D51E2" w:rsidP="004D51E2">
      <w:pPr>
        <w:pStyle w:val="ListNormal"/>
        <w:tabs>
          <w:tab w:val="num" w:pos="879"/>
        </w:tabs>
      </w:pPr>
      <w:r w:rsidRPr="004D51E2">
        <w:t>where any PCFM Variable Value relies on a third-party publication that ceases to be published or no longer contains the value required, the value from the most recent publication that did contain the value must be used.</w:t>
      </w:r>
    </w:p>
    <w:p w14:paraId="6AFAE3B5" w14:textId="7EE642B8" w:rsidR="009F56C4" w:rsidRPr="009F56C4" w:rsidRDefault="009F56C4" w:rsidP="00F0402A">
      <w:pPr>
        <w:pStyle w:val="ListNormal"/>
        <w:numPr>
          <w:ilvl w:val="0"/>
          <w:numId w:val="0"/>
        </w:numPr>
        <w:ind w:left="1236"/>
      </w:pPr>
    </w:p>
    <w:p w14:paraId="35FE8F8A" w14:textId="77777777" w:rsidR="009F56C4" w:rsidRPr="009F56C4" w:rsidRDefault="009F56C4" w:rsidP="009F56C4">
      <w:pPr>
        <w:pStyle w:val="Heading3nonumbering"/>
      </w:pPr>
      <w:r w:rsidRPr="009F56C4">
        <w:t xml:space="preserve">Part B: Publication of the value of the term </w:t>
      </w:r>
      <w:proofErr w:type="spellStart"/>
      <w:r w:rsidRPr="009F56C4">
        <w:t>ARt</w:t>
      </w:r>
      <w:proofErr w:type="spellEnd"/>
    </w:p>
    <w:p w14:paraId="01D5737C" w14:textId="77777777" w:rsidR="009F56C4" w:rsidRPr="009F56C4" w:rsidRDefault="009F56C4" w:rsidP="007E6D46">
      <w:pPr>
        <w:pStyle w:val="NumberedNormal"/>
      </w:pPr>
      <w:r w:rsidRPr="009F56C4">
        <w:t xml:space="preserve">The value of the term </w:t>
      </w:r>
      <w:proofErr w:type="spellStart"/>
      <w:r w:rsidRPr="009F56C4">
        <w:t>ARt</w:t>
      </w:r>
      <w:proofErr w:type="spellEnd"/>
      <w:r w:rsidRPr="009F56C4">
        <w:t xml:space="preserve"> will be published by the Authority no later than 30 November prior to each Regulatory Year. </w:t>
      </w:r>
    </w:p>
    <w:p w14:paraId="74BC010F" w14:textId="77777777" w:rsidR="009F56C4" w:rsidRPr="009F56C4" w:rsidRDefault="009F56C4" w:rsidP="007E6D46">
      <w:pPr>
        <w:pStyle w:val="NumberedNormal"/>
      </w:pPr>
      <w:r w:rsidRPr="009F56C4">
        <w:t xml:space="preserve">Before publishing the value of the term </w:t>
      </w:r>
      <w:proofErr w:type="spellStart"/>
      <w:r w:rsidRPr="009F56C4">
        <w:t>ARt</w:t>
      </w:r>
      <w:proofErr w:type="spellEnd"/>
      <w:r w:rsidRPr="009F56C4">
        <w:t>, the Authority will:</w:t>
      </w:r>
    </w:p>
    <w:p w14:paraId="6B819250" w14:textId="583613D5" w:rsidR="009F56C4" w:rsidRPr="009F56C4" w:rsidRDefault="009F56C4" w:rsidP="007E6D46">
      <w:pPr>
        <w:pStyle w:val="ListNormal"/>
        <w:tabs>
          <w:tab w:val="num" w:pos="879"/>
        </w:tabs>
      </w:pPr>
      <w:r w:rsidRPr="009F56C4">
        <w:t>send to the licensee</w:t>
      </w:r>
      <w:r w:rsidR="000E0441">
        <w:t>:</w:t>
      </w:r>
      <w:r w:rsidRPr="009F56C4">
        <w:t xml:space="preserve"> </w:t>
      </w:r>
    </w:p>
    <w:p w14:paraId="64D6ED30" w14:textId="3B65B10C" w:rsidR="009F56C4" w:rsidRPr="009F56C4" w:rsidRDefault="009F56C4" w:rsidP="007E6D46">
      <w:pPr>
        <w:pStyle w:val="ListNormal"/>
        <w:numPr>
          <w:ilvl w:val="4"/>
          <w:numId w:val="4"/>
        </w:numPr>
      </w:pPr>
      <w:r w:rsidRPr="009F56C4">
        <w:t xml:space="preserve">a notice stating the value for </w:t>
      </w:r>
      <w:proofErr w:type="spellStart"/>
      <w:r w:rsidRPr="009F56C4">
        <w:t>ARt</w:t>
      </w:r>
      <w:proofErr w:type="spellEnd"/>
      <w:r w:rsidRPr="009F56C4">
        <w:t xml:space="preserve"> that it proposes to publish;</w:t>
      </w:r>
      <w:r w:rsidR="000E0441">
        <w:t xml:space="preserve"> and</w:t>
      </w:r>
    </w:p>
    <w:p w14:paraId="24563A75" w14:textId="5AB0B390" w:rsidR="009F56C4" w:rsidRPr="009F56C4" w:rsidRDefault="009F56C4" w:rsidP="007E6D46">
      <w:pPr>
        <w:pStyle w:val="ListNormal"/>
        <w:numPr>
          <w:ilvl w:val="4"/>
          <w:numId w:val="4"/>
        </w:numPr>
      </w:pPr>
      <w:r w:rsidRPr="009F56C4">
        <w:t xml:space="preserve">a copy of the </w:t>
      </w:r>
      <w:r>
        <w:t>ET2</w:t>
      </w:r>
      <w:r w:rsidRPr="009F56C4">
        <w:t xml:space="preserve"> Price Control Financial Model, which will contain the data used to calculate the value proposed for </w:t>
      </w:r>
      <w:proofErr w:type="spellStart"/>
      <w:r w:rsidRPr="009F56C4">
        <w:t>ARt</w:t>
      </w:r>
      <w:proofErr w:type="spellEnd"/>
      <w:r w:rsidRPr="009F56C4">
        <w:t>; and</w:t>
      </w:r>
    </w:p>
    <w:p w14:paraId="178BD134" w14:textId="189803FB" w:rsidR="004D51E2" w:rsidRPr="004D51E2" w:rsidRDefault="004D51E2" w:rsidP="004D51E2">
      <w:pPr>
        <w:pStyle w:val="ListNormal"/>
        <w:tabs>
          <w:tab w:val="num" w:pos="879"/>
        </w:tabs>
      </w:pPr>
      <w:r w:rsidRPr="004D51E2">
        <w:t xml:space="preserve">specify a period during which representations may be made on the value of </w:t>
      </w:r>
      <w:proofErr w:type="spellStart"/>
      <w:r w:rsidRPr="004D51E2">
        <w:t>ARt</w:t>
      </w:r>
      <w:proofErr w:type="spellEnd"/>
      <w:r w:rsidRPr="004D51E2">
        <w:t xml:space="preserve">, which </w:t>
      </w:r>
      <w:r>
        <w:t xml:space="preserve">will </w:t>
      </w:r>
      <w:r w:rsidRPr="004D51E2">
        <w:t>not be less than 14 days.</w:t>
      </w:r>
    </w:p>
    <w:p w14:paraId="6BA2E341" w14:textId="77777777" w:rsidR="009F56C4" w:rsidRPr="009F56C4" w:rsidRDefault="009F56C4" w:rsidP="009F56C4">
      <w:pPr>
        <w:pStyle w:val="Heading3nonumbering"/>
      </w:pPr>
      <w:r w:rsidRPr="009F56C4">
        <w:t xml:space="preserve">Part C: What if the Annual Iteration Process is not completed by 30 November?   </w:t>
      </w:r>
    </w:p>
    <w:p w14:paraId="62F52501" w14:textId="1CA92A44" w:rsidR="009F56C4" w:rsidRPr="009F56C4" w:rsidRDefault="009F56C4" w:rsidP="007E6D46">
      <w:pPr>
        <w:pStyle w:val="NumberedNormal"/>
      </w:pPr>
      <w:r w:rsidRPr="009F56C4">
        <w:t xml:space="preserve">If the Authority does not publish a value for </w:t>
      </w:r>
      <w:proofErr w:type="spellStart"/>
      <w:r w:rsidRPr="009F56C4">
        <w:t>ARt</w:t>
      </w:r>
      <w:proofErr w:type="spellEnd"/>
      <w:r w:rsidRPr="009F56C4">
        <w:t xml:space="preserve"> by 30 November prior to any Regulatory Year, then the Annual Iteration Process will not have been completed and the provisions set out in paragraphs </w:t>
      </w:r>
      <w:r w:rsidR="006D265B">
        <w:t>8.2.13</w:t>
      </w:r>
      <w:r w:rsidRPr="009F56C4">
        <w:t xml:space="preserve"> and </w:t>
      </w:r>
      <w:r w:rsidR="006D265B">
        <w:t>8.2.14</w:t>
      </w:r>
      <w:r w:rsidRPr="009F56C4">
        <w:t xml:space="preserve"> will apply. </w:t>
      </w:r>
    </w:p>
    <w:p w14:paraId="719982E2" w14:textId="77777777" w:rsidR="009F56C4" w:rsidRPr="009F56C4" w:rsidRDefault="009F56C4" w:rsidP="007E6D46">
      <w:pPr>
        <w:pStyle w:val="NumberedNormal"/>
      </w:pPr>
      <w:r w:rsidRPr="009F56C4">
        <w:t xml:space="preserve">The Authority will complete the Annual Iteration Process as soon as is practicable after 30 November by publishing a value for </w:t>
      </w:r>
      <w:proofErr w:type="spellStart"/>
      <w:r w:rsidRPr="009F56C4">
        <w:t>ARt.</w:t>
      </w:r>
      <w:proofErr w:type="spellEnd"/>
      <w:r w:rsidRPr="009F56C4">
        <w:t xml:space="preserve"> </w:t>
      </w:r>
    </w:p>
    <w:p w14:paraId="293F0B0B" w14:textId="20C73684" w:rsidR="009F56C4" w:rsidRPr="009F56C4" w:rsidRDefault="009F56C4" w:rsidP="007E6D46">
      <w:pPr>
        <w:pStyle w:val="NumberedNormal"/>
      </w:pPr>
      <w:r w:rsidRPr="009F56C4">
        <w:t>In the intervening period (between the 30 November and the date</w:t>
      </w:r>
      <w:r w:rsidR="004D51E2">
        <w:t xml:space="preserve"> on which</w:t>
      </w:r>
      <w:r w:rsidRPr="009F56C4">
        <w:t xml:space="preserve"> the value of </w:t>
      </w:r>
      <w:proofErr w:type="spellStart"/>
      <w:r w:rsidRPr="009F56C4">
        <w:t>ARt</w:t>
      </w:r>
      <w:proofErr w:type="spellEnd"/>
      <w:r w:rsidRPr="009F56C4">
        <w:t xml:space="preserve"> is published under paragraph 10B.11), the value of </w:t>
      </w:r>
      <w:proofErr w:type="spellStart"/>
      <w:r w:rsidRPr="009F56C4">
        <w:t>ARt</w:t>
      </w:r>
      <w:proofErr w:type="spellEnd"/>
      <w:r w:rsidRPr="009F56C4">
        <w:t xml:space="preserve"> will be held to be equal to a value ascertained by: </w:t>
      </w:r>
    </w:p>
    <w:p w14:paraId="7297710C" w14:textId="315D2C62" w:rsidR="009F56C4" w:rsidRPr="009F56C4" w:rsidRDefault="009F56C4" w:rsidP="007E6D46">
      <w:pPr>
        <w:pStyle w:val="ListNormal"/>
        <w:tabs>
          <w:tab w:val="num" w:pos="879"/>
        </w:tabs>
      </w:pPr>
      <w:r w:rsidRPr="009F56C4">
        <w:t xml:space="preserve">taking a copy of the </w:t>
      </w:r>
      <w:r>
        <w:t>ET2</w:t>
      </w:r>
      <w:r w:rsidRPr="009F56C4">
        <w:t xml:space="preserve"> Price Control Financial Model in its state following the last completed Annual Iteration Process which, for the avoidance of doubt, will exclude the effect of any functional modificat</w:t>
      </w:r>
      <w:r w:rsidR="00FF1262">
        <w:t>ions under Special Condition 8.1</w:t>
      </w:r>
      <w:r w:rsidRPr="009F56C4">
        <w:t xml:space="preserve"> (Governance of </w:t>
      </w:r>
      <w:r w:rsidR="00FF1262">
        <w:t xml:space="preserve">the </w:t>
      </w:r>
      <w:r>
        <w:t>ET2</w:t>
      </w:r>
      <w:r w:rsidRPr="009F56C4">
        <w:t xml:space="preserve"> Price Control Financial Instruments) made after the completion of that Annual Iteration Process; </w:t>
      </w:r>
    </w:p>
    <w:p w14:paraId="36D8C136" w14:textId="77777777" w:rsidR="009F56C4" w:rsidRPr="009F56C4" w:rsidRDefault="009F56C4" w:rsidP="007E6D46">
      <w:pPr>
        <w:pStyle w:val="ListNormal"/>
        <w:tabs>
          <w:tab w:val="num" w:pos="879"/>
        </w:tabs>
      </w:pPr>
      <w:r w:rsidRPr="009F56C4">
        <w:t xml:space="preserve">using the selection facilities on the user interface sheet contained in that copy to select: </w:t>
      </w:r>
    </w:p>
    <w:p w14:paraId="3479052B" w14:textId="77777777" w:rsidR="009F56C4" w:rsidRPr="009F56C4" w:rsidRDefault="009F56C4" w:rsidP="00AB1D80">
      <w:pPr>
        <w:pStyle w:val="ListNormal"/>
        <w:numPr>
          <w:ilvl w:val="4"/>
          <w:numId w:val="8"/>
        </w:numPr>
      </w:pPr>
      <w:r w:rsidRPr="009F56C4">
        <w:t xml:space="preserve">the name of the licensee; and </w:t>
      </w:r>
    </w:p>
    <w:p w14:paraId="21C80037" w14:textId="77777777" w:rsidR="009F56C4" w:rsidRPr="009F56C4" w:rsidRDefault="009F56C4" w:rsidP="00AB1D80">
      <w:pPr>
        <w:pStyle w:val="ListNormal"/>
        <w:numPr>
          <w:ilvl w:val="4"/>
          <w:numId w:val="8"/>
        </w:numPr>
      </w:pPr>
      <w:r w:rsidRPr="009F56C4">
        <w:t xml:space="preserve">the Regulatory Year equating to the Regulatory Year t; and </w:t>
      </w:r>
    </w:p>
    <w:p w14:paraId="10BCFD4C" w14:textId="77777777" w:rsidR="009F56C4" w:rsidRPr="009F56C4" w:rsidRDefault="009F56C4" w:rsidP="007E6D46">
      <w:pPr>
        <w:pStyle w:val="ListNormal"/>
        <w:tabs>
          <w:tab w:val="num" w:pos="879"/>
        </w:tabs>
      </w:pPr>
      <w:r w:rsidRPr="009F56C4">
        <w:lastRenderedPageBreak/>
        <w:t xml:space="preserve">recording the value of the term </w:t>
      </w:r>
      <w:proofErr w:type="spellStart"/>
      <w:r w:rsidRPr="009F56C4">
        <w:t>ARt</w:t>
      </w:r>
      <w:proofErr w:type="spellEnd"/>
      <w:r w:rsidRPr="009F56C4">
        <w:t xml:space="preserve"> for the licensee that is shown as an output value. </w:t>
      </w:r>
    </w:p>
    <w:p w14:paraId="3D4E12BE" w14:textId="77777777" w:rsidR="009F56C4" w:rsidRPr="009F56C4" w:rsidRDefault="009F56C4" w:rsidP="009F56C4"/>
    <w:p w14:paraId="7731DD75" w14:textId="79C2E22F" w:rsidR="009F56C4" w:rsidRPr="009F56C4" w:rsidRDefault="009F56C4" w:rsidP="009F56C4">
      <w:pPr>
        <w:pStyle w:val="Heading3nonumbering"/>
      </w:pPr>
      <w:r w:rsidRPr="009F56C4">
        <w:t xml:space="preserve">Part D The final year of the </w:t>
      </w:r>
      <w:r>
        <w:t>ET2</w:t>
      </w:r>
      <w:r w:rsidRPr="009F56C4">
        <w:t xml:space="preserve"> Annual Iteration Process and other clarifications</w:t>
      </w:r>
    </w:p>
    <w:p w14:paraId="4F09DAEC" w14:textId="498BF186" w:rsidR="009F56C4" w:rsidRPr="009F56C4" w:rsidRDefault="009F56C4" w:rsidP="007E6D46">
      <w:pPr>
        <w:pStyle w:val="NumberedNormal"/>
      </w:pPr>
      <w:r w:rsidRPr="009F56C4">
        <w:t xml:space="preserve">The last Regulatory Year in which there will be an Annual Iteration Process for the </w:t>
      </w:r>
      <w:r>
        <w:t>ET2</w:t>
      </w:r>
      <w:r w:rsidRPr="009F56C4">
        <w:t xml:space="preserve"> Price Control Financial Model is 2024/2025 for the purpose of determining the value of the term </w:t>
      </w:r>
      <w:proofErr w:type="spellStart"/>
      <w:r w:rsidRPr="009F56C4">
        <w:t>ARt</w:t>
      </w:r>
      <w:proofErr w:type="spellEnd"/>
      <w:r w:rsidRPr="009F56C4">
        <w:t xml:space="preserve"> for Regulatory Year 2025/26.</w:t>
      </w:r>
    </w:p>
    <w:p w14:paraId="48206EAB" w14:textId="77777777" w:rsidR="009F56C4" w:rsidRPr="009F56C4" w:rsidRDefault="009F56C4" w:rsidP="007E6D46">
      <w:pPr>
        <w:pStyle w:val="NumberedNormal"/>
      </w:pPr>
      <w:r w:rsidRPr="009F56C4">
        <w:t xml:space="preserve">For the avoidance of doubt, neither: </w:t>
      </w:r>
    </w:p>
    <w:p w14:paraId="1F427548" w14:textId="15832831" w:rsidR="009F56C4" w:rsidRPr="009F56C4" w:rsidRDefault="009F56C4" w:rsidP="007E6D46">
      <w:pPr>
        <w:pStyle w:val="ListNormal"/>
        <w:tabs>
          <w:tab w:val="num" w:pos="879"/>
        </w:tabs>
      </w:pPr>
      <w:r w:rsidRPr="009F56C4">
        <w:t xml:space="preserve">an Annual Iteration Process for the </w:t>
      </w:r>
      <w:r>
        <w:t>ET2</w:t>
      </w:r>
      <w:r w:rsidRPr="009F56C4">
        <w:t xml:space="preserve"> Price Control Financial Model carried out in accordance with this condition, including </w:t>
      </w:r>
      <w:proofErr w:type="gramStart"/>
      <w:r w:rsidRPr="009F56C4">
        <w:t>in particular the</w:t>
      </w:r>
      <w:proofErr w:type="gramEnd"/>
      <w:r w:rsidRPr="009F56C4">
        <w:t xml:space="preserve"> steps set out in Part A; nor </w:t>
      </w:r>
    </w:p>
    <w:p w14:paraId="539A18DB" w14:textId="7FD5EBA3" w:rsidR="009F56C4" w:rsidRPr="009F56C4" w:rsidRDefault="009F56C4" w:rsidP="007E6D46">
      <w:pPr>
        <w:pStyle w:val="ListNormal"/>
        <w:tabs>
          <w:tab w:val="num" w:pos="879"/>
        </w:tabs>
      </w:pPr>
      <w:r w:rsidRPr="009F56C4">
        <w:t xml:space="preserve">a change to the Regulatory Year included in the name of and text within the </w:t>
      </w:r>
      <w:r>
        <w:t>ET2</w:t>
      </w:r>
      <w:r w:rsidRPr="009F56C4">
        <w:t xml:space="preserve"> Price Control Financial Model (as referred to at paragraph</w:t>
      </w:r>
      <w:r w:rsidR="00FF1262">
        <w:t xml:space="preserve">s 8.1.11 </w:t>
      </w:r>
      <w:r w:rsidRPr="009F56C4">
        <w:t>(b) a</w:t>
      </w:r>
      <w:r w:rsidR="00FF1262">
        <w:t>nd (c)) of Special Condition 8.1</w:t>
      </w:r>
      <w:r w:rsidRPr="009F56C4">
        <w:t xml:space="preserve"> (Governance of </w:t>
      </w:r>
      <w:r w:rsidR="00FF1262">
        <w:t xml:space="preserve">the </w:t>
      </w:r>
      <w:r>
        <w:t>ET2</w:t>
      </w:r>
      <w:r w:rsidRPr="009F56C4">
        <w:t xml:space="preserve"> Price Control Financial Instruments), </w:t>
      </w:r>
    </w:p>
    <w:p w14:paraId="59B87142" w14:textId="28ADC7E5" w:rsidR="009F56C4" w:rsidRPr="009F56C4" w:rsidRDefault="009F56C4" w:rsidP="009F56C4">
      <w:r w:rsidRPr="009F56C4">
        <w:t xml:space="preserve">will constitute a modification of the </w:t>
      </w:r>
      <w:r>
        <w:t>ET2</w:t>
      </w:r>
      <w:r w:rsidRPr="009F56C4">
        <w:t xml:space="preserve"> Price Control Financial Model within the meaning of Part B of Special Condition </w:t>
      </w:r>
      <w:r w:rsidR="001C5E83">
        <w:t>8.1</w:t>
      </w:r>
      <w:r w:rsidRPr="009F56C4">
        <w:t xml:space="preserve">. </w:t>
      </w:r>
    </w:p>
    <w:p w14:paraId="13DDD9CE" w14:textId="77777777" w:rsidR="009F56C4" w:rsidRPr="009F56C4" w:rsidRDefault="009F56C4" w:rsidP="007E6D46">
      <w:pPr>
        <w:pStyle w:val="NumberedNormal"/>
      </w:pPr>
      <w:r w:rsidRPr="009F56C4">
        <w:t xml:space="preserve">Where any PCFM Variable Values are revised for years earlier than Regulatory Year t, the effect of using those revised values in the Annual Iteration Process will, subject to a Time Value of Money Adjustment, be reflected in the calculation of the term </w:t>
      </w:r>
      <w:proofErr w:type="spellStart"/>
      <w:r w:rsidRPr="009F56C4">
        <w:t>ARt</w:t>
      </w:r>
      <w:proofErr w:type="spellEnd"/>
      <w:r w:rsidRPr="009F56C4">
        <w:t xml:space="preserve"> for Regulatory Year t and, for the avoidance of doubt, it will not have any retrospective effect on a previously published value of the term </w:t>
      </w:r>
      <w:proofErr w:type="spellStart"/>
      <w:r w:rsidRPr="009F56C4">
        <w:t>ARt.</w:t>
      </w:r>
      <w:proofErr w:type="spellEnd"/>
    </w:p>
    <w:p w14:paraId="40F96BBC" w14:textId="77777777" w:rsidR="009F56C4" w:rsidRPr="009F56C4" w:rsidRDefault="009F56C4" w:rsidP="009F56C4">
      <w:pPr>
        <w:pStyle w:val="Heading3nonumbering"/>
      </w:pPr>
      <w:r w:rsidRPr="009F56C4">
        <w:t xml:space="preserve">Part E </w:t>
      </w:r>
      <w:proofErr w:type="gramStart"/>
      <w:r w:rsidRPr="009F56C4">
        <w:t>The</w:t>
      </w:r>
      <w:proofErr w:type="gramEnd"/>
      <w:r w:rsidRPr="009F56C4">
        <w:t xml:space="preserve"> PCFM Guidance</w:t>
      </w:r>
    </w:p>
    <w:p w14:paraId="3BA6D21B" w14:textId="77777777" w:rsidR="009F56C4" w:rsidRPr="009F56C4" w:rsidRDefault="009F56C4" w:rsidP="007E6D46">
      <w:pPr>
        <w:pStyle w:val="NumberedNormal"/>
      </w:pPr>
      <w:r w:rsidRPr="009F56C4">
        <w:t>The licensee must comply with the PCFM Guidance when completing the Annual Iteration Process.</w:t>
      </w:r>
    </w:p>
    <w:p w14:paraId="09D7223D" w14:textId="77777777" w:rsidR="009F56C4" w:rsidRPr="009F56C4" w:rsidRDefault="009F56C4" w:rsidP="007E6D46">
      <w:pPr>
        <w:pStyle w:val="NumberedNormal"/>
      </w:pPr>
      <w:r w:rsidRPr="009F56C4">
        <w:t>The Authority will issue and amend PCFM Guidance by direction.</w:t>
      </w:r>
    </w:p>
    <w:p w14:paraId="1D493C21" w14:textId="77777777" w:rsidR="009F56C4" w:rsidRPr="009F56C4" w:rsidRDefault="009F56C4" w:rsidP="007E6D46">
      <w:pPr>
        <w:pStyle w:val="NumberedNormal"/>
      </w:pPr>
      <w:r w:rsidRPr="009F56C4">
        <w:t>The Authority will publish the PCFM Guidance on the Authority's Website.</w:t>
      </w:r>
    </w:p>
    <w:p w14:paraId="1D9479C9" w14:textId="77777777" w:rsidR="009F56C4" w:rsidRPr="009F56C4" w:rsidRDefault="009F56C4" w:rsidP="007E6D46">
      <w:pPr>
        <w:pStyle w:val="NumberedNormal"/>
      </w:pPr>
      <w:r w:rsidRPr="009F56C4">
        <w:t>The PCFM Guidance will make provision about:</w:t>
      </w:r>
    </w:p>
    <w:p w14:paraId="6410C58C" w14:textId="77777777" w:rsidR="009F56C4" w:rsidRPr="009F56C4" w:rsidRDefault="009F56C4" w:rsidP="007E6D46">
      <w:pPr>
        <w:pStyle w:val="ListNormal"/>
        <w:tabs>
          <w:tab w:val="num" w:pos="879"/>
        </w:tabs>
      </w:pPr>
      <w:r w:rsidRPr="009F56C4">
        <w:t xml:space="preserve">instructions and guidance on how to populate the PCFM Variable Values for submission for an Annual Iteration </w:t>
      </w:r>
      <w:proofErr w:type="gramStart"/>
      <w:r w:rsidRPr="009F56C4">
        <w:t>Process;</w:t>
      </w:r>
      <w:proofErr w:type="gramEnd"/>
    </w:p>
    <w:p w14:paraId="7277682B" w14:textId="77777777" w:rsidR="009F56C4" w:rsidRPr="009F56C4" w:rsidRDefault="009F56C4" w:rsidP="007E6D46">
      <w:pPr>
        <w:pStyle w:val="ListNormal"/>
        <w:tabs>
          <w:tab w:val="num" w:pos="879"/>
        </w:tabs>
      </w:pPr>
      <w:r w:rsidRPr="009F56C4">
        <w:t>instructions and guidance on the process and timeframe for reporting and submitting the required data; and</w:t>
      </w:r>
    </w:p>
    <w:p w14:paraId="69E4316E" w14:textId="7438B57F" w:rsidR="009F56C4" w:rsidRPr="009F56C4" w:rsidRDefault="009F56C4" w:rsidP="007E6D46">
      <w:pPr>
        <w:pStyle w:val="ListNormal"/>
        <w:tabs>
          <w:tab w:val="num" w:pos="879"/>
        </w:tabs>
      </w:pPr>
      <w:r w:rsidRPr="009F56C4">
        <w:t>any requirements for supporting information, doc</w:t>
      </w:r>
      <w:r w:rsidR="000A683E">
        <w:t>umentation or commentary that are</w:t>
      </w:r>
      <w:r w:rsidRPr="009F56C4">
        <w:t xml:space="preserve"> to be submitted.</w:t>
      </w:r>
    </w:p>
    <w:p w14:paraId="724933E2" w14:textId="77777777" w:rsidR="009F56C4" w:rsidRPr="009F56C4" w:rsidRDefault="009F56C4" w:rsidP="007E6D46">
      <w:pPr>
        <w:pStyle w:val="NumberedNormal"/>
      </w:pPr>
      <w:r w:rsidRPr="009F56C4">
        <w:t>Before directing that the PCFM Guidance comes into effect, the Authority will publish on the Authority's Website:</w:t>
      </w:r>
    </w:p>
    <w:p w14:paraId="31870006" w14:textId="77777777" w:rsidR="004D51E2" w:rsidRPr="004D51E2" w:rsidRDefault="004D51E2" w:rsidP="004D51E2">
      <w:pPr>
        <w:pStyle w:val="ListNormal"/>
        <w:tabs>
          <w:tab w:val="num" w:pos="879"/>
        </w:tabs>
      </w:pPr>
      <w:r w:rsidRPr="004D51E2">
        <w:lastRenderedPageBreak/>
        <w:t xml:space="preserve">the text of the proposed PCFM </w:t>
      </w:r>
      <w:proofErr w:type="gramStart"/>
      <w:r w:rsidRPr="004D51E2">
        <w:t>Guidance;</w:t>
      </w:r>
      <w:proofErr w:type="gramEnd"/>
    </w:p>
    <w:p w14:paraId="2318C6EA" w14:textId="77777777" w:rsidR="004D51E2" w:rsidRPr="004D51E2" w:rsidRDefault="004D51E2" w:rsidP="004D51E2">
      <w:pPr>
        <w:pStyle w:val="ListNormal"/>
        <w:tabs>
          <w:tab w:val="num" w:pos="879"/>
        </w:tabs>
      </w:pPr>
      <w:r w:rsidRPr="004D51E2">
        <w:t>the date on which the Authority intends the PCFM Guidance to come into effect; and</w:t>
      </w:r>
    </w:p>
    <w:p w14:paraId="0893C598" w14:textId="48AC20B7" w:rsidR="004D51E2" w:rsidRPr="004D51E2" w:rsidRDefault="004D51E2" w:rsidP="004D51E2">
      <w:pPr>
        <w:pStyle w:val="ListNormal"/>
        <w:tabs>
          <w:tab w:val="num" w:pos="879"/>
        </w:tabs>
      </w:pPr>
      <w:r w:rsidRPr="004D51E2">
        <w:t xml:space="preserve">a period during which representations may be made on the content of the PCFM </w:t>
      </w:r>
      <w:r w:rsidR="00664627">
        <w:t xml:space="preserve">Guidance, which will not be less than </w:t>
      </w:r>
      <w:r w:rsidRPr="004D51E2">
        <w:t>28 days.</w:t>
      </w:r>
    </w:p>
    <w:p w14:paraId="16F9B6D9" w14:textId="77777777" w:rsidR="009F56C4" w:rsidRPr="009F56C4" w:rsidRDefault="009F56C4" w:rsidP="007E6D46">
      <w:pPr>
        <w:pStyle w:val="NumberedNormal"/>
      </w:pPr>
      <w:r w:rsidRPr="009F56C4">
        <w:t>Before directing an amendment to the PCFM Guidance, the Authority will publish on the Authority's Website:</w:t>
      </w:r>
    </w:p>
    <w:p w14:paraId="0ED63F07" w14:textId="77777777" w:rsidR="004D51E2" w:rsidRPr="004D51E2" w:rsidRDefault="004D51E2" w:rsidP="004D51E2">
      <w:pPr>
        <w:pStyle w:val="ListNormal"/>
        <w:tabs>
          <w:tab w:val="num" w:pos="879"/>
        </w:tabs>
      </w:pPr>
      <w:r w:rsidRPr="004D51E2">
        <w:t xml:space="preserve">the text of the proposed amended PCFM </w:t>
      </w:r>
      <w:proofErr w:type="gramStart"/>
      <w:r w:rsidRPr="004D51E2">
        <w:t>Guidance;</w:t>
      </w:r>
      <w:proofErr w:type="gramEnd"/>
    </w:p>
    <w:p w14:paraId="4C3C9754" w14:textId="77777777" w:rsidR="004D51E2" w:rsidRPr="004D51E2" w:rsidRDefault="004D51E2" w:rsidP="004D51E2">
      <w:pPr>
        <w:pStyle w:val="ListNormal"/>
        <w:tabs>
          <w:tab w:val="num" w:pos="879"/>
        </w:tabs>
      </w:pPr>
      <w:r w:rsidRPr="004D51E2">
        <w:t xml:space="preserve">the date on which the Authority intends the amended PCFM Guidance to come into </w:t>
      </w:r>
      <w:proofErr w:type="gramStart"/>
      <w:r w:rsidRPr="004D51E2">
        <w:t>effect;</w:t>
      </w:r>
      <w:proofErr w:type="gramEnd"/>
    </w:p>
    <w:p w14:paraId="4B865CAA" w14:textId="77777777" w:rsidR="004D51E2" w:rsidRPr="004D51E2" w:rsidRDefault="004D51E2" w:rsidP="004D51E2">
      <w:pPr>
        <w:pStyle w:val="ListNormal"/>
        <w:tabs>
          <w:tab w:val="num" w:pos="879"/>
        </w:tabs>
      </w:pPr>
      <w:r w:rsidRPr="004D51E2">
        <w:t>the reasons for the amendments to the PCFM Guidance; and</w:t>
      </w:r>
    </w:p>
    <w:p w14:paraId="7C9DB5DA" w14:textId="1E11514C" w:rsidR="004D51E2" w:rsidRPr="004D51E2" w:rsidRDefault="004D51E2" w:rsidP="004D51E2">
      <w:pPr>
        <w:pStyle w:val="ListNormal"/>
        <w:tabs>
          <w:tab w:val="num" w:pos="879"/>
        </w:tabs>
      </w:pPr>
      <w:r w:rsidRPr="004D51E2">
        <w:t xml:space="preserve">a period during which representations may be made on the amendments to the PCFM </w:t>
      </w:r>
      <w:r w:rsidR="00664627">
        <w:t xml:space="preserve">Guidance, which will not be less than </w:t>
      </w:r>
      <w:r w:rsidRPr="004D51E2">
        <w:t>28 days.</w:t>
      </w:r>
    </w:p>
    <w:p w14:paraId="30F5442A" w14:textId="785C5E93" w:rsidR="00FE5E1B" w:rsidRDefault="00BD6F4D" w:rsidP="00FE5E1B">
      <w:pPr>
        <w:pStyle w:val="Heading1"/>
      </w:pPr>
      <w:bookmarkStart w:id="247" w:name="_Toc51319655"/>
      <w:bookmarkStart w:id="248" w:name="_Toc51798332"/>
      <w:bookmarkStart w:id="249" w:name="_Toc52364938"/>
      <w:r>
        <w:lastRenderedPageBreak/>
        <w:t>General Obligations</w:t>
      </w:r>
      <w:bookmarkEnd w:id="247"/>
      <w:bookmarkEnd w:id="248"/>
      <w:bookmarkEnd w:id="249"/>
    </w:p>
    <w:p w14:paraId="45715028" w14:textId="77777777" w:rsidR="00883D20" w:rsidRDefault="00883D20" w:rsidP="00883D20">
      <w:pPr>
        <w:pStyle w:val="Heading2"/>
      </w:pPr>
      <w:bookmarkStart w:id="250" w:name="_Toc51319656"/>
      <w:bookmarkStart w:id="251" w:name="_Toc51680413"/>
      <w:bookmarkStart w:id="252" w:name="_Toc51798333"/>
      <w:bookmarkStart w:id="253" w:name="_Toc52364939"/>
      <w:bookmarkStart w:id="254" w:name="_Toc51319660"/>
      <w:bookmarkEnd w:id="250"/>
      <w:r>
        <w:t>Annual Environmental Report</w:t>
      </w:r>
      <w:bookmarkEnd w:id="251"/>
      <w:bookmarkEnd w:id="252"/>
      <w:bookmarkEnd w:id="253"/>
    </w:p>
    <w:p w14:paraId="271CED64" w14:textId="77777777" w:rsidR="00883D20" w:rsidRPr="000E1F02" w:rsidRDefault="00883D20" w:rsidP="00883D20">
      <w:pPr>
        <w:pStyle w:val="Heading3nonumbering"/>
      </w:pPr>
      <w:r w:rsidRPr="000E1F02">
        <w:t xml:space="preserve">Introduction </w:t>
      </w:r>
    </w:p>
    <w:p w14:paraId="1BCBED85" w14:textId="77777777" w:rsidR="00883D20" w:rsidRPr="000E1F02" w:rsidRDefault="00883D20" w:rsidP="00883D20">
      <w:pPr>
        <w:pStyle w:val="NumberedNormal"/>
      </w:pPr>
      <w:r>
        <w:t>This condition requires the licensee to prepare and publish an Annual Environmental Report.</w:t>
      </w:r>
    </w:p>
    <w:p w14:paraId="7963D923" w14:textId="77777777" w:rsidR="00883D20" w:rsidRPr="000E1F02" w:rsidRDefault="00883D20" w:rsidP="00883D20">
      <w:pPr>
        <w:pStyle w:val="NumberedNormal"/>
      </w:pPr>
      <w:r>
        <w:t xml:space="preserve">The purpose of an Annual Environmental Report is to increase the public transparency and accountability of the licensee in relation to the impacts of its business and network activities on the environment, and the licensee's progress against its Environmental Action Plan commitments. </w:t>
      </w:r>
    </w:p>
    <w:p w14:paraId="068DFB0B" w14:textId="77777777" w:rsidR="00883D20" w:rsidRPr="000E1F02" w:rsidRDefault="00883D20" w:rsidP="00883D20">
      <w:pPr>
        <w:pStyle w:val="NumberedNormal"/>
      </w:pPr>
      <w:r>
        <w:t>This condition also explains the process the Authority will follow in issuing and amending Environmental Reporting Guidance, which the licensee must comply with when preparing its Annual Environmental Report.</w:t>
      </w:r>
    </w:p>
    <w:p w14:paraId="0FE49B0F" w14:textId="77777777" w:rsidR="00883D20" w:rsidRPr="000E1F02" w:rsidRDefault="00883D20" w:rsidP="00883D20">
      <w:pPr>
        <w:pStyle w:val="Heading3"/>
      </w:pPr>
      <w:r>
        <w:t>Requirement to prepare and publish an Annual Environmental Report</w:t>
      </w:r>
    </w:p>
    <w:p w14:paraId="501D3B8E" w14:textId="77777777" w:rsidR="00883D20" w:rsidRPr="000E1F02" w:rsidRDefault="00883D20" w:rsidP="00883D20">
      <w:pPr>
        <w:pStyle w:val="NumberedNormal"/>
      </w:pPr>
      <w:r>
        <w:t>The licensee must prepare an Annual Environmental Report in accordance with the Environmental Reporting Guidance (as amended from time to time).</w:t>
      </w:r>
    </w:p>
    <w:p w14:paraId="0C829DC4" w14:textId="77777777" w:rsidR="00883D20" w:rsidRPr="000E1F02" w:rsidRDefault="00883D20" w:rsidP="00883D20">
      <w:pPr>
        <w:pStyle w:val="NumberedNormal"/>
      </w:pPr>
      <w:r>
        <w:t>The licensee must publish an Annual Environmental Report for the preceding Regulatory Year on, or before, the date specified in the Environmental Reporting Guidance.</w:t>
      </w:r>
    </w:p>
    <w:p w14:paraId="09EB2041" w14:textId="77777777" w:rsidR="00883D20" w:rsidRPr="000E1F02" w:rsidRDefault="00883D20" w:rsidP="00883D20">
      <w:pPr>
        <w:pStyle w:val="NumberedNormal"/>
      </w:pPr>
      <w:r>
        <w:t>The licensee must ensure its Annual Environmental Report is readily accessible to the public from the licensee’s website.</w:t>
      </w:r>
    </w:p>
    <w:p w14:paraId="1C410BFF" w14:textId="77777777" w:rsidR="00883D20" w:rsidRPr="000E1F02" w:rsidRDefault="00883D20" w:rsidP="00883D20">
      <w:pPr>
        <w:pStyle w:val="Heading3"/>
      </w:pPr>
      <w:r>
        <w:t>Environmental Reporting Guidance</w:t>
      </w:r>
    </w:p>
    <w:p w14:paraId="0675F9D3" w14:textId="77777777" w:rsidR="00883D20" w:rsidRPr="000E1F02" w:rsidRDefault="00883D20" w:rsidP="00883D20">
      <w:pPr>
        <w:pStyle w:val="NumberedNormal"/>
      </w:pPr>
      <w:r>
        <w:t xml:space="preserve">The Authority will issue and amend Environmental Reporting Guidance by direction. </w:t>
      </w:r>
    </w:p>
    <w:p w14:paraId="76FDD25D" w14:textId="77777777" w:rsidR="00883D20" w:rsidRPr="000E1F02" w:rsidRDefault="00883D20" w:rsidP="00883D20">
      <w:pPr>
        <w:pStyle w:val="NumberedNormal"/>
      </w:pPr>
      <w:r>
        <w:t>The Authority will publish Environmental Reporting Guidance on the Authority's Website.</w:t>
      </w:r>
    </w:p>
    <w:p w14:paraId="027C3B44" w14:textId="77777777" w:rsidR="00883D20" w:rsidRPr="000E1F02" w:rsidRDefault="00883D20" w:rsidP="00883D20">
      <w:pPr>
        <w:pStyle w:val="NumberedNormal"/>
      </w:pPr>
      <w:r>
        <w:t>The Environmental Reporting Guidance will set out how the licensee must prepare its Annual Environmental Report, including the following:</w:t>
      </w:r>
    </w:p>
    <w:p w14:paraId="72FA4E61" w14:textId="77777777" w:rsidR="00883D20" w:rsidRPr="000E1F02" w:rsidRDefault="00883D20" w:rsidP="00883D20">
      <w:pPr>
        <w:pStyle w:val="ListNormal"/>
        <w:tabs>
          <w:tab w:val="num" w:pos="879"/>
        </w:tabs>
      </w:pPr>
      <w:r>
        <w:t xml:space="preserve">the engagement the licensee is required to undertake with stakeholders to help inform the development of its Annual Environmental </w:t>
      </w:r>
      <w:proofErr w:type="gramStart"/>
      <w:r>
        <w:t>Report;</w:t>
      </w:r>
      <w:proofErr w:type="gramEnd"/>
    </w:p>
    <w:p w14:paraId="079DE5AA" w14:textId="77777777" w:rsidR="00883D20" w:rsidRPr="000E1F02" w:rsidRDefault="00883D20" w:rsidP="00883D20">
      <w:pPr>
        <w:pStyle w:val="ListNormal"/>
        <w:tabs>
          <w:tab w:val="num" w:pos="879"/>
        </w:tabs>
      </w:pPr>
      <w:r>
        <w:t>the requirements for the structure and level of detail to be included in the Annual Environmental Report, including some of the data metrics to be used, as well as expectations about the level of explanatory text to be included; and</w:t>
      </w:r>
    </w:p>
    <w:p w14:paraId="4F807011" w14:textId="77777777" w:rsidR="00883D20" w:rsidRPr="000E1F02" w:rsidRDefault="00883D20" w:rsidP="00883D20">
      <w:pPr>
        <w:pStyle w:val="ListNormal"/>
        <w:tabs>
          <w:tab w:val="num" w:pos="879"/>
        </w:tabs>
      </w:pPr>
      <w:r>
        <w:t xml:space="preserve">the environmental impacts, relevant Environmental Action Plan Commitments, business practices, existing obligations and activities that must be covered in the Annual Environmental Report. </w:t>
      </w:r>
    </w:p>
    <w:p w14:paraId="0D5816B1" w14:textId="77777777" w:rsidR="00883D20" w:rsidRPr="000E1F02" w:rsidRDefault="00883D20" w:rsidP="00883D20">
      <w:pPr>
        <w:pStyle w:val="NumberedNormal"/>
      </w:pPr>
      <w:r>
        <w:lastRenderedPageBreak/>
        <w:t>Before issuing the Environmental Reporting Guidance by direction, the Authority will publish on the Authority's Website:</w:t>
      </w:r>
    </w:p>
    <w:p w14:paraId="076B47F7" w14:textId="77777777" w:rsidR="00883D20" w:rsidRPr="000E1F02" w:rsidRDefault="00883D20" w:rsidP="00883D20">
      <w:pPr>
        <w:pStyle w:val="ListNormal"/>
        <w:tabs>
          <w:tab w:val="num" w:pos="879"/>
        </w:tabs>
      </w:pPr>
      <w:r>
        <w:t xml:space="preserve">the text of the proposed Environmental Reporting </w:t>
      </w:r>
      <w:proofErr w:type="gramStart"/>
      <w:r>
        <w:t>Guidance;</w:t>
      </w:r>
      <w:proofErr w:type="gramEnd"/>
    </w:p>
    <w:p w14:paraId="39B48308" w14:textId="77777777" w:rsidR="00883D20" w:rsidRPr="000E1F02" w:rsidRDefault="00883D20" w:rsidP="00883D20">
      <w:pPr>
        <w:pStyle w:val="ListNormal"/>
        <w:tabs>
          <w:tab w:val="num" w:pos="879"/>
        </w:tabs>
      </w:pPr>
      <w:r>
        <w:t>the date on which the Authority intends the Environmental Reporting Guidance to come into effect; and</w:t>
      </w:r>
    </w:p>
    <w:p w14:paraId="5D139B80" w14:textId="4C6C6836" w:rsidR="00883D20" w:rsidRPr="000E1F02" w:rsidRDefault="00883D20" w:rsidP="00883D20">
      <w:pPr>
        <w:pStyle w:val="ListNormal"/>
        <w:tabs>
          <w:tab w:val="num" w:pos="879"/>
        </w:tabs>
      </w:pPr>
      <w:r>
        <w:t xml:space="preserve">a period during which representations may be made on the content of the Environmental Reporting Guidance, which </w:t>
      </w:r>
      <w:r w:rsidR="004D51E2">
        <w:t>will</w:t>
      </w:r>
      <w:r>
        <w:t xml:space="preserve"> not be less than 28 days. </w:t>
      </w:r>
    </w:p>
    <w:p w14:paraId="54417649" w14:textId="77777777" w:rsidR="00883D20" w:rsidRPr="000E1F02" w:rsidRDefault="00883D20" w:rsidP="00883D20">
      <w:pPr>
        <w:pStyle w:val="NumberedNormal"/>
      </w:pPr>
      <w:r>
        <w:t>Before amending the Environmental Reporting Guidance by direction, the Authority will publish on the Authority's Website:</w:t>
      </w:r>
    </w:p>
    <w:p w14:paraId="6E63A0DD" w14:textId="77777777" w:rsidR="00883D20" w:rsidRPr="000E1F02" w:rsidRDefault="00883D20" w:rsidP="00883D20">
      <w:pPr>
        <w:pStyle w:val="ListNormal"/>
        <w:tabs>
          <w:tab w:val="num" w:pos="879"/>
        </w:tabs>
      </w:pPr>
      <w:r>
        <w:t xml:space="preserve">the text of the amended Environmental Reporting </w:t>
      </w:r>
      <w:proofErr w:type="gramStart"/>
      <w:r>
        <w:t>Guidance;</w:t>
      </w:r>
      <w:proofErr w:type="gramEnd"/>
    </w:p>
    <w:p w14:paraId="7F1F3006" w14:textId="77777777" w:rsidR="00883D20" w:rsidRPr="000E1F02" w:rsidRDefault="00883D20" w:rsidP="00883D20">
      <w:pPr>
        <w:pStyle w:val="ListNormal"/>
        <w:tabs>
          <w:tab w:val="num" w:pos="879"/>
        </w:tabs>
      </w:pPr>
      <w:r>
        <w:t xml:space="preserve">the date on which the Authority intends the amended Environmental Reporting Guidance to come into </w:t>
      </w:r>
      <w:proofErr w:type="gramStart"/>
      <w:r>
        <w:t>effect;</w:t>
      </w:r>
      <w:proofErr w:type="gramEnd"/>
    </w:p>
    <w:p w14:paraId="6A824C31" w14:textId="77777777" w:rsidR="00883D20" w:rsidRPr="000E1F02" w:rsidRDefault="00883D20" w:rsidP="00883D20">
      <w:pPr>
        <w:pStyle w:val="ListNormal"/>
        <w:tabs>
          <w:tab w:val="num" w:pos="879"/>
        </w:tabs>
      </w:pPr>
      <w:r>
        <w:t>the reasons for the amendments to the Environmental Reporting Guidance; and</w:t>
      </w:r>
    </w:p>
    <w:p w14:paraId="77A9588E" w14:textId="65FAB0E7" w:rsidR="00883D20" w:rsidRPr="003C5BB2" w:rsidRDefault="00883D20" w:rsidP="00F73C6E">
      <w:pPr>
        <w:pStyle w:val="ListNormal"/>
        <w:tabs>
          <w:tab w:val="num" w:pos="879"/>
        </w:tabs>
      </w:pPr>
      <w:r>
        <w:t xml:space="preserve">a period during which representations may be made on the amendments to the Environmental Reporting Guidance, which </w:t>
      </w:r>
      <w:r w:rsidR="004D51E2">
        <w:t>will</w:t>
      </w:r>
      <w:r>
        <w:t xml:space="preserve"> not be less than 28 days.</w:t>
      </w:r>
    </w:p>
    <w:p w14:paraId="36B749D4" w14:textId="77777777" w:rsidR="00883D20" w:rsidRDefault="00883D20" w:rsidP="00883D20">
      <w:pPr>
        <w:pStyle w:val="Heading2"/>
      </w:pPr>
      <w:bookmarkStart w:id="255" w:name="_Toc51680414"/>
      <w:bookmarkStart w:id="256" w:name="_Toc51798334"/>
      <w:bookmarkStart w:id="257" w:name="_Toc52364940"/>
      <w:r>
        <w:t>Network Asset Risk Metric Methodology</w:t>
      </w:r>
      <w:bookmarkEnd w:id="255"/>
      <w:bookmarkEnd w:id="256"/>
      <w:bookmarkEnd w:id="257"/>
    </w:p>
    <w:p w14:paraId="309828CD" w14:textId="77777777" w:rsidR="00883D20" w:rsidRPr="004A18EE" w:rsidRDefault="00883D20" w:rsidP="00883D20">
      <w:pPr>
        <w:pStyle w:val="Heading3nonumbering"/>
      </w:pPr>
      <w:r w:rsidRPr="004A18EE">
        <w:t xml:space="preserve">Introduction </w:t>
      </w:r>
    </w:p>
    <w:p w14:paraId="586211B2" w14:textId="77777777" w:rsidR="00883D20" w:rsidRPr="004A18EE" w:rsidRDefault="00883D20" w:rsidP="00883D20">
      <w:pPr>
        <w:pStyle w:val="NumberedNormal"/>
      </w:pPr>
      <w:r>
        <w:t>The purpose of this condition is to set out the requirements on the licensee in respect of the NARM Methodology. </w:t>
      </w:r>
    </w:p>
    <w:p w14:paraId="454DAF9B" w14:textId="77777777" w:rsidR="00883D20" w:rsidRPr="004A18EE" w:rsidRDefault="00883D20" w:rsidP="00883D20">
      <w:pPr>
        <w:pStyle w:val="NumberedNormal"/>
      </w:pPr>
      <w:r>
        <w:t>It also sets out the process for modifying the NARM Methodology.</w:t>
      </w:r>
    </w:p>
    <w:p w14:paraId="5056B442" w14:textId="77777777" w:rsidR="00883D20" w:rsidRPr="004A18EE" w:rsidRDefault="00883D20" w:rsidP="00883D20">
      <w:pPr>
        <w:pStyle w:val="Heading3"/>
      </w:pPr>
      <w:r>
        <w:t>Part A: Requirement to have a NARM Methodology</w:t>
      </w:r>
    </w:p>
    <w:p w14:paraId="294E37D9" w14:textId="0E4041EA" w:rsidR="00883D20" w:rsidRPr="004A18EE" w:rsidRDefault="00883D20" w:rsidP="00883D20">
      <w:pPr>
        <w:pStyle w:val="NumberedNormal"/>
      </w:pPr>
      <w:r>
        <w:t xml:space="preserve">The licensee must have in place and act in accordance with a NARM Methodology that facilitates the achievement of the NARM Objectives. </w:t>
      </w:r>
    </w:p>
    <w:p w14:paraId="38C13A94" w14:textId="77777777" w:rsidR="00883D20" w:rsidRPr="004A18EE" w:rsidRDefault="00883D20" w:rsidP="00883D20">
      <w:pPr>
        <w:pStyle w:val="Heading3"/>
      </w:pPr>
      <w:r>
        <w:t>Part B: The NARM Objectives</w:t>
      </w:r>
    </w:p>
    <w:p w14:paraId="67F102D3" w14:textId="77777777" w:rsidR="00883D20" w:rsidRPr="004A18EE" w:rsidRDefault="00883D20" w:rsidP="00883D20">
      <w:pPr>
        <w:pStyle w:val="NumberedNormal"/>
      </w:pPr>
      <w:r>
        <w:t>The NARM Objectives are:</w:t>
      </w:r>
    </w:p>
    <w:p w14:paraId="2406484C" w14:textId="77777777" w:rsidR="00883D20" w:rsidRPr="004A18EE" w:rsidRDefault="00883D20" w:rsidP="00883D20">
      <w:pPr>
        <w:pStyle w:val="ListNormal"/>
        <w:tabs>
          <w:tab w:val="num" w:pos="879"/>
        </w:tabs>
      </w:pPr>
      <w:r>
        <w:t xml:space="preserve">to provide transparent and logical links between: </w:t>
      </w:r>
    </w:p>
    <w:p w14:paraId="201057D0" w14:textId="77777777" w:rsidR="00883D20" w:rsidRPr="004A18EE" w:rsidRDefault="00883D20" w:rsidP="00883D20">
      <w:pPr>
        <w:pStyle w:val="ListNormal"/>
        <w:numPr>
          <w:ilvl w:val="4"/>
          <w:numId w:val="4"/>
        </w:numPr>
      </w:pPr>
      <w:r w:rsidRPr="004A18EE">
        <w:t xml:space="preserve">the Asset Data that the licensee collects through inspections, maintenance, and </w:t>
      </w:r>
      <w:proofErr w:type="gramStart"/>
      <w:r w:rsidRPr="004A18EE">
        <w:t>other</w:t>
      </w:r>
      <w:proofErr w:type="gramEnd"/>
      <w:r w:rsidRPr="004A18EE">
        <w:t xml:space="preserve"> asset management activities;</w:t>
      </w:r>
    </w:p>
    <w:p w14:paraId="2E0595FD" w14:textId="77777777" w:rsidR="00883D20" w:rsidRPr="004A18EE" w:rsidRDefault="00883D20" w:rsidP="00883D20">
      <w:pPr>
        <w:pStyle w:val="ListNormal"/>
        <w:numPr>
          <w:ilvl w:val="4"/>
          <w:numId w:val="4"/>
        </w:numPr>
      </w:pPr>
      <w:r w:rsidRPr="004A18EE">
        <w:t xml:space="preserve">the data that the licensee inputs into its Asset Management </w:t>
      </w:r>
      <w:proofErr w:type="gramStart"/>
      <w:r w:rsidRPr="004A18EE">
        <w:t>Systems;</w:t>
      </w:r>
      <w:proofErr w:type="gramEnd"/>
    </w:p>
    <w:p w14:paraId="2757D311" w14:textId="77777777" w:rsidR="00883D20" w:rsidRPr="004A18EE" w:rsidRDefault="00883D20" w:rsidP="00883D20">
      <w:pPr>
        <w:pStyle w:val="ListNormal"/>
        <w:numPr>
          <w:ilvl w:val="4"/>
          <w:numId w:val="4"/>
        </w:numPr>
      </w:pPr>
      <w:r w:rsidRPr="004A18EE">
        <w:t>the licensee's asset management decisions; and</w:t>
      </w:r>
    </w:p>
    <w:p w14:paraId="6F4909F1" w14:textId="77777777" w:rsidR="00883D20" w:rsidRPr="004A18EE" w:rsidRDefault="00883D20" w:rsidP="00883D20">
      <w:pPr>
        <w:pStyle w:val="ListNormal"/>
        <w:numPr>
          <w:ilvl w:val="4"/>
          <w:numId w:val="4"/>
        </w:numPr>
      </w:pPr>
      <w:r w:rsidRPr="004A18EE">
        <w:t xml:space="preserve">where relevant, the licensee's </w:t>
      </w:r>
      <w:r>
        <w:t>w</w:t>
      </w:r>
      <w:r w:rsidRPr="004A18EE">
        <w:t xml:space="preserve">hole </w:t>
      </w:r>
      <w:r>
        <w:t>s</w:t>
      </w:r>
      <w:r w:rsidRPr="004A18EE">
        <w:t xml:space="preserve">ystem investment </w:t>
      </w:r>
      <w:proofErr w:type="gramStart"/>
      <w:r w:rsidRPr="004A18EE">
        <w:t>decisions;</w:t>
      </w:r>
      <w:proofErr w:type="gramEnd"/>
      <w:r w:rsidRPr="004A18EE">
        <w:t xml:space="preserve">  </w:t>
      </w:r>
    </w:p>
    <w:p w14:paraId="600F496D" w14:textId="77777777" w:rsidR="00883D20" w:rsidRPr="004A18EE" w:rsidRDefault="00883D20" w:rsidP="00883D20">
      <w:pPr>
        <w:pStyle w:val="ListNormal"/>
        <w:tabs>
          <w:tab w:val="num" w:pos="879"/>
        </w:tabs>
      </w:pPr>
      <w:r>
        <w:t xml:space="preserve">to enable the Authority to establish the licensee's Baseline Network Risk Outputs and to undertake an objective assessment of the licensee's Baseline Network Risk Output </w:t>
      </w:r>
      <w:proofErr w:type="gramStart"/>
      <w:r>
        <w:t>delivery;</w:t>
      </w:r>
      <w:proofErr w:type="gramEnd"/>
    </w:p>
    <w:p w14:paraId="4580C392" w14:textId="77777777" w:rsidR="00883D20" w:rsidRPr="004A18EE" w:rsidRDefault="00883D20" w:rsidP="00883D20">
      <w:pPr>
        <w:pStyle w:val="ListNormal"/>
        <w:tabs>
          <w:tab w:val="num" w:pos="879"/>
        </w:tabs>
      </w:pPr>
      <w:r>
        <w:lastRenderedPageBreak/>
        <w:t xml:space="preserve">to enable the robust estimation of Current, Forecast, Single-year, and Long-term Monetised Risk of asset failure for: </w:t>
      </w:r>
    </w:p>
    <w:p w14:paraId="77DBA43C" w14:textId="77777777" w:rsidR="00883D20" w:rsidRPr="004A18EE" w:rsidRDefault="00883D20" w:rsidP="00883D20">
      <w:pPr>
        <w:pStyle w:val="ListNormal"/>
        <w:numPr>
          <w:ilvl w:val="4"/>
          <w:numId w:val="4"/>
        </w:numPr>
      </w:pPr>
      <w:r w:rsidRPr="004A18EE">
        <w:t xml:space="preserve">each NARM Asset </w:t>
      </w:r>
      <w:proofErr w:type="gramStart"/>
      <w:r w:rsidRPr="004A18EE">
        <w:t>Category;</w:t>
      </w:r>
      <w:proofErr w:type="gramEnd"/>
    </w:p>
    <w:p w14:paraId="403876BA" w14:textId="77777777" w:rsidR="00883D20" w:rsidRPr="004A18EE" w:rsidRDefault="00883D20" w:rsidP="00883D20">
      <w:pPr>
        <w:pStyle w:val="ListNormal"/>
        <w:numPr>
          <w:ilvl w:val="4"/>
          <w:numId w:val="4"/>
        </w:numPr>
      </w:pPr>
      <w:r w:rsidRPr="004A18EE">
        <w:t>individual NARM Assets within each NARM Asset Category; and</w:t>
      </w:r>
    </w:p>
    <w:p w14:paraId="512F8AD2" w14:textId="4E714697" w:rsidR="00883D20" w:rsidRPr="004A18EE" w:rsidRDefault="00883D20" w:rsidP="00883D20">
      <w:pPr>
        <w:pStyle w:val="ListNormal"/>
        <w:numPr>
          <w:ilvl w:val="4"/>
          <w:numId w:val="18"/>
        </w:numPr>
      </w:pPr>
      <w:r w:rsidRPr="004A18EE">
        <w:t xml:space="preserve">the licensee's </w:t>
      </w:r>
      <w:r w:rsidR="007D2AE5">
        <w:t xml:space="preserve">Transmission </w:t>
      </w:r>
      <w:proofErr w:type="gramStart"/>
      <w:r w:rsidR="007D2AE5">
        <w:t>System</w:t>
      </w:r>
      <w:r w:rsidRPr="004A18EE">
        <w:t>;</w:t>
      </w:r>
      <w:proofErr w:type="gramEnd"/>
    </w:p>
    <w:p w14:paraId="27ED7E8B" w14:textId="77777777" w:rsidR="00883D20" w:rsidRPr="004A18EE" w:rsidRDefault="00883D20" w:rsidP="00883D20">
      <w:pPr>
        <w:pStyle w:val="ListNormal"/>
        <w:tabs>
          <w:tab w:val="num" w:pos="879"/>
        </w:tabs>
      </w:pPr>
      <w:r>
        <w:t xml:space="preserve">to enable the robust estimation of the Current and Long-term Monetised Risk Benefits delivered, or expected to be delivered, through interventions on specific assets and/or groups of </w:t>
      </w:r>
      <w:proofErr w:type="gramStart"/>
      <w:r>
        <w:t>assets;</w:t>
      </w:r>
      <w:proofErr w:type="gramEnd"/>
      <w:r>
        <w:t xml:space="preserve"> </w:t>
      </w:r>
    </w:p>
    <w:p w14:paraId="5D1C75AF" w14:textId="77777777" w:rsidR="00883D20" w:rsidRPr="004A18EE" w:rsidRDefault="00883D20" w:rsidP="00883D20">
      <w:pPr>
        <w:pStyle w:val="ListNormal"/>
        <w:tabs>
          <w:tab w:val="num" w:pos="879"/>
        </w:tabs>
      </w:pPr>
      <w:r>
        <w:t xml:space="preserve">to explain and justify, through Cost-Benefit Analysis: </w:t>
      </w:r>
    </w:p>
    <w:p w14:paraId="27DB9697" w14:textId="77777777" w:rsidR="00883D20" w:rsidRPr="004A18EE" w:rsidRDefault="00883D20" w:rsidP="00883D20">
      <w:pPr>
        <w:pStyle w:val="ListNormal"/>
        <w:numPr>
          <w:ilvl w:val="4"/>
          <w:numId w:val="4"/>
        </w:numPr>
      </w:pPr>
      <w:r w:rsidRPr="004A18EE">
        <w:t>the licensee's investment plans for managing and renewing its NARM Assets; and</w:t>
      </w:r>
    </w:p>
    <w:p w14:paraId="2E2CD46E" w14:textId="77777777" w:rsidR="00883D20" w:rsidRPr="004A18EE" w:rsidRDefault="00883D20" w:rsidP="00883D20">
      <w:pPr>
        <w:pStyle w:val="ListNormal"/>
        <w:numPr>
          <w:ilvl w:val="4"/>
          <w:numId w:val="4"/>
        </w:numPr>
      </w:pPr>
      <w:r w:rsidRPr="004A18EE">
        <w:t xml:space="preserve">the licensee's outturn delivery of investment </w:t>
      </w:r>
      <w:proofErr w:type="gramStart"/>
      <w:r w:rsidRPr="004A18EE">
        <w:t>options;</w:t>
      </w:r>
      <w:proofErr w:type="gramEnd"/>
      <w:r w:rsidRPr="004A18EE">
        <w:t xml:space="preserve"> </w:t>
      </w:r>
    </w:p>
    <w:p w14:paraId="08DE54EF" w14:textId="77777777" w:rsidR="00883D20" w:rsidRPr="004A18EE" w:rsidRDefault="00883D20" w:rsidP="00883D20">
      <w:pPr>
        <w:pStyle w:val="ListNormal"/>
        <w:tabs>
          <w:tab w:val="num" w:pos="879"/>
        </w:tabs>
      </w:pPr>
      <w:r>
        <w:t xml:space="preserve">to enable the identification and quantification of drivers leading to changes in Monetised Risk over </w:t>
      </w:r>
      <w:proofErr w:type="gramStart"/>
      <w:r>
        <w:t>time;</w:t>
      </w:r>
      <w:proofErr w:type="gramEnd"/>
    </w:p>
    <w:p w14:paraId="546D078D" w14:textId="77777777" w:rsidR="00883D20" w:rsidRPr="004A18EE" w:rsidRDefault="00883D20" w:rsidP="00883D20">
      <w:pPr>
        <w:pStyle w:val="ListNormal"/>
        <w:tabs>
          <w:tab w:val="num" w:pos="879"/>
        </w:tabs>
      </w:pPr>
      <w:r>
        <w:t>to enable the comparative analysis of Monetised Risk between:</w:t>
      </w:r>
    </w:p>
    <w:p w14:paraId="75C784EF" w14:textId="6281851F" w:rsidR="00883D20" w:rsidRPr="004A18EE" w:rsidRDefault="00883D20" w:rsidP="00883D20">
      <w:pPr>
        <w:pStyle w:val="ListNormal"/>
        <w:numPr>
          <w:ilvl w:val="4"/>
          <w:numId w:val="18"/>
        </w:numPr>
      </w:pPr>
      <w:r w:rsidRPr="004A18EE">
        <w:t xml:space="preserve">different NARM Asset Categories and between individual NARM Assets on the licensee's </w:t>
      </w:r>
      <w:r w:rsidR="007D2AE5">
        <w:t xml:space="preserve">Transmission </w:t>
      </w:r>
      <w:proofErr w:type="gramStart"/>
      <w:r w:rsidR="007D2AE5">
        <w:t>System</w:t>
      </w:r>
      <w:r w:rsidRPr="004A18EE">
        <w:t>;</w:t>
      </w:r>
      <w:proofErr w:type="gramEnd"/>
    </w:p>
    <w:p w14:paraId="0243C76E" w14:textId="50D330C1" w:rsidR="00883D20" w:rsidRPr="004A18EE" w:rsidRDefault="00883D20" w:rsidP="00883D20">
      <w:pPr>
        <w:pStyle w:val="ListNormal"/>
        <w:numPr>
          <w:ilvl w:val="4"/>
          <w:numId w:val="18"/>
        </w:numPr>
      </w:pPr>
      <w:r w:rsidRPr="004A18EE">
        <w:t xml:space="preserve">geographic areas of, and NARM Assets within, the licensee’s </w:t>
      </w:r>
      <w:r w:rsidR="007D2AE5">
        <w:t xml:space="preserve">Transmission </w:t>
      </w:r>
      <w:proofErr w:type="gramStart"/>
      <w:r w:rsidR="007D2AE5">
        <w:t>System</w:t>
      </w:r>
      <w:r w:rsidRPr="004A18EE">
        <w:t>;</w:t>
      </w:r>
      <w:proofErr w:type="gramEnd"/>
    </w:p>
    <w:p w14:paraId="7D466B26" w14:textId="4CF04DCA" w:rsidR="00883D20" w:rsidRPr="004A18EE" w:rsidRDefault="00883D20" w:rsidP="00883D20">
      <w:pPr>
        <w:pStyle w:val="ListNormal"/>
        <w:numPr>
          <w:ilvl w:val="4"/>
          <w:numId w:val="18"/>
        </w:numPr>
      </w:pPr>
      <w:r w:rsidRPr="004A18EE">
        <w:t xml:space="preserve">the licensee’s </w:t>
      </w:r>
      <w:r w:rsidR="007D2AE5">
        <w:t>Transmission System</w:t>
      </w:r>
      <w:r w:rsidRPr="004A18EE">
        <w:t xml:space="preserve"> and other networks within the same </w:t>
      </w:r>
      <w:proofErr w:type="gramStart"/>
      <w:r w:rsidRPr="004A18EE">
        <w:t>sector;</w:t>
      </w:r>
      <w:proofErr w:type="gramEnd"/>
    </w:p>
    <w:p w14:paraId="118986BF" w14:textId="19E20551" w:rsidR="00883D20" w:rsidRPr="004A18EE" w:rsidRDefault="00883D20" w:rsidP="00883D20">
      <w:pPr>
        <w:pStyle w:val="ListNormal"/>
        <w:numPr>
          <w:ilvl w:val="4"/>
          <w:numId w:val="18"/>
        </w:numPr>
      </w:pPr>
      <w:r w:rsidRPr="004A18EE">
        <w:t xml:space="preserve">the licensee's </w:t>
      </w:r>
      <w:r w:rsidR="007D2AE5">
        <w:t>Transmission System</w:t>
      </w:r>
      <w:r w:rsidRPr="004A18EE">
        <w:t xml:space="preserve"> and networks outside Great Britain with similar assets should </w:t>
      </w:r>
      <w:proofErr w:type="gramStart"/>
      <w:r w:rsidRPr="004A18EE">
        <w:t>similar</w:t>
      </w:r>
      <w:proofErr w:type="gramEnd"/>
      <w:r w:rsidRPr="004A18EE">
        <w:t xml:space="preserve"> approaches as set out in the NARM Methodology be applied to estimate Monetised Risk for those networks; and </w:t>
      </w:r>
    </w:p>
    <w:p w14:paraId="64031431" w14:textId="77777777" w:rsidR="00883D20" w:rsidRPr="004A18EE" w:rsidRDefault="00883D20" w:rsidP="00883D20">
      <w:pPr>
        <w:pStyle w:val="ListNormal"/>
        <w:numPr>
          <w:ilvl w:val="4"/>
          <w:numId w:val="4"/>
        </w:numPr>
      </w:pPr>
      <w:r w:rsidRPr="004A18EE">
        <w:t>the Transmission Systems and Distribution Systems within Great Britain; and</w:t>
      </w:r>
    </w:p>
    <w:p w14:paraId="652A8E97" w14:textId="3E900817" w:rsidR="00883D20" w:rsidRPr="004A18EE" w:rsidRDefault="00883D20" w:rsidP="00883D20">
      <w:pPr>
        <w:pStyle w:val="ListNormal"/>
        <w:tabs>
          <w:tab w:val="num" w:pos="879"/>
        </w:tabs>
      </w:pPr>
      <w:r>
        <w:t xml:space="preserve">to enable the communication to the Authority and other interested parties of relevant information about the licensee’s </w:t>
      </w:r>
      <w:r w:rsidR="007D2AE5">
        <w:t>Transmission System</w:t>
      </w:r>
      <w:r>
        <w:t xml:space="preserve"> in an accessible and transparent manner. </w:t>
      </w:r>
    </w:p>
    <w:p w14:paraId="2CAD1B30" w14:textId="0B5CE358" w:rsidR="00883D20" w:rsidRPr="004A18EE" w:rsidRDefault="00883D20" w:rsidP="00883D20">
      <w:pPr>
        <w:pStyle w:val="Heading3"/>
      </w:pPr>
      <w:r>
        <w:t xml:space="preserve">Modification of the NARM Methodology </w:t>
      </w:r>
    </w:p>
    <w:p w14:paraId="07F8BC3C" w14:textId="77777777" w:rsidR="00883D20" w:rsidRPr="004A18EE" w:rsidRDefault="00883D20" w:rsidP="00883D20">
      <w:pPr>
        <w:pStyle w:val="NumberedNormal"/>
      </w:pPr>
      <w:r>
        <w:t>The licensee must, at least once every year, review the NARM Methodology to identify scope for modifications that would better facilitate the achievement of the NARM Objectives.</w:t>
      </w:r>
    </w:p>
    <w:p w14:paraId="6C59FB52" w14:textId="77777777" w:rsidR="00883D20" w:rsidRPr="004A18EE" w:rsidRDefault="00883D20" w:rsidP="00883D20">
      <w:pPr>
        <w:pStyle w:val="NumberedNormal"/>
      </w:pPr>
      <w:r>
        <w:t xml:space="preserve">Where the licensee has identified scope for modifications that better facilitate the achievement of the NARM Objectives, it must notify the Authority of the timeframes within which it will propose the relevant modifications to the NARM Methodology. </w:t>
      </w:r>
    </w:p>
    <w:p w14:paraId="530B7B77" w14:textId="77777777" w:rsidR="00883D20" w:rsidRPr="004A18EE" w:rsidRDefault="00883D20" w:rsidP="00883D20">
      <w:pPr>
        <w:pStyle w:val="NumberedNormal"/>
      </w:pPr>
      <w:r>
        <w:t xml:space="preserve">Where the licensee proposes a modification to the NARM Methodology, it must:  </w:t>
      </w:r>
    </w:p>
    <w:p w14:paraId="7A8C55AD" w14:textId="196888E2" w:rsidR="00883D20" w:rsidRPr="004A18EE" w:rsidRDefault="00883D20" w:rsidP="00883D20">
      <w:pPr>
        <w:pStyle w:val="ListNormal"/>
        <w:tabs>
          <w:tab w:val="num" w:pos="879"/>
        </w:tabs>
      </w:pPr>
      <w:r>
        <w:lastRenderedPageBreak/>
        <w:t xml:space="preserve">consult other licensees to which a condition of equivalent effect to this condition applies and with any other interested parties, allowing them a period of at least 28 days within which to make any representations on the proposed </w:t>
      </w:r>
      <w:proofErr w:type="gramStart"/>
      <w:r>
        <w:t>modification;</w:t>
      </w:r>
      <w:proofErr w:type="gramEnd"/>
      <w:r>
        <w:t xml:space="preserve"> and</w:t>
      </w:r>
    </w:p>
    <w:p w14:paraId="74BFB8B1" w14:textId="77777777" w:rsidR="00883D20" w:rsidRPr="004A18EE" w:rsidRDefault="00883D20" w:rsidP="00883D20">
      <w:pPr>
        <w:pStyle w:val="ListNormal"/>
        <w:tabs>
          <w:tab w:val="num" w:pos="879"/>
        </w:tabs>
      </w:pPr>
      <w:r>
        <w:t xml:space="preserve">submit to the Authority a report containing: </w:t>
      </w:r>
    </w:p>
    <w:p w14:paraId="7A1D5F66" w14:textId="77777777" w:rsidR="00883D20" w:rsidRPr="004A18EE" w:rsidRDefault="00883D20" w:rsidP="00883D20">
      <w:pPr>
        <w:pStyle w:val="ListNormal"/>
        <w:numPr>
          <w:ilvl w:val="4"/>
          <w:numId w:val="4"/>
        </w:numPr>
      </w:pPr>
      <w:r w:rsidRPr="004A18EE">
        <w:t>a statement explaining the proposed modification to the NARM Methodology;</w:t>
      </w:r>
      <w:r>
        <w:t xml:space="preserve"> and</w:t>
      </w:r>
    </w:p>
    <w:p w14:paraId="53E1CB0F" w14:textId="77777777" w:rsidR="00883D20" w:rsidRPr="004A18EE" w:rsidRDefault="00883D20" w:rsidP="00883D20">
      <w:pPr>
        <w:pStyle w:val="ListNormal"/>
        <w:numPr>
          <w:ilvl w:val="4"/>
          <w:numId w:val="4"/>
        </w:numPr>
      </w:pPr>
      <w:r w:rsidRPr="004A18EE">
        <w:t xml:space="preserve">an explanation of how, in the licensee’s opinion, the proposed modification, if made, would better facilitate the achievement of the NARM </w:t>
      </w:r>
      <w:proofErr w:type="gramStart"/>
      <w:r w:rsidRPr="004A18EE">
        <w:t>Objectives;</w:t>
      </w:r>
      <w:proofErr w:type="gramEnd"/>
      <w:r w:rsidRPr="004A18EE">
        <w:t xml:space="preserve">  </w:t>
      </w:r>
    </w:p>
    <w:p w14:paraId="1837D3CC" w14:textId="77777777" w:rsidR="00883D20" w:rsidRPr="004A18EE" w:rsidRDefault="00883D20" w:rsidP="00883D20">
      <w:pPr>
        <w:pStyle w:val="ListNormal"/>
        <w:tabs>
          <w:tab w:val="num" w:pos="879"/>
        </w:tabs>
      </w:pPr>
      <w:r>
        <w:t xml:space="preserve">a draft NARM Methodology that incorporates the proposed </w:t>
      </w:r>
      <w:proofErr w:type="gramStart"/>
      <w:r>
        <w:t>modification;</w:t>
      </w:r>
      <w:proofErr w:type="gramEnd"/>
    </w:p>
    <w:p w14:paraId="30C4E851" w14:textId="77777777" w:rsidR="00883D20" w:rsidRPr="004A18EE" w:rsidRDefault="00883D20" w:rsidP="00883D20">
      <w:pPr>
        <w:pStyle w:val="ListNormal"/>
        <w:tabs>
          <w:tab w:val="num" w:pos="879"/>
        </w:tabs>
      </w:pPr>
      <w:r>
        <w:t xml:space="preserve">any relevant subsidiary or supporting documents, data files, or quantitative </w:t>
      </w:r>
      <w:proofErr w:type="gramStart"/>
      <w:r>
        <w:t>models;</w:t>
      </w:r>
      <w:proofErr w:type="gramEnd"/>
    </w:p>
    <w:p w14:paraId="0D112F8A" w14:textId="3423D6A6" w:rsidR="00883D20" w:rsidRPr="004A18EE" w:rsidRDefault="00883D20" w:rsidP="00883D20">
      <w:pPr>
        <w:pStyle w:val="ListNormal"/>
        <w:tabs>
          <w:tab w:val="num" w:pos="879"/>
        </w:tabs>
      </w:pPr>
      <w:r>
        <w:t xml:space="preserve">a full and fair summary of any representations that were made to the licensee pursuant to paragraph sub-paragraph (a) above and not </w:t>
      </w:r>
      <w:proofErr w:type="gramStart"/>
      <w:r>
        <w:t>withdrawn;</w:t>
      </w:r>
      <w:proofErr w:type="gramEnd"/>
    </w:p>
    <w:p w14:paraId="675978E1" w14:textId="77777777" w:rsidR="00883D20" w:rsidRPr="004A18EE" w:rsidRDefault="00883D20" w:rsidP="00883D20">
      <w:pPr>
        <w:pStyle w:val="ListNormal"/>
        <w:tabs>
          <w:tab w:val="num" w:pos="879"/>
        </w:tabs>
      </w:pPr>
      <w:r>
        <w:t xml:space="preserve">an explanation of any changes to the modification proposal that the licensee has made as a consequence of the representations </w:t>
      </w:r>
      <w:proofErr w:type="gramStart"/>
      <w:r>
        <w:t>received;</w:t>
      </w:r>
      <w:proofErr w:type="gramEnd"/>
      <w:r>
        <w:t xml:space="preserve"> </w:t>
      </w:r>
    </w:p>
    <w:p w14:paraId="6E7F2EF8" w14:textId="77777777" w:rsidR="00883D20" w:rsidRPr="004A18EE" w:rsidRDefault="00883D20" w:rsidP="00883D20">
      <w:pPr>
        <w:pStyle w:val="ListNormal"/>
        <w:tabs>
          <w:tab w:val="num" w:pos="879"/>
        </w:tabs>
      </w:pPr>
      <w:r>
        <w:t>a presentation of the data and any other relevant information (including historical data, which should be provided, where reasonably practicable and relevant, for a period of at least ten years prior to the date of the modification proposal) the licensee has used for the purpose of developing the proposed modification;</w:t>
      </w:r>
    </w:p>
    <w:p w14:paraId="2039DB21" w14:textId="77777777" w:rsidR="00883D20" w:rsidRPr="004A18EE" w:rsidRDefault="00883D20" w:rsidP="00883D20">
      <w:pPr>
        <w:pStyle w:val="ListNormal"/>
        <w:tabs>
          <w:tab w:val="num" w:pos="879"/>
        </w:tabs>
      </w:pPr>
      <w:r>
        <w:t>a plan setting out how the licensee intends to Rebase its Baseline Network Risk Outputs, if Rebasing is a necessary consequence of implementing the proposed modification; and</w:t>
      </w:r>
    </w:p>
    <w:p w14:paraId="66983E5A" w14:textId="77777777" w:rsidR="00883D20" w:rsidRPr="004A18EE" w:rsidRDefault="00883D20" w:rsidP="00883D20">
      <w:pPr>
        <w:pStyle w:val="ListNormal"/>
        <w:tabs>
          <w:tab w:val="num" w:pos="879"/>
        </w:tabs>
      </w:pPr>
      <w:r>
        <w:t>a timetable for the implementation of the proposed modification, including a date for submission of Rebased Baseline Network Risk Outputs, if necessary.</w:t>
      </w:r>
    </w:p>
    <w:p w14:paraId="799CF9D4" w14:textId="5DEE7692" w:rsidR="00883D20" w:rsidRPr="004A18EE" w:rsidRDefault="00883D20" w:rsidP="00883D20">
      <w:pPr>
        <w:pStyle w:val="NumberedNormal"/>
      </w:pPr>
      <w:r>
        <w:t>The Authority will by direction:</w:t>
      </w:r>
    </w:p>
    <w:p w14:paraId="162932E1" w14:textId="75988338" w:rsidR="00883D20" w:rsidRPr="004A18EE" w:rsidRDefault="00883D20" w:rsidP="00883D20">
      <w:pPr>
        <w:pStyle w:val="ListNormal"/>
        <w:tabs>
          <w:tab w:val="num" w:pos="879"/>
        </w:tabs>
      </w:pPr>
      <w:r>
        <w:t xml:space="preserve">approve the proposed </w:t>
      </w:r>
      <w:proofErr w:type="gramStart"/>
      <w:r>
        <w:t>modification;</w:t>
      </w:r>
      <w:proofErr w:type="gramEnd"/>
      <w:r>
        <w:t xml:space="preserve"> </w:t>
      </w:r>
    </w:p>
    <w:p w14:paraId="459194C4" w14:textId="76EEE810" w:rsidR="00883D20" w:rsidRPr="004A18EE" w:rsidRDefault="00883D20" w:rsidP="00883D20">
      <w:pPr>
        <w:pStyle w:val="ListNormal"/>
        <w:tabs>
          <w:tab w:val="num" w:pos="879"/>
        </w:tabs>
      </w:pPr>
      <w:r>
        <w:t>approve the proposed modification with amendments; or</w:t>
      </w:r>
    </w:p>
    <w:p w14:paraId="7D04F16D" w14:textId="46499D3B" w:rsidR="00883D20" w:rsidRPr="004A18EE" w:rsidRDefault="00883D20" w:rsidP="00883D20">
      <w:pPr>
        <w:pStyle w:val="ListNormal"/>
        <w:tabs>
          <w:tab w:val="num" w:pos="879"/>
        </w:tabs>
      </w:pPr>
      <w:r>
        <w:t>reject the proposed modification.</w:t>
      </w:r>
    </w:p>
    <w:p w14:paraId="41AED4B7" w14:textId="5A580963" w:rsidR="00883D20" w:rsidRPr="004A18EE" w:rsidRDefault="00883D20" w:rsidP="00883D20">
      <w:pPr>
        <w:pStyle w:val="NumberedNormal"/>
      </w:pPr>
      <w:r>
        <w:t xml:space="preserve">In the case of paragraph 9.2.8(a) or (b) the Authority may also direct the date by which the licensee must submit Rebased Baseline Network Risk Outputs in accordance with </w:t>
      </w:r>
      <w:r w:rsidR="004D51E2">
        <w:t xml:space="preserve">Special Condition </w:t>
      </w:r>
      <w:r w:rsidR="00063212">
        <w:t xml:space="preserve">3.1 </w:t>
      </w:r>
      <w:r w:rsidR="004D51E2">
        <w:t>(</w:t>
      </w:r>
      <w:r>
        <w:t>Baseline Network Risk Output</w:t>
      </w:r>
      <w:r w:rsidR="004D51E2">
        <w:t>)</w:t>
      </w:r>
      <w:r>
        <w:t xml:space="preserve">.   </w:t>
      </w:r>
    </w:p>
    <w:p w14:paraId="6B233C88" w14:textId="033B4B0A" w:rsidR="00883D20" w:rsidRPr="004A18EE" w:rsidRDefault="00883D20" w:rsidP="00883D20">
      <w:pPr>
        <w:pStyle w:val="NumberedNormal"/>
      </w:pPr>
      <w:r>
        <w:t xml:space="preserve">The licensee must implement the modification directed under paragraph 9.2.8(a) or (b) by such date as may be set out in that direction.  </w:t>
      </w:r>
    </w:p>
    <w:p w14:paraId="41D61542" w14:textId="4E0C2C9D" w:rsidR="00883D20" w:rsidRPr="004A18EE" w:rsidRDefault="00883D20" w:rsidP="00883D20">
      <w:pPr>
        <w:pStyle w:val="NumberedNormal"/>
      </w:pPr>
      <w:r>
        <w:t xml:space="preserve">Before issuing a direction under paragraph 9.2.8, the Authority will publish on </w:t>
      </w:r>
      <w:r w:rsidR="00D9203B">
        <w:t>the Authority's Website</w:t>
      </w:r>
      <w:r>
        <w:t>:</w:t>
      </w:r>
    </w:p>
    <w:p w14:paraId="4CFA5586" w14:textId="77777777" w:rsidR="00883D20" w:rsidRPr="004A18EE" w:rsidRDefault="00883D20" w:rsidP="00883D20">
      <w:pPr>
        <w:pStyle w:val="ListNormal"/>
        <w:tabs>
          <w:tab w:val="num" w:pos="879"/>
        </w:tabs>
      </w:pPr>
      <w:r>
        <w:lastRenderedPageBreak/>
        <w:t xml:space="preserve">the text of the proposed </w:t>
      </w:r>
      <w:proofErr w:type="gramStart"/>
      <w:r>
        <w:t>direction;</w:t>
      </w:r>
      <w:proofErr w:type="gramEnd"/>
    </w:p>
    <w:p w14:paraId="3AAFD9A2" w14:textId="77777777" w:rsidR="00883D20" w:rsidRPr="004A18EE" w:rsidRDefault="00883D20" w:rsidP="00883D20">
      <w:pPr>
        <w:pStyle w:val="ListNormal"/>
        <w:tabs>
          <w:tab w:val="num" w:pos="879"/>
        </w:tabs>
      </w:pPr>
      <w:r>
        <w:t xml:space="preserve">the reasons why </w:t>
      </w:r>
      <w:proofErr w:type="gramStart"/>
      <w:r>
        <w:t>is</w:t>
      </w:r>
      <w:proofErr w:type="gramEnd"/>
      <w:r>
        <w:t xml:space="preserve"> proposes to issue the direction; and</w:t>
      </w:r>
    </w:p>
    <w:p w14:paraId="073D0188" w14:textId="3D5761C7" w:rsidR="00883D20" w:rsidRPr="004A18EE" w:rsidRDefault="00883D20" w:rsidP="00883D20">
      <w:pPr>
        <w:pStyle w:val="ListNormal"/>
        <w:tabs>
          <w:tab w:val="num" w:pos="879"/>
        </w:tabs>
      </w:pPr>
      <w:r>
        <w:t xml:space="preserve">a period during which representations may be made on the proposed direction, which </w:t>
      </w:r>
      <w:r w:rsidR="00A42B91">
        <w:t>will</w:t>
      </w:r>
      <w:r>
        <w:t xml:space="preserve"> not be less than 28 days.</w:t>
      </w:r>
    </w:p>
    <w:p w14:paraId="59997C92" w14:textId="1F4395E7" w:rsidR="00883D20" w:rsidRDefault="00883D20" w:rsidP="00883D20">
      <w:pPr>
        <w:pStyle w:val="Heading2"/>
      </w:pPr>
      <w:bookmarkStart w:id="258" w:name="_Toc51680415"/>
      <w:bookmarkStart w:id="259" w:name="_Toc51798335"/>
      <w:bookmarkStart w:id="260" w:name="_Toc52364941"/>
      <w:r>
        <w:t>Price Control Deliverable Reporting Requirements and Methodology Guidance</w:t>
      </w:r>
      <w:bookmarkEnd w:id="258"/>
      <w:bookmarkEnd w:id="259"/>
      <w:bookmarkEnd w:id="260"/>
    </w:p>
    <w:p w14:paraId="704CD017" w14:textId="77777777" w:rsidR="00883D20" w:rsidRPr="002E4290" w:rsidRDefault="00883D20" w:rsidP="00883D20">
      <w:pPr>
        <w:pStyle w:val="Heading3nonumbering"/>
      </w:pPr>
      <w:r w:rsidRPr="002E4290">
        <w:t xml:space="preserve">Introduction </w:t>
      </w:r>
    </w:p>
    <w:p w14:paraId="2B5365EC" w14:textId="09403415" w:rsidR="005A24F6" w:rsidRPr="005D22B7" w:rsidRDefault="005A24F6" w:rsidP="005A24F6">
      <w:pPr>
        <w:pStyle w:val="NumberedNormal"/>
      </w:pPr>
      <w:r w:rsidRPr="005D22B7">
        <w:t>Th</w:t>
      </w:r>
      <w:r>
        <w:t xml:space="preserve">e purpose of this </w:t>
      </w:r>
      <w:r w:rsidRPr="005D22B7">
        <w:t>condition</w:t>
      </w:r>
      <w:r>
        <w:t xml:space="preserve"> is to</w:t>
      </w:r>
      <w:r w:rsidRPr="005D22B7">
        <w:t xml:space="preserve"> require the licensee to report to the Authority on the delivery of its </w:t>
      </w:r>
      <w:r>
        <w:t>Evaluative PCDs</w:t>
      </w:r>
      <w:r w:rsidRPr="005D22B7">
        <w:t xml:space="preserve"> in each Regulatory Year.</w:t>
      </w:r>
    </w:p>
    <w:p w14:paraId="3979DD43" w14:textId="77777777" w:rsidR="005A24F6" w:rsidRDefault="005A24F6" w:rsidP="005A24F6">
      <w:pPr>
        <w:pStyle w:val="NumberedNormal"/>
      </w:pPr>
      <w:r w:rsidRPr="005D22B7">
        <w:t>This condition also provides for</w:t>
      </w:r>
      <w:r>
        <w:t>:</w:t>
      </w:r>
    </w:p>
    <w:p w14:paraId="132A149B" w14:textId="77777777" w:rsidR="005A24F6" w:rsidRPr="005D22B7" w:rsidRDefault="005A24F6" w:rsidP="005A24F6">
      <w:pPr>
        <w:pStyle w:val="ListNormal"/>
      </w:pPr>
      <w:r w:rsidRPr="005D22B7">
        <w:t>the issuing and amending of the PCD Reporting Requirements and Methodology Document, which</w:t>
      </w:r>
      <w:r>
        <w:t xml:space="preserve"> </w:t>
      </w:r>
      <w:r w:rsidRPr="005D22B7">
        <w:t>the licensee needs to comply with when preparing its annual Price Control Deliverable reports; and</w:t>
      </w:r>
    </w:p>
    <w:p w14:paraId="506539CD" w14:textId="77777777" w:rsidR="005A24F6" w:rsidRPr="005D22B7" w:rsidRDefault="005A24F6" w:rsidP="005A24F6">
      <w:pPr>
        <w:pStyle w:val="ListNormal"/>
      </w:pPr>
      <w:r>
        <w:t xml:space="preserve">this condition </w:t>
      </w:r>
      <w:r w:rsidRPr="005D22B7">
        <w:t>sets out how the Authority will assess the delivery of Price Control Deliverables.</w:t>
      </w:r>
    </w:p>
    <w:p w14:paraId="50D9C500" w14:textId="77777777" w:rsidR="00883D20" w:rsidRPr="002E4290" w:rsidRDefault="00883D20" w:rsidP="00883D20">
      <w:pPr>
        <w:pStyle w:val="Heading3"/>
      </w:pPr>
      <w:r>
        <w:t>Reporting requirement</w:t>
      </w:r>
    </w:p>
    <w:p w14:paraId="4D676E96" w14:textId="77777777" w:rsidR="00883D20" w:rsidRPr="002E4290" w:rsidRDefault="00883D20" w:rsidP="00883D20">
      <w:pPr>
        <w:pStyle w:val="NumberedNormal"/>
      </w:pPr>
      <w:r>
        <w:t>The licensee must by 31 July of each Regulatory Year, or such other later date directed by the Authority, send to the Authority a report on each Evaluative PCD output for which the delivery date specified in the relevant licence condition was in the previous Regulatory Year.</w:t>
      </w:r>
    </w:p>
    <w:p w14:paraId="140A4550" w14:textId="77777777" w:rsidR="00883D20" w:rsidRPr="002E4290" w:rsidRDefault="00883D20" w:rsidP="00883D20">
      <w:pPr>
        <w:pStyle w:val="Heading3"/>
      </w:pPr>
      <w:r>
        <w:t>PCD Reporting Requirements and Methodology Document</w:t>
      </w:r>
    </w:p>
    <w:p w14:paraId="6911D937" w14:textId="359F0D02" w:rsidR="00883D20" w:rsidRPr="002E4290" w:rsidRDefault="00883D20" w:rsidP="00883D20">
      <w:pPr>
        <w:pStyle w:val="NumberedNormal"/>
      </w:pPr>
      <w:r>
        <w:t xml:space="preserve">The licensee must comply with the PCD Reporting Requirements and Methodology Document when preparing a report required by paragraph </w:t>
      </w:r>
      <w:r w:rsidR="009C442C">
        <w:t>9.3</w:t>
      </w:r>
      <w:r>
        <w:t>.3.</w:t>
      </w:r>
    </w:p>
    <w:p w14:paraId="6CC6F3EF" w14:textId="77777777" w:rsidR="00883D20" w:rsidRPr="002E4290" w:rsidRDefault="00883D20" w:rsidP="00883D20">
      <w:pPr>
        <w:pStyle w:val="NumberedNormal"/>
      </w:pPr>
      <w:r>
        <w:t xml:space="preserve">The Authority will issue and amend PCD Reporting Requirements and Methodology Document by direction. </w:t>
      </w:r>
    </w:p>
    <w:p w14:paraId="278919AD" w14:textId="77777777" w:rsidR="00883D20" w:rsidRPr="002E4290" w:rsidRDefault="00883D20" w:rsidP="00883D20">
      <w:pPr>
        <w:pStyle w:val="NumberedNormal"/>
      </w:pPr>
      <w:r>
        <w:t>The Authority will publish PCD Reporting Requirements and Methodology Document on the Authority's Website.</w:t>
      </w:r>
    </w:p>
    <w:p w14:paraId="51AAD372" w14:textId="77777777" w:rsidR="00883D20" w:rsidRPr="002E4290" w:rsidRDefault="00883D20" w:rsidP="00883D20">
      <w:pPr>
        <w:pStyle w:val="NumberedNormal"/>
      </w:pPr>
      <w:r>
        <w:t>The PCD Reporting Requirements and Methodology Document will set out:</w:t>
      </w:r>
    </w:p>
    <w:p w14:paraId="217E8ED6" w14:textId="31C2D647" w:rsidR="00883D20" w:rsidRPr="002E4290" w:rsidRDefault="00883D20" w:rsidP="00883D20">
      <w:pPr>
        <w:pStyle w:val="ListNormal"/>
        <w:tabs>
          <w:tab w:val="num" w:pos="879"/>
        </w:tabs>
      </w:pPr>
      <w:r>
        <w:t xml:space="preserve">how the licensee must prepare the reports required by paragraph </w:t>
      </w:r>
      <w:proofErr w:type="gramStart"/>
      <w:r w:rsidR="009C442C">
        <w:t>9.3</w:t>
      </w:r>
      <w:r>
        <w:t>.3;</w:t>
      </w:r>
      <w:proofErr w:type="gramEnd"/>
    </w:p>
    <w:p w14:paraId="0F3A7A17" w14:textId="77777777" w:rsidR="00883D20" w:rsidRDefault="00883D20" w:rsidP="00883D20">
      <w:pPr>
        <w:pStyle w:val="ListNormal"/>
        <w:tabs>
          <w:tab w:val="num" w:pos="879"/>
        </w:tabs>
      </w:pPr>
      <w:r>
        <w:t>the methodology the Authority will use when deciding:</w:t>
      </w:r>
    </w:p>
    <w:p w14:paraId="516A8FBC" w14:textId="67F664D7" w:rsidR="00883D20" w:rsidRDefault="00883D20" w:rsidP="003F66DB">
      <w:pPr>
        <w:pStyle w:val="ListNormal"/>
        <w:numPr>
          <w:ilvl w:val="4"/>
          <w:numId w:val="4"/>
        </w:numPr>
      </w:pPr>
      <w:r w:rsidRPr="002E4290">
        <w:t>whether to direct a value to reduce allowances for Price Control Deliverables that have not been Fully Delivered</w:t>
      </w:r>
      <w:r>
        <w:t>;</w:t>
      </w:r>
      <w:r w:rsidRPr="002E4290">
        <w:t xml:space="preserve"> and </w:t>
      </w:r>
    </w:p>
    <w:p w14:paraId="0018EECD" w14:textId="77777777" w:rsidR="00883D20" w:rsidRPr="002E4290" w:rsidRDefault="00883D20" w:rsidP="003F66DB">
      <w:pPr>
        <w:pStyle w:val="ListNormal"/>
        <w:numPr>
          <w:ilvl w:val="4"/>
          <w:numId w:val="4"/>
        </w:numPr>
      </w:pPr>
      <w:r>
        <w:t xml:space="preserve"> the value to direct.</w:t>
      </w:r>
    </w:p>
    <w:p w14:paraId="578DD73C" w14:textId="77777777" w:rsidR="00883D20" w:rsidRPr="002E4290" w:rsidRDefault="00883D20" w:rsidP="00883D20">
      <w:pPr>
        <w:pStyle w:val="NumberedNormal"/>
      </w:pPr>
      <w:r>
        <w:t>Before issuing the PCD Reporting Requirements and Methodology Document by direction, the Authority will publish on the Authority's Website:</w:t>
      </w:r>
    </w:p>
    <w:p w14:paraId="7786EB71" w14:textId="5C38592A" w:rsidR="00883D20" w:rsidRPr="002E4290" w:rsidRDefault="00883D20" w:rsidP="00883D20">
      <w:pPr>
        <w:pStyle w:val="ListNormal"/>
        <w:tabs>
          <w:tab w:val="num" w:pos="879"/>
        </w:tabs>
      </w:pPr>
      <w:r>
        <w:lastRenderedPageBreak/>
        <w:t xml:space="preserve">the text of the proposed PCD Reporting Requirements and Methodology </w:t>
      </w:r>
      <w:proofErr w:type="gramStart"/>
      <w:r>
        <w:t>Document;</w:t>
      </w:r>
      <w:proofErr w:type="gramEnd"/>
    </w:p>
    <w:p w14:paraId="0E0342F1" w14:textId="77777777" w:rsidR="00883D20" w:rsidRPr="002E4290" w:rsidRDefault="00883D20" w:rsidP="00883D20">
      <w:pPr>
        <w:pStyle w:val="ListNormal"/>
        <w:tabs>
          <w:tab w:val="num" w:pos="879"/>
        </w:tabs>
      </w:pPr>
      <w:r>
        <w:t>the date on which the Authority intends the PCD Reporting Requirements and Methodology Document to come into effect; and</w:t>
      </w:r>
    </w:p>
    <w:p w14:paraId="2E2BD8D1" w14:textId="01FB7EE5" w:rsidR="00883D20" w:rsidRPr="002E4290" w:rsidRDefault="00883D20" w:rsidP="00883D20">
      <w:pPr>
        <w:pStyle w:val="ListNormal"/>
        <w:tabs>
          <w:tab w:val="num" w:pos="879"/>
        </w:tabs>
      </w:pPr>
      <w:r>
        <w:t xml:space="preserve">a period during which representations may be made on the content of the PCD Reporting Requirements and Methodology Document, which </w:t>
      </w:r>
      <w:r w:rsidR="00A42B91">
        <w:t>will</w:t>
      </w:r>
      <w:r>
        <w:t xml:space="preserve"> not be less than 28 days. </w:t>
      </w:r>
    </w:p>
    <w:p w14:paraId="6329856B" w14:textId="77777777" w:rsidR="00883D20" w:rsidRPr="002E4290" w:rsidRDefault="00883D20" w:rsidP="00883D20">
      <w:pPr>
        <w:pStyle w:val="NumberedNormal"/>
      </w:pPr>
      <w:r>
        <w:t>Before amending the PCD Reporting Requirements and Methodology Document by direction, the Authority will publish on the Authority's Website:</w:t>
      </w:r>
    </w:p>
    <w:p w14:paraId="4AF03C40" w14:textId="77777777" w:rsidR="00883D20" w:rsidRPr="002E4290" w:rsidRDefault="00883D20" w:rsidP="00883D20">
      <w:pPr>
        <w:pStyle w:val="ListNormal"/>
        <w:tabs>
          <w:tab w:val="num" w:pos="879"/>
        </w:tabs>
      </w:pPr>
      <w:r>
        <w:t xml:space="preserve">the text of the amended PCD Reporting Requirements and Methodology </w:t>
      </w:r>
      <w:proofErr w:type="gramStart"/>
      <w:r>
        <w:t>Document;</w:t>
      </w:r>
      <w:proofErr w:type="gramEnd"/>
      <w:r>
        <w:t xml:space="preserve"> </w:t>
      </w:r>
    </w:p>
    <w:p w14:paraId="7D44500B" w14:textId="77777777" w:rsidR="00883D20" w:rsidRPr="002E4290" w:rsidRDefault="00883D20" w:rsidP="00883D20">
      <w:pPr>
        <w:pStyle w:val="ListNormal"/>
        <w:tabs>
          <w:tab w:val="num" w:pos="879"/>
        </w:tabs>
      </w:pPr>
      <w:r>
        <w:t xml:space="preserve">the date on which the Authority intends the amended PCD Reporting Requirements and Methodology Document to come into </w:t>
      </w:r>
      <w:proofErr w:type="gramStart"/>
      <w:r>
        <w:t>effect;</w:t>
      </w:r>
      <w:proofErr w:type="gramEnd"/>
    </w:p>
    <w:p w14:paraId="40BFAC4F" w14:textId="77777777" w:rsidR="00883D20" w:rsidRPr="002E4290" w:rsidRDefault="00883D20" w:rsidP="00883D20">
      <w:pPr>
        <w:pStyle w:val="ListNormal"/>
        <w:tabs>
          <w:tab w:val="num" w:pos="879"/>
        </w:tabs>
      </w:pPr>
      <w:r>
        <w:t>the reasons for the amendments to the PCD Reporting Requirements and Methodology Document; and</w:t>
      </w:r>
    </w:p>
    <w:p w14:paraId="14422559" w14:textId="5A99164E" w:rsidR="00883D20" w:rsidRPr="002E4290" w:rsidRDefault="00883D20" w:rsidP="00883D20">
      <w:pPr>
        <w:pStyle w:val="ListNormal"/>
        <w:tabs>
          <w:tab w:val="num" w:pos="879"/>
        </w:tabs>
      </w:pPr>
      <w:r>
        <w:t xml:space="preserve">a period during which representations may be made on the amendments to the PCD Reporting Requirements and Methodology Document, which </w:t>
      </w:r>
      <w:r w:rsidR="00A42B91">
        <w:t>will</w:t>
      </w:r>
      <w:r>
        <w:t xml:space="preserve"> not be less than 28 days.</w:t>
      </w:r>
    </w:p>
    <w:p w14:paraId="2B39B1B9" w14:textId="77777777" w:rsidR="00883D20" w:rsidRDefault="00883D20" w:rsidP="00883D20">
      <w:pPr>
        <w:pStyle w:val="Heading2"/>
      </w:pPr>
      <w:bookmarkStart w:id="261" w:name="_Toc51680416"/>
      <w:bookmarkStart w:id="262" w:name="_Toc51798336"/>
      <w:bookmarkStart w:id="263" w:name="_Toc52364942"/>
      <w:r>
        <w:t>Re-opener Guidance and Application Requirements Document</w:t>
      </w:r>
      <w:bookmarkEnd w:id="261"/>
      <w:bookmarkEnd w:id="262"/>
      <w:bookmarkEnd w:id="263"/>
    </w:p>
    <w:p w14:paraId="5F63D6D4" w14:textId="77777777" w:rsidR="00883D20" w:rsidRPr="001557A6" w:rsidRDefault="00883D20" w:rsidP="00883D20">
      <w:pPr>
        <w:pStyle w:val="Heading3nonumbering"/>
      </w:pPr>
      <w:r w:rsidRPr="001557A6">
        <w:t xml:space="preserve">Introduction </w:t>
      </w:r>
    </w:p>
    <w:p w14:paraId="14356DF1" w14:textId="77777777" w:rsidR="00883D20" w:rsidRPr="001557A6" w:rsidRDefault="00883D20" w:rsidP="00883D20">
      <w:pPr>
        <w:pStyle w:val="NumberedNormal"/>
      </w:pPr>
      <w:r>
        <w:t>This condition requires the licensee to prepare applications for Re-openers in accordance with the Re-opener Guidance and Application Requirements Document.</w:t>
      </w:r>
    </w:p>
    <w:p w14:paraId="60C771BE" w14:textId="77777777" w:rsidR="00883D20" w:rsidRPr="001557A6" w:rsidRDefault="00883D20" w:rsidP="00883D20">
      <w:pPr>
        <w:pStyle w:val="NumberedNormal"/>
      </w:pPr>
      <w:r>
        <w:t>This condition also explains the process the Authority will follow in issuing and amending the Re-opener Guidance and Application Requirements Document.</w:t>
      </w:r>
    </w:p>
    <w:p w14:paraId="5E6372E5" w14:textId="77777777" w:rsidR="00883D20" w:rsidRPr="001557A6" w:rsidRDefault="00883D20" w:rsidP="00883D20">
      <w:pPr>
        <w:pStyle w:val="Heading3"/>
      </w:pPr>
      <w:r>
        <w:t>Requirement to comply with the Re-opener Guidance and Application Requirements Document</w:t>
      </w:r>
    </w:p>
    <w:p w14:paraId="283B921C" w14:textId="77777777" w:rsidR="00883D20" w:rsidRPr="001557A6" w:rsidRDefault="00883D20" w:rsidP="00883D20">
      <w:pPr>
        <w:pStyle w:val="NumberedNormal"/>
      </w:pPr>
      <w:r>
        <w:t>The licensee must prepare any applications for Re-openers in accordance with the Re-opener Guidance and Application Requirements Document.</w:t>
      </w:r>
    </w:p>
    <w:p w14:paraId="10610AA0" w14:textId="77777777" w:rsidR="00883D20" w:rsidRPr="001557A6" w:rsidRDefault="00883D20" w:rsidP="00883D20">
      <w:pPr>
        <w:pStyle w:val="Heading3"/>
      </w:pPr>
      <w:r>
        <w:t>Re-opener Guidance and Application Requirements Document</w:t>
      </w:r>
    </w:p>
    <w:p w14:paraId="75E1566B" w14:textId="77777777" w:rsidR="00883D20" w:rsidRPr="001557A6" w:rsidRDefault="00883D20" w:rsidP="00883D20">
      <w:pPr>
        <w:pStyle w:val="NumberedNormal"/>
      </w:pPr>
      <w:r>
        <w:t xml:space="preserve">The Authority will issue and amend the Re-opener Guidance and Application Requirements Document by direction. </w:t>
      </w:r>
    </w:p>
    <w:p w14:paraId="60BD2CD9" w14:textId="77777777" w:rsidR="00883D20" w:rsidRPr="001557A6" w:rsidRDefault="00883D20" w:rsidP="00883D20">
      <w:pPr>
        <w:pStyle w:val="NumberedNormal"/>
      </w:pPr>
      <w:r>
        <w:t>The Authority will publish the Re-opener Guidance and Application Requirements Document on the Authority's Website.</w:t>
      </w:r>
    </w:p>
    <w:p w14:paraId="546E62EA" w14:textId="77777777" w:rsidR="00883D20" w:rsidRPr="001557A6" w:rsidRDefault="00883D20" w:rsidP="00883D20">
      <w:pPr>
        <w:pStyle w:val="NumberedNormal"/>
      </w:pPr>
      <w:r>
        <w:lastRenderedPageBreak/>
        <w:t>The Re-opener Guidance and Application Requirements Document will set out how the licensee must prepare its applications for Re-openers, including the following:</w:t>
      </w:r>
    </w:p>
    <w:p w14:paraId="29D57BEF" w14:textId="77777777" w:rsidR="00883D20" w:rsidRPr="001557A6" w:rsidRDefault="00883D20" w:rsidP="00883D20">
      <w:pPr>
        <w:pStyle w:val="ListNormal"/>
        <w:tabs>
          <w:tab w:val="num" w:pos="879"/>
        </w:tabs>
      </w:pPr>
      <w:r>
        <w:t xml:space="preserve">the level of detail required in the </w:t>
      </w:r>
      <w:proofErr w:type="gramStart"/>
      <w:r>
        <w:t>application;</w:t>
      </w:r>
      <w:proofErr w:type="gramEnd"/>
    </w:p>
    <w:p w14:paraId="7E0039E4" w14:textId="77777777" w:rsidR="00883D20" w:rsidRPr="001557A6" w:rsidRDefault="00883D20" w:rsidP="00883D20">
      <w:pPr>
        <w:pStyle w:val="ListNormal"/>
        <w:tabs>
          <w:tab w:val="num" w:pos="879"/>
        </w:tabs>
      </w:pPr>
      <w:r>
        <w:t xml:space="preserve">any requirement to publish the </w:t>
      </w:r>
      <w:proofErr w:type="gramStart"/>
      <w:r>
        <w:t>application;</w:t>
      </w:r>
      <w:proofErr w:type="gramEnd"/>
    </w:p>
    <w:p w14:paraId="69B9D743" w14:textId="77777777" w:rsidR="00883D20" w:rsidRPr="001557A6" w:rsidRDefault="00883D20" w:rsidP="00883D20">
      <w:pPr>
        <w:pStyle w:val="ListNormal"/>
        <w:tabs>
          <w:tab w:val="num" w:pos="879"/>
        </w:tabs>
      </w:pPr>
      <w:r>
        <w:t>when it is appropriate to make redactions in published applications; and</w:t>
      </w:r>
    </w:p>
    <w:p w14:paraId="198413DD" w14:textId="77777777" w:rsidR="00883D20" w:rsidRPr="001557A6" w:rsidRDefault="00883D20" w:rsidP="00883D20">
      <w:pPr>
        <w:pStyle w:val="ListNormal"/>
        <w:tabs>
          <w:tab w:val="num" w:pos="879"/>
        </w:tabs>
      </w:pPr>
      <w:r>
        <w:t xml:space="preserve">any requirement for assurance. </w:t>
      </w:r>
    </w:p>
    <w:p w14:paraId="7AFAB5B0" w14:textId="77777777" w:rsidR="00883D20" w:rsidRPr="001557A6" w:rsidRDefault="00883D20" w:rsidP="00883D20">
      <w:pPr>
        <w:pStyle w:val="NumberedNormal"/>
      </w:pPr>
      <w:r>
        <w:t>Before issuing the Re-opener Guidance and Application Requirements Document by direction, the Authority will publish on the Authority's Website:</w:t>
      </w:r>
    </w:p>
    <w:p w14:paraId="7F1907CF" w14:textId="77777777" w:rsidR="00883D20" w:rsidRPr="001557A6" w:rsidRDefault="00883D20" w:rsidP="00883D20">
      <w:pPr>
        <w:pStyle w:val="ListNormal"/>
        <w:tabs>
          <w:tab w:val="num" w:pos="879"/>
        </w:tabs>
      </w:pPr>
      <w:r>
        <w:t xml:space="preserve">the text of the proposed the Re-opener Guidance and Application Requirements </w:t>
      </w:r>
      <w:proofErr w:type="gramStart"/>
      <w:r>
        <w:t>Document;</w:t>
      </w:r>
      <w:proofErr w:type="gramEnd"/>
    </w:p>
    <w:p w14:paraId="7E4D9F89" w14:textId="77777777" w:rsidR="00883D20" w:rsidRPr="001557A6" w:rsidRDefault="00883D20" w:rsidP="00883D20">
      <w:pPr>
        <w:pStyle w:val="ListNormal"/>
        <w:tabs>
          <w:tab w:val="num" w:pos="879"/>
        </w:tabs>
      </w:pPr>
      <w:r>
        <w:t>the date on which the Authority intends the Re-opener Guidance and Application Requirements Document to come into effect; and</w:t>
      </w:r>
    </w:p>
    <w:p w14:paraId="02EE370C" w14:textId="7578CD16" w:rsidR="00883D20" w:rsidRPr="001557A6" w:rsidRDefault="00883D20" w:rsidP="00883D20">
      <w:pPr>
        <w:pStyle w:val="ListNormal"/>
        <w:tabs>
          <w:tab w:val="num" w:pos="879"/>
        </w:tabs>
      </w:pPr>
      <w:r>
        <w:t xml:space="preserve">a period during which representations may be made on the content of the Re-opener Guidance and Application Requirements Document, which </w:t>
      </w:r>
      <w:r w:rsidR="00A42B91">
        <w:t>will</w:t>
      </w:r>
      <w:r>
        <w:t xml:space="preserve"> not be less than 28 days. </w:t>
      </w:r>
    </w:p>
    <w:p w14:paraId="07C2669C" w14:textId="77777777" w:rsidR="00883D20" w:rsidRPr="001557A6" w:rsidRDefault="00883D20" w:rsidP="00883D20">
      <w:pPr>
        <w:pStyle w:val="NumberedNormal"/>
      </w:pPr>
      <w:r>
        <w:t>Before amending the Re-opener Guidance and Application Requirements Document by direction, the Authority will publish on the Authority's Website:</w:t>
      </w:r>
    </w:p>
    <w:p w14:paraId="47E71856" w14:textId="77777777" w:rsidR="00883D20" w:rsidRPr="001557A6" w:rsidRDefault="00883D20" w:rsidP="00883D20">
      <w:pPr>
        <w:pStyle w:val="ListNormal"/>
        <w:tabs>
          <w:tab w:val="num" w:pos="879"/>
        </w:tabs>
      </w:pPr>
      <w:r>
        <w:t xml:space="preserve">the text of the amended the Re-opener Guidance and Application Requirements </w:t>
      </w:r>
      <w:proofErr w:type="gramStart"/>
      <w:r>
        <w:t>Document;</w:t>
      </w:r>
      <w:proofErr w:type="gramEnd"/>
    </w:p>
    <w:p w14:paraId="079D656A" w14:textId="77777777" w:rsidR="00883D20" w:rsidRPr="001557A6" w:rsidRDefault="00883D20" w:rsidP="00883D20">
      <w:pPr>
        <w:pStyle w:val="ListNormal"/>
        <w:tabs>
          <w:tab w:val="num" w:pos="879"/>
        </w:tabs>
      </w:pPr>
      <w:r>
        <w:t xml:space="preserve">the date on which the Authority intends the amended Re-opener Guidance and Application Requirements Document to come into </w:t>
      </w:r>
      <w:proofErr w:type="gramStart"/>
      <w:r>
        <w:t>effect;</w:t>
      </w:r>
      <w:proofErr w:type="gramEnd"/>
    </w:p>
    <w:p w14:paraId="3C485752" w14:textId="4517D952" w:rsidR="00883D20" w:rsidRPr="001557A6" w:rsidRDefault="00883D20" w:rsidP="00883D20">
      <w:pPr>
        <w:pStyle w:val="ListNormal"/>
        <w:tabs>
          <w:tab w:val="num" w:pos="879"/>
        </w:tabs>
      </w:pPr>
      <w:r>
        <w:t>the reasons for the amendments to the Re-opener Guidance and Application Requirements Document; and</w:t>
      </w:r>
    </w:p>
    <w:p w14:paraId="3E4AA707" w14:textId="02762974" w:rsidR="00883D20" w:rsidRPr="001557A6" w:rsidRDefault="00883D20" w:rsidP="00883D20">
      <w:pPr>
        <w:pStyle w:val="ListNormal"/>
        <w:tabs>
          <w:tab w:val="num" w:pos="879"/>
        </w:tabs>
      </w:pPr>
      <w:r>
        <w:t xml:space="preserve">a period during which representations may be made on the amendments to the Re-opener Guidance and Application Requirements Document, which </w:t>
      </w:r>
      <w:r w:rsidR="00A42B91">
        <w:t>will</w:t>
      </w:r>
      <w:r>
        <w:t xml:space="preserve"> not be less than 28 days.</w:t>
      </w:r>
    </w:p>
    <w:p w14:paraId="25D462A2" w14:textId="42F695DF" w:rsidR="002D330F" w:rsidRDefault="002D330F" w:rsidP="00FE5E1B">
      <w:pPr>
        <w:pStyle w:val="Heading2"/>
      </w:pPr>
      <w:bookmarkStart w:id="264" w:name="_Toc51798337"/>
      <w:bookmarkStart w:id="265" w:name="_Toc52364943"/>
      <w:r>
        <w:t>Digitalisation</w:t>
      </w:r>
      <w:bookmarkEnd w:id="254"/>
      <w:bookmarkEnd w:id="264"/>
      <w:bookmarkEnd w:id="265"/>
      <w:r>
        <w:t xml:space="preserve"> </w:t>
      </w:r>
    </w:p>
    <w:p w14:paraId="5C6D833F" w14:textId="77777777" w:rsidR="00982834" w:rsidRPr="00982834" w:rsidRDefault="00982834" w:rsidP="00A50444">
      <w:pPr>
        <w:pStyle w:val="Heading3nonumbering"/>
      </w:pPr>
      <w:r w:rsidRPr="00982834">
        <w:t xml:space="preserve">Introduction </w:t>
      </w:r>
    </w:p>
    <w:p w14:paraId="7050E70B" w14:textId="77777777" w:rsidR="00982834" w:rsidRPr="00982834" w:rsidRDefault="00982834" w:rsidP="00A50444">
      <w:pPr>
        <w:pStyle w:val="NumberedNormal"/>
      </w:pPr>
      <w:r w:rsidRPr="00982834">
        <w:t>The purpose of this condition is to set out the licensee's obligations to:</w:t>
      </w:r>
    </w:p>
    <w:p w14:paraId="6ABC850F" w14:textId="77777777" w:rsidR="00982834" w:rsidRPr="00982834" w:rsidRDefault="00982834" w:rsidP="00A50444">
      <w:pPr>
        <w:pStyle w:val="ListNormal"/>
      </w:pPr>
      <w:r w:rsidRPr="00982834">
        <w:t xml:space="preserve">have a Digitalisation </w:t>
      </w:r>
      <w:proofErr w:type="gramStart"/>
      <w:r w:rsidRPr="00982834">
        <w:t>Strategy;</w:t>
      </w:r>
      <w:proofErr w:type="gramEnd"/>
    </w:p>
    <w:p w14:paraId="5D497839" w14:textId="150EEF67" w:rsidR="00982834" w:rsidRPr="00982834" w:rsidRDefault="00982834" w:rsidP="00A50444">
      <w:pPr>
        <w:pStyle w:val="ListNormal"/>
      </w:pPr>
      <w:r w:rsidRPr="00982834">
        <w:t xml:space="preserve">have a Digitalisation </w:t>
      </w:r>
      <w:proofErr w:type="gramStart"/>
      <w:r w:rsidRPr="00982834">
        <w:t>Action Plan;</w:t>
      </w:r>
      <w:proofErr w:type="gramEnd"/>
    </w:p>
    <w:p w14:paraId="0392E844" w14:textId="77777777" w:rsidR="00A42B91" w:rsidRDefault="00982834" w:rsidP="00A50444">
      <w:pPr>
        <w:pStyle w:val="ListNormal"/>
      </w:pPr>
      <w:r w:rsidRPr="00982834">
        <w:t xml:space="preserve">update its Digitalisation Strategy and its Digitalisation Action Plan; and </w:t>
      </w:r>
    </w:p>
    <w:p w14:paraId="6696127F" w14:textId="278DBCDB" w:rsidR="00982834" w:rsidRPr="00982834" w:rsidRDefault="00982834" w:rsidP="00A50444">
      <w:pPr>
        <w:pStyle w:val="ListNormal"/>
      </w:pPr>
      <w:r w:rsidRPr="00982834">
        <w:t xml:space="preserve">take account of Data Best Practice Guidance. </w:t>
      </w:r>
    </w:p>
    <w:p w14:paraId="265092A4" w14:textId="77777777" w:rsidR="00982834" w:rsidRPr="00982834" w:rsidRDefault="00982834" w:rsidP="00A50444">
      <w:pPr>
        <w:pStyle w:val="NumberedNormal"/>
      </w:pPr>
      <w:r w:rsidRPr="00982834">
        <w:t>This condition also sets out the process the Authority will follow when issuing and amending DSAP Guidance and Data Best Practice Guidance.</w:t>
      </w:r>
    </w:p>
    <w:p w14:paraId="7C1664C2" w14:textId="46CCBF09" w:rsidR="00982834" w:rsidRPr="00982834" w:rsidRDefault="00982834" w:rsidP="00A50444">
      <w:pPr>
        <w:pStyle w:val="Heading3"/>
      </w:pPr>
      <w:r w:rsidRPr="00982834">
        <w:lastRenderedPageBreak/>
        <w:t xml:space="preserve">Requirements of the Digitalisation Strategy </w:t>
      </w:r>
    </w:p>
    <w:p w14:paraId="46FA502F" w14:textId="3A6576CC" w:rsidR="00982834" w:rsidRPr="00982834" w:rsidRDefault="00982834" w:rsidP="00A50444">
      <w:pPr>
        <w:pStyle w:val="NumberedNormal"/>
      </w:pPr>
      <w:r w:rsidRPr="00982834">
        <w:t xml:space="preserve">The licensee must publish its Digitalisation Strategy on, or before, </w:t>
      </w:r>
      <w:r w:rsidR="008C3E0D">
        <w:t>[</w:t>
      </w:r>
      <w:r w:rsidRPr="00982834">
        <w:t>XXXX</w:t>
      </w:r>
      <w:r w:rsidR="008C3E0D">
        <w:t>]</w:t>
      </w:r>
      <w:r w:rsidRPr="00982834">
        <w:t>.</w:t>
      </w:r>
    </w:p>
    <w:p w14:paraId="0BE30614" w14:textId="77777777" w:rsidR="00982834" w:rsidRPr="00982834" w:rsidRDefault="00982834" w:rsidP="00A50444">
      <w:pPr>
        <w:pStyle w:val="NumberedNormal"/>
      </w:pPr>
      <w:r w:rsidRPr="00982834">
        <w:t xml:space="preserve">The licensee must review the progress it has made against its Digitalisation Strategy, and update its Digitalisation Strategy, at intervals specified in the DSAP Guidance. </w:t>
      </w:r>
    </w:p>
    <w:p w14:paraId="1F6CE012" w14:textId="77777777" w:rsidR="00982834" w:rsidRPr="00982834" w:rsidRDefault="00982834" w:rsidP="00A50444">
      <w:pPr>
        <w:pStyle w:val="NumberedNormal"/>
      </w:pPr>
      <w:r w:rsidRPr="00982834">
        <w:t>The licensee must:</w:t>
      </w:r>
    </w:p>
    <w:p w14:paraId="2EDCCBDC" w14:textId="029D187D" w:rsidR="00982834" w:rsidRPr="00982834" w:rsidRDefault="00982834" w:rsidP="00A50444">
      <w:pPr>
        <w:pStyle w:val="ListNormal"/>
      </w:pPr>
      <w:r w:rsidRPr="00982834">
        <w:t xml:space="preserve">publish its Digitalisation Strategy, and </w:t>
      </w:r>
      <w:r w:rsidR="00A42B91">
        <w:t>updates</w:t>
      </w:r>
      <w:r w:rsidRPr="00982834">
        <w:t xml:space="preserve"> to its Digitalisation Strategy, on the licensee's website where they are readily accessible to the </w:t>
      </w:r>
      <w:proofErr w:type="gramStart"/>
      <w:r w:rsidRPr="00982834">
        <w:t>public;</w:t>
      </w:r>
      <w:proofErr w:type="gramEnd"/>
      <w:r w:rsidRPr="00982834">
        <w:t xml:space="preserve"> </w:t>
      </w:r>
    </w:p>
    <w:p w14:paraId="67858F09" w14:textId="77777777" w:rsidR="00982834" w:rsidRPr="00982834" w:rsidRDefault="00982834" w:rsidP="00A50444">
      <w:pPr>
        <w:pStyle w:val="ListNormal"/>
      </w:pPr>
      <w:r w:rsidRPr="00982834">
        <w:t xml:space="preserve">maintain an archive of all published versions of its Digitalisation Strategy on the licensee's website where they are readily accessible to the public; and </w:t>
      </w:r>
    </w:p>
    <w:p w14:paraId="09CD3D7D" w14:textId="552733FC" w:rsidR="00982834" w:rsidRPr="00982834" w:rsidRDefault="00982834" w:rsidP="00A50444">
      <w:pPr>
        <w:pStyle w:val="ListNormal"/>
      </w:pPr>
      <w:r w:rsidRPr="00982834">
        <w:t xml:space="preserve">notify the Authority of </w:t>
      </w:r>
      <w:r w:rsidR="00A42B91">
        <w:t xml:space="preserve">any </w:t>
      </w:r>
      <w:r w:rsidRPr="00982834">
        <w:t>update</w:t>
      </w:r>
      <w:r w:rsidR="00A42B91">
        <w:t>s</w:t>
      </w:r>
      <w:r w:rsidRPr="00982834">
        <w:t xml:space="preserve"> to the Digitalisation Strategy.</w:t>
      </w:r>
    </w:p>
    <w:p w14:paraId="5DBF32BE" w14:textId="1E262AD1" w:rsidR="00982834" w:rsidRPr="00982834" w:rsidRDefault="00982834" w:rsidP="00A50444">
      <w:pPr>
        <w:pStyle w:val="Heading3"/>
      </w:pPr>
      <w:r w:rsidRPr="00982834">
        <w:t>Requirements of the Digitalisation Action Plan</w:t>
      </w:r>
    </w:p>
    <w:p w14:paraId="30AC2AAF" w14:textId="36590FB1" w:rsidR="00982834" w:rsidRPr="00982834" w:rsidRDefault="00982834" w:rsidP="00A50444">
      <w:pPr>
        <w:pStyle w:val="NumberedNormal"/>
      </w:pPr>
      <w:r w:rsidRPr="00982834">
        <w:t xml:space="preserve">The licensee must publish its Digitalisation Action Plan on, or before, </w:t>
      </w:r>
      <w:r w:rsidR="008C3E0D">
        <w:t>[</w:t>
      </w:r>
      <w:r w:rsidRPr="00982834">
        <w:t>XXXX</w:t>
      </w:r>
      <w:r w:rsidR="008C3E0D">
        <w:t>]</w:t>
      </w:r>
      <w:r w:rsidRPr="00982834">
        <w:t>.</w:t>
      </w:r>
    </w:p>
    <w:p w14:paraId="5CFDB050" w14:textId="77777777" w:rsidR="00A42B91" w:rsidRDefault="00982834" w:rsidP="00A50444">
      <w:pPr>
        <w:pStyle w:val="NumberedNormal"/>
      </w:pPr>
      <w:r w:rsidRPr="00982834">
        <w:t xml:space="preserve">The licensee must review the progress it has made against and update its Digitalisation Action Plan at the intervals specified in the DSAP Guidance. </w:t>
      </w:r>
    </w:p>
    <w:p w14:paraId="57EE57BC" w14:textId="5C023D7C" w:rsidR="00982834" w:rsidRPr="00982834" w:rsidRDefault="00982834" w:rsidP="00A50444">
      <w:pPr>
        <w:pStyle w:val="NumberedNormal"/>
      </w:pPr>
      <w:r w:rsidRPr="00982834">
        <w:t>The licensee must:</w:t>
      </w:r>
    </w:p>
    <w:p w14:paraId="6DA8B12B" w14:textId="5FC11534" w:rsidR="00982834" w:rsidRPr="00982834" w:rsidRDefault="00982834" w:rsidP="00A50444">
      <w:pPr>
        <w:pStyle w:val="ListNormal"/>
      </w:pPr>
      <w:r w:rsidRPr="00982834">
        <w:t xml:space="preserve">publish its Digitalisation Action Plan, and </w:t>
      </w:r>
      <w:r w:rsidR="00D865A4">
        <w:t>each update</w:t>
      </w:r>
      <w:r w:rsidRPr="00982834">
        <w:t xml:space="preserve"> to its Digitalisation Action Plan, on the licensee's website where they are readily accessible to the </w:t>
      </w:r>
      <w:proofErr w:type="gramStart"/>
      <w:r w:rsidRPr="00982834">
        <w:t>public;</w:t>
      </w:r>
      <w:proofErr w:type="gramEnd"/>
    </w:p>
    <w:p w14:paraId="7BA1B1B5" w14:textId="77777777" w:rsidR="00982834" w:rsidRPr="00982834" w:rsidRDefault="00982834" w:rsidP="00A50444">
      <w:pPr>
        <w:pStyle w:val="ListNormal"/>
      </w:pPr>
      <w:r w:rsidRPr="00982834">
        <w:t>maintain an archive of all published versions of its Digitalisation Action Plan on the licensee's website where they are readily accessible to the public; and</w:t>
      </w:r>
    </w:p>
    <w:p w14:paraId="052B6CF6" w14:textId="412F79A8" w:rsidR="00982834" w:rsidRPr="00982834" w:rsidRDefault="00982834" w:rsidP="00A50444">
      <w:pPr>
        <w:pStyle w:val="ListNormal"/>
      </w:pPr>
      <w:r w:rsidRPr="00982834">
        <w:t xml:space="preserve">notify the Authority of </w:t>
      </w:r>
      <w:r w:rsidR="00A42B91">
        <w:t xml:space="preserve">any </w:t>
      </w:r>
      <w:r w:rsidRPr="00982834">
        <w:t>update</w:t>
      </w:r>
      <w:r w:rsidR="00A42B91">
        <w:t>s</w:t>
      </w:r>
      <w:r w:rsidRPr="00982834">
        <w:t xml:space="preserve"> to the Digitalisation Action Plan.</w:t>
      </w:r>
    </w:p>
    <w:p w14:paraId="082BDA1D" w14:textId="0DCF0C5F" w:rsidR="00982834" w:rsidRPr="00982834" w:rsidRDefault="00982834" w:rsidP="00A50444">
      <w:pPr>
        <w:pStyle w:val="Heading3"/>
      </w:pPr>
      <w:r w:rsidRPr="00982834">
        <w:t>DSAP Guidance.</w:t>
      </w:r>
    </w:p>
    <w:p w14:paraId="155B2E6E" w14:textId="77777777" w:rsidR="00982834" w:rsidRPr="00982834" w:rsidRDefault="00982834" w:rsidP="00A50444">
      <w:pPr>
        <w:pStyle w:val="NumberedNormal"/>
      </w:pPr>
      <w:r w:rsidRPr="00982834">
        <w:t>The licensee must comply with the DSAP Guidance when:</w:t>
      </w:r>
    </w:p>
    <w:p w14:paraId="6610E5A9" w14:textId="77777777" w:rsidR="00982834" w:rsidRPr="00982834" w:rsidRDefault="00982834" w:rsidP="00A50444">
      <w:pPr>
        <w:pStyle w:val="ListNormal"/>
      </w:pPr>
      <w:r w:rsidRPr="00982834">
        <w:t>preparing and updating its Digitalisation Strategy; and</w:t>
      </w:r>
    </w:p>
    <w:p w14:paraId="31476AF9" w14:textId="77777777" w:rsidR="00982834" w:rsidRPr="00982834" w:rsidRDefault="00982834" w:rsidP="00A50444">
      <w:pPr>
        <w:pStyle w:val="ListNormal"/>
      </w:pPr>
      <w:r w:rsidRPr="00982834">
        <w:t>preparing and updating its Digitalisation Action Plan.</w:t>
      </w:r>
    </w:p>
    <w:p w14:paraId="1BDF9F7C" w14:textId="77777777" w:rsidR="00982834" w:rsidRPr="00982834" w:rsidRDefault="00982834" w:rsidP="00A50444">
      <w:pPr>
        <w:pStyle w:val="NumberedNormal"/>
      </w:pPr>
      <w:r w:rsidRPr="00982834">
        <w:t xml:space="preserve">The Authority will issue and amend DSAP Guidance by direction. </w:t>
      </w:r>
    </w:p>
    <w:p w14:paraId="6CF62765" w14:textId="3616C38D" w:rsidR="00982834" w:rsidRPr="00982834" w:rsidRDefault="00982834" w:rsidP="00A50444">
      <w:pPr>
        <w:pStyle w:val="NumberedNormal"/>
      </w:pPr>
      <w:r w:rsidRPr="00982834">
        <w:t xml:space="preserve">The Authority will publish DSAP Guidance on the Authority's </w:t>
      </w:r>
      <w:r w:rsidR="00F051B7">
        <w:t>W</w:t>
      </w:r>
      <w:r w:rsidRPr="00982834">
        <w:t xml:space="preserve">ebsite. </w:t>
      </w:r>
    </w:p>
    <w:p w14:paraId="3A52353E" w14:textId="77777777" w:rsidR="00982834" w:rsidRPr="00982834" w:rsidRDefault="00982834" w:rsidP="00A50444">
      <w:pPr>
        <w:pStyle w:val="NumberedNormal"/>
      </w:pPr>
      <w:r w:rsidRPr="00982834">
        <w:t>The DSAP Guidance will make provision about:</w:t>
      </w:r>
    </w:p>
    <w:p w14:paraId="2414A963" w14:textId="77777777" w:rsidR="00B317CF" w:rsidRDefault="00982834" w:rsidP="00A50444">
      <w:pPr>
        <w:pStyle w:val="ListNormal"/>
      </w:pPr>
      <w:r w:rsidRPr="00982834">
        <w:t xml:space="preserve">how </w:t>
      </w:r>
      <w:r w:rsidR="00D865A4">
        <w:t xml:space="preserve">the </w:t>
      </w:r>
      <w:r w:rsidRPr="00982834">
        <w:t xml:space="preserve">licensee should work towards </w:t>
      </w:r>
      <w:proofErr w:type="gramStart"/>
      <w:r w:rsidRPr="00982834">
        <w:t>Digitalisation</w:t>
      </w:r>
      <w:r w:rsidR="00B317CF">
        <w:t>;</w:t>
      </w:r>
      <w:proofErr w:type="gramEnd"/>
    </w:p>
    <w:p w14:paraId="7ED1668F" w14:textId="0D5742AA" w:rsidR="00982834" w:rsidRPr="00982834" w:rsidRDefault="00B317CF" w:rsidP="00A50444">
      <w:pPr>
        <w:pStyle w:val="ListNormal"/>
      </w:pPr>
      <w:r w:rsidRPr="00B317CF">
        <w:t xml:space="preserve">how the licensee </w:t>
      </w:r>
      <w:r w:rsidR="00A42B91">
        <w:t>should</w:t>
      </w:r>
      <w:r w:rsidR="00A42B91" w:rsidRPr="00B317CF">
        <w:t xml:space="preserve"> </w:t>
      </w:r>
      <w:r w:rsidRPr="00B317CF">
        <w:t>set out in its</w:t>
      </w:r>
      <w:r w:rsidR="00982834" w:rsidRPr="00982834">
        <w:t xml:space="preserve"> Digitalisation Strategy and Action Plan </w:t>
      </w:r>
      <w:r w:rsidRPr="00B317CF">
        <w:t xml:space="preserve">how it </w:t>
      </w:r>
      <w:r w:rsidR="00982834" w:rsidRPr="00982834">
        <w:t xml:space="preserve">intends to use Energy System Data to generate </w:t>
      </w:r>
      <w:r>
        <w:t>benefits</w:t>
      </w:r>
      <w:r w:rsidR="00982834" w:rsidRPr="00982834">
        <w:t xml:space="preserve"> for </w:t>
      </w:r>
      <w:r w:rsidRPr="00B317CF">
        <w:t>consumer</w:t>
      </w:r>
      <w:r>
        <w:t>s</w:t>
      </w:r>
      <w:r w:rsidR="00982834" w:rsidRPr="00982834">
        <w:t xml:space="preserve"> and stakeholders and the specific actions it will take to achieve that </w:t>
      </w:r>
      <w:proofErr w:type="gramStart"/>
      <w:r w:rsidR="00982834" w:rsidRPr="00982834">
        <w:t>outcome</w:t>
      </w:r>
      <w:r>
        <w:t>;</w:t>
      </w:r>
      <w:proofErr w:type="gramEnd"/>
    </w:p>
    <w:p w14:paraId="42587063" w14:textId="0FF9880C" w:rsidR="00982834" w:rsidRPr="00982834" w:rsidRDefault="00B317CF" w:rsidP="00A50444">
      <w:pPr>
        <w:pStyle w:val="ListNormal"/>
      </w:pPr>
      <w:r>
        <w:lastRenderedPageBreak/>
        <w:t xml:space="preserve">the </w:t>
      </w:r>
      <w:r w:rsidR="00982834" w:rsidRPr="00982834">
        <w:t>form and content of the Digitalisation Strategy and the Digitalisation Action Plan, including:</w:t>
      </w:r>
    </w:p>
    <w:p w14:paraId="55DC6A4B" w14:textId="77777777" w:rsidR="00982834" w:rsidRPr="00982834" w:rsidRDefault="00982834" w:rsidP="00AB1D80">
      <w:pPr>
        <w:pStyle w:val="ListNormal"/>
        <w:numPr>
          <w:ilvl w:val="4"/>
          <w:numId w:val="8"/>
        </w:numPr>
      </w:pPr>
      <w:r w:rsidRPr="00982834">
        <w:t xml:space="preserve">the structure, content and level of detail of </w:t>
      </w:r>
      <w:proofErr w:type="gramStart"/>
      <w:r w:rsidRPr="00982834">
        <w:t>each;</w:t>
      </w:r>
      <w:proofErr w:type="gramEnd"/>
    </w:p>
    <w:p w14:paraId="03E6A168" w14:textId="77777777" w:rsidR="00982834" w:rsidRPr="00982834" w:rsidRDefault="00982834" w:rsidP="00AB1D80">
      <w:pPr>
        <w:pStyle w:val="ListNormal"/>
        <w:numPr>
          <w:ilvl w:val="4"/>
          <w:numId w:val="8"/>
        </w:numPr>
      </w:pPr>
      <w:r w:rsidRPr="00982834">
        <w:t>the types of activities that should be covered in each; and</w:t>
      </w:r>
    </w:p>
    <w:p w14:paraId="41CAC44F" w14:textId="704AA170" w:rsidR="00982834" w:rsidRPr="00982834" w:rsidRDefault="00982834" w:rsidP="00AB1D80">
      <w:pPr>
        <w:pStyle w:val="ListNormal"/>
        <w:numPr>
          <w:ilvl w:val="4"/>
          <w:numId w:val="8"/>
        </w:numPr>
      </w:pPr>
      <w:r w:rsidRPr="00982834">
        <w:t>any required information associated with those activities;</w:t>
      </w:r>
      <w:r w:rsidR="00B317CF">
        <w:t xml:space="preserve"> and</w:t>
      </w:r>
    </w:p>
    <w:p w14:paraId="1AD9E703" w14:textId="77777777" w:rsidR="00982834" w:rsidRPr="00982834" w:rsidRDefault="00982834" w:rsidP="00A50444">
      <w:pPr>
        <w:pStyle w:val="ListNormal"/>
      </w:pPr>
      <w:r w:rsidRPr="00982834">
        <w:t>the engagement the licensee is required to undertake with stakeholders to help inform the development of its Digitalisation Strategy and its Digitalisation Action Plan.</w:t>
      </w:r>
    </w:p>
    <w:p w14:paraId="34AC859E" w14:textId="6648719A" w:rsidR="00982834" w:rsidRPr="00982834" w:rsidRDefault="00982834" w:rsidP="00A50444">
      <w:pPr>
        <w:pStyle w:val="Heading3"/>
      </w:pPr>
      <w:r w:rsidRPr="00982834">
        <w:t xml:space="preserve">Requirement to employ Data Best Practice </w:t>
      </w:r>
    </w:p>
    <w:p w14:paraId="598ED8FC" w14:textId="7C9591C3" w:rsidR="00982834" w:rsidRPr="00982834" w:rsidRDefault="00A42B91" w:rsidP="00A50444">
      <w:pPr>
        <w:pStyle w:val="NumberedNormal"/>
      </w:pPr>
      <w:r>
        <w:t>The licensee must, w</w:t>
      </w:r>
      <w:r w:rsidR="009427C0">
        <w:t xml:space="preserve">hen </w:t>
      </w:r>
      <w:r w:rsidR="00D865A4">
        <w:t>conducting work that involves working with or making decisions about the use of</w:t>
      </w:r>
      <w:r w:rsidR="00982834" w:rsidRPr="00982834">
        <w:t xml:space="preserve"> Energy System Data</w:t>
      </w:r>
      <w:r w:rsidR="009427C0">
        <w:t xml:space="preserve">, </w:t>
      </w:r>
      <w:r w:rsidR="007035C3">
        <w:t xml:space="preserve">use </w:t>
      </w:r>
      <w:r>
        <w:t>its</w:t>
      </w:r>
      <w:r w:rsidRPr="00982834">
        <w:t xml:space="preserve"> </w:t>
      </w:r>
      <w:r w:rsidR="00982834" w:rsidRPr="00982834">
        <w:t xml:space="preserve">best endeavours to act in </w:t>
      </w:r>
      <w:r w:rsidR="00982834" w:rsidRPr="00A50444">
        <w:t>accordance</w:t>
      </w:r>
      <w:r w:rsidR="00982834" w:rsidRPr="00982834">
        <w:t xml:space="preserve"> with Data Best Practice Guidance. </w:t>
      </w:r>
    </w:p>
    <w:p w14:paraId="58272C8A" w14:textId="77777777" w:rsidR="00982834" w:rsidRPr="00982834" w:rsidRDefault="00982834" w:rsidP="00A50444">
      <w:pPr>
        <w:pStyle w:val="NumberedNormal"/>
      </w:pPr>
      <w:r w:rsidRPr="00982834">
        <w:t xml:space="preserve">The Authority will issue and amend Data Best Practice Guidance by direction. </w:t>
      </w:r>
    </w:p>
    <w:p w14:paraId="71E480AC" w14:textId="08F8663F" w:rsidR="00982834" w:rsidRPr="00982834" w:rsidRDefault="00982834" w:rsidP="00AB1D80">
      <w:pPr>
        <w:pStyle w:val="NumberedNormal"/>
      </w:pPr>
      <w:r w:rsidRPr="00982834">
        <w:t xml:space="preserve">The Authority will publish Data Best Practice Guidance on the Authority's </w:t>
      </w:r>
      <w:r w:rsidR="00A42B91">
        <w:t>W</w:t>
      </w:r>
      <w:r w:rsidRPr="00982834">
        <w:t>ebsite.</w:t>
      </w:r>
    </w:p>
    <w:p w14:paraId="66293ED1" w14:textId="3C773D74" w:rsidR="00982834" w:rsidRPr="00982834" w:rsidRDefault="00982834" w:rsidP="00A50444">
      <w:pPr>
        <w:pStyle w:val="NumberedNormal"/>
      </w:pPr>
      <w:r w:rsidRPr="00982834">
        <w:t xml:space="preserve">The Data Best Practice Guidance will make provision about how the Authority expects the licensee to </w:t>
      </w:r>
      <w:r w:rsidR="00B317CF">
        <w:t>comply with</w:t>
      </w:r>
      <w:r w:rsidRPr="00982834">
        <w:t xml:space="preserve"> Data Best Practice </w:t>
      </w:r>
      <w:r w:rsidR="00A42B91">
        <w:t>to</w:t>
      </w:r>
      <w:r w:rsidRPr="00982834">
        <w:t xml:space="preserve"> generate </w:t>
      </w:r>
      <w:r w:rsidR="00730EE3">
        <w:t>benefits</w:t>
      </w:r>
      <w:r w:rsidRPr="00982834">
        <w:t xml:space="preserve"> for consumers and stakeholders, including but not limited to ensuring services </w:t>
      </w:r>
      <w:r w:rsidR="00B317CF">
        <w:t xml:space="preserve">that involve Energy System Data </w:t>
      </w:r>
      <w:r w:rsidRPr="00982834">
        <w:t xml:space="preserve">are designed to meet the needs of </w:t>
      </w:r>
      <w:r w:rsidR="00B317CF">
        <w:t xml:space="preserve">consumers and those who directly use </w:t>
      </w:r>
      <w:r w:rsidRPr="00982834">
        <w:t>the service</w:t>
      </w:r>
      <w:r w:rsidR="00B317CF">
        <w:t>s</w:t>
      </w:r>
      <w:r w:rsidRPr="00982834">
        <w:t>.</w:t>
      </w:r>
    </w:p>
    <w:p w14:paraId="575BCD56" w14:textId="03C4A8F8" w:rsidR="00982834" w:rsidRPr="00982834" w:rsidRDefault="00A50444" w:rsidP="00A50444">
      <w:pPr>
        <w:pStyle w:val="Heading3"/>
      </w:pPr>
      <w:r>
        <w:t>P</w:t>
      </w:r>
      <w:r w:rsidR="00982834" w:rsidRPr="00982834">
        <w:t xml:space="preserve">rocess for issuing and amending guidance </w:t>
      </w:r>
    </w:p>
    <w:p w14:paraId="77E14E48" w14:textId="77777777" w:rsidR="00982834" w:rsidRPr="00982834" w:rsidRDefault="00982834" w:rsidP="00A50444">
      <w:pPr>
        <w:pStyle w:val="NumberedNormal"/>
      </w:pPr>
      <w:r w:rsidRPr="00982834">
        <w:t>Before issuing DSAP Guidance or Data Best Practice Guidance by direction, the Authority will publish on the Authority's Website:</w:t>
      </w:r>
    </w:p>
    <w:p w14:paraId="19850B88" w14:textId="2800FBED" w:rsidR="00982834" w:rsidRPr="00982834" w:rsidRDefault="00982834" w:rsidP="00A50444">
      <w:pPr>
        <w:pStyle w:val="ListNormal"/>
      </w:pPr>
      <w:r w:rsidRPr="00982834">
        <w:t xml:space="preserve">the text of the proposed </w:t>
      </w:r>
      <w:proofErr w:type="gramStart"/>
      <w:r w:rsidRPr="00982834">
        <w:t>guidance;</w:t>
      </w:r>
      <w:proofErr w:type="gramEnd"/>
    </w:p>
    <w:p w14:paraId="20181F20" w14:textId="4FEA45A3" w:rsidR="00982834" w:rsidRPr="00982834" w:rsidRDefault="00982834" w:rsidP="00A50444">
      <w:pPr>
        <w:pStyle w:val="ListNormal"/>
      </w:pPr>
      <w:r w:rsidRPr="00982834">
        <w:t>the date</w:t>
      </w:r>
      <w:r w:rsidR="00A42B91">
        <w:t xml:space="preserve"> on which</w:t>
      </w:r>
      <w:r w:rsidRPr="00982834">
        <w:t xml:space="preserve"> the Authority intends the guidance to come into effect; and</w:t>
      </w:r>
    </w:p>
    <w:p w14:paraId="11617EE5" w14:textId="77777777" w:rsidR="00A42B91" w:rsidRPr="00A42B91" w:rsidRDefault="00A42B91" w:rsidP="00A42B91">
      <w:pPr>
        <w:pStyle w:val="ListNormal"/>
        <w:tabs>
          <w:tab w:val="num" w:pos="879"/>
        </w:tabs>
      </w:pPr>
      <w:r w:rsidRPr="00A42B91">
        <w:t xml:space="preserve">a period during which representations may be made on the content of the guidance, which will not be less than 28 days. </w:t>
      </w:r>
    </w:p>
    <w:p w14:paraId="2C4A0EEC" w14:textId="77777777" w:rsidR="00982834" w:rsidRPr="00982834" w:rsidRDefault="00982834" w:rsidP="00A50444">
      <w:pPr>
        <w:pStyle w:val="NumberedNormal"/>
      </w:pPr>
      <w:r w:rsidRPr="00982834">
        <w:t>Before amending DSAP Guidance or Data Best Practice Guidance by direction, the Authority will publish on the Authority's Website:</w:t>
      </w:r>
    </w:p>
    <w:p w14:paraId="302B2D6E" w14:textId="07880705" w:rsidR="00982834" w:rsidRPr="00982834" w:rsidRDefault="00982834" w:rsidP="00A50444">
      <w:pPr>
        <w:pStyle w:val="ListNormal"/>
      </w:pPr>
      <w:r w:rsidRPr="00982834">
        <w:t xml:space="preserve">the text of the amended </w:t>
      </w:r>
      <w:proofErr w:type="gramStart"/>
      <w:r w:rsidRPr="00982834">
        <w:t>guidance;</w:t>
      </w:r>
      <w:proofErr w:type="gramEnd"/>
    </w:p>
    <w:p w14:paraId="037AA98F" w14:textId="70605249" w:rsidR="00982834" w:rsidRPr="00982834" w:rsidRDefault="00982834" w:rsidP="00A50444">
      <w:pPr>
        <w:pStyle w:val="ListNormal"/>
      </w:pPr>
      <w:r w:rsidRPr="00982834">
        <w:t xml:space="preserve">the date </w:t>
      </w:r>
      <w:r w:rsidR="00A42B91">
        <w:t xml:space="preserve">on which </w:t>
      </w:r>
      <w:r w:rsidRPr="00982834">
        <w:t xml:space="preserve">the Authority intends the amended guidance to come into </w:t>
      </w:r>
      <w:proofErr w:type="gramStart"/>
      <w:r w:rsidRPr="00982834">
        <w:t>effect;</w:t>
      </w:r>
      <w:proofErr w:type="gramEnd"/>
    </w:p>
    <w:p w14:paraId="13C78933" w14:textId="65259786" w:rsidR="00982834" w:rsidRPr="00982834" w:rsidRDefault="00982834" w:rsidP="00A50444">
      <w:pPr>
        <w:pStyle w:val="ListNormal"/>
      </w:pPr>
      <w:r w:rsidRPr="00982834">
        <w:t>the reasons for the amendments to the guidance; and</w:t>
      </w:r>
    </w:p>
    <w:p w14:paraId="68E7307B" w14:textId="74B1F8B5" w:rsidR="00982834" w:rsidRPr="00982834" w:rsidRDefault="00A42B91" w:rsidP="00A50444">
      <w:pPr>
        <w:pStyle w:val="ListNormal"/>
      </w:pPr>
      <w:r>
        <w:t>a period during</w:t>
      </w:r>
      <w:r w:rsidR="00982834" w:rsidRPr="00982834">
        <w:t xml:space="preserve"> which representations may be made on the amendments to the guidance, which will not be less than 28 days.</w:t>
      </w:r>
    </w:p>
    <w:p w14:paraId="580450C8" w14:textId="677E5DA0" w:rsidR="002D330F" w:rsidRDefault="002D330F" w:rsidP="00FE5E1B">
      <w:pPr>
        <w:pStyle w:val="Heading2"/>
      </w:pPr>
      <w:bookmarkStart w:id="266" w:name="_Toc51798338"/>
      <w:bookmarkStart w:id="267" w:name="_Toc51319662"/>
      <w:bookmarkStart w:id="268" w:name="_Toc52364944"/>
      <w:r>
        <w:lastRenderedPageBreak/>
        <w:t>Disapplication of Relevant Special Conditions</w:t>
      </w:r>
      <w:bookmarkEnd w:id="266"/>
      <w:bookmarkEnd w:id="267"/>
      <w:bookmarkEnd w:id="268"/>
    </w:p>
    <w:p w14:paraId="4C67079E" w14:textId="2C0E73FB" w:rsidR="00A50444" w:rsidRPr="003F66DB" w:rsidRDefault="007035C3" w:rsidP="00A50444">
      <w:pPr>
        <w:pStyle w:val="NumberedNormal"/>
        <w:rPr>
          <w:i/>
          <w:iCs/>
        </w:rPr>
      </w:pPr>
      <w:r>
        <w:rPr>
          <w:i/>
          <w:iCs/>
        </w:rPr>
        <w:t>[</w:t>
      </w:r>
      <w:r w:rsidR="00A50444" w:rsidRPr="003F66DB">
        <w:rPr>
          <w:i/>
          <w:iCs/>
        </w:rPr>
        <w:t>This condition is not being included as part of this consultation</w:t>
      </w:r>
      <w:r>
        <w:rPr>
          <w:i/>
          <w:iCs/>
        </w:rPr>
        <w:t>]</w:t>
      </w:r>
    </w:p>
    <w:p w14:paraId="4ACC5D4E" w14:textId="1DB0409F" w:rsidR="002D330F" w:rsidRDefault="002D330F" w:rsidP="00FE5E1B">
      <w:pPr>
        <w:pStyle w:val="Heading2"/>
      </w:pPr>
      <w:bookmarkStart w:id="269" w:name="_Toc51319663"/>
      <w:bookmarkStart w:id="270" w:name="_Toc51798339"/>
      <w:bookmarkStart w:id="271" w:name="_Toc52364945"/>
      <w:r>
        <w:t>Directly Remunerated Services</w:t>
      </w:r>
      <w:bookmarkEnd w:id="269"/>
      <w:bookmarkEnd w:id="270"/>
      <w:bookmarkEnd w:id="271"/>
    </w:p>
    <w:p w14:paraId="17AB3538" w14:textId="11A6DDEF" w:rsidR="00A47DF6" w:rsidRPr="00A47DF6" w:rsidRDefault="00A47DF6" w:rsidP="00A50444">
      <w:pPr>
        <w:pStyle w:val="Heading3nonumbering"/>
      </w:pPr>
      <w:r w:rsidRPr="00A47DF6">
        <w:t xml:space="preserve">Introduction </w:t>
      </w:r>
    </w:p>
    <w:p w14:paraId="1E2569E8" w14:textId="0E70F9A5" w:rsidR="00A47DF6" w:rsidRPr="00A47DF6" w:rsidRDefault="00A47DF6" w:rsidP="007E6D46">
      <w:pPr>
        <w:pStyle w:val="NumberedNormal"/>
      </w:pPr>
      <w:r w:rsidRPr="00A47DF6">
        <w:t xml:space="preserve">The purpose of this condition is to set out the basis on which services provided by the licensee will be treated as Directly Remunerated Services under the </w:t>
      </w:r>
      <w:r w:rsidR="00AF135B">
        <w:t>s</w:t>
      </w:r>
      <w:r w:rsidRPr="00A47DF6">
        <w:t xml:space="preserve">pecial </w:t>
      </w:r>
      <w:r w:rsidR="00AF135B">
        <w:t>c</w:t>
      </w:r>
      <w:r w:rsidRPr="00A47DF6">
        <w:t>onditions.</w:t>
      </w:r>
    </w:p>
    <w:p w14:paraId="1C5CA47A" w14:textId="34B527ED" w:rsidR="00A47DF6" w:rsidRPr="00A47DF6" w:rsidRDefault="00A47DF6" w:rsidP="007E6D46">
      <w:pPr>
        <w:pStyle w:val="NumberedNormal"/>
      </w:pPr>
      <w:r w:rsidRPr="00A47DF6">
        <w:t xml:space="preserve">The effect of this condition is that revenue derived by the licensee from the provision of Directly Remunerated Services is excluded from the calculation of the Allowed Revenue formula. </w:t>
      </w:r>
    </w:p>
    <w:p w14:paraId="291EA2D4" w14:textId="24F8C0D7" w:rsidR="00A47DF6" w:rsidRPr="00A47DF6" w:rsidRDefault="00A47DF6" w:rsidP="007E6D46">
      <w:pPr>
        <w:pStyle w:val="NumberedNormal"/>
      </w:pPr>
      <w:r w:rsidRPr="00A47DF6">
        <w:t>This condition also explains the process that the Authority will follow when directing that services provided by the licensee should be treated, or should not be treated, as Directly Remunerated Services.</w:t>
      </w:r>
    </w:p>
    <w:p w14:paraId="41CB5DD6" w14:textId="03123A6E" w:rsidR="00A47DF6" w:rsidRPr="00A47DF6" w:rsidRDefault="00A47DF6" w:rsidP="00A50444">
      <w:pPr>
        <w:pStyle w:val="Heading3"/>
      </w:pPr>
      <w:r w:rsidRPr="00A47DF6">
        <w:t>Licensee's obligation to exclude Directly Remunerated Services</w:t>
      </w:r>
    </w:p>
    <w:p w14:paraId="564C570C" w14:textId="5C84ACB2" w:rsidR="00A47DF6" w:rsidRPr="00A47DF6" w:rsidRDefault="00A47DF6" w:rsidP="007E6D46">
      <w:pPr>
        <w:pStyle w:val="NumberedNormal"/>
      </w:pPr>
      <w:r w:rsidRPr="00A47DF6">
        <w:t>The licensee must exclude revenue derived from Directly Remunerated Services from Allowed Revenue.</w:t>
      </w:r>
    </w:p>
    <w:p w14:paraId="6B40541F" w14:textId="77777777" w:rsidR="00276412" w:rsidRDefault="00276412" w:rsidP="00276412">
      <w:pPr>
        <w:pStyle w:val="NumberedNormal"/>
      </w:pPr>
      <w:r>
        <w:t xml:space="preserve">Directly Remunerated Services are:  </w:t>
      </w:r>
    </w:p>
    <w:p w14:paraId="1DE8128A" w14:textId="77777777" w:rsidR="00276412" w:rsidRDefault="00276412" w:rsidP="00276412">
      <w:pPr>
        <w:pStyle w:val="ListNormal"/>
      </w:pPr>
      <w:r>
        <w:t xml:space="preserve">services that comply with the general principle set out in Part </w:t>
      </w:r>
      <w:proofErr w:type="gramStart"/>
      <w:r>
        <w:t>B;</w:t>
      </w:r>
      <w:proofErr w:type="gramEnd"/>
      <w:r>
        <w:t xml:space="preserve"> </w:t>
      </w:r>
    </w:p>
    <w:p w14:paraId="6B1BF38C" w14:textId="77777777" w:rsidR="00276412" w:rsidRDefault="00276412" w:rsidP="00276412">
      <w:pPr>
        <w:pStyle w:val="ListNormal"/>
      </w:pPr>
      <w:r>
        <w:t xml:space="preserve">the services listed in Part C to the extent that they comply with the general principle in Part </w:t>
      </w:r>
      <w:proofErr w:type="gramStart"/>
      <w:r>
        <w:t>B;</w:t>
      </w:r>
      <w:proofErr w:type="gramEnd"/>
      <w:r>
        <w:t xml:space="preserve"> </w:t>
      </w:r>
    </w:p>
    <w:p w14:paraId="2A5B43A3" w14:textId="77777777" w:rsidR="00276412" w:rsidRDefault="00276412" w:rsidP="00276412">
      <w:pPr>
        <w:pStyle w:val="ListNormal"/>
      </w:pPr>
      <w:r>
        <w:t>services that the Authority directs are to be treated as Directly Remunerated Services</w:t>
      </w:r>
    </w:p>
    <w:p w14:paraId="0A3E8EC6" w14:textId="77777777" w:rsidR="00276412" w:rsidRDefault="00276412" w:rsidP="00276412">
      <w:pPr>
        <w:pStyle w:val="NumberedNormal"/>
      </w:pPr>
      <w:r w:rsidRPr="000B07EF">
        <w:t>Services</w:t>
      </w:r>
      <w:r>
        <w:t xml:space="preserve"> are not to be treated as Directly Remunerated Services if the Authority so directs. </w:t>
      </w:r>
    </w:p>
    <w:p w14:paraId="43ABA033" w14:textId="507A8180" w:rsidR="00A141A9" w:rsidRDefault="00A47DF6" w:rsidP="008C3E0D">
      <w:pPr>
        <w:pStyle w:val="Heading3"/>
      </w:pPr>
      <w:r w:rsidRPr="00A47DF6">
        <w:t>Statement of General Principle</w:t>
      </w:r>
    </w:p>
    <w:p w14:paraId="524FD53F" w14:textId="325FAE40" w:rsidR="00A47DF6" w:rsidRPr="00A47DF6" w:rsidRDefault="00C97C33" w:rsidP="007E6D46">
      <w:pPr>
        <w:pStyle w:val="NumberedNormal"/>
      </w:pPr>
      <w:r w:rsidRPr="00203DB0">
        <w:t xml:space="preserve">The General Principle </w:t>
      </w:r>
      <w:r w:rsidR="00A47DF6" w:rsidRPr="00A47DF6">
        <w:t xml:space="preserve">is that a service provided by the licensee as part of its </w:t>
      </w:r>
      <w:r w:rsidR="00FE2183">
        <w:t>Licensed</w:t>
      </w:r>
      <w:r w:rsidR="00A47DF6" w:rsidRPr="00A47DF6">
        <w:t xml:space="preserve"> Activities is to be treated as a Directly Remunerated Service if and to the extent that the service is not already remunerated under any of the charges listed in paragraph </w:t>
      </w:r>
      <w:r w:rsidR="007035C3">
        <w:t>9.7</w:t>
      </w:r>
      <w:r w:rsidR="00195678">
        <w:t>8</w:t>
      </w:r>
      <w:r w:rsidR="008C3E0D">
        <w:t>.</w:t>
      </w:r>
      <w:r w:rsidR="00A47DF6" w:rsidRPr="00A47DF6">
        <w:t>7.</w:t>
      </w:r>
    </w:p>
    <w:p w14:paraId="5BB4A9A0" w14:textId="69298AAC" w:rsidR="00A47DF6" w:rsidRPr="00A47DF6" w:rsidRDefault="00A47DF6" w:rsidP="007E6D46">
      <w:pPr>
        <w:pStyle w:val="NumberedNormal"/>
      </w:pPr>
      <w:r w:rsidRPr="00A47DF6">
        <w:t xml:space="preserve">The charges referred to in paragraph </w:t>
      </w:r>
      <w:r w:rsidR="007035C3">
        <w:t>9.7.</w:t>
      </w:r>
      <w:r w:rsidR="00195678">
        <w:t>7</w:t>
      </w:r>
      <w:r w:rsidRPr="00A47DF6">
        <w:t xml:space="preserve"> are:</w:t>
      </w:r>
    </w:p>
    <w:p w14:paraId="3CDC53DD" w14:textId="283D31B4" w:rsidR="00A47DF6" w:rsidRPr="00A47DF6" w:rsidRDefault="00A47DF6" w:rsidP="00A50444">
      <w:pPr>
        <w:pStyle w:val="ListNormal"/>
      </w:pPr>
      <w:r w:rsidRPr="00A47DF6">
        <w:t xml:space="preserve">Network Charges, under the provisions of Special Condition </w:t>
      </w:r>
      <w:r w:rsidR="006F4F77">
        <w:t>2.1</w:t>
      </w:r>
      <w:r w:rsidRPr="00A47DF6">
        <w:t xml:space="preserve"> (</w:t>
      </w:r>
      <w:r w:rsidR="006F4F77">
        <w:t xml:space="preserve">Revenue </w:t>
      </w:r>
      <w:r w:rsidRPr="00A47DF6">
        <w:t>Restriction); and</w:t>
      </w:r>
    </w:p>
    <w:p w14:paraId="6B8A1EF9" w14:textId="4D7F378E" w:rsidR="00A47DF6" w:rsidRPr="00A47DF6" w:rsidRDefault="00E54401" w:rsidP="00A50444">
      <w:pPr>
        <w:pStyle w:val="ListNormal"/>
      </w:pPr>
      <w:r>
        <w:t>c</w:t>
      </w:r>
      <w:r w:rsidRPr="00A47DF6">
        <w:t xml:space="preserve">harges </w:t>
      </w:r>
      <w:r w:rsidR="00A47DF6" w:rsidRPr="00A47DF6">
        <w:t xml:space="preserve">arising from any activity carried out under the provisions of Special Condition </w:t>
      </w:r>
      <w:r w:rsidR="00E14375">
        <w:t>5.2</w:t>
      </w:r>
      <w:r w:rsidR="00A47DF6" w:rsidRPr="00A47DF6">
        <w:t xml:space="preserve"> (</w:t>
      </w:r>
      <w:r w:rsidR="00831039">
        <w:t xml:space="preserve">Close out of RIIO-1 </w:t>
      </w:r>
      <w:r w:rsidR="00A47DF6" w:rsidRPr="00A47DF6">
        <w:t xml:space="preserve">Network Innovation Competition) which results in Returned Royalty Income for the licensee as defined in that condition. </w:t>
      </w:r>
    </w:p>
    <w:p w14:paraId="3A94C938" w14:textId="372810F3" w:rsidR="00A47DF6" w:rsidRPr="00A47DF6" w:rsidRDefault="00A47DF6" w:rsidP="00A50444">
      <w:pPr>
        <w:pStyle w:val="Heading3"/>
      </w:pPr>
      <w:r w:rsidRPr="00A47DF6">
        <w:lastRenderedPageBreak/>
        <w:t>Categories of Directly Remunerated Services</w:t>
      </w:r>
    </w:p>
    <w:p w14:paraId="655BE915" w14:textId="79B9E529" w:rsidR="00A47DF6" w:rsidRPr="00A47DF6" w:rsidRDefault="00A47DF6" w:rsidP="007E6D46">
      <w:pPr>
        <w:pStyle w:val="NumberedNormal"/>
      </w:pPr>
      <w:r w:rsidRPr="00A47DF6">
        <w:t xml:space="preserve">The descriptions of categories of Directly Remunerated Services set out at paragraph </w:t>
      </w:r>
      <w:r w:rsidR="00E54401">
        <w:t>9.7.</w:t>
      </w:r>
      <w:r w:rsidR="000F4801">
        <w:t>10</w:t>
      </w:r>
      <w:r w:rsidRPr="00A47DF6">
        <w:t xml:space="preserve"> are to be read and given effect subject to any further explanation or elaboration of any of those descriptions that might be set out in the RIGs issued by the Authority under Standard Condition B15 (Regulatory Instructions and Guidance) of this licence. </w:t>
      </w:r>
    </w:p>
    <w:p w14:paraId="1209BFE5" w14:textId="77777777" w:rsidR="00A47DF6" w:rsidRPr="00A47DF6" w:rsidRDefault="00A47DF6" w:rsidP="007E6D46">
      <w:pPr>
        <w:pStyle w:val="NumberedNormal"/>
      </w:pPr>
      <w:r w:rsidRPr="00A47DF6">
        <w:t xml:space="preserve">Directly Remunerated Services will include the following services: </w:t>
      </w:r>
    </w:p>
    <w:p w14:paraId="1B1371EF" w14:textId="6B995FAF" w:rsidR="00A47DF6" w:rsidRPr="00A47DF6" w:rsidRDefault="00A47DF6" w:rsidP="005A03F1">
      <w:pPr>
        <w:pStyle w:val="ListNormal"/>
      </w:pPr>
      <w:r w:rsidRPr="00A47DF6">
        <w:t xml:space="preserve">DRS1. Connection services: This category consists of the carrying out of works (including any necessary reinforcement works or diversionary works) to install, operate, repair, or maintain electric lines, electrical plant, or meters necessary to provide any new connection or modify any existing connection to the licensee's Transmission System, (but only to the extent that the service is not already remunerated under one of the charges set out at paragraph </w:t>
      </w:r>
      <w:r w:rsidR="00E54401">
        <w:t>9.7</w:t>
      </w:r>
      <w:r w:rsidRPr="00A47DF6">
        <w:t>.</w:t>
      </w:r>
      <w:r w:rsidR="007A38D9">
        <w:t>8</w:t>
      </w:r>
      <w:r w:rsidRPr="00A47DF6">
        <w:t xml:space="preserve">). </w:t>
      </w:r>
    </w:p>
    <w:p w14:paraId="5406AB13" w14:textId="77777777" w:rsidR="00A47DF6" w:rsidRPr="00A47DF6" w:rsidRDefault="00A47DF6" w:rsidP="005A03F1">
      <w:pPr>
        <w:pStyle w:val="ListNormal"/>
      </w:pPr>
      <w:r w:rsidRPr="00A47DF6">
        <w:t xml:space="preserve">DRS2. Diversionary works under an obligation: This category consists of the relocating of any electric line or electrical plant (including the carrying out of any associated works) pursuant to any statutory obligation other than one imposed on the licensee under section 9(2) (General duties of licence holders) of the Act, where the statutory obligation makes provision for the reimbursement of the costs incurred. </w:t>
      </w:r>
    </w:p>
    <w:p w14:paraId="1EDDDC29" w14:textId="77777777" w:rsidR="00A47DF6" w:rsidRPr="00A47DF6" w:rsidRDefault="00A47DF6" w:rsidP="005A03F1">
      <w:pPr>
        <w:pStyle w:val="ListNormal"/>
      </w:pPr>
      <w:r w:rsidRPr="00A47DF6">
        <w:t xml:space="preserve">DRS3. Works required by any alteration of premises: This category consists of the moving of any electric line or electrical plant that forms part of the licensee's Transmission System to accommodate the extension, redesign, or redevelopment of any premises on which the asset in question is located or to which it is connected. </w:t>
      </w:r>
    </w:p>
    <w:p w14:paraId="4053C5B8" w14:textId="77777777" w:rsidR="00A47DF6" w:rsidRPr="00A47DF6" w:rsidRDefault="00A47DF6" w:rsidP="005A03F1">
      <w:pPr>
        <w:pStyle w:val="ListNormal"/>
      </w:pPr>
      <w:r w:rsidRPr="00A47DF6">
        <w:t xml:space="preserve">DRS4. Telecommunications and information technology infrastructure services: This category consists of allowing the use of any electric line or electrical plant that forms part of the licensee's transmission system to carry, either directly or indirectly (including by the incorporation of third party equipment), electronic information and data. </w:t>
      </w:r>
    </w:p>
    <w:p w14:paraId="68D4FFDB" w14:textId="176E7942" w:rsidR="00A47DF6" w:rsidRPr="00A47DF6" w:rsidRDefault="00A47DF6" w:rsidP="005A03F1">
      <w:pPr>
        <w:pStyle w:val="ListNormal"/>
      </w:pPr>
      <w:r w:rsidRPr="00A47DF6">
        <w:t xml:space="preserve">DRS5. Outage Changes: The net costs reasonably incurred by the licensee </w:t>
      </w:r>
      <w:proofErr w:type="gramStart"/>
      <w:r w:rsidRPr="00A47DF6">
        <w:t>as a result of</w:t>
      </w:r>
      <w:proofErr w:type="gramEnd"/>
      <w:r w:rsidRPr="00A47DF6">
        <w:t xml:space="preserve"> any outage change as reimbursed by the System Operator. For the purpose of this condition an "outage change" is a change to the outage plan notified to the licensee by the System Operator on or after week 49, as updated from time to time in accordance with the procedures set out in the STC. </w:t>
      </w:r>
    </w:p>
    <w:p w14:paraId="645EE84D" w14:textId="1EDE0BCA" w:rsidR="00A47DF6" w:rsidRPr="00A47DF6" w:rsidRDefault="00A47DF6" w:rsidP="005A03F1">
      <w:pPr>
        <w:pStyle w:val="ListNormal"/>
      </w:pPr>
      <w:r w:rsidRPr="00A47DF6">
        <w:t>DRS</w:t>
      </w:r>
      <w:r w:rsidR="00AF135B">
        <w:t>9</w:t>
      </w:r>
      <w:r w:rsidRPr="00A47DF6">
        <w:t>. Network Innovation Funding:  NIC/SIF payments made by the System Operator to the licensee in respect of NIC funding in accordance with Special Condition XX (</w:t>
      </w:r>
      <w:r w:rsidR="00831039">
        <w:t>Close out of RIIO-1</w:t>
      </w:r>
      <w:r w:rsidRPr="00A47DF6">
        <w:t xml:space="preserve"> Network Innovation Competition</w:t>
      </w:r>
      <w:r w:rsidR="0018560F">
        <w:t xml:space="preserve"> and Special Condition XX (The Strategic Innovation Fund)</w:t>
      </w:r>
      <w:r w:rsidRPr="00A47DF6">
        <w:t xml:space="preserve">. </w:t>
      </w:r>
    </w:p>
    <w:p w14:paraId="480400D8" w14:textId="4F0509BC" w:rsidR="00A47DF6" w:rsidRPr="00A47DF6" w:rsidRDefault="00A47DF6" w:rsidP="005A03F1">
      <w:pPr>
        <w:pStyle w:val="ListNormal"/>
      </w:pPr>
      <w:r w:rsidRPr="00A47DF6">
        <w:t>DRS1</w:t>
      </w:r>
      <w:r w:rsidR="00AF135B">
        <w:t>5</w:t>
      </w:r>
      <w:r w:rsidRPr="00A47DF6">
        <w:t xml:space="preserve">. Miscellaneous: This category consists of the provision of any other service (including the provision of electric lines or electrical plant) that: </w:t>
      </w:r>
    </w:p>
    <w:p w14:paraId="5CA13EFA" w14:textId="6C8FA7C8" w:rsidR="00A47DF6" w:rsidRPr="00A47DF6" w:rsidRDefault="00A47DF6" w:rsidP="005A03F1">
      <w:pPr>
        <w:pStyle w:val="ListNormal"/>
        <w:numPr>
          <w:ilvl w:val="4"/>
          <w:numId w:val="6"/>
        </w:numPr>
      </w:pPr>
      <w:r w:rsidRPr="00A47DF6">
        <w:lastRenderedPageBreak/>
        <w:t xml:space="preserve">is for the specific benefit of any third party who requests it; and </w:t>
      </w:r>
    </w:p>
    <w:p w14:paraId="7B67E62B" w14:textId="4406423B" w:rsidR="00A47DF6" w:rsidRPr="00A47DF6" w:rsidRDefault="00A47DF6" w:rsidP="005A03F1">
      <w:pPr>
        <w:pStyle w:val="ListNormal"/>
        <w:numPr>
          <w:ilvl w:val="4"/>
          <w:numId w:val="6"/>
        </w:numPr>
      </w:pPr>
      <w:r w:rsidRPr="00A47DF6">
        <w:t xml:space="preserve">is not made available by the licensee as a normal part of the activities of its Transmission Business Activities. </w:t>
      </w:r>
    </w:p>
    <w:p w14:paraId="5BF5EF30" w14:textId="1A271CF3" w:rsidR="00A47DF6" w:rsidRPr="00A47DF6" w:rsidRDefault="00A47DF6" w:rsidP="00A50444">
      <w:pPr>
        <w:pStyle w:val="Heading3"/>
      </w:pPr>
      <w:r w:rsidRPr="00A47DF6">
        <w:t>Procedure for issuing directions</w:t>
      </w:r>
    </w:p>
    <w:p w14:paraId="04393CB0" w14:textId="336638A9" w:rsidR="00A47DF6" w:rsidRPr="00A47DF6" w:rsidRDefault="00A47DF6" w:rsidP="007E6D46">
      <w:pPr>
        <w:pStyle w:val="NumberedNormal"/>
      </w:pPr>
      <w:r w:rsidRPr="00A47DF6">
        <w:t xml:space="preserve">Before issuing a direction under </w:t>
      </w:r>
      <w:r w:rsidR="002A57A4">
        <w:t>Part A</w:t>
      </w:r>
      <w:r w:rsidRPr="00A47DF6">
        <w:t xml:space="preserve"> the Authority will consider the General Principle in Part B.</w:t>
      </w:r>
    </w:p>
    <w:p w14:paraId="33961941" w14:textId="64FB8921" w:rsidR="00A47DF6" w:rsidRPr="00A47DF6" w:rsidRDefault="00A47DF6" w:rsidP="00DF635A">
      <w:pPr>
        <w:pStyle w:val="NumberedNormal"/>
      </w:pPr>
      <w:r w:rsidRPr="00A47DF6">
        <w:t xml:space="preserve">Any direction that the Authority issues under </w:t>
      </w:r>
      <w:r w:rsidR="002A57A4">
        <w:t>Part A</w:t>
      </w:r>
      <w:r w:rsidRPr="00A47DF6">
        <w:t xml:space="preserve"> will set out the date </w:t>
      </w:r>
      <w:r w:rsidR="000A3714">
        <w:t xml:space="preserve">on which </w:t>
      </w:r>
      <w:r w:rsidRPr="00A47DF6">
        <w:t>the licensee must start or cease treating services as Directly Remunerated Services.</w:t>
      </w:r>
    </w:p>
    <w:p w14:paraId="2E951C52" w14:textId="77777777" w:rsidR="002D330F" w:rsidRDefault="002D330F" w:rsidP="00FE5E1B">
      <w:pPr>
        <w:pStyle w:val="Heading2"/>
      </w:pPr>
      <w:bookmarkStart w:id="272" w:name="_Toc51319664"/>
      <w:bookmarkStart w:id="273" w:name="_Toc51798340"/>
      <w:bookmarkStart w:id="274" w:name="_Toc52364946"/>
      <w:r>
        <w:t>Activities Restrictions</w:t>
      </w:r>
      <w:bookmarkEnd w:id="272"/>
      <w:bookmarkEnd w:id="273"/>
      <w:bookmarkEnd w:id="274"/>
    </w:p>
    <w:p w14:paraId="48D2B237" w14:textId="1B7D2FE6" w:rsidR="00804BB1" w:rsidRPr="003F66DB" w:rsidRDefault="000B617C" w:rsidP="000B617C">
      <w:pPr>
        <w:pStyle w:val="NumberedNormal"/>
        <w:rPr>
          <w:i/>
          <w:iCs/>
        </w:rPr>
      </w:pPr>
      <w:r w:rsidRPr="003F66DB">
        <w:rPr>
          <w:i/>
          <w:iCs/>
          <w:lang w:eastAsia="en-GB"/>
        </w:rPr>
        <w:t xml:space="preserve">Not being provided in this consultation. </w:t>
      </w:r>
    </w:p>
    <w:p w14:paraId="44C8B3F1" w14:textId="32987413" w:rsidR="002D330F" w:rsidRDefault="002D330F" w:rsidP="00FE5E1B">
      <w:pPr>
        <w:pStyle w:val="Heading2"/>
      </w:pPr>
      <w:bookmarkStart w:id="275" w:name="_Toc51319665"/>
      <w:bookmarkStart w:id="276" w:name="_Toc51798341"/>
      <w:bookmarkStart w:id="277" w:name="_Toc52364947"/>
      <w:r>
        <w:t>Network Access Policy</w:t>
      </w:r>
      <w:bookmarkEnd w:id="275"/>
      <w:bookmarkEnd w:id="276"/>
      <w:bookmarkEnd w:id="277"/>
    </w:p>
    <w:p w14:paraId="03723E61" w14:textId="77777777" w:rsidR="002D330F" w:rsidRPr="0057526A" w:rsidRDefault="002D330F" w:rsidP="006154B7">
      <w:pPr>
        <w:pStyle w:val="Heading3nonumbering"/>
      </w:pPr>
      <w:r w:rsidRPr="0057526A">
        <w:t xml:space="preserve">Introduction </w:t>
      </w:r>
    </w:p>
    <w:p w14:paraId="50CFD2BF" w14:textId="77777777" w:rsidR="002D330F" w:rsidRPr="002D330F" w:rsidRDefault="002D330F" w:rsidP="006154B7">
      <w:pPr>
        <w:pStyle w:val="NumberedNormal"/>
      </w:pPr>
      <w:r>
        <w:t>This condition requires</w:t>
      </w:r>
      <w:r w:rsidRPr="002D330F">
        <w:t xml:space="preserve"> the licensee to publish and act consistently with the Network Access Policy designed to facilitate efficient performance and effective liaison between the System Operator and Transmission Owners in relation to the planning, management, and operation of the National Electricity Transmission System for the benefit of consumers. </w:t>
      </w:r>
    </w:p>
    <w:p w14:paraId="4FD4DC7A" w14:textId="43A0AA21" w:rsidR="002D330F" w:rsidRPr="00AE57AC" w:rsidRDefault="002D330F" w:rsidP="006154B7">
      <w:pPr>
        <w:pStyle w:val="Heading3"/>
      </w:pPr>
      <w:r w:rsidRPr="005E20F0">
        <w:t>N</w:t>
      </w:r>
      <w:r>
        <w:t xml:space="preserve">etwork </w:t>
      </w:r>
      <w:r w:rsidRPr="005E20F0">
        <w:t>A</w:t>
      </w:r>
      <w:r>
        <w:t xml:space="preserve">ccess </w:t>
      </w:r>
      <w:r w:rsidRPr="005E20F0">
        <w:t>P</w:t>
      </w:r>
      <w:r>
        <w:t>olicy</w:t>
      </w:r>
      <w:r w:rsidRPr="005E20F0">
        <w:t xml:space="preserve">  </w:t>
      </w:r>
    </w:p>
    <w:p w14:paraId="341B0E29" w14:textId="0F533EC7" w:rsidR="002D330F" w:rsidRPr="002D330F" w:rsidRDefault="002D330F" w:rsidP="006154B7">
      <w:pPr>
        <w:pStyle w:val="NumberedNormal"/>
      </w:pPr>
      <w:r w:rsidRPr="004E383F">
        <w:t xml:space="preserve">The </w:t>
      </w:r>
      <w:r w:rsidRPr="002D330F">
        <w:t>licensee</w:t>
      </w:r>
      <w:r w:rsidR="005A0A24">
        <w:t>,</w:t>
      </w:r>
      <w:r w:rsidRPr="002D330F">
        <w:t xml:space="preserve"> </w:t>
      </w:r>
      <w:r w:rsidR="005A0A24">
        <w:t>together with</w:t>
      </w:r>
      <w:r w:rsidRPr="002D330F">
        <w:t xml:space="preserve"> the other Transmission Owners</w:t>
      </w:r>
      <w:r w:rsidR="005A0A24">
        <w:t>,</w:t>
      </w:r>
      <w:r w:rsidRPr="002D330F">
        <w:t xml:space="preserve"> must have in place a Network Access Policy approved by the Authority.</w:t>
      </w:r>
    </w:p>
    <w:p w14:paraId="0CFB0C92" w14:textId="200C416B" w:rsidR="002D330F" w:rsidRPr="002D330F" w:rsidRDefault="002D330F" w:rsidP="006154B7">
      <w:pPr>
        <w:pStyle w:val="NumberedNormal"/>
      </w:pPr>
      <w:r w:rsidRPr="004E383F">
        <w:t xml:space="preserve">The </w:t>
      </w:r>
      <w:r w:rsidRPr="002D330F">
        <w:t>licensee must incorporate the Network Access Policy</w:t>
      </w:r>
      <w:r w:rsidRPr="002D330F" w:rsidDel="006E521D">
        <w:t xml:space="preserve"> </w:t>
      </w:r>
      <w:r w:rsidRPr="002D330F">
        <w:t>into its planning and operations as part of its License</w:t>
      </w:r>
      <w:r w:rsidR="00097773">
        <w:t>d</w:t>
      </w:r>
      <w:r w:rsidRPr="002D330F">
        <w:t xml:space="preserve"> Activity. </w:t>
      </w:r>
    </w:p>
    <w:p w14:paraId="161DF011" w14:textId="77777777" w:rsidR="002D330F" w:rsidRPr="002D330F" w:rsidRDefault="002D330F" w:rsidP="006154B7">
      <w:pPr>
        <w:pStyle w:val="NumberedNormal"/>
      </w:pPr>
      <w:r>
        <w:t xml:space="preserve">The </w:t>
      </w:r>
      <w:r w:rsidRPr="002D330F">
        <w:t>licensee must act consistently with the Network Access Policy, subject to the need to ensure the safe and secure operation of the National Electricity Transmission System as a whole or any part of it.</w:t>
      </w:r>
    </w:p>
    <w:p w14:paraId="3EBD5D2C" w14:textId="77777777" w:rsidR="002D330F" w:rsidRPr="002D330F" w:rsidRDefault="002D330F" w:rsidP="00B64D66">
      <w:pPr>
        <w:pStyle w:val="NumberedNormal"/>
      </w:pPr>
      <w:r w:rsidRPr="001006D8">
        <w:t xml:space="preserve">The </w:t>
      </w:r>
      <w:r w:rsidRPr="002D330F">
        <w:t>Network Access Policy must include:</w:t>
      </w:r>
    </w:p>
    <w:p w14:paraId="01AC2CF7" w14:textId="77777777" w:rsidR="002D330F" w:rsidRPr="002D330F" w:rsidRDefault="002D330F" w:rsidP="00B64D66">
      <w:pPr>
        <w:pStyle w:val="ListNormal"/>
      </w:pPr>
      <w:r w:rsidRPr="001006D8">
        <w:t xml:space="preserve">details of the actions that the </w:t>
      </w:r>
      <w:r w:rsidRPr="002D330F">
        <w:t>licensee will take to coordinate with the System Operator and, if appropriate, the other Transmission Owners to ensure that planned network outage arrangements are agreed with due consideration of the long-term outcomes for consumers and network users;</w:t>
      </w:r>
    </w:p>
    <w:p w14:paraId="4545BA40" w14:textId="5E4F230E" w:rsidR="002D330F" w:rsidRPr="002D330F" w:rsidRDefault="002D330F" w:rsidP="00B64D66">
      <w:pPr>
        <w:pStyle w:val="ListNormal"/>
      </w:pPr>
      <w:r w:rsidRPr="001006D8">
        <w:t xml:space="preserve">details of the actions that the </w:t>
      </w:r>
      <w:r w:rsidRPr="002D330F">
        <w:t xml:space="preserve">licensee will take for the purposes of responding to and managing unplanned network outages with a view to minimising </w:t>
      </w:r>
      <w:r w:rsidR="00C559B3">
        <w:t>i</w:t>
      </w:r>
      <w:r w:rsidR="00E632BA">
        <w:t>ts</w:t>
      </w:r>
      <w:r w:rsidR="00C559B3" w:rsidRPr="002D330F">
        <w:t xml:space="preserve"> </w:t>
      </w:r>
      <w:r w:rsidRPr="002D330F">
        <w:t>contribution to network constraints</w:t>
      </w:r>
      <w:r w:rsidR="001D03CF">
        <w:t>,</w:t>
      </w:r>
      <w:r w:rsidRPr="002D330F">
        <w:t xml:space="preserve"> subject to the need to ensure the safe and secure operation of the National Electricity Transmission System as a whole or any part of it;</w:t>
      </w:r>
    </w:p>
    <w:p w14:paraId="1F06FDC6" w14:textId="53528744" w:rsidR="002D330F" w:rsidRPr="002D330F" w:rsidRDefault="002D330F" w:rsidP="00B64D66">
      <w:pPr>
        <w:pStyle w:val="ListNormal"/>
      </w:pPr>
      <w:r w:rsidRPr="001006D8">
        <w:lastRenderedPageBreak/>
        <w:t xml:space="preserve">details of the types of circumstances that are likely to require an alternative approach to that set out in relation to paragraphs </w:t>
      </w:r>
      <w:r w:rsidR="001D03CF">
        <w:t>9.9</w:t>
      </w:r>
      <w:r w:rsidRPr="002D330F">
        <w:t>.5(a) and (b); and</w:t>
      </w:r>
    </w:p>
    <w:p w14:paraId="6A425B36" w14:textId="77777777" w:rsidR="002D330F" w:rsidRPr="002D330F" w:rsidRDefault="002D330F" w:rsidP="00B64D66">
      <w:pPr>
        <w:pStyle w:val="ListNormal"/>
      </w:pPr>
      <w:r w:rsidRPr="001006D8">
        <w:t xml:space="preserve">a description of the </w:t>
      </w:r>
      <w:r w:rsidRPr="002D330F">
        <w:t>licensee’s communication and coordination strategy for interacting with the System Operator, other Transmission Owners, and Users.</w:t>
      </w:r>
    </w:p>
    <w:p w14:paraId="5FF60116" w14:textId="6BA875FB" w:rsidR="002D330F" w:rsidRPr="001006D8" w:rsidRDefault="002D330F" w:rsidP="00B64D66">
      <w:pPr>
        <w:pStyle w:val="Heading3"/>
      </w:pPr>
      <w:r>
        <w:t>Revisions to</w:t>
      </w:r>
      <w:r w:rsidRPr="001006D8">
        <w:t xml:space="preserve"> the N</w:t>
      </w:r>
      <w:r>
        <w:t xml:space="preserve">etwork </w:t>
      </w:r>
      <w:r w:rsidRPr="001006D8">
        <w:t>A</w:t>
      </w:r>
      <w:r>
        <w:t xml:space="preserve">ccess </w:t>
      </w:r>
      <w:r w:rsidRPr="001006D8">
        <w:t>P</w:t>
      </w:r>
      <w:r>
        <w:t>olicy</w:t>
      </w:r>
    </w:p>
    <w:p w14:paraId="7B948886" w14:textId="201C214F" w:rsidR="002D330F" w:rsidRPr="002D330F" w:rsidRDefault="002D330F" w:rsidP="00B64D66">
      <w:pPr>
        <w:pStyle w:val="NumberedNormal"/>
      </w:pPr>
      <w:r w:rsidRPr="001006D8">
        <w:t xml:space="preserve">The </w:t>
      </w:r>
      <w:r w:rsidRPr="002D330F">
        <w:t xml:space="preserve">licensee, together with the other Transmission Owners, must from time to time and at least once in every </w:t>
      </w:r>
      <w:r w:rsidR="005A0A24">
        <w:t>period of two Regulatory Years</w:t>
      </w:r>
      <w:r w:rsidRPr="002D330F">
        <w:t xml:space="preserve">, review and propose </w:t>
      </w:r>
      <w:r w:rsidR="00232FEE">
        <w:t xml:space="preserve">such </w:t>
      </w:r>
      <w:r w:rsidRPr="002D330F">
        <w:t xml:space="preserve">revisions to the Network Access Policy as may be necessary in order to ensure that the information contained in it continues to be accurate and consistent with this condition. </w:t>
      </w:r>
    </w:p>
    <w:p w14:paraId="0C466D3A" w14:textId="77777777" w:rsidR="002D330F" w:rsidRPr="002D330F" w:rsidRDefault="002D330F" w:rsidP="00B64D66">
      <w:pPr>
        <w:pStyle w:val="NumberedNormal"/>
      </w:pPr>
      <w:r>
        <w:t>Before revis</w:t>
      </w:r>
      <w:r w:rsidRPr="002D330F">
        <w:t xml:space="preserve">ing the Network Access </w:t>
      </w:r>
      <w:proofErr w:type="gramStart"/>
      <w:r w:rsidRPr="002D330F">
        <w:t>Policy</w:t>
      </w:r>
      <w:proofErr w:type="gramEnd"/>
      <w:r w:rsidRPr="002D330F">
        <w:t xml:space="preserve"> the licensee, together with the other Transmission Owners, must submit to the Authority, the System Operator and, if appropriate, to any other relevant Transmission Licensees:</w:t>
      </w:r>
    </w:p>
    <w:p w14:paraId="04D8F6F5" w14:textId="77777777" w:rsidR="002D330F" w:rsidRPr="002D330F" w:rsidRDefault="002D330F" w:rsidP="00E014D5">
      <w:pPr>
        <w:pStyle w:val="ListNormal"/>
      </w:pPr>
      <w:r>
        <w:t xml:space="preserve">a copy of the proposed </w:t>
      </w:r>
      <w:proofErr w:type="gramStart"/>
      <w:r>
        <w:t>revisions;</w:t>
      </w:r>
      <w:proofErr w:type="gramEnd"/>
    </w:p>
    <w:p w14:paraId="1286C0EA" w14:textId="1EC4EB64" w:rsidR="002D330F" w:rsidRPr="002D330F" w:rsidRDefault="002D330F" w:rsidP="00E014D5">
      <w:pPr>
        <w:pStyle w:val="ListNormal"/>
      </w:pPr>
      <w:r>
        <w:t xml:space="preserve">an </w:t>
      </w:r>
      <w:r w:rsidRPr="002D330F">
        <w:t xml:space="preserve">explanation of the reasons for the proposed </w:t>
      </w:r>
      <w:r w:rsidR="005A0A24">
        <w:t>revisions</w:t>
      </w:r>
      <w:r w:rsidRPr="002D330F">
        <w:t>; and</w:t>
      </w:r>
    </w:p>
    <w:p w14:paraId="56A3956B" w14:textId="6E06A9EE" w:rsidR="002D330F" w:rsidRPr="002D330F" w:rsidRDefault="002D330F" w:rsidP="00E014D5">
      <w:pPr>
        <w:pStyle w:val="ListNormal"/>
      </w:pPr>
      <w:r w:rsidRPr="001006D8">
        <w:t xml:space="preserve">such </w:t>
      </w:r>
      <w:r w:rsidR="008C578E">
        <w:t xml:space="preserve">detailed </w:t>
      </w:r>
      <w:r w:rsidRPr="001006D8">
        <w:t xml:space="preserve">supporting evidence as the </w:t>
      </w:r>
      <w:r w:rsidRPr="002D330F">
        <w:t>licensee considers will assist the Authority in its consideration of the proposed revisions.</w:t>
      </w:r>
    </w:p>
    <w:p w14:paraId="5CA7FD7D" w14:textId="77777777" w:rsidR="002D330F" w:rsidRPr="002D330F" w:rsidRDefault="002D330F" w:rsidP="005333C8">
      <w:pPr>
        <w:pStyle w:val="NumberedNormal"/>
      </w:pPr>
      <w:r>
        <w:t>T</w:t>
      </w:r>
      <w:r w:rsidRPr="002D330F">
        <w:t>he Authority will either:</w:t>
      </w:r>
    </w:p>
    <w:p w14:paraId="33B49986" w14:textId="038718D9" w:rsidR="002D330F" w:rsidRPr="002D330F" w:rsidRDefault="002D330F" w:rsidP="005333C8">
      <w:pPr>
        <w:pStyle w:val="ListNormal"/>
      </w:pPr>
      <w:r>
        <w:t xml:space="preserve">approve the </w:t>
      </w:r>
      <w:r w:rsidR="005A0A24">
        <w:t xml:space="preserve">proposed </w:t>
      </w:r>
      <w:proofErr w:type="gramStart"/>
      <w:r>
        <w:t>revisions</w:t>
      </w:r>
      <w:r w:rsidRPr="002D330F">
        <w:t>;</w:t>
      </w:r>
      <w:proofErr w:type="gramEnd"/>
    </w:p>
    <w:p w14:paraId="32727FD9" w14:textId="77777777" w:rsidR="002D330F" w:rsidRPr="002D330F" w:rsidRDefault="002D330F" w:rsidP="005333C8">
      <w:pPr>
        <w:pStyle w:val="ListNormal"/>
      </w:pPr>
      <w:r>
        <w:t>reject the proposed revisions; or</w:t>
      </w:r>
    </w:p>
    <w:p w14:paraId="6D9F7D53" w14:textId="723692DC" w:rsidR="002D330F" w:rsidRPr="002D330F" w:rsidRDefault="002D330F" w:rsidP="005333C8">
      <w:pPr>
        <w:pStyle w:val="ListNormal"/>
      </w:pPr>
      <w:r>
        <w:t xml:space="preserve">reject the proposed revisions and give recommendations as to alternative revisions that it considers </w:t>
      </w:r>
      <w:r w:rsidR="008C578E">
        <w:t>should be made</w:t>
      </w:r>
      <w:r>
        <w:t>.</w:t>
      </w:r>
    </w:p>
    <w:p w14:paraId="1A97BCA9" w14:textId="32EC6F4D" w:rsidR="002D330F" w:rsidRPr="002D330F" w:rsidRDefault="002D330F" w:rsidP="005333C8">
      <w:pPr>
        <w:pStyle w:val="NumberedNormal"/>
      </w:pPr>
      <w:r>
        <w:t xml:space="preserve">Before </w:t>
      </w:r>
      <w:r w:rsidRPr="002D330F">
        <w:t xml:space="preserve">taking any action under paragraph </w:t>
      </w:r>
      <w:r w:rsidR="00232FEE">
        <w:t>9.9</w:t>
      </w:r>
      <w:r w:rsidRPr="002D330F">
        <w:t xml:space="preserve">.8, the Authority will consult the Transmission Owners, System </w:t>
      </w:r>
      <w:proofErr w:type="gramStart"/>
      <w:r w:rsidRPr="002D330F">
        <w:t>Operator</w:t>
      </w:r>
      <w:proofErr w:type="gramEnd"/>
      <w:r w:rsidRPr="002D330F">
        <w:t xml:space="preserve"> and such other interested parties as it considers appropriate.</w:t>
      </w:r>
    </w:p>
    <w:p w14:paraId="4A2D5B43" w14:textId="3D0C951D" w:rsidR="002D330F" w:rsidRPr="00BE6033" w:rsidRDefault="002D330F" w:rsidP="005333C8">
      <w:pPr>
        <w:pStyle w:val="Heading3"/>
      </w:pPr>
      <w:r>
        <w:t>Availability of the Network Access Policy</w:t>
      </w:r>
    </w:p>
    <w:p w14:paraId="4912F833" w14:textId="77777777" w:rsidR="002D330F" w:rsidRPr="002D330F" w:rsidRDefault="002D330F" w:rsidP="005333C8">
      <w:pPr>
        <w:pStyle w:val="NumberedNormal"/>
      </w:pPr>
      <w:r w:rsidRPr="00BE6033">
        <w:t xml:space="preserve">The </w:t>
      </w:r>
      <w:r w:rsidRPr="002D330F">
        <w:t>licensee must ensure that the Network Access Policy is available on its website.</w:t>
      </w:r>
    </w:p>
    <w:p w14:paraId="1DA9CCEE" w14:textId="6BCE6CA4" w:rsidR="002D330F" w:rsidRPr="002D330F" w:rsidRDefault="002D330F" w:rsidP="005333C8">
      <w:pPr>
        <w:pStyle w:val="NumberedNormal"/>
      </w:pPr>
      <w:r w:rsidRPr="001006D8">
        <w:t xml:space="preserve">In the event that the Authority approves a </w:t>
      </w:r>
      <w:r w:rsidRPr="002D330F">
        <w:t xml:space="preserve">revision to the Network Access Policy, the licensee must ensure that the Network Access Policy made available under paragraph </w:t>
      </w:r>
      <w:r w:rsidR="00232FEE">
        <w:t>9.9</w:t>
      </w:r>
      <w:r w:rsidRPr="002D330F">
        <w:t xml:space="preserve">.10 is updated </w:t>
      </w:r>
      <w:r w:rsidR="00232FEE">
        <w:t xml:space="preserve">during the period of </w:t>
      </w:r>
      <w:r w:rsidRPr="002D330F">
        <w:t xml:space="preserve">five </w:t>
      </w:r>
      <w:r w:rsidR="00980D34">
        <w:t>W</w:t>
      </w:r>
      <w:r w:rsidRPr="002D330F">
        <w:t>o</w:t>
      </w:r>
      <w:r w:rsidR="00980D34">
        <w:t>rking D</w:t>
      </w:r>
      <w:r w:rsidRPr="002D330F">
        <w:t xml:space="preserve">ays </w:t>
      </w:r>
      <w:r w:rsidR="00232FEE">
        <w:t xml:space="preserve">beginning with the date of the </w:t>
      </w:r>
      <w:r w:rsidRPr="002D330F">
        <w:t>approval.</w:t>
      </w:r>
    </w:p>
    <w:p w14:paraId="181B71BA" w14:textId="031D8899" w:rsidR="002D330F" w:rsidRDefault="002D330F" w:rsidP="00FE5E1B">
      <w:pPr>
        <w:pStyle w:val="Heading2"/>
      </w:pPr>
      <w:bookmarkStart w:id="278" w:name="_Toc51319666"/>
      <w:bookmarkStart w:id="279" w:name="_Toc51798342"/>
      <w:bookmarkStart w:id="280" w:name="_Toc52364948"/>
      <w:r>
        <w:lastRenderedPageBreak/>
        <w:t>Provision of Information to the System Operator</w:t>
      </w:r>
      <w:bookmarkEnd w:id="278"/>
      <w:bookmarkEnd w:id="279"/>
      <w:bookmarkEnd w:id="280"/>
    </w:p>
    <w:p w14:paraId="78B4F3AA" w14:textId="77777777" w:rsidR="00017616" w:rsidRPr="0091794E" w:rsidRDefault="00017616" w:rsidP="00017616">
      <w:pPr>
        <w:pStyle w:val="Heading3nonumbering"/>
      </w:pPr>
      <w:r w:rsidRPr="0057526A">
        <w:t xml:space="preserve">Introduction </w:t>
      </w:r>
    </w:p>
    <w:p w14:paraId="50F4AF93" w14:textId="77777777" w:rsidR="00017616" w:rsidRPr="00DB3047" w:rsidRDefault="00017616" w:rsidP="00017616">
      <w:pPr>
        <w:pStyle w:val="NumberedNormal"/>
        <w:numPr>
          <w:ilvl w:val="2"/>
          <w:numId w:val="4"/>
        </w:numPr>
      </w:pPr>
      <w:r>
        <w:t>The purpose of this condition is to require</w:t>
      </w:r>
      <w:r w:rsidRPr="00DB3047">
        <w:t xml:space="preserve"> the licensee to notify the System Operator</w:t>
      </w:r>
      <w:r>
        <w:t xml:space="preserve"> of the revenue to be collected via transmission network charges</w:t>
      </w:r>
      <w:r w:rsidRPr="00DB3047">
        <w:t xml:space="preserve">. </w:t>
      </w:r>
    </w:p>
    <w:p w14:paraId="56008D1E" w14:textId="77777777" w:rsidR="00017616" w:rsidRDefault="00017616" w:rsidP="00017616">
      <w:pPr>
        <w:pStyle w:val="Heading3"/>
        <w:numPr>
          <w:ilvl w:val="5"/>
          <w:numId w:val="4"/>
        </w:numPr>
      </w:pPr>
      <w:r>
        <w:t>Statement of the [TNGET/TSP/TSH] value</w:t>
      </w:r>
    </w:p>
    <w:p w14:paraId="6E329542" w14:textId="77777777" w:rsidR="00017616" w:rsidRDefault="00017616" w:rsidP="00017616">
      <w:pPr>
        <w:pStyle w:val="NumberedNormal"/>
        <w:numPr>
          <w:ilvl w:val="2"/>
          <w:numId w:val="4"/>
        </w:numPr>
      </w:pPr>
      <w:r w:rsidRPr="0091794E">
        <w:t xml:space="preserve">On or before 1 November </w:t>
      </w:r>
      <w:r w:rsidRPr="00DB3047">
        <w:t xml:space="preserve">of the Regulatory Year t-1, the licensee must notify the System Operator of its best estimate for the </w:t>
      </w:r>
      <w:r>
        <w:t>[TNGET/TSP/TSH]</w:t>
      </w:r>
      <w:r w:rsidRPr="00DB3047">
        <w:t xml:space="preserve"> term.</w:t>
      </w:r>
    </w:p>
    <w:p w14:paraId="2594EB41" w14:textId="2F491DE4" w:rsidR="00017616" w:rsidRPr="00DB3047" w:rsidRDefault="00017616" w:rsidP="00017616">
      <w:pPr>
        <w:pStyle w:val="NumberedNormal"/>
      </w:pPr>
      <w:r>
        <w:t>[TNGET/TSP/TSH]</w:t>
      </w:r>
      <w:r w:rsidRPr="00DB3047">
        <w:t xml:space="preserve"> </w:t>
      </w:r>
      <w:r w:rsidRPr="00B20E4E">
        <w:t xml:space="preserve">means an amount no more than </w:t>
      </w:r>
      <w:proofErr w:type="spellStart"/>
      <w:r>
        <w:t>AR</w:t>
      </w:r>
      <w:r w:rsidRPr="00B20E4E">
        <w:rPr>
          <w:vertAlign w:val="subscript"/>
        </w:rPr>
        <w:t>t</w:t>
      </w:r>
      <w:proofErr w:type="spellEnd"/>
      <w:r w:rsidRPr="00B20E4E">
        <w:t xml:space="preserve">– </w:t>
      </w:r>
      <w:proofErr w:type="spellStart"/>
      <w:r w:rsidRPr="00B20E4E">
        <w:t>EXS</w:t>
      </w:r>
      <w:r w:rsidRPr="00B20E4E">
        <w:rPr>
          <w:vertAlign w:val="subscript"/>
        </w:rPr>
        <w:t>t</w:t>
      </w:r>
      <w:proofErr w:type="spellEnd"/>
      <w:r>
        <w:t xml:space="preserve">, where </w:t>
      </w:r>
      <w:proofErr w:type="spellStart"/>
      <w:r>
        <w:t>EXSt</w:t>
      </w:r>
      <w:proofErr w:type="spellEnd"/>
      <w:r>
        <w:t xml:space="preserve"> means the connection charges, if any, which are remunerated under Special Condition </w:t>
      </w:r>
      <w:r w:rsidR="006C1EA2">
        <w:t>2</w:t>
      </w:r>
      <w:r w:rsidR="00B3284B">
        <w:t>.1</w:t>
      </w:r>
      <w:r>
        <w:t xml:space="preserve"> in respect of connections made before the grant of this licence and for the avoidance of doubt, such charges may include charges for the operation and maintenance of the relevant connection.</w:t>
      </w:r>
    </w:p>
    <w:p w14:paraId="5D11F434" w14:textId="77777777" w:rsidR="00017616" w:rsidRDefault="00017616" w:rsidP="00017616">
      <w:pPr>
        <w:pStyle w:val="NumberedNormal"/>
        <w:numPr>
          <w:ilvl w:val="2"/>
          <w:numId w:val="4"/>
        </w:numPr>
      </w:pPr>
      <w:r w:rsidRPr="0091794E">
        <w:t xml:space="preserve">The licensee </w:t>
      </w:r>
      <w:r w:rsidRPr="00DB3047">
        <w:t xml:space="preserve">must keep under review the estimates notified to the System Operator pursuant to </w:t>
      </w:r>
      <w:r>
        <w:t>paragraph 9.10</w:t>
      </w:r>
      <w:r w:rsidRPr="00DB3047">
        <w:t xml:space="preserve">.2 and, if at any time, the licensee reasonably considers that the value of </w:t>
      </w:r>
      <w:r>
        <w:t>[TNGET/TSP/TSH]</w:t>
      </w:r>
      <w:r w:rsidRPr="00DB3047">
        <w:t xml:space="preserve">, notified to the System Operator will be significantly different </w:t>
      </w:r>
      <w:r>
        <w:t xml:space="preserve">to </w:t>
      </w:r>
      <w:r w:rsidRPr="00DB3047">
        <w:t xml:space="preserve">the estimates previously notified to the System Operator, the licensee must notify the System Operator of the updated value for </w:t>
      </w:r>
      <w:r>
        <w:t>[TNGET/TSP/TSH]</w:t>
      </w:r>
      <w:r w:rsidRPr="00DB3047">
        <w:t xml:space="preserve">  as soon as reasonably practicable.</w:t>
      </w:r>
    </w:p>
    <w:p w14:paraId="14D255B2" w14:textId="77777777" w:rsidR="00017616" w:rsidRDefault="00017616" w:rsidP="00017616">
      <w:pPr>
        <w:pStyle w:val="NumberedNormal"/>
      </w:pPr>
      <w:r>
        <w:t xml:space="preserve">By 30 April of each relevant year t, the licensee shall provide the Authority with a statement showing the following: </w:t>
      </w:r>
    </w:p>
    <w:p w14:paraId="642E493B" w14:textId="7EDA850A" w:rsidR="00017616" w:rsidRDefault="00017616" w:rsidP="00017616">
      <w:pPr>
        <w:pStyle w:val="ListNormal"/>
      </w:pPr>
      <w:r>
        <w:t>the value of [TNGET/TSP/TSH]</w:t>
      </w:r>
      <w:r w:rsidR="008E127D">
        <w:t xml:space="preserve"> </w:t>
      </w:r>
      <w:r>
        <w:t xml:space="preserve">notified to the System Operator in the Regulatory Year t-1 and the method of calculation including the values for </w:t>
      </w:r>
      <w:proofErr w:type="spellStart"/>
      <w:proofErr w:type="gramStart"/>
      <w:r>
        <w:t>EXS</w:t>
      </w:r>
      <w:r w:rsidRPr="0031759E">
        <w:rPr>
          <w:vertAlign w:val="subscript"/>
        </w:rPr>
        <w:t>t</w:t>
      </w:r>
      <w:proofErr w:type="spellEnd"/>
      <w:r>
        <w:t>;</w:t>
      </w:r>
      <w:proofErr w:type="gramEnd"/>
      <w:r>
        <w:t xml:space="preserve"> </w:t>
      </w:r>
    </w:p>
    <w:p w14:paraId="5EBC45C8" w14:textId="202EBF61" w:rsidR="00017616" w:rsidRDefault="00017616" w:rsidP="00017616">
      <w:pPr>
        <w:pStyle w:val="ListNormal"/>
      </w:pPr>
      <w:r>
        <w:t xml:space="preserve">the aggregate amounts of the licensee’s connection charges in relevant year t-1 which are remunerated under Special Condition 2.1, identifying separately amounts in relation to connections made prior to the grant of this licence and amounts in relation to connections made after the grant of this licence; </w:t>
      </w:r>
    </w:p>
    <w:p w14:paraId="77CDF254" w14:textId="77777777" w:rsidR="00017616" w:rsidRDefault="00017616" w:rsidP="00017616">
      <w:pPr>
        <w:pStyle w:val="ListNormal"/>
      </w:pPr>
      <w:r>
        <w:t xml:space="preserve">the aggregate amount of the licensee’s connection charges in Regulatory Year t-1 which are not remunerated under Special Condition 2.1; and </w:t>
      </w:r>
    </w:p>
    <w:p w14:paraId="1F0E0A7C" w14:textId="556EF7D1" w:rsidR="00017616" w:rsidRPr="00017616" w:rsidRDefault="00017616" w:rsidP="00017616">
      <w:pPr>
        <w:pStyle w:val="ListNormal"/>
      </w:pPr>
      <w:r>
        <w:t>the aggregate amount of the licensee’s charges in Regulatory Year t-1 in respect of outage changes.</w:t>
      </w:r>
    </w:p>
    <w:p w14:paraId="7CF41ACB" w14:textId="70021D51" w:rsidR="00D51DBE" w:rsidRDefault="00D51DBE" w:rsidP="00D51DBE">
      <w:pPr>
        <w:pStyle w:val="Heading2"/>
      </w:pPr>
      <w:bookmarkStart w:id="281" w:name="_Toc52364949"/>
      <w:bookmarkStart w:id="282" w:name="_Toc51319667"/>
      <w:bookmarkStart w:id="283" w:name="_Toc51798343"/>
      <w:r>
        <w:t>Basis of</w:t>
      </w:r>
      <w:r w:rsidR="007F2871">
        <w:t xml:space="preserve"> </w:t>
      </w:r>
      <w:r>
        <w:t>Transmission Owner Charges</w:t>
      </w:r>
      <w:bookmarkEnd w:id="281"/>
    </w:p>
    <w:p w14:paraId="3BB4DB7A" w14:textId="77777777" w:rsidR="00D51DBE" w:rsidRPr="00E91EFE" w:rsidRDefault="00D51DBE" w:rsidP="00D51DBE">
      <w:pPr>
        <w:pStyle w:val="Heading3nonumbering"/>
      </w:pPr>
      <w:r>
        <w:t xml:space="preserve">Introduction </w:t>
      </w:r>
    </w:p>
    <w:p w14:paraId="2454A95E" w14:textId="77777777" w:rsidR="00D51DBE" w:rsidRPr="00E91EFE" w:rsidRDefault="00D51DBE" w:rsidP="00D51DBE">
      <w:pPr>
        <w:pStyle w:val="NumberedNormal"/>
      </w:pPr>
      <w:r>
        <w:t xml:space="preserve">The purpose of </w:t>
      </w:r>
      <w:r w:rsidRPr="00E91EFE">
        <w:t xml:space="preserve">this condition is to </w:t>
      </w:r>
      <w:r>
        <w:t>require</w:t>
      </w:r>
      <w:r w:rsidRPr="00E91EFE">
        <w:t xml:space="preserve"> the licensee to prepare and have in place a Statement of Transmission Owner Charges.</w:t>
      </w:r>
    </w:p>
    <w:p w14:paraId="5EF25104" w14:textId="77777777" w:rsidR="00D51DBE" w:rsidRPr="00E91EFE" w:rsidRDefault="00D51DBE" w:rsidP="00D51DBE">
      <w:pPr>
        <w:pStyle w:val="Heading3"/>
      </w:pPr>
      <w:r>
        <w:lastRenderedPageBreak/>
        <w:t xml:space="preserve">Statement </w:t>
      </w:r>
      <w:r w:rsidRPr="00E91EFE">
        <w:t>of Transmission Owner Charges</w:t>
      </w:r>
    </w:p>
    <w:p w14:paraId="111AE671" w14:textId="77777777" w:rsidR="00D51DBE" w:rsidRPr="00E91EFE" w:rsidRDefault="00D51DBE" w:rsidP="00D51DBE">
      <w:pPr>
        <w:pStyle w:val="NumberedNormal"/>
      </w:pPr>
      <w:r w:rsidRPr="000E7854">
        <w:t xml:space="preserve">The licensee </w:t>
      </w:r>
      <w:r w:rsidRPr="00E91EFE">
        <w:t>must have in place a Statement of Transmission Owner Charges approved by the Authority.</w:t>
      </w:r>
    </w:p>
    <w:p w14:paraId="50072450" w14:textId="77777777" w:rsidR="00D51DBE" w:rsidRPr="00E91EFE" w:rsidRDefault="00D51DBE" w:rsidP="00D51DBE">
      <w:pPr>
        <w:pStyle w:val="NumberedNormal"/>
      </w:pPr>
      <w:r w:rsidRPr="00E91EFE">
        <w:t>The Statement of Transmission Owner Charges must include:</w:t>
      </w:r>
    </w:p>
    <w:p w14:paraId="3D08F1CC" w14:textId="77777777" w:rsidR="00D51DBE" w:rsidRPr="00E91EFE" w:rsidRDefault="00D51DBE" w:rsidP="00D51DBE">
      <w:pPr>
        <w:pStyle w:val="ListNormal"/>
        <w:tabs>
          <w:tab w:val="num" w:pos="879"/>
        </w:tabs>
      </w:pPr>
      <w:r w:rsidRPr="000E7854">
        <w:t>a schedule listing</w:t>
      </w:r>
      <w:r>
        <w:t>:</w:t>
      </w:r>
      <w:r w:rsidRPr="00E91EFE">
        <w:t xml:space="preserve"> </w:t>
      </w:r>
    </w:p>
    <w:p w14:paraId="1B30E5B2" w14:textId="77777777" w:rsidR="00D51DBE" w:rsidRDefault="00D51DBE" w:rsidP="00D51DBE">
      <w:pPr>
        <w:pStyle w:val="ListNormal"/>
        <w:numPr>
          <w:ilvl w:val="4"/>
          <w:numId w:val="4"/>
        </w:numPr>
      </w:pPr>
      <w:r>
        <w:t xml:space="preserve">items </w:t>
      </w:r>
      <w:r w:rsidRPr="00E91EFE">
        <w:t xml:space="preserve">of significant cost required for connection (at entry or exit points) to the licensee’s Transmission System, </w:t>
      </w:r>
    </w:p>
    <w:p w14:paraId="3DE89530" w14:textId="77777777" w:rsidR="00D51DBE" w:rsidRDefault="00D51DBE" w:rsidP="00D51DBE">
      <w:pPr>
        <w:pStyle w:val="ListNormal"/>
        <w:numPr>
          <w:ilvl w:val="4"/>
          <w:numId w:val="4"/>
        </w:numPr>
      </w:pPr>
      <w:r>
        <w:t xml:space="preserve">items </w:t>
      </w:r>
      <w:r w:rsidRPr="00E91EFE">
        <w:t xml:space="preserve">for which </w:t>
      </w:r>
      <w:proofErr w:type="gramStart"/>
      <w:r w:rsidRPr="00E91EFE">
        <w:t>site specific</w:t>
      </w:r>
      <w:proofErr w:type="gramEnd"/>
      <w:r w:rsidRPr="00E91EFE">
        <w:t xml:space="preserve"> charges may be made or levied, and</w:t>
      </w:r>
    </w:p>
    <w:p w14:paraId="1EB01CC5" w14:textId="77777777" w:rsidR="00D51DBE" w:rsidRPr="00E91EFE" w:rsidRDefault="00D51DBE" w:rsidP="00D51DBE">
      <w:pPr>
        <w:pStyle w:val="ListNormal"/>
        <w:numPr>
          <w:ilvl w:val="4"/>
          <w:numId w:val="4"/>
        </w:numPr>
      </w:pPr>
      <w:r w:rsidRPr="00E91EFE">
        <w:t>indicative charges or</w:t>
      </w:r>
      <w:r>
        <w:t>,</w:t>
      </w:r>
      <w:r w:rsidRPr="00E91EFE">
        <w:t xml:space="preserve"> where </w:t>
      </w:r>
      <w:r>
        <w:t xml:space="preserve">not </w:t>
      </w:r>
      <w:r w:rsidRPr="00E91EFE">
        <w:t xml:space="preserve">practicable, an explanation of the methods by which and the principles </w:t>
      </w:r>
      <w:r>
        <w:t xml:space="preserve">in accordance with </w:t>
      </w:r>
      <w:r w:rsidRPr="00E91EFE">
        <w:t xml:space="preserve">which </w:t>
      </w:r>
      <w:r>
        <w:t xml:space="preserve">the </w:t>
      </w:r>
      <w:r w:rsidRPr="00E91EFE">
        <w:t xml:space="preserve">charges will be </w:t>
      </w:r>
      <w:proofErr w:type="gramStart"/>
      <w:r w:rsidRPr="00E91EFE">
        <w:t>calculated;</w:t>
      </w:r>
      <w:proofErr w:type="gramEnd"/>
    </w:p>
    <w:p w14:paraId="654C6C3C" w14:textId="77777777" w:rsidR="00D51DBE" w:rsidRPr="00E91EFE" w:rsidRDefault="00D51DBE" w:rsidP="00D51DBE">
      <w:pPr>
        <w:pStyle w:val="ListNormal"/>
        <w:tabs>
          <w:tab w:val="num" w:pos="879"/>
        </w:tabs>
      </w:pPr>
      <w:r w:rsidRPr="000E7854">
        <w:t xml:space="preserve">the methods by which and the principles </w:t>
      </w:r>
      <w:r>
        <w:t xml:space="preserve">in accordance with </w:t>
      </w:r>
      <w:r w:rsidRPr="000E7854">
        <w:t>which</w:t>
      </w:r>
      <w:r w:rsidRPr="00E91EFE">
        <w:t>:</w:t>
      </w:r>
    </w:p>
    <w:p w14:paraId="3FE11C41" w14:textId="77777777" w:rsidR="00D51DBE" w:rsidRPr="000E7854" w:rsidRDefault="00D51DBE" w:rsidP="00D51DBE">
      <w:pPr>
        <w:pStyle w:val="ListNormal"/>
        <w:numPr>
          <w:ilvl w:val="4"/>
          <w:numId w:val="4"/>
        </w:numPr>
      </w:pPr>
      <w:r w:rsidRPr="00E91EFE">
        <w:t xml:space="preserve">site specific charges will be made in circumstances where the electric lines or electrical plant to be installed are (at the licensee’s discretion) of greater size or capacity than that </w:t>
      </w:r>
      <w:proofErr w:type="gramStart"/>
      <w:r w:rsidRPr="00E91EFE">
        <w:t>required;</w:t>
      </w:r>
      <w:proofErr w:type="gramEnd"/>
      <w:r w:rsidRPr="00E91EFE">
        <w:t xml:space="preserve"> </w:t>
      </w:r>
    </w:p>
    <w:p w14:paraId="3A05B704" w14:textId="77777777" w:rsidR="00D51DBE" w:rsidRPr="000E7854" w:rsidRDefault="00D51DBE" w:rsidP="00D51DBE">
      <w:pPr>
        <w:pStyle w:val="ListNormal"/>
        <w:numPr>
          <w:ilvl w:val="4"/>
          <w:numId w:val="4"/>
        </w:numPr>
      </w:pPr>
      <w:r w:rsidRPr="00E91EFE">
        <w:t xml:space="preserve">any charges (including any capitalised charge) will be made for maintenance, replacement and repair required of electric lines, electrical plant or meters provided and installed for making a connection to the licensee’s Transmission System; </w:t>
      </w:r>
      <w:r>
        <w:t>and</w:t>
      </w:r>
    </w:p>
    <w:p w14:paraId="084AE049" w14:textId="77777777" w:rsidR="00D51DBE" w:rsidRPr="00E91EFE" w:rsidRDefault="00D51DBE" w:rsidP="00D51DBE">
      <w:pPr>
        <w:pStyle w:val="ListNormal"/>
        <w:numPr>
          <w:ilvl w:val="4"/>
          <w:numId w:val="4"/>
        </w:numPr>
      </w:pPr>
      <w:r w:rsidRPr="00E91EFE">
        <w:t>any charges will be made for disconnection from the licensee’s Transmission System and the removal of electrical plant, electric lines and ancillary meters following disconnection; and</w:t>
      </w:r>
    </w:p>
    <w:p w14:paraId="3B8AFD1A" w14:textId="77777777" w:rsidR="00D51DBE" w:rsidRPr="00E91EFE" w:rsidRDefault="00D51DBE" w:rsidP="00D51DBE">
      <w:pPr>
        <w:pStyle w:val="ListNormal"/>
        <w:tabs>
          <w:tab w:val="num" w:pos="879"/>
        </w:tabs>
      </w:pPr>
      <w:r w:rsidRPr="00E91EFE">
        <w:t>such other matters as are specified in directions issued by the Authority from time to time for the purpose of this condition.</w:t>
      </w:r>
    </w:p>
    <w:p w14:paraId="5E1CAB34" w14:textId="77777777" w:rsidR="00D51DBE" w:rsidRPr="00E91EFE" w:rsidRDefault="00D51DBE" w:rsidP="00D51DBE">
      <w:pPr>
        <w:pStyle w:val="NumberedNormal"/>
      </w:pPr>
      <w:r>
        <w:t xml:space="preserve">The licensee must set </w:t>
      </w:r>
      <w:r w:rsidRPr="00E91EFE">
        <w:t xml:space="preserve">site specific charges for those items referred to in paragraph </w:t>
      </w:r>
      <w:r>
        <w:t>9.11</w:t>
      </w:r>
      <w:r w:rsidRPr="00E91EFE">
        <w:t xml:space="preserve">.3 at a level </w:t>
      </w:r>
      <w:r>
        <w:t>that</w:t>
      </w:r>
      <w:r w:rsidRPr="00E91EFE">
        <w:t xml:space="preserve"> will enable the licensee to recover:</w:t>
      </w:r>
    </w:p>
    <w:p w14:paraId="0CE0E527" w14:textId="77777777" w:rsidR="00D51DBE" w:rsidRPr="00E91EFE" w:rsidRDefault="00D51DBE" w:rsidP="00D51DBE">
      <w:pPr>
        <w:pStyle w:val="ListNormal"/>
        <w:tabs>
          <w:tab w:val="num" w:pos="879"/>
        </w:tabs>
      </w:pPr>
      <w:r w:rsidRPr="00E91EFE">
        <w:t>the appropriate proportion of the costs directly or indirectly incurred in carrying out any works</w:t>
      </w:r>
      <w:r>
        <w:t xml:space="preserve"> for </w:t>
      </w:r>
      <w:r w:rsidRPr="00E91EFE">
        <w:t>the extension or reinforcement of the licensee’s Transmission System or the provision and installation, maintenance, replacement and repair or (as the case may be) removal following disconnection of any electric lines, electrical plant, meters or other items; and</w:t>
      </w:r>
    </w:p>
    <w:p w14:paraId="2AC3B4ED" w14:textId="77777777" w:rsidR="00D51DBE" w:rsidRPr="00E91EFE" w:rsidRDefault="00D51DBE" w:rsidP="00D51DBE">
      <w:pPr>
        <w:pStyle w:val="ListNormal"/>
        <w:tabs>
          <w:tab w:val="num" w:pos="879"/>
        </w:tabs>
      </w:pPr>
      <w:r w:rsidRPr="000E7854">
        <w:t>a reasonable rate of return on the capital represented by such costs.</w:t>
      </w:r>
    </w:p>
    <w:p w14:paraId="3100C4EF" w14:textId="77777777" w:rsidR="00D51DBE" w:rsidRPr="00E91EFE" w:rsidRDefault="00D51DBE" w:rsidP="00D51DBE">
      <w:pPr>
        <w:pStyle w:val="Heading3"/>
      </w:pPr>
      <w:r>
        <w:t xml:space="preserve">Revisions to the </w:t>
      </w:r>
      <w:r w:rsidRPr="00E91EFE">
        <w:t>Statement of Transmission Owner Charges</w:t>
      </w:r>
    </w:p>
    <w:p w14:paraId="058FE0B1" w14:textId="77777777" w:rsidR="00D51DBE" w:rsidRPr="00E91EFE" w:rsidRDefault="00D51DBE" w:rsidP="00D51DBE">
      <w:pPr>
        <w:pStyle w:val="NumberedNormal"/>
      </w:pPr>
      <w:r>
        <w:t>The licensee must a</w:t>
      </w:r>
      <w:r w:rsidRPr="00E91EFE">
        <w:t xml:space="preserve">t least once in every year, review and propose </w:t>
      </w:r>
      <w:r>
        <w:t xml:space="preserve">such </w:t>
      </w:r>
      <w:r w:rsidRPr="00E91EFE">
        <w:t xml:space="preserve">revisions to the Statement of Transmission Owner Charges as may be necessary </w:t>
      </w:r>
      <w:proofErr w:type="gramStart"/>
      <w:r w:rsidRPr="00E91EFE">
        <w:t>in order to</w:t>
      </w:r>
      <w:proofErr w:type="gramEnd"/>
      <w:r w:rsidRPr="00E91EFE">
        <w:t xml:space="preserve"> ensure that it continues to be accurate</w:t>
      </w:r>
      <w:r>
        <w:t>.</w:t>
      </w:r>
    </w:p>
    <w:p w14:paraId="7BAB8DEF" w14:textId="77777777" w:rsidR="00D51DBE" w:rsidRPr="00E91EFE" w:rsidRDefault="00D51DBE" w:rsidP="00D51DBE">
      <w:pPr>
        <w:pStyle w:val="NumberedNormal"/>
      </w:pPr>
      <w:r w:rsidRPr="00FB0B42">
        <w:lastRenderedPageBreak/>
        <w:t xml:space="preserve">The Authority may direct the licensee to modify the </w:t>
      </w:r>
      <w:r w:rsidRPr="00E91EFE">
        <w:t>Statement of Transmission Owner Charges in such manner, to such extent, and with effect from such time as may be specified in that direction.</w:t>
      </w:r>
    </w:p>
    <w:p w14:paraId="7F710D65" w14:textId="77777777" w:rsidR="00D51DBE" w:rsidRPr="00E91EFE" w:rsidRDefault="00D51DBE" w:rsidP="00D51DBE">
      <w:pPr>
        <w:pStyle w:val="NumberedNormal"/>
      </w:pPr>
      <w:r>
        <w:t>Before revising the Statement of Transmission Owner Charges, the licensee must provide</w:t>
      </w:r>
      <w:r w:rsidRPr="00E91EFE">
        <w:t xml:space="preserve"> a copy of the proposed revisions to the Authority. </w:t>
      </w:r>
    </w:p>
    <w:p w14:paraId="2F1BDA66" w14:textId="77777777" w:rsidR="00D51DBE" w:rsidRPr="00E91EFE" w:rsidRDefault="00D51DBE" w:rsidP="00D51DBE">
      <w:pPr>
        <w:pStyle w:val="NumberedNormal"/>
      </w:pPr>
      <w:r>
        <w:t>The Authority will either:</w:t>
      </w:r>
    </w:p>
    <w:p w14:paraId="5A963486" w14:textId="77777777" w:rsidR="00D51DBE" w:rsidRPr="00E91EFE" w:rsidRDefault="00D51DBE" w:rsidP="00D51DBE">
      <w:pPr>
        <w:pStyle w:val="ListNormal"/>
        <w:tabs>
          <w:tab w:val="num" w:pos="879"/>
        </w:tabs>
      </w:pPr>
      <w:r>
        <w:t xml:space="preserve">approve the proposed </w:t>
      </w:r>
      <w:proofErr w:type="gramStart"/>
      <w:r>
        <w:t>revisions;</w:t>
      </w:r>
      <w:proofErr w:type="gramEnd"/>
    </w:p>
    <w:p w14:paraId="4F69DEBB" w14:textId="77777777" w:rsidR="00D51DBE" w:rsidRPr="00E91EFE" w:rsidRDefault="00D51DBE" w:rsidP="00D51DBE">
      <w:pPr>
        <w:pStyle w:val="ListNormal"/>
        <w:tabs>
          <w:tab w:val="num" w:pos="879"/>
        </w:tabs>
      </w:pPr>
      <w:r>
        <w:t>reject the proposed revisions; or</w:t>
      </w:r>
    </w:p>
    <w:p w14:paraId="2B9294E9" w14:textId="77777777" w:rsidR="00D51DBE" w:rsidRPr="00E91EFE" w:rsidRDefault="00D51DBE" w:rsidP="00D51DBE">
      <w:pPr>
        <w:pStyle w:val="ListNormal"/>
        <w:tabs>
          <w:tab w:val="num" w:pos="879"/>
        </w:tabs>
      </w:pPr>
      <w:r>
        <w:t xml:space="preserve">reject the proposed revisions and give recommendations as to alternative revisions that it considers should be made. </w:t>
      </w:r>
    </w:p>
    <w:p w14:paraId="3167747B" w14:textId="77777777" w:rsidR="00D51DBE" w:rsidRPr="00E91EFE" w:rsidRDefault="00D51DBE" w:rsidP="00D51DBE">
      <w:pPr>
        <w:pStyle w:val="NumberedNormal"/>
      </w:pPr>
      <w:r w:rsidRPr="000E7854">
        <w:t xml:space="preserve">The licensee </w:t>
      </w:r>
      <w:r w:rsidRPr="00E91EFE">
        <w:t>must give or send a copy of the Statement of Transmission Owner Charges, including any revision in such form and manner as the Authority may direct</w:t>
      </w:r>
      <w:r>
        <w:t>,</w:t>
      </w:r>
      <w:r w:rsidRPr="00E91EFE" w:rsidDel="00725748">
        <w:t xml:space="preserve"> </w:t>
      </w:r>
      <w:r w:rsidRPr="00E91EFE">
        <w:t>to any person who requests a copy of such statement or statements.</w:t>
      </w:r>
    </w:p>
    <w:p w14:paraId="68EC513F" w14:textId="77777777" w:rsidR="00D51DBE" w:rsidRPr="00E91EFE" w:rsidRDefault="00D51DBE" w:rsidP="00D51DBE">
      <w:pPr>
        <w:pStyle w:val="NumberedNormal"/>
      </w:pPr>
      <w:r w:rsidRPr="000E7854">
        <w:t xml:space="preserve">The licensee may make a charge for any statement given or sent pursuant to paragraph </w:t>
      </w:r>
      <w:r>
        <w:t>9.11</w:t>
      </w:r>
      <w:r w:rsidRPr="00E91EFE">
        <w:t>.</w:t>
      </w:r>
      <w:r>
        <w:t>9</w:t>
      </w:r>
      <w:r w:rsidRPr="00E91EFE">
        <w:t xml:space="preserve"> of an amount reflecting the licensee’s reasonable costs of providing </w:t>
      </w:r>
      <w:r>
        <w:t xml:space="preserve">the </w:t>
      </w:r>
      <w:r w:rsidRPr="00E91EFE">
        <w:t>statement</w:t>
      </w:r>
      <w:r>
        <w:t>,</w:t>
      </w:r>
      <w:r w:rsidRPr="00E91EFE">
        <w:t xml:space="preserve"> which must not exceed the maximum amount specified by the Authority</w:t>
      </w:r>
      <w:r>
        <w:t xml:space="preserve"> by direction</w:t>
      </w:r>
      <w:r w:rsidRPr="00E91EFE">
        <w:t xml:space="preserve"> for the purposes of this condition.</w:t>
      </w:r>
    </w:p>
    <w:p w14:paraId="4CF5D16D" w14:textId="77777777" w:rsidR="00D51DBE" w:rsidRDefault="00D51DBE" w:rsidP="00D51DBE">
      <w:pPr>
        <w:pStyle w:val="Heading2"/>
      </w:pPr>
      <w:bookmarkStart w:id="284" w:name="_Toc52364950"/>
      <w:r>
        <w:t>Allowances in respect of a Security period</w:t>
      </w:r>
      <w:bookmarkEnd w:id="284"/>
    </w:p>
    <w:p w14:paraId="0D701FE3" w14:textId="77777777" w:rsidR="00D51DBE" w:rsidRPr="003F66DB" w:rsidRDefault="00D51DBE" w:rsidP="00D51DBE">
      <w:pPr>
        <w:pStyle w:val="NumberedNormal"/>
        <w:rPr>
          <w:i/>
          <w:iCs/>
        </w:rPr>
      </w:pPr>
      <w:r w:rsidRPr="003F66DB">
        <w:rPr>
          <w:i/>
          <w:iCs/>
        </w:rPr>
        <w:t xml:space="preserve">This is not being included as part of this consultation. </w:t>
      </w:r>
    </w:p>
    <w:p w14:paraId="2184006A" w14:textId="77777777" w:rsidR="00D51DBE" w:rsidRDefault="00D51DBE" w:rsidP="00D51DBE">
      <w:pPr>
        <w:pStyle w:val="Heading2"/>
      </w:pPr>
      <w:bookmarkStart w:id="285" w:name="_Toc52364951"/>
      <w:r>
        <w:t>Restriction on the use of certain information</w:t>
      </w:r>
      <w:bookmarkEnd w:id="285"/>
    </w:p>
    <w:p w14:paraId="601097C8" w14:textId="77777777" w:rsidR="00D51DBE" w:rsidRPr="0054500A" w:rsidRDefault="00D51DBE" w:rsidP="00D51DBE">
      <w:pPr>
        <w:pStyle w:val="Heading3nonumbering"/>
      </w:pPr>
      <w:r>
        <w:t>Introduction</w:t>
      </w:r>
    </w:p>
    <w:p w14:paraId="779BB31D" w14:textId="77777777" w:rsidR="00D51DBE" w:rsidRPr="0054500A" w:rsidRDefault="00D51DBE" w:rsidP="00D51DBE">
      <w:pPr>
        <w:pStyle w:val="NumberedNormal"/>
      </w:pPr>
      <w:r>
        <w:t xml:space="preserve">This condition </w:t>
      </w:r>
      <w:r w:rsidRPr="0054500A">
        <w:t xml:space="preserve">sets out restrictions on the use of Confidential Information. </w:t>
      </w:r>
    </w:p>
    <w:p w14:paraId="2B33491C" w14:textId="77777777" w:rsidR="00D51DBE" w:rsidRPr="0054500A" w:rsidRDefault="00D51DBE" w:rsidP="00D51DBE">
      <w:pPr>
        <w:pStyle w:val="Heading3"/>
      </w:pPr>
      <w:r>
        <w:t xml:space="preserve">Requirements for treatment of </w:t>
      </w:r>
      <w:r w:rsidRPr="0054500A">
        <w:t xml:space="preserve">Confidential Information </w:t>
      </w:r>
    </w:p>
    <w:p w14:paraId="69888E76" w14:textId="77777777" w:rsidR="00D51DBE" w:rsidRDefault="00D51DBE" w:rsidP="00D51DBE">
      <w:pPr>
        <w:pStyle w:val="NumberedNormal"/>
      </w:pPr>
      <w:r w:rsidRPr="00B023A3">
        <w:t xml:space="preserve">The licensee </w:t>
      </w:r>
      <w:r w:rsidRPr="0054500A">
        <w:t>(including its affiliates and related undertakings) must not disclose or authorise access to Confidential Information except as provided for in Part B.</w:t>
      </w:r>
    </w:p>
    <w:p w14:paraId="36CE3629" w14:textId="77777777" w:rsidR="00D51DBE" w:rsidRPr="0054500A" w:rsidRDefault="00D51DBE" w:rsidP="00D51DBE">
      <w:pPr>
        <w:pStyle w:val="Heading3"/>
      </w:pPr>
      <w:r w:rsidRPr="0054500A">
        <w:t xml:space="preserve">Circumstances under which the licensee can disclose Confidential Information </w:t>
      </w:r>
    </w:p>
    <w:p w14:paraId="20008EF3" w14:textId="77777777" w:rsidR="00D51DBE" w:rsidRPr="0054500A" w:rsidRDefault="00D51DBE" w:rsidP="00D51DBE">
      <w:pPr>
        <w:pStyle w:val="NumberedNormal"/>
      </w:pPr>
      <w:r>
        <w:t xml:space="preserve">The licensee (including its affiliates and related undertakings) may disclose or </w:t>
      </w:r>
      <w:r w:rsidRPr="0054500A">
        <w:t>authorise access to Confidential Information insofar as is necessary or appropriate in the circumstances where:</w:t>
      </w:r>
    </w:p>
    <w:p w14:paraId="5078C1C4" w14:textId="77777777" w:rsidR="00D51DBE" w:rsidRPr="0054500A" w:rsidRDefault="00D51DBE" w:rsidP="00D51DBE">
      <w:pPr>
        <w:pStyle w:val="ListNormal"/>
        <w:tabs>
          <w:tab w:val="num" w:pos="879"/>
        </w:tabs>
      </w:pPr>
      <w:r w:rsidRPr="00B023A3">
        <w:t xml:space="preserve">paragraphs </w:t>
      </w:r>
      <w:r>
        <w:t>9.1</w:t>
      </w:r>
      <w:r w:rsidR="008E127D">
        <w:t>5</w:t>
      </w:r>
      <w:r>
        <w:t>.</w:t>
      </w:r>
      <w:r w:rsidRPr="00B023A3">
        <w:t xml:space="preserve">9 to </w:t>
      </w:r>
      <w:r>
        <w:t>9.15.</w:t>
      </w:r>
      <w:r w:rsidRPr="00B023A3">
        <w:t xml:space="preserve">12 </w:t>
      </w:r>
      <w:r w:rsidRPr="0054500A">
        <w:t xml:space="preserve">of Special Condition </w:t>
      </w:r>
      <w:r>
        <w:t>9.15</w:t>
      </w:r>
      <w:r w:rsidRPr="0054500A">
        <w:t xml:space="preserve"> (Independence of and appointment of managing director of the Transmission Business) apply,</w:t>
      </w:r>
    </w:p>
    <w:p w14:paraId="43AE4C9A" w14:textId="77777777" w:rsidR="00D51DBE" w:rsidRPr="0054500A" w:rsidRDefault="00D51DBE" w:rsidP="00D51DBE">
      <w:pPr>
        <w:pStyle w:val="ListNormal"/>
        <w:tabs>
          <w:tab w:val="num" w:pos="879"/>
        </w:tabs>
      </w:pPr>
      <w:r>
        <w:t xml:space="preserve">the information is only used for the purpose of the Transmission Business or any External Transmission Activities of the licensees, </w:t>
      </w:r>
      <w:r w:rsidRPr="0054500A">
        <w:t xml:space="preserve">and effective </w:t>
      </w:r>
      <w:r w:rsidRPr="0054500A">
        <w:lastRenderedPageBreak/>
        <w:t xml:space="preserve">arrangements </w:t>
      </w:r>
      <w:proofErr w:type="gramStart"/>
      <w:r w:rsidRPr="0054500A">
        <w:t>are in place at all times</w:t>
      </w:r>
      <w:proofErr w:type="gramEnd"/>
      <w:r w:rsidRPr="0054500A">
        <w:t xml:space="preserve"> for ensuring no further disclosure</w:t>
      </w:r>
      <w:r>
        <w:t xml:space="preserve"> occurs.</w:t>
      </w:r>
    </w:p>
    <w:p w14:paraId="10BD85F7" w14:textId="77777777" w:rsidR="00D51DBE" w:rsidRPr="0054500A" w:rsidRDefault="00D51DBE" w:rsidP="00D51DBE">
      <w:pPr>
        <w:pStyle w:val="ListNormal"/>
        <w:tabs>
          <w:tab w:val="num" w:pos="879"/>
        </w:tabs>
      </w:pPr>
      <w:r>
        <w:t>disclosure of the information is required or permitted by:</w:t>
      </w:r>
    </w:p>
    <w:p w14:paraId="51C91C49" w14:textId="08CF0FD1" w:rsidR="00D51DBE" w:rsidRPr="0054500A" w:rsidRDefault="00D51DBE" w:rsidP="00D51DBE">
      <w:pPr>
        <w:pStyle w:val="ListNormal"/>
        <w:numPr>
          <w:ilvl w:val="4"/>
          <w:numId w:val="4"/>
        </w:numPr>
      </w:pPr>
      <w:r w:rsidRPr="00B023A3">
        <w:t xml:space="preserve">any requirement of a </w:t>
      </w:r>
      <w:r>
        <w:t xml:space="preserve">Competent </w:t>
      </w:r>
      <w:proofErr w:type="gramStart"/>
      <w:r>
        <w:t>A</w:t>
      </w:r>
      <w:r w:rsidRPr="00B023A3">
        <w:t>uthority;</w:t>
      </w:r>
      <w:proofErr w:type="gramEnd"/>
    </w:p>
    <w:p w14:paraId="2B4F0845" w14:textId="77777777" w:rsidR="00D51DBE" w:rsidRPr="0054500A" w:rsidRDefault="00D51DBE" w:rsidP="00D51DBE">
      <w:pPr>
        <w:pStyle w:val="ListNormal"/>
        <w:numPr>
          <w:ilvl w:val="4"/>
          <w:numId w:val="4"/>
        </w:numPr>
      </w:pPr>
      <w:r w:rsidRPr="00B023A3">
        <w:t xml:space="preserve">the standard conditions of any licence granted or taking effect as if granted under the Act or any document referred to in such a licence with which </w:t>
      </w:r>
      <w:r>
        <w:t xml:space="preserve">the licensee </w:t>
      </w:r>
      <w:r w:rsidRPr="00B023A3">
        <w:t xml:space="preserve">is required by virtue of the Act or that licence to </w:t>
      </w:r>
      <w:proofErr w:type="gramStart"/>
      <w:r w:rsidRPr="00B023A3">
        <w:t>comply;</w:t>
      </w:r>
      <w:proofErr w:type="gramEnd"/>
    </w:p>
    <w:p w14:paraId="11FCFA30" w14:textId="77777777" w:rsidR="00D51DBE" w:rsidRDefault="00D51DBE" w:rsidP="00D51DBE">
      <w:pPr>
        <w:pStyle w:val="ListNormal"/>
        <w:numPr>
          <w:ilvl w:val="4"/>
          <w:numId w:val="4"/>
        </w:numPr>
      </w:pPr>
      <w:r w:rsidRPr="00B023A3">
        <w:t xml:space="preserve">any </w:t>
      </w:r>
      <w:r>
        <w:t xml:space="preserve">court or tribunal order; or </w:t>
      </w:r>
    </w:p>
    <w:p w14:paraId="3116C2FA" w14:textId="77777777" w:rsidR="00D51DBE" w:rsidRPr="0054500A" w:rsidRDefault="00D51DBE" w:rsidP="00D51DBE">
      <w:pPr>
        <w:pStyle w:val="ListNormal"/>
        <w:numPr>
          <w:ilvl w:val="4"/>
          <w:numId w:val="4"/>
        </w:numPr>
      </w:pPr>
      <w:r>
        <w:t>the performance of a statutory function</w:t>
      </w:r>
      <w:r w:rsidRPr="00B023A3">
        <w:t>; or</w:t>
      </w:r>
    </w:p>
    <w:p w14:paraId="5142CBDC" w14:textId="77777777" w:rsidR="00D51DBE" w:rsidRPr="0054500A" w:rsidRDefault="00D51DBE" w:rsidP="00D51DBE">
      <w:pPr>
        <w:pStyle w:val="ListNormal"/>
        <w:numPr>
          <w:ilvl w:val="4"/>
          <w:numId w:val="4"/>
        </w:numPr>
      </w:pPr>
      <w:r>
        <w:t xml:space="preserve">as is necessary under the </w:t>
      </w:r>
      <w:r w:rsidRPr="0054500A">
        <w:t xml:space="preserve">rules of the Electricity Arbitration Association or other </w:t>
      </w:r>
      <w:proofErr w:type="gramStart"/>
      <w:r w:rsidRPr="0054500A">
        <w:t>arbitral</w:t>
      </w:r>
      <w:r>
        <w:t>;</w:t>
      </w:r>
      <w:r w:rsidRPr="0054500A">
        <w:t>;</w:t>
      </w:r>
      <w:proofErr w:type="gramEnd"/>
    </w:p>
    <w:p w14:paraId="0A938500" w14:textId="77777777" w:rsidR="00D51DBE" w:rsidRPr="0054500A" w:rsidRDefault="00D51DBE" w:rsidP="00D51DBE">
      <w:pPr>
        <w:pStyle w:val="ListNormal"/>
        <w:tabs>
          <w:tab w:val="num" w:pos="879"/>
        </w:tabs>
      </w:pPr>
      <w:r w:rsidRPr="00A33935">
        <w:t xml:space="preserve">the licensee has been notified by the person who provided the information or to </w:t>
      </w:r>
      <w:r>
        <w:t xml:space="preserve">all persons to </w:t>
      </w:r>
      <w:r w:rsidRPr="00A33935">
        <w:t xml:space="preserve">whom it relates that the information need not be treated as </w:t>
      </w:r>
      <w:proofErr w:type="gramStart"/>
      <w:r w:rsidRPr="00A33935">
        <w:t>confidential;</w:t>
      </w:r>
      <w:proofErr w:type="gramEnd"/>
    </w:p>
    <w:p w14:paraId="58620ED1" w14:textId="77777777" w:rsidR="00D51DBE" w:rsidRDefault="00D51DBE" w:rsidP="00D51DBE">
      <w:pPr>
        <w:pStyle w:val="ListNormal"/>
        <w:tabs>
          <w:tab w:val="num" w:pos="879"/>
        </w:tabs>
      </w:pPr>
      <w:r w:rsidRPr="00A33935">
        <w:t xml:space="preserve">the licensee </w:t>
      </w:r>
      <w:r w:rsidRPr="0054500A">
        <w:t>makes public information</w:t>
      </w:r>
      <w:r>
        <w:t xml:space="preserve"> </w:t>
      </w:r>
      <w:proofErr w:type="gramStart"/>
      <w:r>
        <w:t>which;</w:t>
      </w:r>
      <w:proofErr w:type="gramEnd"/>
    </w:p>
    <w:p w14:paraId="44DF3C25" w14:textId="77777777" w:rsidR="00D51DBE" w:rsidRDefault="00D51DBE" w:rsidP="00D51DBE">
      <w:pPr>
        <w:pStyle w:val="ListNormal"/>
        <w:numPr>
          <w:ilvl w:val="4"/>
          <w:numId w:val="30"/>
        </w:numPr>
      </w:pPr>
      <w:r>
        <w:t xml:space="preserve">is </w:t>
      </w:r>
      <w:r w:rsidRPr="0054500A">
        <w:t xml:space="preserve">not provided by </w:t>
      </w:r>
      <w:r>
        <w:t>another person; or</w:t>
      </w:r>
    </w:p>
    <w:p w14:paraId="43133793" w14:textId="77777777" w:rsidR="00D51DBE" w:rsidRPr="0054500A" w:rsidRDefault="00D51DBE" w:rsidP="00D51DBE">
      <w:pPr>
        <w:pStyle w:val="ListNormal"/>
        <w:numPr>
          <w:ilvl w:val="4"/>
          <w:numId w:val="30"/>
        </w:numPr>
      </w:pPr>
      <w:r>
        <w:t>does note relate to another person</w:t>
      </w:r>
    </w:p>
    <w:p w14:paraId="5347DDF7" w14:textId="77777777" w:rsidR="00D51DBE" w:rsidRDefault="00D51DBE" w:rsidP="00D51DBE">
      <w:pPr>
        <w:pStyle w:val="ListNormal"/>
        <w:tabs>
          <w:tab w:val="num" w:pos="879"/>
        </w:tabs>
      </w:pPr>
      <w:r w:rsidRPr="00A33935">
        <w:t>information is required for the purposes of assisting othe</w:t>
      </w:r>
      <w:r w:rsidRPr="0054500A">
        <w:t xml:space="preserve">r transmission licence holders to prepare for, plan and develop the operation of a GB Transmission </w:t>
      </w:r>
      <w:r>
        <w:t>S</w:t>
      </w:r>
      <w:r w:rsidRPr="0054500A">
        <w:t>ystem and such other matters as will facilitate the implementation of new arrangements relating to the trading and transmission of electricity in Great Britain designed</w:t>
      </w:r>
      <w:r>
        <w:t xml:space="preserve"> </w:t>
      </w:r>
      <w:r w:rsidRPr="0054500A">
        <w:t>to</w:t>
      </w:r>
      <w:r>
        <w:t>;</w:t>
      </w:r>
    </w:p>
    <w:p w14:paraId="071B2539" w14:textId="77777777" w:rsidR="00D51DBE" w:rsidRPr="0054500A" w:rsidRDefault="00D51DBE" w:rsidP="00D51DBE">
      <w:pPr>
        <w:pStyle w:val="ListNormal"/>
        <w:numPr>
          <w:ilvl w:val="4"/>
          <w:numId w:val="4"/>
        </w:numPr>
      </w:pPr>
      <w:r w:rsidRPr="0054500A">
        <w:t>promote the creation of a single competitive wholesale electricity trading market; and</w:t>
      </w:r>
    </w:p>
    <w:p w14:paraId="376FC30A" w14:textId="77777777" w:rsidR="00D51DBE" w:rsidRPr="0054500A" w:rsidRDefault="00D51DBE" w:rsidP="00D51DBE">
      <w:pPr>
        <w:pStyle w:val="ListNormal"/>
        <w:numPr>
          <w:ilvl w:val="4"/>
          <w:numId w:val="4"/>
        </w:numPr>
      </w:pPr>
      <w:r w:rsidRPr="00B023A3">
        <w:t xml:space="preserve">introduce a single set of arrangements for access to and use of any </w:t>
      </w:r>
      <w:r w:rsidRPr="0054500A">
        <w:t>Transmission System in Great Britain</w:t>
      </w:r>
      <w:r>
        <w:t>.</w:t>
      </w:r>
    </w:p>
    <w:p w14:paraId="559A2D79" w14:textId="77777777" w:rsidR="00D51DBE" w:rsidRDefault="00D51DBE" w:rsidP="00D51DBE">
      <w:pPr>
        <w:pStyle w:val="Heading2"/>
      </w:pPr>
      <w:bookmarkStart w:id="286" w:name="_Toc52364952"/>
      <w:r>
        <w:t>Appointment of a Compliance Officer</w:t>
      </w:r>
      <w:bookmarkEnd w:id="286"/>
    </w:p>
    <w:p w14:paraId="16CF68CE" w14:textId="77777777" w:rsidR="00D51DBE" w:rsidRPr="0054500A" w:rsidRDefault="00D51DBE" w:rsidP="00D51DBE">
      <w:pPr>
        <w:pStyle w:val="Heading3nonumbering"/>
      </w:pPr>
      <w:r>
        <w:t xml:space="preserve">Introduction </w:t>
      </w:r>
    </w:p>
    <w:p w14:paraId="2DF46541" w14:textId="77777777" w:rsidR="00D51DBE" w:rsidRPr="0054500A" w:rsidRDefault="00D51DBE" w:rsidP="00D51DBE">
      <w:pPr>
        <w:pStyle w:val="NumberedNormal"/>
      </w:pPr>
      <w:r>
        <w:t xml:space="preserve">The purpose of this condition is to set out </w:t>
      </w:r>
      <w:r w:rsidRPr="0054500A">
        <w:t>requirements on the licensee to:</w:t>
      </w:r>
    </w:p>
    <w:p w14:paraId="13DD2DDB" w14:textId="77777777" w:rsidR="00D51DBE" w:rsidRPr="0054500A" w:rsidRDefault="00D51DBE" w:rsidP="00D51DBE">
      <w:pPr>
        <w:pStyle w:val="ListNormal"/>
        <w:tabs>
          <w:tab w:val="num" w:pos="879"/>
        </w:tabs>
      </w:pPr>
      <w:r w:rsidRPr="0054500A">
        <w:t>prepare a Compliance Statement</w:t>
      </w:r>
      <w:r>
        <w:t>,</w:t>
      </w:r>
    </w:p>
    <w:p w14:paraId="2734E9BA" w14:textId="77777777" w:rsidR="00D51DBE" w:rsidRPr="0054500A" w:rsidRDefault="00D51DBE" w:rsidP="00D51DBE">
      <w:pPr>
        <w:pStyle w:val="ListNormal"/>
        <w:tabs>
          <w:tab w:val="num" w:pos="879"/>
        </w:tabs>
      </w:pPr>
      <w:r w:rsidRPr="0054500A">
        <w:t xml:space="preserve">appoint a Compliance Officer, and </w:t>
      </w:r>
    </w:p>
    <w:p w14:paraId="33F73CC5" w14:textId="40FA52F8" w:rsidR="00D51DBE" w:rsidRPr="0054500A" w:rsidRDefault="00D51DBE" w:rsidP="00D51DBE">
      <w:pPr>
        <w:pStyle w:val="ListNormal"/>
        <w:tabs>
          <w:tab w:val="num" w:pos="879"/>
        </w:tabs>
      </w:pPr>
      <w:r>
        <w:t xml:space="preserve">prepare a </w:t>
      </w:r>
      <w:r w:rsidRPr="0054500A">
        <w:t>Compliance Report</w:t>
      </w:r>
      <w:r>
        <w:t>.</w:t>
      </w:r>
    </w:p>
    <w:p w14:paraId="2EE30DE3" w14:textId="77777777" w:rsidR="00D51DBE" w:rsidRPr="0054500A" w:rsidRDefault="00D51DBE" w:rsidP="00D51DBE">
      <w:pPr>
        <w:pStyle w:val="Heading3"/>
      </w:pPr>
      <w:r w:rsidRPr="0054500A">
        <w:t xml:space="preserve">Compliance Statement </w:t>
      </w:r>
    </w:p>
    <w:p w14:paraId="57987968" w14:textId="77777777" w:rsidR="00D51DBE" w:rsidRPr="0054500A" w:rsidRDefault="00D51DBE" w:rsidP="00D51DBE">
      <w:pPr>
        <w:pStyle w:val="NumberedNormal"/>
      </w:pPr>
      <w:r>
        <w:t xml:space="preserve">The licensee </w:t>
      </w:r>
      <w:r w:rsidRPr="0054500A">
        <w:t>must prepare a Compliance Statement that:</w:t>
      </w:r>
    </w:p>
    <w:p w14:paraId="0F76709D" w14:textId="77777777" w:rsidR="00D51DBE" w:rsidRPr="0054500A" w:rsidRDefault="00D51DBE" w:rsidP="00D51DBE">
      <w:pPr>
        <w:pStyle w:val="ListNormal"/>
        <w:tabs>
          <w:tab w:val="num" w:pos="879"/>
        </w:tabs>
      </w:pPr>
      <w:r>
        <w:t xml:space="preserve">is </w:t>
      </w:r>
      <w:r w:rsidRPr="0054500A">
        <w:t>in a form approved by the Authority, and</w:t>
      </w:r>
    </w:p>
    <w:p w14:paraId="4DCAE4BE" w14:textId="77777777" w:rsidR="00D51DBE" w:rsidRPr="0054500A" w:rsidRDefault="00D51DBE" w:rsidP="00D51DBE">
      <w:pPr>
        <w:pStyle w:val="ListNormal"/>
        <w:tabs>
          <w:tab w:val="num" w:pos="879"/>
        </w:tabs>
      </w:pPr>
      <w:r w:rsidRPr="0054500A">
        <w:lastRenderedPageBreak/>
        <w:t xml:space="preserve">sets out the practices, </w:t>
      </w:r>
      <w:proofErr w:type="gramStart"/>
      <w:r w:rsidRPr="0054500A">
        <w:t>procedures</w:t>
      </w:r>
      <w:proofErr w:type="gramEnd"/>
      <w:r w:rsidRPr="0054500A">
        <w:t xml:space="preserve"> and systems which the licensee has adopted (or intends to adopt) to ensure its compliance with the Relevant Duties.</w:t>
      </w:r>
    </w:p>
    <w:p w14:paraId="7BB61F37" w14:textId="77777777" w:rsidR="00D51DBE" w:rsidRPr="0054500A" w:rsidRDefault="00D51DBE" w:rsidP="00D51DBE">
      <w:pPr>
        <w:pStyle w:val="NumberedNormal"/>
      </w:pPr>
      <w:r>
        <w:t>The licensee</w:t>
      </w:r>
      <w:r w:rsidRPr="0054500A">
        <w:t>:</w:t>
      </w:r>
    </w:p>
    <w:p w14:paraId="14D88B27" w14:textId="77777777" w:rsidR="00D51DBE" w:rsidRPr="0054500A" w:rsidRDefault="00D51DBE" w:rsidP="00D51DBE">
      <w:pPr>
        <w:pStyle w:val="ListNormal"/>
        <w:tabs>
          <w:tab w:val="num" w:pos="879"/>
        </w:tabs>
      </w:pPr>
      <w:r w:rsidRPr="0054500A">
        <w:t>must</w:t>
      </w:r>
      <w:r w:rsidRPr="0054500A" w:rsidDel="00F30AA8">
        <w:t xml:space="preserve"> </w:t>
      </w:r>
      <w:r w:rsidRPr="0054500A">
        <w:t xml:space="preserve">review the Compliance Statement at least once </w:t>
      </w:r>
      <w:r>
        <w:t xml:space="preserve">in each Regulatory Year </w:t>
      </w:r>
      <w:r w:rsidRPr="0054500A">
        <w:t>to ensure that it continues to be accurate</w:t>
      </w:r>
      <w:r>
        <w:t xml:space="preserve">, </w:t>
      </w:r>
      <w:r w:rsidRPr="0054500A">
        <w:t>and</w:t>
      </w:r>
    </w:p>
    <w:p w14:paraId="525F088C" w14:textId="77777777" w:rsidR="00D51DBE" w:rsidRPr="0054500A" w:rsidRDefault="00D51DBE" w:rsidP="00D51DBE">
      <w:pPr>
        <w:pStyle w:val="ListNormal"/>
        <w:tabs>
          <w:tab w:val="num" w:pos="879"/>
        </w:tabs>
      </w:pPr>
      <w:r w:rsidRPr="0054500A">
        <w:t>may, with the approval of the Authority, alter the form of the Compliance Statement.</w:t>
      </w:r>
    </w:p>
    <w:p w14:paraId="22D7B13D" w14:textId="77777777" w:rsidR="00D51DBE" w:rsidRPr="0054500A" w:rsidRDefault="00D51DBE" w:rsidP="00D51DBE">
      <w:pPr>
        <w:pStyle w:val="NumberedNormal"/>
      </w:pPr>
      <w:r>
        <w:t xml:space="preserve">The licensee </w:t>
      </w:r>
      <w:r w:rsidRPr="0054500A">
        <w:t xml:space="preserve">must send a copy of the Compliance Statement, and of each </w:t>
      </w:r>
      <w:r>
        <w:t xml:space="preserve">alteration </w:t>
      </w:r>
      <w:r w:rsidRPr="0054500A">
        <w:t xml:space="preserve">under </w:t>
      </w:r>
      <w:r>
        <w:t>paragraph 9.14</w:t>
      </w:r>
      <w:r w:rsidRPr="0054500A">
        <w:t>.3(b), to the Authority.</w:t>
      </w:r>
    </w:p>
    <w:p w14:paraId="47B7247C" w14:textId="77777777" w:rsidR="00D51DBE" w:rsidRPr="0054500A" w:rsidRDefault="00D51DBE" w:rsidP="00D51DBE">
      <w:pPr>
        <w:pStyle w:val="Heading3"/>
      </w:pPr>
      <w:r>
        <w:t>Appointment of the Compliance Officer</w:t>
      </w:r>
      <w:r w:rsidRPr="0054500A">
        <w:t xml:space="preserve"> </w:t>
      </w:r>
    </w:p>
    <w:p w14:paraId="57FF9325" w14:textId="77777777" w:rsidR="00D51DBE" w:rsidRPr="0054500A" w:rsidRDefault="00D51DBE" w:rsidP="00D51DBE">
      <w:pPr>
        <w:pStyle w:val="NumberedNormal"/>
      </w:pPr>
      <w:r>
        <w:t xml:space="preserve">The licensee </w:t>
      </w:r>
      <w:r w:rsidRPr="0054500A">
        <w:t>must, subject to the approval by the Authority of the proposed candidate, appoint a Compliance Officer.</w:t>
      </w:r>
    </w:p>
    <w:p w14:paraId="02BCD414" w14:textId="77777777" w:rsidR="00D51DBE" w:rsidRPr="0054500A" w:rsidRDefault="00D51DBE" w:rsidP="00D51DBE">
      <w:pPr>
        <w:pStyle w:val="NumberedNormal"/>
      </w:pPr>
      <w:r>
        <w:t xml:space="preserve">The licensee </w:t>
      </w:r>
      <w:r w:rsidRPr="0054500A">
        <w:t xml:space="preserve">must at all times engage the services of the Compliance Officer for the performance of such duties and tasks as the licensee considers it appropriate to assign to </w:t>
      </w:r>
      <w:r>
        <w:t>them</w:t>
      </w:r>
      <w:r w:rsidRPr="0054500A">
        <w:t xml:space="preserve"> for the purposes </w:t>
      </w:r>
      <w:r>
        <w:t>of compliance with the Relevant Duties</w:t>
      </w:r>
      <w:r w:rsidRPr="0054500A">
        <w:t xml:space="preserve">, including the duties and tasks set out at </w:t>
      </w:r>
      <w:r>
        <w:t>9.14</w:t>
      </w:r>
      <w:r w:rsidRPr="0054500A">
        <w:t>.</w:t>
      </w:r>
      <w:r>
        <w:t>9</w:t>
      </w:r>
      <w:r w:rsidRPr="0054500A">
        <w:t>.</w:t>
      </w:r>
    </w:p>
    <w:p w14:paraId="2120AA61" w14:textId="77777777" w:rsidR="00D51DBE" w:rsidRPr="0054500A" w:rsidRDefault="00D51DBE" w:rsidP="00D51DBE">
      <w:pPr>
        <w:pStyle w:val="NumberedNormal"/>
      </w:pPr>
      <w:r>
        <w:t>The licensee</w:t>
      </w:r>
      <w:r w:rsidRPr="0054500A">
        <w:t xml:space="preserve"> must, as is reasonably required for the fulfilment of the duties and tasks assigned, provide the Compliance Officer with:</w:t>
      </w:r>
    </w:p>
    <w:p w14:paraId="7D351E08" w14:textId="77777777" w:rsidR="00D51DBE" w:rsidRPr="0054500A" w:rsidRDefault="00D51DBE" w:rsidP="00D51DBE">
      <w:pPr>
        <w:pStyle w:val="ListNormal"/>
        <w:tabs>
          <w:tab w:val="num" w:pos="879"/>
        </w:tabs>
      </w:pPr>
      <w:r w:rsidRPr="0054500A">
        <w:t xml:space="preserve">staff, premises, equipment, </w:t>
      </w:r>
      <w:proofErr w:type="gramStart"/>
      <w:r w:rsidRPr="0054500A">
        <w:t>facilities</w:t>
      </w:r>
      <w:proofErr w:type="gramEnd"/>
      <w:r w:rsidRPr="0054500A">
        <w:t xml:space="preserve"> and other resources; and</w:t>
      </w:r>
    </w:p>
    <w:p w14:paraId="79CE2518" w14:textId="77777777" w:rsidR="00D51DBE" w:rsidRPr="0054500A" w:rsidRDefault="00D51DBE" w:rsidP="00D51DBE">
      <w:pPr>
        <w:pStyle w:val="ListNormal"/>
        <w:tabs>
          <w:tab w:val="num" w:pos="879"/>
        </w:tabs>
      </w:pPr>
      <w:r w:rsidRPr="0054500A">
        <w:t xml:space="preserve">access to its premises, systems, </w:t>
      </w:r>
      <w:proofErr w:type="gramStart"/>
      <w:r w:rsidRPr="0054500A">
        <w:t>information</w:t>
      </w:r>
      <w:proofErr w:type="gramEnd"/>
      <w:r w:rsidRPr="0054500A">
        <w:t xml:space="preserve"> and documentation</w:t>
      </w:r>
      <w:r>
        <w:t>.</w:t>
      </w:r>
    </w:p>
    <w:p w14:paraId="74720439" w14:textId="77777777" w:rsidR="00D51DBE" w:rsidRPr="0054500A" w:rsidRDefault="00D51DBE" w:rsidP="00D51DBE">
      <w:pPr>
        <w:pStyle w:val="NumberedNormal"/>
      </w:pPr>
      <w:r>
        <w:t xml:space="preserve">The licensee </w:t>
      </w:r>
      <w:r w:rsidRPr="0054500A">
        <w:t xml:space="preserve">must make available to the Compliance Officer a copy of any complaint or representation received by it from any person in relation to any of the practices, procedures and systems adopted by the licensee in accordance with the </w:t>
      </w:r>
      <w:r>
        <w:t>Compliance S</w:t>
      </w:r>
      <w:r w:rsidRPr="0054500A">
        <w:t xml:space="preserve">tatement </w:t>
      </w:r>
      <w:r>
        <w:t>required by Part A</w:t>
      </w:r>
      <w:r w:rsidRPr="0054500A">
        <w:t>.</w:t>
      </w:r>
    </w:p>
    <w:p w14:paraId="5518FE4F" w14:textId="77777777" w:rsidR="00D51DBE" w:rsidRPr="0054500A" w:rsidRDefault="00D51DBE" w:rsidP="00D51DBE">
      <w:pPr>
        <w:pStyle w:val="NumberedNormal"/>
      </w:pPr>
      <w:r>
        <w:t xml:space="preserve">The duties and tasks assigned to the Compliance Officer </w:t>
      </w:r>
      <w:r w:rsidRPr="0054500A">
        <w:t>must include:</w:t>
      </w:r>
    </w:p>
    <w:p w14:paraId="3AE1036D" w14:textId="77777777" w:rsidR="00D51DBE" w:rsidRPr="0054500A" w:rsidRDefault="00D51DBE" w:rsidP="00D51DBE">
      <w:pPr>
        <w:pStyle w:val="ListNormal"/>
        <w:tabs>
          <w:tab w:val="num" w:pos="879"/>
        </w:tabs>
      </w:pPr>
      <w:r>
        <w:t xml:space="preserve">providing relevant advice and information to the licensee for the purpose of ensuring its compliance with the Relevant </w:t>
      </w:r>
      <w:proofErr w:type="gramStart"/>
      <w:r>
        <w:t>Duties;</w:t>
      </w:r>
      <w:proofErr w:type="gramEnd"/>
    </w:p>
    <w:p w14:paraId="654D478F" w14:textId="77777777" w:rsidR="00D51DBE" w:rsidRPr="0054500A" w:rsidRDefault="00D51DBE" w:rsidP="00D51DBE">
      <w:pPr>
        <w:pStyle w:val="ListNormal"/>
        <w:tabs>
          <w:tab w:val="num" w:pos="879"/>
        </w:tabs>
      </w:pPr>
      <w:r>
        <w:t xml:space="preserve">monitoring the effectiveness of the practices, procedures and systems adopted by the licensee in accordance with the Compliance Statement under paragraph </w:t>
      </w:r>
      <w:proofErr w:type="gramStart"/>
      <w:r>
        <w:t>9.14.2</w:t>
      </w:r>
      <w:r w:rsidRPr="0054500A">
        <w:t>;</w:t>
      </w:r>
      <w:proofErr w:type="gramEnd"/>
    </w:p>
    <w:p w14:paraId="60BF266B" w14:textId="77777777" w:rsidR="00D51DBE" w:rsidRPr="0054500A" w:rsidRDefault="00D51DBE" w:rsidP="00D51DBE">
      <w:pPr>
        <w:pStyle w:val="ListNormal"/>
        <w:tabs>
          <w:tab w:val="num" w:pos="879"/>
        </w:tabs>
      </w:pPr>
      <w:r>
        <w:t xml:space="preserve">investigating any complaint or representation made available to </w:t>
      </w:r>
      <w:r w:rsidRPr="0054500A">
        <w:t xml:space="preserve">them in accordance with </w:t>
      </w:r>
      <w:r>
        <w:t xml:space="preserve">paragraph </w:t>
      </w:r>
      <w:proofErr w:type="gramStart"/>
      <w:r>
        <w:t>9.14.8</w:t>
      </w:r>
      <w:r w:rsidRPr="0054500A">
        <w:t>;</w:t>
      </w:r>
      <w:proofErr w:type="gramEnd"/>
    </w:p>
    <w:p w14:paraId="2031BF2C" w14:textId="77777777" w:rsidR="00D51DBE" w:rsidRPr="0054500A" w:rsidRDefault="00D51DBE" w:rsidP="00D51DBE">
      <w:pPr>
        <w:pStyle w:val="ListNormal"/>
        <w:tabs>
          <w:tab w:val="num" w:pos="879"/>
        </w:tabs>
      </w:pPr>
      <w:r>
        <w:t xml:space="preserve">recommending and advising upon the remedial action which any such investigation has demonstrated to be necessary or </w:t>
      </w:r>
      <w:proofErr w:type="gramStart"/>
      <w:r>
        <w:t>desirable;</w:t>
      </w:r>
      <w:proofErr w:type="gramEnd"/>
    </w:p>
    <w:p w14:paraId="2F7FCED5" w14:textId="77777777" w:rsidR="00D51DBE" w:rsidRPr="0054500A" w:rsidRDefault="00D51DBE" w:rsidP="00D51DBE">
      <w:pPr>
        <w:pStyle w:val="ListNormal"/>
        <w:tabs>
          <w:tab w:val="num" w:pos="879"/>
        </w:tabs>
      </w:pPr>
      <w:r>
        <w:t>providing relevant advice and information to the licensee for the purpose of ensuring its effective implementation of:</w:t>
      </w:r>
    </w:p>
    <w:p w14:paraId="552E7EAB" w14:textId="77777777" w:rsidR="00D51DBE" w:rsidRPr="0054500A" w:rsidRDefault="00D51DBE" w:rsidP="00D51DBE">
      <w:pPr>
        <w:pStyle w:val="ListNormal"/>
        <w:numPr>
          <w:ilvl w:val="4"/>
          <w:numId w:val="4"/>
        </w:numPr>
      </w:pPr>
      <w:r>
        <w:lastRenderedPageBreak/>
        <w:t>the practices, procedures and systems adopted in accordance with the Compliance Statement required by Part A</w:t>
      </w:r>
      <w:r w:rsidRPr="0054500A">
        <w:t>; and</w:t>
      </w:r>
    </w:p>
    <w:p w14:paraId="73BE5649" w14:textId="77777777" w:rsidR="00D51DBE" w:rsidRPr="0054500A" w:rsidRDefault="00D51DBE" w:rsidP="00D51DBE">
      <w:pPr>
        <w:pStyle w:val="ListNormal"/>
        <w:numPr>
          <w:ilvl w:val="4"/>
          <w:numId w:val="4"/>
        </w:numPr>
      </w:pPr>
      <w:r>
        <w:t>any remedial action recommended in accordance with sub-paragraph (d); and</w:t>
      </w:r>
    </w:p>
    <w:p w14:paraId="68012B7F" w14:textId="77777777" w:rsidR="00D51DBE" w:rsidRPr="0054500A" w:rsidRDefault="00D51DBE" w:rsidP="00D51DBE">
      <w:pPr>
        <w:pStyle w:val="ListNormal"/>
        <w:numPr>
          <w:ilvl w:val="4"/>
          <w:numId w:val="4"/>
        </w:numPr>
      </w:pPr>
      <w:r>
        <w:t xml:space="preserve">reporting annually to the directors of the licensee - in respect of </w:t>
      </w:r>
      <w:proofErr w:type="gramStart"/>
      <w:r>
        <w:t>the each</w:t>
      </w:r>
      <w:proofErr w:type="gramEnd"/>
      <w:r>
        <w:t xml:space="preserve"> Regulatory Year - as to </w:t>
      </w:r>
      <w:r w:rsidRPr="0054500A">
        <w:t>their activities during the period covered by the report, including the fulfilment of the other duties and tasks assigned to them by the licensee.</w:t>
      </w:r>
    </w:p>
    <w:p w14:paraId="0FEEA671" w14:textId="77777777" w:rsidR="00D51DBE" w:rsidRPr="0054500A" w:rsidRDefault="00D51DBE" w:rsidP="00D51DBE">
      <w:pPr>
        <w:pStyle w:val="Heading3"/>
      </w:pPr>
      <w:r>
        <w:t>Compliance Report</w:t>
      </w:r>
    </w:p>
    <w:p w14:paraId="517407D4" w14:textId="77777777" w:rsidR="00D51DBE" w:rsidRPr="0054500A" w:rsidRDefault="00D51DBE" w:rsidP="00D51DBE">
      <w:pPr>
        <w:pStyle w:val="NumberedNormal"/>
      </w:pPr>
      <w:r>
        <w:t xml:space="preserve">As soon as is reasonably practicable following each annual report of the Compliance Officer, the licensee </w:t>
      </w:r>
      <w:r w:rsidRPr="0054500A">
        <w:t>must produce a Compliance Report:</w:t>
      </w:r>
    </w:p>
    <w:p w14:paraId="6B5D347E" w14:textId="77777777" w:rsidR="00D51DBE" w:rsidRPr="0054500A" w:rsidRDefault="00D51DBE" w:rsidP="00D51DBE">
      <w:pPr>
        <w:pStyle w:val="ListNormal"/>
        <w:tabs>
          <w:tab w:val="num" w:pos="879"/>
        </w:tabs>
      </w:pPr>
      <w:r>
        <w:t xml:space="preserve">as to its compliance during the </w:t>
      </w:r>
      <w:r w:rsidRPr="0054500A">
        <w:t>Regulatory Year with the Relevant Duties; and</w:t>
      </w:r>
    </w:p>
    <w:p w14:paraId="71B3B5DD" w14:textId="77777777" w:rsidR="00D51DBE" w:rsidRPr="0054500A" w:rsidRDefault="00D51DBE" w:rsidP="00D51DBE">
      <w:pPr>
        <w:pStyle w:val="ListNormal"/>
        <w:tabs>
          <w:tab w:val="num" w:pos="879"/>
        </w:tabs>
      </w:pPr>
      <w:r>
        <w:t xml:space="preserve">as to its implementation of the practices, procedures and systems adopted in accordance with the </w:t>
      </w:r>
      <w:r w:rsidRPr="0054500A">
        <w:t>Compliance Statement.</w:t>
      </w:r>
    </w:p>
    <w:p w14:paraId="1654D54D" w14:textId="77777777" w:rsidR="00D51DBE" w:rsidRPr="0054500A" w:rsidRDefault="00D51DBE" w:rsidP="00D51DBE">
      <w:pPr>
        <w:pStyle w:val="NumberedNormal"/>
      </w:pPr>
      <w:r>
        <w:t>The</w:t>
      </w:r>
      <w:r w:rsidRPr="0054500A">
        <w:t xml:space="preserve"> Compliance Report produced in accordance with </w:t>
      </w:r>
      <w:r>
        <w:t xml:space="preserve">paragraph </w:t>
      </w:r>
      <w:proofErr w:type="gramStart"/>
      <w:r>
        <w:t>9.14.</w:t>
      </w:r>
      <w:r w:rsidRPr="0054500A">
        <w:t>.</w:t>
      </w:r>
      <w:proofErr w:type="gramEnd"/>
      <w:r w:rsidRPr="0054500A">
        <w:t>1</w:t>
      </w:r>
      <w:r>
        <w:t>0</w:t>
      </w:r>
      <w:r w:rsidRPr="0054500A">
        <w:t xml:space="preserve"> must:</w:t>
      </w:r>
    </w:p>
    <w:p w14:paraId="4F87A1BF" w14:textId="77777777" w:rsidR="00D51DBE" w:rsidRPr="0054500A" w:rsidRDefault="00D51DBE" w:rsidP="00D51DBE">
      <w:pPr>
        <w:pStyle w:val="ListNormal"/>
        <w:tabs>
          <w:tab w:val="num" w:pos="879"/>
        </w:tabs>
      </w:pPr>
      <w:r>
        <w:t xml:space="preserve">detail the activities of the Compliance Officer during the </w:t>
      </w:r>
      <w:r w:rsidRPr="0054500A">
        <w:t xml:space="preserve">Regulatory </w:t>
      </w:r>
      <w:proofErr w:type="gramStart"/>
      <w:r w:rsidRPr="0054500A">
        <w:t>Year;</w:t>
      </w:r>
      <w:proofErr w:type="gramEnd"/>
    </w:p>
    <w:p w14:paraId="2154EDC3" w14:textId="77777777" w:rsidR="00D51DBE" w:rsidRPr="0054500A" w:rsidRDefault="00D51DBE" w:rsidP="00D51DBE">
      <w:pPr>
        <w:pStyle w:val="ListNormal"/>
        <w:tabs>
          <w:tab w:val="num" w:pos="879"/>
        </w:tabs>
      </w:pPr>
      <w:r>
        <w:t xml:space="preserve">refer to such other matters as are or may be appropriate in relation to the implementation of the practices, procedures and systems adopted in accordance with the </w:t>
      </w:r>
      <w:r w:rsidRPr="0054500A">
        <w:t>Compliance Statement; and</w:t>
      </w:r>
    </w:p>
    <w:p w14:paraId="52320F5B" w14:textId="77777777" w:rsidR="00D51DBE" w:rsidRPr="0054500A" w:rsidRDefault="00D51DBE" w:rsidP="00D51DBE">
      <w:pPr>
        <w:pStyle w:val="ListNormal"/>
        <w:tabs>
          <w:tab w:val="num" w:pos="879"/>
        </w:tabs>
      </w:pPr>
      <w:r>
        <w:t>set out the details of any investigations conducted by the Compliance Officer, including:</w:t>
      </w:r>
    </w:p>
    <w:p w14:paraId="6583F4C4" w14:textId="77777777" w:rsidR="00D51DBE" w:rsidRPr="0054500A" w:rsidRDefault="00D51DBE" w:rsidP="00D51DBE">
      <w:pPr>
        <w:pStyle w:val="ListNormal"/>
        <w:numPr>
          <w:ilvl w:val="4"/>
          <w:numId w:val="30"/>
        </w:numPr>
      </w:pPr>
      <w:r>
        <w:t xml:space="preserve">the number, type and source of the complaints or representations on which such investigations were </w:t>
      </w:r>
      <w:proofErr w:type="gramStart"/>
      <w:r>
        <w:t>based;</w:t>
      </w:r>
      <w:proofErr w:type="gramEnd"/>
    </w:p>
    <w:p w14:paraId="1251F3D3" w14:textId="77777777" w:rsidR="00D51DBE" w:rsidRPr="0054500A" w:rsidRDefault="00D51DBE" w:rsidP="00D51DBE">
      <w:pPr>
        <w:pStyle w:val="ListNormal"/>
        <w:numPr>
          <w:ilvl w:val="4"/>
          <w:numId w:val="30"/>
        </w:numPr>
      </w:pPr>
      <w:r>
        <w:t>the outcome of such investigations; and</w:t>
      </w:r>
    </w:p>
    <w:p w14:paraId="6D03995A" w14:textId="77777777" w:rsidR="00D51DBE" w:rsidRPr="0054500A" w:rsidRDefault="00D51DBE" w:rsidP="00D51DBE">
      <w:pPr>
        <w:pStyle w:val="ListNormal"/>
        <w:numPr>
          <w:ilvl w:val="4"/>
          <w:numId w:val="30"/>
        </w:numPr>
      </w:pPr>
      <w:r>
        <w:t>any remedial action taken by the licensee following such investigations.</w:t>
      </w:r>
    </w:p>
    <w:p w14:paraId="3E1EF846" w14:textId="4A10EA15" w:rsidR="00D51DBE" w:rsidRPr="0054500A" w:rsidRDefault="00D51DBE" w:rsidP="00D51DBE">
      <w:pPr>
        <w:pStyle w:val="NumberedNormal"/>
      </w:pPr>
      <w:r>
        <w:t xml:space="preserve">The licensee </w:t>
      </w:r>
      <w:r w:rsidRPr="0054500A">
        <w:t xml:space="preserve">must submit to the Authority a copy of the Compliance Report produced in accordance with </w:t>
      </w:r>
      <w:r>
        <w:t xml:space="preserve">paragraph </w:t>
      </w:r>
      <w:proofErr w:type="gramStart"/>
      <w:r>
        <w:t>9.14</w:t>
      </w:r>
      <w:r w:rsidR="677C0907">
        <w:t>.</w:t>
      </w:r>
      <w:r w:rsidRPr="0054500A">
        <w:t>1</w:t>
      </w:r>
      <w:r>
        <w:t>0</w:t>
      </w:r>
      <w:r w:rsidRPr="0054500A">
        <w:t>, and</w:t>
      </w:r>
      <w:proofErr w:type="gramEnd"/>
      <w:r w:rsidRPr="0054500A">
        <w:t xml:space="preserve"> must give or send a copy of the Compliance Report to any person who requests such a copy.</w:t>
      </w:r>
    </w:p>
    <w:p w14:paraId="45276288" w14:textId="77777777" w:rsidR="00D51DBE" w:rsidRDefault="00D51DBE" w:rsidP="00D51DBE">
      <w:pPr>
        <w:pStyle w:val="Heading2"/>
      </w:pPr>
      <w:bookmarkStart w:id="287" w:name="_Toc52364953"/>
      <w:r>
        <w:t>Independence of and appointment of managing director of the Transmission Business</w:t>
      </w:r>
      <w:bookmarkEnd w:id="287"/>
    </w:p>
    <w:p w14:paraId="12FBD1BA" w14:textId="77777777" w:rsidR="00D51DBE" w:rsidRPr="0054500A" w:rsidRDefault="00D51DBE" w:rsidP="00D51DBE">
      <w:pPr>
        <w:pStyle w:val="Heading3nonumbering"/>
      </w:pPr>
      <w:r>
        <w:t>Introduction</w:t>
      </w:r>
    </w:p>
    <w:p w14:paraId="61A989A3" w14:textId="77777777" w:rsidR="00D51DBE" w:rsidRPr="0054500A" w:rsidRDefault="00D51DBE" w:rsidP="00D51DBE">
      <w:pPr>
        <w:pStyle w:val="NumberedNormal"/>
      </w:pPr>
      <w:r>
        <w:t xml:space="preserve">The purpose of this condition is to set out </w:t>
      </w:r>
      <w:r w:rsidRPr="0054500A">
        <w:t>requirements on the licensee to establish and maintain operational and managerial independence of the Transmission Business and any External Transmission Activities.</w:t>
      </w:r>
    </w:p>
    <w:p w14:paraId="40120D7A" w14:textId="77777777" w:rsidR="00D51DBE" w:rsidRPr="0054500A" w:rsidRDefault="00D51DBE" w:rsidP="00D51DBE">
      <w:pPr>
        <w:pStyle w:val="NumberedNormal"/>
      </w:pPr>
      <w:r>
        <w:lastRenderedPageBreak/>
        <w:t xml:space="preserve">This condition also </w:t>
      </w:r>
      <w:r w:rsidRPr="0054500A">
        <w:t>requires the licensee to appoint a Managing Director of Transmission to be responsible for the conduct of the Transmission Business and any External Transmission Activities.</w:t>
      </w:r>
    </w:p>
    <w:p w14:paraId="0F9BE44E" w14:textId="77777777" w:rsidR="00D51DBE" w:rsidRPr="0054500A" w:rsidRDefault="00D51DBE" w:rsidP="00D51DBE">
      <w:pPr>
        <w:pStyle w:val="Heading3"/>
      </w:pPr>
      <w:r w:rsidRPr="0054500A">
        <w:t>Requiremen</w:t>
      </w:r>
      <w:r>
        <w:t xml:space="preserve">ts of the Managing Director of </w:t>
      </w:r>
      <w:r w:rsidRPr="0054500A">
        <w:t xml:space="preserve">Transmission </w:t>
      </w:r>
    </w:p>
    <w:p w14:paraId="6A9235C9" w14:textId="77777777" w:rsidR="00D51DBE" w:rsidRPr="0054500A" w:rsidRDefault="00D51DBE" w:rsidP="00D51DBE">
      <w:pPr>
        <w:pStyle w:val="NumberedNormal"/>
      </w:pPr>
      <w:r>
        <w:t xml:space="preserve">The licensee must </w:t>
      </w:r>
      <w:proofErr w:type="gramStart"/>
      <w:r>
        <w:t>at all times</w:t>
      </w:r>
      <w:proofErr w:type="gramEnd"/>
      <w:r>
        <w:t xml:space="preserve"> ensure that the Transmission Business</w:t>
      </w:r>
      <w:r w:rsidRPr="0054500A">
        <w:t xml:space="preserve"> and any </w:t>
      </w:r>
      <w:r>
        <w:t>E</w:t>
      </w:r>
      <w:r w:rsidRPr="0054500A">
        <w:t>x</w:t>
      </w:r>
      <w:r>
        <w:t>ternal Transmission A</w:t>
      </w:r>
      <w:r w:rsidRPr="0054500A">
        <w:t xml:space="preserve">ctivities have managerial and operational independence from any other business operated by the licensee. </w:t>
      </w:r>
    </w:p>
    <w:p w14:paraId="06265BBB" w14:textId="77777777" w:rsidR="00D51DBE" w:rsidRPr="0054500A" w:rsidRDefault="00D51DBE" w:rsidP="00D51DBE">
      <w:pPr>
        <w:pStyle w:val="NumberedNormal"/>
      </w:pPr>
      <w:r>
        <w:t xml:space="preserve">The licensee must appoint a Managing Director of Transmission. </w:t>
      </w:r>
    </w:p>
    <w:p w14:paraId="0899C424" w14:textId="77777777" w:rsidR="00D51DBE" w:rsidRPr="0054500A" w:rsidRDefault="00D51DBE" w:rsidP="00D51DBE">
      <w:pPr>
        <w:pStyle w:val="NumberedNormal"/>
      </w:pPr>
      <w:r w:rsidRPr="00FE736D">
        <w:t>The Managing Director of Transmission may be a director:</w:t>
      </w:r>
    </w:p>
    <w:p w14:paraId="0E065D31" w14:textId="77777777" w:rsidR="00D51DBE" w:rsidRPr="0054500A" w:rsidRDefault="00D51DBE" w:rsidP="00D51DBE">
      <w:pPr>
        <w:pStyle w:val="ListNormal"/>
        <w:tabs>
          <w:tab w:val="num" w:pos="879"/>
        </w:tabs>
      </w:pPr>
      <w:r w:rsidRPr="00FE736D">
        <w:t xml:space="preserve">of the </w:t>
      </w:r>
      <w:r>
        <w:t>T</w:t>
      </w:r>
      <w:r w:rsidRPr="00FE736D">
        <w:t xml:space="preserve">ransmission </w:t>
      </w:r>
      <w:r>
        <w:t>L</w:t>
      </w:r>
      <w:r w:rsidRPr="00FE736D">
        <w:t xml:space="preserve">icensee; </w:t>
      </w:r>
      <w:r w:rsidRPr="0054500A">
        <w:t>and</w:t>
      </w:r>
    </w:p>
    <w:p w14:paraId="2531D88D" w14:textId="77777777" w:rsidR="00D51DBE" w:rsidRPr="0054500A" w:rsidRDefault="00D51DBE" w:rsidP="00D51DBE">
      <w:pPr>
        <w:pStyle w:val="ListNormal"/>
        <w:tabs>
          <w:tab w:val="num" w:pos="879"/>
        </w:tabs>
      </w:pPr>
      <w:r w:rsidRPr="00FE736D">
        <w:t xml:space="preserve">in the circumstances set out in </w:t>
      </w:r>
      <w:r>
        <w:t>paragraph 9.15.16</w:t>
      </w:r>
      <w:r w:rsidRPr="0054500A">
        <w:t xml:space="preserve"> also of</w:t>
      </w:r>
      <w:r>
        <w:t>:</w:t>
      </w:r>
      <w:r w:rsidRPr="0054500A">
        <w:t xml:space="preserve"> </w:t>
      </w:r>
    </w:p>
    <w:p w14:paraId="044D5219" w14:textId="77777777" w:rsidR="00D51DBE" w:rsidRPr="0054500A" w:rsidRDefault="00D51DBE" w:rsidP="00D51DBE">
      <w:pPr>
        <w:pStyle w:val="ListNormal"/>
        <w:numPr>
          <w:ilvl w:val="4"/>
          <w:numId w:val="4"/>
        </w:numPr>
      </w:pPr>
      <w:r w:rsidRPr="00AF5DBD">
        <w:t xml:space="preserve">an affiliate or related undertaking </w:t>
      </w:r>
      <w:r w:rsidRPr="0054500A">
        <w:t xml:space="preserve">which holds a distribution licence, or </w:t>
      </w:r>
    </w:p>
    <w:p w14:paraId="25533764" w14:textId="77777777" w:rsidR="00D51DBE" w:rsidRPr="0054500A" w:rsidRDefault="00D51DBE" w:rsidP="00D51DBE">
      <w:pPr>
        <w:pStyle w:val="ListNormal"/>
        <w:numPr>
          <w:ilvl w:val="4"/>
          <w:numId w:val="4"/>
        </w:numPr>
      </w:pPr>
      <w:r w:rsidRPr="00AF5DBD">
        <w:t>a holding company only engaged in ownership or management of distribution or Transmission Businesses or both</w:t>
      </w:r>
      <w:r w:rsidRPr="0054500A">
        <w:t>.</w:t>
      </w:r>
    </w:p>
    <w:p w14:paraId="0480B48C" w14:textId="77777777" w:rsidR="00D51DBE" w:rsidRPr="0054500A" w:rsidRDefault="00D51DBE" w:rsidP="00D51DBE">
      <w:pPr>
        <w:pStyle w:val="NumberedNormal"/>
      </w:pPr>
      <w:r w:rsidRPr="0054500A">
        <w:t>The licensee must ensure that the Managing Director of Transmission is not engaged by the licensee in any other capacity than as a Managing Director of Transmission.</w:t>
      </w:r>
    </w:p>
    <w:p w14:paraId="589B21B2" w14:textId="77777777" w:rsidR="00D51DBE" w:rsidRPr="0054500A" w:rsidRDefault="00D51DBE" w:rsidP="00D51DBE">
      <w:pPr>
        <w:pStyle w:val="NumberedNormal"/>
      </w:pPr>
      <w:r w:rsidRPr="00FE736D">
        <w:t xml:space="preserve">The licensee </w:t>
      </w:r>
      <w:r w:rsidRPr="0054500A">
        <w:t xml:space="preserve">must arrange for the Managing Director of Transmission to be provided with such </w:t>
      </w:r>
      <w:r>
        <w:t xml:space="preserve">resources necessary to ensure </w:t>
      </w:r>
      <w:r w:rsidRPr="0054500A">
        <w:t xml:space="preserve">the efficient and effective management and operation of the Transmission Business in accordance with the licensee's duty under section 9(2)(a) of the Act and the </w:t>
      </w:r>
      <w:r>
        <w:t>T</w:t>
      </w:r>
      <w:r w:rsidRPr="0054500A">
        <w:t xml:space="preserve">ransmission </w:t>
      </w:r>
      <w:r>
        <w:t>L</w:t>
      </w:r>
      <w:r w:rsidRPr="0054500A">
        <w:t>icence.</w:t>
      </w:r>
    </w:p>
    <w:p w14:paraId="52688467" w14:textId="77777777" w:rsidR="00D51DBE" w:rsidRPr="0054500A" w:rsidRDefault="00D51DBE" w:rsidP="00D51DBE">
      <w:pPr>
        <w:pStyle w:val="NumberedNormal"/>
      </w:pPr>
      <w:r>
        <w:t>The Managing Direct</w:t>
      </w:r>
      <w:r w:rsidRPr="0054500A">
        <w:t>or of Transmission must be given sole discretion (subject to compliance with relevant UK employment legislation) to oversee and manage their personnel.</w:t>
      </w:r>
    </w:p>
    <w:p w14:paraId="0EAC3BFD" w14:textId="77777777" w:rsidR="00D51DBE" w:rsidRPr="0054500A" w:rsidRDefault="00D51DBE" w:rsidP="00D51DBE">
      <w:pPr>
        <w:pStyle w:val="NumberedNormal"/>
      </w:pPr>
      <w:r w:rsidRPr="00FE736D">
        <w:t xml:space="preserve">The licensee </w:t>
      </w:r>
      <w:r w:rsidRPr="0054500A">
        <w:t>must direct the Managing Director of Transmission:</w:t>
      </w:r>
    </w:p>
    <w:p w14:paraId="008600DA" w14:textId="77777777" w:rsidR="00D51DBE" w:rsidRPr="0054500A" w:rsidRDefault="00D51DBE" w:rsidP="00D51DBE">
      <w:pPr>
        <w:pStyle w:val="ListNormal"/>
        <w:tabs>
          <w:tab w:val="num" w:pos="879"/>
        </w:tabs>
      </w:pPr>
      <w:r w:rsidRPr="00FE736D">
        <w:t xml:space="preserve">to inform the directors of the licensee, in writing, if, at any time, </w:t>
      </w:r>
      <w:r>
        <w:t xml:space="preserve">the Managing Director of Transmission is </w:t>
      </w:r>
      <w:r w:rsidRPr="0054500A">
        <w:t xml:space="preserve">of the opinion that the provision of </w:t>
      </w:r>
      <w:r>
        <w:t xml:space="preserve">the </w:t>
      </w:r>
      <w:r w:rsidRPr="0054500A">
        <w:t xml:space="preserve">items specified in </w:t>
      </w:r>
      <w:r>
        <w:t xml:space="preserve">9.15.7 </w:t>
      </w:r>
      <w:r w:rsidRPr="0054500A">
        <w:t xml:space="preserve"> </w:t>
      </w:r>
      <w:r>
        <w:t xml:space="preserve">is </w:t>
      </w:r>
      <w:r w:rsidRPr="0054500A">
        <w:t xml:space="preserve">not sufficient to enable the licensee to comply with its duties under section 9(2)(a) of the Act and the </w:t>
      </w:r>
      <w:r>
        <w:t>T</w:t>
      </w:r>
      <w:r w:rsidRPr="0054500A">
        <w:t xml:space="preserve">ransmission </w:t>
      </w:r>
      <w:r>
        <w:t>L</w:t>
      </w:r>
      <w:r w:rsidRPr="0054500A">
        <w:t>icence; and</w:t>
      </w:r>
    </w:p>
    <w:p w14:paraId="2FDB578E" w14:textId="77777777" w:rsidR="00D51DBE" w:rsidRPr="0054500A" w:rsidRDefault="00D51DBE" w:rsidP="00D51DBE">
      <w:pPr>
        <w:pStyle w:val="ListNormal"/>
        <w:tabs>
          <w:tab w:val="num" w:pos="879"/>
        </w:tabs>
      </w:pPr>
      <w:r w:rsidRPr="00FE736D">
        <w:t>as soon as practicable after the end of 20</w:t>
      </w:r>
      <w:r w:rsidRPr="0054500A">
        <w:t xml:space="preserve">21 and of each </w:t>
      </w:r>
      <w:r>
        <w:t xml:space="preserve">Regulatory Year, </w:t>
      </w:r>
      <w:r w:rsidRPr="0054500A">
        <w:t>to provide the directors of the licensee with:</w:t>
      </w:r>
    </w:p>
    <w:p w14:paraId="0CBAAA72" w14:textId="77777777" w:rsidR="00D51DBE" w:rsidRPr="0054500A" w:rsidRDefault="00D51DBE" w:rsidP="00D51DBE">
      <w:pPr>
        <w:pStyle w:val="ListNormal"/>
        <w:numPr>
          <w:ilvl w:val="4"/>
          <w:numId w:val="4"/>
        </w:numPr>
      </w:pPr>
      <w:r>
        <w:t>a</w:t>
      </w:r>
      <w:r w:rsidRPr="0054500A">
        <w:t xml:space="preserve"> report on the provision of</w:t>
      </w:r>
      <w:r>
        <w:t xml:space="preserve"> the resources necessary to ensure</w:t>
      </w:r>
      <w:r w:rsidRPr="0054500A">
        <w:t xml:space="preserve"> respect of that year; and</w:t>
      </w:r>
    </w:p>
    <w:p w14:paraId="70299DCE" w14:textId="77777777" w:rsidR="00D51DBE" w:rsidRPr="0054500A" w:rsidRDefault="00D51DBE" w:rsidP="00D51DBE">
      <w:pPr>
        <w:pStyle w:val="ListNormal"/>
        <w:numPr>
          <w:ilvl w:val="4"/>
          <w:numId w:val="4"/>
        </w:numPr>
      </w:pPr>
      <w:r w:rsidRPr="00FE736D">
        <w:t xml:space="preserve">a statement </w:t>
      </w:r>
      <w:r>
        <w:t>as to the resources required by the Managing Director of Transmission to ensure that the licensee complies with its duties</w:t>
      </w:r>
      <w:r w:rsidRPr="0054500A">
        <w:t xml:space="preserve"> including, in particular, a description of the differences in the provision of those matters made or likely to be made in that year compared with </w:t>
      </w:r>
      <w:r w:rsidRPr="0054500A">
        <w:lastRenderedPageBreak/>
        <w:t>the provision made in respect of the preceding year and the reasons for those differences.</w:t>
      </w:r>
    </w:p>
    <w:p w14:paraId="0797EDD9" w14:textId="77777777" w:rsidR="00D51DBE" w:rsidRPr="0054500A" w:rsidRDefault="00D51DBE" w:rsidP="00D51DBE">
      <w:pPr>
        <w:pStyle w:val="NumberedNormal"/>
      </w:pPr>
      <w:r w:rsidRPr="00FE736D">
        <w:t xml:space="preserve">On receipt of any information </w:t>
      </w:r>
      <w:r>
        <w:t xml:space="preserve">or report </w:t>
      </w:r>
      <w:r w:rsidRPr="00FE736D">
        <w:t xml:space="preserve">under </w:t>
      </w:r>
      <w:r>
        <w:t>paragraph 9.15</w:t>
      </w:r>
      <w:r w:rsidRPr="0054500A">
        <w:t>.9, the licensee must, subject to compliance with the listing rules (within the meaning of Part IV of the Financial Services Act 1986 (c.60)) of the Stock Exchange:</w:t>
      </w:r>
    </w:p>
    <w:p w14:paraId="6A8C5F64" w14:textId="77777777" w:rsidR="00D51DBE" w:rsidRPr="0054500A" w:rsidRDefault="00D51DBE" w:rsidP="00D51DBE">
      <w:pPr>
        <w:pStyle w:val="ListNormal"/>
        <w:tabs>
          <w:tab w:val="num" w:pos="879"/>
        </w:tabs>
      </w:pPr>
      <w:r w:rsidRPr="00FE736D">
        <w:t xml:space="preserve">give </w:t>
      </w:r>
      <w:r>
        <w:t xml:space="preserve">the information or report </w:t>
      </w:r>
      <w:r w:rsidRPr="00FE736D">
        <w:t xml:space="preserve">to the Authority </w:t>
      </w:r>
      <w:r w:rsidRPr="0054500A">
        <w:t xml:space="preserve">as soon as </w:t>
      </w:r>
      <w:r>
        <w:t xml:space="preserve">reasonably </w:t>
      </w:r>
      <w:r w:rsidRPr="0054500A">
        <w:t>practicable; and</w:t>
      </w:r>
    </w:p>
    <w:p w14:paraId="26347D0F" w14:textId="77777777" w:rsidR="00D51DBE" w:rsidRPr="0054500A" w:rsidRDefault="00D51DBE" w:rsidP="00D51DBE">
      <w:pPr>
        <w:pStyle w:val="ListNormal"/>
        <w:tabs>
          <w:tab w:val="num" w:pos="879"/>
        </w:tabs>
      </w:pPr>
      <w:r w:rsidRPr="00FE736D">
        <w:t xml:space="preserve">publish </w:t>
      </w:r>
      <w:r>
        <w:t xml:space="preserve">any report, </w:t>
      </w:r>
      <w:r w:rsidRPr="00FE736D">
        <w:t>in such form and manner as the Authority may direct</w:t>
      </w:r>
      <w:r>
        <w:t>, as soon as reasonably practicable</w:t>
      </w:r>
      <w:r w:rsidRPr="00FE736D">
        <w:t>.</w:t>
      </w:r>
    </w:p>
    <w:p w14:paraId="46AE7A59" w14:textId="77777777" w:rsidR="00D51DBE" w:rsidRPr="0054500A" w:rsidRDefault="00D51DBE" w:rsidP="00D51DBE">
      <w:pPr>
        <w:pStyle w:val="NumberedNormal"/>
      </w:pPr>
      <w:r w:rsidRPr="00FE736D">
        <w:t xml:space="preserve">Except </w:t>
      </w:r>
      <w:r w:rsidRPr="0054500A">
        <w:t xml:space="preserve">where the Authority otherwise directs, the licensee must only give instructions to the Managing Director of Transmission as to the discharge of his responsibilities under </w:t>
      </w:r>
      <w:r>
        <w:t xml:space="preserve">paragraph </w:t>
      </w:r>
      <w:proofErr w:type="spellStart"/>
      <w:r>
        <w:t>paragraph</w:t>
      </w:r>
      <w:proofErr w:type="spellEnd"/>
      <w:r>
        <w:t xml:space="preserve"> 9.15</w:t>
      </w:r>
      <w:r w:rsidRPr="0054500A">
        <w:t>.3:</w:t>
      </w:r>
    </w:p>
    <w:p w14:paraId="2E987044" w14:textId="77777777" w:rsidR="00D51DBE" w:rsidRPr="0054500A" w:rsidRDefault="00D51DBE" w:rsidP="00D51DBE">
      <w:pPr>
        <w:pStyle w:val="ListNormal"/>
        <w:tabs>
          <w:tab w:val="num" w:pos="879"/>
        </w:tabs>
      </w:pPr>
      <w:r>
        <w:t>w</w:t>
      </w:r>
      <w:r w:rsidRPr="0054500A">
        <w:t>here such instructions are required:</w:t>
      </w:r>
    </w:p>
    <w:p w14:paraId="2917A291" w14:textId="77777777" w:rsidR="00D51DBE" w:rsidRPr="0054500A" w:rsidRDefault="00D51DBE" w:rsidP="00D51DBE">
      <w:pPr>
        <w:pStyle w:val="ListNormal"/>
        <w:numPr>
          <w:ilvl w:val="4"/>
          <w:numId w:val="30"/>
        </w:numPr>
      </w:pPr>
      <w:r w:rsidRPr="00FE736D">
        <w:t xml:space="preserve">in the bona fide and reasonable opinion of the licensee </w:t>
      </w:r>
      <w:r w:rsidRPr="0054500A">
        <w:t>to ensure compliance with the statutory, licence and contractual obligations of the licensee; or</w:t>
      </w:r>
    </w:p>
    <w:p w14:paraId="0AC4618E" w14:textId="77777777" w:rsidR="00D51DBE" w:rsidRPr="00FE736D" w:rsidRDefault="00D51DBE" w:rsidP="00D51DBE">
      <w:pPr>
        <w:pStyle w:val="ListNormal"/>
        <w:numPr>
          <w:ilvl w:val="4"/>
          <w:numId w:val="30"/>
        </w:numPr>
      </w:pPr>
      <w:r w:rsidRPr="00FE736D">
        <w:t xml:space="preserve">in the bona fide opinion of the directors, </w:t>
      </w:r>
      <w:r w:rsidRPr="0054500A">
        <w:t xml:space="preserve">to ensure compliance with their duties; or </w:t>
      </w:r>
    </w:p>
    <w:p w14:paraId="2ADF4600" w14:textId="77777777" w:rsidR="00D51DBE" w:rsidRPr="0054500A" w:rsidRDefault="00D51DBE" w:rsidP="00D51DBE">
      <w:pPr>
        <w:pStyle w:val="ListNormal"/>
        <w:tabs>
          <w:tab w:val="num" w:pos="879"/>
        </w:tabs>
      </w:pPr>
      <w:r w:rsidRPr="00FE736D">
        <w:t xml:space="preserve">to ensure compliance with paragraph </w:t>
      </w:r>
      <w:r>
        <w:t>9.15</w:t>
      </w:r>
      <w:r w:rsidRPr="0054500A">
        <w:t>.9.</w:t>
      </w:r>
    </w:p>
    <w:p w14:paraId="528D376E" w14:textId="77777777" w:rsidR="00D51DBE" w:rsidRPr="0054500A" w:rsidRDefault="00D51DBE" w:rsidP="00D51DBE">
      <w:pPr>
        <w:pStyle w:val="NumberedNormal"/>
      </w:pPr>
      <w:r w:rsidRPr="00FE736D">
        <w:t xml:space="preserve">The licensee </w:t>
      </w:r>
      <w:r w:rsidRPr="0054500A">
        <w:t xml:space="preserve">must give instructions under sub- paragraph </w:t>
      </w:r>
      <w:r>
        <w:t>9.15</w:t>
      </w:r>
      <w:r w:rsidRPr="0054500A">
        <w:t>.11(a) in writing, specifying the statutory, licence or contractual obligations of the licensee or duty of the directors of the licensee which require the licensee to give instructions, and</w:t>
      </w:r>
      <w:r>
        <w:t xml:space="preserve"> must</w:t>
      </w:r>
      <w:r w:rsidRPr="0054500A">
        <w:t xml:space="preserve"> send a copy of </w:t>
      </w:r>
      <w:r>
        <w:t xml:space="preserve">the </w:t>
      </w:r>
      <w:r w:rsidRPr="0054500A">
        <w:t>instructions to the Authority.</w:t>
      </w:r>
    </w:p>
    <w:p w14:paraId="0E94511A" w14:textId="77777777" w:rsidR="00D51DBE" w:rsidRPr="0054500A" w:rsidRDefault="00D51DBE" w:rsidP="00D51DBE">
      <w:pPr>
        <w:pStyle w:val="NumberedNormal"/>
      </w:pPr>
      <w:r w:rsidRPr="00FE736D">
        <w:t xml:space="preserve">Except </w:t>
      </w:r>
      <w:r w:rsidRPr="0054500A">
        <w:t xml:space="preserve">as the Authority otherwise directs, the licensee must, subject to paragraph </w:t>
      </w:r>
      <w:r>
        <w:t>9.15</w:t>
      </w:r>
      <w:r w:rsidRPr="0054500A">
        <w:t>.14, ensure that:</w:t>
      </w:r>
    </w:p>
    <w:p w14:paraId="6AF819A0" w14:textId="77777777" w:rsidR="00D51DBE" w:rsidRPr="0054500A" w:rsidRDefault="00D51DBE" w:rsidP="00D51DBE">
      <w:pPr>
        <w:pStyle w:val="ListNormal"/>
        <w:tabs>
          <w:tab w:val="num" w:pos="879"/>
        </w:tabs>
      </w:pPr>
      <w:r w:rsidRPr="00FE736D">
        <w:t xml:space="preserve">no business of the licensee (or of any affiliate or related undertaking of the licensee), other than the </w:t>
      </w:r>
      <w:r w:rsidRPr="0054500A">
        <w:t xml:space="preserve">Transmission Business or any </w:t>
      </w:r>
      <w:r>
        <w:t>External Transmission A</w:t>
      </w:r>
      <w:r w:rsidRPr="0054500A">
        <w:t>ctivities, may use or have access to:</w:t>
      </w:r>
    </w:p>
    <w:p w14:paraId="4AFBFE65" w14:textId="77777777" w:rsidR="00D51DBE" w:rsidRPr="0054500A" w:rsidRDefault="00D51DBE" w:rsidP="00D51DBE">
      <w:pPr>
        <w:pStyle w:val="ListNormal"/>
        <w:numPr>
          <w:ilvl w:val="4"/>
          <w:numId w:val="4"/>
        </w:numPr>
      </w:pPr>
      <w:r w:rsidRPr="00FE736D">
        <w:t xml:space="preserve">premises or parts of premises occupied by persons engaged in, or in respect of, the management or operation of the </w:t>
      </w:r>
      <w:r w:rsidRPr="0054500A">
        <w:t xml:space="preserve">Transmission Business or any </w:t>
      </w:r>
      <w:r>
        <w:t>External T</w:t>
      </w:r>
      <w:r w:rsidRPr="0054500A">
        <w:t>ransm</w:t>
      </w:r>
      <w:r>
        <w:t xml:space="preserve">ission </w:t>
      </w:r>
      <w:proofErr w:type="gramStart"/>
      <w:r>
        <w:t>A</w:t>
      </w:r>
      <w:r w:rsidRPr="0054500A">
        <w:t>ctivities;</w:t>
      </w:r>
      <w:proofErr w:type="gramEnd"/>
    </w:p>
    <w:p w14:paraId="405B387E" w14:textId="77777777" w:rsidR="00D51DBE" w:rsidRPr="0054500A" w:rsidRDefault="00D51DBE" w:rsidP="00D51DBE">
      <w:pPr>
        <w:pStyle w:val="ListNormal"/>
        <w:numPr>
          <w:ilvl w:val="4"/>
          <w:numId w:val="4"/>
        </w:numPr>
      </w:pPr>
      <w:r w:rsidRPr="00FE736D">
        <w:t xml:space="preserve">systems for the recording, processing or storage of data to which persons engaged in, or in respect of, the management or operation of the </w:t>
      </w:r>
      <w:r w:rsidRPr="0054500A">
        <w:t xml:space="preserve">Transmission Business or any </w:t>
      </w:r>
      <w:r>
        <w:t>External Transmission A</w:t>
      </w:r>
      <w:r w:rsidRPr="0054500A">
        <w:t xml:space="preserve">ctivities also have </w:t>
      </w:r>
      <w:proofErr w:type="gramStart"/>
      <w:r w:rsidRPr="0054500A">
        <w:t>access;</w:t>
      </w:r>
      <w:proofErr w:type="gramEnd"/>
    </w:p>
    <w:p w14:paraId="0692FE69" w14:textId="77777777" w:rsidR="00D51DBE" w:rsidRPr="0054500A" w:rsidRDefault="00D51DBE" w:rsidP="00D51DBE">
      <w:pPr>
        <w:pStyle w:val="ListNormal"/>
        <w:numPr>
          <w:ilvl w:val="4"/>
          <w:numId w:val="4"/>
        </w:numPr>
      </w:pPr>
      <w:r w:rsidRPr="00FE736D">
        <w:t xml:space="preserve">equipment, </w:t>
      </w:r>
      <w:proofErr w:type="gramStart"/>
      <w:r w:rsidRPr="00FE736D">
        <w:t>facilities</w:t>
      </w:r>
      <w:proofErr w:type="gramEnd"/>
      <w:r w:rsidRPr="00FE736D">
        <w:t xml:space="preserve"> or property employed for the management or operation of the </w:t>
      </w:r>
      <w:r w:rsidRPr="0054500A">
        <w:t xml:space="preserve">Transmission Business or any </w:t>
      </w:r>
      <w:r>
        <w:t>E</w:t>
      </w:r>
      <w:r w:rsidRPr="0054500A">
        <w:t xml:space="preserve">xternal </w:t>
      </w:r>
      <w:r>
        <w:t>Transmission A</w:t>
      </w:r>
      <w:r w:rsidRPr="0054500A">
        <w:t xml:space="preserve">ctivities; or </w:t>
      </w:r>
    </w:p>
    <w:p w14:paraId="5036C44E" w14:textId="77777777" w:rsidR="00D51DBE" w:rsidRPr="0054500A" w:rsidRDefault="00D51DBE" w:rsidP="00D51DBE">
      <w:pPr>
        <w:pStyle w:val="ListNormal"/>
        <w:numPr>
          <w:ilvl w:val="4"/>
          <w:numId w:val="4"/>
        </w:numPr>
      </w:pPr>
      <w:r w:rsidRPr="00FE736D">
        <w:t>the services of persons who are (</w:t>
      </w:r>
      <w:proofErr w:type="gramStart"/>
      <w:r w:rsidRPr="00FE736D">
        <w:t>whether or not</w:t>
      </w:r>
      <w:proofErr w:type="gramEnd"/>
      <w:r w:rsidRPr="00FE736D">
        <w:t xml:space="preserve"> as their principal occupation) engaged in, or in respect of, the management or operation </w:t>
      </w:r>
      <w:r w:rsidRPr="00FE736D">
        <w:lastRenderedPageBreak/>
        <w:t xml:space="preserve">of the </w:t>
      </w:r>
      <w:r w:rsidRPr="0054500A">
        <w:t xml:space="preserve">Transmission Business or any </w:t>
      </w:r>
      <w:r>
        <w:t>External T</w:t>
      </w:r>
      <w:r w:rsidRPr="0054500A">
        <w:t>ran</w:t>
      </w:r>
      <w:r>
        <w:t>smission A</w:t>
      </w:r>
      <w:r w:rsidRPr="0054500A">
        <w:t>ctivities; and</w:t>
      </w:r>
    </w:p>
    <w:p w14:paraId="6015CD16" w14:textId="77777777" w:rsidR="00D51DBE" w:rsidRPr="0054500A" w:rsidRDefault="00D51DBE" w:rsidP="00D51DBE">
      <w:pPr>
        <w:pStyle w:val="ListNormal"/>
        <w:tabs>
          <w:tab w:val="num" w:pos="879"/>
        </w:tabs>
      </w:pPr>
      <w:r w:rsidRPr="00FE736D">
        <w:t xml:space="preserve">it can and does, insofar as is legally possible, prevent any person who has ceased to be engaged in, or in respect of, the management or operation of the </w:t>
      </w:r>
      <w:r w:rsidRPr="0054500A">
        <w:t>Transmission Business from being engaged in, or in respect of, the activities of any other business of the licensee (or of any affiliate or related undertaking of the licensee) until the expiry of an Appropriate Time from the date on which he ceased to be engaged by the Transmission Business.</w:t>
      </w:r>
    </w:p>
    <w:p w14:paraId="3F699C49" w14:textId="77777777" w:rsidR="00D51DBE" w:rsidRPr="0054500A" w:rsidRDefault="00D51DBE" w:rsidP="00D51DBE">
      <w:pPr>
        <w:pStyle w:val="NumberedNormal"/>
      </w:pPr>
      <w:r w:rsidRPr="00FE736D">
        <w:t xml:space="preserve">The Authority may, upon the written request of the licensee, </w:t>
      </w:r>
      <w:r w:rsidRPr="0054500A">
        <w:t xml:space="preserve">by direction relieve the licensee of its obligations under Special Condition </w:t>
      </w:r>
      <w:r>
        <w:t>9.13</w:t>
      </w:r>
      <w:r w:rsidRPr="0054500A">
        <w:t xml:space="preserve">(Restriction on </w:t>
      </w:r>
      <w:r>
        <w:t xml:space="preserve">the </w:t>
      </w:r>
      <w:r w:rsidRPr="0054500A">
        <w:t xml:space="preserve">use of certain information) and under </w:t>
      </w:r>
      <w:r>
        <w:t>paragraph 9.15</w:t>
      </w:r>
      <w:r w:rsidRPr="0054500A">
        <w:t xml:space="preserve">.3, </w:t>
      </w:r>
      <w:r>
        <w:t>9.15</w:t>
      </w:r>
      <w:r w:rsidRPr="0054500A">
        <w:t xml:space="preserve">.4 and </w:t>
      </w:r>
      <w:r>
        <w:t>9.15</w:t>
      </w:r>
      <w:r w:rsidRPr="0054500A">
        <w:t xml:space="preserve">.13, to such extent and subject to such terms and conditions as </w:t>
      </w:r>
      <w:r>
        <w:t>specified</w:t>
      </w:r>
      <w:r w:rsidRPr="0054500A">
        <w:t xml:space="preserve"> in that direction, where:</w:t>
      </w:r>
    </w:p>
    <w:p w14:paraId="519D6772" w14:textId="77777777" w:rsidR="00D51DBE" w:rsidRPr="0054500A" w:rsidRDefault="00D51DBE" w:rsidP="00D51DBE">
      <w:pPr>
        <w:pStyle w:val="ListNormal"/>
        <w:tabs>
          <w:tab w:val="num" w:pos="879"/>
        </w:tabs>
      </w:pPr>
      <w:r w:rsidRPr="00FE736D">
        <w:t xml:space="preserve">it is not reasonably </w:t>
      </w:r>
      <w:r w:rsidRPr="0054500A">
        <w:t xml:space="preserve">practicable for the licensee to comply with any aspect of those </w:t>
      </w:r>
      <w:proofErr w:type="gramStart"/>
      <w:r w:rsidRPr="0054500A">
        <w:t>obligations;</w:t>
      </w:r>
      <w:proofErr w:type="gramEnd"/>
    </w:p>
    <w:p w14:paraId="1E9672D5" w14:textId="66E03B29" w:rsidR="00D51DBE" w:rsidRPr="0054500A" w:rsidRDefault="00D51DBE" w:rsidP="00D51DBE">
      <w:pPr>
        <w:pStyle w:val="ListNormal"/>
        <w:tabs>
          <w:tab w:val="num" w:pos="879"/>
        </w:tabs>
      </w:pPr>
      <w:r w:rsidRPr="00FE736D">
        <w:t xml:space="preserve">in the case of paragraphs </w:t>
      </w:r>
      <w:r w:rsidRPr="0054500A">
        <w:t xml:space="preserve">2 to 4 of Special Condition </w:t>
      </w:r>
      <w:r>
        <w:t>9.13</w:t>
      </w:r>
      <w:r w:rsidRPr="0054500A">
        <w:t xml:space="preserve"> (Restriction on </w:t>
      </w:r>
      <w:r>
        <w:t xml:space="preserve">the </w:t>
      </w:r>
      <w:r w:rsidRPr="0054500A">
        <w:t>use of certain information), a failure to comply with any aspect of those obligations would be of a trivial nature; or</w:t>
      </w:r>
    </w:p>
    <w:p w14:paraId="0CC016DF" w14:textId="77777777" w:rsidR="00D51DBE" w:rsidRPr="0054500A" w:rsidRDefault="00D51DBE" w:rsidP="00D51DBE">
      <w:pPr>
        <w:pStyle w:val="ListNormal"/>
        <w:tabs>
          <w:tab w:val="num" w:pos="879"/>
        </w:tabs>
      </w:pPr>
      <w:r w:rsidRPr="00FE736D">
        <w:t xml:space="preserve">in the case of </w:t>
      </w:r>
      <w:r>
        <w:t>paragraph 9.15</w:t>
      </w:r>
      <w:r w:rsidRPr="0054500A">
        <w:t xml:space="preserve">.3 and </w:t>
      </w:r>
      <w:r>
        <w:t>9.15</w:t>
      </w:r>
      <w:r w:rsidRPr="0054500A">
        <w:t>.13, any arrangements for the use of or access to premises, systems, equipment, facilities, property or personnel by both the Transmission Business and any other business of the licensee (or of any affiliate or related undertaking of the licensee):</w:t>
      </w:r>
    </w:p>
    <w:p w14:paraId="403A130C" w14:textId="77777777" w:rsidR="00D51DBE" w:rsidRPr="0054500A" w:rsidRDefault="00D51DBE" w:rsidP="00D51DBE">
      <w:pPr>
        <w:pStyle w:val="ListNormal"/>
        <w:numPr>
          <w:ilvl w:val="4"/>
          <w:numId w:val="4"/>
        </w:numPr>
      </w:pPr>
      <w:r w:rsidRPr="00FE736D">
        <w:t xml:space="preserve">do not involve a cross-subsidy being either given to the </w:t>
      </w:r>
      <w:r w:rsidRPr="0054500A">
        <w:t xml:space="preserve">Transmission Business by such other business or received from the Transmission Business by such other </w:t>
      </w:r>
      <w:proofErr w:type="gramStart"/>
      <w:r w:rsidRPr="0054500A">
        <w:t>business;</w:t>
      </w:r>
      <w:proofErr w:type="gramEnd"/>
    </w:p>
    <w:p w14:paraId="0EF98961" w14:textId="77777777" w:rsidR="00D51DBE" w:rsidRPr="0054500A" w:rsidRDefault="00D51DBE" w:rsidP="00D51DBE">
      <w:pPr>
        <w:pStyle w:val="ListNormal"/>
        <w:numPr>
          <w:ilvl w:val="4"/>
          <w:numId w:val="4"/>
        </w:numPr>
      </w:pPr>
      <w:r w:rsidRPr="00FE736D">
        <w:t xml:space="preserve">obtain for the </w:t>
      </w:r>
      <w:r w:rsidRPr="0054500A">
        <w:t>Transmission Business, in the most efficient and economical manner possible, the use of the relevant premises, systems, equipment, facilities, property or personnel; and</w:t>
      </w:r>
    </w:p>
    <w:p w14:paraId="161815CC" w14:textId="77777777" w:rsidR="00D51DBE" w:rsidRPr="0054500A" w:rsidRDefault="00D51DBE" w:rsidP="00D51DBE">
      <w:pPr>
        <w:pStyle w:val="ListNormal"/>
        <w:numPr>
          <w:ilvl w:val="4"/>
          <w:numId w:val="4"/>
        </w:numPr>
      </w:pPr>
      <w:r w:rsidRPr="00FE736D">
        <w:t xml:space="preserve">do not restrict, </w:t>
      </w:r>
      <w:proofErr w:type="gramStart"/>
      <w:r w:rsidRPr="00FE736D">
        <w:t>distort</w:t>
      </w:r>
      <w:proofErr w:type="gramEnd"/>
      <w:r w:rsidRPr="00FE736D">
        <w:t xml:space="preserve"> or prevent competition in the generation or supply of electricity</w:t>
      </w:r>
      <w:r>
        <w:t>; but</w:t>
      </w:r>
    </w:p>
    <w:p w14:paraId="3508F87E" w14:textId="77777777" w:rsidR="00D51DBE" w:rsidRPr="0054500A" w:rsidRDefault="00D51DBE" w:rsidP="00D51DBE">
      <w:pPr>
        <w:pStyle w:val="NumberedNormal"/>
      </w:pPr>
      <w:r w:rsidRPr="00FE736D">
        <w:t>provided that the licensee shall not thereby be relieved of any obligation imposed on it by EU Directive 96/92/EC.</w:t>
      </w:r>
    </w:p>
    <w:p w14:paraId="3431DB42" w14:textId="77777777" w:rsidR="00D51DBE" w:rsidRPr="0054500A" w:rsidRDefault="00D51DBE" w:rsidP="00D51DBE">
      <w:pPr>
        <w:pStyle w:val="NumberedNormal"/>
      </w:pPr>
      <w:r w:rsidRPr="00FE736D">
        <w:t>Where, subsequent to the issue of a direction pursuant to paragraph 9</w:t>
      </w:r>
      <w:r w:rsidRPr="0054500A">
        <w:t xml:space="preserve">, the criteria set out at </w:t>
      </w:r>
      <w:r>
        <w:t>9.15</w:t>
      </w:r>
      <w:r w:rsidRPr="0054500A">
        <w:t>.14(a), (b) or (c) cease to be satisfied, the Authority may withdraw the direction or modify any terms and conditions which may be specified in it.</w:t>
      </w:r>
    </w:p>
    <w:p w14:paraId="77B53283" w14:textId="77777777" w:rsidR="00D51DBE" w:rsidRDefault="00D51DBE" w:rsidP="00D51DBE">
      <w:pPr>
        <w:pStyle w:val="NumberedNormal"/>
      </w:pPr>
      <w:r w:rsidRPr="00FE736D">
        <w:t xml:space="preserve">If the Authority is requested to issue any direction pursuant to </w:t>
      </w:r>
      <w:r>
        <w:t>9.15</w:t>
      </w:r>
      <w:r w:rsidRPr="0054500A">
        <w:t xml:space="preserve">.10 relating to the Transmission Business being managed or operated by the licensee together with any distribution </w:t>
      </w:r>
      <w:proofErr w:type="gramStart"/>
      <w:r w:rsidRPr="0054500A">
        <w:t>business</w:t>
      </w:r>
      <w:proofErr w:type="gramEnd"/>
      <w:r w:rsidRPr="0054500A">
        <w:t xml:space="preserve"> then that direction may provide</w:t>
      </w:r>
      <w:r>
        <w:t>:</w:t>
      </w:r>
      <w:r w:rsidRPr="0054500A">
        <w:t xml:space="preserve"> </w:t>
      </w:r>
    </w:p>
    <w:p w14:paraId="7D5FCCFD" w14:textId="77777777" w:rsidR="00D51DBE" w:rsidRDefault="00D51DBE" w:rsidP="00D51DBE">
      <w:pPr>
        <w:pStyle w:val="NumberedNormal"/>
      </w:pPr>
      <w:r>
        <w:lastRenderedPageBreak/>
        <w:t xml:space="preserve">(a) </w:t>
      </w:r>
      <w:r w:rsidRPr="0054500A">
        <w:t xml:space="preserve">that for the purposes of this condition and of Special Condition </w:t>
      </w:r>
      <w:r>
        <w:t>9.13</w:t>
      </w:r>
      <w:r w:rsidRPr="0054500A">
        <w:t xml:space="preserve"> (Restriction on </w:t>
      </w:r>
      <w:r>
        <w:t xml:space="preserve">the </w:t>
      </w:r>
      <w:r w:rsidRPr="0054500A">
        <w:t>use of certain information) the Transmission Business must be taken to include any such distribution business</w:t>
      </w:r>
      <w:r>
        <w:t>;</w:t>
      </w:r>
      <w:r w:rsidRPr="0054500A">
        <w:t xml:space="preserve"> and </w:t>
      </w:r>
    </w:p>
    <w:p w14:paraId="5F47FA6C" w14:textId="77777777" w:rsidR="00D51DBE" w:rsidRPr="0054500A" w:rsidRDefault="00D51DBE" w:rsidP="00D51DBE">
      <w:pPr>
        <w:pStyle w:val="NumberedNormal"/>
      </w:pPr>
      <w:r>
        <w:t xml:space="preserve">(b) </w:t>
      </w:r>
      <w:r w:rsidRPr="0054500A">
        <w:t>for the Managing Director of Transmission to take part in the management of and/or to be a director of any company carrying on any such distribution business.</w:t>
      </w:r>
    </w:p>
    <w:p w14:paraId="675EEC74" w14:textId="77777777" w:rsidR="00D51DBE" w:rsidRPr="0054500A" w:rsidRDefault="00D51DBE" w:rsidP="00D51DBE">
      <w:pPr>
        <w:pStyle w:val="NumberedNormal"/>
      </w:pPr>
    </w:p>
    <w:p w14:paraId="3FA21B92" w14:textId="77777777" w:rsidR="00D51DBE" w:rsidRDefault="00D51DBE" w:rsidP="00D51DBE">
      <w:pPr>
        <w:pStyle w:val="Heading2"/>
      </w:pPr>
      <w:bookmarkStart w:id="288" w:name="_Toc52364954"/>
      <w:r>
        <w:t>Prohibited Activities and Conduct of the Transmission Business</w:t>
      </w:r>
      <w:bookmarkEnd w:id="288"/>
    </w:p>
    <w:p w14:paraId="49088C6D" w14:textId="77777777" w:rsidR="00D51DBE" w:rsidRDefault="00D51DBE" w:rsidP="00D51DBE">
      <w:pPr>
        <w:pStyle w:val="Heading3nonumbering"/>
      </w:pPr>
      <w:r>
        <w:t xml:space="preserve">Introduction </w:t>
      </w:r>
    </w:p>
    <w:p w14:paraId="68000A03" w14:textId="77777777" w:rsidR="00D51DBE" w:rsidRPr="0054500A" w:rsidRDefault="00D51DBE" w:rsidP="00D51DBE">
      <w:pPr>
        <w:pStyle w:val="NumberedNormal"/>
      </w:pPr>
      <w:r>
        <w:t xml:space="preserve">The purpose of this condition </w:t>
      </w:r>
      <w:r w:rsidRPr="0054500A">
        <w:t xml:space="preserve">is to set out the prohibited activities of the licensee and conduct of the Transmission Business. </w:t>
      </w:r>
    </w:p>
    <w:p w14:paraId="648CFBD1" w14:textId="77777777" w:rsidR="00D51DBE" w:rsidRPr="000E7854" w:rsidRDefault="00D51DBE" w:rsidP="00D51DBE">
      <w:pPr>
        <w:pStyle w:val="Heading3"/>
      </w:pPr>
      <w:r w:rsidRPr="000E7854">
        <w:t>Prohibited Activities</w:t>
      </w:r>
    </w:p>
    <w:p w14:paraId="0FA55BE4" w14:textId="77777777" w:rsidR="00D51DBE" w:rsidRPr="0054500A" w:rsidRDefault="00D51DBE" w:rsidP="00D51DBE">
      <w:pPr>
        <w:pStyle w:val="NumberedNormal"/>
      </w:pPr>
      <w:r w:rsidRPr="0054500A">
        <w:t>Unless the Authority otherwise directs, the licensee, and any subsidiary of the licensee, must not hold, or seek to hold, a transmission licence that has Section C (System Operator Standard Conditions) or Section E (Offshore Transmission Owner Standard Conditions) in effect.</w:t>
      </w:r>
    </w:p>
    <w:p w14:paraId="55C300EF" w14:textId="77777777" w:rsidR="00D51DBE" w:rsidRPr="000E7854" w:rsidRDefault="00D51DBE" w:rsidP="00D51DBE">
      <w:pPr>
        <w:pStyle w:val="Heading3"/>
      </w:pPr>
      <w:r w:rsidRPr="000E7854">
        <w:t>Conduct of the Transmission Business</w:t>
      </w:r>
    </w:p>
    <w:p w14:paraId="3507B920" w14:textId="77777777" w:rsidR="00D51DBE" w:rsidRPr="0054500A" w:rsidRDefault="00D51DBE" w:rsidP="00D51DBE">
      <w:pPr>
        <w:pStyle w:val="NumberedNormal"/>
      </w:pPr>
      <w:r>
        <w:t>The licensee</w:t>
      </w:r>
      <w:r w:rsidRPr="0054500A">
        <w:t xml:space="preserve">, and the relevant parties listed in </w:t>
      </w:r>
      <w:r>
        <w:t>paragraph 9.16</w:t>
      </w:r>
      <w:r w:rsidRPr="0054500A">
        <w:t xml:space="preserve">.5, must not obtain an Unfair Commercial Advantage. </w:t>
      </w:r>
    </w:p>
    <w:p w14:paraId="0455D479" w14:textId="3DABC094" w:rsidR="00D51DBE" w:rsidRPr="0054500A" w:rsidRDefault="00D51DBE" w:rsidP="00D51DBE">
      <w:pPr>
        <w:pStyle w:val="NumberedNormal"/>
      </w:pPr>
      <w:r>
        <w:t>T</w:t>
      </w:r>
      <w:r w:rsidRPr="0054500A">
        <w:t xml:space="preserve">he licensee must </w:t>
      </w:r>
      <w:r>
        <w:t xml:space="preserve">not disclose or otherwise </w:t>
      </w:r>
      <w:r w:rsidRPr="0054500A">
        <w:t xml:space="preserve">make use of any System Operator Functions information that it may have received from its affiliate, National Grid Electricity System Operator Limited (“NGESO”), by virtue of NGESO disclosing such information to the licensee arising from a failure to abide by the provisions of Special Condition </w:t>
      </w:r>
      <w:r w:rsidR="00F71CE0">
        <w:t>2.2</w:t>
      </w:r>
      <w:r w:rsidRPr="0054500A">
        <w:t xml:space="preserve"> of NGESO’s transmission licence.  </w:t>
      </w:r>
    </w:p>
    <w:p w14:paraId="6BC4E33F" w14:textId="77777777" w:rsidR="00D51DBE" w:rsidRPr="0054500A" w:rsidRDefault="00D51DBE" w:rsidP="00D51DBE">
      <w:pPr>
        <w:pStyle w:val="NumberedNormal"/>
      </w:pPr>
      <w:r w:rsidRPr="00C02E64">
        <w:t xml:space="preserve">The </w:t>
      </w:r>
      <w:r w:rsidRPr="0054500A">
        <w:t>relevant parties are:</w:t>
      </w:r>
    </w:p>
    <w:p w14:paraId="7B4ED80D" w14:textId="77777777" w:rsidR="00D51DBE" w:rsidRPr="0054500A" w:rsidRDefault="00D51DBE" w:rsidP="00D51DBE">
      <w:pPr>
        <w:pStyle w:val="ListNormal"/>
        <w:tabs>
          <w:tab w:val="num" w:pos="879"/>
        </w:tabs>
      </w:pPr>
      <w:r w:rsidRPr="00C02E64">
        <w:t xml:space="preserve">any affiliate or related undertaking of the licensee </w:t>
      </w:r>
      <w:r w:rsidRPr="0054500A">
        <w:t>that is a subsidiary of, or is controlled by an ultimate controller of, the licensee, including those:</w:t>
      </w:r>
    </w:p>
    <w:p w14:paraId="1AC367C8" w14:textId="77777777" w:rsidR="00D51DBE" w:rsidRPr="0054500A" w:rsidRDefault="00D51DBE" w:rsidP="00D51DBE">
      <w:pPr>
        <w:pStyle w:val="ListNormal"/>
        <w:numPr>
          <w:ilvl w:val="4"/>
          <w:numId w:val="4"/>
        </w:numPr>
      </w:pPr>
      <w:r w:rsidRPr="0054500A">
        <w:t>intending to participate in a competitive tender exercise to determine a person to whom an offshore transmission licence is to be granted; or</w:t>
      </w:r>
    </w:p>
    <w:p w14:paraId="55711D46" w14:textId="77777777" w:rsidR="00D51DBE" w:rsidRPr="0054500A" w:rsidRDefault="00D51DBE" w:rsidP="00D51DBE">
      <w:pPr>
        <w:pStyle w:val="ListNormal"/>
        <w:numPr>
          <w:ilvl w:val="4"/>
          <w:numId w:val="4"/>
        </w:numPr>
      </w:pPr>
      <w:r w:rsidRPr="0054500A">
        <w:t xml:space="preserve">participating in a competitive tender exercise to determine a person to whom an offshore transmission licence is to be </w:t>
      </w:r>
      <w:proofErr w:type="gramStart"/>
      <w:r w:rsidRPr="0054500A">
        <w:t>granted;</w:t>
      </w:r>
      <w:proofErr w:type="gramEnd"/>
    </w:p>
    <w:p w14:paraId="6F7CFA6B" w14:textId="77777777" w:rsidR="00D51DBE" w:rsidRPr="0054500A" w:rsidRDefault="00D51DBE" w:rsidP="00D51DBE">
      <w:pPr>
        <w:pStyle w:val="ListNormal"/>
        <w:tabs>
          <w:tab w:val="num" w:pos="879"/>
        </w:tabs>
      </w:pPr>
      <w:r w:rsidRPr="00C02E64">
        <w:t xml:space="preserve">any user of the national electricity </w:t>
      </w:r>
      <w:r w:rsidRPr="0054500A">
        <w:t xml:space="preserve">Transmission System; </w:t>
      </w:r>
      <w:r>
        <w:t>and</w:t>
      </w:r>
    </w:p>
    <w:p w14:paraId="289FBB9B" w14:textId="77777777" w:rsidR="00D51DBE" w:rsidRPr="0054500A" w:rsidRDefault="00D51DBE" w:rsidP="00D51DBE">
      <w:pPr>
        <w:pStyle w:val="ListNormal"/>
        <w:tabs>
          <w:tab w:val="num" w:pos="879"/>
        </w:tabs>
      </w:pPr>
      <w:r w:rsidRPr="00C02E64">
        <w:t xml:space="preserve">any other </w:t>
      </w:r>
      <w:r>
        <w:t>T</w:t>
      </w:r>
      <w:r w:rsidRPr="00C02E64">
        <w:t xml:space="preserve">ransmission </w:t>
      </w:r>
      <w:r>
        <w:t>L</w:t>
      </w:r>
      <w:r w:rsidRPr="00C02E64">
        <w:t>icensee</w:t>
      </w:r>
      <w:r w:rsidRPr="0054500A">
        <w:t>.</w:t>
      </w:r>
    </w:p>
    <w:p w14:paraId="12ECEFF8" w14:textId="77777777" w:rsidR="00D51DBE" w:rsidRDefault="00D51DBE" w:rsidP="00D51DBE">
      <w:pPr>
        <w:pStyle w:val="Heading2"/>
      </w:pPr>
      <w:bookmarkStart w:id="289" w:name="_Toc52364955"/>
      <w:r>
        <w:lastRenderedPageBreak/>
        <w:t>Business Separation requirements and compliance obligations</w:t>
      </w:r>
      <w:bookmarkEnd w:id="289"/>
      <w:r>
        <w:t xml:space="preserve"> </w:t>
      </w:r>
    </w:p>
    <w:p w14:paraId="26BEBB96" w14:textId="77777777" w:rsidR="00D51DBE" w:rsidRPr="00DC7771" w:rsidRDefault="00D51DBE" w:rsidP="00D51DBE">
      <w:pPr>
        <w:pStyle w:val="Heading3nonumbering"/>
      </w:pPr>
      <w:r w:rsidRPr="00DC7771">
        <w:t>Introduction</w:t>
      </w:r>
    </w:p>
    <w:p w14:paraId="7E2F2FB2" w14:textId="77777777" w:rsidR="00D51DBE" w:rsidRPr="0054500A" w:rsidRDefault="00D51DBE" w:rsidP="00D51DBE">
      <w:pPr>
        <w:pStyle w:val="NumberedNormal"/>
      </w:pPr>
      <w:r w:rsidRPr="00DC7771">
        <w:t>The purpose of this condition is to set out the business separation requirements between the licensee and the Relevant Other Competitive Businesses, and the process the licensee must follow to comply with these obligations.</w:t>
      </w:r>
    </w:p>
    <w:p w14:paraId="7345C76E" w14:textId="77777777" w:rsidR="00D51DBE" w:rsidRDefault="00D51DBE" w:rsidP="00D51DBE">
      <w:pPr>
        <w:pStyle w:val="NumberedNormal"/>
      </w:pPr>
      <w:r w:rsidRPr="00DC7771">
        <w:t xml:space="preserve">Part A sets out the business separation requirements between the licensee and the Relevant Other Competitive Businesses. </w:t>
      </w:r>
    </w:p>
    <w:p w14:paraId="5700CC42" w14:textId="0CB7C141" w:rsidR="00D51DBE" w:rsidRDefault="00D51DBE" w:rsidP="00D51DBE">
      <w:pPr>
        <w:pStyle w:val="NumberedNormal"/>
      </w:pPr>
      <w:r w:rsidRPr="00DC7771">
        <w:t xml:space="preserve">Part B sets out the </w:t>
      </w:r>
      <w:r w:rsidRPr="0054500A">
        <w:t xml:space="preserve">Compliance Statement the licensee must publish to describe how it is meeting its </w:t>
      </w:r>
      <w:r w:rsidR="0082109E">
        <w:t>Specified D</w:t>
      </w:r>
      <w:r w:rsidRPr="0054500A">
        <w:t xml:space="preserve">uties, as defined in paragraph </w:t>
      </w:r>
      <w:r w:rsidR="003126D8">
        <w:t>9.17.20</w:t>
      </w:r>
      <w:r w:rsidRPr="0054500A">
        <w:t xml:space="preserve">. </w:t>
      </w:r>
    </w:p>
    <w:p w14:paraId="54A8DF36" w14:textId="77777777" w:rsidR="00D51DBE" w:rsidRPr="0054500A" w:rsidRDefault="00D51DBE" w:rsidP="00D51DBE">
      <w:pPr>
        <w:pStyle w:val="NumberedNormal"/>
      </w:pPr>
      <w:r w:rsidRPr="0054500A">
        <w:t>Part C sets out requirements on the licensee to appoint an independent compliance officer and annually report on compliance against the licensee’s duties.</w:t>
      </w:r>
    </w:p>
    <w:p w14:paraId="6D87EF49" w14:textId="77777777" w:rsidR="00D51DBE" w:rsidRDefault="00D51DBE" w:rsidP="00D51DBE">
      <w:pPr>
        <w:pStyle w:val="Heading3"/>
      </w:pPr>
      <w:r w:rsidRPr="00DC7771">
        <w:t>Legal and functional separation of the licensee and the Relevant Other Competitive Businesses</w:t>
      </w:r>
    </w:p>
    <w:p w14:paraId="12F3A71A" w14:textId="77777777" w:rsidR="00D51DBE" w:rsidRPr="0054500A" w:rsidRDefault="00D51DBE" w:rsidP="00D51DBE">
      <w:pPr>
        <w:pStyle w:val="NumberedNormal"/>
      </w:pPr>
      <w:r w:rsidRPr="00DC7771">
        <w:t xml:space="preserve">The licensee must, in carrying out its licensed activities, put in place and at all times maintain such systems of control and other governance arrangements </w:t>
      </w:r>
      <w:r>
        <w:t>as</w:t>
      </w:r>
      <w:r w:rsidRPr="00DC7771">
        <w:t xml:space="preserve"> are necessary to ensure that the licensee complies with the obligations contained in standard condition B5 (Prohibition of cross-subsidies), standard condition B6 (Restriction on Activity and Financial Ring Fencing) and Special Condition </w:t>
      </w:r>
      <w:r>
        <w:t>9.16</w:t>
      </w:r>
      <w:r w:rsidRPr="00DC7771">
        <w:t xml:space="preserve"> (Prohibited Activities and Conduct of the Transmission Business).</w:t>
      </w:r>
    </w:p>
    <w:p w14:paraId="285E535C" w14:textId="0EB3FD3D" w:rsidR="00D51DBE" w:rsidRPr="0054500A" w:rsidRDefault="00D51DBE" w:rsidP="00D51DBE">
      <w:pPr>
        <w:pStyle w:val="NumberedNormal"/>
      </w:pPr>
      <w:r w:rsidRPr="00DC7771">
        <w:t xml:space="preserve">Without prejudice </w:t>
      </w:r>
      <w:r w:rsidRPr="0054500A">
        <w:t xml:space="preserve">to paragraph </w:t>
      </w:r>
      <w:r w:rsidR="003126D8">
        <w:t>9.17</w:t>
      </w:r>
      <w:r w:rsidRPr="0054500A">
        <w:t>.3 the licensee must at all times conduct its licensed activities separately from the Relevant Other Competitive Businesses, provided that nothing in Part A prevents the licensee from complying with any Section E (Offshore Transmission Owner of Last Resort) Direction made pursuant to standard condition B18 (Offshore Transmission Owner of Last Resort).</w:t>
      </w:r>
    </w:p>
    <w:p w14:paraId="45B0ABC4" w14:textId="4B62C8AF" w:rsidR="00D51DBE" w:rsidRPr="0054500A" w:rsidRDefault="00D51DBE" w:rsidP="00D51DBE">
      <w:pPr>
        <w:pStyle w:val="NumberedNormal"/>
      </w:pPr>
      <w:r w:rsidRPr="00DC7771">
        <w:t xml:space="preserve">The licensee must ensure that the Relevant Other Competitive Businesses are conducted entirely by corporate entities each of which is separate from the licensee and that the licensee does not, </w:t>
      </w:r>
      <w:proofErr w:type="gramStart"/>
      <w:r w:rsidRPr="00DC7771">
        <w:t>directly</w:t>
      </w:r>
      <w:proofErr w:type="gramEnd"/>
      <w:r w:rsidRPr="00DC7771">
        <w:t xml:space="preserve"> or indirectly, hold any shares or other investments</w:t>
      </w:r>
      <w:r>
        <w:t>:</w:t>
      </w:r>
    </w:p>
    <w:p w14:paraId="25BA52A6" w14:textId="77777777" w:rsidR="00D51DBE" w:rsidRPr="0054500A" w:rsidRDefault="00D51DBE" w:rsidP="00D51DBE">
      <w:pPr>
        <w:pStyle w:val="ListNormal"/>
        <w:tabs>
          <w:tab w:val="num" w:pos="879"/>
        </w:tabs>
      </w:pPr>
      <w:r w:rsidRPr="00DC7771">
        <w:t>in any corporate entity which conducts any of the Relevant Other Competitive Businesses or which exercises or otherwise has control of any of the Relevant Other Competitive Businesses or any of the assets used in or dedicated to any of the Relevant Other Competitive Businesses; or</w:t>
      </w:r>
    </w:p>
    <w:p w14:paraId="780178FA" w14:textId="77777777" w:rsidR="00D51DBE" w:rsidRPr="0054500A" w:rsidRDefault="00D51DBE" w:rsidP="00D51DBE">
      <w:pPr>
        <w:pStyle w:val="ListNormal"/>
        <w:tabs>
          <w:tab w:val="num" w:pos="879"/>
        </w:tabs>
      </w:pPr>
      <w:r w:rsidRPr="00DC7771">
        <w:t xml:space="preserve">which give the holder an entitlement to vote at the general meetings of any of the corporate entities which conduct the Relevant Other Competitive </w:t>
      </w:r>
      <w:r w:rsidRPr="00DC7771">
        <w:lastRenderedPageBreak/>
        <w:t>Businesses or in any company which exercises or otherwise has control of any of the Relevant Other Competitive Businesses.</w:t>
      </w:r>
    </w:p>
    <w:p w14:paraId="6B8B0461" w14:textId="77777777" w:rsidR="00D51DBE" w:rsidRPr="0054500A" w:rsidRDefault="00D51DBE" w:rsidP="00D51DBE">
      <w:pPr>
        <w:pStyle w:val="NumberedNormal"/>
      </w:pPr>
      <w:r w:rsidRPr="00DC7771">
        <w:t>The licensee must ensure that its accounts are maintained and to the extent required by law audited and reported separately from those of any corporate entity which conducts Relevant Other Competitive Business.</w:t>
      </w:r>
    </w:p>
    <w:p w14:paraId="4F33FD4A" w14:textId="77777777" w:rsidR="00D51DBE" w:rsidRPr="0054500A" w:rsidRDefault="00D51DBE" w:rsidP="00D51DBE">
      <w:pPr>
        <w:pStyle w:val="NumberedNormal"/>
      </w:pPr>
      <w:r w:rsidRPr="00DC7771">
        <w:t xml:space="preserve">The </w:t>
      </w:r>
      <w:r w:rsidRPr="0054500A">
        <w:t xml:space="preserve">licensee must ensure that persons engaged in the management or operation of the licensee (up to and including the members of the licensee’s board of directors) are not simultaneously engaged, either full or part time, in the management or operation of any Relevant Other Competitive Business or any corporate entity which conducts Relevant Other Competitive Business, other than in the provision of Shared Services provided by the licensee to its Associates and the provision of services which constitute De Minimis Business to the extent that the provision of those services by the licensee complies with the requirements of standard conditions B5 (Prohibition of cross-subsidies), B6 (Restriction on Activity and Financial Ring Fencing) and B9 (Indebtedness). </w:t>
      </w:r>
    </w:p>
    <w:p w14:paraId="1888EA0F" w14:textId="77777777" w:rsidR="00D51DBE" w:rsidRPr="0054500A" w:rsidRDefault="00D51DBE" w:rsidP="00D51DBE">
      <w:pPr>
        <w:pStyle w:val="NumberedNormal"/>
      </w:pPr>
      <w:r w:rsidRPr="00DC7771">
        <w:t>The licensee must ensure that arrangements are in place which are effective in restricting access by persons engaged in the management or operation of any of the Relevant Other Competitive Businesses to:</w:t>
      </w:r>
    </w:p>
    <w:p w14:paraId="578803AF" w14:textId="77777777" w:rsidR="00D51DBE" w:rsidRPr="0054500A" w:rsidRDefault="00D51DBE" w:rsidP="00D51DBE">
      <w:pPr>
        <w:pStyle w:val="ListNormal"/>
        <w:tabs>
          <w:tab w:val="num" w:pos="879"/>
        </w:tabs>
      </w:pPr>
      <w:r w:rsidRPr="00DC7771">
        <w:t>any part of any premises which is occupied by persons engaged in the management or operation of the licensee; or</w:t>
      </w:r>
    </w:p>
    <w:p w14:paraId="1802404C" w14:textId="77777777" w:rsidR="00D51DBE" w:rsidRPr="0054500A" w:rsidRDefault="00D51DBE" w:rsidP="00D51DBE">
      <w:pPr>
        <w:pStyle w:val="ListNormal"/>
        <w:tabs>
          <w:tab w:val="num" w:pos="879"/>
        </w:tabs>
      </w:pPr>
      <w:r w:rsidRPr="00DC7771">
        <w:t>any equipment, facilities or property employed for the management or operation of the licensee.</w:t>
      </w:r>
    </w:p>
    <w:p w14:paraId="2969506B" w14:textId="77777777" w:rsidR="00D51DBE" w:rsidRPr="0054500A" w:rsidRDefault="00D51DBE" w:rsidP="00D51DBE">
      <w:pPr>
        <w:pStyle w:val="NumberedNormal"/>
      </w:pPr>
      <w:r w:rsidRPr="00DC7771">
        <w:t>The licensee must ensure that the systems for the recording, processing or storage of data to which persons engaged in the management or operation of the licensee have access cannot be accessed by persons engaged in the management or operation of the Relevant Other Competitive Businesses.</w:t>
      </w:r>
    </w:p>
    <w:p w14:paraId="483EE42D" w14:textId="7491D867" w:rsidR="00D51DBE" w:rsidRPr="00DC7771" w:rsidRDefault="00D51DBE" w:rsidP="00D51DBE">
      <w:pPr>
        <w:pStyle w:val="Heading3"/>
      </w:pPr>
      <w:r w:rsidRPr="00DC7771">
        <w:t xml:space="preserve">Compliance </w:t>
      </w:r>
      <w:r>
        <w:t>S</w:t>
      </w:r>
      <w:r w:rsidRPr="00DC7771">
        <w:t>tatement and compliance documents</w:t>
      </w:r>
    </w:p>
    <w:p w14:paraId="2FC45AE1" w14:textId="77777777" w:rsidR="00D51DBE" w:rsidRPr="0054500A" w:rsidRDefault="00D51DBE" w:rsidP="00D51DBE">
      <w:pPr>
        <w:pStyle w:val="NumberedNormal"/>
      </w:pPr>
      <w:r>
        <w:t xml:space="preserve">Before the end of the period of </w:t>
      </w:r>
      <w:r w:rsidRPr="00DC7771">
        <w:t xml:space="preserve">30 days </w:t>
      </w:r>
      <w:r>
        <w:t xml:space="preserve">beginning with the date on which </w:t>
      </w:r>
      <w:r w:rsidRPr="00DC7771">
        <w:t>this condition comes into effect, the licensee must submit to the Authority:</w:t>
      </w:r>
    </w:p>
    <w:p w14:paraId="1ADF3CFC" w14:textId="77777777" w:rsidR="00D51DBE" w:rsidRPr="0054500A" w:rsidRDefault="00D51DBE" w:rsidP="00D51DBE">
      <w:pPr>
        <w:pStyle w:val="ListNormal"/>
        <w:tabs>
          <w:tab w:val="num" w:pos="879"/>
        </w:tabs>
      </w:pPr>
      <w:r w:rsidRPr="00DC7771">
        <w:t xml:space="preserve">a </w:t>
      </w:r>
      <w:r w:rsidRPr="0054500A">
        <w:t>Compliance Statement,</w:t>
      </w:r>
      <w:r w:rsidRPr="0054500A" w:rsidDel="0055539D">
        <w:t xml:space="preserve"> </w:t>
      </w:r>
    </w:p>
    <w:p w14:paraId="013361D3" w14:textId="75310BF7" w:rsidR="00D51DBE" w:rsidRPr="0054500A" w:rsidRDefault="0082109E" w:rsidP="00D51DBE">
      <w:pPr>
        <w:pStyle w:val="ListNormal"/>
        <w:tabs>
          <w:tab w:val="num" w:pos="879"/>
        </w:tabs>
      </w:pPr>
      <w:r>
        <w:t>the proposed form of the Compliance R</w:t>
      </w:r>
      <w:r w:rsidR="00980D34">
        <w:t xml:space="preserve">eport; </w:t>
      </w:r>
      <w:r w:rsidR="00D51DBE" w:rsidRPr="0054500A">
        <w:t>and</w:t>
      </w:r>
    </w:p>
    <w:p w14:paraId="2B3C79B3" w14:textId="009C9001" w:rsidR="00D51DBE" w:rsidRPr="0054500A" w:rsidRDefault="00D51DBE" w:rsidP="00D51DBE">
      <w:pPr>
        <w:pStyle w:val="ListNormal"/>
        <w:tabs>
          <w:tab w:val="num" w:pos="879"/>
        </w:tabs>
      </w:pPr>
      <w:r w:rsidRPr="00DC7771">
        <w:t xml:space="preserve">the proposed form </w:t>
      </w:r>
      <w:r w:rsidR="00980D34">
        <w:t>of the Compliance C</w:t>
      </w:r>
      <w:r w:rsidRPr="00DC7771">
        <w:t>ertificate</w:t>
      </w:r>
      <w:r w:rsidR="00980D34">
        <w:t>.</w:t>
      </w:r>
    </w:p>
    <w:p w14:paraId="4A159BA6" w14:textId="49FD7F2D" w:rsidR="00D51DBE" w:rsidRPr="0054500A" w:rsidRDefault="00D51DBE" w:rsidP="00D51DBE">
      <w:pPr>
        <w:pStyle w:val="NumberedNormal"/>
      </w:pPr>
      <w:r w:rsidRPr="00DC7771">
        <w:t xml:space="preserve">On receipt of the documents provided for in paragraph </w:t>
      </w:r>
      <w:proofErr w:type="gramStart"/>
      <w:r>
        <w:t xml:space="preserve">9.17.12 </w:t>
      </w:r>
      <w:r w:rsidRPr="0054500A">
        <w:t xml:space="preserve"> or</w:t>
      </w:r>
      <w:proofErr w:type="gramEnd"/>
      <w:r w:rsidRPr="0054500A">
        <w:t xml:space="preserve"> any revisions of them, as provided for in paragraph </w:t>
      </w:r>
      <w:r>
        <w:t>9.17.12</w:t>
      </w:r>
      <w:r w:rsidRPr="0054500A">
        <w:t>, the Authority will:</w:t>
      </w:r>
    </w:p>
    <w:p w14:paraId="3A01098E" w14:textId="77777777" w:rsidR="00D51DBE" w:rsidRPr="0054500A" w:rsidRDefault="00D51DBE" w:rsidP="00D51DBE">
      <w:pPr>
        <w:pStyle w:val="ListNormal"/>
        <w:tabs>
          <w:tab w:val="num" w:pos="879"/>
        </w:tabs>
      </w:pPr>
      <w:r w:rsidRPr="00DC7771">
        <w:t xml:space="preserve">approve the </w:t>
      </w:r>
      <w:r w:rsidRPr="0054500A">
        <w:t>(individual) documents and notify the licensee of each approval; or</w:t>
      </w:r>
    </w:p>
    <w:p w14:paraId="54D87170" w14:textId="77777777" w:rsidR="00D51DBE" w:rsidRPr="0054500A" w:rsidRDefault="00D51DBE" w:rsidP="00D51DBE">
      <w:pPr>
        <w:pStyle w:val="ListNormal"/>
        <w:tabs>
          <w:tab w:val="num" w:pos="879"/>
        </w:tabs>
      </w:pPr>
      <w:r w:rsidRPr="00DC7771">
        <w:t xml:space="preserve">give a direction to the licensee that any of the documents requires further development and </w:t>
      </w:r>
      <w:r>
        <w:t>specifying a</w:t>
      </w:r>
      <w:r w:rsidRPr="00DC7771">
        <w:t xml:space="preserve"> date by which the licensee is required to submit a revision to the Authority for approval.</w:t>
      </w:r>
    </w:p>
    <w:p w14:paraId="0E84C243" w14:textId="1D04C920" w:rsidR="00D51DBE" w:rsidRPr="0054500A" w:rsidRDefault="00D51DBE" w:rsidP="00D51DBE">
      <w:pPr>
        <w:pStyle w:val="NumberedNormal"/>
      </w:pPr>
      <w:r w:rsidRPr="00DC7771">
        <w:lastRenderedPageBreak/>
        <w:t xml:space="preserve">Following the Authority’s approval of the documents provided for in paragraph </w:t>
      </w:r>
      <w:r>
        <w:t>9.17.12</w:t>
      </w:r>
      <w:r w:rsidRPr="0054500A">
        <w:t>, the licensee must:</w:t>
      </w:r>
    </w:p>
    <w:p w14:paraId="161D3F63" w14:textId="77777777" w:rsidR="00D51DBE" w:rsidRPr="0054500A" w:rsidRDefault="00D51DBE" w:rsidP="00D51DBE">
      <w:pPr>
        <w:pStyle w:val="ListNormal"/>
        <w:tabs>
          <w:tab w:val="num" w:pos="879"/>
        </w:tabs>
      </w:pPr>
      <w:r w:rsidRPr="00DC7771">
        <w:t xml:space="preserve">unless the Authority otherwise consents or directs, </w:t>
      </w:r>
      <w:proofErr w:type="gramStart"/>
      <w:r w:rsidRPr="00DC7771">
        <w:t>at all times</w:t>
      </w:r>
      <w:proofErr w:type="gramEnd"/>
      <w:r w:rsidRPr="00DC7771">
        <w:t xml:space="preserve"> comply with the terms of the approved compliance statement; and</w:t>
      </w:r>
    </w:p>
    <w:p w14:paraId="7B157188" w14:textId="77777777" w:rsidR="00D51DBE" w:rsidRPr="0054500A" w:rsidRDefault="00D51DBE" w:rsidP="00D51DBE">
      <w:pPr>
        <w:pStyle w:val="ListNormal"/>
        <w:tabs>
          <w:tab w:val="num" w:pos="879"/>
        </w:tabs>
      </w:pPr>
      <w:r w:rsidRPr="00DC7771">
        <w:t xml:space="preserve">at least </w:t>
      </w:r>
      <w:r>
        <w:t xml:space="preserve">once </w:t>
      </w:r>
      <w:r w:rsidRPr="00DC7771">
        <w:t xml:space="preserve">every 12 months, or at such other interval as the Authority may direct, review </w:t>
      </w:r>
      <w:r>
        <w:t xml:space="preserve">the </w:t>
      </w:r>
      <w:r w:rsidRPr="00DC7771">
        <w:t xml:space="preserve">documents and revise them as necessary, including when circumstances change </w:t>
      </w:r>
      <w:r>
        <w:t xml:space="preserve">so </w:t>
      </w:r>
      <w:r w:rsidRPr="00DC7771">
        <w:t xml:space="preserve">that the documents no longer secure compliance with the duties </w:t>
      </w:r>
      <w:r>
        <w:t xml:space="preserve">specified </w:t>
      </w:r>
      <w:r w:rsidRPr="00DC7771">
        <w:t xml:space="preserve">in paragraph </w:t>
      </w:r>
      <w:r>
        <w:t>9.17.12</w:t>
      </w:r>
      <w:r w:rsidRPr="0054500A">
        <w:t>, to ensure that the</w:t>
      </w:r>
      <w:r>
        <w:t xml:space="preserve"> documents</w:t>
      </w:r>
      <w:r w:rsidRPr="0054500A">
        <w:t xml:space="preserve"> continue to be complete and accurate in all material respects. </w:t>
      </w:r>
    </w:p>
    <w:p w14:paraId="00B173EF" w14:textId="77777777" w:rsidR="00D51DBE" w:rsidRDefault="00D51DBE" w:rsidP="00D51DBE">
      <w:pPr>
        <w:pStyle w:val="NumberedNormal"/>
      </w:pPr>
      <w:r w:rsidRPr="00DC7771">
        <w:t xml:space="preserve">The licensee must submit any revisions made to </w:t>
      </w:r>
      <w:r>
        <w:t xml:space="preserve">the </w:t>
      </w:r>
      <w:r w:rsidRPr="00DC7771">
        <w:t xml:space="preserve">documents to the Authority. </w:t>
      </w:r>
    </w:p>
    <w:p w14:paraId="32B93F50" w14:textId="77777777" w:rsidR="00D51DBE" w:rsidRPr="0054500A" w:rsidRDefault="00D51DBE" w:rsidP="00D51DBE">
      <w:pPr>
        <w:pStyle w:val="NumberedNormal"/>
      </w:pPr>
      <w:r w:rsidRPr="00DC7771">
        <w:t xml:space="preserve">Any revisions of </w:t>
      </w:r>
      <w:r>
        <w:t xml:space="preserve">the </w:t>
      </w:r>
      <w:r w:rsidRPr="00DC7771">
        <w:t xml:space="preserve">documents will only become effective once the Authority has approved them, in accordance with paragraph </w:t>
      </w:r>
      <w:r>
        <w:t>9.17.17</w:t>
      </w:r>
      <w:r w:rsidRPr="0054500A">
        <w:t>.</w:t>
      </w:r>
    </w:p>
    <w:p w14:paraId="07BEAF57" w14:textId="77777777" w:rsidR="00D51DBE" w:rsidRPr="0054500A" w:rsidRDefault="00D51DBE" w:rsidP="00D51DBE">
      <w:pPr>
        <w:pStyle w:val="NumberedNormal"/>
      </w:pPr>
      <w:r w:rsidRPr="00600007">
        <w:t>The Authority will either:</w:t>
      </w:r>
    </w:p>
    <w:p w14:paraId="39596254" w14:textId="77777777" w:rsidR="00D51DBE" w:rsidRPr="0054500A" w:rsidRDefault="00D51DBE" w:rsidP="00D51DBE">
      <w:pPr>
        <w:pStyle w:val="ListNormal"/>
        <w:tabs>
          <w:tab w:val="num" w:pos="879"/>
        </w:tabs>
      </w:pPr>
      <w:r w:rsidRPr="00600007">
        <w:t xml:space="preserve">approve the </w:t>
      </w:r>
      <w:r>
        <w:t xml:space="preserve">proposed </w:t>
      </w:r>
      <w:proofErr w:type="gramStart"/>
      <w:r>
        <w:t>revisions</w:t>
      </w:r>
      <w:r w:rsidRPr="00600007">
        <w:t>;</w:t>
      </w:r>
      <w:proofErr w:type="gramEnd"/>
      <w:r w:rsidRPr="00600007">
        <w:t xml:space="preserve"> </w:t>
      </w:r>
    </w:p>
    <w:p w14:paraId="351DF7D0" w14:textId="77777777" w:rsidR="00D51DBE" w:rsidRPr="0054500A" w:rsidRDefault="00D51DBE" w:rsidP="00D51DBE">
      <w:pPr>
        <w:pStyle w:val="ListNormal"/>
        <w:tabs>
          <w:tab w:val="num" w:pos="879"/>
        </w:tabs>
      </w:pPr>
      <w:r w:rsidRPr="00600007">
        <w:t>reject the proposed revisions; or</w:t>
      </w:r>
    </w:p>
    <w:p w14:paraId="59B8A6B3" w14:textId="77777777" w:rsidR="00D51DBE" w:rsidRPr="0054500A" w:rsidRDefault="00D51DBE" w:rsidP="00D51DBE">
      <w:pPr>
        <w:pStyle w:val="ListNormal"/>
        <w:tabs>
          <w:tab w:val="num" w:pos="879"/>
        </w:tabs>
      </w:pPr>
      <w:r w:rsidRPr="00600007">
        <w:t xml:space="preserve">reject the proposed revisions and give recommendations as to alternative revisions that it considers </w:t>
      </w:r>
      <w:r>
        <w:t>should be made</w:t>
      </w:r>
      <w:r w:rsidRPr="00600007">
        <w:t>.</w:t>
      </w:r>
    </w:p>
    <w:p w14:paraId="1BE00D73" w14:textId="5BA49A0E" w:rsidR="00D51DBE" w:rsidRPr="0054500A" w:rsidRDefault="00D51DBE" w:rsidP="00D51DBE">
      <w:pPr>
        <w:pStyle w:val="NumberedNormal"/>
      </w:pPr>
      <w:r w:rsidRPr="00DC7771">
        <w:t xml:space="preserve">The licensee must publish a copy of the approved </w:t>
      </w:r>
      <w:r w:rsidRPr="0054500A">
        <w:t xml:space="preserve">Compliance Statement and each revision of it on its website </w:t>
      </w:r>
      <w:r>
        <w:t xml:space="preserve">during the period of </w:t>
      </w:r>
      <w:r w:rsidRPr="0054500A">
        <w:t xml:space="preserve">15 Working Days </w:t>
      </w:r>
      <w:r>
        <w:t xml:space="preserve">beginning with the date </w:t>
      </w:r>
      <w:r w:rsidRPr="0054500A">
        <w:t>of approval by the Authority.</w:t>
      </w:r>
    </w:p>
    <w:p w14:paraId="7D70C83E" w14:textId="232B6461" w:rsidR="00D51DBE" w:rsidRPr="0054500A" w:rsidRDefault="00D51DBE" w:rsidP="00D51DBE">
      <w:pPr>
        <w:pStyle w:val="NumberedNormal"/>
      </w:pPr>
      <w:r w:rsidRPr="00DC7771">
        <w:t xml:space="preserve">The </w:t>
      </w:r>
      <w:r w:rsidRPr="0054500A">
        <w:t xml:space="preserve">Compliance Statement </w:t>
      </w:r>
      <w:proofErr w:type="gramStart"/>
      <w:r w:rsidRPr="0054500A">
        <w:t>must in particular</w:t>
      </w:r>
      <w:proofErr w:type="gramEnd"/>
      <w:r w:rsidRPr="0054500A">
        <w:t xml:space="preserve"> (but without prejudice to the generality of paragraph </w:t>
      </w:r>
      <w:r w:rsidR="00545E8F">
        <w:t>9.17.12</w:t>
      </w:r>
      <w:r w:rsidRPr="0054500A">
        <w:t xml:space="preserve"> set out how the licensee will meet:</w:t>
      </w:r>
    </w:p>
    <w:p w14:paraId="6ABF0010" w14:textId="77777777" w:rsidR="00D51DBE" w:rsidRPr="0054500A" w:rsidRDefault="00D51DBE" w:rsidP="00D51DBE">
      <w:pPr>
        <w:pStyle w:val="ListNormal"/>
        <w:tabs>
          <w:tab w:val="num" w:pos="879"/>
        </w:tabs>
      </w:pPr>
      <w:r w:rsidRPr="00DC7771">
        <w:t>the business separation requirements provided for in Part A, with specific reference to:</w:t>
      </w:r>
    </w:p>
    <w:p w14:paraId="3C72444C" w14:textId="0827B6AD" w:rsidR="00D51DBE" w:rsidRPr="0054500A" w:rsidRDefault="00D51DBE" w:rsidP="00D51DBE">
      <w:pPr>
        <w:pStyle w:val="ListNormal"/>
        <w:numPr>
          <w:ilvl w:val="4"/>
          <w:numId w:val="4"/>
        </w:numPr>
      </w:pPr>
      <w:r w:rsidRPr="00DC7771">
        <w:t xml:space="preserve">the arrangements for managerial separation, as required in paragraph </w:t>
      </w:r>
      <w:proofErr w:type="gramStart"/>
      <w:r w:rsidR="00545E8F">
        <w:t>9.17.9</w:t>
      </w:r>
      <w:r w:rsidRPr="0054500A">
        <w:t>;</w:t>
      </w:r>
      <w:proofErr w:type="gramEnd"/>
    </w:p>
    <w:p w14:paraId="06B2F353" w14:textId="77777777" w:rsidR="00D51DBE" w:rsidRPr="0054500A" w:rsidRDefault="00D51DBE" w:rsidP="00D51DBE">
      <w:pPr>
        <w:pStyle w:val="ListNormal"/>
        <w:numPr>
          <w:ilvl w:val="4"/>
          <w:numId w:val="4"/>
        </w:numPr>
      </w:pPr>
      <w:r w:rsidRPr="00DC7771">
        <w:t xml:space="preserve">the treatment of Shared Services across the licensee and the Relevant Other Competitive Businesses, together with a list of those services which fall under the definition of Shared </w:t>
      </w:r>
      <w:proofErr w:type="gramStart"/>
      <w:r w:rsidRPr="00DC7771">
        <w:t>Services;</w:t>
      </w:r>
      <w:proofErr w:type="gramEnd"/>
    </w:p>
    <w:p w14:paraId="1A2D7738" w14:textId="77777777" w:rsidR="00D51DBE" w:rsidRPr="0054500A" w:rsidRDefault="00D51DBE" w:rsidP="00D51DBE">
      <w:pPr>
        <w:pStyle w:val="ListNormal"/>
        <w:numPr>
          <w:ilvl w:val="4"/>
          <w:numId w:val="4"/>
        </w:numPr>
      </w:pPr>
      <w:r w:rsidRPr="00DC7771">
        <w:t xml:space="preserve">the arrangements to manage the transfer of employees between the licensee and the Relevant Other Competitive </w:t>
      </w:r>
      <w:proofErr w:type="gramStart"/>
      <w:r w:rsidRPr="00DC7771">
        <w:t>Businesses;</w:t>
      </w:r>
      <w:proofErr w:type="gramEnd"/>
    </w:p>
    <w:p w14:paraId="5D435E6F" w14:textId="77777777" w:rsidR="00D51DBE" w:rsidRPr="0054500A" w:rsidRDefault="00D51DBE" w:rsidP="00D51DBE">
      <w:pPr>
        <w:pStyle w:val="ListNormal"/>
        <w:numPr>
          <w:ilvl w:val="4"/>
          <w:numId w:val="4"/>
        </w:numPr>
      </w:pPr>
      <w:r w:rsidRPr="00DC7771">
        <w:t xml:space="preserve"> the appointment of a compliance officer and compliance reporting, provided for in Part C.</w:t>
      </w:r>
    </w:p>
    <w:p w14:paraId="7C8A9FE9" w14:textId="77777777" w:rsidR="00D51DBE" w:rsidRPr="00DC7771" w:rsidRDefault="00D51DBE" w:rsidP="00D51DBE">
      <w:pPr>
        <w:pStyle w:val="Heading3"/>
      </w:pPr>
      <w:r w:rsidRPr="00DC7771">
        <w:t xml:space="preserve">Appointment of a </w:t>
      </w:r>
      <w:r>
        <w:t>C</w:t>
      </w:r>
      <w:r w:rsidRPr="00DC7771">
        <w:t xml:space="preserve">ompliance </w:t>
      </w:r>
      <w:r>
        <w:t>O</w:t>
      </w:r>
      <w:r w:rsidRPr="00DC7771">
        <w:t>fficer and compliance reporting</w:t>
      </w:r>
    </w:p>
    <w:p w14:paraId="6D25BACF" w14:textId="77777777" w:rsidR="00D51DBE" w:rsidRPr="0054500A" w:rsidRDefault="00D51DBE" w:rsidP="00D51DBE">
      <w:pPr>
        <w:pStyle w:val="NumberedNormal"/>
      </w:pPr>
      <w:r w:rsidRPr="00DC7771">
        <w:t xml:space="preserve">The licensee must ensure, following consultation with the Authority, that a </w:t>
      </w:r>
      <w:r w:rsidRPr="0054500A">
        <w:t xml:space="preserve">Compliance Officer is appointed. The person appointed as the Compliance </w:t>
      </w:r>
      <w:r w:rsidRPr="0054500A">
        <w:lastRenderedPageBreak/>
        <w:t>Officer pursuant to this paragraph may also hold other compliance officer roles for the licensee or its Associates licensed under the Gas Act 1986.</w:t>
      </w:r>
    </w:p>
    <w:p w14:paraId="5B7C7921" w14:textId="77777777" w:rsidR="00D51DBE" w:rsidRPr="0054500A" w:rsidRDefault="00D51DBE" w:rsidP="00D51DBE">
      <w:pPr>
        <w:pStyle w:val="NumberedNormal"/>
      </w:pPr>
      <w:r w:rsidRPr="00DC7771">
        <w:t>The licensee must appoint a Single Appointed Director</w:t>
      </w:r>
      <w:r>
        <w:t xml:space="preserve"> to </w:t>
      </w:r>
      <w:r w:rsidRPr="0054500A">
        <w:t>report to the board of the licensee in relation to the obligations set out in this condition.</w:t>
      </w:r>
    </w:p>
    <w:p w14:paraId="513FD069" w14:textId="77777777" w:rsidR="00D51DBE" w:rsidRDefault="00D51DBE" w:rsidP="00D51DBE">
      <w:pPr>
        <w:pStyle w:val="NumberedNormal"/>
      </w:pPr>
      <w:r w:rsidRPr="00DC7771">
        <w:t xml:space="preserve">The licensee must establish a </w:t>
      </w:r>
      <w:r w:rsidRPr="0054500A">
        <w:t>Compliance Committee</w:t>
      </w:r>
      <w:r>
        <w:t xml:space="preserve"> to</w:t>
      </w:r>
      <w:r w:rsidRPr="0054500A">
        <w:t xml:space="preserve"> report to the board of the licensee</w:t>
      </w:r>
      <w:r>
        <w:t>.</w:t>
      </w:r>
    </w:p>
    <w:p w14:paraId="182B3BCA" w14:textId="77777777" w:rsidR="00D51DBE" w:rsidRPr="0054500A" w:rsidRDefault="00D51DBE" w:rsidP="00D51DBE">
      <w:pPr>
        <w:pStyle w:val="NumberedNormal"/>
      </w:pPr>
      <w:r>
        <w:t>The licensee must secure that the Compliance Committee</w:t>
      </w:r>
      <w:r w:rsidRPr="0054500A">
        <w:t xml:space="preserve"> include</w:t>
      </w:r>
      <w:r>
        <w:t>s</w:t>
      </w:r>
      <w:r w:rsidRPr="0054500A">
        <w:t xml:space="preserve"> among its members the Single Appointed Director and such persons from within the licensee’s business as are responsible for the management of regulatory issues relating to the licence.</w:t>
      </w:r>
    </w:p>
    <w:p w14:paraId="4DA18096" w14:textId="77777777" w:rsidR="00D51DBE" w:rsidRPr="0054500A" w:rsidRDefault="00D51DBE" w:rsidP="00D51DBE">
      <w:pPr>
        <w:pStyle w:val="NumberedNormal"/>
      </w:pPr>
      <w:r w:rsidRPr="00DC7771">
        <w:t>The licensee must ensure that</w:t>
      </w:r>
      <w:r w:rsidRPr="0054500A">
        <w:t>, as might be reasonably required for the fulfilment of the duties and tasks assigned pursuant to this condition, the Compliance Officer:</w:t>
      </w:r>
    </w:p>
    <w:p w14:paraId="47CEC9EB" w14:textId="77777777" w:rsidR="00D51DBE" w:rsidRPr="0054500A" w:rsidRDefault="00D51DBE" w:rsidP="00D51DBE">
      <w:pPr>
        <w:pStyle w:val="ListNormal"/>
        <w:tabs>
          <w:tab w:val="num" w:pos="879"/>
        </w:tabs>
      </w:pPr>
      <w:r w:rsidRPr="00DC7771">
        <w:t xml:space="preserve">is provided with such employees, premises, equipment, </w:t>
      </w:r>
      <w:proofErr w:type="gramStart"/>
      <w:r w:rsidRPr="00DC7771">
        <w:t>facilities</w:t>
      </w:r>
      <w:proofErr w:type="gramEnd"/>
      <w:r w:rsidRPr="00DC7771">
        <w:t xml:space="preserve"> and other </w:t>
      </w:r>
      <w:r w:rsidRPr="0054500A">
        <w:t>resources; and</w:t>
      </w:r>
    </w:p>
    <w:p w14:paraId="63250486" w14:textId="77777777" w:rsidR="00D51DBE" w:rsidRPr="0054500A" w:rsidRDefault="00D51DBE" w:rsidP="00D51DBE">
      <w:pPr>
        <w:pStyle w:val="ListNormal"/>
        <w:tabs>
          <w:tab w:val="num" w:pos="879"/>
        </w:tabs>
      </w:pPr>
      <w:r w:rsidRPr="00DC7771">
        <w:t xml:space="preserve">has such access to the licensee’s premises, systems, </w:t>
      </w:r>
      <w:proofErr w:type="gramStart"/>
      <w:r w:rsidRPr="00DC7771">
        <w:t>information</w:t>
      </w:r>
      <w:proofErr w:type="gramEnd"/>
      <w:r w:rsidRPr="00DC7771">
        <w:t xml:space="preserve"> and documentation,</w:t>
      </w:r>
    </w:p>
    <w:p w14:paraId="1E2B85D0" w14:textId="208F153F" w:rsidR="00D51DBE" w:rsidRPr="0054500A" w:rsidRDefault="00D51DBE" w:rsidP="00D51DBE">
      <w:pPr>
        <w:pStyle w:val="NumberedNormal"/>
      </w:pPr>
      <w:r w:rsidRPr="00DC7771">
        <w:t xml:space="preserve">Except to the extent provided for in paragraph </w:t>
      </w:r>
      <w:r w:rsidR="003126D8">
        <w:t>9.17.20</w:t>
      </w:r>
      <w:r w:rsidRPr="0054500A">
        <w:t>, the licensee must ensure that the Compliance Officer is not engaged in the management or operation of the Transmission Business, any Associate of the licensee or any Relevant Other Competitive Businesses.</w:t>
      </w:r>
    </w:p>
    <w:p w14:paraId="06B93D14" w14:textId="77777777" w:rsidR="00D51DBE" w:rsidRPr="0054500A" w:rsidRDefault="00D51DBE" w:rsidP="00D51DBE">
      <w:pPr>
        <w:pStyle w:val="NumberedNormal"/>
      </w:pPr>
      <w:r w:rsidRPr="00DC7771">
        <w:t xml:space="preserve">The licensee must make available to the </w:t>
      </w:r>
      <w:r w:rsidRPr="0054500A">
        <w:t>Compliance Officer details of any complaint or representation received by it from any person in respect of the conduct of the licensee in undertaking the specified duties.</w:t>
      </w:r>
    </w:p>
    <w:p w14:paraId="0B68EACE" w14:textId="77777777" w:rsidR="00D51DBE" w:rsidRPr="0054500A" w:rsidRDefault="00D51DBE" w:rsidP="00D51DBE">
      <w:pPr>
        <w:pStyle w:val="NumberedNormal"/>
      </w:pPr>
      <w:r w:rsidRPr="00DC7771">
        <w:t xml:space="preserve">The duties and tasks of the </w:t>
      </w:r>
      <w:r w:rsidRPr="0054500A">
        <w:t>Compliance Officer must include:</w:t>
      </w:r>
    </w:p>
    <w:p w14:paraId="53049FB3" w14:textId="77777777" w:rsidR="00D51DBE" w:rsidRPr="0054500A" w:rsidRDefault="00D51DBE" w:rsidP="00D51DBE">
      <w:pPr>
        <w:pStyle w:val="ListNormal"/>
        <w:tabs>
          <w:tab w:val="num" w:pos="879"/>
        </w:tabs>
      </w:pPr>
      <w:r w:rsidRPr="00DC7771">
        <w:t xml:space="preserve">providing advice and information to the licensee (including individual directors of the licensee) and the Single Appointed Director for the purpose of ensuring the licensee’s compliance with the </w:t>
      </w:r>
      <w:r w:rsidRPr="0054500A">
        <w:t xml:space="preserve">Specified </w:t>
      </w:r>
      <w:proofErr w:type="gramStart"/>
      <w:r w:rsidRPr="0054500A">
        <w:t>Duties;</w:t>
      </w:r>
      <w:proofErr w:type="gramEnd"/>
    </w:p>
    <w:p w14:paraId="736F7F13" w14:textId="77777777" w:rsidR="00D51DBE" w:rsidRPr="0054500A" w:rsidRDefault="00D51DBE" w:rsidP="00D51DBE">
      <w:pPr>
        <w:pStyle w:val="ListNormal"/>
        <w:tabs>
          <w:tab w:val="num" w:pos="879"/>
        </w:tabs>
      </w:pPr>
      <w:r w:rsidRPr="00DC7771">
        <w:t xml:space="preserve">monitoring the effectiveness of the practices, procedures and systems adopted by the licensee to ensure its compliance with the </w:t>
      </w:r>
      <w:r w:rsidRPr="0054500A">
        <w:t xml:space="preserve">Specified Duties and described in the compliance </w:t>
      </w:r>
      <w:proofErr w:type="gramStart"/>
      <w:r w:rsidRPr="0054500A">
        <w:t>statement;</w:t>
      </w:r>
      <w:proofErr w:type="gramEnd"/>
    </w:p>
    <w:p w14:paraId="176AEF12" w14:textId="77777777" w:rsidR="00D51DBE" w:rsidRPr="0054500A" w:rsidRDefault="00D51DBE" w:rsidP="00D51DBE">
      <w:pPr>
        <w:pStyle w:val="ListNormal"/>
        <w:tabs>
          <w:tab w:val="num" w:pos="879"/>
        </w:tabs>
      </w:pPr>
      <w:r w:rsidRPr="00DC7771">
        <w:t xml:space="preserve">advising whether, to the extent that the implementation of such practices, procedures and systems require the co-operation of any other person, they are designed so as reasonably to secure the required </w:t>
      </w:r>
      <w:proofErr w:type="gramStart"/>
      <w:r w:rsidRPr="00DC7771">
        <w:t>co-operation;</w:t>
      </w:r>
      <w:proofErr w:type="gramEnd"/>
    </w:p>
    <w:p w14:paraId="7C62400E" w14:textId="439CE103" w:rsidR="00D51DBE" w:rsidRPr="0054500A" w:rsidRDefault="00D51DBE" w:rsidP="00D51DBE">
      <w:pPr>
        <w:pStyle w:val="ListNormal"/>
        <w:tabs>
          <w:tab w:val="num" w:pos="879"/>
        </w:tabs>
      </w:pPr>
      <w:r w:rsidRPr="00DC7771">
        <w:t xml:space="preserve">investigating any complaint or representation made available to the compliance officer in accordance with paragraph </w:t>
      </w:r>
      <w:proofErr w:type="gramStart"/>
      <w:r w:rsidR="00545E8F">
        <w:t>9.17.26</w:t>
      </w:r>
      <w:r w:rsidRPr="0054500A">
        <w:t>;</w:t>
      </w:r>
      <w:proofErr w:type="gramEnd"/>
    </w:p>
    <w:p w14:paraId="604053F7" w14:textId="77777777" w:rsidR="00D51DBE" w:rsidRPr="0054500A" w:rsidRDefault="00D51DBE" w:rsidP="00D51DBE">
      <w:pPr>
        <w:pStyle w:val="ListNormal"/>
        <w:tabs>
          <w:tab w:val="num" w:pos="879"/>
        </w:tabs>
      </w:pPr>
      <w:r w:rsidRPr="00DC7771">
        <w:t xml:space="preserve">recommending and advising upon the remedial action which any such investigation has demonstrated to be necessary or </w:t>
      </w:r>
      <w:proofErr w:type="gramStart"/>
      <w:r w:rsidRPr="00DC7771">
        <w:t>desirable;</w:t>
      </w:r>
      <w:proofErr w:type="gramEnd"/>
    </w:p>
    <w:p w14:paraId="1EE226BD" w14:textId="268D6C07" w:rsidR="00D51DBE" w:rsidRPr="0054500A" w:rsidRDefault="00D51DBE" w:rsidP="00D51DBE">
      <w:pPr>
        <w:pStyle w:val="ListNormal"/>
        <w:tabs>
          <w:tab w:val="num" w:pos="879"/>
        </w:tabs>
      </w:pPr>
      <w:r w:rsidRPr="00DC7771">
        <w:lastRenderedPageBreak/>
        <w:t xml:space="preserve">providing relevant advice and information to the licensee (including individual directors of the licensee) and the </w:t>
      </w:r>
      <w:r w:rsidRPr="0054500A">
        <w:t xml:space="preserve">Compliance Committee established under paragraph </w:t>
      </w:r>
      <w:r w:rsidR="00545E8F">
        <w:t>9</w:t>
      </w:r>
      <w:r w:rsidRPr="0054500A">
        <w:t>.17</w:t>
      </w:r>
      <w:r w:rsidR="00545E8F">
        <w:t>.23</w:t>
      </w:r>
      <w:r w:rsidRPr="0054500A">
        <w:t>, for the purpose of ensuring its implementation of:</w:t>
      </w:r>
    </w:p>
    <w:p w14:paraId="64F4EBBD" w14:textId="77777777" w:rsidR="00D51DBE" w:rsidRPr="0054500A" w:rsidRDefault="00D51DBE" w:rsidP="00D51DBE">
      <w:pPr>
        <w:pStyle w:val="ListNormal"/>
        <w:numPr>
          <w:ilvl w:val="4"/>
          <w:numId w:val="4"/>
        </w:numPr>
      </w:pPr>
      <w:r w:rsidRPr="00DC7771">
        <w:t>the practices, procedures and systems adopted in accordance with the compliance statement; and</w:t>
      </w:r>
    </w:p>
    <w:p w14:paraId="23048BA7" w14:textId="77777777" w:rsidR="00D51DBE" w:rsidRPr="0054500A" w:rsidRDefault="00D51DBE" w:rsidP="00D51DBE">
      <w:pPr>
        <w:pStyle w:val="ListNormal"/>
        <w:numPr>
          <w:ilvl w:val="4"/>
          <w:numId w:val="4"/>
        </w:numPr>
      </w:pPr>
      <w:r w:rsidRPr="00DC7771">
        <w:t>any remedial action recommended in accordance with sub-paragraph (e</w:t>
      </w:r>
      <w:proofErr w:type="gramStart"/>
      <w:r w:rsidRPr="00DC7771">
        <w:t>);</w:t>
      </w:r>
      <w:proofErr w:type="gramEnd"/>
    </w:p>
    <w:p w14:paraId="006E3EEB" w14:textId="77777777" w:rsidR="00D51DBE" w:rsidRPr="0054500A" w:rsidRDefault="00D51DBE" w:rsidP="00D51DBE">
      <w:pPr>
        <w:pStyle w:val="ListNormal"/>
        <w:numPr>
          <w:ilvl w:val="4"/>
          <w:numId w:val="4"/>
        </w:numPr>
      </w:pPr>
      <w:r w:rsidRPr="00DC7771">
        <w:t xml:space="preserve">reporting to the </w:t>
      </w:r>
      <w:r w:rsidRPr="0054500A">
        <w:t>Compliance Committee any instances which come to his attention, relating to a member of any of the managerial boards of the licensee, taking into account the interests of a business other than that in respect of which the board of which he is a member of has been established; and</w:t>
      </w:r>
    </w:p>
    <w:p w14:paraId="20706828" w14:textId="77777777" w:rsidR="00D51DBE" w:rsidRPr="0054500A" w:rsidRDefault="00D51DBE" w:rsidP="00D51DBE">
      <w:pPr>
        <w:pStyle w:val="ListNormal"/>
        <w:numPr>
          <w:ilvl w:val="4"/>
          <w:numId w:val="4"/>
        </w:numPr>
      </w:pPr>
      <w:r w:rsidRPr="00DC7771">
        <w:t>reporting annually to the</w:t>
      </w:r>
      <w:r w:rsidRPr="0054500A">
        <w:t xml:space="preserve"> Compliance Committee as to the compliance officer’s activities in respect of the Specified Duties during the period covered by the annual report.</w:t>
      </w:r>
    </w:p>
    <w:p w14:paraId="13589583" w14:textId="4E9F0C1E" w:rsidR="00D51DBE" w:rsidRPr="0054500A" w:rsidRDefault="00D51DBE" w:rsidP="00D51DBE">
      <w:pPr>
        <w:pStyle w:val="NumberedNormal"/>
      </w:pPr>
      <w:r w:rsidRPr="00DC7771">
        <w:t xml:space="preserve">As soon as is reasonably practicable and in any event no later than 90 days following each annual report of the </w:t>
      </w:r>
      <w:r w:rsidRPr="0054500A">
        <w:t xml:space="preserve">Compliance Officer, the licensee must produce, in a form approved by the Authority in accordance with paragraph </w:t>
      </w:r>
      <w:r w:rsidR="00545E8F">
        <w:t>9.17.13</w:t>
      </w:r>
      <w:r w:rsidRPr="0054500A">
        <w:t>, a Compliance Report.</w:t>
      </w:r>
    </w:p>
    <w:p w14:paraId="486C6C70" w14:textId="10A3DAD5" w:rsidR="00D51DBE" w:rsidRPr="0054500A" w:rsidRDefault="00D51DBE" w:rsidP="00D51DBE">
      <w:pPr>
        <w:pStyle w:val="NumberedNormal"/>
      </w:pPr>
      <w:r w:rsidRPr="00DC7771">
        <w:t xml:space="preserve">The </w:t>
      </w:r>
      <w:r w:rsidRPr="0054500A">
        <w:t xml:space="preserve">Compliance Report produced in accordance with paragraph </w:t>
      </w:r>
      <w:r w:rsidR="00545E8F">
        <w:t>9.17.28</w:t>
      </w:r>
      <w:r w:rsidRPr="0054500A">
        <w:t xml:space="preserve"> must in particular:</w:t>
      </w:r>
    </w:p>
    <w:p w14:paraId="0288DC78" w14:textId="77777777" w:rsidR="00D51DBE" w:rsidRPr="0054500A" w:rsidRDefault="00D51DBE" w:rsidP="00D51DBE">
      <w:pPr>
        <w:pStyle w:val="ListNormal"/>
        <w:tabs>
          <w:tab w:val="num" w:pos="879"/>
        </w:tabs>
      </w:pPr>
      <w:r w:rsidRPr="00DC7771">
        <w:t xml:space="preserve">detail the activities of the compliance officer during the relevant period covered by the compliance </w:t>
      </w:r>
      <w:proofErr w:type="gramStart"/>
      <w:r w:rsidRPr="00DC7771">
        <w:t>report;</w:t>
      </w:r>
      <w:proofErr w:type="gramEnd"/>
    </w:p>
    <w:p w14:paraId="577EA63C" w14:textId="77777777" w:rsidR="00D51DBE" w:rsidRPr="0054500A" w:rsidRDefault="00D51DBE" w:rsidP="00D51DBE">
      <w:pPr>
        <w:pStyle w:val="ListNormal"/>
        <w:tabs>
          <w:tab w:val="num" w:pos="879"/>
        </w:tabs>
      </w:pPr>
      <w:r w:rsidRPr="00DC7771">
        <w:t xml:space="preserve">refer to such other matters as are or may be appropriate in relation to </w:t>
      </w:r>
      <w:r w:rsidRPr="0054500A">
        <w:t xml:space="preserve">the implementation of the practices, procedures and systems described in the compliance </w:t>
      </w:r>
      <w:proofErr w:type="gramStart"/>
      <w:r w:rsidRPr="0054500A">
        <w:t>statement;</w:t>
      </w:r>
      <w:proofErr w:type="gramEnd"/>
    </w:p>
    <w:p w14:paraId="30BC1FF2" w14:textId="77777777" w:rsidR="00D51DBE" w:rsidRPr="0054500A" w:rsidRDefault="00D51DBE" w:rsidP="00D51DBE">
      <w:pPr>
        <w:pStyle w:val="ListNormal"/>
        <w:tabs>
          <w:tab w:val="num" w:pos="879"/>
        </w:tabs>
      </w:pPr>
      <w:r w:rsidRPr="00DC7771">
        <w:t>set out the details of any investigations conducted by the compliance officer, including:</w:t>
      </w:r>
    </w:p>
    <w:p w14:paraId="3C2250B8" w14:textId="77777777" w:rsidR="00D51DBE" w:rsidRPr="0054500A" w:rsidRDefault="00D51DBE" w:rsidP="00D51DBE">
      <w:pPr>
        <w:pStyle w:val="ListNormal"/>
        <w:numPr>
          <w:ilvl w:val="4"/>
          <w:numId w:val="4"/>
        </w:numPr>
      </w:pPr>
      <w:r w:rsidRPr="00DC7771">
        <w:t xml:space="preserve">the number, type and source of the complaints or representations on which such investigations were </w:t>
      </w:r>
      <w:proofErr w:type="gramStart"/>
      <w:r w:rsidRPr="00DC7771">
        <w:t>based;</w:t>
      </w:r>
      <w:proofErr w:type="gramEnd"/>
    </w:p>
    <w:p w14:paraId="0B7F7977" w14:textId="77777777" w:rsidR="00D51DBE" w:rsidRPr="0054500A" w:rsidRDefault="00D51DBE" w:rsidP="00D51DBE">
      <w:pPr>
        <w:pStyle w:val="ListNormal"/>
        <w:numPr>
          <w:ilvl w:val="4"/>
          <w:numId w:val="4"/>
        </w:numPr>
      </w:pPr>
      <w:r w:rsidRPr="00DC7771">
        <w:t>the outcome of such investigations; and</w:t>
      </w:r>
    </w:p>
    <w:p w14:paraId="34637CCF" w14:textId="77777777" w:rsidR="00D51DBE" w:rsidRPr="0054500A" w:rsidRDefault="00D51DBE" w:rsidP="00D51DBE">
      <w:pPr>
        <w:pStyle w:val="ListNormal"/>
        <w:numPr>
          <w:ilvl w:val="4"/>
          <w:numId w:val="4"/>
        </w:numPr>
      </w:pPr>
      <w:r w:rsidRPr="00DC7771">
        <w:t>any remedial action taken by the licensee following such investigations; and</w:t>
      </w:r>
    </w:p>
    <w:p w14:paraId="67B7DBFA" w14:textId="1C7756D8" w:rsidR="00D51DBE" w:rsidRPr="0054500A" w:rsidRDefault="00D51DBE" w:rsidP="00D51DBE">
      <w:pPr>
        <w:pStyle w:val="ListNormal"/>
        <w:tabs>
          <w:tab w:val="num" w:pos="879"/>
        </w:tabs>
      </w:pPr>
      <w:r w:rsidRPr="00DC7771">
        <w:t xml:space="preserve">be accompanied by a </w:t>
      </w:r>
      <w:r w:rsidRPr="0054500A">
        <w:t xml:space="preserve">Compliance Certificate, in a form approved by the Authority in accordance with paragraph </w:t>
      </w:r>
      <w:r w:rsidR="00545E8F">
        <w:t>9.17.13</w:t>
      </w:r>
      <w:r w:rsidRPr="0054500A">
        <w:t xml:space="preserve">, approved by a resolution of the board of the licensee and signed in good faith by the Single Appointed Director pursuant to that resolution, on the licensee’s compliance with the specified duties. </w:t>
      </w:r>
    </w:p>
    <w:p w14:paraId="137EEA4D" w14:textId="03C095DC" w:rsidR="00D51DBE" w:rsidRPr="0054500A" w:rsidRDefault="00D51DBE" w:rsidP="00D51DBE">
      <w:pPr>
        <w:pStyle w:val="NumberedNormal"/>
      </w:pPr>
      <w:r w:rsidRPr="00DC7771">
        <w:t xml:space="preserve">The licensee must, as soon as reasonably practicable, following the approval of the </w:t>
      </w:r>
      <w:r w:rsidRPr="0054500A">
        <w:t xml:space="preserve">Compliance Certificate by the board of the licensee, and in any event no </w:t>
      </w:r>
      <w:r w:rsidRPr="0054500A">
        <w:lastRenderedPageBreak/>
        <w:t xml:space="preserve">later than 120 days following each annual report of the Compliance Officer, submit to the Authority a copy of the Compliance Report and Compliance Certificate produced in accordance with paragraphs </w:t>
      </w:r>
      <w:r w:rsidR="0082109E">
        <w:t>9.17.28</w:t>
      </w:r>
      <w:r w:rsidRPr="0054500A">
        <w:t xml:space="preserve"> and </w:t>
      </w:r>
      <w:r w:rsidR="0082109E">
        <w:t>9.17.29</w:t>
      </w:r>
      <w:r w:rsidRPr="0054500A">
        <w:t>, and publish copies of each of them on its website.</w:t>
      </w:r>
    </w:p>
    <w:p w14:paraId="06EF55B5" w14:textId="77777777" w:rsidR="00D51DBE" w:rsidRPr="0054500A" w:rsidRDefault="00D51DBE" w:rsidP="00D51DBE">
      <w:pPr>
        <w:pStyle w:val="NumberedNormal"/>
      </w:pPr>
      <w:r w:rsidRPr="00DC7771">
        <w:t xml:space="preserve">The licensee must, if </w:t>
      </w:r>
      <w:proofErr w:type="gramStart"/>
      <w:r w:rsidRPr="00DC7771">
        <w:t>so</w:t>
      </w:r>
      <w:proofErr w:type="gramEnd"/>
      <w:r w:rsidRPr="00DC7771">
        <w:t xml:space="preserve"> directed by the Authority, appoint an Independent Examiner for the purpose of providing a written report to the Authority:</w:t>
      </w:r>
    </w:p>
    <w:p w14:paraId="26B7AA0B" w14:textId="77777777" w:rsidR="00D51DBE" w:rsidRPr="0054500A" w:rsidRDefault="00D51DBE" w:rsidP="00D51DBE">
      <w:pPr>
        <w:pStyle w:val="ListNormal"/>
        <w:tabs>
          <w:tab w:val="num" w:pos="879"/>
        </w:tabs>
      </w:pPr>
      <w:r w:rsidRPr="00DC7771">
        <w:t xml:space="preserve">reviewing the practices, procedures and systems which have been implemented to secure compliance with this </w:t>
      </w:r>
      <w:proofErr w:type="gramStart"/>
      <w:r w:rsidRPr="00DC7771">
        <w:t>condition;</w:t>
      </w:r>
      <w:proofErr w:type="gramEnd"/>
    </w:p>
    <w:p w14:paraId="6F031EB1" w14:textId="77777777" w:rsidR="00D51DBE" w:rsidRPr="0054500A" w:rsidRDefault="00D51DBE" w:rsidP="00D51DBE">
      <w:pPr>
        <w:pStyle w:val="ListNormal"/>
        <w:tabs>
          <w:tab w:val="num" w:pos="879"/>
        </w:tabs>
      </w:pPr>
      <w:r w:rsidRPr="00DC7771">
        <w:t xml:space="preserve">assessing the appropriateness of such practices, </w:t>
      </w:r>
      <w:proofErr w:type="gramStart"/>
      <w:r w:rsidRPr="00DC7771">
        <w:t>procedures</w:t>
      </w:r>
      <w:proofErr w:type="gramEnd"/>
      <w:r w:rsidRPr="00DC7771">
        <w:t xml:space="preserve"> and systems for securing compliance with the licensee’s obligations under this condition; and</w:t>
      </w:r>
    </w:p>
    <w:p w14:paraId="65BD5D11" w14:textId="77777777" w:rsidR="00D51DBE" w:rsidRPr="0054500A" w:rsidRDefault="00D51DBE" w:rsidP="00D51DBE">
      <w:pPr>
        <w:pStyle w:val="ListNormal"/>
        <w:tabs>
          <w:tab w:val="num" w:pos="879"/>
        </w:tabs>
      </w:pPr>
      <w:r w:rsidRPr="00DC7771">
        <w:t>reporting on the licensee’s compliance with the requirements of this condition.</w:t>
      </w:r>
    </w:p>
    <w:p w14:paraId="2CA83D41" w14:textId="78960CE4" w:rsidR="00D51DBE" w:rsidRPr="0054500A" w:rsidRDefault="00D51DBE" w:rsidP="00D51DBE">
      <w:pPr>
        <w:pStyle w:val="NumberedNormal"/>
      </w:pPr>
      <w:r w:rsidRPr="00DC7771">
        <w:t xml:space="preserve">The Independent Examiner’s report must be provided to the Authority </w:t>
      </w:r>
      <w:r>
        <w:t xml:space="preserve">during the period of </w:t>
      </w:r>
      <w:r w:rsidR="0082109E">
        <w:t>three</w:t>
      </w:r>
      <w:r>
        <w:t xml:space="preserve"> W</w:t>
      </w:r>
      <w:r w:rsidRPr="00DC7771">
        <w:t xml:space="preserve">orking </w:t>
      </w:r>
      <w:r>
        <w:t>D</w:t>
      </w:r>
      <w:r w:rsidRPr="00DC7771">
        <w:t xml:space="preserve">ays </w:t>
      </w:r>
      <w:r>
        <w:t xml:space="preserve">beginning with the date on which the </w:t>
      </w:r>
      <w:r w:rsidRPr="00DC7771">
        <w:t xml:space="preserve">licensee </w:t>
      </w:r>
      <w:r>
        <w:t xml:space="preserve">receives the report </w:t>
      </w:r>
      <w:r w:rsidRPr="00DC7771">
        <w:t>from the Independent Examiner.</w:t>
      </w:r>
    </w:p>
    <w:p w14:paraId="4CD9B7DD" w14:textId="492D4E39" w:rsidR="0054500A" w:rsidRPr="0054500A" w:rsidRDefault="00D51DBE" w:rsidP="00D51DBE">
      <w:pPr>
        <w:pStyle w:val="NumberedNormal"/>
      </w:pPr>
      <w:r w:rsidRPr="00DC7771">
        <w:t>The Independent Examiner’s report must be commissioned at such intervals as the Authority may direct.</w:t>
      </w:r>
      <w:bookmarkEnd w:id="282"/>
      <w:bookmarkEnd w:id="283"/>
    </w:p>
    <w:p w14:paraId="43318037" w14:textId="16FFE3DF" w:rsidR="009E6808" w:rsidRPr="009E6808" w:rsidRDefault="009E6808" w:rsidP="005B17EA">
      <w:pPr>
        <w:pStyle w:val="Heading2"/>
      </w:pPr>
      <w:bookmarkStart w:id="290" w:name="_Toc51319674"/>
      <w:bookmarkStart w:id="291" w:name="_Toc51798350"/>
      <w:bookmarkStart w:id="292" w:name="_Toc52364956"/>
      <w:r w:rsidRPr="009E6808">
        <w:t>Tax Reconciliation Assurance Statement</w:t>
      </w:r>
      <w:bookmarkEnd w:id="290"/>
      <w:bookmarkEnd w:id="291"/>
      <w:bookmarkEnd w:id="292"/>
    </w:p>
    <w:p w14:paraId="632F6758" w14:textId="77777777" w:rsidR="009E6808" w:rsidRPr="009E6808" w:rsidRDefault="009E6808" w:rsidP="00BD55A4">
      <w:pPr>
        <w:pStyle w:val="Heading3nonumbering"/>
      </w:pPr>
      <w:r w:rsidRPr="009E6808">
        <w:t xml:space="preserve">Introduction </w:t>
      </w:r>
    </w:p>
    <w:p w14:paraId="2C9C83B8" w14:textId="77777777" w:rsidR="009E6808" w:rsidRPr="009E6808" w:rsidRDefault="009E6808" w:rsidP="00BD55A4">
      <w:pPr>
        <w:pStyle w:val="NumberedNormal"/>
      </w:pPr>
      <w:r w:rsidRPr="009E6808">
        <w:t>This condition requires the licensee to submit to the Authority an annual assurance statement in relation to the Tax Reconciliation template and sets out the form of that statement.</w:t>
      </w:r>
    </w:p>
    <w:p w14:paraId="0B760124" w14:textId="0CF4A900" w:rsidR="009E6808" w:rsidRPr="009E6808" w:rsidRDefault="009E6808" w:rsidP="00BD55A4">
      <w:pPr>
        <w:pStyle w:val="Heading3"/>
      </w:pPr>
      <w:r w:rsidRPr="009E6808">
        <w:t>Assurance Statement</w:t>
      </w:r>
    </w:p>
    <w:p w14:paraId="491666A5" w14:textId="77777777" w:rsidR="009E6808" w:rsidRPr="009E6808" w:rsidRDefault="009E6808" w:rsidP="00BD55A4">
      <w:pPr>
        <w:pStyle w:val="NumberedNormal"/>
      </w:pPr>
      <w:r w:rsidRPr="009E6808">
        <w:t xml:space="preserve">The licensee must by 31 July of each Regulatory Year submit to the Authority an assurance statement that: </w:t>
      </w:r>
    </w:p>
    <w:p w14:paraId="7B6C93FE" w14:textId="7E58AAC6" w:rsidR="009E6808" w:rsidRPr="009E6808" w:rsidRDefault="009E6808" w:rsidP="00BD55A4">
      <w:pPr>
        <w:pStyle w:val="ListNormal"/>
      </w:pPr>
      <w:r w:rsidRPr="009E6808">
        <w:t xml:space="preserve">has been approved by resolution of the licensee’s board of </w:t>
      </w:r>
      <w:proofErr w:type="gramStart"/>
      <w:r w:rsidRPr="009E6808">
        <w:t>directors;</w:t>
      </w:r>
      <w:proofErr w:type="gramEnd"/>
    </w:p>
    <w:p w14:paraId="0F765F21" w14:textId="4DD9B544" w:rsidR="009E6808" w:rsidRPr="009E6808" w:rsidRDefault="009E6808" w:rsidP="00BD55A4">
      <w:pPr>
        <w:pStyle w:val="ListNormal"/>
      </w:pPr>
      <w:r w:rsidRPr="009E6808">
        <w:t xml:space="preserve">is signed by a director of the licensee pursuant to the resolution in sub-paragraph (a); and, </w:t>
      </w:r>
    </w:p>
    <w:p w14:paraId="4B2C1F2C" w14:textId="23C15C32" w:rsidR="009E6808" w:rsidRPr="009E6808" w:rsidRDefault="009E6808" w:rsidP="00BD55A4">
      <w:pPr>
        <w:pStyle w:val="ListNormal"/>
      </w:pPr>
      <w:r w:rsidRPr="009E6808">
        <w:t xml:space="preserve">is set out in the form </w:t>
      </w:r>
      <w:r w:rsidR="00683F2F">
        <w:t>prescribed in paragraph 9.1</w:t>
      </w:r>
      <w:r w:rsidR="00526FDD">
        <w:t>8</w:t>
      </w:r>
      <w:r w:rsidRPr="009E6808">
        <w:t xml:space="preserve">.3 or where </w:t>
      </w:r>
      <w:r w:rsidR="00683F2F">
        <w:t>paragraph 9.1</w:t>
      </w:r>
      <w:r w:rsidR="00526FDD">
        <w:t>8</w:t>
      </w:r>
      <w:r w:rsidRPr="009E6808">
        <w:t>.4 applies in the</w:t>
      </w:r>
      <w:r w:rsidR="00683F2F">
        <w:t xml:space="preserve"> form prescribed in paragraph 9.1</w:t>
      </w:r>
      <w:r w:rsidR="00526FDD">
        <w:t>8</w:t>
      </w:r>
      <w:r w:rsidRPr="009E6808">
        <w:t>.5.</w:t>
      </w:r>
    </w:p>
    <w:p w14:paraId="0F0DE2DE" w14:textId="7D4A38A7" w:rsidR="009E6808" w:rsidRPr="009E6808" w:rsidRDefault="009E6808" w:rsidP="00BD55A4">
      <w:pPr>
        <w:pStyle w:val="NumberedNormal"/>
      </w:pPr>
      <w:r w:rsidRPr="009E6808">
        <w:t xml:space="preserve">The </w:t>
      </w:r>
      <w:r w:rsidR="001E6D78" w:rsidRPr="009E6808">
        <w:t>prescribed</w:t>
      </w:r>
      <w:r w:rsidRPr="009E6808">
        <w:t xml:space="preserve"> form for the assurance statement is as follows:</w:t>
      </w:r>
    </w:p>
    <w:p w14:paraId="22C524DC" w14:textId="2A9C63DE" w:rsidR="009E6808" w:rsidRPr="009E6808" w:rsidRDefault="009E6808" w:rsidP="00DF7BE4">
      <w:r w:rsidRPr="009E6808">
        <w:t xml:space="preserve">"In accordance with </w:t>
      </w:r>
      <w:r w:rsidR="00683F2F">
        <w:t>the requirements of paragraph 9.1</w:t>
      </w:r>
      <w:r w:rsidR="00526FDD">
        <w:t>8</w:t>
      </w:r>
      <w:r w:rsidR="00683F2F">
        <w:t>.2 of Special Condition 9.1</w:t>
      </w:r>
      <w:r w:rsidR="00526FDD">
        <w:t>8</w:t>
      </w:r>
      <w:r w:rsidRPr="009E6808">
        <w:t xml:space="preserve"> (Tax Reconciliation Assurance Statement), the Directors of [licensee] (‘the Licensee”) hereby certify that for the Regulatory Year</w:t>
      </w:r>
      <w:r w:rsidR="00B95AE8">
        <w:t xml:space="preserve"> [</w:t>
      </w:r>
      <w:r w:rsidR="00B95AE8">
        <w:rPr>
          <w:i/>
          <w:iCs/>
        </w:rPr>
        <w:t>preceding Regulatory Year</w:t>
      </w:r>
      <w:r w:rsidR="00B95AE8">
        <w:t>]</w:t>
      </w:r>
      <w:r w:rsidRPr="009E6808">
        <w:t xml:space="preserve">, in their opinion: </w:t>
      </w:r>
    </w:p>
    <w:p w14:paraId="0023C6F8" w14:textId="5801DA44" w:rsidR="009E6808" w:rsidRPr="009E6808" w:rsidRDefault="00B95AE8" w:rsidP="0035462D">
      <w:pPr>
        <w:pStyle w:val="ListNormal"/>
      </w:pPr>
      <w:r>
        <w:lastRenderedPageBreak/>
        <w:t>t</w:t>
      </w:r>
      <w:r w:rsidRPr="009E6808">
        <w:t xml:space="preserve">he </w:t>
      </w:r>
      <w:r w:rsidR="009E6808" w:rsidRPr="009E6808">
        <w:t>adjusted notional tax allowance as shown in the Tax Reconciliation template repr</w:t>
      </w:r>
      <w:r w:rsidR="000A683E">
        <w:t xml:space="preserve">esents a fair interpretation </w:t>
      </w:r>
      <w:r w:rsidR="009E6808" w:rsidRPr="009E6808">
        <w:t xml:space="preserve">of the </w:t>
      </w:r>
      <w:r>
        <w:t>L</w:t>
      </w:r>
      <w:r w:rsidRPr="009E6808">
        <w:t xml:space="preserve">icensee’s </w:t>
      </w:r>
      <w:r w:rsidR="009E6808" w:rsidRPr="009E6808">
        <w:t>adjusted actual tax liability as shown in the licensee’s Company Tax Return (CT600</w:t>
      </w:r>
      <w:proofErr w:type="gramStart"/>
      <w:r w:rsidRPr="009E6808">
        <w:t>)</w:t>
      </w:r>
      <w:r>
        <w:t>;</w:t>
      </w:r>
      <w:proofErr w:type="gramEnd"/>
      <w:r w:rsidRPr="009E6808">
        <w:t xml:space="preserve"> </w:t>
      </w:r>
    </w:p>
    <w:p w14:paraId="7794D0A9" w14:textId="7CB2C309" w:rsidR="009E6808" w:rsidRPr="009E6808" w:rsidRDefault="00B95AE8" w:rsidP="0035462D">
      <w:pPr>
        <w:pStyle w:val="ListNormal"/>
      </w:pPr>
      <w:r>
        <w:t>t</w:t>
      </w:r>
      <w:r w:rsidRPr="009E6808">
        <w:t xml:space="preserve">he </w:t>
      </w:r>
      <w:r w:rsidR="009E6808" w:rsidRPr="009E6808">
        <w:t xml:space="preserve">Tax Reconciliation has been submitted to </w:t>
      </w:r>
      <w:r>
        <w:t xml:space="preserve">the </w:t>
      </w:r>
      <w:r w:rsidRPr="00B95AE8">
        <w:t>Office of Gas and Electricity Markets</w:t>
      </w:r>
      <w:r>
        <w:t xml:space="preserve"> </w:t>
      </w:r>
      <w:r w:rsidR="009E6808" w:rsidRPr="009E6808">
        <w:t>along with a copy of:</w:t>
      </w:r>
    </w:p>
    <w:p w14:paraId="2315E8EC" w14:textId="70F11A37" w:rsidR="009E6808" w:rsidRPr="009E6808" w:rsidRDefault="009E6808" w:rsidP="007E6D46">
      <w:pPr>
        <w:pStyle w:val="ListNormal"/>
        <w:numPr>
          <w:ilvl w:val="4"/>
          <w:numId w:val="8"/>
        </w:numPr>
      </w:pPr>
      <w:r w:rsidRPr="009E6808">
        <w:t xml:space="preserve">the </w:t>
      </w:r>
      <w:r w:rsidR="00B95AE8">
        <w:t>L</w:t>
      </w:r>
      <w:r w:rsidR="00B95AE8" w:rsidRPr="009E6808">
        <w:t xml:space="preserve">icensee's </w:t>
      </w:r>
      <w:r w:rsidRPr="009E6808">
        <w:t xml:space="preserve">most recent CT600 as submitted to Her Majesty's Revenue and </w:t>
      </w:r>
      <w:proofErr w:type="gramStart"/>
      <w:r w:rsidRPr="009E6808">
        <w:t>Customs;</w:t>
      </w:r>
      <w:proofErr w:type="gramEnd"/>
    </w:p>
    <w:p w14:paraId="1A955B76" w14:textId="6C87AA30" w:rsidR="009E6808" w:rsidRDefault="009E6808" w:rsidP="007E6D46">
      <w:pPr>
        <w:pStyle w:val="ListNormal"/>
        <w:numPr>
          <w:ilvl w:val="4"/>
          <w:numId w:val="8"/>
        </w:numPr>
      </w:pPr>
      <w:r w:rsidRPr="009E6808">
        <w:t>Senior Accounting Officer (SAO2) certifications; and</w:t>
      </w:r>
    </w:p>
    <w:p w14:paraId="6EE27A68" w14:textId="47A59E0F" w:rsidR="009E6808" w:rsidRPr="009E6808" w:rsidRDefault="0035462D" w:rsidP="007E6D46">
      <w:pPr>
        <w:pStyle w:val="ListNormal"/>
        <w:numPr>
          <w:ilvl w:val="4"/>
          <w:numId w:val="8"/>
        </w:numPr>
      </w:pPr>
      <w:r w:rsidRPr="009E6808">
        <w:t xml:space="preserve">the </w:t>
      </w:r>
      <w:r w:rsidR="00B95AE8">
        <w:t>L</w:t>
      </w:r>
      <w:r w:rsidR="00B95AE8" w:rsidRPr="009E6808">
        <w:t xml:space="preserve">icensee’s </w:t>
      </w:r>
      <w:r w:rsidRPr="009E6808">
        <w:t xml:space="preserve">published Tax </w:t>
      </w:r>
      <w:proofErr w:type="gramStart"/>
      <w:r w:rsidRPr="009E6808">
        <w:t>Strategy</w:t>
      </w:r>
      <w:r w:rsidR="00B95AE8">
        <w:t>;</w:t>
      </w:r>
      <w:proofErr w:type="gramEnd"/>
    </w:p>
    <w:p w14:paraId="017EDEFF" w14:textId="48258BF6" w:rsidR="009E6808" w:rsidRPr="009E6808" w:rsidRDefault="00B95AE8" w:rsidP="00683F2F">
      <w:pPr>
        <w:pStyle w:val="ListNormal"/>
      </w:pPr>
      <w:r>
        <w:t>w</w:t>
      </w:r>
      <w:r w:rsidRPr="009E6808">
        <w:t xml:space="preserve">here </w:t>
      </w:r>
      <w:r w:rsidR="009E6808" w:rsidRPr="009E6808">
        <w:t xml:space="preserve">appropriate, further information has also been provided to support and explain reconciling items in accordance with paragraph </w:t>
      </w:r>
      <w:r w:rsidR="000C26CC">
        <w:t>[</w:t>
      </w:r>
      <w:r w:rsidR="009E6808" w:rsidRPr="009E6808">
        <w:t>X</w:t>
      </w:r>
      <w:r w:rsidR="000C26CC">
        <w:t>]</w:t>
      </w:r>
      <w:r w:rsidR="009E6808" w:rsidRPr="009E6808">
        <w:t xml:space="preserve"> of the Regulatory Instructions and </w:t>
      </w:r>
      <w:proofErr w:type="gramStart"/>
      <w:r w:rsidR="009E6808" w:rsidRPr="009E6808">
        <w:t>Guidance</w:t>
      </w:r>
      <w:r>
        <w:t>;</w:t>
      </w:r>
      <w:proofErr w:type="gramEnd"/>
    </w:p>
    <w:p w14:paraId="5BC67B3E" w14:textId="0D851B7A" w:rsidR="00B95AE8" w:rsidRDefault="00B95AE8" w:rsidP="00683F2F">
      <w:pPr>
        <w:pStyle w:val="ListNormal"/>
      </w:pPr>
      <w:r>
        <w:t>a</w:t>
      </w:r>
      <w:r w:rsidRPr="009E6808">
        <w:t xml:space="preserve">ll </w:t>
      </w:r>
      <w:r w:rsidR="009E6808" w:rsidRPr="009E6808">
        <w:t>adjustments made have been appropriately explained in the Tax Reconciliation supporting commentary</w:t>
      </w:r>
      <w:r>
        <w:t>;</w:t>
      </w:r>
      <w:r w:rsidR="006124B4">
        <w:t xml:space="preserve"> and</w:t>
      </w:r>
    </w:p>
    <w:p w14:paraId="7B3D8FCF" w14:textId="17FCF051" w:rsidR="009E6808" w:rsidRPr="009E6808" w:rsidRDefault="00B95AE8" w:rsidP="00683F2F">
      <w:pPr>
        <w:pStyle w:val="ListNormal"/>
      </w:pPr>
      <w:r>
        <w:t>r</w:t>
      </w:r>
      <w:r w:rsidR="009E6808" w:rsidRPr="009E6808">
        <w:t>econciling differences have been appropriately explained and any remaining, unexplained difference</w:t>
      </w:r>
      <w:r>
        <w:t>s</w:t>
      </w:r>
      <w:r w:rsidR="009E6808" w:rsidRPr="009E6808">
        <w:t xml:space="preserve"> </w:t>
      </w:r>
      <w:r>
        <w:t>are</w:t>
      </w:r>
      <w:r w:rsidRPr="009E6808">
        <w:t xml:space="preserve"> </w:t>
      </w:r>
      <w:r w:rsidR="009E6808" w:rsidRPr="009E6808">
        <w:t>considered immaterial in aggregate."</w:t>
      </w:r>
    </w:p>
    <w:p w14:paraId="03C2FABB" w14:textId="77777777" w:rsidR="009E6808" w:rsidRPr="009E6808" w:rsidRDefault="009E6808" w:rsidP="009E6808"/>
    <w:p w14:paraId="6A19809E" w14:textId="60454A98" w:rsidR="009E6808" w:rsidRPr="009E6808" w:rsidRDefault="009E6808" w:rsidP="0033794D">
      <w:pPr>
        <w:pStyle w:val="NumberedNormal"/>
      </w:pPr>
      <w:r w:rsidRPr="009E6808">
        <w:t xml:space="preserve">Where the licensee anticipates a material, unexplained variance to arise in the Tax Reconciliation as </w:t>
      </w:r>
      <w:r w:rsidR="000A683E" w:rsidRPr="009E6808">
        <w:t>described</w:t>
      </w:r>
      <w:r w:rsidRPr="009E6808">
        <w:t xml:space="preserve"> in Chapter 6 of the </w:t>
      </w:r>
      <w:r w:rsidR="009F56C4">
        <w:t>ET2</w:t>
      </w:r>
      <w:r w:rsidRPr="009E6808">
        <w:t xml:space="preserve"> Price Control Financial Handbook, the prescribed form for the assurance statement is set out i</w:t>
      </w:r>
      <w:r w:rsidR="00683F2F">
        <w:t>n paragraph 9.1</w:t>
      </w:r>
      <w:r w:rsidR="00526FDD">
        <w:t>8</w:t>
      </w:r>
      <w:r w:rsidRPr="009E6808">
        <w:t>.5.</w:t>
      </w:r>
    </w:p>
    <w:p w14:paraId="6F681F70" w14:textId="36EF511A" w:rsidR="009E6808" w:rsidRPr="009E6808" w:rsidRDefault="009E6808" w:rsidP="00683F2F">
      <w:pPr>
        <w:pStyle w:val="NumberedNormal"/>
      </w:pPr>
      <w:r w:rsidRPr="009E6808">
        <w:t>"In accordance with t</w:t>
      </w:r>
      <w:r w:rsidR="00683F2F">
        <w:t>he requirements of paragraph 9.1</w:t>
      </w:r>
      <w:r w:rsidR="00526FDD">
        <w:t>8</w:t>
      </w:r>
      <w:r w:rsidR="00683F2F">
        <w:t>.2 of Special Condition</w:t>
      </w:r>
      <w:r w:rsidR="00526FDD">
        <w:t xml:space="preserve"> </w:t>
      </w:r>
      <w:r w:rsidR="00683F2F">
        <w:t>9.1</w:t>
      </w:r>
      <w:r w:rsidR="00526FDD">
        <w:t>8</w:t>
      </w:r>
      <w:r w:rsidRPr="009E6808">
        <w:t xml:space="preserve"> (Tax Reconciliation Assurance Statement), the Directors of [licensee] (‘the Licensee”) hereby certify that for the preceding Regulatory Year, in their opinion: </w:t>
      </w:r>
    </w:p>
    <w:p w14:paraId="088AF710" w14:textId="1BDBE656" w:rsidR="009E6808" w:rsidRPr="009E6808" w:rsidRDefault="006124B4" w:rsidP="00683F2F">
      <w:pPr>
        <w:pStyle w:val="ListNormal"/>
      </w:pPr>
      <w:r>
        <w:t>t</w:t>
      </w:r>
      <w:r w:rsidRPr="009E6808">
        <w:t xml:space="preserve">he </w:t>
      </w:r>
      <w:r w:rsidR="009E6808" w:rsidRPr="009E6808">
        <w:t>adjusted notional tax allowance as shown in the Tax Reconciliation</w:t>
      </w:r>
      <w:r w:rsidR="000A683E">
        <w:t xml:space="preserve"> template does not represent a fair interpretation </w:t>
      </w:r>
      <w:r w:rsidR="009E6808" w:rsidRPr="009E6808">
        <w:t xml:space="preserve">of the </w:t>
      </w:r>
      <w:r>
        <w:t>L</w:t>
      </w:r>
      <w:r w:rsidRPr="009E6808">
        <w:t xml:space="preserve">icensee’s </w:t>
      </w:r>
      <w:r w:rsidR="009E6808" w:rsidRPr="009E6808">
        <w:t xml:space="preserve">adjusted actual tax liability as shown in the </w:t>
      </w:r>
      <w:r>
        <w:t>L</w:t>
      </w:r>
      <w:r w:rsidRPr="009E6808">
        <w:t xml:space="preserve">icensee’s </w:t>
      </w:r>
      <w:r w:rsidR="009E6808" w:rsidRPr="009E6808">
        <w:t>Company Tax Return (CT600</w:t>
      </w:r>
      <w:proofErr w:type="gramStart"/>
      <w:r w:rsidRPr="009E6808">
        <w:t>)</w:t>
      </w:r>
      <w:r>
        <w:t>;</w:t>
      </w:r>
      <w:proofErr w:type="gramEnd"/>
      <w:r w:rsidRPr="009E6808">
        <w:t xml:space="preserve"> </w:t>
      </w:r>
    </w:p>
    <w:p w14:paraId="5634DF87" w14:textId="5E202FCE" w:rsidR="009E6808" w:rsidRPr="009E6808" w:rsidRDefault="009E6808" w:rsidP="00683F2F">
      <w:pPr>
        <w:pStyle w:val="ListNormal"/>
      </w:pPr>
      <w:r w:rsidRPr="009E6808">
        <w:t xml:space="preserve">The Tax Reconciliation has been submitted to </w:t>
      </w:r>
      <w:r w:rsidR="006124B4">
        <w:t xml:space="preserve">the </w:t>
      </w:r>
      <w:r w:rsidR="006124B4" w:rsidRPr="006124B4">
        <w:t>Office of Gas and Electricity Markets</w:t>
      </w:r>
      <w:r w:rsidR="006124B4" w:rsidRPr="009E6808">
        <w:t xml:space="preserve"> </w:t>
      </w:r>
      <w:r w:rsidRPr="009E6808">
        <w:t>along with a copy of:</w:t>
      </w:r>
    </w:p>
    <w:p w14:paraId="45701928" w14:textId="13D6E561" w:rsidR="009E6808" w:rsidRPr="009E6808" w:rsidRDefault="009E6808" w:rsidP="007E6D46">
      <w:pPr>
        <w:pStyle w:val="ListNormal"/>
        <w:numPr>
          <w:ilvl w:val="4"/>
          <w:numId w:val="8"/>
        </w:numPr>
      </w:pPr>
      <w:r w:rsidRPr="009E6808">
        <w:t xml:space="preserve">the </w:t>
      </w:r>
      <w:r w:rsidR="006124B4">
        <w:t>L</w:t>
      </w:r>
      <w:r w:rsidR="006124B4" w:rsidRPr="009E6808">
        <w:t xml:space="preserve">icensee's </w:t>
      </w:r>
      <w:r w:rsidRPr="009E6808">
        <w:t xml:space="preserve">most recent CT600 as submitted to Her Majesty's Revenue and </w:t>
      </w:r>
      <w:proofErr w:type="gramStart"/>
      <w:r w:rsidRPr="009E6808">
        <w:t>Customs;</w:t>
      </w:r>
      <w:proofErr w:type="gramEnd"/>
    </w:p>
    <w:p w14:paraId="7881E892" w14:textId="362A7129" w:rsidR="009E6808" w:rsidRPr="009E6808" w:rsidRDefault="009E6808" w:rsidP="007E6D46">
      <w:pPr>
        <w:pStyle w:val="ListNormal"/>
        <w:numPr>
          <w:ilvl w:val="4"/>
          <w:numId w:val="8"/>
        </w:numPr>
      </w:pPr>
      <w:r w:rsidRPr="009E6808">
        <w:t>Senior Accounting Officer (SAO2) certifications; and</w:t>
      </w:r>
    </w:p>
    <w:p w14:paraId="2AC42F76" w14:textId="15441135" w:rsidR="009E6808" w:rsidRPr="009E6808" w:rsidRDefault="009E6808" w:rsidP="007E6D46">
      <w:pPr>
        <w:pStyle w:val="ListNormal"/>
        <w:numPr>
          <w:ilvl w:val="4"/>
          <w:numId w:val="8"/>
        </w:numPr>
      </w:pPr>
      <w:r w:rsidRPr="009E6808">
        <w:t xml:space="preserve">the </w:t>
      </w:r>
      <w:r w:rsidR="006124B4">
        <w:t>L</w:t>
      </w:r>
      <w:r w:rsidR="006124B4" w:rsidRPr="009E6808">
        <w:t xml:space="preserve">icensee’s </w:t>
      </w:r>
      <w:r w:rsidRPr="009E6808">
        <w:t>published Tax Strategy.</w:t>
      </w:r>
    </w:p>
    <w:p w14:paraId="435D969C" w14:textId="281A8324" w:rsidR="009E6808" w:rsidRPr="009E6808" w:rsidRDefault="009E6808" w:rsidP="00683F2F">
      <w:pPr>
        <w:pStyle w:val="ListNormal"/>
      </w:pPr>
      <w:r w:rsidRPr="009E6808">
        <w:t xml:space="preserve">Where appropriate, further information has also been provided to support and explain reconciling items in accordance with paragraph </w:t>
      </w:r>
      <w:r w:rsidR="000C26CC">
        <w:t>[</w:t>
      </w:r>
      <w:r w:rsidRPr="009E6808">
        <w:t>X</w:t>
      </w:r>
      <w:r w:rsidR="000C26CC">
        <w:t>]</w:t>
      </w:r>
      <w:r w:rsidRPr="009E6808">
        <w:t xml:space="preserve"> of the PCFM </w:t>
      </w:r>
      <w:proofErr w:type="gramStart"/>
      <w:r w:rsidRPr="009E6808">
        <w:t>Guidance</w:t>
      </w:r>
      <w:r w:rsidR="006124B4">
        <w:t>;</w:t>
      </w:r>
      <w:proofErr w:type="gramEnd"/>
    </w:p>
    <w:p w14:paraId="5F4C2931" w14:textId="2443C181" w:rsidR="006124B4" w:rsidRDefault="006124B4" w:rsidP="00683F2F">
      <w:pPr>
        <w:pStyle w:val="ListNormal"/>
      </w:pPr>
      <w:r>
        <w:t>a</w:t>
      </w:r>
      <w:r w:rsidRPr="009E6808">
        <w:t xml:space="preserve">ll </w:t>
      </w:r>
      <w:r w:rsidR="009E6808" w:rsidRPr="009E6808">
        <w:t xml:space="preserve">adjustments made have been appropriately explained in the Tax Reconciliation supporting </w:t>
      </w:r>
      <w:proofErr w:type="gramStart"/>
      <w:r w:rsidR="009E6808" w:rsidRPr="009E6808">
        <w:t>commentary</w:t>
      </w:r>
      <w:r>
        <w:t>;</w:t>
      </w:r>
      <w:proofErr w:type="gramEnd"/>
    </w:p>
    <w:p w14:paraId="7867C937" w14:textId="1362D2B7" w:rsidR="009E6808" w:rsidRPr="009E6808" w:rsidRDefault="006124B4" w:rsidP="00683F2F">
      <w:pPr>
        <w:pStyle w:val="ListNormal"/>
      </w:pPr>
      <w:r>
        <w:lastRenderedPageBreak/>
        <w:t>r</w:t>
      </w:r>
      <w:r w:rsidR="009E6808" w:rsidRPr="009E6808">
        <w:t>econciling differences have been appropriately explained, where possible</w:t>
      </w:r>
      <w:r>
        <w:t>, and t</w:t>
      </w:r>
      <w:r w:rsidR="009E6808" w:rsidRPr="009E6808">
        <w:t>he remaining</w:t>
      </w:r>
      <w:r>
        <w:t xml:space="preserve"> </w:t>
      </w:r>
      <w:r w:rsidR="009E6808" w:rsidRPr="009E6808">
        <w:t>unexplained difference</w:t>
      </w:r>
      <w:r>
        <w:t>s</w:t>
      </w:r>
      <w:r w:rsidR="009E6808" w:rsidRPr="009E6808">
        <w:t xml:space="preserve"> </w:t>
      </w:r>
      <w:r>
        <w:t>are</w:t>
      </w:r>
      <w:r w:rsidRPr="009E6808">
        <w:t xml:space="preserve"> </w:t>
      </w:r>
      <w:r w:rsidR="009E6808" w:rsidRPr="009E6808">
        <w:t>considered material in aggregate.</w:t>
      </w:r>
    </w:p>
    <w:p w14:paraId="409F4E6C" w14:textId="6377268B" w:rsidR="009E6808" w:rsidRPr="009E6808" w:rsidRDefault="007E3EB3" w:rsidP="00683F2F">
      <w:pPr>
        <w:pStyle w:val="ListNormal"/>
      </w:pPr>
      <w:r>
        <w:t>a</w:t>
      </w:r>
      <w:r w:rsidR="009E6808" w:rsidRPr="009E6808">
        <w:t xml:space="preserve"> notification has been </w:t>
      </w:r>
      <w:r w:rsidR="009F5C09">
        <w:t xml:space="preserve">given </w:t>
      </w:r>
      <w:r w:rsidR="009E6808" w:rsidRPr="009E6808">
        <w:t xml:space="preserve">in writing to the Authority under Chapter 6 of the </w:t>
      </w:r>
      <w:r w:rsidR="009F56C4">
        <w:t>ET2</w:t>
      </w:r>
      <w:r w:rsidR="009E6808" w:rsidRPr="009E6808">
        <w:t xml:space="preserve"> Price Control Financial Handbook."</w:t>
      </w:r>
    </w:p>
    <w:p w14:paraId="0204FC52" w14:textId="77777777" w:rsidR="00434B3D" w:rsidRDefault="00434B3D" w:rsidP="009E6808"/>
    <w:p w14:paraId="6AAACE36" w14:textId="3BD2A2EC" w:rsidR="0017679E" w:rsidRPr="0017679E" w:rsidRDefault="0017679E" w:rsidP="0017679E"/>
    <w:sectPr w:rsidR="0017679E" w:rsidRPr="0017679E" w:rsidSect="008B4E6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6D2CC9" w14:textId="77777777" w:rsidR="00B93E27" w:rsidRDefault="00B93E27" w:rsidP="006B6BC9">
      <w:pPr>
        <w:spacing w:after="0" w:line="240" w:lineRule="auto"/>
      </w:pPr>
      <w:r>
        <w:separator/>
      </w:r>
    </w:p>
  </w:endnote>
  <w:endnote w:type="continuationSeparator" w:id="0">
    <w:p w14:paraId="250FB622" w14:textId="77777777" w:rsidR="00B93E27" w:rsidRDefault="00B93E27" w:rsidP="006B6BC9">
      <w:pPr>
        <w:spacing w:after="0" w:line="240" w:lineRule="auto"/>
      </w:pPr>
      <w:r>
        <w:continuationSeparator/>
      </w:r>
    </w:p>
  </w:endnote>
  <w:endnote w:type="continuationNotice" w:id="1">
    <w:p w14:paraId="11EC3684" w14:textId="77777777" w:rsidR="00B93E27" w:rsidRDefault="00B93E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A0EAE" w14:textId="77777777" w:rsidR="00B162ED" w:rsidRDefault="00B162ED">
    <w:pPr>
      <w:pStyle w:val="Footer"/>
    </w:pPr>
    <w:r>
      <w:rPr>
        <w:noProof/>
        <w:lang w:eastAsia="en-GB"/>
      </w:rPr>
      <mc:AlternateContent>
        <mc:Choice Requires="wps">
          <w:drawing>
            <wp:anchor distT="0" distB="0" distL="0" distR="0" simplePos="0" relativeHeight="251657728" behindDoc="0" locked="0" layoutInCell="1" allowOverlap="1" wp14:anchorId="3BBD783F" wp14:editId="6EBAD516">
              <wp:simplePos x="635" y="635"/>
              <wp:positionH relativeFrom="column">
                <wp:align>center</wp:align>
              </wp:positionH>
              <wp:positionV relativeFrom="paragraph">
                <wp:posOffset>635</wp:posOffset>
              </wp:positionV>
              <wp:extent cx="443865" cy="443865"/>
              <wp:effectExtent l="0" t="0" r="1270" b="0"/>
              <wp:wrapSquare wrapText="bothSides"/>
              <wp:docPr id="2" name="Text Box 2" descr="OFFICIAL-InternalOnly"/>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65173CBB" w14:textId="77777777" w:rsidR="00B162ED" w:rsidRPr="00B92DD0" w:rsidRDefault="00B162ED">
                          <w:pPr>
                            <w:rPr>
                              <w:rFonts w:ascii="Calibri" w:eastAsia="Calibri" w:hAnsi="Calibri" w:cs="Calibri"/>
                              <w:color w:val="000000"/>
                              <w:sz w:val="20"/>
                            </w:rPr>
                          </w:pPr>
                          <w:r w:rsidRPr="00B92DD0">
                            <w:rPr>
                              <w:rFonts w:ascii="Calibri" w:eastAsia="Calibri" w:hAnsi="Calibri" w:cs="Calibri"/>
                              <w:color w:val="000000"/>
                              <w:sz w:val="20"/>
                            </w:rPr>
                            <w:t>OFFICIAL-</w:t>
                          </w:r>
                          <w:proofErr w:type="spellStart"/>
                          <w:r w:rsidRPr="00B92DD0">
                            <w:rPr>
                              <w:rFonts w:ascii="Calibri" w:eastAsia="Calibri" w:hAnsi="Calibri" w:cs="Calibri"/>
                              <w:color w:val="000000"/>
                              <w:sz w:val="20"/>
                            </w:rPr>
                            <w:t>InternalOnly</w:t>
                          </w:r>
                          <w:proofErr w:type="spellEnd"/>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BBD783F" id="_x0000_t202" coordsize="21600,21600" o:spt="202" path="m,l,21600r21600,l21600,xe">
              <v:stroke joinstyle="miter"/>
              <v:path gradientshapeok="t" o:connecttype="rect"/>
            </v:shapetype>
            <v:shape id="Text Box 2" o:spid="_x0000_s1026" type="#_x0000_t202" alt="OFFICIAL-InternalOnly" style="position:absolute;margin-left:0;margin-top:.05pt;width:34.95pt;height:34.95pt;z-index:25165772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" fillcolor="#edf1f3" stroked="f">
              <v:textbox style="mso-fit-shape-to-text:t" inset="0,0,0,0">
                <w:txbxContent>
                  <w:p w14:paraId="65173CBB" w14:textId="77777777" w:rsidR="00B162ED" w:rsidRPr="00B92DD0" w:rsidRDefault="00B162ED">
                    <w:pPr>
                      <w:rPr>
                        <w:rFonts w:ascii="Calibri" w:eastAsia="Calibri" w:hAnsi="Calibri" w:cs="Calibri"/>
                        <w:color w:val="000000"/>
                        <w:sz w:val="20"/>
                      </w:rPr>
                    </w:pPr>
                    <w:r w:rsidRPr="00B92DD0">
                      <w:rPr>
                        <w:rFonts w:ascii="Calibri" w:eastAsia="Calibri" w:hAnsi="Calibri" w:cs="Calibri"/>
                        <w:color w:val="000000"/>
                        <w:sz w:val="20"/>
                      </w:rPr>
                      <w:t>OFFICIAL-</w:t>
                    </w:r>
                    <w:proofErr w:type="spellStart"/>
                    <w:r w:rsidRPr="00B92DD0">
                      <w:rPr>
                        <w:rFonts w:ascii="Calibri" w:eastAsia="Calibri" w:hAnsi="Calibri" w:cs="Calibri"/>
                        <w:color w:val="000000"/>
                        <w:sz w:val="20"/>
                      </w:rPr>
                      <w:t>InternalOnly</w:t>
                    </w:r>
                    <w:proofErr w:type="spellEnd"/>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CC5C0" w14:textId="05D4F854" w:rsidR="00B162ED" w:rsidRDefault="00B162ED">
    <w:pPr>
      <w:pStyle w:val="Footer"/>
    </w:pPr>
    <w:r w:rsidRPr="009E02BF">
      <w:fldChar w:fldCharType="begin"/>
    </w:r>
    <w:r w:rsidRPr="009E02BF">
      <w:instrText xml:space="preserve"> PAGE   \* MERGEFORMAT </w:instrText>
    </w:r>
    <w:r w:rsidRPr="009E02BF">
      <w:fldChar w:fldCharType="separate"/>
    </w:r>
    <w:r w:rsidR="00417963">
      <w:rPr>
        <w:noProof/>
      </w:rPr>
      <w:t>33</w:t>
    </w:r>
    <w:r w:rsidRPr="009E02B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8A96F" w14:textId="77777777" w:rsidR="00B162ED" w:rsidRDefault="00B162ED">
    <w:pPr>
      <w:pStyle w:val="Footer"/>
    </w:pPr>
    <w:r>
      <w:rPr>
        <w:noProof/>
        <w:lang w:eastAsia="en-GB"/>
      </w:rPr>
      <mc:AlternateContent>
        <mc:Choice Requires="wps">
          <w:drawing>
            <wp:anchor distT="0" distB="0" distL="0" distR="0" simplePos="0" relativeHeight="251656704" behindDoc="0" locked="0" layoutInCell="1" allowOverlap="1" wp14:anchorId="4001F454" wp14:editId="26072165">
              <wp:simplePos x="635" y="635"/>
              <wp:positionH relativeFrom="column">
                <wp:align>center</wp:align>
              </wp:positionH>
              <wp:positionV relativeFrom="paragraph">
                <wp:posOffset>635</wp:posOffset>
              </wp:positionV>
              <wp:extent cx="443865" cy="443865"/>
              <wp:effectExtent l="0" t="0" r="1270" b="0"/>
              <wp:wrapSquare wrapText="bothSides"/>
              <wp:docPr id="1" name="Text Box 1" descr="OFFICIAL-InternalOnly"/>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7A98E239" w14:textId="77777777" w:rsidR="00B162ED" w:rsidRPr="00B92DD0" w:rsidRDefault="00B162ED">
                          <w:pPr>
                            <w:rPr>
                              <w:rFonts w:ascii="Calibri" w:eastAsia="Calibri" w:hAnsi="Calibri" w:cs="Calibri"/>
                              <w:color w:val="000000"/>
                              <w:sz w:val="20"/>
                            </w:rPr>
                          </w:pPr>
                          <w:r w:rsidRPr="00B92DD0">
                            <w:rPr>
                              <w:rFonts w:ascii="Calibri" w:eastAsia="Calibri" w:hAnsi="Calibri" w:cs="Calibri"/>
                              <w:color w:val="000000"/>
                              <w:sz w:val="20"/>
                            </w:rPr>
                            <w:t>OFFICIAL-</w:t>
                          </w:r>
                          <w:proofErr w:type="spellStart"/>
                          <w:r w:rsidRPr="00B92DD0">
                            <w:rPr>
                              <w:rFonts w:ascii="Calibri" w:eastAsia="Calibri" w:hAnsi="Calibri" w:cs="Calibri"/>
                              <w:color w:val="000000"/>
                              <w:sz w:val="20"/>
                            </w:rPr>
                            <w:t>InternalOnly</w:t>
                          </w:r>
                          <w:proofErr w:type="spellEnd"/>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001F454" id="_x0000_t202" coordsize="21600,21600" o:spt="202" path="m,l,21600r21600,l21600,xe">
              <v:stroke joinstyle="miter"/>
              <v:path gradientshapeok="t" o:connecttype="rect"/>
            </v:shapetype>
            <v:shape id="Text Box 1" o:spid="_x0000_s1027" type="#_x0000_t202" alt="OFFICIAL-InternalOnly" style="position:absolute;margin-left:0;margin-top:.05pt;width:34.95pt;height:34.95pt;z-index:25165670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" fillcolor="#edf1f3" stroked="f">
              <v:textbox style="mso-fit-shape-to-text:t" inset="0,0,0,0">
                <w:txbxContent>
                  <w:p w14:paraId="7A98E239" w14:textId="77777777" w:rsidR="00B162ED" w:rsidRPr="00B92DD0" w:rsidRDefault="00B162ED">
                    <w:pPr>
                      <w:rPr>
                        <w:rFonts w:ascii="Calibri" w:eastAsia="Calibri" w:hAnsi="Calibri" w:cs="Calibri"/>
                        <w:color w:val="000000"/>
                        <w:sz w:val="20"/>
                      </w:rPr>
                    </w:pPr>
                    <w:r w:rsidRPr="00B92DD0">
                      <w:rPr>
                        <w:rFonts w:ascii="Calibri" w:eastAsia="Calibri" w:hAnsi="Calibri" w:cs="Calibri"/>
                        <w:color w:val="000000"/>
                        <w:sz w:val="20"/>
                      </w:rPr>
                      <w:t>OFFICIAL-</w:t>
                    </w:r>
                    <w:proofErr w:type="spellStart"/>
                    <w:r w:rsidRPr="00B92DD0">
                      <w:rPr>
                        <w:rFonts w:ascii="Calibri" w:eastAsia="Calibri" w:hAnsi="Calibri" w:cs="Calibri"/>
                        <w:color w:val="000000"/>
                        <w:sz w:val="20"/>
                      </w:rPr>
                      <w:t>InternalOnly</w:t>
                    </w:r>
                    <w:proofErr w:type="spellEnd"/>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DE4003" w14:textId="77777777" w:rsidR="00B93E27" w:rsidRDefault="00B93E27" w:rsidP="006B6BC9">
      <w:pPr>
        <w:spacing w:after="0" w:line="240" w:lineRule="auto"/>
      </w:pPr>
      <w:r>
        <w:separator/>
      </w:r>
    </w:p>
  </w:footnote>
  <w:footnote w:type="continuationSeparator" w:id="0">
    <w:p w14:paraId="2B05BD95" w14:textId="77777777" w:rsidR="00B93E27" w:rsidRDefault="00B93E27" w:rsidP="006B6BC9">
      <w:pPr>
        <w:spacing w:after="0" w:line="240" w:lineRule="auto"/>
      </w:pPr>
      <w:r>
        <w:continuationSeparator/>
      </w:r>
    </w:p>
  </w:footnote>
  <w:footnote w:type="continuationNotice" w:id="1">
    <w:p w14:paraId="34D48F3C" w14:textId="77777777" w:rsidR="00B93E27" w:rsidRDefault="00B93E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D9CEC" w14:textId="77777777" w:rsidR="001E00E5" w:rsidRDefault="001E00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0F44A" w14:textId="70BB31AB" w:rsidR="00B162ED" w:rsidRPr="0062223B" w:rsidRDefault="00B913B6" w:rsidP="0062223B">
    <w:pPr>
      <w:pStyle w:val="Header"/>
      <w:pBdr>
        <w:bottom w:val="none" w:sz="0" w:space="0" w:color="auto"/>
      </w:pBdr>
    </w:pPr>
    <w:sdt>
      <w:sdtPr>
        <w:rPr>
          <w:highlight w:val="yellow"/>
        </w:rPr>
        <w:id w:val="-1327828023"/>
        <w:docPartObj>
          <w:docPartGallery w:val="Watermarks"/>
          <w:docPartUnique/>
        </w:docPartObj>
      </w:sdtPr>
      <w:sdtEndPr/>
      <w:sdtContent>
        <w:r>
          <w:rPr>
            <w:noProof/>
            <w:highlight w:val="yellow"/>
          </w:rPr>
          <w:pict w14:anchorId="02C339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162ED" w:rsidRPr="00A14F85">
      <w:rPr>
        <w:highlight w:val="yellow"/>
      </w:rPr>
      <w:t>DRAFT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65A6B" w14:textId="77777777" w:rsidR="001E00E5" w:rsidRDefault="001E00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53C79DD"/>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15:restartNumberingAfterBreak="0">
    <w:nsid w:val="19FA3419"/>
    <w:multiLevelType w:val="multilevel"/>
    <w:tmpl w:val="215877A8"/>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lvlText w:val="%5."/>
      <w:lvlJc w:val="left"/>
      <w:pPr>
        <w:ind w:left="1701" w:hanging="465"/>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6C33EBB"/>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9303FCF"/>
    <w:multiLevelType w:val="multilevel"/>
    <w:tmpl w:val="3A309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B14688E"/>
    <w:multiLevelType w:val="multilevel"/>
    <w:tmpl w:val="74DA4210"/>
    <w:styleLink w:val="AppendixNumbering"/>
    <w:lvl w:ilvl="0">
      <w:start w:val="1"/>
      <w:numFmt w:val="decimal"/>
      <w:suff w:val="space"/>
      <w:lvlText w:val="Appendix %1"/>
      <w:lvlJc w:val="left"/>
      <w:pPr>
        <w:ind w:left="360" w:hanging="360"/>
      </w:pPr>
      <w:rPr>
        <w:rFonts w:hint="default"/>
      </w:rPr>
    </w:lvl>
    <w:lvl w:ilvl="1">
      <w:start w:val="1"/>
      <w:numFmt w:val="decimal"/>
      <w:lvlText w:val="A%1.%2"/>
      <w:lvlJc w:val="left"/>
      <w:pPr>
        <w:tabs>
          <w:tab w:val="num" w:pos="1701"/>
        </w:tabs>
        <w:ind w:left="879" w:hanging="87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37993A3E"/>
    <w:multiLevelType w:val="hybridMultilevel"/>
    <w:tmpl w:val="EEFCF894"/>
    <w:lvl w:ilvl="0" w:tplc="FE1E543A">
      <w:start w:val="1"/>
      <w:numFmt w:val="decimal"/>
      <w:lvlText w:val="XX.%1"/>
      <w:lvlJc w:val="left"/>
      <w:pPr>
        <w:ind w:left="2520" w:hanging="360"/>
      </w:pPr>
      <w:rPr>
        <w:rFonts w:ascii="Times New Roman" w:hAnsi="Times New Roman" w:hint="default"/>
        <w:sz w:val="24"/>
      </w:rPr>
    </w:lvl>
    <w:lvl w:ilvl="1" w:tplc="08090019">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3" w15:restartNumberingAfterBreak="0">
    <w:nsid w:val="391520A1"/>
    <w:multiLevelType w:val="hybridMultilevel"/>
    <w:tmpl w:val="DA521E3C"/>
    <w:lvl w:ilvl="0" w:tplc="6F9C3CC6">
      <w:start w:val="1"/>
      <w:numFmt w:val="decimal"/>
      <w:lvlText w:val="A1.%1"/>
      <w:lvlJc w:val="right"/>
      <w:pPr>
        <w:ind w:left="720" w:hanging="360"/>
      </w:pPr>
      <w:rPr>
        <w:rFonts w:ascii="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D4C49A4"/>
    <w:multiLevelType w:val="hybridMultilevel"/>
    <w:tmpl w:val="32206F7A"/>
    <w:lvl w:ilvl="0" w:tplc="F98AC4F0">
      <w:start w:val="1"/>
      <w:numFmt w:val="decimal"/>
      <w:lvlText w:val="XX.%1"/>
      <w:lvlJc w:val="right"/>
      <w:pPr>
        <w:ind w:left="720" w:hanging="360"/>
      </w:pPr>
      <w:rPr>
        <w:rFonts w:ascii="Times New Roman" w:hAnsi="Times New Roman" w:hint="default"/>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DE03E8"/>
    <w:multiLevelType w:val="multilevel"/>
    <w:tmpl w:val="2A323CD4"/>
    <w:lvl w:ilvl="0">
      <w:start w:val="1"/>
      <w:numFmt w:val="lowerLetter"/>
      <w:lvlText w:val="(%1)"/>
      <w:lvlJc w:val="left"/>
      <w:pPr>
        <w:tabs>
          <w:tab w:val="num" w:pos="1429"/>
        </w:tabs>
        <w:ind w:left="1429"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41EC2EAC"/>
    <w:multiLevelType w:val="hybridMultilevel"/>
    <w:tmpl w:val="3CDAD2D0"/>
    <w:lvl w:ilvl="0" w:tplc="1D78D6F0">
      <w:start w:val="1"/>
      <w:numFmt w:val="decimal"/>
      <w:lvlText w:val="A3.%1"/>
      <w:lvlJc w:val="right"/>
      <w:pPr>
        <w:ind w:left="720" w:hanging="360"/>
      </w:pPr>
      <w:rPr>
        <w:rFonts w:ascii="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8" w15:restartNumberingAfterBreak="0">
    <w:nsid w:val="468F3084"/>
    <w:multiLevelType w:val="multilevel"/>
    <w:tmpl w:val="099014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96C5D57"/>
    <w:multiLevelType w:val="multilevel"/>
    <w:tmpl w:val="168A11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BC86971"/>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E8338CB"/>
    <w:multiLevelType w:val="multilevel"/>
    <w:tmpl w:val="97D2CD86"/>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Roman"/>
      <w:lvlText w:val="(%2)"/>
      <w:lvlJc w:val="left"/>
      <w:pPr>
        <w:tabs>
          <w:tab w:val="num" w:pos="2160"/>
        </w:tabs>
        <w:ind w:left="2160" w:hanging="720"/>
      </w:pPr>
      <w:rPr>
        <w:rFonts w:ascii="Times New Roman" w:hAnsi="Times New Roman" w:hint="default"/>
        <w:sz w:val="24"/>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8"/>
  </w:num>
  <w:num w:numId="2">
    <w:abstractNumId w:val="19"/>
  </w:num>
  <w:num w:numId="3">
    <w:abstractNumId w:val="3"/>
  </w:num>
  <w:num w:numId="4">
    <w:abstractNumId w:val="4"/>
    <w:lvlOverride w:ilvl="0">
      <w:lvl w:ilvl="0">
        <w:start w:val="1"/>
        <w:numFmt w:val="decimal"/>
        <w:pStyle w:val="Heading1"/>
        <w:suff w:val="space"/>
        <w:lvlText w:val="Chapter %1:"/>
        <w:lvlJc w:val="left"/>
        <w:pPr>
          <w:ind w:left="360" w:hanging="360"/>
        </w:pPr>
        <w:rPr>
          <w:rFonts w:hint="default"/>
        </w:rPr>
      </w:lvl>
    </w:lvlOverride>
  </w:num>
  <w:num w:numId="5">
    <w:abstractNumId w:val="17"/>
  </w:num>
  <w:num w:numId="6">
    <w:abstractNumId w:val="4"/>
  </w:num>
  <w:num w:numId="7">
    <w:abstractNumId w:val="8"/>
  </w:num>
  <w:num w:numId="8">
    <w:abstractNumId w:val="4"/>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7"/>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 w:ilvl="0">
        <w:start w:val="1"/>
        <w:numFmt w:val="decimal"/>
        <w:pStyle w:val="Heading1"/>
        <w:suff w:val="space"/>
        <w:lvlText w:val="Chapter %1:"/>
        <w:lvlJc w:val="left"/>
        <w:pPr>
          <w:ind w:left="360" w:hanging="360"/>
        </w:pPr>
      </w:lvl>
    </w:lvlOverride>
    <w:lvlOverride w:ilvl="1">
      <w:lvl w:ilvl="1">
        <w:start w:val="1"/>
        <w:numFmt w:val="decimal"/>
        <w:pStyle w:val="Heading2"/>
        <w:suff w:val="space"/>
        <w:lvlText w:val="Special Condition %1.%2"/>
        <w:lvlJc w:val="left"/>
        <w:pPr>
          <w:ind w:left="357" w:hanging="357"/>
        </w:pPr>
      </w:lvl>
    </w:lvlOverride>
    <w:lvlOverride w:ilvl="2">
      <w:lvl w:ilvl="2">
        <w:start w:val="1"/>
        <w:numFmt w:val="decimal"/>
        <w:pStyle w:val="NumberedNormal"/>
        <w:lvlText w:val="%1.%2.%3"/>
        <w:lvlJc w:val="left"/>
        <w:pPr>
          <w:ind w:left="879" w:hanging="879"/>
        </w:pPr>
      </w:lvl>
    </w:lvlOverride>
    <w:lvlOverride w:ilvl="3">
      <w:lvl w:ilvl="3">
        <w:start w:val="1"/>
        <w:numFmt w:val="lowerLetter"/>
        <w:pStyle w:val="ListNormal"/>
        <w:lvlText w:val="(%4)"/>
        <w:lvlJc w:val="left"/>
        <w:pPr>
          <w:tabs>
            <w:tab w:val="num" w:pos="879"/>
          </w:tabs>
          <w:ind w:left="1236" w:hanging="357"/>
        </w:pPr>
      </w:lvl>
    </w:lvlOverride>
    <w:lvlOverride w:ilvl="4">
      <w:lvl w:ilvl="4">
        <w:start w:val="1"/>
        <w:numFmt w:val="lowerRoman"/>
        <w:lvlText w:val="(%5)"/>
        <w:lvlJc w:val="left"/>
        <w:pPr>
          <w:ind w:left="1593" w:hanging="357"/>
        </w:pPr>
      </w:lvl>
    </w:lvlOverride>
    <w:lvlOverride w:ilvl="5">
      <w:lvl w:ilvl="5">
        <w:start w:val="1"/>
        <w:numFmt w:val="upperLetter"/>
        <w:lvlRestart w:val="2"/>
        <w:pStyle w:val="Heading3"/>
        <w:suff w:val="space"/>
        <w:lvlText w:val="Part %6:"/>
        <w:lvlJc w:val="left"/>
        <w:pPr>
          <w:ind w:left="357" w:hanging="357"/>
        </w:pPr>
      </w:lvl>
    </w:lvlOverride>
    <w:lvlOverride w:ilvl="6">
      <w:lvl w:ilvl="6">
        <w:start w:val="1"/>
        <w:numFmt w:val="decimal"/>
        <w:pStyle w:val="AppendixHeading"/>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abstractNumId w:val="4"/>
    <w:lvlOverride w:ilvl="1">
      <w:lvl w:ilvl="1">
        <w:start w:val="1"/>
        <w:numFmt w:val="decimal"/>
        <w:pStyle w:val="Heading2"/>
        <w:suff w:val="space"/>
        <w:lvlText w:val="Special Condition %1.%2"/>
        <w:lvlJc w:val="left"/>
        <w:pPr>
          <w:ind w:left="357" w:hanging="357"/>
        </w:pPr>
      </w:lvl>
    </w:lvlOverride>
    <w:lvlOverride w:ilvl="5">
      <w:lvl w:ilvl="5">
        <w:start w:val="1"/>
        <w:numFmt w:val="upperLetter"/>
        <w:lvlRestart w:val="2"/>
        <w:pStyle w:val="Heading3"/>
        <w:suff w:val="space"/>
        <w:lvlText w:val="Part %6:"/>
        <w:lvlJc w:val="left"/>
        <w:pPr>
          <w:ind w:left="357" w:hanging="357"/>
        </w:pPr>
      </w:lvl>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upperLetter"/>
        <w:pStyle w:val="Heading2"/>
        <w:suff w:val="space"/>
        <w:lvlText w:val="Special Condition %1%2."/>
        <w:lvlJc w:val="left"/>
        <w:pPr>
          <w:ind w:left="357" w:hanging="357"/>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5">
      <w:lvl w:ilvl="5">
        <w:start w:val="1"/>
        <w:numFmt w:val="upperLetter"/>
        <w:lvlRestart w:val="2"/>
        <w:pStyle w:val="Heading3"/>
        <w:suff w:val="space"/>
        <w:lvlText w:val="Part %6:"/>
        <w:lvlJc w:val="left"/>
        <w:pPr>
          <w:ind w:left="357" w:hanging="357"/>
        </w:pPr>
        <w:rPr>
          <w:rFonts w:hint="default"/>
        </w:rPr>
      </w:lvl>
    </w:lvlOverride>
  </w:num>
  <w:num w:numId="20">
    <w:abstractNumId w:val="4"/>
    <w:lvlOverride w:ilvl="6">
      <w:lvl w:ilvl="6">
        <w:start w:val="1"/>
        <w:numFmt w:val="decimal"/>
        <w:lvlRestart w:val="2"/>
        <w:pStyle w:val="AppendixHeading"/>
        <w:suff w:val="nothing"/>
        <w:lvlText w:val="Appendix %7"/>
        <w:lvlJc w:val="left"/>
        <w:pPr>
          <w:ind w:left="357" w:hanging="35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1">
    <w:abstractNumId w:val="19"/>
  </w:num>
  <w:num w:numId="22">
    <w:abstractNumId w:val="4"/>
  </w:num>
  <w:num w:numId="23">
    <w:abstractNumId w:val="3"/>
  </w:num>
  <w:num w:numId="24">
    <w:abstractNumId w:val="4"/>
  </w:num>
  <w:num w:numId="25">
    <w:abstractNumId w:val="4"/>
  </w:num>
  <w:num w:numId="26">
    <w:abstractNumId w:val="4"/>
  </w:num>
  <w:num w:numId="27">
    <w:abstractNumId w:val="17"/>
  </w:num>
  <w:num w:numId="28">
    <w:abstractNumId w:val="4"/>
  </w:num>
  <w:num w:numId="29">
    <w:abstractNumId w:val="4"/>
  </w:num>
  <w:num w:numId="30">
    <w:abstractNumId w:val="4"/>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0" w:firstLine="0"/>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pStyle w:val="AppendixHeading"/>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10"/>
  </w:num>
  <w:num w:numId="32">
    <w:abstractNumId w:val="4"/>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0" w:firstLine="0"/>
        </w:pPr>
        <w:rPr>
          <w:rFonts w:hint="default"/>
        </w:rPr>
      </w:lvl>
    </w:lvlOverride>
    <w:lvlOverride w:ilvl="2">
      <w:startOverride w:val="1"/>
      <w:lvl w:ilvl="2">
        <w:start w:val="1"/>
        <w:numFmt w:val="decimal"/>
        <w:pStyle w:val="NumberedNor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701" w:hanging="465"/>
        </w:pPr>
        <w:rPr>
          <w:rFonts w:hint="default"/>
        </w:rPr>
      </w:lvl>
    </w:lvlOverride>
    <w:lvlOverride w:ilvl="5">
      <w:startOverride w:val="1"/>
      <w:lvl w:ilvl="5">
        <w:start w:val="1"/>
        <w:numFmt w:val="upperLetter"/>
        <w:lvlRestart w:val="2"/>
        <w:pStyle w:val="Heading3"/>
        <w:suff w:val="space"/>
        <w:lvlText w:val="Part %6:"/>
        <w:lvlJc w:val="left"/>
        <w:pPr>
          <w:ind w:left="0" w:firstLine="0"/>
        </w:pPr>
        <w:rPr>
          <w:rFonts w:hint="default"/>
        </w:rPr>
      </w:lvl>
    </w:lvlOverride>
    <w:lvlOverride w:ilvl="6">
      <w:startOverride w:val="1"/>
      <w:lvl w:ilvl="6">
        <w:start w:val="1"/>
        <w:numFmt w:val="decimal"/>
        <w:lvlRestart w:val="2"/>
        <w:pStyle w:val="AppendixHeading"/>
        <w:suff w:val="nothing"/>
        <w:lvlText w:val="Appendix %7"/>
        <w:lvlJc w:val="left"/>
        <w:pPr>
          <w:ind w:left="357" w:hanging="357"/>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3">
    <w:abstractNumId w:val="4"/>
    <w:lvlOverride w:ilvl="1">
      <w:lvl w:ilvl="1">
        <w:start w:val="1"/>
        <w:numFmt w:val="decimal"/>
        <w:pStyle w:val="Heading2"/>
        <w:suff w:val="space"/>
        <w:lvlText w:val="Special Condition %1.%2"/>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NumberedNormal"/>
        <w:lvlText w:val="%1.%2.%3"/>
        <w:lvlJc w:val="left"/>
        <w:pPr>
          <w:ind w:left="879" w:hanging="87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Letter"/>
        <w:pStyle w:val="ListNormal"/>
        <w:lvlText w:val="(%4)"/>
        <w:lvlJc w:val="left"/>
        <w:pPr>
          <w:tabs>
            <w:tab w:val="num" w:pos="879"/>
          </w:tabs>
          <w:ind w:left="1236" w:hanging="35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6">
      <w:lvl w:ilvl="6">
        <w:start w:val="1"/>
        <w:numFmt w:val="decimal"/>
        <w:lvlRestart w:val="2"/>
        <w:pStyle w:val="AppendixHeading"/>
        <w:suff w:val="nothing"/>
        <w:lvlText w:val="Appendix %7"/>
        <w:lvlJc w:val="left"/>
        <w:pPr>
          <w:ind w:left="357" w:hanging="357"/>
        </w:pPr>
        <w:rPr>
          <w:rFonts w:hint="default"/>
        </w:rPr>
      </w:lvl>
    </w:lvlOverride>
  </w:num>
  <w:num w:numId="34">
    <w:abstractNumId w:val="7"/>
  </w:num>
  <w:num w:numId="35">
    <w:abstractNumId w:val="14"/>
  </w:num>
  <w:num w:numId="36">
    <w:abstractNumId w:val="4"/>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1701" w:firstLine="0"/>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pStyle w:val="AppendixHeading"/>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29"/>
  </w:num>
  <w:num w:numId="38">
    <w:abstractNumId w:val="16"/>
  </w:num>
  <w:num w:numId="39">
    <w:abstractNumId w:val="13"/>
  </w:num>
  <w:num w:numId="40">
    <w:abstractNumId w:val="14"/>
    <w:lvlOverride w:ilvl="0">
      <w:startOverride w:val="1"/>
    </w:lvlOverride>
  </w:num>
  <w:num w:numId="41">
    <w:abstractNumId w:val="15"/>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pStyle w:val="AppendixHeading"/>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8">
    <w:abstractNumId w:val="4"/>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pStyle w:val="AppendixHeading"/>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2"/>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lvlOverride w:ilvl="0">
      <w:startOverride w:val="1"/>
      <w:lvl w:ilvl="0">
        <w:start w:val="1"/>
        <w:numFmt w:val="decimal"/>
        <w:pStyle w:val="Heading1"/>
        <w:lvlText w:val=""/>
        <w:lvlJc w:val="left"/>
      </w:lvl>
    </w:lvlOverride>
    <w:lvlOverride w:ilvl="1">
      <w:startOverride w:val="1"/>
      <w:lvl w:ilvl="1">
        <w:start w:val="1"/>
        <w:numFmt w:val="decimal"/>
        <w:pStyle w:val="Heading2"/>
        <w:lvlText w:val=""/>
        <w:lvlJc w:val="left"/>
      </w:lvl>
    </w:lvlOverride>
    <w:lvlOverride w:ilvl="2">
      <w:startOverride w:val="1"/>
      <w:lvl w:ilvl="2">
        <w:start w:val="1"/>
        <w:numFmt w:val="decimal"/>
        <w:pStyle w:val="NumberedNormal"/>
        <w:lvlText w:val=""/>
        <w:lvlJc w:val="left"/>
      </w:lvl>
    </w:lvlOverride>
    <w:lvlOverride w:ilvl="3">
      <w:startOverride w:val="1"/>
      <w:lvl w:ilvl="3">
        <w:start w:val="1"/>
        <w:numFmt w:val="decimal"/>
        <w:pStyle w:val="ListNormal"/>
        <w:lvlText w:val=""/>
        <w:lvlJc w:val="left"/>
      </w:lvl>
    </w:lvlOverride>
    <w:lvlOverride w:ilvl="4">
      <w:startOverride w:val="1"/>
      <w:lvl w:ilvl="4">
        <w:start w:val="1"/>
        <w:numFmt w:val="decimal"/>
        <w:lvlText w:val=""/>
        <w:lvlJc w:val="left"/>
      </w:lvl>
    </w:lvlOverride>
    <w:lvlOverride w:ilvl="5">
      <w:startOverride w:val="1"/>
      <w:lvl w:ilvl="5">
        <w:start w:val="1"/>
        <w:numFmt w:val="upperLetter"/>
        <w:lvlRestart w:val="2"/>
        <w:pStyle w:val="Heading3"/>
        <w:suff w:val="space"/>
        <w:lvlText w:val="Part %6:"/>
        <w:lvlJc w:val="left"/>
        <w:pPr>
          <w:ind w:left="357" w:hanging="357"/>
        </w:pPr>
        <w:rPr>
          <w:rFonts w:hint="default"/>
        </w:rPr>
      </w:lvl>
    </w:lvlOverride>
  </w:num>
  <w:num w:numId="58">
    <w:abstractNumId w:val="6"/>
  </w:num>
  <w:num w:numId="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num>
  <w:num w:numId="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0" w:firstLine="0"/>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710"/>
          </w:tabs>
          <w:ind w:left="1067"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pStyle w:val="AppendixHeading"/>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US" w:vendorID="64" w:dllVersion="6" w:nlCheck="1" w:checkStyle="1"/>
  <w:proofState w:spelling="clean" w:grammar="clean"/>
  <w:attachedTemplate r:id="rId1"/>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DD0"/>
    <w:rsid w:val="00000E10"/>
    <w:rsid w:val="000024DC"/>
    <w:rsid w:val="000030B3"/>
    <w:rsid w:val="00004287"/>
    <w:rsid w:val="000049F1"/>
    <w:rsid w:val="00005083"/>
    <w:rsid w:val="000051BD"/>
    <w:rsid w:val="00005313"/>
    <w:rsid w:val="00006132"/>
    <w:rsid w:val="00006547"/>
    <w:rsid w:val="00006CD4"/>
    <w:rsid w:val="00007818"/>
    <w:rsid w:val="000078C6"/>
    <w:rsid w:val="0001073F"/>
    <w:rsid w:val="00011803"/>
    <w:rsid w:val="00011EF1"/>
    <w:rsid w:val="000137A4"/>
    <w:rsid w:val="00013D29"/>
    <w:rsid w:val="00013EFC"/>
    <w:rsid w:val="00014E61"/>
    <w:rsid w:val="0001638F"/>
    <w:rsid w:val="000164BE"/>
    <w:rsid w:val="000164C7"/>
    <w:rsid w:val="0001679E"/>
    <w:rsid w:val="00016B48"/>
    <w:rsid w:val="00016D18"/>
    <w:rsid w:val="00016E7D"/>
    <w:rsid w:val="00017107"/>
    <w:rsid w:val="00017121"/>
    <w:rsid w:val="00017616"/>
    <w:rsid w:val="000178A1"/>
    <w:rsid w:val="000179A4"/>
    <w:rsid w:val="000201A9"/>
    <w:rsid w:val="00020AFE"/>
    <w:rsid w:val="000212AE"/>
    <w:rsid w:val="000216DB"/>
    <w:rsid w:val="000229C5"/>
    <w:rsid w:val="00023019"/>
    <w:rsid w:val="00023573"/>
    <w:rsid w:val="0002374D"/>
    <w:rsid w:val="0002426D"/>
    <w:rsid w:val="0002479B"/>
    <w:rsid w:val="00024C8F"/>
    <w:rsid w:val="000250DE"/>
    <w:rsid w:val="00025BE7"/>
    <w:rsid w:val="000262A2"/>
    <w:rsid w:val="00027058"/>
    <w:rsid w:val="00027096"/>
    <w:rsid w:val="0003054A"/>
    <w:rsid w:val="00030D14"/>
    <w:rsid w:val="00032195"/>
    <w:rsid w:val="00032448"/>
    <w:rsid w:val="00035614"/>
    <w:rsid w:val="00035C05"/>
    <w:rsid w:val="00036373"/>
    <w:rsid w:val="00036ABA"/>
    <w:rsid w:val="0003768C"/>
    <w:rsid w:val="000400BC"/>
    <w:rsid w:val="000401B0"/>
    <w:rsid w:val="00040883"/>
    <w:rsid w:val="0004104C"/>
    <w:rsid w:val="00041509"/>
    <w:rsid w:val="00041D03"/>
    <w:rsid w:val="000433F8"/>
    <w:rsid w:val="00047038"/>
    <w:rsid w:val="000474DD"/>
    <w:rsid w:val="00047744"/>
    <w:rsid w:val="000478E4"/>
    <w:rsid w:val="00047B9D"/>
    <w:rsid w:val="00051262"/>
    <w:rsid w:val="000516DB"/>
    <w:rsid w:val="00051709"/>
    <w:rsid w:val="00051C07"/>
    <w:rsid w:val="00052344"/>
    <w:rsid w:val="00052390"/>
    <w:rsid w:val="0005244C"/>
    <w:rsid w:val="0005299F"/>
    <w:rsid w:val="00053373"/>
    <w:rsid w:val="00053423"/>
    <w:rsid w:val="00056085"/>
    <w:rsid w:val="0005655A"/>
    <w:rsid w:val="000565F0"/>
    <w:rsid w:val="0005772E"/>
    <w:rsid w:val="00057DF2"/>
    <w:rsid w:val="00057E73"/>
    <w:rsid w:val="0006012E"/>
    <w:rsid w:val="000619CC"/>
    <w:rsid w:val="000619E9"/>
    <w:rsid w:val="000622C5"/>
    <w:rsid w:val="000629BE"/>
    <w:rsid w:val="00062DBB"/>
    <w:rsid w:val="00063212"/>
    <w:rsid w:val="00063255"/>
    <w:rsid w:val="00064B3D"/>
    <w:rsid w:val="00064C46"/>
    <w:rsid w:val="00065B72"/>
    <w:rsid w:val="00066DBA"/>
    <w:rsid w:val="0006762D"/>
    <w:rsid w:val="00067D79"/>
    <w:rsid w:val="000703F6"/>
    <w:rsid w:val="00070A40"/>
    <w:rsid w:val="00070DE0"/>
    <w:rsid w:val="00071C00"/>
    <w:rsid w:val="0007343A"/>
    <w:rsid w:val="00073638"/>
    <w:rsid w:val="00073CF3"/>
    <w:rsid w:val="00074071"/>
    <w:rsid w:val="00074468"/>
    <w:rsid w:val="000746A5"/>
    <w:rsid w:val="00074879"/>
    <w:rsid w:val="00074E1F"/>
    <w:rsid w:val="0007620B"/>
    <w:rsid w:val="00077499"/>
    <w:rsid w:val="00077DBA"/>
    <w:rsid w:val="00081786"/>
    <w:rsid w:val="00081E3C"/>
    <w:rsid w:val="00082D18"/>
    <w:rsid w:val="00083BC7"/>
    <w:rsid w:val="00083CA1"/>
    <w:rsid w:val="00083F01"/>
    <w:rsid w:val="00084E8F"/>
    <w:rsid w:val="00085B7C"/>
    <w:rsid w:val="000861A0"/>
    <w:rsid w:val="000865B6"/>
    <w:rsid w:val="000867B5"/>
    <w:rsid w:val="00087F71"/>
    <w:rsid w:val="000904E4"/>
    <w:rsid w:val="00090713"/>
    <w:rsid w:val="00090720"/>
    <w:rsid w:val="00090BC3"/>
    <w:rsid w:val="00092750"/>
    <w:rsid w:val="00093B47"/>
    <w:rsid w:val="00093E12"/>
    <w:rsid w:val="00094DE3"/>
    <w:rsid w:val="00095457"/>
    <w:rsid w:val="000963F6"/>
    <w:rsid w:val="000966EE"/>
    <w:rsid w:val="0009677E"/>
    <w:rsid w:val="00097773"/>
    <w:rsid w:val="00097D4E"/>
    <w:rsid w:val="000A0A88"/>
    <w:rsid w:val="000A1543"/>
    <w:rsid w:val="000A1660"/>
    <w:rsid w:val="000A22D6"/>
    <w:rsid w:val="000A272D"/>
    <w:rsid w:val="000A3714"/>
    <w:rsid w:val="000A38A7"/>
    <w:rsid w:val="000A3AFB"/>
    <w:rsid w:val="000A3F0D"/>
    <w:rsid w:val="000A403F"/>
    <w:rsid w:val="000A470D"/>
    <w:rsid w:val="000A4E8A"/>
    <w:rsid w:val="000A5994"/>
    <w:rsid w:val="000A5D74"/>
    <w:rsid w:val="000A6547"/>
    <w:rsid w:val="000A677C"/>
    <w:rsid w:val="000A683E"/>
    <w:rsid w:val="000A69DB"/>
    <w:rsid w:val="000B0079"/>
    <w:rsid w:val="000B03D6"/>
    <w:rsid w:val="000B33EB"/>
    <w:rsid w:val="000B3A64"/>
    <w:rsid w:val="000B43B0"/>
    <w:rsid w:val="000B46FF"/>
    <w:rsid w:val="000B4FCF"/>
    <w:rsid w:val="000B58D7"/>
    <w:rsid w:val="000B5A98"/>
    <w:rsid w:val="000B5B69"/>
    <w:rsid w:val="000B617C"/>
    <w:rsid w:val="000B61B4"/>
    <w:rsid w:val="000B628D"/>
    <w:rsid w:val="000B6314"/>
    <w:rsid w:val="000C0182"/>
    <w:rsid w:val="000C05B6"/>
    <w:rsid w:val="000C066B"/>
    <w:rsid w:val="000C0F65"/>
    <w:rsid w:val="000C1F3C"/>
    <w:rsid w:val="000C22C1"/>
    <w:rsid w:val="000C24AF"/>
    <w:rsid w:val="000C26CC"/>
    <w:rsid w:val="000C346A"/>
    <w:rsid w:val="000C4EB0"/>
    <w:rsid w:val="000C65D3"/>
    <w:rsid w:val="000C65E9"/>
    <w:rsid w:val="000C7095"/>
    <w:rsid w:val="000C7E40"/>
    <w:rsid w:val="000D246F"/>
    <w:rsid w:val="000D27EA"/>
    <w:rsid w:val="000D2F23"/>
    <w:rsid w:val="000D338C"/>
    <w:rsid w:val="000D3851"/>
    <w:rsid w:val="000D41CC"/>
    <w:rsid w:val="000D4451"/>
    <w:rsid w:val="000D44C9"/>
    <w:rsid w:val="000D4C55"/>
    <w:rsid w:val="000D5067"/>
    <w:rsid w:val="000D6A07"/>
    <w:rsid w:val="000D6D63"/>
    <w:rsid w:val="000E0345"/>
    <w:rsid w:val="000E0441"/>
    <w:rsid w:val="000E0554"/>
    <w:rsid w:val="000E24A3"/>
    <w:rsid w:val="000E3184"/>
    <w:rsid w:val="000E3485"/>
    <w:rsid w:val="000E39C6"/>
    <w:rsid w:val="000E44BE"/>
    <w:rsid w:val="000E5B92"/>
    <w:rsid w:val="000E6074"/>
    <w:rsid w:val="000E69D9"/>
    <w:rsid w:val="000E6C15"/>
    <w:rsid w:val="000E7256"/>
    <w:rsid w:val="000F07F1"/>
    <w:rsid w:val="000F1238"/>
    <w:rsid w:val="000F16DE"/>
    <w:rsid w:val="000F1B70"/>
    <w:rsid w:val="000F1E48"/>
    <w:rsid w:val="000F2AD1"/>
    <w:rsid w:val="000F3018"/>
    <w:rsid w:val="000F333C"/>
    <w:rsid w:val="000F3A14"/>
    <w:rsid w:val="000F4801"/>
    <w:rsid w:val="000F4870"/>
    <w:rsid w:val="000F5E36"/>
    <w:rsid w:val="000F5F7C"/>
    <w:rsid w:val="000F7C72"/>
    <w:rsid w:val="00100973"/>
    <w:rsid w:val="001014B6"/>
    <w:rsid w:val="00102053"/>
    <w:rsid w:val="00102489"/>
    <w:rsid w:val="001032BF"/>
    <w:rsid w:val="001052DD"/>
    <w:rsid w:val="00105686"/>
    <w:rsid w:val="00105C83"/>
    <w:rsid w:val="0010608A"/>
    <w:rsid w:val="00106189"/>
    <w:rsid w:val="00106322"/>
    <w:rsid w:val="00106D86"/>
    <w:rsid w:val="00106EAA"/>
    <w:rsid w:val="001071F9"/>
    <w:rsid w:val="00110A78"/>
    <w:rsid w:val="0011133D"/>
    <w:rsid w:val="001119AF"/>
    <w:rsid w:val="00112C5C"/>
    <w:rsid w:val="00112CAC"/>
    <w:rsid w:val="00112DD5"/>
    <w:rsid w:val="00113688"/>
    <w:rsid w:val="00114EEE"/>
    <w:rsid w:val="0011737B"/>
    <w:rsid w:val="00117648"/>
    <w:rsid w:val="00117968"/>
    <w:rsid w:val="00121C5A"/>
    <w:rsid w:val="0012229C"/>
    <w:rsid w:val="00122358"/>
    <w:rsid w:val="00122962"/>
    <w:rsid w:val="00123350"/>
    <w:rsid w:val="0012387B"/>
    <w:rsid w:val="00124067"/>
    <w:rsid w:val="001247AF"/>
    <w:rsid w:val="00125112"/>
    <w:rsid w:val="00125922"/>
    <w:rsid w:val="00126192"/>
    <w:rsid w:val="001262BA"/>
    <w:rsid w:val="001262F6"/>
    <w:rsid w:val="00126727"/>
    <w:rsid w:val="00126A2E"/>
    <w:rsid w:val="00126BD8"/>
    <w:rsid w:val="001270DC"/>
    <w:rsid w:val="00127151"/>
    <w:rsid w:val="00127354"/>
    <w:rsid w:val="00127B17"/>
    <w:rsid w:val="00127D5F"/>
    <w:rsid w:val="00130657"/>
    <w:rsid w:val="00130AB0"/>
    <w:rsid w:val="00132864"/>
    <w:rsid w:val="00132CF9"/>
    <w:rsid w:val="001332E8"/>
    <w:rsid w:val="00133BEC"/>
    <w:rsid w:val="00133EF4"/>
    <w:rsid w:val="00134ED6"/>
    <w:rsid w:val="00135990"/>
    <w:rsid w:val="00135EF3"/>
    <w:rsid w:val="001376D2"/>
    <w:rsid w:val="00140769"/>
    <w:rsid w:val="001417FF"/>
    <w:rsid w:val="00143B07"/>
    <w:rsid w:val="00143B72"/>
    <w:rsid w:val="001440A6"/>
    <w:rsid w:val="0014466C"/>
    <w:rsid w:val="0014598D"/>
    <w:rsid w:val="00145AF2"/>
    <w:rsid w:val="00146912"/>
    <w:rsid w:val="0014705B"/>
    <w:rsid w:val="00147B28"/>
    <w:rsid w:val="00147EDE"/>
    <w:rsid w:val="00150818"/>
    <w:rsid w:val="00150A13"/>
    <w:rsid w:val="00150F50"/>
    <w:rsid w:val="00151A84"/>
    <w:rsid w:val="00152831"/>
    <w:rsid w:val="00152B33"/>
    <w:rsid w:val="001545C9"/>
    <w:rsid w:val="00154871"/>
    <w:rsid w:val="0015495F"/>
    <w:rsid w:val="00155CE1"/>
    <w:rsid w:val="00156224"/>
    <w:rsid w:val="001562C8"/>
    <w:rsid w:val="00156476"/>
    <w:rsid w:val="001565BE"/>
    <w:rsid w:val="001578A8"/>
    <w:rsid w:val="00157BB2"/>
    <w:rsid w:val="0016004B"/>
    <w:rsid w:val="0016015B"/>
    <w:rsid w:val="00160387"/>
    <w:rsid w:val="00160989"/>
    <w:rsid w:val="0016349C"/>
    <w:rsid w:val="00163E99"/>
    <w:rsid w:val="001644D6"/>
    <w:rsid w:val="001648A1"/>
    <w:rsid w:val="00164A4A"/>
    <w:rsid w:val="001652A2"/>
    <w:rsid w:val="00165351"/>
    <w:rsid w:val="00165573"/>
    <w:rsid w:val="00165B95"/>
    <w:rsid w:val="00166C08"/>
    <w:rsid w:val="001671D3"/>
    <w:rsid w:val="00167CCC"/>
    <w:rsid w:val="001702DA"/>
    <w:rsid w:val="00170855"/>
    <w:rsid w:val="00170AE8"/>
    <w:rsid w:val="00171242"/>
    <w:rsid w:val="00173169"/>
    <w:rsid w:val="0017679E"/>
    <w:rsid w:val="00176988"/>
    <w:rsid w:val="00177A7C"/>
    <w:rsid w:val="00177FE5"/>
    <w:rsid w:val="0018025F"/>
    <w:rsid w:val="0018049B"/>
    <w:rsid w:val="0018097F"/>
    <w:rsid w:val="0018162D"/>
    <w:rsid w:val="00181FAF"/>
    <w:rsid w:val="00182CDD"/>
    <w:rsid w:val="00182D2F"/>
    <w:rsid w:val="0018351B"/>
    <w:rsid w:val="001838ED"/>
    <w:rsid w:val="001839C1"/>
    <w:rsid w:val="00184119"/>
    <w:rsid w:val="001844FF"/>
    <w:rsid w:val="0018560F"/>
    <w:rsid w:val="00185935"/>
    <w:rsid w:val="00185B1C"/>
    <w:rsid w:val="00186453"/>
    <w:rsid w:val="0018659A"/>
    <w:rsid w:val="0018786F"/>
    <w:rsid w:val="0019278B"/>
    <w:rsid w:val="00193141"/>
    <w:rsid w:val="00193BA4"/>
    <w:rsid w:val="00194062"/>
    <w:rsid w:val="00195678"/>
    <w:rsid w:val="0019659F"/>
    <w:rsid w:val="0019729B"/>
    <w:rsid w:val="0019754E"/>
    <w:rsid w:val="00197C22"/>
    <w:rsid w:val="001A0813"/>
    <w:rsid w:val="001A0AFB"/>
    <w:rsid w:val="001A36EC"/>
    <w:rsid w:val="001A48CC"/>
    <w:rsid w:val="001A4C2D"/>
    <w:rsid w:val="001A4CD4"/>
    <w:rsid w:val="001A5790"/>
    <w:rsid w:val="001A5B00"/>
    <w:rsid w:val="001A76A5"/>
    <w:rsid w:val="001A7F7B"/>
    <w:rsid w:val="001B0231"/>
    <w:rsid w:val="001B24BE"/>
    <w:rsid w:val="001B2722"/>
    <w:rsid w:val="001B2F51"/>
    <w:rsid w:val="001B4127"/>
    <w:rsid w:val="001B4FD1"/>
    <w:rsid w:val="001B54C9"/>
    <w:rsid w:val="001B5635"/>
    <w:rsid w:val="001B590B"/>
    <w:rsid w:val="001B5944"/>
    <w:rsid w:val="001B78B7"/>
    <w:rsid w:val="001C045F"/>
    <w:rsid w:val="001C0584"/>
    <w:rsid w:val="001C0FC0"/>
    <w:rsid w:val="001C1357"/>
    <w:rsid w:val="001C270E"/>
    <w:rsid w:val="001C31C8"/>
    <w:rsid w:val="001C3623"/>
    <w:rsid w:val="001C4575"/>
    <w:rsid w:val="001C56FB"/>
    <w:rsid w:val="001C5BB9"/>
    <w:rsid w:val="001C5E83"/>
    <w:rsid w:val="001C68D2"/>
    <w:rsid w:val="001C723E"/>
    <w:rsid w:val="001D0335"/>
    <w:rsid w:val="001D03CF"/>
    <w:rsid w:val="001D062D"/>
    <w:rsid w:val="001D07F7"/>
    <w:rsid w:val="001D0D0D"/>
    <w:rsid w:val="001D1BE8"/>
    <w:rsid w:val="001D22EE"/>
    <w:rsid w:val="001D300D"/>
    <w:rsid w:val="001D3554"/>
    <w:rsid w:val="001D50F1"/>
    <w:rsid w:val="001D5E56"/>
    <w:rsid w:val="001D5F1A"/>
    <w:rsid w:val="001D7418"/>
    <w:rsid w:val="001D7A51"/>
    <w:rsid w:val="001E00E5"/>
    <w:rsid w:val="001E019B"/>
    <w:rsid w:val="001E0883"/>
    <w:rsid w:val="001E10CA"/>
    <w:rsid w:val="001E1948"/>
    <w:rsid w:val="001E1E7E"/>
    <w:rsid w:val="001E1EA9"/>
    <w:rsid w:val="001E20AA"/>
    <w:rsid w:val="001E35B0"/>
    <w:rsid w:val="001E4463"/>
    <w:rsid w:val="001E4765"/>
    <w:rsid w:val="001E5CAB"/>
    <w:rsid w:val="001E6951"/>
    <w:rsid w:val="001E6A91"/>
    <w:rsid w:val="001E6CE7"/>
    <w:rsid w:val="001E6D78"/>
    <w:rsid w:val="001E7680"/>
    <w:rsid w:val="001F0294"/>
    <w:rsid w:val="001F19AA"/>
    <w:rsid w:val="001F31BF"/>
    <w:rsid w:val="001F40B0"/>
    <w:rsid w:val="001F410C"/>
    <w:rsid w:val="001F449B"/>
    <w:rsid w:val="001F4C87"/>
    <w:rsid w:val="001F54AA"/>
    <w:rsid w:val="001F5EC8"/>
    <w:rsid w:val="001F5F88"/>
    <w:rsid w:val="001F6844"/>
    <w:rsid w:val="001F6AD5"/>
    <w:rsid w:val="001F6BA6"/>
    <w:rsid w:val="001F7044"/>
    <w:rsid w:val="001F7285"/>
    <w:rsid w:val="001F73ED"/>
    <w:rsid w:val="001F77A5"/>
    <w:rsid w:val="001F7BFF"/>
    <w:rsid w:val="00201451"/>
    <w:rsid w:val="00201986"/>
    <w:rsid w:val="00201DD6"/>
    <w:rsid w:val="0020218E"/>
    <w:rsid w:val="00202198"/>
    <w:rsid w:val="00202272"/>
    <w:rsid w:val="002024C3"/>
    <w:rsid w:val="00203858"/>
    <w:rsid w:val="00204139"/>
    <w:rsid w:val="002064E5"/>
    <w:rsid w:val="002065D2"/>
    <w:rsid w:val="0020796B"/>
    <w:rsid w:val="00210E14"/>
    <w:rsid w:val="00210E1D"/>
    <w:rsid w:val="002113A1"/>
    <w:rsid w:val="00212ABC"/>
    <w:rsid w:val="00212D6E"/>
    <w:rsid w:val="00213E9B"/>
    <w:rsid w:val="002157B6"/>
    <w:rsid w:val="00215BFE"/>
    <w:rsid w:val="002169D3"/>
    <w:rsid w:val="00217B1F"/>
    <w:rsid w:val="00221777"/>
    <w:rsid w:val="00225D1F"/>
    <w:rsid w:val="00226BA5"/>
    <w:rsid w:val="00227185"/>
    <w:rsid w:val="002276B6"/>
    <w:rsid w:val="0023014D"/>
    <w:rsid w:val="00230584"/>
    <w:rsid w:val="002308A9"/>
    <w:rsid w:val="00230B64"/>
    <w:rsid w:val="00231095"/>
    <w:rsid w:val="0023138F"/>
    <w:rsid w:val="0023187A"/>
    <w:rsid w:val="002323E0"/>
    <w:rsid w:val="00232B01"/>
    <w:rsid w:val="00232FEE"/>
    <w:rsid w:val="0023325E"/>
    <w:rsid w:val="00234585"/>
    <w:rsid w:val="0023680D"/>
    <w:rsid w:val="00236DA6"/>
    <w:rsid w:val="002374D0"/>
    <w:rsid w:val="00237F8A"/>
    <w:rsid w:val="00240DAE"/>
    <w:rsid w:val="00240F69"/>
    <w:rsid w:val="00241F7D"/>
    <w:rsid w:val="0024207C"/>
    <w:rsid w:val="00242716"/>
    <w:rsid w:val="002429A8"/>
    <w:rsid w:val="00243165"/>
    <w:rsid w:val="00243BD6"/>
    <w:rsid w:val="00244DC3"/>
    <w:rsid w:val="00244FFC"/>
    <w:rsid w:val="0024559D"/>
    <w:rsid w:val="00245701"/>
    <w:rsid w:val="00245AA7"/>
    <w:rsid w:val="00245AAB"/>
    <w:rsid w:val="002463F2"/>
    <w:rsid w:val="00247103"/>
    <w:rsid w:val="002472B7"/>
    <w:rsid w:val="00251D59"/>
    <w:rsid w:val="00252623"/>
    <w:rsid w:val="00253139"/>
    <w:rsid w:val="0025325D"/>
    <w:rsid w:val="002542B4"/>
    <w:rsid w:val="00254316"/>
    <w:rsid w:val="002548B6"/>
    <w:rsid w:val="00255EE1"/>
    <w:rsid w:val="002561A2"/>
    <w:rsid w:val="002564C4"/>
    <w:rsid w:val="00256697"/>
    <w:rsid w:val="0025688C"/>
    <w:rsid w:val="0025691E"/>
    <w:rsid w:val="00257169"/>
    <w:rsid w:val="002571CC"/>
    <w:rsid w:val="002571DC"/>
    <w:rsid w:val="002573FF"/>
    <w:rsid w:val="00260FC6"/>
    <w:rsid w:val="00262834"/>
    <w:rsid w:val="00262E8B"/>
    <w:rsid w:val="0026513F"/>
    <w:rsid w:val="00265B6C"/>
    <w:rsid w:val="0026601B"/>
    <w:rsid w:val="00266454"/>
    <w:rsid w:val="00266526"/>
    <w:rsid w:val="002668AD"/>
    <w:rsid w:val="00266EF2"/>
    <w:rsid w:val="00267320"/>
    <w:rsid w:val="002707BF"/>
    <w:rsid w:val="002709F0"/>
    <w:rsid w:val="00270E98"/>
    <w:rsid w:val="002713E3"/>
    <w:rsid w:val="00271D4C"/>
    <w:rsid w:val="00271E16"/>
    <w:rsid w:val="002720B6"/>
    <w:rsid w:val="002727E3"/>
    <w:rsid w:val="00272A17"/>
    <w:rsid w:val="00275453"/>
    <w:rsid w:val="0027592E"/>
    <w:rsid w:val="00276412"/>
    <w:rsid w:val="00276747"/>
    <w:rsid w:val="0028055E"/>
    <w:rsid w:val="00282788"/>
    <w:rsid w:val="0028371D"/>
    <w:rsid w:val="00283EBC"/>
    <w:rsid w:val="00284320"/>
    <w:rsid w:val="00285045"/>
    <w:rsid w:val="0028518C"/>
    <w:rsid w:val="00285D9B"/>
    <w:rsid w:val="00285F8F"/>
    <w:rsid w:val="00287AE4"/>
    <w:rsid w:val="00287B39"/>
    <w:rsid w:val="00287D70"/>
    <w:rsid w:val="00290369"/>
    <w:rsid w:val="00290510"/>
    <w:rsid w:val="00291725"/>
    <w:rsid w:val="00291DB7"/>
    <w:rsid w:val="002927C7"/>
    <w:rsid w:val="00293180"/>
    <w:rsid w:val="0029319E"/>
    <w:rsid w:val="00294227"/>
    <w:rsid w:val="00295472"/>
    <w:rsid w:val="00295825"/>
    <w:rsid w:val="002958F9"/>
    <w:rsid w:val="002976CA"/>
    <w:rsid w:val="002A0118"/>
    <w:rsid w:val="002A22F6"/>
    <w:rsid w:val="002A4A80"/>
    <w:rsid w:val="002A525D"/>
    <w:rsid w:val="002A57A4"/>
    <w:rsid w:val="002A641E"/>
    <w:rsid w:val="002A7CEB"/>
    <w:rsid w:val="002B1765"/>
    <w:rsid w:val="002B1A70"/>
    <w:rsid w:val="002B30CF"/>
    <w:rsid w:val="002B39E9"/>
    <w:rsid w:val="002B3F4C"/>
    <w:rsid w:val="002B43CF"/>
    <w:rsid w:val="002B567D"/>
    <w:rsid w:val="002B647E"/>
    <w:rsid w:val="002B7B1B"/>
    <w:rsid w:val="002B7B58"/>
    <w:rsid w:val="002B7E5D"/>
    <w:rsid w:val="002C068F"/>
    <w:rsid w:val="002C0938"/>
    <w:rsid w:val="002C1D78"/>
    <w:rsid w:val="002C245D"/>
    <w:rsid w:val="002C317E"/>
    <w:rsid w:val="002C3846"/>
    <w:rsid w:val="002C3AA1"/>
    <w:rsid w:val="002C4473"/>
    <w:rsid w:val="002C44A6"/>
    <w:rsid w:val="002C4A00"/>
    <w:rsid w:val="002C52FE"/>
    <w:rsid w:val="002C535E"/>
    <w:rsid w:val="002C54CC"/>
    <w:rsid w:val="002C5D43"/>
    <w:rsid w:val="002C696B"/>
    <w:rsid w:val="002C6B38"/>
    <w:rsid w:val="002D0362"/>
    <w:rsid w:val="002D1178"/>
    <w:rsid w:val="002D24B3"/>
    <w:rsid w:val="002D2BA3"/>
    <w:rsid w:val="002D330F"/>
    <w:rsid w:val="002D3F00"/>
    <w:rsid w:val="002D4245"/>
    <w:rsid w:val="002D4BA5"/>
    <w:rsid w:val="002D4BEF"/>
    <w:rsid w:val="002E0248"/>
    <w:rsid w:val="002E0F10"/>
    <w:rsid w:val="002E0F20"/>
    <w:rsid w:val="002E187D"/>
    <w:rsid w:val="002E1D1C"/>
    <w:rsid w:val="002E2EA2"/>
    <w:rsid w:val="002E332F"/>
    <w:rsid w:val="002E3EE2"/>
    <w:rsid w:val="002E5239"/>
    <w:rsid w:val="002E549D"/>
    <w:rsid w:val="002E5EC5"/>
    <w:rsid w:val="002E67C5"/>
    <w:rsid w:val="002E7514"/>
    <w:rsid w:val="002E7588"/>
    <w:rsid w:val="002F023E"/>
    <w:rsid w:val="002F029A"/>
    <w:rsid w:val="002F149A"/>
    <w:rsid w:val="002F1578"/>
    <w:rsid w:val="002F1ACF"/>
    <w:rsid w:val="002F2C18"/>
    <w:rsid w:val="002F2D26"/>
    <w:rsid w:val="002F2E83"/>
    <w:rsid w:val="002F3029"/>
    <w:rsid w:val="002F5F9C"/>
    <w:rsid w:val="002F6BD2"/>
    <w:rsid w:val="002F7992"/>
    <w:rsid w:val="002F7BE2"/>
    <w:rsid w:val="00301236"/>
    <w:rsid w:val="003016E1"/>
    <w:rsid w:val="00301E83"/>
    <w:rsid w:val="003028E8"/>
    <w:rsid w:val="00302991"/>
    <w:rsid w:val="0030335D"/>
    <w:rsid w:val="0030468C"/>
    <w:rsid w:val="00307C01"/>
    <w:rsid w:val="00307C16"/>
    <w:rsid w:val="00307D4C"/>
    <w:rsid w:val="00307FF5"/>
    <w:rsid w:val="00310149"/>
    <w:rsid w:val="00310669"/>
    <w:rsid w:val="0031106A"/>
    <w:rsid w:val="003112EE"/>
    <w:rsid w:val="00311F49"/>
    <w:rsid w:val="00312390"/>
    <w:rsid w:val="003126BC"/>
    <w:rsid w:val="003126D8"/>
    <w:rsid w:val="003128CB"/>
    <w:rsid w:val="00312D64"/>
    <w:rsid w:val="00313ED4"/>
    <w:rsid w:val="00314508"/>
    <w:rsid w:val="00314A49"/>
    <w:rsid w:val="00315D80"/>
    <w:rsid w:val="003164E8"/>
    <w:rsid w:val="0031759E"/>
    <w:rsid w:val="00317D90"/>
    <w:rsid w:val="0032062F"/>
    <w:rsid w:val="00320640"/>
    <w:rsid w:val="00320AA7"/>
    <w:rsid w:val="00320B02"/>
    <w:rsid w:val="00320BF0"/>
    <w:rsid w:val="00323AF5"/>
    <w:rsid w:val="00325661"/>
    <w:rsid w:val="00326693"/>
    <w:rsid w:val="00326C0F"/>
    <w:rsid w:val="0033060D"/>
    <w:rsid w:val="00331F8C"/>
    <w:rsid w:val="003324AA"/>
    <w:rsid w:val="00332779"/>
    <w:rsid w:val="003327A2"/>
    <w:rsid w:val="00332BEE"/>
    <w:rsid w:val="00333C6D"/>
    <w:rsid w:val="00333F41"/>
    <w:rsid w:val="00334B3D"/>
    <w:rsid w:val="00334E71"/>
    <w:rsid w:val="003352AE"/>
    <w:rsid w:val="00336E4D"/>
    <w:rsid w:val="0033785C"/>
    <w:rsid w:val="0033794D"/>
    <w:rsid w:val="003379D1"/>
    <w:rsid w:val="00337F5B"/>
    <w:rsid w:val="003403A2"/>
    <w:rsid w:val="00340B89"/>
    <w:rsid w:val="00340E66"/>
    <w:rsid w:val="00341467"/>
    <w:rsid w:val="003420BE"/>
    <w:rsid w:val="00342629"/>
    <w:rsid w:val="00343398"/>
    <w:rsid w:val="00343830"/>
    <w:rsid w:val="00344B0C"/>
    <w:rsid w:val="003458E3"/>
    <w:rsid w:val="003458F5"/>
    <w:rsid w:val="00345900"/>
    <w:rsid w:val="003459B8"/>
    <w:rsid w:val="00345D5A"/>
    <w:rsid w:val="00347868"/>
    <w:rsid w:val="003505A3"/>
    <w:rsid w:val="00350DDB"/>
    <w:rsid w:val="00351F55"/>
    <w:rsid w:val="00352112"/>
    <w:rsid w:val="0035462D"/>
    <w:rsid w:val="00354B8B"/>
    <w:rsid w:val="00354D67"/>
    <w:rsid w:val="0035535A"/>
    <w:rsid w:val="0035536D"/>
    <w:rsid w:val="00355572"/>
    <w:rsid w:val="003567BA"/>
    <w:rsid w:val="00357373"/>
    <w:rsid w:val="00357856"/>
    <w:rsid w:val="003614F8"/>
    <w:rsid w:val="003620D4"/>
    <w:rsid w:val="003622CB"/>
    <w:rsid w:val="0036363C"/>
    <w:rsid w:val="00363A6E"/>
    <w:rsid w:val="0036499C"/>
    <w:rsid w:val="00365398"/>
    <w:rsid w:val="003657D4"/>
    <w:rsid w:val="00366551"/>
    <w:rsid w:val="00366BD6"/>
    <w:rsid w:val="003670E8"/>
    <w:rsid w:val="00367197"/>
    <w:rsid w:val="003700F9"/>
    <w:rsid w:val="003728F2"/>
    <w:rsid w:val="00372BF9"/>
    <w:rsid w:val="00373DD2"/>
    <w:rsid w:val="003746CB"/>
    <w:rsid w:val="00375196"/>
    <w:rsid w:val="00375543"/>
    <w:rsid w:val="00375708"/>
    <w:rsid w:val="00375A43"/>
    <w:rsid w:val="00376BD5"/>
    <w:rsid w:val="0037713E"/>
    <w:rsid w:val="00377467"/>
    <w:rsid w:val="00377DDE"/>
    <w:rsid w:val="00377EDC"/>
    <w:rsid w:val="0038018A"/>
    <w:rsid w:val="00380CB3"/>
    <w:rsid w:val="00382740"/>
    <w:rsid w:val="00382988"/>
    <w:rsid w:val="00383514"/>
    <w:rsid w:val="00383717"/>
    <w:rsid w:val="0038445F"/>
    <w:rsid w:val="00385718"/>
    <w:rsid w:val="00386BAC"/>
    <w:rsid w:val="00387B26"/>
    <w:rsid w:val="00390121"/>
    <w:rsid w:val="00390225"/>
    <w:rsid w:val="00390C1E"/>
    <w:rsid w:val="003911F8"/>
    <w:rsid w:val="0039279E"/>
    <w:rsid w:val="00392D0E"/>
    <w:rsid w:val="003935F0"/>
    <w:rsid w:val="00393EA5"/>
    <w:rsid w:val="00396429"/>
    <w:rsid w:val="00396AAC"/>
    <w:rsid w:val="0039748E"/>
    <w:rsid w:val="00397E5D"/>
    <w:rsid w:val="003A0117"/>
    <w:rsid w:val="003A021E"/>
    <w:rsid w:val="003A1214"/>
    <w:rsid w:val="003A2A50"/>
    <w:rsid w:val="003A2D61"/>
    <w:rsid w:val="003A3765"/>
    <w:rsid w:val="003A3AEC"/>
    <w:rsid w:val="003A46B3"/>
    <w:rsid w:val="003A4FC1"/>
    <w:rsid w:val="003A58DF"/>
    <w:rsid w:val="003A5B8E"/>
    <w:rsid w:val="003A6043"/>
    <w:rsid w:val="003A7C1B"/>
    <w:rsid w:val="003A7DD2"/>
    <w:rsid w:val="003A7F25"/>
    <w:rsid w:val="003B0014"/>
    <w:rsid w:val="003B063C"/>
    <w:rsid w:val="003B06FC"/>
    <w:rsid w:val="003B15F0"/>
    <w:rsid w:val="003B1625"/>
    <w:rsid w:val="003B248B"/>
    <w:rsid w:val="003B2DA6"/>
    <w:rsid w:val="003B397A"/>
    <w:rsid w:val="003B3E62"/>
    <w:rsid w:val="003B423F"/>
    <w:rsid w:val="003B4467"/>
    <w:rsid w:val="003B45A3"/>
    <w:rsid w:val="003B556D"/>
    <w:rsid w:val="003B5FBE"/>
    <w:rsid w:val="003C0E59"/>
    <w:rsid w:val="003C1148"/>
    <w:rsid w:val="003C19B3"/>
    <w:rsid w:val="003C1BC1"/>
    <w:rsid w:val="003C1C89"/>
    <w:rsid w:val="003C24B9"/>
    <w:rsid w:val="003C2611"/>
    <w:rsid w:val="003C2944"/>
    <w:rsid w:val="003C3177"/>
    <w:rsid w:val="003C34CE"/>
    <w:rsid w:val="003C371A"/>
    <w:rsid w:val="003C4640"/>
    <w:rsid w:val="003C53CD"/>
    <w:rsid w:val="003C6AA9"/>
    <w:rsid w:val="003C7273"/>
    <w:rsid w:val="003D00CB"/>
    <w:rsid w:val="003D455F"/>
    <w:rsid w:val="003D4691"/>
    <w:rsid w:val="003D5627"/>
    <w:rsid w:val="003D6DEA"/>
    <w:rsid w:val="003D73EC"/>
    <w:rsid w:val="003D74F9"/>
    <w:rsid w:val="003E0B47"/>
    <w:rsid w:val="003E1571"/>
    <w:rsid w:val="003E17FB"/>
    <w:rsid w:val="003E1A5E"/>
    <w:rsid w:val="003E1E19"/>
    <w:rsid w:val="003E3BFE"/>
    <w:rsid w:val="003E42FB"/>
    <w:rsid w:val="003E45B8"/>
    <w:rsid w:val="003E4B61"/>
    <w:rsid w:val="003E4D0B"/>
    <w:rsid w:val="003E4D63"/>
    <w:rsid w:val="003E55F2"/>
    <w:rsid w:val="003E6B75"/>
    <w:rsid w:val="003F0A31"/>
    <w:rsid w:val="003F16E7"/>
    <w:rsid w:val="003F1900"/>
    <w:rsid w:val="003F1B75"/>
    <w:rsid w:val="003F2D33"/>
    <w:rsid w:val="003F2F75"/>
    <w:rsid w:val="003F63E1"/>
    <w:rsid w:val="003F66D9"/>
    <w:rsid w:val="003F66DB"/>
    <w:rsid w:val="003F720A"/>
    <w:rsid w:val="004000FE"/>
    <w:rsid w:val="00400379"/>
    <w:rsid w:val="00401039"/>
    <w:rsid w:val="00401077"/>
    <w:rsid w:val="00401B82"/>
    <w:rsid w:val="00402579"/>
    <w:rsid w:val="00402A0E"/>
    <w:rsid w:val="004030C6"/>
    <w:rsid w:val="00403C94"/>
    <w:rsid w:val="00403FB7"/>
    <w:rsid w:val="004041A5"/>
    <w:rsid w:val="00404A1B"/>
    <w:rsid w:val="0040540D"/>
    <w:rsid w:val="00405A31"/>
    <w:rsid w:val="0040694F"/>
    <w:rsid w:val="00406FD5"/>
    <w:rsid w:val="00407304"/>
    <w:rsid w:val="0040733A"/>
    <w:rsid w:val="004076D0"/>
    <w:rsid w:val="00407DA2"/>
    <w:rsid w:val="004104AA"/>
    <w:rsid w:val="004108D8"/>
    <w:rsid w:val="0041268A"/>
    <w:rsid w:val="0041276F"/>
    <w:rsid w:val="00412CC8"/>
    <w:rsid w:val="0041402B"/>
    <w:rsid w:val="00414776"/>
    <w:rsid w:val="004149C4"/>
    <w:rsid w:val="004158EB"/>
    <w:rsid w:val="004160C1"/>
    <w:rsid w:val="00417963"/>
    <w:rsid w:val="00420748"/>
    <w:rsid w:val="00420B63"/>
    <w:rsid w:val="00421D66"/>
    <w:rsid w:val="004222E4"/>
    <w:rsid w:val="004225AA"/>
    <w:rsid w:val="00423ECE"/>
    <w:rsid w:val="00424181"/>
    <w:rsid w:val="00425340"/>
    <w:rsid w:val="00426328"/>
    <w:rsid w:val="00426D17"/>
    <w:rsid w:val="0042725D"/>
    <w:rsid w:val="00430488"/>
    <w:rsid w:val="00430D69"/>
    <w:rsid w:val="00430E91"/>
    <w:rsid w:val="00431CA0"/>
    <w:rsid w:val="004324CB"/>
    <w:rsid w:val="00433A3F"/>
    <w:rsid w:val="00433FAC"/>
    <w:rsid w:val="00434845"/>
    <w:rsid w:val="00434B3D"/>
    <w:rsid w:val="004351BC"/>
    <w:rsid w:val="00435DA0"/>
    <w:rsid w:val="00436C5B"/>
    <w:rsid w:val="0043779B"/>
    <w:rsid w:val="0044034D"/>
    <w:rsid w:val="00440D8C"/>
    <w:rsid w:val="004411B1"/>
    <w:rsid w:val="00441D91"/>
    <w:rsid w:val="00442123"/>
    <w:rsid w:val="00442D7D"/>
    <w:rsid w:val="00442DE4"/>
    <w:rsid w:val="00442E7B"/>
    <w:rsid w:val="004431E5"/>
    <w:rsid w:val="004438E5"/>
    <w:rsid w:val="00445015"/>
    <w:rsid w:val="0044526B"/>
    <w:rsid w:val="00445ADE"/>
    <w:rsid w:val="00445B0B"/>
    <w:rsid w:val="004461F2"/>
    <w:rsid w:val="00446449"/>
    <w:rsid w:val="00446BF4"/>
    <w:rsid w:val="00447424"/>
    <w:rsid w:val="00447E86"/>
    <w:rsid w:val="0045183F"/>
    <w:rsid w:val="00451F14"/>
    <w:rsid w:val="00453215"/>
    <w:rsid w:val="004533BA"/>
    <w:rsid w:val="00453D2C"/>
    <w:rsid w:val="004547E5"/>
    <w:rsid w:val="00455500"/>
    <w:rsid w:val="00455AD7"/>
    <w:rsid w:val="004575C2"/>
    <w:rsid w:val="00457AA5"/>
    <w:rsid w:val="004603BC"/>
    <w:rsid w:val="00461ECF"/>
    <w:rsid w:val="004625B6"/>
    <w:rsid w:val="004625C0"/>
    <w:rsid w:val="00462677"/>
    <w:rsid w:val="00462BE9"/>
    <w:rsid w:val="00462D1F"/>
    <w:rsid w:val="004635FD"/>
    <w:rsid w:val="0046363B"/>
    <w:rsid w:val="00465244"/>
    <w:rsid w:val="00470160"/>
    <w:rsid w:val="00470876"/>
    <w:rsid w:val="004716CD"/>
    <w:rsid w:val="00471E96"/>
    <w:rsid w:val="00471ECA"/>
    <w:rsid w:val="004721EB"/>
    <w:rsid w:val="004729A8"/>
    <w:rsid w:val="004738BF"/>
    <w:rsid w:val="00473FCD"/>
    <w:rsid w:val="00476A9B"/>
    <w:rsid w:val="0047707A"/>
    <w:rsid w:val="00477FF7"/>
    <w:rsid w:val="00480F35"/>
    <w:rsid w:val="00481B07"/>
    <w:rsid w:val="00481CDC"/>
    <w:rsid w:val="004826D1"/>
    <w:rsid w:val="00482B35"/>
    <w:rsid w:val="0048346D"/>
    <w:rsid w:val="00484F7C"/>
    <w:rsid w:val="00485E93"/>
    <w:rsid w:val="00485F8E"/>
    <w:rsid w:val="004872A6"/>
    <w:rsid w:val="0048732B"/>
    <w:rsid w:val="00487D9A"/>
    <w:rsid w:val="0049005C"/>
    <w:rsid w:val="004909EB"/>
    <w:rsid w:val="00491DB4"/>
    <w:rsid w:val="00493299"/>
    <w:rsid w:val="00493341"/>
    <w:rsid w:val="004935BB"/>
    <w:rsid w:val="00493917"/>
    <w:rsid w:val="00493A94"/>
    <w:rsid w:val="004948D7"/>
    <w:rsid w:val="004959C4"/>
    <w:rsid w:val="00495B60"/>
    <w:rsid w:val="004A200A"/>
    <w:rsid w:val="004A240E"/>
    <w:rsid w:val="004A2E95"/>
    <w:rsid w:val="004A3090"/>
    <w:rsid w:val="004A4B0A"/>
    <w:rsid w:val="004A4DB2"/>
    <w:rsid w:val="004A4E5E"/>
    <w:rsid w:val="004A4F09"/>
    <w:rsid w:val="004A54AA"/>
    <w:rsid w:val="004A5A81"/>
    <w:rsid w:val="004A69AD"/>
    <w:rsid w:val="004A6C66"/>
    <w:rsid w:val="004A76D8"/>
    <w:rsid w:val="004B0045"/>
    <w:rsid w:val="004B2E40"/>
    <w:rsid w:val="004B2F4A"/>
    <w:rsid w:val="004B3FB8"/>
    <w:rsid w:val="004B47BF"/>
    <w:rsid w:val="004B4E64"/>
    <w:rsid w:val="004C0395"/>
    <w:rsid w:val="004C0946"/>
    <w:rsid w:val="004C0A3D"/>
    <w:rsid w:val="004C11E8"/>
    <w:rsid w:val="004C1464"/>
    <w:rsid w:val="004C172D"/>
    <w:rsid w:val="004C1A76"/>
    <w:rsid w:val="004C231F"/>
    <w:rsid w:val="004C238F"/>
    <w:rsid w:val="004C3D41"/>
    <w:rsid w:val="004C452E"/>
    <w:rsid w:val="004C5B5A"/>
    <w:rsid w:val="004C5CCA"/>
    <w:rsid w:val="004C6525"/>
    <w:rsid w:val="004C65FD"/>
    <w:rsid w:val="004C7551"/>
    <w:rsid w:val="004C780D"/>
    <w:rsid w:val="004C7E60"/>
    <w:rsid w:val="004C7EC3"/>
    <w:rsid w:val="004D1799"/>
    <w:rsid w:val="004D1871"/>
    <w:rsid w:val="004D1FA0"/>
    <w:rsid w:val="004D2765"/>
    <w:rsid w:val="004D2851"/>
    <w:rsid w:val="004D2943"/>
    <w:rsid w:val="004D3250"/>
    <w:rsid w:val="004D51E2"/>
    <w:rsid w:val="004D646E"/>
    <w:rsid w:val="004E0AC4"/>
    <w:rsid w:val="004E0EE5"/>
    <w:rsid w:val="004E12DF"/>
    <w:rsid w:val="004E1F33"/>
    <w:rsid w:val="004E2D50"/>
    <w:rsid w:val="004E3BF4"/>
    <w:rsid w:val="004E4A03"/>
    <w:rsid w:val="004E4F84"/>
    <w:rsid w:val="004E50F6"/>
    <w:rsid w:val="004E574A"/>
    <w:rsid w:val="004E5A18"/>
    <w:rsid w:val="004E69FA"/>
    <w:rsid w:val="004E7D96"/>
    <w:rsid w:val="004F2900"/>
    <w:rsid w:val="004F2E89"/>
    <w:rsid w:val="004F2E94"/>
    <w:rsid w:val="004F3676"/>
    <w:rsid w:val="004F3EC9"/>
    <w:rsid w:val="004F4079"/>
    <w:rsid w:val="004F4E02"/>
    <w:rsid w:val="004F5C53"/>
    <w:rsid w:val="004F5FF6"/>
    <w:rsid w:val="004F6D88"/>
    <w:rsid w:val="004F72DC"/>
    <w:rsid w:val="00500341"/>
    <w:rsid w:val="0050060A"/>
    <w:rsid w:val="005008FC"/>
    <w:rsid w:val="00501E31"/>
    <w:rsid w:val="005027F1"/>
    <w:rsid w:val="005028DF"/>
    <w:rsid w:val="00502AFE"/>
    <w:rsid w:val="005031BB"/>
    <w:rsid w:val="00504523"/>
    <w:rsid w:val="00505EB9"/>
    <w:rsid w:val="00507381"/>
    <w:rsid w:val="00507AE8"/>
    <w:rsid w:val="00510F86"/>
    <w:rsid w:val="0051209E"/>
    <w:rsid w:val="0051222B"/>
    <w:rsid w:val="00512512"/>
    <w:rsid w:val="00514E33"/>
    <w:rsid w:val="0051517D"/>
    <w:rsid w:val="00516EB0"/>
    <w:rsid w:val="005173BD"/>
    <w:rsid w:val="00517A2A"/>
    <w:rsid w:val="00517EEB"/>
    <w:rsid w:val="00520DA3"/>
    <w:rsid w:val="005235AD"/>
    <w:rsid w:val="00524260"/>
    <w:rsid w:val="005246A2"/>
    <w:rsid w:val="00524D01"/>
    <w:rsid w:val="00525701"/>
    <w:rsid w:val="00525797"/>
    <w:rsid w:val="0052585F"/>
    <w:rsid w:val="00525AC3"/>
    <w:rsid w:val="00526FB5"/>
    <w:rsid w:val="00526FDD"/>
    <w:rsid w:val="00531497"/>
    <w:rsid w:val="00531885"/>
    <w:rsid w:val="00531CF4"/>
    <w:rsid w:val="005322ED"/>
    <w:rsid w:val="005333C8"/>
    <w:rsid w:val="00533EBF"/>
    <w:rsid w:val="00534BEE"/>
    <w:rsid w:val="005353F7"/>
    <w:rsid w:val="00536192"/>
    <w:rsid w:val="0053624F"/>
    <w:rsid w:val="00536317"/>
    <w:rsid w:val="005367F6"/>
    <w:rsid w:val="00536CEA"/>
    <w:rsid w:val="00537941"/>
    <w:rsid w:val="00537B21"/>
    <w:rsid w:val="005402B1"/>
    <w:rsid w:val="00543AA8"/>
    <w:rsid w:val="00543B32"/>
    <w:rsid w:val="00544C19"/>
    <w:rsid w:val="0054500A"/>
    <w:rsid w:val="00545399"/>
    <w:rsid w:val="00545E8F"/>
    <w:rsid w:val="00545F36"/>
    <w:rsid w:val="005469C3"/>
    <w:rsid w:val="005470AD"/>
    <w:rsid w:val="005513C2"/>
    <w:rsid w:val="00551CE6"/>
    <w:rsid w:val="005522D8"/>
    <w:rsid w:val="00553381"/>
    <w:rsid w:val="00553967"/>
    <w:rsid w:val="005543DE"/>
    <w:rsid w:val="00555CA6"/>
    <w:rsid w:val="005564E0"/>
    <w:rsid w:val="00556E83"/>
    <w:rsid w:val="00557EE8"/>
    <w:rsid w:val="00560016"/>
    <w:rsid w:val="005614D8"/>
    <w:rsid w:val="00562417"/>
    <w:rsid w:val="005631B7"/>
    <w:rsid w:val="00563B23"/>
    <w:rsid w:val="00563E9A"/>
    <w:rsid w:val="005641DC"/>
    <w:rsid w:val="005649CB"/>
    <w:rsid w:val="00564ABC"/>
    <w:rsid w:val="00564AE2"/>
    <w:rsid w:val="00565F71"/>
    <w:rsid w:val="005719E7"/>
    <w:rsid w:val="005725D7"/>
    <w:rsid w:val="00572D99"/>
    <w:rsid w:val="00572E20"/>
    <w:rsid w:val="00572EBC"/>
    <w:rsid w:val="00572EFB"/>
    <w:rsid w:val="005733F2"/>
    <w:rsid w:val="00573A09"/>
    <w:rsid w:val="00573A3C"/>
    <w:rsid w:val="00574D3F"/>
    <w:rsid w:val="00574DB9"/>
    <w:rsid w:val="00574E78"/>
    <w:rsid w:val="00575517"/>
    <w:rsid w:val="00575735"/>
    <w:rsid w:val="00577A5B"/>
    <w:rsid w:val="00577C06"/>
    <w:rsid w:val="00577C62"/>
    <w:rsid w:val="0058000C"/>
    <w:rsid w:val="00581AD5"/>
    <w:rsid w:val="00582007"/>
    <w:rsid w:val="0058246E"/>
    <w:rsid w:val="005825F3"/>
    <w:rsid w:val="00582D89"/>
    <w:rsid w:val="00583233"/>
    <w:rsid w:val="0058389E"/>
    <w:rsid w:val="00583F46"/>
    <w:rsid w:val="005846B1"/>
    <w:rsid w:val="00586EE1"/>
    <w:rsid w:val="00587767"/>
    <w:rsid w:val="0058788B"/>
    <w:rsid w:val="0058794F"/>
    <w:rsid w:val="00587A4C"/>
    <w:rsid w:val="00587E12"/>
    <w:rsid w:val="0059289B"/>
    <w:rsid w:val="005938A4"/>
    <w:rsid w:val="00593FFB"/>
    <w:rsid w:val="005947B4"/>
    <w:rsid w:val="0059561B"/>
    <w:rsid w:val="0059565C"/>
    <w:rsid w:val="0059643D"/>
    <w:rsid w:val="005964E0"/>
    <w:rsid w:val="00596903"/>
    <w:rsid w:val="005969B3"/>
    <w:rsid w:val="005A0247"/>
    <w:rsid w:val="005A03F1"/>
    <w:rsid w:val="005A098D"/>
    <w:rsid w:val="005A0A04"/>
    <w:rsid w:val="005A0A24"/>
    <w:rsid w:val="005A1298"/>
    <w:rsid w:val="005A24F6"/>
    <w:rsid w:val="005A255F"/>
    <w:rsid w:val="005A36A5"/>
    <w:rsid w:val="005A37B4"/>
    <w:rsid w:val="005A39DD"/>
    <w:rsid w:val="005A3EED"/>
    <w:rsid w:val="005A6BAB"/>
    <w:rsid w:val="005A767D"/>
    <w:rsid w:val="005B17EA"/>
    <w:rsid w:val="005B2ADE"/>
    <w:rsid w:val="005B59E3"/>
    <w:rsid w:val="005B5BC8"/>
    <w:rsid w:val="005B61B8"/>
    <w:rsid w:val="005B6287"/>
    <w:rsid w:val="005C0D37"/>
    <w:rsid w:val="005C1598"/>
    <w:rsid w:val="005C199C"/>
    <w:rsid w:val="005C1BC4"/>
    <w:rsid w:val="005C2663"/>
    <w:rsid w:val="005C2E0C"/>
    <w:rsid w:val="005C3780"/>
    <w:rsid w:val="005C4144"/>
    <w:rsid w:val="005C49F6"/>
    <w:rsid w:val="005C4E23"/>
    <w:rsid w:val="005C5DF9"/>
    <w:rsid w:val="005C74D5"/>
    <w:rsid w:val="005C7F5E"/>
    <w:rsid w:val="005D2E82"/>
    <w:rsid w:val="005D35DD"/>
    <w:rsid w:val="005D3C46"/>
    <w:rsid w:val="005D3FB7"/>
    <w:rsid w:val="005D6A11"/>
    <w:rsid w:val="005D6F8E"/>
    <w:rsid w:val="005D73B2"/>
    <w:rsid w:val="005D7DEE"/>
    <w:rsid w:val="005E11E6"/>
    <w:rsid w:val="005E2F52"/>
    <w:rsid w:val="005E322A"/>
    <w:rsid w:val="005E3F22"/>
    <w:rsid w:val="005E40CD"/>
    <w:rsid w:val="005E49F3"/>
    <w:rsid w:val="005E5081"/>
    <w:rsid w:val="005E5233"/>
    <w:rsid w:val="005E58FB"/>
    <w:rsid w:val="005E5A15"/>
    <w:rsid w:val="005E5DAE"/>
    <w:rsid w:val="005E60C6"/>
    <w:rsid w:val="005F08F5"/>
    <w:rsid w:val="005F217E"/>
    <w:rsid w:val="005F3194"/>
    <w:rsid w:val="005F32C5"/>
    <w:rsid w:val="005F3CFB"/>
    <w:rsid w:val="005F4C23"/>
    <w:rsid w:val="005F4F6B"/>
    <w:rsid w:val="005F4FC0"/>
    <w:rsid w:val="005F6302"/>
    <w:rsid w:val="005F6591"/>
    <w:rsid w:val="005F6780"/>
    <w:rsid w:val="005F7573"/>
    <w:rsid w:val="005F7B62"/>
    <w:rsid w:val="0060120D"/>
    <w:rsid w:val="00601557"/>
    <w:rsid w:val="00602E6A"/>
    <w:rsid w:val="00602EB5"/>
    <w:rsid w:val="0060390D"/>
    <w:rsid w:val="006055CA"/>
    <w:rsid w:val="00605ECF"/>
    <w:rsid w:val="00605F71"/>
    <w:rsid w:val="0060605E"/>
    <w:rsid w:val="00606B7A"/>
    <w:rsid w:val="00607895"/>
    <w:rsid w:val="006124B4"/>
    <w:rsid w:val="006131EC"/>
    <w:rsid w:val="006133FC"/>
    <w:rsid w:val="00613846"/>
    <w:rsid w:val="006154B7"/>
    <w:rsid w:val="006173B2"/>
    <w:rsid w:val="006176E2"/>
    <w:rsid w:val="00617ACC"/>
    <w:rsid w:val="00617B58"/>
    <w:rsid w:val="0062015C"/>
    <w:rsid w:val="006220C7"/>
    <w:rsid w:val="0062223B"/>
    <w:rsid w:val="00622B02"/>
    <w:rsid w:val="00623443"/>
    <w:rsid w:val="006237F7"/>
    <w:rsid w:val="006247E8"/>
    <w:rsid w:val="006253CE"/>
    <w:rsid w:val="00626324"/>
    <w:rsid w:val="00627B77"/>
    <w:rsid w:val="00630465"/>
    <w:rsid w:val="00630AE1"/>
    <w:rsid w:val="00630E21"/>
    <w:rsid w:val="0063149C"/>
    <w:rsid w:val="006328D0"/>
    <w:rsid w:val="00632C90"/>
    <w:rsid w:val="00632DD1"/>
    <w:rsid w:val="00633129"/>
    <w:rsid w:val="006331D6"/>
    <w:rsid w:val="00633CBF"/>
    <w:rsid w:val="006348E1"/>
    <w:rsid w:val="00634967"/>
    <w:rsid w:val="00634999"/>
    <w:rsid w:val="0063563F"/>
    <w:rsid w:val="00635C83"/>
    <w:rsid w:val="006362AC"/>
    <w:rsid w:val="006365C0"/>
    <w:rsid w:val="00636F3F"/>
    <w:rsid w:val="006408E5"/>
    <w:rsid w:val="00640CE9"/>
    <w:rsid w:val="00640F8D"/>
    <w:rsid w:val="00642368"/>
    <w:rsid w:val="006425E5"/>
    <w:rsid w:val="00645547"/>
    <w:rsid w:val="00645A1C"/>
    <w:rsid w:val="00646A9D"/>
    <w:rsid w:val="00647230"/>
    <w:rsid w:val="0064795D"/>
    <w:rsid w:val="00647DF8"/>
    <w:rsid w:val="006503A0"/>
    <w:rsid w:val="00650869"/>
    <w:rsid w:val="0065092E"/>
    <w:rsid w:val="00651614"/>
    <w:rsid w:val="006519D5"/>
    <w:rsid w:val="00651D65"/>
    <w:rsid w:val="00654455"/>
    <w:rsid w:val="006544F3"/>
    <w:rsid w:val="00654540"/>
    <w:rsid w:val="00654A4D"/>
    <w:rsid w:val="00654B03"/>
    <w:rsid w:val="00654BE9"/>
    <w:rsid w:val="006558FF"/>
    <w:rsid w:val="00656456"/>
    <w:rsid w:val="00656984"/>
    <w:rsid w:val="00657C1D"/>
    <w:rsid w:val="00660C01"/>
    <w:rsid w:val="00660E5B"/>
    <w:rsid w:val="006610E5"/>
    <w:rsid w:val="00661126"/>
    <w:rsid w:val="00661154"/>
    <w:rsid w:val="0066115F"/>
    <w:rsid w:val="006621B1"/>
    <w:rsid w:val="00662297"/>
    <w:rsid w:val="00662607"/>
    <w:rsid w:val="006631EB"/>
    <w:rsid w:val="006635F2"/>
    <w:rsid w:val="00664627"/>
    <w:rsid w:val="006652DA"/>
    <w:rsid w:val="00665643"/>
    <w:rsid w:val="00666118"/>
    <w:rsid w:val="00666C33"/>
    <w:rsid w:val="00667B5E"/>
    <w:rsid w:val="00667FF7"/>
    <w:rsid w:val="0067271B"/>
    <w:rsid w:val="00672849"/>
    <w:rsid w:val="00672C5C"/>
    <w:rsid w:val="006732FF"/>
    <w:rsid w:val="00674250"/>
    <w:rsid w:val="006749D8"/>
    <w:rsid w:val="006753DE"/>
    <w:rsid w:val="006755CF"/>
    <w:rsid w:val="00675DF7"/>
    <w:rsid w:val="006808F6"/>
    <w:rsid w:val="00681EFE"/>
    <w:rsid w:val="00682D58"/>
    <w:rsid w:val="00683F2F"/>
    <w:rsid w:val="006847B8"/>
    <w:rsid w:val="006849BF"/>
    <w:rsid w:val="00685762"/>
    <w:rsid w:val="0068584C"/>
    <w:rsid w:val="00685924"/>
    <w:rsid w:val="00685DAF"/>
    <w:rsid w:val="00685DF6"/>
    <w:rsid w:val="00686467"/>
    <w:rsid w:val="00686529"/>
    <w:rsid w:val="00687418"/>
    <w:rsid w:val="00687999"/>
    <w:rsid w:val="006879E7"/>
    <w:rsid w:val="00687C90"/>
    <w:rsid w:val="0069051D"/>
    <w:rsid w:val="00690822"/>
    <w:rsid w:val="00691651"/>
    <w:rsid w:val="006923D4"/>
    <w:rsid w:val="00692707"/>
    <w:rsid w:val="00692842"/>
    <w:rsid w:val="00692BD1"/>
    <w:rsid w:val="00693201"/>
    <w:rsid w:val="0069352D"/>
    <w:rsid w:val="006939A7"/>
    <w:rsid w:val="00693B0F"/>
    <w:rsid w:val="0069455C"/>
    <w:rsid w:val="00694618"/>
    <w:rsid w:val="00694DF1"/>
    <w:rsid w:val="00694FF4"/>
    <w:rsid w:val="00695107"/>
    <w:rsid w:val="0069560F"/>
    <w:rsid w:val="00695A63"/>
    <w:rsid w:val="006A0C61"/>
    <w:rsid w:val="006A0FD1"/>
    <w:rsid w:val="006A27E2"/>
    <w:rsid w:val="006A32B8"/>
    <w:rsid w:val="006A352D"/>
    <w:rsid w:val="006A3562"/>
    <w:rsid w:val="006A36E4"/>
    <w:rsid w:val="006A407A"/>
    <w:rsid w:val="006A45E2"/>
    <w:rsid w:val="006A45F4"/>
    <w:rsid w:val="006A65E8"/>
    <w:rsid w:val="006A67BB"/>
    <w:rsid w:val="006A6976"/>
    <w:rsid w:val="006A6F0D"/>
    <w:rsid w:val="006A71A1"/>
    <w:rsid w:val="006A78CA"/>
    <w:rsid w:val="006B06DE"/>
    <w:rsid w:val="006B0B9C"/>
    <w:rsid w:val="006B1D87"/>
    <w:rsid w:val="006B2376"/>
    <w:rsid w:val="006B2473"/>
    <w:rsid w:val="006B287D"/>
    <w:rsid w:val="006B2E8C"/>
    <w:rsid w:val="006B49BB"/>
    <w:rsid w:val="006B4E51"/>
    <w:rsid w:val="006B52F6"/>
    <w:rsid w:val="006B5A9D"/>
    <w:rsid w:val="006B6BC9"/>
    <w:rsid w:val="006B789D"/>
    <w:rsid w:val="006C0B1F"/>
    <w:rsid w:val="006C1945"/>
    <w:rsid w:val="006C198C"/>
    <w:rsid w:val="006C1EA2"/>
    <w:rsid w:val="006C22E7"/>
    <w:rsid w:val="006C24E6"/>
    <w:rsid w:val="006C2775"/>
    <w:rsid w:val="006C285A"/>
    <w:rsid w:val="006C37A0"/>
    <w:rsid w:val="006C43E6"/>
    <w:rsid w:val="006C4D2B"/>
    <w:rsid w:val="006C5F00"/>
    <w:rsid w:val="006C703C"/>
    <w:rsid w:val="006D1CA7"/>
    <w:rsid w:val="006D265B"/>
    <w:rsid w:val="006D6673"/>
    <w:rsid w:val="006D7BE3"/>
    <w:rsid w:val="006E0716"/>
    <w:rsid w:val="006E22C0"/>
    <w:rsid w:val="006E24BA"/>
    <w:rsid w:val="006E26A6"/>
    <w:rsid w:val="006E2704"/>
    <w:rsid w:val="006E2962"/>
    <w:rsid w:val="006E36AD"/>
    <w:rsid w:val="006E3951"/>
    <w:rsid w:val="006E5227"/>
    <w:rsid w:val="006E5822"/>
    <w:rsid w:val="006E6B48"/>
    <w:rsid w:val="006E6ECA"/>
    <w:rsid w:val="006E75C8"/>
    <w:rsid w:val="006E7A01"/>
    <w:rsid w:val="006E7F96"/>
    <w:rsid w:val="006F1D60"/>
    <w:rsid w:val="006F21CD"/>
    <w:rsid w:val="006F4F77"/>
    <w:rsid w:val="006F583F"/>
    <w:rsid w:val="006F5BA5"/>
    <w:rsid w:val="006F5E02"/>
    <w:rsid w:val="007008AB"/>
    <w:rsid w:val="0070157D"/>
    <w:rsid w:val="00701961"/>
    <w:rsid w:val="00701A05"/>
    <w:rsid w:val="00702682"/>
    <w:rsid w:val="007032F0"/>
    <w:rsid w:val="007035C3"/>
    <w:rsid w:val="00703B05"/>
    <w:rsid w:val="007055D0"/>
    <w:rsid w:val="00705690"/>
    <w:rsid w:val="007063E0"/>
    <w:rsid w:val="007069A7"/>
    <w:rsid w:val="00706F14"/>
    <w:rsid w:val="0070789B"/>
    <w:rsid w:val="00710411"/>
    <w:rsid w:val="00712145"/>
    <w:rsid w:val="007123F0"/>
    <w:rsid w:val="0071314E"/>
    <w:rsid w:val="0071385C"/>
    <w:rsid w:val="00713B4B"/>
    <w:rsid w:val="0071406B"/>
    <w:rsid w:val="00714522"/>
    <w:rsid w:val="0071577C"/>
    <w:rsid w:val="00715BDF"/>
    <w:rsid w:val="00715EF4"/>
    <w:rsid w:val="007172AC"/>
    <w:rsid w:val="0072096C"/>
    <w:rsid w:val="007212B2"/>
    <w:rsid w:val="0072154E"/>
    <w:rsid w:val="0072307D"/>
    <w:rsid w:val="0072484B"/>
    <w:rsid w:val="00726E31"/>
    <w:rsid w:val="00727883"/>
    <w:rsid w:val="007308FF"/>
    <w:rsid w:val="00730EE3"/>
    <w:rsid w:val="00731952"/>
    <w:rsid w:val="00731DA0"/>
    <w:rsid w:val="007325DA"/>
    <w:rsid w:val="00732DD3"/>
    <w:rsid w:val="00733180"/>
    <w:rsid w:val="00733D78"/>
    <w:rsid w:val="00733E6B"/>
    <w:rsid w:val="00734218"/>
    <w:rsid w:val="00735823"/>
    <w:rsid w:val="00736469"/>
    <w:rsid w:val="007372BB"/>
    <w:rsid w:val="00737EA4"/>
    <w:rsid w:val="00741177"/>
    <w:rsid w:val="0074218B"/>
    <w:rsid w:val="0074221E"/>
    <w:rsid w:val="007422CA"/>
    <w:rsid w:val="007426B3"/>
    <w:rsid w:val="00742763"/>
    <w:rsid w:val="0074289E"/>
    <w:rsid w:val="00742A8A"/>
    <w:rsid w:val="00743ECD"/>
    <w:rsid w:val="007459FB"/>
    <w:rsid w:val="0075005D"/>
    <w:rsid w:val="00750EEC"/>
    <w:rsid w:val="00750F23"/>
    <w:rsid w:val="00751FB7"/>
    <w:rsid w:val="007527C1"/>
    <w:rsid w:val="007544C9"/>
    <w:rsid w:val="00754B86"/>
    <w:rsid w:val="00754F20"/>
    <w:rsid w:val="00755548"/>
    <w:rsid w:val="0075581C"/>
    <w:rsid w:val="00755A1C"/>
    <w:rsid w:val="00755DA0"/>
    <w:rsid w:val="0075659C"/>
    <w:rsid w:val="00756614"/>
    <w:rsid w:val="00757835"/>
    <w:rsid w:val="007614B6"/>
    <w:rsid w:val="00761B3F"/>
    <w:rsid w:val="00764279"/>
    <w:rsid w:val="007647DC"/>
    <w:rsid w:val="00765ABE"/>
    <w:rsid w:val="00765D93"/>
    <w:rsid w:val="007666F3"/>
    <w:rsid w:val="007667B9"/>
    <w:rsid w:val="007672D5"/>
    <w:rsid w:val="007706B5"/>
    <w:rsid w:val="007719AA"/>
    <w:rsid w:val="0077455A"/>
    <w:rsid w:val="00774758"/>
    <w:rsid w:val="00776F8E"/>
    <w:rsid w:val="0077771A"/>
    <w:rsid w:val="00780658"/>
    <w:rsid w:val="00780D1F"/>
    <w:rsid w:val="00782A15"/>
    <w:rsid w:val="00782B6C"/>
    <w:rsid w:val="00783317"/>
    <w:rsid w:val="0078732B"/>
    <w:rsid w:val="00787EDF"/>
    <w:rsid w:val="00790764"/>
    <w:rsid w:val="00790E43"/>
    <w:rsid w:val="007917A1"/>
    <w:rsid w:val="00792D02"/>
    <w:rsid w:val="0079454B"/>
    <w:rsid w:val="00795557"/>
    <w:rsid w:val="00797787"/>
    <w:rsid w:val="007A0340"/>
    <w:rsid w:val="007A2559"/>
    <w:rsid w:val="007A2CDA"/>
    <w:rsid w:val="007A38D9"/>
    <w:rsid w:val="007A3B5D"/>
    <w:rsid w:val="007A40AD"/>
    <w:rsid w:val="007A46CE"/>
    <w:rsid w:val="007A523C"/>
    <w:rsid w:val="007A52ED"/>
    <w:rsid w:val="007A5446"/>
    <w:rsid w:val="007A5A21"/>
    <w:rsid w:val="007A640E"/>
    <w:rsid w:val="007A65C7"/>
    <w:rsid w:val="007A69B7"/>
    <w:rsid w:val="007A75F4"/>
    <w:rsid w:val="007A797A"/>
    <w:rsid w:val="007A7EF9"/>
    <w:rsid w:val="007A7FB1"/>
    <w:rsid w:val="007B04AF"/>
    <w:rsid w:val="007B0641"/>
    <w:rsid w:val="007B1B89"/>
    <w:rsid w:val="007B2C65"/>
    <w:rsid w:val="007B3C37"/>
    <w:rsid w:val="007B57B0"/>
    <w:rsid w:val="007B5E55"/>
    <w:rsid w:val="007B5F05"/>
    <w:rsid w:val="007B666E"/>
    <w:rsid w:val="007B7956"/>
    <w:rsid w:val="007C0D67"/>
    <w:rsid w:val="007C1796"/>
    <w:rsid w:val="007C18F7"/>
    <w:rsid w:val="007C1977"/>
    <w:rsid w:val="007C2B87"/>
    <w:rsid w:val="007C3CB8"/>
    <w:rsid w:val="007C424F"/>
    <w:rsid w:val="007C4266"/>
    <w:rsid w:val="007C4A0A"/>
    <w:rsid w:val="007C51D7"/>
    <w:rsid w:val="007C5F43"/>
    <w:rsid w:val="007C6D99"/>
    <w:rsid w:val="007D0CE5"/>
    <w:rsid w:val="007D1403"/>
    <w:rsid w:val="007D165B"/>
    <w:rsid w:val="007D1DFC"/>
    <w:rsid w:val="007D2AE5"/>
    <w:rsid w:val="007D3411"/>
    <w:rsid w:val="007D4401"/>
    <w:rsid w:val="007D45E7"/>
    <w:rsid w:val="007D5852"/>
    <w:rsid w:val="007D6D34"/>
    <w:rsid w:val="007D7622"/>
    <w:rsid w:val="007D7742"/>
    <w:rsid w:val="007E0329"/>
    <w:rsid w:val="007E050B"/>
    <w:rsid w:val="007E3EB3"/>
    <w:rsid w:val="007E4422"/>
    <w:rsid w:val="007E465A"/>
    <w:rsid w:val="007E4E6A"/>
    <w:rsid w:val="007E4FD6"/>
    <w:rsid w:val="007E52E9"/>
    <w:rsid w:val="007E56D8"/>
    <w:rsid w:val="007E5C74"/>
    <w:rsid w:val="007E5E4A"/>
    <w:rsid w:val="007E6D46"/>
    <w:rsid w:val="007E6F4D"/>
    <w:rsid w:val="007E7DBA"/>
    <w:rsid w:val="007E7DF0"/>
    <w:rsid w:val="007F00F7"/>
    <w:rsid w:val="007F27F4"/>
    <w:rsid w:val="007F2871"/>
    <w:rsid w:val="007F29BB"/>
    <w:rsid w:val="007F2D85"/>
    <w:rsid w:val="007F2F09"/>
    <w:rsid w:val="007F4D35"/>
    <w:rsid w:val="007F58F5"/>
    <w:rsid w:val="007F71E7"/>
    <w:rsid w:val="007F7B2B"/>
    <w:rsid w:val="00800018"/>
    <w:rsid w:val="00800303"/>
    <w:rsid w:val="00801489"/>
    <w:rsid w:val="00801633"/>
    <w:rsid w:val="0080168A"/>
    <w:rsid w:val="00802187"/>
    <w:rsid w:val="008024A2"/>
    <w:rsid w:val="00802AAD"/>
    <w:rsid w:val="00803803"/>
    <w:rsid w:val="00803A2F"/>
    <w:rsid w:val="00803C04"/>
    <w:rsid w:val="00804381"/>
    <w:rsid w:val="008046E7"/>
    <w:rsid w:val="00804AD0"/>
    <w:rsid w:val="00804BB1"/>
    <w:rsid w:val="00804DEF"/>
    <w:rsid w:val="0080550E"/>
    <w:rsid w:val="008059D2"/>
    <w:rsid w:val="00805C3C"/>
    <w:rsid w:val="00806003"/>
    <w:rsid w:val="00806ABC"/>
    <w:rsid w:val="00807479"/>
    <w:rsid w:val="00807B95"/>
    <w:rsid w:val="00807D7A"/>
    <w:rsid w:val="00810933"/>
    <w:rsid w:val="00810F87"/>
    <w:rsid w:val="0081154B"/>
    <w:rsid w:val="008116EF"/>
    <w:rsid w:val="008120AA"/>
    <w:rsid w:val="00812858"/>
    <w:rsid w:val="00812C5A"/>
    <w:rsid w:val="008135A4"/>
    <w:rsid w:val="0081366F"/>
    <w:rsid w:val="00813C97"/>
    <w:rsid w:val="0081405E"/>
    <w:rsid w:val="008143BE"/>
    <w:rsid w:val="008148FF"/>
    <w:rsid w:val="0081497C"/>
    <w:rsid w:val="00815207"/>
    <w:rsid w:val="008159E0"/>
    <w:rsid w:val="0081739A"/>
    <w:rsid w:val="00817CE9"/>
    <w:rsid w:val="00817E1A"/>
    <w:rsid w:val="0082109E"/>
    <w:rsid w:val="00821A56"/>
    <w:rsid w:val="00822565"/>
    <w:rsid w:val="00822F02"/>
    <w:rsid w:val="0082300F"/>
    <w:rsid w:val="00823D61"/>
    <w:rsid w:val="00825578"/>
    <w:rsid w:val="0082675D"/>
    <w:rsid w:val="00826B03"/>
    <w:rsid w:val="00826D69"/>
    <w:rsid w:val="00830849"/>
    <w:rsid w:val="0083099B"/>
    <w:rsid w:val="00831039"/>
    <w:rsid w:val="00833061"/>
    <w:rsid w:val="0083359F"/>
    <w:rsid w:val="0083388B"/>
    <w:rsid w:val="00833C6F"/>
    <w:rsid w:val="00833CE7"/>
    <w:rsid w:val="008342E1"/>
    <w:rsid w:val="008349A1"/>
    <w:rsid w:val="0083689B"/>
    <w:rsid w:val="00836F4F"/>
    <w:rsid w:val="00836FA2"/>
    <w:rsid w:val="00837C6B"/>
    <w:rsid w:val="00840C29"/>
    <w:rsid w:val="008412B8"/>
    <w:rsid w:val="00841F9D"/>
    <w:rsid w:val="00842DD8"/>
    <w:rsid w:val="00843EB3"/>
    <w:rsid w:val="008441F9"/>
    <w:rsid w:val="00844864"/>
    <w:rsid w:val="00844AD4"/>
    <w:rsid w:val="0084698B"/>
    <w:rsid w:val="00847763"/>
    <w:rsid w:val="008478A8"/>
    <w:rsid w:val="008501E9"/>
    <w:rsid w:val="00850A1F"/>
    <w:rsid w:val="008520D5"/>
    <w:rsid w:val="00853BC3"/>
    <w:rsid w:val="00854542"/>
    <w:rsid w:val="008547CE"/>
    <w:rsid w:val="0085781D"/>
    <w:rsid w:val="008607F5"/>
    <w:rsid w:val="00860E49"/>
    <w:rsid w:val="008618F8"/>
    <w:rsid w:val="00861A02"/>
    <w:rsid w:val="00862B2D"/>
    <w:rsid w:val="00862D65"/>
    <w:rsid w:val="00862FFC"/>
    <w:rsid w:val="0086302C"/>
    <w:rsid w:val="0086328C"/>
    <w:rsid w:val="00864859"/>
    <w:rsid w:val="00864EBB"/>
    <w:rsid w:val="00865340"/>
    <w:rsid w:val="0086558C"/>
    <w:rsid w:val="0086591B"/>
    <w:rsid w:val="00865AA0"/>
    <w:rsid w:val="0086655F"/>
    <w:rsid w:val="00867B8C"/>
    <w:rsid w:val="00870240"/>
    <w:rsid w:val="008704D6"/>
    <w:rsid w:val="00872B64"/>
    <w:rsid w:val="00872DBB"/>
    <w:rsid w:val="0087303D"/>
    <w:rsid w:val="00873405"/>
    <w:rsid w:val="00874C41"/>
    <w:rsid w:val="00875926"/>
    <w:rsid w:val="00876039"/>
    <w:rsid w:val="008761F7"/>
    <w:rsid w:val="0087644D"/>
    <w:rsid w:val="00876596"/>
    <w:rsid w:val="00876F29"/>
    <w:rsid w:val="00877CF4"/>
    <w:rsid w:val="00877F76"/>
    <w:rsid w:val="00880036"/>
    <w:rsid w:val="00880856"/>
    <w:rsid w:val="0088140F"/>
    <w:rsid w:val="0088167E"/>
    <w:rsid w:val="008824A6"/>
    <w:rsid w:val="008827CE"/>
    <w:rsid w:val="00882A9D"/>
    <w:rsid w:val="00883CEF"/>
    <w:rsid w:val="00883D20"/>
    <w:rsid w:val="00883D77"/>
    <w:rsid w:val="008855F7"/>
    <w:rsid w:val="00885646"/>
    <w:rsid w:val="008859F7"/>
    <w:rsid w:val="00885AAB"/>
    <w:rsid w:val="00886C11"/>
    <w:rsid w:val="00886E07"/>
    <w:rsid w:val="00886FF1"/>
    <w:rsid w:val="008871BF"/>
    <w:rsid w:val="00887F1D"/>
    <w:rsid w:val="008911D8"/>
    <w:rsid w:val="00891242"/>
    <w:rsid w:val="008914E3"/>
    <w:rsid w:val="0089305F"/>
    <w:rsid w:val="008931D1"/>
    <w:rsid w:val="00893C3E"/>
    <w:rsid w:val="00893FA3"/>
    <w:rsid w:val="0089629A"/>
    <w:rsid w:val="00896819"/>
    <w:rsid w:val="00897917"/>
    <w:rsid w:val="008A1355"/>
    <w:rsid w:val="008A15C5"/>
    <w:rsid w:val="008A44C0"/>
    <w:rsid w:val="008A4520"/>
    <w:rsid w:val="008A4899"/>
    <w:rsid w:val="008A6AA4"/>
    <w:rsid w:val="008A6D6A"/>
    <w:rsid w:val="008A7068"/>
    <w:rsid w:val="008B01CA"/>
    <w:rsid w:val="008B191F"/>
    <w:rsid w:val="008B2697"/>
    <w:rsid w:val="008B3E27"/>
    <w:rsid w:val="008B3E45"/>
    <w:rsid w:val="008B3EA0"/>
    <w:rsid w:val="008B4075"/>
    <w:rsid w:val="008B41C3"/>
    <w:rsid w:val="008B460A"/>
    <w:rsid w:val="008B4E6F"/>
    <w:rsid w:val="008B5C15"/>
    <w:rsid w:val="008B6411"/>
    <w:rsid w:val="008B7B76"/>
    <w:rsid w:val="008B7FE8"/>
    <w:rsid w:val="008C00E2"/>
    <w:rsid w:val="008C04B9"/>
    <w:rsid w:val="008C051D"/>
    <w:rsid w:val="008C194A"/>
    <w:rsid w:val="008C24D5"/>
    <w:rsid w:val="008C3E0D"/>
    <w:rsid w:val="008C4685"/>
    <w:rsid w:val="008C4C37"/>
    <w:rsid w:val="008C578E"/>
    <w:rsid w:val="008C6889"/>
    <w:rsid w:val="008C701D"/>
    <w:rsid w:val="008C702B"/>
    <w:rsid w:val="008D0689"/>
    <w:rsid w:val="008D0B07"/>
    <w:rsid w:val="008D3F3E"/>
    <w:rsid w:val="008D4CCC"/>
    <w:rsid w:val="008D4CDB"/>
    <w:rsid w:val="008D66B4"/>
    <w:rsid w:val="008D69D1"/>
    <w:rsid w:val="008D71CE"/>
    <w:rsid w:val="008D772C"/>
    <w:rsid w:val="008D7E38"/>
    <w:rsid w:val="008E080A"/>
    <w:rsid w:val="008E0969"/>
    <w:rsid w:val="008E127D"/>
    <w:rsid w:val="008E21E0"/>
    <w:rsid w:val="008E2EC2"/>
    <w:rsid w:val="008E388B"/>
    <w:rsid w:val="008E3FB3"/>
    <w:rsid w:val="008E4995"/>
    <w:rsid w:val="008E4C9F"/>
    <w:rsid w:val="008E5623"/>
    <w:rsid w:val="008E582E"/>
    <w:rsid w:val="008E61BD"/>
    <w:rsid w:val="008E6C25"/>
    <w:rsid w:val="008E708C"/>
    <w:rsid w:val="008E7C31"/>
    <w:rsid w:val="008F03C0"/>
    <w:rsid w:val="008F0658"/>
    <w:rsid w:val="008F0F48"/>
    <w:rsid w:val="008F1937"/>
    <w:rsid w:val="008F1F17"/>
    <w:rsid w:val="008F2DA1"/>
    <w:rsid w:val="008F30C5"/>
    <w:rsid w:val="008F3669"/>
    <w:rsid w:val="008F3B6F"/>
    <w:rsid w:val="008F3BE0"/>
    <w:rsid w:val="008F3FA9"/>
    <w:rsid w:val="008F428D"/>
    <w:rsid w:val="008F57AA"/>
    <w:rsid w:val="008F5F9D"/>
    <w:rsid w:val="008F6520"/>
    <w:rsid w:val="008F6606"/>
    <w:rsid w:val="008F6798"/>
    <w:rsid w:val="008F74B9"/>
    <w:rsid w:val="008F7913"/>
    <w:rsid w:val="008F7F11"/>
    <w:rsid w:val="0090050A"/>
    <w:rsid w:val="00903085"/>
    <w:rsid w:val="00904793"/>
    <w:rsid w:val="00904B0F"/>
    <w:rsid w:val="00904EED"/>
    <w:rsid w:val="009056E0"/>
    <w:rsid w:val="00906421"/>
    <w:rsid w:val="00906BAC"/>
    <w:rsid w:val="00906D44"/>
    <w:rsid w:val="009070A2"/>
    <w:rsid w:val="009073C1"/>
    <w:rsid w:val="00907C48"/>
    <w:rsid w:val="00910244"/>
    <w:rsid w:val="009104EE"/>
    <w:rsid w:val="00910F2A"/>
    <w:rsid w:val="0091299D"/>
    <w:rsid w:val="00912BBB"/>
    <w:rsid w:val="009133C1"/>
    <w:rsid w:val="00913F6E"/>
    <w:rsid w:val="0091413B"/>
    <w:rsid w:val="00914421"/>
    <w:rsid w:val="00914693"/>
    <w:rsid w:val="00915F74"/>
    <w:rsid w:val="00916030"/>
    <w:rsid w:val="009166E1"/>
    <w:rsid w:val="00917069"/>
    <w:rsid w:val="00917371"/>
    <w:rsid w:val="00917F0C"/>
    <w:rsid w:val="009200E0"/>
    <w:rsid w:val="00921F24"/>
    <w:rsid w:val="009221C7"/>
    <w:rsid w:val="009235E5"/>
    <w:rsid w:val="00923FA9"/>
    <w:rsid w:val="00924572"/>
    <w:rsid w:val="009251D2"/>
    <w:rsid w:val="00925823"/>
    <w:rsid w:val="00926470"/>
    <w:rsid w:val="00926BAB"/>
    <w:rsid w:val="00926C74"/>
    <w:rsid w:val="00927B33"/>
    <w:rsid w:val="00931479"/>
    <w:rsid w:val="00931C33"/>
    <w:rsid w:val="00932262"/>
    <w:rsid w:val="00932371"/>
    <w:rsid w:val="0093267E"/>
    <w:rsid w:val="00932860"/>
    <w:rsid w:val="009339B6"/>
    <w:rsid w:val="009343CB"/>
    <w:rsid w:val="009345B6"/>
    <w:rsid w:val="00935049"/>
    <w:rsid w:val="00935D68"/>
    <w:rsid w:val="00936020"/>
    <w:rsid w:val="009361DA"/>
    <w:rsid w:val="009362DC"/>
    <w:rsid w:val="00940297"/>
    <w:rsid w:val="009408AB"/>
    <w:rsid w:val="00940AA5"/>
    <w:rsid w:val="00940B8D"/>
    <w:rsid w:val="009419F2"/>
    <w:rsid w:val="009426E6"/>
    <w:rsid w:val="009427C0"/>
    <w:rsid w:val="00944D79"/>
    <w:rsid w:val="00950457"/>
    <w:rsid w:val="00951F73"/>
    <w:rsid w:val="00951FAF"/>
    <w:rsid w:val="009520B8"/>
    <w:rsid w:val="0095240A"/>
    <w:rsid w:val="009533F2"/>
    <w:rsid w:val="0095464A"/>
    <w:rsid w:val="00954A9C"/>
    <w:rsid w:val="00954D97"/>
    <w:rsid w:val="00955302"/>
    <w:rsid w:val="00955448"/>
    <w:rsid w:val="0095554E"/>
    <w:rsid w:val="00955C98"/>
    <w:rsid w:val="00957145"/>
    <w:rsid w:val="00960557"/>
    <w:rsid w:val="00961776"/>
    <w:rsid w:val="0096259E"/>
    <w:rsid w:val="00962800"/>
    <w:rsid w:val="009628CF"/>
    <w:rsid w:val="00962DA6"/>
    <w:rsid w:val="00963B82"/>
    <w:rsid w:val="00964D80"/>
    <w:rsid w:val="00964FC8"/>
    <w:rsid w:val="00965175"/>
    <w:rsid w:val="00965C68"/>
    <w:rsid w:val="00965F2C"/>
    <w:rsid w:val="00965FE4"/>
    <w:rsid w:val="00966B6B"/>
    <w:rsid w:val="009675C4"/>
    <w:rsid w:val="009679E4"/>
    <w:rsid w:val="00970465"/>
    <w:rsid w:val="00970CFA"/>
    <w:rsid w:val="00971C37"/>
    <w:rsid w:val="009722E4"/>
    <w:rsid w:val="00973E3D"/>
    <w:rsid w:val="0097487F"/>
    <w:rsid w:val="009751D7"/>
    <w:rsid w:val="0097576F"/>
    <w:rsid w:val="009764E2"/>
    <w:rsid w:val="00977C23"/>
    <w:rsid w:val="0098085E"/>
    <w:rsid w:val="00980D34"/>
    <w:rsid w:val="009815FF"/>
    <w:rsid w:val="00982434"/>
    <w:rsid w:val="009826B9"/>
    <w:rsid w:val="00982834"/>
    <w:rsid w:val="00982B4B"/>
    <w:rsid w:val="00982CA5"/>
    <w:rsid w:val="00983D26"/>
    <w:rsid w:val="009840B9"/>
    <w:rsid w:val="00984157"/>
    <w:rsid w:val="00985A20"/>
    <w:rsid w:val="009864F3"/>
    <w:rsid w:val="009867A2"/>
    <w:rsid w:val="00986B89"/>
    <w:rsid w:val="00987960"/>
    <w:rsid w:val="009917FB"/>
    <w:rsid w:val="00991D04"/>
    <w:rsid w:val="009934E9"/>
    <w:rsid w:val="00993C79"/>
    <w:rsid w:val="00994BC2"/>
    <w:rsid w:val="009967DB"/>
    <w:rsid w:val="009978F4"/>
    <w:rsid w:val="009A06C8"/>
    <w:rsid w:val="009A07BE"/>
    <w:rsid w:val="009A07E2"/>
    <w:rsid w:val="009A0D82"/>
    <w:rsid w:val="009A0E77"/>
    <w:rsid w:val="009A1A92"/>
    <w:rsid w:val="009A1D08"/>
    <w:rsid w:val="009A1E31"/>
    <w:rsid w:val="009A2AAD"/>
    <w:rsid w:val="009A3507"/>
    <w:rsid w:val="009A4B78"/>
    <w:rsid w:val="009A5347"/>
    <w:rsid w:val="009A5C2B"/>
    <w:rsid w:val="009A69FB"/>
    <w:rsid w:val="009A6EDD"/>
    <w:rsid w:val="009A779C"/>
    <w:rsid w:val="009A7836"/>
    <w:rsid w:val="009A7E45"/>
    <w:rsid w:val="009B03A3"/>
    <w:rsid w:val="009B0D86"/>
    <w:rsid w:val="009B0FFC"/>
    <w:rsid w:val="009B1231"/>
    <w:rsid w:val="009B14E9"/>
    <w:rsid w:val="009B1D48"/>
    <w:rsid w:val="009B2E3D"/>
    <w:rsid w:val="009B3BE9"/>
    <w:rsid w:val="009B44B7"/>
    <w:rsid w:val="009B44D2"/>
    <w:rsid w:val="009B6653"/>
    <w:rsid w:val="009B6DE8"/>
    <w:rsid w:val="009B7330"/>
    <w:rsid w:val="009B798B"/>
    <w:rsid w:val="009C01FF"/>
    <w:rsid w:val="009C02DF"/>
    <w:rsid w:val="009C03AB"/>
    <w:rsid w:val="009C0449"/>
    <w:rsid w:val="009C0487"/>
    <w:rsid w:val="009C1048"/>
    <w:rsid w:val="009C1D22"/>
    <w:rsid w:val="009C1F2F"/>
    <w:rsid w:val="009C21D3"/>
    <w:rsid w:val="009C26DA"/>
    <w:rsid w:val="009C2AE3"/>
    <w:rsid w:val="009C389D"/>
    <w:rsid w:val="009C442C"/>
    <w:rsid w:val="009C4535"/>
    <w:rsid w:val="009C4F65"/>
    <w:rsid w:val="009C5101"/>
    <w:rsid w:val="009C57BE"/>
    <w:rsid w:val="009C6717"/>
    <w:rsid w:val="009C72E4"/>
    <w:rsid w:val="009C77ED"/>
    <w:rsid w:val="009D0DED"/>
    <w:rsid w:val="009D10D7"/>
    <w:rsid w:val="009D1792"/>
    <w:rsid w:val="009D183D"/>
    <w:rsid w:val="009D186E"/>
    <w:rsid w:val="009D1F04"/>
    <w:rsid w:val="009D2423"/>
    <w:rsid w:val="009D3F43"/>
    <w:rsid w:val="009D5419"/>
    <w:rsid w:val="009D6921"/>
    <w:rsid w:val="009D7AE2"/>
    <w:rsid w:val="009E02BF"/>
    <w:rsid w:val="009E0A61"/>
    <w:rsid w:val="009E1271"/>
    <w:rsid w:val="009E1884"/>
    <w:rsid w:val="009E201E"/>
    <w:rsid w:val="009E5684"/>
    <w:rsid w:val="009E5D87"/>
    <w:rsid w:val="009E5DCF"/>
    <w:rsid w:val="009E6630"/>
    <w:rsid w:val="009E676D"/>
    <w:rsid w:val="009E6808"/>
    <w:rsid w:val="009E683A"/>
    <w:rsid w:val="009E698A"/>
    <w:rsid w:val="009E6E49"/>
    <w:rsid w:val="009E7237"/>
    <w:rsid w:val="009E73F6"/>
    <w:rsid w:val="009E7D01"/>
    <w:rsid w:val="009F07F8"/>
    <w:rsid w:val="009F0961"/>
    <w:rsid w:val="009F10CE"/>
    <w:rsid w:val="009F2357"/>
    <w:rsid w:val="009F2794"/>
    <w:rsid w:val="009F4050"/>
    <w:rsid w:val="009F56C4"/>
    <w:rsid w:val="009F58C1"/>
    <w:rsid w:val="009F596B"/>
    <w:rsid w:val="009F5C09"/>
    <w:rsid w:val="009F5CD2"/>
    <w:rsid w:val="009F6A28"/>
    <w:rsid w:val="009F6B11"/>
    <w:rsid w:val="009F733B"/>
    <w:rsid w:val="009F76E5"/>
    <w:rsid w:val="009F7DE5"/>
    <w:rsid w:val="00A00F84"/>
    <w:rsid w:val="00A00FC4"/>
    <w:rsid w:val="00A022CD"/>
    <w:rsid w:val="00A023CB"/>
    <w:rsid w:val="00A0376C"/>
    <w:rsid w:val="00A03988"/>
    <w:rsid w:val="00A03F1D"/>
    <w:rsid w:val="00A0457C"/>
    <w:rsid w:val="00A04C73"/>
    <w:rsid w:val="00A05E60"/>
    <w:rsid w:val="00A0659B"/>
    <w:rsid w:val="00A0683B"/>
    <w:rsid w:val="00A069EA"/>
    <w:rsid w:val="00A06A0E"/>
    <w:rsid w:val="00A07D9E"/>
    <w:rsid w:val="00A105ED"/>
    <w:rsid w:val="00A10930"/>
    <w:rsid w:val="00A11410"/>
    <w:rsid w:val="00A115BA"/>
    <w:rsid w:val="00A11648"/>
    <w:rsid w:val="00A123F2"/>
    <w:rsid w:val="00A12590"/>
    <w:rsid w:val="00A12F59"/>
    <w:rsid w:val="00A13631"/>
    <w:rsid w:val="00A1380B"/>
    <w:rsid w:val="00A141A9"/>
    <w:rsid w:val="00A146F3"/>
    <w:rsid w:val="00A148E7"/>
    <w:rsid w:val="00A14F85"/>
    <w:rsid w:val="00A159D3"/>
    <w:rsid w:val="00A1679A"/>
    <w:rsid w:val="00A16C62"/>
    <w:rsid w:val="00A16E70"/>
    <w:rsid w:val="00A17984"/>
    <w:rsid w:val="00A20576"/>
    <w:rsid w:val="00A209AE"/>
    <w:rsid w:val="00A20AA1"/>
    <w:rsid w:val="00A20AA9"/>
    <w:rsid w:val="00A21C34"/>
    <w:rsid w:val="00A22358"/>
    <w:rsid w:val="00A225B5"/>
    <w:rsid w:val="00A23877"/>
    <w:rsid w:val="00A24275"/>
    <w:rsid w:val="00A248D5"/>
    <w:rsid w:val="00A2712C"/>
    <w:rsid w:val="00A30675"/>
    <w:rsid w:val="00A31386"/>
    <w:rsid w:val="00A31689"/>
    <w:rsid w:val="00A317F7"/>
    <w:rsid w:val="00A319E4"/>
    <w:rsid w:val="00A323A7"/>
    <w:rsid w:val="00A32F31"/>
    <w:rsid w:val="00A35654"/>
    <w:rsid w:val="00A35C32"/>
    <w:rsid w:val="00A362AD"/>
    <w:rsid w:val="00A3717A"/>
    <w:rsid w:val="00A37722"/>
    <w:rsid w:val="00A40102"/>
    <w:rsid w:val="00A4139C"/>
    <w:rsid w:val="00A41E4A"/>
    <w:rsid w:val="00A4248A"/>
    <w:rsid w:val="00A42745"/>
    <w:rsid w:val="00A42794"/>
    <w:rsid w:val="00A4299B"/>
    <w:rsid w:val="00A42B91"/>
    <w:rsid w:val="00A42EF4"/>
    <w:rsid w:val="00A436EF"/>
    <w:rsid w:val="00A443B3"/>
    <w:rsid w:val="00A443D0"/>
    <w:rsid w:val="00A44868"/>
    <w:rsid w:val="00A451E3"/>
    <w:rsid w:val="00A45F5C"/>
    <w:rsid w:val="00A47B6B"/>
    <w:rsid w:val="00A47DF6"/>
    <w:rsid w:val="00A50444"/>
    <w:rsid w:val="00A50503"/>
    <w:rsid w:val="00A50C61"/>
    <w:rsid w:val="00A514C0"/>
    <w:rsid w:val="00A53079"/>
    <w:rsid w:val="00A53156"/>
    <w:rsid w:val="00A53204"/>
    <w:rsid w:val="00A53415"/>
    <w:rsid w:val="00A540F5"/>
    <w:rsid w:val="00A57004"/>
    <w:rsid w:val="00A5751B"/>
    <w:rsid w:val="00A600C8"/>
    <w:rsid w:val="00A61838"/>
    <w:rsid w:val="00A61C9F"/>
    <w:rsid w:val="00A620DA"/>
    <w:rsid w:val="00A62F44"/>
    <w:rsid w:val="00A631BA"/>
    <w:rsid w:val="00A6352B"/>
    <w:rsid w:val="00A63623"/>
    <w:rsid w:val="00A642FE"/>
    <w:rsid w:val="00A6499D"/>
    <w:rsid w:val="00A6522B"/>
    <w:rsid w:val="00A65304"/>
    <w:rsid w:val="00A658CC"/>
    <w:rsid w:val="00A66781"/>
    <w:rsid w:val="00A66A01"/>
    <w:rsid w:val="00A67595"/>
    <w:rsid w:val="00A67CF4"/>
    <w:rsid w:val="00A701AA"/>
    <w:rsid w:val="00A71A85"/>
    <w:rsid w:val="00A71AEB"/>
    <w:rsid w:val="00A71FD1"/>
    <w:rsid w:val="00A72924"/>
    <w:rsid w:val="00A731CE"/>
    <w:rsid w:val="00A73301"/>
    <w:rsid w:val="00A7340A"/>
    <w:rsid w:val="00A73CF3"/>
    <w:rsid w:val="00A742D1"/>
    <w:rsid w:val="00A76735"/>
    <w:rsid w:val="00A770F1"/>
    <w:rsid w:val="00A77952"/>
    <w:rsid w:val="00A81567"/>
    <w:rsid w:val="00A81997"/>
    <w:rsid w:val="00A81A11"/>
    <w:rsid w:val="00A8299B"/>
    <w:rsid w:val="00A83293"/>
    <w:rsid w:val="00A832D0"/>
    <w:rsid w:val="00A83501"/>
    <w:rsid w:val="00A8381D"/>
    <w:rsid w:val="00A8436B"/>
    <w:rsid w:val="00A843DD"/>
    <w:rsid w:val="00A84C20"/>
    <w:rsid w:val="00A858BA"/>
    <w:rsid w:val="00A859AC"/>
    <w:rsid w:val="00A85FEB"/>
    <w:rsid w:val="00A8774A"/>
    <w:rsid w:val="00A87C80"/>
    <w:rsid w:val="00A9019A"/>
    <w:rsid w:val="00A91DE6"/>
    <w:rsid w:val="00A925A5"/>
    <w:rsid w:val="00A92E6E"/>
    <w:rsid w:val="00A94DEA"/>
    <w:rsid w:val="00A957F3"/>
    <w:rsid w:val="00A96971"/>
    <w:rsid w:val="00A9758C"/>
    <w:rsid w:val="00A97866"/>
    <w:rsid w:val="00AA0846"/>
    <w:rsid w:val="00AA22FB"/>
    <w:rsid w:val="00AA28BD"/>
    <w:rsid w:val="00AA2925"/>
    <w:rsid w:val="00AA2C14"/>
    <w:rsid w:val="00AA3537"/>
    <w:rsid w:val="00AA3DE9"/>
    <w:rsid w:val="00AA556E"/>
    <w:rsid w:val="00AA5ED9"/>
    <w:rsid w:val="00AA64CB"/>
    <w:rsid w:val="00AA6C1F"/>
    <w:rsid w:val="00AA738A"/>
    <w:rsid w:val="00AB11EF"/>
    <w:rsid w:val="00AB1D80"/>
    <w:rsid w:val="00AB582B"/>
    <w:rsid w:val="00AB60C6"/>
    <w:rsid w:val="00AB67CE"/>
    <w:rsid w:val="00AB6AC0"/>
    <w:rsid w:val="00AB6DA7"/>
    <w:rsid w:val="00AB7635"/>
    <w:rsid w:val="00AB7762"/>
    <w:rsid w:val="00AB7886"/>
    <w:rsid w:val="00AC0236"/>
    <w:rsid w:val="00AC102E"/>
    <w:rsid w:val="00AC15D8"/>
    <w:rsid w:val="00AC32E1"/>
    <w:rsid w:val="00AC3800"/>
    <w:rsid w:val="00AC5829"/>
    <w:rsid w:val="00AC7780"/>
    <w:rsid w:val="00AD0DDD"/>
    <w:rsid w:val="00AD123D"/>
    <w:rsid w:val="00AD17CB"/>
    <w:rsid w:val="00AD1950"/>
    <w:rsid w:val="00AD1F33"/>
    <w:rsid w:val="00AD237E"/>
    <w:rsid w:val="00AD23EC"/>
    <w:rsid w:val="00AD3134"/>
    <w:rsid w:val="00AD323F"/>
    <w:rsid w:val="00AD3466"/>
    <w:rsid w:val="00AD42DA"/>
    <w:rsid w:val="00AD44CF"/>
    <w:rsid w:val="00AD4EA0"/>
    <w:rsid w:val="00AD55BF"/>
    <w:rsid w:val="00AD5C7C"/>
    <w:rsid w:val="00AD7A17"/>
    <w:rsid w:val="00AD7A99"/>
    <w:rsid w:val="00AD7C72"/>
    <w:rsid w:val="00AD7FE5"/>
    <w:rsid w:val="00AE0CDD"/>
    <w:rsid w:val="00AE0D58"/>
    <w:rsid w:val="00AE18B8"/>
    <w:rsid w:val="00AE4370"/>
    <w:rsid w:val="00AE46E4"/>
    <w:rsid w:val="00AE4F7A"/>
    <w:rsid w:val="00AE63BF"/>
    <w:rsid w:val="00AE6FDC"/>
    <w:rsid w:val="00AE771A"/>
    <w:rsid w:val="00AF0D2C"/>
    <w:rsid w:val="00AF0E73"/>
    <w:rsid w:val="00AF135B"/>
    <w:rsid w:val="00AF190B"/>
    <w:rsid w:val="00AF1990"/>
    <w:rsid w:val="00AF1B86"/>
    <w:rsid w:val="00AF1E3A"/>
    <w:rsid w:val="00AF3DF7"/>
    <w:rsid w:val="00AF57A2"/>
    <w:rsid w:val="00AF5C3B"/>
    <w:rsid w:val="00AF5C9A"/>
    <w:rsid w:val="00AF64CD"/>
    <w:rsid w:val="00AF6592"/>
    <w:rsid w:val="00AF688B"/>
    <w:rsid w:val="00AF784E"/>
    <w:rsid w:val="00AF7926"/>
    <w:rsid w:val="00AF7C82"/>
    <w:rsid w:val="00AF7FE8"/>
    <w:rsid w:val="00B0009A"/>
    <w:rsid w:val="00B00C2D"/>
    <w:rsid w:val="00B017D5"/>
    <w:rsid w:val="00B02598"/>
    <w:rsid w:val="00B043A6"/>
    <w:rsid w:val="00B04D8E"/>
    <w:rsid w:val="00B06DD6"/>
    <w:rsid w:val="00B070E6"/>
    <w:rsid w:val="00B074EF"/>
    <w:rsid w:val="00B10191"/>
    <w:rsid w:val="00B10923"/>
    <w:rsid w:val="00B10C18"/>
    <w:rsid w:val="00B11C95"/>
    <w:rsid w:val="00B11CD9"/>
    <w:rsid w:val="00B127FB"/>
    <w:rsid w:val="00B13A1C"/>
    <w:rsid w:val="00B14961"/>
    <w:rsid w:val="00B155C9"/>
    <w:rsid w:val="00B162ED"/>
    <w:rsid w:val="00B16553"/>
    <w:rsid w:val="00B173D0"/>
    <w:rsid w:val="00B1794D"/>
    <w:rsid w:val="00B202A0"/>
    <w:rsid w:val="00B206AA"/>
    <w:rsid w:val="00B20C11"/>
    <w:rsid w:val="00B20E4E"/>
    <w:rsid w:val="00B2155C"/>
    <w:rsid w:val="00B21FD6"/>
    <w:rsid w:val="00B229F1"/>
    <w:rsid w:val="00B230C7"/>
    <w:rsid w:val="00B2398E"/>
    <w:rsid w:val="00B23AA0"/>
    <w:rsid w:val="00B249CC"/>
    <w:rsid w:val="00B250D3"/>
    <w:rsid w:val="00B2578F"/>
    <w:rsid w:val="00B261DE"/>
    <w:rsid w:val="00B2656A"/>
    <w:rsid w:val="00B268DD"/>
    <w:rsid w:val="00B3051A"/>
    <w:rsid w:val="00B30C9C"/>
    <w:rsid w:val="00B30E14"/>
    <w:rsid w:val="00B31260"/>
    <w:rsid w:val="00B317CF"/>
    <w:rsid w:val="00B3284B"/>
    <w:rsid w:val="00B32AFE"/>
    <w:rsid w:val="00B341C0"/>
    <w:rsid w:val="00B34291"/>
    <w:rsid w:val="00B3513E"/>
    <w:rsid w:val="00B355A5"/>
    <w:rsid w:val="00B36C49"/>
    <w:rsid w:val="00B37613"/>
    <w:rsid w:val="00B37DA5"/>
    <w:rsid w:val="00B41D15"/>
    <w:rsid w:val="00B41DB8"/>
    <w:rsid w:val="00B43113"/>
    <w:rsid w:val="00B434F9"/>
    <w:rsid w:val="00B44243"/>
    <w:rsid w:val="00B44B42"/>
    <w:rsid w:val="00B45BEE"/>
    <w:rsid w:val="00B461CA"/>
    <w:rsid w:val="00B46DA1"/>
    <w:rsid w:val="00B47232"/>
    <w:rsid w:val="00B47BF2"/>
    <w:rsid w:val="00B47ED4"/>
    <w:rsid w:val="00B5071D"/>
    <w:rsid w:val="00B52228"/>
    <w:rsid w:val="00B524CC"/>
    <w:rsid w:val="00B52664"/>
    <w:rsid w:val="00B52C18"/>
    <w:rsid w:val="00B53E61"/>
    <w:rsid w:val="00B568CD"/>
    <w:rsid w:val="00B56BCB"/>
    <w:rsid w:val="00B57590"/>
    <w:rsid w:val="00B62A7E"/>
    <w:rsid w:val="00B63AAD"/>
    <w:rsid w:val="00B63F6F"/>
    <w:rsid w:val="00B64901"/>
    <w:rsid w:val="00B6499D"/>
    <w:rsid w:val="00B64ACA"/>
    <w:rsid w:val="00B64D66"/>
    <w:rsid w:val="00B64F83"/>
    <w:rsid w:val="00B65655"/>
    <w:rsid w:val="00B66D91"/>
    <w:rsid w:val="00B7053E"/>
    <w:rsid w:val="00B71729"/>
    <w:rsid w:val="00B721E9"/>
    <w:rsid w:val="00B72E5F"/>
    <w:rsid w:val="00B73582"/>
    <w:rsid w:val="00B739D0"/>
    <w:rsid w:val="00B747A6"/>
    <w:rsid w:val="00B749AE"/>
    <w:rsid w:val="00B751F5"/>
    <w:rsid w:val="00B758DE"/>
    <w:rsid w:val="00B7632B"/>
    <w:rsid w:val="00B77F8E"/>
    <w:rsid w:val="00B8014A"/>
    <w:rsid w:val="00B80616"/>
    <w:rsid w:val="00B82B6B"/>
    <w:rsid w:val="00B82BD6"/>
    <w:rsid w:val="00B84E48"/>
    <w:rsid w:val="00B84EB1"/>
    <w:rsid w:val="00B85A3A"/>
    <w:rsid w:val="00B85B33"/>
    <w:rsid w:val="00B87051"/>
    <w:rsid w:val="00B870FD"/>
    <w:rsid w:val="00B87168"/>
    <w:rsid w:val="00B87F7E"/>
    <w:rsid w:val="00B9000D"/>
    <w:rsid w:val="00B90605"/>
    <w:rsid w:val="00B909B8"/>
    <w:rsid w:val="00B913B6"/>
    <w:rsid w:val="00B91D06"/>
    <w:rsid w:val="00B92DD0"/>
    <w:rsid w:val="00B934D3"/>
    <w:rsid w:val="00B93798"/>
    <w:rsid w:val="00B93B9B"/>
    <w:rsid w:val="00B93E27"/>
    <w:rsid w:val="00B94365"/>
    <w:rsid w:val="00B9519C"/>
    <w:rsid w:val="00B95AE8"/>
    <w:rsid w:val="00B961D9"/>
    <w:rsid w:val="00B964B5"/>
    <w:rsid w:val="00B96E22"/>
    <w:rsid w:val="00BA081B"/>
    <w:rsid w:val="00BA08F4"/>
    <w:rsid w:val="00BA0F4D"/>
    <w:rsid w:val="00BA11B7"/>
    <w:rsid w:val="00BA318D"/>
    <w:rsid w:val="00BA3741"/>
    <w:rsid w:val="00BA429F"/>
    <w:rsid w:val="00BA492F"/>
    <w:rsid w:val="00BA6E34"/>
    <w:rsid w:val="00BA72E8"/>
    <w:rsid w:val="00BA77DD"/>
    <w:rsid w:val="00BB03D4"/>
    <w:rsid w:val="00BB1781"/>
    <w:rsid w:val="00BB1C60"/>
    <w:rsid w:val="00BB2730"/>
    <w:rsid w:val="00BB2FB9"/>
    <w:rsid w:val="00BB3472"/>
    <w:rsid w:val="00BB46A6"/>
    <w:rsid w:val="00BB4939"/>
    <w:rsid w:val="00BB4960"/>
    <w:rsid w:val="00BB49D1"/>
    <w:rsid w:val="00BB4C4E"/>
    <w:rsid w:val="00BB4FF4"/>
    <w:rsid w:val="00BB5E73"/>
    <w:rsid w:val="00BB6B4E"/>
    <w:rsid w:val="00BC0CE3"/>
    <w:rsid w:val="00BC2146"/>
    <w:rsid w:val="00BC2F71"/>
    <w:rsid w:val="00BC35D7"/>
    <w:rsid w:val="00BC45AD"/>
    <w:rsid w:val="00BC53F9"/>
    <w:rsid w:val="00BC55D7"/>
    <w:rsid w:val="00BC5642"/>
    <w:rsid w:val="00BC69AD"/>
    <w:rsid w:val="00BC6FAB"/>
    <w:rsid w:val="00BD00BC"/>
    <w:rsid w:val="00BD02A4"/>
    <w:rsid w:val="00BD0316"/>
    <w:rsid w:val="00BD08EB"/>
    <w:rsid w:val="00BD11C2"/>
    <w:rsid w:val="00BD2A01"/>
    <w:rsid w:val="00BD2A8C"/>
    <w:rsid w:val="00BD420B"/>
    <w:rsid w:val="00BD4D8A"/>
    <w:rsid w:val="00BD4DD9"/>
    <w:rsid w:val="00BD4E54"/>
    <w:rsid w:val="00BD5283"/>
    <w:rsid w:val="00BD55A4"/>
    <w:rsid w:val="00BD6F4D"/>
    <w:rsid w:val="00BD7C8A"/>
    <w:rsid w:val="00BE0B79"/>
    <w:rsid w:val="00BE27A3"/>
    <w:rsid w:val="00BE3633"/>
    <w:rsid w:val="00BE37CC"/>
    <w:rsid w:val="00BE3AC3"/>
    <w:rsid w:val="00BE3EEF"/>
    <w:rsid w:val="00BE3FD4"/>
    <w:rsid w:val="00BE4F43"/>
    <w:rsid w:val="00BE5614"/>
    <w:rsid w:val="00BE57CD"/>
    <w:rsid w:val="00BE6CFD"/>
    <w:rsid w:val="00BF1520"/>
    <w:rsid w:val="00BF1760"/>
    <w:rsid w:val="00BF17C1"/>
    <w:rsid w:val="00BF28F6"/>
    <w:rsid w:val="00BF2A59"/>
    <w:rsid w:val="00BF3320"/>
    <w:rsid w:val="00BF40AF"/>
    <w:rsid w:val="00BF4697"/>
    <w:rsid w:val="00BF5E9B"/>
    <w:rsid w:val="00BF7450"/>
    <w:rsid w:val="00BF7BFA"/>
    <w:rsid w:val="00C01457"/>
    <w:rsid w:val="00C03D60"/>
    <w:rsid w:val="00C0441E"/>
    <w:rsid w:val="00C0466F"/>
    <w:rsid w:val="00C04AE0"/>
    <w:rsid w:val="00C04DD0"/>
    <w:rsid w:val="00C053E7"/>
    <w:rsid w:val="00C05D9B"/>
    <w:rsid w:val="00C06055"/>
    <w:rsid w:val="00C064BA"/>
    <w:rsid w:val="00C06933"/>
    <w:rsid w:val="00C0716E"/>
    <w:rsid w:val="00C07185"/>
    <w:rsid w:val="00C072B0"/>
    <w:rsid w:val="00C07609"/>
    <w:rsid w:val="00C1146E"/>
    <w:rsid w:val="00C116FB"/>
    <w:rsid w:val="00C12633"/>
    <w:rsid w:val="00C12787"/>
    <w:rsid w:val="00C1351D"/>
    <w:rsid w:val="00C145CC"/>
    <w:rsid w:val="00C14A95"/>
    <w:rsid w:val="00C16DBA"/>
    <w:rsid w:val="00C204FF"/>
    <w:rsid w:val="00C20B79"/>
    <w:rsid w:val="00C20F07"/>
    <w:rsid w:val="00C21AB2"/>
    <w:rsid w:val="00C2258E"/>
    <w:rsid w:val="00C22F77"/>
    <w:rsid w:val="00C23618"/>
    <w:rsid w:val="00C2462D"/>
    <w:rsid w:val="00C24A71"/>
    <w:rsid w:val="00C250E1"/>
    <w:rsid w:val="00C2588D"/>
    <w:rsid w:val="00C26C3D"/>
    <w:rsid w:val="00C275C5"/>
    <w:rsid w:val="00C304B2"/>
    <w:rsid w:val="00C30E2D"/>
    <w:rsid w:val="00C31595"/>
    <w:rsid w:val="00C31CDE"/>
    <w:rsid w:val="00C3203B"/>
    <w:rsid w:val="00C33199"/>
    <w:rsid w:val="00C33565"/>
    <w:rsid w:val="00C33699"/>
    <w:rsid w:val="00C34593"/>
    <w:rsid w:val="00C349E2"/>
    <w:rsid w:val="00C3556A"/>
    <w:rsid w:val="00C35A68"/>
    <w:rsid w:val="00C35FCC"/>
    <w:rsid w:val="00C3602C"/>
    <w:rsid w:val="00C36764"/>
    <w:rsid w:val="00C36C06"/>
    <w:rsid w:val="00C370CC"/>
    <w:rsid w:val="00C37B8D"/>
    <w:rsid w:val="00C4258E"/>
    <w:rsid w:val="00C4267E"/>
    <w:rsid w:val="00C4272B"/>
    <w:rsid w:val="00C430CF"/>
    <w:rsid w:val="00C43C00"/>
    <w:rsid w:val="00C44C96"/>
    <w:rsid w:val="00C45029"/>
    <w:rsid w:val="00C4550B"/>
    <w:rsid w:val="00C464CD"/>
    <w:rsid w:val="00C469C1"/>
    <w:rsid w:val="00C46A41"/>
    <w:rsid w:val="00C46D51"/>
    <w:rsid w:val="00C47B93"/>
    <w:rsid w:val="00C505D5"/>
    <w:rsid w:val="00C51699"/>
    <w:rsid w:val="00C5254B"/>
    <w:rsid w:val="00C52A72"/>
    <w:rsid w:val="00C52D08"/>
    <w:rsid w:val="00C52D7C"/>
    <w:rsid w:val="00C53854"/>
    <w:rsid w:val="00C53F67"/>
    <w:rsid w:val="00C54A5F"/>
    <w:rsid w:val="00C5545B"/>
    <w:rsid w:val="00C559B3"/>
    <w:rsid w:val="00C56EA6"/>
    <w:rsid w:val="00C57515"/>
    <w:rsid w:val="00C60285"/>
    <w:rsid w:val="00C60ADA"/>
    <w:rsid w:val="00C61DEE"/>
    <w:rsid w:val="00C62070"/>
    <w:rsid w:val="00C622E8"/>
    <w:rsid w:val="00C62BA6"/>
    <w:rsid w:val="00C62D01"/>
    <w:rsid w:val="00C6306B"/>
    <w:rsid w:val="00C63C62"/>
    <w:rsid w:val="00C63EB1"/>
    <w:rsid w:val="00C64A64"/>
    <w:rsid w:val="00C64CDB"/>
    <w:rsid w:val="00C65519"/>
    <w:rsid w:val="00C655A9"/>
    <w:rsid w:val="00C66EB7"/>
    <w:rsid w:val="00C67BA0"/>
    <w:rsid w:val="00C67D68"/>
    <w:rsid w:val="00C70020"/>
    <w:rsid w:val="00C7124B"/>
    <w:rsid w:val="00C712DF"/>
    <w:rsid w:val="00C7150E"/>
    <w:rsid w:val="00C7168C"/>
    <w:rsid w:val="00C72208"/>
    <w:rsid w:val="00C72237"/>
    <w:rsid w:val="00C72453"/>
    <w:rsid w:val="00C72CBF"/>
    <w:rsid w:val="00C73172"/>
    <w:rsid w:val="00C732DF"/>
    <w:rsid w:val="00C73302"/>
    <w:rsid w:val="00C73493"/>
    <w:rsid w:val="00C738FF"/>
    <w:rsid w:val="00C73D81"/>
    <w:rsid w:val="00C75D48"/>
    <w:rsid w:val="00C77236"/>
    <w:rsid w:val="00C774E7"/>
    <w:rsid w:val="00C775AF"/>
    <w:rsid w:val="00C779C8"/>
    <w:rsid w:val="00C77B7E"/>
    <w:rsid w:val="00C80295"/>
    <w:rsid w:val="00C80B5B"/>
    <w:rsid w:val="00C81B37"/>
    <w:rsid w:val="00C82478"/>
    <w:rsid w:val="00C83A05"/>
    <w:rsid w:val="00C83D2F"/>
    <w:rsid w:val="00C8411C"/>
    <w:rsid w:val="00C8426A"/>
    <w:rsid w:val="00C84CF3"/>
    <w:rsid w:val="00C858FA"/>
    <w:rsid w:val="00C85DCA"/>
    <w:rsid w:val="00C86EEF"/>
    <w:rsid w:val="00C873F8"/>
    <w:rsid w:val="00C90515"/>
    <w:rsid w:val="00C91ECB"/>
    <w:rsid w:val="00C91F75"/>
    <w:rsid w:val="00C91FFA"/>
    <w:rsid w:val="00C93A89"/>
    <w:rsid w:val="00C93D26"/>
    <w:rsid w:val="00C956F9"/>
    <w:rsid w:val="00C95CFC"/>
    <w:rsid w:val="00C95EEB"/>
    <w:rsid w:val="00C97398"/>
    <w:rsid w:val="00C97C33"/>
    <w:rsid w:val="00C97E3E"/>
    <w:rsid w:val="00CA01A5"/>
    <w:rsid w:val="00CA1E44"/>
    <w:rsid w:val="00CA2D66"/>
    <w:rsid w:val="00CA426D"/>
    <w:rsid w:val="00CA4BB0"/>
    <w:rsid w:val="00CA5BCE"/>
    <w:rsid w:val="00CA62D3"/>
    <w:rsid w:val="00CA6585"/>
    <w:rsid w:val="00CA719E"/>
    <w:rsid w:val="00CA71C1"/>
    <w:rsid w:val="00CA7E6F"/>
    <w:rsid w:val="00CB0609"/>
    <w:rsid w:val="00CB06E7"/>
    <w:rsid w:val="00CB0F64"/>
    <w:rsid w:val="00CB240D"/>
    <w:rsid w:val="00CB3479"/>
    <w:rsid w:val="00CB3AD3"/>
    <w:rsid w:val="00CB3EEF"/>
    <w:rsid w:val="00CB492F"/>
    <w:rsid w:val="00CB6BA1"/>
    <w:rsid w:val="00CB6E4E"/>
    <w:rsid w:val="00CB7E5A"/>
    <w:rsid w:val="00CC01AC"/>
    <w:rsid w:val="00CC01B4"/>
    <w:rsid w:val="00CC06CB"/>
    <w:rsid w:val="00CC0B13"/>
    <w:rsid w:val="00CC14E2"/>
    <w:rsid w:val="00CC17C1"/>
    <w:rsid w:val="00CC185B"/>
    <w:rsid w:val="00CC268F"/>
    <w:rsid w:val="00CC59FA"/>
    <w:rsid w:val="00CC5CDE"/>
    <w:rsid w:val="00CC626D"/>
    <w:rsid w:val="00CC6574"/>
    <w:rsid w:val="00CC79F3"/>
    <w:rsid w:val="00CD1269"/>
    <w:rsid w:val="00CD242C"/>
    <w:rsid w:val="00CD40FD"/>
    <w:rsid w:val="00CD44B3"/>
    <w:rsid w:val="00CD49D9"/>
    <w:rsid w:val="00CD4DD4"/>
    <w:rsid w:val="00CD5047"/>
    <w:rsid w:val="00CD51B3"/>
    <w:rsid w:val="00CD5992"/>
    <w:rsid w:val="00CD63B6"/>
    <w:rsid w:val="00CD6462"/>
    <w:rsid w:val="00CD68D5"/>
    <w:rsid w:val="00CD6B1B"/>
    <w:rsid w:val="00CD7070"/>
    <w:rsid w:val="00CD7423"/>
    <w:rsid w:val="00CD7DED"/>
    <w:rsid w:val="00CE17DF"/>
    <w:rsid w:val="00CE19B0"/>
    <w:rsid w:val="00CE1FC2"/>
    <w:rsid w:val="00CE31A4"/>
    <w:rsid w:val="00CE32B7"/>
    <w:rsid w:val="00CE3529"/>
    <w:rsid w:val="00CE3A40"/>
    <w:rsid w:val="00CE5093"/>
    <w:rsid w:val="00CE5D99"/>
    <w:rsid w:val="00CE5F10"/>
    <w:rsid w:val="00CE6452"/>
    <w:rsid w:val="00CE6C19"/>
    <w:rsid w:val="00CF032A"/>
    <w:rsid w:val="00CF17E6"/>
    <w:rsid w:val="00CF27F2"/>
    <w:rsid w:val="00CF386F"/>
    <w:rsid w:val="00CF3B26"/>
    <w:rsid w:val="00CF3EF8"/>
    <w:rsid w:val="00CF498D"/>
    <w:rsid w:val="00CF49B8"/>
    <w:rsid w:val="00CF4B0A"/>
    <w:rsid w:val="00CF4DDE"/>
    <w:rsid w:val="00CF5247"/>
    <w:rsid w:val="00CF5D30"/>
    <w:rsid w:val="00CF61E3"/>
    <w:rsid w:val="00CF63A3"/>
    <w:rsid w:val="00CF6D85"/>
    <w:rsid w:val="00D002D3"/>
    <w:rsid w:val="00D01BC0"/>
    <w:rsid w:val="00D02E27"/>
    <w:rsid w:val="00D03BE3"/>
    <w:rsid w:val="00D0443A"/>
    <w:rsid w:val="00D05C48"/>
    <w:rsid w:val="00D061FF"/>
    <w:rsid w:val="00D062FB"/>
    <w:rsid w:val="00D06357"/>
    <w:rsid w:val="00D07515"/>
    <w:rsid w:val="00D077F0"/>
    <w:rsid w:val="00D10289"/>
    <w:rsid w:val="00D104BA"/>
    <w:rsid w:val="00D12470"/>
    <w:rsid w:val="00D12712"/>
    <w:rsid w:val="00D12B11"/>
    <w:rsid w:val="00D146FD"/>
    <w:rsid w:val="00D14AD8"/>
    <w:rsid w:val="00D152F9"/>
    <w:rsid w:val="00D159CA"/>
    <w:rsid w:val="00D16348"/>
    <w:rsid w:val="00D16983"/>
    <w:rsid w:val="00D17344"/>
    <w:rsid w:val="00D17BBC"/>
    <w:rsid w:val="00D20183"/>
    <w:rsid w:val="00D20F46"/>
    <w:rsid w:val="00D20FB9"/>
    <w:rsid w:val="00D22BF6"/>
    <w:rsid w:val="00D23C0F"/>
    <w:rsid w:val="00D245FB"/>
    <w:rsid w:val="00D24A10"/>
    <w:rsid w:val="00D2590F"/>
    <w:rsid w:val="00D3059C"/>
    <w:rsid w:val="00D30786"/>
    <w:rsid w:val="00D30BF7"/>
    <w:rsid w:val="00D31299"/>
    <w:rsid w:val="00D31867"/>
    <w:rsid w:val="00D31F7C"/>
    <w:rsid w:val="00D32589"/>
    <w:rsid w:val="00D325DA"/>
    <w:rsid w:val="00D329EB"/>
    <w:rsid w:val="00D32C39"/>
    <w:rsid w:val="00D32DB4"/>
    <w:rsid w:val="00D32EA3"/>
    <w:rsid w:val="00D335FF"/>
    <w:rsid w:val="00D33DD1"/>
    <w:rsid w:val="00D34DA5"/>
    <w:rsid w:val="00D35DF9"/>
    <w:rsid w:val="00D3604D"/>
    <w:rsid w:val="00D3701B"/>
    <w:rsid w:val="00D375E8"/>
    <w:rsid w:val="00D41AC6"/>
    <w:rsid w:val="00D4231B"/>
    <w:rsid w:val="00D42E40"/>
    <w:rsid w:val="00D42E7B"/>
    <w:rsid w:val="00D43D29"/>
    <w:rsid w:val="00D447CC"/>
    <w:rsid w:val="00D44ABE"/>
    <w:rsid w:val="00D4596A"/>
    <w:rsid w:val="00D45EC1"/>
    <w:rsid w:val="00D46B93"/>
    <w:rsid w:val="00D46C16"/>
    <w:rsid w:val="00D47C1A"/>
    <w:rsid w:val="00D5004C"/>
    <w:rsid w:val="00D502C2"/>
    <w:rsid w:val="00D5149C"/>
    <w:rsid w:val="00D51DBE"/>
    <w:rsid w:val="00D528D1"/>
    <w:rsid w:val="00D5360C"/>
    <w:rsid w:val="00D544D1"/>
    <w:rsid w:val="00D54A06"/>
    <w:rsid w:val="00D54F65"/>
    <w:rsid w:val="00D572FC"/>
    <w:rsid w:val="00D57448"/>
    <w:rsid w:val="00D576E2"/>
    <w:rsid w:val="00D57AB3"/>
    <w:rsid w:val="00D57D05"/>
    <w:rsid w:val="00D57DDB"/>
    <w:rsid w:val="00D6003E"/>
    <w:rsid w:val="00D61A22"/>
    <w:rsid w:val="00D61AEC"/>
    <w:rsid w:val="00D627E2"/>
    <w:rsid w:val="00D62F05"/>
    <w:rsid w:val="00D63560"/>
    <w:rsid w:val="00D637A4"/>
    <w:rsid w:val="00D63B69"/>
    <w:rsid w:val="00D63D86"/>
    <w:rsid w:val="00D63F8F"/>
    <w:rsid w:val="00D63FF9"/>
    <w:rsid w:val="00D64197"/>
    <w:rsid w:val="00D64F98"/>
    <w:rsid w:val="00D6575F"/>
    <w:rsid w:val="00D65A69"/>
    <w:rsid w:val="00D66C41"/>
    <w:rsid w:val="00D66F65"/>
    <w:rsid w:val="00D66F98"/>
    <w:rsid w:val="00D6702F"/>
    <w:rsid w:val="00D674B1"/>
    <w:rsid w:val="00D6757E"/>
    <w:rsid w:val="00D67677"/>
    <w:rsid w:val="00D70F5F"/>
    <w:rsid w:val="00D72003"/>
    <w:rsid w:val="00D722FF"/>
    <w:rsid w:val="00D749B2"/>
    <w:rsid w:val="00D75F87"/>
    <w:rsid w:val="00D768CA"/>
    <w:rsid w:val="00D77169"/>
    <w:rsid w:val="00D773CC"/>
    <w:rsid w:val="00D776A6"/>
    <w:rsid w:val="00D7786D"/>
    <w:rsid w:val="00D80407"/>
    <w:rsid w:val="00D814C0"/>
    <w:rsid w:val="00D82244"/>
    <w:rsid w:val="00D8293B"/>
    <w:rsid w:val="00D82B2B"/>
    <w:rsid w:val="00D83171"/>
    <w:rsid w:val="00D83492"/>
    <w:rsid w:val="00D834E5"/>
    <w:rsid w:val="00D84B3E"/>
    <w:rsid w:val="00D8512A"/>
    <w:rsid w:val="00D85291"/>
    <w:rsid w:val="00D85F3E"/>
    <w:rsid w:val="00D85F6B"/>
    <w:rsid w:val="00D8611E"/>
    <w:rsid w:val="00D864EB"/>
    <w:rsid w:val="00D865A4"/>
    <w:rsid w:val="00D86701"/>
    <w:rsid w:val="00D871E9"/>
    <w:rsid w:val="00D876AF"/>
    <w:rsid w:val="00D87A30"/>
    <w:rsid w:val="00D87C08"/>
    <w:rsid w:val="00D907E5"/>
    <w:rsid w:val="00D9203B"/>
    <w:rsid w:val="00D924EE"/>
    <w:rsid w:val="00D92B21"/>
    <w:rsid w:val="00D93351"/>
    <w:rsid w:val="00D93CAD"/>
    <w:rsid w:val="00D94662"/>
    <w:rsid w:val="00D94989"/>
    <w:rsid w:val="00D9577B"/>
    <w:rsid w:val="00D95DD1"/>
    <w:rsid w:val="00D96BA3"/>
    <w:rsid w:val="00D97418"/>
    <w:rsid w:val="00DA1DFF"/>
    <w:rsid w:val="00DA2335"/>
    <w:rsid w:val="00DA24CA"/>
    <w:rsid w:val="00DA398C"/>
    <w:rsid w:val="00DA4066"/>
    <w:rsid w:val="00DA578A"/>
    <w:rsid w:val="00DA71E9"/>
    <w:rsid w:val="00DA7313"/>
    <w:rsid w:val="00DA79C3"/>
    <w:rsid w:val="00DA7B00"/>
    <w:rsid w:val="00DB1065"/>
    <w:rsid w:val="00DB3047"/>
    <w:rsid w:val="00DB3B3D"/>
    <w:rsid w:val="00DB55FB"/>
    <w:rsid w:val="00DB758F"/>
    <w:rsid w:val="00DB77E8"/>
    <w:rsid w:val="00DC0911"/>
    <w:rsid w:val="00DC1C2C"/>
    <w:rsid w:val="00DC1EB7"/>
    <w:rsid w:val="00DC2482"/>
    <w:rsid w:val="00DC3FD6"/>
    <w:rsid w:val="00DC40DB"/>
    <w:rsid w:val="00DC4B75"/>
    <w:rsid w:val="00DC61C0"/>
    <w:rsid w:val="00DC71B2"/>
    <w:rsid w:val="00DD0047"/>
    <w:rsid w:val="00DD15D8"/>
    <w:rsid w:val="00DD35DE"/>
    <w:rsid w:val="00DD4118"/>
    <w:rsid w:val="00DD45D4"/>
    <w:rsid w:val="00DD4778"/>
    <w:rsid w:val="00DD4B90"/>
    <w:rsid w:val="00DD5E9D"/>
    <w:rsid w:val="00DD6126"/>
    <w:rsid w:val="00DD625E"/>
    <w:rsid w:val="00DD63C8"/>
    <w:rsid w:val="00DD6533"/>
    <w:rsid w:val="00DD6ABC"/>
    <w:rsid w:val="00DE1B73"/>
    <w:rsid w:val="00DE4454"/>
    <w:rsid w:val="00DE523E"/>
    <w:rsid w:val="00DE6B1B"/>
    <w:rsid w:val="00DE7181"/>
    <w:rsid w:val="00DE76F1"/>
    <w:rsid w:val="00DE7E8E"/>
    <w:rsid w:val="00DF02FF"/>
    <w:rsid w:val="00DF1507"/>
    <w:rsid w:val="00DF15E0"/>
    <w:rsid w:val="00DF1F66"/>
    <w:rsid w:val="00DF37A3"/>
    <w:rsid w:val="00DF4562"/>
    <w:rsid w:val="00DF4FC3"/>
    <w:rsid w:val="00DF5669"/>
    <w:rsid w:val="00DF5929"/>
    <w:rsid w:val="00DF635A"/>
    <w:rsid w:val="00DF696C"/>
    <w:rsid w:val="00DF7BE4"/>
    <w:rsid w:val="00DF7FAA"/>
    <w:rsid w:val="00E00C87"/>
    <w:rsid w:val="00E00DAB"/>
    <w:rsid w:val="00E01265"/>
    <w:rsid w:val="00E014D5"/>
    <w:rsid w:val="00E01767"/>
    <w:rsid w:val="00E026FD"/>
    <w:rsid w:val="00E036CD"/>
    <w:rsid w:val="00E0554F"/>
    <w:rsid w:val="00E05CA4"/>
    <w:rsid w:val="00E06EBE"/>
    <w:rsid w:val="00E07727"/>
    <w:rsid w:val="00E100C2"/>
    <w:rsid w:val="00E10321"/>
    <w:rsid w:val="00E106BF"/>
    <w:rsid w:val="00E1098D"/>
    <w:rsid w:val="00E11069"/>
    <w:rsid w:val="00E11E3E"/>
    <w:rsid w:val="00E124F1"/>
    <w:rsid w:val="00E127B5"/>
    <w:rsid w:val="00E127F0"/>
    <w:rsid w:val="00E12869"/>
    <w:rsid w:val="00E12ADD"/>
    <w:rsid w:val="00E13DDE"/>
    <w:rsid w:val="00E14375"/>
    <w:rsid w:val="00E144E2"/>
    <w:rsid w:val="00E14E50"/>
    <w:rsid w:val="00E14ED2"/>
    <w:rsid w:val="00E1605F"/>
    <w:rsid w:val="00E16462"/>
    <w:rsid w:val="00E16A2A"/>
    <w:rsid w:val="00E16C8F"/>
    <w:rsid w:val="00E17A0B"/>
    <w:rsid w:val="00E20394"/>
    <w:rsid w:val="00E20412"/>
    <w:rsid w:val="00E209BD"/>
    <w:rsid w:val="00E21095"/>
    <w:rsid w:val="00E21522"/>
    <w:rsid w:val="00E22446"/>
    <w:rsid w:val="00E23FD7"/>
    <w:rsid w:val="00E24364"/>
    <w:rsid w:val="00E2440F"/>
    <w:rsid w:val="00E2491C"/>
    <w:rsid w:val="00E25101"/>
    <w:rsid w:val="00E25416"/>
    <w:rsid w:val="00E26F0E"/>
    <w:rsid w:val="00E2748A"/>
    <w:rsid w:val="00E30565"/>
    <w:rsid w:val="00E30B3C"/>
    <w:rsid w:val="00E30E68"/>
    <w:rsid w:val="00E30FA2"/>
    <w:rsid w:val="00E31822"/>
    <w:rsid w:val="00E32F5F"/>
    <w:rsid w:val="00E32FA9"/>
    <w:rsid w:val="00E33263"/>
    <w:rsid w:val="00E3489A"/>
    <w:rsid w:val="00E35484"/>
    <w:rsid w:val="00E35791"/>
    <w:rsid w:val="00E35B1C"/>
    <w:rsid w:val="00E35C90"/>
    <w:rsid w:val="00E35E05"/>
    <w:rsid w:val="00E364AD"/>
    <w:rsid w:val="00E368E0"/>
    <w:rsid w:val="00E369C5"/>
    <w:rsid w:val="00E37B63"/>
    <w:rsid w:val="00E40616"/>
    <w:rsid w:val="00E40BE7"/>
    <w:rsid w:val="00E40CC8"/>
    <w:rsid w:val="00E4213B"/>
    <w:rsid w:val="00E43AC6"/>
    <w:rsid w:val="00E4520C"/>
    <w:rsid w:val="00E4523E"/>
    <w:rsid w:val="00E45885"/>
    <w:rsid w:val="00E4610B"/>
    <w:rsid w:val="00E46B31"/>
    <w:rsid w:val="00E47541"/>
    <w:rsid w:val="00E479C6"/>
    <w:rsid w:val="00E47B21"/>
    <w:rsid w:val="00E5140B"/>
    <w:rsid w:val="00E51BDD"/>
    <w:rsid w:val="00E51BE6"/>
    <w:rsid w:val="00E526BD"/>
    <w:rsid w:val="00E53062"/>
    <w:rsid w:val="00E5308E"/>
    <w:rsid w:val="00E54401"/>
    <w:rsid w:val="00E54496"/>
    <w:rsid w:val="00E551F1"/>
    <w:rsid w:val="00E55F06"/>
    <w:rsid w:val="00E56040"/>
    <w:rsid w:val="00E56A41"/>
    <w:rsid w:val="00E56A57"/>
    <w:rsid w:val="00E56E55"/>
    <w:rsid w:val="00E571BA"/>
    <w:rsid w:val="00E57B6A"/>
    <w:rsid w:val="00E57C9F"/>
    <w:rsid w:val="00E57F82"/>
    <w:rsid w:val="00E61C2B"/>
    <w:rsid w:val="00E626E1"/>
    <w:rsid w:val="00E63115"/>
    <w:rsid w:val="00E632BA"/>
    <w:rsid w:val="00E63EFE"/>
    <w:rsid w:val="00E644C2"/>
    <w:rsid w:val="00E656E4"/>
    <w:rsid w:val="00E65940"/>
    <w:rsid w:val="00E6601E"/>
    <w:rsid w:val="00E67CAC"/>
    <w:rsid w:val="00E707FC"/>
    <w:rsid w:val="00E712FC"/>
    <w:rsid w:val="00E7227D"/>
    <w:rsid w:val="00E72BE4"/>
    <w:rsid w:val="00E72DA3"/>
    <w:rsid w:val="00E731AB"/>
    <w:rsid w:val="00E73395"/>
    <w:rsid w:val="00E736DA"/>
    <w:rsid w:val="00E73C93"/>
    <w:rsid w:val="00E7419C"/>
    <w:rsid w:val="00E74C2D"/>
    <w:rsid w:val="00E7503F"/>
    <w:rsid w:val="00E75B57"/>
    <w:rsid w:val="00E7667A"/>
    <w:rsid w:val="00E77018"/>
    <w:rsid w:val="00E7706E"/>
    <w:rsid w:val="00E802EB"/>
    <w:rsid w:val="00E80677"/>
    <w:rsid w:val="00E8204A"/>
    <w:rsid w:val="00E831A4"/>
    <w:rsid w:val="00E83462"/>
    <w:rsid w:val="00E83D2E"/>
    <w:rsid w:val="00E8410A"/>
    <w:rsid w:val="00E8477E"/>
    <w:rsid w:val="00E86CCA"/>
    <w:rsid w:val="00E86E6D"/>
    <w:rsid w:val="00E90F31"/>
    <w:rsid w:val="00E91B15"/>
    <w:rsid w:val="00E91EFE"/>
    <w:rsid w:val="00E9226B"/>
    <w:rsid w:val="00E933F2"/>
    <w:rsid w:val="00E9340E"/>
    <w:rsid w:val="00E95A2F"/>
    <w:rsid w:val="00E95A6A"/>
    <w:rsid w:val="00E95CDD"/>
    <w:rsid w:val="00EA0B0D"/>
    <w:rsid w:val="00EA1033"/>
    <w:rsid w:val="00EA12A2"/>
    <w:rsid w:val="00EA16E7"/>
    <w:rsid w:val="00EA2498"/>
    <w:rsid w:val="00EA282D"/>
    <w:rsid w:val="00EA2F49"/>
    <w:rsid w:val="00EA3E8E"/>
    <w:rsid w:val="00EA5556"/>
    <w:rsid w:val="00EA5877"/>
    <w:rsid w:val="00EA6783"/>
    <w:rsid w:val="00EA6958"/>
    <w:rsid w:val="00EA6C74"/>
    <w:rsid w:val="00EA73DE"/>
    <w:rsid w:val="00EA769B"/>
    <w:rsid w:val="00EA7703"/>
    <w:rsid w:val="00EB1ACD"/>
    <w:rsid w:val="00EB2109"/>
    <w:rsid w:val="00EB300E"/>
    <w:rsid w:val="00EB4124"/>
    <w:rsid w:val="00EB4D93"/>
    <w:rsid w:val="00EB532D"/>
    <w:rsid w:val="00EB5CFC"/>
    <w:rsid w:val="00EB606C"/>
    <w:rsid w:val="00EB6484"/>
    <w:rsid w:val="00EB69B4"/>
    <w:rsid w:val="00EB71C0"/>
    <w:rsid w:val="00EC004B"/>
    <w:rsid w:val="00EC0267"/>
    <w:rsid w:val="00EC0BF4"/>
    <w:rsid w:val="00EC0E57"/>
    <w:rsid w:val="00EC13C0"/>
    <w:rsid w:val="00EC17FB"/>
    <w:rsid w:val="00EC18DF"/>
    <w:rsid w:val="00EC3C39"/>
    <w:rsid w:val="00EC3F9F"/>
    <w:rsid w:val="00EC445C"/>
    <w:rsid w:val="00EC47CA"/>
    <w:rsid w:val="00EC4AB4"/>
    <w:rsid w:val="00EC5381"/>
    <w:rsid w:val="00EC5E36"/>
    <w:rsid w:val="00EC6A2D"/>
    <w:rsid w:val="00EC6FEF"/>
    <w:rsid w:val="00EC734A"/>
    <w:rsid w:val="00ED0588"/>
    <w:rsid w:val="00ED06AF"/>
    <w:rsid w:val="00ED0C78"/>
    <w:rsid w:val="00ED15CD"/>
    <w:rsid w:val="00ED18A4"/>
    <w:rsid w:val="00ED1C9C"/>
    <w:rsid w:val="00ED1E33"/>
    <w:rsid w:val="00ED2DDE"/>
    <w:rsid w:val="00ED3242"/>
    <w:rsid w:val="00ED3448"/>
    <w:rsid w:val="00ED3673"/>
    <w:rsid w:val="00ED421A"/>
    <w:rsid w:val="00ED6141"/>
    <w:rsid w:val="00ED700C"/>
    <w:rsid w:val="00ED71F1"/>
    <w:rsid w:val="00ED7EB9"/>
    <w:rsid w:val="00EE02BE"/>
    <w:rsid w:val="00EE0D88"/>
    <w:rsid w:val="00EE124E"/>
    <w:rsid w:val="00EE19C8"/>
    <w:rsid w:val="00EE22D0"/>
    <w:rsid w:val="00EE2735"/>
    <w:rsid w:val="00EE2A48"/>
    <w:rsid w:val="00EE2BA5"/>
    <w:rsid w:val="00EE3738"/>
    <w:rsid w:val="00EE4096"/>
    <w:rsid w:val="00EE41B3"/>
    <w:rsid w:val="00EE4A70"/>
    <w:rsid w:val="00EE4FEB"/>
    <w:rsid w:val="00EE515F"/>
    <w:rsid w:val="00EE5F7C"/>
    <w:rsid w:val="00EE679C"/>
    <w:rsid w:val="00EE6935"/>
    <w:rsid w:val="00EE6C37"/>
    <w:rsid w:val="00EF0291"/>
    <w:rsid w:val="00EF15F7"/>
    <w:rsid w:val="00EF1704"/>
    <w:rsid w:val="00EF21CC"/>
    <w:rsid w:val="00EF377D"/>
    <w:rsid w:val="00EF4B21"/>
    <w:rsid w:val="00EF6A36"/>
    <w:rsid w:val="00EF707A"/>
    <w:rsid w:val="00EF7480"/>
    <w:rsid w:val="00EF7BD0"/>
    <w:rsid w:val="00F00269"/>
    <w:rsid w:val="00F00AAC"/>
    <w:rsid w:val="00F017B1"/>
    <w:rsid w:val="00F01DAB"/>
    <w:rsid w:val="00F02314"/>
    <w:rsid w:val="00F033A6"/>
    <w:rsid w:val="00F03C8E"/>
    <w:rsid w:val="00F0402A"/>
    <w:rsid w:val="00F04AD9"/>
    <w:rsid w:val="00F051B7"/>
    <w:rsid w:val="00F066E5"/>
    <w:rsid w:val="00F06CCC"/>
    <w:rsid w:val="00F06ED1"/>
    <w:rsid w:val="00F06FA3"/>
    <w:rsid w:val="00F076EA"/>
    <w:rsid w:val="00F07E0C"/>
    <w:rsid w:val="00F105A6"/>
    <w:rsid w:val="00F10877"/>
    <w:rsid w:val="00F10D33"/>
    <w:rsid w:val="00F11218"/>
    <w:rsid w:val="00F1131B"/>
    <w:rsid w:val="00F12890"/>
    <w:rsid w:val="00F13C8C"/>
    <w:rsid w:val="00F13DA5"/>
    <w:rsid w:val="00F14252"/>
    <w:rsid w:val="00F146DC"/>
    <w:rsid w:val="00F15841"/>
    <w:rsid w:val="00F15CB7"/>
    <w:rsid w:val="00F16358"/>
    <w:rsid w:val="00F174F0"/>
    <w:rsid w:val="00F21093"/>
    <w:rsid w:val="00F21929"/>
    <w:rsid w:val="00F22DE0"/>
    <w:rsid w:val="00F22FB4"/>
    <w:rsid w:val="00F24DDE"/>
    <w:rsid w:val="00F252E6"/>
    <w:rsid w:val="00F25579"/>
    <w:rsid w:val="00F25CC5"/>
    <w:rsid w:val="00F31509"/>
    <w:rsid w:val="00F32DDA"/>
    <w:rsid w:val="00F331C3"/>
    <w:rsid w:val="00F3362A"/>
    <w:rsid w:val="00F340B8"/>
    <w:rsid w:val="00F34178"/>
    <w:rsid w:val="00F34257"/>
    <w:rsid w:val="00F344FC"/>
    <w:rsid w:val="00F346B5"/>
    <w:rsid w:val="00F35309"/>
    <w:rsid w:val="00F35745"/>
    <w:rsid w:val="00F364ED"/>
    <w:rsid w:val="00F40631"/>
    <w:rsid w:val="00F40BAF"/>
    <w:rsid w:val="00F4114E"/>
    <w:rsid w:val="00F414AE"/>
    <w:rsid w:val="00F41B4B"/>
    <w:rsid w:val="00F424A8"/>
    <w:rsid w:val="00F44816"/>
    <w:rsid w:val="00F45434"/>
    <w:rsid w:val="00F45584"/>
    <w:rsid w:val="00F45CF6"/>
    <w:rsid w:val="00F46279"/>
    <w:rsid w:val="00F47B81"/>
    <w:rsid w:val="00F500B8"/>
    <w:rsid w:val="00F51865"/>
    <w:rsid w:val="00F52DEA"/>
    <w:rsid w:val="00F54105"/>
    <w:rsid w:val="00F553AA"/>
    <w:rsid w:val="00F55942"/>
    <w:rsid w:val="00F56148"/>
    <w:rsid w:val="00F5716F"/>
    <w:rsid w:val="00F57BAE"/>
    <w:rsid w:val="00F57F9C"/>
    <w:rsid w:val="00F61424"/>
    <w:rsid w:val="00F62A23"/>
    <w:rsid w:val="00F6350F"/>
    <w:rsid w:val="00F63FFB"/>
    <w:rsid w:val="00F6431C"/>
    <w:rsid w:val="00F64474"/>
    <w:rsid w:val="00F64972"/>
    <w:rsid w:val="00F64D0E"/>
    <w:rsid w:val="00F65237"/>
    <w:rsid w:val="00F656CF"/>
    <w:rsid w:val="00F658F1"/>
    <w:rsid w:val="00F66B1A"/>
    <w:rsid w:val="00F66DD8"/>
    <w:rsid w:val="00F66E95"/>
    <w:rsid w:val="00F7001F"/>
    <w:rsid w:val="00F706C9"/>
    <w:rsid w:val="00F71514"/>
    <w:rsid w:val="00F71CE0"/>
    <w:rsid w:val="00F7210D"/>
    <w:rsid w:val="00F7244E"/>
    <w:rsid w:val="00F725CE"/>
    <w:rsid w:val="00F72645"/>
    <w:rsid w:val="00F73638"/>
    <w:rsid w:val="00F73C6E"/>
    <w:rsid w:val="00F7428D"/>
    <w:rsid w:val="00F74B2D"/>
    <w:rsid w:val="00F74BA7"/>
    <w:rsid w:val="00F750E6"/>
    <w:rsid w:val="00F80932"/>
    <w:rsid w:val="00F80EFD"/>
    <w:rsid w:val="00F81702"/>
    <w:rsid w:val="00F82DD9"/>
    <w:rsid w:val="00F8444F"/>
    <w:rsid w:val="00F87402"/>
    <w:rsid w:val="00F90415"/>
    <w:rsid w:val="00F90707"/>
    <w:rsid w:val="00F911F7"/>
    <w:rsid w:val="00F91547"/>
    <w:rsid w:val="00F9175B"/>
    <w:rsid w:val="00F91C2A"/>
    <w:rsid w:val="00F92174"/>
    <w:rsid w:val="00F93BF1"/>
    <w:rsid w:val="00F94898"/>
    <w:rsid w:val="00F94C31"/>
    <w:rsid w:val="00F957D3"/>
    <w:rsid w:val="00F95A8F"/>
    <w:rsid w:val="00F96141"/>
    <w:rsid w:val="00F97043"/>
    <w:rsid w:val="00F97E91"/>
    <w:rsid w:val="00FA0103"/>
    <w:rsid w:val="00FA0626"/>
    <w:rsid w:val="00FA1C31"/>
    <w:rsid w:val="00FA2B33"/>
    <w:rsid w:val="00FA3269"/>
    <w:rsid w:val="00FA355F"/>
    <w:rsid w:val="00FA3F44"/>
    <w:rsid w:val="00FA44A0"/>
    <w:rsid w:val="00FA50F9"/>
    <w:rsid w:val="00FA56B7"/>
    <w:rsid w:val="00FA5AD0"/>
    <w:rsid w:val="00FA6A63"/>
    <w:rsid w:val="00FA75CC"/>
    <w:rsid w:val="00FA7DCF"/>
    <w:rsid w:val="00FB140D"/>
    <w:rsid w:val="00FB2058"/>
    <w:rsid w:val="00FB4138"/>
    <w:rsid w:val="00FB5461"/>
    <w:rsid w:val="00FB54B6"/>
    <w:rsid w:val="00FB7224"/>
    <w:rsid w:val="00FC12B5"/>
    <w:rsid w:val="00FC278D"/>
    <w:rsid w:val="00FC27BE"/>
    <w:rsid w:val="00FC2D47"/>
    <w:rsid w:val="00FC3B61"/>
    <w:rsid w:val="00FC54F1"/>
    <w:rsid w:val="00FC58D7"/>
    <w:rsid w:val="00FC5DED"/>
    <w:rsid w:val="00FC63FE"/>
    <w:rsid w:val="00FC6DEF"/>
    <w:rsid w:val="00FC71C6"/>
    <w:rsid w:val="00FC7995"/>
    <w:rsid w:val="00FC7B2F"/>
    <w:rsid w:val="00FD097F"/>
    <w:rsid w:val="00FD2336"/>
    <w:rsid w:val="00FD2449"/>
    <w:rsid w:val="00FD32A8"/>
    <w:rsid w:val="00FD399E"/>
    <w:rsid w:val="00FD4324"/>
    <w:rsid w:val="00FD46C1"/>
    <w:rsid w:val="00FD5ADA"/>
    <w:rsid w:val="00FD657D"/>
    <w:rsid w:val="00FD6C62"/>
    <w:rsid w:val="00FE0374"/>
    <w:rsid w:val="00FE1138"/>
    <w:rsid w:val="00FE2183"/>
    <w:rsid w:val="00FE25E3"/>
    <w:rsid w:val="00FE27C7"/>
    <w:rsid w:val="00FE375A"/>
    <w:rsid w:val="00FE3E23"/>
    <w:rsid w:val="00FE3F88"/>
    <w:rsid w:val="00FE45B8"/>
    <w:rsid w:val="00FE4DE7"/>
    <w:rsid w:val="00FE5E1B"/>
    <w:rsid w:val="00FF11F4"/>
    <w:rsid w:val="00FF1246"/>
    <w:rsid w:val="00FF1262"/>
    <w:rsid w:val="00FF14AE"/>
    <w:rsid w:val="00FF18AE"/>
    <w:rsid w:val="00FF1A6E"/>
    <w:rsid w:val="00FF4F52"/>
    <w:rsid w:val="00FF513F"/>
    <w:rsid w:val="00FF6C47"/>
    <w:rsid w:val="00FF6E42"/>
    <w:rsid w:val="00FF7262"/>
    <w:rsid w:val="00FF7A1B"/>
    <w:rsid w:val="0150D3E3"/>
    <w:rsid w:val="02A95F8B"/>
    <w:rsid w:val="03F20464"/>
    <w:rsid w:val="03FBD41F"/>
    <w:rsid w:val="0488AA00"/>
    <w:rsid w:val="04EB9373"/>
    <w:rsid w:val="0563C746"/>
    <w:rsid w:val="073E3420"/>
    <w:rsid w:val="08B78B4A"/>
    <w:rsid w:val="0A913676"/>
    <w:rsid w:val="0AD5A742"/>
    <w:rsid w:val="0BEE8785"/>
    <w:rsid w:val="0C38E2A6"/>
    <w:rsid w:val="0F1E5484"/>
    <w:rsid w:val="10550269"/>
    <w:rsid w:val="10A48154"/>
    <w:rsid w:val="114075A7"/>
    <w:rsid w:val="11953D37"/>
    <w:rsid w:val="11BB0390"/>
    <w:rsid w:val="126A3101"/>
    <w:rsid w:val="154F36E2"/>
    <w:rsid w:val="191B2627"/>
    <w:rsid w:val="1944655F"/>
    <w:rsid w:val="19E4DE9F"/>
    <w:rsid w:val="1B21DE66"/>
    <w:rsid w:val="1BAC1D05"/>
    <w:rsid w:val="1BE1714B"/>
    <w:rsid w:val="1CB0EF9C"/>
    <w:rsid w:val="1DBEBEB7"/>
    <w:rsid w:val="1E622042"/>
    <w:rsid w:val="1EF7889C"/>
    <w:rsid w:val="21271688"/>
    <w:rsid w:val="21C5A867"/>
    <w:rsid w:val="22589E1B"/>
    <w:rsid w:val="22DA43DF"/>
    <w:rsid w:val="2399756D"/>
    <w:rsid w:val="243CC823"/>
    <w:rsid w:val="244100F1"/>
    <w:rsid w:val="24D58F35"/>
    <w:rsid w:val="2821A460"/>
    <w:rsid w:val="28C253E3"/>
    <w:rsid w:val="29193D86"/>
    <w:rsid w:val="298C3080"/>
    <w:rsid w:val="2A9D0933"/>
    <w:rsid w:val="2CCEB7E3"/>
    <w:rsid w:val="2E906D8E"/>
    <w:rsid w:val="2F4B6DC4"/>
    <w:rsid w:val="2FB74B12"/>
    <w:rsid w:val="2FF6F707"/>
    <w:rsid w:val="3268B2EB"/>
    <w:rsid w:val="32BE2080"/>
    <w:rsid w:val="35A354C9"/>
    <w:rsid w:val="37C3ACA2"/>
    <w:rsid w:val="38EF11A8"/>
    <w:rsid w:val="3BD2EE7E"/>
    <w:rsid w:val="3C05ED04"/>
    <w:rsid w:val="3CF71DB5"/>
    <w:rsid w:val="3EB53942"/>
    <w:rsid w:val="404B7D8E"/>
    <w:rsid w:val="40E1682A"/>
    <w:rsid w:val="41337BA2"/>
    <w:rsid w:val="42348DFE"/>
    <w:rsid w:val="467F601D"/>
    <w:rsid w:val="47BE366D"/>
    <w:rsid w:val="480A3AEC"/>
    <w:rsid w:val="4A5BB5A2"/>
    <w:rsid w:val="4B187E41"/>
    <w:rsid w:val="4C63BB7A"/>
    <w:rsid w:val="4C9080EE"/>
    <w:rsid w:val="4CC8F825"/>
    <w:rsid w:val="4CC97235"/>
    <w:rsid w:val="4DD5A00C"/>
    <w:rsid w:val="4E80A03B"/>
    <w:rsid w:val="4EFA738A"/>
    <w:rsid w:val="4F0443E7"/>
    <w:rsid w:val="4F9BE002"/>
    <w:rsid w:val="50612838"/>
    <w:rsid w:val="5088FF77"/>
    <w:rsid w:val="52138539"/>
    <w:rsid w:val="564BC5FD"/>
    <w:rsid w:val="56A29B7B"/>
    <w:rsid w:val="56DE3505"/>
    <w:rsid w:val="57D7A1C6"/>
    <w:rsid w:val="5A7E9523"/>
    <w:rsid w:val="5C4A7BB0"/>
    <w:rsid w:val="5DA09276"/>
    <w:rsid w:val="5DB667F6"/>
    <w:rsid w:val="5E2923EA"/>
    <w:rsid w:val="5E94D36D"/>
    <w:rsid w:val="5EA03416"/>
    <w:rsid w:val="5F36A75E"/>
    <w:rsid w:val="5F7880B4"/>
    <w:rsid w:val="6362BBB4"/>
    <w:rsid w:val="677C0907"/>
    <w:rsid w:val="690392CD"/>
    <w:rsid w:val="69187039"/>
    <w:rsid w:val="6A8485E7"/>
    <w:rsid w:val="6E53BF10"/>
    <w:rsid w:val="6EC9403E"/>
    <w:rsid w:val="6ECA38C6"/>
    <w:rsid w:val="70236B27"/>
    <w:rsid w:val="70CF6222"/>
    <w:rsid w:val="7153C320"/>
    <w:rsid w:val="71B8CEE5"/>
    <w:rsid w:val="7276979F"/>
    <w:rsid w:val="733632F9"/>
    <w:rsid w:val="74D1A607"/>
    <w:rsid w:val="752E81A6"/>
    <w:rsid w:val="75D0F62B"/>
    <w:rsid w:val="767EA0B8"/>
    <w:rsid w:val="772CA52D"/>
    <w:rsid w:val="7A59872D"/>
    <w:rsid w:val="7A6AF742"/>
    <w:rsid w:val="7B71CEBA"/>
    <w:rsid w:val="7CC7A5AE"/>
    <w:rsid w:val="7DF31D35"/>
    <w:rsid w:val="7EFC09A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54C0823"/>
  <w15:chartTrackingRefBased/>
  <w15:docId w15:val="{44492D4E-C70A-48B3-A8EA-C2779B6A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21AB2"/>
    <w:pPr>
      <w:tabs>
        <w:tab w:val="left" w:pos="879"/>
      </w:tabs>
    </w:pPr>
    <w:rPr>
      <w:rFonts w:ascii="Cambria" w:hAnsi="Cambria"/>
      <w:sz w:val="24"/>
    </w:rPr>
  </w:style>
  <w:style w:type="paragraph" w:styleId="Heading1">
    <w:name w:val="heading 1"/>
    <w:next w:val="Heading2"/>
    <w:link w:val="Heading1Char"/>
    <w:uiPriority w:val="8"/>
    <w:qFormat/>
    <w:rsid w:val="005246A2"/>
    <w:pPr>
      <w:keepNext/>
      <w:keepLines/>
      <w:pageBreakBefore/>
      <w:numPr>
        <w:numId w:val="6"/>
      </w:numPr>
      <w:spacing w:before="240" w:after="240"/>
      <w:outlineLvl w:val="0"/>
    </w:pPr>
    <w:rPr>
      <w:rFonts w:ascii="Arial" w:eastAsiaTheme="majorEastAsia" w:hAnsi="Arial" w:cstheme="majorBidi"/>
      <w:b/>
      <w:sz w:val="36"/>
      <w:szCs w:val="32"/>
    </w:rPr>
  </w:style>
  <w:style w:type="paragraph" w:styleId="Heading2">
    <w:name w:val="heading 2"/>
    <w:next w:val="NumberedNormal"/>
    <w:link w:val="Heading2Char"/>
    <w:uiPriority w:val="9"/>
    <w:qFormat/>
    <w:rsid w:val="005246A2"/>
    <w:pPr>
      <w:keepNext/>
      <w:keepLines/>
      <w:numPr>
        <w:ilvl w:val="1"/>
        <w:numId w:val="6"/>
      </w:numPr>
      <w:spacing w:before="240" w:after="240"/>
      <w:outlineLvl w:val="1"/>
    </w:pPr>
    <w:rPr>
      <w:rFonts w:ascii="Arial" w:eastAsiaTheme="majorEastAsia" w:hAnsi="Arial" w:cstheme="majorBidi"/>
      <w:b/>
      <w:sz w:val="28"/>
      <w:szCs w:val="26"/>
    </w:rPr>
  </w:style>
  <w:style w:type="paragraph" w:styleId="Heading3">
    <w:name w:val="heading 3"/>
    <w:next w:val="NumberedNormal"/>
    <w:link w:val="Heading3Char"/>
    <w:uiPriority w:val="9"/>
    <w:qFormat/>
    <w:rsid w:val="00FC27BE"/>
    <w:pPr>
      <w:keepNext/>
      <w:keepLines/>
      <w:numPr>
        <w:ilvl w:val="5"/>
        <w:numId w:val="6"/>
      </w:numPr>
      <w:spacing w:before="160"/>
      <w:outlineLvl w:val="2"/>
    </w:pPr>
    <w:rPr>
      <w:rFonts w:ascii="Arial" w:eastAsiaTheme="majorEastAsia" w:hAnsi="Arial" w:cstheme="majorBidi"/>
      <w:b/>
      <w:sz w:val="24"/>
      <w:szCs w:val="24"/>
    </w:rPr>
  </w:style>
  <w:style w:type="paragraph" w:styleId="Heading4">
    <w:name w:val="heading 4"/>
    <w:basedOn w:val="Normal"/>
    <w:next w:val="Normal"/>
    <w:link w:val="Heading4Char"/>
    <w:uiPriority w:val="9"/>
    <w:unhideWhenUsed/>
    <w:rsid w:val="003670E8"/>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3670E8"/>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3670E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3670E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3670E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3670E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670E8"/>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3670E8"/>
    <w:rPr>
      <w:rFonts w:ascii="Arial" w:eastAsiaTheme="majorEastAsia" w:hAnsi="Arial" w:cstheme="majorBidi"/>
      <w:b/>
      <w:sz w:val="28"/>
      <w:szCs w:val="26"/>
    </w:rPr>
  </w:style>
  <w:style w:type="paragraph" w:styleId="Title">
    <w:name w:val="Title"/>
    <w:basedOn w:val="Normal"/>
    <w:link w:val="TitleChar"/>
    <w:uiPriority w:val="11"/>
    <w:rsid w:val="003670E8"/>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3670E8"/>
    <w:rPr>
      <w:rFonts w:ascii="Arial" w:eastAsiaTheme="majorEastAsia" w:hAnsi="Arial" w:cstheme="majorBidi"/>
      <w:b/>
      <w:spacing w:val="-10"/>
      <w:kern w:val="28"/>
      <w:sz w:val="36"/>
      <w:szCs w:val="56"/>
    </w:rPr>
  </w:style>
  <w:style w:type="character" w:customStyle="1" w:styleId="Heading3Char">
    <w:name w:val="Heading 3 Char"/>
    <w:basedOn w:val="DefaultParagraphFont"/>
    <w:link w:val="Heading3"/>
    <w:uiPriority w:val="9"/>
    <w:rsid w:val="003670E8"/>
    <w:rPr>
      <w:rFonts w:ascii="Arial" w:eastAsiaTheme="majorEastAsia" w:hAnsi="Arial" w:cstheme="majorBidi"/>
      <w:b/>
      <w:sz w:val="24"/>
      <w:szCs w:val="24"/>
    </w:rPr>
  </w:style>
  <w:style w:type="paragraph" w:styleId="Subtitle">
    <w:name w:val="Subtitle"/>
    <w:basedOn w:val="Normal"/>
    <w:next w:val="Normal"/>
    <w:link w:val="SubtitleChar"/>
    <w:uiPriority w:val="11"/>
    <w:rsid w:val="003670E8"/>
    <w:pPr>
      <w:numPr>
        <w:ilvl w:val="1"/>
      </w:numPr>
    </w:pPr>
    <w:rPr>
      <w:rFonts w:eastAsiaTheme="minorEastAsia"/>
      <w:b/>
      <w:spacing w:val="15"/>
    </w:rPr>
  </w:style>
  <w:style w:type="character" w:customStyle="1" w:styleId="SubtitleChar">
    <w:name w:val="Subtitle Char"/>
    <w:basedOn w:val="DefaultParagraphFont"/>
    <w:link w:val="Subtitle"/>
    <w:uiPriority w:val="11"/>
    <w:rsid w:val="003670E8"/>
    <w:rPr>
      <w:rFonts w:ascii="Cambria" w:eastAsiaTheme="minorEastAsia" w:hAnsi="Cambria"/>
      <w:b/>
      <w:spacing w:val="15"/>
      <w:sz w:val="24"/>
    </w:rPr>
  </w:style>
  <w:style w:type="character" w:styleId="SubtleEmphasis">
    <w:name w:val="Subtle Emphasis"/>
    <w:basedOn w:val="DefaultParagraphFont"/>
    <w:uiPriority w:val="19"/>
    <w:semiHidden/>
    <w:rsid w:val="003670E8"/>
    <w:rPr>
      <w:i/>
      <w:iCs/>
      <w:color w:val="404040" w:themeColor="text1" w:themeTint="BF"/>
    </w:rPr>
  </w:style>
  <w:style w:type="paragraph" w:styleId="NoSpacing">
    <w:name w:val="No Spacing"/>
    <w:basedOn w:val="Normal"/>
    <w:uiPriority w:val="1"/>
    <w:semiHidden/>
    <w:qFormat/>
    <w:rsid w:val="003670E8"/>
    <w:pPr>
      <w:spacing w:after="0"/>
    </w:pPr>
  </w:style>
  <w:style w:type="character" w:styleId="Emphasis">
    <w:name w:val="Emphasis"/>
    <w:basedOn w:val="DefaultParagraphFont"/>
    <w:uiPriority w:val="20"/>
    <w:rsid w:val="003670E8"/>
    <w:rPr>
      <w:i/>
      <w:iCs/>
    </w:rPr>
  </w:style>
  <w:style w:type="character" w:customStyle="1" w:styleId="Heading4Char">
    <w:name w:val="Heading 4 Char"/>
    <w:basedOn w:val="DefaultParagraphFont"/>
    <w:link w:val="Heading4"/>
    <w:uiPriority w:val="9"/>
    <w:rsid w:val="003670E8"/>
    <w:rPr>
      <w:rFonts w:ascii="Cambria" w:eastAsiaTheme="majorEastAsia" w:hAnsi="Cambria" w:cstheme="majorBidi"/>
      <w:iCs/>
      <w:sz w:val="24"/>
      <w:u w:val="single"/>
    </w:rPr>
  </w:style>
  <w:style w:type="character" w:customStyle="1" w:styleId="Heading5Char">
    <w:name w:val="Heading 5 Char"/>
    <w:basedOn w:val="DefaultParagraphFont"/>
    <w:link w:val="Heading5"/>
    <w:uiPriority w:val="9"/>
    <w:rsid w:val="003670E8"/>
    <w:rPr>
      <w:rFonts w:ascii="Cambria" w:eastAsiaTheme="majorEastAsia" w:hAnsi="Cambria" w:cstheme="majorBidi"/>
      <w:i/>
      <w:sz w:val="24"/>
    </w:rPr>
  </w:style>
  <w:style w:type="paragraph" w:styleId="IntenseQuote">
    <w:name w:val="Intense Quote"/>
    <w:basedOn w:val="Normal"/>
    <w:next w:val="Normal"/>
    <w:link w:val="IntenseQuoteChar"/>
    <w:uiPriority w:val="30"/>
    <w:semiHidden/>
    <w:qFormat/>
    <w:rsid w:val="003670E8"/>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3670E8"/>
    <w:rPr>
      <w:rFonts w:ascii="Cambria" w:hAnsi="Cambria"/>
      <w:b/>
      <w:iCs/>
      <w:sz w:val="24"/>
    </w:rPr>
  </w:style>
  <w:style w:type="character" w:styleId="IntenseEmphasis">
    <w:name w:val="Intense Emphasis"/>
    <w:basedOn w:val="DefaultParagraphFont"/>
    <w:uiPriority w:val="21"/>
    <w:semiHidden/>
    <w:rsid w:val="003670E8"/>
    <w:rPr>
      <w:i/>
      <w:iCs/>
      <w:color w:val="auto"/>
    </w:rPr>
  </w:style>
  <w:style w:type="paragraph" w:styleId="Quote">
    <w:name w:val="Quote"/>
    <w:basedOn w:val="Normal"/>
    <w:next w:val="Normal"/>
    <w:link w:val="QuoteChar"/>
    <w:uiPriority w:val="29"/>
    <w:qFormat/>
    <w:rsid w:val="003670E8"/>
    <w:pPr>
      <w:spacing w:before="200"/>
      <w:ind w:left="862" w:right="862"/>
    </w:pPr>
    <w:rPr>
      <w:iCs/>
    </w:rPr>
  </w:style>
  <w:style w:type="character" w:customStyle="1" w:styleId="QuoteChar">
    <w:name w:val="Quote Char"/>
    <w:basedOn w:val="DefaultParagraphFont"/>
    <w:link w:val="Quote"/>
    <w:uiPriority w:val="29"/>
    <w:rsid w:val="003670E8"/>
    <w:rPr>
      <w:rFonts w:ascii="Cambria" w:hAnsi="Cambria"/>
      <w:iCs/>
      <w:sz w:val="24"/>
    </w:rPr>
  </w:style>
  <w:style w:type="character" w:styleId="IntenseReference">
    <w:name w:val="Intense Reference"/>
    <w:basedOn w:val="DefaultParagraphFont"/>
    <w:uiPriority w:val="32"/>
    <w:semiHidden/>
    <w:rsid w:val="003670E8"/>
    <w:rPr>
      <w:rFonts w:ascii="Verdana" w:hAnsi="Verdana"/>
      <w:b/>
      <w:bCs/>
      <w:smallCaps/>
      <w:color w:val="auto"/>
      <w:spacing w:val="5"/>
    </w:rPr>
  </w:style>
  <w:style w:type="character" w:styleId="BookTitle">
    <w:name w:val="Book Title"/>
    <w:basedOn w:val="DefaultParagraphFont"/>
    <w:uiPriority w:val="33"/>
    <w:semiHidden/>
    <w:qFormat/>
    <w:rsid w:val="003670E8"/>
    <w:rPr>
      <w:b/>
      <w:bCs/>
      <w:i/>
      <w:iCs/>
      <w:spacing w:val="5"/>
    </w:rPr>
  </w:style>
  <w:style w:type="table" w:styleId="TableGrid">
    <w:name w:val="Table Grid"/>
    <w:uiPriority w:val="39"/>
    <w:rsid w:val="003670E8"/>
    <w:pPr>
      <w:spacing w:after="0" w:line="240" w:lineRule="auto"/>
    </w:pPr>
    <w:rPr>
      <w:rFonts w:ascii="Times New Roman" w:hAnsi="Times New Roman"/>
      <w:sz w:val="24"/>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auto"/>
      <w:vAlign w:val="center"/>
    </w:tcPr>
    <w:tblStylePr w:type="firstRow">
      <w:rPr>
        <w:rFonts w:ascii="Times New Roman" w:hAnsi="Times New Roman"/>
        <w:b w:val="0"/>
        <w:color w:val="auto"/>
        <w:sz w:val="24"/>
      </w:rPr>
    </w:tblStylePr>
  </w:style>
  <w:style w:type="paragraph" w:styleId="Header">
    <w:name w:val="header"/>
    <w:basedOn w:val="Normal"/>
    <w:link w:val="HeaderChar"/>
    <w:uiPriority w:val="99"/>
    <w:unhideWhenUsed/>
    <w:rsid w:val="003670E8"/>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3670E8"/>
    <w:rPr>
      <w:rFonts w:ascii="Cambria" w:hAnsi="Cambria"/>
      <w:color w:val="54616C"/>
      <w:sz w:val="24"/>
    </w:rPr>
  </w:style>
  <w:style w:type="paragraph" w:styleId="Footer">
    <w:name w:val="footer"/>
    <w:basedOn w:val="Normal"/>
    <w:link w:val="FooterChar"/>
    <w:uiPriority w:val="99"/>
    <w:unhideWhenUsed/>
    <w:rsid w:val="003670E8"/>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3670E8"/>
    <w:rPr>
      <w:rFonts w:ascii="Cambria" w:hAnsi="Cambria"/>
      <w:color w:val="54616C"/>
      <w:sz w:val="16"/>
    </w:rPr>
  </w:style>
  <w:style w:type="table" w:styleId="TableGridLight">
    <w:name w:val="Grid Table Light"/>
    <w:basedOn w:val="TableNormal"/>
    <w:uiPriority w:val="40"/>
    <w:rsid w:val="003670E8"/>
    <w:pPr>
      <w:spacing w:after="0" w:line="240" w:lineRule="auto"/>
    </w:pPr>
    <w:rPr>
      <w:rFonts w:ascii="Times New Roman" w:hAnsi="Times New Roman"/>
      <w:sz w:val="24"/>
    </w:rPr>
    <w:tblPr>
      <w:tblInd w:w="680" w:type="dxa"/>
      <w:tblCellMar>
        <w:left w:w="198" w:type="dxa"/>
        <w:bottom w:w="85" w:type="dxa"/>
        <w:right w:w="0" w:type="dxa"/>
      </w:tblCellMar>
    </w:tblPr>
  </w:style>
  <w:style w:type="character" w:styleId="PlaceholderText">
    <w:name w:val="Placeholder Text"/>
    <w:basedOn w:val="DefaultParagraphFont"/>
    <w:uiPriority w:val="99"/>
    <w:semiHidden/>
    <w:rsid w:val="003670E8"/>
    <w:rPr>
      <w:color w:val="808080"/>
    </w:rPr>
  </w:style>
  <w:style w:type="character" w:styleId="Hyperlink">
    <w:name w:val="Hyperlink"/>
    <w:basedOn w:val="DefaultParagraphFont"/>
    <w:uiPriority w:val="99"/>
    <w:unhideWhenUsed/>
    <w:rsid w:val="003670E8"/>
    <w:rPr>
      <w:color w:val="191C9D"/>
      <w:u w:val="single"/>
    </w:rPr>
  </w:style>
  <w:style w:type="paragraph" w:styleId="TOCHeading">
    <w:name w:val="TOC Heading"/>
    <w:next w:val="Normal"/>
    <w:uiPriority w:val="39"/>
    <w:unhideWhenUsed/>
    <w:rsid w:val="003670E8"/>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3670E8"/>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3670E8"/>
    <w:pPr>
      <w:keepNext/>
      <w:keepLines/>
      <w:spacing w:before="160"/>
      <w:outlineLvl w:val="2"/>
    </w:pPr>
    <w:rPr>
      <w:rFonts w:ascii="Arial" w:eastAsiaTheme="majorEastAsia" w:hAnsi="Arial" w:cstheme="majorBidi"/>
      <w:b/>
      <w:sz w:val="24"/>
      <w:szCs w:val="26"/>
    </w:rPr>
  </w:style>
  <w:style w:type="paragraph" w:styleId="Caption">
    <w:name w:val="caption"/>
    <w:basedOn w:val="Normal"/>
    <w:next w:val="Normal"/>
    <w:uiPriority w:val="10"/>
    <w:qFormat/>
    <w:rsid w:val="003670E8"/>
    <w:pPr>
      <w:keepNext/>
      <w:spacing w:before="200" w:after="200" w:line="240" w:lineRule="auto"/>
      <w:jc w:val="center"/>
    </w:pPr>
    <w:rPr>
      <w:b/>
      <w:iCs/>
      <w:szCs w:val="18"/>
    </w:rPr>
  </w:style>
  <w:style w:type="paragraph" w:styleId="TOC2">
    <w:name w:val="toc 2"/>
    <w:basedOn w:val="Normal"/>
    <w:next w:val="Normal"/>
    <w:autoRedefine/>
    <w:uiPriority w:val="39"/>
    <w:unhideWhenUsed/>
    <w:rsid w:val="003670E8"/>
    <w:pPr>
      <w:tabs>
        <w:tab w:val="clear" w:pos="879"/>
      </w:tabs>
      <w:spacing w:after="40"/>
      <w:ind w:left="255" w:right="567" w:hanging="57"/>
    </w:pPr>
  </w:style>
  <w:style w:type="paragraph" w:styleId="TOC3">
    <w:name w:val="toc 3"/>
    <w:basedOn w:val="Normal"/>
    <w:next w:val="Normal"/>
    <w:autoRedefine/>
    <w:uiPriority w:val="39"/>
    <w:unhideWhenUsed/>
    <w:rsid w:val="003670E8"/>
    <w:pPr>
      <w:spacing w:after="40"/>
      <w:ind w:left="460" w:right="567" w:hanging="57"/>
    </w:pPr>
  </w:style>
  <w:style w:type="paragraph" w:styleId="ListParagraph">
    <w:name w:val="List Paragraph"/>
    <w:basedOn w:val="Normal"/>
    <w:link w:val="ListParagraphChar"/>
    <w:uiPriority w:val="34"/>
    <w:rsid w:val="003670E8"/>
    <w:pPr>
      <w:spacing w:after="120"/>
    </w:pPr>
  </w:style>
  <w:style w:type="paragraph" w:customStyle="1" w:styleId="AppendixHeading">
    <w:name w:val="Appendix Heading"/>
    <w:basedOn w:val="Heading3nonumbering"/>
    <w:next w:val="Normal"/>
    <w:uiPriority w:val="10"/>
    <w:qFormat/>
    <w:rsid w:val="00FC27BE"/>
    <w:pPr>
      <w:numPr>
        <w:ilvl w:val="6"/>
        <w:numId w:val="6"/>
      </w:numPr>
      <w:spacing w:before="240"/>
      <w:jc w:val="center"/>
    </w:pPr>
  </w:style>
  <w:style w:type="paragraph" w:styleId="FootnoteText">
    <w:name w:val="footnote text"/>
    <w:basedOn w:val="Normal"/>
    <w:link w:val="FootnoteTextChar"/>
    <w:uiPriority w:val="99"/>
    <w:rsid w:val="003670E8"/>
    <w:pPr>
      <w:spacing w:after="0" w:line="240" w:lineRule="auto"/>
    </w:pPr>
    <w:rPr>
      <w:sz w:val="16"/>
    </w:rPr>
  </w:style>
  <w:style w:type="character" w:customStyle="1" w:styleId="FootnoteTextChar">
    <w:name w:val="Footnote Text Char"/>
    <w:basedOn w:val="DefaultParagraphFont"/>
    <w:link w:val="FootnoteText"/>
    <w:uiPriority w:val="99"/>
    <w:rsid w:val="003670E8"/>
    <w:rPr>
      <w:rFonts w:ascii="Cambria" w:hAnsi="Cambria"/>
      <w:sz w:val="16"/>
    </w:rPr>
  </w:style>
  <w:style w:type="character" w:styleId="FootnoteReference">
    <w:name w:val="footnote reference"/>
    <w:basedOn w:val="DefaultParagraphFont"/>
    <w:uiPriority w:val="99"/>
    <w:semiHidden/>
    <w:unhideWhenUsed/>
    <w:rsid w:val="003670E8"/>
    <w:rPr>
      <w:vertAlign w:val="superscript"/>
    </w:rPr>
  </w:style>
  <w:style w:type="paragraph" w:customStyle="1" w:styleId="NumberedNormal">
    <w:name w:val="Numbered Normal"/>
    <w:basedOn w:val="Normal"/>
    <w:qFormat/>
    <w:rsid w:val="00FC27BE"/>
    <w:pPr>
      <w:numPr>
        <w:ilvl w:val="2"/>
        <w:numId w:val="6"/>
      </w:numPr>
      <w:spacing w:before="160"/>
    </w:pPr>
  </w:style>
  <w:style w:type="character" w:customStyle="1" w:styleId="Heading6Char">
    <w:name w:val="Heading 6 Char"/>
    <w:basedOn w:val="DefaultParagraphFont"/>
    <w:link w:val="Heading6"/>
    <w:uiPriority w:val="9"/>
    <w:semiHidden/>
    <w:rsid w:val="003670E8"/>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3670E8"/>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3670E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670E8"/>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unhideWhenUsed/>
    <w:rsid w:val="003670E8"/>
    <w:pPr>
      <w:spacing w:after="100"/>
      <w:ind w:left="600"/>
    </w:pPr>
  </w:style>
  <w:style w:type="numbering" w:customStyle="1" w:styleId="AppendixNumbering">
    <w:name w:val="AppendixNumbering"/>
    <w:basedOn w:val="NoList"/>
    <w:uiPriority w:val="99"/>
    <w:rsid w:val="00D82B2B"/>
    <w:pPr>
      <w:numPr>
        <w:numId w:val="1"/>
      </w:numPr>
    </w:pPr>
  </w:style>
  <w:style w:type="table" w:customStyle="1" w:styleId="OfgemHighlight">
    <w:name w:val="OfgemHighlight"/>
    <w:basedOn w:val="TableNormal"/>
    <w:uiPriority w:val="99"/>
    <w:rsid w:val="003670E8"/>
    <w:pPr>
      <w:spacing w:line="240" w:lineRule="auto"/>
    </w:pPr>
    <w:tblPr>
      <w:tblCellMar>
        <w:top w:w="85" w:type="dxa"/>
        <w:left w:w="0" w:type="dxa"/>
        <w:right w:w="0" w:type="dxa"/>
      </w:tblCellMar>
    </w:tblPr>
    <w:tcPr>
      <w:shd w:val="clear" w:color="auto" w:fill="EFF0F2"/>
    </w:tcPr>
  </w:style>
  <w:style w:type="numbering" w:styleId="1ai">
    <w:name w:val="Outline List 1"/>
    <w:basedOn w:val="NoList"/>
    <w:uiPriority w:val="99"/>
    <w:semiHidden/>
    <w:unhideWhenUsed/>
    <w:rsid w:val="005246A2"/>
    <w:pPr>
      <w:numPr>
        <w:numId w:val="2"/>
      </w:numPr>
    </w:pPr>
  </w:style>
  <w:style w:type="numbering" w:customStyle="1" w:styleId="Bullets">
    <w:name w:val="Bullets"/>
    <w:basedOn w:val="NoList"/>
    <w:uiPriority w:val="99"/>
    <w:rsid w:val="005246A2"/>
    <w:pPr>
      <w:numPr>
        <w:numId w:val="3"/>
      </w:numPr>
    </w:pPr>
  </w:style>
  <w:style w:type="character" w:customStyle="1" w:styleId="GreenHighlight">
    <w:name w:val="Green Highlight"/>
    <w:basedOn w:val="DefaultParagraphFont"/>
    <w:uiPriority w:val="24"/>
    <w:qFormat/>
    <w:rsid w:val="003670E8"/>
    <w:rPr>
      <w:bdr w:val="none" w:sz="0" w:space="0" w:color="auto"/>
      <w:shd w:val="clear" w:color="auto" w:fill="00FF00"/>
    </w:rPr>
  </w:style>
  <w:style w:type="character" w:customStyle="1" w:styleId="YellowHighlight">
    <w:name w:val="Yellow Highlight"/>
    <w:basedOn w:val="DefaultParagraphFont"/>
    <w:uiPriority w:val="23"/>
    <w:qFormat/>
    <w:rsid w:val="003670E8"/>
    <w:rPr>
      <w:bdr w:val="none" w:sz="0" w:space="0" w:color="auto"/>
      <w:shd w:val="clear" w:color="auto" w:fill="FFFF00"/>
    </w:rPr>
  </w:style>
  <w:style w:type="character" w:customStyle="1" w:styleId="Subscript">
    <w:name w:val="Subscript"/>
    <w:basedOn w:val="DefaultParagraphFont"/>
    <w:uiPriority w:val="25"/>
    <w:qFormat/>
    <w:rsid w:val="003670E8"/>
    <w:rPr>
      <w:vertAlign w:val="subscript"/>
    </w:rPr>
  </w:style>
  <w:style w:type="numbering" w:customStyle="1" w:styleId="LettersList">
    <w:name w:val="Letters List"/>
    <w:basedOn w:val="NoList"/>
    <w:uiPriority w:val="99"/>
    <w:rsid w:val="005246A2"/>
    <w:pPr>
      <w:numPr>
        <w:numId w:val="5"/>
      </w:numPr>
    </w:pPr>
  </w:style>
  <w:style w:type="numbering" w:customStyle="1" w:styleId="LicenceNumbering">
    <w:name w:val="Licence Numbering"/>
    <w:basedOn w:val="NoList"/>
    <w:uiPriority w:val="99"/>
    <w:rsid w:val="005246A2"/>
    <w:pPr>
      <w:numPr>
        <w:numId w:val="6"/>
      </w:numPr>
    </w:pPr>
  </w:style>
  <w:style w:type="paragraph" w:customStyle="1" w:styleId="ListNormal">
    <w:name w:val="List Normal"/>
    <w:basedOn w:val="Normal"/>
    <w:uiPriority w:val="1"/>
    <w:qFormat/>
    <w:rsid w:val="00FC27BE"/>
    <w:pPr>
      <w:numPr>
        <w:ilvl w:val="3"/>
        <w:numId w:val="6"/>
      </w:numPr>
      <w:tabs>
        <w:tab w:val="clear" w:pos="879"/>
      </w:tabs>
      <w:spacing w:after="80"/>
    </w:pPr>
  </w:style>
  <w:style w:type="paragraph" w:styleId="TOC5">
    <w:name w:val="toc 5"/>
    <w:basedOn w:val="Normal"/>
    <w:next w:val="Normal"/>
    <w:autoRedefine/>
    <w:uiPriority w:val="39"/>
    <w:unhideWhenUsed/>
    <w:rsid w:val="00B155C9"/>
    <w:pPr>
      <w:tabs>
        <w:tab w:val="clear" w:pos="879"/>
      </w:tabs>
      <w:spacing w:after="100"/>
      <w:ind w:left="880"/>
    </w:pPr>
    <w:rPr>
      <w:rFonts w:asciiTheme="minorHAnsi" w:eastAsiaTheme="minorEastAsia" w:hAnsiTheme="minorHAnsi"/>
      <w:sz w:val="22"/>
      <w:szCs w:val="22"/>
      <w:lang w:eastAsia="en-GB"/>
    </w:rPr>
  </w:style>
  <w:style w:type="paragraph" w:styleId="BalloonText">
    <w:name w:val="Balloon Text"/>
    <w:basedOn w:val="Normal"/>
    <w:link w:val="BalloonTextChar"/>
    <w:uiPriority w:val="99"/>
    <w:semiHidden/>
    <w:unhideWhenUsed/>
    <w:rsid w:val="003670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0E8"/>
    <w:rPr>
      <w:rFonts w:ascii="Segoe UI" w:hAnsi="Segoe UI" w:cs="Segoe UI"/>
      <w:sz w:val="18"/>
      <w:szCs w:val="18"/>
    </w:rPr>
  </w:style>
  <w:style w:type="character" w:styleId="CommentReference">
    <w:name w:val="annotation reference"/>
    <w:basedOn w:val="DefaultParagraphFont"/>
    <w:uiPriority w:val="99"/>
    <w:rsid w:val="00DB3047"/>
    <w:rPr>
      <w:sz w:val="16"/>
      <w:szCs w:val="16"/>
    </w:rPr>
  </w:style>
  <w:style w:type="paragraph" w:styleId="CommentText">
    <w:name w:val="annotation text"/>
    <w:basedOn w:val="Normal"/>
    <w:link w:val="CommentTextChar"/>
    <w:uiPriority w:val="99"/>
    <w:rsid w:val="00DB3047"/>
    <w:pPr>
      <w:spacing w:after="80" w:line="240" w:lineRule="auto"/>
    </w:pPr>
    <w:rPr>
      <w:rFonts w:cs="Times New Roman"/>
      <w:sz w:val="20"/>
    </w:rPr>
  </w:style>
  <w:style w:type="character" w:customStyle="1" w:styleId="CommentTextChar">
    <w:name w:val="Comment Text Char"/>
    <w:basedOn w:val="DefaultParagraphFont"/>
    <w:link w:val="CommentText"/>
    <w:uiPriority w:val="99"/>
    <w:rsid w:val="00DB3047"/>
    <w:rPr>
      <w:rFonts w:ascii="Times New Roman" w:hAnsi="Times New Roman" w:cs="Times New Roman"/>
    </w:rPr>
  </w:style>
  <w:style w:type="table" w:styleId="GridTable1Light">
    <w:name w:val="Grid Table 1 Light"/>
    <w:basedOn w:val="TableNormal"/>
    <w:uiPriority w:val="46"/>
    <w:rsid w:val="00DB3047"/>
    <w:pPr>
      <w:spacing w:after="0" w:line="240" w:lineRule="auto"/>
    </w:pPr>
    <w:rPr>
      <w:rFonts w:ascii="Times New Roman" w:hAnsi="Times New Roman"/>
      <w:sz w:val="24"/>
      <w:szCs w:val="24"/>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ommentSubject">
    <w:name w:val="annotation subject"/>
    <w:basedOn w:val="CommentText"/>
    <w:next w:val="CommentText"/>
    <w:link w:val="CommentSubjectChar"/>
    <w:uiPriority w:val="99"/>
    <w:semiHidden/>
    <w:unhideWhenUsed/>
    <w:rsid w:val="00000E10"/>
    <w:pPr>
      <w:spacing w:after="160"/>
    </w:pPr>
    <w:rPr>
      <w:rFonts w:cstheme="minorBidi"/>
      <w:b/>
      <w:bCs/>
    </w:rPr>
  </w:style>
  <w:style w:type="character" w:customStyle="1" w:styleId="CommentSubjectChar">
    <w:name w:val="Comment Subject Char"/>
    <w:basedOn w:val="CommentTextChar"/>
    <w:link w:val="CommentSubject"/>
    <w:uiPriority w:val="99"/>
    <w:semiHidden/>
    <w:rsid w:val="00000E10"/>
    <w:rPr>
      <w:rFonts w:ascii="Times New Roman" w:hAnsi="Times New Roman" w:cs="Times New Roman"/>
      <w:b/>
      <w:bCs/>
    </w:rPr>
  </w:style>
  <w:style w:type="table" w:styleId="PlainTable2">
    <w:name w:val="Plain Table 2"/>
    <w:basedOn w:val="TableNormal"/>
    <w:uiPriority w:val="42"/>
    <w:rsid w:val="005F4C23"/>
    <w:pPr>
      <w:spacing w:after="0" w:line="240" w:lineRule="auto"/>
    </w:pPr>
    <w:rPr>
      <w:rFonts w:ascii="Times New Roman" w:hAnsi="Times New Roman"/>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481B07"/>
    <w:pPr>
      <w:spacing w:after="0" w:line="240" w:lineRule="auto"/>
    </w:pPr>
    <w:rPr>
      <w:rFonts w:ascii="Times New Roman" w:hAnsi="Times New Roman" w:cs="Times New Roman"/>
      <w:sz w:val="24"/>
      <w:szCs w:val="24"/>
    </w:rPr>
  </w:style>
  <w:style w:type="paragraph" w:customStyle="1" w:styleId="Equation">
    <w:name w:val="Equation"/>
    <w:basedOn w:val="Normal"/>
    <w:next w:val="Normal"/>
    <w:uiPriority w:val="2"/>
    <w:qFormat/>
    <w:rsid w:val="003670E8"/>
    <w:rPr>
      <w:rFonts w:eastAsiaTheme="minorEastAsia"/>
    </w:rPr>
  </w:style>
  <w:style w:type="character" w:customStyle="1" w:styleId="ListParagraphChar">
    <w:name w:val="List Paragraph Char"/>
    <w:basedOn w:val="DefaultParagraphFont"/>
    <w:link w:val="ListParagraph"/>
    <w:uiPriority w:val="34"/>
    <w:rsid w:val="00804BB1"/>
    <w:rPr>
      <w:rFonts w:ascii="Cambria" w:hAnsi="Cambria"/>
      <w:sz w:val="24"/>
    </w:rPr>
  </w:style>
  <w:style w:type="character" w:styleId="FollowedHyperlink">
    <w:name w:val="FollowedHyperlink"/>
    <w:basedOn w:val="DefaultParagraphFont"/>
    <w:uiPriority w:val="99"/>
    <w:semiHidden/>
    <w:unhideWhenUsed/>
    <w:rsid w:val="00217B1F"/>
    <w:rPr>
      <w:color w:val="954F72" w:themeColor="followedHyperlink"/>
      <w:u w:val="single"/>
    </w:rPr>
  </w:style>
  <w:style w:type="table" w:customStyle="1" w:styleId="AppendixTable">
    <w:name w:val="AppendixTable"/>
    <w:basedOn w:val="TableNormal"/>
    <w:uiPriority w:val="99"/>
    <w:rsid w:val="00606B7A"/>
    <w:pPr>
      <w:spacing w:after="0" w:line="240" w:lineRule="auto"/>
    </w:pPr>
    <w:tblPr>
      <w:tblBorders>
        <w:top w:val="single" w:sz="12" w:space="0" w:color="auto"/>
        <w:bottom w:val="single" w:sz="12" w:space="0" w:color="auto"/>
      </w:tblBorders>
      <w:tblCellMar>
        <w:top w:w="28" w:type="dxa"/>
        <w:left w:w="28" w:type="dxa"/>
        <w:bottom w:w="57" w:type="dxa"/>
        <w:right w:w="28" w:type="dxa"/>
      </w:tblCellMar>
    </w:tblPr>
    <w:tblStylePr w:type="firstRow">
      <w:pPr>
        <w:keepNext/>
        <w:keepLines/>
        <w:wordWrap/>
      </w:pPr>
      <w:rPr>
        <w:b/>
      </w:rPr>
      <w:tblPr/>
      <w:tcPr>
        <w:tcBorders>
          <w:top w:val="single" w:sz="12" w:space="0" w:color="auto"/>
          <w:left w:val="nil"/>
          <w:bottom w:val="single" w:sz="4" w:space="0" w:color="auto"/>
          <w:right w:val="nil"/>
          <w:insideH w:val="nil"/>
          <w:insideV w:val="nil"/>
          <w:tl2br w:val="nil"/>
          <w:tr2bl w:val="nil"/>
        </w:tcBorders>
      </w:tcPr>
    </w:tblStylePr>
    <w:tblStylePr w:type="lastRow">
      <w:rPr>
        <w:b/>
      </w:rPr>
      <w:tblPr/>
      <w:tcPr>
        <w:tcBorders>
          <w:top w:val="single" w:sz="4" w:space="0" w:color="auto"/>
          <w:left w:val="nil"/>
          <w:bottom w:val="single" w:sz="12" w:space="0" w:color="auto"/>
          <w:right w:val="nil"/>
          <w:insideH w:val="nil"/>
          <w:insideV w:val="nil"/>
          <w:tl2br w:val="nil"/>
          <w:tr2bl w:val="nil"/>
        </w:tcBorders>
      </w:tcPr>
    </w:tblStylePr>
  </w:style>
  <w:style w:type="table" w:styleId="PlainTable1">
    <w:name w:val="Plain Table 1"/>
    <w:basedOn w:val="TableNormal"/>
    <w:uiPriority w:val="41"/>
    <w:rsid w:val="003670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6">
    <w:name w:val="toc 6"/>
    <w:basedOn w:val="Normal"/>
    <w:next w:val="Normal"/>
    <w:autoRedefine/>
    <w:uiPriority w:val="39"/>
    <w:unhideWhenUsed/>
    <w:rsid w:val="00B155C9"/>
    <w:pPr>
      <w:tabs>
        <w:tab w:val="clear" w:pos="879"/>
      </w:tabs>
      <w:spacing w:after="100"/>
      <w:ind w:left="1100"/>
    </w:pPr>
    <w:rPr>
      <w:rFonts w:asciiTheme="minorHAnsi" w:eastAsiaTheme="minorEastAsia" w:hAnsiTheme="minorHAnsi"/>
      <w:sz w:val="22"/>
      <w:szCs w:val="22"/>
      <w:lang w:eastAsia="en-GB"/>
    </w:rPr>
  </w:style>
  <w:style w:type="paragraph" w:styleId="TOC7">
    <w:name w:val="toc 7"/>
    <w:basedOn w:val="Normal"/>
    <w:next w:val="Normal"/>
    <w:autoRedefine/>
    <w:uiPriority w:val="39"/>
    <w:unhideWhenUsed/>
    <w:rsid w:val="00B155C9"/>
    <w:pPr>
      <w:tabs>
        <w:tab w:val="clear" w:pos="879"/>
      </w:tabs>
      <w:spacing w:after="100"/>
      <w:ind w:left="1320"/>
    </w:pPr>
    <w:rPr>
      <w:rFonts w:asciiTheme="minorHAnsi" w:eastAsiaTheme="minorEastAsia" w:hAnsiTheme="minorHAnsi"/>
      <w:sz w:val="22"/>
      <w:szCs w:val="22"/>
      <w:lang w:eastAsia="en-GB"/>
    </w:rPr>
  </w:style>
  <w:style w:type="paragraph" w:styleId="TOC8">
    <w:name w:val="toc 8"/>
    <w:basedOn w:val="Normal"/>
    <w:next w:val="Normal"/>
    <w:autoRedefine/>
    <w:uiPriority w:val="39"/>
    <w:unhideWhenUsed/>
    <w:rsid w:val="00B155C9"/>
    <w:pPr>
      <w:tabs>
        <w:tab w:val="clear" w:pos="879"/>
      </w:tabs>
      <w:spacing w:after="100"/>
      <w:ind w:left="1540"/>
    </w:pPr>
    <w:rPr>
      <w:rFonts w:asciiTheme="minorHAnsi" w:eastAsiaTheme="minorEastAsia" w:hAnsiTheme="minorHAnsi"/>
      <w:sz w:val="22"/>
      <w:szCs w:val="22"/>
      <w:lang w:eastAsia="en-GB"/>
    </w:rPr>
  </w:style>
  <w:style w:type="paragraph" w:styleId="TOC9">
    <w:name w:val="toc 9"/>
    <w:basedOn w:val="Normal"/>
    <w:next w:val="Normal"/>
    <w:autoRedefine/>
    <w:uiPriority w:val="39"/>
    <w:unhideWhenUsed/>
    <w:rsid w:val="00B155C9"/>
    <w:pPr>
      <w:tabs>
        <w:tab w:val="clear" w:pos="879"/>
      </w:tabs>
      <w:spacing w:after="100"/>
      <w:ind w:left="1760"/>
    </w:pPr>
    <w:rPr>
      <w:rFonts w:asciiTheme="minorHAnsi" w:eastAsiaTheme="minorEastAsia" w:hAnsiTheme="minorHAnsi"/>
      <w:sz w:val="22"/>
      <w:szCs w:val="22"/>
      <w:lang w:eastAsia="en-GB"/>
    </w:rPr>
  </w:style>
  <w:style w:type="character" w:customStyle="1" w:styleId="UnresolvedMention1">
    <w:name w:val="Unresolved Mention1"/>
    <w:basedOn w:val="DefaultParagraphFont"/>
    <w:uiPriority w:val="99"/>
    <w:semiHidden/>
    <w:unhideWhenUsed/>
    <w:rsid w:val="00B155C9"/>
    <w:rPr>
      <w:color w:val="605E5C"/>
      <w:shd w:val="clear" w:color="auto" w:fill="E1DFDD"/>
    </w:rPr>
  </w:style>
  <w:style w:type="paragraph" w:customStyle="1" w:styleId="Normalbold">
    <w:name w:val="Normal bold"/>
    <w:basedOn w:val="Normal"/>
    <w:uiPriority w:val="3"/>
    <w:qFormat/>
    <w:rsid w:val="00D57DDB"/>
    <w:pPr>
      <w:tabs>
        <w:tab w:val="clear" w:pos="879"/>
      </w:tabs>
      <w:spacing w:after="0" w:line="240" w:lineRule="auto"/>
    </w:pPr>
    <w:rPr>
      <w:rFonts w:ascii="Times New Roman" w:eastAsia="Times New Roman" w:hAnsi="Times New Roman" w:cs="Times New Roman"/>
      <w:b/>
      <w:szCs w:val="24"/>
    </w:rPr>
  </w:style>
  <w:style w:type="paragraph" w:styleId="PlainText">
    <w:name w:val="Plain Text"/>
    <w:basedOn w:val="Normal"/>
    <w:link w:val="PlainTextChar"/>
    <w:uiPriority w:val="99"/>
    <w:semiHidden/>
    <w:unhideWhenUsed/>
    <w:rsid w:val="00CF61E3"/>
    <w:pPr>
      <w:tabs>
        <w:tab w:val="clear" w:pos="879"/>
      </w:tabs>
      <w:spacing w:after="0" w:line="240" w:lineRule="auto"/>
    </w:pPr>
    <w:rPr>
      <w:rFonts w:ascii="Verdana" w:hAnsi="Verdana"/>
      <w:sz w:val="20"/>
      <w:szCs w:val="21"/>
    </w:rPr>
  </w:style>
  <w:style w:type="character" w:customStyle="1" w:styleId="PlainTextChar">
    <w:name w:val="Plain Text Char"/>
    <w:basedOn w:val="DefaultParagraphFont"/>
    <w:link w:val="PlainText"/>
    <w:uiPriority w:val="99"/>
    <w:semiHidden/>
    <w:rsid w:val="00CF61E3"/>
    <w:rPr>
      <w:szCs w:val="21"/>
    </w:rPr>
  </w:style>
  <w:style w:type="paragraph" w:customStyle="1" w:styleId="AppendixTitle">
    <w:name w:val="Appendix Title"/>
    <w:basedOn w:val="Heading2"/>
    <w:link w:val="AppendixTitleChar"/>
    <w:uiPriority w:val="4"/>
    <w:qFormat/>
    <w:rsid w:val="00B964B5"/>
    <w:pPr>
      <w:keepNext w:val="0"/>
      <w:keepLines w:val="0"/>
      <w:spacing w:before="0" w:after="80" w:line="276" w:lineRule="auto"/>
      <w:jc w:val="center"/>
    </w:pPr>
    <w:rPr>
      <w:rFonts w:eastAsiaTheme="minorHAnsi" w:cs="Arial"/>
      <w:szCs w:val="28"/>
    </w:rPr>
  </w:style>
  <w:style w:type="character" w:customStyle="1" w:styleId="AppendixTitleChar">
    <w:name w:val="Appendix Title Char"/>
    <w:basedOn w:val="DefaultParagraphFont"/>
    <w:link w:val="AppendixTitle"/>
    <w:uiPriority w:val="4"/>
    <w:rsid w:val="00F46279"/>
    <w:rPr>
      <w:rFonts w:ascii="Arial" w:hAnsi="Arial" w:cs="Arial"/>
      <w:b/>
      <w:sz w:val="28"/>
      <w:szCs w:val="28"/>
    </w:rPr>
  </w:style>
  <w:style w:type="character" w:customStyle="1" w:styleId="UnresolvedMention2">
    <w:name w:val="Unresolved Mention2"/>
    <w:basedOn w:val="DefaultParagraphFont"/>
    <w:uiPriority w:val="99"/>
    <w:unhideWhenUsed/>
    <w:rsid w:val="00F93BF1"/>
    <w:rPr>
      <w:color w:val="605E5C"/>
      <w:shd w:val="clear" w:color="auto" w:fill="E1DFDD"/>
    </w:rPr>
  </w:style>
  <w:style w:type="character" w:customStyle="1" w:styleId="Mention1">
    <w:name w:val="Mention1"/>
    <w:basedOn w:val="DefaultParagraphFont"/>
    <w:uiPriority w:val="99"/>
    <w:unhideWhenUsed/>
    <w:rsid w:val="00F93BF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3371160">
      <w:bodyDiv w:val="1"/>
      <w:marLeft w:val="0"/>
      <w:marRight w:val="0"/>
      <w:marTop w:val="0"/>
      <w:marBottom w:val="0"/>
      <w:divBdr>
        <w:top w:val="none" w:sz="0" w:space="0" w:color="auto"/>
        <w:left w:val="none" w:sz="0" w:space="0" w:color="auto"/>
        <w:bottom w:val="none" w:sz="0" w:space="0" w:color="auto"/>
        <w:right w:val="none" w:sz="0" w:space="0" w:color="auto"/>
      </w:divBdr>
    </w:div>
    <w:div w:id="825434161">
      <w:bodyDiv w:val="1"/>
      <w:marLeft w:val="0"/>
      <w:marRight w:val="0"/>
      <w:marTop w:val="0"/>
      <w:marBottom w:val="0"/>
      <w:divBdr>
        <w:top w:val="none" w:sz="0" w:space="0" w:color="auto"/>
        <w:left w:val="none" w:sz="0" w:space="0" w:color="auto"/>
        <w:bottom w:val="none" w:sz="0" w:space="0" w:color="auto"/>
        <w:right w:val="none" w:sz="0" w:space="0" w:color="auto"/>
      </w:divBdr>
    </w:div>
    <w:div w:id="162210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Licen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0" ma:contentTypeDescription="Create a new document." ma:contentTypeScope="" ma:versionID="73f783b29a1a71d4ecbfbac99e1d7ede">
  <xsd:schema xmlns:xsd="http://www.w3.org/2001/XMLSchema" xmlns:xs="http://www.w3.org/2001/XMLSchema" xmlns:p="http://schemas.microsoft.com/office/2006/metadata/properties" xmlns:ns2="978a1c12-3ab7-471e-b134-e7ba3975f64f" xmlns:ns3="f35b5cbd-7b0b-4440-92cd-b510cab4ec67" targetNamespace="http://schemas.microsoft.com/office/2006/metadata/properties" ma:root="true" ma:fieldsID="a928bd24ae3d8e620454dfa0ea4cdc5a" ns2:_="" ns3:_="">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391E26EB-1DB1-4661-85C0-F524187B8162}">
  <ds:schemaRefs>
    <ds:schemaRef ds:uri="http://www.w3.org/XML/1998/namespace"/>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2006/metadata/properties"/>
    <ds:schemaRef ds:uri="http://purl.org/dc/terms/"/>
    <ds:schemaRef ds:uri="http://schemas.microsoft.com/office/infopath/2007/PartnerControls"/>
    <ds:schemaRef ds:uri="f35b5cbd-7b0b-4440-92cd-b510cab4ec67"/>
    <ds:schemaRef ds:uri="978a1c12-3ab7-471e-b134-e7ba3975f64f"/>
  </ds:schemaRefs>
</ds:datastoreItem>
</file>

<file path=customXml/itemProps2.xml><?xml version="1.0" encoding="utf-8"?>
<ds:datastoreItem xmlns:ds="http://schemas.openxmlformats.org/officeDocument/2006/customXml" ds:itemID="{376E2A71-04AB-47B0-86E0-B6EA256113AA}">
  <ds:schemaRefs>
    <ds:schemaRef ds:uri="http://schemas.openxmlformats.org/officeDocument/2006/bibliography"/>
  </ds:schemaRefs>
</ds:datastoreItem>
</file>

<file path=customXml/itemProps3.xml><?xml version="1.0" encoding="utf-8"?>
<ds:datastoreItem xmlns:ds="http://schemas.openxmlformats.org/officeDocument/2006/customXml" ds:itemID="{ECA513C1-7F3E-4061-B9FC-04ED9F213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76898C-5157-4A35-84D6-0D3BADA6BB3E}">
  <ds:schemaRefs>
    <ds:schemaRef ds:uri="http://schemas.microsoft.com/sharepoint/v3/contenttype/forms"/>
  </ds:schemaRefs>
</ds:datastoreItem>
</file>

<file path=customXml/itemProps5.xml><?xml version="1.0" encoding="utf-8"?>
<ds:datastoreItem xmlns:ds="http://schemas.openxmlformats.org/officeDocument/2006/customXml" ds:itemID="{A5A02DD8-7142-4164-8A6E-80C1D6CBA3E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Template>
  <TotalTime>0</TotalTime>
  <Pages>146</Pages>
  <Words>38526</Words>
  <Characters>219602</Characters>
  <Application>Microsoft Office Word</Application>
  <DocSecurity>0</DocSecurity>
  <Lines>1830</Lines>
  <Paragraphs>515</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257613</CharactersWithSpaces>
  <SharedDoc>false</SharedDoc>
  <HLinks>
    <vt:vector size="492" baseType="variant">
      <vt:variant>
        <vt:i4>1245236</vt:i4>
      </vt:variant>
      <vt:variant>
        <vt:i4>488</vt:i4>
      </vt:variant>
      <vt:variant>
        <vt:i4>0</vt:i4>
      </vt:variant>
      <vt:variant>
        <vt:i4>5</vt:i4>
      </vt:variant>
      <vt:variant>
        <vt:lpwstr/>
      </vt:variant>
      <vt:variant>
        <vt:lpwstr>_Toc52364565</vt:lpwstr>
      </vt:variant>
      <vt:variant>
        <vt:i4>1179700</vt:i4>
      </vt:variant>
      <vt:variant>
        <vt:i4>482</vt:i4>
      </vt:variant>
      <vt:variant>
        <vt:i4>0</vt:i4>
      </vt:variant>
      <vt:variant>
        <vt:i4>5</vt:i4>
      </vt:variant>
      <vt:variant>
        <vt:lpwstr/>
      </vt:variant>
      <vt:variant>
        <vt:lpwstr>_Toc52364564</vt:lpwstr>
      </vt:variant>
      <vt:variant>
        <vt:i4>1376308</vt:i4>
      </vt:variant>
      <vt:variant>
        <vt:i4>476</vt:i4>
      </vt:variant>
      <vt:variant>
        <vt:i4>0</vt:i4>
      </vt:variant>
      <vt:variant>
        <vt:i4>5</vt:i4>
      </vt:variant>
      <vt:variant>
        <vt:lpwstr/>
      </vt:variant>
      <vt:variant>
        <vt:lpwstr>_Toc52364563</vt:lpwstr>
      </vt:variant>
      <vt:variant>
        <vt:i4>1310772</vt:i4>
      </vt:variant>
      <vt:variant>
        <vt:i4>470</vt:i4>
      </vt:variant>
      <vt:variant>
        <vt:i4>0</vt:i4>
      </vt:variant>
      <vt:variant>
        <vt:i4>5</vt:i4>
      </vt:variant>
      <vt:variant>
        <vt:lpwstr/>
      </vt:variant>
      <vt:variant>
        <vt:lpwstr>_Toc52364562</vt:lpwstr>
      </vt:variant>
      <vt:variant>
        <vt:i4>1507380</vt:i4>
      </vt:variant>
      <vt:variant>
        <vt:i4>464</vt:i4>
      </vt:variant>
      <vt:variant>
        <vt:i4>0</vt:i4>
      </vt:variant>
      <vt:variant>
        <vt:i4>5</vt:i4>
      </vt:variant>
      <vt:variant>
        <vt:lpwstr/>
      </vt:variant>
      <vt:variant>
        <vt:lpwstr>_Toc52364561</vt:lpwstr>
      </vt:variant>
      <vt:variant>
        <vt:i4>1441844</vt:i4>
      </vt:variant>
      <vt:variant>
        <vt:i4>458</vt:i4>
      </vt:variant>
      <vt:variant>
        <vt:i4>0</vt:i4>
      </vt:variant>
      <vt:variant>
        <vt:i4>5</vt:i4>
      </vt:variant>
      <vt:variant>
        <vt:lpwstr/>
      </vt:variant>
      <vt:variant>
        <vt:lpwstr>_Toc52364560</vt:lpwstr>
      </vt:variant>
      <vt:variant>
        <vt:i4>2031671</vt:i4>
      </vt:variant>
      <vt:variant>
        <vt:i4>452</vt:i4>
      </vt:variant>
      <vt:variant>
        <vt:i4>0</vt:i4>
      </vt:variant>
      <vt:variant>
        <vt:i4>5</vt:i4>
      </vt:variant>
      <vt:variant>
        <vt:lpwstr/>
      </vt:variant>
      <vt:variant>
        <vt:lpwstr>_Toc52364559</vt:lpwstr>
      </vt:variant>
      <vt:variant>
        <vt:i4>1966135</vt:i4>
      </vt:variant>
      <vt:variant>
        <vt:i4>446</vt:i4>
      </vt:variant>
      <vt:variant>
        <vt:i4>0</vt:i4>
      </vt:variant>
      <vt:variant>
        <vt:i4>5</vt:i4>
      </vt:variant>
      <vt:variant>
        <vt:lpwstr/>
      </vt:variant>
      <vt:variant>
        <vt:lpwstr>_Toc52364558</vt:lpwstr>
      </vt:variant>
      <vt:variant>
        <vt:i4>1114167</vt:i4>
      </vt:variant>
      <vt:variant>
        <vt:i4>440</vt:i4>
      </vt:variant>
      <vt:variant>
        <vt:i4>0</vt:i4>
      </vt:variant>
      <vt:variant>
        <vt:i4>5</vt:i4>
      </vt:variant>
      <vt:variant>
        <vt:lpwstr/>
      </vt:variant>
      <vt:variant>
        <vt:lpwstr>_Toc52364557</vt:lpwstr>
      </vt:variant>
      <vt:variant>
        <vt:i4>1048631</vt:i4>
      </vt:variant>
      <vt:variant>
        <vt:i4>434</vt:i4>
      </vt:variant>
      <vt:variant>
        <vt:i4>0</vt:i4>
      </vt:variant>
      <vt:variant>
        <vt:i4>5</vt:i4>
      </vt:variant>
      <vt:variant>
        <vt:lpwstr/>
      </vt:variant>
      <vt:variant>
        <vt:lpwstr>_Toc52364556</vt:lpwstr>
      </vt:variant>
      <vt:variant>
        <vt:i4>1245239</vt:i4>
      </vt:variant>
      <vt:variant>
        <vt:i4>428</vt:i4>
      </vt:variant>
      <vt:variant>
        <vt:i4>0</vt:i4>
      </vt:variant>
      <vt:variant>
        <vt:i4>5</vt:i4>
      </vt:variant>
      <vt:variant>
        <vt:lpwstr/>
      </vt:variant>
      <vt:variant>
        <vt:lpwstr>_Toc52364555</vt:lpwstr>
      </vt:variant>
      <vt:variant>
        <vt:i4>1179703</vt:i4>
      </vt:variant>
      <vt:variant>
        <vt:i4>422</vt:i4>
      </vt:variant>
      <vt:variant>
        <vt:i4>0</vt:i4>
      </vt:variant>
      <vt:variant>
        <vt:i4>5</vt:i4>
      </vt:variant>
      <vt:variant>
        <vt:lpwstr/>
      </vt:variant>
      <vt:variant>
        <vt:lpwstr>_Toc52364554</vt:lpwstr>
      </vt:variant>
      <vt:variant>
        <vt:i4>1376311</vt:i4>
      </vt:variant>
      <vt:variant>
        <vt:i4>416</vt:i4>
      </vt:variant>
      <vt:variant>
        <vt:i4>0</vt:i4>
      </vt:variant>
      <vt:variant>
        <vt:i4>5</vt:i4>
      </vt:variant>
      <vt:variant>
        <vt:lpwstr/>
      </vt:variant>
      <vt:variant>
        <vt:lpwstr>_Toc52364553</vt:lpwstr>
      </vt:variant>
      <vt:variant>
        <vt:i4>1310775</vt:i4>
      </vt:variant>
      <vt:variant>
        <vt:i4>410</vt:i4>
      </vt:variant>
      <vt:variant>
        <vt:i4>0</vt:i4>
      </vt:variant>
      <vt:variant>
        <vt:i4>5</vt:i4>
      </vt:variant>
      <vt:variant>
        <vt:lpwstr/>
      </vt:variant>
      <vt:variant>
        <vt:lpwstr>_Toc52364552</vt:lpwstr>
      </vt:variant>
      <vt:variant>
        <vt:i4>1507383</vt:i4>
      </vt:variant>
      <vt:variant>
        <vt:i4>404</vt:i4>
      </vt:variant>
      <vt:variant>
        <vt:i4>0</vt:i4>
      </vt:variant>
      <vt:variant>
        <vt:i4>5</vt:i4>
      </vt:variant>
      <vt:variant>
        <vt:lpwstr/>
      </vt:variant>
      <vt:variant>
        <vt:lpwstr>_Toc52364551</vt:lpwstr>
      </vt:variant>
      <vt:variant>
        <vt:i4>1441847</vt:i4>
      </vt:variant>
      <vt:variant>
        <vt:i4>398</vt:i4>
      </vt:variant>
      <vt:variant>
        <vt:i4>0</vt:i4>
      </vt:variant>
      <vt:variant>
        <vt:i4>5</vt:i4>
      </vt:variant>
      <vt:variant>
        <vt:lpwstr/>
      </vt:variant>
      <vt:variant>
        <vt:lpwstr>_Toc52364550</vt:lpwstr>
      </vt:variant>
      <vt:variant>
        <vt:i4>2031670</vt:i4>
      </vt:variant>
      <vt:variant>
        <vt:i4>392</vt:i4>
      </vt:variant>
      <vt:variant>
        <vt:i4>0</vt:i4>
      </vt:variant>
      <vt:variant>
        <vt:i4>5</vt:i4>
      </vt:variant>
      <vt:variant>
        <vt:lpwstr/>
      </vt:variant>
      <vt:variant>
        <vt:lpwstr>_Toc52364549</vt:lpwstr>
      </vt:variant>
      <vt:variant>
        <vt:i4>1966134</vt:i4>
      </vt:variant>
      <vt:variant>
        <vt:i4>386</vt:i4>
      </vt:variant>
      <vt:variant>
        <vt:i4>0</vt:i4>
      </vt:variant>
      <vt:variant>
        <vt:i4>5</vt:i4>
      </vt:variant>
      <vt:variant>
        <vt:lpwstr/>
      </vt:variant>
      <vt:variant>
        <vt:lpwstr>_Toc52364548</vt:lpwstr>
      </vt:variant>
      <vt:variant>
        <vt:i4>1114166</vt:i4>
      </vt:variant>
      <vt:variant>
        <vt:i4>380</vt:i4>
      </vt:variant>
      <vt:variant>
        <vt:i4>0</vt:i4>
      </vt:variant>
      <vt:variant>
        <vt:i4>5</vt:i4>
      </vt:variant>
      <vt:variant>
        <vt:lpwstr/>
      </vt:variant>
      <vt:variant>
        <vt:lpwstr>_Toc52364547</vt:lpwstr>
      </vt:variant>
      <vt:variant>
        <vt:i4>1048630</vt:i4>
      </vt:variant>
      <vt:variant>
        <vt:i4>374</vt:i4>
      </vt:variant>
      <vt:variant>
        <vt:i4>0</vt:i4>
      </vt:variant>
      <vt:variant>
        <vt:i4>5</vt:i4>
      </vt:variant>
      <vt:variant>
        <vt:lpwstr/>
      </vt:variant>
      <vt:variant>
        <vt:lpwstr>_Toc52364546</vt:lpwstr>
      </vt:variant>
      <vt:variant>
        <vt:i4>1245238</vt:i4>
      </vt:variant>
      <vt:variant>
        <vt:i4>368</vt:i4>
      </vt:variant>
      <vt:variant>
        <vt:i4>0</vt:i4>
      </vt:variant>
      <vt:variant>
        <vt:i4>5</vt:i4>
      </vt:variant>
      <vt:variant>
        <vt:lpwstr/>
      </vt:variant>
      <vt:variant>
        <vt:lpwstr>_Toc52364545</vt:lpwstr>
      </vt:variant>
      <vt:variant>
        <vt:i4>1179702</vt:i4>
      </vt:variant>
      <vt:variant>
        <vt:i4>362</vt:i4>
      </vt:variant>
      <vt:variant>
        <vt:i4>0</vt:i4>
      </vt:variant>
      <vt:variant>
        <vt:i4>5</vt:i4>
      </vt:variant>
      <vt:variant>
        <vt:lpwstr/>
      </vt:variant>
      <vt:variant>
        <vt:lpwstr>_Toc52364544</vt:lpwstr>
      </vt:variant>
      <vt:variant>
        <vt:i4>1376310</vt:i4>
      </vt:variant>
      <vt:variant>
        <vt:i4>356</vt:i4>
      </vt:variant>
      <vt:variant>
        <vt:i4>0</vt:i4>
      </vt:variant>
      <vt:variant>
        <vt:i4>5</vt:i4>
      </vt:variant>
      <vt:variant>
        <vt:lpwstr/>
      </vt:variant>
      <vt:variant>
        <vt:lpwstr>_Toc52364543</vt:lpwstr>
      </vt:variant>
      <vt:variant>
        <vt:i4>1310774</vt:i4>
      </vt:variant>
      <vt:variant>
        <vt:i4>350</vt:i4>
      </vt:variant>
      <vt:variant>
        <vt:i4>0</vt:i4>
      </vt:variant>
      <vt:variant>
        <vt:i4>5</vt:i4>
      </vt:variant>
      <vt:variant>
        <vt:lpwstr/>
      </vt:variant>
      <vt:variant>
        <vt:lpwstr>_Toc52364542</vt:lpwstr>
      </vt:variant>
      <vt:variant>
        <vt:i4>1507382</vt:i4>
      </vt:variant>
      <vt:variant>
        <vt:i4>344</vt:i4>
      </vt:variant>
      <vt:variant>
        <vt:i4>0</vt:i4>
      </vt:variant>
      <vt:variant>
        <vt:i4>5</vt:i4>
      </vt:variant>
      <vt:variant>
        <vt:lpwstr/>
      </vt:variant>
      <vt:variant>
        <vt:lpwstr>_Toc52364541</vt:lpwstr>
      </vt:variant>
      <vt:variant>
        <vt:i4>1441846</vt:i4>
      </vt:variant>
      <vt:variant>
        <vt:i4>338</vt:i4>
      </vt:variant>
      <vt:variant>
        <vt:i4>0</vt:i4>
      </vt:variant>
      <vt:variant>
        <vt:i4>5</vt:i4>
      </vt:variant>
      <vt:variant>
        <vt:lpwstr/>
      </vt:variant>
      <vt:variant>
        <vt:lpwstr>_Toc52364540</vt:lpwstr>
      </vt:variant>
      <vt:variant>
        <vt:i4>2031665</vt:i4>
      </vt:variant>
      <vt:variant>
        <vt:i4>332</vt:i4>
      </vt:variant>
      <vt:variant>
        <vt:i4>0</vt:i4>
      </vt:variant>
      <vt:variant>
        <vt:i4>5</vt:i4>
      </vt:variant>
      <vt:variant>
        <vt:lpwstr/>
      </vt:variant>
      <vt:variant>
        <vt:lpwstr>_Toc52364539</vt:lpwstr>
      </vt:variant>
      <vt:variant>
        <vt:i4>1966129</vt:i4>
      </vt:variant>
      <vt:variant>
        <vt:i4>326</vt:i4>
      </vt:variant>
      <vt:variant>
        <vt:i4>0</vt:i4>
      </vt:variant>
      <vt:variant>
        <vt:i4>5</vt:i4>
      </vt:variant>
      <vt:variant>
        <vt:lpwstr/>
      </vt:variant>
      <vt:variant>
        <vt:lpwstr>_Toc52364538</vt:lpwstr>
      </vt:variant>
      <vt:variant>
        <vt:i4>1114161</vt:i4>
      </vt:variant>
      <vt:variant>
        <vt:i4>320</vt:i4>
      </vt:variant>
      <vt:variant>
        <vt:i4>0</vt:i4>
      </vt:variant>
      <vt:variant>
        <vt:i4>5</vt:i4>
      </vt:variant>
      <vt:variant>
        <vt:lpwstr/>
      </vt:variant>
      <vt:variant>
        <vt:lpwstr>_Toc52364537</vt:lpwstr>
      </vt:variant>
      <vt:variant>
        <vt:i4>1048625</vt:i4>
      </vt:variant>
      <vt:variant>
        <vt:i4>314</vt:i4>
      </vt:variant>
      <vt:variant>
        <vt:i4>0</vt:i4>
      </vt:variant>
      <vt:variant>
        <vt:i4>5</vt:i4>
      </vt:variant>
      <vt:variant>
        <vt:lpwstr/>
      </vt:variant>
      <vt:variant>
        <vt:lpwstr>_Toc52364536</vt:lpwstr>
      </vt:variant>
      <vt:variant>
        <vt:i4>1245233</vt:i4>
      </vt:variant>
      <vt:variant>
        <vt:i4>308</vt:i4>
      </vt:variant>
      <vt:variant>
        <vt:i4>0</vt:i4>
      </vt:variant>
      <vt:variant>
        <vt:i4>5</vt:i4>
      </vt:variant>
      <vt:variant>
        <vt:lpwstr/>
      </vt:variant>
      <vt:variant>
        <vt:lpwstr>_Toc52364535</vt:lpwstr>
      </vt:variant>
      <vt:variant>
        <vt:i4>1179697</vt:i4>
      </vt:variant>
      <vt:variant>
        <vt:i4>302</vt:i4>
      </vt:variant>
      <vt:variant>
        <vt:i4>0</vt:i4>
      </vt:variant>
      <vt:variant>
        <vt:i4>5</vt:i4>
      </vt:variant>
      <vt:variant>
        <vt:lpwstr/>
      </vt:variant>
      <vt:variant>
        <vt:lpwstr>_Toc52364534</vt:lpwstr>
      </vt:variant>
      <vt:variant>
        <vt:i4>1376305</vt:i4>
      </vt:variant>
      <vt:variant>
        <vt:i4>296</vt:i4>
      </vt:variant>
      <vt:variant>
        <vt:i4>0</vt:i4>
      </vt:variant>
      <vt:variant>
        <vt:i4>5</vt:i4>
      </vt:variant>
      <vt:variant>
        <vt:lpwstr/>
      </vt:variant>
      <vt:variant>
        <vt:lpwstr>_Toc52364533</vt:lpwstr>
      </vt:variant>
      <vt:variant>
        <vt:i4>1310769</vt:i4>
      </vt:variant>
      <vt:variant>
        <vt:i4>290</vt:i4>
      </vt:variant>
      <vt:variant>
        <vt:i4>0</vt:i4>
      </vt:variant>
      <vt:variant>
        <vt:i4>5</vt:i4>
      </vt:variant>
      <vt:variant>
        <vt:lpwstr/>
      </vt:variant>
      <vt:variant>
        <vt:lpwstr>_Toc52364532</vt:lpwstr>
      </vt:variant>
      <vt:variant>
        <vt:i4>1507377</vt:i4>
      </vt:variant>
      <vt:variant>
        <vt:i4>284</vt:i4>
      </vt:variant>
      <vt:variant>
        <vt:i4>0</vt:i4>
      </vt:variant>
      <vt:variant>
        <vt:i4>5</vt:i4>
      </vt:variant>
      <vt:variant>
        <vt:lpwstr/>
      </vt:variant>
      <vt:variant>
        <vt:lpwstr>_Toc52364531</vt:lpwstr>
      </vt:variant>
      <vt:variant>
        <vt:i4>1441841</vt:i4>
      </vt:variant>
      <vt:variant>
        <vt:i4>278</vt:i4>
      </vt:variant>
      <vt:variant>
        <vt:i4>0</vt:i4>
      </vt:variant>
      <vt:variant>
        <vt:i4>5</vt:i4>
      </vt:variant>
      <vt:variant>
        <vt:lpwstr/>
      </vt:variant>
      <vt:variant>
        <vt:lpwstr>_Toc52364530</vt:lpwstr>
      </vt:variant>
      <vt:variant>
        <vt:i4>2031664</vt:i4>
      </vt:variant>
      <vt:variant>
        <vt:i4>272</vt:i4>
      </vt:variant>
      <vt:variant>
        <vt:i4>0</vt:i4>
      </vt:variant>
      <vt:variant>
        <vt:i4>5</vt:i4>
      </vt:variant>
      <vt:variant>
        <vt:lpwstr/>
      </vt:variant>
      <vt:variant>
        <vt:lpwstr>_Toc52364529</vt:lpwstr>
      </vt:variant>
      <vt:variant>
        <vt:i4>1966128</vt:i4>
      </vt:variant>
      <vt:variant>
        <vt:i4>266</vt:i4>
      </vt:variant>
      <vt:variant>
        <vt:i4>0</vt:i4>
      </vt:variant>
      <vt:variant>
        <vt:i4>5</vt:i4>
      </vt:variant>
      <vt:variant>
        <vt:lpwstr/>
      </vt:variant>
      <vt:variant>
        <vt:lpwstr>_Toc52364528</vt:lpwstr>
      </vt:variant>
      <vt:variant>
        <vt:i4>1114160</vt:i4>
      </vt:variant>
      <vt:variant>
        <vt:i4>260</vt:i4>
      </vt:variant>
      <vt:variant>
        <vt:i4>0</vt:i4>
      </vt:variant>
      <vt:variant>
        <vt:i4>5</vt:i4>
      </vt:variant>
      <vt:variant>
        <vt:lpwstr/>
      </vt:variant>
      <vt:variant>
        <vt:lpwstr>_Toc52364527</vt:lpwstr>
      </vt:variant>
      <vt:variant>
        <vt:i4>1048624</vt:i4>
      </vt:variant>
      <vt:variant>
        <vt:i4>254</vt:i4>
      </vt:variant>
      <vt:variant>
        <vt:i4>0</vt:i4>
      </vt:variant>
      <vt:variant>
        <vt:i4>5</vt:i4>
      </vt:variant>
      <vt:variant>
        <vt:lpwstr/>
      </vt:variant>
      <vt:variant>
        <vt:lpwstr>_Toc52364526</vt:lpwstr>
      </vt:variant>
      <vt:variant>
        <vt:i4>1245232</vt:i4>
      </vt:variant>
      <vt:variant>
        <vt:i4>248</vt:i4>
      </vt:variant>
      <vt:variant>
        <vt:i4>0</vt:i4>
      </vt:variant>
      <vt:variant>
        <vt:i4>5</vt:i4>
      </vt:variant>
      <vt:variant>
        <vt:lpwstr/>
      </vt:variant>
      <vt:variant>
        <vt:lpwstr>_Toc52364525</vt:lpwstr>
      </vt:variant>
      <vt:variant>
        <vt:i4>1179696</vt:i4>
      </vt:variant>
      <vt:variant>
        <vt:i4>242</vt:i4>
      </vt:variant>
      <vt:variant>
        <vt:i4>0</vt:i4>
      </vt:variant>
      <vt:variant>
        <vt:i4>5</vt:i4>
      </vt:variant>
      <vt:variant>
        <vt:lpwstr/>
      </vt:variant>
      <vt:variant>
        <vt:lpwstr>_Toc52364524</vt:lpwstr>
      </vt:variant>
      <vt:variant>
        <vt:i4>1376304</vt:i4>
      </vt:variant>
      <vt:variant>
        <vt:i4>236</vt:i4>
      </vt:variant>
      <vt:variant>
        <vt:i4>0</vt:i4>
      </vt:variant>
      <vt:variant>
        <vt:i4>5</vt:i4>
      </vt:variant>
      <vt:variant>
        <vt:lpwstr/>
      </vt:variant>
      <vt:variant>
        <vt:lpwstr>_Toc52364523</vt:lpwstr>
      </vt:variant>
      <vt:variant>
        <vt:i4>1310768</vt:i4>
      </vt:variant>
      <vt:variant>
        <vt:i4>230</vt:i4>
      </vt:variant>
      <vt:variant>
        <vt:i4>0</vt:i4>
      </vt:variant>
      <vt:variant>
        <vt:i4>5</vt:i4>
      </vt:variant>
      <vt:variant>
        <vt:lpwstr/>
      </vt:variant>
      <vt:variant>
        <vt:lpwstr>_Toc52364522</vt:lpwstr>
      </vt:variant>
      <vt:variant>
        <vt:i4>1507376</vt:i4>
      </vt:variant>
      <vt:variant>
        <vt:i4>224</vt:i4>
      </vt:variant>
      <vt:variant>
        <vt:i4>0</vt:i4>
      </vt:variant>
      <vt:variant>
        <vt:i4>5</vt:i4>
      </vt:variant>
      <vt:variant>
        <vt:lpwstr/>
      </vt:variant>
      <vt:variant>
        <vt:lpwstr>_Toc52364521</vt:lpwstr>
      </vt:variant>
      <vt:variant>
        <vt:i4>1441840</vt:i4>
      </vt:variant>
      <vt:variant>
        <vt:i4>218</vt:i4>
      </vt:variant>
      <vt:variant>
        <vt:i4>0</vt:i4>
      </vt:variant>
      <vt:variant>
        <vt:i4>5</vt:i4>
      </vt:variant>
      <vt:variant>
        <vt:lpwstr/>
      </vt:variant>
      <vt:variant>
        <vt:lpwstr>_Toc52364520</vt:lpwstr>
      </vt:variant>
      <vt:variant>
        <vt:i4>2031667</vt:i4>
      </vt:variant>
      <vt:variant>
        <vt:i4>212</vt:i4>
      </vt:variant>
      <vt:variant>
        <vt:i4>0</vt:i4>
      </vt:variant>
      <vt:variant>
        <vt:i4>5</vt:i4>
      </vt:variant>
      <vt:variant>
        <vt:lpwstr/>
      </vt:variant>
      <vt:variant>
        <vt:lpwstr>_Toc52364519</vt:lpwstr>
      </vt:variant>
      <vt:variant>
        <vt:i4>1966131</vt:i4>
      </vt:variant>
      <vt:variant>
        <vt:i4>206</vt:i4>
      </vt:variant>
      <vt:variant>
        <vt:i4>0</vt:i4>
      </vt:variant>
      <vt:variant>
        <vt:i4>5</vt:i4>
      </vt:variant>
      <vt:variant>
        <vt:lpwstr/>
      </vt:variant>
      <vt:variant>
        <vt:lpwstr>_Toc52364518</vt:lpwstr>
      </vt:variant>
      <vt:variant>
        <vt:i4>1114163</vt:i4>
      </vt:variant>
      <vt:variant>
        <vt:i4>200</vt:i4>
      </vt:variant>
      <vt:variant>
        <vt:i4>0</vt:i4>
      </vt:variant>
      <vt:variant>
        <vt:i4>5</vt:i4>
      </vt:variant>
      <vt:variant>
        <vt:lpwstr/>
      </vt:variant>
      <vt:variant>
        <vt:lpwstr>_Toc52364517</vt:lpwstr>
      </vt:variant>
      <vt:variant>
        <vt:i4>1048627</vt:i4>
      </vt:variant>
      <vt:variant>
        <vt:i4>194</vt:i4>
      </vt:variant>
      <vt:variant>
        <vt:i4>0</vt:i4>
      </vt:variant>
      <vt:variant>
        <vt:i4>5</vt:i4>
      </vt:variant>
      <vt:variant>
        <vt:lpwstr/>
      </vt:variant>
      <vt:variant>
        <vt:lpwstr>_Toc52364516</vt:lpwstr>
      </vt:variant>
      <vt:variant>
        <vt:i4>1245235</vt:i4>
      </vt:variant>
      <vt:variant>
        <vt:i4>188</vt:i4>
      </vt:variant>
      <vt:variant>
        <vt:i4>0</vt:i4>
      </vt:variant>
      <vt:variant>
        <vt:i4>5</vt:i4>
      </vt:variant>
      <vt:variant>
        <vt:lpwstr/>
      </vt:variant>
      <vt:variant>
        <vt:lpwstr>_Toc52364515</vt:lpwstr>
      </vt:variant>
      <vt:variant>
        <vt:i4>1179699</vt:i4>
      </vt:variant>
      <vt:variant>
        <vt:i4>182</vt:i4>
      </vt:variant>
      <vt:variant>
        <vt:i4>0</vt:i4>
      </vt:variant>
      <vt:variant>
        <vt:i4>5</vt:i4>
      </vt:variant>
      <vt:variant>
        <vt:lpwstr/>
      </vt:variant>
      <vt:variant>
        <vt:lpwstr>_Toc52364514</vt:lpwstr>
      </vt:variant>
      <vt:variant>
        <vt:i4>1376307</vt:i4>
      </vt:variant>
      <vt:variant>
        <vt:i4>176</vt:i4>
      </vt:variant>
      <vt:variant>
        <vt:i4>0</vt:i4>
      </vt:variant>
      <vt:variant>
        <vt:i4>5</vt:i4>
      </vt:variant>
      <vt:variant>
        <vt:lpwstr/>
      </vt:variant>
      <vt:variant>
        <vt:lpwstr>_Toc52364513</vt:lpwstr>
      </vt:variant>
      <vt:variant>
        <vt:i4>1310771</vt:i4>
      </vt:variant>
      <vt:variant>
        <vt:i4>170</vt:i4>
      </vt:variant>
      <vt:variant>
        <vt:i4>0</vt:i4>
      </vt:variant>
      <vt:variant>
        <vt:i4>5</vt:i4>
      </vt:variant>
      <vt:variant>
        <vt:lpwstr/>
      </vt:variant>
      <vt:variant>
        <vt:lpwstr>_Toc52364512</vt:lpwstr>
      </vt:variant>
      <vt:variant>
        <vt:i4>1507379</vt:i4>
      </vt:variant>
      <vt:variant>
        <vt:i4>164</vt:i4>
      </vt:variant>
      <vt:variant>
        <vt:i4>0</vt:i4>
      </vt:variant>
      <vt:variant>
        <vt:i4>5</vt:i4>
      </vt:variant>
      <vt:variant>
        <vt:lpwstr/>
      </vt:variant>
      <vt:variant>
        <vt:lpwstr>_Toc52364511</vt:lpwstr>
      </vt:variant>
      <vt:variant>
        <vt:i4>1441843</vt:i4>
      </vt:variant>
      <vt:variant>
        <vt:i4>158</vt:i4>
      </vt:variant>
      <vt:variant>
        <vt:i4>0</vt:i4>
      </vt:variant>
      <vt:variant>
        <vt:i4>5</vt:i4>
      </vt:variant>
      <vt:variant>
        <vt:lpwstr/>
      </vt:variant>
      <vt:variant>
        <vt:lpwstr>_Toc52364510</vt:lpwstr>
      </vt:variant>
      <vt:variant>
        <vt:i4>2031666</vt:i4>
      </vt:variant>
      <vt:variant>
        <vt:i4>152</vt:i4>
      </vt:variant>
      <vt:variant>
        <vt:i4>0</vt:i4>
      </vt:variant>
      <vt:variant>
        <vt:i4>5</vt:i4>
      </vt:variant>
      <vt:variant>
        <vt:lpwstr/>
      </vt:variant>
      <vt:variant>
        <vt:lpwstr>_Toc52364509</vt:lpwstr>
      </vt:variant>
      <vt:variant>
        <vt:i4>1966130</vt:i4>
      </vt:variant>
      <vt:variant>
        <vt:i4>146</vt:i4>
      </vt:variant>
      <vt:variant>
        <vt:i4>0</vt:i4>
      </vt:variant>
      <vt:variant>
        <vt:i4>5</vt:i4>
      </vt:variant>
      <vt:variant>
        <vt:lpwstr/>
      </vt:variant>
      <vt:variant>
        <vt:lpwstr>_Toc52364508</vt:lpwstr>
      </vt:variant>
      <vt:variant>
        <vt:i4>1114162</vt:i4>
      </vt:variant>
      <vt:variant>
        <vt:i4>140</vt:i4>
      </vt:variant>
      <vt:variant>
        <vt:i4>0</vt:i4>
      </vt:variant>
      <vt:variant>
        <vt:i4>5</vt:i4>
      </vt:variant>
      <vt:variant>
        <vt:lpwstr/>
      </vt:variant>
      <vt:variant>
        <vt:lpwstr>_Toc52364507</vt:lpwstr>
      </vt:variant>
      <vt:variant>
        <vt:i4>1048626</vt:i4>
      </vt:variant>
      <vt:variant>
        <vt:i4>134</vt:i4>
      </vt:variant>
      <vt:variant>
        <vt:i4>0</vt:i4>
      </vt:variant>
      <vt:variant>
        <vt:i4>5</vt:i4>
      </vt:variant>
      <vt:variant>
        <vt:lpwstr/>
      </vt:variant>
      <vt:variant>
        <vt:lpwstr>_Toc52364506</vt:lpwstr>
      </vt:variant>
      <vt:variant>
        <vt:i4>1245234</vt:i4>
      </vt:variant>
      <vt:variant>
        <vt:i4>128</vt:i4>
      </vt:variant>
      <vt:variant>
        <vt:i4>0</vt:i4>
      </vt:variant>
      <vt:variant>
        <vt:i4>5</vt:i4>
      </vt:variant>
      <vt:variant>
        <vt:lpwstr/>
      </vt:variant>
      <vt:variant>
        <vt:lpwstr>_Toc52364505</vt:lpwstr>
      </vt:variant>
      <vt:variant>
        <vt:i4>1179698</vt:i4>
      </vt:variant>
      <vt:variant>
        <vt:i4>122</vt:i4>
      </vt:variant>
      <vt:variant>
        <vt:i4>0</vt:i4>
      </vt:variant>
      <vt:variant>
        <vt:i4>5</vt:i4>
      </vt:variant>
      <vt:variant>
        <vt:lpwstr/>
      </vt:variant>
      <vt:variant>
        <vt:lpwstr>_Toc52364504</vt:lpwstr>
      </vt:variant>
      <vt:variant>
        <vt:i4>1376306</vt:i4>
      </vt:variant>
      <vt:variant>
        <vt:i4>116</vt:i4>
      </vt:variant>
      <vt:variant>
        <vt:i4>0</vt:i4>
      </vt:variant>
      <vt:variant>
        <vt:i4>5</vt:i4>
      </vt:variant>
      <vt:variant>
        <vt:lpwstr/>
      </vt:variant>
      <vt:variant>
        <vt:lpwstr>_Toc52364503</vt:lpwstr>
      </vt:variant>
      <vt:variant>
        <vt:i4>1310770</vt:i4>
      </vt:variant>
      <vt:variant>
        <vt:i4>110</vt:i4>
      </vt:variant>
      <vt:variant>
        <vt:i4>0</vt:i4>
      </vt:variant>
      <vt:variant>
        <vt:i4>5</vt:i4>
      </vt:variant>
      <vt:variant>
        <vt:lpwstr/>
      </vt:variant>
      <vt:variant>
        <vt:lpwstr>_Toc52364502</vt:lpwstr>
      </vt:variant>
      <vt:variant>
        <vt:i4>1507378</vt:i4>
      </vt:variant>
      <vt:variant>
        <vt:i4>104</vt:i4>
      </vt:variant>
      <vt:variant>
        <vt:i4>0</vt:i4>
      </vt:variant>
      <vt:variant>
        <vt:i4>5</vt:i4>
      </vt:variant>
      <vt:variant>
        <vt:lpwstr/>
      </vt:variant>
      <vt:variant>
        <vt:lpwstr>_Toc52364501</vt:lpwstr>
      </vt:variant>
      <vt:variant>
        <vt:i4>1441842</vt:i4>
      </vt:variant>
      <vt:variant>
        <vt:i4>98</vt:i4>
      </vt:variant>
      <vt:variant>
        <vt:i4>0</vt:i4>
      </vt:variant>
      <vt:variant>
        <vt:i4>5</vt:i4>
      </vt:variant>
      <vt:variant>
        <vt:lpwstr/>
      </vt:variant>
      <vt:variant>
        <vt:lpwstr>_Toc52364500</vt:lpwstr>
      </vt:variant>
      <vt:variant>
        <vt:i4>1966139</vt:i4>
      </vt:variant>
      <vt:variant>
        <vt:i4>92</vt:i4>
      </vt:variant>
      <vt:variant>
        <vt:i4>0</vt:i4>
      </vt:variant>
      <vt:variant>
        <vt:i4>5</vt:i4>
      </vt:variant>
      <vt:variant>
        <vt:lpwstr/>
      </vt:variant>
      <vt:variant>
        <vt:lpwstr>_Toc52364499</vt:lpwstr>
      </vt:variant>
      <vt:variant>
        <vt:i4>2031675</vt:i4>
      </vt:variant>
      <vt:variant>
        <vt:i4>86</vt:i4>
      </vt:variant>
      <vt:variant>
        <vt:i4>0</vt:i4>
      </vt:variant>
      <vt:variant>
        <vt:i4>5</vt:i4>
      </vt:variant>
      <vt:variant>
        <vt:lpwstr/>
      </vt:variant>
      <vt:variant>
        <vt:lpwstr>_Toc52364498</vt:lpwstr>
      </vt:variant>
      <vt:variant>
        <vt:i4>1048635</vt:i4>
      </vt:variant>
      <vt:variant>
        <vt:i4>80</vt:i4>
      </vt:variant>
      <vt:variant>
        <vt:i4>0</vt:i4>
      </vt:variant>
      <vt:variant>
        <vt:i4>5</vt:i4>
      </vt:variant>
      <vt:variant>
        <vt:lpwstr/>
      </vt:variant>
      <vt:variant>
        <vt:lpwstr>_Toc52364497</vt:lpwstr>
      </vt:variant>
      <vt:variant>
        <vt:i4>1114171</vt:i4>
      </vt:variant>
      <vt:variant>
        <vt:i4>74</vt:i4>
      </vt:variant>
      <vt:variant>
        <vt:i4>0</vt:i4>
      </vt:variant>
      <vt:variant>
        <vt:i4>5</vt:i4>
      </vt:variant>
      <vt:variant>
        <vt:lpwstr/>
      </vt:variant>
      <vt:variant>
        <vt:lpwstr>_Toc52364496</vt:lpwstr>
      </vt:variant>
      <vt:variant>
        <vt:i4>1179707</vt:i4>
      </vt:variant>
      <vt:variant>
        <vt:i4>68</vt:i4>
      </vt:variant>
      <vt:variant>
        <vt:i4>0</vt:i4>
      </vt:variant>
      <vt:variant>
        <vt:i4>5</vt:i4>
      </vt:variant>
      <vt:variant>
        <vt:lpwstr/>
      </vt:variant>
      <vt:variant>
        <vt:lpwstr>_Toc52364495</vt:lpwstr>
      </vt:variant>
      <vt:variant>
        <vt:i4>1245243</vt:i4>
      </vt:variant>
      <vt:variant>
        <vt:i4>62</vt:i4>
      </vt:variant>
      <vt:variant>
        <vt:i4>0</vt:i4>
      </vt:variant>
      <vt:variant>
        <vt:i4>5</vt:i4>
      </vt:variant>
      <vt:variant>
        <vt:lpwstr/>
      </vt:variant>
      <vt:variant>
        <vt:lpwstr>_Toc52364494</vt:lpwstr>
      </vt:variant>
      <vt:variant>
        <vt:i4>1310779</vt:i4>
      </vt:variant>
      <vt:variant>
        <vt:i4>56</vt:i4>
      </vt:variant>
      <vt:variant>
        <vt:i4>0</vt:i4>
      </vt:variant>
      <vt:variant>
        <vt:i4>5</vt:i4>
      </vt:variant>
      <vt:variant>
        <vt:lpwstr/>
      </vt:variant>
      <vt:variant>
        <vt:lpwstr>_Toc52364493</vt:lpwstr>
      </vt:variant>
      <vt:variant>
        <vt:i4>1376315</vt:i4>
      </vt:variant>
      <vt:variant>
        <vt:i4>50</vt:i4>
      </vt:variant>
      <vt:variant>
        <vt:i4>0</vt:i4>
      </vt:variant>
      <vt:variant>
        <vt:i4>5</vt:i4>
      </vt:variant>
      <vt:variant>
        <vt:lpwstr/>
      </vt:variant>
      <vt:variant>
        <vt:lpwstr>_Toc52364492</vt:lpwstr>
      </vt:variant>
      <vt:variant>
        <vt:i4>1441851</vt:i4>
      </vt:variant>
      <vt:variant>
        <vt:i4>44</vt:i4>
      </vt:variant>
      <vt:variant>
        <vt:i4>0</vt:i4>
      </vt:variant>
      <vt:variant>
        <vt:i4>5</vt:i4>
      </vt:variant>
      <vt:variant>
        <vt:lpwstr/>
      </vt:variant>
      <vt:variant>
        <vt:lpwstr>_Toc52364491</vt:lpwstr>
      </vt:variant>
      <vt:variant>
        <vt:i4>1507387</vt:i4>
      </vt:variant>
      <vt:variant>
        <vt:i4>38</vt:i4>
      </vt:variant>
      <vt:variant>
        <vt:i4>0</vt:i4>
      </vt:variant>
      <vt:variant>
        <vt:i4>5</vt:i4>
      </vt:variant>
      <vt:variant>
        <vt:lpwstr/>
      </vt:variant>
      <vt:variant>
        <vt:lpwstr>_Toc52364490</vt:lpwstr>
      </vt:variant>
      <vt:variant>
        <vt:i4>1966138</vt:i4>
      </vt:variant>
      <vt:variant>
        <vt:i4>32</vt:i4>
      </vt:variant>
      <vt:variant>
        <vt:i4>0</vt:i4>
      </vt:variant>
      <vt:variant>
        <vt:i4>5</vt:i4>
      </vt:variant>
      <vt:variant>
        <vt:lpwstr/>
      </vt:variant>
      <vt:variant>
        <vt:lpwstr>_Toc52364489</vt:lpwstr>
      </vt:variant>
      <vt:variant>
        <vt:i4>2031674</vt:i4>
      </vt:variant>
      <vt:variant>
        <vt:i4>26</vt:i4>
      </vt:variant>
      <vt:variant>
        <vt:i4>0</vt:i4>
      </vt:variant>
      <vt:variant>
        <vt:i4>5</vt:i4>
      </vt:variant>
      <vt:variant>
        <vt:lpwstr/>
      </vt:variant>
      <vt:variant>
        <vt:lpwstr>_Toc52364488</vt:lpwstr>
      </vt:variant>
      <vt:variant>
        <vt:i4>1048634</vt:i4>
      </vt:variant>
      <vt:variant>
        <vt:i4>20</vt:i4>
      </vt:variant>
      <vt:variant>
        <vt:i4>0</vt:i4>
      </vt:variant>
      <vt:variant>
        <vt:i4>5</vt:i4>
      </vt:variant>
      <vt:variant>
        <vt:lpwstr/>
      </vt:variant>
      <vt:variant>
        <vt:lpwstr>_Toc52364487</vt:lpwstr>
      </vt:variant>
      <vt:variant>
        <vt:i4>1114170</vt:i4>
      </vt:variant>
      <vt:variant>
        <vt:i4>14</vt:i4>
      </vt:variant>
      <vt:variant>
        <vt:i4>0</vt:i4>
      </vt:variant>
      <vt:variant>
        <vt:i4>5</vt:i4>
      </vt:variant>
      <vt:variant>
        <vt:lpwstr/>
      </vt:variant>
      <vt:variant>
        <vt:lpwstr>_Toc52364486</vt:lpwstr>
      </vt:variant>
      <vt:variant>
        <vt:i4>1179706</vt:i4>
      </vt:variant>
      <vt:variant>
        <vt:i4>8</vt:i4>
      </vt:variant>
      <vt:variant>
        <vt:i4>0</vt:i4>
      </vt:variant>
      <vt:variant>
        <vt:i4>5</vt:i4>
      </vt:variant>
      <vt:variant>
        <vt:lpwstr/>
      </vt:variant>
      <vt:variant>
        <vt:lpwstr>_Toc52364485</vt:lpwstr>
      </vt:variant>
      <vt:variant>
        <vt:i4>1245242</vt:i4>
      </vt:variant>
      <vt:variant>
        <vt:i4>2</vt:i4>
      </vt:variant>
      <vt:variant>
        <vt:i4>0</vt:i4>
      </vt:variant>
      <vt:variant>
        <vt:i4>5</vt:i4>
      </vt:variant>
      <vt:variant>
        <vt:lpwstr/>
      </vt:variant>
      <vt:variant>
        <vt:lpwstr>_Toc52364484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Lomas</dc:creator>
  <cp:keywords/>
  <dc:description/>
  <cp:lastModifiedBy>Eilidh Alexander</cp:lastModifiedBy>
  <cp:revision>2</cp:revision>
  <cp:lastPrinted>2020-08-20T00:14:00Z</cp:lastPrinted>
  <dcterms:created xsi:type="dcterms:W3CDTF">2020-10-16T08:33:00Z</dcterms:created>
  <dcterms:modified xsi:type="dcterms:W3CDTF">2020-10-16T08:33:00Z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Saver">
    <vt:lpwstr>RwYhLYqPYZcpWQeTtyJbO4R+egLOOotA</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2020-08-10T18:22:46Z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55e4faa5-df5c-4d82-9849-68caa6670f03</vt:lpwstr>
  </property>
  <property fmtid="{D5CDD505-2E9C-101B-9397-08002B2CF9AE}" pid="12" name="MSIP_Label_38144ccb-b10a-4c0f-b070-7a3b00ac7463_ContentBits">
    <vt:lpwstr>2</vt:lpwstr>
  </property>
  <property fmtid="{D5CDD505-2E9C-101B-9397-08002B2CF9AE}" pid="13" name="ContentTypeId">
    <vt:lpwstr>0x0101003D6E278D99252B4B99C7589ABDD35CB5</vt:lpwstr>
  </property>
  <property fmtid="{D5CDD505-2E9C-101B-9397-08002B2CF9AE}" pid="14" name="docIndexRef">
    <vt:lpwstr>9a665588-cc12-487f-89fd-8b8b0fce15a5</vt:lpwstr>
  </property>
  <property fmtid="{D5CDD505-2E9C-101B-9397-08002B2CF9AE}" pid="15" name="bjClsUserRVM">
    <vt:lpwstr>[]</vt:lpwstr>
  </property>
  <property fmtid="{D5CDD505-2E9C-101B-9397-08002B2CF9AE}" pid="16" name="bjDocumentSecurityLabel">
    <vt:lpwstr>OFFICIAL</vt:lpwstr>
  </property>
  <property fmtid="{D5CDD505-2E9C-101B-9397-08002B2CF9AE}" pid="17"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18" name="bjDocumentLabelXML-0">
    <vt:lpwstr>ames.com/2008/01/sie/internal/label"&gt;&lt;element uid="id_classification_nonbusiness" value="" /&gt;&lt;/sisl&gt;</vt:lpwstr>
  </property>
</Properties>
</file>