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2CC121" w14:textId="77777777" w:rsidR="0050588B" w:rsidRDefault="0050588B" w:rsidP="00CB0609">
      <w:pPr>
        <w:pStyle w:val="Title"/>
      </w:pPr>
    </w:p>
    <w:p w14:paraId="35F2F67F" w14:textId="27BB655F" w:rsidR="00341467" w:rsidRDefault="00CB0609" w:rsidP="00CB0609">
      <w:pPr>
        <w:pStyle w:val="Title"/>
      </w:pPr>
      <w:r>
        <w:t>Licensee Limited</w:t>
      </w:r>
    </w:p>
    <w:p w14:paraId="44E739D5" w14:textId="77777777" w:rsidR="00CB0609" w:rsidRDefault="00CB0609" w:rsidP="00CB0609">
      <w:pPr>
        <w:pStyle w:val="Title"/>
      </w:pPr>
      <w:r>
        <w:t>Gas Transporter Licence</w:t>
      </w:r>
    </w:p>
    <w:p w14:paraId="75A27618" w14:textId="77777777" w:rsidR="0009677E" w:rsidRDefault="009A7836" w:rsidP="00CB0609">
      <w:pPr>
        <w:pStyle w:val="Title"/>
      </w:pPr>
      <w:r>
        <w:t>Special Conditions</w:t>
      </w:r>
    </w:p>
    <w:p w14:paraId="74996F20" w14:textId="77777777" w:rsidR="00814F50" w:rsidRDefault="00814F50" w:rsidP="00CB0609">
      <w:pPr>
        <w:pStyle w:val="Title"/>
      </w:pPr>
      <w:r w:rsidRPr="00814F50">
        <w:rPr>
          <w:highlight w:val="yellow"/>
        </w:rPr>
        <w:t xml:space="preserve">DRAFT </w:t>
      </w:r>
    </w:p>
    <w:p w14:paraId="3D491AEE" w14:textId="77777777" w:rsidR="0009677E" w:rsidRDefault="0009677E" w:rsidP="0009677E">
      <w:pPr>
        <w:rPr>
          <w:rFonts w:ascii="Arial" w:eastAsiaTheme="majorEastAsia" w:hAnsi="Arial" w:cstheme="majorBidi"/>
          <w:spacing w:val="-10"/>
          <w:kern w:val="28"/>
          <w:sz w:val="36"/>
          <w:szCs w:val="56"/>
        </w:rPr>
      </w:pPr>
      <w:r>
        <w:br w:type="page"/>
      </w:r>
    </w:p>
    <w:p w14:paraId="389B037D" w14:textId="77777777" w:rsidR="009A7836" w:rsidRDefault="00C275C5" w:rsidP="005011C8">
      <w:pPr>
        <w:pStyle w:val="TOCHeading"/>
      </w:pPr>
      <w:bookmarkStart w:id="0" w:name="_Toc33175301"/>
      <w:r>
        <w:lastRenderedPageBreak/>
        <w:t>Contents</w:t>
      </w:r>
      <w:bookmarkEnd w:id="0"/>
    </w:p>
    <w:p w14:paraId="57A37BAA" w14:textId="592DBE30" w:rsidR="008C7681" w:rsidRDefault="00D51F4A">
      <w:pPr>
        <w:pStyle w:val="TOC1"/>
        <w:rPr>
          <w:rFonts w:asciiTheme="minorHAnsi" w:eastAsiaTheme="minorEastAsia" w:hAnsiTheme="minorHAnsi"/>
          <w:b w:val="0"/>
          <w:sz w:val="22"/>
          <w:szCs w:val="22"/>
          <w:lang w:eastAsia="en-GB"/>
        </w:rPr>
      </w:pPr>
      <w:r>
        <w:fldChar w:fldCharType="begin"/>
      </w:r>
      <w:r>
        <w:instrText xml:space="preserve"> TOC \h \z \t "Heading 1,1,Heading 2,2" </w:instrText>
      </w:r>
      <w:r>
        <w:fldChar w:fldCharType="separate"/>
      </w:r>
      <w:hyperlink w:anchor="_Toc52364527" w:history="1">
        <w:r w:rsidR="008C7681" w:rsidRPr="00365ED0">
          <w:rPr>
            <w:rStyle w:val="Hyperlink"/>
          </w:rPr>
          <w:t>Chapter 1: Interpretation and definitions</w:t>
        </w:r>
        <w:r w:rsidR="008C7681">
          <w:rPr>
            <w:webHidden/>
          </w:rPr>
          <w:tab/>
        </w:r>
        <w:r w:rsidR="008C7681">
          <w:rPr>
            <w:webHidden/>
          </w:rPr>
          <w:fldChar w:fldCharType="begin"/>
        </w:r>
        <w:r w:rsidR="008C7681">
          <w:rPr>
            <w:webHidden/>
          </w:rPr>
          <w:instrText xml:space="preserve"> PAGEREF _Toc52364527 \h </w:instrText>
        </w:r>
        <w:r w:rsidR="008C7681">
          <w:rPr>
            <w:webHidden/>
          </w:rPr>
        </w:r>
        <w:r w:rsidR="008C7681">
          <w:rPr>
            <w:webHidden/>
          </w:rPr>
          <w:fldChar w:fldCharType="separate"/>
        </w:r>
        <w:r w:rsidR="008C7681">
          <w:rPr>
            <w:webHidden/>
          </w:rPr>
          <w:t>5</w:t>
        </w:r>
        <w:r w:rsidR="008C7681">
          <w:rPr>
            <w:webHidden/>
          </w:rPr>
          <w:fldChar w:fldCharType="end"/>
        </w:r>
      </w:hyperlink>
    </w:p>
    <w:p w14:paraId="35CC15C8" w14:textId="7BA50BD9" w:rsidR="008C7681" w:rsidRDefault="008C7681">
      <w:pPr>
        <w:pStyle w:val="TOC2"/>
        <w:tabs>
          <w:tab w:val="right" w:pos="9016"/>
        </w:tabs>
        <w:rPr>
          <w:rFonts w:asciiTheme="minorHAnsi" w:eastAsiaTheme="minorEastAsia" w:hAnsiTheme="minorHAnsi"/>
          <w:noProof/>
          <w:sz w:val="22"/>
          <w:szCs w:val="22"/>
          <w:lang w:eastAsia="en-GB"/>
        </w:rPr>
      </w:pPr>
      <w:hyperlink w:anchor="_Toc52364528" w:history="1">
        <w:r w:rsidRPr="00365ED0">
          <w:rPr>
            <w:rStyle w:val="Hyperlink"/>
            <w:noProof/>
          </w:rPr>
          <w:t>Special Condition 1.1 Interpretation and definitions</w:t>
        </w:r>
        <w:r>
          <w:rPr>
            <w:noProof/>
            <w:webHidden/>
          </w:rPr>
          <w:tab/>
        </w:r>
        <w:r>
          <w:rPr>
            <w:noProof/>
            <w:webHidden/>
          </w:rPr>
          <w:fldChar w:fldCharType="begin"/>
        </w:r>
        <w:r>
          <w:rPr>
            <w:noProof/>
            <w:webHidden/>
          </w:rPr>
          <w:instrText xml:space="preserve"> PAGEREF _Toc52364528 \h </w:instrText>
        </w:r>
        <w:r>
          <w:rPr>
            <w:noProof/>
            <w:webHidden/>
          </w:rPr>
        </w:r>
        <w:r>
          <w:rPr>
            <w:noProof/>
            <w:webHidden/>
          </w:rPr>
          <w:fldChar w:fldCharType="separate"/>
        </w:r>
        <w:r>
          <w:rPr>
            <w:noProof/>
            <w:webHidden/>
          </w:rPr>
          <w:t>5</w:t>
        </w:r>
        <w:r>
          <w:rPr>
            <w:noProof/>
            <w:webHidden/>
          </w:rPr>
          <w:fldChar w:fldCharType="end"/>
        </w:r>
      </w:hyperlink>
    </w:p>
    <w:p w14:paraId="716C5825" w14:textId="5A84222B" w:rsidR="008C7681" w:rsidRDefault="008C7681">
      <w:pPr>
        <w:pStyle w:val="TOC1"/>
        <w:rPr>
          <w:rFonts w:asciiTheme="minorHAnsi" w:eastAsiaTheme="minorEastAsia" w:hAnsiTheme="minorHAnsi"/>
          <w:b w:val="0"/>
          <w:sz w:val="22"/>
          <w:szCs w:val="22"/>
          <w:lang w:eastAsia="en-GB"/>
        </w:rPr>
      </w:pPr>
      <w:hyperlink w:anchor="_Toc52364529" w:history="1">
        <w:r w:rsidRPr="00365ED0">
          <w:rPr>
            <w:rStyle w:val="Hyperlink"/>
          </w:rPr>
          <w:t>Chapter 2: Revenue Restriction</w:t>
        </w:r>
        <w:r>
          <w:rPr>
            <w:webHidden/>
          </w:rPr>
          <w:tab/>
        </w:r>
        <w:r>
          <w:rPr>
            <w:webHidden/>
          </w:rPr>
          <w:fldChar w:fldCharType="begin"/>
        </w:r>
        <w:r>
          <w:rPr>
            <w:webHidden/>
          </w:rPr>
          <w:instrText xml:space="preserve"> PAGEREF _Toc52364529 \h </w:instrText>
        </w:r>
        <w:r>
          <w:rPr>
            <w:webHidden/>
          </w:rPr>
        </w:r>
        <w:r>
          <w:rPr>
            <w:webHidden/>
          </w:rPr>
          <w:fldChar w:fldCharType="separate"/>
        </w:r>
        <w:r>
          <w:rPr>
            <w:webHidden/>
          </w:rPr>
          <w:t>7</w:t>
        </w:r>
        <w:r>
          <w:rPr>
            <w:webHidden/>
          </w:rPr>
          <w:fldChar w:fldCharType="end"/>
        </w:r>
      </w:hyperlink>
    </w:p>
    <w:p w14:paraId="647E7003" w14:textId="5BB5F336" w:rsidR="008C7681" w:rsidRDefault="008C7681">
      <w:pPr>
        <w:pStyle w:val="TOC2"/>
        <w:tabs>
          <w:tab w:val="right" w:pos="9016"/>
        </w:tabs>
        <w:rPr>
          <w:rFonts w:asciiTheme="minorHAnsi" w:eastAsiaTheme="minorEastAsia" w:hAnsiTheme="minorHAnsi"/>
          <w:noProof/>
          <w:sz w:val="22"/>
          <w:szCs w:val="22"/>
          <w:lang w:eastAsia="en-GB"/>
        </w:rPr>
      </w:pPr>
      <w:hyperlink w:anchor="_Toc52364530" w:history="1">
        <w:r w:rsidRPr="00365ED0">
          <w:rPr>
            <w:rStyle w:val="Hyperlink"/>
            <w:noProof/>
          </w:rPr>
          <w:t>Special Condition 2.1 Revenue Restriction</w:t>
        </w:r>
        <w:r>
          <w:rPr>
            <w:noProof/>
            <w:webHidden/>
          </w:rPr>
          <w:tab/>
        </w:r>
        <w:r>
          <w:rPr>
            <w:noProof/>
            <w:webHidden/>
          </w:rPr>
          <w:fldChar w:fldCharType="begin"/>
        </w:r>
        <w:r>
          <w:rPr>
            <w:noProof/>
            <w:webHidden/>
          </w:rPr>
          <w:instrText xml:space="preserve"> PAGEREF _Toc52364530 \h </w:instrText>
        </w:r>
        <w:r>
          <w:rPr>
            <w:noProof/>
            <w:webHidden/>
          </w:rPr>
        </w:r>
        <w:r>
          <w:rPr>
            <w:noProof/>
            <w:webHidden/>
          </w:rPr>
          <w:fldChar w:fldCharType="separate"/>
        </w:r>
        <w:r>
          <w:rPr>
            <w:noProof/>
            <w:webHidden/>
          </w:rPr>
          <w:t>7</w:t>
        </w:r>
        <w:r>
          <w:rPr>
            <w:noProof/>
            <w:webHidden/>
          </w:rPr>
          <w:fldChar w:fldCharType="end"/>
        </w:r>
      </w:hyperlink>
    </w:p>
    <w:p w14:paraId="619C0492" w14:textId="738C51C5" w:rsidR="008C7681" w:rsidRDefault="008C7681">
      <w:pPr>
        <w:pStyle w:val="TOC2"/>
        <w:tabs>
          <w:tab w:val="right" w:pos="9016"/>
        </w:tabs>
        <w:rPr>
          <w:rFonts w:asciiTheme="minorHAnsi" w:eastAsiaTheme="minorEastAsia" w:hAnsiTheme="minorHAnsi"/>
          <w:noProof/>
          <w:sz w:val="22"/>
          <w:szCs w:val="22"/>
          <w:lang w:eastAsia="en-GB"/>
        </w:rPr>
      </w:pPr>
      <w:hyperlink w:anchor="_Toc52364531" w:history="1">
        <w:r w:rsidRPr="00365ED0">
          <w:rPr>
            <w:rStyle w:val="Hyperlink"/>
            <w:noProof/>
          </w:rPr>
          <w:t>Special Condition 2.2 AIP adjustment term (ADJ</w:t>
        </w:r>
        <w:r w:rsidRPr="00365ED0">
          <w:rPr>
            <w:rStyle w:val="Hyperlink"/>
            <w:noProof/>
            <w:vertAlign w:val="subscript"/>
          </w:rPr>
          <w:t>t</w:t>
        </w:r>
        <w:r w:rsidRPr="00365ED0">
          <w:rPr>
            <w:rStyle w:val="Hyperlink"/>
            <w:noProof/>
          </w:rPr>
          <w:t>)</w:t>
        </w:r>
        <w:r>
          <w:rPr>
            <w:noProof/>
            <w:webHidden/>
          </w:rPr>
          <w:tab/>
        </w:r>
        <w:r>
          <w:rPr>
            <w:noProof/>
            <w:webHidden/>
          </w:rPr>
          <w:fldChar w:fldCharType="begin"/>
        </w:r>
        <w:r>
          <w:rPr>
            <w:noProof/>
            <w:webHidden/>
          </w:rPr>
          <w:instrText xml:space="preserve"> PAGEREF _Toc52364531 \h </w:instrText>
        </w:r>
        <w:r>
          <w:rPr>
            <w:noProof/>
            <w:webHidden/>
          </w:rPr>
        </w:r>
        <w:r>
          <w:rPr>
            <w:noProof/>
            <w:webHidden/>
          </w:rPr>
          <w:fldChar w:fldCharType="separate"/>
        </w:r>
        <w:r>
          <w:rPr>
            <w:noProof/>
            <w:webHidden/>
          </w:rPr>
          <w:t>9</w:t>
        </w:r>
        <w:r>
          <w:rPr>
            <w:noProof/>
            <w:webHidden/>
          </w:rPr>
          <w:fldChar w:fldCharType="end"/>
        </w:r>
      </w:hyperlink>
    </w:p>
    <w:p w14:paraId="39683AF1" w14:textId="5211C2A8" w:rsidR="008C7681" w:rsidRDefault="008C7681">
      <w:pPr>
        <w:pStyle w:val="TOC2"/>
        <w:tabs>
          <w:tab w:val="right" w:pos="9016"/>
        </w:tabs>
        <w:rPr>
          <w:rFonts w:asciiTheme="minorHAnsi" w:eastAsiaTheme="minorEastAsia" w:hAnsiTheme="minorHAnsi"/>
          <w:noProof/>
          <w:sz w:val="22"/>
          <w:szCs w:val="22"/>
          <w:lang w:eastAsia="en-GB"/>
        </w:rPr>
      </w:pPr>
      <w:hyperlink w:anchor="_Toc52364532" w:history="1">
        <w:r w:rsidRPr="00365ED0">
          <w:rPr>
            <w:rStyle w:val="Hyperlink"/>
            <w:noProof/>
          </w:rPr>
          <w:t>Special Condition 2.3 Correction and penalty terms</w:t>
        </w:r>
        <w:r>
          <w:rPr>
            <w:noProof/>
            <w:webHidden/>
          </w:rPr>
          <w:tab/>
        </w:r>
        <w:r>
          <w:rPr>
            <w:noProof/>
            <w:webHidden/>
          </w:rPr>
          <w:fldChar w:fldCharType="begin"/>
        </w:r>
        <w:r>
          <w:rPr>
            <w:noProof/>
            <w:webHidden/>
          </w:rPr>
          <w:instrText xml:space="preserve"> PAGEREF _Toc52364532 \h </w:instrText>
        </w:r>
        <w:r>
          <w:rPr>
            <w:noProof/>
            <w:webHidden/>
          </w:rPr>
        </w:r>
        <w:r>
          <w:rPr>
            <w:noProof/>
            <w:webHidden/>
          </w:rPr>
          <w:fldChar w:fldCharType="separate"/>
        </w:r>
        <w:r>
          <w:rPr>
            <w:noProof/>
            <w:webHidden/>
          </w:rPr>
          <w:t>10</w:t>
        </w:r>
        <w:r>
          <w:rPr>
            <w:noProof/>
            <w:webHidden/>
          </w:rPr>
          <w:fldChar w:fldCharType="end"/>
        </w:r>
      </w:hyperlink>
    </w:p>
    <w:p w14:paraId="6EAA0A96" w14:textId="62362650" w:rsidR="008C7681" w:rsidRDefault="008C7681">
      <w:pPr>
        <w:pStyle w:val="TOC2"/>
        <w:tabs>
          <w:tab w:val="right" w:pos="9016"/>
        </w:tabs>
        <w:rPr>
          <w:rFonts w:asciiTheme="minorHAnsi" w:eastAsiaTheme="minorEastAsia" w:hAnsiTheme="minorHAnsi"/>
          <w:noProof/>
          <w:sz w:val="22"/>
          <w:szCs w:val="22"/>
          <w:lang w:eastAsia="en-GB"/>
        </w:rPr>
      </w:pPr>
      <w:hyperlink w:anchor="_Toc52364533" w:history="1">
        <w:r w:rsidRPr="00365ED0">
          <w:rPr>
            <w:rStyle w:val="Hyperlink"/>
            <w:noProof/>
          </w:rPr>
          <w:t>Special Condition 2.4 Tax Review Adjustment (TAXA</w:t>
        </w:r>
        <w:r w:rsidRPr="00365ED0">
          <w:rPr>
            <w:rStyle w:val="Hyperlink"/>
            <w:noProof/>
            <w:vertAlign w:val="subscript"/>
          </w:rPr>
          <w:t>t</w:t>
        </w:r>
        <w:r w:rsidRPr="00365ED0">
          <w:rPr>
            <w:rStyle w:val="Hyperlink"/>
            <w:noProof/>
          </w:rPr>
          <w:t>)</w:t>
        </w:r>
        <w:r>
          <w:rPr>
            <w:noProof/>
            <w:webHidden/>
          </w:rPr>
          <w:tab/>
        </w:r>
        <w:r>
          <w:rPr>
            <w:noProof/>
            <w:webHidden/>
          </w:rPr>
          <w:fldChar w:fldCharType="begin"/>
        </w:r>
        <w:r>
          <w:rPr>
            <w:noProof/>
            <w:webHidden/>
          </w:rPr>
          <w:instrText xml:space="preserve"> PAGEREF _Toc52364533 \h </w:instrText>
        </w:r>
        <w:r>
          <w:rPr>
            <w:noProof/>
            <w:webHidden/>
          </w:rPr>
        </w:r>
        <w:r>
          <w:rPr>
            <w:noProof/>
            <w:webHidden/>
          </w:rPr>
          <w:fldChar w:fldCharType="separate"/>
        </w:r>
        <w:r>
          <w:rPr>
            <w:noProof/>
            <w:webHidden/>
          </w:rPr>
          <w:t>11</w:t>
        </w:r>
        <w:r>
          <w:rPr>
            <w:noProof/>
            <w:webHidden/>
          </w:rPr>
          <w:fldChar w:fldCharType="end"/>
        </w:r>
      </w:hyperlink>
    </w:p>
    <w:p w14:paraId="0C6510EF" w14:textId="70175BA9" w:rsidR="008C7681" w:rsidRDefault="008C7681">
      <w:pPr>
        <w:pStyle w:val="TOC1"/>
        <w:rPr>
          <w:rFonts w:asciiTheme="minorHAnsi" w:eastAsiaTheme="minorEastAsia" w:hAnsiTheme="minorHAnsi"/>
          <w:b w:val="0"/>
          <w:sz w:val="22"/>
          <w:szCs w:val="22"/>
          <w:lang w:eastAsia="en-GB"/>
        </w:rPr>
      </w:pPr>
      <w:hyperlink w:anchor="_Toc52364534" w:history="1">
        <w:r w:rsidRPr="00365ED0">
          <w:rPr>
            <w:rStyle w:val="Hyperlink"/>
          </w:rPr>
          <w:t>Chapter 3: Adjustments to Totex Allowance</w:t>
        </w:r>
        <w:r>
          <w:rPr>
            <w:webHidden/>
          </w:rPr>
          <w:tab/>
        </w:r>
        <w:r>
          <w:rPr>
            <w:webHidden/>
          </w:rPr>
          <w:fldChar w:fldCharType="begin"/>
        </w:r>
        <w:r>
          <w:rPr>
            <w:webHidden/>
          </w:rPr>
          <w:instrText xml:space="preserve"> PAGEREF _Toc52364534 \h </w:instrText>
        </w:r>
        <w:r>
          <w:rPr>
            <w:webHidden/>
          </w:rPr>
        </w:r>
        <w:r>
          <w:rPr>
            <w:webHidden/>
          </w:rPr>
          <w:fldChar w:fldCharType="separate"/>
        </w:r>
        <w:r>
          <w:rPr>
            <w:webHidden/>
          </w:rPr>
          <w:t>13</w:t>
        </w:r>
        <w:r>
          <w:rPr>
            <w:webHidden/>
          </w:rPr>
          <w:fldChar w:fldCharType="end"/>
        </w:r>
      </w:hyperlink>
    </w:p>
    <w:p w14:paraId="1C475ECB" w14:textId="4991D7F3" w:rsidR="008C7681" w:rsidRDefault="008C7681">
      <w:pPr>
        <w:pStyle w:val="TOC2"/>
        <w:tabs>
          <w:tab w:val="right" w:pos="9016"/>
        </w:tabs>
        <w:rPr>
          <w:rFonts w:asciiTheme="minorHAnsi" w:eastAsiaTheme="minorEastAsia" w:hAnsiTheme="minorHAnsi"/>
          <w:noProof/>
          <w:sz w:val="22"/>
          <w:szCs w:val="22"/>
          <w:lang w:eastAsia="en-GB"/>
        </w:rPr>
      </w:pPr>
      <w:hyperlink w:anchor="_Toc52364535" w:history="1">
        <w:r w:rsidRPr="00365ED0">
          <w:rPr>
            <w:rStyle w:val="Hyperlink"/>
            <w:noProof/>
          </w:rPr>
          <w:t>Special Condition 3.1 Baseline Network Risk Output</w:t>
        </w:r>
        <w:r>
          <w:rPr>
            <w:noProof/>
            <w:webHidden/>
          </w:rPr>
          <w:tab/>
        </w:r>
        <w:r>
          <w:rPr>
            <w:noProof/>
            <w:webHidden/>
          </w:rPr>
          <w:fldChar w:fldCharType="begin"/>
        </w:r>
        <w:r>
          <w:rPr>
            <w:noProof/>
            <w:webHidden/>
          </w:rPr>
          <w:instrText xml:space="preserve"> PAGEREF _Toc52364535 \h </w:instrText>
        </w:r>
        <w:r>
          <w:rPr>
            <w:noProof/>
            <w:webHidden/>
          </w:rPr>
        </w:r>
        <w:r>
          <w:rPr>
            <w:noProof/>
            <w:webHidden/>
          </w:rPr>
          <w:fldChar w:fldCharType="separate"/>
        </w:r>
        <w:r>
          <w:rPr>
            <w:noProof/>
            <w:webHidden/>
          </w:rPr>
          <w:t>13</w:t>
        </w:r>
        <w:r>
          <w:rPr>
            <w:noProof/>
            <w:webHidden/>
          </w:rPr>
          <w:fldChar w:fldCharType="end"/>
        </w:r>
      </w:hyperlink>
    </w:p>
    <w:p w14:paraId="790C4D89" w14:textId="7C33D47C" w:rsidR="008C7681" w:rsidRDefault="008C7681">
      <w:pPr>
        <w:pStyle w:val="TOC2"/>
        <w:tabs>
          <w:tab w:val="right" w:pos="9016"/>
        </w:tabs>
        <w:rPr>
          <w:rFonts w:asciiTheme="minorHAnsi" w:eastAsiaTheme="minorEastAsia" w:hAnsiTheme="minorHAnsi"/>
          <w:noProof/>
          <w:sz w:val="22"/>
          <w:szCs w:val="22"/>
          <w:lang w:eastAsia="en-GB"/>
        </w:rPr>
      </w:pPr>
      <w:hyperlink w:anchor="_Toc52364536" w:history="1">
        <w:r w:rsidRPr="00365ED0">
          <w:rPr>
            <w:rStyle w:val="Hyperlink"/>
            <w:noProof/>
          </w:rPr>
          <w:t>Special Condition 3.2 Cyber resilience operational technology Re-opener and Price Control Deliverable (CROT</w:t>
        </w:r>
        <w:r w:rsidRPr="00365ED0">
          <w:rPr>
            <w:rStyle w:val="Hyperlink"/>
            <w:noProof/>
            <w:vertAlign w:val="subscript"/>
          </w:rPr>
          <w:t>t</w:t>
        </w:r>
        <w:r w:rsidRPr="00365ED0">
          <w:rPr>
            <w:rStyle w:val="Hyperlink"/>
            <w:noProof/>
          </w:rPr>
          <w:t>)</w:t>
        </w:r>
        <w:r>
          <w:rPr>
            <w:noProof/>
            <w:webHidden/>
          </w:rPr>
          <w:tab/>
        </w:r>
        <w:r>
          <w:rPr>
            <w:noProof/>
            <w:webHidden/>
          </w:rPr>
          <w:fldChar w:fldCharType="begin"/>
        </w:r>
        <w:r>
          <w:rPr>
            <w:noProof/>
            <w:webHidden/>
          </w:rPr>
          <w:instrText xml:space="preserve"> PAGEREF _Toc52364536 \h </w:instrText>
        </w:r>
        <w:r>
          <w:rPr>
            <w:noProof/>
            <w:webHidden/>
          </w:rPr>
        </w:r>
        <w:r>
          <w:rPr>
            <w:noProof/>
            <w:webHidden/>
          </w:rPr>
          <w:fldChar w:fldCharType="separate"/>
        </w:r>
        <w:r>
          <w:rPr>
            <w:noProof/>
            <w:webHidden/>
          </w:rPr>
          <w:t>15</w:t>
        </w:r>
        <w:r>
          <w:rPr>
            <w:noProof/>
            <w:webHidden/>
          </w:rPr>
          <w:fldChar w:fldCharType="end"/>
        </w:r>
      </w:hyperlink>
    </w:p>
    <w:p w14:paraId="68077F06" w14:textId="28835808" w:rsidR="008C7681" w:rsidRDefault="008C7681">
      <w:pPr>
        <w:pStyle w:val="TOC2"/>
        <w:tabs>
          <w:tab w:val="right" w:pos="9016"/>
        </w:tabs>
        <w:rPr>
          <w:rFonts w:asciiTheme="minorHAnsi" w:eastAsiaTheme="minorEastAsia" w:hAnsiTheme="minorHAnsi"/>
          <w:noProof/>
          <w:sz w:val="22"/>
          <w:szCs w:val="22"/>
          <w:lang w:eastAsia="en-GB"/>
        </w:rPr>
      </w:pPr>
      <w:hyperlink w:anchor="_Toc52364537" w:history="1">
        <w:r w:rsidRPr="00365ED0">
          <w:rPr>
            <w:rStyle w:val="Hyperlink"/>
            <w:noProof/>
          </w:rPr>
          <w:t>Special Condition 3.3 Cyber resilience information technology Re-opener and Price Control Deliverable (CRIT</w:t>
        </w:r>
        <w:r w:rsidRPr="00365ED0">
          <w:rPr>
            <w:rStyle w:val="Hyperlink"/>
            <w:noProof/>
            <w:vertAlign w:val="subscript"/>
          </w:rPr>
          <w:t>t</w:t>
        </w:r>
        <w:r w:rsidRPr="00365ED0">
          <w:rPr>
            <w:rStyle w:val="Hyperlink"/>
            <w:noProof/>
          </w:rPr>
          <w:t>)</w:t>
        </w:r>
        <w:r>
          <w:rPr>
            <w:noProof/>
            <w:webHidden/>
          </w:rPr>
          <w:tab/>
        </w:r>
        <w:r>
          <w:rPr>
            <w:noProof/>
            <w:webHidden/>
          </w:rPr>
          <w:fldChar w:fldCharType="begin"/>
        </w:r>
        <w:r>
          <w:rPr>
            <w:noProof/>
            <w:webHidden/>
          </w:rPr>
          <w:instrText xml:space="preserve"> PAGEREF _Toc52364537 \h </w:instrText>
        </w:r>
        <w:r>
          <w:rPr>
            <w:noProof/>
            <w:webHidden/>
          </w:rPr>
        </w:r>
        <w:r>
          <w:rPr>
            <w:noProof/>
            <w:webHidden/>
          </w:rPr>
          <w:fldChar w:fldCharType="separate"/>
        </w:r>
        <w:r>
          <w:rPr>
            <w:noProof/>
            <w:webHidden/>
          </w:rPr>
          <w:t>19</w:t>
        </w:r>
        <w:r>
          <w:rPr>
            <w:noProof/>
            <w:webHidden/>
          </w:rPr>
          <w:fldChar w:fldCharType="end"/>
        </w:r>
      </w:hyperlink>
    </w:p>
    <w:p w14:paraId="02A0E592" w14:textId="6F11A0F9" w:rsidR="008C7681" w:rsidRDefault="008C7681">
      <w:pPr>
        <w:pStyle w:val="TOC2"/>
        <w:tabs>
          <w:tab w:val="right" w:pos="9016"/>
        </w:tabs>
        <w:rPr>
          <w:rFonts w:asciiTheme="minorHAnsi" w:eastAsiaTheme="minorEastAsia" w:hAnsiTheme="minorHAnsi"/>
          <w:noProof/>
          <w:sz w:val="22"/>
          <w:szCs w:val="22"/>
          <w:lang w:eastAsia="en-GB"/>
        </w:rPr>
      </w:pPr>
      <w:hyperlink w:anchor="_Toc52364538" w:history="1">
        <w:r w:rsidRPr="00365ED0">
          <w:rPr>
            <w:rStyle w:val="Hyperlink"/>
            <w:noProof/>
          </w:rPr>
          <w:t>Special Condition 3.4 Physical Security Re-opener and Price Control Deliverable (PSUP</w:t>
        </w:r>
        <w:r w:rsidRPr="00365ED0">
          <w:rPr>
            <w:rStyle w:val="Hyperlink"/>
            <w:noProof/>
            <w:vertAlign w:val="subscript"/>
          </w:rPr>
          <w:t>t</w:t>
        </w:r>
        <w:r w:rsidRPr="00365ED0">
          <w:rPr>
            <w:rStyle w:val="Hyperlink"/>
            <w:noProof/>
          </w:rPr>
          <w:t>)</w:t>
        </w:r>
        <w:r>
          <w:rPr>
            <w:noProof/>
            <w:webHidden/>
          </w:rPr>
          <w:tab/>
        </w:r>
        <w:r>
          <w:rPr>
            <w:noProof/>
            <w:webHidden/>
          </w:rPr>
          <w:fldChar w:fldCharType="begin"/>
        </w:r>
        <w:r>
          <w:rPr>
            <w:noProof/>
            <w:webHidden/>
          </w:rPr>
          <w:instrText xml:space="preserve"> PAGEREF _Toc52364538 \h </w:instrText>
        </w:r>
        <w:r>
          <w:rPr>
            <w:noProof/>
            <w:webHidden/>
          </w:rPr>
        </w:r>
        <w:r>
          <w:rPr>
            <w:noProof/>
            <w:webHidden/>
          </w:rPr>
          <w:fldChar w:fldCharType="separate"/>
        </w:r>
        <w:r>
          <w:rPr>
            <w:noProof/>
            <w:webHidden/>
          </w:rPr>
          <w:t>23</w:t>
        </w:r>
        <w:r>
          <w:rPr>
            <w:noProof/>
            <w:webHidden/>
          </w:rPr>
          <w:fldChar w:fldCharType="end"/>
        </w:r>
      </w:hyperlink>
    </w:p>
    <w:p w14:paraId="7193C417" w14:textId="205D4522" w:rsidR="008C7681" w:rsidRDefault="008C7681">
      <w:pPr>
        <w:pStyle w:val="TOC2"/>
        <w:tabs>
          <w:tab w:val="right" w:pos="9016"/>
        </w:tabs>
        <w:rPr>
          <w:rFonts w:asciiTheme="minorHAnsi" w:eastAsiaTheme="minorEastAsia" w:hAnsiTheme="minorHAnsi"/>
          <w:noProof/>
          <w:sz w:val="22"/>
          <w:szCs w:val="22"/>
          <w:lang w:eastAsia="en-GB"/>
        </w:rPr>
      </w:pPr>
      <w:hyperlink w:anchor="_Toc52364539" w:history="1">
        <w:r w:rsidRPr="00365ED0">
          <w:rPr>
            <w:rStyle w:val="Hyperlink"/>
            <w:noProof/>
          </w:rPr>
          <w:t>Special Condition 3.5 Non-operational Capex IT Re-opener (NOIT</w:t>
        </w:r>
        <w:r w:rsidRPr="00365ED0">
          <w:rPr>
            <w:rStyle w:val="Hyperlink"/>
            <w:noProof/>
            <w:vertAlign w:val="subscript"/>
          </w:rPr>
          <w:t>t</w:t>
        </w:r>
        <w:r w:rsidRPr="00365ED0">
          <w:rPr>
            <w:rStyle w:val="Hyperlink"/>
            <w:noProof/>
          </w:rPr>
          <w:t>)</w:t>
        </w:r>
        <w:r>
          <w:rPr>
            <w:noProof/>
            <w:webHidden/>
          </w:rPr>
          <w:tab/>
        </w:r>
        <w:r>
          <w:rPr>
            <w:noProof/>
            <w:webHidden/>
          </w:rPr>
          <w:fldChar w:fldCharType="begin"/>
        </w:r>
        <w:r>
          <w:rPr>
            <w:noProof/>
            <w:webHidden/>
          </w:rPr>
          <w:instrText xml:space="preserve"> PAGEREF _Toc52364539 \h </w:instrText>
        </w:r>
        <w:r>
          <w:rPr>
            <w:noProof/>
            <w:webHidden/>
          </w:rPr>
        </w:r>
        <w:r>
          <w:rPr>
            <w:noProof/>
            <w:webHidden/>
          </w:rPr>
          <w:fldChar w:fldCharType="separate"/>
        </w:r>
        <w:r>
          <w:rPr>
            <w:noProof/>
            <w:webHidden/>
          </w:rPr>
          <w:t>25</w:t>
        </w:r>
        <w:r>
          <w:rPr>
            <w:noProof/>
            <w:webHidden/>
          </w:rPr>
          <w:fldChar w:fldCharType="end"/>
        </w:r>
      </w:hyperlink>
    </w:p>
    <w:p w14:paraId="4CD68D16" w14:textId="233A423E" w:rsidR="008C7681" w:rsidRDefault="008C7681">
      <w:pPr>
        <w:pStyle w:val="TOC2"/>
        <w:tabs>
          <w:tab w:val="right" w:pos="9016"/>
        </w:tabs>
        <w:rPr>
          <w:rFonts w:asciiTheme="minorHAnsi" w:eastAsiaTheme="minorEastAsia" w:hAnsiTheme="minorHAnsi"/>
          <w:noProof/>
          <w:sz w:val="22"/>
          <w:szCs w:val="22"/>
          <w:lang w:eastAsia="en-GB"/>
        </w:rPr>
      </w:pPr>
      <w:hyperlink w:anchor="_Toc52364540" w:history="1">
        <w:r w:rsidRPr="00365ED0">
          <w:rPr>
            <w:rStyle w:val="Hyperlink"/>
            <w:noProof/>
          </w:rPr>
          <w:t>Special Condition 3.6 Net Zero Re-opener (NZ</w:t>
        </w:r>
        <w:r w:rsidRPr="00365ED0">
          <w:rPr>
            <w:rStyle w:val="Hyperlink"/>
            <w:noProof/>
            <w:vertAlign w:val="subscript"/>
          </w:rPr>
          <w:t>t</w:t>
        </w:r>
        <w:r w:rsidRPr="00365ED0">
          <w:rPr>
            <w:rStyle w:val="Hyperlink"/>
            <w:noProof/>
          </w:rPr>
          <w:t>)</w:t>
        </w:r>
        <w:r>
          <w:rPr>
            <w:noProof/>
            <w:webHidden/>
          </w:rPr>
          <w:tab/>
        </w:r>
        <w:r>
          <w:rPr>
            <w:noProof/>
            <w:webHidden/>
          </w:rPr>
          <w:fldChar w:fldCharType="begin"/>
        </w:r>
        <w:r>
          <w:rPr>
            <w:noProof/>
            <w:webHidden/>
          </w:rPr>
          <w:instrText xml:space="preserve"> PAGEREF _Toc52364540 \h </w:instrText>
        </w:r>
        <w:r>
          <w:rPr>
            <w:noProof/>
            <w:webHidden/>
          </w:rPr>
        </w:r>
        <w:r>
          <w:rPr>
            <w:noProof/>
            <w:webHidden/>
          </w:rPr>
          <w:fldChar w:fldCharType="separate"/>
        </w:r>
        <w:r>
          <w:rPr>
            <w:noProof/>
            <w:webHidden/>
          </w:rPr>
          <w:t>27</w:t>
        </w:r>
        <w:r>
          <w:rPr>
            <w:noProof/>
            <w:webHidden/>
          </w:rPr>
          <w:fldChar w:fldCharType="end"/>
        </w:r>
      </w:hyperlink>
    </w:p>
    <w:p w14:paraId="5DEF5098" w14:textId="6E7D81E5" w:rsidR="008C7681" w:rsidRDefault="008C7681">
      <w:pPr>
        <w:pStyle w:val="TOC2"/>
        <w:tabs>
          <w:tab w:val="right" w:pos="9016"/>
        </w:tabs>
        <w:rPr>
          <w:rFonts w:asciiTheme="minorHAnsi" w:eastAsiaTheme="minorEastAsia" w:hAnsiTheme="minorHAnsi"/>
          <w:noProof/>
          <w:sz w:val="22"/>
          <w:szCs w:val="22"/>
          <w:lang w:eastAsia="en-GB"/>
        </w:rPr>
      </w:pPr>
      <w:hyperlink w:anchor="_Toc52364541" w:history="1">
        <w:r w:rsidRPr="00365ED0">
          <w:rPr>
            <w:rStyle w:val="Hyperlink"/>
            <w:noProof/>
          </w:rPr>
          <w:t>Special Condition 3.7 Coordinated Adjustment Mechanism Re-opener (CAMt)</w:t>
        </w:r>
        <w:r>
          <w:rPr>
            <w:noProof/>
            <w:webHidden/>
          </w:rPr>
          <w:tab/>
        </w:r>
        <w:r>
          <w:rPr>
            <w:noProof/>
            <w:webHidden/>
          </w:rPr>
          <w:fldChar w:fldCharType="begin"/>
        </w:r>
        <w:r>
          <w:rPr>
            <w:noProof/>
            <w:webHidden/>
          </w:rPr>
          <w:instrText xml:space="preserve"> PAGEREF _Toc52364541 \h </w:instrText>
        </w:r>
        <w:r>
          <w:rPr>
            <w:noProof/>
            <w:webHidden/>
          </w:rPr>
        </w:r>
        <w:r>
          <w:rPr>
            <w:noProof/>
            <w:webHidden/>
          </w:rPr>
          <w:fldChar w:fldCharType="separate"/>
        </w:r>
        <w:r>
          <w:rPr>
            <w:noProof/>
            <w:webHidden/>
          </w:rPr>
          <w:t>28</w:t>
        </w:r>
        <w:r>
          <w:rPr>
            <w:noProof/>
            <w:webHidden/>
          </w:rPr>
          <w:fldChar w:fldCharType="end"/>
        </w:r>
      </w:hyperlink>
    </w:p>
    <w:p w14:paraId="40F3BB9F" w14:textId="457872B5" w:rsidR="008C7681" w:rsidRDefault="008C7681">
      <w:pPr>
        <w:pStyle w:val="TOC2"/>
        <w:tabs>
          <w:tab w:val="right" w:pos="9016"/>
        </w:tabs>
        <w:rPr>
          <w:rFonts w:asciiTheme="minorHAnsi" w:eastAsiaTheme="minorEastAsia" w:hAnsiTheme="minorHAnsi"/>
          <w:noProof/>
          <w:sz w:val="22"/>
          <w:szCs w:val="22"/>
          <w:lang w:eastAsia="en-GB"/>
        </w:rPr>
      </w:pPr>
      <w:hyperlink w:anchor="_Toc52364542" w:history="1">
        <w:r w:rsidRPr="00365ED0">
          <w:rPr>
            <w:rStyle w:val="Hyperlink"/>
            <w:noProof/>
          </w:rPr>
          <w:t>Special Condition 3.8 Vulnerability and Carbon Monoxide Allowance (VCM</w:t>
        </w:r>
        <w:r w:rsidRPr="00365ED0">
          <w:rPr>
            <w:rStyle w:val="Hyperlink"/>
            <w:noProof/>
            <w:vertAlign w:val="subscript"/>
          </w:rPr>
          <w:t>t</w:t>
        </w:r>
        <w:r w:rsidRPr="00365ED0">
          <w:rPr>
            <w:rStyle w:val="Hyperlink"/>
            <w:noProof/>
          </w:rPr>
          <w:t>)</w:t>
        </w:r>
        <w:r>
          <w:rPr>
            <w:noProof/>
            <w:webHidden/>
          </w:rPr>
          <w:tab/>
        </w:r>
        <w:r>
          <w:rPr>
            <w:noProof/>
            <w:webHidden/>
          </w:rPr>
          <w:fldChar w:fldCharType="begin"/>
        </w:r>
        <w:r>
          <w:rPr>
            <w:noProof/>
            <w:webHidden/>
          </w:rPr>
          <w:instrText xml:space="preserve"> PAGEREF _Toc52364542 \h </w:instrText>
        </w:r>
        <w:r>
          <w:rPr>
            <w:noProof/>
            <w:webHidden/>
          </w:rPr>
        </w:r>
        <w:r>
          <w:rPr>
            <w:noProof/>
            <w:webHidden/>
          </w:rPr>
          <w:fldChar w:fldCharType="separate"/>
        </w:r>
        <w:r>
          <w:rPr>
            <w:noProof/>
            <w:webHidden/>
          </w:rPr>
          <w:t>30</w:t>
        </w:r>
        <w:r>
          <w:rPr>
            <w:noProof/>
            <w:webHidden/>
          </w:rPr>
          <w:fldChar w:fldCharType="end"/>
        </w:r>
      </w:hyperlink>
    </w:p>
    <w:p w14:paraId="6171ABE2" w14:textId="6C3F3BF1" w:rsidR="008C7681" w:rsidRDefault="008C7681">
      <w:pPr>
        <w:pStyle w:val="TOC2"/>
        <w:tabs>
          <w:tab w:val="right" w:pos="9016"/>
        </w:tabs>
        <w:rPr>
          <w:rFonts w:asciiTheme="minorHAnsi" w:eastAsiaTheme="minorEastAsia" w:hAnsiTheme="minorHAnsi"/>
          <w:noProof/>
          <w:sz w:val="22"/>
          <w:szCs w:val="22"/>
          <w:lang w:eastAsia="en-GB"/>
        </w:rPr>
      </w:pPr>
      <w:hyperlink w:anchor="_Toc52364543" w:history="1">
        <w:r w:rsidRPr="00365ED0">
          <w:rPr>
            <w:rStyle w:val="Hyperlink"/>
            <w:noProof/>
          </w:rPr>
          <w:t>Special Condition 3.9 Tier 1 Mains Decommissioned Price Control Deliverable (TIMD</w:t>
        </w:r>
        <w:r w:rsidRPr="00365ED0">
          <w:rPr>
            <w:rStyle w:val="Hyperlink"/>
            <w:noProof/>
            <w:vertAlign w:val="subscript"/>
          </w:rPr>
          <w:t>t</w:t>
        </w:r>
        <w:r w:rsidRPr="00365ED0">
          <w:rPr>
            <w:rStyle w:val="Hyperlink"/>
            <w:noProof/>
          </w:rPr>
          <w:t>)</w:t>
        </w:r>
        <w:r>
          <w:rPr>
            <w:noProof/>
            <w:webHidden/>
          </w:rPr>
          <w:tab/>
        </w:r>
        <w:r>
          <w:rPr>
            <w:noProof/>
            <w:webHidden/>
          </w:rPr>
          <w:fldChar w:fldCharType="begin"/>
        </w:r>
        <w:r>
          <w:rPr>
            <w:noProof/>
            <w:webHidden/>
          </w:rPr>
          <w:instrText xml:space="preserve"> PAGEREF _Toc52364543 \h </w:instrText>
        </w:r>
        <w:r>
          <w:rPr>
            <w:noProof/>
            <w:webHidden/>
          </w:rPr>
        </w:r>
        <w:r>
          <w:rPr>
            <w:noProof/>
            <w:webHidden/>
          </w:rPr>
          <w:fldChar w:fldCharType="separate"/>
        </w:r>
        <w:r>
          <w:rPr>
            <w:noProof/>
            <w:webHidden/>
          </w:rPr>
          <w:t>32</w:t>
        </w:r>
        <w:r>
          <w:rPr>
            <w:noProof/>
            <w:webHidden/>
          </w:rPr>
          <w:fldChar w:fldCharType="end"/>
        </w:r>
      </w:hyperlink>
    </w:p>
    <w:p w14:paraId="60DBF73C" w14:textId="071A9FA9" w:rsidR="008C7681" w:rsidRDefault="008C7681">
      <w:pPr>
        <w:pStyle w:val="TOC2"/>
        <w:tabs>
          <w:tab w:val="right" w:pos="9016"/>
        </w:tabs>
        <w:rPr>
          <w:rFonts w:asciiTheme="minorHAnsi" w:eastAsiaTheme="minorEastAsia" w:hAnsiTheme="minorHAnsi"/>
          <w:noProof/>
          <w:sz w:val="22"/>
          <w:szCs w:val="22"/>
          <w:lang w:eastAsia="en-GB"/>
        </w:rPr>
      </w:pPr>
      <w:hyperlink w:anchor="_Toc52364544" w:history="1">
        <w:r w:rsidRPr="00365ED0">
          <w:rPr>
            <w:rStyle w:val="Hyperlink"/>
            <w:noProof/>
          </w:rPr>
          <w:t>Special Condition 3.10 Tier 1 Services Repex Price Control Deliverable (TIS</w:t>
        </w:r>
        <w:r w:rsidRPr="00365ED0">
          <w:rPr>
            <w:rStyle w:val="Hyperlink"/>
            <w:noProof/>
            <w:vertAlign w:val="subscript"/>
          </w:rPr>
          <w:t>t</w:t>
        </w:r>
        <w:r w:rsidRPr="00365ED0">
          <w:rPr>
            <w:rStyle w:val="Hyperlink"/>
            <w:noProof/>
          </w:rPr>
          <w:t>)</w:t>
        </w:r>
        <w:r>
          <w:rPr>
            <w:noProof/>
            <w:webHidden/>
          </w:rPr>
          <w:tab/>
        </w:r>
        <w:r>
          <w:rPr>
            <w:noProof/>
            <w:webHidden/>
          </w:rPr>
          <w:fldChar w:fldCharType="begin"/>
        </w:r>
        <w:r>
          <w:rPr>
            <w:noProof/>
            <w:webHidden/>
          </w:rPr>
          <w:instrText xml:space="preserve"> PAGEREF _Toc52364544 \h </w:instrText>
        </w:r>
        <w:r>
          <w:rPr>
            <w:noProof/>
            <w:webHidden/>
          </w:rPr>
        </w:r>
        <w:r>
          <w:rPr>
            <w:noProof/>
            <w:webHidden/>
          </w:rPr>
          <w:fldChar w:fldCharType="separate"/>
        </w:r>
        <w:r>
          <w:rPr>
            <w:noProof/>
            <w:webHidden/>
          </w:rPr>
          <w:t>36</w:t>
        </w:r>
        <w:r>
          <w:rPr>
            <w:noProof/>
            <w:webHidden/>
          </w:rPr>
          <w:fldChar w:fldCharType="end"/>
        </w:r>
      </w:hyperlink>
    </w:p>
    <w:p w14:paraId="71A8957B" w14:textId="5C892391" w:rsidR="008C7681" w:rsidRDefault="008C7681">
      <w:pPr>
        <w:pStyle w:val="TOC2"/>
        <w:tabs>
          <w:tab w:val="right" w:pos="9016"/>
        </w:tabs>
        <w:rPr>
          <w:rFonts w:asciiTheme="minorHAnsi" w:eastAsiaTheme="minorEastAsia" w:hAnsiTheme="minorHAnsi"/>
          <w:noProof/>
          <w:sz w:val="22"/>
          <w:szCs w:val="22"/>
          <w:lang w:eastAsia="en-GB"/>
        </w:rPr>
      </w:pPr>
      <w:hyperlink w:anchor="_Toc52364545" w:history="1">
        <w:r w:rsidRPr="00365ED0">
          <w:rPr>
            <w:rStyle w:val="Hyperlink"/>
            <w:noProof/>
          </w:rPr>
          <w:t>Special Condition 3.11 Gas Holder Demolitions Price Control Deliverable (GHRA</w:t>
        </w:r>
        <w:r w:rsidRPr="00365ED0">
          <w:rPr>
            <w:rStyle w:val="Hyperlink"/>
            <w:noProof/>
            <w:vertAlign w:val="subscript"/>
          </w:rPr>
          <w:t>t</w:t>
        </w:r>
        <w:r w:rsidRPr="00365ED0">
          <w:rPr>
            <w:rStyle w:val="Hyperlink"/>
            <w:noProof/>
          </w:rPr>
          <w:t>)</w:t>
        </w:r>
        <w:r>
          <w:rPr>
            <w:noProof/>
            <w:webHidden/>
          </w:rPr>
          <w:tab/>
        </w:r>
        <w:r>
          <w:rPr>
            <w:noProof/>
            <w:webHidden/>
          </w:rPr>
          <w:fldChar w:fldCharType="begin"/>
        </w:r>
        <w:r>
          <w:rPr>
            <w:noProof/>
            <w:webHidden/>
          </w:rPr>
          <w:instrText xml:space="preserve"> PAGEREF _Toc52364545 \h </w:instrText>
        </w:r>
        <w:r>
          <w:rPr>
            <w:noProof/>
            <w:webHidden/>
          </w:rPr>
        </w:r>
        <w:r>
          <w:rPr>
            <w:noProof/>
            <w:webHidden/>
          </w:rPr>
          <w:fldChar w:fldCharType="separate"/>
        </w:r>
        <w:r>
          <w:rPr>
            <w:noProof/>
            <w:webHidden/>
          </w:rPr>
          <w:t>39</w:t>
        </w:r>
        <w:r>
          <w:rPr>
            <w:noProof/>
            <w:webHidden/>
          </w:rPr>
          <w:fldChar w:fldCharType="end"/>
        </w:r>
      </w:hyperlink>
    </w:p>
    <w:p w14:paraId="6B7B83F8" w14:textId="7385E895" w:rsidR="008C7681" w:rsidRDefault="008C7681">
      <w:pPr>
        <w:pStyle w:val="TOC2"/>
        <w:tabs>
          <w:tab w:val="right" w:pos="9016"/>
        </w:tabs>
        <w:rPr>
          <w:rFonts w:asciiTheme="minorHAnsi" w:eastAsiaTheme="minorEastAsia" w:hAnsiTheme="minorHAnsi"/>
          <w:noProof/>
          <w:sz w:val="22"/>
          <w:szCs w:val="22"/>
          <w:lang w:eastAsia="en-GB"/>
        </w:rPr>
      </w:pPr>
      <w:hyperlink w:anchor="_Toc52364546" w:history="1">
        <w:r w:rsidRPr="00365ED0">
          <w:rPr>
            <w:rStyle w:val="Hyperlink"/>
            <w:noProof/>
          </w:rPr>
          <w:t>Special Condition 3.12 Capital Projects Price Control Deliverables (CAP</w:t>
        </w:r>
        <w:r w:rsidRPr="00365ED0">
          <w:rPr>
            <w:rStyle w:val="Hyperlink"/>
            <w:noProof/>
            <w:vertAlign w:val="subscript"/>
          </w:rPr>
          <w:t>t</w:t>
        </w:r>
        <w:r w:rsidRPr="00365ED0">
          <w:rPr>
            <w:rStyle w:val="Hyperlink"/>
            <w:noProof/>
          </w:rPr>
          <w:t>)</w:t>
        </w:r>
        <w:r>
          <w:rPr>
            <w:noProof/>
            <w:webHidden/>
          </w:rPr>
          <w:tab/>
        </w:r>
        <w:r>
          <w:rPr>
            <w:noProof/>
            <w:webHidden/>
          </w:rPr>
          <w:fldChar w:fldCharType="begin"/>
        </w:r>
        <w:r>
          <w:rPr>
            <w:noProof/>
            <w:webHidden/>
          </w:rPr>
          <w:instrText xml:space="preserve"> PAGEREF _Toc52364546 \h </w:instrText>
        </w:r>
        <w:r>
          <w:rPr>
            <w:noProof/>
            <w:webHidden/>
          </w:rPr>
        </w:r>
        <w:r>
          <w:rPr>
            <w:noProof/>
            <w:webHidden/>
          </w:rPr>
          <w:fldChar w:fldCharType="separate"/>
        </w:r>
        <w:r>
          <w:rPr>
            <w:noProof/>
            <w:webHidden/>
          </w:rPr>
          <w:t>41</w:t>
        </w:r>
        <w:r>
          <w:rPr>
            <w:noProof/>
            <w:webHidden/>
          </w:rPr>
          <w:fldChar w:fldCharType="end"/>
        </w:r>
      </w:hyperlink>
    </w:p>
    <w:p w14:paraId="7C82BDB2" w14:textId="465E788B" w:rsidR="008C7681" w:rsidRDefault="008C7681">
      <w:pPr>
        <w:pStyle w:val="TOC2"/>
        <w:tabs>
          <w:tab w:val="right" w:pos="9016"/>
        </w:tabs>
        <w:rPr>
          <w:rFonts w:asciiTheme="minorHAnsi" w:eastAsiaTheme="minorEastAsia" w:hAnsiTheme="minorHAnsi"/>
          <w:noProof/>
          <w:sz w:val="22"/>
          <w:szCs w:val="22"/>
          <w:lang w:eastAsia="en-GB"/>
        </w:rPr>
      </w:pPr>
      <w:hyperlink w:anchor="_Toc52364547" w:history="1">
        <w:r w:rsidRPr="00365ED0">
          <w:rPr>
            <w:rStyle w:val="Hyperlink"/>
            <w:noProof/>
          </w:rPr>
          <w:t>Special Condition 3.13 Fuel Poor Network Extension Scheme Volume Driver (FPA</w:t>
        </w:r>
        <w:r w:rsidRPr="00365ED0">
          <w:rPr>
            <w:rStyle w:val="Hyperlink"/>
            <w:noProof/>
            <w:vertAlign w:val="subscript"/>
          </w:rPr>
          <w:t>t</w:t>
        </w:r>
        <w:r w:rsidRPr="00365ED0">
          <w:rPr>
            <w:rStyle w:val="Hyperlink"/>
            <w:noProof/>
          </w:rPr>
          <w:t>)</w:t>
        </w:r>
        <w:r>
          <w:rPr>
            <w:noProof/>
            <w:webHidden/>
          </w:rPr>
          <w:tab/>
        </w:r>
        <w:r>
          <w:rPr>
            <w:noProof/>
            <w:webHidden/>
          </w:rPr>
          <w:fldChar w:fldCharType="begin"/>
        </w:r>
        <w:r>
          <w:rPr>
            <w:noProof/>
            <w:webHidden/>
          </w:rPr>
          <w:instrText xml:space="preserve"> PAGEREF _Toc52364547 \h </w:instrText>
        </w:r>
        <w:r>
          <w:rPr>
            <w:noProof/>
            <w:webHidden/>
          </w:rPr>
        </w:r>
        <w:r>
          <w:rPr>
            <w:noProof/>
            <w:webHidden/>
          </w:rPr>
          <w:fldChar w:fldCharType="separate"/>
        </w:r>
        <w:r>
          <w:rPr>
            <w:noProof/>
            <w:webHidden/>
          </w:rPr>
          <w:t>45</w:t>
        </w:r>
        <w:r>
          <w:rPr>
            <w:noProof/>
            <w:webHidden/>
          </w:rPr>
          <w:fldChar w:fldCharType="end"/>
        </w:r>
      </w:hyperlink>
    </w:p>
    <w:p w14:paraId="3EB45890" w14:textId="6573CC1B" w:rsidR="008C7681" w:rsidRDefault="008C7681">
      <w:pPr>
        <w:pStyle w:val="TOC2"/>
        <w:tabs>
          <w:tab w:val="right" w:pos="9016"/>
        </w:tabs>
        <w:rPr>
          <w:rFonts w:asciiTheme="minorHAnsi" w:eastAsiaTheme="minorEastAsia" w:hAnsiTheme="minorHAnsi"/>
          <w:noProof/>
          <w:sz w:val="22"/>
          <w:szCs w:val="22"/>
          <w:lang w:eastAsia="en-GB"/>
        </w:rPr>
      </w:pPr>
      <w:hyperlink w:anchor="_Toc52364548" w:history="1">
        <w:r w:rsidRPr="00365ED0">
          <w:rPr>
            <w:rStyle w:val="Hyperlink"/>
            <w:noProof/>
          </w:rPr>
          <w:t>Special Condition 3.14 Tier 2A Mains and Services Replacement Volume Driver (RE</w:t>
        </w:r>
        <w:r w:rsidRPr="00365ED0">
          <w:rPr>
            <w:rStyle w:val="Hyperlink"/>
            <w:noProof/>
            <w:vertAlign w:val="subscript"/>
          </w:rPr>
          <w:t>t</w:t>
        </w:r>
        <w:r w:rsidRPr="00365ED0">
          <w:rPr>
            <w:rStyle w:val="Hyperlink"/>
            <w:noProof/>
          </w:rPr>
          <w:t>)</w:t>
        </w:r>
        <w:r>
          <w:rPr>
            <w:noProof/>
            <w:webHidden/>
          </w:rPr>
          <w:tab/>
        </w:r>
        <w:r>
          <w:rPr>
            <w:noProof/>
            <w:webHidden/>
          </w:rPr>
          <w:fldChar w:fldCharType="begin"/>
        </w:r>
        <w:r>
          <w:rPr>
            <w:noProof/>
            <w:webHidden/>
          </w:rPr>
          <w:instrText xml:space="preserve"> PAGEREF _Toc52364548 \h </w:instrText>
        </w:r>
        <w:r>
          <w:rPr>
            <w:noProof/>
            <w:webHidden/>
          </w:rPr>
        </w:r>
        <w:r>
          <w:rPr>
            <w:noProof/>
            <w:webHidden/>
          </w:rPr>
          <w:fldChar w:fldCharType="separate"/>
        </w:r>
        <w:r>
          <w:rPr>
            <w:noProof/>
            <w:webHidden/>
          </w:rPr>
          <w:t>48</w:t>
        </w:r>
        <w:r>
          <w:rPr>
            <w:noProof/>
            <w:webHidden/>
          </w:rPr>
          <w:fldChar w:fldCharType="end"/>
        </w:r>
      </w:hyperlink>
    </w:p>
    <w:p w14:paraId="27B672BE" w14:textId="7E7371B7" w:rsidR="008C7681" w:rsidRDefault="008C7681">
      <w:pPr>
        <w:pStyle w:val="TOC2"/>
        <w:tabs>
          <w:tab w:val="right" w:pos="9016"/>
        </w:tabs>
        <w:rPr>
          <w:rFonts w:asciiTheme="minorHAnsi" w:eastAsiaTheme="minorEastAsia" w:hAnsiTheme="minorHAnsi"/>
          <w:noProof/>
          <w:sz w:val="22"/>
          <w:szCs w:val="22"/>
          <w:lang w:eastAsia="en-GB"/>
        </w:rPr>
      </w:pPr>
      <w:hyperlink w:anchor="_Toc52364549" w:history="1">
        <w:r w:rsidRPr="00365ED0">
          <w:rPr>
            <w:rStyle w:val="Hyperlink"/>
            <w:noProof/>
          </w:rPr>
          <w:t>Special Condition 3.15 HSE Repex policy Re-opener (REPt)</w:t>
        </w:r>
        <w:r>
          <w:rPr>
            <w:noProof/>
            <w:webHidden/>
          </w:rPr>
          <w:tab/>
        </w:r>
        <w:r>
          <w:rPr>
            <w:noProof/>
            <w:webHidden/>
          </w:rPr>
          <w:fldChar w:fldCharType="begin"/>
        </w:r>
        <w:r>
          <w:rPr>
            <w:noProof/>
            <w:webHidden/>
          </w:rPr>
          <w:instrText xml:space="preserve"> PAGEREF _Toc52364549 \h </w:instrText>
        </w:r>
        <w:r>
          <w:rPr>
            <w:noProof/>
            <w:webHidden/>
          </w:rPr>
        </w:r>
        <w:r>
          <w:rPr>
            <w:noProof/>
            <w:webHidden/>
          </w:rPr>
          <w:fldChar w:fldCharType="separate"/>
        </w:r>
        <w:r>
          <w:rPr>
            <w:noProof/>
            <w:webHidden/>
          </w:rPr>
          <w:t>51</w:t>
        </w:r>
        <w:r>
          <w:rPr>
            <w:noProof/>
            <w:webHidden/>
          </w:rPr>
          <w:fldChar w:fldCharType="end"/>
        </w:r>
      </w:hyperlink>
    </w:p>
    <w:p w14:paraId="1D5CA21E" w14:textId="41DAED1E" w:rsidR="008C7681" w:rsidRDefault="008C7681">
      <w:pPr>
        <w:pStyle w:val="TOC2"/>
        <w:tabs>
          <w:tab w:val="right" w:pos="9016"/>
        </w:tabs>
        <w:rPr>
          <w:rFonts w:asciiTheme="minorHAnsi" w:eastAsiaTheme="minorEastAsia" w:hAnsiTheme="minorHAnsi"/>
          <w:noProof/>
          <w:sz w:val="22"/>
          <w:szCs w:val="22"/>
          <w:lang w:eastAsia="en-GB"/>
        </w:rPr>
      </w:pPr>
      <w:hyperlink w:anchor="_Toc52364550" w:history="1">
        <w:r w:rsidRPr="00365ED0">
          <w:rPr>
            <w:rStyle w:val="Hyperlink"/>
            <w:noProof/>
          </w:rPr>
          <w:t>Special Condition 3.16 Tier 1 Stubs Repex Policy Re-opener (STUB</w:t>
        </w:r>
        <w:r w:rsidRPr="00365ED0">
          <w:rPr>
            <w:rStyle w:val="Hyperlink"/>
            <w:noProof/>
            <w:vertAlign w:val="subscript"/>
          </w:rPr>
          <w:t>t</w:t>
        </w:r>
        <w:r w:rsidRPr="00365ED0">
          <w:rPr>
            <w:rStyle w:val="Hyperlink"/>
            <w:noProof/>
          </w:rPr>
          <w:t>)</w:t>
        </w:r>
        <w:r>
          <w:rPr>
            <w:noProof/>
            <w:webHidden/>
          </w:rPr>
          <w:tab/>
        </w:r>
        <w:r>
          <w:rPr>
            <w:noProof/>
            <w:webHidden/>
          </w:rPr>
          <w:fldChar w:fldCharType="begin"/>
        </w:r>
        <w:r>
          <w:rPr>
            <w:noProof/>
            <w:webHidden/>
          </w:rPr>
          <w:instrText xml:space="preserve"> PAGEREF _Toc52364550 \h </w:instrText>
        </w:r>
        <w:r>
          <w:rPr>
            <w:noProof/>
            <w:webHidden/>
          </w:rPr>
        </w:r>
        <w:r>
          <w:rPr>
            <w:noProof/>
            <w:webHidden/>
          </w:rPr>
          <w:fldChar w:fldCharType="separate"/>
        </w:r>
        <w:r>
          <w:rPr>
            <w:noProof/>
            <w:webHidden/>
          </w:rPr>
          <w:t>53</w:t>
        </w:r>
        <w:r>
          <w:rPr>
            <w:noProof/>
            <w:webHidden/>
          </w:rPr>
          <w:fldChar w:fldCharType="end"/>
        </w:r>
      </w:hyperlink>
    </w:p>
    <w:p w14:paraId="05C40A21" w14:textId="58CEA26E" w:rsidR="008C7681" w:rsidRDefault="008C7681">
      <w:pPr>
        <w:pStyle w:val="TOC2"/>
        <w:tabs>
          <w:tab w:val="right" w:pos="9016"/>
        </w:tabs>
        <w:rPr>
          <w:rFonts w:asciiTheme="minorHAnsi" w:eastAsiaTheme="minorEastAsia" w:hAnsiTheme="minorHAnsi"/>
          <w:noProof/>
          <w:sz w:val="22"/>
          <w:szCs w:val="22"/>
          <w:lang w:eastAsia="en-GB"/>
        </w:rPr>
      </w:pPr>
      <w:hyperlink w:anchor="_Toc52364551" w:history="1">
        <w:r w:rsidRPr="00365ED0">
          <w:rPr>
            <w:rStyle w:val="Hyperlink"/>
            <w:noProof/>
          </w:rPr>
          <w:t>Special Condition 3.17 Heat Policy and Energy Efficiency Re-opener (HPRA</w:t>
        </w:r>
        <w:r w:rsidRPr="00365ED0">
          <w:rPr>
            <w:rStyle w:val="Hyperlink"/>
            <w:noProof/>
            <w:vertAlign w:val="subscript"/>
          </w:rPr>
          <w:t>t</w:t>
        </w:r>
        <w:r w:rsidRPr="00365ED0">
          <w:rPr>
            <w:rStyle w:val="Hyperlink"/>
            <w:noProof/>
          </w:rPr>
          <w:t>)</w:t>
        </w:r>
        <w:r>
          <w:rPr>
            <w:noProof/>
            <w:webHidden/>
          </w:rPr>
          <w:tab/>
        </w:r>
        <w:r>
          <w:rPr>
            <w:noProof/>
            <w:webHidden/>
          </w:rPr>
          <w:fldChar w:fldCharType="begin"/>
        </w:r>
        <w:r>
          <w:rPr>
            <w:noProof/>
            <w:webHidden/>
          </w:rPr>
          <w:instrText xml:space="preserve"> PAGEREF _Toc52364551 \h </w:instrText>
        </w:r>
        <w:r>
          <w:rPr>
            <w:noProof/>
            <w:webHidden/>
          </w:rPr>
        </w:r>
        <w:r>
          <w:rPr>
            <w:noProof/>
            <w:webHidden/>
          </w:rPr>
          <w:fldChar w:fldCharType="separate"/>
        </w:r>
        <w:r>
          <w:rPr>
            <w:noProof/>
            <w:webHidden/>
          </w:rPr>
          <w:t>55</w:t>
        </w:r>
        <w:r>
          <w:rPr>
            <w:noProof/>
            <w:webHidden/>
          </w:rPr>
          <w:fldChar w:fldCharType="end"/>
        </w:r>
      </w:hyperlink>
    </w:p>
    <w:p w14:paraId="4CC5546D" w14:textId="1FBA4AF9" w:rsidR="008C7681" w:rsidRDefault="008C7681">
      <w:pPr>
        <w:pStyle w:val="TOC2"/>
        <w:tabs>
          <w:tab w:val="right" w:pos="9016"/>
        </w:tabs>
        <w:rPr>
          <w:rFonts w:asciiTheme="minorHAnsi" w:eastAsiaTheme="minorEastAsia" w:hAnsiTheme="minorHAnsi"/>
          <w:noProof/>
          <w:sz w:val="22"/>
          <w:szCs w:val="22"/>
          <w:lang w:eastAsia="en-GB"/>
        </w:rPr>
      </w:pPr>
      <w:hyperlink w:anchor="_Toc52364552" w:history="1">
        <w:r w:rsidRPr="00365ED0">
          <w:rPr>
            <w:rStyle w:val="Hyperlink"/>
            <w:noProof/>
          </w:rPr>
          <w:t>Special Condition 3.18 Diversions Policy Re-opener (DIV</w:t>
        </w:r>
        <w:r w:rsidRPr="00365ED0">
          <w:rPr>
            <w:rStyle w:val="Hyperlink"/>
            <w:noProof/>
            <w:vertAlign w:val="subscript"/>
          </w:rPr>
          <w:t>t</w:t>
        </w:r>
        <w:r w:rsidRPr="00365ED0">
          <w:rPr>
            <w:rStyle w:val="Hyperlink"/>
            <w:noProof/>
          </w:rPr>
          <w:t>)</w:t>
        </w:r>
        <w:r>
          <w:rPr>
            <w:noProof/>
            <w:webHidden/>
          </w:rPr>
          <w:tab/>
        </w:r>
        <w:r>
          <w:rPr>
            <w:noProof/>
            <w:webHidden/>
          </w:rPr>
          <w:fldChar w:fldCharType="begin"/>
        </w:r>
        <w:r>
          <w:rPr>
            <w:noProof/>
            <w:webHidden/>
          </w:rPr>
          <w:instrText xml:space="preserve"> PAGEREF _Toc52364552 \h </w:instrText>
        </w:r>
        <w:r>
          <w:rPr>
            <w:noProof/>
            <w:webHidden/>
          </w:rPr>
        </w:r>
        <w:r>
          <w:rPr>
            <w:noProof/>
            <w:webHidden/>
          </w:rPr>
          <w:fldChar w:fldCharType="separate"/>
        </w:r>
        <w:r>
          <w:rPr>
            <w:noProof/>
            <w:webHidden/>
          </w:rPr>
          <w:t>57</w:t>
        </w:r>
        <w:r>
          <w:rPr>
            <w:noProof/>
            <w:webHidden/>
          </w:rPr>
          <w:fldChar w:fldCharType="end"/>
        </w:r>
      </w:hyperlink>
    </w:p>
    <w:p w14:paraId="4944BB87" w14:textId="29ECEFFF" w:rsidR="008C7681" w:rsidRDefault="008C7681">
      <w:pPr>
        <w:pStyle w:val="TOC2"/>
        <w:tabs>
          <w:tab w:val="right" w:pos="9016"/>
        </w:tabs>
        <w:rPr>
          <w:rFonts w:asciiTheme="minorHAnsi" w:eastAsiaTheme="minorEastAsia" w:hAnsiTheme="minorHAnsi"/>
          <w:noProof/>
          <w:sz w:val="22"/>
          <w:szCs w:val="22"/>
          <w:lang w:eastAsia="en-GB"/>
        </w:rPr>
      </w:pPr>
      <w:hyperlink w:anchor="_Toc52364553" w:history="1">
        <w:r w:rsidRPr="00365ED0">
          <w:rPr>
            <w:rStyle w:val="Hyperlink"/>
            <w:noProof/>
          </w:rPr>
          <w:t>Special Condition 3.19 Multiple Occupancy Buildings safety Re-opener (MOBS</w:t>
        </w:r>
        <w:r w:rsidRPr="00365ED0">
          <w:rPr>
            <w:rStyle w:val="Hyperlink"/>
            <w:noProof/>
            <w:vertAlign w:val="subscript"/>
          </w:rPr>
          <w:t>t</w:t>
        </w:r>
        <w:r w:rsidRPr="00365ED0">
          <w:rPr>
            <w:rStyle w:val="Hyperlink"/>
            <w:noProof/>
          </w:rPr>
          <w:t>)</w:t>
        </w:r>
        <w:r>
          <w:rPr>
            <w:noProof/>
            <w:webHidden/>
          </w:rPr>
          <w:tab/>
        </w:r>
        <w:r>
          <w:rPr>
            <w:noProof/>
            <w:webHidden/>
          </w:rPr>
          <w:fldChar w:fldCharType="begin"/>
        </w:r>
        <w:r>
          <w:rPr>
            <w:noProof/>
            <w:webHidden/>
          </w:rPr>
          <w:instrText xml:space="preserve"> PAGEREF _Toc52364553 \h </w:instrText>
        </w:r>
        <w:r>
          <w:rPr>
            <w:noProof/>
            <w:webHidden/>
          </w:rPr>
        </w:r>
        <w:r>
          <w:rPr>
            <w:noProof/>
            <w:webHidden/>
          </w:rPr>
          <w:fldChar w:fldCharType="separate"/>
        </w:r>
        <w:r>
          <w:rPr>
            <w:noProof/>
            <w:webHidden/>
          </w:rPr>
          <w:t>59</w:t>
        </w:r>
        <w:r>
          <w:rPr>
            <w:noProof/>
            <w:webHidden/>
          </w:rPr>
          <w:fldChar w:fldCharType="end"/>
        </w:r>
      </w:hyperlink>
    </w:p>
    <w:p w14:paraId="6CDB1364" w14:textId="5D80CB32" w:rsidR="008C7681" w:rsidRDefault="008C7681">
      <w:pPr>
        <w:pStyle w:val="TOC2"/>
        <w:tabs>
          <w:tab w:val="right" w:pos="9016"/>
        </w:tabs>
        <w:rPr>
          <w:rFonts w:asciiTheme="minorHAnsi" w:eastAsiaTheme="minorEastAsia" w:hAnsiTheme="minorHAnsi"/>
          <w:noProof/>
          <w:sz w:val="22"/>
          <w:szCs w:val="22"/>
          <w:lang w:eastAsia="en-GB"/>
        </w:rPr>
      </w:pPr>
      <w:hyperlink w:anchor="_Toc52364554" w:history="1">
        <w:r w:rsidRPr="00365ED0">
          <w:rPr>
            <w:rStyle w:val="Hyperlink"/>
            <w:noProof/>
          </w:rPr>
          <w:t>Special Condition 3.20 New Large Load Connections Re-opener (NLLR</w:t>
        </w:r>
        <w:r w:rsidRPr="00365ED0">
          <w:rPr>
            <w:rStyle w:val="Hyperlink"/>
            <w:noProof/>
            <w:vertAlign w:val="subscript"/>
          </w:rPr>
          <w:t>t</w:t>
        </w:r>
        <w:r w:rsidRPr="00365ED0">
          <w:rPr>
            <w:rStyle w:val="Hyperlink"/>
            <w:noProof/>
          </w:rPr>
          <w:t>)</w:t>
        </w:r>
        <w:r>
          <w:rPr>
            <w:noProof/>
            <w:webHidden/>
          </w:rPr>
          <w:tab/>
        </w:r>
        <w:r>
          <w:rPr>
            <w:noProof/>
            <w:webHidden/>
          </w:rPr>
          <w:fldChar w:fldCharType="begin"/>
        </w:r>
        <w:r>
          <w:rPr>
            <w:noProof/>
            <w:webHidden/>
          </w:rPr>
          <w:instrText xml:space="preserve"> PAGEREF _Toc52364554 \h </w:instrText>
        </w:r>
        <w:r>
          <w:rPr>
            <w:noProof/>
            <w:webHidden/>
          </w:rPr>
        </w:r>
        <w:r>
          <w:rPr>
            <w:noProof/>
            <w:webHidden/>
          </w:rPr>
          <w:fldChar w:fldCharType="separate"/>
        </w:r>
        <w:r>
          <w:rPr>
            <w:noProof/>
            <w:webHidden/>
          </w:rPr>
          <w:t>61</w:t>
        </w:r>
        <w:r>
          <w:rPr>
            <w:noProof/>
            <w:webHidden/>
          </w:rPr>
          <w:fldChar w:fldCharType="end"/>
        </w:r>
      </w:hyperlink>
    </w:p>
    <w:p w14:paraId="2B83CC01" w14:textId="080D3E13" w:rsidR="008C7681" w:rsidRDefault="008C7681">
      <w:pPr>
        <w:pStyle w:val="TOC2"/>
        <w:tabs>
          <w:tab w:val="right" w:pos="9016"/>
        </w:tabs>
        <w:rPr>
          <w:rFonts w:asciiTheme="minorHAnsi" w:eastAsiaTheme="minorEastAsia" w:hAnsiTheme="minorHAnsi"/>
          <w:noProof/>
          <w:sz w:val="22"/>
          <w:szCs w:val="22"/>
          <w:lang w:eastAsia="en-GB"/>
        </w:rPr>
      </w:pPr>
      <w:hyperlink w:anchor="_Toc52364555" w:history="1">
        <w:r w:rsidRPr="00365ED0">
          <w:rPr>
            <w:rStyle w:val="Hyperlink"/>
            <w:noProof/>
          </w:rPr>
          <w:t>Special Condition 3.21 Smart Metering Roll-out Costs Re-opener (SMR</w:t>
        </w:r>
        <w:r w:rsidRPr="00365ED0">
          <w:rPr>
            <w:rStyle w:val="Hyperlink"/>
            <w:noProof/>
            <w:vertAlign w:val="subscript"/>
          </w:rPr>
          <w:t>t</w:t>
        </w:r>
        <w:r w:rsidRPr="00365ED0">
          <w:rPr>
            <w:rStyle w:val="Hyperlink"/>
            <w:noProof/>
          </w:rPr>
          <w:t>)</w:t>
        </w:r>
        <w:r>
          <w:rPr>
            <w:noProof/>
            <w:webHidden/>
          </w:rPr>
          <w:tab/>
        </w:r>
        <w:r>
          <w:rPr>
            <w:noProof/>
            <w:webHidden/>
          </w:rPr>
          <w:fldChar w:fldCharType="begin"/>
        </w:r>
        <w:r>
          <w:rPr>
            <w:noProof/>
            <w:webHidden/>
          </w:rPr>
          <w:instrText xml:space="preserve"> PAGEREF _Toc52364555 \h </w:instrText>
        </w:r>
        <w:r>
          <w:rPr>
            <w:noProof/>
            <w:webHidden/>
          </w:rPr>
        </w:r>
        <w:r>
          <w:rPr>
            <w:noProof/>
            <w:webHidden/>
          </w:rPr>
          <w:fldChar w:fldCharType="separate"/>
        </w:r>
        <w:r>
          <w:rPr>
            <w:noProof/>
            <w:webHidden/>
          </w:rPr>
          <w:t>63</w:t>
        </w:r>
        <w:r>
          <w:rPr>
            <w:noProof/>
            <w:webHidden/>
          </w:rPr>
          <w:fldChar w:fldCharType="end"/>
        </w:r>
      </w:hyperlink>
    </w:p>
    <w:p w14:paraId="7A3612C2" w14:textId="45B94B1F" w:rsidR="008C7681" w:rsidRDefault="008C7681">
      <w:pPr>
        <w:pStyle w:val="TOC2"/>
        <w:tabs>
          <w:tab w:val="right" w:pos="9016"/>
        </w:tabs>
        <w:rPr>
          <w:rFonts w:asciiTheme="minorHAnsi" w:eastAsiaTheme="minorEastAsia" w:hAnsiTheme="minorHAnsi"/>
          <w:noProof/>
          <w:sz w:val="22"/>
          <w:szCs w:val="22"/>
          <w:lang w:eastAsia="en-GB"/>
        </w:rPr>
      </w:pPr>
      <w:hyperlink w:anchor="_Toc52364556" w:history="1">
        <w:r w:rsidRPr="00365ED0">
          <w:rPr>
            <w:rStyle w:val="Hyperlink"/>
            <w:noProof/>
          </w:rPr>
          <w:t>Special Condition 3.22 Specified Streetworks Costs Re-opener (STW</w:t>
        </w:r>
        <w:r w:rsidRPr="00365ED0">
          <w:rPr>
            <w:rStyle w:val="Hyperlink"/>
            <w:noProof/>
            <w:vertAlign w:val="subscript"/>
          </w:rPr>
          <w:t>t</w:t>
        </w:r>
        <w:r w:rsidRPr="00365ED0">
          <w:rPr>
            <w:rStyle w:val="Hyperlink"/>
            <w:noProof/>
          </w:rPr>
          <w:t>)</w:t>
        </w:r>
        <w:r>
          <w:rPr>
            <w:noProof/>
            <w:webHidden/>
          </w:rPr>
          <w:tab/>
        </w:r>
        <w:r>
          <w:rPr>
            <w:noProof/>
            <w:webHidden/>
          </w:rPr>
          <w:fldChar w:fldCharType="begin"/>
        </w:r>
        <w:r>
          <w:rPr>
            <w:noProof/>
            <w:webHidden/>
          </w:rPr>
          <w:instrText xml:space="preserve"> PAGEREF _Toc52364556 \h </w:instrText>
        </w:r>
        <w:r>
          <w:rPr>
            <w:noProof/>
            <w:webHidden/>
          </w:rPr>
        </w:r>
        <w:r>
          <w:rPr>
            <w:noProof/>
            <w:webHidden/>
          </w:rPr>
          <w:fldChar w:fldCharType="separate"/>
        </w:r>
        <w:r>
          <w:rPr>
            <w:noProof/>
            <w:webHidden/>
          </w:rPr>
          <w:t>65</w:t>
        </w:r>
        <w:r>
          <w:rPr>
            <w:noProof/>
            <w:webHidden/>
          </w:rPr>
          <w:fldChar w:fldCharType="end"/>
        </w:r>
      </w:hyperlink>
    </w:p>
    <w:p w14:paraId="077A98DC" w14:textId="07F38733" w:rsidR="008C7681" w:rsidRDefault="008C7681">
      <w:pPr>
        <w:pStyle w:val="TOC2"/>
        <w:tabs>
          <w:tab w:val="right" w:pos="9016"/>
        </w:tabs>
        <w:rPr>
          <w:rFonts w:asciiTheme="minorHAnsi" w:eastAsiaTheme="minorEastAsia" w:hAnsiTheme="minorHAnsi"/>
          <w:noProof/>
          <w:sz w:val="22"/>
          <w:szCs w:val="22"/>
          <w:lang w:eastAsia="en-GB"/>
        </w:rPr>
      </w:pPr>
      <w:hyperlink w:anchor="_Toc52364557" w:history="1">
        <w:r w:rsidRPr="00365ED0">
          <w:rPr>
            <w:rStyle w:val="Hyperlink"/>
            <w:noProof/>
          </w:rPr>
          <w:t>Special Condition 3.23 Domestic Connections Volume Driver (CA</w:t>
        </w:r>
        <w:r w:rsidRPr="00365ED0">
          <w:rPr>
            <w:rStyle w:val="Hyperlink"/>
            <w:noProof/>
            <w:vertAlign w:val="subscript"/>
          </w:rPr>
          <w:t>t</w:t>
        </w:r>
        <w:r w:rsidRPr="00365ED0">
          <w:rPr>
            <w:rStyle w:val="Hyperlink"/>
            <w:noProof/>
          </w:rPr>
          <w:t>)</w:t>
        </w:r>
        <w:r>
          <w:rPr>
            <w:noProof/>
            <w:webHidden/>
          </w:rPr>
          <w:tab/>
        </w:r>
        <w:r>
          <w:rPr>
            <w:noProof/>
            <w:webHidden/>
          </w:rPr>
          <w:fldChar w:fldCharType="begin"/>
        </w:r>
        <w:r>
          <w:rPr>
            <w:noProof/>
            <w:webHidden/>
          </w:rPr>
          <w:instrText xml:space="preserve"> PAGEREF _Toc52364557 \h </w:instrText>
        </w:r>
        <w:r>
          <w:rPr>
            <w:noProof/>
            <w:webHidden/>
          </w:rPr>
        </w:r>
        <w:r>
          <w:rPr>
            <w:noProof/>
            <w:webHidden/>
          </w:rPr>
          <w:fldChar w:fldCharType="separate"/>
        </w:r>
        <w:r>
          <w:rPr>
            <w:noProof/>
            <w:webHidden/>
          </w:rPr>
          <w:t>66</w:t>
        </w:r>
        <w:r>
          <w:rPr>
            <w:noProof/>
            <w:webHidden/>
          </w:rPr>
          <w:fldChar w:fldCharType="end"/>
        </w:r>
      </w:hyperlink>
    </w:p>
    <w:p w14:paraId="0546F77B" w14:textId="29B99AC8" w:rsidR="008C7681" w:rsidRDefault="008C7681">
      <w:pPr>
        <w:pStyle w:val="TOC2"/>
        <w:tabs>
          <w:tab w:val="right" w:pos="9016"/>
        </w:tabs>
        <w:rPr>
          <w:rFonts w:asciiTheme="minorHAnsi" w:eastAsiaTheme="minorEastAsia" w:hAnsiTheme="minorHAnsi"/>
          <w:noProof/>
          <w:sz w:val="22"/>
          <w:szCs w:val="22"/>
          <w:lang w:eastAsia="en-GB"/>
        </w:rPr>
      </w:pPr>
      <w:hyperlink w:anchor="_Toc52364558" w:history="1">
        <w:r w:rsidRPr="00365ED0">
          <w:rPr>
            <w:rStyle w:val="Hyperlink"/>
            <w:noProof/>
          </w:rPr>
          <w:t>Special Condition 3.24 Consumer Value Proposition (CVP</w:t>
        </w:r>
        <w:r w:rsidRPr="00365ED0">
          <w:rPr>
            <w:rStyle w:val="Hyperlink"/>
            <w:noProof/>
            <w:vertAlign w:val="subscript"/>
          </w:rPr>
          <w:t>t</w:t>
        </w:r>
        <w:r w:rsidRPr="00365ED0">
          <w:rPr>
            <w:rStyle w:val="Hyperlink"/>
            <w:noProof/>
          </w:rPr>
          <w:t>)</w:t>
        </w:r>
        <w:r>
          <w:rPr>
            <w:noProof/>
            <w:webHidden/>
          </w:rPr>
          <w:tab/>
        </w:r>
        <w:r>
          <w:rPr>
            <w:noProof/>
            <w:webHidden/>
          </w:rPr>
          <w:fldChar w:fldCharType="begin"/>
        </w:r>
        <w:r>
          <w:rPr>
            <w:noProof/>
            <w:webHidden/>
          </w:rPr>
          <w:instrText xml:space="preserve"> PAGEREF _Toc52364558 \h </w:instrText>
        </w:r>
        <w:r>
          <w:rPr>
            <w:noProof/>
            <w:webHidden/>
          </w:rPr>
        </w:r>
        <w:r>
          <w:rPr>
            <w:noProof/>
            <w:webHidden/>
          </w:rPr>
          <w:fldChar w:fldCharType="separate"/>
        </w:r>
        <w:r>
          <w:rPr>
            <w:noProof/>
            <w:webHidden/>
          </w:rPr>
          <w:t>68</w:t>
        </w:r>
        <w:r>
          <w:rPr>
            <w:noProof/>
            <w:webHidden/>
          </w:rPr>
          <w:fldChar w:fldCharType="end"/>
        </w:r>
      </w:hyperlink>
    </w:p>
    <w:p w14:paraId="0E90EF12" w14:textId="53BA7831" w:rsidR="008C7681" w:rsidRDefault="008C7681">
      <w:pPr>
        <w:pStyle w:val="TOC2"/>
        <w:tabs>
          <w:tab w:val="right" w:pos="9016"/>
        </w:tabs>
        <w:rPr>
          <w:rFonts w:asciiTheme="minorHAnsi" w:eastAsiaTheme="minorEastAsia" w:hAnsiTheme="minorHAnsi"/>
          <w:noProof/>
          <w:sz w:val="22"/>
          <w:szCs w:val="22"/>
          <w:lang w:eastAsia="en-GB"/>
        </w:rPr>
      </w:pPr>
      <w:hyperlink w:anchor="_Toc52364559" w:history="1">
        <w:r w:rsidRPr="00365ED0">
          <w:rPr>
            <w:rStyle w:val="Hyperlink"/>
            <w:noProof/>
          </w:rPr>
          <w:t>Special Condition 3.25 London Medium Pressure Repex Re-opener (LMP</w:t>
        </w:r>
        <w:r w:rsidRPr="00365ED0">
          <w:rPr>
            <w:rStyle w:val="Hyperlink"/>
            <w:noProof/>
            <w:vertAlign w:val="subscript"/>
          </w:rPr>
          <w:t>t</w:t>
        </w:r>
        <w:r w:rsidRPr="00365ED0">
          <w:rPr>
            <w:rStyle w:val="Hyperlink"/>
            <w:noProof/>
          </w:rPr>
          <w:t>) [Cadent North London ONLY]</w:t>
        </w:r>
        <w:r>
          <w:rPr>
            <w:noProof/>
            <w:webHidden/>
          </w:rPr>
          <w:tab/>
        </w:r>
        <w:r>
          <w:rPr>
            <w:noProof/>
            <w:webHidden/>
          </w:rPr>
          <w:fldChar w:fldCharType="begin"/>
        </w:r>
        <w:r>
          <w:rPr>
            <w:noProof/>
            <w:webHidden/>
          </w:rPr>
          <w:instrText xml:space="preserve"> PAGEREF _Toc52364559 \h </w:instrText>
        </w:r>
        <w:r>
          <w:rPr>
            <w:noProof/>
            <w:webHidden/>
          </w:rPr>
        </w:r>
        <w:r>
          <w:rPr>
            <w:noProof/>
            <w:webHidden/>
          </w:rPr>
          <w:fldChar w:fldCharType="separate"/>
        </w:r>
        <w:r>
          <w:rPr>
            <w:noProof/>
            <w:webHidden/>
          </w:rPr>
          <w:t>70</w:t>
        </w:r>
        <w:r>
          <w:rPr>
            <w:noProof/>
            <w:webHidden/>
          </w:rPr>
          <w:fldChar w:fldCharType="end"/>
        </w:r>
      </w:hyperlink>
    </w:p>
    <w:p w14:paraId="693040A8" w14:textId="238AECDB" w:rsidR="008C7681" w:rsidRDefault="008C7681">
      <w:pPr>
        <w:pStyle w:val="TOC2"/>
        <w:tabs>
          <w:tab w:val="right" w:pos="9016"/>
        </w:tabs>
        <w:rPr>
          <w:rFonts w:asciiTheme="minorHAnsi" w:eastAsiaTheme="minorEastAsia" w:hAnsiTheme="minorHAnsi"/>
          <w:noProof/>
          <w:sz w:val="22"/>
          <w:szCs w:val="22"/>
          <w:lang w:eastAsia="en-GB"/>
        </w:rPr>
      </w:pPr>
      <w:hyperlink w:anchor="_Toc52364560" w:history="1">
        <w:r w:rsidRPr="00365ED0">
          <w:rPr>
            <w:rStyle w:val="Hyperlink"/>
            <w:noProof/>
          </w:rPr>
          <w:t>Special Condition 3.26 [REDACTED] Price Control Deliverable (KFDt) [SGN only]</w:t>
        </w:r>
        <w:r>
          <w:rPr>
            <w:noProof/>
            <w:webHidden/>
          </w:rPr>
          <w:tab/>
        </w:r>
        <w:r>
          <w:rPr>
            <w:noProof/>
            <w:webHidden/>
          </w:rPr>
          <w:fldChar w:fldCharType="begin"/>
        </w:r>
        <w:r>
          <w:rPr>
            <w:noProof/>
            <w:webHidden/>
          </w:rPr>
          <w:instrText xml:space="preserve"> PAGEREF _Toc52364560 \h </w:instrText>
        </w:r>
        <w:r>
          <w:rPr>
            <w:noProof/>
            <w:webHidden/>
          </w:rPr>
        </w:r>
        <w:r>
          <w:rPr>
            <w:noProof/>
            <w:webHidden/>
          </w:rPr>
          <w:fldChar w:fldCharType="separate"/>
        </w:r>
        <w:r>
          <w:rPr>
            <w:noProof/>
            <w:webHidden/>
          </w:rPr>
          <w:t>72</w:t>
        </w:r>
        <w:r>
          <w:rPr>
            <w:noProof/>
            <w:webHidden/>
          </w:rPr>
          <w:fldChar w:fldCharType="end"/>
        </w:r>
      </w:hyperlink>
    </w:p>
    <w:p w14:paraId="7B2D52EE" w14:textId="1817A116" w:rsidR="008C7681" w:rsidRDefault="008C7681">
      <w:pPr>
        <w:pStyle w:val="TOC2"/>
        <w:tabs>
          <w:tab w:val="right" w:pos="9016"/>
        </w:tabs>
        <w:rPr>
          <w:rFonts w:asciiTheme="minorHAnsi" w:eastAsiaTheme="minorEastAsia" w:hAnsiTheme="minorHAnsi"/>
          <w:noProof/>
          <w:sz w:val="22"/>
          <w:szCs w:val="22"/>
          <w:lang w:eastAsia="en-GB"/>
        </w:rPr>
      </w:pPr>
      <w:hyperlink w:anchor="_Toc52364561" w:history="1">
        <w:r w:rsidRPr="00365ED0">
          <w:rPr>
            <w:rStyle w:val="Hyperlink"/>
            <w:noProof/>
          </w:rPr>
          <w:t>Special Condition 3.27 Intermediate Pressure Reconfigurations Price Control Deliverable (IPR</w:t>
        </w:r>
        <w:r w:rsidRPr="00365ED0">
          <w:rPr>
            <w:rStyle w:val="Hyperlink"/>
            <w:noProof/>
            <w:vertAlign w:val="subscript"/>
          </w:rPr>
          <w:t>t</w:t>
        </w:r>
        <w:r w:rsidRPr="00365ED0">
          <w:rPr>
            <w:rStyle w:val="Hyperlink"/>
            <w:noProof/>
          </w:rPr>
          <w:t>) [SGN only]</w:t>
        </w:r>
        <w:r>
          <w:rPr>
            <w:noProof/>
            <w:webHidden/>
          </w:rPr>
          <w:tab/>
        </w:r>
        <w:r>
          <w:rPr>
            <w:noProof/>
            <w:webHidden/>
          </w:rPr>
          <w:fldChar w:fldCharType="begin"/>
        </w:r>
        <w:r>
          <w:rPr>
            <w:noProof/>
            <w:webHidden/>
          </w:rPr>
          <w:instrText xml:space="preserve"> PAGEREF _Toc52364561 \h </w:instrText>
        </w:r>
        <w:r>
          <w:rPr>
            <w:noProof/>
            <w:webHidden/>
          </w:rPr>
        </w:r>
        <w:r>
          <w:rPr>
            <w:noProof/>
            <w:webHidden/>
          </w:rPr>
          <w:fldChar w:fldCharType="separate"/>
        </w:r>
        <w:r>
          <w:rPr>
            <w:noProof/>
            <w:webHidden/>
          </w:rPr>
          <w:t>74</w:t>
        </w:r>
        <w:r>
          <w:rPr>
            <w:noProof/>
            <w:webHidden/>
          </w:rPr>
          <w:fldChar w:fldCharType="end"/>
        </w:r>
      </w:hyperlink>
    </w:p>
    <w:p w14:paraId="14D375DD" w14:textId="7B781180" w:rsidR="008C7681" w:rsidRDefault="008C7681">
      <w:pPr>
        <w:pStyle w:val="TOC2"/>
        <w:tabs>
          <w:tab w:val="right" w:pos="9016"/>
        </w:tabs>
        <w:rPr>
          <w:rFonts w:asciiTheme="minorHAnsi" w:eastAsiaTheme="minorEastAsia" w:hAnsiTheme="minorHAnsi"/>
          <w:noProof/>
          <w:sz w:val="22"/>
          <w:szCs w:val="22"/>
          <w:lang w:eastAsia="en-GB"/>
        </w:rPr>
      </w:pPr>
      <w:hyperlink w:anchor="_Toc52364562" w:history="1">
        <w:r w:rsidRPr="00365ED0">
          <w:rPr>
            <w:rStyle w:val="Hyperlink"/>
            <w:noProof/>
          </w:rPr>
          <w:t>Special Condition 3.28 Remote pressure management Price Control Deliverable (RPM</w:t>
        </w:r>
        <w:r w:rsidRPr="00365ED0">
          <w:rPr>
            <w:rStyle w:val="Hyperlink"/>
            <w:noProof/>
            <w:vertAlign w:val="subscript"/>
          </w:rPr>
          <w:t>t</w:t>
        </w:r>
        <w:r w:rsidRPr="00365ED0">
          <w:rPr>
            <w:rStyle w:val="Hyperlink"/>
            <w:noProof/>
          </w:rPr>
          <w:t>) [SGN only]</w:t>
        </w:r>
        <w:r>
          <w:rPr>
            <w:noProof/>
            <w:webHidden/>
          </w:rPr>
          <w:tab/>
        </w:r>
        <w:r>
          <w:rPr>
            <w:noProof/>
            <w:webHidden/>
          </w:rPr>
          <w:fldChar w:fldCharType="begin"/>
        </w:r>
        <w:r>
          <w:rPr>
            <w:noProof/>
            <w:webHidden/>
          </w:rPr>
          <w:instrText xml:space="preserve"> PAGEREF _Toc52364562 \h </w:instrText>
        </w:r>
        <w:r>
          <w:rPr>
            <w:noProof/>
            <w:webHidden/>
          </w:rPr>
        </w:r>
        <w:r>
          <w:rPr>
            <w:noProof/>
            <w:webHidden/>
          </w:rPr>
          <w:fldChar w:fldCharType="separate"/>
        </w:r>
        <w:r>
          <w:rPr>
            <w:noProof/>
            <w:webHidden/>
          </w:rPr>
          <w:t>75</w:t>
        </w:r>
        <w:r>
          <w:rPr>
            <w:noProof/>
            <w:webHidden/>
          </w:rPr>
          <w:fldChar w:fldCharType="end"/>
        </w:r>
      </w:hyperlink>
    </w:p>
    <w:p w14:paraId="0F5D6D70" w14:textId="0F4E24FE" w:rsidR="008C7681" w:rsidRDefault="008C7681">
      <w:pPr>
        <w:pStyle w:val="TOC2"/>
        <w:tabs>
          <w:tab w:val="right" w:pos="9016"/>
        </w:tabs>
        <w:rPr>
          <w:rFonts w:asciiTheme="minorHAnsi" w:eastAsiaTheme="minorEastAsia" w:hAnsiTheme="minorHAnsi"/>
          <w:noProof/>
          <w:sz w:val="22"/>
          <w:szCs w:val="22"/>
          <w:lang w:eastAsia="en-GB"/>
        </w:rPr>
      </w:pPr>
      <w:hyperlink w:anchor="_Toc52364563" w:history="1">
        <w:r w:rsidRPr="00365ED0">
          <w:rPr>
            <w:rStyle w:val="Hyperlink"/>
            <w:noProof/>
          </w:rPr>
          <w:t>Special Condition 3.29 Biomethane Improved Access Rollout [SGN only] [Not included in this consultation]</w:t>
        </w:r>
        <w:r>
          <w:rPr>
            <w:noProof/>
            <w:webHidden/>
          </w:rPr>
          <w:tab/>
        </w:r>
        <w:r>
          <w:rPr>
            <w:noProof/>
            <w:webHidden/>
          </w:rPr>
          <w:fldChar w:fldCharType="begin"/>
        </w:r>
        <w:r>
          <w:rPr>
            <w:noProof/>
            <w:webHidden/>
          </w:rPr>
          <w:instrText xml:space="preserve"> PAGEREF _Toc52364563 \h </w:instrText>
        </w:r>
        <w:r>
          <w:rPr>
            <w:noProof/>
            <w:webHidden/>
          </w:rPr>
        </w:r>
        <w:r>
          <w:rPr>
            <w:noProof/>
            <w:webHidden/>
          </w:rPr>
          <w:fldChar w:fldCharType="separate"/>
        </w:r>
        <w:r>
          <w:rPr>
            <w:noProof/>
            <w:webHidden/>
          </w:rPr>
          <w:t>77</w:t>
        </w:r>
        <w:r>
          <w:rPr>
            <w:noProof/>
            <w:webHidden/>
          </w:rPr>
          <w:fldChar w:fldCharType="end"/>
        </w:r>
      </w:hyperlink>
    </w:p>
    <w:p w14:paraId="0E3C267A" w14:textId="112C6CE9" w:rsidR="008C7681" w:rsidRDefault="008C7681">
      <w:pPr>
        <w:pStyle w:val="TOC1"/>
        <w:rPr>
          <w:rFonts w:asciiTheme="minorHAnsi" w:eastAsiaTheme="minorEastAsia" w:hAnsiTheme="minorHAnsi"/>
          <w:b w:val="0"/>
          <w:sz w:val="22"/>
          <w:szCs w:val="22"/>
          <w:lang w:eastAsia="en-GB"/>
        </w:rPr>
      </w:pPr>
      <w:hyperlink w:anchor="_Toc52364564" w:history="1">
        <w:r w:rsidRPr="00365ED0">
          <w:rPr>
            <w:rStyle w:val="Hyperlink"/>
          </w:rPr>
          <w:t>Chapter 4: Output delivery incentives</w:t>
        </w:r>
        <w:r>
          <w:rPr>
            <w:webHidden/>
          </w:rPr>
          <w:tab/>
        </w:r>
        <w:r>
          <w:rPr>
            <w:webHidden/>
          </w:rPr>
          <w:fldChar w:fldCharType="begin"/>
        </w:r>
        <w:r>
          <w:rPr>
            <w:webHidden/>
          </w:rPr>
          <w:instrText xml:space="preserve"> PAGEREF _Toc52364564 \h </w:instrText>
        </w:r>
        <w:r>
          <w:rPr>
            <w:webHidden/>
          </w:rPr>
        </w:r>
        <w:r>
          <w:rPr>
            <w:webHidden/>
          </w:rPr>
          <w:fldChar w:fldCharType="separate"/>
        </w:r>
        <w:r>
          <w:rPr>
            <w:webHidden/>
          </w:rPr>
          <w:t>78</w:t>
        </w:r>
        <w:r>
          <w:rPr>
            <w:webHidden/>
          </w:rPr>
          <w:fldChar w:fldCharType="end"/>
        </w:r>
      </w:hyperlink>
    </w:p>
    <w:p w14:paraId="349CC00E" w14:textId="4D90D738" w:rsidR="008C7681" w:rsidRDefault="008C7681">
      <w:pPr>
        <w:pStyle w:val="TOC2"/>
        <w:tabs>
          <w:tab w:val="right" w:pos="9016"/>
        </w:tabs>
        <w:rPr>
          <w:rFonts w:asciiTheme="minorHAnsi" w:eastAsiaTheme="minorEastAsia" w:hAnsiTheme="minorHAnsi"/>
          <w:noProof/>
          <w:sz w:val="22"/>
          <w:szCs w:val="22"/>
          <w:lang w:eastAsia="en-GB"/>
        </w:rPr>
      </w:pPr>
      <w:hyperlink w:anchor="_Toc52364565" w:history="1">
        <w:r w:rsidRPr="00365ED0">
          <w:rPr>
            <w:rStyle w:val="Hyperlink"/>
            <w:noProof/>
          </w:rPr>
          <w:t>Special Condition 4.1 Total output delivery incentive performance</w:t>
        </w:r>
        <w:r>
          <w:rPr>
            <w:noProof/>
            <w:webHidden/>
          </w:rPr>
          <w:tab/>
        </w:r>
        <w:r>
          <w:rPr>
            <w:noProof/>
            <w:webHidden/>
          </w:rPr>
          <w:fldChar w:fldCharType="begin"/>
        </w:r>
        <w:r>
          <w:rPr>
            <w:noProof/>
            <w:webHidden/>
          </w:rPr>
          <w:instrText xml:space="preserve"> PAGEREF _Toc52364565 \h </w:instrText>
        </w:r>
        <w:r>
          <w:rPr>
            <w:noProof/>
            <w:webHidden/>
          </w:rPr>
        </w:r>
        <w:r>
          <w:rPr>
            <w:noProof/>
            <w:webHidden/>
          </w:rPr>
          <w:fldChar w:fldCharType="separate"/>
        </w:r>
        <w:r>
          <w:rPr>
            <w:noProof/>
            <w:webHidden/>
          </w:rPr>
          <w:t>78</w:t>
        </w:r>
        <w:r>
          <w:rPr>
            <w:noProof/>
            <w:webHidden/>
          </w:rPr>
          <w:fldChar w:fldCharType="end"/>
        </w:r>
      </w:hyperlink>
    </w:p>
    <w:p w14:paraId="7C80B997" w14:textId="675C1B03" w:rsidR="008C7681" w:rsidRDefault="008C7681">
      <w:pPr>
        <w:pStyle w:val="TOC2"/>
        <w:tabs>
          <w:tab w:val="right" w:pos="9016"/>
        </w:tabs>
        <w:rPr>
          <w:rFonts w:asciiTheme="minorHAnsi" w:eastAsiaTheme="minorEastAsia" w:hAnsiTheme="minorHAnsi"/>
          <w:noProof/>
          <w:sz w:val="22"/>
          <w:szCs w:val="22"/>
          <w:lang w:eastAsia="en-GB"/>
        </w:rPr>
      </w:pPr>
      <w:hyperlink w:anchor="_Toc52364566" w:history="1">
        <w:r w:rsidRPr="00365ED0">
          <w:rPr>
            <w:rStyle w:val="Hyperlink"/>
            <w:noProof/>
          </w:rPr>
          <w:t>Special Condition 4.2 Customer Satisfaction Survey output delivery incentive (CS</w:t>
        </w:r>
        <w:r w:rsidRPr="00365ED0">
          <w:rPr>
            <w:rStyle w:val="Hyperlink"/>
            <w:noProof/>
            <w:vertAlign w:val="subscript"/>
          </w:rPr>
          <w:t>t</w:t>
        </w:r>
        <w:r w:rsidRPr="00365ED0">
          <w:rPr>
            <w:rStyle w:val="Hyperlink"/>
            <w:noProof/>
          </w:rPr>
          <w:t>)</w:t>
        </w:r>
        <w:r>
          <w:rPr>
            <w:noProof/>
            <w:webHidden/>
          </w:rPr>
          <w:tab/>
        </w:r>
        <w:r>
          <w:rPr>
            <w:noProof/>
            <w:webHidden/>
          </w:rPr>
          <w:fldChar w:fldCharType="begin"/>
        </w:r>
        <w:r>
          <w:rPr>
            <w:noProof/>
            <w:webHidden/>
          </w:rPr>
          <w:instrText xml:space="preserve"> PAGEREF _Toc52364566 \h </w:instrText>
        </w:r>
        <w:r>
          <w:rPr>
            <w:noProof/>
            <w:webHidden/>
          </w:rPr>
        </w:r>
        <w:r>
          <w:rPr>
            <w:noProof/>
            <w:webHidden/>
          </w:rPr>
          <w:fldChar w:fldCharType="separate"/>
        </w:r>
        <w:r>
          <w:rPr>
            <w:noProof/>
            <w:webHidden/>
          </w:rPr>
          <w:t>78</w:t>
        </w:r>
        <w:r>
          <w:rPr>
            <w:noProof/>
            <w:webHidden/>
          </w:rPr>
          <w:fldChar w:fldCharType="end"/>
        </w:r>
      </w:hyperlink>
    </w:p>
    <w:p w14:paraId="715CD442" w14:textId="709AE775" w:rsidR="008C7681" w:rsidRDefault="008C7681">
      <w:pPr>
        <w:pStyle w:val="TOC2"/>
        <w:tabs>
          <w:tab w:val="right" w:pos="9016"/>
        </w:tabs>
        <w:rPr>
          <w:rFonts w:asciiTheme="minorHAnsi" w:eastAsiaTheme="minorEastAsia" w:hAnsiTheme="minorHAnsi"/>
          <w:noProof/>
          <w:sz w:val="22"/>
          <w:szCs w:val="22"/>
          <w:lang w:eastAsia="en-GB"/>
        </w:rPr>
      </w:pPr>
      <w:hyperlink w:anchor="_Toc52364567" w:history="1">
        <w:r w:rsidRPr="00365ED0">
          <w:rPr>
            <w:rStyle w:val="Hyperlink"/>
            <w:noProof/>
          </w:rPr>
          <w:t>Special Condition 4.3 Complaints Metric output delivery incentive (CMt)</w:t>
        </w:r>
        <w:r>
          <w:rPr>
            <w:noProof/>
            <w:webHidden/>
          </w:rPr>
          <w:tab/>
        </w:r>
        <w:r>
          <w:rPr>
            <w:noProof/>
            <w:webHidden/>
          </w:rPr>
          <w:fldChar w:fldCharType="begin"/>
        </w:r>
        <w:r>
          <w:rPr>
            <w:noProof/>
            <w:webHidden/>
          </w:rPr>
          <w:instrText xml:space="preserve"> PAGEREF _Toc52364567 \h </w:instrText>
        </w:r>
        <w:r>
          <w:rPr>
            <w:noProof/>
            <w:webHidden/>
          </w:rPr>
        </w:r>
        <w:r>
          <w:rPr>
            <w:noProof/>
            <w:webHidden/>
          </w:rPr>
          <w:fldChar w:fldCharType="separate"/>
        </w:r>
        <w:r>
          <w:rPr>
            <w:noProof/>
            <w:webHidden/>
          </w:rPr>
          <w:t>81</w:t>
        </w:r>
        <w:r>
          <w:rPr>
            <w:noProof/>
            <w:webHidden/>
          </w:rPr>
          <w:fldChar w:fldCharType="end"/>
        </w:r>
      </w:hyperlink>
    </w:p>
    <w:p w14:paraId="1147D24E" w14:textId="4C62F23A" w:rsidR="008C7681" w:rsidRDefault="008C7681">
      <w:pPr>
        <w:pStyle w:val="TOC2"/>
        <w:tabs>
          <w:tab w:val="right" w:pos="9016"/>
        </w:tabs>
        <w:rPr>
          <w:rFonts w:asciiTheme="minorHAnsi" w:eastAsiaTheme="minorEastAsia" w:hAnsiTheme="minorHAnsi"/>
          <w:noProof/>
          <w:sz w:val="22"/>
          <w:szCs w:val="22"/>
          <w:lang w:eastAsia="en-GB"/>
        </w:rPr>
      </w:pPr>
      <w:hyperlink w:anchor="_Toc52364568" w:history="1">
        <w:r w:rsidRPr="00365ED0">
          <w:rPr>
            <w:rStyle w:val="Hyperlink"/>
            <w:noProof/>
          </w:rPr>
          <w:t>Special Condition 4.4 Shrinkage management output delivery incentive (SM</w:t>
        </w:r>
        <w:r w:rsidRPr="00365ED0">
          <w:rPr>
            <w:rStyle w:val="Hyperlink"/>
            <w:noProof/>
            <w:vertAlign w:val="subscript"/>
          </w:rPr>
          <w:t>t</w:t>
        </w:r>
        <w:r w:rsidRPr="00365ED0">
          <w:rPr>
            <w:rStyle w:val="Hyperlink"/>
            <w:noProof/>
          </w:rPr>
          <w:t>)</w:t>
        </w:r>
        <w:r>
          <w:rPr>
            <w:noProof/>
            <w:webHidden/>
          </w:rPr>
          <w:tab/>
        </w:r>
        <w:r>
          <w:rPr>
            <w:noProof/>
            <w:webHidden/>
          </w:rPr>
          <w:fldChar w:fldCharType="begin"/>
        </w:r>
        <w:r>
          <w:rPr>
            <w:noProof/>
            <w:webHidden/>
          </w:rPr>
          <w:instrText xml:space="preserve"> PAGEREF _Toc52364568 \h </w:instrText>
        </w:r>
        <w:r>
          <w:rPr>
            <w:noProof/>
            <w:webHidden/>
          </w:rPr>
        </w:r>
        <w:r>
          <w:rPr>
            <w:noProof/>
            <w:webHidden/>
          </w:rPr>
          <w:fldChar w:fldCharType="separate"/>
        </w:r>
        <w:r>
          <w:rPr>
            <w:noProof/>
            <w:webHidden/>
          </w:rPr>
          <w:t>82</w:t>
        </w:r>
        <w:r>
          <w:rPr>
            <w:noProof/>
            <w:webHidden/>
          </w:rPr>
          <w:fldChar w:fldCharType="end"/>
        </w:r>
      </w:hyperlink>
    </w:p>
    <w:p w14:paraId="0B5BA439" w14:textId="7795504C" w:rsidR="008C7681" w:rsidRDefault="008C7681">
      <w:pPr>
        <w:pStyle w:val="TOC2"/>
        <w:tabs>
          <w:tab w:val="right" w:pos="9016"/>
        </w:tabs>
        <w:rPr>
          <w:rFonts w:asciiTheme="minorHAnsi" w:eastAsiaTheme="minorEastAsia" w:hAnsiTheme="minorHAnsi"/>
          <w:noProof/>
          <w:sz w:val="22"/>
          <w:szCs w:val="22"/>
          <w:lang w:eastAsia="en-GB"/>
        </w:rPr>
      </w:pPr>
      <w:hyperlink w:anchor="_Toc52364569" w:history="1">
        <w:r w:rsidRPr="00365ED0">
          <w:rPr>
            <w:rStyle w:val="Hyperlink"/>
            <w:noProof/>
          </w:rPr>
          <w:t>Special Condition 4.5 Unplanned Interruption Overall Mean Duration output delivery incentive (UIP</w:t>
        </w:r>
        <w:r w:rsidRPr="00365ED0">
          <w:rPr>
            <w:rStyle w:val="Hyperlink"/>
            <w:noProof/>
            <w:vertAlign w:val="subscript"/>
          </w:rPr>
          <w:t>t</w:t>
        </w:r>
        <w:r w:rsidRPr="00365ED0">
          <w:rPr>
            <w:rStyle w:val="Hyperlink"/>
            <w:noProof/>
          </w:rPr>
          <w:t xml:space="preserve">) </w:t>
        </w:r>
        <w:r w:rsidRPr="00365ED0">
          <w:rPr>
            <w:rStyle w:val="Hyperlink"/>
            <w:noProof/>
            <w:highlight w:val="yellow"/>
          </w:rPr>
          <w:t>[NGN, SGN and WWU]</w:t>
        </w:r>
        <w:r>
          <w:rPr>
            <w:noProof/>
            <w:webHidden/>
          </w:rPr>
          <w:tab/>
        </w:r>
        <w:r>
          <w:rPr>
            <w:noProof/>
            <w:webHidden/>
          </w:rPr>
          <w:fldChar w:fldCharType="begin"/>
        </w:r>
        <w:r>
          <w:rPr>
            <w:noProof/>
            <w:webHidden/>
          </w:rPr>
          <w:instrText xml:space="preserve"> PAGEREF _Toc52364569 \h </w:instrText>
        </w:r>
        <w:r>
          <w:rPr>
            <w:noProof/>
            <w:webHidden/>
          </w:rPr>
        </w:r>
        <w:r>
          <w:rPr>
            <w:noProof/>
            <w:webHidden/>
          </w:rPr>
          <w:fldChar w:fldCharType="separate"/>
        </w:r>
        <w:r>
          <w:rPr>
            <w:noProof/>
            <w:webHidden/>
          </w:rPr>
          <w:t>85</w:t>
        </w:r>
        <w:r>
          <w:rPr>
            <w:noProof/>
            <w:webHidden/>
          </w:rPr>
          <w:fldChar w:fldCharType="end"/>
        </w:r>
      </w:hyperlink>
    </w:p>
    <w:p w14:paraId="55B7E6C9" w14:textId="70518111" w:rsidR="008C7681" w:rsidRDefault="008C7681">
      <w:pPr>
        <w:pStyle w:val="TOC2"/>
        <w:tabs>
          <w:tab w:val="right" w:pos="9016"/>
        </w:tabs>
        <w:rPr>
          <w:rFonts w:asciiTheme="minorHAnsi" w:eastAsiaTheme="minorEastAsia" w:hAnsiTheme="minorHAnsi"/>
          <w:noProof/>
          <w:sz w:val="22"/>
          <w:szCs w:val="22"/>
          <w:lang w:eastAsia="en-GB"/>
        </w:rPr>
      </w:pPr>
      <w:hyperlink w:anchor="_Toc52364570" w:history="1">
        <w:r w:rsidRPr="00365ED0">
          <w:rPr>
            <w:rStyle w:val="Hyperlink"/>
            <w:noProof/>
          </w:rPr>
          <w:t>Special Condition 4.5 Unplanned Interruption Overall Mean Duration output delivery incentive (UIP</w:t>
        </w:r>
        <w:r w:rsidRPr="00365ED0">
          <w:rPr>
            <w:rStyle w:val="Hyperlink"/>
            <w:noProof/>
            <w:vertAlign w:val="subscript"/>
          </w:rPr>
          <w:t>t</w:t>
        </w:r>
        <w:r w:rsidRPr="00365ED0">
          <w:rPr>
            <w:rStyle w:val="Hyperlink"/>
            <w:noProof/>
          </w:rPr>
          <w:t xml:space="preserve">) </w:t>
        </w:r>
        <w:r w:rsidRPr="00365ED0">
          <w:rPr>
            <w:rStyle w:val="Hyperlink"/>
            <w:noProof/>
            <w:shd w:val="clear" w:color="auto" w:fill="FFFF00"/>
          </w:rPr>
          <w:t>[Cadent only]</w:t>
        </w:r>
        <w:r>
          <w:rPr>
            <w:noProof/>
            <w:webHidden/>
          </w:rPr>
          <w:tab/>
        </w:r>
        <w:r>
          <w:rPr>
            <w:noProof/>
            <w:webHidden/>
          </w:rPr>
          <w:fldChar w:fldCharType="begin"/>
        </w:r>
        <w:r>
          <w:rPr>
            <w:noProof/>
            <w:webHidden/>
          </w:rPr>
          <w:instrText xml:space="preserve"> PAGEREF _Toc52364570 \h </w:instrText>
        </w:r>
        <w:r>
          <w:rPr>
            <w:noProof/>
            <w:webHidden/>
          </w:rPr>
        </w:r>
        <w:r>
          <w:rPr>
            <w:noProof/>
            <w:webHidden/>
          </w:rPr>
          <w:fldChar w:fldCharType="separate"/>
        </w:r>
        <w:r>
          <w:rPr>
            <w:noProof/>
            <w:webHidden/>
          </w:rPr>
          <w:t>88</w:t>
        </w:r>
        <w:r>
          <w:rPr>
            <w:noProof/>
            <w:webHidden/>
          </w:rPr>
          <w:fldChar w:fldCharType="end"/>
        </w:r>
      </w:hyperlink>
    </w:p>
    <w:p w14:paraId="0B1DA32F" w14:textId="3402A9F5" w:rsidR="008C7681" w:rsidRDefault="008C7681">
      <w:pPr>
        <w:pStyle w:val="TOC1"/>
        <w:rPr>
          <w:rFonts w:asciiTheme="minorHAnsi" w:eastAsiaTheme="minorEastAsia" w:hAnsiTheme="minorHAnsi"/>
          <w:b w:val="0"/>
          <w:sz w:val="22"/>
          <w:szCs w:val="22"/>
          <w:lang w:eastAsia="en-GB"/>
        </w:rPr>
      </w:pPr>
      <w:hyperlink w:anchor="_Toc52364571" w:history="1">
        <w:r w:rsidRPr="00365ED0">
          <w:rPr>
            <w:rStyle w:val="Hyperlink"/>
          </w:rPr>
          <w:t>Chapter 5: Innovation</w:t>
        </w:r>
        <w:r>
          <w:rPr>
            <w:webHidden/>
          </w:rPr>
          <w:tab/>
        </w:r>
        <w:r>
          <w:rPr>
            <w:webHidden/>
          </w:rPr>
          <w:fldChar w:fldCharType="begin"/>
        </w:r>
        <w:r>
          <w:rPr>
            <w:webHidden/>
          </w:rPr>
          <w:instrText xml:space="preserve"> PAGEREF _Toc52364571 \h </w:instrText>
        </w:r>
        <w:r>
          <w:rPr>
            <w:webHidden/>
          </w:rPr>
        </w:r>
        <w:r>
          <w:rPr>
            <w:webHidden/>
          </w:rPr>
          <w:fldChar w:fldCharType="separate"/>
        </w:r>
        <w:r>
          <w:rPr>
            <w:webHidden/>
          </w:rPr>
          <w:t>92</w:t>
        </w:r>
        <w:r>
          <w:rPr>
            <w:webHidden/>
          </w:rPr>
          <w:fldChar w:fldCharType="end"/>
        </w:r>
      </w:hyperlink>
    </w:p>
    <w:p w14:paraId="0B0A06B6" w14:textId="22D78619" w:rsidR="008C7681" w:rsidRDefault="008C7681">
      <w:pPr>
        <w:pStyle w:val="TOC2"/>
        <w:tabs>
          <w:tab w:val="right" w:pos="9016"/>
        </w:tabs>
        <w:rPr>
          <w:rFonts w:asciiTheme="minorHAnsi" w:eastAsiaTheme="minorEastAsia" w:hAnsiTheme="minorHAnsi"/>
          <w:noProof/>
          <w:sz w:val="22"/>
          <w:szCs w:val="22"/>
          <w:lang w:eastAsia="en-GB"/>
        </w:rPr>
      </w:pPr>
      <w:hyperlink w:anchor="_Toc52364572" w:history="1">
        <w:r w:rsidRPr="00365ED0">
          <w:rPr>
            <w:rStyle w:val="Hyperlink"/>
            <w:noProof/>
          </w:rPr>
          <w:t>Special Condition 5.1 Total innovation allowance</w:t>
        </w:r>
        <w:r>
          <w:rPr>
            <w:noProof/>
            <w:webHidden/>
          </w:rPr>
          <w:tab/>
        </w:r>
        <w:r>
          <w:rPr>
            <w:noProof/>
            <w:webHidden/>
          </w:rPr>
          <w:fldChar w:fldCharType="begin"/>
        </w:r>
        <w:r>
          <w:rPr>
            <w:noProof/>
            <w:webHidden/>
          </w:rPr>
          <w:instrText xml:space="preserve"> PAGEREF _Toc52364572 \h </w:instrText>
        </w:r>
        <w:r>
          <w:rPr>
            <w:noProof/>
            <w:webHidden/>
          </w:rPr>
        </w:r>
        <w:r>
          <w:rPr>
            <w:noProof/>
            <w:webHidden/>
          </w:rPr>
          <w:fldChar w:fldCharType="separate"/>
        </w:r>
        <w:r>
          <w:rPr>
            <w:noProof/>
            <w:webHidden/>
          </w:rPr>
          <w:t>92</w:t>
        </w:r>
        <w:r>
          <w:rPr>
            <w:noProof/>
            <w:webHidden/>
          </w:rPr>
          <w:fldChar w:fldCharType="end"/>
        </w:r>
      </w:hyperlink>
    </w:p>
    <w:p w14:paraId="1AB03648" w14:textId="271F2369" w:rsidR="008C7681" w:rsidRDefault="008C7681">
      <w:pPr>
        <w:pStyle w:val="TOC2"/>
        <w:tabs>
          <w:tab w:val="right" w:pos="9016"/>
        </w:tabs>
        <w:rPr>
          <w:rFonts w:asciiTheme="minorHAnsi" w:eastAsiaTheme="minorEastAsia" w:hAnsiTheme="minorHAnsi"/>
          <w:noProof/>
          <w:sz w:val="22"/>
          <w:szCs w:val="22"/>
          <w:lang w:eastAsia="en-GB"/>
        </w:rPr>
      </w:pPr>
      <w:hyperlink w:anchor="_Toc52364573" w:history="1">
        <w:r w:rsidRPr="00365ED0">
          <w:rPr>
            <w:rStyle w:val="Hyperlink"/>
            <w:noProof/>
          </w:rPr>
          <w:t>Special Condition 5.2 The RIIO-2 Network Innovation Allowance (NIA</w:t>
        </w:r>
        <w:r w:rsidRPr="00365ED0">
          <w:rPr>
            <w:rStyle w:val="Hyperlink"/>
            <w:noProof/>
            <w:vertAlign w:val="subscript"/>
          </w:rPr>
          <w:t>t</w:t>
        </w:r>
        <w:r w:rsidRPr="00365ED0">
          <w:rPr>
            <w:rStyle w:val="Hyperlink"/>
            <w:noProof/>
          </w:rPr>
          <w:t>)</w:t>
        </w:r>
        <w:r>
          <w:rPr>
            <w:noProof/>
            <w:webHidden/>
          </w:rPr>
          <w:tab/>
        </w:r>
        <w:r>
          <w:rPr>
            <w:noProof/>
            <w:webHidden/>
          </w:rPr>
          <w:fldChar w:fldCharType="begin"/>
        </w:r>
        <w:r>
          <w:rPr>
            <w:noProof/>
            <w:webHidden/>
          </w:rPr>
          <w:instrText xml:space="preserve"> PAGEREF _Toc52364573 \h </w:instrText>
        </w:r>
        <w:r>
          <w:rPr>
            <w:noProof/>
            <w:webHidden/>
          </w:rPr>
        </w:r>
        <w:r>
          <w:rPr>
            <w:noProof/>
            <w:webHidden/>
          </w:rPr>
          <w:fldChar w:fldCharType="separate"/>
        </w:r>
        <w:r>
          <w:rPr>
            <w:noProof/>
            <w:webHidden/>
          </w:rPr>
          <w:t>92</w:t>
        </w:r>
        <w:r>
          <w:rPr>
            <w:noProof/>
            <w:webHidden/>
          </w:rPr>
          <w:fldChar w:fldCharType="end"/>
        </w:r>
      </w:hyperlink>
    </w:p>
    <w:p w14:paraId="751F2A8A" w14:textId="0E599336" w:rsidR="008C7681" w:rsidRDefault="008C7681">
      <w:pPr>
        <w:pStyle w:val="TOC2"/>
        <w:tabs>
          <w:tab w:val="right" w:pos="9016"/>
        </w:tabs>
        <w:rPr>
          <w:rFonts w:asciiTheme="minorHAnsi" w:eastAsiaTheme="minorEastAsia" w:hAnsiTheme="minorHAnsi"/>
          <w:noProof/>
          <w:sz w:val="22"/>
          <w:szCs w:val="22"/>
          <w:lang w:eastAsia="en-GB"/>
        </w:rPr>
      </w:pPr>
      <w:hyperlink w:anchor="_Toc52364574" w:history="1">
        <w:r w:rsidRPr="00365ED0">
          <w:rPr>
            <w:rStyle w:val="Hyperlink"/>
            <w:noProof/>
          </w:rPr>
          <w:t>Special Condition 5.3 Carry-over RIIO-1 Network Innovation Allowance (CNIA</w:t>
        </w:r>
        <w:r w:rsidRPr="00365ED0">
          <w:rPr>
            <w:rStyle w:val="Hyperlink"/>
            <w:noProof/>
            <w:vertAlign w:val="subscript"/>
          </w:rPr>
          <w:t>t</w:t>
        </w:r>
        <w:r w:rsidRPr="00365ED0">
          <w:rPr>
            <w:rStyle w:val="Hyperlink"/>
            <w:noProof/>
          </w:rPr>
          <w:t>)</w:t>
        </w:r>
        <w:r>
          <w:rPr>
            <w:noProof/>
            <w:webHidden/>
          </w:rPr>
          <w:tab/>
        </w:r>
        <w:r>
          <w:rPr>
            <w:noProof/>
            <w:webHidden/>
          </w:rPr>
          <w:fldChar w:fldCharType="begin"/>
        </w:r>
        <w:r>
          <w:rPr>
            <w:noProof/>
            <w:webHidden/>
          </w:rPr>
          <w:instrText xml:space="preserve"> PAGEREF _Toc52364574 \h </w:instrText>
        </w:r>
        <w:r>
          <w:rPr>
            <w:noProof/>
            <w:webHidden/>
          </w:rPr>
        </w:r>
        <w:r>
          <w:rPr>
            <w:noProof/>
            <w:webHidden/>
          </w:rPr>
          <w:fldChar w:fldCharType="separate"/>
        </w:r>
        <w:r>
          <w:rPr>
            <w:noProof/>
            <w:webHidden/>
          </w:rPr>
          <w:t>94</w:t>
        </w:r>
        <w:r>
          <w:rPr>
            <w:noProof/>
            <w:webHidden/>
          </w:rPr>
          <w:fldChar w:fldCharType="end"/>
        </w:r>
      </w:hyperlink>
    </w:p>
    <w:p w14:paraId="47AFEDCA" w14:textId="628941BE" w:rsidR="008C7681" w:rsidRDefault="008C7681">
      <w:pPr>
        <w:pStyle w:val="TOC1"/>
        <w:rPr>
          <w:rFonts w:asciiTheme="minorHAnsi" w:eastAsiaTheme="minorEastAsia" w:hAnsiTheme="minorHAnsi"/>
          <w:b w:val="0"/>
          <w:sz w:val="22"/>
          <w:szCs w:val="22"/>
          <w:lang w:eastAsia="en-GB"/>
        </w:rPr>
      </w:pPr>
      <w:hyperlink w:anchor="_Toc52364575" w:history="1">
        <w:r w:rsidRPr="00365ED0">
          <w:rPr>
            <w:rStyle w:val="Hyperlink"/>
          </w:rPr>
          <w:t>Chapter 6: Pass-through expenditure</w:t>
        </w:r>
        <w:r>
          <w:rPr>
            <w:webHidden/>
          </w:rPr>
          <w:tab/>
        </w:r>
        <w:r>
          <w:rPr>
            <w:webHidden/>
          </w:rPr>
          <w:fldChar w:fldCharType="begin"/>
        </w:r>
        <w:r>
          <w:rPr>
            <w:webHidden/>
          </w:rPr>
          <w:instrText xml:space="preserve"> PAGEREF _Toc52364575 \h </w:instrText>
        </w:r>
        <w:r>
          <w:rPr>
            <w:webHidden/>
          </w:rPr>
        </w:r>
        <w:r>
          <w:rPr>
            <w:webHidden/>
          </w:rPr>
          <w:fldChar w:fldCharType="separate"/>
        </w:r>
        <w:r>
          <w:rPr>
            <w:webHidden/>
          </w:rPr>
          <w:t>97</w:t>
        </w:r>
        <w:r>
          <w:rPr>
            <w:webHidden/>
          </w:rPr>
          <w:fldChar w:fldCharType="end"/>
        </w:r>
      </w:hyperlink>
    </w:p>
    <w:p w14:paraId="43422963" w14:textId="11F8E23C" w:rsidR="008C7681" w:rsidRDefault="008C7681">
      <w:pPr>
        <w:pStyle w:val="TOC2"/>
        <w:tabs>
          <w:tab w:val="right" w:pos="9016"/>
        </w:tabs>
        <w:rPr>
          <w:rFonts w:asciiTheme="minorHAnsi" w:eastAsiaTheme="minorEastAsia" w:hAnsiTheme="minorHAnsi"/>
          <w:noProof/>
          <w:sz w:val="22"/>
          <w:szCs w:val="22"/>
          <w:lang w:eastAsia="en-GB"/>
        </w:rPr>
      </w:pPr>
      <w:hyperlink w:anchor="_Toc52364576" w:history="1">
        <w:r w:rsidRPr="00365ED0">
          <w:rPr>
            <w:rStyle w:val="Hyperlink"/>
            <w:noProof/>
          </w:rPr>
          <w:t>Special Condition 6.1 Pass-through items (PT</w:t>
        </w:r>
        <w:r w:rsidRPr="00365ED0">
          <w:rPr>
            <w:rStyle w:val="Hyperlink"/>
            <w:noProof/>
            <w:vertAlign w:val="subscript"/>
          </w:rPr>
          <w:t>t</w:t>
        </w:r>
        <w:r w:rsidRPr="00365ED0">
          <w:rPr>
            <w:rStyle w:val="Hyperlink"/>
            <w:noProof/>
          </w:rPr>
          <w:t>)</w:t>
        </w:r>
        <w:r>
          <w:rPr>
            <w:noProof/>
            <w:webHidden/>
          </w:rPr>
          <w:tab/>
        </w:r>
        <w:r>
          <w:rPr>
            <w:noProof/>
            <w:webHidden/>
          </w:rPr>
          <w:fldChar w:fldCharType="begin"/>
        </w:r>
        <w:r>
          <w:rPr>
            <w:noProof/>
            <w:webHidden/>
          </w:rPr>
          <w:instrText xml:space="preserve"> PAGEREF _Toc52364576 \h </w:instrText>
        </w:r>
        <w:r>
          <w:rPr>
            <w:noProof/>
            <w:webHidden/>
          </w:rPr>
        </w:r>
        <w:r>
          <w:rPr>
            <w:noProof/>
            <w:webHidden/>
          </w:rPr>
          <w:fldChar w:fldCharType="separate"/>
        </w:r>
        <w:r>
          <w:rPr>
            <w:noProof/>
            <w:webHidden/>
          </w:rPr>
          <w:t>97</w:t>
        </w:r>
        <w:r>
          <w:rPr>
            <w:noProof/>
            <w:webHidden/>
          </w:rPr>
          <w:fldChar w:fldCharType="end"/>
        </w:r>
      </w:hyperlink>
    </w:p>
    <w:p w14:paraId="5C3A8DFC" w14:textId="428BE2C0" w:rsidR="008C7681" w:rsidRDefault="008C7681">
      <w:pPr>
        <w:pStyle w:val="TOC1"/>
        <w:rPr>
          <w:rFonts w:asciiTheme="minorHAnsi" w:eastAsiaTheme="minorEastAsia" w:hAnsiTheme="minorHAnsi"/>
          <w:b w:val="0"/>
          <w:sz w:val="22"/>
          <w:szCs w:val="22"/>
          <w:lang w:eastAsia="en-GB"/>
        </w:rPr>
      </w:pPr>
      <w:hyperlink w:anchor="_Toc52364577" w:history="1">
        <w:r w:rsidRPr="00365ED0">
          <w:rPr>
            <w:rStyle w:val="Hyperlink"/>
          </w:rPr>
          <w:t>Chapter 7: Legacy Adjustments</w:t>
        </w:r>
        <w:r>
          <w:rPr>
            <w:webHidden/>
          </w:rPr>
          <w:tab/>
        </w:r>
        <w:r>
          <w:rPr>
            <w:webHidden/>
          </w:rPr>
          <w:fldChar w:fldCharType="begin"/>
        </w:r>
        <w:r>
          <w:rPr>
            <w:webHidden/>
          </w:rPr>
          <w:instrText xml:space="preserve"> PAGEREF _Toc52364577 \h </w:instrText>
        </w:r>
        <w:r>
          <w:rPr>
            <w:webHidden/>
          </w:rPr>
        </w:r>
        <w:r>
          <w:rPr>
            <w:webHidden/>
          </w:rPr>
          <w:fldChar w:fldCharType="separate"/>
        </w:r>
        <w:r>
          <w:rPr>
            <w:webHidden/>
          </w:rPr>
          <w:t>100</w:t>
        </w:r>
        <w:r>
          <w:rPr>
            <w:webHidden/>
          </w:rPr>
          <w:fldChar w:fldCharType="end"/>
        </w:r>
      </w:hyperlink>
    </w:p>
    <w:p w14:paraId="4D65E047" w14:textId="0371C4D6" w:rsidR="008C7681" w:rsidRDefault="008C7681">
      <w:pPr>
        <w:pStyle w:val="TOC2"/>
        <w:tabs>
          <w:tab w:val="right" w:pos="9016"/>
        </w:tabs>
        <w:rPr>
          <w:rFonts w:asciiTheme="minorHAnsi" w:eastAsiaTheme="minorEastAsia" w:hAnsiTheme="minorHAnsi"/>
          <w:noProof/>
          <w:sz w:val="22"/>
          <w:szCs w:val="22"/>
          <w:lang w:eastAsia="en-GB"/>
        </w:rPr>
      </w:pPr>
      <w:hyperlink w:anchor="_Toc52364578" w:history="1">
        <w:r w:rsidRPr="00365ED0">
          <w:rPr>
            <w:rStyle w:val="Hyperlink"/>
            <w:noProof/>
          </w:rPr>
          <w:t>Special Condition 7.1 Total legacy adjustments (LAR</w:t>
        </w:r>
        <w:r w:rsidRPr="00365ED0">
          <w:rPr>
            <w:rStyle w:val="Hyperlink"/>
            <w:noProof/>
            <w:vertAlign w:val="subscript"/>
          </w:rPr>
          <w:t>t</w:t>
        </w:r>
        <w:r w:rsidRPr="00365ED0">
          <w:rPr>
            <w:rStyle w:val="Hyperlink"/>
            <w:noProof/>
          </w:rPr>
          <w:t>)</w:t>
        </w:r>
        <w:r>
          <w:rPr>
            <w:noProof/>
            <w:webHidden/>
          </w:rPr>
          <w:tab/>
        </w:r>
        <w:r>
          <w:rPr>
            <w:noProof/>
            <w:webHidden/>
          </w:rPr>
          <w:fldChar w:fldCharType="begin"/>
        </w:r>
        <w:r>
          <w:rPr>
            <w:noProof/>
            <w:webHidden/>
          </w:rPr>
          <w:instrText xml:space="preserve"> PAGEREF _Toc52364578 \h </w:instrText>
        </w:r>
        <w:r>
          <w:rPr>
            <w:noProof/>
            <w:webHidden/>
          </w:rPr>
        </w:r>
        <w:r>
          <w:rPr>
            <w:noProof/>
            <w:webHidden/>
          </w:rPr>
          <w:fldChar w:fldCharType="separate"/>
        </w:r>
        <w:r>
          <w:rPr>
            <w:noProof/>
            <w:webHidden/>
          </w:rPr>
          <w:t>100</w:t>
        </w:r>
        <w:r>
          <w:rPr>
            <w:noProof/>
            <w:webHidden/>
          </w:rPr>
          <w:fldChar w:fldCharType="end"/>
        </w:r>
      </w:hyperlink>
    </w:p>
    <w:p w14:paraId="5859D491" w14:textId="7370C6D0" w:rsidR="008C7681" w:rsidRDefault="008C7681">
      <w:pPr>
        <w:pStyle w:val="TOC2"/>
        <w:tabs>
          <w:tab w:val="right" w:pos="9016"/>
        </w:tabs>
        <w:rPr>
          <w:rFonts w:asciiTheme="minorHAnsi" w:eastAsiaTheme="minorEastAsia" w:hAnsiTheme="minorHAnsi"/>
          <w:noProof/>
          <w:sz w:val="22"/>
          <w:szCs w:val="22"/>
          <w:lang w:eastAsia="en-GB"/>
        </w:rPr>
      </w:pPr>
      <w:hyperlink w:anchor="_Toc52364579" w:history="1">
        <w:r w:rsidRPr="00365ED0">
          <w:rPr>
            <w:rStyle w:val="Hyperlink"/>
            <w:noProof/>
          </w:rPr>
          <w:t>Special Condition 7.2 Legacy pass-through (LPT</w:t>
        </w:r>
        <w:r w:rsidRPr="00365ED0">
          <w:rPr>
            <w:rStyle w:val="Hyperlink"/>
            <w:noProof/>
            <w:vertAlign w:val="subscript"/>
          </w:rPr>
          <w:t>t</w:t>
        </w:r>
        <w:r w:rsidRPr="00365ED0">
          <w:rPr>
            <w:rStyle w:val="Hyperlink"/>
            <w:noProof/>
          </w:rPr>
          <w:t>)</w:t>
        </w:r>
        <w:r>
          <w:rPr>
            <w:noProof/>
            <w:webHidden/>
          </w:rPr>
          <w:tab/>
        </w:r>
        <w:r>
          <w:rPr>
            <w:noProof/>
            <w:webHidden/>
          </w:rPr>
          <w:fldChar w:fldCharType="begin"/>
        </w:r>
        <w:r>
          <w:rPr>
            <w:noProof/>
            <w:webHidden/>
          </w:rPr>
          <w:instrText xml:space="preserve"> PAGEREF _Toc52364579 \h </w:instrText>
        </w:r>
        <w:r>
          <w:rPr>
            <w:noProof/>
            <w:webHidden/>
          </w:rPr>
        </w:r>
        <w:r>
          <w:rPr>
            <w:noProof/>
            <w:webHidden/>
          </w:rPr>
          <w:fldChar w:fldCharType="separate"/>
        </w:r>
        <w:r>
          <w:rPr>
            <w:noProof/>
            <w:webHidden/>
          </w:rPr>
          <w:t>101</w:t>
        </w:r>
        <w:r>
          <w:rPr>
            <w:noProof/>
            <w:webHidden/>
          </w:rPr>
          <w:fldChar w:fldCharType="end"/>
        </w:r>
      </w:hyperlink>
    </w:p>
    <w:p w14:paraId="093C912D" w14:textId="28FD3AA2" w:rsidR="008C7681" w:rsidRDefault="008C7681">
      <w:pPr>
        <w:pStyle w:val="TOC2"/>
        <w:tabs>
          <w:tab w:val="right" w:pos="9016"/>
        </w:tabs>
        <w:rPr>
          <w:rFonts w:asciiTheme="minorHAnsi" w:eastAsiaTheme="minorEastAsia" w:hAnsiTheme="minorHAnsi"/>
          <w:noProof/>
          <w:sz w:val="22"/>
          <w:szCs w:val="22"/>
          <w:lang w:eastAsia="en-GB"/>
        </w:rPr>
      </w:pPr>
      <w:hyperlink w:anchor="_Toc52364580" w:history="1">
        <w:r w:rsidRPr="00365ED0">
          <w:rPr>
            <w:rStyle w:val="Hyperlink"/>
            <w:noProof/>
          </w:rPr>
          <w:t>Special Condition 7.3 Legacy MOD (LMOD</w:t>
        </w:r>
        <w:r w:rsidRPr="00365ED0">
          <w:rPr>
            <w:rStyle w:val="Hyperlink"/>
            <w:noProof/>
            <w:vertAlign w:val="subscript"/>
          </w:rPr>
          <w:t>t</w:t>
        </w:r>
        <w:r w:rsidRPr="00365ED0">
          <w:rPr>
            <w:rStyle w:val="Hyperlink"/>
            <w:noProof/>
          </w:rPr>
          <w:t>)</w:t>
        </w:r>
        <w:r>
          <w:rPr>
            <w:noProof/>
            <w:webHidden/>
          </w:rPr>
          <w:tab/>
        </w:r>
        <w:r>
          <w:rPr>
            <w:noProof/>
            <w:webHidden/>
          </w:rPr>
          <w:fldChar w:fldCharType="begin"/>
        </w:r>
        <w:r>
          <w:rPr>
            <w:noProof/>
            <w:webHidden/>
          </w:rPr>
          <w:instrText xml:space="preserve"> PAGEREF _Toc52364580 \h </w:instrText>
        </w:r>
        <w:r>
          <w:rPr>
            <w:noProof/>
            <w:webHidden/>
          </w:rPr>
        </w:r>
        <w:r>
          <w:rPr>
            <w:noProof/>
            <w:webHidden/>
          </w:rPr>
          <w:fldChar w:fldCharType="separate"/>
        </w:r>
        <w:r>
          <w:rPr>
            <w:noProof/>
            <w:webHidden/>
          </w:rPr>
          <w:t>101</w:t>
        </w:r>
        <w:r>
          <w:rPr>
            <w:noProof/>
            <w:webHidden/>
          </w:rPr>
          <w:fldChar w:fldCharType="end"/>
        </w:r>
      </w:hyperlink>
    </w:p>
    <w:p w14:paraId="739A1E4C" w14:textId="07BF6E11" w:rsidR="008C7681" w:rsidRDefault="008C7681">
      <w:pPr>
        <w:pStyle w:val="TOC2"/>
        <w:tabs>
          <w:tab w:val="right" w:pos="9016"/>
        </w:tabs>
        <w:rPr>
          <w:rFonts w:asciiTheme="minorHAnsi" w:eastAsiaTheme="minorEastAsia" w:hAnsiTheme="minorHAnsi"/>
          <w:noProof/>
          <w:sz w:val="22"/>
          <w:szCs w:val="22"/>
          <w:lang w:eastAsia="en-GB"/>
        </w:rPr>
      </w:pPr>
      <w:hyperlink w:anchor="_Toc52364581" w:history="1">
        <w:r w:rsidRPr="00365ED0">
          <w:rPr>
            <w:rStyle w:val="Hyperlink"/>
            <w:noProof/>
          </w:rPr>
          <w:t>Special Condition 7.4 Legacy K Correction (LK</w:t>
        </w:r>
        <w:r w:rsidRPr="00365ED0">
          <w:rPr>
            <w:rStyle w:val="Hyperlink"/>
            <w:noProof/>
            <w:vertAlign w:val="subscript"/>
          </w:rPr>
          <w:t>t</w:t>
        </w:r>
        <w:r w:rsidRPr="00365ED0">
          <w:rPr>
            <w:rStyle w:val="Hyperlink"/>
            <w:noProof/>
          </w:rPr>
          <w:t>)</w:t>
        </w:r>
        <w:r>
          <w:rPr>
            <w:noProof/>
            <w:webHidden/>
          </w:rPr>
          <w:tab/>
        </w:r>
        <w:r>
          <w:rPr>
            <w:noProof/>
            <w:webHidden/>
          </w:rPr>
          <w:fldChar w:fldCharType="begin"/>
        </w:r>
        <w:r>
          <w:rPr>
            <w:noProof/>
            <w:webHidden/>
          </w:rPr>
          <w:instrText xml:space="preserve"> PAGEREF _Toc52364581 \h </w:instrText>
        </w:r>
        <w:r>
          <w:rPr>
            <w:noProof/>
            <w:webHidden/>
          </w:rPr>
        </w:r>
        <w:r>
          <w:rPr>
            <w:noProof/>
            <w:webHidden/>
          </w:rPr>
          <w:fldChar w:fldCharType="separate"/>
        </w:r>
        <w:r>
          <w:rPr>
            <w:noProof/>
            <w:webHidden/>
          </w:rPr>
          <w:t>102</w:t>
        </w:r>
        <w:r>
          <w:rPr>
            <w:noProof/>
            <w:webHidden/>
          </w:rPr>
          <w:fldChar w:fldCharType="end"/>
        </w:r>
      </w:hyperlink>
    </w:p>
    <w:p w14:paraId="7A89373A" w14:textId="0D0B17F3" w:rsidR="008C7681" w:rsidRDefault="008C7681">
      <w:pPr>
        <w:pStyle w:val="TOC2"/>
        <w:tabs>
          <w:tab w:val="right" w:pos="9016"/>
        </w:tabs>
        <w:rPr>
          <w:rFonts w:asciiTheme="minorHAnsi" w:eastAsiaTheme="minorEastAsia" w:hAnsiTheme="minorHAnsi"/>
          <w:noProof/>
          <w:sz w:val="22"/>
          <w:szCs w:val="22"/>
          <w:lang w:eastAsia="en-GB"/>
        </w:rPr>
      </w:pPr>
      <w:hyperlink w:anchor="_Toc52364582" w:history="1">
        <w:r w:rsidRPr="00365ED0">
          <w:rPr>
            <w:rStyle w:val="Hyperlink"/>
            <w:noProof/>
          </w:rPr>
          <w:t>Special Condition 7.5 Legacy TRU Term (LTRU</w:t>
        </w:r>
        <w:r w:rsidRPr="00365ED0">
          <w:rPr>
            <w:rStyle w:val="Hyperlink"/>
            <w:noProof/>
            <w:vertAlign w:val="subscript"/>
          </w:rPr>
          <w:t>t</w:t>
        </w:r>
        <w:r w:rsidRPr="00365ED0">
          <w:rPr>
            <w:rStyle w:val="Hyperlink"/>
            <w:noProof/>
          </w:rPr>
          <w:t>)</w:t>
        </w:r>
        <w:r>
          <w:rPr>
            <w:noProof/>
            <w:webHidden/>
          </w:rPr>
          <w:tab/>
        </w:r>
        <w:r>
          <w:rPr>
            <w:noProof/>
            <w:webHidden/>
          </w:rPr>
          <w:fldChar w:fldCharType="begin"/>
        </w:r>
        <w:r>
          <w:rPr>
            <w:noProof/>
            <w:webHidden/>
          </w:rPr>
          <w:instrText xml:space="preserve"> PAGEREF _Toc52364582 \h </w:instrText>
        </w:r>
        <w:r>
          <w:rPr>
            <w:noProof/>
            <w:webHidden/>
          </w:rPr>
        </w:r>
        <w:r>
          <w:rPr>
            <w:noProof/>
            <w:webHidden/>
          </w:rPr>
          <w:fldChar w:fldCharType="separate"/>
        </w:r>
        <w:r>
          <w:rPr>
            <w:noProof/>
            <w:webHidden/>
          </w:rPr>
          <w:t>102</w:t>
        </w:r>
        <w:r>
          <w:rPr>
            <w:noProof/>
            <w:webHidden/>
          </w:rPr>
          <w:fldChar w:fldCharType="end"/>
        </w:r>
      </w:hyperlink>
    </w:p>
    <w:p w14:paraId="7D18A261" w14:textId="359AC8C8" w:rsidR="008C7681" w:rsidRDefault="008C7681">
      <w:pPr>
        <w:pStyle w:val="TOC2"/>
        <w:tabs>
          <w:tab w:val="right" w:pos="9016"/>
        </w:tabs>
        <w:rPr>
          <w:rFonts w:asciiTheme="minorHAnsi" w:eastAsiaTheme="minorEastAsia" w:hAnsiTheme="minorHAnsi"/>
          <w:noProof/>
          <w:sz w:val="22"/>
          <w:szCs w:val="22"/>
          <w:lang w:eastAsia="en-GB"/>
        </w:rPr>
      </w:pPr>
      <w:hyperlink w:anchor="_Toc52364583" w:history="1">
        <w:r w:rsidRPr="00365ED0">
          <w:rPr>
            <w:rStyle w:val="Hyperlink"/>
            <w:noProof/>
          </w:rPr>
          <w:t>Special Condition 7.6 Close out of the RIIO-1 Network Outputs (NOCO</w:t>
        </w:r>
        <w:r w:rsidRPr="00365ED0">
          <w:rPr>
            <w:rStyle w:val="Hyperlink"/>
            <w:noProof/>
            <w:vertAlign w:val="subscript"/>
          </w:rPr>
          <w:t>t</w:t>
        </w:r>
        <w:r w:rsidRPr="00365ED0">
          <w:rPr>
            <w:rStyle w:val="Hyperlink"/>
            <w:noProof/>
          </w:rPr>
          <w:t>)</w:t>
        </w:r>
        <w:r>
          <w:rPr>
            <w:noProof/>
            <w:webHidden/>
          </w:rPr>
          <w:tab/>
        </w:r>
        <w:r>
          <w:rPr>
            <w:noProof/>
            <w:webHidden/>
          </w:rPr>
          <w:fldChar w:fldCharType="begin"/>
        </w:r>
        <w:r>
          <w:rPr>
            <w:noProof/>
            <w:webHidden/>
          </w:rPr>
          <w:instrText xml:space="preserve"> PAGEREF _Toc52364583 \h </w:instrText>
        </w:r>
        <w:r>
          <w:rPr>
            <w:noProof/>
            <w:webHidden/>
          </w:rPr>
        </w:r>
        <w:r>
          <w:rPr>
            <w:noProof/>
            <w:webHidden/>
          </w:rPr>
          <w:fldChar w:fldCharType="separate"/>
        </w:r>
        <w:r>
          <w:rPr>
            <w:noProof/>
            <w:webHidden/>
          </w:rPr>
          <w:t>103</w:t>
        </w:r>
        <w:r>
          <w:rPr>
            <w:noProof/>
            <w:webHidden/>
          </w:rPr>
          <w:fldChar w:fldCharType="end"/>
        </w:r>
      </w:hyperlink>
    </w:p>
    <w:p w14:paraId="351A5C40" w14:textId="2383DB4C" w:rsidR="008C7681" w:rsidRDefault="008C7681">
      <w:pPr>
        <w:pStyle w:val="TOC2"/>
        <w:tabs>
          <w:tab w:val="right" w:pos="9016"/>
        </w:tabs>
        <w:rPr>
          <w:rFonts w:asciiTheme="minorHAnsi" w:eastAsiaTheme="minorEastAsia" w:hAnsiTheme="minorHAnsi"/>
          <w:noProof/>
          <w:sz w:val="22"/>
          <w:szCs w:val="22"/>
          <w:lang w:eastAsia="en-GB"/>
        </w:rPr>
      </w:pPr>
      <w:hyperlink w:anchor="_Toc52364584" w:history="1">
        <w:r w:rsidRPr="00365ED0">
          <w:rPr>
            <w:rStyle w:val="Hyperlink"/>
            <w:noProof/>
          </w:rPr>
          <w:t>Special Condition 7.7 Close out of the RIIO-GD1 Discretionary Reward Scheme (LDRW</w:t>
        </w:r>
        <w:r w:rsidRPr="00365ED0">
          <w:rPr>
            <w:rStyle w:val="Hyperlink"/>
            <w:noProof/>
            <w:vertAlign w:val="subscript"/>
          </w:rPr>
          <w:t>t</w:t>
        </w:r>
        <w:r w:rsidRPr="00365ED0">
          <w:rPr>
            <w:rStyle w:val="Hyperlink"/>
            <w:noProof/>
          </w:rPr>
          <w:t>)</w:t>
        </w:r>
        <w:r>
          <w:rPr>
            <w:noProof/>
            <w:webHidden/>
          </w:rPr>
          <w:tab/>
        </w:r>
        <w:r>
          <w:rPr>
            <w:noProof/>
            <w:webHidden/>
          </w:rPr>
          <w:fldChar w:fldCharType="begin"/>
        </w:r>
        <w:r>
          <w:rPr>
            <w:noProof/>
            <w:webHidden/>
          </w:rPr>
          <w:instrText xml:space="preserve"> PAGEREF _Toc52364584 \h </w:instrText>
        </w:r>
        <w:r>
          <w:rPr>
            <w:noProof/>
            <w:webHidden/>
          </w:rPr>
        </w:r>
        <w:r>
          <w:rPr>
            <w:noProof/>
            <w:webHidden/>
          </w:rPr>
          <w:fldChar w:fldCharType="separate"/>
        </w:r>
        <w:r>
          <w:rPr>
            <w:noProof/>
            <w:webHidden/>
          </w:rPr>
          <w:t>104</w:t>
        </w:r>
        <w:r>
          <w:rPr>
            <w:noProof/>
            <w:webHidden/>
          </w:rPr>
          <w:fldChar w:fldCharType="end"/>
        </w:r>
      </w:hyperlink>
    </w:p>
    <w:p w14:paraId="4F51C436" w14:textId="2018817B" w:rsidR="008C7681" w:rsidRDefault="008C7681">
      <w:pPr>
        <w:pStyle w:val="TOC2"/>
        <w:tabs>
          <w:tab w:val="right" w:pos="9016"/>
        </w:tabs>
        <w:rPr>
          <w:rFonts w:asciiTheme="minorHAnsi" w:eastAsiaTheme="minorEastAsia" w:hAnsiTheme="minorHAnsi"/>
          <w:noProof/>
          <w:sz w:val="22"/>
          <w:szCs w:val="22"/>
          <w:lang w:eastAsia="en-GB"/>
        </w:rPr>
      </w:pPr>
      <w:hyperlink w:anchor="_Toc52364585" w:history="1">
        <w:r w:rsidRPr="00365ED0">
          <w:rPr>
            <w:rStyle w:val="Hyperlink"/>
            <w:noProof/>
          </w:rPr>
          <w:t>Special Condition 7.8 Close out of the RIIO-GD1 Stakeholder Engagement Incentive (LSE</w:t>
        </w:r>
        <w:r w:rsidRPr="00365ED0">
          <w:rPr>
            <w:rStyle w:val="Hyperlink"/>
            <w:noProof/>
            <w:vertAlign w:val="subscript"/>
          </w:rPr>
          <w:t>t</w:t>
        </w:r>
        <w:r w:rsidRPr="00365ED0">
          <w:rPr>
            <w:rStyle w:val="Hyperlink"/>
            <w:noProof/>
          </w:rPr>
          <w:t>)</w:t>
        </w:r>
        <w:r>
          <w:rPr>
            <w:noProof/>
            <w:webHidden/>
          </w:rPr>
          <w:tab/>
        </w:r>
        <w:r>
          <w:rPr>
            <w:noProof/>
            <w:webHidden/>
          </w:rPr>
          <w:fldChar w:fldCharType="begin"/>
        </w:r>
        <w:r>
          <w:rPr>
            <w:noProof/>
            <w:webHidden/>
          </w:rPr>
          <w:instrText xml:space="preserve"> PAGEREF _Toc52364585 \h </w:instrText>
        </w:r>
        <w:r>
          <w:rPr>
            <w:noProof/>
            <w:webHidden/>
          </w:rPr>
        </w:r>
        <w:r>
          <w:rPr>
            <w:noProof/>
            <w:webHidden/>
          </w:rPr>
          <w:fldChar w:fldCharType="separate"/>
        </w:r>
        <w:r>
          <w:rPr>
            <w:noProof/>
            <w:webHidden/>
          </w:rPr>
          <w:t>105</w:t>
        </w:r>
        <w:r>
          <w:rPr>
            <w:noProof/>
            <w:webHidden/>
          </w:rPr>
          <w:fldChar w:fldCharType="end"/>
        </w:r>
      </w:hyperlink>
    </w:p>
    <w:p w14:paraId="0EE137F8" w14:textId="78FC77A7" w:rsidR="008C7681" w:rsidRDefault="008C7681">
      <w:pPr>
        <w:pStyle w:val="TOC2"/>
        <w:tabs>
          <w:tab w:val="right" w:pos="9016"/>
        </w:tabs>
        <w:rPr>
          <w:rFonts w:asciiTheme="minorHAnsi" w:eastAsiaTheme="minorEastAsia" w:hAnsiTheme="minorHAnsi"/>
          <w:noProof/>
          <w:sz w:val="22"/>
          <w:szCs w:val="22"/>
          <w:lang w:eastAsia="en-GB"/>
        </w:rPr>
      </w:pPr>
      <w:hyperlink w:anchor="_Toc52364586" w:history="1">
        <w:r w:rsidRPr="00365ED0">
          <w:rPr>
            <w:rStyle w:val="Hyperlink"/>
            <w:noProof/>
          </w:rPr>
          <w:t>Special Condition 7.9 Close out of the RIIO-GD1 Customer Satisfaction Survey Incentive (LCSO</w:t>
        </w:r>
        <w:r w:rsidRPr="00365ED0">
          <w:rPr>
            <w:rStyle w:val="Hyperlink"/>
            <w:noProof/>
            <w:vertAlign w:val="subscript"/>
          </w:rPr>
          <w:t>t</w:t>
        </w:r>
        <w:r w:rsidRPr="00365ED0">
          <w:rPr>
            <w:rStyle w:val="Hyperlink"/>
            <w:noProof/>
          </w:rPr>
          <w:t>)</w:t>
        </w:r>
        <w:r>
          <w:rPr>
            <w:noProof/>
            <w:webHidden/>
          </w:rPr>
          <w:tab/>
        </w:r>
        <w:r>
          <w:rPr>
            <w:noProof/>
            <w:webHidden/>
          </w:rPr>
          <w:fldChar w:fldCharType="begin"/>
        </w:r>
        <w:r>
          <w:rPr>
            <w:noProof/>
            <w:webHidden/>
          </w:rPr>
          <w:instrText xml:space="preserve"> PAGEREF _Toc52364586 \h </w:instrText>
        </w:r>
        <w:r>
          <w:rPr>
            <w:noProof/>
            <w:webHidden/>
          </w:rPr>
        </w:r>
        <w:r>
          <w:rPr>
            <w:noProof/>
            <w:webHidden/>
          </w:rPr>
          <w:fldChar w:fldCharType="separate"/>
        </w:r>
        <w:r>
          <w:rPr>
            <w:noProof/>
            <w:webHidden/>
          </w:rPr>
          <w:t>106</w:t>
        </w:r>
        <w:r>
          <w:rPr>
            <w:noProof/>
            <w:webHidden/>
          </w:rPr>
          <w:fldChar w:fldCharType="end"/>
        </w:r>
      </w:hyperlink>
    </w:p>
    <w:p w14:paraId="712CCB3B" w14:textId="60A8F2D5" w:rsidR="008C7681" w:rsidRDefault="008C7681">
      <w:pPr>
        <w:pStyle w:val="TOC2"/>
        <w:tabs>
          <w:tab w:val="right" w:pos="9016"/>
        </w:tabs>
        <w:rPr>
          <w:rFonts w:asciiTheme="minorHAnsi" w:eastAsiaTheme="minorEastAsia" w:hAnsiTheme="minorHAnsi"/>
          <w:noProof/>
          <w:sz w:val="22"/>
          <w:szCs w:val="22"/>
          <w:lang w:eastAsia="en-GB"/>
        </w:rPr>
      </w:pPr>
      <w:hyperlink w:anchor="_Toc52364587" w:history="1">
        <w:r w:rsidRPr="00365ED0">
          <w:rPr>
            <w:rStyle w:val="Hyperlink"/>
            <w:noProof/>
          </w:rPr>
          <w:t>Special Condition 7.10 Close out of the RIIO-GD1 Complaints Metric Incentive (LCM</w:t>
        </w:r>
        <w:r w:rsidRPr="00365ED0">
          <w:rPr>
            <w:rStyle w:val="Hyperlink"/>
            <w:noProof/>
            <w:vertAlign w:val="subscript"/>
          </w:rPr>
          <w:t>t</w:t>
        </w:r>
        <w:r w:rsidRPr="00365ED0">
          <w:rPr>
            <w:rStyle w:val="Hyperlink"/>
            <w:noProof/>
          </w:rPr>
          <w:t>)</w:t>
        </w:r>
        <w:r>
          <w:rPr>
            <w:noProof/>
            <w:webHidden/>
          </w:rPr>
          <w:tab/>
        </w:r>
        <w:r>
          <w:rPr>
            <w:noProof/>
            <w:webHidden/>
          </w:rPr>
          <w:fldChar w:fldCharType="begin"/>
        </w:r>
        <w:r>
          <w:rPr>
            <w:noProof/>
            <w:webHidden/>
          </w:rPr>
          <w:instrText xml:space="preserve"> PAGEREF _Toc52364587 \h </w:instrText>
        </w:r>
        <w:r>
          <w:rPr>
            <w:noProof/>
            <w:webHidden/>
          </w:rPr>
        </w:r>
        <w:r>
          <w:rPr>
            <w:noProof/>
            <w:webHidden/>
          </w:rPr>
          <w:fldChar w:fldCharType="separate"/>
        </w:r>
        <w:r>
          <w:rPr>
            <w:noProof/>
            <w:webHidden/>
          </w:rPr>
          <w:t>106</w:t>
        </w:r>
        <w:r>
          <w:rPr>
            <w:noProof/>
            <w:webHidden/>
          </w:rPr>
          <w:fldChar w:fldCharType="end"/>
        </w:r>
      </w:hyperlink>
    </w:p>
    <w:p w14:paraId="5E7D81BB" w14:textId="15D269C6" w:rsidR="008C7681" w:rsidRDefault="008C7681">
      <w:pPr>
        <w:pStyle w:val="TOC2"/>
        <w:tabs>
          <w:tab w:val="right" w:pos="9016"/>
        </w:tabs>
        <w:rPr>
          <w:rFonts w:asciiTheme="minorHAnsi" w:eastAsiaTheme="minorEastAsia" w:hAnsiTheme="minorHAnsi"/>
          <w:noProof/>
          <w:sz w:val="22"/>
          <w:szCs w:val="22"/>
          <w:lang w:eastAsia="en-GB"/>
        </w:rPr>
      </w:pPr>
      <w:hyperlink w:anchor="_Toc52364588" w:history="1">
        <w:r w:rsidRPr="00365ED0">
          <w:rPr>
            <w:rStyle w:val="Hyperlink"/>
            <w:noProof/>
          </w:rPr>
          <w:t>Special Condition 7.11 Close out of the RIIO-GD1 Fuel Poor Network Extension Scheme Incentive Mechanism (LFPI</w:t>
        </w:r>
        <w:r w:rsidRPr="00365ED0">
          <w:rPr>
            <w:rStyle w:val="Hyperlink"/>
            <w:noProof/>
            <w:vertAlign w:val="subscript"/>
          </w:rPr>
          <w:t>t</w:t>
        </w:r>
        <w:r w:rsidRPr="00365ED0">
          <w:rPr>
            <w:rStyle w:val="Hyperlink"/>
            <w:noProof/>
          </w:rPr>
          <w:t>)</w:t>
        </w:r>
        <w:r>
          <w:rPr>
            <w:noProof/>
            <w:webHidden/>
          </w:rPr>
          <w:tab/>
        </w:r>
        <w:r>
          <w:rPr>
            <w:noProof/>
            <w:webHidden/>
          </w:rPr>
          <w:fldChar w:fldCharType="begin"/>
        </w:r>
        <w:r>
          <w:rPr>
            <w:noProof/>
            <w:webHidden/>
          </w:rPr>
          <w:instrText xml:space="preserve"> PAGEREF _Toc52364588 \h </w:instrText>
        </w:r>
        <w:r>
          <w:rPr>
            <w:noProof/>
            <w:webHidden/>
          </w:rPr>
        </w:r>
        <w:r>
          <w:rPr>
            <w:noProof/>
            <w:webHidden/>
          </w:rPr>
          <w:fldChar w:fldCharType="separate"/>
        </w:r>
        <w:r>
          <w:rPr>
            <w:noProof/>
            <w:webHidden/>
          </w:rPr>
          <w:t>107</w:t>
        </w:r>
        <w:r>
          <w:rPr>
            <w:noProof/>
            <w:webHidden/>
          </w:rPr>
          <w:fldChar w:fldCharType="end"/>
        </w:r>
      </w:hyperlink>
    </w:p>
    <w:p w14:paraId="0FE6C0F9" w14:textId="49AC08A5" w:rsidR="008C7681" w:rsidRDefault="008C7681">
      <w:pPr>
        <w:pStyle w:val="TOC2"/>
        <w:tabs>
          <w:tab w:val="right" w:pos="9016"/>
        </w:tabs>
        <w:rPr>
          <w:rFonts w:asciiTheme="minorHAnsi" w:eastAsiaTheme="minorEastAsia" w:hAnsiTheme="minorHAnsi"/>
          <w:noProof/>
          <w:sz w:val="22"/>
          <w:szCs w:val="22"/>
          <w:lang w:eastAsia="en-GB"/>
        </w:rPr>
      </w:pPr>
      <w:hyperlink w:anchor="_Toc52364589" w:history="1">
        <w:r w:rsidRPr="00365ED0">
          <w:rPr>
            <w:rStyle w:val="Hyperlink"/>
            <w:noProof/>
          </w:rPr>
          <w:t>Special Condition 7.12 Close out of the RIIO-GD1 Exit Capacity Cost Adjustment (LExO</w:t>
        </w:r>
        <w:r w:rsidRPr="00365ED0">
          <w:rPr>
            <w:rStyle w:val="Hyperlink"/>
            <w:noProof/>
            <w:vertAlign w:val="subscript"/>
          </w:rPr>
          <w:t>t</w:t>
        </w:r>
        <w:r w:rsidRPr="00365ED0">
          <w:rPr>
            <w:rStyle w:val="Hyperlink"/>
            <w:noProof/>
          </w:rPr>
          <w:t>)</w:t>
        </w:r>
        <w:r>
          <w:rPr>
            <w:noProof/>
            <w:webHidden/>
          </w:rPr>
          <w:tab/>
        </w:r>
        <w:r>
          <w:rPr>
            <w:noProof/>
            <w:webHidden/>
          </w:rPr>
          <w:fldChar w:fldCharType="begin"/>
        </w:r>
        <w:r>
          <w:rPr>
            <w:noProof/>
            <w:webHidden/>
          </w:rPr>
          <w:instrText xml:space="preserve"> PAGEREF _Toc52364589 \h </w:instrText>
        </w:r>
        <w:r>
          <w:rPr>
            <w:noProof/>
            <w:webHidden/>
          </w:rPr>
        </w:r>
        <w:r>
          <w:rPr>
            <w:noProof/>
            <w:webHidden/>
          </w:rPr>
          <w:fldChar w:fldCharType="separate"/>
        </w:r>
        <w:r>
          <w:rPr>
            <w:noProof/>
            <w:webHidden/>
          </w:rPr>
          <w:t>108</w:t>
        </w:r>
        <w:r>
          <w:rPr>
            <w:noProof/>
            <w:webHidden/>
          </w:rPr>
          <w:fldChar w:fldCharType="end"/>
        </w:r>
      </w:hyperlink>
    </w:p>
    <w:p w14:paraId="2285C25D" w14:textId="3C94C981" w:rsidR="008C7681" w:rsidRDefault="008C7681">
      <w:pPr>
        <w:pStyle w:val="TOC2"/>
        <w:tabs>
          <w:tab w:val="right" w:pos="9016"/>
        </w:tabs>
        <w:rPr>
          <w:rFonts w:asciiTheme="minorHAnsi" w:eastAsiaTheme="minorEastAsia" w:hAnsiTheme="minorHAnsi"/>
          <w:noProof/>
          <w:sz w:val="22"/>
          <w:szCs w:val="22"/>
          <w:lang w:eastAsia="en-GB"/>
        </w:rPr>
      </w:pPr>
      <w:hyperlink w:anchor="_Toc52364590" w:history="1">
        <w:r w:rsidRPr="00365ED0">
          <w:rPr>
            <w:rStyle w:val="Hyperlink"/>
            <w:noProof/>
          </w:rPr>
          <w:t>Special Condition 7.13 The Network Innovation Competition</w:t>
        </w:r>
        <w:r>
          <w:rPr>
            <w:noProof/>
            <w:webHidden/>
          </w:rPr>
          <w:tab/>
        </w:r>
        <w:r>
          <w:rPr>
            <w:noProof/>
            <w:webHidden/>
          </w:rPr>
          <w:fldChar w:fldCharType="begin"/>
        </w:r>
        <w:r>
          <w:rPr>
            <w:noProof/>
            <w:webHidden/>
          </w:rPr>
          <w:instrText xml:space="preserve"> PAGEREF _Toc52364590 \h </w:instrText>
        </w:r>
        <w:r>
          <w:rPr>
            <w:noProof/>
            <w:webHidden/>
          </w:rPr>
        </w:r>
        <w:r>
          <w:rPr>
            <w:noProof/>
            <w:webHidden/>
          </w:rPr>
          <w:fldChar w:fldCharType="separate"/>
        </w:r>
        <w:r>
          <w:rPr>
            <w:noProof/>
            <w:webHidden/>
          </w:rPr>
          <w:t>109</w:t>
        </w:r>
        <w:r>
          <w:rPr>
            <w:noProof/>
            <w:webHidden/>
          </w:rPr>
          <w:fldChar w:fldCharType="end"/>
        </w:r>
      </w:hyperlink>
    </w:p>
    <w:p w14:paraId="007E1C37" w14:textId="5C14B055" w:rsidR="008C7681" w:rsidRDefault="008C7681">
      <w:pPr>
        <w:pStyle w:val="TOC1"/>
        <w:rPr>
          <w:rFonts w:asciiTheme="minorHAnsi" w:eastAsiaTheme="minorEastAsia" w:hAnsiTheme="minorHAnsi"/>
          <w:b w:val="0"/>
          <w:sz w:val="22"/>
          <w:szCs w:val="22"/>
          <w:lang w:eastAsia="en-GB"/>
        </w:rPr>
      </w:pPr>
      <w:hyperlink w:anchor="_Toc52364591" w:history="1">
        <w:r w:rsidRPr="00365ED0">
          <w:rPr>
            <w:rStyle w:val="Hyperlink"/>
          </w:rPr>
          <w:t>Chapter 8: Governance</w:t>
        </w:r>
        <w:r>
          <w:rPr>
            <w:webHidden/>
          </w:rPr>
          <w:tab/>
        </w:r>
        <w:r>
          <w:rPr>
            <w:webHidden/>
          </w:rPr>
          <w:fldChar w:fldCharType="begin"/>
        </w:r>
        <w:r>
          <w:rPr>
            <w:webHidden/>
          </w:rPr>
          <w:instrText xml:space="preserve"> PAGEREF _Toc52364591 \h </w:instrText>
        </w:r>
        <w:r>
          <w:rPr>
            <w:webHidden/>
          </w:rPr>
        </w:r>
        <w:r>
          <w:rPr>
            <w:webHidden/>
          </w:rPr>
          <w:fldChar w:fldCharType="separate"/>
        </w:r>
        <w:r>
          <w:rPr>
            <w:webHidden/>
          </w:rPr>
          <w:t>111</w:t>
        </w:r>
        <w:r>
          <w:rPr>
            <w:webHidden/>
          </w:rPr>
          <w:fldChar w:fldCharType="end"/>
        </w:r>
      </w:hyperlink>
    </w:p>
    <w:p w14:paraId="010D26D4" w14:textId="7FF1A030" w:rsidR="008C7681" w:rsidRDefault="008C7681">
      <w:pPr>
        <w:pStyle w:val="TOC2"/>
        <w:tabs>
          <w:tab w:val="right" w:pos="9016"/>
        </w:tabs>
        <w:rPr>
          <w:rFonts w:asciiTheme="minorHAnsi" w:eastAsiaTheme="minorEastAsia" w:hAnsiTheme="minorHAnsi"/>
          <w:noProof/>
          <w:sz w:val="22"/>
          <w:szCs w:val="22"/>
          <w:lang w:eastAsia="en-GB"/>
        </w:rPr>
      </w:pPr>
      <w:hyperlink w:anchor="_Toc52364592" w:history="1">
        <w:r w:rsidRPr="00365ED0">
          <w:rPr>
            <w:rStyle w:val="Hyperlink"/>
            <w:noProof/>
          </w:rPr>
          <w:t>Special Condition 8.1 Governance of the GD2 Price Control Financial Instruments</w:t>
        </w:r>
        <w:r>
          <w:rPr>
            <w:noProof/>
            <w:webHidden/>
          </w:rPr>
          <w:tab/>
        </w:r>
        <w:r>
          <w:rPr>
            <w:noProof/>
            <w:webHidden/>
          </w:rPr>
          <w:fldChar w:fldCharType="begin"/>
        </w:r>
        <w:r>
          <w:rPr>
            <w:noProof/>
            <w:webHidden/>
          </w:rPr>
          <w:instrText xml:space="preserve"> PAGEREF _Toc52364592 \h </w:instrText>
        </w:r>
        <w:r>
          <w:rPr>
            <w:noProof/>
            <w:webHidden/>
          </w:rPr>
        </w:r>
        <w:r>
          <w:rPr>
            <w:noProof/>
            <w:webHidden/>
          </w:rPr>
          <w:fldChar w:fldCharType="separate"/>
        </w:r>
        <w:r>
          <w:rPr>
            <w:noProof/>
            <w:webHidden/>
          </w:rPr>
          <w:t>111</w:t>
        </w:r>
        <w:r>
          <w:rPr>
            <w:noProof/>
            <w:webHidden/>
          </w:rPr>
          <w:fldChar w:fldCharType="end"/>
        </w:r>
      </w:hyperlink>
    </w:p>
    <w:p w14:paraId="70973302" w14:textId="51B9AAB2" w:rsidR="008C7681" w:rsidRDefault="008C7681">
      <w:pPr>
        <w:pStyle w:val="TOC2"/>
        <w:tabs>
          <w:tab w:val="right" w:pos="9016"/>
        </w:tabs>
        <w:rPr>
          <w:rFonts w:asciiTheme="minorHAnsi" w:eastAsiaTheme="minorEastAsia" w:hAnsiTheme="minorHAnsi"/>
          <w:noProof/>
          <w:sz w:val="22"/>
          <w:szCs w:val="22"/>
          <w:lang w:eastAsia="en-GB"/>
        </w:rPr>
      </w:pPr>
      <w:hyperlink w:anchor="_Toc52364593" w:history="1">
        <w:r w:rsidRPr="00365ED0">
          <w:rPr>
            <w:rStyle w:val="Hyperlink"/>
            <w:noProof/>
          </w:rPr>
          <w:t>Special Condition 8.2 Annual Iteration Process for the GD2 Price Control Financial Model</w:t>
        </w:r>
        <w:r>
          <w:rPr>
            <w:noProof/>
            <w:webHidden/>
          </w:rPr>
          <w:tab/>
        </w:r>
        <w:r>
          <w:rPr>
            <w:noProof/>
            <w:webHidden/>
          </w:rPr>
          <w:fldChar w:fldCharType="begin"/>
        </w:r>
        <w:r>
          <w:rPr>
            <w:noProof/>
            <w:webHidden/>
          </w:rPr>
          <w:instrText xml:space="preserve"> PAGEREF _Toc52364593 \h </w:instrText>
        </w:r>
        <w:r>
          <w:rPr>
            <w:noProof/>
            <w:webHidden/>
          </w:rPr>
        </w:r>
        <w:r>
          <w:rPr>
            <w:noProof/>
            <w:webHidden/>
          </w:rPr>
          <w:fldChar w:fldCharType="separate"/>
        </w:r>
        <w:r>
          <w:rPr>
            <w:noProof/>
            <w:webHidden/>
          </w:rPr>
          <w:t>113</w:t>
        </w:r>
        <w:r>
          <w:rPr>
            <w:noProof/>
            <w:webHidden/>
          </w:rPr>
          <w:fldChar w:fldCharType="end"/>
        </w:r>
      </w:hyperlink>
    </w:p>
    <w:p w14:paraId="738CCE91" w14:textId="3189DCAC" w:rsidR="008C7681" w:rsidRDefault="008C7681">
      <w:pPr>
        <w:pStyle w:val="TOC1"/>
        <w:rPr>
          <w:rFonts w:asciiTheme="minorHAnsi" w:eastAsiaTheme="minorEastAsia" w:hAnsiTheme="minorHAnsi"/>
          <w:b w:val="0"/>
          <w:sz w:val="22"/>
          <w:szCs w:val="22"/>
          <w:lang w:eastAsia="en-GB"/>
        </w:rPr>
      </w:pPr>
      <w:hyperlink w:anchor="_Toc52364594" w:history="1">
        <w:r w:rsidRPr="00365ED0">
          <w:rPr>
            <w:rStyle w:val="Hyperlink"/>
          </w:rPr>
          <w:t>Chapter 9: General Obligations</w:t>
        </w:r>
        <w:r>
          <w:rPr>
            <w:webHidden/>
          </w:rPr>
          <w:tab/>
        </w:r>
        <w:r>
          <w:rPr>
            <w:webHidden/>
          </w:rPr>
          <w:fldChar w:fldCharType="begin"/>
        </w:r>
        <w:r>
          <w:rPr>
            <w:webHidden/>
          </w:rPr>
          <w:instrText xml:space="preserve"> PAGEREF _Toc52364594 \h </w:instrText>
        </w:r>
        <w:r>
          <w:rPr>
            <w:webHidden/>
          </w:rPr>
        </w:r>
        <w:r>
          <w:rPr>
            <w:webHidden/>
          </w:rPr>
          <w:fldChar w:fldCharType="separate"/>
        </w:r>
        <w:r>
          <w:rPr>
            <w:webHidden/>
          </w:rPr>
          <w:t>117</w:t>
        </w:r>
        <w:r>
          <w:rPr>
            <w:webHidden/>
          </w:rPr>
          <w:fldChar w:fldCharType="end"/>
        </w:r>
      </w:hyperlink>
    </w:p>
    <w:p w14:paraId="7BDD857C" w14:textId="65BCC951" w:rsidR="008C7681" w:rsidRDefault="008C7681">
      <w:pPr>
        <w:pStyle w:val="TOC2"/>
        <w:tabs>
          <w:tab w:val="right" w:pos="9016"/>
        </w:tabs>
        <w:rPr>
          <w:rFonts w:asciiTheme="minorHAnsi" w:eastAsiaTheme="minorEastAsia" w:hAnsiTheme="minorHAnsi"/>
          <w:noProof/>
          <w:sz w:val="22"/>
          <w:szCs w:val="22"/>
          <w:lang w:eastAsia="en-GB"/>
        </w:rPr>
      </w:pPr>
      <w:hyperlink w:anchor="_Toc52364595" w:history="1">
        <w:r w:rsidRPr="00365ED0">
          <w:rPr>
            <w:rStyle w:val="Hyperlink"/>
            <w:noProof/>
          </w:rPr>
          <w:t>Special Condition 9.1 Annual Environmental Report</w:t>
        </w:r>
        <w:r>
          <w:rPr>
            <w:noProof/>
            <w:webHidden/>
          </w:rPr>
          <w:tab/>
        </w:r>
        <w:r>
          <w:rPr>
            <w:noProof/>
            <w:webHidden/>
          </w:rPr>
          <w:fldChar w:fldCharType="begin"/>
        </w:r>
        <w:r>
          <w:rPr>
            <w:noProof/>
            <w:webHidden/>
          </w:rPr>
          <w:instrText xml:space="preserve"> PAGEREF _Toc52364595 \h </w:instrText>
        </w:r>
        <w:r>
          <w:rPr>
            <w:noProof/>
            <w:webHidden/>
          </w:rPr>
        </w:r>
        <w:r>
          <w:rPr>
            <w:noProof/>
            <w:webHidden/>
          </w:rPr>
          <w:fldChar w:fldCharType="separate"/>
        </w:r>
        <w:r>
          <w:rPr>
            <w:noProof/>
            <w:webHidden/>
          </w:rPr>
          <w:t>117</w:t>
        </w:r>
        <w:r>
          <w:rPr>
            <w:noProof/>
            <w:webHidden/>
          </w:rPr>
          <w:fldChar w:fldCharType="end"/>
        </w:r>
      </w:hyperlink>
    </w:p>
    <w:p w14:paraId="7C56ED24" w14:textId="61D834AD" w:rsidR="008C7681" w:rsidRDefault="008C7681">
      <w:pPr>
        <w:pStyle w:val="TOC2"/>
        <w:tabs>
          <w:tab w:val="right" w:pos="9016"/>
        </w:tabs>
        <w:rPr>
          <w:rFonts w:asciiTheme="minorHAnsi" w:eastAsiaTheme="minorEastAsia" w:hAnsiTheme="minorHAnsi"/>
          <w:noProof/>
          <w:sz w:val="22"/>
          <w:szCs w:val="22"/>
          <w:lang w:eastAsia="en-GB"/>
        </w:rPr>
      </w:pPr>
      <w:hyperlink w:anchor="_Toc52364596" w:history="1">
        <w:r w:rsidRPr="00365ED0">
          <w:rPr>
            <w:rStyle w:val="Hyperlink"/>
            <w:noProof/>
          </w:rPr>
          <w:t>Special Condition 9.2 Network Asset Risk Metric Methodology</w:t>
        </w:r>
        <w:r>
          <w:rPr>
            <w:noProof/>
            <w:webHidden/>
          </w:rPr>
          <w:tab/>
        </w:r>
        <w:r>
          <w:rPr>
            <w:noProof/>
            <w:webHidden/>
          </w:rPr>
          <w:fldChar w:fldCharType="begin"/>
        </w:r>
        <w:r>
          <w:rPr>
            <w:noProof/>
            <w:webHidden/>
          </w:rPr>
          <w:instrText xml:space="preserve"> PAGEREF _Toc52364596 \h </w:instrText>
        </w:r>
        <w:r>
          <w:rPr>
            <w:noProof/>
            <w:webHidden/>
          </w:rPr>
        </w:r>
        <w:r>
          <w:rPr>
            <w:noProof/>
            <w:webHidden/>
          </w:rPr>
          <w:fldChar w:fldCharType="separate"/>
        </w:r>
        <w:r>
          <w:rPr>
            <w:noProof/>
            <w:webHidden/>
          </w:rPr>
          <w:t>118</w:t>
        </w:r>
        <w:r>
          <w:rPr>
            <w:noProof/>
            <w:webHidden/>
          </w:rPr>
          <w:fldChar w:fldCharType="end"/>
        </w:r>
      </w:hyperlink>
    </w:p>
    <w:p w14:paraId="2DD46B1A" w14:textId="0B35865C" w:rsidR="008C7681" w:rsidRDefault="008C7681">
      <w:pPr>
        <w:pStyle w:val="TOC2"/>
        <w:tabs>
          <w:tab w:val="right" w:pos="9016"/>
        </w:tabs>
        <w:rPr>
          <w:rFonts w:asciiTheme="minorHAnsi" w:eastAsiaTheme="minorEastAsia" w:hAnsiTheme="minorHAnsi"/>
          <w:noProof/>
          <w:sz w:val="22"/>
          <w:szCs w:val="22"/>
          <w:lang w:eastAsia="en-GB"/>
        </w:rPr>
      </w:pPr>
      <w:hyperlink w:anchor="_Toc52364597" w:history="1">
        <w:r w:rsidRPr="00365ED0">
          <w:rPr>
            <w:rStyle w:val="Hyperlink"/>
            <w:noProof/>
          </w:rPr>
          <w:t>Special Condition 9.3 Price Control Deliverable Reporting Requirements and Methodology Document</w:t>
        </w:r>
        <w:r>
          <w:rPr>
            <w:noProof/>
            <w:webHidden/>
          </w:rPr>
          <w:tab/>
        </w:r>
        <w:r>
          <w:rPr>
            <w:noProof/>
            <w:webHidden/>
          </w:rPr>
          <w:fldChar w:fldCharType="begin"/>
        </w:r>
        <w:r>
          <w:rPr>
            <w:noProof/>
            <w:webHidden/>
          </w:rPr>
          <w:instrText xml:space="preserve"> PAGEREF _Toc52364597 \h </w:instrText>
        </w:r>
        <w:r>
          <w:rPr>
            <w:noProof/>
            <w:webHidden/>
          </w:rPr>
        </w:r>
        <w:r>
          <w:rPr>
            <w:noProof/>
            <w:webHidden/>
          </w:rPr>
          <w:fldChar w:fldCharType="separate"/>
        </w:r>
        <w:r>
          <w:rPr>
            <w:noProof/>
            <w:webHidden/>
          </w:rPr>
          <w:t>121</w:t>
        </w:r>
        <w:r>
          <w:rPr>
            <w:noProof/>
            <w:webHidden/>
          </w:rPr>
          <w:fldChar w:fldCharType="end"/>
        </w:r>
      </w:hyperlink>
    </w:p>
    <w:p w14:paraId="491D8303" w14:textId="0F13DEF8" w:rsidR="008C7681" w:rsidRDefault="008C7681">
      <w:pPr>
        <w:pStyle w:val="TOC2"/>
        <w:tabs>
          <w:tab w:val="right" w:pos="9016"/>
        </w:tabs>
        <w:rPr>
          <w:rFonts w:asciiTheme="minorHAnsi" w:eastAsiaTheme="minorEastAsia" w:hAnsiTheme="minorHAnsi"/>
          <w:noProof/>
          <w:sz w:val="22"/>
          <w:szCs w:val="22"/>
          <w:lang w:eastAsia="en-GB"/>
        </w:rPr>
      </w:pPr>
      <w:hyperlink w:anchor="_Toc52364598" w:history="1">
        <w:r w:rsidRPr="00365ED0">
          <w:rPr>
            <w:rStyle w:val="Hyperlink"/>
            <w:noProof/>
          </w:rPr>
          <w:t>Special Condition 9.4 Re-opener Guidance and Application Requirements Document</w:t>
        </w:r>
        <w:r>
          <w:rPr>
            <w:noProof/>
            <w:webHidden/>
          </w:rPr>
          <w:tab/>
        </w:r>
        <w:r>
          <w:rPr>
            <w:noProof/>
            <w:webHidden/>
          </w:rPr>
          <w:fldChar w:fldCharType="begin"/>
        </w:r>
        <w:r>
          <w:rPr>
            <w:noProof/>
            <w:webHidden/>
          </w:rPr>
          <w:instrText xml:space="preserve"> PAGEREF _Toc52364598 \h </w:instrText>
        </w:r>
        <w:r>
          <w:rPr>
            <w:noProof/>
            <w:webHidden/>
          </w:rPr>
        </w:r>
        <w:r>
          <w:rPr>
            <w:noProof/>
            <w:webHidden/>
          </w:rPr>
          <w:fldChar w:fldCharType="separate"/>
        </w:r>
        <w:r>
          <w:rPr>
            <w:noProof/>
            <w:webHidden/>
          </w:rPr>
          <w:t>122</w:t>
        </w:r>
        <w:r>
          <w:rPr>
            <w:noProof/>
            <w:webHidden/>
          </w:rPr>
          <w:fldChar w:fldCharType="end"/>
        </w:r>
      </w:hyperlink>
    </w:p>
    <w:p w14:paraId="0C37D745" w14:textId="01EC7AE3" w:rsidR="008C7681" w:rsidRDefault="008C7681">
      <w:pPr>
        <w:pStyle w:val="TOC2"/>
        <w:tabs>
          <w:tab w:val="right" w:pos="9016"/>
        </w:tabs>
        <w:rPr>
          <w:rFonts w:asciiTheme="minorHAnsi" w:eastAsiaTheme="minorEastAsia" w:hAnsiTheme="minorHAnsi"/>
          <w:noProof/>
          <w:sz w:val="22"/>
          <w:szCs w:val="22"/>
          <w:lang w:eastAsia="en-GB"/>
        </w:rPr>
      </w:pPr>
      <w:hyperlink w:anchor="_Toc52364599" w:history="1">
        <w:r w:rsidRPr="00365ED0">
          <w:rPr>
            <w:rStyle w:val="Hyperlink"/>
            <w:noProof/>
          </w:rPr>
          <w:t>Special Condition 9.5 Digitalisation</w:t>
        </w:r>
        <w:r>
          <w:rPr>
            <w:noProof/>
            <w:webHidden/>
          </w:rPr>
          <w:tab/>
        </w:r>
        <w:r>
          <w:rPr>
            <w:noProof/>
            <w:webHidden/>
          </w:rPr>
          <w:fldChar w:fldCharType="begin"/>
        </w:r>
        <w:r>
          <w:rPr>
            <w:noProof/>
            <w:webHidden/>
          </w:rPr>
          <w:instrText xml:space="preserve"> PAGEREF _Toc52364599 \h </w:instrText>
        </w:r>
        <w:r>
          <w:rPr>
            <w:noProof/>
            <w:webHidden/>
          </w:rPr>
        </w:r>
        <w:r>
          <w:rPr>
            <w:noProof/>
            <w:webHidden/>
          </w:rPr>
          <w:fldChar w:fldCharType="separate"/>
        </w:r>
        <w:r>
          <w:rPr>
            <w:noProof/>
            <w:webHidden/>
          </w:rPr>
          <w:t>123</w:t>
        </w:r>
        <w:r>
          <w:rPr>
            <w:noProof/>
            <w:webHidden/>
          </w:rPr>
          <w:fldChar w:fldCharType="end"/>
        </w:r>
      </w:hyperlink>
    </w:p>
    <w:p w14:paraId="554A28FD" w14:textId="35CD1271" w:rsidR="008C7681" w:rsidRDefault="008C7681">
      <w:pPr>
        <w:pStyle w:val="TOC2"/>
        <w:tabs>
          <w:tab w:val="right" w:pos="9016"/>
        </w:tabs>
        <w:rPr>
          <w:rFonts w:asciiTheme="minorHAnsi" w:eastAsiaTheme="minorEastAsia" w:hAnsiTheme="minorHAnsi"/>
          <w:noProof/>
          <w:sz w:val="22"/>
          <w:szCs w:val="22"/>
          <w:lang w:eastAsia="en-GB"/>
        </w:rPr>
      </w:pPr>
      <w:hyperlink w:anchor="_Toc52364600" w:history="1">
        <w:r w:rsidRPr="00365ED0">
          <w:rPr>
            <w:rStyle w:val="Hyperlink"/>
            <w:noProof/>
          </w:rPr>
          <w:t>Special Condition 9.6 Disapplication of Relevant Special Conditions</w:t>
        </w:r>
        <w:r>
          <w:rPr>
            <w:noProof/>
            <w:webHidden/>
          </w:rPr>
          <w:tab/>
        </w:r>
        <w:r>
          <w:rPr>
            <w:noProof/>
            <w:webHidden/>
          </w:rPr>
          <w:fldChar w:fldCharType="begin"/>
        </w:r>
        <w:r>
          <w:rPr>
            <w:noProof/>
            <w:webHidden/>
          </w:rPr>
          <w:instrText xml:space="preserve"> PAGEREF _Toc52364600 \h </w:instrText>
        </w:r>
        <w:r>
          <w:rPr>
            <w:noProof/>
            <w:webHidden/>
          </w:rPr>
        </w:r>
        <w:r>
          <w:rPr>
            <w:noProof/>
            <w:webHidden/>
          </w:rPr>
          <w:fldChar w:fldCharType="separate"/>
        </w:r>
        <w:r>
          <w:rPr>
            <w:noProof/>
            <w:webHidden/>
          </w:rPr>
          <w:t>126</w:t>
        </w:r>
        <w:r>
          <w:rPr>
            <w:noProof/>
            <w:webHidden/>
          </w:rPr>
          <w:fldChar w:fldCharType="end"/>
        </w:r>
      </w:hyperlink>
    </w:p>
    <w:p w14:paraId="19135139" w14:textId="7F8F039D" w:rsidR="008C7681" w:rsidRDefault="008C7681">
      <w:pPr>
        <w:pStyle w:val="TOC2"/>
        <w:tabs>
          <w:tab w:val="right" w:pos="9016"/>
        </w:tabs>
        <w:rPr>
          <w:rFonts w:asciiTheme="minorHAnsi" w:eastAsiaTheme="minorEastAsia" w:hAnsiTheme="minorHAnsi"/>
          <w:noProof/>
          <w:sz w:val="22"/>
          <w:szCs w:val="22"/>
          <w:lang w:eastAsia="en-GB"/>
        </w:rPr>
      </w:pPr>
      <w:hyperlink w:anchor="_Toc52364601" w:history="1">
        <w:r w:rsidRPr="00365ED0">
          <w:rPr>
            <w:rStyle w:val="Hyperlink"/>
            <w:noProof/>
          </w:rPr>
          <w:t>Special Condition 9.7 Directly Remunerated Services</w:t>
        </w:r>
        <w:r>
          <w:rPr>
            <w:noProof/>
            <w:webHidden/>
          </w:rPr>
          <w:tab/>
        </w:r>
        <w:r>
          <w:rPr>
            <w:noProof/>
            <w:webHidden/>
          </w:rPr>
          <w:fldChar w:fldCharType="begin"/>
        </w:r>
        <w:r>
          <w:rPr>
            <w:noProof/>
            <w:webHidden/>
          </w:rPr>
          <w:instrText xml:space="preserve"> PAGEREF _Toc52364601 \h </w:instrText>
        </w:r>
        <w:r>
          <w:rPr>
            <w:noProof/>
            <w:webHidden/>
          </w:rPr>
        </w:r>
        <w:r>
          <w:rPr>
            <w:noProof/>
            <w:webHidden/>
          </w:rPr>
          <w:fldChar w:fldCharType="separate"/>
        </w:r>
        <w:r>
          <w:rPr>
            <w:noProof/>
            <w:webHidden/>
          </w:rPr>
          <w:t>126</w:t>
        </w:r>
        <w:r>
          <w:rPr>
            <w:noProof/>
            <w:webHidden/>
          </w:rPr>
          <w:fldChar w:fldCharType="end"/>
        </w:r>
      </w:hyperlink>
    </w:p>
    <w:p w14:paraId="151FACFC" w14:textId="53A56E63" w:rsidR="008C7681" w:rsidRDefault="008C7681">
      <w:pPr>
        <w:pStyle w:val="TOC2"/>
        <w:tabs>
          <w:tab w:val="right" w:pos="9016"/>
        </w:tabs>
        <w:rPr>
          <w:rFonts w:asciiTheme="minorHAnsi" w:eastAsiaTheme="minorEastAsia" w:hAnsiTheme="minorHAnsi"/>
          <w:noProof/>
          <w:sz w:val="22"/>
          <w:szCs w:val="22"/>
          <w:lang w:eastAsia="en-GB"/>
        </w:rPr>
      </w:pPr>
      <w:hyperlink w:anchor="_Toc52364602" w:history="1">
        <w:r w:rsidRPr="00365ED0">
          <w:rPr>
            <w:rStyle w:val="Hyperlink"/>
            <w:noProof/>
          </w:rPr>
          <w:t>Special Condition 9.8 Restriction of prices in respect of Tariff Capped Metering Activities</w:t>
        </w:r>
        <w:r>
          <w:rPr>
            <w:noProof/>
            <w:webHidden/>
          </w:rPr>
          <w:tab/>
        </w:r>
        <w:r>
          <w:rPr>
            <w:noProof/>
            <w:webHidden/>
          </w:rPr>
          <w:fldChar w:fldCharType="begin"/>
        </w:r>
        <w:r>
          <w:rPr>
            <w:noProof/>
            <w:webHidden/>
          </w:rPr>
          <w:instrText xml:space="preserve"> PAGEREF _Toc52364602 \h </w:instrText>
        </w:r>
        <w:r>
          <w:rPr>
            <w:noProof/>
            <w:webHidden/>
          </w:rPr>
        </w:r>
        <w:r>
          <w:rPr>
            <w:noProof/>
            <w:webHidden/>
          </w:rPr>
          <w:fldChar w:fldCharType="separate"/>
        </w:r>
        <w:r>
          <w:rPr>
            <w:noProof/>
            <w:webHidden/>
          </w:rPr>
          <w:t>128</w:t>
        </w:r>
        <w:r>
          <w:rPr>
            <w:noProof/>
            <w:webHidden/>
          </w:rPr>
          <w:fldChar w:fldCharType="end"/>
        </w:r>
      </w:hyperlink>
    </w:p>
    <w:p w14:paraId="7B3BF8A4" w14:textId="1B77598F" w:rsidR="008C7681" w:rsidRDefault="008C7681">
      <w:pPr>
        <w:pStyle w:val="TOC2"/>
        <w:tabs>
          <w:tab w:val="right" w:pos="9016"/>
        </w:tabs>
        <w:rPr>
          <w:rFonts w:asciiTheme="minorHAnsi" w:eastAsiaTheme="minorEastAsia" w:hAnsiTheme="minorHAnsi"/>
          <w:noProof/>
          <w:sz w:val="22"/>
          <w:szCs w:val="22"/>
          <w:lang w:eastAsia="en-GB"/>
        </w:rPr>
      </w:pPr>
      <w:hyperlink w:anchor="_Toc52364603" w:history="1">
        <w:r w:rsidRPr="00365ED0">
          <w:rPr>
            <w:rStyle w:val="Hyperlink"/>
            <w:noProof/>
          </w:rPr>
          <w:t>Special Condition 9.9 Tax Reconciliation Assurance Statement</w:t>
        </w:r>
        <w:r>
          <w:rPr>
            <w:noProof/>
            <w:webHidden/>
          </w:rPr>
          <w:tab/>
        </w:r>
        <w:r>
          <w:rPr>
            <w:noProof/>
            <w:webHidden/>
          </w:rPr>
          <w:fldChar w:fldCharType="begin"/>
        </w:r>
        <w:r>
          <w:rPr>
            <w:noProof/>
            <w:webHidden/>
          </w:rPr>
          <w:instrText xml:space="preserve"> PAGEREF _Toc52364603 \h </w:instrText>
        </w:r>
        <w:r>
          <w:rPr>
            <w:noProof/>
            <w:webHidden/>
          </w:rPr>
        </w:r>
        <w:r>
          <w:rPr>
            <w:noProof/>
            <w:webHidden/>
          </w:rPr>
          <w:fldChar w:fldCharType="separate"/>
        </w:r>
        <w:r>
          <w:rPr>
            <w:noProof/>
            <w:webHidden/>
          </w:rPr>
          <w:t>130</w:t>
        </w:r>
        <w:r>
          <w:rPr>
            <w:noProof/>
            <w:webHidden/>
          </w:rPr>
          <w:fldChar w:fldCharType="end"/>
        </w:r>
      </w:hyperlink>
    </w:p>
    <w:p w14:paraId="46BE9527" w14:textId="3E31E9A1" w:rsidR="008C7681" w:rsidRDefault="008C7681">
      <w:pPr>
        <w:pStyle w:val="TOC2"/>
        <w:tabs>
          <w:tab w:val="right" w:pos="9016"/>
        </w:tabs>
        <w:rPr>
          <w:rFonts w:asciiTheme="minorHAnsi" w:eastAsiaTheme="minorEastAsia" w:hAnsiTheme="minorHAnsi"/>
          <w:noProof/>
          <w:sz w:val="22"/>
          <w:szCs w:val="22"/>
          <w:lang w:eastAsia="en-GB"/>
        </w:rPr>
      </w:pPr>
      <w:hyperlink w:anchor="_Toc52364604" w:history="1">
        <w:r w:rsidRPr="00365ED0">
          <w:rPr>
            <w:rStyle w:val="Hyperlink"/>
            <w:noProof/>
          </w:rPr>
          <w:t>Special Condition 9.10 Allocation of revenues and costs for calculations under the price control in respect of the Distribution Network</w:t>
        </w:r>
        <w:r>
          <w:rPr>
            <w:noProof/>
            <w:webHidden/>
          </w:rPr>
          <w:tab/>
        </w:r>
        <w:r>
          <w:rPr>
            <w:noProof/>
            <w:webHidden/>
          </w:rPr>
          <w:fldChar w:fldCharType="begin"/>
        </w:r>
        <w:r>
          <w:rPr>
            <w:noProof/>
            <w:webHidden/>
          </w:rPr>
          <w:instrText xml:space="preserve"> PAGEREF _Toc52364604 \h </w:instrText>
        </w:r>
        <w:r>
          <w:rPr>
            <w:noProof/>
            <w:webHidden/>
          </w:rPr>
        </w:r>
        <w:r>
          <w:rPr>
            <w:noProof/>
            <w:webHidden/>
          </w:rPr>
          <w:fldChar w:fldCharType="separate"/>
        </w:r>
        <w:r>
          <w:rPr>
            <w:noProof/>
            <w:webHidden/>
          </w:rPr>
          <w:t>131</w:t>
        </w:r>
        <w:r>
          <w:rPr>
            <w:noProof/>
            <w:webHidden/>
          </w:rPr>
          <w:fldChar w:fldCharType="end"/>
        </w:r>
      </w:hyperlink>
    </w:p>
    <w:p w14:paraId="186CD076" w14:textId="049B7393" w:rsidR="008C7681" w:rsidRDefault="008C7681">
      <w:pPr>
        <w:pStyle w:val="TOC2"/>
        <w:tabs>
          <w:tab w:val="right" w:pos="9016"/>
        </w:tabs>
        <w:rPr>
          <w:rFonts w:asciiTheme="minorHAnsi" w:eastAsiaTheme="minorEastAsia" w:hAnsiTheme="minorHAnsi"/>
          <w:noProof/>
          <w:sz w:val="22"/>
          <w:szCs w:val="22"/>
          <w:lang w:eastAsia="en-GB"/>
        </w:rPr>
      </w:pPr>
      <w:hyperlink w:anchor="_Toc52364605" w:history="1">
        <w:r w:rsidRPr="00365ED0">
          <w:rPr>
            <w:rStyle w:val="Hyperlink"/>
            <w:noProof/>
          </w:rPr>
          <w:t>Special Condition 9.11 Gas conveyed to Independent Systems [SGN Scotland only]</w:t>
        </w:r>
        <w:r>
          <w:rPr>
            <w:noProof/>
            <w:webHidden/>
          </w:rPr>
          <w:tab/>
        </w:r>
        <w:r>
          <w:rPr>
            <w:noProof/>
            <w:webHidden/>
          </w:rPr>
          <w:fldChar w:fldCharType="begin"/>
        </w:r>
        <w:r>
          <w:rPr>
            <w:noProof/>
            <w:webHidden/>
          </w:rPr>
          <w:instrText xml:space="preserve"> PAGEREF _Toc52364605 \h </w:instrText>
        </w:r>
        <w:r>
          <w:rPr>
            <w:noProof/>
            <w:webHidden/>
          </w:rPr>
        </w:r>
        <w:r>
          <w:rPr>
            <w:noProof/>
            <w:webHidden/>
          </w:rPr>
          <w:fldChar w:fldCharType="separate"/>
        </w:r>
        <w:r>
          <w:rPr>
            <w:noProof/>
            <w:webHidden/>
          </w:rPr>
          <w:t>134</w:t>
        </w:r>
        <w:r>
          <w:rPr>
            <w:noProof/>
            <w:webHidden/>
          </w:rPr>
          <w:fldChar w:fldCharType="end"/>
        </w:r>
      </w:hyperlink>
    </w:p>
    <w:p w14:paraId="33C31569" w14:textId="218609CC" w:rsidR="009A7836" w:rsidRPr="00DC1653" w:rsidRDefault="00D51F4A" w:rsidP="00390D10">
      <w:r>
        <w:fldChar w:fldCharType="end"/>
      </w:r>
    </w:p>
    <w:p w14:paraId="5E192AC5" w14:textId="77777777" w:rsidR="00CB0609" w:rsidRDefault="00B819CB" w:rsidP="009A7836">
      <w:pPr>
        <w:pStyle w:val="Heading1"/>
      </w:pPr>
      <w:bookmarkStart w:id="1" w:name="_Toc51783599"/>
      <w:bookmarkStart w:id="2" w:name="_Toc52364527"/>
      <w:r>
        <w:lastRenderedPageBreak/>
        <w:t>I</w:t>
      </w:r>
      <w:r w:rsidR="00DF663E">
        <w:t>nterpretation</w:t>
      </w:r>
      <w:r>
        <w:t xml:space="preserve"> and definitions</w:t>
      </w:r>
      <w:bookmarkEnd w:id="1"/>
      <w:bookmarkEnd w:id="2"/>
    </w:p>
    <w:p w14:paraId="068AA84D" w14:textId="77777777" w:rsidR="009A7836" w:rsidRDefault="00500640" w:rsidP="009A7836">
      <w:pPr>
        <w:pStyle w:val="Heading2"/>
      </w:pPr>
      <w:bookmarkStart w:id="3" w:name="_Toc51783600"/>
      <w:bookmarkStart w:id="4" w:name="_Toc52364528"/>
      <w:r>
        <w:t xml:space="preserve">Interpretation and </w:t>
      </w:r>
      <w:r w:rsidR="00B819CB">
        <w:t>d</w:t>
      </w:r>
      <w:r>
        <w:t>efin</w:t>
      </w:r>
      <w:r w:rsidR="00B819CB">
        <w:t>i</w:t>
      </w:r>
      <w:r>
        <w:t>tions</w:t>
      </w:r>
      <w:bookmarkEnd w:id="3"/>
      <w:bookmarkEnd w:id="4"/>
    </w:p>
    <w:p w14:paraId="1067588F" w14:textId="77777777" w:rsidR="009A2AF2" w:rsidRPr="009A2AF2" w:rsidRDefault="009A2AF2" w:rsidP="009A2AF2">
      <w:pPr>
        <w:pStyle w:val="Heading3nonumbering"/>
      </w:pPr>
      <w:r>
        <w:t>Introduction</w:t>
      </w:r>
    </w:p>
    <w:p w14:paraId="67BD1D78" w14:textId="77777777" w:rsidR="00613051" w:rsidRDefault="009A2AF2" w:rsidP="009A2AF2">
      <w:pPr>
        <w:pStyle w:val="NumberedNormal"/>
      </w:pPr>
      <w:r>
        <w:t>Th</w:t>
      </w:r>
      <w:r w:rsidR="00613051">
        <w:t xml:space="preserve">e purpose of this condition is to provide for the </w:t>
      </w:r>
      <w:r w:rsidR="000056CB">
        <w:t>s</w:t>
      </w:r>
      <w:r w:rsidR="00613051">
        <w:t xml:space="preserve">pecial </w:t>
      </w:r>
      <w:r w:rsidR="000056CB">
        <w:t>c</w:t>
      </w:r>
      <w:r w:rsidR="00613051">
        <w:t>onditions of this licence:</w:t>
      </w:r>
    </w:p>
    <w:p w14:paraId="5D207549" w14:textId="77777777" w:rsidR="00613051" w:rsidRDefault="00B819CB" w:rsidP="00513E77">
      <w:pPr>
        <w:pStyle w:val="ListNormal"/>
      </w:pPr>
      <w:r>
        <w:t>some provisions of general interpretation</w:t>
      </w:r>
      <w:r w:rsidR="00613051">
        <w:t>; and</w:t>
      </w:r>
    </w:p>
    <w:p w14:paraId="4140528D" w14:textId="77777777" w:rsidR="0081552D" w:rsidRPr="009A2AF2" w:rsidRDefault="00B819CB" w:rsidP="00513E77">
      <w:pPr>
        <w:pStyle w:val="ListNormal"/>
      </w:pPr>
      <w:r>
        <w:t xml:space="preserve"> the meaning of the defined terms, which are capitalised throughout the </w:t>
      </w:r>
      <w:r w:rsidR="000056CB">
        <w:t>s</w:t>
      </w:r>
      <w:r>
        <w:t xml:space="preserve">pecial </w:t>
      </w:r>
      <w:r w:rsidR="000056CB">
        <w:t>c</w:t>
      </w:r>
      <w:r>
        <w:t>onditions</w:t>
      </w:r>
      <w:r w:rsidR="0081552D">
        <w:t>.</w:t>
      </w:r>
    </w:p>
    <w:p w14:paraId="5BABCDAD" w14:textId="77777777" w:rsidR="009A2AF2" w:rsidRDefault="00531248" w:rsidP="000A226C">
      <w:pPr>
        <w:pStyle w:val="Heading3"/>
      </w:pPr>
      <w:r>
        <w:t>Interpretation</w:t>
      </w:r>
    </w:p>
    <w:p w14:paraId="68FE599C" w14:textId="77777777" w:rsidR="000056CB" w:rsidRDefault="00A853C5" w:rsidP="000E072A">
      <w:pPr>
        <w:pStyle w:val="NumberedNormal"/>
      </w:pPr>
      <w:r>
        <w:t>Wherever the subscript ‘t’ is used, without further numerical notation, the value to be used is the one for the Regulatory Year in question.</w:t>
      </w:r>
      <w:r w:rsidR="00FE5188">
        <w:t xml:space="preserve">  </w:t>
      </w:r>
    </w:p>
    <w:p w14:paraId="00C0A7DE" w14:textId="77777777" w:rsidR="000056CB" w:rsidRDefault="00FE5188" w:rsidP="000E072A">
      <w:pPr>
        <w:pStyle w:val="NumberedNormal"/>
      </w:pPr>
      <w:r>
        <w:t>A</w:t>
      </w:r>
      <w:r w:rsidR="00222BE7">
        <w:t xml:space="preserve"> positive or</w:t>
      </w:r>
      <w:r>
        <w:t xml:space="preserve"> negative numerical notation </w:t>
      </w:r>
      <w:r w:rsidR="000056CB">
        <w:t>after the subscript 't'</w:t>
      </w:r>
      <w:r>
        <w:t xml:space="preserve"> indicates that the value to be used is for a year </w:t>
      </w:r>
      <w:r w:rsidR="007D11F9">
        <w:t xml:space="preserve">after or </w:t>
      </w:r>
      <w:r w:rsidR="00B907B6">
        <w:t>before</w:t>
      </w:r>
      <w:r>
        <w:t xml:space="preserve"> the Regulatory Year in question</w:t>
      </w:r>
      <w:r w:rsidR="00B907B6">
        <w:t xml:space="preserve"> and the number indicates how many years </w:t>
      </w:r>
      <w:r w:rsidR="007D11F9">
        <w:t xml:space="preserve">after or </w:t>
      </w:r>
      <w:r w:rsidR="00B907B6">
        <w:t>before</w:t>
      </w:r>
      <w:r>
        <w:t>.</w:t>
      </w:r>
      <w:r w:rsidR="000E072A">
        <w:t xml:space="preserve"> </w:t>
      </w:r>
    </w:p>
    <w:p w14:paraId="79F49C3A" w14:textId="77777777" w:rsidR="00336D1A" w:rsidRDefault="000E072A" w:rsidP="000E072A">
      <w:pPr>
        <w:pStyle w:val="NumberedNormal"/>
      </w:pPr>
      <w:r>
        <w:t>In some cases, o</w:t>
      </w:r>
      <w:r w:rsidR="00336D1A">
        <w:t xml:space="preserve">ther subscripts </w:t>
      </w:r>
      <w:r w:rsidR="000056CB">
        <w:t xml:space="preserve">than 't' </w:t>
      </w:r>
      <w:r w:rsidR="009F5F24">
        <w:t xml:space="preserve">may also be used to denote the value for a specific Regulatory </w:t>
      </w:r>
      <w:r w:rsidR="001C31AE">
        <w:t>Year and</w:t>
      </w:r>
      <w:r w:rsidR="00C24B3D">
        <w:t xml:space="preserve"> are </w:t>
      </w:r>
      <w:r w:rsidR="000056CB">
        <w:t>explained</w:t>
      </w:r>
      <w:r w:rsidR="00C24B3D">
        <w:t xml:space="preserve"> in those </w:t>
      </w:r>
      <w:r w:rsidR="000056CB">
        <w:t>special c</w:t>
      </w:r>
      <w:r w:rsidR="00C24B3D">
        <w:t>onditions.</w:t>
      </w:r>
    </w:p>
    <w:p w14:paraId="381A6032" w14:textId="77777777" w:rsidR="000559B0" w:rsidRDefault="00A853C5" w:rsidP="00456CA6">
      <w:pPr>
        <w:pStyle w:val="NumberedNormal"/>
      </w:pPr>
      <w:r>
        <w:t xml:space="preserve">References in these </w:t>
      </w:r>
      <w:r w:rsidR="000056CB">
        <w:t>s</w:t>
      </w:r>
      <w:r>
        <w:t xml:space="preserve">pecial </w:t>
      </w:r>
      <w:r w:rsidR="000056CB">
        <w:t>c</w:t>
      </w:r>
      <w:r>
        <w:t>onditions to a “Distribution Network” are to each of the licensee’s Distribution Networks.</w:t>
      </w:r>
    </w:p>
    <w:p w14:paraId="66E93E98" w14:textId="43A585D1" w:rsidR="00A853C5" w:rsidRDefault="00A853C5" w:rsidP="00456CA6">
      <w:pPr>
        <w:pStyle w:val="NumberedNormal"/>
      </w:pPr>
      <w:r>
        <w:t>Any values derived by reference to the value of revenues accrued, received or paid by or to the licensee shall be the actual sum accrued, received or paid by or to the licensee on the date of such accrual, receipt or payment without any adjustment for inflation or interest after deduction of value added tax (if any) and any other taxes based directly on the amounts so derived.</w:t>
      </w:r>
    </w:p>
    <w:p w14:paraId="1D1344A8" w14:textId="77777777" w:rsidR="00A853C5" w:rsidRDefault="00A853C5" w:rsidP="00456CA6">
      <w:pPr>
        <w:pStyle w:val="NumberedNormal"/>
      </w:pPr>
      <w:r>
        <w:t xml:space="preserve">Unless otherwise stated, any reference in these </w:t>
      </w:r>
      <w:r w:rsidR="000056CB">
        <w:t>s</w:t>
      </w:r>
      <w:r>
        <w:t xml:space="preserve">pecial </w:t>
      </w:r>
      <w:r w:rsidR="000056CB">
        <w:t>c</w:t>
      </w:r>
      <w:r>
        <w:t>onditions to the Authority giving a direction, consent, derogation, approval or designation includes:</w:t>
      </w:r>
    </w:p>
    <w:p w14:paraId="073DA90B" w14:textId="77777777" w:rsidR="00A853C5" w:rsidRDefault="00A853C5" w:rsidP="006C39A2">
      <w:pPr>
        <w:pStyle w:val="ListNormal"/>
      </w:pPr>
      <w:r>
        <w:t>giving it to such extent, for such period of time, and subject to such conditions as the Authority thinks reasonable in all the circumstances of the case; and</w:t>
      </w:r>
    </w:p>
    <w:p w14:paraId="638AAD76" w14:textId="77777777" w:rsidR="00A853C5" w:rsidRDefault="00A853C5" w:rsidP="006C39A2">
      <w:pPr>
        <w:pStyle w:val="ListNormal"/>
      </w:pPr>
      <w:r>
        <w:t>revoking or amending it after consulting with the licensee.</w:t>
      </w:r>
    </w:p>
    <w:p w14:paraId="5A2D76FC" w14:textId="77777777" w:rsidR="00A853C5" w:rsidRDefault="00A853C5">
      <w:pPr>
        <w:pStyle w:val="NumberedNormal"/>
      </w:pPr>
      <w:r>
        <w:t xml:space="preserve">Unless otherwise stated, any reference in these </w:t>
      </w:r>
      <w:r w:rsidR="002B5D1F">
        <w:t>s</w:t>
      </w:r>
      <w:r>
        <w:t xml:space="preserve">pecial </w:t>
      </w:r>
      <w:r w:rsidR="002B5D1F">
        <w:t>c</w:t>
      </w:r>
      <w:r>
        <w:t>onditions to the Authority making a determination includes</w:t>
      </w:r>
      <w:r w:rsidR="00B907B6">
        <w:t xml:space="preserve"> </w:t>
      </w:r>
      <w:r>
        <w:t>making it subject to such conditions as the Authority thinks reasonable in all the circumstances of the case.</w:t>
      </w:r>
    </w:p>
    <w:p w14:paraId="1D3A89B3" w14:textId="41963E01" w:rsidR="00A853C5" w:rsidRDefault="00A853C5">
      <w:pPr>
        <w:pStyle w:val="NumberedNormal"/>
      </w:pPr>
      <w:r>
        <w:t xml:space="preserve">Any direction, consent, derogation, approval, designation or determination </w:t>
      </w:r>
      <w:r w:rsidR="002B5D1F">
        <w:t xml:space="preserve">made </w:t>
      </w:r>
      <w:r>
        <w:t xml:space="preserve">by the Authority </w:t>
      </w:r>
      <w:r w:rsidR="002B5D1F">
        <w:t>in accordance with these special condition</w:t>
      </w:r>
      <w:r w:rsidR="00DE207A">
        <w:t>s</w:t>
      </w:r>
      <w:r w:rsidR="002B5D1F">
        <w:t xml:space="preserve">, </w:t>
      </w:r>
      <w:r>
        <w:t>will be given or made in writing.</w:t>
      </w:r>
    </w:p>
    <w:p w14:paraId="69C15DEF" w14:textId="51487CB0" w:rsidR="000971DC" w:rsidRDefault="00CD1DCE" w:rsidP="00456CA6">
      <w:pPr>
        <w:pStyle w:val="NumberedNormal"/>
      </w:pPr>
      <w:r>
        <w:lastRenderedPageBreak/>
        <w:t>A</w:t>
      </w:r>
      <w:r w:rsidR="000056CB">
        <w:t>ny</w:t>
      </w:r>
      <w:r>
        <w:t xml:space="preserve"> reference in </w:t>
      </w:r>
      <w:r w:rsidR="002B5D1F">
        <w:t>these s</w:t>
      </w:r>
      <w:r>
        <w:t xml:space="preserve">pecial </w:t>
      </w:r>
      <w:r w:rsidR="002B5D1F">
        <w:t>c</w:t>
      </w:r>
      <w:r>
        <w:t>ondition</w:t>
      </w:r>
      <w:r w:rsidR="002B5D1F">
        <w:t>s</w:t>
      </w:r>
      <w:r>
        <w:t xml:space="preserve"> to </w:t>
      </w:r>
      <w:r w:rsidR="009F790B">
        <w:t xml:space="preserve">a numbered </w:t>
      </w:r>
      <w:r w:rsidR="002B5D1F">
        <w:t>a</w:t>
      </w:r>
      <w:r>
        <w:t xml:space="preserve">ppendix is, unless otherwise stated, to </w:t>
      </w:r>
      <w:r w:rsidR="00E1526E">
        <w:t xml:space="preserve">the relevant numbered </w:t>
      </w:r>
      <w:r w:rsidR="002B5D1F">
        <w:t>a</w:t>
      </w:r>
      <w:r>
        <w:t xml:space="preserve">ppendix to that </w:t>
      </w:r>
      <w:r w:rsidR="002B5D1F">
        <w:t>s</w:t>
      </w:r>
      <w:r>
        <w:t xml:space="preserve">pecial </w:t>
      </w:r>
      <w:r w:rsidR="002B5D1F">
        <w:t>c</w:t>
      </w:r>
      <w:r>
        <w:t>ondition.</w:t>
      </w:r>
    </w:p>
    <w:p w14:paraId="3A3D85B9" w14:textId="76E19E3F" w:rsidR="00A20199" w:rsidRDefault="00A20199" w:rsidP="00456CA6">
      <w:pPr>
        <w:pStyle w:val="NumberedNormal"/>
      </w:pPr>
      <w:r>
        <w:t>Where these special condition</w:t>
      </w:r>
      <w:r w:rsidR="00695B19">
        <w:t>s</w:t>
      </w:r>
      <w:r>
        <w:t xml:space="preserve"> provide for the Authority to issue or amend a document by direction</w:t>
      </w:r>
      <w:r w:rsidR="00695B19">
        <w:t>,</w:t>
      </w:r>
      <w:r>
        <w:t xml:space="preserve"> the steps required to a</w:t>
      </w:r>
      <w:r w:rsidR="00695B19">
        <w:t xml:space="preserve">chieve this may be satisfied by action taken before, as well as by action taken </w:t>
      </w:r>
      <w:r w:rsidR="00F7049F">
        <w:t xml:space="preserve">on or </w:t>
      </w:r>
      <w:r w:rsidR="00695B19">
        <w:t xml:space="preserve">after, 1 April 2021. </w:t>
      </w:r>
      <w:r>
        <w:t xml:space="preserve"> </w:t>
      </w:r>
    </w:p>
    <w:p w14:paraId="1DC81285" w14:textId="35BBE523" w:rsidR="00697163" w:rsidRPr="009A2AF2" w:rsidRDefault="00697163" w:rsidP="00456CA6">
      <w:pPr>
        <w:pStyle w:val="NumberedNormal"/>
      </w:pPr>
      <w:bookmarkStart w:id="5" w:name="_Hlk51851928"/>
      <w:r>
        <w:t>Any monetary values in these special conditions are in sterling in a 2018/19 price base unless otherwise indicated.</w:t>
      </w:r>
    </w:p>
    <w:bookmarkEnd w:id="5"/>
    <w:p w14:paraId="653FD343" w14:textId="77777777" w:rsidR="002B7E5D" w:rsidRDefault="00006A01" w:rsidP="000A226C">
      <w:pPr>
        <w:pStyle w:val="Heading3"/>
      </w:pPr>
      <w:r>
        <w:t>Definitions</w:t>
      </w:r>
    </w:p>
    <w:p w14:paraId="5C988F00" w14:textId="77777777" w:rsidR="00BC6FAB" w:rsidRDefault="0081552D" w:rsidP="000B61B4">
      <w:pPr>
        <w:pStyle w:val="NumberedNormal"/>
      </w:pPr>
      <w:r>
        <w:t xml:space="preserve">In these </w:t>
      </w:r>
      <w:r w:rsidR="002B5D1F">
        <w:t>s</w:t>
      </w:r>
      <w:r>
        <w:t xml:space="preserve">pecial </w:t>
      </w:r>
      <w:r w:rsidR="002B5D1F">
        <w:t>c</w:t>
      </w:r>
      <w:r>
        <w:t>onditions the following defined terms have the meanings given in the table below</w:t>
      </w:r>
      <w:r w:rsidR="00A05E89">
        <w:t>.</w:t>
      </w:r>
      <w:r>
        <w:t xml:space="preserve"> </w:t>
      </w:r>
    </w:p>
    <w:p w14:paraId="63B2CEC9" w14:textId="77777777" w:rsidR="00B962D3" w:rsidRDefault="00B962D3" w:rsidP="00B962D3">
      <w:r w:rsidRPr="00F91954">
        <w:rPr>
          <w:highlight w:val="yellow"/>
        </w:rPr>
        <w:t>[Insert table here]</w:t>
      </w:r>
    </w:p>
    <w:p w14:paraId="5DB3E26A" w14:textId="77777777" w:rsidR="0000304F" w:rsidRDefault="00FF1975" w:rsidP="00B22DAD">
      <w:pPr>
        <w:pStyle w:val="Heading1"/>
      </w:pPr>
      <w:bookmarkStart w:id="6" w:name="_Toc51783601"/>
      <w:bookmarkStart w:id="7" w:name="_Toc52364529"/>
      <w:r>
        <w:lastRenderedPageBreak/>
        <w:t>Revenue Rest</w:t>
      </w:r>
      <w:r w:rsidR="00AE0F88">
        <w:t>ri</w:t>
      </w:r>
      <w:r>
        <w:t>ction</w:t>
      </w:r>
      <w:bookmarkEnd w:id="6"/>
      <w:bookmarkEnd w:id="7"/>
    </w:p>
    <w:p w14:paraId="59319E5B" w14:textId="47A950A8" w:rsidR="00D95E3A" w:rsidRDefault="00D95E3A" w:rsidP="00D95E3A">
      <w:pPr>
        <w:pStyle w:val="Heading2"/>
      </w:pPr>
      <w:bookmarkStart w:id="8" w:name="_Toc33175305"/>
      <w:bookmarkStart w:id="9" w:name="_Toc33175842"/>
      <w:bookmarkStart w:id="10" w:name="_Toc51363651"/>
      <w:bookmarkStart w:id="11" w:name="_Toc33175306"/>
      <w:bookmarkStart w:id="12" w:name="_Toc33175843"/>
      <w:bookmarkStart w:id="13" w:name="_Toc52364530"/>
      <w:r>
        <w:t>Revenue</w:t>
      </w:r>
      <w:bookmarkEnd w:id="8"/>
      <w:bookmarkEnd w:id="9"/>
      <w:r>
        <w:t xml:space="preserve"> Restriction</w:t>
      </w:r>
      <w:bookmarkEnd w:id="10"/>
      <w:bookmarkEnd w:id="13"/>
      <w:r>
        <w:t xml:space="preserve"> </w:t>
      </w:r>
    </w:p>
    <w:p w14:paraId="5F94F867" w14:textId="77777777" w:rsidR="00D95E3A" w:rsidRDefault="00D95E3A" w:rsidP="00D95E3A">
      <w:pPr>
        <w:pStyle w:val="Heading3nonumbering"/>
      </w:pPr>
      <w:r>
        <w:t>Introduction</w:t>
      </w:r>
    </w:p>
    <w:p w14:paraId="710A5E1B" w14:textId="77777777" w:rsidR="00D95E3A" w:rsidRDefault="00D95E3A" w:rsidP="00D95E3A">
      <w:pPr>
        <w:pStyle w:val="NumberedNormal"/>
      </w:pPr>
      <w:r>
        <w:t>The purpose of this condition is to ensure that the licensee sets Network Charges to aim to recover no more than Allowed Revenue.</w:t>
      </w:r>
    </w:p>
    <w:p w14:paraId="35C93815" w14:textId="77777777" w:rsidR="00D95E3A" w:rsidRDefault="00D95E3A" w:rsidP="00D95E3A">
      <w:pPr>
        <w:pStyle w:val="NumberedNormal"/>
      </w:pPr>
      <w:r>
        <w:t>This condition also provides for the calculation of the term AR</w:t>
      </w:r>
      <w:r w:rsidRPr="4A26DA62">
        <w:rPr>
          <w:vertAlign w:val="subscript"/>
        </w:rPr>
        <w:t>t</w:t>
      </w:r>
      <w:r>
        <w:t xml:space="preserve"> (the Allowed Revenue term). </w:t>
      </w:r>
    </w:p>
    <w:p w14:paraId="0379444A" w14:textId="77777777" w:rsidR="00D95E3A" w:rsidRDefault="00D95E3A" w:rsidP="00D95E3A">
      <w:pPr>
        <w:pStyle w:val="Heading3"/>
      </w:pPr>
      <w:r>
        <w:t>Licensee’s obligation when setting Network Charges</w:t>
      </w:r>
    </w:p>
    <w:p w14:paraId="5E3D895F" w14:textId="77777777" w:rsidR="00D95E3A" w:rsidRDefault="00D95E3A" w:rsidP="00D95E3A">
      <w:pPr>
        <w:pStyle w:val="NumberedNormal"/>
      </w:pPr>
      <w:r>
        <w:t>The licensee must, when setting Network Charges use its best endeavours to ensure that Recovered Revenue does not exceed Allowed Revenue.</w:t>
      </w:r>
    </w:p>
    <w:p w14:paraId="12BEA135" w14:textId="5E7D180D" w:rsidR="00D95E3A" w:rsidRDefault="000370A0" w:rsidP="00D95E3A">
      <w:pPr>
        <w:pStyle w:val="Heading3"/>
      </w:pPr>
      <w:r>
        <w:t xml:space="preserve">Formula for calculating the </w:t>
      </w:r>
      <w:r w:rsidR="00D95E3A">
        <w:t xml:space="preserve">Allowed Revenue </w:t>
      </w:r>
      <w:r>
        <w:t>term</w:t>
      </w:r>
      <w:r w:rsidR="00D95E3A">
        <w:t xml:space="preserve"> (AR</w:t>
      </w:r>
      <w:r w:rsidR="00D95E3A" w:rsidRPr="4A26DA62">
        <w:rPr>
          <w:vertAlign w:val="subscript"/>
        </w:rPr>
        <w:t>t</w:t>
      </w:r>
      <w:r w:rsidR="00D95E3A">
        <w:t>)</w:t>
      </w:r>
    </w:p>
    <w:p w14:paraId="363B270D" w14:textId="77777777" w:rsidR="00D95E3A" w:rsidRDefault="00D95E3A" w:rsidP="00D95E3A">
      <w:pPr>
        <w:pStyle w:val="NumberedNormal"/>
      </w:pPr>
      <w:r>
        <w:t xml:space="preserve">The value of </w:t>
      </w:r>
      <w:r w:rsidRPr="0099777B">
        <w:rPr>
          <w:i/>
        </w:rPr>
        <w:t>AR</w:t>
      </w:r>
      <w:r w:rsidRPr="0099777B">
        <w:rPr>
          <w:i/>
          <w:vertAlign w:val="subscript"/>
        </w:rPr>
        <w:t>t</w:t>
      </w:r>
      <w:r w:rsidRPr="4A26DA62">
        <w:rPr>
          <w:vertAlign w:val="subscript"/>
        </w:rPr>
        <w:t xml:space="preserve"> </w:t>
      </w:r>
      <w:r>
        <w:t>is derived in accordance with the following formula:</w:t>
      </w:r>
    </w:p>
    <w:p w14:paraId="1655EB6D" w14:textId="30ED0323" w:rsidR="00D95E3A" w:rsidRPr="00D74E41" w:rsidRDefault="008C7681" w:rsidP="00D95E3A">
      <m:oMathPara>
        <m:oMath>
          <m:sSub>
            <m:sSubPr>
              <m:ctrlPr>
                <w:rPr>
                  <w:rFonts w:ascii="Cambria Math" w:hAnsi="Cambria Math"/>
                  <w:i/>
                </w:rPr>
              </m:ctrlPr>
            </m:sSubPr>
            <m:e>
              <m:r>
                <w:rPr>
                  <w:rFonts w:ascii="Cambria Math" w:hAnsi="Cambria Math"/>
                </w:rPr>
                <m:t>AR</m:t>
              </m:r>
            </m:e>
            <m:sub>
              <m:r>
                <w:rPr>
                  <w:rFonts w:ascii="Cambria Math" w:hAnsi="Cambria Math"/>
                </w:rPr>
                <m:t>t</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t</m:t>
              </m:r>
            </m:sub>
          </m:sSub>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PI</m:t>
                  </m:r>
                </m:e>
                <m:sub>
                  <m:r>
                    <w:rPr>
                      <w:rFonts w:ascii="Cambria Math" w:eastAsiaTheme="minorEastAsia" w:hAnsi="Cambria Math"/>
                    </w:rPr>
                    <m:t>t</m:t>
                  </m:r>
                </m:sub>
              </m:sSub>
            </m:num>
            <m:den>
              <m:sSub>
                <m:sSubPr>
                  <m:ctrlPr>
                    <w:rPr>
                      <w:rFonts w:ascii="Cambria Math" w:eastAsiaTheme="minorEastAsia" w:hAnsi="Cambria Math"/>
                      <w:i/>
                    </w:rPr>
                  </m:ctrlPr>
                </m:sSubPr>
                <m:e>
                  <m:r>
                    <w:rPr>
                      <w:rFonts w:ascii="Cambria Math" w:eastAsiaTheme="minorEastAsia" w:hAnsi="Cambria Math"/>
                    </w:rPr>
                    <m:t>PI</m:t>
                  </m:r>
                </m:e>
                <m:sub>
                  <m:r>
                    <w:rPr>
                      <w:rFonts w:ascii="Cambria Math" w:eastAsiaTheme="minorEastAsia" w:hAnsi="Cambria Math"/>
                    </w:rPr>
                    <m:t>2018/19</m:t>
                  </m:r>
                </m:sub>
              </m:sSub>
            </m:den>
          </m:f>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ADJ</m:t>
              </m:r>
            </m:e>
            <m:sub>
              <m:r>
                <w:rPr>
                  <w:rFonts w:ascii="Cambria Math" w:eastAsiaTheme="minorEastAsia" w:hAnsi="Cambria Math"/>
                </w:rPr>
                <m:t>t</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t</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RP</m:t>
              </m:r>
            </m:e>
            <m:sub>
              <m:r>
                <w:rPr>
                  <w:rFonts w:ascii="Cambria Math" w:eastAsiaTheme="minorEastAsia" w:hAnsi="Cambria Math"/>
                </w:rPr>
                <m:t>t</m:t>
              </m:r>
            </m:sub>
          </m:sSub>
        </m:oMath>
      </m:oMathPara>
    </w:p>
    <w:p w14:paraId="793575EF" w14:textId="77777777" w:rsidR="00D95E3A" w:rsidRPr="00D74E41" w:rsidRDefault="00D95E3A" w:rsidP="00D95E3A">
      <w:r>
        <w:tab/>
        <w:t>where:</w:t>
      </w:r>
    </w:p>
    <w:tbl>
      <w:tblPr>
        <w:tblStyle w:val="TableGridLight"/>
        <w:tblW w:w="0" w:type="auto"/>
        <w:tblLook w:val="04A0" w:firstRow="1" w:lastRow="0" w:firstColumn="1" w:lastColumn="0" w:noHBand="0" w:noVBand="1"/>
      </w:tblPr>
      <w:tblGrid>
        <w:gridCol w:w="684"/>
        <w:gridCol w:w="7662"/>
      </w:tblGrid>
      <w:tr w:rsidR="00C54C73" w:rsidRPr="007E49B6" w14:paraId="7B58F15A" w14:textId="77777777" w:rsidTr="004E1E8E">
        <w:trPr>
          <w:trHeight w:val="235"/>
        </w:trPr>
        <w:tc>
          <w:tcPr>
            <w:tcW w:w="0" w:type="auto"/>
          </w:tcPr>
          <w:p w14:paraId="12FA3AA7" w14:textId="77777777" w:rsidR="00D95E3A" w:rsidRPr="00A93E30" w:rsidRDefault="008C7681" w:rsidP="00F543B6">
            <m:oMathPara>
              <m:oMathParaPr>
                <m:jc m:val="left"/>
              </m:oMathParaPr>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t</m:t>
                    </m:r>
                  </m:sub>
                </m:sSub>
              </m:oMath>
            </m:oMathPara>
          </w:p>
        </w:tc>
        <w:tc>
          <w:tcPr>
            <w:tcW w:w="0" w:type="auto"/>
          </w:tcPr>
          <w:p w14:paraId="24A8D0A4" w14:textId="4F88E52B" w:rsidR="00D95E3A" w:rsidRPr="00D74E41" w:rsidRDefault="00D95E3A" w:rsidP="00F543B6">
            <w:r w:rsidRPr="007E49B6">
              <w:t xml:space="preserve">means </w:t>
            </w:r>
            <w:r w:rsidRPr="00D74E41">
              <w:t>Calculated Revenue</w:t>
            </w:r>
            <w:r>
              <w:t xml:space="preserve">, derived in accordance with Part </w:t>
            </w:r>
            <w:r w:rsidR="00333E10">
              <w:t>C</w:t>
            </w:r>
            <w:r>
              <w:t>;</w:t>
            </w:r>
          </w:p>
        </w:tc>
      </w:tr>
      <w:tr w:rsidR="00C54C73" w:rsidRPr="007E49B6" w14:paraId="151B35EB" w14:textId="77777777" w:rsidTr="004E1E8E">
        <w:trPr>
          <w:trHeight w:val="235"/>
        </w:trPr>
        <w:tc>
          <w:tcPr>
            <w:tcW w:w="0" w:type="auto"/>
          </w:tcPr>
          <w:p w14:paraId="1E2FF85E" w14:textId="77777777" w:rsidR="00D95E3A" w:rsidRPr="00A93E30" w:rsidRDefault="008C7681" w:rsidP="00F543B6">
            <m:oMathPara>
              <m:oMathParaPr>
                <m:jc m:val="left"/>
              </m:oMathParaPr>
              <m:oMath>
                <m:sSub>
                  <m:sSubPr>
                    <m:ctrlPr>
                      <w:rPr>
                        <w:rFonts w:ascii="Cambria Math" w:eastAsiaTheme="minorEastAsia" w:hAnsi="Cambria Math"/>
                        <w:i/>
                      </w:rPr>
                    </m:ctrlPr>
                  </m:sSubPr>
                  <m:e>
                    <m:r>
                      <w:rPr>
                        <w:rFonts w:ascii="Cambria Math" w:eastAsiaTheme="minorEastAsia" w:hAnsi="Cambria Math"/>
                      </w:rPr>
                      <m:t>PI</m:t>
                    </m:r>
                  </m:e>
                  <m:sub>
                    <m:r>
                      <w:rPr>
                        <w:rFonts w:ascii="Cambria Math" w:eastAsiaTheme="minorEastAsia" w:hAnsi="Cambria Math"/>
                      </w:rPr>
                      <m:t>t</m:t>
                    </m:r>
                  </m:sub>
                </m:sSub>
              </m:oMath>
            </m:oMathPara>
          </w:p>
        </w:tc>
        <w:tc>
          <w:tcPr>
            <w:tcW w:w="0" w:type="auto"/>
          </w:tcPr>
          <w:p w14:paraId="3157EC91" w14:textId="51CC933D" w:rsidR="00D95E3A" w:rsidRPr="00D74E41" w:rsidRDefault="00D95E3A" w:rsidP="00F543B6">
            <w:r w:rsidRPr="007E49B6">
              <w:t>is the</w:t>
            </w:r>
            <w:r>
              <w:t xml:space="preserve"> </w:t>
            </w:r>
            <w:r w:rsidRPr="007E49B6">
              <w:t xml:space="preserve">price index </w:t>
            </w:r>
            <w:r>
              <w:t xml:space="preserve">calculated </w:t>
            </w:r>
            <w:r w:rsidRPr="00D74E41">
              <w:t xml:space="preserve">in accordance with </w:t>
            </w:r>
            <w:r>
              <w:t xml:space="preserve">Part </w:t>
            </w:r>
            <w:r w:rsidR="00333E10">
              <w:t>D</w:t>
            </w:r>
            <w:r>
              <w:t xml:space="preserve">; </w:t>
            </w:r>
          </w:p>
        </w:tc>
      </w:tr>
      <w:tr w:rsidR="00C54C73" w:rsidRPr="007E49B6" w14:paraId="1095B633" w14:textId="77777777" w:rsidTr="004E1E8E">
        <w:trPr>
          <w:trHeight w:val="235"/>
        </w:trPr>
        <w:tc>
          <w:tcPr>
            <w:tcW w:w="0" w:type="auto"/>
          </w:tcPr>
          <w:p w14:paraId="4FF03789" w14:textId="77777777" w:rsidR="00D95E3A" w:rsidRPr="00A93E30" w:rsidRDefault="008C7681" w:rsidP="00F543B6">
            <m:oMathPara>
              <m:oMathParaPr>
                <m:jc m:val="left"/>
              </m:oMathParaPr>
              <m:oMath>
                <m:sSub>
                  <m:sSubPr>
                    <m:ctrlPr>
                      <w:rPr>
                        <w:rFonts w:ascii="Cambria Math" w:eastAsiaTheme="minorEastAsia" w:hAnsi="Cambria Math"/>
                        <w:i/>
                      </w:rPr>
                    </m:ctrlPr>
                  </m:sSubPr>
                  <m:e>
                    <m:r>
                      <w:rPr>
                        <w:rFonts w:ascii="Cambria Math" w:eastAsiaTheme="minorEastAsia" w:hAnsi="Cambria Math"/>
                      </w:rPr>
                      <m:t>ADJ</m:t>
                    </m:r>
                  </m:e>
                  <m:sub>
                    <m:r>
                      <w:rPr>
                        <w:rFonts w:ascii="Cambria Math" w:eastAsiaTheme="minorEastAsia" w:hAnsi="Cambria Math"/>
                      </w:rPr>
                      <m:t>t</m:t>
                    </m:r>
                  </m:sub>
                </m:sSub>
              </m:oMath>
            </m:oMathPara>
          </w:p>
        </w:tc>
        <w:tc>
          <w:tcPr>
            <w:tcW w:w="0" w:type="auto"/>
          </w:tcPr>
          <w:p w14:paraId="4D8F6154" w14:textId="71E9626F" w:rsidR="00D95E3A" w:rsidRPr="00161DA4" w:rsidRDefault="00D95E3A" w:rsidP="00F543B6">
            <w:r>
              <w:t>means the A</w:t>
            </w:r>
            <w:r w:rsidR="00376904">
              <w:t xml:space="preserve">nnual </w:t>
            </w:r>
            <w:r>
              <w:t>I</w:t>
            </w:r>
            <w:r w:rsidR="00376904">
              <w:t xml:space="preserve">teration </w:t>
            </w:r>
            <w:r>
              <w:t>P</w:t>
            </w:r>
            <w:r w:rsidR="00376904">
              <w:t>rocess</w:t>
            </w:r>
            <w:r>
              <w:t xml:space="preserve"> adjustment term</w:t>
            </w:r>
            <w:r w:rsidR="00CF4477">
              <w:t xml:space="preserve"> and</w:t>
            </w:r>
            <w:r>
              <w:t xml:space="preserve"> </w:t>
            </w:r>
            <w:r w:rsidR="00A50F47">
              <w:t>is</w:t>
            </w:r>
            <w:r w:rsidR="00A50F47" w:rsidRPr="0021550E">
              <w:t xml:space="preserve"> derived in accordance with </w:t>
            </w:r>
            <w:r w:rsidR="00A50F47">
              <w:t>Special Condition 2.</w:t>
            </w:r>
            <w:r w:rsidR="002E25E3">
              <w:t xml:space="preserve">2 </w:t>
            </w:r>
            <w:r w:rsidR="00A50F47">
              <w:t>(AIP adjustment term)</w:t>
            </w:r>
            <w:r w:rsidR="00973CB9">
              <w:t xml:space="preserve">; </w:t>
            </w:r>
          </w:p>
        </w:tc>
      </w:tr>
      <w:tr w:rsidR="00C54C73" w:rsidRPr="007E49B6" w14:paraId="43B6AE4E" w14:textId="77777777" w:rsidTr="004E1E8E">
        <w:trPr>
          <w:trHeight w:val="235"/>
        </w:trPr>
        <w:tc>
          <w:tcPr>
            <w:tcW w:w="0" w:type="auto"/>
          </w:tcPr>
          <w:p w14:paraId="5A7B7E78" w14:textId="77777777" w:rsidR="00D95E3A" w:rsidRPr="00A93E30" w:rsidRDefault="008C7681" w:rsidP="00F543B6">
            <m:oMathPara>
              <m:oMathParaPr>
                <m:jc m:val="left"/>
              </m:oMathParaPr>
              <m:oMath>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t</m:t>
                    </m:r>
                  </m:sub>
                </m:sSub>
              </m:oMath>
            </m:oMathPara>
          </w:p>
        </w:tc>
        <w:tc>
          <w:tcPr>
            <w:tcW w:w="0" w:type="auto"/>
          </w:tcPr>
          <w:p w14:paraId="4EAFA76C" w14:textId="175DE9D1" w:rsidR="00D95E3A" w:rsidRPr="00D74E41" w:rsidRDefault="0088231B" w:rsidP="00F543B6">
            <w:r>
              <w:t xml:space="preserve">means the K correction term </w:t>
            </w:r>
            <w:r w:rsidR="00CF4477">
              <w:t xml:space="preserve">and </w:t>
            </w:r>
            <w:r w:rsidR="00D95E3A">
              <w:t>is</w:t>
            </w:r>
            <w:r w:rsidR="00D95E3A" w:rsidRPr="0021550E">
              <w:t xml:space="preserve"> derived in accordance with </w:t>
            </w:r>
            <w:r w:rsidR="0083329B">
              <w:t xml:space="preserve">Part A of </w:t>
            </w:r>
            <w:r w:rsidR="00D95E3A">
              <w:t>Special Condition 2.</w:t>
            </w:r>
            <w:r w:rsidR="00584FCD">
              <w:t xml:space="preserve">3 </w:t>
            </w:r>
            <w:r w:rsidR="00D95E3A">
              <w:t xml:space="preserve">(Correction </w:t>
            </w:r>
            <w:r w:rsidR="00360F90">
              <w:t>and penalty</w:t>
            </w:r>
            <w:r w:rsidR="00D95E3A">
              <w:t xml:space="preserve"> term</w:t>
            </w:r>
            <w:r w:rsidR="00360F90">
              <w:t>s</w:t>
            </w:r>
            <w:r w:rsidR="00D95E3A">
              <w:t>)</w:t>
            </w:r>
            <w:r w:rsidR="00270C46">
              <w:t>; and</w:t>
            </w:r>
          </w:p>
        </w:tc>
      </w:tr>
      <w:tr w:rsidR="00124EDE" w:rsidRPr="007E49B6" w14:paraId="15C01F59" w14:textId="77777777" w:rsidTr="00C54C73">
        <w:trPr>
          <w:trHeight w:val="235"/>
        </w:trPr>
        <w:tc>
          <w:tcPr>
            <w:tcW w:w="0" w:type="auto"/>
          </w:tcPr>
          <w:p w14:paraId="3DD4A653" w14:textId="5FEE4DA0" w:rsidR="00124EDE" w:rsidRDefault="008C7681" w:rsidP="00F543B6">
            <w:pPr>
              <w:rPr>
                <w:rFonts w:eastAsia="Calibri" w:cs="Arial"/>
              </w:rPr>
            </w:pPr>
            <m:oMathPara>
              <m:oMath>
                <m:sSub>
                  <m:sSubPr>
                    <m:ctrlPr>
                      <w:rPr>
                        <w:rFonts w:ascii="Cambria Math" w:eastAsiaTheme="minorEastAsia" w:hAnsi="Cambria Math"/>
                        <w:i/>
                      </w:rPr>
                    </m:ctrlPr>
                  </m:sSubPr>
                  <m:e>
                    <m:r>
                      <w:rPr>
                        <w:rFonts w:ascii="Cambria Math" w:eastAsiaTheme="minorEastAsia" w:hAnsi="Cambria Math"/>
                      </w:rPr>
                      <m:t>RP</m:t>
                    </m:r>
                  </m:e>
                  <m:sub>
                    <m:r>
                      <w:rPr>
                        <w:rFonts w:ascii="Cambria Math" w:eastAsiaTheme="minorEastAsia" w:hAnsi="Cambria Math"/>
                      </w:rPr>
                      <m:t>t</m:t>
                    </m:r>
                  </m:sub>
                </m:sSub>
              </m:oMath>
            </m:oMathPara>
          </w:p>
        </w:tc>
        <w:tc>
          <w:tcPr>
            <w:tcW w:w="0" w:type="auto"/>
          </w:tcPr>
          <w:p w14:paraId="21FD8410" w14:textId="3039653A" w:rsidR="00124EDE" w:rsidRDefault="0083329B" w:rsidP="00F543B6">
            <w:r>
              <w:t xml:space="preserve">means the recovery penalty term and is derived in accordance with Part B of Special Condition 2.3 (Correction </w:t>
            </w:r>
            <w:r w:rsidR="00992B69">
              <w:t>and penalty</w:t>
            </w:r>
            <w:r>
              <w:t xml:space="preserve"> </w:t>
            </w:r>
            <w:r w:rsidR="00992B69">
              <w:t>t</w:t>
            </w:r>
            <w:r>
              <w:t>erm</w:t>
            </w:r>
            <w:r w:rsidR="00992B69">
              <w:t>s</w:t>
            </w:r>
            <w:r>
              <w:t>)</w:t>
            </w:r>
          </w:p>
        </w:tc>
      </w:tr>
    </w:tbl>
    <w:p w14:paraId="78BBF17B" w14:textId="74427BDC" w:rsidR="00175444" w:rsidRPr="007C7A7D" w:rsidRDefault="00175444" w:rsidP="00175444">
      <w:pPr>
        <w:pStyle w:val="NumberedNormal"/>
        <w:rPr>
          <w:rFonts w:eastAsiaTheme="minorEastAsia"/>
        </w:rPr>
      </w:pPr>
      <w:r>
        <w:rPr>
          <w:rFonts w:eastAsiaTheme="minorEastAsia"/>
        </w:rPr>
        <w:t xml:space="preserve">The value of </w:t>
      </w:r>
      <m:oMath>
        <m:sSub>
          <m:sSubPr>
            <m:ctrlPr>
              <w:rPr>
                <w:rFonts w:ascii="Cambria Math" w:hAnsi="Cambria Math"/>
                <w:i/>
              </w:rPr>
            </m:ctrlPr>
          </m:sSubPr>
          <m:e>
            <m:r>
              <w:rPr>
                <w:rFonts w:ascii="Cambria Math" w:hAnsi="Cambria Math"/>
              </w:rPr>
              <m:t>AR</m:t>
            </m:r>
          </m:e>
          <m:sub>
            <m:r>
              <w:rPr>
                <w:rFonts w:ascii="Cambria Math" w:hAnsi="Cambria Math"/>
              </w:rPr>
              <m:t>t</m:t>
            </m:r>
          </m:sub>
        </m:sSub>
      </m:oMath>
      <w:r>
        <w:rPr>
          <w:rFonts w:eastAsiaTheme="minorEastAsia"/>
        </w:rPr>
        <w:t xml:space="preserve"> will be published pursuant to Part </w:t>
      </w:r>
      <w:r w:rsidR="009C3DD3">
        <w:rPr>
          <w:rFonts w:eastAsiaTheme="minorEastAsia"/>
        </w:rPr>
        <w:t>B</w:t>
      </w:r>
      <w:r>
        <w:rPr>
          <w:rFonts w:eastAsiaTheme="minorEastAsia"/>
        </w:rPr>
        <w:t xml:space="preserve"> of Special Condition </w:t>
      </w:r>
      <w:r w:rsidR="009C3DD3">
        <w:rPr>
          <w:rFonts w:eastAsiaTheme="minorEastAsia"/>
        </w:rPr>
        <w:t>8.2</w:t>
      </w:r>
      <w:r>
        <w:rPr>
          <w:rFonts w:eastAsiaTheme="minorEastAsia"/>
        </w:rPr>
        <w:t xml:space="preserve"> (</w:t>
      </w:r>
      <w:r w:rsidRPr="007C7A7D">
        <w:rPr>
          <w:rFonts w:eastAsiaTheme="minorEastAsia"/>
        </w:rPr>
        <w:t>Annual Iteration Process for the GD2 Price Control Financial Model</w:t>
      </w:r>
      <w:r>
        <w:rPr>
          <w:rFonts w:eastAsiaTheme="minorEastAsia"/>
        </w:rPr>
        <w:t xml:space="preserve">). </w:t>
      </w:r>
      <w:r>
        <w:t xml:space="preserve">The value of </w:t>
      </w:r>
      <m:oMath>
        <m:sSub>
          <m:sSubPr>
            <m:ctrlPr>
              <w:rPr>
                <w:rFonts w:ascii="Cambria Math" w:hAnsi="Cambria Math"/>
                <w:i/>
              </w:rPr>
            </m:ctrlPr>
          </m:sSubPr>
          <m:e>
            <m:r>
              <w:rPr>
                <w:rFonts w:ascii="Cambria Math" w:hAnsi="Cambria Math"/>
              </w:rPr>
              <m:t>AR</m:t>
            </m:r>
          </m:e>
          <m:sub>
            <m:r>
              <w:rPr>
                <w:rFonts w:ascii="Cambria Math" w:hAnsi="Cambria Math"/>
              </w:rPr>
              <m:t>t</m:t>
            </m:r>
          </m:sub>
        </m:sSub>
      </m:oMath>
      <w:r>
        <w:rPr>
          <w:rFonts w:eastAsiaTheme="minorEastAsia"/>
        </w:rPr>
        <w:t xml:space="preserve"> is not revised following publication.</w:t>
      </w:r>
    </w:p>
    <w:p w14:paraId="71391D35" w14:textId="7193BF7D" w:rsidR="00D95E3A" w:rsidRPr="00C568EF" w:rsidRDefault="000370A0" w:rsidP="006762B1">
      <w:pPr>
        <w:pStyle w:val="Heading3"/>
        <w:rPr>
          <w:rFonts w:eastAsiaTheme="minorEastAsia"/>
        </w:rPr>
      </w:pPr>
      <w:r>
        <w:t xml:space="preserve">Formula for calculating the </w:t>
      </w:r>
      <w:r w:rsidR="00D95E3A">
        <w:t xml:space="preserve">Calculated Revenue </w:t>
      </w:r>
      <w:r>
        <w:t>term</w:t>
      </w:r>
      <w:r w:rsidR="00D95E3A">
        <w:t xml:space="preserve"> (Rt)</w:t>
      </w:r>
    </w:p>
    <w:p w14:paraId="3722785C" w14:textId="77777777" w:rsidR="00D95E3A" w:rsidRDefault="00D95E3A" w:rsidP="00D95E3A">
      <w:pPr>
        <w:pStyle w:val="NumberedNormal"/>
      </w:pPr>
      <w:r>
        <w:t>The value of R</w:t>
      </w:r>
      <w:r w:rsidRPr="4A26DA62">
        <w:rPr>
          <w:vertAlign w:val="subscript"/>
        </w:rPr>
        <w:t>t</w:t>
      </w:r>
      <w:r>
        <w:t xml:space="preserve"> is derived in accordance with the following formula:</w:t>
      </w:r>
    </w:p>
    <w:p w14:paraId="40702FDF" w14:textId="77777777" w:rsidR="00D95E3A" w:rsidRPr="00BA6B9B" w:rsidRDefault="008C7681" w:rsidP="00D95E3A">
      <m:oMathPara>
        <m:oMath>
          <m:sSub>
            <m:sSubPr>
              <m:ctrlPr>
                <w:rPr>
                  <w:rFonts w:ascii="Cambria Math" w:hAnsi="Cambria Math"/>
                </w:rPr>
              </m:ctrlPr>
            </m:sSubPr>
            <m:e>
              <m:r>
                <w:rPr>
                  <w:rFonts w:ascii="Cambria Math" w:hAnsi="Cambria Math"/>
                </w:rPr>
                <m:t>R</m:t>
              </m:r>
            </m:e>
            <m:sub>
              <m:r>
                <w:rPr>
                  <w:rFonts w:ascii="Cambria Math" w:hAnsi="Cambria Math"/>
                </w:rPr>
                <m:t>t</m:t>
              </m:r>
            </m:sub>
          </m:sSub>
          <m:r>
            <m:rPr>
              <m:sty m:val="p"/>
            </m:rPr>
            <w:rPr>
              <w:rFonts w:ascii="Cambria Math" w:hAnsi="Cambria Math"/>
            </w:rPr>
            <m:t>=</m:t>
          </m:r>
          <m:sSub>
            <m:sSubPr>
              <m:ctrlPr>
                <w:rPr>
                  <w:rFonts w:ascii="Cambria Math" w:hAnsi="Cambria Math"/>
                  <w:i/>
                </w:rPr>
              </m:ctrlPr>
            </m:sSubPr>
            <m:e>
              <m:r>
                <w:rPr>
                  <w:rFonts w:ascii="Cambria Math" w:hAnsi="Cambria Math"/>
                </w:rPr>
                <m:t>FM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PT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DPN</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RTN</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RTNA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EIC</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DRS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ODI</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BPI</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INNV</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LAR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TAX</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TAXA</m:t>
              </m:r>
            </m:e>
            <m:sub>
              <m:r>
                <w:rPr>
                  <w:rFonts w:ascii="Cambria Math" w:hAnsi="Cambria Math"/>
                </w:rPr>
                <m:t>t</m:t>
              </m:r>
            </m:sub>
          </m:sSub>
        </m:oMath>
      </m:oMathPara>
    </w:p>
    <w:p w14:paraId="2AE95EAC" w14:textId="3849178C" w:rsidR="00D95E3A" w:rsidRPr="00BA6B9B" w:rsidRDefault="00C71703" w:rsidP="004E1E8E">
      <w:pPr>
        <w:pStyle w:val="NumberedNormal"/>
        <w:numPr>
          <w:ilvl w:val="0"/>
          <w:numId w:val="0"/>
        </w:numPr>
        <w:ind w:left="879"/>
      </w:pPr>
      <w:r>
        <w:t>w</w:t>
      </w:r>
      <w:r w:rsidR="00D95E3A" w:rsidRPr="00BA6B9B">
        <w:t>here</w:t>
      </w:r>
      <w:r>
        <w:t xml:space="preserve"> all values are </w:t>
      </w:r>
      <w:r w:rsidR="001E1EAB">
        <w:t xml:space="preserve">as </w:t>
      </w:r>
      <w:r>
        <w:t>published pursuant to Part A of Special Condition 8.2 (</w:t>
      </w:r>
      <w:r w:rsidRPr="007C7A7D">
        <w:t>Annual Iteration Process for the GD2 Price Control Financial Model</w:t>
      </w:r>
      <w:r>
        <w:t>) and</w:t>
      </w:r>
    </w:p>
    <w:tbl>
      <w:tblPr>
        <w:tblStyle w:val="TableGridLight"/>
        <w:tblW w:w="0" w:type="auto"/>
        <w:tblLook w:val="04A0" w:firstRow="1" w:lastRow="0" w:firstColumn="1" w:lastColumn="0" w:noHBand="0" w:noVBand="1"/>
      </w:tblPr>
      <w:tblGrid>
        <w:gridCol w:w="911"/>
        <w:gridCol w:w="7435"/>
      </w:tblGrid>
      <w:tr w:rsidR="00D95E3A" w:rsidRPr="0088006F" w14:paraId="462CC54F" w14:textId="77777777" w:rsidTr="00D95E3A">
        <w:trPr>
          <w:trHeight w:val="567"/>
        </w:trPr>
        <w:tc>
          <w:tcPr>
            <w:tcW w:w="0" w:type="auto"/>
          </w:tcPr>
          <w:p w14:paraId="55E1AC19" w14:textId="77777777" w:rsidR="00D95E3A" w:rsidRPr="00F73C1F" w:rsidRDefault="008C7681" w:rsidP="00F543B6">
            <w:pPr>
              <w:jc w:val="both"/>
            </w:pPr>
            <m:oMathPara>
              <m:oMathParaPr>
                <m:jc m:val="left"/>
              </m:oMathParaPr>
              <m:oMath>
                <m:sSub>
                  <m:sSubPr>
                    <m:ctrlPr>
                      <w:rPr>
                        <w:rFonts w:ascii="Cambria Math" w:hAnsi="Cambria Math"/>
                        <w:i/>
                      </w:rPr>
                    </m:ctrlPr>
                  </m:sSubPr>
                  <m:e>
                    <m:r>
                      <w:rPr>
                        <w:rFonts w:ascii="Cambria Math" w:hAnsi="Cambria Math"/>
                      </w:rPr>
                      <m:t>FM</m:t>
                    </m:r>
                  </m:e>
                  <m:sub>
                    <m:r>
                      <w:rPr>
                        <w:rFonts w:ascii="Cambria Math" w:hAnsi="Cambria Math"/>
                      </w:rPr>
                      <m:t>t</m:t>
                    </m:r>
                  </m:sub>
                </m:sSub>
              </m:oMath>
            </m:oMathPara>
          </w:p>
        </w:tc>
        <w:tc>
          <w:tcPr>
            <w:tcW w:w="0" w:type="auto"/>
          </w:tcPr>
          <w:p w14:paraId="4D941D16" w14:textId="147C292E" w:rsidR="00D95E3A" w:rsidRDefault="00D95E3A" w:rsidP="00F543B6">
            <w:r>
              <w:t xml:space="preserve">means fast money and has the value </w:t>
            </w:r>
            <w:r w:rsidR="00F3356B">
              <w:t>set out</w:t>
            </w:r>
            <w:r w:rsidR="00F03515">
              <w:t xml:space="preserve"> </w:t>
            </w:r>
            <w:r>
              <w:t>in sheet X of the GD2 Price Control Financial Model</w:t>
            </w:r>
            <w:r w:rsidR="00E85C09">
              <w:rPr>
                <w:rFonts w:eastAsiaTheme="minorEastAsia"/>
              </w:rPr>
              <w:t>)</w:t>
            </w:r>
            <w:r>
              <w:t>;</w:t>
            </w:r>
          </w:p>
        </w:tc>
      </w:tr>
      <w:tr w:rsidR="00D95E3A" w:rsidRPr="0088006F" w14:paraId="10A00A98" w14:textId="77777777" w:rsidTr="00D95E3A">
        <w:trPr>
          <w:trHeight w:val="567"/>
        </w:trPr>
        <w:tc>
          <w:tcPr>
            <w:tcW w:w="0" w:type="auto"/>
          </w:tcPr>
          <w:p w14:paraId="3E9A4C41" w14:textId="77777777" w:rsidR="00D95E3A" w:rsidRPr="00F73C1F" w:rsidRDefault="008C7681" w:rsidP="00F543B6">
            <w:pPr>
              <w:jc w:val="both"/>
            </w:pPr>
            <m:oMathPara>
              <m:oMathParaPr>
                <m:jc m:val="left"/>
              </m:oMathParaPr>
              <m:oMath>
                <m:sSub>
                  <m:sSubPr>
                    <m:ctrlPr>
                      <w:rPr>
                        <w:rFonts w:ascii="Cambria Math" w:hAnsi="Cambria Math"/>
                      </w:rPr>
                    </m:ctrlPr>
                  </m:sSubPr>
                  <m:e>
                    <m:r>
                      <w:rPr>
                        <w:rFonts w:ascii="Cambria Math" w:hAnsi="Cambria Math"/>
                      </w:rPr>
                      <m:t>PT</m:t>
                    </m:r>
                  </m:e>
                  <m:sub>
                    <m:r>
                      <w:rPr>
                        <w:rFonts w:ascii="Cambria Math" w:hAnsi="Cambria Math"/>
                      </w:rPr>
                      <m:t>t</m:t>
                    </m:r>
                  </m:sub>
                </m:sSub>
              </m:oMath>
            </m:oMathPara>
          </w:p>
        </w:tc>
        <w:tc>
          <w:tcPr>
            <w:tcW w:w="0" w:type="auto"/>
          </w:tcPr>
          <w:p w14:paraId="406C2A50" w14:textId="3135B3BC" w:rsidR="00D95E3A" w:rsidRDefault="00D95E3A" w:rsidP="00F543B6">
            <w:r>
              <w:t>is</w:t>
            </w:r>
            <w:r w:rsidRPr="00CC7D3E">
              <w:t xml:space="preserve"> derived in accordance with Special Condition </w:t>
            </w:r>
            <w:r>
              <w:t>6.1 (</w:t>
            </w:r>
            <w:r w:rsidRPr="004A4BC8">
              <w:t xml:space="preserve">Pass through </w:t>
            </w:r>
            <w:r w:rsidR="00C71703">
              <w:t>expenditure</w:t>
            </w:r>
            <w:r>
              <w:t>)</w:t>
            </w:r>
            <w:r w:rsidR="00F03515">
              <w:t>;</w:t>
            </w:r>
          </w:p>
        </w:tc>
      </w:tr>
      <w:tr w:rsidR="00D95E3A" w:rsidRPr="0088006F" w14:paraId="21375963" w14:textId="77777777" w:rsidTr="00D95E3A">
        <w:trPr>
          <w:trHeight w:val="567"/>
        </w:trPr>
        <w:tc>
          <w:tcPr>
            <w:tcW w:w="0" w:type="auto"/>
          </w:tcPr>
          <w:p w14:paraId="66C3204A" w14:textId="77777777" w:rsidR="00D95E3A" w:rsidRPr="00F73C1F" w:rsidRDefault="008C7681" w:rsidP="00F543B6">
            <w:pPr>
              <w:jc w:val="both"/>
            </w:pPr>
            <m:oMathPara>
              <m:oMathParaPr>
                <m:jc m:val="left"/>
              </m:oMathParaPr>
              <m:oMath>
                <m:sSub>
                  <m:sSubPr>
                    <m:ctrlPr>
                      <w:rPr>
                        <w:rFonts w:ascii="Cambria Math" w:hAnsi="Cambria Math"/>
                      </w:rPr>
                    </m:ctrlPr>
                  </m:sSubPr>
                  <m:e>
                    <m:r>
                      <w:rPr>
                        <w:rFonts w:ascii="Cambria Math" w:hAnsi="Cambria Math"/>
                      </w:rPr>
                      <m:t>DPN</m:t>
                    </m:r>
                  </m:e>
                  <m:sub>
                    <m:r>
                      <w:rPr>
                        <w:rFonts w:ascii="Cambria Math" w:hAnsi="Cambria Math"/>
                      </w:rPr>
                      <m:t>t</m:t>
                    </m:r>
                  </m:sub>
                </m:sSub>
              </m:oMath>
            </m:oMathPara>
          </w:p>
        </w:tc>
        <w:tc>
          <w:tcPr>
            <w:tcW w:w="0" w:type="auto"/>
          </w:tcPr>
          <w:p w14:paraId="66BAA420" w14:textId="73B6418E" w:rsidR="00D95E3A" w:rsidRDefault="00D95E3A" w:rsidP="00F543B6">
            <w:r>
              <w:t xml:space="preserve">means depreciation and has </w:t>
            </w:r>
            <w:r w:rsidRPr="00A54048">
              <w:t xml:space="preserve">the </w:t>
            </w:r>
            <w:r w:rsidR="00284C53">
              <w:t>value set out in sheet</w:t>
            </w:r>
            <w:r w:rsidRPr="00A54048">
              <w:t xml:space="preserve"> X of the </w:t>
            </w:r>
            <w:r>
              <w:t xml:space="preserve">GD2 </w:t>
            </w:r>
            <w:r w:rsidRPr="00A54048">
              <w:t>P</w:t>
            </w:r>
            <w:r>
              <w:t>rice Control Financial Model</w:t>
            </w:r>
            <w:r w:rsidR="00C73C6C">
              <w:rPr>
                <w:rFonts w:eastAsiaTheme="minorEastAsia"/>
              </w:rPr>
              <w:t>)</w:t>
            </w:r>
            <w:r>
              <w:t>;</w:t>
            </w:r>
          </w:p>
        </w:tc>
      </w:tr>
      <w:tr w:rsidR="00D95E3A" w:rsidRPr="0088006F" w14:paraId="0F38C94E" w14:textId="77777777" w:rsidTr="00D95E3A">
        <w:trPr>
          <w:trHeight w:val="567"/>
        </w:trPr>
        <w:tc>
          <w:tcPr>
            <w:tcW w:w="0" w:type="auto"/>
          </w:tcPr>
          <w:p w14:paraId="636CE4CF" w14:textId="77777777" w:rsidR="00D95E3A" w:rsidRPr="00F73C1F" w:rsidRDefault="008C7681" w:rsidP="00F543B6">
            <w:pPr>
              <w:jc w:val="both"/>
            </w:pPr>
            <m:oMathPara>
              <m:oMathParaPr>
                <m:jc m:val="left"/>
              </m:oMathParaPr>
              <m:oMath>
                <m:sSub>
                  <m:sSubPr>
                    <m:ctrlPr>
                      <w:rPr>
                        <w:rFonts w:ascii="Cambria Math" w:hAnsi="Cambria Math"/>
                      </w:rPr>
                    </m:ctrlPr>
                  </m:sSubPr>
                  <m:e>
                    <m:r>
                      <w:rPr>
                        <w:rFonts w:ascii="Cambria Math" w:hAnsi="Cambria Math"/>
                      </w:rPr>
                      <m:t>RTN</m:t>
                    </m:r>
                  </m:e>
                  <m:sub>
                    <m:r>
                      <w:rPr>
                        <w:rFonts w:ascii="Cambria Math" w:hAnsi="Cambria Math"/>
                      </w:rPr>
                      <m:t>t</m:t>
                    </m:r>
                  </m:sub>
                </m:sSub>
              </m:oMath>
            </m:oMathPara>
          </w:p>
        </w:tc>
        <w:tc>
          <w:tcPr>
            <w:tcW w:w="0" w:type="auto"/>
          </w:tcPr>
          <w:p w14:paraId="6392BBBA" w14:textId="1D62BE5C" w:rsidR="00D95E3A" w:rsidRDefault="00D95E3A" w:rsidP="00F543B6">
            <w:r>
              <w:t xml:space="preserve">means return and </w:t>
            </w:r>
            <w:r w:rsidRPr="00A54048">
              <w:t xml:space="preserve">has the </w:t>
            </w:r>
            <w:r w:rsidR="00284C53">
              <w:t>value set out in sheet</w:t>
            </w:r>
            <w:r w:rsidRPr="00A54048">
              <w:t xml:space="preserve"> X of the </w:t>
            </w:r>
            <w:r>
              <w:t xml:space="preserve">GD2 </w:t>
            </w:r>
            <w:r w:rsidRPr="00A54048">
              <w:t>P</w:t>
            </w:r>
            <w:r>
              <w:t>rice Control Financial Model</w:t>
            </w:r>
            <w:r w:rsidR="001E6139">
              <w:t>;</w:t>
            </w:r>
          </w:p>
        </w:tc>
      </w:tr>
      <w:tr w:rsidR="00D95E3A" w:rsidRPr="0088006F" w14:paraId="484316AA" w14:textId="77777777" w:rsidTr="00D95E3A">
        <w:trPr>
          <w:trHeight w:val="567"/>
        </w:trPr>
        <w:tc>
          <w:tcPr>
            <w:tcW w:w="0" w:type="auto"/>
          </w:tcPr>
          <w:p w14:paraId="108F7D0C" w14:textId="77777777" w:rsidR="00D95E3A" w:rsidRPr="00F73C1F" w:rsidRDefault="008C7681" w:rsidP="00F543B6">
            <w:pPr>
              <w:jc w:val="both"/>
            </w:pPr>
            <m:oMathPara>
              <m:oMathParaPr>
                <m:jc m:val="left"/>
              </m:oMathParaPr>
              <m:oMath>
                <m:sSub>
                  <m:sSubPr>
                    <m:ctrlPr>
                      <w:rPr>
                        <w:rFonts w:ascii="Cambria Math" w:hAnsi="Cambria Math"/>
                      </w:rPr>
                    </m:ctrlPr>
                  </m:sSubPr>
                  <m:e>
                    <m:r>
                      <w:rPr>
                        <w:rFonts w:ascii="Cambria Math" w:hAnsi="Cambria Math"/>
                      </w:rPr>
                      <m:t>RTNA</m:t>
                    </m:r>
                  </m:e>
                  <m:sub>
                    <m:r>
                      <w:rPr>
                        <w:rFonts w:ascii="Cambria Math" w:hAnsi="Cambria Math"/>
                      </w:rPr>
                      <m:t>t</m:t>
                    </m:r>
                  </m:sub>
                </m:sSub>
              </m:oMath>
            </m:oMathPara>
          </w:p>
        </w:tc>
        <w:tc>
          <w:tcPr>
            <w:tcW w:w="0" w:type="auto"/>
          </w:tcPr>
          <w:p w14:paraId="6BBCE250" w14:textId="2D9477FE" w:rsidR="00D95E3A" w:rsidRDefault="00D95E3A" w:rsidP="00F543B6">
            <w:r>
              <w:t xml:space="preserve">means return adjustment and </w:t>
            </w:r>
            <w:r w:rsidRPr="00A54048">
              <w:t xml:space="preserve">has the </w:t>
            </w:r>
            <w:r w:rsidR="00284C53">
              <w:t>value set out in sheet</w:t>
            </w:r>
            <w:r w:rsidRPr="00A54048">
              <w:t xml:space="preserve"> X of the </w:t>
            </w:r>
            <w:r>
              <w:t xml:space="preserve">GD2 </w:t>
            </w:r>
            <w:r w:rsidRPr="00A54048">
              <w:t>P</w:t>
            </w:r>
            <w:r>
              <w:t>rice Control Financial Model</w:t>
            </w:r>
            <w:r w:rsidR="00464372">
              <w:rPr>
                <w:rFonts w:eastAsiaTheme="minorEastAsia"/>
              </w:rPr>
              <w:t>;</w:t>
            </w:r>
          </w:p>
        </w:tc>
      </w:tr>
      <w:tr w:rsidR="00D95E3A" w:rsidRPr="0088006F" w14:paraId="5A99B832" w14:textId="77777777" w:rsidTr="00D95E3A">
        <w:trPr>
          <w:trHeight w:val="567"/>
        </w:trPr>
        <w:tc>
          <w:tcPr>
            <w:tcW w:w="0" w:type="auto"/>
          </w:tcPr>
          <w:p w14:paraId="50C95E7C" w14:textId="77777777" w:rsidR="00D95E3A" w:rsidRPr="00F73C1F" w:rsidRDefault="008C7681" w:rsidP="00F543B6">
            <w:pPr>
              <w:jc w:val="both"/>
            </w:pPr>
            <m:oMathPara>
              <m:oMathParaPr>
                <m:jc m:val="left"/>
              </m:oMathParaPr>
              <m:oMath>
                <m:sSub>
                  <m:sSubPr>
                    <m:ctrlPr>
                      <w:rPr>
                        <w:rFonts w:ascii="Cambria Math" w:hAnsi="Cambria Math"/>
                      </w:rPr>
                    </m:ctrlPr>
                  </m:sSubPr>
                  <m:e>
                    <m:r>
                      <w:rPr>
                        <w:rFonts w:ascii="Cambria Math" w:hAnsi="Cambria Math"/>
                      </w:rPr>
                      <m:t>EIC</m:t>
                    </m:r>
                  </m:e>
                  <m:sub>
                    <m:r>
                      <w:rPr>
                        <w:rFonts w:ascii="Cambria Math" w:hAnsi="Cambria Math"/>
                      </w:rPr>
                      <m:t>t</m:t>
                    </m:r>
                  </m:sub>
                </m:sSub>
              </m:oMath>
            </m:oMathPara>
          </w:p>
        </w:tc>
        <w:tc>
          <w:tcPr>
            <w:tcW w:w="0" w:type="auto"/>
          </w:tcPr>
          <w:p w14:paraId="583A9602" w14:textId="1367CBD3" w:rsidR="00D95E3A" w:rsidRDefault="00D95E3A" w:rsidP="00F543B6">
            <w:r>
              <w:t xml:space="preserve">means equity issuance costs and </w:t>
            </w:r>
            <w:r w:rsidRPr="00A54048">
              <w:t xml:space="preserve">has the </w:t>
            </w:r>
            <w:r w:rsidR="00284C53">
              <w:t>value set out in sheet</w:t>
            </w:r>
            <w:r w:rsidRPr="00A54048">
              <w:t xml:space="preserve"> X of the </w:t>
            </w:r>
            <w:r>
              <w:t xml:space="preserve">GD2 </w:t>
            </w:r>
            <w:r w:rsidRPr="00A54048">
              <w:t>P</w:t>
            </w:r>
            <w:r>
              <w:t>rice Control Financial Model</w:t>
            </w:r>
            <w:r w:rsidR="001E6139">
              <w:rPr>
                <w:rFonts w:eastAsiaTheme="minorEastAsia"/>
              </w:rPr>
              <w:t>;</w:t>
            </w:r>
          </w:p>
        </w:tc>
      </w:tr>
      <w:tr w:rsidR="00D95E3A" w:rsidRPr="0088006F" w14:paraId="735BCF8E" w14:textId="77777777" w:rsidTr="00D95E3A">
        <w:trPr>
          <w:trHeight w:val="567"/>
        </w:trPr>
        <w:tc>
          <w:tcPr>
            <w:tcW w:w="0" w:type="auto"/>
          </w:tcPr>
          <w:p w14:paraId="563C3E77" w14:textId="77777777" w:rsidR="00D95E3A" w:rsidRPr="00F73C1F" w:rsidRDefault="008C7681" w:rsidP="00F543B6">
            <w:pPr>
              <w:jc w:val="both"/>
            </w:pPr>
            <m:oMathPara>
              <m:oMathParaPr>
                <m:jc m:val="left"/>
              </m:oMathParaPr>
              <m:oMath>
                <m:sSub>
                  <m:sSubPr>
                    <m:ctrlPr>
                      <w:rPr>
                        <w:rFonts w:ascii="Cambria Math" w:hAnsi="Cambria Math"/>
                      </w:rPr>
                    </m:ctrlPr>
                  </m:sSubPr>
                  <m:e>
                    <m:r>
                      <w:rPr>
                        <w:rFonts w:ascii="Cambria Math" w:hAnsi="Cambria Math"/>
                      </w:rPr>
                      <m:t>DRS</m:t>
                    </m:r>
                  </m:e>
                  <m:sub>
                    <m:r>
                      <w:rPr>
                        <w:rFonts w:ascii="Cambria Math" w:hAnsi="Cambria Math"/>
                      </w:rPr>
                      <m:t>t</m:t>
                    </m:r>
                  </m:sub>
                </m:sSub>
              </m:oMath>
            </m:oMathPara>
          </w:p>
        </w:tc>
        <w:tc>
          <w:tcPr>
            <w:tcW w:w="0" w:type="auto"/>
          </w:tcPr>
          <w:p w14:paraId="60352F13" w14:textId="70C3F402" w:rsidR="00D95E3A" w:rsidRPr="00CC7D3E" w:rsidRDefault="00D95E3A" w:rsidP="00F543B6">
            <w:r>
              <w:t xml:space="preserve">means directly remunerated services and </w:t>
            </w:r>
            <w:r w:rsidRPr="00A54048">
              <w:t xml:space="preserve">has the </w:t>
            </w:r>
            <w:r w:rsidR="00284C53">
              <w:t>value set out in sheet</w:t>
            </w:r>
            <w:r w:rsidRPr="00A54048">
              <w:t xml:space="preserve"> X of the </w:t>
            </w:r>
            <w:r>
              <w:t xml:space="preserve">GD2 </w:t>
            </w:r>
            <w:r w:rsidRPr="00A54048">
              <w:t>P</w:t>
            </w:r>
            <w:r>
              <w:t>rice Control Financial Model</w:t>
            </w:r>
            <w:r w:rsidR="001E6139">
              <w:t>;</w:t>
            </w:r>
          </w:p>
        </w:tc>
      </w:tr>
      <w:tr w:rsidR="00D95E3A" w:rsidRPr="0088006F" w14:paraId="5D1E72BE" w14:textId="77777777" w:rsidTr="00D95E3A">
        <w:trPr>
          <w:trHeight w:val="567"/>
        </w:trPr>
        <w:tc>
          <w:tcPr>
            <w:tcW w:w="0" w:type="auto"/>
          </w:tcPr>
          <w:p w14:paraId="24366AC1" w14:textId="77777777" w:rsidR="00D95E3A" w:rsidRPr="00F73C1F" w:rsidRDefault="008C7681" w:rsidP="00F543B6">
            <w:pPr>
              <w:jc w:val="both"/>
            </w:pPr>
            <m:oMathPara>
              <m:oMathParaPr>
                <m:jc m:val="left"/>
              </m:oMathParaPr>
              <m:oMath>
                <m:sSub>
                  <m:sSubPr>
                    <m:ctrlPr>
                      <w:rPr>
                        <w:rFonts w:ascii="Cambria Math" w:hAnsi="Cambria Math"/>
                      </w:rPr>
                    </m:ctrlPr>
                  </m:sSubPr>
                  <m:e>
                    <m:r>
                      <w:rPr>
                        <w:rFonts w:ascii="Cambria Math" w:hAnsi="Cambria Math"/>
                      </w:rPr>
                      <m:t>ODI</m:t>
                    </m:r>
                  </m:e>
                  <m:sub>
                    <m:r>
                      <w:rPr>
                        <w:rFonts w:ascii="Cambria Math" w:hAnsi="Cambria Math"/>
                      </w:rPr>
                      <m:t>t</m:t>
                    </m:r>
                  </m:sub>
                </m:sSub>
              </m:oMath>
            </m:oMathPara>
          </w:p>
        </w:tc>
        <w:tc>
          <w:tcPr>
            <w:tcW w:w="0" w:type="auto"/>
          </w:tcPr>
          <w:p w14:paraId="56AA44CE" w14:textId="32207486" w:rsidR="00D95E3A" w:rsidRDefault="00D95E3A" w:rsidP="00F543B6">
            <w:r>
              <w:t>is</w:t>
            </w:r>
            <w:r w:rsidRPr="00CC7D3E">
              <w:t xml:space="preserve"> derived in accordance with Special Condition </w:t>
            </w:r>
            <w:r>
              <w:t>4.1(Total output delivery incentive performance)</w:t>
            </w:r>
            <w:r w:rsidR="001E6139">
              <w:t>;</w:t>
            </w:r>
          </w:p>
        </w:tc>
      </w:tr>
      <w:tr w:rsidR="00D95E3A" w:rsidRPr="0088006F" w14:paraId="2668E38E" w14:textId="77777777" w:rsidTr="00D95E3A">
        <w:trPr>
          <w:trHeight w:val="567"/>
        </w:trPr>
        <w:tc>
          <w:tcPr>
            <w:tcW w:w="0" w:type="auto"/>
          </w:tcPr>
          <w:p w14:paraId="7424D00B" w14:textId="77777777" w:rsidR="00D95E3A" w:rsidRPr="00F73C1F" w:rsidRDefault="008C7681" w:rsidP="00F543B6">
            <w:pPr>
              <w:jc w:val="both"/>
            </w:pPr>
            <m:oMathPara>
              <m:oMathParaPr>
                <m:jc m:val="left"/>
              </m:oMathParaPr>
              <m:oMath>
                <m:sSub>
                  <m:sSubPr>
                    <m:ctrlPr>
                      <w:rPr>
                        <w:rFonts w:ascii="Cambria Math" w:hAnsi="Cambria Math"/>
                      </w:rPr>
                    </m:ctrlPr>
                  </m:sSubPr>
                  <m:e>
                    <m:r>
                      <w:rPr>
                        <w:rFonts w:ascii="Cambria Math" w:hAnsi="Cambria Math"/>
                      </w:rPr>
                      <m:t>BPI</m:t>
                    </m:r>
                  </m:e>
                  <m:sub>
                    <m:r>
                      <w:rPr>
                        <w:rFonts w:ascii="Cambria Math" w:hAnsi="Cambria Math"/>
                      </w:rPr>
                      <m:t>t</m:t>
                    </m:r>
                  </m:sub>
                </m:sSub>
              </m:oMath>
            </m:oMathPara>
          </w:p>
        </w:tc>
        <w:tc>
          <w:tcPr>
            <w:tcW w:w="0" w:type="auto"/>
          </w:tcPr>
          <w:p w14:paraId="434E1ADA" w14:textId="2222F599" w:rsidR="00D95E3A" w:rsidRDefault="00D95E3A" w:rsidP="00F543B6">
            <w:r>
              <w:t>means the business plan incentive term and has the value in sheet X of the GD2 Price Control Financial Model, unless the Authority directs otherwise under Special Condition 4.7 (Consumer Value Proposition);</w:t>
            </w:r>
          </w:p>
        </w:tc>
      </w:tr>
      <w:tr w:rsidR="00D95E3A" w:rsidRPr="0088006F" w14:paraId="4622A20E" w14:textId="77777777" w:rsidTr="00D95E3A">
        <w:trPr>
          <w:trHeight w:val="567"/>
        </w:trPr>
        <w:tc>
          <w:tcPr>
            <w:tcW w:w="0" w:type="auto"/>
          </w:tcPr>
          <w:p w14:paraId="20EE8791" w14:textId="77777777" w:rsidR="00D95E3A" w:rsidRPr="00F73C1F" w:rsidRDefault="008C7681" w:rsidP="00F543B6">
            <w:pPr>
              <w:jc w:val="both"/>
            </w:pPr>
            <m:oMathPara>
              <m:oMathParaPr>
                <m:jc m:val="left"/>
              </m:oMathParaPr>
              <m:oMath>
                <m:sSub>
                  <m:sSubPr>
                    <m:ctrlPr>
                      <w:rPr>
                        <w:rFonts w:ascii="Cambria Math" w:hAnsi="Cambria Math"/>
                      </w:rPr>
                    </m:ctrlPr>
                  </m:sSubPr>
                  <m:e>
                    <m:r>
                      <w:rPr>
                        <w:rFonts w:ascii="Cambria Math" w:hAnsi="Cambria Math"/>
                      </w:rPr>
                      <m:t>INNV</m:t>
                    </m:r>
                  </m:e>
                  <m:sub>
                    <m:r>
                      <w:rPr>
                        <w:rFonts w:ascii="Cambria Math" w:hAnsi="Cambria Math"/>
                      </w:rPr>
                      <m:t>t</m:t>
                    </m:r>
                  </m:sub>
                </m:sSub>
              </m:oMath>
            </m:oMathPara>
          </w:p>
        </w:tc>
        <w:tc>
          <w:tcPr>
            <w:tcW w:w="0" w:type="auto"/>
          </w:tcPr>
          <w:p w14:paraId="79D39C5D" w14:textId="77777777" w:rsidR="00D95E3A" w:rsidRPr="00CC7D3E" w:rsidRDefault="00D95E3A" w:rsidP="00F543B6">
            <w:r>
              <w:t>is</w:t>
            </w:r>
            <w:r w:rsidRPr="00CC7D3E">
              <w:t xml:space="preserve"> derived in accordance with Special Condition </w:t>
            </w:r>
            <w:r>
              <w:t>5.1 (Total innovation allowance);</w:t>
            </w:r>
          </w:p>
        </w:tc>
      </w:tr>
      <w:tr w:rsidR="00D95E3A" w:rsidRPr="0088006F" w14:paraId="37644FF7" w14:textId="77777777" w:rsidTr="00D95E3A">
        <w:trPr>
          <w:trHeight w:val="567"/>
        </w:trPr>
        <w:tc>
          <w:tcPr>
            <w:tcW w:w="0" w:type="auto"/>
          </w:tcPr>
          <w:p w14:paraId="39AFE01B" w14:textId="77777777" w:rsidR="00D95E3A" w:rsidRPr="00F73C1F" w:rsidRDefault="008C7681" w:rsidP="00F543B6">
            <w:pPr>
              <w:jc w:val="both"/>
            </w:pPr>
            <m:oMathPara>
              <m:oMathParaPr>
                <m:jc m:val="left"/>
              </m:oMathParaPr>
              <m:oMath>
                <m:sSub>
                  <m:sSubPr>
                    <m:ctrlPr>
                      <w:rPr>
                        <w:rFonts w:ascii="Cambria Math" w:hAnsi="Cambria Math"/>
                      </w:rPr>
                    </m:ctrlPr>
                  </m:sSubPr>
                  <m:e>
                    <m:r>
                      <w:rPr>
                        <w:rFonts w:ascii="Cambria Math" w:hAnsi="Cambria Math"/>
                      </w:rPr>
                      <m:t>LAR</m:t>
                    </m:r>
                  </m:e>
                  <m:sub>
                    <m:r>
                      <w:rPr>
                        <w:rFonts w:ascii="Cambria Math" w:hAnsi="Cambria Math"/>
                      </w:rPr>
                      <m:t>t</m:t>
                    </m:r>
                  </m:sub>
                </m:sSub>
              </m:oMath>
            </m:oMathPara>
          </w:p>
        </w:tc>
        <w:tc>
          <w:tcPr>
            <w:tcW w:w="0" w:type="auto"/>
          </w:tcPr>
          <w:p w14:paraId="2B3550AA" w14:textId="274861E7" w:rsidR="00D95E3A" w:rsidRPr="00CC7D3E" w:rsidRDefault="00D95E3A" w:rsidP="00F543B6">
            <w:r>
              <w:t xml:space="preserve">is derived in accordance with </w:t>
            </w:r>
            <w:r w:rsidRPr="00CC7D3E">
              <w:t xml:space="preserve">Special Condition </w:t>
            </w:r>
            <w:r>
              <w:t>7.1 (Total legacy adjustments);</w:t>
            </w:r>
          </w:p>
        </w:tc>
      </w:tr>
      <w:tr w:rsidR="00D95E3A" w:rsidRPr="0088006F" w14:paraId="3BF3A077" w14:textId="77777777" w:rsidTr="00D95E3A">
        <w:trPr>
          <w:trHeight w:val="567"/>
        </w:trPr>
        <w:tc>
          <w:tcPr>
            <w:tcW w:w="0" w:type="auto"/>
          </w:tcPr>
          <w:p w14:paraId="1E5C9824" w14:textId="77777777" w:rsidR="00D95E3A" w:rsidRPr="00F73C1F" w:rsidRDefault="008C7681" w:rsidP="00F543B6">
            <w:pPr>
              <w:jc w:val="both"/>
            </w:pPr>
            <m:oMathPara>
              <m:oMathParaPr>
                <m:jc m:val="left"/>
              </m:oMathParaPr>
              <m:oMath>
                <m:sSub>
                  <m:sSubPr>
                    <m:ctrlPr>
                      <w:rPr>
                        <w:rFonts w:ascii="Cambria Math" w:hAnsi="Cambria Math"/>
                      </w:rPr>
                    </m:ctrlPr>
                  </m:sSubPr>
                  <m:e>
                    <m:r>
                      <w:rPr>
                        <w:rFonts w:ascii="Cambria Math" w:hAnsi="Cambria Math"/>
                      </w:rPr>
                      <m:t>TAX</m:t>
                    </m:r>
                  </m:e>
                  <m:sub>
                    <m:r>
                      <w:rPr>
                        <w:rFonts w:ascii="Cambria Math" w:hAnsi="Cambria Math"/>
                      </w:rPr>
                      <m:t>t</m:t>
                    </m:r>
                  </m:sub>
                </m:sSub>
              </m:oMath>
            </m:oMathPara>
          </w:p>
        </w:tc>
        <w:tc>
          <w:tcPr>
            <w:tcW w:w="0" w:type="auto"/>
          </w:tcPr>
          <w:p w14:paraId="614555A6" w14:textId="2C199E81" w:rsidR="00D95E3A" w:rsidRDefault="00D95E3A" w:rsidP="00F543B6">
            <w:r w:rsidRPr="00A54048">
              <w:t xml:space="preserve">has the </w:t>
            </w:r>
            <w:r w:rsidR="00284C53">
              <w:t>value set out in sheet</w:t>
            </w:r>
            <w:r w:rsidRPr="00A54048">
              <w:t xml:space="preserve"> X of the </w:t>
            </w:r>
            <w:r>
              <w:t xml:space="preserve">GD2 </w:t>
            </w:r>
            <w:r w:rsidRPr="00A54048">
              <w:t>P</w:t>
            </w:r>
            <w:r>
              <w:t>rice Control Financial Model; and</w:t>
            </w:r>
          </w:p>
        </w:tc>
      </w:tr>
      <w:tr w:rsidR="00D95E3A" w:rsidRPr="0088006F" w14:paraId="58CD69B8" w14:textId="77777777" w:rsidTr="00D95E3A">
        <w:trPr>
          <w:trHeight w:val="567"/>
        </w:trPr>
        <w:tc>
          <w:tcPr>
            <w:tcW w:w="0" w:type="auto"/>
          </w:tcPr>
          <w:p w14:paraId="0C5FC2EF" w14:textId="77777777" w:rsidR="00D95E3A" w:rsidRPr="00F73C1F" w:rsidRDefault="008C7681" w:rsidP="00F543B6">
            <w:pPr>
              <w:jc w:val="both"/>
            </w:pPr>
            <m:oMathPara>
              <m:oMathParaPr>
                <m:jc m:val="left"/>
              </m:oMathParaPr>
              <m:oMath>
                <m:sSub>
                  <m:sSubPr>
                    <m:ctrlPr>
                      <w:rPr>
                        <w:rFonts w:ascii="Cambria Math" w:hAnsi="Cambria Math"/>
                      </w:rPr>
                    </m:ctrlPr>
                  </m:sSubPr>
                  <m:e>
                    <m:r>
                      <w:rPr>
                        <w:rFonts w:ascii="Cambria Math" w:hAnsi="Cambria Math"/>
                      </w:rPr>
                      <m:t>TAXA</m:t>
                    </m:r>
                  </m:e>
                  <m:sub>
                    <m:r>
                      <w:rPr>
                        <w:rFonts w:ascii="Cambria Math" w:hAnsi="Cambria Math"/>
                      </w:rPr>
                      <m:t>t</m:t>
                    </m:r>
                  </m:sub>
                </m:sSub>
              </m:oMath>
            </m:oMathPara>
          </w:p>
        </w:tc>
        <w:tc>
          <w:tcPr>
            <w:tcW w:w="0" w:type="auto"/>
          </w:tcPr>
          <w:p w14:paraId="50C60C29" w14:textId="4E02A046" w:rsidR="00D95E3A" w:rsidRDefault="00D95E3A" w:rsidP="00F543B6">
            <w:r>
              <w:t xml:space="preserve">means </w:t>
            </w:r>
            <w:r w:rsidRPr="00CC7D3E">
              <w:t xml:space="preserve">the </w:t>
            </w:r>
            <w:r>
              <w:t>t</w:t>
            </w:r>
            <w:r w:rsidRPr="00CC7D3E">
              <w:t xml:space="preserve">ax allowance adjustment term </w:t>
            </w:r>
            <w:r>
              <w:t>and has the value zero, unless the Authority directs otherwise under Special Condition 2.4 (Tax Review Adjustment).</w:t>
            </w:r>
          </w:p>
        </w:tc>
      </w:tr>
    </w:tbl>
    <w:p w14:paraId="3054509E" w14:textId="7B67BAE1" w:rsidR="00D95E3A" w:rsidRPr="00907940" w:rsidRDefault="000370A0" w:rsidP="00D95E3A">
      <w:pPr>
        <w:pStyle w:val="Heading3"/>
      </w:pPr>
      <w:r>
        <w:t xml:space="preserve">Formula for calculating the </w:t>
      </w:r>
      <w:r w:rsidR="00D95E3A">
        <w:t>Price Index</w:t>
      </w:r>
      <w:r>
        <w:t xml:space="preserve"> term</w:t>
      </w:r>
      <w:r w:rsidR="00D95E3A">
        <w:t xml:space="preserve"> (PI</w:t>
      </w:r>
      <w:r w:rsidR="00D95E3A" w:rsidRPr="4A26DA62">
        <w:rPr>
          <w:vertAlign w:val="subscript"/>
        </w:rPr>
        <w:t>t</w:t>
      </w:r>
      <w:r w:rsidR="00D95E3A">
        <w:t>)</w:t>
      </w:r>
    </w:p>
    <w:p w14:paraId="2DA589D4" w14:textId="77777777" w:rsidR="00D95E3A" w:rsidRDefault="00D95E3A" w:rsidP="00D95E3A">
      <w:pPr>
        <w:pStyle w:val="NumberedNormal"/>
      </w:pPr>
      <w:r>
        <w:t>The value of PI</w:t>
      </w:r>
      <w:r w:rsidRPr="4A26DA62">
        <w:rPr>
          <w:vertAlign w:val="subscript"/>
        </w:rPr>
        <w:t>t</w:t>
      </w:r>
      <w:r>
        <w:t xml:space="preserve"> is derived in accordance with the following formula:</w:t>
      </w:r>
    </w:p>
    <w:p w14:paraId="42A547FB" w14:textId="0EED3D05" w:rsidR="00D95E3A" w:rsidRPr="0000590F" w:rsidRDefault="008C7681" w:rsidP="00D95E3A">
      <w:pPr>
        <w:rPr>
          <w:rFonts w:eastAsiaTheme="minorEastAsia"/>
        </w:rPr>
      </w:pPr>
      <m:oMathPara>
        <m:oMath>
          <m:sSub>
            <m:sSubPr>
              <m:ctrlPr>
                <w:rPr>
                  <w:rFonts w:ascii="Cambria Math" w:hAnsi="Cambria Math"/>
                  <w:i/>
                </w:rPr>
              </m:ctrlPr>
            </m:sSubPr>
            <m:e>
              <m:r>
                <w:rPr>
                  <w:rFonts w:ascii="Cambria Math" w:hAnsi="Cambria Math"/>
                </w:rPr>
                <m:t>PI</m:t>
              </m:r>
            </m:e>
            <m:sub>
              <m:r>
                <w:rPr>
                  <w:rFonts w:ascii="Cambria Math" w:hAnsi="Cambria Math"/>
                </w:rPr>
                <m:t>t</m:t>
              </m:r>
            </m:sub>
          </m:sSub>
          <m:r>
            <w:rPr>
              <w:rFonts w:ascii="Cambria Math" w:hAnsi="Cambria Math"/>
            </w:rPr>
            <m:t>=</m:t>
          </m:r>
          <m:d>
            <m:dPr>
              <m:begChr m:val="{"/>
              <m:endChr m:val=""/>
              <m:ctrlPr>
                <w:rPr>
                  <w:rFonts w:ascii="Cambria Math" w:eastAsiaTheme="minorEastAsia" w:hAnsi="Cambria Math"/>
                  <w:i/>
                </w:rPr>
              </m:ctrlPr>
            </m:dPr>
            <m:e>
              <m:eqArr>
                <m:eqArrPr>
                  <m:ctrlPr>
                    <w:rPr>
                      <w:rFonts w:ascii="Cambria Math" w:eastAsiaTheme="minorEastAsia" w:hAnsi="Cambria Math"/>
                      <w:i/>
                    </w:rPr>
                  </m:ctrlPr>
                </m:eqArrPr>
                <m:e>
                  <m:sSub>
                    <m:sSubPr>
                      <m:ctrlPr>
                        <w:rPr>
                          <w:rFonts w:ascii="Cambria Math" w:eastAsiaTheme="minorEastAsia" w:hAnsi="Cambria Math"/>
                          <w:i/>
                        </w:rPr>
                      </m:ctrlPr>
                    </m:sSubPr>
                    <m:e>
                      <m:r>
                        <w:rPr>
                          <w:rFonts w:ascii="Cambria Math" w:eastAsiaTheme="minorEastAsia" w:hAnsi="Cambria Math"/>
                        </w:rPr>
                        <m:t>RPI</m:t>
                      </m:r>
                    </m:e>
                    <m:sub>
                      <m:r>
                        <w:rPr>
                          <w:rFonts w:ascii="Cambria Math" w:eastAsiaTheme="minorEastAsia" w:hAnsi="Cambria Math"/>
                        </w:rPr>
                        <m:t>2020/21</m:t>
                      </m:r>
                    </m:sub>
                  </m:sSub>
                  <m:r>
                    <w:rPr>
                      <w:rFonts w:ascii="Cambria Math" w:eastAsiaTheme="minorEastAsia" w:hAnsi="Cambria Math"/>
                    </w:rPr>
                    <m:t>∙</m:t>
                  </m:r>
                  <m:nary>
                    <m:naryPr>
                      <m:chr m:val="∏"/>
                      <m:limLoc m:val="undOvr"/>
                      <m:ctrlPr>
                        <w:rPr>
                          <w:rFonts w:ascii="Cambria Math" w:eastAsiaTheme="minorEastAsia" w:hAnsi="Cambria Math"/>
                          <w:i/>
                        </w:rPr>
                      </m:ctrlPr>
                    </m:naryPr>
                    <m:sub>
                      <m:r>
                        <w:rPr>
                          <w:rFonts w:ascii="Cambria Math" w:eastAsiaTheme="minorEastAsia" w:hAnsi="Cambria Math"/>
                        </w:rPr>
                        <m:t>i=</m:t>
                      </m:r>
                      <m:f>
                        <m:fPr>
                          <m:ctrlPr>
                            <w:rPr>
                              <w:rFonts w:ascii="Cambria Math" w:eastAsiaTheme="minorEastAsia" w:hAnsi="Cambria Math"/>
                              <w:i/>
                            </w:rPr>
                          </m:ctrlPr>
                        </m:fPr>
                        <m:num>
                          <m:r>
                            <w:rPr>
                              <w:rFonts w:ascii="Cambria Math" w:eastAsiaTheme="minorEastAsia" w:hAnsi="Cambria Math"/>
                            </w:rPr>
                            <m:t>2021</m:t>
                          </m:r>
                        </m:num>
                        <m:den>
                          <m:r>
                            <w:rPr>
                              <w:rFonts w:ascii="Cambria Math" w:eastAsiaTheme="minorEastAsia" w:hAnsi="Cambria Math"/>
                            </w:rPr>
                            <m:t>22</m:t>
                          </m:r>
                        </m:den>
                      </m:f>
                    </m:sub>
                    <m:sup>
                      <m:r>
                        <w:rPr>
                          <w:rFonts w:ascii="Cambria Math" w:eastAsiaTheme="minorEastAsia" w:hAnsi="Cambria Math"/>
                        </w:rPr>
                        <m:t>t</m:t>
                      </m:r>
                    </m:sup>
                    <m:e>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CPIH</m:t>
                              </m:r>
                            </m:e>
                            <m:sub>
                              <m:r>
                                <w:rPr>
                                  <w:rFonts w:ascii="Cambria Math" w:eastAsiaTheme="minorEastAsia" w:hAnsi="Cambria Math"/>
                                </w:rPr>
                                <m:t>i</m:t>
                              </m:r>
                            </m:sub>
                          </m:sSub>
                        </m:num>
                        <m:den>
                          <m:sSub>
                            <m:sSubPr>
                              <m:ctrlPr>
                                <w:rPr>
                                  <w:rFonts w:ascii="Cambria Math" w:eastAsiaTheme="minorEastAsia" w:hAnsi="Cambria Math"/>
                                  <w:i/>
                                </w:rPr>
                              </m:ctrlPr>
                            </m:sSubPr>
                            <m:e>
                              <m:r>
                                <w:rPr>
                                  <w:rFonts w:ascii="Cambria Math" w:eastAsiaTheme="minorEastAsia" w:hAnsi="Cambria Math"/>
                                </w:rPr>
                                <m:t>CPIH</m:t>
                              </m:r>
                            </m:e>
                            <m:sub>
                              <m:r>
                                <w:rPr>
                                  <w:rFonts w:ascii="Cambria Math" w:eastAsiaTheme="minorEastAsia" w:hAnsi="Cambria Math"/>
                                </w:rPr>
                                <m:t>i-1</m:t>
                              </m:r>
                            </m:sub>
                          </m:sSub>
                        </m:den>
                      </m:f>
                    </m:e>
                  </m:nary>
                  <m:r>
                    <w:rPr>
                      <w:rFonts w:ascii="Cambria Math" w:hAnsi="Cambria Math"/>
                    </w:rPr>
                    <m:t xml:space="preserve">,  </m:t>
                  </m:r>
                  <m:r>
                    <m:rPr>
                      <m:sty m:val="p"/>
                    </m:rPr>
                    <w:rPr>
                      <w:rFonts w:ascii="Cambria Math" w:hAnsi="Cambria Math"/>
                    </w:rPr>
                    <m:t>if</m:t>
                  </m:r>
                  <m:r>
                    <w:rPr>
                      <w:rFonts w:ascii="Cambria Math" w:hAnsi="Cambria Math"/>
                    </w:rPr>
                    <m:t xml:space="preserve">  &amp;t≥2021/22</m:t>
                  </m:r>
                </m:e>
                <m:e>
                  <m:ctrlPr>
                    <w:rPr>
                      <w:rFonts w:ascii="Cambria Math" w:eastAsia="Cambria Math" w:hAnsi="Cambria Math" w:cs="Cambria Math"/>
                      <w:i/>
                    </w:rPr>
                  </m:ctrlPr>
                </m:e>
                <m:e>
                  <m:sSub>
                    <m:sSubPr>
                      <m:ctrlPr>
                        <w:rPr>
                          <w:rFonts w:ascii="Cambria Math" w:hAnsi="Cambria Math"/>
                          <w:i/>
                        </w:rPr>
                      </m:ctrlPr>
                    </m:sSubPr>
                    <m:e>
                      <m:r>
                        <w:rPr>
                          <w:rFonts w:ascii="Cambria Math" w:hAnsi="Cambria Math"/>
                        </w:rPr>
                        <m:t>RPI</m:t>
                      </m:r>
                    </m:e>
                    <m:sub>
                      <m:r>
                        <w:rPr>
                          <w:rFonts w:ascii="Cambria Math" w:hAnsi="Cambria Math"/>
                        </w:rPr>
                        <m:t>t</m:t>
                      </m:r>
                    </m:sub>
                  </m:sSub>
                  <m:r>
                    <w:rPr>
                      <w:rFonts w:ascii="Cambria Math" w:hAnsi="Cambria Math"/>
                    </w:rPr>
                    <m:t xml:space="preserve">,  </m:t>
                  </m:r>
                  <m:r>
                    <m:rPr>
                      <m:sty m:val="p"/>
                    </m:rPr>
                    <w:rPr>
                      <w:rFonts w:ascii="Cambria Math" w:hAnsi="Cambria Math"/>
                    </w:rPr>
                    <m:t>if</m:t>
                  </m:r>
                  <m:r>
                    <w:rPr>
                      <w:rFonts w:ascii="Cambria Math" w:hAnsi="Cambria Math"/>
                    </w:rPr>
                    <m:t xml:space="preserve">   &amp;t&lt;2021/22</m:t>
                  </m:r>
                </m:e>
              </m:eqArr>
            </m:e>
          </m:d>
        </m:oMath>
      </m:oMathPara>
    </w:p>
    <w:p w14:paraId="59C74A57" w14:textId="77777777" w:rsidR="00D95E3A" w:rsidRDefault="00D95E3A" w:rsidP="00D95E3A">
      <w:pPr>
        <w:rPr>
          <w:rFonts w:eastAsiaTheme="minorEastAsia"/>
        </w:rPr>
      </w:pPr>
      <w:r>
        <w:tab/>
        <w:t>w</w:t>
      </w:r>
      <w:r>
        <w:rPr>
          <w:rFonts w:eastAsiaTheme="minorEastAsia"/>
        </w:rPr>
        <w:t>here:</w:t>
      </w:r>
    </w:p>
    <w:tbl>
      <w:tblPr>
        <w:tblStyle w:val="TableGridLight"/>
        <w:tblW w:w="0" w:type="auto"/>
        <w:tblLook w:val="04A0" w:firstRow="1" w:lastRow="0" w:firstColumn="1" w:lastColumn="0" w:noHBand="0" w:noVBand="1"/>
      </w:tblPr>
      <w:tblGrid>
        <w:gridCol w:w="742"/>
        <w:gridCol w:w="7604"/>
      </w:tblGrid>
      <w:tr w:rsidR="00D95E3A" w14:paraId="63AEFC39" w14:textId="77777777" w:rsidTr="00D95E3A">
        <w:tc>
          <w:tcPr>
            <w:tcW w:w="0" w:type="auto"/>
          </w:tcPr>
          <w:p w14:paraId="68BAE165" w14:textId="77777777" w:rsidR="00D95E3A" w:rsidRDefault="00D95E3A" w:rsidP="00F543B6">
            <w:pPr>
              <w:rPr>
                <w:i/>
              </w:rPr>
            </w:pPr>
            <w:r w:rsidRPr="00A871BA">
              <w:rPr>
                <w:i/>
              </w:rPr>
              <w:t>i</w:t>
            </w:r>
          </w:p>
          <w:p w14:paraId="4D7BC37F" w14:textId="7B9AFB9D" w:rsidR="00D95E3A" w:rsidRPr="008E4EEB" w:rsidRDefault="00D95E3A" w:rsidP="00F543B6">
            <w:pPr>
              <w:rPr>
                <w:i/>
              </w:rPr>
            </w:pPr>
          </w:p>
        </w:tc>
        <w:tc>
          <w:tcPr>
            <w:tcW w:w="0" w:type="auto"/>
          </w:tcPr>
          <w:p w14:paraId="2007BB73" w14:textId="77777777" w:rsidR="00D95E3A" w:rsidRDefault="00D95E3A" w:rsidP="00F543B6">
            <w:r>
              <w:t>refers to Regulatory Years on or after 2020/21 and up to year t;</w:t>
            </w:r>
          </w:p>
        </w:tc>
      </w:tr>
      <w:tr w:rsidR="00D95E3A" w14:paraId="490AABFA" w14:textId="77777777" w:rsidTr="00D95E3A">
        <w:tc>
          <w:tcPr>
            <w:tcW w:w="0" w:type="auto"/>
          </w:tcPr>
          <w:p w14:paraId="4B0F018E" w14:textId="77777777" w:rsidR="00D95E3A" w:rsidRPr="004E1E8E" w:rsidRDefault="00D95E3A" w:rsidP="00F543B6">
            <w:pPr>
              <w:rPr>
                <w:i/>
                <w:iCs/>
              </w:rPr>
            </w:pPr>
            <w:r w:rsidRPr="004E1E8E">
              <w:rPr>
                <w:i/>
                <w:iCs/>
              </w:rPr>
              <w:t>RPI</w:t>
            </w:r>
            <w:r w:rsidRPr="004E1E8E">
              <w:rPr>
                <w:i/>
                <w:iCs/>
                <w:vertAlign w:val="subscript"/>
              </w:rPr>
              <w:t>t</w:t>
            </w:r>
          </w:p>
        </w:tc>
        <w:tc>
          <w:tcPr>
            <w:tcW w:w="0" w:type="auto"/>
          </w:tcPr>
          <w:p w14:paraId="19BB7F2D" w14:textId="77777777" w:rsidR="00D95E3A" w:rsidRDefault="00D95E3A" w:rsidP="00F543B6">
            <w:r>
              <w:t>means the arithmetic average of the Retail Prices Index between</w:t>
            </w:r>
            <w:r w:rsidRPr="00B61D42">
              <w:t xml:space="preserve"> each of the twelve months from 1 April to 31 March in Regulat</w:t>
            </w:r>
            <w:r w:rsidRPr="00C31FF5">
              <w:t>ory</w:t>
            </w:r>
            <w:r w:rsidRPr="00405E99">
              <w:t xml:space="preserve"> Year t</w:t>
            </w:r>
            <w:r>
              <w:t>; and</w:t>
            </w:r>
          </w:p>
        </w:tc>
      </w:tr>
      <w:tr w:rsidR="00D95E3A" w14:paraId="10ACCA61" w14:textId="77777777" w:rsidTr="00D95E3A">
        <w:tc>
          <w:tcPr>
            <w:tcW w:w="0" w:type="auto"/>
          </w:tcPr>
          <w:p w14:paraId="39746C5D" w14:textId="77777777" w:rsidR="00D95E3A" w:rsidRPr="004E1E8E" w:rsidRDefault="00D95E3A" w:rsidP="00F543B6">
            <w:pPr>
              <w:rPr>
                <w:i/>
                <w:iCs/>
              </w:rPr>
            </w:pPr>
            <w:r w:rsidRPr="004E1E8E">
              <w:rPr>
                <w:i/>
                <w:iCs/>
              </w:rPr>
              <w:t>CPIH</w:t>
            </w:r>
            <w:r w:rsidRPr="004E1E8E">
              <w:rPr>
                <w:i/>
                <w:iCs/>
                <w:vertAlign w:val="subscript"/>
              </w:rPr>
              <w:t>i</w:t>
            </w:r>
          </w:p>
        </w:tc>
        <w:tc>
          <w:tcPr>
            <w:tcW w:w="0" w:type="auto"/>
          </w:tcPr>
          <w:p w14:paraId="426DFDC2" w14:textId="77777777" w:rsidR="00D95E3A" w:rsidRDefault="00D95E3A" w:rsidP="00F543B6">
            <w:r>
              <w:t xml:space="preserve">means the arithmetic average of the </w:t>
            </w:r>
            <w:r w:rsidRPr="003A34A2">
              <w:t xml:space="preserve">Consumer Prices Index </w:t>
            </w:r>
            <w:r>
              <w:t>I</w:t>
            </w:r>
            <w:r w:rsidRPr="003A34A2">
              <w:t xml:space="preserve">ncluding </w:t>
            </w:r>
            <w:r>
              <w:t>O</w:t>
            </w:r>
            <w:r w:rsidRPr="003A34A2">
              <w:t xml:space="preserve">wner </w:t>
            </w:r>
            <w:r>
              <w:t>O</w:t>
            </w:r>
            <w:r w:rsidRPr="003A34A2">
              <w:t xml:space="preserve">ccupiers' </w:t>
            </w:r>
            <w:r>
              <w:t>H</w:t>
            </w:r>
            <w:r w:rsidRPr="003A34A2">
              <w:t xml:space="preserve">ousing </w:t>
            </w:r>
            <w:r>
              <w:t>C</w:t>
            </w:r>
            <w:r w:rsidRPr="003A34A2">
              <w:t>osts</w:t>
            </w:r>
            <w:r>
              <w:t xml:space="preserve"> between</w:t>
            </w:r>
            <w:r w:rsidRPr="00B61D42">
              <w:t xml:space="preserve"> each of the twelve months from 1 April to 31 March in Regulatory</w:t>
            </w:r>
            <w:r w:rsidRPr="00C31FF5">
              <w:t xml:space="preserve"> Year </w:t>
            </w:r>
            <w:r w:rsidRPr="00405E99">
              <w:t>i</w:t>
            </w:r>
            <w:r w:rsidRPr="00B61D42">
              <w:t>.</w:t>
            </w:r>
          </w:p>
        </w:tc>
      </w:tr>
    </w:tbl>
    <w:p w14:paraId="364F1287" w14:textId="2F779173" w:rsidR="00FF4125" w:rsidRDefault="00C05FFA" w:rsidP="00FF4125">
      <w:pPr>
        <w:pStyle w:val="Heading2"/>
      </w:pPr>
      <w:bookmarkStart w:id="14" w:name="_Toc51363652"/>
      <w:bookmarkStart w:id="15" w:name="_Toc52364531"/>
      <w:r>
        <w:lastRenderedPageBreak/>
        <w:t>AIP adjustment term (ADJ</w:t>
      </w:r>
      <w:r w:rsidRPr="00C05FFA">
        <w:rPr>
          <w:vertAlign w:val="subscript"/>
        </w:rPr>
        <w:t>t</w:t>
      </w:r>
      <w:r>
        <w:t>)</w:t>
      </w:r>
      <w:bookmarkEnd w:id="15"/>
    </w:p>
    <w:p w14:paraId="24970AA9" w14:textId="0CF701D7" w:rsidR="00C05FFA" w:rsidRDefault="00F03E4F" w:rsidP="00F03E4F">
      <w:pPr>
        <w:pStyle w:val="Heading3nonumbering"/>
      </w:pPr>
      <w:r>
        <w:t>Introduction</w:t>
      </w:r>
    </w:p>
    <w:p w14:paraId="6BD5A6E3" w14:textId="37382E8B" w:rsidR="00F03E4F" w:rsidRDefault="00F03E4F" w:rsidP="00F03E4F">
      <w:pPr>
        <w:pStyle w:val="NumberedNormal"/>
      </w:pPr>
      <w:r>
        <w:t>The purpose of this condition is to calculate the term ADJ</w:t>
      </w:r>
      <w:r w:rsidRPr="4A26DA62">
        <w:rPr>
          <w:vertAlign w:val="subscript"/>
        </w:rPr>
        <w:t>t</w:t>
      </w:r>
      <w:r>
        <w:t xml:space="preserve"> (the AIP adjustment term), which feeds into Allowed Revenue in Special Condition 2.1 (Revenue Restriction)</w:t>
      </w:r>
    </w:p>
    <w:p w14:paraId="1A6A8961" w14:textId="31EC6142" w:rsidR="00F03E4F" w:rsidRDefault="002769B6" w:rsidP="002769B6">
      <w:pPr>
        <w:pStyle w:val="Heading3"/>
      </w:pPr>
      <w:r>
        <w:t xml:space="preserve">Formula for calculating the </w:t>
      </w:r>
      <w:r w:rsidR="00CC12F5">
        <w:t>AIP adjustment</w:t>
      </w:r>
      <w:r>
        <w:t xml:space="preserve"> term</w:t>
      </w:r>
      <w:r w:rsidR="00A115C2">
        <w:t xml:space="preserve"> (ADJ</w:t>
      </w:r>
      <w:r w:rsidR="00A115C2" w:rsidRPr="009828A9">
        <w:rPr>
          <w:vertAlign w:val="subscript"/>
        </w:rPr>
        <w:t>t</w:t>
      </w:r>
      <w:r w:rsidR="00A115C2">
        <w:t>)</w:t>
      </w:r>
    </w:p>
    <w:p w14:paraId="02AA9633" w14:textId="77777777" w:rsidR="00790754" w:rsidRDefault="00843778">
      <w:pPr>
        <w:pStyle w:val="NumberedNormal"/>
      </w:pPr>
      <w:r>
        <w:t xml:space="preserve">For the Regulatory Year commencing on 1 April 2021, the value of ADJ is zero. </w:t>
      </w:r>
    </w:p>
    <w:p w14:paraId="7C3ADCF5" w14:textId="435A84EF" w:rsidR="00392FFE" w:rsidRDefault="00843778">
      <w:pPr>
        <w:pStyle w:val="NumberedNormal"/>
      </w:pPr>
      <w:r>
        <w:t>For subsequent Regulatory Years, the value of ADJ</w:t>
      </w:r>
      <w:r w:rsidRPr="00843778">
        <w:rPr>
          <w:vertAlign w:val="subscript"/>
        </w:rPr>
        <w:t>t</w:t>
      </w:r>
      <w:r>
        <w:t xml:space="preserve"> is derived in accordance with the following formula:</w:t>
      </w:r>
    </w:p>
    <w:p w14:paraId="793BA0CE" w14:textId="105C9DF3" w:rsidR="00392FFE" w:rsidRPr="00E269F5" w:rsidRDefault="008C7681" w:rsidP="00392FFE">
      <w:pPr>
        <w:pStyle w:val="Equation"/>
      </w:pPr>
      <m:oMathPara>
        <m:oMath>
          <m:sSub>
            <m:sSubPr>
              <m:ctrlPr>
                <w:rPr>
                  <w:rFonts w:ascii="Cambria Math" w:hAnsi="Cambria Math"/>
                </w:rPr>
              </m:ctrlPr>
            </m:sSubPr>
            <m:e>
              <m:r>
                <w:rPr>
                  <w:rFonts w:ascii="Cambria Math" w:hAnsi="Cambria Math"/>
                </w:rPr>
                <m:t>ADJ</m:t>
              </m:r>
            </m:e>
            <m:sub>
              <m:r>
                <w:rPr>
                  <w:rFonts w:ascii="Cambria Math" w:hAnsi="Cambria Math"/>
                </w:rPr>
                <m:t>t</m:t>
              </m:r>
            </m:sub>
          </m:sSub>
          <m:r>
            <m:rPr>
              <m:sty m:val="p"/>
            </m:rPr>
            <w:rPr>
              <w:rFonts w:ascii="Cambria Math" w:hAnsi="Cambria Math"/>
            </w:rPr>
            <m:t>=</m:t>
          </m:r>
          <m:nary>
            <m:naryPr>
              <m:chr m:val="∑"/>
              <m:limLoc m:val="undOvr"/>
              <m:ctrlPr>
                <w:rPr>
                  <w:rFonts w:ascii="Cambria Math" w:hAnsi="Cambria Math"/>
                </w:rPr>
              </m:ctrlPr>
            </m:naryPr>
            <m:sub>
              <m:r>
                <w:rPr>
                  <w:rFonts w:ascii="Cambria Math" w:hAnsi="Cambria Math"/>
                </w:rPr>
                <m:t>i</m:t>
              </m:r>
              <m:r>
                <m:rPr>
                  <m:sty m:val="p"/>
                </m:rPr>
                <w:rPr>
                  <w:rFonts w:ascii="Cambria Math" w:hAnsi="Cambria Math"/>
                </w:rPr>
                <m:t>=2021/22</m:t>
              </m:r>
            </m:sub>
            <m:sup>
              <m:r>
                <w:rPr>
                  <w:rFonts w:ascii="Cambria Math" w:hAnsi="Cambria Math"/>
                </w:rPr>
                <m:t>t</m:t>
              </m:r>
              <m:r>
                <m:rPr>
                  <m:sty m:val="p"/>
                </m:rPr>
                <w:rPr>
                  <w:rFonts w:ascii="Cambria Math" w:hAnsi="Cambria Math"/>
                </w:rPr>
                <m:t>-1</m:t>
              </m:r>
            </m:sup>
            <m:e>
              <m:d>
                <m:dPr>
                  <m:begChr m:val="["/>
                  <m:endChr m:val="]"/>
                  <m:ctrlPr>
                    <w:rPr>
                      <w:rFonts w:ascii="Cambria Math" w:hAnsi="Cambria Math"/>
                    </w:rPr>
                  </m:ctrlPr>
                </m:dPr>
                <m:e>
                  <m:d>
                    <m:dPr>
                      <m:ctrlPr>
                        <w:rPr>
                          <w:rFonts w:ascii="Cambria Math" w:hAnsi="Cambria Math"/>
                        </w:rPr>
                      </m:ctrlPr>
                    </m:dPr>
                    <m:e>
                      <m:sSub>
                        <m:sSubPr>
                          <m:ctrlPr>
                            <w:rPr>
                              <w:rFonts w:ascii="Cambria Math" w:hAnsi="Cambria Math"/>
                            </w:rPr>
                          </m:ctrlPr>
                        </m:sSubPr>
                        <m:e>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i</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2018/19</m:t>
                                  </m:r>
                                </m:sub>
                              </m:sSub>
                            </m:den>
                          </m:f>
                          <m:r>
                            <w:rPr>
                              <w:rFonts w:ascii="Cambria Math" w:hAnsi="Cambria Math"/>
                            </w:rPr>
                            <m:t>R</m:t>
                          </m:r>
                        </m:e>
                        <m:sub>
                          <m:r>
                            <w:rPr>
                              <w:rFonts w:ascii="Cambria Math" w:hAnsi="Cambria Math"/>
                            </w:rPr>
                            <m:t>i</m:t>
                          </m:r>
                        </m:sub>
                      </m:sSub>
                      <m:r>
                        <m:rPr>
                          <m:sty m:val="p"/>
                        </m:rPr>
                        <w:rPr>
                          <w:rFonts w:ascii="Cambria Math" w:hAnsi="Cambria Math"/>
                        </w:rPr>
                        <m:t>-</m:t>
                      </m:r>
                      <m:sSub>
                        <m:sSubPr>
                          <m:ctrlPr>
                            <w:rPr>
                              <w:rFonts w:ascii="Cambria Math" w:hAnsi="Cambria Math"/>
                            </w:rPr>
                          </m:ctrlPr>
                        </m:sSubPr>
                        <m:e>
                          <m:r>
                            <w:rPr>
                              <w:rFonts w:ascii="Cambria Math" w:hAnsi="Cambria Math"/>
                            </w:rPr>
                            <m:t>ADJR</m:t>
                          </m:r>
                        </m:e>
                        <m:sub>
                          <m:r>
                            <w:rPr>
                              <w:rFonts w:ascii="Cambria Math" w:hAnsi="Cambria Math"/>
                            </w:rPr>
                            <m:t>i</m:t>
                          </m:r>
                        </m:sub>
                      </m:sSub>
                    </m:e>
                  </m:d>
                  <m:nary>
                    <m:naryPr>
                      <m:chr m:val="∏"/>
                      <m:limLoc m:val="undOvr"/>
                      <m:ctrlPr>
                        <w:rPr>
                          <w:rFonts w:ascii="Cambria Math" w:hAnsi="Cambria Math"/>
                        </w:rPr>
                      </m:ctrlPr>
                    </m:naryPr>
                    <m:sub>
                      <m:r>
                        <w:rPr>
                          <w:rFonts w:ascii="Cambria Math" w:hAnsi="Cambria Math"/>
                        </w:rPr>
                        <m:t>j</m:t>
                      </m:r>
                      <m:r>
                        <m:rPr>
                          <m:sty m:val="p"/>
                        </m:rPr>
                        <w:rPr>
                          <w:rFonts w:ascii="Cambria Math" w:hAnsi="Cambria Math"/>
                        </w:rPr>
                        <m:t>=</m:t>
                      </m:r>
                      <m:r>
                        <w:rPr>
                          <w:rFonts w:ascii="Cambria Math" w:hAnsi="Cambria Math"/>
                        </w:rPr>
                        <m:t>i</m:t>
                      </m:r>
                    </m:sub>
                    <m:sup>
                      <m:r>
                        <w:rPr>
                          <w:rFonts w:ascii="Cambria Math" w:hAnsi="Cambria Math"/>
                        </w:rPr>
                        <m:t>t</m:t>
                      </m:r>
                      <m:r>
                        <m:rPr>
                          <m:sty m:val="p"/>
                        </m:rPr>
                        <w:rPr>
                          <w:rFonts w:ascii="Cambria Math" w:hAnsi="Cambria Math"/>
                        </w:rPr>
                        <m:t>-1</m:t>
                      </m:r>
                    </m:sup>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w:rPr>
                                  <w:rFonts w:ascii="Cambria Math" w:hAnsi="Cambria Math"/>
                                </w:rPr>
                                <m:t>I</m:t>
                              </m:r>
                            </m:e>
                            <m:sub>
                              <m:r>
                                <w:rPr>
                                  <w:rFonts w:ascii="Cambria Math" w:hAnsi="Cambria Math"/>
                                </w:rPr>
                                <m:t>j</m:t>
                              </m:r>
                            </m:sub>
                          </m:sSub>
                          <m:r>
                            <m:rPr>
                              <m:sty m:val="p"/>
                            </m:rPr>
                            <w:rPr>
                              <w:rFonts w:ascii="Cambria Math" w:hAnsi="Cambria Math"/>
                            </w:rPr>
                            <m:t>+[</m:t>
                          </m:r>
                          <m:r>
                            <m:rPr>
                              <m:sty m:val="p"/>
                            </m:rPr>
                            <w:rPr>
                              <w:rFonts w:ascii="Cambria Math" w:hAnsi="Cambria Math"/>
                              <w:highlight w:val="yellow"/>
                            </w:rPr>
                            <m:t>1.1%</m:t>
                          </m:r>
                          <m:r>
                            <m:rPr>
                              <m:sty m:val="p"/>
                            </m:rPr>
                            <w:rPr>
                              <w:rFonts w:ascii="Cambria Math" w:hAnsi="Cambria Math"/>
                            </w:rPr>
                            <m:t>]</m:t>
                          </m:r>
                        </m:e>
                      </m:d>
                    </m:e>
                  </m:nary>
                </m:e>
              </m:d>
            </m:e>
          </m:nary>
        </m:oMath>
      </m:oMathPara>
    </w:p>
    <w:p w14:paraId="550CCD19" w14:textId="2C4603F7" w:rsidR="00F41B6B" w:rsidRDefault="00E816F4" w:rsidP="00F41B6B">
      <w:r>
        <w:tab/>
        <w:t>where:</w:t>
      </w:r>
    </w:p>
    <w:tbl>
      <w:tblPr>
        <w:tblStyle w:val="TableGridLight"/>
        <w:tblW w:w="0" w:type="auto"/>
        <w:tblLook w:val="04A0" w:firstRow="1" w:lastRow="0" w:firstColumn="1" w:lastColumn="0" w:noHBand="0" w:noVBand="1"/>
      </w:tblPr>
      <w:tblGrid>
        <w:gridCol w:w="833"/>
        <w:gridCol w:w="7513"/>
      </w:tblGrid>
      <w:tr w:rsidR="00DE0C05" w14:paraId="060E4F76" w14:textId="77777777" w:rsidTr="004E1E8E">
        <w:tc>
          <w:tcPr>
            <w:tcW w:w="0" w:type="auto"/>
          </w:tcPr>
          <w:p w14:paraId="08C1FC5D" w14:textId="1F88C256" w:rsidR="00F742DD" w:rsidRDefault="00F742DD" w:rsidP="00F742DD">
            <w:r>
              <w:rPr>
                <w:i/>
                <w:iCs/>
              </w:rPr>
              <w:t>i, j</w:t>
            </w:r>
          </w:p>
        </w:tc>
        <w:tc>
          <w:tcPr>
            <w:tcW w:w="0" w:type="auto"/>
          </w:tcPr>
          <w:p w14:paraId="14FB418C" w14:textId="5C9431D6" w:rsidR="00F742DD" w:rsidRDefault="00F742DD" w:rsidP="00F742DD">
            <w:r>
              <w:rPr>
                <w:rFonts w:eastAsiaTheme="minorEastAsia"/>
              </w:rPr>
              <w:t>refer to Regulatory Years between 2021/22 and Regulatory Year t-1;</w:t>
            </w:r>
          </w:p>
        </w:tc>
      </w:tr>
      <w:tr w:rsidR="00DA7326" w14:paraId="74971F6E" w14:textId="77777777" w:rsidTr="004E1E8E">
        <w:tc>
          <w:tcPr>
            <w:tcW w:w="0" w:type="auto"/>
          </w:tcPr>
          <w:p w14:paraId="6E0B0CCC" w14:textId="29AB4C7E" w:rsidR="00DA7326" w:rsidRDefault="00DA7326" w:rsidP="00DA7326">
            <w:r w:rsidRPr="0009661C">
              <w:rPr>
                <w:rFonts w:eastAsia="Calibri" w:cs="Arial"/>
                <w:i/>
                <w:iCs/>
              </w:rPr>
              <w:t>PI</w:t>
            </w:r>
            <w:r w:rsidRPr="0009661C">
              <w:rPr>
                <w:rFonts w:eastAsia="Calibri" w:cs="Arial"/>
                <w:i/>
                <w:iCs/>
                <w:vertAlign w:val="subscript"/>
              </w:rPr>
              <w:t>i</w:t>
            </w:r>
          </w:p>
        </w:tc>
        <w:tc>
          <w:tcPr>
            <w:tcW w:w="0" w:type="auto"/>
          </w:tcPr>
          <w:p w14:paraId="38F6F162" w14:textId="0A4EFAC1" w:rsidR="00DA7326" w:rsidRDefault="00DA7326" w:rsidP="00DA7326">
            <w:r w:rsidRPr="007E49B6">
              <w:t>is the</w:t>
            </w:r>
            <w:r>
              <w:t xml:space="preserve"> </w:t>
            </w:r>
            <w:r w:rsidRPr="007E49B6">
              <w:t xml:space="preserve">price index </w:t>
            </w:r>
            <w:r>
              <w:t xml:space="preserve">calculated </w:t>
            </w:r>
            <w:r w:rsidRPr="00D74E41">
              <w:t xml:space="preserve">in accordance with </w:t>
            </w:r>
            <w:r>
              <w:t xml:space="preserve">Part </w:t>
            </w:r>
            <w:r w:rsidR="00783EAE">
              <w:t>D</w:t>
            </w:r>
            <w:r w:rsidR="00E740F8">
              <w:t xml:space="preserve"> of Special Condition 2.1</w:t>
            </w:r>
            <w:r>
              <w:t>;</w:t>
            </w:r>
          </w:p>
        </w:tc>
      </w:tr>
      <w:tr w:rsidR="0039309A" w14:paraId="7D974BE1" w14:textId="77777777" w:rsidTr="004E1E8E">
        <w:tc>
          <w:tcPr>
            <w:tcW w:w="0" w:type="auto"/>
          </w:tcPr>
          <w:p w14:paraId="649DAF34" w14:textId="2658F9E5" w:rsidR="0039309A" w:rsidRPr="00A871BA" w:rsidRDefault="008C7681" w:rsidP="0039309A">
            <m:oMathPara>
              <m:oMathParaPr>
                <m:jc m:val="left"/>
              </m:oMathParaPr>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i</m:t>
                    </m:r>
                  </m:sub>
                </m:sSub>
              </m:oMath>
            </m:oMathPara>
          </w:p>
        </w:tc>
        <w:tc>
          <w:tcPr>
            <w:tcW w:w="0" w:type="auto"/>
          </w:tcPr>
          <w:p w14:paraId="10573BA1" w14:textId="67192535" w:rsidR="0039309A" w:rsidRDefault="0039309A" w:rsidP="0039309A">
            <w:r w:rsidRPr="007E49B6">
              <w:t xml:space="preserve">means </w:t>
            </w:r>
            <w:r w:rsidRPr="00D74E41">
              <w:t>Calculated Revenue</w:t>
            </w:r>
            <w:r w:rsidR="00681262">
              <w:t xml:space="preserve"> </w:t>
            </w:r>
            <w:r w:rsidR="00681262">
              <w:rPr>
                <w:rFonts w:eastAsiaTheme="minorEastAsia"/>
              </w:rPr>
              <w:t>for Regulatory Year i</w:t>
            </w:r>
            <w:r>
              <w:t xml:space="preserve">, derived in accordance with Part </w:t>
            </w:r>
            <w:r w:rsidR="006D6936">
              <w:t>C</w:t>
            </w:r>
            <w:r>
              <w:t xml:space="preserve"> of Special Condition 2.1;</w:t>
            </w:r>
          </w:p>
        </w:tc>
      </w:tr>
      <w:tr w:rsidR="00681262" w14:paraId="443CD4E7" w14:textId="77777777" w:rsidTr="004E1E8E">
        <w:tc>
          <w:tcPr>
            <w:tcW w:w="0" w:type="auto"/>
          </w:tcPr>
          <w:p w14:paraId="07F470BA" w14:textId="2EA93B0A" w:rsidR="00681262" w:rsidRPr="00DE0C05" w:rsidRDefault="008C7681" w:rsidP="0039309A">
            <w:pPr>
              <w:rPr>
                <w:rFonts w:eastAsia="Calibri" w:cs="Arial"/>
              </w:rPr>
            </w:pPr>
            <m:oMathPara>
              <m:oMathParaPr>
                <m:jc m:val="left"/>
              </m:oMathParaPr>
              <m:oMath>
                <m:sSub>
                  <m:sSubPr>
                    <m:ctrlPr>
                      <w:rPr>
                        <w:rFonts w:ascii="Cambria Math" w:hAnsi="Cambria Math"/>
                      </w:rPr>
                    </m:ctrlPr>
                  </m:sSubPr>
                  <m:e>
                    <m:r>
                      <w:rPr>
                        <w:rFonts w:ascii="Cambria Math" w:hAnsi="Cambria Math"/>
                      </w:rPr>
                      <m:t>ADJR</m:t>
                    </m:r>
                  </m:e>
                  <m:sub>
                    <m:r>
                      <w:rPr>
                        <w:rFonts w:ascii="Cambria Math" w:hAnsi="Cambria Math"/>
                      </w:rPr>
                      <m:t>i</m:t>
                    </m:r>
                  </m:sub>
                </m:sSub>
              </m:oMath>
            </m:oMathPara>
          </w:p>
        </w:tc>
        <w:tc>
          <w:tcPr>
            <w:tcW w:w="0" w:type="auto"/>
          </w:tcPr>
          <w:p w14:paraId="4795431F" w14:textId="4AB549CE" w:rsidR="00681262" w:rsidRPr="007E49B6" w:rsidRDefault="0040351F" w:rsidP="0039309A">
            <w:r>
              <w:t>means the adjusted revenue</w:t>
            </w:r>
            <w:r w:rsidR="006351A4">
              <w:t xml:space="preserve"> for Regulatory Year </w:t>
            </w:r>
            <w:r w:rsidR="00043D5D" w:rsidRPr="004E1E8E">
              <w:rPr>
                <w:i/>
                <w:iCs/>
              </w:rPr>
              <w:t>i</w:t>
            </w:r>
            <w:r w:rsidR="00043D5D">
              <w:t>, derived in accordance with Part B</w:t>
            </w:r>
            <w:r w:rsidR="00984CCD">
              <w:t>; and</w:t>
            </w:r>
          </w:p>
        </w:tc>
      </w:tr>
      <w:tr w:rsidR="00DE0C05" w14:paraId="0BCCEDB2" w14:textId="77777777" w:rsidTr="004E1E8E">
        <w:tc>
          <w:tcPr>
            <w:tcW w:w="0" w:type="auto"/>
          </w:tcPr>
          <w:p w14:paraId="547CB843" w14:textId="66578A55" w:rsidR="00DE0C05" w:rsidRDefault="00DE0C05" w:rsidP="00DE0C05">
            <w:pPr>
              <w:rPr>
                <w:rFonts w:eastAsia="Calibri" w:cs="Arial"/>
              </w:rPr>
            </w:pPr>
            <w:r w:rsidRPr="0009661C">
              <w:rPr>
                <w:i/>
                <w:iCs/>
              </w:rPr>
              <w:t>I</w:t>
            </w:r>
            <w:r w:rsidRPr="0009661C">
              <w:rPr>
                <w:i/>
                <w:iCs/>
                <w:vertAlign w:val="subscript"/>
              </w:rPr>
              <w:t>j</w:t>
            </w:r>
          </w:p>
        </w:tc>
        <w:tc>
          <w:tcPr>
            <w:tcW w:w="0" w:type="auto"/>
          </w:tcPr>
          <w:p w14:paraId="4FB5C82B" w14:textId="4762CA40" w:rsidR="00DE0C05" w:rsidRDefault="00DE0C05" w:rsidP="00DE0C05">
            <w:r w:rsidRPr="00B76D9F">
              <w:rPr>
                <w:szCs w:val="24"/>
              </w:rPr>
              <w:t xml:space="preserve">means the average value of </w:t>
            </w:r>
            <w:r>
              <w:rPr>
                <w:szCs w:val="24"/>
              </w:rPr>
              <w:t xml:space="preserve">SONIA </w:t>
            </w:r>
            <w:r>
              <w:t>between</w:t>
            </w:r>
            <w:r w:rsidRPr="00B61D42">
              <w:t xml:space="preserve"> 1</w:t>
            </w:r>
            <w:r w:rsidRPr="00C31FF5">
              <w:t xml:space="preserve"> April </w:t>
            </w:r>
            <w:r w:rsidRPr="00405E99">
              <w:t>and</w:t>
            </w:r>
            <w:r w:rsidRPr="00B61D42">
              <w:t xml:space="preserve"> 31 March in Regulatory Year j (inclusive).</w:t>
            </w:r>
          </w:p>
        </w:tc>
      </w:tr>
    </w:tbl>
    <w:p w14:paraId="16C87C37" w14:textId="67FD407D" w:rsidR="00DD426A" w:rsidRDefault="00DD426A" w:rsidP="00DD426A">
      <w:pPr>
        <w:pStyle w:val="Heading3"/>
      </w:pPr>
      <w:r>
        <w:t>Formula for adjusted revenue</w:t>
      </w:r>
      <w:r w:rsidR="00A115C2">
        <w:t xml:space="preserve"> (ADJR</w:t>
      </w:r>
      <w:r w:rsidR="00A115C2" w:rsidRPr="009828A9">
        <w:rPr>
          <w:vertAlign w:val="subscript"/>
        </w:rPr>
        <w:t>t</w:t>
      </w:r>
      <w:r w:rsidR="00A115C2">
        <w:t>)</w:t>
      </w:r>
    </w:p>
    <w:p w14:paraId="5C9E17C8" w14:textId="55991B70" w:rsidR="00E562CE" w:rsidRPr="00DE0C05" w:rsidRDefault="00E44DE6" w:rsidP="004E1E8E">
      <w:pPr>
        <w:pStyle w:val="NumberedNormal"/>
      </w:pPr>
      <w:r>
        <w:t xml:space="preserve">The value of </w:t>
      </w:r>
      <w:r w:rsidRPr="004E1E8E">
        <w:rPr>
          <w:i/>
          <w:iCs/>
        </w:rPr>
        <w:t>ADJR</w:t>
      </w:r>
      <w:r w:rsidRPr="004E1E8E">
        <w:rPr>
          <w:i/>
          <w:iCs/>
          <w:vertAlign w:val="subscript"/>
        </w:rPr>
        <w:t>t</w:t>
      </w:r>
      <w:r>
        <w:t xml:space="preserve"> is derived in accordance with the following formula</w:t>
      </w:r>
      <w:r w:rsidR="008E22BC">
        <w:t>:</w:t>
      </w:r>
    </w:p>
    <w:p w14:paraId="3A582271" w14:textId="26D44EBC" w:rsidR="00DD426A" w:rsidRPr="00DE0C05" w:rsidRDefault="008C7681" w:rsidP="002E2743">
      <w:pPr>
        <w:pStyle w:val="Equation"/>
      </w:pPr>
      <m:oMathPara>
        <m:oMath>
          <m:sSub>
            <m:sSubPr>
              <m:ctrlPr>
                <w:rPr>
                  <w:rFonts w:ascii="Cambria Math" w:hAnsi="Cambria Math"/>
                </w:rPr>
              </m:ctrlPr>
            </m:sSubPr>
            <m:e>
              <m:r>
                <w:rPr>
                  <w:rFonts w:ascii="Cambria Math" w:hAnsi="Cambria Math"/>
                </w:rPr>
                <m:t>ADJR</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R</m:t>
              </m:r>
            </m:e>
            <m:sub>
              <m:r>
                <w:rPr>
                  <w:rFonts w:ascii="Cambria Math" w:hAnsi="Cambria Math"/>
                </w:rPr>
                <m:t>t|t-1</m:t>
              </m:r>
            </m:sub>
          </m:sSub>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t|t-1</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2018/19</m:t>
                  </m:r>
                </m:sub>
              </m:sSub>
            </m:den>
          </m:f>
          <m:r>
            <m:rPr>
              <m:sty m:val="p"/>
            </m:rPr>
            <w:rPr>
              <w:rFonts w:ascii="Cambria Math" w:hAnsi="Cambria Math"/>
            </w:rPr>
            <m:t>+</m:t>
          </m:r>
          <m:sSub>
            <m:sSubPr>
              <m:ctrlPr>
                <w:rPr>
                  <w:rFonts w:ascii="Cambria Math" w:hAnsi="Cambria Math"/>
                </w:rPr>
              </m:ctrlPr>
            </m:sSubPr>
            <m:e>
              <m:r>
                <w:rPr>
                  <w:rFonts w:ascii="Cambria Math" w:hAnsi="Cambria Math"/>
                </w:rPr>
                <m:t>ADJ</m:t>
              </m:r>
            </m:e>
            <m:sub>
              <m:r>
                <w:rPr>
                  <w:rFonts w:ascii="Cambria Math" w:hAnsi="Cambria Math"/>
                </w:rPr>
                <m:t>t|t-1</m:t>
              </m:r>
            </m:sub>
          </m:sSub>
        </m:oMath>
      </m:oMathPara>
    </w:p>
    <w:p w14:paraId="19496232" w14:textId="392AAF6C" w:rsidR="002E2743" w:rsidRDefault="008E22BC" w:rsidP="002E2743">
      <w:r>
        <w:tab/>
        <w:t>where</w:t>
      </w:r>
      <w:r w:rsidR="00FF58B7">
        <w:t>:</w:t>
      </w:r>
    </w:p>
    <w:tbl>
      <w:tblPr>
        <w:tblStyle w:val="TableGridLight"/>
        <w:tblW w:w="0" w:type="auto"/>
        <w:tblLook w:val="04A0" w:firstRow="1" w:lastRow="0" w:firstColumn="1" w:lastColumn="0" w:noHBand="0" w:noVBand="1"/>
      </w:tblPr>
      <w:tblGrid>
        <w:gridCol w:w="684"/>
        <w:gridCol w:w="7662"/>
      </w:tblGrid>
      <w:tr w:rsidR="00F62904" w14:paraId="334F72ED" w14:textId="77777777" w:rsidTr="004E1E8E">
        <w:tc>
          <w:tcPr>
            <w:tcW w:w="0" w:type="auto"/>
          </w:tcPr>
          <w:p w14:paraId="59C45517" w14:textId="25E63A46" w:rsidR="00F62904" w:rsidRPr="004E1E8E" w:rsidRDefault="00127E17" w:rsidP="004E1E8E">
            <w:pPr>
              <w:jc w:val="both"/>
              <w:rPr>
                <w:i/>
                <w:iCs/>
              </w:rPr>
            </w:pPr>
            <w:r w:rsidRPr="004E1E8E">
              <w:rPr>
                <w:i/>
                <w:iCs/>
              </w:rPr>
              <w:t>t|t-1</w:t>
            </w:r>
          </w:p>
        </w:tc>
        <w:tc>
          <w:tcPr>
            <w:tcW w:w="0" w:type="auto"/>
          </w:tcPr>
          <w:p w14:paraId="5C012759" w14:textId="27DD3EBA" w:rsidR="00F62904" w:rsidRDefault="00127E17" w:rsidP="002E2743">
            <w:r>
              <w:t xml:space="preserve">means </w:t>
            </w:r>
            <w:r w:rsidR="002101CB">
              <w:t>for Regulatory Year t, as of the AIP</w:t>
            </w:r>
            <w:r w:rsidR="000C2F06">
              <w:t xml:space="preserve"> publi</w:t>
            </w:r>
            <w:r w:rsidR="00D26229">
              <w:t>cation</w:t>
            </w:r>
            <w:r w:rsidR="002101CB">
              <w:t xml:space="preserve"> in Regulatory Year t-1</w:t>
            </w:r>
            <w:r w:rsidR="00984CCD">
              <w:t>;</w:t>
            </w:r>
          </w:p>
        </w:tc>
      </w:tr>
      <w:tr w:rsidR="001065CB" w14:paraId="20B7B3BD" w14:textId="77777777" w:rsidTr="004E1E8E">
        <w:tc>
          <w:tcPr>
            <w:tcW w:w="0" w:type="auto"/>
          </w:tcPr>
          <w:p w14:paraId="09F8AFAA" w14:textId="1EFD9A38" w:rsidR="001065CB" w:rsidRPr="004E1E8E" w:rsidRDefault="008C7681" w:rsidP="004E1E8E">
            <w:pPr>
              <w:jc w:val="both"/>
              <w:rPr>
                <w:i/>
                <w:iCs/>
              </w:rPr>
            </w:pPr>
            <m:oMathPara>
              <m:oMathParaPr>
                <m:jc m:val="left"/>
              </m:oMathParaPr>
              <m:oMath>
                <m:sSub>
                  <m:sSubPr>
                    <m:ctrlPr>
                      <w:rPr>
                        <w:rFonts w:ascii="Cambria Math" w:eastAsiaTheme="minorEastAsia" w:hAnsi="Cambria Math"/>
                        <w:i/>
                        <w:iCs/>
                      </w:rPr>
                    </m:ctrlPr>
                  </m:sSubPr>
                  <m:e>
                    <m:r>
                      <w:rPr>
                        <w:rFonts w:ascii="Cambria Math" w:eastAsiaTheme="minorEastAsia" w:hAnsi="Cambria Math"/>
                      </w:rPr>
                      <m:t>R</m:t>
                    </m:r>
                  </m:e>
                  <m:sub>
                    <m:r>
                      <w:rPr>
                        <w:rFonts w:ascii="Cambria Math" w:eastAsiaTheme="minorEastAsia" w:hAnsi="Cambria Math"/>
                      </w:rPr>
                      <m:t>t</m:t>
                    </m:r>
                  </m:sub>
                </m:sSub>
              </m:oMath>
            </m:oMathPara>
          </w:p>
        </w:tc>
        <w:tc>
          <w:tcPr>
            <w:tcW w:w="0" w:type="auto"/>
          </w:tcPr>
          <w:p w14:paraId="2477BDC3" w14:textId="70521B59" w:rsidR="001065CB" w:rsidRDefault="001065CB" w:rsidP="001065CB">
            <w:r w:rsidRPr="007E49B6">
              <w:t xml:space="preserve">means </w:t>
            </w:r>
            <w:r w:rsidRPr="00D74E41">
              <w:t>Calculated Revenue</w:t>
            </w:r>
            <w:r>
              <w:t xml:space="preserve">, derived in accordance with Part </w:t>
            </w:r>
            <w:r w:rsidR="00783EAE">
              <w:t>C</w:t>
            </w:r>
            <w:r w:rsidR="00B675BA">
              <w:t xml:space="preserve"> of Special Condition 2.1</w:t>
            </w:r>
            <w:r>
              <w:t>;</w:t>
            </w:r>
          </w:p>
        </w:tc>
      </w:tr>
      <w:tr w:rsidR="001065CB" w14:paraId="7F34A080" w14:textId="77777777" w:rsidTr="004E1E8E">
        <w:tc>
          <w:tcPr>
            <w:tcW w:w="0" w:type="auto"/>
          </w:tcPr>
          <w:p w14:paraId="42772197" w14:textId="68BE92F0" w:rsidR="001065CB" w:rsidRPr="004E1E8E" w:rsidRDefault="008C7681" w:rsidP="004E1E8E">
            <w:pPr>
              <w:jc w:val="both"/>
              <w:rPr>
                <w:i/>
                <w:iCs/>
              </w:rPr>
            </w:pPr>
            <m:oMathPara>
              <m:oMathParaPr>
                <m:jc m:val="left"/>
              </m:oMathParaPr>
              <m:oMath>
                <m:sSub>
                  <m:sSubPr>
                    <m:ctrlPr>
                      <w:rPr>
                        <w:rFonts w:ascii="Cambria Math" w:eastAsiaTheme="minorEastAsia" w:hAnsi="Cambria Math"/>
                        <w:i/>
                        <w:iCs/>
                      </w:rPr>
                    </m:ctrlPr>
                  </m:sSubPr>
                  <m:e>
                    <m:r>
                      <w:rPr>
                        <w:rFonts w:ascii="Cambria Math" w:eastAsiaTheme="minorEastAsia" w:hAnsi="Cambria Math"/>
                      </w:rPr>
                      <m:t>PI</m:t>
                    </m:r>
                  </m:e>
                  <m:sub>
                    <m:r>
                      <w:rPr>
                        <w:rFonts w:ascii="Cambria Math" w:eastAsiaTheme="minorEastAsia" w:hAnsi="Cambria Math"/>
                      </w:rPr>
                      <m:t>t</m:t>
                    </m:r>
                  </m:sub>
                </m:sSub>
              </m:oMath>
            </m:oMathPara>
          </w:p>
        </w:tc>
        <w:tc>
          <w:tcPr>
            <w:tcW w:w="0" w:type="auto"/>
          </w:tcPr>
          <w:p w14:paraId="6F508614" w14:textId="6DBC25B5" w:rsidR="001065CB" w:rsidRDefault="001065CB" w:rsidP="001065CB">
            <w:r w:rsidRPr="007E49B6">
              <w:t>is the</w:t>
            </w:r>
            <w:r>
              <w:t xml:space="preserve"> </w:t>
            </w:r>
            <w:r w:rsidRPr="007E49B6">
              <w:t xml:space="preserve">price index </w:t>
            </w:r>
            <w:r>
              <w:t xml:space="preserve">calculated </w:t>
            </w:r>
            <w:r w:rsidRPr="00D74E41">
              <w:t xml:space="preserve">in accordance with </w:t>
            </w:r>
            <w:r>
              <w:t xml:space="preserve">Part </w:t>
            </w:r>
            <w:r w:rsidR="00CA271E">
              <w:t>D</w:t>
            </w:r>
            <w:r w:rsidR="00A13FEF">
              <w:t xml:space="preserve"> of Special Condition </w:t>
            </w:r>
            <w:r w:rsidR="00574CD4">
              <w:t>2.1</w:t>
            </w:r>
            <w:r>
              <w:t>; and</w:t>
            </w:r>
          </w:p>
        </w:tc>
      </w:tr>
      <w:tr w:rsidR="001065CB" w14:paraId="359FDF85" w14:textId="77777777" w:rsidTr="004E1E8E">
        <w:tc>
          <w:tcPr>
            <w:tcW w:w="0" w:type="auto"/>
          </w:tcPr>
          <w:p w14:paraId="20FE5CCB" w14:textId="1E0BAD29" w:rsidR="001065CB" w:rsidRPr="004E1E8E" w:rsidRDefault="008C7681" w:rsidP="004E1E8E">
            <w:pPr>
              <w:jc w:val="both"/>
              <w:rPr>
                <w:i/>
                <w:iCs/>
              </w:rPr>
            </w:pPr>
            <m:oMathPara>
              <m:oMathParaPr>
                <m:jc m:val="left"/>
              </m:oMathParaPr>
              <m:oMath>
                <m:sSub>
                  <m:sSubPr>
                    <m:ctrlPr>
                      <w:rPr>
                        <w:rFonts w:ascii="Cambria Math" w:eastAsiaTheme="minorEastAsia" w:hAnsi="Cambria Math"/>
                        <w:i/>
                        <w:iCs/>
                      </w:rPr>
                    </m:ctrlPr>
                  </m:sSubPr>
                  <m:e>
                    <m:r>
                      <w:rPr>
                        <w:rFonts w:ascii="Cambria Math" w:eastAsiaTheme="minorEastAsia" w:hAnsi="Cambria Math"/>
                      </w:rPr>
                      <m:t>ADJ</m:t>
                    </m:r>
                  </m:e>
                  <m:sub>
                    <m:r>
                      <w:rPr>
                        <w:rFonts w:ascii="Cambria Math" w:eastAsiaTheme="minorEastAsia" w:hAnsi="Cambria Math"/>
                      </w:rPr>
                      <m:t>t</m:t>
                    </m:r>
                  </m:sub>
                </m:sSub>
              </m:oMath>
            </m:oMathPara>
          </w:p>
        </w:tc>
        <w:tc>
          <w:tcPr>
            <w:tcW w:w="0" w:type="auto"/>
          </w:tcPr>
          <w:p w14:paraId="593A88D3" w14:textId="65FF7D2C" w:rsidR="001065CB" w:rsidRDefault="001065CB" w:rsidP="001065CB">
            <w:r>
              <w:t>means the AIP adjustment term and is</w:t>
            </w:r>
            <w:r w:rsidRPr="0021550E">
              <w:t xml:space="preserve"> derived in accordance with </w:t>
            </w:r>
            <w:r w:rsidR="00984CCD">
              <w:t>Part A.</w:t>
            </w:r>
          </w:p>
        </w:tc>
      </w:tr>
    </w:tbl>
    <w:p w14:paraId="4FDCA8FB" w14:textId="4F9365EA" w:rsidR="00D95E3A" w:rsidRDefault="00D95E3A" w:rsidP="00FF4125">
      <w:pPr>
        <w:pStyle w:val="Heading2"/>
      </w:pPr>
      <w:bookmarkStart w:id="16" w:name="_Toc52212798"/>
      <w:bookmarkStart w:id="17" w:name="_Toc52301813"/>
      <w:bookmarkStart w:id="18" w:name="_Toc52303819"/>
      <w:bookmarkStart w:id="19" w:name="_Toc52315285"/>
      <w:bookmarkStart w:id="20" w:name="_Toc52364532"/>
      <w:bookmarkEnd w:id="16"/>
      <w:bookmarkEnd w:id="17"/>
      <w:bookmarkEnd w:id="18"/>
      <w:bookmarkEnd w:id="19"/>
      <w:r>
        <w:lastRenderedPageBreak/>
        <w:t xml:space="preserve">Correction </w:t>
      </w:r>
      <w:r w:rsidR="00160AF9">
        <w:t xml:space="preserve">and penalty </w:t>
      </w:r>
      <w:r>
        <w:t>term</w:t>
      </w:r>
      <w:r w:rsidR="008B370A">
        <w:t>s</w:t>
      </w:r>
      <w:bookmarkEnd w:id="20"/>
      <w:r>
        <w:t xml:space="preserve"> </w:t>
      </w:r>
      <w:bookmarkEnd w:id="14"/>
    </w:p>
    <w:p w14:paraId="5F4B726F" w14:textId="77777777" w:rsidR="00D95E3A" w:rsidRDefault="00D95E3A" w:rsidP="00D95E3A">
      <w:pPr>
        <w:pStyle w:val="Heading3nonumbering"/>
      </w:pPr>
      <w:r>
        <w:t>Introduction</w:t>
      </w:r>
    </w:p>
    <w:p w14:paraId="6A2738F3" w14:textId="64B9A0CA" w:rsidR="00D95E3A" w:rsidRDefault="00D95E3A" w:rsidP="00D95E3A">
      <w:pPr>
        <w:pStyle w:val="NumberedNormal"/>
      </w:pPr>
      <w:r>
        <w:t>The purpose of this condition is to calculate the term K</w:t>
      </w:r>
      <w:r w:rsidRPr="4A26DA62">
        <w:rPr>
          <w:vertAlign w:val="subscript"/>
        </w:rPr>
        <w:t>t</w:t>
      </w:r>
      <w:r>
        <w:t xml:space="preserve"> (the correction term), which feeds into Allowed Revenue in Special Condition 2.1 (Revenue Restriction).</w:t>
      </w:r>
      <w:r w:rsidR="0043591B">
        <w:t xml:space="preserve">  </w:t>
      </w:r>
      <w:r>
        <w:t xml:space="preserve">The effect </w:t>
      </w:r>
      <w:r w:rsidR="0043591B">
        <w:t>of which</w:t>
      </w:r>
      <w:r>
        <w:t xml:space="preserve"> is to make the appropriate adjustment to Allowed Revenue to reflect historical deviations between Recovered Revenue and Calculated Revenue.</w:t>
      </w:r>
    </w:p>
    <w:p w14:paraId="710B7CAC" w14:textId="405A5CF8" w:rsidR="0021571A" w:rsidRPr="00F51FEF" w:rsidRDefault="0021571A" w:rsidP="0021571A">
      <w:pPr>
        <w:pStyle w:val="NumberedNormal"/>
      </w:pPr>
      <w:r>
        <w:t>It also calculates the term RP</w:t>
      </w:r>
      <w:r w:rsidRPr="4A26DA62">
        <w:rPr>
          <w:vertAlign w:val="subscript"/>
        </w:rPr>
        <w:t>t</w:t>
      </w:r>
      <w:r>
        <w:t xml:space="preserve"> (the recovery penalty term), which </w:t>
      </w:r>
      <w:r w:rsidR="0043591B">
        <w:t>also</w:t>
      </w:r>
      <w:r>
        <w:t xml:space="preserve"> feeds into Allowed Revenue in Special Condition 2.1. The effect of which is to penalise levels of Recovered Revenue in excess of 6% difference from a target published by the Authority prior to Regulatory Year t.</w:t>
      </w:r>
    </w:p>
    <w:p w14:paraId="7DC0C4B9" w14:textId="77777777" w:rsidR="00D95E3A" w:rsidRDefault="00D95E3A" w:rsidP="00D95E3A">
      <w:pPr>
        <w:pStyle w:val="Heading3"/>
      </w:pPr>
      <w:r>
        <w:t>Formula for calculating the correction term (K</w:t>
      </w:r>
      <w:r w:rsidRPr="4A26DA62">
        <w:rPr>
          <w:vertAlign w:val="subscript"/>
        </w:rPr>
        <w:t>t</w:t>
      </w:r>
      <w:r>
        <w:t>)</w:t>
      </w:r>
    </w:p>
    <w:p w14:paraId="4EC7772B" w14:textId="6FAA1AA1" w:rsidR="00D95E3A" w:rsidRDefault="00D95E3A" w:rsidP="00D95E3A">
      <w:pPr>
        <w:pStyle w:val="NumberedNormal"/>
      </w:pPr>
      <w:bookmarkStart w:id="21" w:name="_Hlk48603993"/>
      <w:r>
        <w:t>For the Regulatory Year commencing on 1 April 2021, the value of K is zero.</w:t>
      </w:r>
      <w:r w:rsidR="001B067A">
        <w:t xml:space="preserve"> </w:t>
      </w:r>
      <w:r>
        <w:t>For subsequent Regulatory Years, the value of K</w:t>
      </w:r>
      <w:r w:rsidRPr="4A26DA62">
        <w:rPr>
          <w:vertAlign w:val="subscript"/>
        </w:rPr>
        <w:t>t</w:t>
      </w:r>
      <w:r>
        <w:t xml:space="preserve"> is derived in accordance with the following formula:</w:t>
      </w:r>
      <w:bookmarkEnd w:id="21"/>
    </w:p>
    <w:p w14:paraId="55338616" w14:textId="431B0E27" w:rsidR="00D95E3A" w:rsidRPr="00E269F5" w:rsidRDefault="008C7681" w:rsidP="004E1E8E">
      <w:pPr>
        <w:pStyle w:val="Equation"/>
      </w:pPr>
      <m:oMathPara>
        <m:oMath>
          <m:sSub>
            <m:sSubPr>
              <m:ctrlPr>
                <w:rPr>
                  <w:rFonts w:ascii="Cambria Math" w:hAnsi="Cambria Math"/>
                </w:rPr>
              </m:ctrlPr>
            </m:sSubPr>
            <m:e>
              <m:r>
                <w:rPr>
                  <w:rFonts w:ascii="Cambria Math" w:hAnsi="Cambria Math"/>
                </w:rPr>
                <m:t>K</m:t>
              </m:r>
            </m:e>
            <m:sub>
              <m:r>
                <w:rPr>
                  <w:rFonts w:ascii="Cambria Math" w:hAnsi="Cambria Math"/>
                </w:rPr>
                <m:t>t</m:t>
              </m:r>
            </m:sub>
          </m:sSub>
          <m:r>
            <m:rPr>
              <m:sty m:val="p"/>
            </m:rPr>
            <w:rPr>
              <w:rFonts w:ascii="Cambria Math" w:hAnsi="Cambria Math"/>
            </w:rPr>
            <m:t>=</m:t>
          </m:r>
          <m:nary>
            <m:naryPr>
              <m:chr m:val="∑"/>
              <m:limLoc m:val="undOvr"/>
              <m:ctrlPr>
                <w:rPr>
                  <w:rFonts w:ascii="Cambria Math" w:hAnsi="Cambria Math"/>
                  <w:i/>
                </w:rPr>
              </m:ctrlPr>
            </m:naryPr>
            <m:sub>
              <m:r>
                <w:rPr>
                  <w:rFonts w:ascii="Cambria Math" w:hAnsi="Cambria Math"/>
                </w:rPr>
                <m:t>i=2021/22</m:t>
              </m:r>
            </m:sub>
            <m:sup>
              <m:r>
                <w:rPr>
                  <w:rFonts w:ascii="Cambria Math" w:hAnsi="Cambria Math"/>
                </w:rPr>
                <m:t>t-1</m:t>
              </m:r>
            </m:sup>
            <m:e>
              <m:d>
                <m:dPr>
                  <m:begChr m:val="["/>
                  <m:endChr m:val="]"/>
                  <m:ctrlPr>
                    <w:rPr>
                      <w:rFonts w:ascii="Cambria Math" w:hAnsi="Cambria Math"/>
                      <w:i/>
                    </w:rPr>
                  </m:ctrlPr>
                </m:dPr>
                <m:e>
                  <m:d>
                    <m:dPr>
                      <m:ctrlPr>
                        <w:rPr>
                          <w:rFonts w:ascii="Cambria Math" w:hAnsi="Cambria Math"/>
                          <w:i/>
                        </w:rPr>
                      </m:ctrlPr>
                    </m:dPr>
                    <m:e>
                      <m:sSub>
                        <m:sSubPr>
                          <m:ctrlPr>
                            <w:rPr>
                              <w:rFonts w:ascii="Cambria Math" w:hAnsi="Cambria Math"/>
                              <w:i/>
                            </w:rPr>
                          </m:ctrlPr>
                        </m:sSubPr>
                        <m:e>
                          <m:r>
                            <w:rPr>
                              <w:rFonts w:ascii="Cambria Math" w:hAnsi="Cambria Math"/>
                            </w:rPr>
                            <m:t>ADJR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RP</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RR</m:t>
                          </m:r>
                        </m:e>
                        <m:sub>
                          <m:r>
                            <w:rPr>
                              <w:rFonts w:ascii="Cambria Math" w:hAnsi="Cambria Math"/>
                            </w:rPr>
                            <m:t>i</m:t>
                          </m:r>
                        </m:sub>
                      </m:sSub>
                    </m:e>
                  </m:d>
                  <m:nary>
                    <m:naryPr>
                      <m:chr m:val="∏"/>
                      <m:limLoc m:val="undOvr"/>
                      <m:ctrlPr>
                        <w:rPr>
                          <w:rFonts w:ascii="Cambria Math" w:hAnsi="Cambria Math"/>
                          <w:i/>
                        </w:rPr>
                      </m:ctrlPr>
                    </m:naryPr>
                    <m:sub>
                      <m:r>
                        <w:rPr>
                          <w:rFonts w:ascii="Cambria Math" w:hAnsi="Cambria Math"/>
                        </w:rPr>
                        <m:t>j=i</m:t>
                      </m:r>
                    </m:sub>
                    <m:sup>
                      <m:r>
                        <w:rPr>
                          <w:rFonts w:ascii="Cambria Math" w:hAnsi="Cambria Math"/>
                        </w:rPr>
                        <m:t>t-1</m:t>
                      </m:r>
                    </m:sup>
                    <m:e>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I</m:t>
                              </m:r>
                            </m:e>
                            <m:sub>
                              <m:r>
                                <w:rPr>
                                  <w:rFonts w:ascii="Cambria Math" w:hAnsi="Cambria Math"/>
                                </w:rPr>
                                <m:t>j</m:t>
                              </m:r>
                            </m:sub>
                          </m:sSub>
                          <m:r>
                            <w:rPr>
                              <w:rFonts w:ascii="Cambria Math" w:hAnsi="Cambria Math"/>
                            </w:rPr>
                            <m:t>+[</m:t>
                          </m:r>
                          <m:r>
                            <w:rPr>
                              <w:rFonts w:ascii="Cambria Math" w:hAnsi="Cambria Math"/>
                              <w:highlight w:val="yellow"/>
                            </w:rPr>
                            <m:t>1.1%</m:t>
                          </m:r>
                          <m:r>
                            <w:rPr>
                              <w:rFonts w:ascii="Cambria Math" w:hAnsi="Cambria Math"/>
                            </w:rPr>
                            <m:t>]</m:t>
                          </m:r>
                        </m:e>
                      </m:d>
                    </m:e>
                  </m:nary>
                </m:e>
              </m:d>
            </m:e>
          </m:nary>
        </m:oMath>
      </m:oMathPara>
    </w:p>
    <w:p w14:paraId="34ABCF30" w14:textId="026C5A3F" w:rsidR="00D95E3A" w:rsidRDefault="00474D7A" w:rsidP="00D95E3A">
      <w:r>
        <w:tab/>
      </w:r>
      <w:r w:rsidR="00D95E3A">
        <w:t>where:</w:t>
      </w:r>
    </w:p>
    <w:tbl>
      <w:tblPr>
        <w:tblW w:w="8222" w:type="dxa"/>
        <w:tblInd w:w="817" w:type="dxa"/>
        <w:tblLayout w:type="fixed"/>
        <w:tblLook w:val="04A0" w:firstRow="1" w:lastRow="0" w:firstColumn="1" w:lastColumn="0" w:noHBand="0" w:noVBand="1"/>
      </w:tblPr>
      <w:tblGrid>
        <w:gridCol w:w="1168"/>
        <w:gridCol w:w="7054"/>
      </w:tblGrid>
      <w:tr w:rsidR="00D95E3A" w:rsidRPr="007E49B6" w14:paraId="631A5A30" w14:textId="77777777" w:rsidTr="00F543B6">
        <w:trPr>
          <w:trHeight w:val="567"/>
        </w:trPr>
        <w:tc>
          <w:tcPr>
            <w:tcW w:w="1168" w:type="dxa"/>
          </w:tcPr>
          <w:p w14:paraId="3E382C12" w14:textId="77777777" w:rsidR="00D95E3A" w:rsidRPr="004E1E8E" w:rsidRDefault="00D95E3A" w:rsidP="00F543B6">
            <w:pPr>
              <w:rPr>
                <w:i/>
                <w:iCs/>
              </w:rPr>
            </w:pPr>
            <w:r w:rsidRPr="004E1E8E">
              <w:rPr>
                <w:i/>
                <w:iCs/>
              </w:rPr>
              <w:t>i, j</w:t>
            </w:r>
          </w:p>
        </w:tc>
        <w:tc>
          <w:tcPr>
            <w:tcW w:w="7054" w:type="dxa"/>
            <w:vAlign w:val="center"/>
          </w:tcPr>
          <w:p w14:paraId="0BFF7AE5" w14:textId="3636D711" w:rsidR="00D95E3A" w:rsidRDefault="00D95E3A" w:rsidP="00F543B6">
            <w:pPr>
              <w:rPr>
                <w:rFonts w:eastAsiaTheme="minorEastAsia"/>
              </w:rPr>
            </w:pPr>
            <w:r>
              <w:rPr>
                <w:rFonts w:eastAsiaTheme="minorEastAsia"/>
              </w:rPr>
              <w:t xml:space="preserve">refer to </w:t>
            </w:r>
            <w:r w:rsidR="000B4D9C">
              <w:rPr>
                <w:rFonts w:eastAsiaTheme="minorEastAsia"/>
              </w:rPr>
              <w:t>Regulatory</w:t>
            </w:r>
            <w:r>
              <w:rPr>
                <w:rFonts w:eastAsiaTheme="minorEastAsia"/>
              </w:rPr>
              <w:t xml:space="preserve"> Year</w:t>
            </w:r>
            <w:r w:rsidR="00947F6E">
              <w:rPr>
                <w:rFonts w:eastAsiaTheme="minorEastAsia"/>
              </w:rPr>
              <w:t>s</w:t>
            </w:r>
            <w:r>
              <w:rPr>
                <w:rFonts w:eastAsiaTheme="minorEastAsia"/>
              </w:rPr>
              <w:t xml:space="preserve"> between 2021/22 and Regulatory Year t-1;</w:t>
            </w:r>
          </w:p>
        </w:tc>
      </w:tr>
      <w:tr w:rsidR="00FF0378" w:rsidRPr="007E49B6" w14:paraId="7BC2D05E" w14:textId="77777777" w:rsidTr="004E1E8E">
        <w:trPr>
          <w:trHeight w:val="567"/>
        </w:trPr>
        <w:tc>
          <w:tcPr>
            <w:tcW w:w="1168" w:type="dxa"/>
          </w:tcPr>
          <w:p w14:paraId="4E9177A8" w14:textId="3C425D8D" w:rsidR="00FF0378" w:rsidRPr="004E1E8E" w:rsidRDefault="008C7681" w:rsidP="00FF0378">
            <w:pPr>
              <w:rPr>
                <w:rFonts w:eastAsia="Calibri" w:cs="Arial"/>
                <w:i/>
                <w:iCs/>
              </w:rPr>
            </w:pPr>
            <m:oMathPara>
              <m:oMathParaPr>
                <m:jc m:val="left"/>
              </m:oMathParaPr>
              <m:oMath>
                <m:sSub>
                  <m:sSubPr>
                    <m:ctrlPr>
                      <w:rPr>
                        <w:rFonts w:ascii="Cambria Math" w:hAnsi="Cambria Math"/>
                        <w:i/>
                        <w:iCs/>
                      </w:rPr>
                    </m:ctrlPr>
                  </m:sSubPr>
                  <m:e>
                    <m:r>
                      <w:rPr>
                        <w:rFonts w:ascii="Cambria Math" w:hAnsi="Cambria Math"/>
                      </w:rPr>
                      <m:t>ADJR</m:t>
                    </m:r>
                  </m:e>
                  <m:sub>
                    <m:r>
                      <w:rPr>
                        <w:rFonts w:ascii="Cambria Math" w:hAnsi="Cambria Math"/>
                      </w:rPr>
                      <m:t>i</m:t>
                    </m:r>
                  </m:sub>
                </m:sSub>
              </m:oMath>
            </m:oMathPara>
          </w:p>
        </w:tc>
        <w:tc>
          <w:tcPr>
            <w:tcW w:w="7054" w:type="dxa"/>
          </w:tcPr>
          <w:p w14:paraId="3DA84744" w14:textId="64440D76" w:rsidR="00FF0378" w:rsidRDefault="00FF0378" w:rsidP="00FF0378">
            <w:pPr>
              <w:rPr>
                <w:rFonts w:eastAsiaTheme="minorEastAsia"/>
              </w:rPr>
            </w:pPr>
            <w:r>
              <w:t xml:space="preserve">means the adjusted revenue for Regulatory Year </w:t>
            </w:r>
            <w:r w:rsidRPr="0009661C">
              <w:rPr>
                <w:i/>
                <w:iCs/>
              </w:rPr>
              <w:t>i</w:t>
            </w:r>
            <w:r>
              <w:t>, derived in accordance with Part B of Special Condition 2.2</w:t>
            </w:r>
            <w:r w:rsidR="00D906A9">
              <w:t xml:space="preserve"> (AIP adjustment term)</w:t>
            </w:r>
            <w:r w:rsidR="001B06AF">
              <w:t>;</w:t>
            </w:r>
          </w:p>
        </w:tc>
      </w:tr>
      <w:tr w:rsidR="00DB0C67" w:rsidRPr="007E49B6" w14:paraId="777E9205" w14:textId="77777777" w:rsidTr="00F543B6">
        <w:trPr>
          <w:trHeight w:val="567"/>
        </w:trPr>
        <w:tc>
          <w:tcPr>
            <w:tcW w:w="1168" w:type="dxa"/>
          </w:tcPr>
          <w:p w14:paraId="53146B85" w14:textId="11E2261F" w:rsidR="00DB0C67" w:rsidRPr="004E1E8E" w:rsidRDefault="00DB0C67" w:rsidP="00FF0378">
            <w:pPr>
              <w:rPr>
                <w:rFonts w:eastAsia="Calibri" w:cs="Arial"/>
                <w:i/>
                <w:iCs/>
              </w:rPr>
            </w:pPr>
            <w:r w:rsidRPr="004E1E8E">
              <w:rPr>
                <w:rFonts w:eastAsia="Calibri" w:cs="Arial"/>
                <w:i/>
                <w:iCs/>
              </w:rPr>
              <w:t>RP</w:t>
            </w:r>
            <w:r w:rsidRPr="004E1E8E">
              <w:rPr>
                <w:rFonts w:eastAsia="Calibri" w:cs="Arial"/>
                <w:i/>
                <w:iCs/>
                <w:vertAlign w:val="subscript"/>
              </w:rPr>
              <w:t>i</w:t>
            </w:r>
          </w:p>
        </w:tc>
        <w:tc>
          <w:tcPr>
            <w:tcW w:w="7054" w:type="dxa"/>
          </w:tcPr>
          <w:p w14:paraId="516DAC79" w14:textId="4E6042FC" w:rsidR="00DB0C67" w:rsidRDefault="001B06AF" w:rsidP="00FF0378">
            <w:r>
              <w:t>means the recovery penalty derived in accordance with Part B;</w:t>
            </w:r>
          </w:p>
        </w:tc>
      </w:tr>
      <w:tr w:rsidR="00FF0378" w:rsidRPr="007E49B6" w14:paraId="675A3E78" w14:textId="77777777" w:rsidTr="00F543B6">
        <w:trPr>
          <w:trHeight w:val="567"/>
        </w:trPr>
        <w:tc>
          <w:tcPr>
            <w:tcW w:w="1168" w:type="dxa"/>
          </w:tcPr>
          <w:p w14:paraId="0502C9B8" w14:textId="4D87D3E5" w:rsidR="00FF0378" w:rsidRPr="004E1E8E" w:rsidRDefault="008C7681" w:rsidP="00FF0378">
            <w:pPr>
              <w:rPr>
                <w:i/>
                <w:iCs/>
              </w:rPr>
            </w:pPr>
            <m:oMathPara>
              <m:oMathParaPr>
                <m:jc m:val="left"/>
              </m:oMathParaPr>
              <m:oMath>
                <m:sSub>
                  <m:sSubPr>
                    <m:ctrlPr>
                      <w:rPr>
                        <w:rFonts w:ascii="Cambria Math" w:hAnsi="Cambria Math"/>
                        <w:i/>
                        <w:iCs/>
                      </w:rPr>
                    </m:ctrlPr>
                  </m:sSubPr>
                  <m:e>
                    <m:r>
                      <w:rPr>
                        <w:rFonts w:ascii="Cambria Math" w:hAnsi="Cambria Math"/>
                      </w:rPr>
                      <m:t>RR</m:t>
                    </m:r>
                  </m:e>
                  <m:sub>
                    <m:r>
                      <w:rPr>
                        <w:rFonts w:ascii="Cambria Math" w:hAnsi="Cambria Math"/>
                      </w:rPr>
                      <m:t>i</m:t>
                    </m:r>
                  </m:sub>
                </m:sSub>
              </m:oMath>
            </m:oMathPara>
          </w:p>
        </w:tc>
        <w:tc>
          <w:tcPr>
            <w:tcW w:w="7054" w:type="dxa"/>
            <w:vAlign w:val="center"/>
          </w:tcPr>
          <w:p w14:paraId="570148FF" w14:textId="5B244668" w:rsidR="00FF0378" w:rsidRPr="00E269F5" w:rsidRDefault="00FF0378" w:rsidP="00FF0378">
            <w:r>
              <w:rPr>
                <w:rFonts w:eastAsiaTheme="minorEastAsia"/>
              </w:rPr>
              <w:t xml:space="preserve">means the Recovered Revenue for Regulatory Year </w:t>
            </w:r>
            <w:r w:rsidRPr="003C6C34">
              <w:rPr>
                <w:rFonts w:eastAsiaTheme="minorEastAsia"/>
                <w:i/>
              </w:rPr>
              <w:t>i</w:t>
            </w:r>
            <w:r>
              <w:rPr>
                <w:rFonts w:eastAsiaTheme="minorEastAsia"/>
                <w:iCs/>
              </w:rPr>
              <w:t>;</w:t>
            </w:r>
            <w:r w:rsidR="001B06AF">
              <w:rPr>
                <w:rFonts w:eastAsiaTheme="minorEastAsia"/>
                <w:iCs/>
              </w:rPr>
              <w:t xml:space="preserve"> and</w:t>
            </w:r>
          </w:p>
        </w:tc>
      </w:tr>
      <w:tr w:rsidR="00FF0378" w14:paraId="1763B885" w14:textId="77777777" w:rsidTr="00F543B6">
        <w:trPr>
          <w:trHeight w:val="567"/>
        </w:trPr>
        <w:tc>
          <w:tcPr>
            <w:tcW w:w="1168" w:type="dxa"/>
          </w:tcPr>
          <w:p w14:paraId="1C38CDD2" w14:textId="77777777" w:rsidR="00FF0378" w:rsidRPr="004E1E8E" w:rsidRDefault="00FF0378" w:rsidP="00FF0378">
            <w:pPr>
              <w:rPr>
                <w:i/>
                <w:iCs/>
              </w:rPr>
            </w:pPr>
            <w:r w:rsidRPr="004E1E8E">
              <w:rPr>
                <w:i/>
                <w:iCs/>
              </w:rPr>
              <w:t>I</w:t>
            </w:r>
            <w:r w:rsidRPr="004E1E8E">
              <w:rPr>
                <w:i/>
                <w:iCs/>
                <w:vertAlign w:val="subscript"/>
              </w:rPr>
              <w:t>j</w:t>
            </w:r>
          </w:p>
        </w:tc>
        <w:tc>
          <w:tcPr>
            <w:tcW w:w="7054" w:type="dxa"/>
          </w:tcPr>
          <w:p w14:paraId="4A3CBE77" w14:textId="318ADBAB" w:rsidR="00FF0378" w:rsidRPr="00E269F5" w:rsidRDefault="00FF0378" w:rsidP="00FF0378">
            <w:r w:rsidRPr="00B76D9F">
              <w:rPr>
                <w:szCs w:val="24"/>
              </w:rPr>
              <w:t xml:space="preserve">means the average value of </w:t>
            </w:r>
            <w:r>
              <w:rPr>
                <w:szCs w:val="24"/>
              </w:rPr>
              <w:t xml:space="preserve">SONIA </w:t>
            </w:r>
            <w:r w:rsidR="00661B07">
              <w:t>B</w:t>
            </w:r>
            <w:r>
              <w:t>etween</w:t>
            </w:r>
            <w:r w:rsidRPr="00B61D42">
              <w:t xml:space="preserve"> 1</w:t>
            </w:r>
            <w:r w:rsidRPr="00C31FF5">
              <w:t xml:space="preserve"> April </w:t>
            </w:r>
            <w:r w:rsidRPr="00405E99">
              <w:t>and</w:t>
            </w:r>
            <w:r w:rsidRPr="00B61D42">
              <w:t xml:space="preserve"> 31 March in Regulatory Year j (inclusive).</w:t>
            </w:r>
          </w:p>
        </w:tc>
      </w:tr>
    </w:tbl>
    <w:p w14:paraId="12E108FB" w14:textId="6BCC8221" w:rsidR="00D95E3A" w:rsidRDefault="00D95E3A" w:rsidP="004E1E8E">
      <w:pPr>
        <w:pStyle w:val="Heading3"/>
      </w:pPr>
      <w:bookmarkStart w:id="22" w:name="_Toc51363653"/>
      <w:r>
        <w:t xml:space="preserve">Recovery </w:t>
      </w:r>
      <w:r w:rsidR="00BB1EE0">
        <w:t>p</w:t>
      </w:r>
      <w:r w:rsidRPr="00E71676">
        <w:t>enalty</w:t>
      </w:r>
      <w:r>
        <w:t xml:space="preserve"> (RP</w:t>
      </w:r>
      <w:r w:rsidRPr="002E483D">
        <w:rPr>
          <w:vertAlign w:val="subscript"/>
        </w:rPr>
        <w:t>t</w:t>
      </w:r>
      <w:r>
        <w:t>)</w:t>
      </w:r>
      <w:bookmarkEnd w:id="22"/>
    </w:p>
    <w:p w14:paraId="467A1F98" w14:textId="7AB2C038" w:rsidR="00D95E3A" w:rsidRPr="00537DC9" w:rsidRDefault="00D95E3A" w:rsidP="004E1E8E">
      <w:pPr>
        <w:pStyle w:val="NumberedNormal"/>
      </w:pPr>
      <w:r>
        <w:t>For the Regulatory Year commencing on 1 April 2021, the value of RP is zero.</w:t>
      </w:r>
      <w:r w:rsidR="0097174D">
        <w:t xml:space="preserve"> </w:t>
      </w:r>
      <w:r>
        <w:t>For subsequent Regulatory Years, the value of RP</w:t>
      </w:r>
      <w:r w:rsidRPr="004E1E8E">
        <w:rPr>
          <w:vertAlign w:val="subscript"/>
        </w:rPr>
        <w:t>t</w:t>
      </w:r>
      <w:r>
        <w:t xml:space="preserve"> is derived in accordance with the following formula: </w:t>
      </w:r>
    </w:p>
    <w:p w14:paraId="561AEC26" w14:textId="66C7951A" w:rsidR="00D95E3A" w:rsidRPr="00FE6E9F" w:rsidRDefault="008C7681" w:rsidP="00D95E3A">
      <w:pPr>
        <w:rPr>
          <w:rFonts w:eastAsiaTheme="minorEastAsia"/>
        </w:rPr>
      </w:pPr>
      <m:oMathPara>
        <m:oMath>
          <m:sSub>
            <m:sSubPr>
              <m:ctrlPr>
                <w:rPr>
                  <w:rFonts w:ascii="Cambria Math" w:hAnsi="Cambria Math"/>
                </w:rPr>
              </m:ctrlPr>
            </m:sSubPr>
            <m:e>
              <m:r>
                <w:rPr>
                  <w:rFonts w:ascii="Cambria Math" w:hAnsi="Cambria Math"/>
                </w:rPr>
                <m:t>RP</m:t>
              </m:r>
            </m:e>
            <m:sub>
              <m:r>
                <w:rPr>
                  <w:rFonts w:ascii="Cambria Math" w:hAnsi="Cambria Math"/>
                </w:rPr>
                <m:t>t</m:t>
              </m:r>
            </m:sub>
          </m:sSub>
          <m: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w:rPr>
                      <w:rFonts w:ascii="Cambria Math" w:hAnsi="Cambria Math"/>
                    </w:rPr>
                    <m:t>[</m:t>
                  </m:r>
                  <m:r>
                    <w:rPr>
                      <w:rFonts w:ascii="Cambria Math" w:hAnsi="Cambria Math"/>
                      <w:highlight w:val="yellow"/>
                    </w:rPr>
                    <m:t>1.1%</m:t>
                  </m:r>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AR</m:t>
                          </m:r>
                        </m:e>
                        <m:sub>
                          <m:r>
                            <w:rPr>
                              <w:rFonts w:ascii="Cambria Math" w:hAnsi="Cambria Math"/>
                            </w:rPr>
                            <m:t>t-1</m:t>
                          </m:r>
                        </m:sub>
                      </m:sSub>
                      <m:r>
                        <w:rPr>
                          <w:rFonts w:ascii="Cambria Math" w:hAnsi="Cambria Math"/>
                        </w:rPr>
                        <m:t>-</m:t>
                      </m:r>
                      <m:sSub>
                        <m:sSubPr>
                          <m:ctrlPr>
                            <w:rPr>
                              <w:rFonts w:ascii="Cambria Math" w:hAnsi="Cambria Math"/>
                              <w:i/>
                            </w:rPr>
                          </m:ctrlPr>
                        </m:sSubPr>
                        <m:e>
                          <m:r>
                            <w:rPr>
                              <w:rFonts w:ascii="Cambria Math" w:hAnsi="Cambria Math"/>
                            </w:rPr>
                            <m:t>RR</m:t>
                          </m:r>
                        </m:e>
                        <m:sub>
                          <m:r>
                            <w:rPr>
                              <w:rFonts w:ascii="Cambria Math" w:hAnsi="Cambria Math"/>
                            </w:rPr>
                            <m:t>t-1</m:t>
                          </m:r>
                        </m:sub>
                      </m:sSub>
                    </m:e>
                  </m:d>
                  <m:r>
                    <w:rPr>
                      <w:rFonts w:ascii="Cambria Math" w:hAnsi="Cambria Math"/>
                    </w:rPr>
                    <m:t xml:space="preserve">,  &amp; if </m:t>
                  </m:r>
                  <m:sSub>
                    <m:sSubPr>
                      <m:ctrlPr>
                        <w:rPr>
                          <w:rFonts w:ascii="Cambria Math" w:hAnsi="Cambria Math"/>
                        </w:rPr>
                      </m:ctrlPr>
                    </m:sSubPr>
                    <m:e>
                      <m:r>
                        <w:rPr>
                          <w:rFonts w:ascii="Cambria Math" w:hAnsi="Cambria Math"/>
                        </w:rPr>
                        <m:t>RR</m:t>
                      </m:r>
                    </m:e>
                    <m:sub>
                      <m:r>
                        <w:rPr>
                          <w:rFonts w:ascii="Cambria Math" w:hAnsi="Cambria Math"/>
                        </w:rPr>
                        <m:t>t-1</m:t>
                      </m:r>
                    </m:sub>
                  </m:sSub>
                  <m:r>
                    <w:rPr>
                      <w:rFonts w:ascii="Cambria Math" w:hAnsi="Cambria Math"/>
                    </w:rPr>
                    <m:t>≥1.06</m:t>
                  </m:r>
                  <m:sSub>
                    <m:sSubPr>
                      <m:ctrlPr>
                        <w:rPr>
                          <w:rFonts w:ascii="Cambria Math" w:hAnsi="Cambria Math"/>
                        </w:rPr>
                      </m:ctrlPr>
                    </m:sSubPr>
                    <m:e>
                      <m:r>
                        <w:rPr>
                          <w:rFonts w:ascii="Cambria Math" w:hAnsi="Cambria Math"/>
                        </w:rPr>
                        <m:t>AR</m:t>
                      </m:r>
                    </m:e>
                    <m:sub>
                      <m:r>
                        <w:rPr>
                          <w:rFonts w:ascii="Cambria Math" w:hAnsi="Cambria Math"/>
                        </w:rPr>
                        <m:t>t-1</m:t>
                      </m:r>
                    </m:sub>
                  </m:sSub>
                  <m:r>
                    <w:rPr>
                      <w:rFonts w:ascii="Cambria Math" w:hAnsi="Cambria Math"/>
                    </w:rPr>
                    <m:t xml:space="preserve"> </m:t>
                  </m:r>
                </m:e>
                <m:e>
                  <m:r>
                    <w:rPr>
                      <w:rFonts w:ascii="Cambria Math" w:hAnsi="Cambria Math"/>
                    </w:rPr>
                    <m:t>[</m:t>
                  </m:r>
                  <m:r>
                    <w:rPr>
                      <w:rFonts w:ascii="Cambria Math" w:hAnsi="Cambria Math"/>
                      <w:highlight w:val="yellow"/>
                    </w:rPr>
                    <m:t>-1.1%</m:t>
                  </m:r>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AR</m:t>
                          </m:r>
                        </m:e>
                        <m:sub>
                          <m:r>
                            <w:rPr>
                              <w:rFonts w:ascii="Cambria Math" w:hAnsi="Cambria Math"/>
                            </w:rPr>
                            <m:t>t-1</m:t>
                          </m:r>
                        </m:sub>
                      </m:sSub>
                      <m:r>
                        <w:rPr>
                          <w:rFonts w:ascii="Cambria Math" w:hAnsi="Cambria Math"/>
                        </w:rPr>
                        <m:t>-</m:t>
                      </m:r>
                      <m:sSub>
                        <m:sSubPr>
                          <m:ctrlPr>
                            <w:rPr>
                              <w:rFonts w:ascii="Cambria Math" w:hAnsi="Cambria Math"/>
                              <w:i/>
                            </w:rPr>
                          </m:ctrlPr>
                        </m:sSubPr>
                        <m:e>
                          <m:r>
                            <w:rPr>
                              <w:rFonts w:ascii="Cambria Math" w:hAnsi="Cambria Math"/>
                            </w:rPr>
                            <m:t>RR</m:t>
                          </m:r>
                        </m:e>
                        <m:sub>
                          <m:r>
                            <w:rPr>
                              <w:rFonts w:ascii="Cambria Math" w:hAnsi="Cambria Math"/>
                            </w:rPr>
                            <m:t>t-1</m:t>
                          </m:r>
                        </m:sub>
                      </m:sSub>
                    </m:e>
                  </m:d>
                  <m:r>
                    <w:rPr>
                      <w:rFonts w:ascii="Cambria Math" w:hAnsi="Cambria Math"/>
                    </w:rPr>
                    <m:t xml:space="preserve">,  &amp; if </m:t>
                  </m:r>
                  <m:sSub>
                    <m:sSubPr>
                      <m:ctrlPr>
                        <w:rPr>
                          <w:rFonts w:ascii="Cambria Math" w:hAnsi="Cambria Math"/>
                        </w:rPr>
                      </m:ctrlPr>
                    </m:sSubPr>
                    <m:e>
                      <m:r>
                        <w:rPr>
                          <w:rFonts w:ascii="Cambria Math" w:hAnsi="Cambria Math"/>
                        </w:rPr>
                        <m:t>RR</m:t>
                      </m:r>
                    </m:e>
                    <m:sub>
                      <m:r>
                        <w:rPr>
                          <w:rFonts w:ascii="Cambria Math" w:hAnsi="Cambria Math"/>
                        </w:rPr>
                        <m:t>t-1</m:t>
                      </m:r>
                    </m:sub>
                  </m:sSub>
                  <m:r>
                    <w:rPr>
                      <w:rFonts w:ascii="Cambria Math" w:hAnsi="Cambria Math"/>
                    </w:rPr>
                    <m:t>≤0.94</m:t>
                  </m:r>
                  <m:sSub>
                    <m:sSubPr>
                      <m:ctrlPr>
                        <w:rPr>
                          <w:rFonts w:ascii="Cambria Math" w:hAnsi="Cambria Math"/>
                        </w:rPr>
                      </m:ctrlPr>
                    </m:sSubPr>
                    <m:e>
                      <m:r>
                        <w:rPr>
                          <w:rFonts w:ascii="Cambria Math" w:hAnsi="Cambria Math"/>
                        </w:rPr>
                        <m:t>AR</m:t>
                      </m:r>
                    </m:e>
                    <m:sub>
                      <m:r>
                        <w:rPr>
                          <w:rFonts w:ascii="Cambria Math" w:hAnsi="Cambria Math"/>
                        </w:rPr>
                        <m:t>t-1</m:t>
                      </m:r>
                    </m:sub>
                  </m:sSub>
                </m:e>
                <m:e>
                  <m:r>
                    <w:rPr>
                      <w:rFonts w:ascii="Cambria Math" w:hAnsi="Cambria Math"/>
                    </w:rPr>
                    <m:t>0,  &amp;   otherwise</m:t>
                  </m:r>
                </m:e>
              </m:eqArr>
            </m:e>
          </m:d>
        </m:oMath>
      </m:oMathPara>
    </w:p>
    <w:p w14:paraId="61E25727" w14:textId="2FBD67C9" w:rsidR="00D95E3A" w:rsidRDefault="00244F1C" w:rsidP="00D95E3A">
      <w:pPr>
        <w:rPr>
          <w:rFonts w:eastAsiaTheme="minorEastAsia"/>
        </w:rPr>
      </w:pPr>
      <w:r>
        <w:rPr>
          <w:rFonts w:eastAsiaTheme="minorEastAsia"/>
        </w:rPr>
        <w:lastRenderedPageBreak/>
        <w:tab/>
      </w:r>
      <w:r w:rsidR="00D95E3A">
        <w:rPr>
          <w:rFonts w:eastAsiaTheme="minorEastAsia"/>
        </w:rPr>
        <w:t>where:</w:t>
      </w:r>
    </w:p>
    <w:tbl>
      <w:tblPr>
        <w:tblStyle w:val="TableGridLight"/>
        <w:tblW w:w="0" w:type="auto"/>
        <w:tblLook w:val="04A0" w:firstRow="1" w:lastRow="0" w:firstColumn="1" w:lastColumn="0" w:noHBand="0" w:noVBand="1"/>
      </w:tblPr>
      <w:tblGrid>
        <w:gridCol w:w="880"/>
        <w:gridCol w:w="7466"/>
      </w:tblGrid>
      <w:tr w:rsidR="00302B93" w14:paraId="7B4563CB" w14:textId="77777777" w:rsidTr="00302B93">
        <w:tc>
          <w:tcPr>
            <w:tcW w:w="880" w:type="dxa"/>
          </w:tcPr>
          <w:p w14:paraId="43365BD8" w14:textId="23DFFAD2" w:rsidR="00D95E3A" w:rsidRPr="00230458" w:rsidRDefault="00E311C7" w:rsidP="00F543B6">
            <w:pPr>
              <w:rPr>
                <w:i/>
              </w:rPr>
            </w:pPr>
            <w:r w:rsidRPr="00230458">
              <w:rPr>
                <w:i/>
              </w:rPr>
              <w:t>AR</w:t>
            </w:r>
            <w:r w:rsidRPr="00230458">
              <w:rPr>
                <w:i/>
                <w:vertAlign w:val="subscript"/>
              </w:rPr>
              <w:t>t</w:t>
            </w:r>
          </w:p>
        </w:tc>
        <w:tc>
          <w:tcPr>
            <w:tcW w:w="7466" w:type="dxa"/>
          </w:tcPr>
          <w:p w14:paraId="176E3DCB" w14:textId="318A8B34" w:rsidR="00D95E3A" w:rsidRPr="00604CE8" w:rsidRDefault="001E04EC" w:rsidP="00F543B6">
            <w:r>
              <w:t xml:space="preserve">means Allowed Revenue and </w:t>
            </w:r>
            <w:r w:rsidR="00F047A3">
              <w:t xml:space="preserve">is derived in accordance </w:t>
            </w:r>
            <w:r>
              <w:t xml:space="preserve">Part B of </w:t>
            </w:r>
            <w:r w:rsidR="00F047A3">
              <w:t xml:space="preserve"> Special Condition 2.1; and</w:t>
            </w:r>
          </w:p>
        </w:tc>
      </w:tr>
      <w:tr w:rsidR="00302B93" w14:paraId="4FA83712" w14:textId="77777777" w:rsidTr="00302B93">
        <w:tc>
          <w:tcPr>
            <w:tcW w:w="880" w:type="dxa"/>
          </w:tcPr>
          <w:p w14:paraId="301254CA" w14:textId="77777777" w:rsidR="00D95E3A" w:rsidRPr="00230458" w:rsidRDefault="00D95E3A" w:rsidP="00F543B6">
            <w:pPr>
              <w:rPr>
                <w:i/>
              </w:rPr>
            </w:pPr>
            <w:r w:rsidRPr="00230458">
              <w:rPr>
                <w:i/>
              </w:rPr>
              <w:t>RR</w:t>
            </w:r>
            <w:r w:rsidRPr="00230458">
              <w:rPr>
                <w:i/>
                <w:vertAlign w:val="subscript"/>
              </w:rPr>
              <w:t>t</w:t>
            </w:r>
          </w:p>
        </w:tc>
        <w:tc>
          <w:tcPr>
            <w:tcW w:w="7466" w:type="dxa"/>
          </w:tcPr>
          <w:p w14:paraId="4A4B8E8B" w14:textId="5AD8FF1E" w:rsidR="00D95E3A" w:rsidRDefault="00D95E3A" w:rsidP="00F543B6">
            <w:r>
              <w:t xml:space="preserve">means Recovered Revenue. </w:t>
            </w:r>
          </w:p>
        </w:tc>
      </w:tr>
    </w:tbl>
    <w:p w14:paraId="2F76B177" w14:textId="77777777" w:rsidR="00F52665" w:rsidRDefault="00F52665" w:rsidP="00F52665">
      <w:pPr>
        <w:pStyle w:val="Heading2"/>
      </w:pPr>
      <w:bookmarkStart w:id="23" w:name="_Toc52212800"/>
      <w:bookmarkStart w:id="24" w:name="_Toc52301815"/>
      <w:bookmarkStart w:id="25" w:name="_Toc52303821"/>
      <w:bookmarkStart w:id="26" w:name="_Toc52315287"/>
      <w:bookmarkStart w:id="27" w:name="_Toc51783605"/>
      <w:bookmarkStart w:id="28" w:name="_Toc52364533"/>
      <w:bookmarkEnd w:id="11"/>
      <w:bookmarkEnd w:id="12"/>
      <w:bookmarkEnd w:id="23"/>
      <w:bookmarkEnd w:id="24"/>
      <w:bookmarkEnd w:id="25"/>
      <w:bookmarkEnd w:id="26"/>
      <w:r>
        <w:t>Tax Review Adjustment (</w:t>
      </w:r>
      <w:r w:rsidRPr="00DF4870">
        <w:t>TAXA</w:t>
      </w:r>
      <w:r w:rsidRPr="00F52665">
        <w:rPr>
          <w:vertAlign w:val="subscript"/>
        </w:rPr>
        <w:t>t</w:t>
      </w:r>
      <w:r>
        <w:t>)</w:t>
      </w:r>
      <w:bookmarkEnd w:id="27"/>
      <w:bookmarkEnd w:id="28"/>
    </w:p>
    <w:p w14:paraId="7782E4EA" w14:textId="77777777" w:rsidR="00F52665" w:rsidRDefault="00F52665" w:rsidP="00F52665">
      <w:pPr>
        <w:pStyle w:val="Heading3nonumbering"/>
      </w:pPr>
      <w:r>
        <w:t>Introduction</w:t>
      </w:r>
    </w:p>
    <w:p w14:paraId="7394D82B" w14:textId="6B01D621" w:rsidR="00F52665" w:rsidRDefault="00F52665" w:rsidP="00F52665">
      <w:pPr>
        <w:pStyle w:val="NumberedNormal"/>
      </w:pPr>
      <w:r>
        <w:t>The purpose of this condition is to calculate the term TAXA</w:t>
      </w:r>
      <w:r w:rsidRPr="00F52665">
        <w:rPr>
          <w:vertAlign w:val="subscript"/>
        </w:rPr>
        <w:t>t</w:t>
      </w:r>
      <w:r>
        <w:t xml:space="preserve"> (the </w:t>
      </w:r>
      <w:r w:rsidR="00614693">
        <w:t>T</w:t>
      </w:r>
      <w:r>
        <w:t xml:space="preserve">ax </w:t>
      </w:r>
      <w:r w:rsidR="00614693">
        <w:t>R</w:t>
      </w:r>
      <w:r>
        <w:t xml:space="preserve">eview adjustment term), which feeds into Calculated Revenue in Special Condition 2.1 (Revenue Restriction). </w:t>
      </w:r>
    </w:p>
    <w:p w14:paraId="3035F0DE" w14:textId="6EC10C14" w:rsidR="00F52665" w:rsidRDefault="00F52665" w:rsidP="00F52665">
      <w:pPr>
        <w:pStyle w:val="NumberedNormal"/>
      </w:pPr>
      <w:r>
        <w:t xml:space="preserve">The effect is to adjust </w:t>
      </w:r>
      <w:r w:rsidR="00E7137D">
        <w:t xml:space="preserve">Calculated Revenue </w:t>
      </w:r>
      <w:r>
        <w:t>following a review of differences between the licensee’s Calculated Tax Allowance and its Actual Corporation Tax Liability.</w:t>
      </w:r>
    </w:p>
    <w:p w14:paraId="2066493F" w14:textId="77777777" w:rsidR="00F52665" w:rsidRDefault="00F52665" w:rsidP="00F52665">
      <w:pPr>
        <w:pStyle w:val="NumberedNormal"/>
      </w:pPr>
      <w:r>
        <w:t>It also explains the process the Authority will follow when directing any change as a result of the review.</w:t>
      </w:r>
    </w:p>
    <w:p w14:paraId="0F14AC23" w14:textId="77777777" w:rsidR="00F52665" w:rsidRDefault="00F52665" w:rsidP="00F52665">
      <w:pPr>
        <w:pStyle w:val="Heading3"/>
        <w:numPr>
          <w:ilvl w:val="5"/>
          <w:numId w:val="1"/>
        </w:numPr>
      </w:pPr>
      <w:r>
        <w:t>Undertaking a Tax Review</w:t>
      </w:r>
    </w:p>
    <w:p w14:paraId="271C81AC" w14:textId="77777777" w:rsidR="00F52665" w:rsidRDefault="00F52665" w:rsidP="00F52665">
      <w:pPr>
        <w:pStyle w:val="NumberedNormal"/>
      </w:pPr>
      <w:r>
        <w:t>The Authority may undertake a Tax Review of any material differences between the licensee's Calculated Tax Allowance and its Actual Corporation Tax Liability.</w:t>
      </w:r>
    </w:p>
    <w:p w14:paraId="0BA77DDA" w14:textId="315E6C36" w:rsidR="00F52665" w:rsidRPr="000966D0" w:rsidRDefault="00F52665" w:rsidP="00F52665">
      <w:pPr>
        <w:pStyle w:val="NumberedNormal"/>
      </w:pPr>
      <w:r>
        <w:t>Where the Authority notifies the licensee that it has decided to undertake a Tax Review and given the reasons for that decision, the licensee must:</w:t>
      </w:r>
    </w:p>
    <w:p w14:paraId="3393C9EC" w14:textId="72BE7B4D" w:rsidR="00F52665" w:rsidRDefault="00F52665" w:rsidP="00F52665">
      <w:pPr>
        <w:pStyle w:val="ListNormal"/>
        <w:numPr>
          <w:ilvl w:val="3"/>
          <w:numId w:val="1"/>
        </w:numPr>
      </w:pPr>
      <w:r w:rsidRPr="000966D0">
        <w:t>procure an Appropriately Qualified Independent Examiner</w:t>
      </w:r>
      <w:r>
        <w:t xml:space="preserve"> to examine the differences between the licensee’s Calculated Tax Allowance and its Actual Corporation Tax Liability and provide a report to the Authority</w:t>
      </w:r>
      <w:r w:rsidRPr="000966D0">
        <w:t>;</w:t>
      </w:r>
    </w:p>
    <w:p w14:paraId="47B61F47" w14:textId="17A9F259" w:rsidR="00F52665" w:rsidRPr="000966D0" w:rsidRDefault="00F52665" w:rsidP="00F52665">
      <w:pPr>
        <w:pStyle w:val="ListNormal"/>
        <w:numPr>
          <w:ilvl w:val="3"/>
          <w:numId w:val="1"/>
        </w:numPr>
      </w:pPr>
      <w:r>
        <w:t xml:space="preserve">carry out any </w:t>
      </w:r>
      <w:r w:rsidRPr="000966D0">
        <w:t xml:space="preserve">steps </w:t>
      </w:r>
      <w:r>
        <w:t xml:space="preserve">specified by the Authority </w:t>
      </w:r>
      <w:r w:rsidRPr="000966D0">
        <w:t xml:space="preserve">for the procurement of an Appropriately Qualified Independent Examiner and </w:t>
      </w:r>
      <w:r>
        <w:t xml:space="preserve">comply with any requirements specified by the Authority as to </w:t>
      </w:r>
      <w:r w:rsidRPr="000966D0">
        <w:t>the terms of appointment of the Appropriately Qualified Independent Examiner;</w:t>
      </w:r>
    </w:p>
    <w:p w14:paraId="04C0B37A" w14:textId="17A1EEA8" w:rsidR="00262C75" w:rsidRPr="001E7680" w:rsidRDefault="00262C75" w:rsidP="00262C75">
      <w:pPr>
        <w:pStyle w:val="ListNormal"/>
      </w:pPr>
      <w:r w:rsidRPr="001E7680">
        <w:t>ensure that the Appropriately Qualified Independent Examiner carries out the work within the scope</w:t>
      </w:r>
      <w:r>
        <w:t>, and by the date,</w:t>
      </w:r>
      <w:r w:rsidRPr="001E7680">
        <w:t xml:space="preserve"> specified by the Authority; and</w:t>
      </w:r>
    </w:p>
    <w:p w14:paraId="51C3E80B" w14:textId="097CD1A1" w:rsidR="00F52665" w:rsidRPr="000966D0" w:rsidRDefault="00F52665" w:rsidP="00F52665">
      <w:pPr>
        <w:pStyle w:val="ListNormal"/>
        <w:numPr>
          <w:ilvl w:val="3"/>
          <w:numId w:val="1"/>
        </w:numPr>
      </w:pPr>
      <w:r>
        <w:t>submit to the Authority a report from the</w:t>
      </w:r>
      <w:r w:rsidRPr="000966D0">
        <w:t xml:space="preserve"> Appropriately Qualified Independent Examiner </w:t>
      </w:r>
      <w:r>
        <w:t>in the form, and containing the content, specified</w:t>
      </w:r>
      <w:r w:rsidR="00F46750">
        <w:t xml:space="preserve"> by</w:t>
      </w:r>
      <w:r w:rsidRPr="000966D0">
        <w:t xml:space="preserve"> </w:t>
      </w:r>
      <w:r>
        <w:t>the Authority.</w:t>
      </w:r>
    </w:p>
    <w:p w14:paraId="21DE6B9D" w14:textId="77777777" w:rsidR="00AC3BEC" w:rsidRPr="00AC3BEC" w:rsidRDefault="00F52665" w:rsidP="00C34E2A">
      <w:pPr>
        <w:pStyle w:val="NumberedNormal"/>
        <w:rPr>
          <w:rFonts w:asciiTheme="minorHAnsi" w:eastAsiaTheme="minorEastAsia" w:hAnsiTheme="minorHAnsi"/>
        </w:rPr>
      </w:pPr>
      <w:r>
        <w:t xml:space="preserve">Following receipt of the Appropriately Qualified Independent Examiner's report, the Authority will: </w:t>
      </w:r>
    </w:p>
    <w:p w14:paraId="3B51F442" w14:textId="07142CE0" w:rsidR="00AC3BEC" w:rsidRPr="00AC3BEC" w:rsidRDefault="00F52665" w:rsidP="00C34E2A">
      <w:pPr>
        <w:pStyle w:val="ListNormal"/>
        <w:rPr>
          <w:rFonts w:asciiTheme="minorHAnsi" w:eastAsiaTheme="minorEastAsia" w:hAnsiTheme="minorHAnsi"/>
        </w:rPr>
      </w:pPr>
      <w:r>
        <w:t>direct any adjustments to the value of the TAXA</w:t>
      </w:r>
      <w:r w:rsidRPr="00AC3BEC">
        <w:rPr>
          <w:vertAlign w:val="subscript"/>
        </w:rPr>
        <w:t>t</w:t>
      </w:r>
      <w:r>
        <w:t xml:space="preserve"> term that it considers </w:t>
      </w:r>
      <w:r w:rsidR="00614693">
        <w:t>should be made</w:t>
      </w:r>
      <w:r>
        <w:t xml:space="preserve">, and </w:t>
      </w:r>
    </w:p>
    <w:p w14:paraId="63A9C330" w14:textId="6BEC9752" w:rsidR="00F52665" w:rsidRPr="000966D0" w:rsidRDefault="00F52665" w:rsidP="00AC3BEC">
      <w:pPr>
        <w:pStyle w:val="ListNormal"/>
        <w:rPr>
          <w:rFonts w:asciiTheme="minorHAnsi" w:eastAsiaTheme="minorEastAsia" w:hAnsiTheme="minorHAnsi"/>
        </w:rPr>
      </w:pPr>
      <w:r>
        <w:t>specify the Regulatory Years to which those adjustments relate.</w:t>
      </w:r>
    </w:p>
    <w:p w14:paraId="02B1F670" w14:textId="77777777" w:rsidR="00F52665" w:rsidRDefault="00F52665" w:rsidP="00F52665">
      <w:pPr>
        <w:pStyle w:val="Heading3"/>
        <w:numPr>
          <w:ilvl w:val="5"/>
          <w:numId w:val="1"/>
        </w:numPr>
      </w:pPr>
      <w:r w:rsidRPr="00890F41">
        <w:lastRenderedPageBreak/>
        <w:t>What process will the Authority follow in making a direction?</w:t>
      </w:r>
    </w:p>
    <w:p w14:paraId="0047CCAE" w14:textId="5411193D" w:rsidR="00F52665" w:rsidRPr="00840F12" w:rsidRDefault="00F52665" w:rsidP="00F52665">
      <w:pPr>
        <w:pStyle w:val="NumberedNormal"/>
      </w:pPr>
      <w:r>
        <w:t>Before making a direction under paragraph 2.4.6, the Authority will publish on the Authority's Website:</w:t>
      </w:r>
    </w:p>
    <w:p w14:paraId="5D83E636" w14:textId="77777777" w:rsidR="00F52665" w:rsidRPr="00840F12" w:rsidRDefault="00F52665" w:rsidP="00F52665">
      <w:pPr>
        <w:pStyle w:val="ListNormal"/>
        <w:numPr>
          <w:ilvl w:val="3"/>
          <w:numId w:val="1"/>
        </w:numPr>
      </w:pPr>
      <w:r w:rsidRPr="00840F12">
        <w:t>the text of the proposed direction</w:t>
      </w:r>
      <w:r>
        <w:t>;</w:t>
      </w:r>
    </w:p>
    <w:p w14:paraId="28237C88" w14:textId="77777777" w:rsidR="00F52665" w:rsidRPr="00840F12" w:rsidRDefault="00F52665" w:rsidP="00F52665">
      <w:pPr>
        <w:pStyle w:val="ListNormal"/>
        <w:numPr>
          <w:ilvl w:val="3"/>
          <w:numId w:val="1"/>
        </w:numPr>
      </w:pPr>
      <w:r w:rsidRPr="00840F12">
        <w:t>the reasons for the proposed direction</w:t>
      </w:r>
      <w:r>
        <w:t>; and</w:t>
      </w:r>
    </w:p>
    <w:p w14:paraId="746D2B98" w14:textId="3E1F0AAD" w:rsidR="00F52665" w:rsidRPr="00840F12" w:rsidRDefault="00E72ACC" w:rsidP="00F52665">
      <w:pPr>
        <w:pStyle w:val="ListNormal"/>
        <w:numPr>
          <w:ilvl w:val="3"/>
          <w:numId w:val="1"/>
        </w:numPr>
        <w:rPr>
          <w:rFonts w:asciiTheme="minorHAnsi" w:eastAsiaTheme="minorEastAsia" w:hAnsiTheme="minorHAnsi"/>
          <w:szCs w:val="24"/>
        </w:rPr>
      </w:pPr>
      <w:bookmarkStart w:id="29" w:name="_Toc33187531"/>
      <w:bookmarkEnd w:id="29"/>
      <w:r>
        <w:t>a period during</w:t>
      </w:r>
      <w:r w:rsidR="00F52665" w:rsidRPr="00840F12">
        <w:t xml:space="preserve"> which representations on the proposed direction </w:t>
      </w:r>
      <w:r w:rsidR="00F52665" w:rsidRPr="24832A38">
        <w:t>may be made</w:t>
      </w:r>
      <w:r w:rsidR="00F52665" w:rsidRPr="00840F12">
        <w:t>, which will not be less than 28 days.</w:t>
      </w:r>
    </w:p>
    <w:p w14:paraId="0CE0B044" w14:textId="77777777" w:rsidR="00096A49" w:rsidRDefault="00096A49" w:rsidP="00096A49">
      <w:pPr>
        <w:pStyle w:val="Heading1"/>
      </w:pPr>
      <w:bookmarkStart w:id="30" w:name="_Toc51356506"/>
      <w:bookmarkStart w:id="31" w:name="_Toc51356507"/>
      <w:bookmarkStart w:id="32" w:name="_Toc51356508"/>
      <w:bookmarkStart w:id="33" w:name="_Toc51356509"/>
      <w:bookmarkStart w:id="34" w:name="_Toc51356510"/>
      <w:bookmarkStart w:id="35" w:name="_Toc51356511"/>
      <w:bookmarkStart w:id="36" w:name="_Toc51356512"/>
      <w:bookmarkStart w:id="37" w:name="_Toc51356519"/>
      <w:bookmarkStart w:id="38" w:name="_Toc51356522"/>
      <w:bookmarkStart w:id="39" w:name="_Toc51356523"/>
      <w:bookmarkStart w:id="40" w:name="_Toc51356524"/>
      <w:bookmarkStart w:id="41" w:name="_Toc51356525"/>
      <w:bookmarkStart w:id="42" w:name="_Toc51356526"/>
      <w:bookmarkStart w:id="43" w:name="_Toc51356527"/>
      <w:bookmarkStart w:id="44" w:name="_Toc51356528"/>
      <w:bookmarkStart w:id="45" w:name="_Toc51356529"/>
      <w:bookmarkStart w:id="46" w:name="_Toc51356533"/>
      <w:bookmarkStart w:id="47" w:name="_Toc51356536"/>
      <w:bookmarkStart w:id="48" w:name="_Toc51356539"/>
      <w:bookmarkStart w:id="49" w:name="_Toc51783606"/>
      <w:bookmarkStart w:id="50" w:name="_Toc33175310"/>
      <w:bookmarkStart w:id="51" w:name="_Toc33175847"/>
      <w:bookmarkStart w:id="52" w:name="_Toc52364534"/>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F24AB7">
        <w:lastRenderedPageBreak/>
        <w:t>Adjustments to Totex Allowance</w:t>
      </w:r>
      <w:bookmarkEnd w:id="49"/>
      <w:bookmarkEnd w:id="52"/>
    </w:p>
    <w:p w14:paraId="5DCF22A8" w14:textId="77777777" w:rsidR="004A1008" w:rsidRDefault="004A1008" w:rsidP="004A1008">
      <w:pPr>
        <w:pStyle w:val="Heading2"/>
        <w:numPr>
          <w:ilvl w:val="1"/>
          <w:numId w:val="7"/>
        </w:numPr>
      </w:pPr>
      <w:bookmarkStart w:id="53" w:name="_Toc51783612"/>
      <w:bookmarkStart w:id="54" w:name="_Toc51783607"/>
      <w:bookmarkStart w:id="55" w:name="_Toc52364535"/>
      <w:r>
        <w:t>Baseline Network Risk Output</w:t>
      </w:r>
      <w:bookmarkEnd w:id="53"/>
      <w:bookmarkEnd w:id="55"/>
    </w:p>
    <w:p w14:paraId="6E717240" w14:textId="77777777" w:rsidR="004A1008" w:rsidRPr="007729D8" w:rsidRDefault="004A1008" w:rsidP="004A1008">
      <w:pPr>
        <w:pStyle w:val="Heading3nonumbering"/>
      </w:pPr>
      <w:r w:rsidRPr="007729D8">
        <w:t xml:space="preserve">Introduction </w:t>
      </w:r>
    </w:p>
    <w:p w14:paraId="1138FEAF" w14:textId="674DC489" w:rsidR="004A1008" w:rsidRPr="007729D8" w:rsidRDefault="004A1008" w:rsidP="004A1008">
      <w:pPr>
        <w:pStyle w:val="NumberedNormal"/>
        <w:numPr>
          <w:ilvl w:val="2"/>
          <w:numId w:val="7"/>
        </w:numPr>
      </w:pPr>
      <w:r>
        <w:t>This condition sets out the requirements on the licensee in respect of Baseline Network Risk Output and specifies the Baseline Allowed NARM Expenditure associated with th</w:t>
      </w:r>
      <w:r w:rsidR="00742F56">
        <w:t>at</w:t>
      </w:r>
      <w:r>
        <w:t xml:space="preserve"> output, which contributed to the calculation of the Totex Allowance.</w:t>
      </w:r>
    </w:p>
    <w:p w14:paraId="528F35BF" w14:textId="77777777" w:rsidR="004A1008" w:rsidRPr="007729D8" w:rsidRDefault="004A1008" w:rsidP="004A1008">
      <w:pPr>
        <w:pStyle w:val="NumberedNormal"/>
        <w:numPr>
          <w:ilvl w:val="2"/>
          <w:numId w:val="7"/>
        </w:numPr>
      </w:pPr>
      <w:r>
        <w:t>It also sets out the requirements on the licensee in respect of the NARM Closeout Report.</w:t>
      </w:r>
    </w:p>
    <w:p w14:paraId="5B0DC6BD" w14:textId="77777777" w:rsidR="004A1008" w:rsidRPr="007729D8" w:rsidRDefault="004A1008" w:rsidP="004A1008">
      <w:pPr>
        <w:pStyle w:val="Heading3"/>
        <w:numPr>
          <w:ilvl w:val="5"/>
          <w:numId w:val="7"/>
        </w:numPr>
      </w:pPr>
      <w:r>
        <w:t>Requirement to deliver Baseline Network Risk Output</w:t>
      </w:r>
    </w:p>
    <w:p w14:paraId="3A8E1F25" w14:textId="77777777" w:rsidR="004A1008" w:rsidRPr="007729D8" w:rsidRDefault="004A1008" w:rsidP="004A1008">
      <w:pPr>
        <w:pStyle w:val="NumberedNormal"/>
        <w:numPr>
          <w:ilvl w:val="2"/>
          <w:numId w:val="7"/>
        </w:numPr>
      </w:pPr>
      <w:r>
        <w:t>By the end of the Price Control Period, the licensee must deliver its Baseline Network Risk Output either:</w:t>
      </w:r>
    </w:p>
    <w:p w14:paraId="794DAA27" w14:textId="77777777" w:rsidR="004A1008" w:rsidRPr="007729D8" w:rsidRDefault="004A1008" w:rsidP="004A1008">
      <w:pPr>
        <w:pStyle w:val="ListNormal"/>
        <w:numPr>
          <w:ilvl w:val="3"/>
          <w:numId w:val="7"/>
        </w:numPr>
      </w:pPr>
      <w:r>
        <w:t xml:space="preserve">in accordance with its Network Asset Risk Workbook, or </w:t>
      </w:r>
    </w:p>
    <w:p w14:paraId="33858099" w14:textId="77777777" w:rsidR="004A1008" w:rsidRPr="007729D8" w:rsidRDefault="004A1008" w:rsidP="004A1008">
      <w:pPr>
        <w:pStyle w:val="ListNormal"/>
        <w:numPr>
          <w:ilvl w:val="3"/>
          <w:numId w:val="7"/>
        </w:numPr>
      </w:pPr>
      <w:r>
        <w:t xml:space="preserve">through Materially Equivalent Network Risk Outputs.    </w:t>
      </w:r>
    </w:p>
    <w:p w14:paraId="23A32CC0" w14:textId="77777777" w:rsidR="004A1008" w:rsidRPr="007729D8" w:rsidRDefault="004A1008" w:rsidP="004A1008">
      <w:pPr>
        <w:pStyle w:val="Heading3"/>
        <w:numPr>
          <w:ilvl w:val="5"/>
          <w:numId w:val="7"/>
        </w:numPr>
      </w:pPr>
      <w:r>
        <w:t>Baseline Allowed NARM Expenditure for Baseline Network Risk Output</w:t>
      </w:r>
    </w:p>
    <w:p w14:paraId="45F879F2" w14:textId="2737AB93" w:rsidR="004A1008" w:rsidRPr="007729D8" w:rsidRDefault="004A1008" w:rsidP="004A1008">
      <w:pPr>
        <w:pStyle w:val="NumberedNormal"/>
        <w:numPr>
          <w:ilvl w:val="2"/>
          <w:numId w:val="7"/>
        </w:numPr>
      </w:pPr>
      <w:r>
        <w:t xml:space="preserve">The licensee's Baseline Allowed NARM Expenditure for delivering its Baseline Network Risk Output is set out in </w:t>
      </w:r>
      <w:r w:rsidR="00D001B4">
        <w:t xml:space="preserve">Appendix </w:t>
      </w:r>
      <w:r>
        <w:t xml:space="preserve">1. </w:t>
      </w:r>
    </w:p>
    <w:p w14:paraId="205BEAA9" w14:textId="77777777" w:rsidR="004A1008" w:rsidRPr="007729D8" w:rsidRDefault="004A1008" w:rsidP="004A1008">
      <w:pPr>
        <w:pStyle w:val="Heading3"/>
        <w:numPr>
          <w:ilvl w:val="5"/>
          <w:numId w:val="7"/>
        </w:numPr>
      </w:pPr>
      <w:r>
        <w:t>Process for Rebasing Baseline Network Risk Output</w:t>
      </w:r>
    </w:p>
    <w:p w14:paraId="014608B9" w14:textId="77777777" w:rsidR="004A1008" w:rsidRPr="007729D8" w:rsidRDefault="004A1008" w:rsidP="004A1008">
      <w:pPr>
        <w:pStyle w:val="NumberedNormal"/>
        <w:numPr>
          <w:ilvl w:val="2"/>
          <w:numId w:val="7"/>
        </w:numPr>
      </w:pPr>
      <w:r>
        <w:t xml:space="preserve">Rebased Baseline Network Risk Output submitted in accordance with Part C of Special Condition 9.2 (Network Asset Risk Metric Methodology) must: </w:t>
      </w:r>
    </w:p>
    <w:p w14:paraId="76C964F0" w14:textId="77777777" w:rsidR="004A1008" w:rsidRPr="007729D8" w:rsidRDefault="004A1008" w:rsidP="004A1008">
      <w:pPr>
        <w:pStyle w:val="ListNormal"/>
        <w:numPr>
          <w:ilvl w:val="3"/>
          <w:numId w:val="7"/>
        </w:numPr>
      </w:pPr>
      <w:r>
        <w:t xml:space="preserve">be calculated using the NARM Methodology as approved under paragraph 9.2.8 of Special Condition 9.2;  </w:t>
      </w:r>
    </w:p>
    <w:p w14:paraId="2732532F" w14:textId="77777777" w:rsidR="004A1008" w:rsidRPr="007729D8" w:rsidRDefault="004A1008" w:rsidP="004A1008">
      <w:pPr>
        <w:pStyle w:val="ListNormal"/>
        <w:numPr>
          <w:ilvl w:val="3"/>
          <w:numId w:val="7"/>
        </w:numPr>
      </w:pPr>
      <w:r>
        <w:t xml:space="preserve">be representative of the same assumed volume and type of intervention for each NARM Asset Category as assumed in the setting of the Baseline Network Risk Output; </w:t>
      </w:r>
    </w:p>
    <w:p w14:paraId="50AE0B2A" w14:textId="77777777" w:rsidR="004A1008" w:rsidRPr="007729D8" w:rsidRDefault="004A1008" w:rsidP="004A1008">
      <w:pPr>
        <w:pStyle w:val="ListNormal"/>
        <w:numPr>
          <w:ilvl w:val="3"/>
          <w:numId w:val="7"/>
        </w:numPr>
      </w:pPr>
      <w:r>
        <w:t>be as Equally Challenging as the Baseline Network Risk Output; and</w:t>
      </w:r>
    </w:p>
    <w:p w14:paraId="3FEF22F9" w14:textId="77777777" w:rsidR="004A1008" w:rsidRPr="007729D8" w:rsidRDefault="004A1008" w:rsidP="004A1008">
      <w:pPr>
        <w:pStyle w:val="ListNormal"/>
        <w:numPr>
          <w:ilvl w:val="3"/>
          <w:numId w:val="7"/>
        </w:numPr>
      </w:pPr>
      <w:r>
        <w:t>be in the same format as the Network Asset Risk Workbook.</w:t>
      </w:r>
    </w:p>
    <w:p w14:paraId="541D86B1" w14:textId="77777777" w:rsidR="004A1008" w:rsidRPr="007729D8" w:rsidRDefault="004A1008" w:rsidP="004A1008">
      <w:pPr>
        <w:pStyle w:val="NumberedNormal"/>
        <w:numPr>
          <w:ilvl w:val="2"/>
          <w:numId w:val="7"/>
        </w:numPr>
      </w:pPr>
      <w:r>
        <w:t>Where the licensee proposes  Rebased Baseline Network Risk Output</w:t>
      </w:r>
      <w:r w:rsidRPr="00306070">
        <w:t xml:space="preserve"> </w:t>
      </w:r>
      <w:r>
        <w:t>in accordance with Part C of Special Condition 9.2, the Authority will consider the proposal and by direction either:</w:t>
      </w:r>
    </w:p>
    <w:p w14:paraId="0BC52525" w14:textId="77777777" w:rsidR="004A1008" w:rsidRPr="007729D8" w:rsidRDefault="004A1008" w:rsidP="004A1008">
      <w:pPr>
        <w:pStyle w:val="ListNormal"/>
        <w:numPr>
          <w:ilvl w:val="3"/>
          <w:numId w:val="7"/>
        </w:numPr>
      </w:pPr>
      <w:r>
        <w:t xml:space="preserve">approve it; </w:t>
      </w:r>
    </w:p>
    <w:p w14:paraId="252EC50D" w14:textId="77777777" w:rsidR="004A1008" w:rsidRPr="007729D8" w:rsidRDefault="004A1008" w:rsidP="004A1008">
      <w:pPr>
        <w:pStyle w:val="ListNormal"/>
        <w:numPr>
          <w:ilvl w:val="3"/>
          <w:numId w:val="7"/>
        </w:numPr>
      </w:pPr>
      <w:r>
        <w:t>approve it with adjustments; or</w:t>
      </w:r>
    </w:p>
    <w:p w14:paraId="0E4A3794" w14:textId="77777777" w:rsidR="004A1008" w:rsidRPr="007729D8" w:rsidRDefault="004A1008" w:rsidP="004A1008">
      <w:pPr>
        <w:pStyle w:val="ListNormal"/>
        <w:numPr>
          <w:ilvl w:val="3"/>
          <w:numId w:val="7"/>
        </w:numPr>
      </w:pPr>
      <w:r>
        <w:t>reject it.</w:t>
      </w:r>
    </w:p>
    <w:p w14:paraId="5042D08D" w14:textId="2569EDE7" w:rsidR="004A1008" w:rsidRPr="007729D8" w:rsidRDefault="004A1008" w:rsidP="004A1008">
      <w:pPr>
        <w:pStyle w:val="NumberedNormal"/>
        <w:numPr>
          <w:ilvl w:val="2"/>
          <w:numId w:val="7"/>
        </w:numPr>
      </w:pPr>
      <w:r>
        <w:t>Before issuing a direction under paragraph 3.</w:t>
      </w:r>
      <w:r w:rsidR="005E5FAA">
        <w:t>1</w:t>
      </w:r>
      <w:r>
        <w:t>.6, the Authority will publish on the Authority’s Website:</w:t>
      </w:r>
    </w:p>
    <w:p w14:paraId="2E479C5F" w14:textId="77777777" w:rsidR="004A1008" w:rsidRPr="007729D8" w:rsidRDefault="004A1008" w:rsidP="004A1008">
      <w:pPr>
        <w:pStyle w:val="ListNormal"/>
        <w:numPr>
          <w:ilvl w:val="3"/>
          <w:numId w:val="7"/>
        </w:numPr>
      </w:pPr>
      <w:r>
        <w:lastRenderedPageBreak/>
        <w:t>the text of the proposed direction;</w:t>
      </w:r>
    </w:p>
    <w:p w14:paraId="0C46B89D" w14:textId="77777777" w:rsidR="004A1008" w:rsidRPr="007729D8" w:rsidRDefault="004A1008" w:rsidP="004A1008">
      <w:pPr>
        <w:pStyle w:val="ListNormal"/>
        <w:numPr>
          <w:ilvl w:val="3"/>
          <w:numId w:val="7"/>
        </w:numPr>
      </w:pPr>
      <w:r>
        <w:t>the date on which the Authority intends the proposed direction to come into effect;</w:t>
      </w:r>
    </w:p>
    <w:p w14:paraId="1025192F" w14:textId="77777777" w:rsidR="004A1008" w:rsidRPr="007729D8" w:rsidRDefault="004A1008" w:rsidP="004A1008">
      <w:pPr>
        <w:pStyle w:val="ListNormal"/>
        <w:numPr>
          <w:ilvl w:val="3"/>
          <w:numId w:val="7"/>
        </w:numPr>
      </w:pPr>
      <w:r>
        <w:t>the reasons why it proposes to issue the direction; and</w:t>
      </w:r>
    </w:p>
    <w:p w14:paraId="7A43D1C0" w14:textId="77777777" w:rsidR="004A1008" w:rsidRPr="007729D8" w:rsidRDefault="004A1008" w:rsidP="004A1008">
      <w:pPr>
        <w:pStyle w:val="ListNormal"/>
        <w:numPr>
          <w:ilvl w:val="3"/>
          <w:numId w:val="7"/>
        </w:numPr>
      </w:pPr>
      <w:r>
        <w:t>a period during which representations may be made on the proposed direction, which will not be less than 28 days.</w:t>
      </w:r>
    </w:p>
    <w:p w14:paraId="16D29D00" w14:textId="38A2899B" w:rsidR="004A1008" w:rsidRPr="007729D8" w:rsidRDefault="004A1008" w:rsidP="004A1008">
      <w:pPr>
        <w:pStyle w:val="NumberedNormal"/>
        <w:numPr>
          <w:ilvl w:val="2"/>
          <w:numId w:val="7"/>
        </w:numPr>
      </w:pPr>
      <w:r>
        <w:t>Any Rebased Baseline Network Risk Output approved by the Auth</w:t>
      </w:r>
      <w:r w:rsidR="005E5FAA">
        <w:t>ority under paragraph 3.1</w:t>
      </w:r>
      <w:r>
        <w:t>.</w:t>
      </w:r>
      <w:r w:rsidR="00800D94">
        <w:t>7</w:t>
      </w:r>
      <w:r>
        <w:t xml:space="preserve">(a) or (b) will supersede the Baseline Network Risk Output for the purpose of this condition.  </w:t>
      </w:r>
    </w:p>
    <w:p w14:paraId="28DDD25B" w14:textId="77777777" w:rsidR="004A1008" w:rsidRPr="007729D8" w:rsidRDefault="004A1008" w:rsidP="004A1008">
      <w:pPr>
        <w:pStyle w:val="Heading3"/>
        <w:numPr>
          <w:ilvl w:val="5"/>
          <w:numId w:val="7"/>
        </w:numPr>
      </w:pPr>
      <w:r>
        <w:t xml:space="preserve">Requirement to provide the NARM Closeout Report </w:t>
      </w:r>
    </w:p>
    <w:p w14:paraId="60DBC03A" w14:textId="77777777" w:rsidR="004A1008" w:rsidRPr="007729D8" w:rsidRDefault="004A1008" w:rsidP="004A1008">
      <w:pPr>
        <w:pStyle w:val="NumberedNormal"/>
        <w:numPr>
          <w:ilvl w:val="2"/>
          <w:numId w:val="7"/>
        </w:numPr>
      </w:pPr>
      <w:r>
        <w:t>By 31 October 2026, the licensee must provide to the Authority the NARM Closeout Report, together with detailed supporting evidence, which sets out the following:</w:t>
      </w:r>
    </w:p>
    <w:p w14:paraId="696A62BC" w14:textId="77777777" w:rsidR="004A1008" w:rsidRPr="007729D8" w:rsidRDefault="004A1008" w:rsidP="004A1008">
      <w:pPr>
        <w:pStyle w:val="ListNormal"/>
        <w:numPr>
          <w:ilvl w:val="3"/>
          <w:numId w:val="7"/>
        </w:numPr>
      </w:pPr>
      <w:r>
        <w:t xml:space="preserve">the licensee’s Outturn Network Risk Outputs; </w:t>
      </w:r>
    </w:p>
    <w:p w14:paraId="315AB531" w14:textId="12F99F86" w:rsidR="004A1008" w:rsidRPr="007729D8" w:rsidRDefault="004A1008" w:rsidP="004A1008">
      <w:pPr>
        <w:pStyle w:val="ListNormal"/>
        <w:numPr>
          <w:ilvl w:val="3"/>
          <w:numId w:val="7"/>
        </w:numPr>
      </w:pPr>
      <w:r>
        <w:t>the costs incurred by the licensee in delivering its Outturn Network Risk Outputs and a breakdown of those costs in the manner specified by the Authority</w:t>
      </w:r>
      <w:r w:rsidR="00413513">
        <w:t xml:space="preserve"> by direction</w:t>
      </w:r>
      <w:r>
        <w:t>;</w:t>
      </w:r>
    </w:p>
    <w:p w14:paraId="7FE5EC0B" w14:textId="77777777" w:rsidR="004A1008" w:rsidRPr="007729D8" w:rsidRDefault="004A1008" w:rsidP="004A1008">
      <w:pPr>
        <w:pStyle w:val="ListNormal"/>
        <w:numPr>
          <w:ilvl w:val="3"/>
          <w:numId w:val="7"/>
        </w:numPr>
      </w:pPr>
      <w:r>
        <w:t>details of any Material Non-intervention Risk Changes, including the associated impact on Baseline Network Risk Output or Outturn Network Risk Outputs;</w:t>
      </w:r>
    </w:p>
    <w:p w14:paraId="329D5AA2" w14:textId="77777777" w:rsidR="004A1008" w:rsidRPr="007729D8" w:rsidRDefault="004A1008" w:rsidP="004A1008">
      <w:pPr>
        <w:pStyle w:val="ListNormal"/>
        <w:numPr>
          <w:ilvl w:val="3"/>
          <w:numId w:val="7"/>
        </w:numPr>
      </w:pPr>
      <w:r>
        <w:t xml:space="preserve">the licensee’s view of delivered cost efficiencies relative to Baseline Allowed NARM Expenditure for schemes or programmes of work assumed in the calculation of  its Baseline Network Risk Output, and evidence that those efficiencies have not been offset by higher costs elsewhere; </w:t>
      </w:r>
    </w:p>
    <w:p w14:paraId="59AABD69" w14:textId="77777777" w:rsidR="004A1008" w:rsidRPr="007729D8" w:rsidRDefault="004A1008" w:rsidP="004A1008">
      <w:pPr>
        <w:pStyle w:val="ListNormal"/>
        <w:numPr>
          <w:ilvl w:val="3"/>
          <w:numId w:val="7"/>
        </w:numPr>
      </w:pPr>
      <w:r>
        <w:t xml:space="preserve">justification cases for any portions of over-delivery or under-delivery against Baseline Network Risk Output that the licensee considers to be justified. </w:t>
      </w:r>
    </w:p>
    <w:p w14:paraId="03CA35C1" w14:textId="77777777" w:rsidR="00D001B4" w:rsidRDefault="00D001B4" w:rsidP="00D001B4">
      <w:pPr>
        <w:pStyle w:val="AppendixHeading"/>
      </w:pPr>
      <w:r>
        <w:t xml:space="preserve"> </w:t>
      </w:r>
    </w:p>
    <w:p w14:paraId="775BE718" w14:textId="4A85A2FA" w:rsidR="00D001B4" w:rsidRPr="005F3652" w:rsidRDefault="00D001B4" w:rsidP="004E1E8E">
      <w:pPr>
        <w:pStyle w:val="AppendixText"/>
      </w:pPr>
      <w:r w:rsidRPr="005F3652">
        <w:t>Baseline Allowed NARM Expenditure for delivering Baseline Network Risk Output</w:t>
      </w:r>
    </w:p>
    <w:tbl>
      <w:tblPr>
        <w:tblStyle w:val="AppendixTable"/>
        <w:tblW w:w="5000" w:type="pct"/>
        <w:tblLook w:val="04E0" w:firstRow="1" w:lastRow="1" w:firstColumn="1" w:lastColumn="0" w:noHBand="0" w:noVBand="1"/>
      </w:tblPr>
      <w:tblGrid>
        <w:gridCol w:w="2648"/>
        <w:gridCol w:w="6378"/>
      </w:tblGrid>
      <w:tr w:rsidR="00D001B4" w:rsidRPr="000D7B7B" w14:paraId="0169A81B" w14:textId="77777777" w:rsidTr="00F543B6">
        <w:trPr>
          <w:cnfStyle w:val="100000000000" w:firstRow="1" w:lastRow="0" w:firstColumn="0" w:lastColumn="0" w:oddVBand="0" w:evenVBand="0" w:oddHBand="0" w:evenHBand="0" w:firstRowFirstColumn="0" w:firstRowLastColumn="0" w:lastRowFirstColumn="0" w:lastRowLastColumn="0"/>
          <w:trHeight w:val="282"/>
        </w:trPr>
        <w:tc>
          <w:tcPr>
            <w:tcW w:w="1467" w:type="pct"/>
          </w:tcPr>
          <w:p w14:paraId="1BBD81D3" w14:textId="77777777" w:rsidR="00D001B4" w:rsidRPr="007729D8" w:rsidRDefault="00D001B4" w:rsidP="00F543B6">
            <w:r>
              <w:t xml:space="preserve">Regulatory </w:t>
            </w:r>
            <w:r w:rsidRPr="007729D8">
              <w:t>Year</w:t>
            </w:r>
          </w:p>
        </w:tc>
        <w:tc>
          <w:tcPr>
            <w:tcW w:w="3533" w:type="pct"/>
          </w:tcPr>
          <w:p w14:paraId="502A4A1A" w14:textId="77777777" w:rsidR="00D001B4" w:rsidRPr="007729D8" w:rsidRDefault="00D001B4" w:rsidP="00F543B6">
            <w:r w:rsidRPr="007729D8">
              <w:t xml:space="preserve">Baseline Allowed NARM Expenditure </w:t>
            </w:r>
          </w:p>
        </w:tc>
      </w:tr>
      <w:tr w:rsidR="00D001B4" w:rsidRPr="000D7B7B" w14:paraId="6A89F7F0" w14:textId="77777777" w:rsidTr="00F543B6">
        <w:trPr>
          <w:trHeight w:val="297"/>
        </w:trPr>
        <w:tc>
          <w:tcPr>
            <w:tcW w:w="1467" w:type="pct"/>
          </w:tcPr>
          <w:p w14:paraId="4D62D36C" w14:textId="77777777" w:rsidR="00D001B4" w:rsidRPr="007729D8" w:rsidRDefault="00D001B4" w:rsidP="00F543B6">
            <w:r w:rsidRPr="007729D8">
              <w:t>2021/22</w:t>
            </w:r>
          </w:p>
        </w:tc>
        <w:tc>
          <w:tcPr>
            <w:tcW w:w="3533" w:type="pct"/>
          </w:tcPr>
          <w:p w14:paraId="6355B83D" w14:textId="77777777" w:rsidR="00D001B4" w:rsidRPr="007729D8" w:rsidRDefault="00D001B4" w:rsidP="00F543B6"/>
        </w:tc>
      </w:tr>
      <w:tr w:rsidR="00D001B4" w:rsidRPr="000D7B7B" w14:paraId="52185574" w14:textId="77777777" w:rsidTr="00F543B6">
        <w:trPr>
          <w:trHeight w:val="291"/>
        </w:trPr>
        <w:tc>
          <w:tcPr>
            <w:tcW w:w="1467" w:type="pct"/>
          </w:tcPr>
          <w:p w14:paraId="49F9B516" w14:textId="77777777" w:rsidR="00D001B4" w:rsidRPr="007729D8" w:rsidRDefault="00D001B4" w:rsidP="00F543B6">
            <w:r w:rsidRPr="007729D8">
              <w:t>2022/23</w:t>
            </w:r>
          </w:p>
        </w:tc>
        <w:tc>
          <w:tcPr>
            <w:tcW w:w="3533" w:type="pct"/>
          </w:tcPr>
          <w:p w14:paraId="0BA4F359" w14:textId="77777777" w:rsidR="00D001B4" w:rsidRPr="007729D8" w:rsidRDefault="00D001B4" w:rsidP="00F543B6"/>
        </w:tc>
      </w:tr>
      <w:tr w:rsidR="00D001B4" w:rsidRPr="000D7B7B" w14:paraId="0AE0F438" w14:textId="77777777" w:rsidTr="00F543B6">
        <w:trPr>
          <w:trHeight w:val="322"/>
        </w:trPr>
        <w:tc>
          <w:tcPr>
            <w:tcW w:w="1467" w:type="pct"/>
          </w:tcPr>
          <w:p w14:paraId="0A931EDB" w14:textId="77777777" w:rsidR="00D001B4" w:rsidRPr="007729D8" w:rsidRDefault="00D001B4" w:rsidP="00F543B6">
            <w:r w:rsidRPr="007729D8">
              <w:t>2023/24</w:t>
            </w:r>
          </w:p>
        </w:tc>
        <w:tc>
          <w:tcPr>
            <w:tcW w:w="3533" w:type="pct"/>
          </w:tcPr>
          <w:p w14:paraId="4913779F" w14:textId="77777777" w:rsidR="00D001B4" w:rsidRPr="007729D8" w:rsidRDefault="00D001B4" w:rsidP="00F543B6"/>
        </w:tc>
      </w:tr>
      <w:tr w:rsidR="00D001B4" w:rsidRPr="000D7B7B" w14:paraId="306CA60A" w14:textId="77777777" w:rsidTr="00F543B6">
        <w:trPr>
          <w:trHeight w:val="322"/>
        </w:trPr>
        <w:tc>
          <w:tcPr>
            <w:tcW w:w="1467" w:type="pct"/>
          </w:tcPr>
          <w:p w14:paraId="7305B992" w14:textId="77777777" w:rsidR="00D001B4" w:rsidRPr="007729D8" w:rsidRDefault="00D001B4" w:rsidP="00F543B6">
            <w:r w:rsidRPr="007729D8">
              <w:t>2024/25</w:t>
            </w:r>
          </w:p>
        </w:tc>
        <w:tc>
          <w:tcPr>
            <w:tcW w:w="3533" w:type="pct"/>
          </w:tcPr>
          <w:p w14:paraId="3DACFCD7" w14:textId="77777777" w:rsidR="00D001B4" w:rsidRPr="007729D8" w:rsidRDefault="00D001B4" w:rsidP="00F543B6"/>
        </w:tc>
      </w:tr>
      <w:tr w:rsidR="00D001B4" w:rsidRPr="000D7B7B" w14:paraId="0E59373B" w14:textId="77777777" w:rsidTr="00F543B6">
        <w:trPr>
          <w:trHeight w:val="322"/>
        </w:trPr>
        <w:tc>
          <w:tcPr>
            <w:tcW w:w="1467" w:type="pct"/>
          </w:tcPr>
          <w:p w14:paraId="532A909E" w14:textId="77777777" w:rsidR="00D001B4" w:rsidRPr="007729D8" w:rsidRDefault="00D001B4" w:rsidP="00F543B6">
            <w:r w:rsidRPr="007729D8">
              <w:t>2025/26</w:t>
            </w:r>
          </w:p>
        </w:tc>
        <w:tc>
          <w:tcPr>
            <w:tcW w:w="3533" w:type="pct"/>
          </w:tcPr>
          <w:p w14:paraId="22FAE613" w14:textId="77777777" w:rsidR="00D001B4" w:rsidRPr="007729D8" w:rsidRDefault="00D001B4" w:rsidP="00F543B6"/>
        </w:tc>
      </w:tr>
      <w:tr w:rsidR="00D001B4" w:rsidRPr="000D7B7B" w14:paraId="7A3E258E" w14:textId="77777777" w:rsidTr="00F543B6">
        <w:trPr>
          <w:cnfStyle w:val="010000000000" w:firstRow="0" w:lastRow="1" w:firstColumn="0" w:lastColumn="0" w:oddVBand="0" w:evenVBand="0" w:oddHBand="0" w:evenHBand="0" w:firstRowFirstColumn="0" w:firstRowLastColumn="0" w:lastRowFirstColumn="0" w:lastRowLastColumn="0"/>
          <w:trHeight w:val="322"/>
        </w:trPr>
        <w:tc>
          <w:tcPr>
            <w:tcW w:w="1467" w:type="pct"/>
          </w:tcPr>
          <w:p w14:paraId="0FA87B1F" w14:textId="77777777" w:rsidR="00D001B4" w:rsidRPr="007729D8" w:rsidRDefault="00D001B4" w:rsidP="00F543B6">
            <w:r w:rsidRPr="007729D8">
              <w:t>RIIO-2 Total</w:t>
            </w:r>
          </w:p>
        </w:tc>
        <w:tc>
          <w:tcPr>
            <w:tcW w:w="3533" w:type="pct"/>
          </w:tcPr>
          <w:p w14:paraId="4D881FF0" w14:textId="77777777" w:rsidR="00D001B4" w:rsidRPr="007729D8" w:rsidRDefault="00D001B4" w:rsidP="00F543B6"/>
        </w:tc>
      </w:tr>
    </w:tbl>
    <w:p w14:paraId="063146B4" w14:textId="77777777" w:rsidR="004A1008" w:rsidRPr="00D32B52" w:rsidRDefault="004A1008" w:rsidP="004A1008">
      <w:pPr>
        <w:pStyle w:val="NumberedNormal"/>
        <w:numPr>
          <w:ilvl w:val="0"/>
          <w:numId w:val="0"/>
        </w:numPr>
        <w:ind w:left="879"/>
      </w:pPr>
    </w:p>
    <w:p w14:paraId="5DF1DACC" w14:textId="1FC81197" w:rsidR="004A1008" w:rsidRDefault="004A1008" w:rsidP="004A1008">
      <w:pPr>
        <w:pStyle w:val="Heading2"/>
        <w:numPr>
          <w:ilvl w:val="1"/>
          <w:numId w:val="7"/>
        </w:numPr>
      </w:pPr>
      <w:bookmarkStart w:id="56" w:name="_Toc51783613"/>
      <w:bookmarkStart w:id="57" w:name="_Toc52364536"/>
      <w:r w:rsidRPr="00D32B52">
        <w:lastRenderedPageBreak/>
        <w:t xml:space="preserve">Cyber resilience </w:t>
      </w:r>
      <w:r>
        <w:t>o</w:t>
      </w:r>
      <w:r w:rsidRPr="00D32B52">
        <w:t xml:space="preserve">perational </w:t>
      </w:r>
      <w:r>
        <w:t>t</w:t>
      </w:r>
      <w:r w:rsidRPr="00D32B52">
        <w:t xml:space="preserve">echnology </w:t>
      </w:r>
      <w:r>
        <w:t xml:space="preserve">Re-opener and </w:t>
      </w:r>
      <w:r w:rsidRPr="00D32B52">
        <w:t>Price Control Deliverable</w:t>
      </w:r>
      <w:r>
        <w:t xml:space="preserve"> (CRO</w:t>
      </w:r>
      <w:r w:rsidR="00201C9F">
        <w:t>T</w:t>
      </w:r>
      <w:r w:rsidRPr="00DD5526">
        <w:rPr>
          <w:vertAlign w:val="subscript"/>
        </w:rPr>
        <w:t>t</w:t>
      </w:r>
      <w:r>
        <w:t>)</w:t>
      </w:r>
      <w:bookmarkEnd w:id="56"/>
      <w:bookmarkEnd w:id="57"/>
    </w:p>
    <w:p w14:paraId="2263ABF6" w14:textId="77777777" w:rsidR="004A1008" w:rsidRPr="00E319A7" w:rsidRDefault="004A1008" w:rsidP="004A1008">
      <w:pPr>
        <w:pStyle w:val="Heading3nonumbering"/>
      </w:pPr>
      <w:r w:rsidRPr="00E319A7">
        <w:t xml:space="preserve">Introduction </w:t>
      </w:r>
    </w:p>
    <w:p w14:paraId="64C8CCC3" w14:textId="77777777" w:rsidR="004A1008" w:rsidRPr="00E319A7" w:rsidRDefault="004A1008" w:rsidP="004A1008">
      <w:pPr>
        <w:pStyle w:val="NumberedNormal"/>
        <w:numPr>
          <w:ilvl w:val="2"/>
          <w:numId w:val="7"/>
        </w:numPr>
      </w:pPr>
      <w:r>
        <w:t>The purpose of this condition is to calculate the term CROT</w:t>
      </w:r>
      <w:r w:rsidRPr="00DD5526">
        <w:rPr>
          <w:vertAlign w:val="subscript"/>
        </w:rPr>
        <w:t>t</w:t>
      </w:r>
      <w:r>
        <w:t xml:space="preserve"> (the Cyber Resilience Price Control Deliverable term). This contributes to the calculation of the Totex Allowance. </w:t>
      </w:r>
    </w:p>
    <w:p w14:paraId="0664513A" w14:textId="77777777" w:rsidR="004A1008" w:rsidRPr="00E319A7" w:rsidRDefault="004A1008" w:rsidP="004A1008">
      <w:pPr>
        <w:pStyle w:val="NumberedNormal"/>
        <w:numPr>
          <w:ilvl w:val="2"/>
          <w:numId w:val="7"/>
        </w:numPr>
      </w:pPr>
      <w:r>
        <w:t>The effect of this condition is to:</w:t>
      </w:r>
    </w:p>
    <w:p w14:paraId="518CBF43" w14:textId="77777777" w:rsidR="004A1008" w:rsidRPr="00E319A7" w:rsidRDefault="004A1008" w:rsidP="004A1008">
      <w:pPr>
        <w:pStyle w:val="ListNormal"/>
        <w:numPr>
          <w:ilvl w:val="3"/>
          <w:numId w:val="7"/>
        </w:numPr>
      </w:pPr>
      <w:r>
        <w:t>specify the outputs, delivery dates and associated allowances for the Price Control Deliverable;</w:t>
      </w:r>
    </w:p>
    <w:p w14:paraId="1F925917" w14:textId="77777777" w:rsidR="004A1008" w:rsidRPr="00E319A7" w:rsidRDefault="004A1008" w:rsidP="004A1008">
      <w:pPr>
        <w:pStyle w:val="ListNormal"/>
        <w:numPr>
          <w:ilvl w:val="3"/>
          <w:numId w:val="7"/>
        </w:numPr>
      </w:pPr>
      <w:r>
        <w:t xml:space="preserve">require the licensee to submit a Cyber Resilience OT Plan at the start of the Price Control Period; </w:t>
      </w:r>
    </w:p>
    <w:p w14:paraId="4C708279" w14:textId="77777777" w:rsidR="004A1008" w:rsidRPr="00E319A7" w:rsidRDefault="004A1008" w:rsidP="004A1008">
      <w:pPr>
        <w:pStyle w:val="ListNormal"/>
        <w:numPr>
          <w:ilvl w:val="3"/>
          <w:numId w:val="7"/>
        </w:numPr>
      </w:pPr>
      <w:r>
        <w:t>establish a Re-opener for the licensee and Authority to trigger amendments to the Price Control Deliverable during the Price Control Period; and</w:t>
      </w:r>
    </w:p>
    <w:p w14:paraId="134A41DD" w14:textId="77777777" w:rsidR="004A1008" w:rsidRPr="00E319A7" w:rsidRDefault="004A1008" w:rsidP="004A1008">
      <w:pPr>
        <w:pStyle w:val="ListNormal"/>
        <w:numPr>
          <w:ilvl w:val="3"/>
          <w:numId w:val="7"/>
        </w:numPr>
      </w:pPr>
      <w:r>
        <w:t xml:space="preserve">provide for an assessment of the Price Control Deliverable including a Use It Or Lose It Adjustment. </w:t>
      </w:r>
    </w:p>
    <w:p w14:paraId="22CD6FF6" w14:textId="77777777" w:rsidR="004A1008" w:rsidRPr="00E319A7" w:rsidRDefault="004A1008" w:rsidP="004A1008">
      <w:pPr>
        <w:pStyle w:val="NumberedNormal"/>
        <w:numPr>
          <w:ilvl w:val="2"/>
          <w:numId w:val="7"/>
        </w:numPr>
      </w:pPr>
      <w:r>
        <w:t>This condition also:</w:t>
      </w:r>
    </w:p>
    <w:p w14:paraId="3E4CFE71" w14:textId="50B3CF99" w:rsidR="004A1008" w:rsidRPr="00E319A7" w:rsidRDefault="004A1008" w:rsidP="004A1008">
      <w:pPr>
        <w:pStyle w:val="ListNormal"/>
        <w:numPr>
          <w:ilvl w:val="3"/>
          <w:numId w:val="7"/>
        </w:numPr>
      </w:pPr>
      <w:r>
        <w:t>explains the process the Authority will follow when directing any changes under paragraphs 3.5.8, 3.5.9, 3.5.13 and 3.5.1</w:t>
      </w:r>
      <w:r w:rsidR="0097165A">
        <w:t>5</w:t>
      </w:r>
      <w:r>
        <w:t>; and</w:t>
      </w:r>
    </w:p>
    <w:p w14:paraId="2ACA193B" w14:textId="77777777" w:rsidR="004A1008" w:rsidRPr="00E319A7" w:rsidRDefault="004A1008" w:rsidP="004A1008">
      <w:pPr>
        <w:pStyle w:val="ListNormal"/>
        <w:numPr>
          <w:ilvl w:val="3"/>
          <w:numId w:val="7"/>
        </w:numPr>
      </w:pPr>
      <w:r>
        <w:t>requires the licensee to report regularly to the Authority.</w:t>
      </w:r>
    </w:p>
    <w:p w14:paraId="2636C0A8" w14:textId="77777777" w:rsidR="004A1008" w:rsidRPr="00E319A7" w:rsidRDefault="004A1008" w:rsidP="004A1008">
      <w:pPr>
        <w:pStyle w:val="Heading3"/>
        <w:numPr>
          <w:ilvl w:val="5"/>
          <w:numId w:val="7"/>
        </w:numPr>
      </w:pPr>
      <w:r>
        <w:t>Formula for calculating the Cyber Resilience OT Price Control Deliverable term (CRO</w:t>
      </w:r>
      <w:r w:rsidRPr="006B0DB5">
        <w:rPr>
          <w:vertAlign w:val="subscript"/>
        </w:rPr>
        <w:t>t</w:t>
      </w:r>
      <w:r>
        <w:t>)</w:t>
      </w:r>
    </w:p>
    <w:p w14:paraId="1D89A6CE" w14:textId="77777777" w:rsidR="004A1008" w:rsidRDefault="004A1008" w:rsidP="004A1008">
      <w:pPr>
        <w:pStyle w:val="NumberedNormal"/>
        <w:numPr>
          <w:ilvl w:val="2"/>
          <w:numId w:val="7"/>
        </w:numPr>
      </w:pPr>
      <w:r>
        <w:t>The value of CROT</w:t>
      </w:r>
      <w:r w:rsidRPr="006B0DB5">
        <w:rPr>
          <w:vertAlign w:val="subscript"/>
        </w:rPr>
        <w:t>t</w:t>
      </w:r>
      <w:r>
        <w:t xml:space="preserve"> is derived in accordance with the following formula:</w:t>
      </w:r>
    </w:p>
    <w:p w14:paraId="44D0E209" w14:textId="77777777" w:rsidR="004A1008" w:rsidRPr="00E319A7" w:rsidRDefault="008C7681" w:rsidP="004A1008">
      <m:oMathPara>
        <m:oMath>
          <m:sSub>
            <m:sSubPr>
              <m:ctrlPr>
                <w:rPr>
                  <w:rFonts w:ascii="Cambria Math" w:hAnsi="Cambria Math"/>
                  <w:i/>
                </w:rPr>
              </m:ctrlPr>
            </m:sSubPr>
            <m:e>
              <m:r>
                <w:rPr>
                  <w:rFonts w:ascii="Cambria Math" w:hAnsi="Cambria Math"/>
                </w:rPr>
                <m:t>CROT</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CROA</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CROR</m:t>
              </m:r>
            </m:e>
            <m:sub>
              <m:r>
                <w:rPr>
                  <w:rFonts w:ascii="Cambria Math" w:hAnsi="Cambria Math"/>
                </w:rPr>
                <m:t>t</m:t>
              </m:r>
            </m:sub>
          </m:sSub>
        </m:oMath>
      </m:oMathPara>
    </w:p>
    <w:p w14:paraId="1C7C4BC3" w14:textId="77777777" w:rsidR="004A1008" w:rsidRPr="00E319A7" w:rsidRDefault="004A1008" w:rsidP="004A1008">
      <w:r>
        <w:tab/>
      </w:r>
      <w:r w:rsidRPr="00E319A7">
        <w:t>where:</w:t>
      </w:r>
    </w:p>
    <w:tbl>
      <w:tblPr>
        <w:tblStyle w:val="TableGridLight"/>
        <w:tblW w:w="0" w:type="auto"/>
        <w:tblLook w:val="04A0" w:firstRow="1" w:lastRow="0" w:firstColumn="1" w:lastColumn="0" w:noHBand="0" w:noVBand="1"/>
      </w:tblPr>
      <w:tblGrid>
        <w:gridCol w:w="1015"/>
        <w:gridCol w:w="7331"/>
      </w:tblGrid>
      <w:tr w:rsidR="004A1008" w:rsidRPr="007442AB" w14:paraId="238EF980" w14:textId="77777777" w:rsidTr="004A1008">
        <w:trPr>
          <w:trHeight w:val="454"/>
        </w:trPr>
        <w:tc>
          <w:tcPr>
            <w:tcW w:w="0" w:type="auto"/>
          </w:tcPr>
          <w:p w14:paraId="67733F2B" w14:textId="77777777" w:rsidR="004A1008" w:rsidRPr="00E77FA2" w:rsidRDefault="004A1008" w:rsidP="004A1008">
            <w:pPr>
              <w:rPr>
                <w:i/>
                <w:iCs/>
              </w:rPr>
            </w:pPr>
            <w:r w:rsidRPr="00E77FA2">
              <w:rPr>
                <w:i/>
                <w:iCs/>
              </w:rPr>
              <w:t>CROA</w:t>
            </w:r>
            <w:r w:rsidRPr="00E77FA2">
              <w:rPr>
                <w:i/>
                <w:iCs/>
                <w:vertAlign w:val="subscript"/>
              </w:rPr>
              <w:t>t</w:t>
            </w:r>
          </w:p>
        </w:tc>
        <w:tc>
          <w:tcPr>
            <w:tcW w:w="0" w:type="auto"/>
          </w:tcPr>
          <w:p w14:paraId="4B4B51D3" w14:textId="77777777" w:rsidR="004A1008" w:rsidRPr="00E319A7" w:rsidRDefault="004A1008" w:rsidP="004A1008">
            <w:r w:rsidRPr="00E319A7">
              <w:t>means the sum of allowances in Appendix 1</w:t>
            </w:r>
            <w:r>
              <w:t>;</w:t>
            </w:r>
            <w:r w:rsidRPr="00E319A7">
              <w:t xml:space="preserve"> </w:t>
            </w:r>
            <w:r>
              <w:t>and</w:t>
            </w:r>
          </w:p>
        </w:tc>
      </w:tr>
      <w:tr w:rsidR="004A1008" w:rsidRPr="007442AB" w14:paraId="2AB3CD34" w14:textId="77777777" w:rsidTr="004A1008">
        <w:trPr>
          <w:trHeight w:val="454"/>
        </w:trPr>
        <w:tc>
          <w:tcPr>
            <w:tcW w:w="0" w:type="auto"/>
          </w:tcPr>
          <w:p w14:paraId="3F0661EA" w14:textId="77777777" w:rsidR="004A1008" w:rsidRPr="00E77FA2" w:rsidRDefault="004A1008" w:rsidP="004A1008">
            <w:pPr>
              <w:rPr>
                <w:i/>
                <w:iCs/>
              </w:rPr>
            </w:pPr>
            <w:r w:rsidRPr="00E77FA2">
              <w:rPr>
                <w:i/>
                <w:iCs/>
              </w:rPr>
              <w:t>CROR</w:t>
            </w:r>
            <w:r w:rsidRPr="00E77FA2">
              <w:rPr>
                <w:i/>
                <w:iCs/>
                <w:vertAlign w:val="subscript"/>
              </w:rPr>
              <w:t>t</w:t>
            </w:r>
            <w:r w:rsidRPr="00E77FA2">
              <w:rPr>
                <w:i/>
                <w:iCs/>
              </w:rPr>
              <w:tab/>
            </w:r>
          </w:p>
        </w:tc>
        <w:tc>
          <w:tcPr>
            <w:tcW w:w="0" w:type="auto"/>
          </w:tcPr>
          <w:p w14:paraId="72E7339C" w14:textId="77777777" w:rsidR="004A1008" w:rsidRPr="00E319A7" w:rsidRDefault="004A1008" w:rsidP="004A1008">
            <w:r>
              <w:t>has the value zero unless otherwise directed by the Authority in accordance with Part F.</w:t>
            </w:r>
          </w:p>
        </w:tc>
      </w:tr>
    </w:tbl>
    <w:p w14:paraId="4ED3FC29" w14:textId="77777777" w:rsidR="004A1008" w:rsidRPr="00E319A7" w:rsidRDefault="004A1008" w:rsidP="004A1008">
      <w:pPr>
        <w:pStyle w:val="Heading3"/>
        <w:numPr>
          <w:ilvl w:val="5"/>
          <w:numId w:val="7"/>
        </w:numPr>
      </w:pPr>
      <w:r>
        <w:t>What must the licensee deliver?</w:t>
      </w:r>
    </w:p>
    <w:p w14:paraId="357D9A8B" w14:textId="77777777" w:rsidR="004A1008" w:rsidRPr="009158B6" w:rsidRDefault="004A1008" w:rsidP="004A1008">
      <w:pPr>
        <w:pStyle w:val="NumberedNormal"/>
      </w:pPr>
      <w:bookmarkStart w:id="58" w:name="_Hlk52101779"/>
      <w:r w:rsidRPr="009158B6">
        <w:t>The licensee</w:t>
      </w:r>
      <w:r>
        <w:t xml:space="preserve"> </w:t>
      </w:r>
      <w:r w:rsidRPr="009158B6">
        <w:t xml:space="preserve">must deliver the outputs </w:t>
      </w:r>
      <w:r>
        <w:t xml:space="preserve">in accordance with, and </w:t>
      </w:r>
      <w:r w:rsidRPr="009158B6">
        <w:t>by the delivery dates specified in</w:t>
      </w:r>
      <w:r>
        <w:t>,</w:t>
      </w:r>
      <w:r w:rsidRPr="009158B6">
        <w:t xml:space="preserve"> Appendix 1.</w:t>
      </w:r>
    </w:p>
    <w:bookmarkEnd w:id="58"/>
    <w:p w14:paraId="2E9EA4AF" w14:textId="77777777" w:rsidR="004A1008" w:rsidRPr="00E319A7" w:rsidRDefault="004A1008" w:rsidP="004A1008">
      <w:pPr>
        <w:pStyle w:val="Heading3"/>
        <w:numPr>
          <w:ilvl w:val="5"/>
          <w:numId w:val="7"/>
        </w:numPr>
      </w:pPr>
      <w:r>
        <w:t>Requirement to submit a Cyber Resilience OT Plan</w:t>
      </w:r>
    </w:p>
    <w:p w14:paraId="17208D6A" w14:textId="77777777" w:rsidR="004A1008" w:rsidRPr="00E319A7" w:rsidRDefault="004A1008" w:rsidP="004A1008">
      <w:pPr>
        <w:pStyle w:val="NumberedNormal"/>
        <w:numPr>
          <w:ilvl w:val="2"/>
          <w:numId w:val="7"/>
        </w:numPr>
      </w:pPr>
      <w:r>
        <w:t>The licensee must submit to the Authority a Cyber Resilience OT Plan Between 1 April 2021 and 8 April 2021.</w:t>
      </w:r>
    </w:p>
    <w:p w14:paraId="56DDEC0E" w14:textId="4C2AC968" w:rsidR="004A1008" w:rsidRPr="00E319A7" w:rsidRDefault="004A1008" w:rsidP="004A1008">
      <w:pPr>
        <w:pStyle w:val="NumberedNormal"/>
        <w:numPr>
          <w:ilvl w:val="2"/>
          <w:numId w:val="7"/>
        </w:numPr>
      </w:pPr>
      <w:r>
        <w:t>The Cyber Resilience OT Plan submitted under paragraph 3.</w:t>
      </w:r>
      <w:r w:rsidR="005E5FAA">
        <w:t>2</w:t>
      </w:r>
      <w:r>
        <w:t xml:space="preserve">.6 must: </w:t>
      </w:r>
    </w:p>
    <w:p w14:paraId="1AB5B90B" w14:textId="77777777" w:rsidR="004A1008" w:rsidRPr="00E319A7" w:rsidRDefault="004A1008" w:rsidP="004A1008">
      <w:pPr>
        <w:pStyle w:val="ListNormal"/>
        <w:numPr>
          <w:ilvl w:val="3"/>
          <w:numId w:val="7"/>
        </w:numPr>
      </w:pPr>
      <w:r>
        <w:lastRenderedPageBreak/>
        <w:t xml:space="preserve">include statements: </w:t>
      </w:r>
    </w:p>
    <w:p w14:paraId="48889A4F" w14:textId="77777777" w:rsidR="004A1008" w:rsidRPr="00E319A7" w:rsidRDefault="004A1008" w:rsidP="004A1008">
      <w:pPr>
        <w:pStyle w:val="ListNormal"/>
        <w:numPr>
          <w:ilvl w:val="4"/>
          <w:numId w:val="2"/>
        </w:numPr>
      </w:pPr>
      <w:r>
        <w:t xml:space="preserve">giving </w:t>
      </w:r>
      <w:r w:rsidRPr="00E319A7">
        <w:t>details of any proposed activities that the licensee considers would be capable of improving cyber resilience in relation to OT, including measured risk reduction or improved CAF Outcomes on the licensee's network and information systems;</w:t>
      </w:r>
    </w:p>
    <w:p w14:paraId="3B94B532" w14:textId="77777777" w:rsidR="004A1008" w:rsidRDefault="004A1008" w:rsidP="004A1008">
      <w:pPr>
        <w:pStyle w:val="ListNormal"/>
        <w:numPr>
          <w:ilvl w:val="4"/>
          <w:numId w:val="2"/>
        </w:numPr>
      </w:pPr>
      <w:r>
        <w:t xml:space="preserve">setting out </w:t>
      </w:r>
      <w:r w:rsidRPr="00E319A7">
        <w:t>any amendments requested to the outputs, delivery dates or allowances in Appendix 1;</w:t>
      </w:r>
    </w:p>
    <w:p w14:paraId="52F8199A" w14:textId="77777777" w:rsidR="004A1008" w:rsidRPr="00E319A7" w:rsidRDefault="004A1008" w:rsidP="00AD1EAE">
      <w:pPr>
        <w:pStyle w:val="ListNormal"/>
        <w:numPr>
          <w:ilvl w:val="4"/>
          <w:numId w:val="2"/>
        </w:numPr>
      </w:pPr>
      <w:r>
        <w:t xml:space="preserve">explaining </w:t>
      </w:r>
      <w:r w:rsidRPr="00E319A7">
        <w:t>how any amendments requested would improve cyber resilience in relation to OT, including measured risk reduction and improved CAF Outcomes on the licensee's network and information systems;</w:t>
      </w:r>
      <w:r>
        <w:t xml:space="preserve"> and</w:t>
      </w:r>
    </w:p>
    <w:p w14:paraId="12FB0C01" w14:textId="77777777" w:rsidR="004A1008" w:rsidRPr="00E319A7" w:rsidRDefault="004A1008" w:rsidP="004A1008">
      <w:pPr>
        <w:pStyle w:val="ListNormal"/>
        <w:numPr>
          <w:ilvl w:val="4"/>
          <w:numId w:val="2"/>
        </w:numPr>
      </w:pPr>
      <w:r>
        <w:t xml:space="preserve"> explaining </w:t>
      </w:r>
      <w:r w:rsidRPr="00E319A7">
        <w:t>the basis of the calculations for any amendments requested to allowances; and</w:t>
      </w:r>
    </w:p>
    <w:p w14:paraId="44083AC9" w14:textId="77777777" w:rsidR="004A1008" w:rsidRPr="00E319A7" w:rsidRDefault="004A1008" w:rsidP="004A1008">
      <w:pPr>
        <w:pStyle w:val="ListNormal"/>
        <w:numPr>
          <w:ilvl w:val="3"/>
          <w:numId w:val="7"/>
        </w:numPr>
      </w:pPr>
      <w:r>
        <w:t>provide detailed supporting evidence including the items specified in the Re-opener Guidance and Application Requirements Document.</w:t>
      </w:r>
    </w:p>
    <w:p w14:paraId="0AC4023F" w14:textId="1D300510" w:rsidR="004A1008" w:rsidRPr="00E319A7" w:rsidRDefault="004A1008" w:rsidP="004A1008">
      <w:pPr>
        <w:pStyle w:val="NumberedNormal"/>
        <w:numPr>
          <w:ilvl w:val="2"/>
          <w:numId w:val="7"/>
        </w:numPr>
      </w:pPr>
      <w:r>
        <w:t>The Authority will by direction make any amendments to Appendix 1 as a result of the submission of a Cyber Resilience OT Plan under paragraph 3.</w:t>
      </w:r>
      <w:r w:rsidR="005E5FAA">
        <w:t>2</w:t>
      </w:r>
      <w:r>
        <w:t>.</w:t>
      </w:r>
      <w:r w:rsidR="0097165A">
        <w:t>6</w:t>
      </w:r>
      <w:r>
        <w:t>.</w:t>
      </w:r>
    </w:p>
    <w:p w14:paraId="1C96DA78" w14:textId="77777777" w:rsidR="004A1008" w:rsidRPr="00E319A7" w:rsidRDefault="004A1008" w:rsidP="004A1008">
      <w:pPr>
        <w:pStyle w:val="Heading3"/>
        <w:numPr>
          <w:ilvl w:val="5"/>
          <w:numId w:val="7"/>
        </w:numPr>
      </w:pPr>
      <w:r>
        <w:t>Cyber Resilience OT Re-opener</w:t>
      </w:r>
    </w:p>
    <w:p w14:paraId="6247EE2E" w14:textId="77777777" w:rsidR="004A1008" w:rsidRPr="00E319A7" w:rsidRDefault="004A1008" w:rsidP="004A1008">
      <w:pPr>
        <w:pStyle w:val="NumberedNormal"/>
        <w:numPr>
          <w:ilvl w:val="2"/>
          <w:numId w:val="7"/>
        </w:numPr>
      </w:pPr>
      <w:r>
        <w:t>The licensee may apply to the Authority for a direction amending the outputs, delivery dates or associated allowances in Appendix 1 where it considers there are:</w:t>
      </w:r>
    </w:p>
    <w:p w14:paraId="7C894A93" w14:textId="77777777" w:rsidR="004A1008" w:rsidRPr="00E319A7" w:rsidRDefault="004A1008" w:rsidP="004A1008">
      <w:pPr>
        <w:pStyle w:val="ListNormal"/>
        <w:numPr>
          <w:ilvl w:val="3"/>
          <w:numId w:val="7"/>
        </w:numPr>
      </w:pPr>
      <w:r>
        <w:t xml:space="preserve">new activities capable of improving cyber resilience in relation to OT, including measured risk reduction or improved CAF Outcomes on the licensee's network and information systems; </w:t>
      </w:r>
    </w:p>
    <w:p w14:paraId="39FEF0E0" w14:textId="77777777" w:rsidR="004A1008" w:rsidRPr="00E319A7" w:rsidRDefault="004A1008" w:rsidP="004A1008">
      <w:pPr>
        <w:pStyle w:val="ListNormal"/>
        <w:numPr>
          <w:ilvl w:val="3"/>
          <w:numId w:val="7"/>
        </w:numPr>
      </w:pPr>
      <w:r>
        <w:t xml:space="preserve">changes to levels of risks or threats relating to cyber resilience in relation to OT, that take the licensee outside of its organisational risk appetite; or </w:t>
      </w:r>
    </w:p>
    <w:p w14:paraId="046B8471" w14:textId="77777777" w:rsidR="004A1008" w:rsidRPr="00E319A7" w:rsidRDefault="004A1008" w:rsidP="004A1008">
      <w:pPr>
        <w:pStyle w:val="ListNormal"/>
        <w:numPr>
          <w:ilvl w:val="3"/>
          <w:numId w:val="7"/>
        </w:numPr>
      </w:pPr>
      <w:r>
        <w:t>changes to statutory or regulatory requirements relating to cyber resilience in relation to OT.</w:t>
      </w:r>
    </w:p>
    <w:p w14:paraId="2BC485F8" w14:textId="77284A46" w:rsidR="004A1008" w:rsidRPr="00E319A7" w:rsidRDefault="004A1008" w:rsidP="004A1008">
      <w:pPr>
        <w:pStyle w:val="NumberedNormal"/>
        <w:numPr>
          <w:ilvl w:val="2"/>
          <w:numId w:val="7"/>
        </w:numPr>
      </w:pPr>
      <w:r>
        <w:t>An application to t</w:t>
      </w:r>
      <w:r w:rsidR="005E5FAA">
        <w:t>he Authority under paragraph 3.2</w:t>
      </w:r>
      <w:r>
        <w:t xml:space="preserve">.9 must be made Between25 January 2023 and 31 January 2023, unless the Authority by direction permits applications during specified later periods. </w:t>
      </w:r>
    </w:p>
    <w:p w14:paraId="2D54474C" w14:textId="564882BC" w:rsidR="004A1008" w:rsidRPr="00E319A7" w:rsidRDefault="004A1008" w:rsidP="004A1008">
      <w:pPr>
        <w:pStyle w:val="NumberedNormal"/>
        <w:numPr>
          <w:ilvl w:val="2"/>
          <w:numId w:val="7"/>
        </w:numPr>
      </w:pPr>
      <w:r>
        <w:t>An applicati</w:t>
      </w:r>
      <w:r w:rsidR="005E5FAA">
        <w:t>on under paragraph 3.2</w:t>
      </w:r>
      <w:r>
        <w:t>.9 must be made in writing and must:</w:t>
      </w:r>
    </w:p>
    <w:p w14:paraId="153FFE09" w14:textId="5603CFA3" w:rsidR="004A1008" w:rsidRPr="00E319A7" w:rsidRDefault="004A1008" w:rsidP="004A1008">
      <w:pPr>
        <w:pStyle w:val="ListNormal"/>
        <w:tabs>
          <w:tab w:val="num" w:pos="879"/>
        </w:tabs>
      </w:pPr>
      <w:r>
        <w:t xml:space="preserve">give </w:t>
      </w:r>
      <w:r w:rsidRPr="00E319A7">
        <w:t xml:space="preserve">details of the circumstances referred to in paragraph </w:t>
      </w:r>
      <w:r w:rsidR="005E5FAA">
        <w:t>3.2</w:t>
      </w:r>
      <w:r w:rsidRPr="00E319A7">
        <w:t>.9 (a), (b) or (c) that the licensee considers exist;</w:t>
      </w:r>
    </w:p>
    <w:p w14:paraId="5301676D" w14:textId="77777777" w:rsidR="004A1008" w:rsidRPr="00E319A7" w:rsidRDefault="004A1008" w:rsidP="004A1008">
      <w:pPr>
        <w:pStyle w:val="ListNormal"/>
        <w:tabs>
          <w:tab w:val="num" w:pos="879"/>
        </w:tabs>
      </w:pPr>
      <w:r>
        <w:t xml:space="preserve">set out </w:t>
      </w:r>
      <w:r w:rsidRPr="00E319A7">
        <w:t>any amendments requested to the outputs, delivery dates or allowances set out in Appendix 1;</w:t>
      </w:r>
    </w:p>
    <w:p w14:paraId="77E9975D" w14:textId="77777777" w:rsidR="004A1008" w:rsidRPr="00E319A7" w:rsidRDefault="004A1008" w:rsidP="004A1008">
      <w:pPr>
        <w:pStyle w:val="ListNormal"/>
        <w:tabs>
          <w:tab w:val="num" w:pos="879"/>
        </w:tabs>
      </w:pPr>
      <w:r>
        <w:t xml:space="preserve">explain </w:t>
      </w:r>
      <w:r w:rsidRPr="001A5BB7">
        <w:t>how</w:t>
      </w:r>
      <w:r w:rsidRPr="00E319A7">
        <w:t xml:space="preserve"> any amendments requested would improve cyber resilience in relation to OT, including measured risk reduction or improved CAF Outcomes on the licensee's network and information systems;</w:t>
      </w:r>
    </w:p>
    <w:p w14:paraId="5760B1A9" w14:textId="77777777" w:rsidR="004A1008" w:rsidRPr="00E319A7" w:rsidRDefault="004A1008" w:rsidP="004A1008">
      <w:pPr>
        <w:pStyle w:val="ListNormal"/>
        <w:tabs>
          <w:tab w:val="num" w:pos="879"/>
        </w:tabs>
      </w:pPr>
      <w:r>
        <w:lastRenderedPageBreak/>
        <w:t xml:space="preserve"> explain </w:t>
      </w:r>
      <w:r w:rsidRPr="001A5BB7">
        <w:t>the</w:t>
      </w:r>
      <w:r w:rsidRPr="00E319A7">
        <w:t xml:space="preserve"> basis of the calculations for any amendments requested to allowances; and</w:t>
      </w:r>
    </w:p>
    <w:p w14:paraId="338C895F" w14:textId="77777777" w:rsidR="004A1008" w:rsidRPr="00E319A7" w:rsidRDefault="004A1008" w:rsidP="004A1008">
      <w:pPr>
        <w:pStyle w:val="ListNormal"/>
        <w:numPr>
          <w:ilvl w:val="3"/>
          <w:numId w:val="7"/>
        </w:numPr>
      </w:pPr>
      <w:r>
        <w:t xml:space="preserve"> provide detailed supporting evidence as set out in the Re-opener Guidance and Application Requirements Document. </w:t>
      </w:r>
    </w:p>
    <w:p w14:paraId="317EC759" w14:textId="4A1F5AD1" w:rsidR="004A1008" w:rsidRPr="00E319A7" w:rsidRDefault="004A1008" w:rsidP="004A1008">
      <w:pPr>
        <w:pStyle w:val="NumberedNormal"/>
        <w:numPr>
          <w:ilvl w:val="2"/>
          <w:numId w:val="7"/>
        </w:numPr>
      </w:pPr>
      <w:r>
        <w:t>An application under paragraph 3.</w:t>
      </w:r>
      <w:r w:rsidR="005E5FAA">
        <w:t>2</w:t>
      </w:r>
      <w:r>
        <w:t xml:space="preserve">.9 must: </w:t>
      </w:r>
    </w:p>
    <w:p w14:paraId="67B25FE5" w14:textId="036A77C5" w:rsidR="004A1008" w:rsidRPr="00E319A7" w:rsidRDefault="004A1008" w:rsidP="004A1008">
      <w:pPr>
        <w:pStyle w:val="ListNormal"/>
        <w:numPr>
          <w:ilvl w:val="3"/>
          <w:numId w:val="7"/>
        </w:numPr>
      </w:pPr>
      <w:r>
        <w:t>relate to circumstances of the type referred to in paragraph 3.</w:t>
      </w:r>
      <w:r w:rsidR="005E5FAA">
        <w:t>2</w:t>
      </w:r>
      <w:r>
        <w:t>.9 (a), (b) or (c) that have developed since the licensee submitted its Cyber Resilience OT Plan under paragraph 3.</w:t>
      </w:r>
      <w:r w:rsidR="005E5FAA">
        <w:t>2</w:t>
      </w:r>
      <w:r>
        <w:t>.6;</w:t>
      </w:r>
    </w:p>
    <w:p w14:paraId="4115C7BB" w14:textId="77777777" w:rsidR="004A1008" w:rsidRPr="00E319A7" w:rsidRDefault="004A1008" w:rsidP="004A1008">
      <w:pPr>
        <w:pStyle w:val="ListNormal"/>
        <w:numPr>
          <w:ilvl w:val="3"/>
          <w:numId w:val="7"/>
        </w:numPr>
      </w:pPr>
      <w:r>
        <w:t>take account of any allowed expenditure, which can be avoided as a result of the change; and</w:t>
      </w:r>
    </w:p>
    <w:p w14:paraId="7B9C2E37" w14:textId="77777777" w:rsidR="004A1008" w:rsidRPr="00E319A7" w:rsidRDefault="004A1008" w:rsidP="004A1008">
      <w:pPr>
        <w:pStyle w:val="ListNormal"/>
        <w:numPr>
          <w:ilvl w:val="3"/>
          <w:numId w:val="7"/>
        </w:numPr>
      </w:pPr>
      <w:r>
        <w:t xml:space="preserve">be confined to costs incurred or expected to be incurred on or after 1 April 2021. </w:t>
      </w:r>
    </w:p>
    <w:p w14:paraId="31A5F9A7" w14:textId="77777777" w:rsidR="004A1008" w:rsidRPr="00E319A7" w:rsidRDefault="004A1008" w:rsidP="004A1008">
      <w:pPr>
        <w:pStyle w:val="Heading3"/>
        <w:numPr>
          <w:ilvl w:val="5"/>
          <w:numId w:val="7"/>
        </w:numPr>
      </w:pPr>
      <w:r>
        <w:t>Authority triggered re-opener</w:t>
      </w:r>
    </w:p>
    <w:p w14:paraId="4767574E" w14:textId="4E50A70C" w:rsidR="004A1008" w:rsidRPr="00E319A7" w:rsidRDefault="004A1008" w:rsidP="004A1008">
      <w:pPr>
        <w:pStyle w:val="NumberedNormal"/>
      </w:pPr>
      <w:r>
        <w:t>The Authority will also consider directing amendments to the outputs, delivery dates or allowances set out in Appendix 1 without an application being made under paragraph 3.</w:t>
      </w:r>
      <w:r w:rsidR="005E5FAA">
        <w:t>2</w:t>
      </w:r>
      <w:r>
        <w:t>.9, where it considers that:</w:t>
      </w:r>
    </w:p>
    <w:p w14:paraId="628D2ACB" w14:textId="403285F9" w:rsidR="004A1008" w:rsidRPr="00E319A7" w:rsidRDefault="004A1008" w:rsidP="004A1008">
      <w:pPr>
        <w:pStyle w:val="ListNormal"/>
        <w:numPr>
          <w:ilvl w:val="3"/>
          <w:numId w:val="7"/>
        </w:numPr>
      </w:pPr>
      <w:r>
        <w:t>circumstances of the type referred to in paragraph 3.</w:t>
      </w:r>
      <w:r w:rsidR="005E5FAA">
        <w:t>2</w:t>
      </w:r>
      <w:r>
        <w:t>.9 (a), (b) or (c) exist; or</w:t>
      </w:r>
    </w:p>
    <w:p w14:paraId="5CAF9752" w14:textId="20D86BAF" w:rsidR="004A1008" w:rsidRPr="00E319A7" w:rsidRDefault="0097165A" w:rsidP="004A1008">
      <w:pPr>
        <w:pStyle w:val="ListNormal"/>
        <w:numPr>
          <w:ilvl w:val="3"/>
          <w:numId w:val="7"/>
        </w:numPr>
      </w:pPr>
      <w:r w:rsidRPr="00DE62DD">
        <w:t>circumstances exist that create an unreasonable degree of risk in relation to cyber resilience</w:t>
      </w:r>
      <w:r w:rsidR="004A1008">
        <w:t>.</w:t>
      </w:r>
    </w:p>
    <w:p w14:paraId="574CFC01" w14:textId="2C5DE596" w:rsidR="004A1008" w:rsidRPr="00E319A7" w:rsidRDefault="004A1008" w:rsidP="004A1008">
      <w:pPr>
        <w:pStyle w:val="NumberedNormal"/>
      </w:pPr>
      <w:r>
        <w:t>In relation to costs, any amendments directed by the Authority will be confined to costs incurred or expected to be incurred on or after 1 April 2021.</w:t>
      </w:r>
    </w:p>
    <w:p w14:paraId="3F6C9CB0" w14:textId="77777777" w:rsidR="004A1008" w:rsidRPr="00E319A7" w:rsidRDefault="004A1008" w:rsidP="004A1008">
      <w:pPr>
        <w:pStyle w:val="Heading3"/>
        <w:numPr>
          <w:ilvl w:val="5"/>
          <w:numId w:val="7"/>
        </w:numPr>
      </w:pPr>
      <w:r>
        <w:t>Assessment of outputs (CROR</w:t>
      </w:r>
      <w:r w:rsidRPr="00156316">
        <w:rPr>
          <w:vertAlign w:val="subscript"/>
        </w:rPr>
        <w:t>t</w:t>
      </w:r>
      <w:r>
        <w:t>)</w:t>
      </w:r>
    </w:p>
    <w:p w14:paraId="44C3DC1C" w14:textId="77777777" w:rsidR="004A1008" w:rsidRPr="009158B6" w:rsidRDefault="004A1008" w:rsidP="004A1008">
      <w:pPr>
        <w:pStyle w:val="NumberedNormal"/>
      </w:pPr>
      <w:r w:rsidRPr="009158B6">
        <w:t>The Authority will</w:t>
      </w:r>
      <w:r>
        <w:t xml:space="preserve">, </w:t>
      </w:r>
      <w:r w:rsidRPr="00C20985">
        <w:t>in accordance with the PCD Reporting Requirements and Methodology Document</w:t>
      </w:r>
      <w:r>
        <w:t>,</w:t>
      </w:r>
      <w:r w:rsidRPr="009158B6">
        <w:t xml:space="preserve"> </w:t>
      </w:r>
      <w:r>
        <w:t xml:space="preserve">consider </w:t>
      </w:r>
      <w:r w:rsidRPr="009158B6">
        <w:t>directing a value for CRORt where the licensee has not Fully Delivered an output in Appendix 1.</w:t>
      </w:r>
    </w:p>
    <w:p w14:paraId="28E005A6" w14:textId="77777777" w:rsidR="004A1008" w:rsidRPr="00E319A7" w:rsidRDefault="004A1008" w:rsidP="004A1008">
      <w:pPr>
        <w:pStyle w:val="Heading3"/>
        <w:numPr>
          <w:ilvl w:val="5"/>
          <w:numId w:val="7"/>
        </w:numPr>
      </w:pPr>
      <w:r>
        <w:t>Reporting Requirements</w:t>
      </w:r>
    </w:p>
    <w:p w14:paraId="3545853A" w14:textId="77777777" w:rsidR="004A1008" w:rsidRPr="00E319A7" w:rsidRDefault="004A1008" w:rsidP="004A1008">
      <w:pPr>
        <w:pStyle w:val="NumberedNormal"/>
        <w:numPr>
          <w:ilvl w:val="2"/>
          <w:numId w:val="7"/>
        </w:numPr>
      </w:pPr>
      <w:r>
        <w:t>Unless the Authority otherwise directs, the licensee must submit reports to the Authority on the days, and in relation to the periods, set out in Appendix 2.</w:t>
      </w:r>
    </w:p>
    <w:p w14:paraId="4714C654" w14:textId="4351C292" w:rsidR="004A1008" w:rsidRPr="00E319A7" w:rsidRDefault="004A1008" w:rsidP="004A1008">
      <w:pPr>
        <w:pStyle w:val="NumberedNormal"/>
        <w:numPr>
          <w:ilvl w:val="2"/>
          <w:numId w:val="7"/>
        </w:numPr>
      </w:pPr>
      <w:r>
        <w:t>A repo</w:t>
      </w:r>
      <w:r w:rsidR="005E5FAA">
        <w:t>rt submitted under paragraph 3.2</w:t>
      </w:r>
      <w:r>
        <w:t>.1</w:t>
      </w:r>
      <w:r w:rsidR="0097165A">
        <w:t>6</w:t>
      </w:r>
      <w:r>
        <w:t xml:space="preserve"> must be in a form approved by the Authority and include:</w:t>
      </w:r>
    </w:p>
    <w:p w14:paraId="03097091" w14:textId="77777777" w:rsidR="004A1008" w:rsidRPr="00E319A7" w:rsidRDefault="004A1008" w:rsidP="004A1008">
      <w:pPr>
        <w:pStyle w:val="ListNormal"/>
        <w:numPr>
          <w:ilvl w:val="3"/>
          <w:numId w:val="7"/>
        </w:numPr>
      </w:pPr>
      <w:r>
        <w:t xml:space="preserve">a summary of progress against Improvement Plan key milestones; </w:t>
      </w:r>
    </w:p>
    <w:p w14:paraId="1C301B4F" w14:textId="6E3DE6AE" w:rsidR="004A1008" w:rsidRPr="00E319A7" w:rsidRDefault="004A1008" w:rsidP="004A1008">
      <w:pPr>
        <w:pStyle w:val="ListNormal"/>
        <w:numPr>
          <w:ilvl w:val="3"/>
          <w:numId w:val="7"/>
        </w:numPr>
      </w:pPr>
      <w:r>
        <w:t>a summary of developments against the licensee's P</w:t>
      </w:r>
      <w:r w:rsidR="00702E36">
        <w:t xml:space="preserve">rice </w:t>
      </w:r>
      <w:r>
        <w:t>C</w:t>
      </w:r>
      <w:r w:rsidR="00702E36">
        <w:t xml:space="preserve">ontrol </w:t>
      </w:r>
      <w:r>
        <w:t>D</w:t>
      </w:r>
      <w:r w:rsidR="00702E36">
        <w:t>eliverable</w:t>
      </w:r>
      <w:r>
        <w:t xml:space="preserve"> </w:t>
      </w:r>
      <w:r w:rsidR="00702E36">
        <w:t>p</w:t>
      </w:r>
      <w:r>
        <w:t xml:space="preserve">roject </w:t>
      </w:r>
      <w:r w:rsidR="00702E36">
        <w:t>p</w:t>
      </w:r>
      <w:r>
        <w:t xml:space="preserve">lans; </w:t>
      </w:r>
    </w:p>
    <w:p w14:paraId="7C9454C1" w14:textId="1615336B" w:rsidR="004A1008" w:rsidRPr="00E319A7" w:rsidRDefault="004A1008" w:rsidP="004A1008">
      <w:pPr>
        <w:pStyle w:val="ListNormal"/>
        <w:numPr>
          <w:ilvl w:val="3"/>
          <w:numId w:val="7"/>
        </w:numPr>
      </w:pPr>
      <w:r>
        <w:t>the licensee's assessment of the impact of the progress and developments referred to in sub-paragraphs (</w:t>
      </w:r>
      <w:r w:rsidR="0097165A">
        <w:t>a</w:t>
      </w:r>
      <w:r>
        <w:t>) and (</w:t>
      </w:r>
      <w:r w:rsidR="0097165A">
        <w:t>b</w:t>
      </w:r>
      <w:r>
        <w:t>) on improving cyber resilience in relation to OT, including risk reduction or improved CAF Outcomes;</w:t>
      </w:r>
    </w:p>
    <w:p w14:paraId="618463A7" w14:textId="77777777" w:rsidR="004A1008" w:rsidRPr="00E319A7" w:rsidRDefault="004A1008" w:rsidP="004A1008">
      <w:pPr>
        <w:pStyle w:val="ListNormal"/>
        <w:numPr>
          <w:ilvl w:val="3"/>
          <w:numId w:val="7"/>
        </w:numPr>
      </w:pPr>
      <w:r>
        <w:lastRenderedPageBreak/>
        <w:t>a description of how the licensee has considered any guidance provided by the Authority;</w:t>
      </w:r>
    </w:p>
    <w:p w14:paraId="2EEFDB1B" w14:textId="77777777" w:rsidR="004A1008" w:rsidRPr="00E319A7" w:rsidRDefault="004A1008" w:rsidP="004A1008">
      <w:pPr>
        <w:pStyle w:val="ListNormal"/>
        <w:numPr>
          <w:ilvl w:val="3"/>
          <w:numId w:val="7"/>
        </w:numPr>
      </w:pPr>
      <w:r>
        <w:t>a summary of updated CAF Outcomes; and</w:t>
      </w:r>
    </w:p>
    <w:p w14:paraId="42B561B1" w14:textId="77777777" w:rsidR="004A1008" w:rsidRPr="00E319A7" w:rsidRDefault="004A1008" w:rsidP="004A1008">
      <w:pPr>
        <w:pStyle w:val="ListNormal"/>
        <w:numPr>
          <w:ilvl w:val="3"/>
          <w:numId w:val="7"/>
        </w:numPr>
      </w:pPr>
      <w:r>
        <w:t xml:space="preserve">detailed supporting evidence. </w:t>
      </w:r>
    </w:p>
    <w:p w14:paraId="437196B2" w14:textId="77777777" w:rsidR="004A1008" w:rsidRPr="00E319A7" w:rsidRDefault="004A1008" w:rsidP="004A1008">
      <w:pPr>
        <w:pStyle w:val="Heading3"/>
        <w:numPr>
          <w:ilvl w:val="5"/>
          <w:numId w:val="7"/>
        </w:numPr>
      </w:pPr>
      <w:r>
        <w:t>What process will the Authority follow in making a direction?</w:t>
      </w:r>
    </w:p>
    <w:p w14:paraId="77AF0ADE" w14:textId="4662528F" w:rsidR="004A1008" w:rsidRPr="00E319A7" w:rsidRDefault="004A1008" w:rsidP="004A1008">
      <w:pPr>
        <w:pStyle w:val="NumberedNormal"/>
        <w:numPr>
          <w:ilvl w:val="2"/>
          <w:numId w:val="7"/>
        </w:numPr>
      </w:pPr>
      <w:r>
        <w:t>Before making a d</w:t>
      </w:r>
      <w:r w:rsidR="005E5FAA">
        <w:t>irection under paragraph 3.2</w:t>
      </w:r>
      <w:r>
        <w:t>.8, 3.</w:t>
      </w:r>
      <w:r w:rsidR="005E5FAA">
        <w:t>2</w:t>
      </w:r>
      <w:r>
        <w:t>.9, 3.</w:t>
      </w:r>
      <w:r w:rsidR="005E5FAA">
        <w:t>2</w:t>
      </w:r>
      <w:r>
        <w:t>.13 or 3.</w:t>
      </w:r>
      <w:r w:rsidR="005E5FAA">
        <w:t>2</w:t>
      </w:r>
      <w:r>
        <w:t>.1</w:t>
      </w:r>
      <w:r w:rsidR="0097165A">
        <w:t>5</w:t>
      </w:r>
      <w:r>
        <w:t>, the Authority will publish on the Authority's Website:</w:t>
      </w:r>
    </w:p>
    <w:p w14:paraId="1140EF8C" w14:textId="77777777" w:rsidR="004A1008" w:rsidRPr="00E319A7" w:rsidRDefault="004A1008" w:rsidP="004A1008">
      <w:pPr>
        <w:pStyle w:val="ListNormal"/>
        <w:numPr>
          <w:ilvl w:val="3"/>
          <w:numId w:val="7"/>
        </w:numPr>
      </w:pPr>
      <w:r>
        <w:t>the text of the proposed direction;</w:t>
      </w:r>
    </w:p>
    <w:p w14:paraId="03327BF2" w14:textId="77777777" w:rsidR="004A1008" w:rsidRPr="00E319A7" w:rsidRDefault="004A1008" w:rsidP="004A1008">
      <w:pPr>
        <w:pStyle w:val="ListNormal"/>
        <w:numPr>
          <w:ilvl w:val="3"/>
          <w:numId w:val="7"/>
        </w:numPr>
      </w:pPr>
      <w:r>
        <w:t>the reasons for the proposed direction; and</w:t>
      </w:r>
    </w:p>
    <w:p w14:paraId="42C99B3A" w14:textId="77777777" w:rsidR="004A1008" w:rsidRPr="00E319A7" w:rsidRDefault="004A1008" w:rsidP="004A1008">
      <w:pPr>
        <w:pStyle w:val="ListNormal"/>
        <w:numPr>
          <w:ilvl w:val="3"/>
          <w:numId w:val="7"/>
        </w:numPr>
      </w:pPr>
      <w:r>
        <w:t>a period during which representations may be made on the proposed direction, which will not be less than 28 days.</w:t>
      </w:r>
    </w:p>
    <w:p w14:paraId="4B54CF46" w14:textId="0B313F33" w:rsidR="004A1008" w:rsidRDefault="004A1008" w:rsidP="004A1008">
      <w:pPr>
        <w:pStyle w:val="NumberedNormal"/>
        <w:numPr>
          <w:ilvl w:val="2"/>
          <w:numId w:val="7"/>
        </w:numPr>
      </w:pPr>
      <w:r>
        <w:t>A direction under paragraph 3.</w:t>
      </w:r>
      <w:r w:rsidR="005E5FAA">
        <w:t>2</w:t>
      </w:r>
      <w:r>
        <w:t>.8, 3.</w:t>
      </w:r>
      <w:r w:rsidR="005E5FAA">
        <w:t>2</w:t>
      </w:r>
      <w:r>
        <w:t>.9 or 3.</w:t>
      </w:r>
      <w:r w:rsidR="005E5FAA">
        <w:t>2</w:t>
      </w:r>
      <w:r>
        <w:t>.13 will set out any amendments to Appendix 1.</w:t>
      </w:r>
    </w:p>
    <w:p w14:paraId="0FA07AB0" w14:textId="450604C0" w:rsidR="004A1008" w:rsidRPr="00E319A7" w:rsidRDefault="004A1008" w:rsidP="004A1008">
      <w:pPr>
        <w:pStyle w:val="NumberedNormal"/>
        <w:numPr>
          <w:ilvl w:val="2"/>
          <w:numId w:val="7"/>
        </w:numPr>
      </w:pPr>
      <w:r>
        <w:t>A direction under paragraph 3.</w:t>
      </w:r>
      <w:r w:rsidR="005E5FAA">
        <w:t>2</w:t>
      </w:r>
      <w:r>
        <w:t>.1</w:t>
      </w:r>
      <w:r w:rsidR="0097165A">
        <w:t>5</w:t>
      </w:r>
      <w:r>
        <w:t xml:space="preserve"> will set out the value of the CROR</w:t>
      </w:r>
      <w:r w:rsidRPr="00ED28E6">
        <w:rPr>
          <w:vertAlign w:val="subscript"/>
        </w:rPr>
        <w:t>t</w:t>
      </w:r>
      <w:r>
        <w:t xml:space="preserve"> term and the Regulatory Years to which that value relates.</w:t>
      </w:r>
    </w:p>
    <w:p w14:paraId="1A8F65A4" w14:textId="77777777" w:rsidR="004A1008" w:rsidRPr="00D839B5" w:rsidRDefault="004A1008" w:rsidP="004A1008">
      <w:pPr>
        <w:pStyle w:val="AppendixHeading"/>
      </w:pPr>
    </w:p>
    <w:p w14:paraId="0A3B04CC" w14:textId="77777777" w:rsidR="004A1008" w:rsidRPr="00E7797C" w:rsidRDefault="004A1008" w:rsidP="004A1008">
      <w:pPr>
        <w:pStyle w:val="Caption"/>
      </w:pPr>
      <w:r w:rsidRPr="00E7797C">
        <w:t>Cyber Resilience OT Price Control Deliverables</w:t>
      </w:r>
      <w:r>
        <w:t xml:space="preserve"> Allowance</w:t>
      </w:r>
    </w:p>
    <w:tbl>
      <w:tblPr>
        <w:tblStyle w:val="AppendixTable"/>
        <w:tblW w:w="5000" w:type="pct"/>
        <w:tblLook w:val="04A0" w:firstRow="1" w:lastRow="0" w:firstColumn="1" w:lastColumn="0" w:noHBand="0" w:noVBand="1"/>
      </w:tblPr>
      <w:tblGrid>
        <w:gridCol w:w="1393"/>
        <w:gridCol w:w="2253"/>
        <w:gridCol w:w="1076"/>
        <w:gridCol w:w="1076"/>
        <w:gridCol w:w="1076"/>
        <w:gridCol w:w="1076"/>
        <w:gridCol w:w="1076"/>
      </w:tblGrid>
      <w:tr w:rsidR="004A1008" w:rsidRPr="00E33579" w14:paraId="24C9B162" w14:textId="77777777" w:rsidTr="004A1008">
        <w:trPr>
          <w:cnfStyle w:val="100000000000" w:firstRow="1" w:lastRow="0" w:firstColumn="0" w:lastColumn="0" w:oddVBand="0" w:evenVBand="0" w:oddHBand="0" w:evenHBand="0" w:firstRowFirstColumn="0" w:firstRowLastColumn="0" w:lastRowFirstColumn="0" w:lastRowLastColumn="0"/>
          <w:trHeight w:val="474"/>
        </w:trPr>
        <w:tc>
          <w:tcPr>
            <w:tcW w:w="771" w:type="pct"/>
          </w:tcPr>
          <w:p w14:paraId="1533ACC6" w14:textId="77777777" w:rsidR="004A1008" w:rsidRPr="00E7797C" w:rsidRDefault="004A1008" w:rsidP="004A1008">
            <w:r w:rsidRPr="00E7797C">
              <w:t>Outputs</w:t>
            </w:r>
          </w:p>
        </w:tc>
        <w:tc>
          <w:tcPr>
            <w:tcW w:w="1248" w:type="pct"/>
          </w:tcPr>
          <w:p w14:paraId="7A77F747" w14:textId="77777777" w:rsidR="004A1008" w:rsidRPr="00E7797C" w:rsidRDefault="004A1008" w:rsidP="004A1008">
            <w:r w:rsidRPr="00E7797C">
              <w:t>Delivery Date</w:t>
            </w:r>
          </w:p>
        </w:tc>
        <w:tc>
          <w:tcPr>
            <w:tcW w:w="596" w:type="pct"/>
          </w:tcPr>
          <w:p w14:paraId="67564658" w14:textId="77777777" w:rsidR="004A1008" w:rsidRPr="00E7797C" w:rsidRDefault="004A1008" w:rsidP="004A1008">
            <w:r>
              <w:t>20</w:t>
            </w:r>
            <w:r w:rsidRPr="00E7797C">
              <w:t>21/22</w:t>
            </w:r>
          </w:p>
        </w:tc>
        <w:tc>
          <w:tcPr>
            <w:tcW w:w="596" w:type="pct"/>
          </w:tcPr>
          <w:p w14:paraId="73D57901" w14:textId="77777777" w:rsidR="004A1008" w:rsidRPr="00E7797C" w:rsidRDefault="004A1008" w:rsidP="004A1008">
            <w:r>
              <w:t>20</w:t>
            </w:r>
            <w:r w:rsidRPr="00E7797C">
              <w:t>22/23</w:t>
            </w:r>
          </w:p>
        </w:tc>
        <w:tc>
          <w:tcPr>
            <w:tcW w:w="596" w:type="pct"/>
          </w:tcPr>
          <w:p w14:paraId="5F900FCD" w14:textId="77777777" w:rsidR="004A1008" w:rsidRPr="00E7797C" w:rsidRDefault="004A1008" w:rsidP="004A1008">
            <w:r>
              <w:t>20</w:t>
            </w:r>
            <w:r w:rsidRPr="00E7797C">
              <w:t>23/24</w:t>
            </w:r>
          </w:p>
        </w:tc>
        <w:tc>
          <w:tcPr>
            <w:tcW w:w="596" w:type="pct"/>
          </w:tcPr>
          <w:p w14:paraId="34BB0FCD" w14:textId="77777777" w:rsidR="004A1008" w:rsidRPr="00E7797C" w:rsidRDefault="004A1008" w:rsidP="004A1008">
            <w:r>
              <w:t>20</w:t>
            </w:r>
            <w:r w:rsidRPr="00E7797C">
              <w:t>24/25</w:t>
            </w:r>
          </w:p>
        </w:tc>
        <w:tc>
          <w:tcPr>
            <w:tcW w:w="596" w:type="pct"/>
          </w:tcPr>
          <w:p w14:paraId="075A0DA2" w14:textId="77777777" w:rsidR="004A1008" w:rsidRPr="00E7797C" w:rsidRDefault="004A1008" w:rsidP="004A1008">
            <w:r>
              <w:t>20</w:t>
            </w:r>
            <w:r w:rsidRPr="00E7797C">
              <w:t>25/26</w:t>
            </w:r>
          </w:p>
        </w:tc>
      </w:tr>
      <w:tr w:rsidR="004A1008" w14:paraId="4AF81582" w14:textId="77777777" w:rsidTr="004A1008">
        <w:trPr>
          <w:trHeight w:val="474"/>
        </w:trPr>
        <w:tc>
          <w:tcPr>
            <w:tcW w:w="771" w:type="pct"/>
          </w:tcPr>
          <w:p w14:paraId="68A6B28C" w14:textId="77777777" w:rsidR="004A1008" w:rsidRPr="00E7797C" w:rsidRDefault="004A1008" w:rsidP="004A1008">
            <w:r w:rsidRPr="00E7797C">
              <w:t>Output X</w:t>
            </w:r>
          </w:p>
        </w:tc>
        <w:tc>
          <w:tcPr>
            <w:tcW w:w="1248" w:type="pct"/>
          </w:tcPr>
          <w:p w14:paraId="5E1C9CAB" w14:textId="77777777" w:rsidR="004A1008" w:rsidRPr="00E7797C" w:rsidRDefault="004A1008" w:rsidP="004A1008"/>
        </w:tc>
        <w:tc>
          <w:tcPr>
            <w:tcW w:w="596" w:type="pct"/>
          </w:tcPr>
          <w:p w14:paraId="0AB336F9" w14:textId="77777777" w:rsidR="004A1008" w:rsidRPr="00E7797C" w:rsidRDefault="004A1008" w:rsidP="004A1008"/>
        </w:tc>
        <w:tc>
          <w:tcPr>
            <w:tcW w:w="596" w:type="pct"/>
          </w:tcPr>
          <w:p w14:paraId="1850A2AF" w14:textId="77777777" w:rsidR="004A1008" w:rsidRPr="00E7797C" w:rsidRDefault="004A1008" w:rsidP="004A1008"/>
        </w:tc>
        <w:tc>
          <w:tcPr>
            <w:tcW w:w="596" w:type="pct"/>
          </w:tcPr>
          <w:p w14:paraId="687DDE33" w14:textId="77777777" w:rsidR="004A1008" w:rsidRPr="00E7797C" w:rsidRDefault="004A1008" w:rsidP="004A1008"/>
        </w:tc>
        <w:tc>
          <w:tcPr>
            <w:tcW w:w="596" w:type="pct"/>
          </w:tcPr>
          <w:p w14:paraId="3FC2476F" w14:textId="77777777" w:rsidR="004A1008" w:rsidRPr="00E7797C" w:rsidRDefault="004A1008" w:rsidP="004A1008"/>
        </w:tc>
        <w:tc>
          <w:tcPr>
            <w:tcW w:w="596" w:type="pct"/>
          </w:tcPr>
          <w:p w14:paraId="1B3B3F4C" w14:textId="77777777" w:rsidR="004A1008" w:rsidRPr="00E7797C" w:rsidRDefault="004A1008" w:rsidP="004A1008"/>
        </w:tc>
      </w:tr>
      <w:tr w:rsidR="004A1008" w14:paraId="294988A8" w14:textId="77777777" w:rsidTr="004A1008">
        <w:trPr>
          <w:trHeight w:val="474"/>
        </w:trPr>
        <w:tc>
          <w:tcPr>
            <w:tcW w:w="771" w:type="pct"/>
          </w:tcPr>
          <w:p w14:paraId="2A5E0055" w14:textId="77777777" w:rsidR="004A1008" w:rsidRPr="00E7797C" w:rsidRDefault="004A1008" w:rsidP="004A1008">
            <w:r w:rsidRPr="00E7797C">
              <w:t>Output Y</w:t>
            </w:r>
          </w:p>
        </w:tc>
        <w:tc>
          <w:tcPr>
            <w:tcW w:w="1248" w:type="pct"/>
          </w:tcPr>
          <w:p w14:paraId="733F8A21" w14:textId="77777777" w:rsidR="004A1008" w:rsidRPr="00E7797C" w:rsidRDefault="004A1008" w:rsidP="004A1008"/>
        </w:tc>
        <w:tc>
          <w:tcPr>
            <w:tcW w:w="596" w:type="pct"/>
          </w:tcPr>
          <w:p w14:paraId="67A2F83E" w14:textId="77777777" w:rsidR="004A1008" w:rsidRPr="00E7797C" w:rsidRDefault="004A1008" w:rsidP="004A1008"/>
        </w:tc>
        <w:tc>
          <w:tcPr>
            <w:tcW w:w="596" w:type="pct"/>
          </w:tcPr>
          <w:p w14:paraId="721A3DDC" w14:textId="77777777" w:rsidR="004A1008" w:rsidRPr="00E7797C" w:rsidRDefault="004A1008" w:rsidP="004A1008"/>
        </w:tc>
        <w:tc>
          <w:tcPr>
            <w:tcW w:w="596" w:type="pct"/>
          </w:tcPr>
          <w:p w14:paraId="73C40ADE" w14:textId="77777777" w:rsidR="004A1008" w:rsidRPr="00E7797C" w:rsidRDefault="004A1008" w:rsidP="004A1008"/>
        </w:tc>
        <w:tc>
          <w:tcPr>
            <w:tcW w:w="596" w:type="pct"/>
          </w:tcPr>
          <w:p w14:paraId="42E1E0DB" w14:textId="77777777" w:rsidR="004A1008" w:rsidRPr="00E7797C" w:rsidRDefault="004A1008" w:rsidP="004A1008"/>
        </w:tc>
        <w:tc>
          <w:tcPr>
            <w:tcW w:w="596" w:type="pct"/>
          </w:tcPr>
          <w:p w14:paraId="6E7C1549" w14:textId="77777777" w:rsidR="004A1008" w:rsidRPr="00E7797C" w:rsidRDefault="004A1008" w:rsidP="004A1008"/>
        </w:tc>
      </w:tr>
      <w:tr w:rsidR="004A1008" w14:paraId="1AD0FDE6" w14:textId="77777777" w:rsidTr="004A1008">
        <w:trPr>
          <w:trHeight w:val="474"/>
        </w:trPr>
        <w:tc>
          <w:tcPr>
            <w:tcW w:w="771" w:type="pct"/>
          </w:tcPr>
          <w:p w14:paraId="050C67AE" w14:textId="77777777" w:rsidR="004A1008" w:rsidRPr="00E7797C" w:rsidRDefault="004A1008" w:rsidP="004A1008">
            <w:r w:rsidRPr="00E7797C">
              <w:t>Output Z</w:t>
            </w:r>
          </w:p>
        </w:tc>
        <w:tc>
          <w:tcPr>
            <w:tcW w:w="1248" w:type="pct"/>
          </w:tcPr>
          <w:p w14:paraId="47F23F19" w14:textId="77777777" w:rsidR="004A1008" w:rsidRPr="00E7797C" w:rsidRDefault="004A1008" w:rsidP="004A1008"/>
        </w:tc>
        <w:tc>
          <w:tcPr>
            <w:tcW w:w="596" w:type="pct"/>
          </w:tcPr>
          <w:p w14:paraId="336B8776" w14:textId="77777777" w:rsidR="004A1008" w:rsidRPr="00E7797C" w:rsidRDefault="004A1008" w:rsidP="004A1008"/>
        </w:tc>
        <w:tc>
          <w:tcPr>
            <w:tcW w:w="596" w:type="pct"/>
          </w:tcPr>
          <w:p w14:paraId="3F388A7E" w14:textId="77777777" w:rsidR="004A1008" w:rsidRPr="00E7797C" w:rsidRDefault="004A1008" w:rsidP="004A1008"/>
        </w:tc>
        <w:tc>
          <w:tcPr>
            <w:tcW w:w="596" w:type="pct"/>
          </w:tcPr>
          <w:p w14:paraId="7725C854" w14:textId="77777777" w:rsidR="004A1008" w:rsidRPr="00E7797C" w:rsidRDefault="004A1008" w:rsidP="004A1008"/>
        </w:tc>
        <w:tc>
          <w:tcPr>
            <w:tcW w:w="596" w:type="pct"/>
          </w:tcPr>
          <w:p w14:paraId="7F83466F" w14:textId="77777777" w:rsidR="004A1008" w:rsidRPr="00E7797C" w:rsidRDefault="004A1008" w:rsidP="004A1008"/>
        </w:tc>
        <w:tc>
          <w:tcPr>
            <w:tcW w:w="596" w:type="pct"/>
          </w:tcPr>
          <w:p w14:paraId="6A31FD58" w14:textId="77777777" w:rsidR="004A1008" w:rsidRPr="00E7797C" w:rsidRDefault="004A1008" w:rsidP="004A1008"/>
        </w:tc>
      </w:tr>
    </w:tbl>
    <w:p w14:paraId="5EA92DBB" w14:textId="77777777" w:rsidR="004A1008" w:rsidRPr="00156316" w:rsidRDefault="004A1008" w:rsidP="004A1008">
      <w:pPr>
        <w:pStyle w:val="AppendixHeading"/>
      </w:pPr>
    </w:p>
    <w:p w14:paraId="1B4C3C39" w14:textId="58BB96E8" w:rsidR="004A1008" w:rsidRPr="00156316" w:rsidRDefault="004A1008" w:rsidP="004A1008">
      <w:pPr>
        <w:pStyle w:val="Caption"/>
      </w:pPr>
      <w:r>
        <w:t>R</w:t>
      </w:r>
      <w:r w:rsidRPr="00156316">
        <w:t xml:space="preserve">eport </w:t>
      </w:r>
      <w:r>
        <w:t xml:space="preserve">submission dates and the associated periods to be reported on </w:t>
      </w:r>
    </w:p>
    <w:tbl>
      <w:tblPr>
        <w:tblStyle w:val="AppendixTable"/>
        <w:tblW w:w="0" w:type="auto"/>
        <w:tblLook w:val="0020" w:firstRow="1" w:lastRow="0" w:firstColumn="0" w:lastColumn="0" w:noHBand="0" w:noVBand="0"/>
      </w:tblPr>
      <w:tblGrid>
        <w:gridCol w:w="4508"/>
        <w:gridCol w:w="4508"/>
      </w:tblGrid>
      <w:tr w:rsidR="004A1008" w14:paraId="15ED70CC" w14:textId="77777777" w:rsidTr="004A1008">
        <w:trPr>
          <w:cnfStyle w:val="100000000000" w:firstRow="1" w:lastRow="0" w:firstColumn="0" w:lastColumn="0" w:oddVBand="0" w:evenVBand="0" w:oddHBand="0" w:evenHBand="0" w:firstRowFirstColumn="0" w:firstRowLastColumn="0" w:lastRowFirstColumn="0" w:lastRowLastColumn="0"/>
        </w:trPr>
        <w:tc>
          <w:tcPr>
            <w:tcW w:w="4508" w:type="dxa"/>
          </w:tcPr>
          <w:p w14:paraId="56AF0FA7" w14:textId="38AA9630" w:rsidR="004A1008" w:rsidRPr="0076108D" w:rsidRDefault="004A1008" w:rsidP="004A1008">
            <w:pPr>
              <w:tabs>
                <w:tab w:val="num" w:pos="726"/>
              </w:tabs>
              <w:rPr>
                <w:b w:val="0"/>
              </w:rPr>
            </w:pPr>
            <w:r>
              <w:t>Dates on which reports must be submitted annually from</w:t>
            </w:r>
            <w:r>
              <w:rPr>
                <w:bCs/>
              </w:rPr>
              <w:t xml:space="preserve"> 31 July 2021 to 30 April 2026</w:t>
            </w:r>
            <w:r>
              <w:t xml:space="preserve"> </w:t>
            </w:r>
          </w:p>
        </w:tc>
        <w:tc>
          <w:tcPr>
            <w:tcW w:w="4508" w:type="dxa"/>
          </w:tcPr>
          <w:p w14:paraId="14F8554F" w14:textId="30D332B6" w:rsidR="004A1008" w:rsidRPr="0076108D" w:rsidRDefault="004A1008" w:rsidP="004A1008">
            <w:pPr>
              <w:tabs>
                <w:tab w:val="num" w:pos="726"/>
              </w:tabs>
              <w:rPr>
                <w:b w:val="0"/>
              </w:rPr>
            </w:pPr>
            <w:r>
              <w:t>Associated p</w:t>
            </w:r>
            <w:r w:rsidRPr="0076108D">
              <w:t>eriod</w:t>
            </w:r>
            <w:r>
              <w:t>s to be reported</w:t>
            </w:r>
            <w:r w:rsidRPr="002010AB" w:rsidDel="002010AB">
              <w:t xml:space="preserve"> </w:t>
            </w:r>
            <w:r>
              <w:t>on</w:t>
            </w:r>
          </w:p>
        </w:tc>
      </w:tr>
      <w:tr w:rsidR="004A1008" w14:paraId="28FDFAB0" w14:textId="77777777" w:rsidTr="004A1008">
        <w:tc>
          <w:tcPr>
            <w:tcW w:w="4508" w:type="dxa"/>
          </w:tcPr>
          <w:p w14:paraId="510D0552" w14:textId="06BD6112" w:rsidR="004A1008" w:rsidRPr="00E7797C" w:rsidRDefault="004A1008" w:rsidP="004A1008">
            <w:pPr>
              <w:tabs>
                <w:tab w:val="num" w:pos="726"/>
              </w:tabs>
            </w:pPr>
            <w:r w:rsidRPr="00E7797C">
              <w:t xml:space="preserve">31 </w:t>
            </w:r>
            <w:r>
              <w:t>January</w:t>
            </w:r>
          </w:p>
        </w:tc>
        <w:tc>
          <w:tcPr>
            <w:tcW w:w="4508" w:type="dxa"/>
          </w:tcPr>
          <w:p w14:paraId="7B91F201" w14:textId="34EF0CEB" w:rsidR="004A1008" w:rsidRPr="00E7797C" w:rsidRDefault="004A1008" w:rsidP="004A1008">
            <w:pPr>
              <w:tabs>
                <w:tab w:val="num" w:pos="726"/>
              </w:tabs>
            </w:pPr>
            <w:r>
              <w:t>1 October to 31 December</w:t>
            </w:r>
            <w:r w:rsidRPr="00E7797C">
              <w:t xml:space="preserve"> </w:t>
            </w:r>
          </w:p>
        </w:tc>
      </w:tr>
      <w:tr w:rsidR="004A1008" w14:paraId="3ED2C51E" w14:textId="77777777" w:rsidTr="004A1008">
        <w:tc>
          <w:tcPr>
            <w:tcW w:w="4508" w:type="dxa"/>
          </w:tcPr>
          <w:p w14:paraId="32870230" w14:textId="0A0AF97B" w:rsidR="004A1008" w:rsidRPr="00E7797C" w:rsidRDefault="004A1008" w:rsidP="004A1008">
            <w:pPr>
              <w:tabs>
                <w:tab w:val="num" w:pos="726"/>
              </w:tabs>
            </w:pPr>
            <w:r>
              <w:t xml:space="preserve">30 April </w:t>
            </w:r>
          </w:p>
        </w:tc>
        <w:tc>
          <w:tcPr>
            <w:tcW w:w="4508" w:type="dxa"/>
          </w:tcPr>
          <w:p w14:paraId="006BB386" w14:textId="69F04B98" w:rsidR="004A1008" w:rsidRPr="00E7797C" w:rsidRDefault="004A1008" w:rsidP="004A1008">
            <w:pPr>
              <w:tabs>
                <w:tab w:val="num" w:pos="726"/>
              </w:tabs>
            </w:pPr>
            <w:r w:rsidRPr="00E7797C">
              <w:t>1 January</w:t>
            </w:r>
            <w:r>
              <w:t xml:space="preserve"> to </w:t>
            </w:r>
            <w:r w:rsidRPr="00E7797C">
              <w:t>31 March</w:t>
            </w:r>
          </w:p>
        </w:tc>
      </w:tr>
      <w:tr w:rsidR="004A1008" w14:paraId="27E0586D" w14:textId="77777777" w:rsidTr="004A1008">
        <w:tc>
          <w:tcPr>
            <w:tcW w:w="4508" w:type="dxa"/>
          </w:tcPr>
          <w:p w14:paraId="36E0D489" w14:textId="4E9986F6" w:rsidR="004A1008" w:rsidRPr="00E7797C" w:rsidRDefault="004A1008" w:rsidP="004A1008">
            <w:pPr>
              <w:tabs>
                <w:tab w:val="num" w:pos="726"/>
              </w:tabs>
            </w:pPr>
            <w:r>
              <w:t xml:space="preserve">31 </w:t>
            </w:r>
            <w:r w:rsidRPr="00E7797C">
              <w:t xml:space="preserve">July </w:t>
            </w:r>
          </w:p>
        </w:tc>
        <w:tc>
          <w:tcPr>
            <w:tcW w:w="4508" w:type="dxa"/>
          </w:tcPr>
          <w:p w14:paraId="6A465965" w14:textId="72DB6401" w:rsidR="004A1008" w:rsidRPr="00E7797C" w:rsidRDefault="004A1008" w:rsidP="004A1008">
            <w:pPr>
              <w:tabs>
                <w:tab w:val="num" w:pos="726"/>
              </w:tabs>
            </w:pPr>
            <w:r w:rsidRPr="00E7797C">
              <w:t>1 April</w:t>
            </w:r>
            <w:r>
              <w:t xml:space="preserve"> to</w:t>
            </w:r>
            <w:r w:rsidRPr="00E7797C">
              <w:t xml:space="preserve"> 30 June</w:t>
            </w:r>
          </w:p>
        </w:tc>
      </w:tr>
      <w:tr w:rsidR="004A1008" w14:paraId="1FC5E5EA" w14:textId="77777777" w:rsidTr="004A1008">
        <w:tc>
          <w:tcPr>
            <w:tcW w:w="4508" w:type="dxa"/>
          </w:tcPr>
          <w:p w14:paraId="64AD142E" w14:textId="24F38663" w:rsidR="004A1008" w:rsidRPr="00E7797C" w:rsidRDefault="004A1008" w:rsidP="004A1008">
            <w:pPr>
              <w:tabs>
                <w:tab w:val="num" w:pos="726"/>
              </w:tabs>
            </w:pPr>
            <w:r w:rsidRPr="00E7797C">
              <w:t>31 October</w:t>
            </w:r>
            <w:r w:rsidRPr="00E7797C" w:rsidDel="00123DDD">
              <w:t xml:space="preserve"> </w:t>
            </w:r>
          </w:p>
        </w:tc>
        <w:tc>
          <w:tcPr>
            <w:tcW w:w="4508" w:type="dxa"/>
          </w:tcPr>
          <w:p w14:paraId="5EEC0698" w14:textId="2D775A22" w:rsidR="004A1008" w:rsidRPr="00E7797C" w:rsidRDefault="004A1008" w:rsidP="004A1008">
            <w:pPr>
              <w:tabs>
                <w:tab w:val="num" w:pos="726"/>
              </w:tabs>
            </w:pPr>
            <w:r>
              <w:t>1 July to 30 September</w:t>
            </w:r>
          </w:p>
        </w:tc>
      </w:tr>
    </w:tbl>
    <w:p w14:paraId="0995F638" w14:textId="77777777" w:rsidR="004A1008" w:rsidRPr="00D32B52" w:rsidRDefault="004A1008" w:rsidP="004A1008">
      <w:pPr>
        <w:pStyle w:val="NumberedNormal"/>
        <w:numPr>
          <w:ilvl w:val="0"/>
          <w:numId w:val="0"/>
        </w:numPr>
        <w:ind w:left="879" w:hanging="879"/>
      </w:pPr>
    </w:p>
    <w:p w14:paraId="2C20EF6A" w14:textId="6A0B6018" w:rsidR="004A1008" w:rsidRDefault="004A1008" w:rsidP="004A1008">
      <w:pPr>
        <w:pStyle w:val="Heading2"/>
        <w:numPr>
          <w:ilvl w:val="1"/>
          <w:numId w:val="7"/>
        </w:numPr>
      </w:pPr>
      <w:bookmarkStart w:id="59" w:name="_Toc51783616"/>
      <w:bookmarkStart w:id="60" w:name="_Toc52364537"/>
      <w:r w:rsidRPr="00D32B52">
        <w:lastRenderedPageBreak/>
        <w:t xml:space="preserve">Cyber resilience </w:t>
      </w:r>
      <w:r>
        <w:t>i</w:t>
      </w:r>
      <w:r w:rsidRPr="00D32B52">
        <w:t xml:space="preserve">nformation </w:t>
      </w:r>
      <w:r>
        <w:t>t</w:t>
      </w:r>
      <w:r w:rsidRPr="00D32B52">
        <w:t xml:space="preserve">echnology </w:t>
      </w:r>
      <w:r>
        <w:t xml:space="preserve">Re-opener and </w:t>
      </w:r>
      <w:r w:rsidRPr="00D32B52">
        <w:t>Price Control Deliverable</w:t>
      </w:r>
      <w:r>
        <w:t xml:space="preserve"> (CRI</w:t>
      </w:r>
      <w:r w:rsidR="0097165A">
        <w:t>T</w:t>
      </w:r>
      <w:r w:rsidRPr="00156316">
        <w:rPr>
          <w:vertAlign w:val="subscript"/>
        </w:rPr>
        <w:t>t</w:t>
      </w:r>
      <w:r>
        <w:t>)</w:t>
      </w:r>
      <w:bookmarkEnd w:id="59"/>
      <w:bookmarkEnd w:id="60"/>
    </w:p>
    <w:p w14:paraId="068D78A6" w14:textId="77777777" w:rsidR="004A1008" w:rsidRPr="003C09E1" w:rsidRDefault="004A1008" w:rsidP="004A1008">
      <w:pPr>
        <w:pStyle w:val="Heading3nonumbering"/>
      </w:pPr>
      <w:r w:rsidRPr="003C09E1">
        <w:t xml:space="preserve">Introduction </w:t>
      </w:r>
    </w:p>
    <w:p w14:paraId="7C5A2230" w14:textId="77777777" w:rsidR="004A1008" w:rsidRPr="003C09E1" w:rsidRDefault="004A1008" w:rsidP="004A1008">
      <w:pPr>
        <w:pStyle w:val="NumberedNormal"/>
        <w:numPr>
          <w:ilvl w:val="2"/>
          <w:numId w:val="7"/>
        </w:numPr>
      </w:pPr>
      <w:r>
        <w:t>The purpose of this condition is to calculate the term CRIT</w:t>
      </w:r>
      <w:r w:rsidRPr="00156316">
        <w:rPr>
          <w:vertAlign w:val="subscript"/>
        </w:rPr>
        <w:t>t</w:t>
      </w:r>
      <w:r>
        <w:t xml:space="preserve"> (the Cyber Resilience Price Control Deliverable term). This contributes to the calculation of the Totex Allowance.</w:t>
      </w:r>
    </w:p>
    <w:p w14:paraId="28DE79E2" w14:textId="77777777" w:rsidR="004A1008" w:rsidRPr="003C09E1" w:rsidRDefault="004A1008" w:rsidP="004A1008">
      <w:pPr>
        <w:pStyle w:val="NumberedNormal"/>
        <w:numPr>
          <w:ilvl w:val="2"/>
          <w:numId w:val="7"/>
        </w:numPr>
      </w:pPr>
      <w:r>
        <w:t>The effect of this condition is to:</w:t>
      </w:r>
    </w:p>
    <w:p w14:paraId="79F6A30C" w14:textId="12F11A8F" w:rsidR="004A1008" w:rsidRPr="003C09E1" w:rsidRDefault="004A1008" w:rsidP="004A1008">
      <w:pPr>
        <w:pStyle w:val="ListNormal"/>
        <w:numPr>
          <w:ilvl w:val="3"/>
          <w:numId w:val="7"/>
        </w:numPr>
      </w:pPr>
      <w:r>
        <w:t>specify the outputs, delivery dates and associated allowances for the Price Control Deliverable;</w:t>
      </w:r>
    </w:p>
    <w:p w14:paraId="05D9FC4C" w14:textId="77777777" w:rsidR="004A1008" w:rsidRPr="003C09E1" w:rsidRDefault="004A1008" w:rsidP="004A1008">
      <w:pPr>
        <w:pStyle w:val="ListNormal"/>
        <w:numPr>
          <w:ilvl w:val="3"/>
          <w:numId w:val="7"/>
        </w:numPr>
      </w:pPr>
      <w:r>
        <w:t xml:space="preserve">require the licensee to submit a Cyber Resilience IT Plan at the start of the Price Control Period; </w:t>
      </w:r>
    </w:p>
    <w:p w14:paraId="16B0A9AF" w14:textId="77777777" w:rsidR="004A1008" w:rsidRPr="003C09E1" w:rsidRDefault="004A1008" w:rsidP="004A1008">
      <w:pPr>
        <w:pStyle w:val="ListNormal"/>
        <w:numPr>
          <w:ilvl w:val="3"/>
          <w:numId w:val="7"/>
        </w:numPr>
      </w:pPr>
      <w:r>
        <w:t>establish a Re-opener for the licensee and Authority to trigger amendments to the Price Control Deliverable during the Price Control Period; and</w:t>
      </w:r>
    </w:p>
    <w:p w14:paraId="126A4949" w14:textId="77777777" w:rsidR="004A1008" w:rsidRPr="003C09E1" w:rsidRDefault="004A1008" w:rsidP="004A1008">
      <w:pPr>
        <w:pStyle w:val="ListNormal"/>
        <w:numPr>
          <w:ilvl w:val="3"/>
          <w:numId w:val="7"/>
        </w:numPr>
      </w:pPr>
      <w:r>
        <w:t xml:space="preserve">provide for an assessment of the Price Control Deliverable. </w:t>
      </w:r>
    </w:p>
    <w:p w14:paraId="128A3D87" w14:textId="77777777" w:rsidR="004A1008" w:rsidRPr="003C09E1" w:rsidRDefault="004A1008" w:rsidP="004A1008">
      <w:pPr>
        <w:pStyle w:val="NumberedNormal"/>
        <w:numPr>
          <w:ilvl w:val="2"/>
          <w:numId w:val="7"/>
        </w:numPr>
      </w:pPr>
      <w:r>
        <w:t>This condition also:</w:t>
      </w:r>
    </w:p>
    <w:p w14:paraId="5C672CDF" w14:textId="0DF05287" w:rsidR="004A1008" w:rsidRPr="003C09E1" w:rsidRDefault="004A1008" w:rsidP="004A1008">
      <w:pPr>
        <w:pStyle w:val="ListNormal"/>
        <w:numPr>
          <w:ilvl w:val="3"/>
          <w:numId w:val="7"/>
        </w:numPr>
      </w:pPr>
      <w:r>
        <w:t>explains the process the Authority will follow when directing any changes under paragraphs 3.6.8, 3.6.9, 3.6.13 and 3.6.1</w:t>
      </w:r>
      <w:r w:rsidR="0097165A">
        <w:t>5</w:t>
      </w:r>
      <w:r>
        <w:t>; and</w:t>
      </w:r>
    </w:p>
    <w:p w14:paraId="7D315621" w14:textId="77777777" w:rsidR="004A1008" w:rsidRPr="003C09E1" w:rsidRDefault="004A1008" w:rsidP="004A1008">
      <w:pPr>
        <w:pStyle w:val="ListNormal"/>
        <w:numPr>
          <w:ilvl w:val="3"/>
          <w:numId w:val="7"/>
        </w:numPr>
      </w:pPr>
      <w:r>
        <w:t>requires the licensee to report regularly to the Authority.</w:t>
      </w:r>
    </w:p>
    <w:p w14:paraId="68C21823" w14:textId="517278B2" w:rsidR="004A1008" w:rsidRPr="003C09E1" w:rsidRDefault="004A1008" w:rsidP="004A1008">
      <w:pPr>
        <w:pStyle w:val="Heading3"/>
        <w:numPr>
          <w:ilvl w:val="5"/>
          <w:numId w:val="7"/>
        </w:numPr>
      </w:pPr>
      <w:r>
        <w:t>Formula for calculating the Cyber Resilience IT Price Control Deliverable term (CRI</w:t>
      </w:r>
      <w:r w:rsidR="0097165A">
        <w:t>T</w:t>
      </w:r>
      <w:r w:rsidRPr="00156316">
        <w:rPr>
          <w:vertAlign w:val="subscript"/>
        </w:rPr>
        <w:t>t</w:t>
      </w:r>
      <w:r>
        <w:t>)</w:t>
      </w:r>
    </w:p>
    <w:p w14:paraId="7924E322" w14:textId="77777777" w:rsidR="004A1008" w:rsidRDefault="004A1008" w:rsidP="004A1008">
      <w:pPr>
        <w:pStyle w:val="NumberedNormal"/>
        <w:numPr>
          <w:ilvl w:val="2"/>
          <w:numId w:val="7"/>
        </w:numPr>
      </w:pPr>
      <w:r>
        <w:t>The value of CRIT</w:t>
      </w:r>
      <w:r w:rsidRPr="00156316">
        <w:rPr>
          <w:vertAlign w:val="subscript"/>
        </w:rPr>
        <w:t>t</w:t>
      </w:r>
      <w:r>
        <w:t xml:space="preserve"> is derived in accordance with the following formula:</w:t>
      </w:r>
    </w:p>
    <w:p w14:paraId="172A8930" w14:textId="77777777" w:rsidR="004A1008" w:rsidRPr="003C09E1" w:rsidRDefault="008C7681" w:rsidP="004A1008">
      <m:oMathPara>
        <m:oMath>
          <m:sSub>
            <m:sSubPr>
              <m:ctrlPr>
                <w:rPr>
                  <w:rFonts w:ascii="Cambria Math" w:hAnsi="Cambria Math"/>
                  <w:i/>
                </w:rPr>
              </m:ctrlPr>
            </m:sSubPr>
            <m:e>
              <m:r>
                <w:rPr>
                  <w:rFonts w:ascii="Cambria Math" w:hAnsi="Cambria Math"/>
                </w:rPr>
                <m:t>CRIT</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CRIA</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CRIR</m:t>
              </m:r>
            </m:e>
            <m:sub>
              <m:r>
                <w:rPr>
                  <w:rFonts w:ascii="Cambria Math" w:hAnsi="Cambria Math"/>
                </w:rPr>
                <m:t>t</m:t>
              </m:r>
            </m:sub>
          </m:sSub>
        </m:oMath>
      </m:oMathPara>
    </w:p>
    <w:p w14:paraId="55DDB766" w14:textId="77777777" w:rsidR="004A1008" w:rsidRPr="003C09E1" w:rsidRDefault="004A1008" w:rsidP="004A1008">
      <w:r>
        <w:tab/>
      </w:r>
      <w:r w:rsidRPr="003C09E1">
        <w:t>where:</w:t>
      </w:r>
    </w:p>
    <w:tbl>
      <w:tblPr>
        <w:tblStyle w:val="TableGridLight"/>
        <w:tblW w:w="0" w:type="auto"/>
        <w:tblLook w:val="04A0" w:firstRow="1" w:lastRow="0" w:firstColumn="1" w:lastColumn="0" w:noHBand="0" w:noVBand="1"/>
      </w:tblPr>
      <w:tblGrid>
        <w:gridCol w:w="764"/>
        <w:gridCol w:w="7582"/>
      </w:tblGrid>
      <w:tr w:rsidR="004A1008" w:rsidRPr="007442AB" w14:paraId="05C6C1AC" w14:textId="77777777" w:rsidTr="004A1008">
        <w:trPr>
          <w:trHeight w:val="454"/>
        </w:trPr>
        <w:tc>
          <w:tcPr>
            <w:tcW w:w="0" w:type="auto"/>
          </w:tcPr>
          <w:p w14:paraId="35D1B067" w14:textId="77777777" w:rsidR="004A1008" w:rsidRPr="003C09E1" w:rsidRDefault="004A1008" w:rsidP="004A1008">
            <w:r w:rsidRPr="003C09E1">
              <w:t>CRIA</w:t>
            </w:r>
            <w:r w:rsidRPr="00156316">
              <w:rPr>
                <w:vertAlign w:val="subscript"/>
              </w:rPr>
              <w:t>t</w:t>
            </w:r>
          </w:p>
        </w:tc>
        <w:tc>
          <w:tcPr>
            <w:tcW w:w="0" w:type="auto"/>
          </w:tcPr>
          <w:p w14:paraId="48692BEB" w14:textId="77777777" w:rsidR="004A1008" w:rsidRPr="003C09E1" w:rsidRDefault="004A1008" w:rsidP="004A1008">
            <w:r w:rsidRPr="003C09E1">
              <w:t>means the sum of allowances in Appendix 1</w:t>
            </w:r>
            <w:r>
              <w:t>; and</w:t>
            </w:r>
          </w:p>
        </w:tc>
      </w:tr>
      <w:tr w:rsidR="004A1008" w:rsidRPr="007442AB" w14:paraId="71AFDBE6" w14:textId="77777777" w:rsidTr="004A1008">
        <w:trPr>
          <w:trHeight w:val="454"/>
        </w:trPr>
        <w:tc>
          <w:tcPr>
            <w:tcW w:w="0" w:type="auto"/>
          </w:tcPr>
          <w:p w14:paraId="35009B28" w14:textId="77777777" w:rsidR="004A1008" w:rsidRPr="003C09E1" w:rsidRDefault="004A1008" w:rsidP="004A1008">
            <w:r w:rsidRPr="003C09E1">
              <w:t>CRIR</w:t>
            </w:r>
            <w:r w:rsidRPr="00156316">
              <w:rPr>
                <w:vertAlign w:val="subscript"/>
              </w:rPr>
              <w:t>t</w:t>
            </w:r>
          </w:p>
        </w:tc>
        <w:tc>
          <w:tcPr>
            <w:tcW w:w="0" w:type="auto"/>
          </w:tcPr>
          <w:p w14:paraId="734D25CB" w14:textId="77777777" w:rsidR="004A1008" w:rsidRPr="003C09E1" w:rsidRDefault="004A1008" w:rsidP="004A1008">
            <w:r>
              <w:t>has the value zero unless otherwise directed by the Authority in accordance with Part F.</w:t>
            </w:r>
          </w:p>
        </w:tc>
      </w:tr>
    </w:tbl>
    <w:p w14:paraId="0293E9D7" w14:textId="77777777" w:rsidR="004A1008" w:rsidRPr="003C09E1" w:rsidRDefault="004A1008" w:rsidP="004A1008">
      <w:pPr>
        <w:pStyle w:val="Heading3"/>
        <w:numPr>
          <w:ilvl w:val="5"/>
          <w:numId w:val="7"/>
        </w:numPr>
      </w:pPr>
      <w:r>
        <w:t>What must the licensee deliver?</w:t>
      </w:r>
    </w:p>
    <w:p w14:paraId="7F7E8424" w14:textId="77777777" w:rsidR="004A1008" w:rsidRPr="009F7C47" w:rsidRDefault="004A1008" w:rsidP="004A1008">
      <w:pPr>
        <w:pStyle w:val="NumberedNormal"/>
      </w:pPr>
      <w:bookmarkStart w:id="61" w:name="_Hlk52102290"/>
      <w:r w:rsidRPr="009F7C47">
        <w:t>The licensee</w:t>
      </w:r>
      <w:r>
        <w:t xml:space="preserve"> </w:t>
      </w:r>
      <w:r w:rsidRPr="009F7C47">
        <w:t xml:space="preserve">must deliver the outputs </w:t>
      </w:r>
      <w:r>
        <w:t xml:space="preserve">in accordance with, and </w:t>
      </w:r>
      <w:r w:rsidRPr="009F7C47">
        <w:t>by the delivery dates specified in</w:t>
      </w:r>
      <w:r>
        <w:t xml:space="preserve">, </w:t>
      </w:r>
      <w:r w:rsidRPr="009F7C47">
        <w:t>Appendix 1.</w:t>
      </w:r>
    </w:p>
    <w:bookmarkEnd w:id="61"/>
    <w:p w14:paraId="33A04B46" w14:textId="77777777" w:rsidR="004A1008" w:rsidRPr="003C09E1" w:rsidRDefault="004A1008" w:rsidP="004A1008">
      <w:pPr>
        <w:pStyle w:val="Heading3"/>
        <w:numPr>
          <w:ilvl w:val="5"/>
          <w:numId w:val="7"/>
        </w:numPr>
      </w:pPr>
      <w:r>
        <w:t>Requirement to submit a Cyber Resilience IT Plan</w:t>
      </w:r>
    </w:p>
    <w:p w14:paraId="27748017" w14:textId="77777777" w:rsidR="004A1008" w:rsidRPr="003C09E1" w:rsidRDefault="004A1008" w:rsidP="004A1008">
      <w:pPr>
        <w:pStyle w:val="NumberedNormal"/>
        <w:numPr>
          <w:ilvl w:val="2"/>
          <w:numId w:val="7"/>
        </w:numPr>
      </w:pPr>
      <w:r>
        <w:t>The licensee must submit to the Authority a Cyber Resilience IT Plan Between 1 April 2021 and 8 April 2021.</w:t>
      </w:r>
    </w:p>
    <w:p w14:paraId="3B62CD05" w14:textId="6AB833AB" w:rsidR="004A1008" w:rsidRPr="003C09E1" w:rsidRDefault="004A1008" w:rsidP="004A1008">
      <w:pPr>
        <w:pStyle w:val="NumberedNormal"/>
        <w:numPr>
          <w:ilvl w:val="2"/>
          <w:numId w:val="7"/>
        </w:numPr>
      </w:pPr>
      <w:r>
        <w:t>The Cyber Resilience IT Pl</w:t>
      </w:r>
      <w:r w:rsidR="005E5FAA">
        <w:t>an submitted under paragraph 3.3</w:t>
      </w:r>
      <w:r>
        <w:t xml:space="preserve">.6 must: </w:t>
      </w:r>
    </w:p>
    <w:p w14:paraId="58600A6A" w14:textId="77777777" w:rsidR="004A1008" w:rsidRPr="003C09E1" w:rsidRDefault="004A1008" w:rsidP="004A1008">
      <w:pPr>
        <w:pStyle w:val="ListNormal"/>
        <w:numPr>
          <w:ilvl w:val="3"/>
          <w:numId w:val="7"/>
        </w:numPr>
      </w:pPr>
      <w:r>
        <w:t xml:space="preserve">include statements: </w:t>
      </w:r>
    </w:p>
    <w:p w14:paraId="777C56ED" w14:textId="77777777" w:rsidR="004A1008" w:rsidRPr="003C09E1" w:rsidRDefault="004A1008" w:rsidP="004A1008">
      <w:pPr>
        <w:pStyle w:val="ListNormal"/>
        <w:numPr>
          <w:ilvl w:val="4"/>
          <w:numId w:val="2"/>
        </w:numPr>
      </w:pPr>
      <w:r>
        <w:lastRenderedPageBreak/>
        <w:t xml:space="preserve">giving </w:t>
      </w:r>
      <w:r w:rsidRPr="003C09E1">
        <w:t>details of any proposed activities that the licensee considers would be capable of improving cyber resilience in relation to IT, including measured risk reduction on the licensee's network and information systems;</w:t>
      </w:r>
    </w:p>
    <w:p w14:paraId="781FBACE" w14:textId="77777777" w:rsidR="004A1008" w:rsidRPr="003C09E1" w:rsidRDefault="004A1008" w:rsidP="004A1008">
      <w:pPr>
        <w:pStyle w:val="ListNormal"/>
        <w:numPr>
          <w:ilvl w:val="4"/>
          <w:numId w:val="2"/>
        </w:numPr>
      </w:pPr>
      <w:r>
        <w:t xml:space="preserve">setting out </w:t>
      </w:r>
      <w:r w:rsidRPr="003C09E1">
        <w:t>any amendments requested to the outputs, delivery dates or allowances in Appendix 1;</w:t>
      </w:r>
    </w:p>
    <w:p w14:paraId="744E62A6" w14:textId="77777777" w:rsidR="004A1008" w:rsidRPr="003C09E1" w:rsidRDefault="004A1008" w:rsidP="004A1008">
      <w:pPr>
        <w:pStyle w:val="ListNormal"/>
        <w:numPr>
          <w:ilvl w:val="4"/>
          <w:numId w:val="2"/>
        </w:numPr>
      </w:pPr>
      <w:r>
        <w:t xml:space="preserve">explaining </w:t>
      </w:r>
      <w:r w:rsidRPr="003C09E1">
        <w:t>how any amendments requested would improve cyber resilience in relation to IT, including measured risk reduction on the licensee's network and information systems;</w:t>
      </w:r>
      <w:r>
        <w:t xml:space="preserve"> and</w:t>
      </w:r>
    </w:p>
    <w:p w14:paraId="7E2B7735" w14:textId="77777777" w:rsidR="004A1008" w:rsidRPr="003C09E1" w:rsidRDefault="004A1008" w:rsidP="004A1008">
      <w:pPr>
        <w:pStyle w:val="ListNormal"/>
        <w:numPr>
          <w:ilvl w:val="4"/>
          <w:numId w:val="2"/>
        </w:numPr>
      </w:pPr>
      <w:r>
        <w:t xml:space="preserve">explaining </w:t>
      </w:r>
      <w:r w:rsidRPr="003C09E1">
        <w:t>the basis of the calculations for any amendments requested to allowances; and</w:t>
      </w:r>
    </w:p>
    <w:p w14:paraId="648924A9" w14:textId="77777777" w:rsidR="004A1008" w:rsidRPr="003C09E1" w:rsidRDefault="004A1008" w:rsidP="004A1008">
      <w:pPr>
        <w:pStyle w:val="ListNormal"/>
        <w:numPr>
          <w:ilvl w:val="3"/>
          <w:numId w:val="7"/>
        </w:numPr>
      </w:pPr>
      <w:r>
        <w:t>provide detailed supporting evidence including the items specified in the Re-opener Guidance and Application Requirements Document.</w:t>
      </w:r>
    </w:p>
    <w:p w14:paraId="7C5063B2" w14:textId="579AAB2E" w:rsidR="004A1008" w:rsidRPr="003C09E1" w:rsidRDefault="004A1008" w:rsidP="004A1008">
      <w:pPr>
        <w:pStyle w:val="NumberedNormal"/>
        <w:numPr>
          <w:ilvl w:val="2"/>
          <w:numId w:val="7"/>
        </w:numPr>
      </w:pPr>
      <w:r>
        <w:t>The Authority will by direction make any amendments to Appendix 1 as a result of the submission of a Cyber Resilience IT Plan under paragraph 3.</w:t>
      </w:r>
      <w:r w:rsidR="005E5FAA">
        <w:t>3</w:t>
      </w:r>
      <w:r>
        <w:t>.</w:t>
      </w:r>
      <w:r w:rsidR="0097165A">
        <w:t>6</w:t>
      </w:r>
      <w:r>
        <w:t>.</w:t>
      </w:r>
    </w:p>
    <w:p w14:paraId="330DB0FB" w14:textId="77777777" w:rsidR="004A1008" w:rsidRPr="003C09E1" w:rsidRDefault="004A1008" w:rsidP="004A1008">
      <w:pPr>
        <w:pStyle w:val="Heading3"/>
        <w:numPr>
          <w:ilvl w:val="5"/>
          <w:numId w:val="7"/>
        </w:numPr>
      </w:pPr>
      <w:r>
        <w:t>Cyber Resilience IT Re-opener</w:t>
      </w:r>
    </w:p>
    <w:p w14:paraId="2F4B56D7" w14:textId="77777777" w:rsidR="004A1008" w:rsidRPr="003C09E1" w:rsidRDefault="004A1008" w:rsidP="004A1008">
      <w:pPr>
        <w:pStyle w:val="NumberedNormal"/>
        <w:numPr>
          <w:ilvl w:val="2"/>
          <w:numId w:val="7"/>
        </w:numPr>
      </w:pPr>
      <w:r>
        <w:t>The licensee may apply to the Authority for a direction amending the outputs, delivery dates or associated allowances in Appendix 1 where it considers there are:</w:t>
      </w:r>
    </w:p>
    <w:p w14:paraId="784F3EC8" w14:textId="77777777" w:rsidR="004A1008" w:rsidRPr="003C09E1" w:rsidRDefault="004A1008" w:rsidP="004A1008">
      <w:pPr>
        <w:pStyle w:val="ListNormal"/>
        <w:numPr>
          <w:ilvl w:val="3"/>
          <w:numId w:val="7"/>
        </w:numPr>
      </w:pPr>
      <w:r>
        <w:t xml:space="preserve">new activities capable of improving cyber resilience in relation to IT, including measured risk reduction in respect to the licensee's network and information systems; </w:t>
      </w:r>
    </w:p>
    <w:p w14:paraId="13288634" w14:textId="77777777" w:rsidR="004A1008" w:rsidRPr="003C09E1" w:rsidRDefault="004A1008" w:rsidP="004A1008">
      <w:pPr>
        <w:pStyle w:val="ListNormal"/>
        <w:numPr>
          <w:ilvl w:val="3"/>
          <w:numId w:val="7"/>
        </w:numPr>
      </w:pPr>
      <w:r>
        <w:t>changes to levels of risks or threats relating to cyber resilience in relation to IT, that take the licensee outside of its organisational risk appetite; or</w:t>
      </w:r>
    </w:p>
    <w:p w14:paraId="14B142FF" w14:textId="77777777" w:rsidR="004A1008" w:rsidRPr="003C09E1" w:rsidRDefault="004A1008" w:rsidP="004A1008">
      <w:pPr>
        <w:pStyle w:val="ListNormal"/>
        <w:numPr>
          <w:ilvl w:val="3"/>
          <w:numId w:val="7"/>
        </w:numPr>
      </w:pPr>
      <w:r>
        <w:t>changes to statutory or regulatory requirements relating to cyber resilience in relation to IT.</w:t>
      </w:r>
    </w:p>
    <w:p w14:paraId="6F63FCC3" w14:textId="570755B4" w:rsidR="004A1008" w:rsidRPr="003C09E1" w:rsidRDefault="004A1008" w:rsidP="004A1008">
      <w:pPr>
        <w:pStyle w:val="NumberedNormal"/>
        <w:numPr>
          <w:ilvl w:val="2"/>
          <w:numId w:val="7"/>
        </w:numPr>
      </w:pPr>
      <w:r>
        <w:t>The licensee may only apply to t</w:t>
      </w:r>
      <w:r w:rsidR="005E5FAA">
        <w:t>he Authority under paragraph 3.3</w:t>
      </w:r>
      <w:r>
        <w:t xml:space="preserve">.9 Between 25 January 2023 and 31 January 2023, or during such later periods as the Authority may direct. </w:t>
      </w:r>
    </w:p>
    <w:p w14:paraId="69E4B3A8" w14:textId="0A1D3BB9" w:rsidR="004A1008" w:rsidRPr="003C09E1" w:rsidRDefault="004A1008" w:rsidP="004A1008">
      <w:pPr>
        <w:pStyle w:val="NumberedNormal"/>
        <w:numPr>
          <w:ilvl w:val="2"/>
          <w:numId w:val="7"/>
        </w:numPr>
      </w:pPr>
      <w:r>
        <w:t>An application under paragraph 3.</w:t>
      </w:r>
      <w:r w:rsidR="005E5FAA">
        <w:t>3</w:t>
      </w:r>
      <w:r>
        <w:t>.9 must be made in writing and must:</w:t>
      </w:r>
    </w:p>
    <w:p w14:paraId="05CD26C0" w14:textId="6FCEFDC2" w:rsidR="004A1008" w:rsidRPr="003C09E1" w:rsidRDefault="004A1008" w:rsidP="004A1008">
      <w:pPr>
        <w:pStyle w:val="ListNormal"/>
        <w:tabs>
          <w:tab w:val="num" w:pos="879"/>
        </w:tabs>
      </w:pPr>
      <w:r>
        <w:t xml:space="preserve">give </w:t>
      </w:r>
      <w:r w:rsidRPr="003C09E1">
        <w:t xml:space="preserve">details of the circumstances referred to in paragraph </w:t>
      </w:r>
      <w:r w:rsidR="0097165A">
        <w:t>3.3</w:t>
      </w:r>
      <w:r w:rsidRPr="003C09E1">
        <w:t>.9 (a), (b) or (c) that the licensee considers exist;</w:t>
      </w:r>
    </w:p>
    <w:p w14:paraId="2A544AC0" w14:textId="77777777" w:rsidR="004A1008" w:rsidRPr="003C09E1" w:rsidRDefault="004A1008" w:rsidP="004A1008">
      <w:pPr>
        <w:pStyle w:val="ListNormal"/>
        <w:tabs>
          <w:tab w:val="num" w:pos="879"/>
        </w:tabs>
      </w:pPr>
      <w:r>
        <w:t xml:space="preserve">set out </w:t>
      </w:r>
      <w:r w:rsidRPr="003C09E1">
        <w:t>any amendments requested to the outputs, delivery dates or allowances set out in Appendix 1;</w:t>
      </w:r>
    </w:p>
    <w:p w14:paraId="7EC467A9" w14:textId="77777777" w:rsidR="004A1008" w:rsidRPr="003C09E1" w:rsidRDefault="004A1008" w:rsidP="004A1008">
      <w:pPr>
        <w:pStyle w:val="ListNormal"/>
        <w:tabs>
          <w:tab w:val="num" w:pos="879"/>
        </w:tabs>
      </w:pPr>
      <w:r>
        <w:t xml:space="preserve">explain </w:t>
      </w:r>
      <w:r w:rsidRPr="001A5BB7">
        <w:t>how</w:t>
      </w:r>
      <w:r w:rsidRPr="003C09E1">
        <w:t xml:space="preserve"> any amendments requested would improve cyber resilience in relation to IT, including measured risk reduction on the licensee's network and information systems; </w:t>
      </w:r>
    </w:p>
    <w:p w14:paraId="4FC9BC46" w14:textId="77777777" w:rsidR="004A1008" w:rsidRPr="003C09E1" w:rsidRDefault="004A1008" w:rsidP="004A1008">
      <w:pPr>
        <w:pStyle w:val="ListNormal"/>
        <w:tabs>
          <w:tab w:val="num" w:pos="879"/>
        </w:tabs>
      </w:pPr>
      <w:r>
        <w:t xml:space="preserve">explain </w:t>
      </w:r>
      <w:r w:rsidRPr="001A5BB7">
        <w:t>the</w:t>
      </w:r>
      <w:r w:rsidRPr="003C09E1">
        <w:t xml:space="preserve"> basis of the calculations for any amendments requested to allowances; and</w:t>
      </w:r>
    </w:p>
    <w:p w14:paraId="0948A944" w14:textId="77777777" w:rsidR="004A1008" w:rsidRPr="003C09E1" w:rsidRDefault="004A1008" w:rsidP="004A1008">
      <w:pPr>
        <w:pStyle w:val="ListNormal"/>
        <w:numPr>
          <w:ilvl w:val="3"/>
          <w:numId w:val="7"/>
        </w:numPr>
      </w:pPr>
      <w:r>
        <w:lastRenderedPageBreak/>
        <w:t xml:space="preserve"> include detailed supporting evidence as set out in the Re-opener Guidance and Application Requirements Document. </w:t>
      </w:r>
    </w:p>
    <w:p w14:paraId="43925564" w14:textId="2BEB1F2C" w:rsidR="004A1008" w:rsidRPr="003C09E1" w:rsidRDefault="004A1008" w:rsidP="004A1008">
      <w:pPr>
        <w:pStyle w:val="NumberedNormal"/>
        <w:numPr>
          <w:ilvl w:val="2"/>
          <w:numId w:val="7"/>
        </w:numPr>
      </w:pPr>
      <w:r>
        <w:t>An</w:t>
      </w:r>
      <w:r w:rsidR="005E5FAA">
        <w:t xml:space="preserve"> application under paragraph 3.3</w:t>
      </w:r>
      <w:r>
        <w:t xml:space="preserve">.9 must: </w:t>
      </w:r>
    </w:p>
    <w:p w14:paraId="5FE2C64D" w14:textId="047032C5" w:rsidR="004A1008" w:rsidRPr="003C09E1" w:rsidRDefault="004A1008" w:rsidP="004A1008">
      <w:pPr>
        <w:pStyle w:val="ListNormal"/>
        <w:numPr>
          <w:ilvl w:val="3"/>
          <w:numId w:val="7"/>
        </w:numPr>
      </w:pPr>
      <w:r>
        <w:t>relate to circumstances of the t</w:t>
      </w:r>
      <w:r w:rsidR="005E5FAA">
        <w:t>ype referred to in paragraph 3.3</w:t>
      </w:r>
      <w:r>
        <w:t>.9 (a), (b) or (c) that have developed since the licensee submitted its Cyber Resilience IT Plan under paragraph 3.</w:t>
      </w:r>
      <w:r w:rsidR="005E5FAA">
        <w:t>3</w:t>
      </w:r>
      <w:r>
        <w:t>.7;</w:t>
      </w:r>
    </w:p>
    <w:p w14:paraId="19DE642C" w14:textId="77777777" w:rsidR="004A1008" w:rsidRPr="003C09E1" w:rsidRDefault="004A1008" w:rsidP="004A1008">
      <w:pPr>
        <w:pStyle w:val="ListNormal"/>
        <w:numPr>
          <w:ilvl w:val="3"/>
          <w:numId w:val="7"/>
        </w:numPr>
      </w:pPr>
      <w:r>
        <w:t>take account of any allowed expenditure, which can be avoided as a result of the change; and</w:t>
      </w:r>
    </w:p>
    <w:p w14:paraId="03B5AA8E" w14:textId="77777777" w:rsidR="004A1008" w:rsidRPr="003C09E1" w:rsidRDefault="004A1008" w:rsidP="004A1008">
      <w:pPr>
        <w:pStyle w:val="ListNormal"/>
        <w:numPr>
          <w:ilvl w:val="3"/>
          <w:numId w:val="7"/>
        </w:numPr>
      </w:pPr>
      <w:r>
        <w:t xml:space="preserve">be confined to costs incurred or expected to be incurred on or after 1 April 2021.  </w:t>
      </w:r>
    </w:p>
    <w:p w14:paraId="6B5CB065" w14:textId="77777777" w:rsidR="004A1008" w:rsidRPr="003C09E1" w:rsidRDefault="004A1008" w:rsidP="004A1008">
      <w:pPr>
        <w:pStyle w:val="Heading3"/>
        <w:numPr>
          <w:ilvl w:val="5"/>
          <w:numId w:val="7"/>
        </w:numPr>
      </w:pPr>
      <w:r>
        <w:t>Authority triggered re-opener</w:t>
      </w:r>
    </w:p>
    <w:p w14:paraId="5DE81657" w14:textId="3CC24A43" w:rsidR="004A1008" w:rsidRPr="003C09E1" w:rsidRDefault="004A1008" w:rsidP="004A1008">
      <w:pPr>
        <w:pStyle w:val="NumberedNormal"/>
        <w:numPr>
          <w:ilvl w:val="2"/>
          <w:numId w:val="7"/>
        </w:numPr>
      </w:pPr>
      <w:r>
        <w:t>The Authority will also consider directing amendments to the outputs, delivery dates or allowances set out in Appendix 1 without an applicatio</w:t>
      </w:r>
      <w:r w:rsidR="005E5FAA">
        <w:t>n being made under paragraph 3.3</w:t>
      </w:r>
      <w:r>
        <w:t xml:space="preserve">.9, where it considers that: </w:t>
      </w:r>
    </w:p>
    <w:p w14:paraId="2BADE6FE" w14:textId="345EF964" w:rsidR="004A1008" w:rsidRPr="003C09E1" w:rsidRDefault="004A1008" w:rsidP="004A1008">
      <w:pPr>
        <w:pStyle w:val="ListNormal"/>
        <w:numPr>
          <w:ilvl w:val="3"/>
          <w:numId w:val="7"/>
        </w:numPr>
      </w:pPr>
      <w:r>
        <w:t>circumstances of the type referred to in paragraph 3.</w:t>
      </w:r>
      <w:r w:rsidR="005E5FAA">
        <w:t>3</w:t>
      </w:r>
      <w:r>
        <w:t>.9 (a), (b) or (c) exist; or</w:t>
      </w:r>
    </w:p>
    <w:p w14:paraId="49835A84" w14:textId="4694AD80" w:rsidR="004A1008" w:rsidRPr="003C09E1" w:rsidRDefault="0097165A" w:rsidP="004A1008">
      <w:pPr>
        <w:pStyle w:val="ListNormal"/>
        <w:numPr>
          <w:ilvl w:val="3"/>
          <w:numId w:val="7"/>
        </w:numPr>
      </w:pPr>
      <w:r w:rsidRPr="00324900">
        <w:t>circumstances exist that create an unreasonable degree of risk in relation to cyber resilience</w:t>
      </w:r>
      <w:r w:rsidR="004A1008">
        <w:t>.</w:t>
      </w:r>
    </w:p>
    <w:p w14:paraId="4F34554A" w14:textId="77777777" w:rsidR="004A1008" w:rsidRPr="003C09E1" w:rsidRDefault="004A1008" w:rsidP="004A1008">
      <w:pPr>
        <w:pStyle w:val="NumberedNormal"/>
      </w:pPr>
      <w:r>
        <w:t>In relation to costs, any amendments directed by the Authority will be confined to costs incurred or expected to be incurred on or after 1 April 2021.</w:t>
      </w:r>
    </w:p>
    <w:p w14:paraId="25B8E1D5" w14:textId="77777777" w:rsidR="004A1008" w:rsidRPr="003C09E1" w:rsidRDefault="004A1008" w:rsidP="004A1008">
      <w:pPr>
        <w:pStyle w:val="Heading3"/>
        <w:numPr>
          <w:ilvl w:val="5"/>
          <w:numId w:val="7"/>
        </w:numPr>
      </w:pPr>
      <w:r>
        <w:t>Assessment of outputs (CRIR</w:t>
      </w:r>
      <w:r w:rsidRPr="004E1E8E">
        <w:rPr>
          <w:vertAlign w:val="subscript"/>
        </w:rPr>
        <w:t>t</w:t>
      </w:r>
      <w:r>
        <w:t>)</w:t>
      </w:r>
    </w:p>
    <w:p w14:paraId="40BC7C13" w14:textId="77777777" w:rsidR="004A1008" w:rsidRPr="009158B6" w:rsidRDefault="004A1008" w:rsidP="004A1008">
      <w:pPr>
        <w:pStyle w:val="NumberedNormal"/>
      </w:pPr>
      <w:r w:rsidRPr="009158B6">
        <w:t>The Authority will</w:t>
      </w:r>
      <w:r>
        <w:t xml:space="preserve">, </w:t>
      </w:r>
      <w:r w:rsidRPr="00C20985">
        <w:t>in accordance with the PCD Reporting Requirements and Methodology Document</w:t>
      </w:r>
      <w:r>
        <w:t>,</w:t>
      </w:r>
      <w:r w:rsidRPr="009158B6">
        <w:t xml:space="preserve"> </w:t>
      </w:r>
      <w:r>
        <w:t xml:space="preserve">consider </w:t>
      </w:r>
      <w:r w:rsidRPr="009158B6">
        <w:t>directing a value for CR</w:t>
      </w:r>
      <w:r>
        <w:t>I</w:t>
      </w:r>
      <w:r w:rsidRPr="009158B6">
        <w:t>Rt where the licensee has not Fully Delivered an output in Appendix 1</w:t>
      </w:r>
      <w:r>
        <w:t>.</w:t>
      </w:r>
    </w:p>
    <w:p w14:paraId="19F0BA9F" w14:textId="77777777" w:rsidR="004A1008" w:rsidRPr="003C09E1" w:rsidRDefault="004A1008" w:rsidP="004A1008">
      <w:pPr>
        <w:pStyle w:val="Heading3"/>
        <w:numPr>
          <w:ilvl w:val="5"/>
          <w:numId w:val="7"/>
        </w:numPr>
      </w:pPr>
      <w:r>
        <w:t>Reporting Requirements</w:t>
      </w:r>
    </w:p>
    <w:p w14:paraId="433437CF" w14:textId="77777777" w:rsidR="004A1008" w:rsidRPr="003C09E1" w:rsidRDefault="004A1008" w:rsidP="004A1008">
      <w:pPr>
        <w:pStyle w:val="NumberedNormal"/>
        <w:numPr>
          <w:ilvl w:val="2"/>
          <w:numId w:val="7"/>
        </w:numPr>
      </w:pPr>
      <w:r>
        <w:t>Unless the Authority otherwise directs, the licensee must submit reports to the Authority on the days, and in relation to the periods, set out in Appendix 2.</w:t>
      </w:r>
    </w:p>
    <w:p w14:paraId="454DD611" w14:textId="266D3029" w:rsidR="004A1008" w:rsidRPr="003C09E1" w:rsidRDefault="004A1008" w:rsidP="004A1008">
      <w:pPr>
        <w:pStyle w:val="NumberedNormal"/>
        <w:numPr>
          <w:ilvl w:val="2"/>
          <w:numId w:val="7"/>
        </w:numPr>
      </w:pPr>
      <w:r>
        <w:t>A repo</w:t>
      </w:r>
      <w:r w:rsidR="005E5FAA">
        <w:t>rt submitted under paragraph 3.3</w:t>
      </w:r>
      <w:r>
        <w:t>.1</w:t>
      </w:r>
      <w:r w:rsidR="0097165A">
        <w:t>6</w:t>
      </w:r>
      <w:r>
        <w:t xml:space="preserve"> must be in the form approved by the Authority and include:</w:t>
      </w:r>
    </w:p>
    <w:p w14:paraId="561A2A28" w14:textId="77777777" w:rsidR="004A1008" w:rsidRPr="003C09E1" w:rsidRDefault="004A1008" w:rsidP="004A1008">
      <w:pPr>
        <w:pStyle w:val="ListNormal"/>
        <w:numPr>
          <w:ilvl w:val="3"/>
          <w:numId w:val="7"/>
        </w:numPr>
      </w:pPr>
      <w:r>
        <w:t xml:space="preserve">a summary of progress against Improvement Plan key milestones; </w:t>
      </w:r>
    </w:p>
    <w:p w14:paraId="44D03485" w14:textId="1AE46908" w:rsidR="004A1008" w:rsidRPr="003C09E1" w:rsidRDefault="004A1008" w:rsidP="004A1008">
      <w:pPr>
        <w:pStyle w:val="ListNormal"/>
        <w:numPr>
          <w:ilvl w:val="3"/>
          <w:numId w:val="7"/>
        </w:numPr>
      </w:pPr>
      <w:r>
        <w:t>a summary of developments against the licensee's P</w:t>
      </w:r>
      <w:r w:rsidR="00A41FC5">
        <w:t xml:space="preserve">rice </w:t>
      </w:r>
      <w:r>
        <w:t>C</w:t>
      </w:r>
      <w:r w:rsidR="00A41FC5">
        <w:t xml:space="preserve">ontrol </w:t>
      </w:r>
      <w:r>
        <w:t>D</w:t>
      </w:r>
      <w:r w:rsidR="00A41FC5">
        <w:t>eliverable</w:t>
      </w:r>
      <w:r>
        <w:t xml:space="preserve"> project plans; </w:t>
      </w:r>
    </w:p>
    <w:p w14:paraId="027BB30E" w14:textId="45DD4F30" w:rsidR="004A1008" w:rsidRPr="003C09E1" w:rsidRDefault="004A1008" w:rsidP="004A1008">
      <w:pPr>
        <w:pStyle w:val="ListNormal"/>
        <w:numPr>
          <w:ilvl w:val="3"/>
          <w:numId w:val="7"/>
        </w:numPr>
      </w:pPr>
      <w:r>
        <w:t>the licensee's assessment of the impact of the progress and developments referred to in subparagraphs (i) and (b) on improving cyber resilience in relation to IT, including risk reduction;</w:t>
      </w:r>
    </w:p>
    <w:p w14:paraId="5E90C04E" w14:textId="77777777" w:rsidR="004A1008" w:rsidRPr="003C09E1" w:rsidRDefault="004A1008" w:rsidP="004A1008">
      <w:pPr>
        <w:pStyle w:val="ListNormal"/>
        <w:numPr>
          <w:ilvl w:val="3"/>
          <w:numId w:val="7"/>
        </w:numPr>
      </w:pPr>
      <w:r>
        <w:t>a description of how the licensee has considered any guidance provided by the Authority; and</w:t>
      </w:r>
    </w:p>
    <w:p w14:paraId="722E4E38" w14:textId="77777777" w:rsidR="004A1008" w:rsidRPr="003C09E1" w:rsidRDefault="004A1008" w:rsidP="004A1008">
      <w:pPr>
        <w:pStyle w:val="ListNormal"/>
        <w:numPr>
          <w:ilvl w:val="3"/>
          <w:numId w:val="7"/>
        </w:numPr>
      </w:pPr>
      <w:r>
        <w:lastRenderedPageBreak/>
        <w:t xml:space="preserve">detailed supporting evidence. </w:t>
      </w:r>
    </w:p>
    <w:p w14:paraId="757BC209" w14:textId="77777777" w:rsidR="004A1008" w:rsidRPr="003C09E1" w:rsidRDefault="004A1008" w:rsidP="004A1008">
      <w:pPr>
        <w:pStyle w:val="Heading3"/>
        <w:numPr>
          <w:ilvl w:val="5"/>
          <w:numId w:val="7"/>
        </w:numPr>
      </w:pPr>
      <w:r>
        <w:t>What process will the Authority follow in making a direction?</w:t>
      </w:r>
    </w:p>
    <w:p w14:paraId="27CFD1AD" w14:textId="5633CA6A" w:rsidR="004A1008" w:rsidRPr="003C09E1" w:rsidRDefault="004A1008" w:rsidP="004A1008">
      <w:pPr>
        <w:pStyle w:val="NumberedNormal"/>
        <w:numPr>
          <w:ilvl w:val="2"/>
          <w:numId w:val="7"/>
        </w:numPr>
      </w:pPr>
      <w:r>
        <w:t>Before making</w:t>
      </w:r>
      <w:r w:rsidR="005E5FAA">
        <w:t xml:space="preserve"> a direction under paragraph 3.3.8, 3.3.9, 3.3.13 or 3.3</w:t>
      </w:r>
      <w:r>
        <w:t>.1</w:t>
      </w:r>
      <w:r w:rsidR="002E4238">
        <w:t>5</w:t>
      </w:r>
      <w:r>
        <w:t>, the Authority will publish on the Authority's Website:</w:t>
      </w:r>
    </w:p>
    <w:p w14:paraId="6AAB9DCE" w14:textId="77777777" w:rsidR="004A1008" w:rsidRPr="003C09E1" w:rsidRDefault="004A1008" w:rsidP="004A1008">
      <w:pPr>
        <w:pStyle w:val="ListNormal"/>
        <w:numPr>
          <w:ilvl w:val="3"/>
          <w:numId w:val="7"/>
        </w:numPr>
      </w:pPr>
      <w:r>
        <w:t>the text of the proposed direction;</w:t>
      </w:r>
    </w:p>
    <w:p w14:paraId="54D1DE5F" w14:textId="77777777" w:rsidR="004A1008" w:rsidRPr="003C09E1" w:rsidRDefault="004A1008" w:rsidP="004A1008">
      <w:pPr>
        <w:pStyle w:val="ListNormal"/>
        <w:numPr>
          <w:ilvl w:val="3"/>
          <w:numId w:val="7"/>
        </w:numPr>
      </w:pPr>
      <w:r>
        <w:t>the reasons for the proposed direction; and</w:t>
      </w:r>
    </w:p>
    <w:p w14:paraId="124CC9FE" w14:textId="77777777" w:rsidR="004A1008" w:rsidRPr="003C09E1" w:rsidRDefault="004A1008" w:rsidP="004A1008">
      <w:pPr>
        <w:pStyle w:val="ListNormal"/>
        <w:numPr>
          <w:ilvl w:val="3"/>
          <w:numId w:val="7"/>
        </w:numPr>
      </w:pPr>
      <w:r>
        <w:t>a period during which representations may be made on the proposed direction, which will not be less than 28 days.</w:t>
      </w:r>
    </w:p>
    <w:p w14:paraId="26EDC2D5" w14:textId="4B9BED9F" w:rsidR="004A1008" w:rsidRDefault="004A1008" w:rsidP="004A1008">
      <w:pPr>
        <w:pStyle w:val="NumberedNormal"/>
      </w:pPr>
      <w:r>
        <w:t>A</w:t>
      </w:r>
      <w:r w:rsidRPr="00E319A7">
        <w:t xml:space="preserve"> direction </w:t>
      </w:r>
      <w:r>
        <w:t>under paragraph 3.</w:t>
      </w:r>
      <w:r w:rsidR="005E5FAA">
        <w:t>3</w:t>
      </w:r>
      <w:r>
        <w:t>.8, 3.</w:t>
      </w:r>
      <w:r w:rsidR="005E5FAA">
        <w:t>3</w:t>
      </w:r>
      <w:r>
        <w:t>.9 or 3.</w:t>
      </w:r>
      <w:r w:rsidR="005E5FAA">
        <w:t>3</w:t>
      </w:r>
      <w:r>
        <w:t xml:space="preserve">.13 </w:t>
      </w:r>
      <w:r w:rsidRPr="00E319A7">
        <w:t>will set out any amendments to Appendix 1.</w:t>
      </w:r>
    </w:p>
    <w:p w14:paraId="0A5829A4" w14:textId="1BE92684" w:rsidR="004A1008" w:rsidRPr="00E319A7" w:rsidRDefault="005E5FAA" w:rsidP="004A1008">
      <w:pPr>
        <w:pStyle w:val="NumberedNormal"/>
      </w:pPr>
      <w:r>
        <w:t>A direction under paragraph 3.3</w:t>
      </w:r>
      <w:r w:rsidR="004A1008">
        <w:t>.1</w:t>
      </w:r>
      <w:r w:rsidR="002E4238">
        <w:t>5</w:t>
      </w:r>
      <w:r w:rsidR="004A1008">
        <w:t xml:space="preserve"> will set out the value of the CR</w:t>
      </w:r>
      <w:r w:rsidR="002E4238">
        <w:t>I</w:t>
      </w:r>
      <w:r w:rsidR="004A1008">
        <w:t>R</w:t>
      </w:r>
      <w:r w:rsidR="004A1008" w:rsidRPr="00C0744E">
        <w:rPr>
          <w:vertAlign w:val="subscript"/>
        </w:rPr>
        <w:t xml:space="preserve">t </w:t>
      </w:r>
      <w:r w:rsidR="004A1008">
        <w:t>term and the Regulatory Years to which those values relate.</w:t>
      </w:r>
    </w:p>
    <w:p w14:paraId="73423E42" w14:textId="77777777" w:rsidR="004A1008" w:rsidRPr="00C0744E" w:rsidRDefault="004A1008" w:rsidP="004A1008">
      <w:pPr>
        <w:pStyle w:val="AppendixHeading"/>
      </w:pPr>
    </w:p>
    <w:p w14:paraId="4F5B6755" w14:textId="77777777" w:rsidR="004A1008" w:rsidRPr="0053182D" w:rsidRDefault="004A1008" w:rsidP="004A1008">
      <w:pPr>
        <w:pStyle w:val="Caption"/>
      </w:pPr>
      <w:r w:rsidRPr="00C0744E">
        <w:t xml:space="preserve">Cyber </w:t>
      </w:r>
      <w:r w:rsidRPr="00840642">
        <w:t>Resilience</w:t>
      </w:r>
      <w:r w:rsidRPr="00C0744E">
        <w:t xml:space="preserve"> IT Price Control Deliverables</w:t>
      </w:r>
      <w:r>
        <w:t xml:space="preserve"> Allowance </w:t>
      </w:r>
    </w:p>
    <w:tbl>
      <w:tblPr>
        <w:tblStyle w:val="AppendixTable"/>
        <w:tblW w:w="5000" w:type="pct"/>
        <w:tblLook w:val="04A0" w:firstRow="1" w:lastRow="0" w:firstColumn="1" w:lastColumn="0" w:noHBand="0" w:noVBand="1"/>
      </w:tblPr>
      <w:tblGrid>
        <w:gridCol w:w="1393"/>
        <w:gridCol w:w="2253"/>
        <w:gridCol w:w="1076"/>
        <w:gridCol w:w="1076"/>
        <w:gridCol w:w="1076"/>
        <w:gridCol w:w="1076"/>
        <w:gridCol w:w="1076"/>
      </w:tblGrid>
      <w:tr w:rsidR="004A1008" w:rsidRPr="00E33579" w14:paraId="1ACFF3B2" w14:textId="77777777" w:rsidTr="004A1008">
        <w:trPr>
          <w:cnfStyle w:val="100000000000" w:firstRow="1" w:lastRow="0" w:firstColumn="0" w:lastColumn="0" w:oddVBand="0" w:evenVBand="0" w:oddHBand="0" w:evenHBand="0" w:firstRowFirstColumn="0" w:firstRowLastColumn="0" w:lastRowFirstColumn="0" w:lastRowLastColumn="0"/>
          <w:trHeight w:val="474"/>
        </w:trPr>
        <w:tc>
          <w:tcPr>
            <w:tcW w:w="771" w:type="pct"/>
          </w:tcPr>
          <w:p w14:paraId="0097FD60" w14:textId="77777777" w:rsidR="004A1008" w:rsidRPr="002E146D" w:rsidRDefault="004A1008" w:rsidP="004A1008">
            <w:r w:rsidRPr="002E146D">
              <w:t>Output</w:t>
            </w:r>
            <w:r>
              <w:t>s</w:t>
            </w:r>
          </w:p>
        </w:tc>
        <w:tc>
          <w:tcPr>
            <w:tcW w:w="1248" w:type="pct"/>
          </w:tcPr>
          <w:p w14:paraId="61E00904" w14:textId="77777777" w:rsidR="004A1008" w:rsidRPr="002E146D" w:rsidRDefault="004A1008" w:rsidP="004A1008">
            <w:r w:rsidRPr="002E146D">
              <w:t>Delivery Date</w:t>
            </w:r>
          </w:p>
        </w:tc>
        <w:tc>
          <w:tcPr>
            <w:tcW w:w="596" w:type="pct"/>
          </w:tcPr>
          <w:p w14:paraId="6AC6C0AF" w14:textId="77777777" w:rsidR="004A1008" w:rsidRPr="002E146D" w:rsidRDefault="004A1008" w:rsidP="004A1008">
            <w:r>
              <w:t>20</w:t>
            </w:r>
            <w:r w:rsidRPr="002E146D">
              <w:t>21/22</w:t>
            </w:r>
          </w:p>
        </w:tc>
        <w:tc>
          <w:tcPr>
            <w:tcW w:w="596" w:type="pct"/>
          </w:tcPr>
          <w:p w14:paraId="65DAE3E5" w14:textId="77777777" w:rsidR="004A1008" w:rsidRPr="002E146D" w:rsidRDefault="004A1008" w:rsidP="004A1008">
            <w:r>
              <w:t>20</w:t>
            </w:r>
            <w:r w:rsidRPr="002E146D">
              <w:t>22/23</w:t>
            </w:r>
          </w:p>
        </w:tc>
        <w:tc>
          <w:tcPr>
            <w:tcW w:w="596" w:type="pct"/>
          </w:tcPr>
          <w:p w14:paraId="1965BECE" w14:textId="77777777" w:rsidR="004A1008" w:rsidRPr="002E146D" w:rsidRDefault="004A1008" w:rsidP="004A1008">
            <w:r>
              <w:t>20</w:t>
            </w:r>
            <w:r w:rsidRPr="002E146D">
              <w:t>23/24</w:t>
            </w:r>
          </w:p>
        </w:tc>
        <w:tc>
          <w:tcPr>
            <w:tcW w:w="596" w:type="pct"/>
          </w:tcPr>
          <w:p w14:paraId="6F55ACEA" w14:textId="77777777" w:rsidR="004A1008" w:rsidRPr="002E146D" w:rsidRDefault="004A1008" w:rsidP="004A1008">
            <w:r>
              <w:t>20</w:t>
            </w:r>
            <w:r w:rsidRPr="002E146D">
              <w:t>24/25</w:t>
            </w:r>
          </w:p>
        </w:tc>
        <w:tc>
          <w:tcPr>
            <w:tcW w:w="596" w:type="pct"/>
          </w:tcPr>
          <w:p w14:paraId="44D7832B" w14:textId="77777777" w:rsidR="004A1008" w:rsidRPr="002E146D" w:rsidRDefault="004A1008" w:rsidP="004A1008">
            <w:r>
              <w:t>20</w:t>
            </w:r>
            <w:r w:rsidRPr="002E146D">
              <w:t>25/26</w:t>
            </w:r>
          </w:p>
        </w:tc>
      </w:tr>
      <w:tr w:rsidR="004A1008" w14:paraId="1DA4866A" w14:textId="77777777" w:rsidTr="004A1008">
        <w:trPr>
          <w:trHeight w:val="474"/>
        </w:trPr>
        <w:tc>
          <w:tcPr>
            <w:tcW w:w="771" w:type="pct"/>
          </w:tcPr>
          <w:p w14:paraId="36C4BCCC" w14:textId="77777777" w:rsidR="004A1008" w:rsidRPr="002E146D" w:rsidRDefault="004A1008" w:rsidP="004A1008">
            <w:r w:rsidRPr="002E146D">
              <w:t>Output X</w:t>
            </w:r>
          </w:p>
        </w:tc>
        <w:tc>
          <w:tcPr>
            <w:tcW w:w="1248" w:type="pct"/>
          </w:tcPr>
          <w:p w14:paraId="348B9C60" w14:textId="77777777" w:rsidR="004A1008" w:rsidRPr="002E146D" w:rsidRDefault="004A1008" w:rsidP="004A1008"/>
        </w:tc>
        <w:tc>
          <w:tcPr>
            <w:tcW w:w="596" w:type="pct"/>
          </w:tcPr>
          <w:p w14:paraId="6AFAE68A" w14:textId="77777777" w:rsidR="004A1008" w:rsidRPr="002E146D" w:rsidRDefault="004A1008" w:rsidP="004A1008"/>
        </w:tc>
        <w:tc>
          <w:tcPr>
            <w:tcW w:w="596" w:type="pct"/>
          </w:tcPr>
          <w:p w14:paraId="366B29E7" w14:textId="77777777" w:rsidR="004A1008" w:rsidRPr="002E146D" w:rsidRDefault="004A1008" w:rsidP="004A1008"/>
        </w:tc>
        <w:tc>
          <w:tcPr>
            <w:tcW w:w="596" w:type="pct"/>
          </w:tcPr>
          <w:p w14:paraId="483360CE" w14:textId="77777777" w:rsidR="004A1008" w:rsidRPr="002E146D" w:rsidRDefault="004A1008" w:rsidP="004A1008"/>
        </w:tc>
        <w:tc>
          <w:tcPr>
            <w:tcW w:w="596" w:type="pct"/>
          </w:tcPr>
          <w:p w14:paraId="76158929" w14:textId="77777777" w:rsidR="004A1008" w:rsidRPr="002E146D" w:rsidRDefault="004A1008" w:rsidP="004A1008"/>
        </w:tc>
        <w:tc>
          <w:tcPr>
            <w:tcW w:w="596" w:type="pct"/>
          </w:tcPr>
          <w:p w14:paraId="333BF14B" w14:textId="77777777" w:rsidR="004A1008" w:rsidRPr="002E146D" w:rsidRDefault="004A1008" w:rsidP="004A1008"/>
        </w:tc>
      </w:tr>
      <w:tr w:rsidR="004A1008" w14:paraId="5F87E21A" w14:textId="77777777" w:rsidTr="004A1008">
        <w:trPr>
          <w:trHeight w:val="474"/>
        </w:trPr>
        <w:tc>
          <w:tcPr>
            <w:tcW w:w="771" w:type="pct"/>
          </w:tcPr>
          <w:p w14:paraId="4BC564E0" w14:textId="77777777" w:rsidR="004A1008" w:rsidRPr="002E146D" w:rsidRDefault="004A1008" w:rsidP="004A1008">
            <w:r w:rsidRPr="002E146D">
              <w:t>Output Y</w:t>
            </w:r>
          </w:p>
        </w:tc>
        <w:tc>
          <w:tcPr>
            <w:tcW w:w="1248" w:type="pct"/>
          </w:tcPr>
          <w:p w14:paraId="6EBBD371" w14:textId="77777777" w:rsidR="004A1008" w:rsidRPr="002E146D" w:rsidRDefault="004A1008" w:rsidP="004A1008"/>
        </w:tc>
        <w:tc>
          <w:tcPr>
            <w:tcW w:w="596" w:type="pct"/>
          </w:tcPr>
          <w:p w14:paraId="36AB8FBC" w14:textId="77777777" w:rsidR="004A1008" w:rsidRPr="002E146D" w:rsidRDefault="004A1008" w:rsidP="004A1008"/>
        </w:tc>
        <w:tc>
          <w:tcPr>
            <w:tcW w:w="596" w:type="pct"/>
          </w:tcPr>
          <w:p w14:paraId="6EB5F889" w14:textId="77777777" w:rsidR="004A1008" w:rsidRPr="002E146D" w:rsidRDefault="004A1008" w:rsidP="004A1008"/>
        </w:tc>
        <w:tc>
          <w:tcPr>
            <w:tcW w:w="596" w:type="pct"/>
          </w:tcPr>
          <w:p w14:paraId="560C866C" w14:textId="77777777" w:rsidR="004A1008" w:rsidRPr="002E146D" w:rsidRDefault="004A1008" w:rsidP="004A1008"/>
        </w:tc>
        <w:tc>
          <w:tcPr>
            <w:tcW w:w="596" w:type="pct"/>
          </w:tcPr>
          <w:p w14:paraId="398DB161" w14:textId="77777777" w:rsidR="004A1008" w:rsidRPr="002E146D" w:rsidRDefault="004A1008" w:rsidP="004A1008"/>
        </w:tc>
        <w:tc>
          <w:tcPr>
            <w:tcW w:w="596" w:type="pct"/>
          </w:tcPr>
          <w:p w14:paraId="0BDAAF68" w14:textId="77777777" w:rsidR="004A1008" w:rsidRPr="002E146D" w:rsidRDefault="004A1008" w:rsidP="004A1008"/>
        </w:tc>
      </w:tr>
      <w:tr w:rsidR="004A1008" w14:paraId="7092E18C" w14:textId="77777777" w:rsidTr="004A1008">
        <w:trPr>
          <w:trHeight w:val="474"/>
        </w:trPr>
        <w:tc>
          <w:tcPr>
            <w:tcW w:w="771" w:type="pct"/>
          </w:tcPr>
          <w:p w14:paraId="7AF9D78F" w14:textId="77777777" w:rsidR="004A1008" w:rsidRPr="002E146D" w:rsidRDefault="004A1008" w:rsidP="004A1008">
            <w:r w:rsidRPr="002E146D">
              <w:t>Output Z</w:t>
            </w:r>
          </w:p>
        </w:tc>
        <w:tc>
          <w:tcPr>
            <w:tcW w:w="1248" w:type="pct"/>
          </w:tcPr>
          <w:p w14:paraId="5DCF7A2A" w14:textId="77777777" w:rsidR="004A1008" w:rsidRPr="002E146D" w:rsidRDefault="004A1008" w:rsidP="004A1008"/>
        </w:tc>
        <w:tc>
          <w:tcPr>
            <w:tcW w:w="596" w:type="pct"/>
          </w:tcPr>
          <w:p w14:paraId="7B8E88C7" w14:textId="77777777" w:rsidR="004A1008" w:rsidRPr="002E146D" w:rsidRDefault="004A1008" w:rsidP="004A1008"/>
        </w:tc>
        <w:tc>
          <w:tcPr>
            <w:tcW w:w="596" w:type="pct"/>
          </w:tcPr>
          <w:p w14:paraId="26222D3C" w14:textId="77777777" w:rsidR="004A1008" w:rsidRPr="002E146D" w:rsidRDefault="004A1008" w:rsidP="004A1008"/>
        </w:tc>
        <w:tc>
          <w:tcPr>
            <w:tcW w:w="596" w:type="pct"/>
          </w:tcPr>
          <w:p w14:paraId="082E22DA" w14:textId="77777777" w:rsidR="004A1008" w:rsidRPr="002E146D" w:rsidRDefault="004A1008" w:rsidP="004A1008"/>
        </w:tc>
        <w:tc>
          <w:tcPr>
            <w:tcW w:w="596" w:type="pct"/>
          </w:tcPr>
          <w:p w14:paraId="6CFBC6AE" w14:textId="77777777" w:rsidR="004A1008" w:rsidRPr="002E146D" w:rsidRDefault="004A1008" w:rsidP="004A1008"/>
        </w:tc>
        <w:tc>
          <w:tcPr>
            <w:tcW w:w="596" w:type="pct"/>
          </w:tcPr>
          <w:p w14:paraId="1201F7FA" w14:textId="77777777" w:rsidR="004A1008" w:rsidRPr="002E146D" w:rsidRDefault="004A1008" w:rsidP="004A1008"/>
        </w:tc>
      </w:tr>
      <w:tr w:rsidR="004A1008" w:rsidRPr="00633173" w14:paraId="552F1733" w14:textId="77777777" w:rsidTr="004A1008">
        <w:trPr>
          <w:trHeight w:val="147"/>
        </w:trPr>
        <w:tc>
          <w:tcPr>
            <w:tcW w:w="771" w:type="pct"/>
          </w:tcPr>
          <w:p w14:paraId="4DE3ACBF" w14:textId="77777777" w:rsidR="004A1008" w:rsidRPr="002E146D" w:rsidRDefault="004A1008" w:rsidP="004A1008"/>
        </w:tc>
        <w:tc>
          <w:tcPr>
            <w:tcW w:w="1248" w:type="pct"/>
          </w:tcPr>
          <w:p w14:paraId="32670304" w14:textId="77777777" w:rsidR="004A1008" w:rsidRPr="002E146D" w:rsidRDefault="004A1008" w:rsidP="004A1008"/>
        </w:tc>
        <w:tc>
          <w:tcPr>
            <w:tcW w:w="596" w:type="pct"/>
          </w:tcPr>
          <w:p w14:paraId="34EB6BF2" w14:textId="77777777" w:rsidR="004A1008" w:rsidRPr="002E146D" w:rsidRDefault="004A1008" w:rsidP="004A1008"/>
        </w:tc>
        <w:tc>
          <w:tcPr>
            <w:tcW w:w="596" w:type="pct"/>
          </w:tcPr>
          <w:p w14:paraId="4699054B" w14:textId="77777777" w:rsidR="004A1008" w:rsidRPr="002E146D" w:rsidRDefault="004A1008" w:rsidP="004A1008"/>
        </w:tc>
        <w:tc>
          <w:tcPr>
            <w:tcW w:w="596" w:type="pct"/>
          </w:tcPr>
          <w:p w14:paraId="776CFB0A" w14:textId="77777777" w:rsidR="004A1008" w:rsidRPr="002E146D" w:rsidRDefault="004A1008" w:rsidP="004A1008"/>
        </w:tc>
        <w:tc>
          <w:tcPr>
            <w:tcW w:w="596" w:type="pct"/>
          </w:tcPr>
          <w:p w14:paraId="2AE7A4F2" w14:textId="77777777" w:rsidR="004A1008" w:rsidRPr="002E146D" w:rsidRDefault="004A1008" w:rsidP="004A1008"/>
        </w:tc>
        <w:tc>
          <w:tcPr>
            <w:tcW w:w="596" w:type="pct"/>
          </w:tcPr>
          <w:p w14:paraId="13AFAA90" w14:textId="77777777" w:rsidR="004A1008" w:rsidRPr="002E146D" w:rsidRDefault="004A1008" w:rsidP="004A1008"/>
        </w:tc>
      </w:tr>
    </w:tbl>
    <w:p w14:paraId="0A99E4E9" w14:textId="77777777" w:rsidR="004A1008" w:rsidRPr="00C0744E" w:rsidRDefault="004A1008" w:rsidP="004A1008">
      <w:pPr>
        <w:pStyle w:val="AppendixHeading"/>
      </w:pPr>
      <w:bookmarkStart w:id="62" w:name="_Toc51783618"/>
      <w:r w:rsidRPr="00C0744E">
        <w:t>A</w:t>
      </w:r>
      <w:bookmarkEnd w:id="62"/>
    </w:p>
    <w:p w14:paraId="4CEF68E7" w14:textId="56C99FD8" w:rsidR="004A1008" w:rsidRPr="00C0744E" w:rsidRDefault="004A1008" w:rsidP="004A1008">
      <w:pPr>
        <w:pStyle w:val="Caption"/>
      </w:pPr>
      <w:r>
        <w:t>R</w:t>
      </w:r>
      <w:r w:rsidRPr="00156316">
        <w:t xml:space="preserve">eport </w:t>
      </w:r>
      <w:r>
        <w:t>submission dates and the associated periods to be reported on</w:t>
      </w:r>
    </w:p>
    <w:tbl>
      <w:tblPr>
        <w:tblStyle w:val="AppendixTable"/>
        <w:tblW w:w="0" w:type="auto"/>
        <w:tblLook w:val="0020" w:firstRow="1" w:lastRow="0" w:firstColumn="0" w:lastColumn="0" w:noHBand="0" w:noVBand="0"/>
      </w:tblPr>
      <w:tblGrid>
        <w:gridCol w:w="4508"/>
        <w:gridCol w:w="4508"/>
      </w:tblGrid>
      <w:tr w:rsidR="004A1008" w14:paraId="55E52544" w14:textId="77777777" w:rsidTr="004A1008">
        <w:trPr>
          <w:cnfStyle w:val="100000000000" w:firstRow="1" w:lastRow="0" w:firstColumn="0" w:lastColumn="0" w:oddVBand="0" w:evenVBand="0" w:oddHBand="0" w:evenHBand="0" w:firstRowFirstColumn="0" w:firstRowLastColumn="0" w:lastRowFirstColumn="0" w:lastRowLastColumn="0"/>
        </w:trPr>
        <w:tc>
          <w:tcPr>
            <w:tcW w:w="4508" w:type="dxa"/>
          </w:tcPr>
          <w:p w14:paraId="179850D8" w14:textId="100604FA" w:rsidR="004A1008" w:rsidRPr="002E146D" w:rsidRDefault="004A1008" w:rsidP="004A1008">
            <w:pPr>
              <w:tabs>
                <w:tab w:val="num" w:pos="726"/>
              </w:tabs>
            </w:pPr>
            <w:r>
              <w:t>Dates on which reports must be submitted annually from</w:t>
            </w:r>
            <w:r>
              <w:rPr>
                <w:bCs/>
              </w:rPr>
              <w:t xml:space="preserve"> 31 July 2021 to 30 April 2026</w:t>
            </w:r>
          </w:p>
        </w:tc>
        <w:tc>
          <w:tcPr>
            <w:tcW w:w="4508" w:type="dxa"/>
          </w:tcPr>
          <w:p w14:paraId="496229A9" w14:textId="51F9A6B0" w:rsidR="004A1008" w:rsidRPr="002E146D" w:rsidRDefault="004A1008" w:rsidP="004A1008">
            <w:pPr>
              <w:tabs>
                <w:tab w:val="num" w:pos="726"/>
              </w:tabs>
            </w:pPr>
            <w:r>
              <w:t>Associated p</w:t>
            </w:r>
            <w:r w:rsidRPr="0030431A">
              <w:t>eriod</w:t>
            </w:r>
            <w:r>
              <w:t>s to be reported</w:t>
            </w:r>
            <w:r w:rsidRPr="002010AB" w:rsidDel="002010AB">
              <w:t xml:space="preserve"> </w:t>
            </w:r>
            <w:r>
              <w:t>on</w:t>
            </w:r>
          </w:p>
        </w:tc>
      </w:tr>
      <w:tr w:rsidR="004A1008" w14:paraId="17110A47" w14:textId="77777777" w:rsidTr="004A1008">
        <w:tc>
          <w:tcPr>
            <w:tcW w:w="4508" w:type="dxa"/>
          </w:tcPr>
          <w:p w14:paraId="52D3789E" w14:textId="717C8CCB" w:rsidR="004A1008" w:rsidRPr="002E146D" w:rsidRDefault="004A1008" w:rsidP="004A1008">
            <w:pPr>
              <w:tabs>
                <w:tab w:val="num" w:pos="726"/>
              </w:tabs>
            </w:pPr>
            <w:r w:rsidRPr="00E7797C">
              <w:t xml:space="preserve">31 </w:t>
            </w:r>
            <w:r>
              <w:t>January</w:t>
            </w:r>
          </w:p>
        </w:tc>
        <w:tc>
          <w:tcPr>
            <w:tcW w:w="4508" w:type="dxa"/>
          </w:tcPr>
          <w:p w14:paraId="15C73A37" w14:textId="5232464D" w:rsidR="004A1008" w:rsidRPr="002E146D" w:rsidRDefault="004A1008" w:rsidP="004A1008">
            <w:pPr>
              <w:tabs>
                <w:tab w:val="num" w:pos="726"/>
              </w:tabs>
            </w:pPr>
            <w:r>
              <w:t>1 October to 31 December</w:t>
            </w:r>
            <w:r w:rsidRPr="00E7797C">
              <w:t xml:space="preserve"> </w:t>
            </w:r>
          </w:p>
        </w:tc>
      </w:tr>
      <w:tr w:rsidR="004A1008" w14:paraId="15C53757" w14:textId="77777777" w:rsidTr="004A1008">
        <w:tc>
          <w:tcPr>
            <w:tcW w:w="4508" w:type="dxa"/>
          </w:tcPr>
          <w:p w14:paraId="03C40569" w14:textId="6DBFC9DE" w:rsidR="004A1008" w:rsidRPr="002E146D" w:rsidRDefault="004A1008" w:rsidP="004A1008">
            <w:pPr>
              <w:tabs>
                <w:tab w:val="num" w:pos="726"/>
              </w:tabs>
            </w:pPr>
            <w:r>
              <w:t xml:space="preserve">30 April </w:t>
            </w:r>
          </w:p>
        </w:tc>
        <w:tc>
          <w:tcPr>
            <w:tcW w:w="4508" w:type="dxa"/>
          </w:tcPr>
          <w:p w14:paraId="121048CA" w14:textId="71B037F1" w:rsidR="004A1008" w:rsidRPr="002E146D" w:rsidRDefault="004A1008" w:rsidP="004A1008">
            <w:pPr>
              <w:tabs>
                <w:tab w:val="num" w:pos="726"/>
              </w:tabs>
            </w:pPr>
            <w:r w:rsidRPr="00E7797C">
              <w:t>1 January</w:t>
            </w:r>
            <w:r>
              <w:t xml:space="preserve"> to </w:t>
            </w:r>
            <w:r w:rsidRPr="00E7797C">
              <w:t>31 March</w:t>
            </w:r>
          </w:p>
        </w:tc>
      </w:tr>
      <w:tr w:rsidR="004A1008" w14:paraId="0774BCBB" w14:textId="77777777" w:rsidTr="004A1008">
        <w:tc>
          <w:tcPr>
            <w:tcW w:w="4508" w:type="dxa"/>
          </w:tcPr>
          <w:p w14:paraId="49E8C2CC" w14:textId="105F00C7" w:rsidR="004A1008" w:rsidRPr="002E146D" w:rsidRDefault="004A1008" w:rsidP="004A1008">
            <w:pPr>
              <w:tabs>
                <w:tab w:val="num" w:pos="726"/>
              </w:tabs>
            </w:pPr>
            <w:r>
              <w:t xml:space="preserve">31 </w:t>
            </w:r>
            <w:r w:rsidRPr="00E7797C">
              <w:t xml:space="preserve">July </w:t>
            </w:r>
          </w:p>
        </w:tc>
        <w:tc>
          <w:tcPr>
            <w:tcW w:w="4508" w:type="dxa"/>
          </w:tcPr>
          <w:p w14:paraId="0185DCD0" w14:textId="27AD9F3F" w:rsidR="004A1008" w:rsidRPr="002E146D" w:rsidRDefault="004A1008" w:rsidP="004A1008">
            <w:pPr>
              <w:tabs>
                <w:tab w:val="num" w:pos="726"/>
              </w:tabs>
            </w:pPr>
            <w:r w:rsidRPr="00E7797C">
              <w:t>1 April</w:t>
            </w:r>
            <w:r>
              <w:t xml:space="preserve"> to</w:t>
            </w:r>
            <w:r w:rsidRPr="00E7797C">
              <w:t xml:space="preserve"> 30 June</w:t>
            </w:r>
          </w:p>
        </w:tc>
      </w:tr>
      <w:tr w:rsidR="004A1008" w14:paraId="171C6838" w14:textId="77777777" w:rsidTr="004A1008">
        <w:tc>
          <w:tcPr>
            <w:tcW w:w="4508" w:type="dxa"/>
          </w:tcPr>
          <w:p w14:paraId="24790902" w14:textId="4AC2FC44" w:rsidR="004A1008" w:rsidRPr="002E146D" w:rsidRDefault="004A1008" w:rsidP="004A1008">
            <w:pPr>
              <w:tabs>
                <w:tab w:val="num" w:pos="726"/>
              </w:tabs>
            </w:pPr>
            <w:r w:rsidRPr="00E7797C">
              <w:t>31 October</w:t>
            </w:r>
            <w:r w:rsidRPr="00E7797C" w:rsidDel="00123DDD">
              <w:t xml:space="preserve"> </w:t>
            </w:r>
          </w:p>
        </w:tc>
        <w:tc>
          <w:tcPr>
            <w:tcW w:w="4508" w:type="dxa"/>
          </w:tcPr>
          <w:p w14:paraId="525B641C" w14:textId="3554A860" w:rsidR="004A1008" w:rsidRPr="002E146D" w:rsidRDefault="004A1008" w:rsidP="004A1008">
            <w:pPr>
              <w:tabs>
                <w:tab w:val="num" w:pos="726"/>
              </w:tabs>
            </w:pPr>
            <w:r>
              <w:t>1 July to 30 September</w:t>
            </w:r>
          </w:p>
        </w:tc>
      </w:tr>
    </w:tbl>
    <w:p w14:paraId="56D8A169" w14:textId="77777777" w:rsidR="004A1008" w:rsidRPr="00A963DE" w:rsidRDefault="004A1008" w:rsidP="00BF7AFF">
      <w:pPr>
        <w:pStyle w:val="Heading2"/>
      </w:pPr>
      <w:bookmarkStart w:id="63" w:name="_Toc51783619"/>
      <w:bookmarkStart w:id="64" w:name="_Toc52364538"/>
      <w:r w:rsidRPr="00A963DE">
        <w:lastRenderedPageBreak/>
        <w:t xml:space="preserve">Physical Security </w:t>
      </w:r>
      <w:r>
        <w:t xml:space="preserve">Re-opener and </w:t>
      </w:r>
      <w:r w:rsidRPr="00A963DE">
        <w:t>Price Control Deliverable</w:t>
      </w:r>
      <w:r>
        <w:t xml:space="preserve"> (PSUP</w:t>
      </w:r>
      <w:r w:rsidRPr="00C0744E">
        <w:rPr>
          <w:vertAlign w:val="subscript"/>
        </w:rPr>
        <w:t>t</w:t>
      </w:r>
      <w:r>
        <w:t>)</w:t>
      </w:r>
      <w:bookmarkEnd w:id="63"/>
      <w:bookmarkEnd w:id="64"/>
    </w:p>
    <w:p w14:paraId="4FB519CD" w14:textId="77777777" w:rsidR="004A1008" w:rsidRDefault="004A1008" w:rsidP="004A1008">
      <w:pPr>
        <w:pStyle w:val="Heading3nonumbering"/>
      </w:pPr>
      <w:r>
        <w:t>Introduction</w:t>
      </w:r>
    </w:p>
    <w:p w14:paraId="71ABB373" w14:textId="77777777" w:rsidR="004A1008" w:rsidRDefault="004A1008" w:rsidP="004A1008">
      <w:pPr>
        <w:pStyle w:val="NumberedNormal"/>
        <w:numPr>
          <w:ilvl w:val="2"/>
          <w:numId w:val="7"/>
        </w:numPr>
      </w:pPr>
      <w:r>
        <w:t>The purpose of this condition is to calculate the term PSUP</w:t>
      </w:r>
      <w:r w:rsidRPr="00C0744E">
        <w:rPr>
          <w:vertAlign w:val="subscript"/>
        </w:rPr>
        <w:t>t</w:t>
      </w:r>
      <w:r>
        <w:t xml:space="preserve"> (the Physical Security Price Control Deliverable term).  This contributes to the calculation of the Totex Allowance.</w:t>
      </w:r>
    </w:p>
    <w:p w14:paraId="631024C8" w14:textId="77777777" w:rsidR="004A1008" w:rsidRDefault="004A1008" w:rsidP="004A1008">
      <w:pPr>
        <w:pStyle w:val="NumberedNormal"/>
        <w:numPr>
          <w:ilvl w:val="2"/>
          <w:numId w:val="7"/>
        </w:numPr>
      </w:pPr>
      <w:r>
        <w:t>The effect of this condition is to:</w:t>
      </w:r>
    </w:p>
    <w:p w14:paraId="7D5FFCF8" w14:textId="77777777" w:rsidR="004A1008" w:rsidRDefault="004A1008" w:rsidP="004A1008">
      <w:pPr>
        <w:pStyle w:val="ListNormal"/>
        <w:numPr>
          <w:ilvl w:val="3"/>
          <w:numId w:val="7"/>
        </w:numPr>
      </w:pPr>
      <w:r>
        <w:t>specify the outputs, delivery dates and associated allowances for the Price Control Deliverable;</w:t>
      </w:r>
    </w:p>
    <w:p w14:paraId="6678C102" w14:textId="77777777" w:rsidR="004A1008" w:rsidRDefault="004A1008" w:rsidP="004A1008">
      <w:pPr>
        <w:pStyle w:val="ListNormal"/>
        <w:numPr>
          <w:ilvl w:val="3"/>
          <w:numId w:val="7"/>
        </w:numPr>
      </w:pPr>
      <w:r>
        <w:t>establish a Re-opener for the licensee and Authority to trigger amendments to the Price Control Deliverable during the Price Control Period; and</w:t>
      </w:r>
    </w:p>
    <w:p w14:paraId="419160F0" w14:textId="77777777" w:rsidR="004A1008" w:rsidRPr="00614C21" w:rsidRDefault="004A1008" w:rsidP="004A1008">
      <w:pPr>
        <w:pStyle w:val="ListNormal"/>
        <w:numPr>
          <w:ilvl w:val="3"/>
          <w:numId w:val="7"/>
        </w:numPr>
      </w:pPr>
      <w:r>
        <w:t>provide for an assessment of the Price Control Deliverable.</w:t>
      </w:r>
    </w:p>
    <w:p w14:paraId="0140B0A8" w14:textId="7BAFC0D3" w:rsidR="004A1008" w:rsidRPr="00614C21" w:rsidRDefault="004A1008" w:rsidP="004A1008">
      <w:pPr>
        <w:pStyle w:val="NumberedNormal"/>
        <w:numPr>
          <w:ilvl w:val="2"/>
          <w:numId w:val="7"/>
        </w:numPr>
      </w:pPr>
      <w:r>
        <w:t>This condition also sets out the process the Authority will follow when directing</w:t>
      </w:r>
      <w:r w:rsidR="005C07FC">
        <w:t xml:space="preserve"> any changes under paragraph 3.4.6, 3.4</w:t>
      </w:r>
      <w:r>
        <w:t>.10 or 3.</w:t>
      </w:r>
      <w:r w:rsidR="005C07FC">
        <w:t>4</w:t>
      </w:r>
      <w:r>
        <w:t>.11.</w:t>
      </w:r>
    </w:p>
    <w:p w14:paraId="29C5CBDD" w14:textId="77777777" w:rsidR="004A1008" w:rsidRPr="00614C21" w:rsidRDefault="004A1008" w:rsidP="004A1008">
      <w:pPr>
        <w:pStyle w:val="Heading3"/>
        <w:numPr>
          <w:ilvl w:val="5"/>
          <w:numId w:val="7"/>
        </w:numPr>
      </w:pPr>
      <w:r>
        <w:t>Formula for calculating the Physical Security Price Control Deliverable term (PSUP</w:t>
      </w:r>
      <w:r w:rsidRPr="00C0744E">
        <w:rPr>
          <w:vertAlign w:val="subscript"/>
        </w:rPr>
        <w:t>t</w:t>
      </w:r>
      <w:r>
        <w:t>)</w:t>
      </w:r>
    </w:p>
    <w:p w14:paraId="242AA4EB" w14:textId="77777777" w:rsidR="004A1008" w:rsidRDefault="004A1008" w:rsidP="004A1008">
      <w:pPr>
        <w:pStyle w:val="NumberedNormal"/>
        <w:numPr>
          <w:ilvl w:val="2"/>
          <w:numId w:val="7"/>
        </w:numPr>
      </w:pPr>
      <w:r>
        <w:t>The value of PSUP</w:t>
      </w:r>
      <w:r w:rsidRPr="00C0744E">
        <w:rPr>
          <w:vertAlign w:val="subscript"/>
        </w:rPr>
        <w:t>t</w:t>
      </w:r>
      <w:r>
        <w:t xml:space="preserve"> is derived in accordance with the following formula:</w:t>
      </w:r>
    </w:p>
    <w:p w14:paraId="1305A33A" w14:textId="77777777" w:rsidR="004A1008" w:rsidRPr="006371C8" w:rsidRDefault="004A1008" w:rsidP="004A1008">
      <w:pPr>
        <w:pStyle w:val="NumberedNormal"/>
        <w:numPr>
          <w:ilvl w:val="0"/>
          <w:numId w:val="0"/>
        </w:numPr>
        <w:ind w:left="879"/>
        <w:rPr>
          <w:i/>
          <w:iCs/>
        </w:rPr>
      </w:pPr>
      <w:r w:rsidRPr="006371C8">
        <w:rPr>
          <w:i/>
          <w:iCs/>
        </w:rPr>
        <w:t>PSUP</w:t>
      </w:r>
      <w:r w:rsidRPr="006371C8">
        <w:rPr>
          <w:i/>
          <w:iCs/>
          <w:vertAlign w:val="subscript"/>
        </w:rPr>
        <w:t>t</w:t>
      </w:r>
      <w:r w:rsidRPr="006371C8">
        <w:rPr>
          <w:i/>
          <w:iCs/>
        </w:rPr>
        <w:t xml:space="preserve"> = PSUPA</w:t>
      </w:r>
      <w:r w:rsidRPr="006371C8">
        <w:rPr>
          <w:i/>
          <w:iCs/>
          <w:vertAlign w:val="subscript"/>
        </w:rPr>
        <w:t>t</w:t>
      </w:r>
      <w:r w:rsidRPr="006371C8">
        <w:rPr>
          <w:i/>
          <w:iCs/>
        </w:rPr>
        <w:t xml:space="preserve"> – PSUPR</w:t>
      </w:r>
      <w:r w:rsidRPr="006371C8">
        <w:rPr>
          <w:i/>
          <w:iCs/>
          <w:vertAlign w:val="subscript"/>
        </w:rPr>
        <w:t>t</w:t>
      </w:r>
    </w:p>
    <w:p w14:paraId="5A53ADB7" w14:textId="77777777" w:rsidR="004A1008" w:rsidRDefault="004A1008" w:rsidP="004A1008">
      <w:pPr>
        <w:pStyle w:val="NumberedNormal"/>
        <w:numPr>
          <w:ilvl w:val="0"/>
          <w:numId w:val="0"/>
        </w:numPr>
        <w:ind w:left="879"/>
      </w:pPr>
      <w:r w:rsidRPr="00614C21">
        <w:t>where:</w:t>
      </w:r>
    </w:p>
    <w:tbl>
      <w:tblPr>
        <w:tblStyle w:val="TableGridLight"/>
        <w:tblW w:w="9360" w:type="dxa"/>
        <w:tblLook w:val="04A0" w:firstRow="1" w:lastRow="0" w:firstColumn="1" w:lastColumn="0" w:noHBand="0" w:noVBand="1"/>
      </w:tblPr>
      <w:tblGrid>
        <w:gridCol w:w="993"/>
        <w:gridCol w:w="8383"/>
      </w:tblGrid>
      <w:tr w:rsidR="004A1008" w:rsidRPr="006371C8" w14:paraId="0F840E72" w14:textId="77777777" w:rsidTr="004A1008">
        <w:trPr>
          <w:trHeight w:val="255"/>
        </w:trPr>
        <w:tc>
          <w:tcPr>
            <w:tcW w:w="985" w:type="dxa"/>
            <w:noWrap/>
            <w:hideMark/>
          </w:tcPr>
          <w:p w14:paraId="573C2C2B" w14:textId="77777777" w:rsidR="004A1008" w:rsidRPr="006371C8" w:rsidRDefault="004A1008" w:rsidP="004A1008">
            <w:pPr>
              <w:rPr>
                <w:i/>
                <w:iCs/>
                <w:lang w:eastAsia="en-GB"/>
              </w:rPr>
            </w:pPr>
            <w:r w:rsidRPr="006371C8">
              <w:rPr>
                <w:i/>
                <w:iCs/>
                <w:lang w:eastAsia="en-GB"/>
              </w:rPr>
              <w:t>PSUPAt</w:t>
            </w:r>
          </w:p>
        </w:tc>
        <w:tc>
          <w:tcPr>
            <w:tcW w:w="8375" w:type="dxa"/>
            <w:noWrap/>
            <w:hideMark/>
          </w:tcPr>
          <w:p w14:paraId="3A775852" w14:textId="77777777" w:rsidR="004A1008" w:rsidRPr="006371C8" w:rsidRDefault="004A1008" w:rsidP="004A1008">
            <w:pPr>
              <w:rPr>
                <w:lang w:eastAsia="en-GB"/>
              </w:rPr>
            </w:pPr>
            <w:r w:rsidRPr="006371C8">
              <w:rPr>
                <w:lang w:eastAsia="en-GB"/>
              </w:rPr>
              <w:t>means the sum of allowances in Appendix 1; and</w:t>
            </w:r>
          </w:p>
        </w:tc>
      </w:tr>
      <w:tr w:rsidR="004A1008" w:rsidRPr="006371C8" w14:paraId="66936A0E" w14:textId="77777777" w:rsidTr="004A1008">
        <w:trPr>
          <w:trHeight w:val="255"/>
        </w:trPr>
        <w:tc>
          <w:tcPr>
            <w:tcW w:w="985" w:type="dxa"/>
            <w:noWrap/>
            <w:hideMark/>
          </w:tcPr>
          <w:p w14:paraId="582AD7EC" w14:textId="77777777" w:rsidR="004A1008" w:rsidRPr="006371C8" w:rsidRDefault="004A1008" w:rsidP="004A1008">
            <w:pPr>
              <w:rPr>
                <w:i/>
                <w:iCs/>
                <w:lang w:eastAsia="en-GB"/>
              </w:rPr>
            </w:pPr>
            <w:r w:rsidRPr="006371C8">
              <w:rPr>
                <w:i/>
                <w:iCs/>
                <w:lang w:eastAsia="en-GB"/>
              </w:rPr>
              <w:t>PSUPRt</w:t>
            </w:r>
          </w:p>
        </w:tc>
        <w:tc>
          <w:tcPr>
            <w:tcW w:w="8375" w:type="dxa"/>
            <w:noWrap/>
            <w:hideMark/>
          </w:tcPr>
          <w:p w14:paraId="7EAA4E86" w14:textId="77777777" w:rsidR="004A1008" w:rsidRPr="006371C8" w:rsidRDefault="004A1008" w:rsidP="004A1008">
            <w:pPr>
              <w:rPr>
                <w:lang w:eastAsia="en-GB"/>
              </w:rPr>
            </w:pPr>
            <w:r w:rsidRPr="006371C8">
              <w:rPr>
                <w:lang w:eastAsia="en-GB"/>
              </w:rPr>
              <w:t>has the value of zero unless otherwise directed by the Authority in accordance with Part D.</w:t>
            </w:r>
          </w:p>
        </w:tc>
      </w:tr>
    </w:tbl>
    <w:p w14:paraId="40589332" w14:textId="77777777" w:rsidR="004A1008" w:rsidRPr="00614C21" w:rsidRDefault="004A1008" w:rsidP="004A1008">
      <w:pPr>
        <w:pStyle w:val="Heading3"/>
        <w:numPr>
          <w:ilvl w:val="5"/>
          <w:numId w:val="7"/>
        </w:numPr>
      </w:pPr>
      <w:r>
        <w:t>What is the licensee funded to deliver?</w:t>
      </w:r>
    </w:p>
    <w:p w14:paraId="2113C586" w14:textId="77777777" w:rsidR="004A1008" w:rsidRPr="00614C21" w:rsidRDefault="004A1008" w:rsidP="004A1008">
      <w:pPr>
        <w:pStyle w:val="NumberedNormal"/>
        <w:numPr>
          <w:ilvl w:val="2"/>
          <w:numId w:val="7"/>
        </w:numPr>
      </w:pPr>
      <w:r>
        <w:t>Appendix 1 specifies the outputs that the licensee is funded to deliver, the delivery dates for those outputs and the allowances provided.</w:t>
      </w:r>
    </w:p>
    <w:p w14:paraId="0E8D6FCA" w14:textId="77777777" w:rsidR="004A1008" w:rsidRPr="00614C21" w:rsidRDefault="004A1008" w:rsidP="004A1008">
      <w:pPr>
        <w:pStyle w:val="Heading3"/>
        <w:numPr>
          <w:ilvl w:val="5"/>
          <w:numId w:val="7"/>
        </w:numPr>
      </w:pPr>
      <w:r>
        <w:t>Physical Security Re-opener</w:t>
      </w:r>
    </w:p>
    <w:p w14:paraId="63063E25" w14:textId="77777777" w:rsidR="004A1008" w:rsidRDefault="004A1008" w:rsidP="004A1008">
      <w:pPr>
        <w:pStyle w:val="NumberedNormal"/>
        <w:numPr>
          <w:ilvl w:val="2"/>
          <w:numId w:val="7"/>
        </w:numPr>
      </w:pPr>
      <w:r>
        <w:t>The licensee may apply to the Authority for a direction amending the outputs, delivery dates or associated allowances in Appendix 1 where government has mandated changes to the scope of work the licensee is required to carry out under the Physical Security Upgrade Programme.</w:t>
      </w:r>
    </w:p>
    <w:p w14:paraId="018B0044" w14:textId="36A633F7" w:rsidR="004A1008" w:rsidRDefault="004A1008" w:rsidP="004A1008">
      <w:pPr>
        <w:pStyle w:val="NumberedNormal"/>
        <w:numPr>
          <w:ilvl w:val="2"/>
          <w:numId w:val="7"/>
        </w:numPr>
      </w:pPr>
      <w:r>
        <w:t>The licensee may only apply to the Authority under paragraph 3.</w:t>
      </w:r>
      <w:r w:rsidR="005C07FC">
        <w:t>4</w:t>
      </w:r>
      <w:r>
        <w:t xml:space="preserve">.6 Between 25 January and 31 January in each of the years 2023, 2024 and 2025, or during such later periods as the Authority may direct. </w:t>
      </w:r>
    </w:p>
    <w:p w14:paraId="4C95D69E" w14:textId="0BA62D0D" w:rsidR="004A1008" w:rsidRDefault="004A1008" w:rsidP="004A1008">
      <w:pPr>
        <w:pStyle w:val="NumberedNormal"/>
        <w:numPr>
          <w:ilvl w:val="2"/>
          <w:numId w:val="7"/>
        </w:numPr>
      </w:pPr>
      <w:r>
        <w:t>An application under paragraph 3.</w:t>
      </w:r>
      <w:r w:rsidR="005C07FC">
        <w:t>4</w:t>
      </w:r>
      <w:r>
        <w:t>.6 must be made in writing and include statements:</w:t>
      </w:r>
    </w:p>
    <w:p w14:paraId="2B5741CB" w14:textId="77777777" w:rsidR="004A1008" w:rsidRPr="00CA2394" w:rsidRDefault="004A1008" w:rsidP="004A1008">
      <w:pPr>
        <w:pStyle w:val="ListNormal"/>
      </w:pPr>
      <w:r>
        <w:lastRenderedPageBreak/>
        <w:t xml:space="preserve">set </w:t>
      </w:r>
      <w:r w:rsidRPr="00CA2394">
        <w:t xml:space="preserve">out the changes mandated by the government to the scope of work </w:t>
      </w:r>
      <w:r>
        <w:t xml:space="preserve">which </w:t>
      </w:r>
      <w:r w:rsidRPr="00CA2394">
        <w:t xml:space="preserve">the licensee is required to carry out under the Physical Security Upgrade Programme to which the application relates; </w:t>
      </w:r>
    </w:p>
    <w:p w14:paraId="4D83D83F" w14:textId="77777777" w:rsidR="004A1008" w:rsidRPr="00CA2394" w:rsidRDefault="004A1008" w:rsidP="004A1008">
      <w:pPr>
        <w:pStyle w:val="ListNormal"/>
      </w:pPr>
      <w:r>
        <w:t xml:space="preserve">set </w:t>
      </w:r>
      <w:r w:rsidRPr="00CA2394">
        <w:t>out the government’s Critical National Infrastructure classification for each site to which the application relates;</w:t>
      </w:r>
    </w:p>
    <w:p w14:paraId="560BB803" w14:textId="77777777" w:rsidR="004A1008" w:rsidRPr="00CA2394" w:rsidRDefault="004A1008" w:rsidP="004A1008">
      <w:pPr>
        <w:pStyle w:val="ListNormal"/>
      </w:pPr>
      <w:r>
        <w:t xml:space="preserve">set </w:t>
      </w:r>
      <w:r w:rsidRPr="00CA2394">
        <w:t>out any amendments to the outputs, delivery dates or allowances set out in Appendix 1;</w:t>
      </w:r>
    </w:p>
    <w:p w14:paraId="1A9F1DBD" w14:textId="77777777" w:rsidR="004A1008" w:rsidRPr="00CA2394" w:rsidRDefault="004A1008" w:rsidP="004A1008">
      <w:pPr>
        <w:pStyle w:val="ListNormal"/>
      </w:pPr>
      <w:r w:rsidRPr="00CA2394">
        <w:t>explain the basis of the calculations for any amendments requested to allowances; and</w:t>
      </w:r>
    </w:p>
    <w:p w14:paraId="65449C8C" w14:textId="77777777" w:rsidR="004A1008" w:rsidRPr="00CA2394" w:rsidRDefault="004A1008" w:rsidP="004A1008">
      <w:pPr>
        <w:pStyle w:val="ListNormal"/>
      </w:pPr>
      <w:r>
        <w:t xml:space="preserve">provide </w:t>
      </w:r>
      <w:r w:rsidRPr="00CA2394">
        <w:t>such detailed supporting evidence, including cost benefit analysis, impact assessments, and engineering justification statements, as is reasonable in the circumstances.</w:t>
      </w:r>
    </w:p>
    <w:p w14:paraId="14368C3E" w14:textId="77777777" w:rsidR="004A1008" w:rsidRDefault="004A1008" w:rsidP="004A1008">
      <w:pPr>
        <w:pStyle w:val="NumberedNormal"/>
        <w:numPr>
          <w:ilvl w:val="2"/>
          <w:numId w:val="7"/>
        </w:numPr>
      </w:pPr>
      <w:r>
        <w:t>An application under paragraph XX.6 must:</w:t>
      </w:r>
    </w:p>
    <w:p w14:paraId="0BAED0C9" w14:textId="77777777" w:rsidR="004A1008" w:rsidRDefault="004A1008" w:rsidP="004A1008">
      <w:pPr>
        <w:pStyle w:val="ListNormal"/>
        <w:numPr>
          <w:ilvl w:val="3"/>
          <w:numId w:val="7"/>
        </w:numPr>
      </w:pPr>
      <w:r>
        <w:t xml:space="preserve">relate to changes to the scope of work which the licensee is required to carry out under the Physical Security Upgrade Programme, mandated by government on or after 9 December 2019; </w:t>
      </w:r>
    </w:p>
    <w:p w14:paraId="4C8C7394" w14:textId="77777777" w:rsidR="004A1008" w:rsidRDefault="004A1008" w:rsidP="004A1008">
      <w:pPr>
        <w:pStyle w:val="ListNormal"/>
        <w:numPr>
          <w:ilvl w:val="3"/>
          <w:numId w:val="7"/>
        </w:numPr>
      </w:pPr>
      <w:r>
        <w:t>take account of any allowed expenditure, which can be avoided as a result of the change; and</w:t>
      </w:r>
    </w:p>
    <w:p w14:paraId="433AD653" w14:textId="77777777" w:rsidR="004A1008" w:rsidRPr="00C341F3" w:rsidRDefault="004A1008" w:rsidP="004A1008">
      <w:pPr>
        <w:pStyle w:val="ListNormal"/>
        <w:numPr>
          <w:ilvl w:val="3"/>
          <w:numId w:val="7"/>
        </w:numPr>
      </w:pPr>
      <w:r>
        <w:t xml:space="preserve">be confined to costs incurred or expected to be incurred on or after 1 April 2021.  </w:t>
      </w:r>
    </w:p>
    <w:p w14:paraId="433CF4A9" w14:textId="77777777" w:rsidR="004A1008" w:rsidRPr="00614C21" w:rsidRDefault="004A1008" w:rsidP="004A1008">
      <w:pPr>
        <w:pStyle w:val="Heading3"/>
        <w:numPr>
          <w:ilvl w:val="5"/>
          <w:numId w:val="7"/>
        </w:numPr>
      </w:pPr>
      <w:r>
        <w:t xml:space="preserve">Authority triggered Re-opener </w:t>
      </w:r>
    </w:p>
    <w:p w14:paraId="1482CE50" w14:textId="77777777" w:rsidR="004A1008" w:rsidRDefault="004A1008" w:rsidP="004A1008">
      <w:pPr>
        <w:pStyle w:val="NumberedNormal"/>
        <w:numPr>
          <w:ilvl w:val="2"/>
          <w:numId w:val="7"/>
        </w:numPr>
      </w:pPr>
      <w:r>
        <w:t>The Authority will also consider directing amendments to the outputs, delivery dates or allowances set out in Appendix 1 where there have been government mandated changes to the scope of work the licensee is required to carry out under the Physical Security Upgrade Programme that:</w:t>
      </w:r>
    </w:p>
    <w:p w14:paraId="7931A182" w14:textId="77777777" w:rsidR="004A1008" w:rsidRDefault="004A1008" w:rsidP="004A1008">
      <w:pPr>
        <w:pStyle w:val="ListNormal"/>
        <w:numPr>
          <w:ilvl w:val="3"/>
          <w:numId w:val="7"/>
        </w:numPr>
      </w:pPr>
      <w:r>
        <w:t>have been mandated on or after 9 December 2019, and</w:t>
      </w:r>
    </w:p>
    <w:p w14:paraId="000DFF40" w14:textId="77777777" w:rsidR="004A1008" w:rsidRPr="00C341F3" w:rsidRDefault="004A1008" w:rsidP="004A1008">
      <w:pPr>
        <w:pStyle w:val="ListNormal"/>
        <w:numPr>
          <w:ilvl w:val="3"/>
          <w:numId w:val="7"/>
        </w:numPr>
      </w:pPr>
      <w:r>
        <w:t>relate to costs incurred or expected to be incurred on or after 1 April 2021.</w:t>
      </w:r>
    </w:p>
    <w:p w14:paraId="3405FA04" w14:textId="77777777" w:rsidR="004A1008" w:rsidRPr="00614C21" w:rsidRDefault="004A1008" w:rsidP="004A1008">
      <w:pPr>
        <w:pStyle w:val="Heading3"/>
        <w:numPr>
          <w:ilvl w:val="5"/>
          <w:numId w:val="7"/>
        </w:numPr>
      </w:pPr>
      <w:r>
        <w:t>Assessment of the Physical Security Price Control Deliverable (</w:t>
      </w:r>
      <w:r>
        <w:rPr>
          <w:rFonts w:cs="Arial"/>
        </w:rPr>
        <w:t>PSUPRt)</w:t>
      </w:r>
    </w:p>
    <w:p w14:paraId="64553508" w14:textId="77777777" w:rsidR="004A1008" w:rsidRPr="009158B6" w:rsidRDefault="004A1008" w:rsidP="004A1008">
      <w:pPr>
        <w:pStyle w:val="NumberedNormal"/>
      </w:pPr>
      <w:r w:rsidRPr="009158B6">
        <w:t>The Authority will</w:t>
      </w:r>
      <w:r>
        <w:t xml:space="preserve">, </w:t>
      </w:r>
      <w:r w:rsidRPr="00C20985">
        <w:t>in accordance with the PCD Reporting Requirements and Methodology Document</w:t>
      </w:r>
      <w:r>
        <w:t>,</w:t>
      </w:r>
      <w:r w:rsidRPr="009158B6">
        <w:t xml:space="preserve"> </w:t>
      </w:r>
      <w:r>
        <w:t xml:space="preserve">consider </w:t>
      </w:r>
      <w:r w:rsidRPr="009158B6">
        <w:t xml:space="preserve">directing a value for </w:t>
      </w:r>
      <w:r>
        <w:t>PSUPR</w:t>
      </w:r>
      <w:r w:rsidRPr="009158B6">
        <w:t>t where the licensee has not Fully Delivered an output in Appendix 1</w:t>
      </w:r>
      <w:r>
        <w:t>.</w:t>
      </w:r>
    </w:p>
    <w:p w14:paraId="33E0699F" w14:textId="77777777" w:rsidR="004A1008" w:rsidRPr="00614C21" w:rsidRDefault="004A1008" w:rsidP="004A1008">
      <w:pPr>
        <w:pStyle w:val="Heading3"/>
        <w:numPr>
          <w:ilvl w:val="5"/>
          <w:numId w:val="7"/>
        </w:numPr>
      </w:pPr>
      <w:r>
        <w:t>What process will the Authority follow in making a direction?</w:t>
      </w:r>
    </w:p>
    <w:p w14:paraId="4340B9F3" w14:textId="4EB5A8D9" w:rsidR="004A1008" w:rsidRDefault="004A1008" w:rsidP="004A1008">
      <w:pPr>
        <w:pStyle w:val="NumberedNormal"/>
        <w:numPr>
          <w:ilvl w:val="2"/>
          <w:numId w:val="7"/>
        </w:numPr>
      </w:pPr>
      <w:r>
        <w:t>Before making a direction under paragraph 3.</w:t>
      </w:r>
      <w:r w:rsidR="005C07FC">
        <w:t>4.6, 3.4</w:t>
      </w:r>
      <w:r>
        <w:t>.10 or 3.</w:t>
      </w:r>
      <w:r w:rsidR="005C07FC">
        <w:t>4</w:t>
      </w:r>
      <w:r>
        <w:t>.11, the Authority will publish on the Authority's Website:</w:t>
      </w:r>
    </w:p>
    <w:p w14:paraId="252A7A2B" w14:textId="77777777" w:rsidR="004A1008" w:rsidRDefault="004A1008" w:rsidP="004A1008">
      <w:pPr>
        <w:pStyle w:val="ListNormal"/>
        <w:numPr>
          <w:ilvl w:val="3"/>
          <w:numId w:val="7"/>
        </w:numPr>
      </w:pPr>
      <w:r>
        <w:t>the text of the proposed direction;</w:t>
      </w:r>
    </w:p>
    <w:p w14:paraId="699D83C2" w14:textId="77777777" w:rsidR="004A1008" w:rsidRDefault="004A1008" w:rsidP="004A1008">
      <w:pPr>
        <w:pStyle w:val="ListNormal"/>
        <w:numPr>
          <w:ilvl w:val="3"/>
          <w:numId w:val="7"/>
        </w:numPr>
      </w:pPr>
      <w:r>
        <w:t>the reasons for the proposed direction; and</w:t>
      </w:r>
    </w:p>
    <w:p w14:paraId="5AD495E6" w14:textId="77777777" w:rsidR="004A1008" w:rsidRPr="00C341F3" w:rsidRDefault="004A1008" w:rsidP="004A1008">
      <w:pPr>
        <w:pStyle w:val="ListNormal"/>
        <w:numPr>
          <w:ilvl w:val="3"/>
          <w:numId w:val="7"/>
        </w:numPr>
      </w:pPr>
      <w:r>
        <w:lastRenderedPageBreak/>
        <w:t>a period during which representations may be made on the proposed direction, which will not be less than 28 days.</w:t>
      </w:r>
    </w:p>
    <w:p w14:paraId="28876C07" w14:textId="2C1B4B53" w:rsidR="004A1008" w:rsidRPr="00614C21" w:rsidRDefault="004A1008" w:rsidP="004A1008">
      <w:pPr>
        <w:pStyle w:val="NumberedNormal"/>
        <w:numPr>
          <w:ilvl w:val="2"/>
          <w:numId w:val="7"/>
        </w:numPr>
      </w:pPr>
      <w:r>
        <w:t>A direction under paragraph 3.</w:t>
      </w:r>
      <w:r w:rsidR="005C07FC">
        <w:t>4</w:t>
      </w:r>
      <w:r>
        <w:t>.6 or 3.</w:t>
      </w:r>
      <w:r w:rsidR="005C07FC">
        <w:t>4</w:t>
      </w:r>
      <w:r>
        <w:t>.10 will set out any amendments to Appendix.</w:t>
      </w:r>
    </w:p>
    <w:p w14:paraId="6E48095A" w14:textId="6D1A1714" w:rsidR="004A1008" w:rsidRDefault="004A1008" w:rsidP="004A1008">
      <w:pPr>
        <w:pStyle w:val="NumberedNormal"/>
        <w:numPr>
          <w:ilvl w:val="2"/>
          <w:numId w:val="7"/>
        </w:numPr>
      </w:pPr>
      <w:r>
        <w:t>A direction under paragraph 3.</w:t>
      </w:r>
      <w:r w:rsidR="005C07FC">
        <w:t>4</w:t>
      </w:r>
      <w:r>
        <w:t>.11 will set out the value of the PSUPR</w:t>
      </w:r>
      <w:r w:rsidRPr="00C0744E">
        <w:rPr>
          <w:vertAlign w:val="subscript"/>
        </w:rPr>
        <w:t>t</w:t>
      </w:r>
      <w:r>
        <w:t xml:space="preserve"> term and the Regulatory Years to which those values relate.</w:t>
      </w:r>
    </w:p>
    <w:p w14:paraId="5C9BC678" w14:textId="77777777" w:rsidR="004A1008" w:rsidRPr="00C341F3" w:rsidRDefault="004A1008" w:rsidP="004A1008">
      <w:pPr>
        <w:pStyle w:val="AppendixHeading"/>
      </w:pPr>
    </w:p>
    <w:p w14:paraId="5F19BE56" w14:textId="77777777" w:rsidR="004A1008" w:rsidRPr="00F924ED" w:rsidRDefault="004A1008" w:rsidP="004A1008">
      <w:pPr>
        <w:pStyle w:val="Caption"/>
      </w:pPr>
      <w:r w:rsidRPr="00C0744E">
        <w:t>Physical Security Price Control Deliverable</w:t>
      </w:r>
      <w:r>
        <w:t xml:space="preserve"> Allowance</w:t>
      </w:r>
    </w:p>
    <w:tbl>
      <w:tblPr>
        <w:tblStyle w:val="AppendixTable"/>
        <w:tblW w:w="5105" w:type="pct"/>
        <w:tblLook w:val="04A0" w:firstRow="1" w:lastRow="0" w:firstColumn="1" w:lastColumn="0" w:noHBand="0" w:noVBand="1"/>
      </w:tblPr>
      <w:tblGrid>
        <w:gridCol w:w="470"/>
        <w:gridCol w:w="1403"/>
        <w:gridCol w:w="995"/>
        <w:gridCol w:w="1031"/>
        <w:gridCol w:w="1031"/>
        <w:gridCol w:w="1031"/>
        <w:gridCol w:w="1031"/>
        <w:gridCol w:w="1031"/>
        <w:gridCol w:w="1202"/>
      </w:tblGrid>
      <w:tr w:rsidR="004A1008" w:rsidRPr="00D5104D" w14:paraId="1DABB03E" w14:textId="77777777" w:rsidTr="004A1008">
        <w:trPr>
          <w:cnfStyle w:val="100000000000" w:firstRow="1" w:lastRow="0" w:firstColumn="0" w:lastColumn="0" w:oddVBand="0" w:evenVBand="0" w:oddHBand="0" w:evenHBand="0" w:firstRowFirstColumn="0" w:firstRowLastColumn="0" w:lastRowFirstColumn="0" w:lastRowLastColumn="0"/>
          <w:trHeight w:val="322"/>
        </w:trPr>
        <w:tc>
          <w:tcPr>
            <w:tcW w:w="254" w:type="pct"/>
          </w:tcPr>
          <w:p w14:paraId="79A7D3C9" w14:textId="77777777" w:rsidR="004A1008" w:rsidRPr="0082533A" w:rsidRDefault="004A1008" w:rsidP="004A1008">
            <w:r>
              <w:t>Site</w:t>
            </w:r>
          </w:p>
        </w:tc>
        <w:tc>
          <w:tcPr>
            <w:tcW w:w="760" w:type="pct"/>
          </w:tcPr>
          <w:p w14:paraId="3674D176" w14:textId="77777777" w:rsidR="004A1008" w:rsidRPr="0082533A" w:rsidRDefault="004A1008" w:rsidP="004A1008">
            <w:r>
              <w:t>Output</w:t>
            </w:r>
          </w:p>
        </w:tc>
        <w:tc>
          <w:tcPr>
            <w:tcW w:w="540" w:type="pct"/>
          </w:tcPr>
          <w:p w14:paraId="3A94770E" w14:textId="77777777" w:rsidR="004A1008" w:rsidRPr="0082533A" w:rsidRDefault="004A1008" w:rsidP="004A1008">
            <w:r>
              <w:t>Delivery Date</w:t>
            </w:r>
          </w:p>
        </w:tc>
        <w:tc>
          <w:tcPr>
            <w:tcW w:w="559" w:type="pct"/>
          </w:tcPr>
          <w:p w14:paraId="6CA83018" w14:textId="77777777" w:rsidR="004A1008" w:rsidRPr="0082533A" w:rsidRDefault="004A1008" w:rsidP="004A1008">
            <w:r>
              <w:t>2021/22</w:t>
            </w:r>
          </w:p>
        </w:tc>
        <w:tc>
          <w:tcPr>
            <w:tcW w:w="559" w:type="pct"/>
          </w:tcPr>
          <w:p w14:paraId="0B4A0B06" w14:textId="77777777" w:rsidR="004A1008" w:rsidRPr="0082533A" w:rsidRDefault="004A1008" w:rsidP="004A1008">
            <w:r>
              <w:t>2022/23</w:t>
            </w:r>
          </w:p>
        </w:tc>
        <w:tc>
          <w:tcPr>
            <w:tcW w:w="559" w:type="pct"/>
          </w:tcPr>
          <w:p w14:paraId="329593DC" w14:textId="77777777" w:rsidR="004A1008" w:rsidRPr="0082533A" w:rsidRDefault="004A1008" w:rsidP="004A1008">
            <w:r>
              <w:t>2023/24</w:t>
            </w:r>
          </w:p>
        </w:tc>
        <w:tc>
          <w:tcPr>
            <w:tcW w:w="559" w:type="pct"/>
          </w:tcPr>
          <w:p w14:paraId="2F563EFB" w14:textId="77777777" w:rsidR="004A1008" w:rsidRPr="0082533A" w:rsidRDefault="004A1008" w:rsidP="004A1008">
            <w:r>
              <w:t>2024/25</w:t>
            </w:r>
          </w:p>
        </w:tc>
        <w:tc>
          <w:tcPr>
            <w:tcW w:w="559" w:type="pct"/>
          </w:tcPr>
          <w:p w14:paraId="1ABAF7C8" w14:textId="77777777" w:rsidR="004A1008" w:rsidRPr="0082533A" w:rsidRDefault="004A1008" w:rsidP="004A1008">
            <w:r>
              <w:t>2025/26</w:t>
            </w:r>
          </w:p>
        </w:tc>
        <w:tc>
          <w:tcPr>
            <w:tcW w:w="652" w:type="pct"/>
          </w:tcPr>
          <w:p w14:paraId="11C069E8" w14:textId="77777777" w:rsidR="004A1008" w:rsidRDefault="004A1008" w:rsidP="004A1008">
            <w:r>
              <w:t>Total Allowance (All years)</w:t>
            </w:r>
          </w:p>
        </w:tc>
      </w:tr>
      <w:tr w:rsidR="004A1008" w:rsidRPr="00D5104D" w14:paraId="7F2C01DF" w14:textId="77777777" w:rsidTr="004A1008">
        <w:trPr>
          <w:trHeight w:val="322"/>
        </w:trPr>
        <w:tc>
          <w:tcPr>
            <w:tcW w:w="254" w:type="pct"/>
          </w:tcPr>
          <w:p w14:paraId="5E94EE86" w14:textId="77777777" w:rsidR="004A1008" w:rsidRPr="0082533A" w:rsidRDefault="004A1008" w:rsidP="004A1008">
            <w:r>
              <w:t>Site X</w:t>
            </w:r>
          </w:p>
        </w:tc>
        <w:tc>
          <w:tcPr>
            <w:tcW w:w="760" w:type="pct"/>
          </w:tcPr>
          <w:p w14:paraId="128F66C5" w14:textId="77777777" w:rsidR="004A1008" w:rsidRPr="0082533A" w:rsidRDefault="004A1008" w:rsidP="004A1008">
            <w:r>
              <w:t xml:space="preserve">Install PSUP Solution at site to required Government specification. </w:t>
            </w:r>
          </w:p>
        </w:tc>
        <w:tc>
          <w:tcPr>
            <w:tcW w:w="540" w:type="pct"/>
          </w:tcPr>
          <w:p w14:paraId="2266501C" w14:textId="77777777" w:rsidR="004A1008" w:rsidRPr="0082533A" w:rsidRDefault="004A1008" w:rsidP="004A1008">
            <w:r>
              <w:t>31 Mar 2026</w:t>
            </w:r>
          </w:p>
        </w:tc>
        <w:tc>
          <w:tcPr>
            <w:tcW w:w="559" w:type="pct"/>
          </w:tcPr>
          <w:p w14:paraId="4A1C1305" w14:textId="77777777" w:rsidR="004A1008" w:rsidRPr="0082533A" w:rsidRDefault="004A1008" w:rsidP="004A1008"/>
        </w:tc>
        <w:tc>
          <w:tcPr>
            <w:tcW w:w="559" w:type="pct"/>
          </w:tcPr>
          <w:p w14:paraId="32128048" w14:textId="77777777" w:rsidR="004A1008" w:rsidRPr="0082533A" w:rsidRDefault="004A1008" w:rsidP="004A1008"/>
        </w:tc>
        <w:tc>
          <w:tcPr>
            <w:tcW w:w="559" w:type="pct"/>
          </w:tcPr>
          <w:p w14:paraId="0AD01F5A" w14:textId="77777777" w:rsidR="004A1008" w:rsidRPr="0082533A" w:rsidRDefault="004A1008" w:rsidP="004A1008"/>
        </w:tc>
        <w:tc>
          <w:tcPr>
            <w:tcW w:w="559" w:type="pct"/>
          </w:tcPr>
          <w:p w14:paraId="6D4F8753" w14:textId="77777777" w:rsidR="004A1008" w:rsidRPr="0082533A" w:rsidRDefault="004A1008" w:rsidP="004A1008"/>
        </w:tc>
        <w:tc>
          <w:tcPr>
            <w:tcW w:w="559" w:type="pct"/>
          </w:tcPr>
          <w:p w14:paraId="1F076DDF" w14:textId="77777777" w:rsidR="004A1008" w:rsidRPr="0082533A" w:rsidRDefault="004A1008" w:rsidP="004A1008"/>
        </w:tc>
        <w:tc>
          <w:tcPr>
            <w:tcW w:w="652" w:type="pct"/>
          </w:tcPr>
          <w:p w14:paraId="7B0EBB15" w14:textId="77777777" w:rsidR="004A1008" w:rsidRPr="0082533A" w:rsidRDefault="004A1008" w:rsidP="004A1008"/>
        </w:tc>
      </w:tr>
      <w:tr w:rsidR="004A1008" w:rsidRPr="00D5104D" w14:paraId="17751935" w14:textId="77777777" w:rsidTr="004A1008">
        <w:trPr>
          <w:trHeight w:val="322"/>
        </w:trPr>
        <w:tc>
          <w:tcPr>
            <w:tcW w:w="254" w:type="pct"/>
          </w:tcPr>
          <w:p w14:paraId="5650C1EB" w14:textId="77777777" w:rsidR="004A1008" w:rsidRPr="00D5104D" w:rsidRDefault="004A1008" w:rsidP="004A1008">
            <w:r>
              <w:t>Site Y</w:t>
            </w:r>
          </w:p>
        </w:tc>
        <w:tc>
          <w:tcPr>
            <w:tcW w:w="760" w:type="pct"/>
          </w:tcPr>
          <w:p w14:paraId="732C4296" w14:textId="77777777" w:rsidR="004A1008" w:rsidRPr="007225C6" w:rsidRDefault="004A1008" w:rsidP="004A1008">
            <w:r>
              <w:t xml:space="preserve">Install PSUP Solution at site to required Government specification. </w:t>
            </w:r>
          </w:p>
        </w:tc>
        <w:tc>
          <w:tcPr>
            <w:tcW w:w="540" w:type="pct"/>
          </w:tcPr>
          <w:p w14:paraId="04037C1E" w14:textId="77777777" w:rsidR="004A1008" w:rsidRPr="00D5104D" w:rsidRDefault="004A1008" w:rsidP="004A1008">
            <w:r>
              <w:t>31 Mar 2026</w:t>
            </w:r>
          </w:p>
        </w:tc>
        <w:tc>
          <w:tcPr>
            <w:tcW w:w="559" w:type="pct"/>
          </w:tcPr>
          <w:p w14:paraId="14BD35AF" w14:textId="77777777" w:rsidR="004A1008" w:rsidRPr="00D5104D" w:rsidRDefault="004A1008" w:rsidP="004A1008"/>
        </w:tc>
        <w:tc>
          <w:tcPr>
            <w:tcW w:w="559" w:type="pct"/>
          </w:tcPr>
          <w:p w14:paraId="39C1498D" w14:textId="77777777" w:rsidR="004A1008" w:rsidRPr="00D5104D" w:rsidRDefault="004A1008" w:rsidP="004A1008"/>
        </w:tc>
        <w:tc>
          <w:tcPr>
            <w:tcW w:w="559" w:type="pct"/>
          </w:tcPr>
          <w:p w14:paraId="472F6AEF" w14:textId="77777777" w:rsidR="004A1008" w:rsidRPr="00D5104D" w:rsidRDefault="004A1008" w:rsidP="004A1008"/>
        </w:tc>
        <w:tc>
          <w:tcPr>
            <w:tcW w:w="559" w:type="pct"/>
          </w:tcPr>
          <w:p w14:paraId="01261BF5" w14:textId="77777777" w:rsidR="004A1008" w:rsidRPr="00D5104D" w:rsidRDefault="004A1008" w:rsidP="004A1008"/>
        </w:tc>
        <w:tc>
          <w:tcPr>
            <w:tcW w:w="559" w:type="pct"/>
          </w:tcPr>
          <w:p w14:paraId="2E0B4445" w14:textId="77777777" w:rsidR="004A1008" w:rsidRPr="00D5104D" w:rsidRDefault="004A1008" w:rsidP="004A1008"/>
        </w:tc>
        <w:tc>
          <w:tcPr>
            <w:tcW w:w="652" w:type="pct"/>
          </w:tcPr>
          <w:p w14:paraId="0146E2BD" w14:textId="77777777" w:rsidR="004A1008" w:rsidRPr="00D5104D" w:rsidRDefault="004A1008" w:rsidP="004A1008"/>
        </w:tc>
      </w:tr>
      <w:tr w:rsidR="004A1008" w:rsidRPr="00D5104D" w14:paraId="52FD6BAD" w14:textId="77777777" w:rsidTr="004A1008">
        <w:trPr>
          <w:trHeight w:val="322"/>
        </w:trPr>
        <w:tc>
          <w:tcPr>
            <w:tcW w:w="254" w:type="pct"/>
          </w:tcPr>
          <w:p w14:paraId="0254CC5B" w14:textId="77777777" w:rsidR="004A1008" w:rsidRPr="00D5104D" w:rsidRDefault="004A1008" w:rsidP="004A1008">
            <w:r>
              <w:t>Site Z</w:t>
            </w:r>
          </w:p>
        </w:tc>
        <w:tc>
          <w:tcPr>
            <w:tcW w:w="760" w:type="pct"/>
          </w:tcPr>
          <w:p w14:paraId="0A3067F9" w14:textId="77777777" w:rsidR="004A1008" w:rsidRPr="00D5104D" w:rsidRDefault="004A1008" w:rsidP="004A1008">
            <w:r>
              <w:t xml:space="preserve">Install PSUP Solution at site to required Government specification. </w:t>
            </w:r>
          </w:p>
        </w:tc>
        <w:tc>
          <w:tcPr>
            <w:tcW w:w="540" w:type="pct"/>
          </w:tcPr>
          <w:p w14:paraId="7E1175AD" w14:textId="77777777" w:rsidR="004A1008" w:rsidRPr="00D5104D" w:rsidRDefault="004A1008" w:rsidP="004A1008">
            <w:r>
              <w:t>31 Mar 2026</w:t>
            </w:r>
          </w:p>
        </w:tc>
        <w:tc>
          <w:tcPr>
            <w:tcW w:w="559" w:type="pct"/>
          </w:tcPr>
          <w:p w14:paraId="7EDC63D9" w14:textId="77777777" w:rsidR="004A1008" w:rsidRPr="00D5104D" w:rsidRDefault="004A1008" w:rsidP="004A1008"/>
        </w:tc>
        <w:tc>
          <w:tcPr>
            <w:tcW w:w="559" w:type="pct"/>
          </w:tcPr>
          <w:p w14:paraId="67EF700B" w14:textId="77777777" w:rsidR="004A1008" w:rsidRPr="00D5104D" w:rsidRDefault="004A1008" w:rsidP="004A1008"/>
        </w:tc>
        <w:tc>
          <w:tcPr>
            <w:tcW w:w="559" w:type="pct"/>
          </w:tcPr>
          <w:p w14:paraId="67AA4BB5" w14:textId="77777777" w:rsidR="004A1008" w:rsidRPr="00D5104D" w:rsidRDefault="004A1008" w:rsidP="004A1008"/>
        </w:tc>
        <w:tc>
          <w:tcPr>
            <w:tcW w:w="559" w:type="pct"/>
          </w:tcPr>
          <w:p w14:paraId="0B27464F" w14:textId="77777777" w:rsidR="004A1008" w:rsidRPr="00D5104D" w:rsidRDefault="004A1008" w:rsidP="004A1008"/>
        </w:tc>
        <w:tc>
          <w:tcPr>
            <w:tcW w:w="559" w:type="pct"/>
          </w:tcPr>
          <w:p w14:paraId="7CC0F938" w14:textId="77777777" w:rsidR="004A1008" w:rsidRPr="00D5104D" w:rsidRDefault="004A1008" w:rsidP="004A1008"/>
        </w:tc>
        <w:tc>
          <w:tcPr>
            <w:tcW w:w="652" w:type="pct"/>
          </w:tcPr>
          <w:p w14:paraId="1225E636" w14:textId="77777777" w:rsidR="004A1008" w:rsidRPr="00D5104D" w:rsidRDefault="004A1008" w:rsidP="004A1008"/>
        </w:tc>
      </w:tr>
    </w:tbl>
    <w:p w14:paraId="5F189F51" w14:textId="77777777" w:rsidR="004A1008" w:rsidRPr="00614C21" w:rsidRDefault="004A1008" w:rsidP="004A1008">
      <w:pPr>
        <w:pStyle w:val="NumberedNormal"/>
        <w:numPr>
          <w:ilvl w:val="0"/>
          <w:numId w:val="0"/>
        </w:numPr>
      </w:pPr>
    </w:p>
    <w:p w14:paraId="5BD428E7" w14:textId="77777777" w:rsidR="004A1008" w:rsidRPr="00D1404E" w:rsidRDefault="004A1008" w:rsidP="004A1008">
      <w:pPr>
        <w:pStyle w:val="Heading2"/>
        <w:numPr>
          <w:ilvl w:val="1"/>
          <w:numId w:val="7"/>
        </w:numPr>
      </w:pPr>
      <w:bookmarkStart w:id="65" w:name="_Toc51783639"/>
      <w:bookmarkStart w:id="66" w:name="_Toc52364539"/>
      <w:r>
        <w:t>Non-operational Capex IT Re-opener (NOIT</w:t>
      </w:r>
      <w:r w:rsidRPr="00822404">
        <w:rPr>
          <w:vertAlign w:val="subscript"/>
        </w:rPr>
        <w:t>t</w:t>
      </w:r>
      <w:r>
        <w:t>)</w:t>
      </w:r>
      <w:bookmarkEnd w:id="65"/>
      <w:bookmarkEnd w:id="66"/>
    </w:p>
    <w:p w14:paraId="7532158F" w14:textId="77777777" w:rsidR="004A1008" w:rsidRPr="00D1404E" w:rsidRDefault="004A1008" w:rsidP="004A1008">
      <w:pPr>
        <w:pStyle w:val="Heading3nonumbering"/>
      </w:pPr>
      <w:r w:rsidRPr="00D1404E">
        <w:t xml:space="preserve">Introduction </w:t>
      </w:r>
    </w:p>
    <w:p w14:paraId="1D720184" w14:textId="77777777" w:rsidR="004A1008" w:rsidRPr="00D1404E" w:rsidRDefault="004A1008" w:rsidP="004A1008">
      <w:pPr>
        <w:pStyle w:val="NumberedNormal"/>
        <w:numPr>
          <w:ilvl w:val="2"/>
          <w:numId w:val="7"/>
        </w:numPr>
      </w:pPr>
      <w:r>
        <w:t>The purpose of this condition is to calculate the term NOIT</w:t>
      </w:r>
      <w:r w:rsidRPr="00822404">
        <w:rPr>
          <w:vertAlign w:val="subscript"/>
        </w:rPr>
        <w:t>t</w:t>
      </w:r>
      <w:r>
        <w:t xml:space="preserve"> (the Non-operational Capex IT Re-opener term).  This contributes to the calculation of the Totex Allowance.</w:t>
      </w:r>
    </w:p>
    <w:p w14:paraId="39B0F474" w14:textId="77777777" w:rsidR="004A1008" w:rsidRPr="00D1404E" w:rsidRDefault="004A1008" w:rsidP="004A1008">
      <w:pPr>
        <w:pStyle w:val="NumberedNormal"/>
        <w:numPr>
          <w:ilvl w:val="2"/>
          <w:numId w:val="7"/>
        </w:numPr>
      </w:pPr>
      <w:r>
        <w:t>The effect of this condition is to:</w:t>
      </w:r>
    </w:p>
    <w:p w14:paraId="549ED544" w14:textId="1DAFFA0C" w:rsidR="004A1008" w:rsidRPr="00D1404E" w:rsidRDefault="004A1008" w:rsidP="004A1008">
      <w:pPr>
        <w:pStyle w:val="ListNormal"/>
        <w:numPr>
          <w:ilvl w:val="3"/>
          <w:numId w:val="7"/>
        </w:numPr>
      </w:pPr>
      <w:r>
        <w:t>require the licensee to submit a Non-operational Capex IT Plan at the start of the Price Control Period; and</w:t>
      </w:r>
    </w:p>
    <w:p w14:paraId="6C686459" w14:textId="50E6257C" w:rsidR="004A1008" w:rsidRPr="00D1404E" w:rsidRDefault="004A1008" w:rsidP="004A1008">
      <w:pPr>
        <w:pStyle w:val="ListNormal"/>
        <w:numPr>
          <w:ilvl w:val="3"/>
          <w:numId w:val="7"/>
        </w:numPr>
      </w:pPr>
      <w:r>
        <w:lastRenderedPageBreak/>
        <w:t>establish a Re-opener triggered by either the licensee or the Authority for Non-operational Capex IT.</w:t>
      </w:r>
    </w:p>
    <w:p w14:paraId="7BDE9194" w14:textId="77777777" w:rsidR="004A1008" w:rsidRPr="00D1404E" w:rsidRDefault="004A1008" w:rsidP="004A1008">
      <w:pPr>
        <w:pStyle w:val="NumberedNormal"/>
        <w:numPr>
          <w:ilvl w:val="2"/>
          <w:numId w:val="7"/>
        </w:numPr>
      </w:pPr>
      <w:r>
        <w:t>This condition also explains the process the Authority will follow when directing any changes as a result of the Re-opener.</w:t>
      </w:r>
    </w:p>
    <w:p w14:paraId="2483E6A9" w14:textId="77777777" w:rsidR="004A1008" w:rsidRPr="00D1404E" w:rsidRDefault="004A1008" w:rsidP="004A1008">
      <w:pPr>
        <w:pStyle w:val="Heading3"/>
        <w:numPr>
          <w:ilvl w:val="5"/>
          <w:numId w:val="7"/>
        </w:numPr>
      </w:pPr>
      <w:r>
        <w:t>What costs are within the scope of this Re-opener?</w:t>
      </w:r>
    </w:p>
    <w:p w14:paraId="733499AA" w14:textId="77777777" w:rsidR="004A1008" w:rsidRPr="00D1404E" w:rsidRDefault="004A1008" w:rsidP="004A1008">
      <w:pPr>
        <w:pStyle w:val="NumberedNormal"/>
        <w:numPr>
          <w:ilvl w:val="2"/>
          <w:numId w:val="7"/>
        </w:numPr>
      </w:pPr>
      <w:r>
        <w:t>The licensee may apply to the Authority for a direction adjusting the value of the NOIT</w:t>
      </w:r>
      <w:r w:rsidRPr="00822404">
        <w:rPr>
          <w:vertAlign w:val="subscript"/>
        </w:rPr>
        <w:t>t</w:t>
      </w:r>
      <w:r>
        <w:t xml:space="preserve"> term for any Regulatory Year during the Price Control Period as a result of:</w:t>
      </w:r>
    </w:p>
    <w:p w14:paraId="43F7F868" w14:textId="77777777" w:rsidR="004A1008" w:rsidRDefault="004A1008" w:rsidP="004A1008">
      <w:pPr>
        <w:pStyle w:val="ListNormal"/>
      </w:pPr>
      <w:r>
        <w:t>the licensee identifying further evidence in support of Non-operational Capex IT projects that were included in its Business Plan, but in relation to which no allowance has been provided to date;</w:t>
      </w:r>
    </w:p>
    <w:p w14:paraId="1B018C1E" w14:textId="77777777" w:rsidR="004A1008" w:rsidRDefault="004A1008" w:rsidP="004A1008">
      <w:pPr>
        <w:pStyle w:val="ListNormal"/>
      </w:pPr>
      <w:r>
        <w:t xml:space="preserve">the licensee identifying </w:t>
      </w:r>
      <w:r w:rsidRPr="009A5347">
        <w:t>activities capable of improving its Non</w:t>
      </w:r>
      <w:r>
        <w:t>-</w:t>
      </w:r>
      <w:r w:rsidRPr="009A5347">
        <w:t xml:space="preserve">operational </w:t>
      </w:r>
      <w:r>
        <w:t>C</w:t>
      </w:r>
      <w:r w:rsidRPr="009A5347">
        <w:t>apex IT;</w:t>
      </w:r>
      <w:r>
        <w:t xml:space="preserve"> or</w:t>
      </w:r>
    </w:p>
    <w:p w14:paraId="256928AD" w14:textId="77777777" w:rsidR="004A1008" w:rsidRPr="009A5347" w:rsidRDefault="004A1008" w:rsidP="004A1008">
      <w:pPr>
        <w:pStyle w:val="ListNormal"/>
      </w:pPr>
      <w:r w:rsidRPr="009A5347">
        <w:t>any changes to statutory or regulatory requirements relating to Non</w:t>
      </w:r>
      <w:r>
        <w:t>-</w:t>
      </w:r>
      <w:r w:rsidRPr="009A5347">
        <w:t xml:space="preserve">operational </w:t>
      </w:r>
      <w:r>
        <w:t>C</w:t>
      </w:r>
      <w:r w:rsidRPr="009A5347">
        <w:t>apex IT.</w:t>
      </w:r>
    </w:p>
    <w:p w14:paraId="4E4A3D27" w14:textId="77777777" w:rsidR="004A1008" w:rsidRPr="00D1404E" w:rsidRDefault="004A1008" w:rsidP="004A1008">
      <w:pPr>
        <w:pStyle w:val="Heading3"/>
        <w:numPr>
          <w:ilvl w:val="5"/>
          <w:numId w:val="7"/>
        </w:numPr>
      </w:pPr>
      <w:r>
        <w:t>When to make an application</w:t>
      </w:r>
    </w:p>
    <w:p w14:paraId="1118E5E0" w14:textId="624001CB" w:rsidR="004A1008" w:rsidRPr="00D1404E" w:rsidRDefault="004A1008" w:rsidP="004A1008">
      <w:pPr>
        <w:pStyle w:val="NumberedNormal"/>
        <w:numPr>
          <w:ilvl w:val="2"/>
          <w:numId w:val="7"/>
        </w:numPr>
      </w:pPr>
      <w:r>
        <w:t>The licensee may only apply to the Authority for a</w:t>
      </w:r>
      <w:r w:rsidR="005C07FC">
        <w:t>n adjustment under paragraph 3.</w:t>
      </w:r>
      <w:r>
        <w:t>5.4:</w:t>
      </w:r>
    </w:p>
    <w:p w14:paraId="03377AA6" w14:textId="77777777" w:rsidR="004A1008" w:rsidRPr="00D1404E" w:rsidRDefault="004A1008" w:rsidP="004A1008">
      <w:pPr>
        <w:pStyle w:val="ListNormal"/>
        <w:numPr>
          <w:ilvl w:val="3"/>
          <w:numId w:val="7"/>
        </w:numPr>
      </w:pPr>
      <w:r>
        <w:t xml:space="preserve">Between 1 April 2021 and 8 April 2021; </w:t>
      </w:r>
    </w:p>
    <w:p w14:paraId="0268F598" w14:textId="77777777" w:rsidR="004A1008" w:rsidRPr="00D1404E" w:rsidRDefault="004A1008" w:rsidP="004A1008">
      <w:pPr>
        <w:pStyle w:val="ListNormal"/>
        <w:numPr>
          <w:ilvl w:val="3"/>
          <w:numId w:val="7"/>
        </w:numPr>
      </w:pPr>
      <w:r>
        <w:t>Between 25 January 2023 and 31 January 2023; and</w:t>
      </w:r>
    </w:p>
    <w:p w14:paraId="0FA2800C" w14:textId="77777777" w:rsidR="004A1008" w:rsidRPr="00D1404E" w:rsidRDefault="004A1008" w:rsidP="004A1008">
      <w:pPr>
        <w:pStyle w:val="ListNormal"/>
        <w:numPr>
          <w:ilvl w:val="3"/>
          <w:numId w:val="7"/>
        </w:numPr>
      </w:pPr>
      <w:r>
        <w:t>during such other periods as the Authority may direct.</w:t>
      </w:r>
    </w:p>
    <w:p w14:paraId="6816FCD5" w14:textId="77777777" w:rsidR="004A1008" w:rsidRPr="00D1404E" w:rsidRDefault="004A1008" w:rsidP="004A1008">
      <w:pPr>
        <w:pStyle w:val="Heading3"/>
        <w:numPr>
          <w:ilvl w:val="5"/>
          <w:numId w:val="7"/>
        </w:numPr>
      </w:pPr>
      <w:r>
        <w:t>How to make an application</w:t>
      </w:r>
    </w:p>
    <w:p w14:paraId="54EE5D99" w14:textId="0DF119CF" w:rsidR="004A1008" w:rsidRPr="00D1404E" w:rsidRDefault="004A1008" w:rsidP="004A1008">
      <w:pPr>
        <w:pStyle w:val="NumberedNormal"/>
        <w:numPr>
          <w:ilvl w:val="2"/>
          <w:numId w:val="7"/>
        </w:numPr>
      </w:pPr>
      <w:r>
        <w:t>In order to make an</w:t>
      </w:r>
      <w:r w:rsidR="005C07FC">
        <w:t xml:space="preserve"> application under paragraph 3.</w:t>
      </w:r>
      <w:r>
        <w:t xml:space="preserve">5.4 the licensee must submit to the Authority a Non-operational Capex IT Plan in writing and: </w:t>
      </w:r>
    </w:p>
    <w:p w14:paraId="5789A5A0" w14:textId="10EC0E15" w:rsidR="004A1008" w:rsidRPr="003C09E1" w:rsidRDefault="004A1008" w:rsidP="004A1008">
      <w:pPr>
        <w:pStyle w:val="ListNormal"/>
        <w:tabs>
          <w:tab w:val="num" w:pos="879"/>
        </w:tabs>
      </w:pPr>
      <w:r>
        <w:t xml:space="preserve">give </w:t>
      </w:r>
      <w:r w:rsidRPr="003C09E1">
        <w:t xml:space="preserve">details of the circumstances referred to in paragraph </w:t>
      </w:r>
      <w:r w:rsidR="005C07FC">
        <w:t>3.</w:t>
      </w:r>
      <w:r>
        <w:t>5</w:t>
      </w:r>
      <w:r w:rsidRPr="003C09E1">
        <w:t>.</w:t>
      </w:r>
      <w:r>
        <w:t>4</w:t>
      </w:r>
      <w:r w:rsidRPr="003C09E1">
        <w:t>(a), (b) or (c) that the licensee considers exist;</w:t>
      </w:r>
    </w:p>
    <w:p w14:paraId="56A3CC4E" w14:textId="77777777" w:rsidR="004A1008" w:rsidRPr="00D1404E" w:rsidRDefault="004A1008" w:rsidP="004A1008">
      <w:pPr>
        <w:pStyle w:val="ListNormal"/>
        <w:numPr>
          <w:ilvl w:val="3"/>
          <w:numId w:val="7"/>
        </w:numPr>
      </w:pPr>
      <w:r>
        <w:t>explain how the adjustment requested would improve its Non-operational IT Capex;</w:t>
      </w:r>
    </w:p>
    <w:p w14:paraId="64E1BCBA" w14:textId="77777777" w:rsidR="004A1008" w:rsidRPr="00D1404E" w:rsidRDefault="004A1008" w:rsidP="004A1008">
      <w:pPr>
        <w:pStyle w:val="ListNormal"/>
        <w:numPr>
          <w:ilvl w:val="3"/>
          <w:numId w:val="7"/>
        </w:numPr>
      </w:pPr>
      <w:r>
        <w:t>explain the basis of the calculations for the adjustment requested to allowances; and</w:t>
      </w:r>
    </w:p>
    <w:p w14:paraId="43121718" w14:textId="77777777" w:rsidR="004A1008" w:rsidRDefault="004A1008" w:rsidP="004A1008">
      <w:pPr>
        <w:pStyle w:val="ListNormal"/>
        <w:numPr>
          <w:ilvl w:val="3"/>
          <w:numId w:val="7"/>
        </w:numPr>
      </w:pPr>
      <w:r>
        <w:t>give details of anticipated business benefits derived from any risk reduction as a result of the proposed activities; and</w:t>
      </w:r>
    </w:p>
    <w:p w14:paraId="280CC04C" w14:textId="77777777" w:rsidR="004A1008" w:rsidRPr="00D1404E" w:rsidRDefault="004A1008" w:rsidP="004A1008">
      <w:pPr>
        <w:pStyle w:val="ListNormal"/>
        <w:numPr>
          <w:ilvl w:val="3"/>
          <w:numId w:val="7"/>
        </w:numPr>
      </w:pPr>
      <w:r>
        <w:t>provide such detailed supporting evidence, as is reasonable in the circumstances, which must include:</w:t>
      </w:r>
    </w:p>
    <w:p w14:paraId="0C39EF84" w14:textId="77777777" w:rsidR="004A1008" w:rsidRPr="00D1404E" w:rsidRDefault="004A1008" w:rsidP="004A1008">
      <w:pPr>
        <w:pStyle w:val="ListNormal"/>
        <w:numPr>
          <w:ilvl w:val="4"/>
          <w:numId w:val="2"/>
        </w:numPr>
      </w:pPr>
      <w:r>
        <w:t>I</w:t>
      </w:r>
      <w:r w:rsidRPr="00D1404E">
        <w:t xml:space="preserve">mprovement </w:t>
      </w:r>
      <w:r>
        <w:t>P</w:t>
      </w:r>
      <w:r w:rsidRPr="00D1404E">
        <w:t>lans;</w:t>
      </w:r>
    </w:p>
    <w:p w14:paraId="25A64E81" w14:textId="77777777" w:rsidR="004A1008" w:rsidRPr="00D1404E" w:rsidRDefault="004A1008" w:rsidP="004A1008">
      <w:pPr>
        <w:pStyle w:val="ListNormal"/>
        <w:numPr>
          <w:ilvl w:val="4"/>
          <w:numId w:val="2"/>
        </w:numPr>
      </w:pPr>
      <w:r w:rsidRPr="00D1404E">
        <w:t>a prioritisation programme;</w:t>
      </w:r>
      <w:r>
        <w:t xml:space="preserve"> and</w:t>
      </w:r>
    </w:p>
    <w:p w14:paraId="781E8380" w14:textId="77777777" w:rsidR="004A1008" w:rsidRPr="00D1404E" w:rsidRDefault="004A1008" w:rsidP="004A1008">
      <w:pPr>
        <w:pStyle w:val="ListNormal"/>
        <w:numPr>
          <w:ilvl w:val="4"/>
          <w:numId w:val="2"/>
        </w:numPr>
      </w:pPr>
      <w:r>
        <w:t>market and industry cost comparison; and</w:t>
      </w:r>
    </w:p>
    <w:p w14:paraId="45A7C122" w14:textId="77777777" w:rsidR="004A1008" w:rsidRPr="009A5347" w:rsidRDefault="004A1008" w:rsidP="004A1008">
      <w:pPr>
        <w:pStyle w:val="ListNormal"/>
        <w:numPr>
          <w:ilvl w:val="4"/>
          <w:numId w:val="2"/>
        </w:numPr>
      </w:pPr>
      <w:r>
        <w:lastRenderedPageBreak/>
        <w:t>anticipated business benefits derived from any risk reduction as a result of the proposed activities.</w:t>
      </w:r>
    </w:p>
    <w:p w14:paraId="4FA9041A" w14:textId="4AE4F4CD" w:rsidR="004A1008" w:rsidRPr="00D1404E" w:rsidRDefault="004A1008" w:rsidP="004A1008">
      <w:pPr>
        <w:pStyle w:val="NumberedNormal"/>
        <w:numPr>
          <w:ilvl w:val="2"/>
          <w:numId w:val="7"/>
        </w:numPr>
      </w:pPr>
      <w:r>
        <w:t xml:space="preserve">An application under paragraph 3.5.4 must: </w:t>
      </w:r>
    </w:p>
    <w:p w14:paraId="220F2F9D" w14:textId="77777777" w:rsidR="004A1008" w:rsidRPr="00D1404E" w:rsidRDefault="004A1008" w:rsidP="004A1008">
      <w:pPr>
        <w:pStyle w:val="ListNormal"/>
        <w:numPr>
          <w:ilvl w:val="3"/>
          <w:numId w:val="7"/>
        </w:numPr>
      </w:pPr>
      <w:r>
        <w:t>take account of any allowed expenditure, which can be avoided as a result of the adjustment; and</w:t>
      </w:r>
    </w:p>
    <w:p w14:paraId="3BA26F87" w14:textId="77777777" w:rsidR="004A1008" w:rsidRPr="00D1404E" w:rsidRDefault="004A1008" w:rsidP="004A1008">
      <w:pPr>
        <w:pStyle w:val="ListNormal"/>
        <w:numPr>
          <w:ilvl w:val="3"/>
          <w:numId w:val="7"/>
        </w:numPr>
      </w:pPr>
      <w:r>
        <w:t xml:space="preserve">be confined to costs incurred or expected to be incurred on or after 1 April 2021.  </w:t>
      </w:r>
    </w:p>
    <w:p w14:paraId="619D718C" w14:textId="77777777" w:rsidR="004A1008" w:rsidRPr="00D1404E" w:rsidRDefault="004A1008" w:rsidP="004A1008">
      <w:pPr>
        <w:pStyle w:val="Heading3"/>
        <w:numPr>
          <w:ilvl w:val="5"/>
          <w:numId w:val="7"/>
        </w:numPr>
      </w:pPr>
      <w:r>
        <w:t>Authority triggered re-opener</w:t>
      </w:r>
    </w:p>
    <w:p w14:paraId="7019EA16" w14:textId="77777777" w:rsidR="004A1008" w:rsidRDefault="004A1008" w:rsidP="004A1008">
      <w:pPr>
        <w:pStyle w:val="NumberedNormal"/>
        <w:numPr>
          <w:ilvl w:val="2"/>
          <w:numId w:val="7"/>
        </w:numPr>
      </w:pPr>
      <w:r>
        <w:t>The Authority will also consider directing an adjustment to the value of the NOIT</w:t>
      </w:r>
      <w:r w:rsidRPr="00822404">
        <w:rPr>
          <w:vertAlign w:val="subscript"/>
        </w:rPr>
        <w:t>t</w:t>
      </w:r>
      <w:r>
        <w:t xml:space="preserve"> term without an application being made under paragraph 4 where it considers that:</w:t>
      </w:r>
    </w:p>
    <w:p w14:paraId="2D365337" w14:textId="5127A7C3" w:rsidR="004A1008" w:rsidRDefault="004A1008" w:rsidP="004A1008">
      <w:pPr>
        <w:pStyle w:val="ListNormal"/>
        <w:numPr>
          <w:ilvl w:val="3"/>
          <w:numId w:val="7"/>
        </w:numPr>
      </w:pPr>
      <w:r>
        <w:t>circumstances of the t</w:t>
      </w:r>
      <w:r w:rsidR="005C07FC">
        <w:t>ype referred to in paragraph 3.</w:t>
      </w:r>
      <w:r>
        <w:t>5.4 exist; and</w:t>
      </w:r>
    </w:p>
    <w:p w14:paraId="18233D53" w14:textId="77777777" w:rsidR="004A1008" w:rsidRPr="00D1404E" w:rsidRDefault="004A1008" w:rsidP="004A1008">
      <w:pPr>
        <w:pStyle w:val="ListNormal"/>
        <w:numPr>
          <w:ilvl w:val="3"/>
          <w:numId w:val="7"/>
        </w:numPr>
      </w:pPr>
      <w:r>
        <w:t>costs were incurred or will be incurred on or after 1 April 2021.</w:t>
      </w:r>
    </w:p>
    <w:p w14:paraId="351141A6" w14:textId="77777777" w:rsidR="004A1008" w:rsidRPr="00D1404E" w:rsidRDefault="004A1008" w:rsidP="004A1008">
      <w:pPr>
        <w:pStyle w:val="Heading3"/>
        <w:numPr>
          <w:ilvl w:val="5"/>
          <w:numId w:val="7"/>
        </w:numPr>
      </w:pPr>
      <w:r>
        <w:t>What process will the Authority follow in making a direction?</w:t>
      </w:r>
    </w:p>
    <w:p w14:paraId="721042C3" w14:textId="45A73D7E" w:rsidR="004A1008" w:rsidRPr="00D1404E" w:rsidRDefault="004A1008" w:rsidP="004A1008">
      <w:pPr>
        <w:pStyle w:val="NumberedNormal"/>
        <w:numPr>
          <w:ilvl w:val="2"/>
          <w:numId w:val="7"/>
        </w:numPr>
      </w:pPr>
      <w:r>
        <w:t>Before making</w:t>
      </w:r>
      <w:r w:rsidR="005C07FC">
        <w:t xml:space="preserve"> a direction under paragraph 3.5.4 or 3.</w:t>
      </w:r>
      <w:r>
        <w:t>5.8, the Authority will publish on the Authority's Website:</w:t>
      </w:r>
    </w:p>
    <w:p w14:paraId="74DE1B49" w14:textId="77777777" w:rsidR="004A1008" w:rsidRPr="00D1404E" w:rsidRDefault="004A1008" w:rsidP="004A1008">
      <w:pPr>
        <w:pStyle w:val="ListNormal"/>
        <w:numPr>
          <w:ilvl w:val="3"/>
          <w:numId w:val="7"/>
        </w:numPr>
      </w:pPr>
      <w:r>
        <w:t>the text of the proposed direction;</w:t>
      </w:r>
    </w:p>
    <w:p w14:paraId="07C9C7D1" w14:textId="77777777" w:rsidR="004A1008" w:rsidRPr="00D1404E" w:rsidRDefault="004A1008" w:rsidP="004A1008">
      <w:pPr>
        <w:pStyle w:val="ListNormal"/>
        <w:numPr>
          <w:ilvl w:val="3"/>
          <w:numId w:val="7"/>
        </w:numPr>
      </w:pPr>
      <w:r>
        <w:t>the reasons for the proposed direction; and</w:t>
      </w:r>
    </w:p>
    <w:p w14:paraId="63035FFC" w14:textId="77777777" w:rsidR="004A1008" w:rsidRPr="00D1404E" w:rsidRDefault="004A1008" w:rsidP="004A1008">
      <w:pPr>
        <w:pStyle w:val="ListNormal"/>
        <w:numPr>
          <w:ilvl w:val="3"/>
          <w:numId w:val="7"/>
        </w:numPr>
      </w:pPr>
      <w:r>
        <w:t>a period during which representations may be made on the proposed direction, which will not be less than 28 days.</w:t>
      </w:r>
    </w:p>
    <w:p w14:paraId="13863631" w14:textId="77777777" w:rsidR="004A1008" w:rsidRPr="00D32B52" w:rsidRDefault="004A1008" w:rsidP="004A1008">
      <w:pPr>
        <w:pStyle w:val="NumberedNormal"/>
        <w:numPr>
          <w:ilvl w:val="2"/>
          <w:numId w:val="7"/>
        </w:numPr>
      </w:pPr>
      <w:r>
        <w:t>The direction will set out any adjustments to the value of the NOIT</w:t>
      </w:r>
      <w:r w:rsidRPr="00646BA3">
        <w:rPr>
          <w:vertAlign w:val="subscript"/>
        </w:rPr>
        <w:t>t</w:t>
      </w:r>
      <w:r>
        <w:t xml:space="preserve"> term and the Regulatory Years to which those adjustments relate.</w:t>
      </w:r>
    </w:p>
    <w:p w14:paraId="2D301344" w14:textId="77777777" w:rsidR="004A1008" w:rsidRDefault="004A1008" w:rsidP="004A1008">
      <w:pPr>
        <w:pStyle w:val="Heading2"/>
      </w:pPr>
      <w:bookmarkStart w:id="67" w:name="_Toc51319604"/>
      <w:bookmarkStart w:id="68" w:name="_Toc51798265"/>
      <w:bookmarkStart w:id="69" w:name="_Toc51798452"/>
      <w:bookmarkStart w:id="70" w:name="_Toc52364540"/>
      <w:r>
        <w:t>Net Zero Re-opener</w:t>
      </w:r>
      <w:bookmarkEnd w:id="67"/>
      <w:r>
        <w:t xml:space="preserve"> (NZ</w:t>
      </w:r>
      <w:r w:rsidRPr="00AF4CAD">
        <w:rPr>
          <w:vertAlign w:val="subscript"/>
        </w:rPr>
        <w:t>t</w:t>
      </w:r>
      <w:r>
        <w:t>)</w:t>
      </w:r>
      <w:bookmarkEnd w:id="68"/>
      <w:bookmarkEnd w:id="69"/>
      <w:bookmarkEnd w:id="70"/>
    </w:p>
    <w:p w14:paraId="285FD692" w14:textId="77777777" w:rsidR="004A1008" w:rsidRPr="00FA0103" w:rsidRDefault="004A1008" w:rsidP="004A1008">
      <w:pPr>
        <w:pStyle w:val="Heading3"/>
        <w:numPr>
          <w:ilvl w:val="0"/>
          <w:numId w:val="0"/>
        </w:numPr>
      </w:pPr>
      <w:r w:rsidRPr="00FA0103">
        <w:t xml:space="preserve">Introduction </w:t>
      </w:r>
    </w:p>
    <w:p w14:paraId="7FB761B9" w14:textId="77777777" w:rsidR="004A1008" w:rsidRDefault="004A1008" w:rsidP="004A1008">
      <w:pPr>
        <w:pStyle w:val="NumberedNormal"/>
      </w:pPr>
      <w:r w:rsidRPr="00FA0103">
        <w:t>The purpose of this condition is to</w:t>
      </w:r>
      <w:r>
        <w:t xml:space="preserve"> </w:t>
      </w:r>
      <w:r w:rsidRPr="00FA0103">
        <w:t>calculate the term NZ</w:t>
      </w:r>
      <w:r w:rsidRPr="00AF4CAD">
        <w:rPr>
          <w:vertAlign w:val="subscript"/>
        </w:rPr>
        <w:t xml:space="preserve">t </w:t>
      </w:r>
      <w:r w:rsidRPr="00FA0103">
        <w:t xml:space="preserve">(the Net Zero term).  </w:t>
      </w:r>
      <w:r>
        <w:t>This</w:t>
      </w:r>
      <w:r w:rsidRPr="00FA0103">
        <w:t xml:space="preserve"> contributes to the</w:t>
      </w:r>
      <w:r>
        <w:t xml:space="preserve"> calculation of the</w:t>
      </w:r>
      <w:r w:rsidRPr="00FA0103">
        <w:t xml:space="preserve"> </w:t>
      </w:r>
      <w:r>
        <w:t>Totex Allowance.</w:t>
      </w:r>
    </w:p>
    <w:p w14:paraId="392CE95F" w14:textId="77777777" w:rsidR="004A1008" w:rsidRPr="00FA0103" w:rsidRDefault="004A1008" w:rsidP="004A1008">
      <w:pPr>
        <w:pStyle w:val="NumberedNormal"/>
      </w:pPr>
      <w:r>
        <w:t xml:space="preserve">The effect of this condition is to </w:t>
      </w:r>
      <w:r w:rsidRPr="00FA0103">
        <w:t>establish a Re-opener for the Authority to trigger amendments to the value of NZ</w:t>
      </w:r>
      <w:r w:rsidRPr="00AF4CAD">
        <w:rPr>
          <w:vertAlign w:val="subscript"/>
        </w:rPr>
        <w:t>t</w:t>
      </w:r>
      <w:r w:rsidRPr="00FA0103">
        <w:t xml:space="preserve"> or the outputs set out in the </w:t>
      </w:r>
      <w:r>
        <w:t>s</w:t>
      </w:r>
      <w:r w:rsidRPr="00FA0103">
        <w:t xml:space="preserve">pecial </w:t>
      </w:r>
      <w:r>
        <w:t>c</w:t>
      </w:r>
      <w:r w:rsidRPr="00FA0103">
        <w:t xml:space="preserve">onditions of this licence. </w:t>
      </w:r>
    </w:p>
    <w:p w14:paraId="0B01C266" w14:textId="77777777" w:rsidR="004A1008" w:rsidRPr="00FA0103" w:rsidRDefault="004A1008" w:rsidP="004A1008">
      <w:pPr>
        <w:pStyle w:val="NumberedNormal"/>
      </w:pPr>
      <w:r w:rsidRPr="00FA0103">
        <w:t xml:space="preserve">This condition also explains the process the Authority will follow when directing any changes as a result of the Re-opener. </w:t>
      </w:r>
    </w:p>
    <w:p w14:paraId="5D8B7136" w14:textId="77777777" w:rsidR="004A1008" w:rsidRPr="00FA0103" w:rsidRDefault="004A1008" w:rsidP="004A1008">
      <w:pPr>
        <w:pStyle w:val="Heading3"/>
      </w:pPr>
      <w:r w:rsidRPr="00FA0103">
        <w:t>What is the scope of this Re-opener?</w:t>
      </w:r>
    </w:p>
    <w:p w14:paraId="4982FA43" w14:textId="77777777" w:rsidR="004A1008" w:rsidRPr="00FA0103" w:rsidRDefault="004A1008" w:rsidP="004A1008">
      <w:pPr>
        <w:pStyle w:val="NumberedNormal"/>
      </w:pPr>
      <w:r w:rsidRPr="00FA0103">
        <w:t>The Authority will consider directing an adjustment to the value of the NZ</w:t>
      </w:r>
      <w:r w:rsidRPr="00AF4CAD">
        <w:rPr>
          <w:vertAlign w:val="subscript"/>
        </w:rPr>
        <w:t>t</w:t>
      </w:r>
      <w:r w:rsidRPr="00FA0103">
        <w:t xml:space="preserve"> term or the outputs set out in in the </w:t>
      </w:r>
      <w:r>
        <w:t>s</w:t>
      </w:r>
      <w:r w:rsidRPr="00FA0103">
        <w:t xml:space="preserve">pecial </w:t>
      </w:r>
      <w:r>
        <w:t>c</w:t>
      </w:r>
      <w:r w:rsidRPr="00FA0103">
        <w:t>onditions of this licence where in its view:</w:t>
      </w:r>
    </w:p>
    <w:p w14:paraId="40C7A76B" w14:textId="77777777" w:rsidR="004A1008" w:rsidRPr="00FA0103" w:rsidRDefault="004A1008" w:rsidP="004A1008">
      <w:pPr>
        <w:pStyle w:val="ListNormal"/>
      </w:pPr>
      <w:r w:rsidRPr="00FA0103">
        <w:lastRenderedPageBreak/>
        <w:t>a Net Zero Development has occurred or is expected to occur;</w:t>
      </w:r>
    </w:p>
    <w:p w14:paraId="466E8DDC" w14:textId="49CDEE2F" w:rsidR="004A1008" w:rsidRPr="00FA0103" w:rsidRDefault="004A1008" w:rsidP="004A1008">
      <w:pPr>
        <w:pStyle w:val="ListNormal"/>
      </w:pPr>
      <w:r w:rsidRPr="00FA0103">
        <w:t xml:space="preserve">the Net Zero Development has caused or is expected to cause the </w:t>
      </w:r>
      <w:r>
        <w:t>cost of License</w:t>
      </w:r>
      <w:r w:rsidR="005A6845">
        <w:t>d</w:t>
      </w:r>
      <w:r>
        <w:t xml:space="preserve"> Activity</w:t>
      </w:r>
      <w:r w:rsidRPr="00FA0103">
        <w:t xml:space="preserve"> to increase or decrease during the Price Control Period; </w:t>
      </w:r>
    </w:p>
    <w:p w14:paraId="1A451088" w14:textId="5709CA8D" w:rsidR="004A1008" w:rsidRDefault="004A1008" w:rsidP="004A1008">
      <w:pPr>
        <w:pStyle w:val="ListNormal"/>
      </w:pPr>
      <w:r w:rsidRPr="00FA0103">
        <w:t xml:space="preserve">the effect of the Net Zero Development on the </w:t>
      </w:r>
      <w:r>
        <w:t>cost of License</w:t>
      </w:r>
      <w:r w:rsidR="005A6845">
        <w:t>d</w:t>
      </w:r>
      <w:r>
        <w:t xml:space="preserve"> Activity</w:t>
      </w:r>
      <w:r w:rsidRPr="00FA0103">
        <w:t xml:space="preserve"> is not otherwise provided for in this licence</w:t>
      </w:r>
      <w:r>
        <w:t>;</w:t>
      </w:r>
    </w:p>
    <w:p w14:paraId="6698028D" w14:textId="77777777" w:rsidR="004A1008" w:rsidRPr="00FA0103" w:rsidRDefault="004A1008" w:rsidP="004A1008">
      <w:pPr>
        <w:pStyle w:val="ListNormal"/>
      </w:pPr>
      <w:r>
        <w:t>the effect of the Net Zero Development</w:t>
      </w:r>
      <w:r w:rsidRPr="00FA0103">
        <w:t xml:space="preserve"> has not already been assessed under another Re-opener; and</w:t>
      </w:r>
    </w:p>
    <w:p w14:paraId="70A6D08F" w14:textId="2DAC7737" w:rsidR="004A1008" w:rsidRPr="00FA0103" w:rsidRDefault="004A1008" w:rsidP="004A1008">
      <w:pPr>
        <w:pStyle w:val="ListNormal"/>
      </w:pPr>
      <w:r w:rsidRPr="00FA0103">
        <w:t xml:space="preserve"> the effect, or estimated effect, of the Net Zero Development on the </w:t>
      </w:r>
      <w:r>
        <w:t>cost of License</w:t>
      </w:r>
      <w:r w:rsidR="005A6845">
        <w:t>d</w:t>
      </w:r>
      <w:r>
        <w:t xml:space="preserve"> Activity</w:t>
      </w:r>
      <w:r w:rsidRPr="00FA0103">
        <w:t xml:space="preserve"> </w:t>
      </w:r>
      <w:r>
        <w:t>exceeds</w:t>
      </w:r>
      <w:r w:rsidRPr="00FA0103">
        <w:t xml:space="preserve"> the materiality threshold set out in Appendix 1.</w:t>
      </w:r>
    </w:p>
    <w:p w14:paraId="4A9BE905" w14:textId="77777777" w:rsidR="004A1008" w:rsidRPr="00FA0103" w:rsidRDefault="004A1008" w:rsidP="004A1008">
      <w:pPr>
        <w:pStyle w:val="Heading3"/>
      </w:pPr>
      <w:r w:rsidRPr="00FA0103">
        <w:t xml:space="preserve"> What process will the Authority follow in making a direction?</w:t>
      </w:r>
    </w:p>
    <w:p w14:paraId="5A475462" w14:textId="5607753E" w:rsidR="004A1008" w:rsidRPr="00FA0103" w:rsidRDefault="004A1008" w:rsidP="004A1008">
      <w:pPr>
        <w:pStyle w:val="NumberedNormal"/>
      </w:pPr>
      <w:r w:rsidRPr="00FA0103">
        <w:t xml:space="preserve">Before making a direction under paragraph </w:t>
      </w:r>
      <w:r w:rsidR="005C07FC">
        <w:t>3.</w:t>
      </w:r>
      <w:r>
        <w:t>6</w:t>
      </w:r>
      <w:r w:rsidRPr="00FA0103">
        <w:t>.</w:t>
      </w:r>
      <w:r>
        <w:t>4</w:t>
      </w:r>
      <w:r w:rsidRPr="00FA0103">
        <w:t xml:space="preserve"> the Authority will publish on the Authority's Website:</w:t>
      </w:r>
    </w:p>
    <w:p w14:paraId="7D7D1F32" w14:textId="77777777" w:rsidR="004A1008" w:rsidRPr="00FA0103" w:rsidRDefault="004A1008" w:rsidP="004A1008">
      <w:pPr>
        <w:pStyle w:val="ListNormal"/>
      </w:pPr>
      <w:r w:rsidRPr="00FA0103">
        <w:t>the text of the proposed direction;</w:t>
      </w:r>
    </w:p>
    <w:p w14:paraId="4422BB13" w14:textId="77777777" w:rsidR="004A1008" w:rsidRPr="00FA0103" w:rsidRDefault="004A1008" w:rsidP="004A1008">
      <w:pPr>
        <w:pStyle w:val="ListNormal"/>
      </w:pPr>
      <w:r w:rsidRPr="00FA0103">
        <w:t>the reasons for the proposed direction; and</w:t>
      </w:r>
    </w:p>
    <w:p w14:paraId="036F8FC3" w14:textId="77777777" w:rsidR="004A1008" w:rsidRPr="00FA0103" w:rsidRDefault="004A1008" w:rsidP="004A1008">
      <w:pPr>
        <w:pStyle w:val="ListNormal"/>
      </w:pPr>
      <w:r>
        <w:t xml:space="preserve">a period during which representations may be made on the proposed direction, which will not be less than 28 days </w:t>
      </w:r>
      <w:r w:rsidRPr="00FA0103">
        <w:t>.</w:t>
      </w:r>
    </w:p>
    <w:p w14:paraId="69EAE6BB" w14:textId="77777777" w:rsidR="004A1008" w:rsidRPr="00FA0103" w:rsidRDefault="004A1008" w:rsidP="004A1008">
      <w:pPr>
        <w:pStyle w:val="NumberedNormal"/>
      </w:pPr>
      <w:r w:rsidRPr="00FA0103">
        <w:t>The direction will set out:</w:t>
      </w:r>
    </w:p>
    <w:p w14:paraId="73A28B4B" w14:textId="77777777" w:rsidR="004A1008" w:rsidRDefault="004A1008" w:rsidP="004A1008">
      <w:pPr>
        <w:pStyle w:val="ListNormal"/>
      </w:pPr>
      <w:r w:rsidRPr="00FA0103">
        <w:t>any adjustments to the value of the NZ</w:t>
      </w:r>
      <w:r w:rsidRPr="00AF4CAD">
        <w:rPr>
          <w:vertAlign w:val="subscript"/>
        </w:rPr>
        <w:t>t</w:t>
      </w:r>
      <w:r w:rsidRPr="00FA0103">
        <w:t xml:space="preserve"> term and the Regulatory Years to which those adjustments relate</w:t>
      </w:r>
      <w:r>
        <w:t>; and</w:t>
      </w:r>
    </w:p>
    <w:p w14:paraId="3DC6A3A6" w14:textId="77777777" w:rsidR="004A1008" w:rsidRPr="00FA0103" w:rsidRDefault="004A1008" w:rsidP="004A1008">
      <w:pPr>
        <w:pStyle w:val="ListNormal"/>
      </w:pPr>
      <w:r w:rsidRPr="00FA0103">
        <w:t xml:space="preserve"> any amendments to the outputs in the </w:t>
      </w:r>
      <w:r>
        <w:t>s</w:t>
      </w:r>
      <w:r w:rsidRPr="00FA0103">
        <w:t xml:space="preserve">pecial </w:t>
      </w:r>
      <w:r>
        <w:t>c</w:t>
      </w:r>
      <w:r w:rsidRPr="00FA0103">
        <w:t>onditions of this licence</w:t>
      </w:r>
      <w:r>
        <w:t>.</w:t>
      </w:r>
    </w:p>
    <w:p w14:paraId="0880E442" w14:textId="77777777" w:rsidR="004A1008" w:rsidRPr="00DF1F66" w:rsidRDefault="004A1008" w:rsidP="004A1008">
      <w:pPr>
        <w:pStyle w:val="AppendixHeading"/>
      </w:pPr>
      <w:bookmarkStart w:id="71" w:name="_Toc51798266"/>
      <w:bookmarkEnd w:id="71"/>
    </w:p>
    <w:p w14:paraId="53C1805B" w14:textId="77777777" w:rsidR="004A1008" w:rsidRDefault="004A1008" w:rsidP="004A1008">
      <w:pPr>
        <w:pStyle w:val="Caption"/>
      </w:pPr>
      <w:r w:rsidRPr="00DF1F66">
        <w:t>Materiality threshold for Net Zero Re-opener</w:t>
      </w:r>
    </w:p>
    <w:tbl>
      <w:tblPr>
        <w:tblStyle w:val="AppendixTable"/>
        <w:tblW w:w="5000" w:type="pct"/>
        <w:tblLook w:val="04A0" w:firstRow="1" w:lastRow="0" w:firstColumn="1" w:lastColumn="0" w:noHBand="0" w:noVBand="1"/>
      </w:tblPr>
      <w:tblGrid>
        <w:gridCol w:w="4513"/>
        <w:gridCol w:w="4513"/>
      </w:tblGrid>
      <w:tr w:rsidR="004A1008" w:rsidRPr="00DE541A" w14:paraId="2DAE5D70" w14:textId="77777777" w:rsidTr="004A1008">
        <w:trPr>
          <w:cnfStyle w:val="100000000000" w:firstRow="1" w:lastRow="0" w:firstColumn="0" w:lastColumn="0" w:oddVBand="0" w:evenVBand="0" w:oddHBand="0" w:evenHBand="0" w:firstRowFirstColumn="0" w:firstRowLastColumn="0" w:lastRowFirstColumn="0" w:lastRowLastColumn="0"/>
          <w:trHeight w:val="305"/>
        </w:trPr>
        <w:tc>
          <w:tcPr>
            <w:tcW w:w="2500" w:type="pct"/>
          </w:tcPr>
          <w:p w14:paraId="41660EBB" w14:textId="77777777" w:rsidR="004A1008" w:rsidRPr="00DF1F66" w:rsidRDefault="004A1008" w:rsidP="004A1008">
            <w:r w:rsidRPr="00DE541A">
              <w:t>Licensee</w:t>
            </w:r>
          </w:p>
        </w:tc>
        <w:tc>
          <w:tcPr>
            <w:tcW w:w="2500" w:type="pct"/>
          </w:tcPr>
          <w:p w14:paraId="034FF673" w14:textId="77777777" w:rsidR="004A1008" w:rsidRPr="00DF1F66" w:rsidRDefault="004A1008" w:rsidP="004A1008">
            <w:r>
              <w:t>M</w:t>
            </w:r>
            <w:r w:rsidRPr="00DF1F66">
              <w:t>ateriality threshold</w:t>
            </w:r>
          </w:p>
        </w:tc>
      </w:tr>
      <w:tr w:rsidR="004A1008" w:rsidRPr="00D5104D" w14:paraId="6B58A9F6" w14:textId="77777777" w:rsidTr="004A1008">
        <w:trPr>
          <w:trHeight w:val="321"/>
        </w:trPr>
        <w:tc>
          <w:tcPr>
            <w:tcW w:w="2500" w:type="pct"/>
          </w:tcPr>
          <w:p w14:paraId="15436C5B" w14:textId="77777777" w:rsidR="004A1008" w:rsidRPr="00DF1F66" w:rsidRDefault="004A1008" w:rsidP="004A1008">
            <w:r>
              <w:t>[Licensee]</w:t>
            </w:r>
          </w:p>
        </w:tc>
        <w:tc>
          <w:tcPr>
            <w:tcW w:w="2500" w:type="pct"/>
          </w:tcPr>
          <w:p w14:paraId="56A0A14B" w14:textId="77777777" w:rsidR="004A1008" w:rsidRPr="00DF1F66" w:rsidRDefault="004A1008" w:rsidP="004A1008">
            <w:r>
              <w:t>[</w:t>
            </w:r>
            <w:r w:rsidRPr="00DF1F66">
              <w:t>1% of annual average base revenues]</w:t>
            </w:r>
          </w:p>
        </w:tc>
      </w:tr>
      <w:tr w:rsidR="004A1008" w:rsidRPr="00D5104D" w14:paraId="7BCC8AFA" w14:textId="77777777" w:rsidTr="004A1008">
        <w:trPr>
          <w:trHeight w:val="321"/>
        </w:trPr>
        <w:tc>
          <w:tcPr>
            <w:tcW w:w="2500" w:type="pct"/>
          </w:tcPr>
          <w:p w14:paraId="437D3BE7" w14:textId="77777777" w:rsidR="004A1008" w:rsidRDefault="004A1008" w:rsidP="004A1008"/>
        </w:tc>
        <w:tc>
          <w:tcPr>
            <w:tcW w:w="2500" w:type="pct"/>
          </w:tcPr>
          <w:p w14:paraId="366FD85F" w14:textId="77777777" w:rsidR="004A1008" w:rsidRPr="00D5104D" w:rsidRDefault="004A1008" w:rsidP="004A1008"/>
        </w:tc>
      </w:tr>
      <w:tr w:rsidR="004A1008" w:rsidRPr="00D5104D" w14:paraId="08291A2F" w14:textId="77777777" w:rsidTr="004A1008">
        <w:trPr>
          <w:trHeight w:val="321"/>
        </w:trPr>
        <w:tc>
          <w:tcPr>
            <w:tcW w:w="2500" w:type="pct"/>
          </w:tcPr>
          <w:p w14:paraId="70FC8A2F" w14:textId="77777777" w:rsidR="004A1008" w:rsidRPr="00D5104D" w:rsidRDefault="004A1008" w:rsidP="004A1008"/>
        </w:tc>
        <w:tc>
          <w:tcPr>
            <w:tcW w:w="2500" w:type="pct"/>
          </w:tcPr>
          <w:p w14:paraId="234E2689" w14:textId="77777777" w:rsidR="004A1008" w:rsidRPr="00D5104D" w:rsidRDefault="004A1008" w:rsidP="004A1008"/>
        </w:tc>
      </w:tr>
    </w:tbl>
    <w:p w14:paraId="3B2189DC" w14:textId="77777777" w:rsidR="004A1008" w:rsidRDefault="004A1008" w:rsidP="004A1008">
      <w:pPr>
        <w:pStyle w:val="Heading2"/>
        <w:numPr>
          <w:ilvl w:val="1"/>
          <w:numId w:val="7"/>
        </w:numPr>
      </w:pPr>
      <w:bookmarkStart w:id="72" w:name="_Toc51783641"/>
      <w:bookmarkStart w:id="73" w:name="_Toc52364541"/>
      <w:r>
        <w:t>Coordinated Adjustment Mechanism Re-opener (CAMt)</w:t>
      </w:r>
      <w:bookmarkEnd w:id="72"/>
      <w:bookmarkEnd w:id="73"/>
    </w:p>
    <w:p w14:paraId="10B27DE3" w14:textId="77777777" w:rsidR="004A1008" w:rsidRPr="000F5669" w:rsidRDefault="004A1008" w:rsidP="004A1008">
      <w:pPr>
        <w:pStyle w:val="Heading3nonumbering"/>
      </w:pPr>
      <w:r w:rsidRPr="000F5669">
        <w:t xml:space="preserve">Introduction </w:t>
      </w:r>
    </w:p>
    <w:p w14:paraId="2A943373" w14:textId="77777777" w:rsidR="004A1008" w:rsidRPr="000F5669" w:rsidRDefault="004A1008" w:rsidP="004A1008">
      <w:pPr>
        <w:pStyle w:val="NumberedNormal"/>
        <w:numPr>
          <w:ilvl w:val="2"/>
          <w:numId w:val="7"/>
        </w:numPr>
      </w:pPr>
      <w:r>
        <w:t xml:space="preserve">The purpose of this condition is to calculate the term CAMt (the Coordinated Adjustment Mechanism term). This contributes to the calculation of the Totex Allowance. </w:t>
      </w:r>
    </w:p>
    <w:p w14:paraId="12868F48" w14:textId="24304FBD" w:rsidR="004A1008" w:rsidRPr="000F5669" w:rsidRDefault="004A1008" w:rsidP="004A1008">
      <w:pPr>
        <w:pStyle w:val="NumberedNormal"/>
        <w:numPr>
          <w:ilvl w:val="2"/>
          <w:numId w:val="7"/>
        </w:numPr>
      </w:pPr>
      <w:r>
        <w:t xml:space="preserve">The effect of this condition is to establish a Re-opener triggered by the licensee where a more cost-effective opportunity has been identified to reallocate </w:t>
      </w:r>
      <w:r>
        <w:lastRenderedPageBreak/>
        <w:t xml:space="preserve">responsibility for, and </w:t>
      </w:r>
      <w:r w:rsidR="00817D2A">
        <w:t xml:space="preserve">revenue </w:t>
      </w:r>
      <w:r>
        <w:t>associated with, a CAM Activity to or from a Partner Licensee.</w:t>
      </w:r>
    </w:p>
    <w:p w14:paraId="4F338217" w14:textId="77777777" w:rsidR="004A1008" w:rsidRPr="000F5669" w:rsidRDefault="004A1008" w:rsidP="004A1008">
      <w:pPr>
        <w:pStyle w:val="NumberedNormal"/>
        <w:numPr>
          <w:ilvl w:val="2"/>
          <w:numId w:val="7"/>
        </w:numPr>
      </w:pPr>
      <w:r>
        <w:t xml:space="preserve">This condition also explains the process the Authority will follow when directing any changes as a result of the Re-opener. </w:t>
      </w:r>
    </w:p>
    <w:p w14:paraId="06128A65" w14:textId="77777777" w:rsidR="004A1008" w:rsidRPr="000F5669" w:rsidRDefault="004A1008" w:rsidP="004A1008">
      <w:pPr>
        <w:pStyle w:val="Heading3"/>
        <w:numPr>
          <w:ilvl w:val="5"/>
          <w:numId w:val="7"/>
        </w:numPr>
      </w:pPr>
      <w:r>
        <w:t>What costs are within scope of this Re-opener?</w:t>
      </w:r>
    </w:p>
    <w:p w14:paraId="1053F699" w14:textId="77777777" w:rsidR="004A1008" w:rsidRPr="000F5669" w:rsidRDefault="004A1008" w:rsidP="004A1008">
      <w:pPr>
        <w:pStyle w:val="NumberedNormal"/>
        <w:numPr>
          <w:ilvl w:val="2"/>
          <w:numId w:val="7"/>
        </w:numPr>
      </w:pPr>
      <w:r>
        <w:t xml:space="preserve">The licensee may apply to the Authority for a direction adjusting the value of the CAMt term and the outputs, delivery dates and allowances within [the relevant outputs condition] for any Regulatory Year during the Price Control Period as a result of reaching agreement to reallocate responsibility and associated revenue for a CAM Activity to or from a Partner Licensee. </w:t>
      </w:r>
    </w:p>
    <w:p w14:paraId="0027FE03" w14:textId="77777777" w:rsidR="004A1008" w:rsidRPr="000F5669" w:rsidRDefault="004A1008" w:rsidP="004A1008">
      <w:pPr>
        <w:pStyle w:val="Heading3"/>
        <w:numPr>
          <w:ilvl w:val="5"/>
          <w:numId w:val="7"/>
        </w:numPr>
      </w:pPr>
      <w:r>
        <w:t>When to make an application</w:t>
      </w:r>
    </w:p>
    <w:p w14:paraId="194875EF" w14:textId="142CAD49" w:rsidR="004A1008" w:rsidRPr="000F5669" w:rsidRDefault="004A1008" w:rsidP="004A1008">
      <w:pPr>
        <w:pStyle w:val="NumberedNormal"/>
        <w:numPr>
          <w:ilvl w:val="2"/>
          <w:numId w:val="7"/>
        </w:numPr>
      </w:pPr>
      <w:r>
        <w:t>The licensee may only apply to the Authority for an adjustment under paragr</w:t>
      </w:r>
      <w:r w:rsidR="005C07FC">
        <w:t>aph 3.</w:t>
      </w:r>
      <w:r>
        <w:t xml:space="preserve">7.4 : </w:t>
      </w:r>
    </w:p>
    <w:p w14:paraId="0BE11830" w14:textId="669B1AC5" w:rsidR="004A1008" w:rsidRPr="000F5669" w:rsidRDefault="00FB7135" w:rsidP="004A1008">
      <w:pPr>
        <w:pStyle w:val="ListNormal"/>
        <w:numPr>
          <w:ilvl w:val="3"/>
          <w:numId w:val="7"/>
        </w:numPr>
      </w:pPr>
      <w:r>
        <w:t>[Between</w:t>
      </w:r>
      <w:r w:rsidR="004A1008">
        <w:t xml:space="preserve"> 23 May 2022 and 29 May 2022</w:t>
      </w:r>
      <w:r>
        <w:t>]</w:t>
      </w:r>
      <w:r w:rsidR="004A1008">
        <w:t xml:space="preserve">; </w:t>
      </w:r>
    </w:p>
    <w:p w14:paraId="55699A6C" w14:textId="77777777" w:rsidR="004A1008" w:rsidRPr="000F5669" w:rsidRDefault="004A1008" w:rsidP="004A1008">
      <w:pPr>
        <w:pStyle w:val="ListNormal"/>
        <w:numPr>
          <w:ilvl w:val="3"/>
          <w:numId w:val="7"/>
        </w:numPr>
      </w:pPr>
      <w:r>
        <w:t>[Between 20 May 2024 and 26 May 2024]; and</w:t>
      </w:r>
    </w:p>
    <w:p w14:paraId="4F55FAFB" w14:textId="77777777" w:rsidR="004A1008" w:rsidRPr="000F5669" w:rsidRDefault="004A1008" w:rsidP="004A1008">
      <w:pPr>
        <w:pStyle w:val="ListNormal"/>
        <w:numPr>
          <w:ilvl w:val="3"/>
          <w:numId w:val="7"/>
        </w:numPr>
      </w:pPr>
      <w:r>
        <w:t xml:space="preserve">during such other periods as the Authority may direct. </w:t>
      </w:r>
    </w:p>
    <w:p w14:paraId="308A41C1" w14:textId="77777777" w:rsidR="004A1008" w:rsidRPr="000F5669" w:rsidRDefault="004A1008" w:rsidP="004A1008">
      <w:pPr>
        <w:pStyle w:val="Heading3"/>
        <w:numPr>
          <w:ilvl w:val="5"/>
          <w:numId w:val="7"/>
        </w:numPr>
      </w:pPr>
      <w:r>
        <w:t>How to make an application</w:t>
      </w:r>
    </w:p>
    <w:p w14:paraId="43096965" w14:textId="5EC76644" w:rsidR="004A1008" w:rsidRPr="000F5669" w:rsidRDefault="004A1008" w:rsidP="004A1008">
      <w:pPr>
        <w:pStyle w:val="NumberedNormal"/>
        <w:numPr>
          <w:ilvl w:val="2"/>
          <w:numId w:val="7"/>
        </w:numPr>
      </w:pPr>
      <w:r>
        <w:t>An</w:t>
      </w:r>
      <w:r w:rsidR="005C07FC">
        <w:t xml:space="preserve"> application under paragraph 3.</w:t>
      </w:r>
      <w:r>
        <w:t>7.4 must be made in writing to the Authority and:</w:t>
      </w:r>
    </w:p>
    <w:p w14:paraId="5B1D3130" w14:textId="77777777" w:rsidR="004A1008" w:rsidRPr="000F5669" w:rsidRDefault="004A1008" w:rsidP="004A1008">
      <w:pPr>
        <w:pStyle w:val="ListNormal"/>
        <w:numPr>
          <w:ilvl w:val="3"/>
          <w:numId w:val="7"/>
        </w:numPr>
      </w:pPr>
      <w:r>
        <w:t>give a description of the engagement between the licensee and the Partner Licensee which has led to the application;</w:t>
      </w:r>
    </w:p>
    <w:p w14:paraId="09F4F50D" w14:textId="77777777" w:rsidR="004A1008" w:rsidRPr="000F5669" w:rsidRDefault="004A1008" w:rsidP="004A1008">
      <w:pPr>
        <w:pStyle w:val="ListNormal"/>
        <w:numPr>
          <w:ilvl w:val="3"/>
          <w:numId w:val="7"/>
        </w:numPr>
      </w:pPr>
      <w:r>
        <w:t>explain whether the licensee is applying to have the CAM Activity reallocated to them, or from them to a Partner Licensee;</w:t>
      </w:r>
    </w:p>
    <w:p w14:paraId="1569BBCE" w14:textId="406642C3" w:rsidR="004A1008" w:rsidRPr="000F5669" w:rsidRDefault="004A1008" w:rsidP="004A1008">
      <w:pPr>
        <w:pStyle w:val="ListNormal"/>
        <w:numPr>
          <w:ilvl w:val="3"/>
          <w:numId w:val="7"/>
        </w:numPr>
      </w:pPr>
      <w:r>
        <w:t xml:space="preserve">explain why the original </w:t>
      </w:r>
      <w:r w:rsidR="00890411">
        <w:t>allocation</w:t>
      </w:r>
      <w:r>
        <w:t xml:space="preserve"> of the CAM Activity is no longer the most cost-effective, and why the reallocation is more cost-effective; </w:t>
      </w:r>
    </w:p>
    <w:p w14:paraId="14569DA3" w14:textId="77777777" w:rsidR="004A1008" w:rsidRPr="000F5669" w:rsidRDefault="004A1008" w:rsidP="004A1008">
      <w:pPr>
        <w:pStyle w:val="ListNormal"/>
        <w:numPr>
          <w:ilvl w:val="3"/>
          <w:numId w:val="7"/>
        </w:numPr>
      </w:pPr>
      <w:r>
        <w:t xml:space="preserve">give a description of the CAM Activity and associated revenue that the licensee is requesting to reallocate; </w:t>
      </w:r>
    </w:p>
    <w:p w14:paraId="59EA3AD9" w14:textId="77777777" w:rsidR="004A1008" w:rsidRPr="000F5669" w:rsidRDefault="004A1008" w:rsidP="004A1008">
      <w:pPr>
        <w:pStyle w:val="ListNormal"/>
        <w:numPr>
          <w:ilvl w:val="3"/>
          <w:numId w:val="7"/>
        </w:numPr>
      </w:pPr>
      <w:r>
        <w:t>set out any amendments requested to the outputs, delivery dates or allowances in [the relevant outputs condition] of this licence and that of the Partner Licensee;</w:t>
      </w:r>
    </w:p>
    <w:p w14:paraId="09E07F5C" w14:textId="77777777" w:rsidR="004A1008" w:rsidRPr="000F5669" w:rsidRDefault="004A1008" w:rsidP="004A1008">
      <w:pPr>
        <w:pStyle w:val="ListNormal"/>
        <w:numPr>
          <w:ilvl w:val="3"/>
          <w:numId w:val="7"/>
        </w:numPr>
      </w:pPr>
      <w:r>
        <w:t xml:space="preserve">set out the adjustments to the value of the CAMt term for both the licensee and the Partner Licensee that the licensee is requesting and the Regulatory Years to which those adjustments relate; </w:t>
      </w:r>
    </w:p>
    <w:p w14:paraId="0482AED0" w14:textId="77777777" w:rsidR="004A1008" w:rsidRPr="000F5669" w:rsidRDefault="004A1008" w:rsidP="004A1008">
      <w:pPr>
        <w:pStyle w:val="ListNormal"/>
        <w:numPr>
          <w:ilvl w:val="3"/>
          <w:numId w:val="7"/>
        </w:numPr>
      </w:pPr>
      <w:r>
        <w:t>explain the basis of the calculation for the proposed adjustments to the value of the licensee and the Partner Licensee's CAMt terms or other allowances;</w:t>
      </w:r>
    </w:p>
    <w:p w14:paraId="2479127E" w14:textId="77777777" w:rsidR="004A1008" w:rsidRPr="000F5669" w:rsidRDefault="004A1008" w:rsidP="004A1008">
      <w:pPr>
        <w:pStyle w:val="ListNormal"/>
        <w:numPr>
          <w:ilvl w:val="3"/>
          <w:numId w:val="7"/>
        </w:numPr>
      </w:pPr>
      <w:r>
        <w:t>provide such detailed supporting evidence including cost benefit analysis, impact assessments, risk mitigation, and engineering justification statements as is reasonable in the circumstances; and</w:t>
      </w:r>
    </w:p>
    <w:p w14:paraId="53C736B3" w14:textId="3B692C76" w:rsidR="004A1008" w:rsidRPr="000F5669" w:rsidRDefault="004A1008" w:rsidP="004A1008">
      <w:pPr>
        <w:pStyle w:val="ListNormal"/>
        <w:numPr>
          <w:ilvl w:val="3"/>
          <w:numId w:val="7"/>
        </w:numPr>
      </w:pPr>
      <w:r>
        <w:lastRenderedPageBreak/>
        <w:t xml:space="preserve">provide a copy of the agreement between the licensee and the Partner Licensee to transfer responsibility for and associated revenue of a CAM Activity, including </w:t>
      </w:r>
      <w:r w:rsidR="00817D2A">
        <w:t>a</w:t>
      </w:r>
      <w:r>
        <w:t xml:space="preserve">ssurance from the licensee and the Partner Licensee. </w:t>
      </w:r>
    </w:p>
    <w:p w14:paraId="1C8A6372" w14:textId="77777777" w:rsidR="004A1008" w:rsidRPr="000F5669" w:rsidRDefault="004A1008" w:rsidP="004A1008">
      <w:pPr>
        <w:pStyle w:val="NumberedNormal"/>
        <w:numPr>
          <w:ilvl w:val="2"/>
          <w:numId w:val="7"/>
        </w:numPr>
      </w:pPr>
      <w:r>
        <w:t>An application under paragraph XX.4 must:</w:t>
      </w:r>
    </w:p>
    <w:p w14:paraId="0415CDE8" w14:textId="5E16CB78" w:rsidR="004A1008" w:rsidRPr="000F5669" w:rsidRDefault="004A1008" w:rsidP="004A1008">
      <w:pPr>
        <w:pStyle w:val="ListNormal"/>
        <w:numPr>
          <w:ilvl w:val="3"/>
          <w:numId w:val="7"/>
        </w:numPr>
      </w:pPr>
      <w:r>
        <w:t>take account of any allowed expenditure by both the licensee and the Partner Licensee, which can be avoided as a result of the change;</w:t>
      </w:r>
      <w:r w:rsidR="00890411">
        <w:t xml:space="preserve"> and</w:t>
      </w:r>
    </w:p>
    <w:p w14:paraId="5388E751" w14:textId="77777777" w:rsidR="004A1008" w:rsidRPr="000F5669" w:rsidRDefault="004A1008" w:rsidP="004A1008">
      <w:pPr>
        <w:pStyle w:val="ListNormal"/>
        <w:numPr>
          <w:ilvl w:val="3"/>
          <w:numId w:val="7"/>
        </w:numPr>
      </w:pPr>
      <w:r>
        <w:t>be confined to costs incurred or expected to be incurred on or after 1 April 2021.</w:t>
      </w:r>
    </w:p>
    <w:p w14:paraId="461EE472" w14:textId="77777777" w:rsidR="004A1008" w:rsidRPr="000F5669" w:rsidRDefault="004A1008" w:rsidP="004A1008">
      <w:pPr>
        <w:pStyle w:val="Heading3"/>
        <w:numPr>
          <w:ilvl w:val="5"/>
          <w:numId w:val="7"/>
        </w:numPr>
      </w:pPr>
      <w:r>
        <w:t>What process will the Authority follow in making a direction?</w:t>
      </w:r>
    </w:p>
    <w:p w14:paraId="2A2EB0F9" w14:textId="77777777" w:rsidR="004A1008" w:rsidRPr="000F5669" w:rsidRDefault="004A1008" w:rsidP="004A1008">
      <w:pPr>
        <w:pStyle w:val="NumberedNormal"/>
        <w:numPr>
          <w:ilvl w:val="2"/>
          <w:numId w:val="7"/>
        </w:numPr>
      </w:pPr>
      <w:r>
        <w:t>Before making a direction under 3.17.4 the Authority will publish on the Authority's Website:</w:t>
      </w:r>
    </w:p>
    <w:p w14:paraId="5C4805D7" w14:textId="77777777" w:rsidR="004A1008" w:rsidRPr="000F5669" w:rsidRDefault="004A1008" w:rsidP="004A1008">
      <w:pPr>
        <w:pStyle w:val="ListNormal"/>
        <w:numPr>
          <w:ilvl w:val="3"/>
          <w:numId w:val="7"/>
        </w:numPr>
      </w:pPr>
      <w:r>
        <w:t>the text of the proposed direction;</w:t>
      </w:r>
    </w:p>
    <w:p w14:paraId="5214EA96" w14:textId="28BABAF2" w:rsidR="004A1008" w:rsidRPr="000F5669" w:rsidRDefault="004A1008" w:rsidP="004A1008">
      <w:pPr>
        <w:pStyle w:val="ListNormal"/>
        <w:numPr>
          <w:ilvl w:val="3"/>
          <w:numId w:val="7"/>
        </w:numPr>
      </w:pPr>
      <w:r>
        <w:t>the reasons for the proposed direction;</w:t>
      </w:r>
      <w:r w:rsidR="00890411">
        <w:t xml:space="preserve"> and</w:t>
      </w:r>
    </w:p>
    <w:p w14:paraId="07786266" w14:textId="77777777" w:rsidR="004A1008" w:rsidRPr="000F5669" w:rsidRDefault="004A1008" w:rsidP="004A1008">
      <w:pPr>
        <w:pStyle w:val="ListNormal"/>
        <w:numPr>
          <w:ilvl w:val="3"/>
          <w:numId w:val="7"/>
        </w:numPr>
      </w:pPr>
      <w:r>
        <w:t>a period during which representations may be made on the proposed direction, which will not be less than 28 days.</w:t>
      </w:r>
    </w:p>
    <w:p w14:paraId="306397BB" w14:textId="77777777" w:rsidR="004A1008" w:rsidRPr="000F5669" w:rsidRDefault="004A1008" w:rsidP="004A1008">
      <w:pPr>
        <w:pStyle w:val="NumberedNormal"/>
        <w:numPr>
          <w:ilvl w:val="2"/>
          <w:numId w:val="7"/>
        </w:numPr>
      </w:pPr>
      <w:r>
        <w:t>The direction will set out:</w:t>
      </w:r>
    </w:p>
    <w:p w14:paraId="77C0AF01" w14:textId="77777777" w:rsidR="004A1008" w:rsidRPr="000F5669" w:rsidRDefault="004A1008" w:rsidP="004A1008">
      <w:pPr>
        <w:pStyle w:val="ListNormal"/>
        <w:numPr>
          <w:ilvl w:val="3"/>
          <w:numId w:val="7"/>
        </w:numPr>
      </w:pPr>
      <w:r>
        <w:t>any amendments to [the relevant outputs condition]; and</w:t>
      </w:r>
    </w:p>
    <w:p w14:paraId="3606C3E8" w14:textId="77777777" w:rsidR="004A1008" w:rsidRPr="00D32B52" w:rsidRDefault="004A1008" w:rsidP="004A1008">
      <w:pPr>
        <w:pStyle w:val="ListNormal"/>
        <w:numPr>
          <w:ilvl w:val="3"/>
          <w:numId w:val="7"/>
        </w:numPr>
      </w:pPr>
      <w:r>
        <w:t>any adjustments to the value of the CAM</w:t>
      </w:r>
      <w:r w:rsidRPr="004B52CE">
        <w:rPr>
          <w:vertAlign w:val="subscript"/>
        </w:rPr>
        <w:t>t</w:t>
      </w:r>
      <w:r>
        <w:t xml:space="preserve"> terms of the licensee and the Partner Licensee and the Regulatory Years to which those adjustments relate.</w:t>
      </w:r>
    </w:p>
    <w:p w14:paraId="366CA1B7" w14:textId="77777777" w:rsidR="004A1008" w:rsidRPr="004D17F4" w:rsidRDefault="004A1008" w:rsidP="004A1008">
      <w:pPr>
        <w:pStyle w:val="Heading2"/>
        <w:numPr>
          <w:ilvl w:val="1"/>
          <w:numId w:val="7"/>
        </w:numPr>
      </w:pPr>
      <w:bookmarkStart w:id="74" w:name="_Toc51783660"/>
      <w:bookmarkStart w:id="75" w:name="_Toc52364542"/>
      <w:r>
        <w:t>Vulnerability and Carbon Monoxide Allowance (VCM</w:t>
      </w:r>
      <w:r w:rsidRPr="4A26DA62">
        <w:rPr>
          <w:vertAlign w:val="subscript"/>
        </w:rPr>
        <w:t>t</w:t>
      </w:r>
      <w:r>
        <w:t>)</w:t>
      </w:r>
      <w:bookmarkEnd w:id="74"/>
      <w:bookmarkEnd w:id="75"/>
    </w:p>
    <w:p w14:paraId="0084C160" w14:textId="77777777" w:rsidR="004A1008" w:rsidRPr="004D17F4" w:rsidRDefault="004A1008" w:rsidP="004A1008">
      <w:pPr>
        <w:pStyle w:val="Heading3nonumbering"/>
      </w:pPr>
      <w:r w:rsidRPr="004D17F4">
        <w:t>Introduction</w:t>
      </w:r>
    </w:p>
    <w:p w14:paraId="7FFB35D2" w14:textId="77777777" w:rsidR="004A1008" w:rsidRPr="004D17F4" w:rsidRDefault="004A1008" w:rsidP="004A1008">
      <w:pPr>
        <w:pStyle w:val="NumberedNormal"/>
        <w:numPr>
          <w:ilvl w:val="2"/>
          <w:numId w:val="7"/>
        </w:numPr>
      </w:pPr>
      <w:r>
        <w:t>The purpose of this condition is to calculate the term VCM</w:t>
      </w:r>
      <w:r w:rsidRPr="00C74677">
        <w:rPr>
          <w:vertAlign w:val="subscript"/>
        </w:rPr>
        <w:t>t</w:t>
      </w:r>
      <w:r>
        <w:t>. VCMt contributes to the calculation of the Totex Allowance.</w:t>
      </w:r>
    </w:p>
    <w:p w14:paraId="40DF3064" w14:textId="77777777" w:rsidR="00007E0B" w:rsidRDefault="004A1008" w:rsidP="004A1008">
      <w:pPr>
        <w:pStyle w:val="NumberedNormal"/>
        <w:numPr>
          <w:ilvl w:val="2"/>
          <w:numId w:val="7"/>
        </w:numPr>
      </w:pPr>
      <w:r>
        <w:t xml:space="preserve">This condition also makes appropriate provision for the regulation, administration and governance of the </w:t>
      </w:r>
    </w:p>
    <w:p w14:paraId="634CB119" w14:textId="65E943E9" w:rsidR="004A1008" w:rsidRPr="004D17F4" w:rsidRDefault="004A1008" w:rsidP="004A1008">
      <w:pPr>
        <w:pStyle w:val="NumberedNormal"/>
        <w:numPr>
          <w:ilvl w:val="2"/>
          <w:numId w:val="7"/>
        </w:numPr>
      </w:pPr>
      <w:r>
        <w:t xml:space="preserve">lity and Carbon Monoxide Allowance. </w:t>
      </w:r>
    </w:p>
    <w:p w14:paraId="1033028C" w14:textId="77777777" w:rsidR="004A1008" w:rsidRPr="004D17F4" w:rsidRDefault="004A1008" w:rsidP="004A1008">
      <w:pPr>
        <w:pStyle w:val="Heading3"/>
        <w:numPr>
          <w:ilvl w:val="5"/>
          <w:numId w:val="7"/>
        </w:numPr>
      </w:pPr>
      <w:r>
        <w:t>Formula for calculating the Vulnerability and Carbon Monoxide Allowance</w:t>
      </w:r>
    </w:p>
    <w:p w14:paraId="0FF56F02" w14:textId="77777777" w:rsidR="004A1008" w:rsidRPr="004D17F4" w:rsidRDefault="004A1008" w:rsidP="004A1008">
      <w:pPr>
        <w:pStyle w:val="NumberedNormal"/>
        <w:numPr>
          <w:ilvl w:val="2"/>
          <w:numId w:val="7"/>
        </w:numPr>
      </w:pPr>
      <w:r>
        <w:t>The value of VCMt is derived in accordance with the following formula:</w:t>
      </w:r>
    </w:p>
    <w:p w14:paraId="55B05167" w14:textId="77777777" w:rsidR="004A1008" w:rsidRPr="00FF5F5A" w:rsidRDefault="008C7681" w:rsidP="004A1008">
      <w:pPr>
        <w:pStyle w:val="Equation"/>
        <w:rPr>
          <w:i/>
        </w:rPr>
      </w:pPr>
      <m:oMathPara>
        <m:oMath>
          <m:sSub>
            <m:sSubPr>
              <m:ctrlPr>
                <w:rPr>
                  <w:rFonts w:ascii="Cambria Math" w:hAnsi="Cambria Math"/>
                  <w:i/>
                </w:rPr>
              </m:ctrlPr>
            </m:sSubPr>
            <m:e>
              <m:r>
                <w:rPr>
                  <w:rFonts w:ascii="Cambria Math" w:hAnsi="Cambria Math"/>
                </w:rPr>
                <m:t>VCM</m:t>
              </m:r>
            </m:e>
            <m:sub>
              <m:r>
                <w:rPr>
                  <w:rFonts w:ascii="Cambria Math" w:hAnsi="Cambria Math"/>
                </w:rPr>
                <m:t>t</m:t>
              </m:r>
            </m:sub>
          </m:sSub>
          <m:r>
            <w:rPr>
              <w:rFonts w:ascii="Cambria Math" w:hAnsi="Cambria Math"/>
            </w:rPr>
            <m:t>=</m:t>
          </m:r>
          <m:r>
            <m:rPr>
              <m:nor/>
            </m:rPr>
            <w:rPr>
              <w:rFonts w:ascii="Cambria Math" w:hAnsi="Cambria Math"/>
            </w:rPr>
            <m:t>max</m:t>
          </m:r>
          <m:r>
            <w:rPr>
              <w:rFonts w:ascii="Cambria Math" w:hAnsi="Cambria Math"/>
            </w:rPr>
            <m:t>⁡</m:t>
          </m:r>
          <m:d>
            <m:dPr>
              <m:begChr m:val="["/>
              <m:endChr m:val="]"/>
              <m:ctrlPr>
                <w:rPr>
                  <w:rFonts w:ascii="Cambria Math" w:hAnsi="Cambria Math"/>
                  <w:i/>
                </w:rPr>
              </m:ctrlPr>
            </m:dPr>
            <m:e>
              <m:func>
                <m:funcPr>
                  <m:ctrlPr>
                    <w:rPr>
                      <w:rFonts w:ascii="Cambria Math" w:hAnsi="Cambria Math"/>
                      <w:i/>
                    </w:rPr>
                  </m:ctrlPr>
                </m:funcPr>
                <m:fName>
                  <m:r>
                    <m:rPr>
                      <m:nor/>
                    </m:rPr>
                    <w:rPr>
                      <w:rFonts w:ascii="Cambria Math" w:hAnsi="Cambria Math"/>
                    </w:rPr>
                    <m:t>min</m:t>
                  </m:r>
                </m:fName>
                <m:e>
                  <m:d>
                    <m:dPr>
                      <m:ctrlPr>
                        <w:rPr>
                          <w:rFonts w:ascii="Cambria Math" w:hAnsi="Cambria Math"/>
                          <w:i/>
                        </w:rPr>
                      </m:ctrlPr>
                    </m:dPr>
                    <m:e>
                      <m:sSub>
                        <m:sSubPr>
                          <m:ctrlPr>
                            <w:rPr>
                              <w:rFonts w:ascii="Cambria Math" w:hAnsi="Cambria Math"/>
                              <w:i/>
                            </w:rPr>
                          </m:ctrlPr>
                        </m:sSubPr>
                        <m:e>
                          <m:r>
                            <w:rPr>
                              <w:rFonts w:ascii="Cambria Math" w:hAnsi="Cambria Math"/>
                            </w:rPr>
                            <m:t>VCMA</m:t>
                          </m:r>
                        </m:e>
                        <m:sub>
                          <m:r>
                            <w:rPr>
                              <w:rFonts w:ascii="Cambria Math" w:hAnsi="Cambria Math"/>
                            </w:rPr>
                            <m:t>t</m:t>
                          </m:r>
                        </m:sub>
                      </m:sSub>
                      <m:r>
                        <w:rPr>
                          <w:rFonts w:ascii="Cambria Math" w:hAnsi="Cambria Math"/>
                        </w:rPr>
                        <m:t xml:space="preserve">, VCMC- </m:t>
                      </m:r>
                      <m:nary>
                        <m:naryPr>
                          <m:chr m:val="∑"/>
                          <m:limLoc m:val="undOvr"/>
                          <m:ctrlPr>
                            <w:rPr>
                              <w:rFonts w:ascii="Cambria Math" w:hAnsi="Cambria Math"/>
                              <w:i/>
                            </w:rPr>
                          </m:ctrlPr>
                        </m:naryPr>
                        <m:sub>
                          <m:r>
                            <w:rPr>
                              <w:rFonts w:ascii="Cambria Math" w:hAnsi="Cambria Math"/>
                            </w:rPr>
                            <m:t>k=</m:t>
                          </m:r>
                          <m:f>
                            <m:fPr>
                              <m:ctrlPr>
                                <w:rPr>
                                  <w:rFonts w:ascii="Cambria Math" w:hAnsi="Cambria Math"/>
                                  <w:i/>
                                </w:rPr>
                              </m:ctrlPr>
                            </m:fPr>
                            <m:num>
                              <m:r>
                                <w:rPr>
                                  <w:rFonts w:ascii="Cambria Math" w:hAnsi="Cambria Math"/>
                                </w:rPr>
                                <m:t>2021</m:t>
                              </m:r>
                            </m:num>
                            <m:den>
                              <m:r>
                                <w:rPr>
                                  <w:rFonts w:ascii="Cambria Math" w:hAnsi="Cambria Math"/>
                                </w:rPr>
                                <m:t>22</m:t>
                              </m:r>
                            </m:den>
                          </m:f>
                        </m:sub>
                        <m:sup>
                          <m:r>
                            <w:rPr>
                              <w:rFonts w:ascii="Cambria Math" w:hAnsi="Cambria Math"/>
                            </w:rPr>
                            <m:t xml:space="preserve"> t-1</m:t>
                          </m:r>
                        </m:sup>
                        <m:e>
                          <m:sSub>
                            <m:sSubPr>
                              <m:ctrlPr>
                                <w:rPr>
                                  <w:rFonts w:ascii="Cambria Math" w:hAnsi="Cambria Math"/>
                                  <w:i/>
                                </w:rPr>
                              </m:ctrlPr>
                            </m:sSubPr>
                            <m:e>
                              <m:r>
                                <w:rPr>
                                  <w:rFonts w:ascii="Cambria Math" w:hAnsi="Cambria Math"/>
                                </w:rPr>
                                <m:t>VCMA</m:t>
                              </m:r>
                            </m:e>
                            <m:sub>
                              <m:r>
                                <w:rPr>
                                  <w:rFonts w:ascii="Cambria Math" w:hAnsi="Cambria Math"/>
                                </w:rPr>
                                <m:t>k</m:t>
                              </m:r>
                            </m:sub>
                          </m:sSub>
                        </m:e>
                      </m:nary>
                    </m:e>
                  </m:d>
                </m:e>
              </m:func>
              <m:r>
                <w:rPr>
                  <w:rFonts w:ascii="Cambria Math" w:hAnsi="Cambria Math"/>
                </w:rPr>
                <m:t>, 0</m:t>
              </m:r>
            </m:e>
          </m:d>
        </m:oMath>
      </m:oMathPara>
    </w:p>
    <w:p w14:paraId="682FC6AA" w14:textId="77777777" w:rsidR="004A1008" w:rsidRPr="004D17F4" w:rsidRDefault="004A1008" w:rsidP="004A1008">
      <w:r w:rsidRPr="004D17F4">
        <w:t xml:space="preserve">where: </w:t>
      </w:r>
    </w:p>
    <w:tbl>
      <w:tblPr>
        <w:tblStyle w:val="TableGridLight"/>
        <w:tblW w:w="8613" w:type="dxa"/>
        <w:tblLook w:val="04A0" w:firstRow="1" w:lastRow="0" w:firstColumn="1" w:lastColumn="0" w:noHBand="0" w:noVBand="1"/>
      </w:tblPr>
      <w:tblGrid>
        <w:gridCol w:w="1097"/>
        <w:gridCol w:w="7516"/>
      </w:tblGrid>
      <w:tr w:rsidR="004A1008" w:rsidRPr="00AE57AC" w14:paraId="482DF74B" w14:textId="77777777" w:rsidTr="004A1008">
        <w:trPr>
          <w:trHeight w:val="454"/>
        </w:trPr>
        <w:tc>
          <w:tcPr>
            <w:tcW w:w="1097" w:type="dxa"/>
          </w:tcPr>
          <w:p w14:paraId="0BE55754" w14:textId="77777777" w:rsidR="004A1008" w:rsidRPr="00C20188" w:rsidRDefault="004A1008" w:rsidP="004A1008">
            <w:pPr>
              <w:pStyle w:val="Equation"/>
              <w:rPr>
                <w:i/>
                <w:iCs/>
              </w:rPr>
            </w:pPr>
            <w:r w:rsidRPr="00C20188">
              <w:rPr>
                <w:i/>
                <w:iCs/>
              </w:rPr>
              <w:lastRenderedPageBreak/>
              <w:t>VCMA</w:t>
            </w:r>
            <w:r w:rsidRPr="00C20188">
              <w:rPr>
                <w:i/>
                <w:iCs/>
                <w:vertAlign w:val="subscript"/>
              </w:rPr>
              <w:t>t</w:t>
            </w:r>
          </w:p>
        </w:tc>
        <w:tc>
          <w:tcPr>
            <w:tcW w:w="7516" w:type="dxa"/>
          </w:tcPr>
          <w:p w14:paraId="7853F6BF" w14:textId="77777777" w:rsidR="004A1008" w:rsidRPr="004D17F4" w:rsidRDefault="004A1008" w:rsidP="004A1008">
            <w:pPr>
              <w:pStyle w:val="Equation"/>
            </w:pPr>
            <w:r w:rsidRPr="004D17F4">
              <w:t>means the total expenditure on VCM Projects</w:t>
            </w:r>
            <w:r>
              <w:t>; and</w:t>
            </w:r>
          </w:p>
        </w:tc>
      </w:tr>
      <w:tr w:rsidR="004A1008" w:rsidRPr="00AE57AC" w14:paraId="1DE24069" w14:textId="77777777" w:rsidTr="004A1008">
        <w:trPr>
          <w:trHeight w:val="454"/>
        </w:trPr>
        <w:tc>
          <w:tcPr>
            <w:tcW w:w="1097" w:type="dxa"/>
          </w:tcPr>
          <w:p w14:paraId="2674E678" w14:textId="77777777" w:rsidR="004A1008" w:rsidRPr="00C20188" w:rsidRDefault="004A1008" w:rsidP="004A1008">
            <w:pPr>
              <w:pStyle w:val="Equation"/>
              <w:rPr>
                <w:i/>
                <w:iCs/>
              </w:rPr>
            </w:pPr>
            <w:r w:rsidRPr="00C20188">
              <w:rPr>
                <w:i/>
                <w:iCs/>
              </w:rPr>
              <w:t>VCMC</w:t>
            </w:r>
          </w:p>
        </w:tc>
        <w:tc>
          <w:tcPr>
            <w:tcW w:w="7516" w:type="dxa"/>
          </w:tcPr>
          <w:p w14:paraId="6DBA447C" w14:textId="77777777" w:rsidR="004A1008" w:rsidRPr="004D17F4" w:rsidRDefault="004A1008" w:rsidP="004A1008">
            <w:pPr>
              <w:pStyle w:val="Equation"/>
            </w:pPr>
            <w:r w:rsidRPr="004D17F4">
              <w:t xml:space="preserve">means </w:t>
            </w:r>
            <w:r>
              <w:t xml:space="preserve">the </w:t>
            </w:r>
            <w:r w:rsidRPr="004D17F4">
              <w:t>value of the licensee's expenditure cap for VCM Projects for the Price Control Period as set out in Appendix 1.</w:t>
            </w:r>
          </w:p>
        </w:tc>
      </w:tr>
    </w:tbl>
    <w:p w14:paraId="0BCDBD43" w14:textId="77777777" w:rsidR="004A1008" w:rsidRPr="004D17F4" w:rsidRDefault="004A1008" w:rsidP="004A1008"/>
    <w:p w14:paraId="6EE260E5" w14:textId="77777777" w:rsidR="004A1008" w:rsidRPr="004D17F4" w:rsidRDefault="004A1008" w:rsidP="004A1008">
      <w:pPr>
        <w:pStyle w:val="Heading3"/>
        <w:numPr>
          <w:ilvl w:val="5"/>
          <w:numId w:val="7"/>
        </w:numPr>
      </w:pPr>
      <w:r>
        <w:t>The VCMA Governance Document</w:t>
      </w:r>
    </w:p>
    <w:p w14:paraId="7DAC1BD0" w14:textId="77777777" w:rsidR="004A1008" w:rsidRPr="004D17F4" w:rsidRDefault="004A1008" w:rsidP="004A1008">
      <w:pPr>
        <w:pStyle w:val="NumberedNormal"/>
        <w:numPr>
          <w:ilvl w:val="2"/>
          <w:numId w:val="7"/>
        </w:numPr>
      </w:pPr>
      <w:r>
        <w:t xml:space="preserve">The licensee must comply with the VCMA Governance Document in its administration and delivery of the VCM Projects, associated learning dissemination requirements and reporting requirements. </w:t>
      </w:r>
    </w:p>
    <w:p w14:paraId="4EB3E6AF" w14:textId="77777777" w:rsidR="004A1008" w:rsidRPr="004D17F4" w:rsidRDefault="004A1008" w:rsidP="004A1008">
      <w:pPr>
        <w:pStyle w:val="NumberedNormal"/>
        <w:numPr>
          <w:ilvl w:val="2"/>
          <w:numId w:val="7"/>
        </w:numPr>
      </w:pPr>
      <w:r>
        <w:t>The Authority will issue and amend the VCMA Governance Document by direction.</w:t>
      </w:r>
    </w:p>
    <w:p w14:paraId="66A5A59B" w14:textId="77777777" w:rsidR="004A1008" w:rsidRPr="004D17F4" w:rsidRDefault="004A1008" w:rsidP="004A1008">
      <w:pPr>
        <w:pStyle w:val="NumberedNormal"/>
        <w:numPr>
          <w:ilvl w:val="2"/>
          <w:numId w:val="7"/>
        </w:numPr>
      </w:pPr>
      <w:r>
        <w:t>The Authority will publish the VCMA Governance Document on the Authority's Website.</w:t>
      </w:r>
    </w:p>
    <w:p w14:paraId="7BCF29EF" w14:textId="77777777" w:rsidR="004A1008" w:rsidRPr="004D17F4" w:rsidRDefault="004A1008" w:rsidP="004A1008">
      <w:pPr>
        <w:pStyle w:val="NumberedNormal"/>
        <w:numPr>
          <w:ilvl w:val="2"/>
          <w:numId w:val="7"/>
        </w:numPr>
      </w:pPr>
      <w:r>
        <w:t>The VCMA Governance Document will make provision about:</w:t>
      </w:r>
    </w:p>
    <w:p w14:paraId="5588B4FA" w14:textId="77777777" w:rsidR="004A1008" w:rsidRPr="004D17F4" w:rsidRDefault="004A1008" w:rsidP="004A1008">
      <w:pPr>
        <w:pStyle w:val="ListNormal"/>
        <w:numPr>
          <w:ilvl w:val="3"/>
          <w:numId w:val="7"/>
        </w:numPr>
      </w:pPr>
      <w:r>
        <w:t>the eligibility criteria that VCM Projects must meet;</w:t>
      </w:r>
    </w:p>
    <w:p w14:paraId="7893BE19" w14:textId="77777777" w:rsidR="004A1008" w:rsidRPr="004D17F4" w:rsidRDefault="004A1008" w:rsidP="004A1008">
      <w:pPr>
        <w:pStyle w:val="ListNormal"/>
        <w:numPr>
          <w:ilvl w:val="3"/>
          <w:numId w:val="7"/>
        </w:numPr>
      </w:pPr>
      <w:r>
        <w:t>the information that is to be published by the licensee prior to starting any VCM Project;</w:t>
      </w:r>
    </w:p>
    <w:p w14:paraId="56F0B8C5" w14:textId="00F0C5B4" w:rsidR="004A1008" w:rsidRPr="004D17F4" w:rsidRDefault="004A1008" w:rsidP="004A1008">
      <w:pPr>
        <w:pStyle w:val="ListNormal"/>
        <w:numPr>
          <w:ilvl w:val="3"/>
          <w:numId w:val="7"/>
        </w:numPr>
      </w:pPr>
      <w:r>
        <w:t>arrangements for ensuring that relevant learning from VCM Projects can be captured and disseminated to other</w:t>
      </w:r>
      <w:r w:rsidR="00F71E7B">
        <w:t xml:space="preserve"> </w:t>
      </w:r>
      <w:r w:rsidR="00D001B4">
        <w:t>all other DN Operators</w:t>
      </w:r>
      <w:r>
        <w:t xml:space="preserve">; and </w:t>
      </w:r>
    </w:p>
    <w:p w14:paraId="6BED48C9" w14:textId="77777777" w:rsidR="004A1008" w:rsidRPr="004D17F4" w:rsidRDefault="004A1008" w:rsidP="004A1008">
      <w:pPr>
        <w:pStyle w:val="ListNormal"/>
        <w:numPr>
          <w:ilvl w:val="3"/>
          <w:numId w:val="7"/>
        </w:numPr>
      </w:pPr>
      <w:r>
        <w:t>the nature of the reporting obligations in respect of VCM Projects.</w:t>
      </w:r>
    </w:p>
    <w:p w14:paraId="090E4474" w14:textId="77777777" w:rsidR="004A1008" w:rsidRPr="004D17F4" w:rsidRDefault="004A1008" w:rsidP="004A1008">
      <w:pPr>
        <w:pStyle w:val="NumberedNormal"/>
        <w:numPr>
          <w:ilvl w:val="2"/>
          <w:numId w:val="7"/>
        </w:numPr>
      </w:pPr>
      <w:r>
        <w:t>Before issuing the VCMA Governance Document the Authority will publish on the Authority’s Website:</w:t>
      </w:r>
    </w:p>
    <w:p w14:paraId="0364CC51" w14:textId="77777777" w:rsidR="004A1008" w:rsidRPr="004D17F4" w:rsidRDefault="004A1008" w:rsidP="004A1008">
      <w:pPr>
        <w:pStyle w:val="ListNormal"/>
        <w:numPr>
          <w:ilvl w:val="3"/>
          <w:numId w:val="7"/>
        </w:numPr>
      </w:pPr>
      <w:r>
        <w:t>the proposed text of the VCMA Governance Document;</w:t>
      </w:r>
    </w:p>
    <w:p w14:paraId="4CFEFF6A" w14:textId="77777777" w:rsidR="004A1008" w:rsidRPr="004D17F4" w:rsidRDefault="004A1008" w:rsidP="004A1008">
      <w:pPr>
        <w:pStyle w:val="ListNormal"/>
        <w:numPr>
          <w:ilvl w:val="3"/>
          <w:numId w:val="7"/>
        </w:numPr>
      </w:pPr>
      <w:r>
        <w:t>the date on which the Authority intends the VCMA Governance Document to come into effect; and</w:t>
      </w:r>
    </w:p>
    <w:p w14:paraId="6D9963FD" w14:textId="77777777" w:rsidR="004A1008" w:rsidRPr="004D17F4" w:rsidRDefault="004A1008" w:rsidP="004A1008">
      <w:pPr>
        <w:pStyle w:val="ListNormal"/>
        <w:numPr>
          <w:ilvl w:val="3"/>
          <w:numId w:val="7"/>
        </w:numPr>
      </w:pPr>
      <w:r>
        <w:t>a period during which representations may be made on the content of the VCMA Governance Document, which will not be less than 28 days.</w:t>
      </w:r>
    </w:p>
    <w:p w14:paraId="309DE2FD" w14:textId="77777777" w:rsidR="004A1008" w:rsidRPr="004D17F4" w:rsidRDefault="004A1008" w:rsidP="004A1008">
      <w:pPr>
        <w:pStyle w:val="NumberedNormal"/>
        <w:numPr>
          <w:ilvl w:val="2"/>
          <w:numId w:val="7"/>
        </w:numPr>
      </w:pPr>
      <w:r>
        <w:t>Before directing an amendment to the VCMA Governance Document, the Authority will publish on the Authority’s Website:</w:t>
      </w:r>
    </w:p>
    <w:p w14:paraId="3419C3FA" w14:textId="77777777" w:rsidR="004A1008" w:rsidRPr="004D17F4" w:rsidRDefault="004A1008" w:rsidP="004A1008">
      <w:pPr>
        <w:pStyle w:val="ListNormal"/>
        <w:numPr>
          <w:ilvl w:val="3"/>
          <w:numId w:val="7"/>
        </w:numPr>
      </w:pPr>
      <w:r>
        <w:t>the text of the amended VCMA Governance Document;</w:t>
      </w:r>
    </w:p>
    <w:p w14:paraId="5B800CE9" w14:textId="77777777" w:rsidR="004A1008" w:rsidRPr="004D17F4" w:rsidRDefault="004A1008" w:rsidP="004A1008">
      <w:pPr>
        <w:pStyle w:val="ListNormal"/>
        <w:numPr>
          <w:ilvl w:val="3"/>
          <w:numId w:val="7"/>
        </w:numPr>
      </w:pPr>
      <w:r>
        <w:t>the date on which the Authority intends the amended VCMA Governance Document to come into effect;</w:t>
      </w:r>
    </w:p>
    <w:p w14:paraId="5A7C1E3C" w14:textId="77777777" w:rsidR="004A1008" w:rsidRPr="004D17F4" w:rsidRDefault="004A1008" w:rsidP="004A1008">
      <w:pPr>
        <w:pStyle w:val="ListNormal"/>
        <w:numPr>
          <w:ilvl w:val="3"/>
          <w:numId w:val="7"/>
        </w:numPr>
      </w:pPr>
      <w:r>
        <w:t>the reasons for the amendments to the VCMA Governance Document; and</w:t>
      </w:r>
    </w:p>
    <w:p w14:paraId="66A0CA99" w14:textId="1ADC00BA" w:rsidR="004A1008" w:rsidRPr="004D17F4" w:rsidRDefault="004A1008" w:rsidP="004A1008">
      <w:pPr>
        <w:pStyle w:val="ListNormal"/>
        <w:numPr>
          <w:ilvl w:val="3"/>
          <w:numId w:val="7"/>
        </w:numPr>
      </w:pPr>
      <w:r>
        <w:t>a period during which representations may be made on the amendments to the VCMA Governance Document, which will not be less than 28 days.</w:t>
      </w:r>
    </w:p>
    <w:p w14:paraId="41893183" w14:textId="77777777" w:rsidR="004A1008" w:rsidRPr="00A63E5A" w:rsidRDefault="004A1008" w:rsidP="004A1008">
      <w:pPr>
        <w:pStyle w:val="AppendixHeading"/>
      </w:pPr>
    </w:p>
    <w:p w14:paraId="473D57F0" w14:textId="77777777" w:rsidR="004A1008" w:rsidRPr="00A63E5A" w:rsidRDefault="004A1008" w:rsidP="004A1008">
      <w:pPr>
        <w:pStyle w:val="Caption"/>
      </w:pPr>
      <w:r w:rsidRPr="00C74677">
        <w:t xml:space="preserve">VCMA Expenditure Cap </w:t>
      </w:r>
    </w:p>
    <w:tbl>
      <w:tblPr>
        <w:tblStyle w:val="AppendixTable"/>
        <w:tblW w:w="0" w:type="auto"/>
        <w:tblLayout w:type="fixed"/>
        <w:tblLook w:val="04A0" w:firstRow="1" w:lastRow="0" w:firstColumn="1" w:lastColumn="0" w:noHBand="0" w:noVBand="1"/>
      </w:tblPr>
      <w:tblGrid>
        <w:gridCol w:w="2235"/>
        <w:gridCol w:w="1134"/>
        <w:gridCol w:w="1134"/>
        <w:gridCol w:w="1134"/>
        <w:gridCol w:w="1134"/>
        <w:gridCol w:w="1275"/>
      </w:tblGrid>
      <w:tr w:rsidR="004A1008" w:rsidRPr="00DE541A" w14:paraId="21FDE384" w14:textId="77777777" w:rsidTr="004A1008">
        <w:trPr>
          <w:cnfStyle w:val="100000000000" w:firstRow="1" w:lastRow="0" w:firstColumn="0" w:lastColumn="0" w:oddVBand="0" w:evenVBand="0" w:oddHBand="0" w:evenHBand="0" w:firstRowFirstColumn="0" w:firstRowLastColumn="0" w:lastRowFirstColumn="0" w:lastRowLastColumn="0"/>
          <w:trHeight w:val="305"/>
        </w:trPr>
        <w:tc>
          <w:tcPr>
            <w:tcW w:w="2235" w:type="dxa"/>
          </w:tcPr>
          <w:p w14:paraId="17637ADD" w14:textId="77777777" w:rsidR="004A1008" w:rsidRPr="00A63E5A" w:rsidRDefault="004A1008" w:rsidP="004A1008"/>
        </w:tc>
        <w:tc>
          <w:tcPr>
            <w:tcW w:w="1134" w:type="dxa"/>
          </w:tcPr>
          <w:p w14:paraId="5E6D409B" w14:textId="77777777" w:rsidR="004A1008" w:rsidRPr="00A63E5A" w:rsidRDefault="004A1008" w:rsidP="004A1008">
            <w:r w:rsidRPr="00A63E5A">
              <w:t>2021/22</w:t>
            </w:r>
          </w:p>
        </w:tc>
        <w:tc>
          <w:tcPr>
            <w:tcW w:w="1134" w:type="dxa"/>
          </w:tcPr>
          <w:p w14:paraId="20546FB9" w14:textId="77777777" w:rsidR="004A1008" w:rsidRPr="00A63E5A" w:rsidRDefault="004A1008" w:rsidP="004A1008">
            <w:r w:rsidRPr="00A63E5A">
              <w:t>2022/23</w:t>
            </w:r>
          </w:p>
        </w:tc>
        <w:tc>
          <w:tcPr>
            <w:tcW w:w="1134" w:type="dxa"/>
          </w:tcPr>
          <w:p w14:paraId="624ED7E2" w14:textId="77777777" w:rsidR="004A1008" w:rsidRPr="00A63E5A" w:rsidRDefault="004A1008" w:rsidP="004A1008">
            <w:r w:rsidRPr="00A63E5A">
              <w:t>2023/24</w:t>
            </w:r>
          </w:p>
        </w:tc>
        <w:tc>
          <w:tcPr>
            <w:tcW w:w="1134" w:type="dxa"/>
          </w:tcPr>
          <w:p w14:paraId="05BCE47A" w14:textId="77777777" w:rsidR="004A1008" w:rsidRPr="00A63E5A" w:rsidRDefault="004A1008" w:rsidP="004A1008">
            <w:r w:rsidRPr="00A63E5A">
              <w:t>2024/25</w:t>
            </w:r>
          </w:p>
        </w:tc>
        <w:tc>
          <w:tcPr>
            <w:tcW w:w="1275" w:type="dxa"/>
          </w:tcPr>
          <w:p w14:paraId="3A95DAF6" w14:textId="77777777" w:rsidR="004A1008" w:rsidRPr="00A63E5A" w:rsidRDefault="004A1008" w:rsidP="004A1008">
            <w:r w:rsidRPr="00A63E5A">
              <w:t>2026/27</w:t>
            </w:r>
          </w:p>
        </w:tc>
      </w:tr>
      <w:tr w:rsidR="004A1008" w:rsidRPr="00D5104D" w14:paraId="4D945399" w14:textId="77777777" w:rsidTr="004A1008">
        <w:trPr>
          <w:trHeight w:val="321"/>
        </w:trPr>
        <w:tc>
          <w:tcPr>
            <w:tcW w:w="2235" w:type="dxa"/>
          </w:tcPr>
          <w:p w14:paraId="240DF1C2" w14:textId="77777777" w:rsidR="004A1008" w:rsidRPr="00A63E5A" w:rsidRDefault="004A1008" w:rsidP="004A1008">
            <w:r w:rsidRPr="00A63E5A">
              <w:t>EOE</w:t>
            </w:r>
          </w:p>
        </w:tc>
        <w:tc>
          <w:tcPr>
            <w:tcW w:w="1134" w:type="dxa"/>
          </w:tcPr>
          <w:p w14:paraId="460058CC" w14:textId="77777777" w:rsidR="004A1008" w:rsidRPr="00A63E5A" w:rsidRDefault="004A1008" w:rsidP="004A1008">
            <w:r w:rsidRPr="00A63E5A">
              <w:t>X</w:t>
            </w:r>
          </w:p>
        </w:tc>
        <w:tc>
          <w:tcPr>
            <w:tcW w:w="1134" w:type="dxa"/>
          </w:tcPr>
          <w:p w14:paraId="165B623A" w14:textId="77777777" w:rsidR="004A1008" w:rsidRPr="00A63E5A" w:rsidRDefault="004A1008" w:rsidP="004A1008">
            <w:r w:rsidRPr="00A63E5A">
              <w:t>X</w:t>
            </w:r>
          </w:p>
        </w:tc>
        <w:tc>
          <w:tcPr>
            <w:tcW w:w="1134" w:type="dxa"/>
          </w:tcPr>
          <w:p w14:paraId="4AD415EC" w14:textId="77777777" w:rsidR="004A1008" w:rsidRPr="00A63E5A" w:rsidRDefault="004A1008" w:rsidP="004A1008">
            <w:r w:rsidRPr="00A63E5A">
              <w:t>X</w:t>
            </w:r>
          </w:p>
        </w:tc>
        <w:tc>
          <w:tcPr>
            <w:tcW w:w="1134" w:type="dxa"/>
          </w:tcPr>
          <w:p w14:paraId="4559EA2E" w14:textId="77777777" w:rsidR="004A1008" w:rsidRPr="00A63E5A" w:rsidRDefault="004A1008" w:rsidP="004A1008">
            <w:r w:rsidRPr="00A63E5A">
              <w:t>X</w:t>
            </w:r>
          </w:p>
        </w:tc>
        <w:tc>
          <w:tcPr>
            <w:tcW w:w="1275" w:type="dxa"/>
          </w:tcPr>
          <w:p w14:paraId="2579D2AF" w14:textId="77777777" w:rsidR="004A1008" w:rsidRPr="00A63E5A" w:rsidRDefault="004A1008" w:rsidP="004A1008">
            <w:r w:rsidRPr="00A63E5A">
              <w:t>X</w:t>
            </w:r>
          </w:p>
        </w:tc>
      </w:tr>
      <w:tr w:rsidR="004A1008" w:rsidRPr="00D5104D" w14:paraId="45EA102D" w14:textId="77777777" w:rsidTr="004A1008">
        <w:trPr>
          <w:trHeight w:val="321"/>
        </w:trPr>
        <w:tc>
          <w:tcPr>
            <w:tcW w:w="2235" w:type="dxa"/>
          </w:tcPr>
          <w:p w14:paraId="4E57EE1F" w14:textId="77777777" w:rsidR="004A1008" w:rsidRPr="00A63E5A" w:rsidRDefault="004A1008" w:rsidP="004A1008">
            <w:r w:rsidRPr="00A63E5A">
              <w:t>Lon</w:t>
            </w:r>
          </w:p>
        </w:tc>
        <w:tc>
          <w:tcPr>
            <w:tcW w:w="1134" w:type="dxa"/>
          </w:tcPr>
          <w:p w14:paraId="1E56F76D" w14:textId="77777777" w:rsidR="004A1008" w:rsidRPr="00A63E5A" w:rsidRDefault="004A1008" w:rsidP="004A1008">
            <w:r w:rsidRPr="00A63E5A">
              <w:t>X</w:t>
            </w:r>
          </w:p>
        </w:tc>
        <w:tc>
          <w:tcPr>
            <w:tcW w:w="1134" w:type="dxa"/>
          </w:tcPr>
          <w:p w14:paraId="095ED41D" w14:textId="77777777" w:rsidR="004A1008" w:rsidRPr="00A63E5A" w:rsidRDefault="004A1008" w:rsidP="004A1008">
            <w:r w:rsidRPr="00A63E5A">
              <w:t>X</w:t>
            </w:r>
          </w:p>
        </w:tc>
        <w:tc>
          <w:tcPr>
            <w:tcW w:w="1134" w:type="dxa"/>
          </w:tcPr>
          <w:p w14:paraId="15FC02E7" w14:textId="77777777" w:rsidR="004A1008" w:rsidRPr="00A63E5A" w:rsidRDefault="004A1008" w:rsidP="004A1008">
            <w:r w:rsidRPr="00A63E5A">
              <w:t>X</w:t>
            </w:r>
          </w:p>
        </w:tc>
        <w:tc>
          <w:tcPr>
            <w:tcW w:w="1134" w:type="dxa"/>
          </w:tcPr>
          <w:p w14:paraId="00080B66" w14:textId="77777777" w:rsidR="004A1008" w:rsidRPr="00A63E5A" w:rsidRDefault="004A1008" w:rsidP="004A1008">
            <w:r w:rsidRPr="00A63E5A">
              <w:t>X</w:t>
            </w:r>
          </w:p>
        </w:tc>
        <w:tc>
          <w:tcPr>
            <w:tcW w:w="1275" w:type="dxa"/>
          </w:tcPr>
          <w:p w14:paraId="4FA9F35D" w14:textId="77777777" w:rsidR="004A1008" w:rsidRPr="00A63E5A" w:rsidRDefault="004A1008" w:rsidP="004A1008">
            <w:r w:rsidRPr="00A63E5A">
              <w:t>X</w:t>
            </w:r>
          </w:p>
        </w:tc>
      </w:tr>
      <w:tr w:rsidR="004A1008" w:rsidRPr="00D5104D" w14:paraId="7FAD38EB" w14:textId="77777777" w:rsidTr="004A1008">
        <w:trPr>
          <w:trHeight w:val="315"/>
        </w:trPr>
        <w:tc>
          <w:tcPr>
            <w:tcW w:w="2235" w:type="dxa"/>
          </w:tcPr>
          <w:p w14:paraId="3F7B6A36" w14:textId="77777777" w:rsidR="004A1008" w:rsidRPr="00A63E5A" w:rsidRDefault="004A1008" w:rsidP="004A1008">
            <w:r w:rsidRPr="00A63E5A">
              <w:t>NW</w:t>
            </w:r>
          </w:p>
        </w:tc>
        <w:tc>
          <w:tcPr>
            <w:tcW w:w="1134" w:type="dxa"/>
          </w:tcPr>
          <w:p w14:paraId="7CA6679D" w14:textId="77777777" w:rsidR="004A1008" w:rsidRPr="00A63E5A" w:rsidRDefault="004A1008" w:rsidP="004A1008">
            <w:r w:rsidRPr="00A63E5A">
              <w:t>X</w:t>
            </w:r>
          </w:p>
        </w:tc>
        <w:tc>
          <w:tcPr>
            <w:tcW w:w="1134" w:type="dxa"/>
          </w:tcPr>
          <w:p w14:paraId="16E1F59D" w14:textId="77777777" w:rsidR="004A1008" w:rsidRPr="00A63E5A" w:rsidRDefault="004A1008" w:rsidP="004A1008">
            <w:r w:rsidRPr="00A63E5A">
              <w:t>X</w:t>
            </w:r>
          </w:p>
        </w:tc>
        <w:tc>
          <w:tcPr>
            <w:tcW w:w="1134" w:type="dxa"/>
          </w:tcPr>
          <w:p w14:paraId="75983A02" w14:textId="77777777" w:rsidR="004A1008" w:rsidRPr="00A63E5A" w:rsidRDefault="004A1008" w:rsidP="004A1008">
            <w:r w:rsidRPr="00A63E5A">
              <w:t>X</w:t>
            </w:r>
          </w:p>
        </w:tc>
        <w:tc>
          <w:tcPr>
            <w:tcW w:w="1134" w:type="dxa"/>
          </w:tcPr>
          <w:p w14:paraId="6BF664D9" w14:textId="77777777" w:rsidR="004A1008" w:rsidRPr="00A63E5A" w:rsidRDefault="004A1008" w:rsidP="004A1008">
            <w:r w:rsidRPr="00A63E5A">
              <w:t>X</w:t>
            </w:r>
          </w:p>
        </w:tc>
        <w:tc>
          <w:tcPr>
            <w:tcW w:w="1275" w:type="dxa"/>
          </w:tcPr>
          <w:p w14:paraId="6687B810" w14:textId="77777777" w:rsidR="004A1008" w:rsidRPr="00A63E5A" w:rsidRDefault="004A1008" w:rsidP="004A1008">
            <w:r w:rsidRPr="00A63E5A">
              <w:t>X</w:t>
            </w:r>
          </w:p>
        </w:tc>
      </w:tr>
      <w:tr w:rsidR="004A1008" w:rsidRPr="00B43143" w14:paraId="0FEC16C7" w14:textId="77777777" w:rsidTr="004A1008">
        <w:trPr>
          <w:trHeight w:val="349"/>
        </w:trPr>
        <w:tc>
          <w:tcPr>
            <w:tcW w:w="2235" w:type="dxa"/>
          </w:tcPr>
          <w:p w14:paraId="336D79EC" w14:textId="77777777" w:rsidR="004A1008" w:rsidRPr="00A63E5A" w:rsidRDefault="004A1008" w:rsidP="004A1008">
            <w:r w:rsidRPr="00A63E5A">
              <w:t>WM</w:t>
            </w:r>
          </w:p>
        </w:tc>
        <w:tc>
          <w:tcPr>
            <w:tcW w:w="1134" w:type="dxa"/>
          </w:tcPr>
          <w:p w14:paraId="09EB119A" w14:textId="77777777" w:rsidR="004A1008" w:rsidRPr="00A63E5A" w:rsidRDefault="004A1008" w:rsidP="004A1008">
            <w:r w:rsidRPr="00A63E5A">
              <w:t>X</w:t>
            </w:r>
          </w:p>
        </w:tc>
        <w:tc>
          <w:tcPr>
            <w:tcW w:w="1134" w:type="dxa"/>
          </w:tcPr>
          <w:p w14:paraId="1A0F03A2" w14:textId="77777777" w:rsidR="004A1008" w:rsidRPr="00A63E5A" w:rsidRDefault="004A1008" w:rsidP="004A1008">
            <w:r w:rsidRPr="00A63E5A">
              <w:t>X</w:t>
            </w:r>
          </w:p>
        </w:tc>
        <w:tc>
          <w:tcPr>
            <w:tcW w:w="1134" w:type="dxa"/>
          </w:tcPr>
          <w:p w14:paraId="4D0B2AA7" w14:textId="77777777" w:rsidR="004A1008" w:rsidRPr="00A63E5A" w:rsidRDefault="004A1008" w:rsidP="004A1008">
            <w:r w:rsidRPr="00A63E5A">
              <w:t>X</w:t>
            </w:r>
          </w:p>
        </w:tc>
        <w:tc>
          <w:tcPr>
            <w:tcW w:w="1134" w:type="dxa"/>
          </w:tcPr>
          <w:p w14:paraId="4070297A" w14:textId="77777777" w:rsidR="004A1008" w:rsidRPr="00A63E5A" w:rsidRDefault="004A1008" w:rsidP="004A1008">
            <w:r w:rsidRPr="00A63E5A">
              <w:t>X</w:t>
            </w:r>
          </w:p>
        </w:tc>
        <w:tc>
          <w:tcPr>
            <w:tcW w:w="1275" w:type="dxa"/>
          </w:tcPr>
          <w:p w14:paraId="29F3FADF" w14:textId="77777777" w:rsidR="004A1008" w:rsidRPr="00A63E5A" w:rsidRDefault="004A1008" w:rsidP="004A1008">
            <w:r w:rsidRPr="00A63E5A">
              <w:t>X</w:t>
            </w:r>
          </w:p>
        </w:tc>
      </w:tr>
      <w:tr w:rsidR="004A1008" w:rsidRPr="00B43143" w14:paraId="0F4BA65E" w14:textId="77777777" w:rsidTr="004A1008">
        <w:trPr>
          <w:trHeight w:val="228"/>
        </w:trPr>
        <w:tc>
          <w:tcPr>
            <w:tcW w:w="2235" w:type="dxa"/>
          </w:tcPr>
          <w:p w14:paraId="6F329AFE" w14:textId="77777777" w:rsidR="004A1008" w:rsidRPr="00A63E5A" w:rsidRDefault="004A1008" w:rsidP="004A1008">
            <w:r w:rsidRPr="00A63E5A">
              <w:t>Northern Gas Networks Ltd</w:t>
            </w:r>
          </w:p>
        </w:tc>
        <w:tc>
          <w:tcPr>
            <w:tcW w:w="1134" w:type="dxa"/>
          </w:tcPr>
          <w:p w14:paraId="03710627" w14:textId="77777777" w:rsidR="004A1008" w:rsidRPr="00A63E5A" w:rsidRDefault="004A1008" w:rsidP="004A1008">
            <w:r w:rsidRPr="00A63E5A">
              <w:t>X</w:t>
            </w:r>
          </w:p>
        </w:tc>
        <w:tc>
          <w:tcPr>
            <w:tcW w:w="1134" w:type="dxa"/>
          </w:tcPr>
          <w:p w14:paraId="2205ADA8" w14:textId="77777777" w:rsidR="004A1008" w:rsidRPr="00A63E5A" w:rsidRDefault="004A1008" w:rsidP="004A1008">
            <w:r w:rsidRPr="00A63E5A">
              <w:t>X</w:t>
            </w:r>
          </w:p>
        </w:tc>
        <w:tc>
          <w:tcPr>
            <w:tcW w:w="1134" w:type="dxa"/>
          </w:tcPr>
          <w:p w14:paraId="4EE3D54E" w14:textId="77777777" w:rsidR="004A1008" w:rsidRPr="00A63E5A" w:rsidRDefault="004A1008" w:rsidP="004A1008">
            <w:r w:rsidRPr="00A63E5A">
              <w:t>X</w:t>
            </w:r>
          </w:p>
        </w:tc>
        <w:tc>
          <w:tcPr>
            <w:tcW w:w="1134" w:type="dxa"/>
          </w:tcPr>
          <w:p w14:paraId="157AF1EC" w14:textId="77777777" w:rsidR="004A1008" w:rsidRPr="00A63E5A" w:rsidRDefault="004A1008" w:rsidP="004A1008">
            <w:r w:rsidRPr="00A63E5A">
              <w:t>X</w:t>
            </w:r>
          </w:p>
        </w:tc>
        <w:tc>
          <w:tcPr>
            <w:tcW w:w="1275" w:type="dxa"/>
          </w:tcPr>
          <w:p w14:paraId="289FA362" w14:textId="77777777" w:rsidR="004A1008" w:rsidRPr="00A63E5A" w:rsidRDefault="004A1008" w:rsidP="004A1008">
            <w:r w:rsidRPr="00A63E5A">
              <w:t>X</w:t>
            </w:r>
          </w:p>
        </w:tc>
      </w:tr>
      <w:tr w:rsidR="004A1008" w:rsidRPr="00B43143" w14:paraId="43C0842D" w14:textId="77777777" w:rsidTr="004A1008">
        <w:trPr>
          <w:trHeight w:val="233"/>
        </w:trPr>
        <w:tc>
          <w:tcPr>
            <w:tcW w:w="2235" w:type="dxa"/>
          </w:tcPr>
          <w:p w14:paraId="643A2DBA" w14:textId="77777777" w:rsidR="004A1008" w:rsidRPr="00A63E5A" w:rsidRDefault="004A1008" w:rsidP="004A1008">
            <w:r w:rsidRPr="00A63E5A">
              <w:t>Scotland Gas Networks plc</w:t>
            </w:r>
          </w:p>
        </w:tc>
        <w:tc>
          <w:tcPr>
            <w:tcW w:w="1134" w:type="dxa"/>
          </w:tcPr>
          <w:p w14:paraId="26F920A6" w14:textId="77777777" w:rsidR="004A1008" w:rsidRPr="00A63E5A" w:rsidRDefault="004A1008" w:rsidP="004A1008">
            <w:r w:rsidRPr="00A63E5A">
              <w:t>X</w:t>
            </w:r>
          </w:p>
        </w:tc>
        <w:tc>
          <w:tcPr>
            <w:tcW w:w="1134" w:type="dxa"/>
          </w:tcPr>
          <w:p w14:paraId="3E663F3F" w14:textId="77777777" w:rsidR="004A1008" w:rsidRPr="00A63E5A" w:rsidRDefault="004A1008" w:rsidP="004A1008">
            <w:r w:rsidRPr="00A63E5A">
              <w:t>X</w:t>
            </w:r>
          </w:p>
        </w:tc>
        <w:tc>
          <w:tcPr>
            <w:tcW w:w="1134" w:type="dxa"/>
          </w:tcPr>
          <w:p w14:paraId="73951D8A" w14:textId="77777777" w:rsidR="004A1008" w:rsidRPr="00A63E5A" w:rsidRDefault="004A1008" w:rsidP="004A1008">
            <w:r w:rsidRPr="00A63E5A">
              <w:t>X</w:t>
            </w:r>
          </w:p>
        </w:tc>
        <w:tc>
          <w:tcPr>
            <w:tcW w:w="1134" w:type="dxa"/>
          </w:tcPr>
          <w:p w14:paraId="3A9B262D" w14:textId="77777777" w:rsidR="004A1008" w:rsidRPr="00A63E5A" w:rsidRDefault="004A1008" w:rsidP="004A1008">
            <w:r w:rsidRPr="00A63E5A">
              <w:t>X</w:t>
            </w:r>
          </w:p>
        </w:tc>
        <w:tc>
          <w:tcPr>
            <w:tcW w:w="1275" w:type="dxa"/>
          </w:tcPr>
          <w:p w14:paraId="6D146DAD" w14:textId="77777777" w:rsidR="004A1008" w:rsidRPr="00A63E5A" w:rsidRDefault="004A1008" w:rsidP="004A1008">
            <w:r w:rsidRPr="00A63E5A">
              <w:t>X</w:t>
            </w:r>
          </w:p>
        </w:tc>
      </w:tr>
      <w:tr w:rsidR="004A1008" w:rsidRPr="00B43143" w14:paraId="0F3ACCB5" w14:textId="77777777" w:rsidTr="004A1008">
        <w:trPr>
          <w:trHeight w:val="395"/>
        </w:trPr>
        <w:tc>
          <w:tcPr>
            <w:tcW w:w="2235" w:type="dxa"/>
          </w:tcPr>
          <w:p w14:paraId="4B9B95C7" w14:textId="77777777" w:rsidR="004A1008" w:rsidRPr="00A63E5A" w:rsidRDefault="004A1008" w:rsidP="004A1008">
            <w:r w:rsidRPr="00A63E5A">
              <w:t>Southern Gas Networks plc</w:t>
            </w:r>
          </w:p>
        </w:tc>
        <w:tc>
          <w:tcPr>
            <w:tcW w:w="1134" w:type="dxa"/>
          </w:tcPr>
          <w:p w14:paraId="2ACDCE8F" w14:textId="77777777" w:rsidR="004A1008" w:rsidRPr="00A63E5A" w:rsidRDefault="004A1008" w:rsidP="004A1008">
            <w:r w:rsidRPr="00A63E5A">
              <w:t>X</w:t>
            </w:r>
          </w:p>
        </w:tc>
        <w:tc>
          <w:tcPr>
            <w:tcW w:w="1134" w:type="dxa"/>
          </w:tcPr>
          <w:p w14:paraId="347A0091" w14:textId="77777777" w:rsidR="004A1008" w:rsidRPr="00A63E5A" w:rsidRDefault="004A1008" w:rsidP="004A1008">
            <w:r w:rsidRPr="00A63E5A">
              <w:t>X</w:t>
            </w:r>
          </w:p>
        </w:tc>
        <w:tc>
          <w:tcPr>
            <w:tcW w:w="1134" w:type="dxa"/>
          </w:tcPr>
          <w:p w14:paraId="4774927E" w14:textId="77777777" w:rsidR="004A1008" w:rsidRPr="00A63E5A" w:rsidRDefault="004A1008" w:rsidP="004A1008">
            <w:r w:rsidRPr="00A63E5A">
              <w:t>X</w:t>
            </w:r>
          </w:p>
        </w:tc>
        <w:tc>
          <w:tcPr>
            <w:tcW w:w="1134" w:type="dxa"/>
          </w:tcPr>
          <w:p w14:paraId="5E24C11E" w14:textId="77777777" w:rsidR="004A1008" w:rsidRPr="00A63E5A" w:rsidRDefault="004A1008" w:rsidP="004A1008">
            <w:r w:rsidRPr="00A63E5A">
              <w:t>X</w:t>
            </w:r>
          </w:p>
        </w:tc>
        <w:tc>
          <w:tcPr>
            <w:tcW w:w="1275" w:type="dxa"/>
          </w:tcPr>
          <w:p w14:paraId="43117177" w14:textId="77777777" w:rsidR="004A1008" w:rsidRPr="00A63E5A" w:rsidRDefault="004A1008" w:rsidP="004A1008">
            <w:r w:rsidRPr="00A63E5A">
              <w:t>X</w:t>
            </w:r>
          </w:p>
        </w:tc>
      </w:tr>
      <w:tr w:rsidR="004A1008" w:rsidRPr="00B43143" w14:paraId="42FBBE38" w14:textId="77777777" w:rsidTr="004A1008">
        <w:trPr>
          <w:trHeight w:val="273"/>
        </w:trPr>
        <w:tc>
          <w:tcPr>
            <w:tcW w:w="2235" w:type="dxa"/>
          </w:tcPr>
          <w:p w14:paraId="5DCBF380" w14:textId="77777777" w:rsidR="004A1008" w:rsidRPr="00A63E5A" w:rsidRDefault="004A1008" w:rsidP="004A1008">
            <w:r w:rsidRPr="00A63E5A">
              <w:t>Wales &amp; West Utilities Ltd</w:t>
            </w:r>
          </w:p>
        </w:tc>
        <w:tc>
          <w:tcPr>
            <w:tcW w:w="1134" w:type="dxa"/>
          </w:tcPr>
          <w:p w14:paraId="744954BB" w14:textId="77777777" w:rsidR="004A1008" w:rsidRPr="00A63E5A" w:rsidRDefault="004A1008" w:rsidP="004A1008">
            <w:r w:rsidRPr="00A63E5A">
              <w:t>X</w:t>
            </w:r>
          </w:p>
        </w:tc>
        <w:tc>
          <w:tcPr>
            <w:tcW w:w="1134" w:type="dxa"/>
          </w:tcPr>
          <w:p w14:paraId="3C4484F7" w14:textId="77777777" w:rsidR="004A1008" w:rsidRPr="00A63E5A" w:rsidRDefault="004A1008" w:rsidP="004A1008">
            <w:r w:rsidRPr="00A63E5A">
              <w:t>X</w:t>
            </w:r>
          </w:p>
        </w:tc>
        <w:tc>
          <w:tcPr>
            <w:tcW w:w="1134" w:type="dxa"/>
          </w:tcPr>
          <w:p w14:paraId="2BADDB76" w14:textId="77777777" w:rsidR="004A1008" w:rsidRPr="00A63E5A" w:rsidRDefault="004A1008" w:rsidP="004A1008">
            <w:r w:rsidRPr="00A63E5A">
              <w:t>X</w:t>
            </w:r>
          </w:p>
        </w:tc>
        <w:tc>
          <w:tcPr>
            <w:tcW w:w="1134" w:type="dxa"/>
          </w:tcPr>
          <w:p w14:paraId="47C90EA4" w14:textId="77777777" w:rsidR="004A1008" w:rsidRPr="00A63E5A" w:rsidRDefault="004A1008" w:rsidP="004A1008">
            <w:r w:rsidRPr="00A63E5A">
              <w:t>X</w:t>
            </w:r>
          </w:p>
        </w:tc>
        <w:tc>
          <w:tcPr>
            <w:tcW w:w="1275" w:type="dxa"/>
          </w:tcPr>
          <w:p w14:paraId="07437C14" w14:textId="77777777" w:rsidR="004A1008" w:rsidRPr="00A63E5A" w:rsidRDefault="004A1008" w:rsidP="004A1008">
            <w:r w:rsidRPr="00A63E5A">
              <w:t>X</w:t>
            </w:r>
          </w:p>
        </w:tc>
      </w:tr>
    </w:tbl>
    <w:p w14:paraId="4C84FC11" w14:textId="77777777" w:rsidR="004A1008" w:rsidRPr="00472E36" w:rsidRDefault="004A1008" w:rsidP="004A1008">
      <w:pPr>
        <w:pStyle w:val="Heading2"/>
        <w:numPr>
          <w:ilvl w:val="1"/>
          <w:numId w:val="7"/>
        </w:numPr>
      </w:pPr>
      <w:bookmarkStart w:id="76" w:name="_Toc51783623"/>
      <w:bookmarkStart w:id="77" w:name="_Toc52364543"/>
      <w:r>
        <w:t>Tier 1 Mains Decommissioned Price Control Deliverable (TIMD</w:t>
      </w:r>
      <w:r w:rsidRPr="00761A2F">
        <w:rPr>
          <w:vertAlign w:val="subscript"/>
        </w:rPr>
        <w:t>t</w:t>
      </w:r>
      <w:r>
        <w:t>)</w:t>
      </w:r>
      <w:bookmarkEnd w:id="76"/>
      <w:bookmarkEnd w:id="77"/>
    </w:p>
    <w:p w14:paraId="24C6EF65" w14:textId="77777777" w:rsidR="004A1008" w:rsidRPr="00472E36" w:rsidRDefault="004A1008" w:rsidP="004A1008">
      <w:pPr>
        <w:pStyle w:val="Heading3nonumbering"/>
      </w:pPr>
      <w:r w:rsidRPr="00472E36">
        <w:t xml:space="preserve">Introduction </w:t>
      </w:r>
    </w:p>
    <w:p w14:paraId="7EDAB9A6" w14:textId="0C5C34C6" w:rsidR="004A1008" w:rsidRPr="00472E36" w:rsidRDefault="004A1008" w:rsidP="004A1008">
      <w:pPr>
        <w:pStyle w:val="NumberedNormal"/>
        <w:numPr>
          <w:ilvl w:val="2"/>
          <w:numId w:val="7"/>
        </w:numPr>
      </w:pPr>
      <w:r>
        <w:t>The purpose of this condition is to calculate the term T1MD</w:t>
      </w:r>
      <w:r w:rsidRPr="00761A2F">
        <w:rPr>
          <w:vertAlign w:val="subscript"/>
        </w:rPr>
        <w:t>t</w:t>
      </w:r>
      <w:r>
        <w:t xml:space="preserve"> (the Tier 1 Mains Decommissioned Price Control Deliverable term). This contributes to the </w:t>
      </w:r>
      <w:r w:rsidR="009621C8">
        <w:t xml:space="preserve">calculation of the </w:t>
      </w:r>
      <w:r>
        <w:t>Totex Allowance.</w:t>
      </w:r>
    </w:p>
    <w:p w14:paraId="28110BD8" w14:textId="23D0D8C2" w:rsidR="004A1008" w:rsidRPr="00472E36" w:rsidRDefault="004A1008" w:rsidP="004A1008">
      <w:pPr>
        <w:pStyle w:val="NumberedNormal"/>
        <w:numPr>
          <w:ilvl w:val="2"/>
          <w:numId w:val="7"/>
        </w:numPr>
      </w:pPr>
      <w:r>
        <w:t>This condition specifies the outputs for the Price Control Deliverable and</w:t>
      </w:r>
      <w:r w:rsidR="009621C8">
        <w:t xml:space="preserve"> puts in place reporting requirements for the licensee</w:t>
      </w:r>
      <w:r>
        <w:t>.</w:t>
      </w:r>
    </w:p>
    <w:p w14:paraId="6CA7CDCA" w14:textId="77777777" w:rsidR="004A1008" w:rsidRPr="00472E36" w:rsidRDefault="004A1008" w:rsidP="004A1008">
      <w:pPr>
        <w:pStyle w:val="Heading3"/>
        <w:numPr>
          <w:ilvl w:val="5"/>
          <w:numId w:val="7"/>
        </w:numPr>
      </w:pPr>
      <w:r>
        <w:t>Formula for calculating the Tier 1 Mains Decommissioned Price Control Deliverable term (TIMDt)</w:t>
      </w:r>
    </w:p>
    <w:p w14:paraId="7C8EA0C3" w14:textId="77777777" w:rsidR="004A1008" w:rsidRPr="00472E36" w:rsidRDefault="004A1008" w:rsidP="004A1008">
      <w:pPr>
        <w:pStyle w:val="NumberedNormal"/>
        <w:numPr>
          <w:ilvl w:val="2"/>
          <w:numId w:val="7"/>
        </w:numPr>
      </w:pPr>
      <w:r>
        <w:t>The value of T1MDt is derived in accordance with the following formula:</w:t>
      </w:r>
    </w:p>
    <w:p w14:paraId="06BA45B7" w14:textId="0B6F60CD" w:rsidR="004A1008" w:rsidRPr="00950627" w:rsidRDefault="004A1008" w:rsidP="004A1008">
      <w:pPr>
        <w:pStyle w:val="Equation"/>
      </w:pPr>
      <m:oMathPara>
        <m:oMath>
          <m:r>
            <w:rPr>
              <w:rFonts w:ascii="Cambria Math" w:hAnsi="Cambria Math"/>
            </w:rPr>
            <m:t>T</m:t>
          </m:r>
          <m:r>
            <m:rPr>
              <m:sty m:val="p"/>
            </m:rPr>
            <w:rPr>
              <w:rFonts w:ascii="Cambria Math" w:hAnsi="Cambria Math"/>
            </w:rPr>
            <m:t>1</m:t>
          </m:r>
          <m:r>
            <w:rPr>
              <w:rFonts w:ascii="Cambria Math" w:hAnsi="Cambria Math"/>
            </w:rPr>
            <m:t>MDt</m:t>
          </m:r>
          <m:r>
            <m:rPr>
              <m:sty m:val="p"/>
            </m:rPr>
            <w:rPr>
              <w:rFonts w:ascii="Cambria Math" w:hAnsi="Cambria Math"/>
            </w:rPr>
            <m:t>=</m:t>
          </m:r>
          <m:r>
            <m:rPr>
              <m:nor/>
            </m:rPr>
            <m:t>min</m:t>
          </m:r>
          <m:d>
            <m:dPr>
              <m:begChr m:val="["/>
              <m:endChr m:val="]"/>
              <m:ctrlPr>
                <w:rPr>
                  <w:rFonts w:ascii="Cambria Math" w:hAnsi="Cambria Math"/>
                </w:rPr>
              </m:ctrlPr>
            </m:dPr>
            <m:e>
              <m:nary>
                <m:naryPr>
                  <m:chr m:val="∑"/>
                  <m:limLoc m:val="subSup"/>
                  <m:supHide m:val="1"/>
                  <m:ctrlPr>
                    <w:rPr>
                      <w:rFonts w:ascii="Cambria Math" w:hAnsi="Cambria Math"/>
                    </w:rPr>
                  </m:ctrlPr>
                </m:naryPr>
                <m:sub>
                  <m:r>
                    <w:rPr>
                      <w:rFonts w:ascii="Cambria Math" w:hAnsi="Cambria Math"/>
                    </w:rPr>
                    <m:t>i</m:t>
                  </m:r>
                </m:sub>
                <m:sup/>
                <m:e>
                  <m:sSub>
                    <m:sSubPr>
                      <m:ctrlPr>
                        <w:rPr>
                          <w:rFonts w:ascii="Cambria Math" w:hAnsi="Cambria Math"/>
                        </w:rPr>
                      </m:ctrlPr>
                    </m:sSubPr>
                    <m:e>
                      <m:r>
                        <w:rPr>
                          <w:rFonts w:ascii="Cambria Math" w:hAnsi="Cambria Math"/>
                        </w:rPr>
                        <m:t>C</m:t>
                      </m:r>
                    </m:e>
                    <m:sub>
                      <m:r>
                        <w:rPr>
                          <w:rFonts w:ascii="Cambria Math" w:hAnsi="Cambria Math"/>
                        </w:rPr>
                        <m:t>i</m:t>
                      </m:r>
                    </m:sub>
                  </m:sSub>
                  <m:d>
                    <m:dPr>
                      <m:ctrlPr>
                        <w:rPr>
                          <w:rFonts w:ascii="Cambria Math" w:hAnsi="Cambria Math"/>
                        </w:rPr>
                      </m:ctrlPr>
                    </m:dPr>
                    <m:e>
                      <m:sSub>
                        <m:sSubPr>
                          <m:ctrlPr>
                            <w:rPr>
                              <w:rFonts w:ascii="Cambria Math" w:hAnsi="Cambria Math"/>
                            </w:rPr>
                          </m:ctrlPr>
                        </m:sSubPr>
                        <m:e>
                          <m:r>
                            <w:rPr>
                              <w:rFonts w:ascii="Cambria Math" w:hAnsi="Cambria Math"/>
                            </w:rPr>
                            <m:t>DV</m:t>
                          </m:r>
                        </m:e>
                        <m:sub>
                          <m:r>
                            <w:rPr>
                              <w:rFonts w:ascii="Cambria Math" w:hAnsi="Cambria Math"/>
                            </w:rPr>
                            <m:t>i</m:t>
                          </m:r>
                        </m:sub>
                      </m:sSub>
                      <m:r>
                        <m:rPr>
                          <m:sty m:val="p"/>
                        </m:rPr>
                        <w:rPr>
                          <w:rFonts w:ascii="Cambria Math" w:hAnsi="Cambria Math"/>
                        </w:rPr>
                        <m:t>-</m:t>
                      </m:r>
                      <m:sSub>
                        <m:sSubPr>
                          <m:ctrlPr>
                            <w:rPr>
                              <w:rFonts w:ascii="Cambria Math" w:hAnsi="Cambria Math"/>
                            </w:rPr>
                          </m:ctrlPr>
                        </m:sSubPr>
                        <m:e>
                          <m:r>
                            <w:rPr>
                              <w:rFonts w:ascii="Cambria Math" w:hAnsi="Cambria Math"/>
                            </w:rPr>
                            <m:t>BV</m:t>
                          </m:r>
                        </m:e>
                        <m:sub>
                          <m:r>
                            <w:rPr>
                              <w:rFonts w:ascii="Cambria Math" w:hAnsi="Cambria Math"/>
                            </w:rPr>
                            <m:t>i</m:t>
                          </m:r>
                        </m:sub>
                      </m:sSub>
                    </m:e>
                  </m:d>
                </m:e>
              </m:nary>
              <m:r>
                <m:rPr>
                  <m:sty m:val="p"/>
                </m:rPr>
                <w:rPr>
                  <w:rFonts w:ascii="Cambria Math" w:hAnsi="Cambria Math"/>
                </w:rPr>
                <m:t>,</m:t>
              </m:r>
              <m:r>
                <w:rPr>
                  <w:rFonts w:ascii="Cambria Math" w:hAnsi="Cambria Math"/>
                </w:rPr>
                <m:t>T</m:t>
              </m:r>
              <m:r>
                <m:rPr>
                  <m:sty m:val="p"/>
                </m:rPr>
                <w:rPr>
                  <w:rFonts w:ascii="Cambria Math" w:hAnsi="Cambria Math"/>
                </w:rPr>
                <m:t>1</m:t>
              </m:r>
              <m:r>
                <w:rPr>
                  <w:rFonts w:ascii="Cambria Math" w:hAnsi="Cambria Math"/>
                </w:rPr>
                <m:t>MRA</m:t>
              </m:r>
              <m:r>
                <m:rPr>
                  <m:sty m:val="p"/>
                </m:rPr>
                <w:rPr>
                  <w:rFonts w:ascii="Cambria Math" w:hAnsi="Cambria Math"/>
                </w:rPr>
                <m:t xml:space="preserve">∙0.02 </m:t>
              </m:r>
            </m:e>
          </m:d>
          <m:r>
            <m:rPr>
              <m:sty m:val="p"/>
            </m:rPr>
            <w:rPr>
              <w:rFonts w:ascii="Cambria Math" w:hAnsi="Cambria Math"/>
            </w:rPr>
            <m:t xml:space="preserve"> ∙</m:t>
          </m:r>
          <m:f>
            <m:fPr>
              <m:ctrlPr>
                <w:rPr>
                  <w:rFonts w:ascii="Cambria Math" w:hAnsi="Cambria Math"/>
                </w:rPr>
              </m:ctrlPr>
            </m:fPr>
            <m:num>
              <m:r>
                <w:rPr>
                  <w:rFonts w:ascii="Cambria Math" w:hAnsi="Cambria Math"/>
                </w:rPr>
                <m:t>T</m:t>
              </m:r>
              <m:r>
                <m:rPr>
                  <m:sty m:val="p"/>
                </m:rPr>
                <w:rPr>
                  <w:rFonts w:ascii="Cambria Math" w:hAnsi="Cambria Math"/>
                </w:rPr>
                <m:t>1</m:t>
              </m:r>
              <m:r>
                <w:rPr>
                  <w:rFonts w:ascii="Cambria Math" w:hAnsi="Cambria Math"/>
                </w:rPr>
                <m:t>MRAt</m:t>
              </m:r>
            </m:num>
            <m:den>
              <m:r>
                <w:rPr>
                  <w:rFonts w:ascii="Cambria Math" w:hAnsi="Cambria Math"/>
                </w:rPr>
                <m:t>T</m:t>
              </m:r>
              <m:r>
                <m:rPr>
                  <m:sty m:val="p"/>
                </m:rPr>
                <w:rPr>
                  <w:rFonts w:ascii="Cambria Math" w:hAnsi="Cambria Math"/>
                </w:rPr>
                <m:t>1</m:t>
              </m:r>
              <m:r>
                <w:rPr>
                  <w:rFonts w:ascii="Cambria Math" w:hAnsi="Cambria Math"/>
                </w:rPr>
                <m:t>MRA</m:t>
              </m:r>
            </m:den>
          </m:f>
        </m:oMath>
      </m:oMathPara>
    </w:p>
    <w:p w14:paraId="33112E1C" w14:textId="77777777" w:rsidR="004A1008" w:rsidRPr="00472E36" w:rsidRDefault="004A1008" w:rsidP="004A1008">
      <w:r>
        <w:tab/>
      </w:r>
      <w:r w:rsidRPr="00472E36">
        <w:t>where:</w:t>
      </w:r>
    </w:p>
    <w:tbl>
      <w:tblPr>
        <w:tblStyle w:val="TableGridLight"/>
        <w:tblW w:w="0" w:type="auto"/>
        <w:tblLook w:val="04A0" w:firstRow="1" w:lastRow="0" w:firstColumn="1" w:lastColumn="0" w:noHBand="0" w:noVBand="1"/>
      </w:tblPr>
      <w:tblGrid>
        <w:gridCol w:w="936"/>
        <w:gridCol w:w="7410"/>
      </w:tblGrid>
      <w:tr w:rsidR="004A1008" w14:paraId="1C5DB0AF" w14:textId="77777777" w:rsidTr="004A1008">
        <w:tc>
          <w:tcPr>
            <w:tcW w:w="0" w:type="auto"/>
          </w:tcPr>
          <w:p w14:paraId="3522BD97" w14:textId="77777777" w:rsidR="004A1008" w:rsidRPr="00E63E3E" w:rsidRDefault="004A1008" w:rsidP="004A1008">
            <w:pPr>
              <w:rPr>
                <w:i/>
                <w:iCs/>
              </w:rPr>
            </w:pPr>
            <w:r w:rsidRPr="00E63E3E">
              <w:rPr>
                <w:i/>
                <w:iCs/>
              </w:rPr>
              <w:t>i</w:t>
            </w:r>
          </w:p>
        </w:tc>
        <w:tc>
          <w:tcPr>
            <w:tcW w:w="0" w:type="auto"/>
          </w:tcPr>
          <w:p w14:paraId="10D02665" w14:textId="77777777" w:rsidR="004A1008" w:rsidRPr="00472E36" w:rsidRDefault="004A1008" w:rsidP="004A1008">
            <w:r w:rsidRPr="00472E36">
              <w:t>denotes each Tier 1 Mains Decommissioned Workload Activity</w:t>
            </w:r>
            <w:r>
              <w:t>;</w:t>
            </w:r>
          </w:p>
        </w:tc>
      </w:tr>
      <w:tr w:rsidR="004A1008" w14:paraId="067C5A4E" w14:textId="77777777" w:rsidTr="004A1008">
        <w:tc>
          <w:tcPr>
            <w:tcW w:w="0" w:type="auto"/>
          </w:tcPr>
          <w:p w14:paraId="514FE1B2" w14:textId="77777777" w:rsidR="004A1008" w:rsidRPr="00E63E3E" w:rsidRDefault="004A1008" w:rsidP="004A1008">
            <w:pPr>
              <w:rPr>
                <w:i/>
                <w:iCs/>
              </w:rPr>
            </w:pPr>
            <w:r w:rsidRPr="00E63E3E">
              <w:rPr>
                <w:i/>
                <w:iCs/>
              </w:rPr>
              <w:t>DV</w:t>
            </w:r>
            <w:r w:rsidRPr="00985F61">
              <w:rPr>
                <w:i/>
                <w:iCs/>
                <w:vertAlign w:val="subscript"/>
              </w:rPr>
              <w:t>i</w:t>
            </w:r>
          </w:p>
        </w:tc>
        <w:tc>
          <w:tcPr>
            <w:tcW w:w="0" w:type="auto"/>
          </w:tcPr>
          <w:p w14:paraId="00924561" w14:textId="77777777" w:rsidR="004A1008" w:rsidRPr="00472E36" w:rsidRDefault="004A1008" w:rsidP="004A1008">
            <w:r w:rsidRPr="00472E36">
              <w:t>means the Outturn Workload of Tier 1 Decommissioned Mains within the relevant Tier 1 Decommissioned Mains Workload Activity</w:t>
            </w:r>
            <w:r>
              <w:t>;</w:t>
            </w:r>
          </w:p>
        </w:tc>
      </w:tr>
      <w:tr w:rsidR="009621C8" w14:paraId="60F4687E" w14:textId="77777777" w:rsidTr="004A1008">
        <w:tc>
          <w:tcPr>
            <w:tcW w:w="0" w:type="auto"/>
          </w:tcPr>
          <w:p w14:paraId="6BA1216D" w14:textId="4AE143B5" w:rsidR="009621C8" w:rsidRPr="00E63E3E" w:rsidRDefault="009621C8" w:rsidP="004A1008">
            <w:pPr>
              <w:rPr>
                <w:i/>
                <w:iCs/>
              </w:rPr>
            </w:pPr>
            <w:r w:rsidRPr="00E63E3E">
              <w:rPr>
                <w:i/>
                <w:iCs/>
              </w:rPr>
              <w:t>BV</w:t>
            </w:r>
            <w:r w:rsidRPr="00985F61">
              <w:rPr>
                <w:i/>
                <w:iCs/>
                <w:vertAlign w:val="subscript"/>
              </w:rPr>
              <w:t>i</w:t>
            </w:r>
          </w:p>
        </w:tc>
        <w:tc>
          <w:tcPr>
            <w:tcW w:w="0" w:type="auto"/>
          </w:tcPr>
          <w:p w14:paraId="1F8C35B0" w14:textId="59F4B900" w:rsidR="009621C8" w:rsidRPr="00472E36" w:rsidRDefault="009621C8" w:rsidP="004A1008">
            <w:r w:rsidRPr="00472E36">
              <w:t xml:space="preserve">means the Baseline Volume of Tier 1 Mains Decommissioned within the relevant Tier 1 Mains Decommissioned Workload Activity, as set out in Appendix </w:t>
            </w:r>
            <w:r>
              <w:t>1;</w:t>
            </w:r>
          </w:p>
        </w:tc>
      </w:tr>
      <w:tr w:rsidR="009621C8" w14:paraId="1C27A804" w14:textId="77777777" w:rsidTr="004A1008">
        <w:tc>
          <w:tcPr>
            <w:tcW w:w="0" w:type="auto"/>
          </w:tcPr>
          <w:p w14:paraId="1B599586" w14:textId="2F37B834" w:rsidR="009621C8" w:rsidRPr="00E63E3E" w:rsidRDefault="009621C8" w:rsidP="004A1008">
            <w:pPr>
              <w:rPr>
                <w:i/>
                <w:iCs/>
              </w:rPr>
            </w:pPr>
            <w:r w:rsidRPr="00E63E3E">
              <w:rPr>
                <w:i/>
                <w:iCs/>
              </w:rPr>
              <w:lastRenderedPageBreak/>
              <w:t>C</w:t>
            </w:r>
            <w:r w:rsidRPr="00985F61">
              <w:rPr>
                <w:i/>
                <w:iCs/>
                <w:vertAlign w:val="subscript"/>
              </w:rPr>
              <w:t>i</w:t>
            </w:r>
          </w:p>
        </w:tc>
        <w:tc>
          <w:tcPr>
            <w:tcW w:w="0" w:type="auto"/>
          </w:tcPr>
          <w:p w14:paraId="56C9F0CC" w14:textId="45CF8F6B" w:rsidR="009621C8" w:rsidRPr="00472E36" w:rsidRDefault="009621C8" w:rsidP="004A1008">
            <w:r w:rsidRPr="00472E36">
              <w:t xml:space="preserve">means the Allowed Unit Cost of Tier 1 Mains Decommissioned within the relevant Tier 1 Mains Decommissioned Workload Activity as set out in Appendix </w:t>
            </w:r>
            <w:r>
              <w:t>1; and</w:t>
            </w:r>
          </w:p>
        </w:tc>
      </w:tr>
      <w:tr w:rsidR="009621C8" w14:paraId="55108FFE" w14:textId="77777777" w:rsidTr="004A1008">
        <w:tc>
          <w:tcPr>
            <w:tcW w:w="0" w:type="auto"/>
          </w:tcPr>
          <w:p w14:paraId="38655621" w14:textId="7E9C57AE" w:rsidR="009621C8" w:rsidRPr="00E63E3E" w:rsidRDefault="009621C8" w:rsidP="004A1008">
            <w:pPr>
              <w:rPr>
                <w:i/>
                <w:iCs/>
              </w:rPr>
            </w:pPr>
            <w:r w:rsidRPr="00E63E3E">
              <w:rPr>
                <w:i/>
                <w:iCs/>
              </w:rPr>
              <w:t>T1MRA</w:t>
            </w:r>
          </w:p>
        </w:tc>
        <w:tc>
          <w:tcPr>
            <w:tcW w:w="0" w:type="auto"/>
          </w:tcPr>
          <w:p w14:paraId="22A5FE11" w14:textId="1049C871" w:rsidR="009621C8" w:rsidRPr="00472E36" w:rsidRDefault="009621C8" w:rsidP="004A1008">
            <w:r w:rsidRPr="00472E36">
              <w:t xml:space="preserve">means the Tier 1 Mains Baseline Value, as set out in Appendix </w:t>
            </w:r>
            <w:r>
              <w:t>2</w:t>
            </w:r>
            <w:r w:rsidRPr="00472E36">
              <w:t>.</w:t>
            </w:r>
          </w:p>
        </w:tc>
      </w:tr>
    </w:tbl>
    <w:p w14:paraId="7BAE95D4" w14:textId="77777777" w:rsidR="004A1008" w:rsidRDefault="004A1008" w:rsidP="004A1008"/>
    <w:p w14:paraId="2F7AE70A" w14:textId="77777777" w:rsidR="004A1008" w:rsidRPr="00472E36" w:rsidRDefault="004A1008" w:rsidP="004A1008">
      <w:pPr>
        <w:pStyle w:val="Heading3"/>
        <w:numPr>
          <w:ilvl w:val="5"/>
          <w:numId w:val="7"/>
        </w:numPr>
      </w:pPr>
      <w:r>
        <w:t>What is the licensee funded to deliver?</w:t>
      </w:r>
    </w:p>
    <w:p w14:paraId="18FE3CD5" w14:textId="77777777" w:rsidR="004A1008" w:rsidRPr="00472E36" w:rsidRDefault="004A1008" w:rsidP="004A1008">
      <w:pPr>
        <w:pStyle w:val="NumberedNormal"/>
        <w:numPr>
          <w:ilvl w:val="2"/>
          <w:numId w:val="7"/>
        </w:numPr>
      </w:pPr>
      <w:r>
        <w:t xml:space="preserve">The licensee is funded to deliver a Baseline Target Workload of Tier 1 Mains Decommissioned during the Price Control Period, as set out in Appendix 1. </w:t>
      </w:r>
    </w:p>
    <w:p w14:paraId="313E7408" w14:textId="1D262A1D" w:rsidR="004A1008" w:rsidRPr="00472E36" w:rsidRDefault="009621C8" w:rsidP="004A1008">
      <w:pPr>
        <w:pStyle w:val="Heading3"/>
        <w:numPr>
          <w:ilvl w:val="5"/>
          <w:numId w:val="7"/>
        </w:numPr>
      </w:pPr>
      <w:r>
        <w:t>Reporting requirements</w:t>
      </w:r>
    </w:p>
    <w:p w14:paraId="67421B6B" w14:textId="77777777" w:rsidR="004A1008" w:rsidRPr="00472E36" w:rsidRDefault="004A1008" w:rsidP="004A1008">
      <w:pPr>
        <w:pStyle w:val="NumberedNormal"/>
        <w:numPr>
          <w:ilvl w:val="2"/>
          <w:numId w:val="7"/>
        </w:numPr>
      </w:pPr>
      <w:r w:rsidRPr="00472E36">
        <w:t xml:space="preserve">If T1MR is more than 2% below </w:t>
      </w:r>
      <m:oMath>
        <m:r>
          <m:rPr>
            <m:sty m:val="p"/>
          </m:rPr>
          <w:rPr>
            <w:rFonts w:ascii="Cambria Math" w:hAnsi="Cambria Math"/>
          </w:rPr>
          <m:t xml:space="preserve">T1MRA </m:t>
        </m:r>
      </m:oMath>
      <w:r w:rsidRPr="00472E36">
        <w:t>then the licensee must submit to the Authority a report for publication that details the reasons for, and effects of, this under-delivery in a format directed by the Authority.</w:t>
      </w:r>
    </w:p>
    <w:p w14:paraId="6E22B9A6" w14:textId="77777777" w:rsidR="004A1008" w:rsidRPr="00472E36" w:rsidRDefault="004A1008" w:rsidP="004A1008">
      <w:pPr>
        <w:pStyle w:val="AppendixHeading"/>
      </w:pPr>
    </w:p>
    <w:p w14:paraId="45391715" w14:textId="77777777" w:rsidR="004A1008" w:rsidRPr="00761A2F" w:rsidRDefault="004A1008" w:rsidP="004A1008">
      <w:pPr>
        <w:pStyle w:val="Caption"/>
      </w:pPr>
      <w:r w:rsidRPr="00761A2F">
        <w:t>Tier 1 Mains Decommissioned Baseline Target Workloads and Unit Costs</w:t>
      </w:r>
    </w:p>
    <w:tbl>
      <w:tblPr>
        <w:tblStyle w:val="AppendixTable"/>
        <w:tblW w:w="0" w:type="auto"/>
        <w:tblLook w:val="04A0" w:firstRow="1" w:lastRow="0" w:firstColumn="1" w:lastColumn="0" w:noHBand="0" w:noVBand="1"/>
      </w:tblPr>
      <w:tblGrid>
        <w:gridCol w:w="1837"/>
        <w:gridCol w:w="3406"/>
        <w:gridCol w:w="2207"/>
        <w:gridCol w:w="1576"/>
      </w:tblGrid>
      <w:tr w:rsidR="004A1008" w:rsidRPr="00722D08" w14:paraId="6FC2B342" w14:textId="77777777" w:rsidTr="00F543B6">
        <w:trPr>
          <w:cnfStyle w:val="100000000000" w:firstRow="1" w:lastRow="0" w:firstColumn="0" w:lastColumn="0" w:oddVBand="0" w:evenVBand="0" w:oddHBand="0" w:evenHBand="0" w:firstRowFirstColumn="0" w:firstRowLastColumn="0" w:lastRowFirstColumn="0" w:lastRowLastColumn="0"/>
          <w:trHeight w:val="305"/>
        </w:trPr>
        <w:tc>
          <w:tcPr>
            <w:tcW w:w="0" w:type="auto"/>
          </w:tcPr>
          <w:p w14:paraId="3A374B2F" w14:textId="77777777" w:rsidR="004A1008" w:rsidRPr="00472E36" w:rsidRDefault="004A1008" w:rsidP="004A1008">
            <w:r w:rsidRPr="00472E36">
              <w:t>Licensee</w:t>
            </w:r>
          </w:p>
        </w:tc>
        <w:tc>
          <w:tcPr>
            <w:tcW w:w="0" w:type="auto"/>
          </w:tcPr>
          <w:p w14:paraId="764C19A5" w14:textId="77777777" w:rsidR="004A1008" w:rsidRPr="00472E36" w:rsidRDefault="004A1008" w:rsidP="004A1008">
            <w:r w:rsidRPr="00472E36">
              <w:t>Diameter band of decommissioned pipe</w:t>
            </w:r>
          </w:p>
        </w:tc>
        <w:tc>
          <w:tcPr>
            <w:tcW w:w="0" w:type="auto"/>
          </w:tcPr>
          <w:p w14:paraId="6080CB65" w14:textId="77777777" w:rsidR="004A1008" w:rsidRPr="00472E36" w:rsidRDefault="004A1008" w:rsidP="004A1008">
            <w:r w:rsidRPr="00472E36">
              <w:t>Baseline Target Workload</w:t>
            </w:r>
          </w:p>
        </w:tc>
        <w:tc>
          <w:tcPr>
            <w:tcW w:w="0" w:type="auto"/>
          </w:tcPr>
          <w:p w14:paraId="4807D6A8" w14:textId="77777777" w:rsidR="004A1008" w:rsidRPr="00472E36" w:rsidRDefault="004A1008" w:rsidP="004A1008">
            <w:r w:rsidRPr="00472E36">
              <w:t>Allowed Unit Cost</w:t>
            </w:r>
          </w:p>
        </w:tc>
      </w:tr>
      <w:tr w:rsidR="004A1008" w:rsidRPr="00722D08" w14:paraId="593EE0A4" w14:textId="77777777" w:rsidTr="00F543B6">
        <w:trPr>
          <w:trHeight w:val="321"/>
        </w:trPr>
        <w:tc>
          <w:tcPr>
            <w:tcW w:w="0" w:type="auto"/>
          </w:tcPr>
          <w:p w14:paraId="1B63EF14" w14:textId="77777777" w:rsidR="004A1008" w:rsidRPr="00472E36" w:rsidRDefault="004A1008" w:rsidP="004A1008">
            <w:r w:rsidRPr="00472E36">
              <w:t>Cadent East of England</w:t>
            </w:r>
          </w:p>
        </w:tc>
        <w:tc>
          <w:tcPr>
            <w:tcW w:w="0" w:type="auto"/>
          </w:tcPr>
          <w:p w14:paraId="63D78EBB" w14:textId="77777777" w:rsidR="004A1008" w:rsidRPr="00472E36" w:rsidRDefault="004A1008" w:rsidP="004A1008">
            <w:r w:rsidRPr="00472E36">
              <w:t>≤3"</w:t>
            </w:r>
          </w:p>
        </w:tc>
        <w:tc>
          <w:tcPr>
            <w:tcW w:w="0" w:type="auto"/>
          </w:tcPr>
          <w:p w14:paraId="5F8B8C2D" w14:textId="77777777" w:rsidR="004A1008" w:rsidRPr="00472E36" w:rsidRDefault="004A1008" w:rsidP="004A1008"/>
        </w:tc>
        <w:tc>
          <w:tcPr>
            <w:tcW w:w="0" w:type="auto"/>
          </w:tcPr>
          <w:p w14:paraId="078D77F0" w14:textId="77777777" w:rsidR="004A1008" w:rsidRPr="00472E36" w:rsidRDefault="004A1008" w:rsidP="004A1008"/>
        </w:tc>
      </w:tr>
      <w:tr w:rsidR="004A1008" w:rsidRPr="00722D08" w14:paraId="7E07E8A7" w14:textId="77777777" w:rsidTr="00F543B6">
        <w:trPr>
          <w:trHeight w:val="321"/>
        </w:trPr>
        <w:tc>
          <w:tcPr>
            <w:tcW w:w="0" w:type="auto"/>
          </w:tcPr>
          <w:p w14:paraId="5C3CE518" w14:textId="77777777" w:rsidR="004A1008" w:rsidRPr="00472E36" w:rsidRDefault="004A1008" w:rsidP="004A1008">
            <w:r w:rsidRPr="00472E36">
              <w:t>Cadent East of England</w:t>
            </w:r>
          </w:p>
        </w:tc>
        <w:tc>
          <w:tcPr>
            <w:tcW w:w="0" w:type="auto"/>
          </w:tcPr>
          <w:p w14:paraId="272DAAAE" w14:textId="77777777" w:rsidR="004A1008" w:rsidRPr="00472E36" w:rsidRDefault="004A1008" w:rsidP="004A1008">
            <w:r w:rsidRPr="00472E36">
              <w:t>4"-5"</w:t>
            </w:r>
          </w:p>
        </w:tc>
        <w:tc>
          <w:tcPr>
            <w:tcW w:w="0" w:type="auto"/>
          </w:tcPr>
          <w:p w14:paraId="1DF98A56" w14:textId="77777777" w:rsidR="004A1008" w:rsidRPr="00472E36" w:rsidRDefault="004A1008" w:rsidP="004A1008"/>
        </w:tc>
        <w:tc>
          <w:tcPr>
            <w:tcW w:w="0" w:type="auto"/>
          </w:tcPr>
          <w:p w14:paraId="093CD6C5" w14:textId="77777777" w:rsidR="004A1008" w:rsidRPr="00472E36" w:rsidRDefault="004A1008" w:rsidP="004A1008"/>
        </w:tc>
      </w:tr>
      <w:tr w:rsidR="004A1008" w:rsidRPr="00722D08" w14:paraId="528DF04C" w14:textId="77777777" w:rsidTr="00F543B6">
        <w:trPr>
          <w:trHeight w:val="321"/>
        </w:trPr>
        <w:tc>
          <w:tcPr>
            <w:tcW w:w="0" w:type="auto"/>
          </w:tcPr>
          <w:p w14:paraId="10754B80" w14:textId="77777777" w:rsidR="004A1008" w:rsidRPr="00472E36" w:rsidRDefault="004A1008" w:rsidP="004A1008">
            <w:r w:rsidRPr="00472E36">
              <w:t>Cadent East of England</w:t>
            </w:r>
          </w:p>
        </w:tc>
        <w:tc>
          <w:tcPr>
            <w:tcW w:w="0" w:type="auto"/>
          </w:tcPr>
          <w:p w14:paraId="7EDE38A6" w14:textId="77777777" w:rsidR="004A1008" w:rsidRPr="00472E36" w:rsidRDefault="004A1008" w:rsidP="004A1008">
            <w:r w:rsidRPr="00472E36">
              <w:t>6"-7"</w:t>
            </w:r>
          </w:p>
        </w:tc>
        <w:tc>
          <w:tcPr>
            <w:tcW w:w="0" w:type="auto"/>
          </w:tcPr>
          <w:p w14:paraId="2E303FA0" w14:textId="77777777" w:rsidR="004A1008" w:rsidRPr="00472E36" w:rsidRDefault="004A1008" w:rsidP="004A1008"/>
        </w:tc>
        <w:tc>
          <w:tcPr>
            <w:tcW w:w="0" w:type="auto"/>
          </w:tcPr>
          <w:p w14:paraId="0C05B8C4" w14:textId="77777777" w:rsidR="004A1008" w:rsidRPr="00472E36" w:rsidRDefault="004A1008" w:rsidP="004A1008"/>
        </w:tc>
      </w:tr>
      <w:tr w:rsidR="004A1008" w:rsidRPr="00722D08" w14:paraId="694F9A12" w14:textId="77777777" w:rsidTr="00F543B6">
        <w:trPr>
          <w:trHeight w:val="321"/>
        </w:trPr>
        <w:tc>
          <w:tcPr>
            <w:tcW w:w="0" w:type="auto"/>
          </w:tcPr>
          <w:p w14:paraId="2A487D2F" w14:textId="77777777" w:rsidR="004A1008" w:rsidRPr="00472E36" w:rsidRDefault="004A1008" w:rsidP="004A1008">
            <w:r w:rsidRPr="00472E36">
              <w:t>Cadent East of England</w:t>
            </w:r>
          </w:p>
        </w:tc>
        <w:tc>
          <w:tcPr>
            <w:tcW w:w="0" w:type="auto"/>
          </w:tcPr>
          <w:p w14:paraId="39F74B4B" w14:textId="77777777" w:rsidR="004A1008" w:rsidRPr="00472E36" w:rsidRDefault="004A1008" w:rsidP="004A1008">
            <w:r w:rsidRPr="00472E36">
              <w:t>8"</w:t>
            </w:r>
          </w:p>
        </w:tc>
        <w:tc>
          <w:tcPr>
            <w:tcW w:w="0" w:type="auto"/>
          </w:tcPr>
          <w:p w14:paraId="5F104034" w14:textId="77777777" w:rsidR="004A1008" w:rsidRPr="00472E36" w:rsidRDefault="004A1008" w:rsidP="004A1008"/>
        </w:tc>
        <w:tc>
          <w:tcPr>
            <w:tcW w:w="0" w:type="auto"/>
          </w:tcPr>
          <w:p w14:paraId="0D7C016E" w14:textId="77777777" w:rsidR="004A1008" w:rsidRPr="00472E36" w:rsidRDefault="004A1008" w:rsidP="004A1008"/>
        </w:tc>
      </w:tr>
    </w:tbl>
    <w:p w14:paraId="0EE1CCED" w14:textId="77777777" w:rsidR="004A1008" w:rsidRPr="00472E36" w:rsidRDefault="004A1008" w:rsidP="004A1008">
      <w:pPr>
        <w:pStyle w:val="Caption"/>
      </w:pPr>
    </w:p>
    <w:tbl>
      <w:tblPr>
        <w:tblStyle w:val="AppendixTable"/>
        <w:tblW w:w="0" w:type="auto"/>
        <w:tblLook w:val="04A0" w:firstRow="1" w:lastRow="0" w:firstColumn="1" w:lastColumn="0" w:noHBand="0" w:noVBand="1"/>
      </w:tblPr>
      <w:tblGrid>
        <w:gridCol w:w="1412"/>
        <w:gridCol w:w="3605"/>
        <w:gridCol w:w="2349"/>
        <w:gridCol w:w="1660"/>
      </w:tblGrid>
      <w:tr w:rsidR="004A1008" w:rsidRPr="00722D08" w14:paraId="7F1A10E9" w14:textId="77777777" w:rsidTr="00F543B6">
        <w:trPr>
          <w:cnfStyle w:val="100000000000" w:firstRow="1" w:lastRow="0" w:firstColumn="0" w:lastColumn="0" w:oddVBand="0" w:evenVBand="0" w:oddHBand="0" w:evenHBand="0" w:firstRowFirstColumn="0" w:firstRowLastColumn="0" w:lastRowFirstColumn="0" w:lastRowLastColumn="0"/>
          <w:trHeight w:val="305"/>
        </w:trPr>
        <w:tc>
          <w:tcPr>
            <w:tcW w:w="0" w:type="auto"/>
          </w:tcPr>
          <w:p w14:paraId="077F609D" w14:textId="77777777" w:rsidR="004A1008" w:rsidRPr="00472E36" w:rsidRDefault="004A1008" w:rsidP="004A1008">
            <w:r w:rsidRPr="00472E36">
              <w:t>Licensee</w:t>
            </w:r>
          </w:p>
        </w:tc>
        <w:tc>
          <w:tcPr>
            <w:tcW w:w="0" w:type="auto"/>
          </w:tcPr>
          <w:p w14:paraId="3CAA2992" w14:textId="77777777" w:rsidR="004A1008" w:rsidRPr="00472E36" w:rsidRDefault="004A1008" w:rsidP="004A1008">
            <w:r w:rsidRPr="00472E36">
              <w:t>Diameter band of decommissioned pipe</w:t>
            </w:r>
          </w:p>
        </w:tc>
        <w:tc>
          <w:tcPr>
            <w:tcW w:w="0" w:type="auto"/>
          </w:tcPr>
          <w:p w14:paraId="6709AB44" w14:textId="77777777" w:rsidR="004A1008" w:rsidRPr="00472E36" w:rsidRDefault="004A1008" w:rsidP="004A1008">
            <w:r w:rsidRPr="00472E36">
              <w:t>Baseline Target Workload</w:t>
            </w:r>
          </w:p>
        </w:tc>
        <w:tc>
          <w:tcPr>
            <w:tcW w:w="0" w:type="auto"/>
          </w:tcPr>
          <w:p w14:paraId="78FC38C0" w14:textId="77777777" w:rsidR="004A1008" w:rsidRPr="00472E36" w:rsidRDefault="004A1008" w:rsidP="004A1008">
            <w:r w:rsidRPr="00472E36">
              <w:t>Allowed Unit Cost</w:t>
            </w:r>
          </w:p>
        </w:tc>
      </w:tr>
      <w:tr w:rsidR="004A1008" w:rsidRPr="00722D08" w14:paraId="5ACC8DBF" w14:textId="77777777" w:rsidTr="00F543B6">
        <w:trPr>
          <w:trHeight w:val="321"/>
        </w:trPr>
        <w:tc>
          <w:tcPr>
            <w:tcW w:w="0" w:type="auto"/>
          </w:tcPr>
          <w:p w14:paraId="2607C1E4" w14:textId="77777777" w:rsidR="004A1008" w:rsidRPr="00472E36" w:rsidRDefault="004A1008" w:rsidP="004A1008">
            <w:r w:rsidRPr="00472E36">
              <w:t>Cadent London</w:t>
            </w:r>
          </w:p>
        </w:tc>
        <w:tc>
          <w:tcPr>
            <w:tcW w:w="0" w:type="auto"/>
          </w:tcPr>
          <w:p w14:paraId="12A61C6D" w14:textId="77777777" w:rsidR="004A1008" w:rsidRPr="00472E36" w:rsidRDefault="004A1008" w:rsidP="004A1008">
            <w:r w:rsidRPr="00472E36">
              <w:t>≤3"</w:t>
            </w:r>
          </w:p>
        </w:tc>
        <w:tc>
          <w:tcPr>
            <w:tcW w:w="0" w:type="auto"/>
          </w:tcPr>
          <w:p w14:paraId="099D37D9" w14:textId="77777777" w:rsidR="004A1008" w:rsidRPr="00472E36" w:rsidRDefault="004A1008" w:rsidP="004A1008"/>
        </w:tc>
        <w:tc>
          <w:tcPr>
            <w:tcW w:w="0" w:type="auto"/>
          </w:tcPr>
          <w:p w14:paraId="6F7446C9" w14:textId="77777777" w:rsidR="004A1008" w:rsidRPr="00472E36" w:rsidRDefault="004A1008" w:rsidP="004A1008"/>
        </w:tc>
      </w:tr>
      <w:tr w:rsidR="004A1008" w:rsidRPr="00722D08" w14:paraId="7EC8E5C9" w14:textId="77777777" w:rsidTr="00F543B6">
        <w:trPr>
          <w:trHeight w:val="321"/>
        </w:trPr>
        <w:tc>
          <w:tcPr>
            <w:tcW w:w="0" w:type="auto"/>
          </w:tcPr>
          <w:p w14:paraId="7466B49F" w14:textId="77777777" w:rsidR="004A1008" w:rsidRPr="00472E36" w:rsidRDefault="004A1008" w:rsidP="004A1008">
            <w:r w:rsidRPr="00472E36">
              <w:t>Cadent London</w:t>
            </w:r>
          </w:p>
        </w:tc>
        <w:tc>
          <w:tcPr>
            <w:tcW w:w="0" w:type="auto"/>
          </w:tcPr>
          <w:p w14:paraId="232C289B" w14:textId="77777777" w:rsidR="004A1008" w:rsidRPr="00472E36" w:rsidRDefault="004A1008" w:rsidP="004A1008">
            <w:r w:rsidRPr="00472E36">
              <w:t>4"-5"</w:t>
            </w:r>
          </w:p>
        </w:tc>
        <w:tc>
          <w:tcPr>
            <w:tcW w:w="0" w:type="auto"/>
          </w:tcPr>
          <w:p w14:paraId="701E8B10" w14:textId="77777777" w:rsidR="004A1008" w:rsidRPr="00472E36" w:rsidRDefault="004A1008" w:rsidP="004A1008"/>
        </w:tc>
        <w:tc>
          <w:tcPr>
            <w:tcW w:w="0" w:type="auto"/>
          </w:tcPr>
          <w:p w14:paraId="5EC9CCF6" w14:textId="77777777" w:rsidR="004A1008" w:rsidRPr="00472E36" w:rsidRDefault="004A1008" w:rsidP="004A1008"/>
        </w:tc>
      </w:tr>
      <w:tr w:rsidR="004A1008" w:rsidRPr="00722D08" w14:paraId="53584450" w14:textId="77777777" w:rsidTr="00F543B6">
        <w:trPr>
          <w:trHeight w:val="321"/>
        </w:trPr>
        <w:tc>
          <w:tcPr>
            <w:tcW w:w="0" w:type="auto"/>
          </w:tcPr>
          <w:p w14:paraId="7C2449D9" w14:textId="77777777" w:rsidR="004A1008" w:rsidRPr="00472E36" w:rsidRDefault="004A1008" w:rsidP="004A1008">
            <w:r w:rsidRPr="00472E36">
              <w:t>Cadent London</w:t>
            </w:r>
          </w:p>
        </w:tc>
        <w:tc>
          <w:tcPr>
            <w:tcW w:w="0" w:type="auto"/>
          </w:tcPr>
          <w:p w14:paraId="17321786" w14:textId="77777777" w:rsidR="004A1008" w:rsidRPr="00472E36" w:rsidRDefault="004A1008" w:rsidP="004A1008">
            <w:r w:rsidRPr="00472E36">
              <w:t>6"-7"</w:t>
            </w:r>
          </w:p>
        </w:tc>
        <w:tc>
          <w:tcPr>
            <w:tcW w:w="0" w:type="auto"/>
          </w:tcPr>
          <w:p w14:paraId="77BD35BC" w14:textId="77777777" w:rsidR="004A1008" w:rsidRPr="00472E36" w:rsidRDefault="004A1008" w:rsidP="004A1008"/>
        </w:tc>
        <w:tc>
          <w:tcPr>
            <w:tcW w:w="0" w:type="auto"/>
          </w:tcPr>
          <w:p w14:paraId="30C36722" w14:textId="77777777" w:rsidR="004A1008" w:rsidRPr="00472E36" w:rsidRDefault="004A1008" w:rsidP="004A1008"/>
        </w:tc>
      </w:tr>
    </w:tbl>
    <w:p w14:paraId="60A62AC7" w14:textId="77777777" w:rsidR="004A1008" w:rsidRPr="00472E36" w:rsidRDefault="004A1008" w:rsidP="004A1008">
      <w:pPr>
        <w:pStyle w:val="Caption"/>
      </w:pPr>
    </w:p>
    <w:tbl>
      <w:tblPr>
        <w:tblStyle w:val="AppendixTable"/>
        <w:tblW w:w="0" w:type="auto"/>
        <w:tblLook w:val="04A0" w:firstRow="1" w:lastRow="0" w:firstColumn="1" w:lastColumn="0" w:noHBand="0" w:noVBand="1"/>
      </w:tblPr>
      <w:tblGrid>
        <w:gridCol w:w="1635"/>
        <w:gridCol w:w="3501"/>
        <w:gridCol w:w="2274"/>
        <w:gridCol w:w="1616"/>
      </w:tblGrid>
      <w:tr w:rsidR="004A1008" w:rsidRPr="00722D08" w14:paraId="03C2879B" w14:textId="77777777" w:rsidTr="00F543B6">
        <w:trPr>
          <w:cnfStyle w:val="100000000000" w:firstRow="1" w:lastRow="0" w:firstColumn="0" w:lastColumn="0" w:oddVBand="0" w:evenVBand="0" w:oddHBand="0" w:evenHBand="0" w:firstRowFirstColumn="0" w:firstRowLastColumn="0" w:lastRowFirstColumn="0" w:lastRowLastColumn="0"/>
          <w:trHeight w:val="305"/>
        </w:trPr>
        <w:tc>
          <w:tcPr>
            <w:tcW w:w="0" w:type="auto"/>
          </w:tcPr>
          <w:p w14:paraId="61C3FA58" w14:textId="77777777" w:rsidR="004A1008" w:rsidRPr="00472E36" w:rsidRDefault="004A1008" w:rsidP="004A1008">
            <w:r w:rsidRPr="00472E36">
              <w:t>Licensee</w:t>
            </w:r>
          </w:p>
        </w:tc>
        <w:tc>
          <w:tcPr>
            <w:tcW w:w="0" w:type="auto"/>
          </w:tcPr>
          <w:p w14:paraId="3667EAF2" w14:textId="77777777" w:rsidR="004A1008" w:rsidRPr="00472E36" w:rsidRDefault="004A1008" w:rsidP="004A1008">
            <w:r w:rsidRPr="00472E36">
              <w:t>Diameter band of decommissioned pipe</w:t>
            </w:r>
          </w:p>
        </w:tc>
        <w:tc>
          <w:tcPr>
            <w:tcW w:w="0" w:type="auto"/>
          </w:tcPr>
          <w:p w14:paraId="4BAD0BBF" w14:textId="77777777" w:rsidR="004A1008" w:rsidRPr="00472E36" w:rsidRDefault="004A1008" w:rsidP="004A1008">
            <w:r w:rsidRPr="00472E36">
              <w:t>Baseline Target Workload</w:t>
            </w:r>
          </w:p>
        </w:tc>
        <w:tc>
          <w:tcPr>
            <w:tcW w:w="0" w:type="auto"/>
          </w:tcPr>
          <w:p w14:paraId="48A88351" w14:textId="77777777" w:rsidR="004A1008" w:rsidRPr="00472E36" w:rsidRDefault="004A1008" w:rsidP="004A1008">
            <w:r w:rsidRPr="00472E36">
              <w:t>Allowed Unit Cost</w:t>
            </w:r>
          </w:p>
        </w:tc>
      </w:tr>
      <w:tr w:rsidR="004A1008" w:rsidRPr="00722D08" w14:paraId="7C16FCC4" w14:textId="77777777" w:rsidTr="00F543B6">
        <w:trPr>
          <w:trHeight w:val="321"/>
        </w:trPr>
        <w:tc>
          <w:tcPr>
            <w:tcW w:w="0" w:type="auto"/>
          </w:tcPr>
          <w:p w14:paraId="58D8FC3B" w14:textId="77777777" w:rsidR="004A1008" w:rsidRPr="00472E36" w:rsidRDefault="004A1008" w:rsidP="004A1008">
            <w:r w:rsidRPr="00472E36">
              <w:t>Cadent North West</w:t>
            </w:r>
          </w:p>
        </w:tc>
        <w:tc>
          <w:tcPr>
            <w:tcW w:w="0" w:type="auto"/>
          </w:tcPr>
          <w:p w14:paraId="175142BF" w14:textId="77777777" w:rsidR="004A1008" w:rsidRPr="00472E36" w:rsidRDefault="004A1008" w:rsidP="004A1008">
            <w:r w:rsidRPr="00472E36">
              <w:t>≤3"</w:t>
            </w:r>
          </w:p>
        </w:tc>
        <w:tc>
          <w:tcPr>
            <w:tcW w:w="0" w:type="auto"/>
          </w:tcPr>
          <w:p w14:paraId="237A4EAA" w14:textId="77777777" w:rsidR="004A1008" w:rsidRPr="00472E36" w:rsidRDefault="004A1008" w:rsidP="004A1008"/>
        </w:tc>
        <w:tc>
          <w:tcPr>
            <w:tcW w:w="0" w:type="auto"/>
          </w:tcPr>
          <w:p w14:paraId="262888DB" w14:textId="77777777" w:rsidR="004A1008" w:rsidRPr="00472E36" w:rsidRDefault="004A1008" w:rsidP="004A1008"/>
        </w:tc>
      </w:tr>
      <w:tr w:rsidR="004A1008" w:rsidRPr="00722D08" w14:paraId="5DA8E4B0" w14:textId="77777777" w:rsidTr="00F543B6">
        <w:trPr>
          <w:trHeight w:val="321"/>
        </w:trPr>
        <w:tc>
          <w:tcPr>
            <w:tcW w:w="0" w:type="auto"/>
          </w:tcPr>
          <w:p w14:paraId="18EBE8C9" w14:textId="77777777" w:rsidR="004A1008" w:rsidRPr="00472E36" w:rsidRDefault="004A1008" w:rsidP="004A1008">
            <w:r w:rsidRPr="00472E36">
              <w:t>Cadent North West</w:t>
            </w:r>
          </w:p>
        </w:tc>
        <w:tc>
          <w:tcPr>
            <w:tcW w:w="0" w:type="auto"/>
          </w:tcPr>
          <w:p w14:paraId="2D4E2AFB" w14:textId="77777777" w:rsidR="004A1008" w:rsidRPr="00472E36" w:rsidRDefault="004A1008" w:rsidP="004A1008">
            <w:r w:rsidRPr="00472E36">
              <w:t>4"-5"</w:t>
            </w:r>
          </w:p>
        </w:tc>
        <w:tc>
          <w:tcPr>
            <w:tcW w:w="0" w:type="auto"/>
          </w:tcPr>
          <w:p w14:paraId="2AD3AF5C" w14:textId="77777777" w:rsidR="004A1008" w:rsidRPr="00472E36" w:rsidRDefault="004A1008" w:rsidP="004A1008"/>
        </w:tc>
        <w:tc>
          <w:tcPr>
            <w:tcW w:w="0" w:type="auto"/>
          </w:tcPr>
          <w:p w14:paraId="15FB1D8A" w14:textId="77777777" w:rsidR="004A1008" w:rsidRPr="00472E36" w:rsidRDefault="004A1008" w:rsidP="004A1008"/>
        </w:tc>
      </w:tr>
      <w:tr w:rsidR="004A1008" w:rsidRPr="00722D08" w14:paraId="598111D1" w14:textId="77777777" w:rsidTr="00F543B6">
        <w:trPr>
          <w:trHeight w:val="321"/>
        </w:trPr>
        <w:tc>
          <w:tcPr>
            <w:tcW w:w="0" w:type="auto"/>
          </w:tcPr>
          <w:p w14:paraId="335A1E90" w14:textId="77777777" w:rsidR="004A1008" w:rsidRPr="00472E36" w:rsidRDefault="004A1008" w:rsidP="004A1008">
            <w:r w:rsidRPr="00472E36">
              <w:t>Cadent North West</w:t>
            </w:r>
          </w:p>
        </w:tc>
        <w:tc>
          <w:tcPr>
            <w:tcW w:w="0" w:type="auto"/>
          </w:tcPr>
          <w:p w14:paraId="23533FFF" w14:textId="77777777" w:rsidR="004A1008" w:rsidRPr="00472E36" w:rsidRDefault="004A1008" w:rsidP="004A1008">
            <w:r w:rsidRPr="00472E36">
              <w:t>6"-7"</w:t>
            </w:r>
          </w:p>
        </w:tc>
        <w:tc>
          <w:tcPr>
            <w:tcW w:w="0" w:type="auto"/>
          </w:tcPr>
          <w:p w14:paraId="4BCAF0A1" w14:textId="77777777" w:rsidR="004A1008" w:rsidRPr="00472E36" w:rsidRDefault="004A1008" w:rsidP="004A1008"/>
        </w:tc>
        <w:tc>
          <w:tcPr>
            <w:tcW w:w="0" w:type="auto"/>
          </w:tcPr>
          <w:p w14:paraId="437E25E8" w14:textId="77777777" w:rsidR="004A1008" w:rsidRPr="00472E36" w:rsidRDefault="004A1008" w:rsidP="004A1008"/>
        </w:tc>
      </w:tr>
      <w:tr w:rsidR="004A1008" w:rsidRPr="00722D08" w14:paraId="55652156" w14:textId="77777777" w:rsidTr="00F543B6">
        <w:trPr>
          <w:trHeight w:val="321"/>
        </w:trPr>
        <w:tc>
          <w:tcPr>
            <w:tcW w:w="0" w:type="auto"/>
          </w:tcPr>
          <w:p w14:paraId="47956547" w14:textId="77777777" w:rsidR="004A1008" w:rsidRPr="00472E36" w:rsidRDefault="004A1008" w:rsidP="004A1008">
            <w:r w:rsidRPr="00472E36">
              <w:t>Cadent North West</w:t>
            </w:r>
          </w:p>
        </w:tc>
        <w:tc>
          <w:tcPr>
            <w:tcW w:w="0" w:type="auto"/>
          </w:tcPr>
          <w:p w14:paraId="495B3347" w14:textId="77777777" w:rsidR="004A1008" w:rsidRPr="00472E36" w:rsidRDefault="004A1008" w:rsidP="004A1008">
            <w:r w:rsidRPr="00472E36">
              <w:t>8"</w:t>
            </w:r>
          </w:p>
        </w:tc>
        <w:tc>
          <w:tcPr>
            <w:tcW w:w="0" w:type="auto"/>
          </w:tcPr>
          <w:p w14:paraId="4ACB0681" w14:textId="77777777" w:rsidR="004A1008" w:rsidRPr="00472E36" w:rsidRDefault="004A1008" w:rsidP="004A1008"/>
        </w:tc>
        <w:tc>
          <w:tcPr>
            <w:tcW w:w="0" w:type="auto"/>
          </w:tcPr>
          <w:p w14:paraId="69C5694A" w14:textId="77777777" w:rsidR="004A1008" w:rsidRPr="00472E36" w:rsidRDefault="004A1008" w:rsidP="004A1008"/>
        </w:tc>
      </w:tr>
    </w:tbl>
    <w:p w14:paraId="71B01D90" w14:textId="77777777" w:rsidR="004A1008" w:rsidRPr="00472E36" w:rsidRDefault="004A1008" w:rsidP="004A1008"/>
    <w:tbl>
      <w:tblPr>
        <w:tblStyle w:val="AppendixTable"/>
        <w:tblW w:w="0" w:type="auto"/>
        <w:tblLook w:val="04A0" w:firstRow="1" w:lastRow="0" w:firstColumn="1" w:lastColumn="0" w:noHBand="0" w:noVBand="1"/>
      </w:tblPr>
      <w:tblGrid>
        <w:gridCol w:w="1807"/>
        <w:gridCol w:w="3420"/>
        <w:gridCol w:w="2217"/>
        <w:gridCol w:w="1582"/>
      </w:tblGrid>
      <w:tr w:rsidR="004A1008" w:rsidRPr="00722D08" w14:paraId="079EF763" w14:textId="77777777" w:rsidTr="00F543B6">
        <w:trPr>
          <w:cnfStyle w:val="100000000000" w:firstRow="1" w:lastRow="0" w:firstColumn="0" w:lastColumn="0" w:oddVBand="0" w:evenVBand="0" w:oddHBand="0" w:evenHBand="0" w:firstRowFirstColumn="0" w:firstRowLastColumn="0" w:lastRowFirstColumn="0" w:lastRowLastColumn="0"/>
          <w:trHeight w:val="305"/>
        </w:trPr>
        <w:tc>
          <w:tcPr>
            <w:tcW w:w="0" w:type="auto"/>
          </w:tcPr>
          <w:p w14:paraId="0C6AFEA6" w14:textId="77777777" w:rsidR="004A1008" w:rsidRPr="00472E36" w:rsidRDefault="004A1008" w:rsidP="004A1008">
            <w:r w:rsidRPr="00472E36">
              <w:t>Licensee</w:t>
            </w:r>
          </w:p>
        </w:tc>
        <w:tc>
          <w:tcPr>
            <w:tcW w:w="0" w:type="auto"/>
          </w:tcPr>
          <w:p w14:paraId="7FB7D7FB" w14:textId="77777777" w:rsidR="004A1008" w:rsidRPr="00472E36" w:rsidRDefault="004A1008" w:rsidP="004A1008">
            <w:r w:rsidRPr="00472E36">
              <w:t>Diameter band of decommissioned pipe</w:t>
            </w:r>
          </w:p>
        </w:tc>
        <w:tc>
          <w:tcPr>
            <w:tcW w:w="0" w:type="auto"/>
          </w:tcPr>
          <w:p w14:paraId="4AE5A26E" w14:textId="77777777" w:rsidR="004A1008" w:rsidRPr="00472E36" w:rsidRDefault="004A1008" w:rsidP="004A1008">
            <w:r w:rsidRPr="00472E36">
              <w:t>Baseline Target Workload</w:t>
            </w:r>
          </w:p>
        </w:tc>
        <w:tc>
          <w:tcPr>
            <w:tcW w:w="0" w:type="auto"/>
          </w:tcPr>
          <w:p w14:paraId="669545AD" w14:textId="77777777" w:rsidR="004A1008" w:rsidRPr="00472E36" w:rsidRDefault="004A1008" w:rsidP="004A1008">
            <w:r w:rsidRPr="00472E36">
              <w:t>Allowed Unit Cost</w:t>
            </w:r>
          </w:p>
        </w:tc>
      </w:tr>
      <w:tr w:rsidR="004A1008" w:rsidRPr="00722D08" w14:paraId="7C67705D" w14:textId="77777777" w:rsidTr="00F543B6">
        <w:trPr>
          <w:trHeight w:val="321"/>
        </w:trPr>
        <w:tc>
          <w:tcPr>
            <w:tcW w:w="0" w:type="auto"/>
          </w:tcPr>
          <w:p w14:paraId="788535E7" w14:textId="77777777" w:rsidR="004A1008" w:rsidRPr="00472E36" w:rsidRDefault="004A1008" w:rsidP="004A1008">
            <w:r w:rsidRPr="00472E36">
              <w:t>Cadent West Midlands</w:t>
            </w:r>
          </w:p>
        </w:tc>
        <w:tc>
          <w:tcPr>
            <w:tcW w:w="0" w:type="auto"/>
          </w:tcPr>
          <w:p w14:paraId="2971CDD0" w14:textId="77777777" w:rsidR="004A1008" w:rsidRPr="00472E36" w:rsidRDefault="004A1008" w:rsidP="004A1008">
            <w:r w:rsidRPr="00472E36">
              <w:t>≤3"</w:t>
            </w:r>
          </w:p>
        </w:tc>
        <w:tc>
          <w:tcPr>
            <w:tcW w:w="0" w:type="auto"/>
          </w:tcPr>
          <w:p w14:paraId="0DF177D0" w14:textId="77777777" w:rsidR="004A1008" w:rsidRPr="00472E36" w:rsidRDefault="004A1008" w:rsidP="004A1008"/>
        </w:tc>
        <w:tc>
          <w:tcPr>
            <w:tcW w:w="0" w:type="auto"/>
          </w:tcPr>
          <w:p w14:paraId="038E1279" w14:textId="77777777" w:rsidR="004A1008" w:rsidRPr="00472E36" w:rsidRDefault="004A1008" w:rsidP="004A1008"/>
        </w:tc>
      </w:tr>
      <w:tr w:rsidR="004A1008" w:rsidRPr="00722D08" w14:paraId="69DDE39F" w14:textId="77777777" w:rsidTr="00F543B6">
        <w:trPr>
          <w:trHeight w:val="321"/>
        </w:trPr>
        <w:tc>
          <w:tcPr>
            <w:tcW w:w="0" w:type="auto"/>
          </w:tcPr>
          <w:p w14:paraId="274E99C5" w14:textId="77777777" w:rsidR="004A1008" w:rsidRPr="00472E36" w:rsidRDefault="004A1008" w:rsidP="004A1008">
            <w:r w:rsidRPr="00472E36">
              <w:t>Cadent West Midlands</w:t>
            </w:r>
          </w:p>
        </w:tc>
        <w:tc>
          <w:tcPr>
            <w:tcW w:w="0" w:type="auto"/>
          </w:tcPr>
          <w:p w14:paraId="0D6DE952" w14:textId="77777777" w:rsidR="004A1008" w:rsidRPr="00472E36" w:rsidRDefault="004A1008" w:rsidP="004A1008">
            <w:r w:rsidRPr="00472E36">
              <w:t>4"-5"</w:t>
            </w:r>
          </w:p>
        </w:tc>
        <w:tc>
          <w:tcPr>
            <w:tcW w:w="0" w:type="auto"/>
          </w:tcPr>
          <w:p w14:paraId="4C9C9E98" w14:textId="77777777" w:rsidR="004A1008" w:rsidRPr="00472E36" w:rsidRDefault="004A1008" w:rsidP="004A1008"/>
        </w:tc>
        <w:tc>
          <w:tcPr>
            <w:tcW w:w="0" w:type="auto"/>
          </w:tcPr>
          <w:p w14:paraId="2F7D02B7" w14:textId="77777777" w:rsidR="004A1008" w:rsidRPr="00472E36" w:rsidRDefault="004A1008" w:rsidP="004A1008"/>
        </w:tc>
      </w:tr>
      <w:tr w:rsidR="004A1008" w:rsidRPr="00722D08" w14:paraId="22942BF8" w14:textId="77777777" w:rsidTr="00F543B6">
        <w:trPr>
          <w:trHeight w:val="321"/>
        </w:trPr>
        <w:tc>
          <w:tcPr>
            <w:tcW w:w="0" w:type="auto"/>
          </w:tcPr>
          <w:p w14:paraId="00722CFF" w14:textId="77777777" w:rsidR="004A1008" w:rsidRPr="00472E36" w:rsidRDefault="004A1008" w:rsidP="004A1008">
            <w:r w:rsidRPr="00472E36">
              <w:t>Cadent West Midlands</w:t>
            </w:r>
          </w:p>
        </w:tc>
        <w:tc>
          <w:tcPr>
            <w:tcW w:w="0" w:type="auto"/>
          </w:tcPr>
          <w:p w14:paraId="3734EB22" w14:textId="77777777" w:rsidR="004A1008" w:rsidRPr="00472E36" w:rsidRDefault="004A1008" w:rsidP="004A1008">
            <w:r w:rsidRPr="00472E36">
              <w:t>6"-7"</w:t>
            </w:r>
          </w:p>
        </w:tc>
        <w:tc>
          <w:tcPr>
            <w:tcW w:w="0" w:type="auto"/>
          </w:tcPr>
          <w:p w14:paraId="042D4F8C" w14:textId="77777777" w:rsidR="004A1008" w:rsidRPr="00472E36" w:rsidRDefault="004A1008" w:rsidP="004A1008"/>
        </w:tc>
        <w:tc>
          <w:tcPr>
            <w:tcW w:w="0" w:type="auto"/>
          </w:tcPr>
          <w:p w14:paraId="595164C8" w14:textId="77777777" w:rsidR="004A1008" w:rsidRPr="00472E36" w:rsidRDefault="004A1008" w:rsidP="004A1008"/>
        </w:tc>
      </w:tr>
      <w:tr w:rsidR="004A1008" w:rsidRPr="00722D08" w14:paraId="3B4407C1" w14:textId="77777777" w:rsidTr="00F543B6">
        <w:trPr>
          <w:trHeight w:val="321"/>
        </w:trPr>
        <w:tc>
          <w:tcPr>
            <w:tcW w:w="0" w:type="auto"/>
          </w:tcPr>
          <w:p w14:paraId="29677E5F" w14:textId="77777777" w:rsidR="004A1008" w:rsidRPr="00472E36" w:rsidRDefault="004A1008" w:rsidP="004A1008">
            <w:r w:rsidRPr="00472E36">
              <w:t>Cadent West Midlands</w:t>
            </w:r>
          </w:p>
        </w:tc>
        <w:tc>
          <w:tcPr>
            <w:tcW w:w="0" w:type="auto"/>
          </w:tcPr>
          <w:p w14:paraId="0267BB9C" w14:textId="77777777" w:rsidR="004A1008" w:rsidRPr="00472E36" w:rsidRDefault="004A1008" w:rsidP="004A1008">
            <w:r w:rsidRPr="00472E36">
              <w:t>8"</w:t>
            </w:r>
          </w:p>
        </w:tc>
        <w:tc>
          <w:tcPr>
            <w:tcW w:w="0" w:type="auto"/>
          </w:tcPr>
          <w:p w14:paraId="609512E2" w14:textId="77777777" w:rsidR="004A1008" w:rsidRPr="00472E36" w:rsidRDefault="004A1008" w:rsidP="004A1008"/>
        </w:tc>
        <w:tc>
          <w:tcPr>
            <w:tcW w:w="0" w:type="auto"/>
          </w:tcPr>
          <w:p w14:paraId="52023F52" w14:textId="77777777" w:rsidR="004A1008" w:rsidRPr="00472E36" w:rsidRDefault="004A1008" w:rsidP="004A1008"/>
        </w:tc>
      </w:tr>
    </w:tbl>
    <w:p w14:paraId="35FAE621" w14:textId="77777777" w:rsidR="004A1008" w:rsidRPr="00472E36" w:rsidRDefault="004A1008" w:rsidP="004A1008">
      <w:pPr>
        <w:pStyle w:val="Caption"/>
      </w:pPr>
    </w:p>
    <w:tbl>
      <w:tblPr>
        <w:tblStyle w:val="AppendixTable"/>
        <w:tblW w:w="0" w:type="auto"/>
        <w:tblLook w:val="04A0" w:firstRow="1" w:lastRow="0" w:firstColumn="1" w:lastColumn="0" w:noHBand="0" w:noVBand="1"/>
      </w:tblPr>
      <w:tblGrid>
        <w:gridCol w:w="1885"/>
        <w:gridCol w:w="3383"/>
        <w:gridCol w:w="2191"/>
        <w:gridCol w:w="1567"/>
      </w:tblGrid>
      <w:tr w:rsidR="004A1008" w:rsidRPr="00722D08" w14:paraId="6D932984" w14:textId="77777777" w:rsidTr="00F543B6">
        <w:trPr>
          <w:cnfStyle w:val="100000000000" w:firstRow="1" w:lastRow="0" w:firstColumn="0" w:lastColumn="0" w:oddVBand="0" w:evenVBand="0" w:oddHBand="0" w:evenHBand="0" w:firstRowFirstColumn="0" w:firstRowLastColumn="0" w:lastRowFirstColumn="0" w:lastRowLastColumn="0"/>
          <w:trHeight w:val="305"/>
        </w:trPr>
        <w:tc>
          <w:tcPr>
            <w:tcW w:w="0" w:type="auto"/>
          </w:tcPr>
          <w:p w14:paraId="755B4DD6" w14:textId="77777777" w:rsidR="004A1008" w:rsidRPr="00472E36" w:rsidRDefault="004A1008" w:rsidP="004A1008">
            <w:r w:rsidRPr="00472E36">
              <w:t>Licensee</w:t>
            </w:r>
          </w:p>
        </w:tc>
        <w:tc>
          <w:tcPr>
            <w:tcW w:w="0" w:type="auto"/>
          </w:tcPr>
          <w:p w14:paraId="4AC60061" w14:textId="77777777" w:rsidR="004A1008" w:rsidRPr="00472E36" w:rsidRDefault="004A1008" w:rsidP="004A1008">
            <w:r w:rsidRPr="00472E36">
              <w:t>Diameter band of decommissioned pipe</w:t>
            </w:r>
          </w:p>
        </w:tc>
        <w:tc>
          <w:tcPr>
            <w:tcW w:w="0" w:type="auto"/>
          </w:tcPr>
          <w:p w14:paraId="290969F9" w14:textId="77777777" w:rsidR="004A1008" w:rsidRPr="00472E36" w:rsidRDefault="004A1008" w:rsidP="004A1008">
            <w:r w:rsidRPr="00472E36">
              <w:t>Baseline Target Workload</w:t>
            </w:r>
          </w:p>
        </w:tc>
        <w:tc>
          <w:tcPr>
            <w:tcW w:w="0" w:type="auto"/>
          </w:tcPr>
          <w:p w14:paraId="69333C0A" w14:textId="77777777" w:rsidR="004A1008" w:rsidRPr="00472E36" w:rsidRDefault="004A1008" w:rsidP="004A1008">
            <w:r w:rsidRPr="00472E36">
              <w:t>Allowed Unit Cost</w:t>
            </w:r>
          </w:p>
        </w:tc>
      </w:tr>
      <w:tr w:rsidR="004A1008" w:rsidRPr="00722D08" w14:paraId="54EA9EF9" w14:textId="77777777" w:rsidTr="00F543B6">
        <w:trPr>
          <w:trHeight w:val="321"/>
        </w:trPr>
        <w:tc>
          <w:tcPr>
            <w:tcW w:w="0" w:type="auto"/>
          </w:tcPr>
          <w:p w14:paraId="41AC9DA5" w14:textId="77777777" w:rsidR="004A1008" w:rsidRPr="00472E36" w:rsidRDefault="004A1008" w:rsidP="004A1008">
            <w:r w:rsidRPr="00472E36">
              <w:t>Northern Gas Networks</w:t>
            </w:r>
          </w:p>
        </w:tc>
        <w:tc>
          <w:tcPr>
            <w:tcW w:w="0" w:type="auto"/>
          </w:tcPr>
          <w:p w14:paraId="1628A3FA" w14:textId="77777777" w:rsidR="004A1008" w:rsidRPr="00472E36" w:rsidRDefault="004A1008" w:rsidP="004A1008">
            <w:r w:rsidRPr="00472E36">
              <w:t>≤3"</w:t>
            </w:r>
          </w:p>
        </w:tc>
        <w:tc>
          <w:tcPr>
            <w:tcW w:w="0" w:type="auto"/>
          </w:tcPr>
          <w:p w14:paraId="302769EA" w14:textId="77777777" w:rsidR="004A1008" w:rsidRPr="00472E36" w:rsidRDefault="004A1008" w:rsidP="004A1008"/>
        </w:tc>
        <w:tc>
          <w:tcPr>
            <w:tcW w:w="0" w:type="auto"/>
          </w:tcPr>
          <w:p w14:paraId="73170368" w14:textId="77777777" w:rsidR="004A1008" w:rsidRPr="00472E36" w:rsidRDefault="004A1008" w:rsidP="004A1008"/>
        </w:tc>
      </w:tr>
      <w:tr w:rsidR="004A1008" w:rsidRPr="00722D08" w14:paraId="7E3C4ACB" w14:textId="77777777" w:rsidTr="00F543B6">
        <w:trPr>
          <w:trHeight w:val="321"/>
        </w:trPr>
        <w:tc>
          <w:tcPr>
            <w:tcW w:w="0" w:type="auto"/>
          </w:tcPr>
          <w:p w14:paraId="47E18967" w14:textId="77777777" w:rsidR="004A1008" w:rsidRPr="00472E36" w:rsidRDefault="004A1008" w:rsidP="004A1008">
            <w:r w:rsidRPr="00472E36">
              <w:t>Northern Gas Networks</w:t>
            </w:r>
          </w:p>
        </w:tc>
        <w:tc>
          <w:tcPr>
            <w:tcW w:w="0" w:type="auto"/>
          </w:tcPr>
          <w:p w14:paraId="3261112E" w14:textId="77777777" w:rsidR="004A1008" w:rsidRPr="00472E36" w:rsidRDefault="004A1008" w:rsidP="004A1008">
            <w:r w:rsidRPr="00472E36">
              <w:t>4"-5"</w:t>
            </w:r>
          </w:p>
        </w:tc>
        <w:tc>
          <w:tcPr>
            <w:tcW w:w="0" w:type="auto"/>
          </w:tcPr>
          <w:p w14:paraId="50DCE69B" w14:textId="77777777" w:rsidR="004A1008" w:rsidRPr="00472E36" w:rsidRDefault="004A1008" w:rsidP="004A1008"/>
        </w:tc>
        <w:tc>
          <w:tcPr>
            <w:tcW w:w="0" w:type="auto"/>
          </w:tcPr>
          <w:p w14:paraId="45879A6E" w14:textId="77777777" w:rsidR="004A1008" w:rsidRPr="00472E36" w:rsidRDefault="004A1008" w:rsidP="004A1008"/>
        </w:tc>
      </w:tr>
      <w:tr w:rsidR="004A1008" w:rsidRPr="00722D08" w14:paraId="30CE0E74" w14:textId="77777777" w:rsidTr="00F543B6">
        <w:trPr>
          <w:trHeight w:val="321"/>
        </w:trPr>
        <w:tc>
          <w:tcPr>
            <w:tcW w:w="0" w:type="auto"/>
          </w:tcPr>
          <w:p w14:paraId="6A0E4FF8" w14:textId="77777777" w:rsidR="004A1008" w:rsidRPr="00472E36" w:rsidRDefault="004A1008" w:rsidP="004A1008">
            <w:r w:rsidRPr="00472E36">
              <w:t>Northern Gas Networks</w:t>
            </w:r>
          </w:p>
        </w:tc>
        <w:tc>
          <w:tcPr>
            <w:tcW w:w="0" w:type="auto"/>
          </w:tcPr>
          <w:p w14:paraId="421ED19C" w14:textId="77777777" w:rsidR="004A1008" w:rsidRPr="00472E36" w:rsidRDefault="004A1008" w:rsidP="004A1008">
            <w:r w:rsidRPr="00472E36">
              <w:t>6"-7"</w:t>
            </w:r>
          </w:p>
        </w:tc>
        <w:tc>
          <w:tcPr>
            <w:tcW w:w="0" w:type="auto"/>
          </w:tcPr>
          <w:p w14:paraId="335C1275" w14:textId="77777777" w:rsidR="004A1008" w:rsidRPr="00472E36" w:rsidRDefault="004A1008" w:rsidP="004A1008"/>
        </w:tc>
        <w:tc>
          <w:tcPr>
            <w:tcW w:w="0" w:type="auto"/>
          </w:tcPr>
          <w:p w14:paraId="6E3CE29A" w14:textId="77777777" w:rsidR="004A1008" w:rsidRPr="00472E36" w:rsidRDefault="004A1008" w:rsidP="004A1008"/>
        </w:tc>
      </w:tr>
      <w:tr w:rsidR="004A1008" w:rsidRPr="00722D08" w14:paraId="3588DC8B" w14:textId="77777777" w:rsidTr="00F543B6">
        <w:trPr>
          <w:trHeight w:val="321"/>
        </w:trPr>
        <w:tc>
          <w:tcPr>
            <w:tcW w:w="0" w:type="auto"/>
          </w:tcPr>
          <w:p w14:paraId="6C0D502E" w14:textId="77777777" w:rsidR="004A1008" w:rsidRPr="00472E36" w:rsidRDefault="004A1008" w:rsidP="004A1008">
            <w:r w:rsidRPr="00472E36">
              <w:t>Northern Gas Networks</w:t>
            </w:r>
          </w:p>
        </w:tc>
        <w:tc>
          <w:tcPr>
            <w:tcW w:w="0" w:type="auto"/>
          </w:tcPr>
          <w:p w14:paraId="55C9DEF5" w14:textId="77777777" w:rsidR="004A1008" w:rsidRPr="00472E36" w:rsidRDefault="004A1008" w:rsidP="004A1008">
            <w:r w:rsidRPr="00472E36">
              <w:t>8"</w:t>
            </w:r>
          </w:p>
        </w:tc>
        <w:tc>
          <w:tcPr>
            <w:tcW w:w="0" w:type="auto"/>
          </w:tcPr>
          <w:p w14:paraId="3C7B4CB9" w14:textId="77777777" w:rsidR="004A1008" w:rsidRPr="00472E36" w:rsidRDefault="004A1008" w:rsidP="004A1008"/>
        </w:tc>
        <w:tc>
          <w:tcPr>
            <w:tcW w:w="0" w:type="auto"/>
          </w:tcPr>
          <w:p w14:paraId="613B2860" w14:textId="77777777" w:rsidR="004A1008" w:rsidRPr="00472E36" w:rsidRDefault="004A1008" w:rsidP="004A1008"/>
        </w:tc>
      </w:tr>
    </w:tbl>
    <w:p w14:paraId="69F9729A" w14:textId="77777777" w:rsidR="004A1008" w:rsidRPr="00472E36" w:rsidRDefault="004A1008" w:rsidP="004A1008">
      <w:pPr>
        <w:pStyle w:val="Caption"/>
      </w:pPr>
    </w:p>
    <w:tbl>
      <w:tblPr>
        <w:tblStyle w:val="AppendixTable"/>
        <w:tblW w:w="0" w:type="auto"/>
        <w:tblLook w:val="04A0" w:firstRow="1" w:lastRow="0" w:firstColumn="1" w:lastColumn="0" w:noHBand="0" w:noVBand="1"/>
      </w:tblPr>
      <w:tblGrid>
        <w:gridCol w:w="1333"/>
        <w:gridCol w:w="3643"/>
        <w:gridCol w:w="2375"/>
        <w:gridCol w:w="1675"/>
      </w:tblGrid>
      <w:tr w:rsidR="004A1008" w:rsidRPr="00722D08" w14:paraId="775D679E" w14:textId="77777777" w:rsidTr="00F543B6">
        <w:trPr>
          <w:cnfStyle w:val="100000000000" w:firstRow="1" w:lastRow="0" w:firstColumn="0" w:lastColumn="0" w:oddVBand="0" w:evenVBand="0" w:oddHBand="0" w:evenHBand="0" w:firstRowFirstColumn="0" w:firstRowLastColumn="0" w:lastRowFirstColumn="0" w:lastRowLastColumn="0"/>
          <w:trHeight w:val="305"/>
        </w:trPr>
        <w:tc>
          <w:tcPr>
            <w:tcW w:w="0" w:type="auto"/>
          </w:tcPr>
          <w:p w14:paraId="21AE6353" w14:textId="77777777" w:rsidR="004A1008" w:rsidRPr="00472E36" w:rsidRDefault="004A1008" w:rsidP="004A1008">
            <w:r w:rsidRPr="00472E36">
              <w:t>Licensee</w:t>
            </w:r>
          </w:p>
        </w:tc>
        <w:tc>
          <w:tcPr>
            <w:tcW w:w="0" w:type="auto"/>
          </w:tcPr>
          <w:p w14:paraId="3A2537C7" w14:textId="77777777" w:rsidR="004A1008" w:rsidRPr="00472E36" w:rsidRDefault="004A1008" w:rsidP="004A1008">
            <w:r w:rsidRPr="00472E36">
              <w:t>Diameter band of decommissioned pipe</w:t>
            </w:r>
          </w:p>
        </w:tc>
        <w:tc>
          <w:tcPr>
            <w:tcW w:w="0" w:type="auto"/>
          </w:tcPr>
          <w:p w14:paraId="40D991DA" w14:textId="77777777" w:rsidR="004A1008" w:rsidRPr="00472E36" w:rsidRDefault="004A1008" w:rsidP="004A1008">
            <w:r w:rsidRPr="00472E36">
              <w:t>Baseline Target Workload</w:t>
            </w:r>
          </w:p>
        </w:tc>
        <w:tc>
          <w:tcPr>
            <w:tcW w:w="0" w:type="auto"/>
          </w:tcPr>
          <w:p w14:paraId="75BD39C0" w14:textId="77777777" w:rsidR="004A1008" w:rsidRPr="00472E36" w:rsidRDefault="004A1008" w:rsidP="004A1008">
            <w:r w:rsidRPr="00472E36">
              <w:t>Allowed Unit Cost</w:t>
            </w:r>
          </w:p>
        </w:tc>
      </w:tr>
      <w:tr w:rsidR="004A1008" w:rsidRPr="00722D08" w14:paraId="1DE7B29C" w14:textId="77777777" w:rsidTr="00F543B6">
        <w:trPr>
          <w:trHeight w:val="321"/>
        </w:trPr>
        <w:tc>
          <w:tcPr>
            <w:tcW w:w="0" w:type="auto"/>
          </w:tcPr>
          <w:p w14:paraId="555D15C1" w14:textId="77777777" w:rsidR="004A1008" w:rsidRPr="00472E36" w:rsidRDefault="004A1008" w:rsidP="004A1008">
            <w:r w:rsidRPr="00472E36">
              <w:t>SGN Southern</w:t>
            </w:r>
          </w:p>
        </w:tc>
        <w:tc>
          <w:tcPr>
            <w:tcW w:w="0" w:type="auto"/>
          </w:tcPr>
          <w:p w14:paraId="6F18629B" w14:textId="77777777" w:rsidR="004A1008" w:rsidRPr="00472E36" w:rsidRDefault="004A1008" w:rsidP="004A1008">
            <w:r w:rsidRPr="00472E36">
              <w:t>≤3"</w:t>
            </w:r>
          </w:p>
        </w:tc>
        <w:tc>
          <w:tcPr>
            <w:tcW w:w="0" w:type="auto"/>
          </w:tcPr>
          <w:p w14:paraId="158BB7D1" w14:textId="77777777" w:rsidR="004A1008" w:rsidRPr="00472E36" w:rsidRDefault="004A1008" w:rsidP="004A1008"/>
        </w:tc>
        <w:tc>
          <w:tcPr>
            <w:tcW w:w="0" w:type="auto"/>
          </w:tcPr>
          <w:p w14:paraId="2C1788CC" w14:textId="77777777" w:rsidR="004A1008" w:rsidRPr="00472E36" w:rsidRDefault="004A1008" w:rsidP="004A1008"/>
        </w:tc>
      </w:tr>
      <w:tr w:rsidR="004A1008" w:rsidRPr="00722D08" w14:paraId="3509539B" w14:textId="77777777" w:rsidTr="00F543B6">
        <w:trPr>
          <w:trHeight w:val="321"/>
        </w:trPr>
        <w:tc>
          <w:tcPr>
            <w:tcW w:w="0" w:type="auto"/>
          </w:tcPr>
          <w:p w14:paraId="5CBBBC7F" w14:textId="77777777" w:rsidR="004A1008" w:rsidRPr="00472E36" w:rsidRDefault="004A1008" w:rsidP="004A1008">
            <w:r w:rsidRPr="00472E36">
              <w:lastRenderedPageBreak/>
              <w:t>SGN Southern</w:t>
            </w:r>
          </w:p>
        </w:tc>
        <w:tc>
          <w:tcPr>
            <w:tcW w:w="0" w:type="auto"/>
          </w:tcPr>
          <w:p w14:paraId="293B4C53" w14:textId="77777777" w:rsidR="004A1008" w:rsidRPr="00472E36" w:rsidRDefault="004A1008" w:rsidP="004A1008">
            <w:r w:rsidRPr="00472E36">
              <w:t>4"-5"</w:t>
            </w:r>
          </w:p>
        </w:tc>
        <w:tc>
          <w:tcPr>
            <w:tcW w:w="0" w:type="auto"/>
          </w:tcPr>
          <w:p w14:paraId="62EBCD1D" w14:textId="77777777" w:rsidR="004A1008" w:rsidRPr="00472E36" w:rsidRDefault="004A1008" w:rsidP="004A1008"/>
        </w:tc>
        <w:tc>
          <w:tcPr>
            <w:tcW w:w="0" w:type="auto"/>
          </w:tcPr>
          <w:p w14:paraId="0B28BDE3" w14:textId="77777777" w:rsidR="004A1008" w:rsidRPr="00472E36" w:rsidRDefault="004A1008" w:rsidP="004A1008"/>
        </w:tc>
      </w:tr>
      <w:tr w:rsidR="004A1008" w:rsidRPr="00722D08" w14:paraId="17EF2AC6" w14:textId="77777777" w:rsidTr="00F543B6">
        <w:trPr>
          <w:trHeight w:val="321"/>
        </w:trPr>
        <w:tc>
          <w:tcPr>
            <w:tcW w:w="0" w:type="auto"/>
          </w:tcPr>
          <w:p w14:paraId="41D9263E" w14:textId="77777777" w:rsidR="004A1008" w:rsidRPr="00472E36" w:rsidRDefault="004A1008" w:rsidP="004A1008">
            <w:r w:rsidRPr="00472E36">
              <w:t>SGN Southern</w:t>
            </w:r>
          </w:p>
        </w:tc>
        <w:tc>
          <w:tcPr>
            <w:tcW w:w="0" w:type="auto"/>
          </w:tcPr>
          <w:p w14:paraId="429CF68F" w14:textId="77777777" w:rsidR="004A1008" w:rsidRPr="00472E36" w:rsidRDefault="004A1008" w:rsidP="004A1008">
            <w:r w:rsidRPr="00472E36">
              <w:t>6"-7"</w:t>
            </w:r>
          </w:p>
        </w:tc>
        <w:tc>
          <w:tcPr>
            <w:tcW w:w="0" w:type="auto"/>
          </w:tcPr>
          <w:p w14:paraId="1AABA438" w14:textId="77777777" w:rsidR="004A1008" w:rsidRPr="00472E36" w:rsidRDefault="004A1008" w:rsidP="004A1008"/>
        </w:tc>
        <w:tc>
          <w:tcPr>
            <w:tcW w:w="0" w:type="auto"/>
          </w:tcPr>
          <w:p w14:paraId="45C7AAC5" w14:textId="77777777" w:rsidR="004A1008" w:rsidRPr="00472E36" w:rsidRDefault="004A1008" w:rsidP="004A1008"/>
        </w:tc>
      </w:tr>
      <w:tr w:rsidR="004A1008" w:rsidRPr="00722D08" w14:paraId="18E7CD77" w14:textId="77777777" w:rsidTr="00F543B6">
        <w:trPr>
          <w:trHeight w:val="321"/>
        </w:trPr>
        <w:tc>
          <w:tcPr>
            <w:tcW w:w="0" w:type="auto"/>
          </w:tcPr>
          <w:p w14:paraId="4D48B449" w14:textId="77777777" w:rsidR="004A1008" w:rsidRPr="00472E36" w:rsidRDefault="004A1008" w:rsidP="004A1008">
            <w:r w:rsidRPr="00472E36">
              <w:t>SGN Southern</w:t>
            </w:r>
          </w:p>
        </w:tc>
        <w:tc>
          <w:tcPr>
            <w:tcW w:w="0" w:type="auto"/>
          </w:tcPr>
          <w:p w14:paraId="793943DC" w14:textId="77777777" w:rsidR="004A1008" w:rsidRPr="00472E36" w:rsidRDefault="004A1008" w:rsidP="004A1008">
            <w:r w:rsidRPr="00472E36">
              <w:t>8"</w:t>
            </w:r>
          </w:p>
        </w:tc>
        <w:tc>
          <w:tcPr>
            <w:tcW w:w="0" w:type="auto"/>
          </w:tcPr>
          <w:p w14:paraId="24ED4BFB" w14:textId="77777777" w:rsidR="004A1008" w:rsidRPr="00472E36" w:rsidRDefault="004A1008" w:rsidP="004A1008"/>
        </w:tc>
        <w:tc>
          <w:tcPr>
            <w:tcW w:w="0" w:type="auto"/>
          </w:tcPr>
          <w:p w14:paraId="3E8895CE" w14:textId="77777777" w:rsidR="004A1008" w:rsidRPr="00472E36" w:rsidRDefault="004A1008" w:rsidP="004A1008"/>
        </w:tc>
      </w:tr>
    </w:tbl>
    <w:p w14:paraId="789D9D57" w14:textId="77777777" w:rsidR="004A1008" w:rsidRPr="00472E36" w:rsidRDefault="004A1008" w:rsidP="004A1008">
      <w:pPr>
        <w:pStyle w:val="Caption"/>
      </w:pPr>
    </w:p>
    <w:tbl>
      <w:tblPr>
        <w:tblStyle w:val="AppendixTable"/>
        <w:tblW w:w="0" w:type="auto"/>
        <w:tblLook w:val="04A0" w:firstRow="1" w:lastRow="0" w:firstColumn="1" w:lastColumn="0" w:noHBand="0" w:noVBand="1"/>
      </w:tblPr>
      <w:tblGrid>
        <w:gridCol w:w="1294"/>
        <w:gridCol w:w="3661"/>
        <w:gridCol w:w="2388"/>
        <w:gridCol w:w="1683"/>
      </w:tblGrid>
      <w:tr w:rsidR="004A1008" w:rsidRPr="00722D08" w14:paraId="43A7D577" w14:textId="77777777" w:rsidTr="00F543B6">
        <w:trPr>
          <w:cnfStyle w:val="100000000000" w:firstRow="1" w:lastRow="0" w:firstColumn="0" w:lastColumn="0" w:oddVBand="0" w:evenVBand="0" w:oddHBand="0" w:evenHBand="0" w:firstRowFirstColumn="0" w:firstRowLastColumn="0" w:lastRowFirstColumn="0" w:lastRowLastColumn="0"/>
          <w:trHeight w:val="305"/>
        </w:trPr>
        <w:tc>
          <w:tcPr>
            <w:tcW w:w="0" w:type="auto"/>
          </w:tcPr>
          <w:p w14:paraId="51AA1834" w14:textId="77777777" w:rsidR="004A1008" w:rsidRPr="00472E36" w:rsidRDefault="004A1008" w:rsidP="004A1008">
            <w:r w:rsidRPr="00472E36">
              <w:t>Licensee</w:t>
            </w:r>
          </w:p>
        </w:tc>
        <w:tc>
          <w:tcPr>
            <w:tcW w:w="0" w:type="auto"/>
          </w:tcPr>
          <w:p w14:paraId="056F57A3" w14:textId="77777777" w:rsidR="004A1008" w:rsidRPr="00472E36" w:rsidRDefault="004A1008" w:rsidP="004A1008">
            <w:r w:rsidRPr="00472E36">
              <w:t>Diameter band of decommissioned pipe</w:t>
            </w:r>
          </w:p>
        </w:tc>
        <w:tc>
          <w:tcPr>
            <w:tcW w:w="0" w:type="auto"/>
          </w:tcPr>
          <w:p w14:paraId="1B81CC67" w14:textId="77777777" w:rsidR="004A1008" w:rsidRPr="00472E36" w:rsidRDefault="004A1008" w:rsidP="004A1008">
            <w:r w:rsidRPr="00472E36">
              <w:t>Baseline Target Workload</w:t>
            </w:r>
          </w:p>
        </w:tc>
        <w:tc>
          <w:tcPr>
            <w:tcW w:w="0" w:type="auto"/>
          </w:tcPr>
          <w:p w14:paraId="5D8B4A22" w14:textId="77777777" w:rsidR="004A1008" w:rsidRPr="00472E36" w:rsidRDefault="004A1008" w:rsidP="004A1008">
            <w:r w:rsidRPr="00472E36">
              <w:t>Allowed Unit Cost</w:t>
            </w:r>
          </w:p>
        </w:tc>
      </w:tr>
      <w:tr w:rsidR="004A1008" w:rsidRPr="00722D08" w14:paraId="38AAB3A6" w14:textId="77777777" w:rsidTr="00F543B6">
        <w:trPr>
          <w:trHeight w:val="321"/>
        </w:trPr>
        <w:tc>
          <w:tcPr>
            <w:tcW w:w="0" w:type="auto"/>
          </w:tcPr>
          <w:p w14:paraId="18B50B47" w14:textId="77777777" w:rsidR="004A1008" w:rsidRPr="00472E36" w:rsidRDefault="004A1008" w:rsidP="004A1008">
            <w:r w:rsidRPr="00472E36">
              <w:t>SGN Scotland</w:t>
            </w:r>
          </w:p>
        </w:tc>
        <w:tc>
          <w:tcPr>
            <w:tcW w:w="0" w:type="auto"/>
          </w:tcPr>
          <w:p w14:paraId="747E5C7C" w14:textId="77777777" w:rsidR="004A1008" w:rsidRPr="00472E36" w:rsidRDefault="004A1008" w:rsidP="004A1008">
            <w:r w:rsidRPr="00472E36">
              <w:t>≤3"</w:t>
            </w:r>
          </w:p>
        </w:tc>
        <w:tc>
          <w:tcPr>
            <w:tcW w:w="0" w:type="auto"/>
          </w:tcPr>
          <w:p w14:paraId="2EAEFC01" w14:textId="77777777" w:rsidR="004A1008" w:rsidRPr="00472E36" w:rsidRDefault="004A1008" w:rsidP="004A1008"/>
        </w:tc>
        <w:tc>
          <w:tcPr>
            <w:tcW w:w="0" w:type="auto"/>
          </w:tcPr>
          <w:p w14:paraId="0A068F0E" w14:textId="77777777" w:rsidR="004A1008" w:rsidRPr="00472E36" w:rsidRDefault="004A1008" w:rsidP="004A1008"/>
        </w:tc>
      </w:tr>
      <w:tr w:rsidR="004A1008" w:rsidRPr="00722D08" w14:paraId="04797F32" w14:textId="77777777" w:rsidTr="00F543B6">
        <w:trPr>
          <w:trHeight w:val="321"/>
        </w:trPr>
        <w:tc>
          <w:tcPr>
            <w:tcW w:w="0" w:type="auto"/>
          </w:tcPr>
          <w:p w14:paraId="07BABD8D" w14:textId="77777777" w:rsidR="004A1008" w:rsidRPr="00472E36" w:rsidRDefault="004A1008" w:rsidP="004A1008">
            <w:r w:rsidRPr="00472E36">
              <w:t>SGN Scotland</w:t>
            </w:r>
          </w:p>
        </w:tc>
        <w:tc>
          <w:tcPr>
            <w:tcW w:w="0" w:type="auto"/>
          </w:tcPr>
          <w:p w14:paraId="22068053" w14:textId="77777777" w:rsidR="004A1008" w:rsidRPr="00472E36" w:rsidRDefault="004A1008" w:rsidP="004A1008">
            <w:r w:rsidRPr="00472E36">
              <w:t>4"-5"</w:t>
            </w:r>
          </w:p>
        </w:tc>
        <w:tc>
          <w:tcPr>
            <w:tcW w:w="0" w:type="auto"/>
          </w:tcPr>
          <w:p w14:paraId="6E75A92C" w14:textId="77777777" w:rsidR="004A1008" w:rsidRPr="00472E36" w:rsidRDefault="004A1008" w:rsidP="004A1008"/>
        </w:tc>
        <w:tc>
          <w:tcPr>
            <w:tcW w:w="0" w:type="auto"/>
          </w:tcPr>
          <w:p w14:paraId="32E7DF97" w14:textId="77777777" w:rsidR="004A1008" w:rsidRPr="00472E36" w:rsidRDefault="004A1008" w:rsidP="004A1008"/>
        </w:tc>
      </w:tr>
      <w:tr w:rsidR="004A1008" w:rsidRPr="00722D08" w14:paraId="031D44ED" w14:textId="77777777" w:rsidTr="00F543B6">
        <w:trPr>
          <w:trHeight w:val="321"/>
        </w:trPr>
        <w:tc>
          <w:tcPr>
            <w:tcW w:w="0" w:type="auto"/>
          </w:tcPr>
          <w:p w14:paraId="441164C0" w14:textId="77777777" w:rsidR="004A1008" w:rsidRPr="00472E36" w:rsidRDefault="004A1008" w:rsidP="004A1008">
            <w:r w:rsidRPr="00472E36">
              <w:t>SGN Scotland</w:t>
            </w:r>
          </w:p>
        </w:tc>
        <w:tc>
          <w:tcPr>
            <w:tcW w:w="0" w:type="auto"/>
          </w:tcPr>
          <w:p w14:paraId="6A52ED71" w14:textId="77777777" w:rsidR="004A1008" w:rsidRPr="00472E36" w:rsidRDefault="004A1008" w:rsidP="004A1008">
            <w:r w:rsidRPr="00472E36">
              <w:t>6"-7"</w:t>
            </w:r>
          </w:p>
        </w:tc>
        <w:tc>
          <w:tcPr>
            <w:tcW w:w="0" w:type="auto"/>
          </w:tcPr>
          <w:p w14:paraId="0A6C0423" w14:textId="77777777" w:rsidR="004A1008" w:rsidRPr="00472E36" w:rsidRDefault="004A1008" w:rsidP="004A1008"/>
        </w:tc>
        <w:tc>
          <w:tcPr>
            <w:tcW w:w="0" w:type="auto"/>
          </w:tcPr>
          <w:p w14:paraId="6CE75E65" w14:textId="77777777" w:rsidR="004A1008" w:rsidRPr="00472E36" w:rsidRDefault="004A1008" w:rsidP="004A1008"/>
        </w:tc>
      </w:tr>
      <w:tr w:rsidR="004A1008" w:rsidRPr="00722D08" w14:paraId="402D6E24" w14:textId="77777777" w:rsidTr="00F543B6">
        <w:trPr>
          <w:trHeight w:val="321"/>
        </w:trPr>
        <w:tc>
          <w:tcPr>
            <w:tcW w:w="0" w:type="auto"/>
          </w:tcPr>
          <w:p w14:paraId="14E9F1DF" w14:textId="77777777" w:rsidR="004A1008" w:rsidRPr="00472E36" w:rsidRDefault="004A1008" w:rsidP="004A1008">
            <w:r w:rsidRPr="00472E36">
              <w:t>SGN Scotland</w:t>
            </w:r>
          </w:p>
        </w:tc>
        <w:tc>
          <w:tcPr>
            <w:tcW w:w="0" w:type="auto"/>
          </w:tcPr>
          <w:p w14:paraId="6DF0AD36" w14:textId="77777777" w:rsidR="004A1008" w:rsidRPr="00472E36" w:rsidRDefault="004A1008" w:rsidP="004A1008">
            <w:r w:rsidRPr="00472E36">
              <w:t>8"</w:t>
            </w:r>
          </w:p>
        </w:tc>
        <w:tc>
          <w:tcPr>
            <w:tcW w:w="0" w:type="auto"/>
          </w:tcPr>
          <w:p w14:paraId="4531E01C" w14:textId="77777777" w:rsidR="004A1008" w:rsidRPr="00472E36" w:rsidRDefault="004A1008" w:rsidP="004A1008"/>
        </w:tc>
        <w:tc>
          <w:tcPr>
            <w:tcW w:w="0" w:type="auto"/>
          </w:tcPr>
          <w:p w14:paraId="256F76CD" w14:textId="77777777" w:rsidR="004A1008" w:rsidRPr="00472E36" w:rsidRDefault="004A1008" w:rsidP="004A1008"/>
        </w:tc>
      </w:tr>
    </w:tbl>
    <w:p w14:paraId="451C15FD" w14:textId="77777777" w:rsidR="004A1008" w:rsidRPr="00472E36" w:rsidRDefault="004A1008" w:rsidP="004A1008">
      <w:pPr>
        <w:pStyle w:val="Caption"/>
      </w:pPr>
    </w:p>
    <w:tbl>
      <w:tblPr>
        <w:tblStyle w:val="AppendixTable"/>
        <w:tblW w:w="0" w:type="auto"/>
        <w:tblLook w:val="04A0" w:firstRow="1" w:lastRow="0" w:firstColumn="1" w:lastColumn="0" w:noHBand="0" w:noVBand="1"/>
      </w:tblPr>
      <w:tblGrid>
        <w:gridCol w:w="1900"/>
        <w:gridCol w:w="3376"/>
        <w:gridCol w:w="2186"/>
        <w:gridCol w:w="1564"/>
      </w:tblGrid>
      <w:tr w:rsidR="004A1008" w:rsidRPr="00722D08" w14:paraId="62AEE325" w14:textId="77777777" w:rsidTr="00F543B6">
        <w:trPr>
          <w:cnfStyle w:val="100000000000" w:firstRow="1" w:lastRow="0" w:firstColumn="0" w:lastColumn="0" w:oddVBand="0" w:evenVBand="0" w:oddHBand="0" w:evenHBand="0" w:firstRowFirstColumn="0" w:firstRowLastColumn="0" w:lastRowFirstColumn="0" w:lastRowLastColumn="0"/>
          <w:trHeight w:val="305"/>
        </w:trPr>
        <w:tc>
          <w:tcPr>
            <w:tcW w:w="0" w:type="auto"/>
          </w:tcPr>
          <w:p w14:paraId="618458E9" w14:textId="77777777" w:rsidR="004A1008" w:rsidRPr="00472E36" w:rsidRDefault="004A1008" w:rsidP="004A1008">
            <w:r w:rsidRPr="00472E36">
              <w:t>Licensee</w:t>
            </w:r>
          </w:p>
        </w:tc>
        <w:tc>
          <w:tcPr>
            <w:tcW w:w="0" w:type="auto"/>
          </w:tcPr>
          <w:p w14:paraId="2D53BFDB" w14:textId="77777777" w:rsidR="004A1008" w:rsidRPr="00472E36" w:rsidRDefault="004A1008" w:rsidP="004A1008">
            <w:r w:rsidRPr="00472E36">
              <w:t>Diameter band of decommissioned pipe</w:t>
            </w:r>
          </w:p>
        </w:tc>
        <w:tc>
          <w:tcPr>
            <w:tcW w:w="0" w:type="auto"/>
          </w:tcPr>
          <w:p w14:paraId="00F40CE7" w14:textId="77777777" w:rsidR="004A1008" w:rsidRPr="00472E36" w:rsidRDefault="004A1008" w:rsidP="004A1008">
            <w:r w:rsidRPr="00472E36">
              <w:t>Baseline Target Workload</w:t>
            </w:r>
          </w:p>
        </w:tc>
        <w:tc>
          <w:tcPr>
            <w:tcW w:w="0" w:type="auto"/>
          </w:tcPr>
          <w:p w14:paraId="2D9FB351" w14:textId="77777777" w:rsidR="004A1008" w:rsidRPr="00472E36" w:rsidRDefault="004A1008" w:rsidP="004A1008">
            <w:r w:rsidRPr="00472E36">
              <w:t>Allowed Unit Cost</w:t>
            </w:r>
          </w:p>
        </w:tc>
      </w:tr>
      <w:tr w:rsidR="004A1008" w:rsidRPr="00722D08" w14:paraId="21F84E5A" w14:textId="77777777" w:rsidTr="00F543B6">
        <w:trPr>
          <w:trHeight w:val="321"/>
        </w:trPr>
        <w:tc>
          <w:tcPr>
            <w:tcW w:w="0" w:type="auto"/>
          </w:tcPr>
          <w:p w14:paraId="6A4CFB09" w14:textId="77777777" w:rsidR="004A1008" w:rsidRPr="00472E36" w:rsidRDefault="004A1008" w:rsidP="004A1008">
            <w:r w:rsidRPr="00472E36">
              <w:t>Wales and West Utilities</w:t>
            </w:r>
          </w:p>
        </w:tc>
        <w:tc>
          <w:tcPr>
            <w:tcW w:w="0" w:type="auto"/>
          </w:tcPr>
          <w:p w14:paraId="264782B4" w14:textId="77777777" w:rsidR="004A1008" w:rsidRPr="00472E36" w:rsidRDefault="004A1008" w:rsidP="004A1008">
            <w:r w:rsidRPr="00472E36">
              <w:t>≤3"</w:t>
            </w:r>
          </w:p>
        </w:tc>
        <w:tc>
          <w:tcPr>
            <w:tcW w:w="0" w:type="auto"/>
          </w:tcPr>
          <w:p w14:paraId="206E0597" w14:textId="77777777" w:rsidR="004A1008" w:rsidRPr="00472E36" w:rsidRDefault="004A1008" w:rsidP="004A1008"/>
        </w:tc>
        <w:tc>
          <w:tcPr>
            <w:tcW w:w="0" w:type="auto"/>
          </w:tcPr>
          <w:p w14:paraId="37D92F4C" w14:textId="77777777" w:rsidR="004A1008" w:rsidRPr="00472E36" w:rsidRDefault="004A1008" w:rsidP="004A1008"/>
        </w:tc>
      </w:tr>
      <w:tr w:rsidR="004A1008" w:rsidRPr="00722D08" w14:paraId="214D9217" w14:textId="77777777" w:rsidTr="00F543B6">
        <w:trPr>
          <w:trHeight w:val="321"/>
        </w:trPr>
        <w:tc>
          <w:tcPr>
            <w:tcW w:w="0" w:type="auto"/>
          </w:tcPr>
          <w:p w14:paraId="4DE2A112" w14:textId="77777777" w:rsidR="004A1008" w:rsidRPr="00472E36" w:rsidRDefault="004A1008" w:rsidP="004A1008">
            <w:r w:rsidRPr="00472E36">
              <w:t>Wales and West Utilities</w:t>
            </w:r>
          </w:p>
        </w:tc>
        <w:tc>
          <w:tcPr>
            <w:tcW w:w="0" w:type="auto"/>
          </w:tcPr>
          <w:p w14:paraId="0A4A093B" w14:textId="77777777" w:rsidR="004A1008" w:rsidRPr="00472E36" w:rsidRDefault="004A1008" w:rsidP="004A1008">
            <w:r w:rsidRPr="00472E36">
              <w:t>4"-5"</w:t>
            </w:r>
          </w:p>
        </w:tc>
        <w:tc>
          <w:tcPr>
            <w:tcW w:w="0" w:type="auto"/>
          </w:tcPr>
          <w:p w14:paraId="5550E02B" w14:textId="77777777" w:rsidR="004A1008" w:rsidRPr="00472E36" w:rsidRDefault="004A1008" w:rsidP="004A1008"/>
        </w:tc>
        <w:tc>
          <w:tcPr>
            <w:tcW w:w="0" w:type="auto"/>
          </w:tcPr>
          <w:p w14:paraId="1AB4B341" w14:textId="77777777" w:rsidR="004A1008" w:rsidRPr="00472E36" w:rsidRDefault="004A1008" w:rsidP="004A1008"/>
        </w:tc>
      </w:tr>
      <w:tr w:rsidR="004A1008" w:rsidRPr="00722D08" w14:paraId="2F83B6D5" w14:textId="77777777" w:rsidTr="00F543B6">
        <w:trPr>
          <w:trHeight w:val="321"/>
        </w:trPr>
        <w:tc>
          <w:tcPr>
            <w:tcW w:w="0" w:type="auto"/>
          </w:tcPr>
          <w:p w14:paraId="37EA4F27" w14:textId="77777777" w:rsidR="004A1008" w:rsidRPr="00472E36" w:rsidRDefault="004A1008" w:rsidP="004A1008">
            <w:r w:rsidRPr="00472E36">
              <w:t>Wales and West Utilities</w:t>
            </w:r>
          </w:p>
        </w:tc>
        <w:tc>
          <w:tcPr>
            <w:tcW w:w="0" w:type="auto"/>
          </w:tcPr>
          <w:p w14:paraId="32EB59FE" w14:textId="77777777" w:rsidR="004A1008" w:rsidRPr="00472E36" w:rsidRDefault="004A1008" w:rsidP="004A1008">
            <w:r w:rsidRPr="00472E36">
              <w:t>6"-7"</w:t>
            </w:r>
          </w:p>
        </w:tc>
        <w:tc>
          <w:tcPr>
            <w:tcW w:w="0" w:type="auto"/>
          </w:tcPr>
          <w:p w14:paraId="09E8426A" w14:textId="77777777" w:rsidR="004A1008" w:rsidRPr="00472E36" w:rsidRDefault="004A1008" w:rsidP="004A1008"/>
        </w:tc>
        <w:tc>
          <w:tcPr>
            <w:tcW w:w="0" w:type="auto"/>
          </w:tcPr>
          <w:p w14:paraId="2E488785" w14:textId="77777777" w:rsidR="004A1008" w:rsidRPr="00472E36" w:rsidRDefault="004A1008" w:rsidP="004A1008"/>
        </w:tc>
      </w:tr>
      <w:tr w:rsidR="004A1008" w:rsidRPr="00722D08" w14:paraId="5DF25029" w14:textId="77777777" w:rsidTr="00F543B6">
        <w:trPr>
          <w:trHeight w:val="321"/>
        </w:trPr>
        <w:tc>
          <w:tcPr>
            <w:tcW w:w="0" w:type="auto"/>
          </w:tcPr>
          <w:p w14:paraId="6B09E816" w14:textId="77777777" w:rsidR="004A1008" w:rsidRPr="00472E36" w:rsidRDefault="004A1008" w:rsidP="004A1008">
            <w:r w:rsidRPr="00472E36">
              <w:t>Wales and West Utilities</w:t>
            </w:r>
          </w:p>
        </w:tc>
        <w:tc>
          <w:tcPr>
            <w:tcW w:w="0" w:type="auto"/>
          </w:tcPr>
          <w:p w14:paraId="7619849B" w14:textId="77777777" w:rsidR="004A1008" w:rsidRPr="00472E36" w:rsidRDefault="004A1008" w:rsidP="004A1008">
            <w:r w:rsidRPr="00472E36">
              <w:t>8"</w:t>
            </w:r>
          </w:p>
        </w:tc>
        <w:tc>
          <w:tcPr>
            <w:tcW w:w="0" w:type="auto"/>
          </w:tcPr>
          <w:p w14:paraId="4C012ECF" w14:textId="77777777" w:rsidR="004A1008" w:rsidRPr="00472E36" w:rsidRDefault="004A1008" w:rsidP="004A1008"/>
        </w:tc>
        <w:tc>
          <w:tcPr>
            <w:tcW w:w="0" w:type="auto"/>
          </w:tcPr>
          <w:p w14:paraId="646DA8D1" w14:textId="77777777" w:rsidR="004A1008" w:rsidRPr="00472E36" w:rsidRDefault="004A1008" w:rsidP="004A1008"/>
        </w:tc>
      </w:tr>
    </w:tbl>
    <w:p w14:paraId="575947BA" w14:textId="77777777" w:rsidR="004A1008" w:rsidRPr="00472E36" w:rsidRDefault="004A1008" w:rsidP="004A1008"/>
    <w:p w14:paraId="17218576" w14:textId="77777777" w:rsidR="004A1008" w:rsidRPr="00472E36" w:rsidRDefault="004A1008" w:rsidP="004A1008"/>
    <w:p w14:paraId="7C09C001" w14:textId="77777777" w:rsidR="004A1008" w:rsidRPr="00472E36" w:rsidRDefault="004A1008" w:rsidP="004A1008">
      <w:pPr>
        <w:pStyle w:val="AppendixHeading"/>
      </w:pPr>
    </w:p>
    <w:p w14:paraId="1D17D2C9" w14:textId="77777777" w:rsidR="004A1008" w:rsidRPr="00761A2F" w:rsidRDefault="004A1008" w:rsidP="004A1008">
      <w:pPr>
        <w:pStyle w:val="Caption"/>
      </w:pPr>
      <w:r w:rsidRPr="00761A2F">
        <w:t>Tier 1 Mains Baseline Values</w:t>
      </w:r>
      <w:r>
        <w:t xml:space="preserve"> by Regulatory Year</w:t>
      </w:r>
    </w:p>
    <w:tbl>
      <w:tblPr>
        <w:tblStyle w:val="AppendixTable"/>
        <w:tblW w:w="5000" w:type="pct"/>
        <w:tblLook w:val="04A0" w:firstRow="1" w:lastRow="0" w:firstColumn="1" w:lastColumn="0" w:noHBand="0" w:noVBand="1"/>
      </w:tblPr>
      <w:tblGrid>
        <w:gridCol w:w="2575"/>
        <w:gridCol w:w="772"/>
        <w:gridCol w:w="773"/>
        <w:gridCol w:w="773"/>
        <w:gridCol w:w="773"/>
        <w:gridCol w:w="773"/>
        <w:gridCol w:w="2587"/>
      </w:tblGrid>
      <w:tr w:rsidR="004A1008" w14:paraId="5135F77C" w14:textId="77777777" w:rsidTr="004A1008">
        <w:trPr>
          <w:cnfStyle w:val="100000000000" w:firstRow="1" w:lastRow="0" w:firstColumn="0" w:lastColumn="0" w:oddVBand="0" w:evenVBand="0" w:oddHBand="0" w:evenHBand="0" w:firstRowFirstColumn="0" w:firstRowLastColumn="0" w:lastRowFirstColumn="0" w:lastRowLastColumn="0"/>
          <w:trHeight w:val="702"/>
        </w:trPr>
        <w:tc>
          <w:tcPr>
            <w:tcW w:w="1427" w:type="pct"/>
          </w:tcPr>
          <w:p w14:paraId="35FE3C91" w14:textId="77777777" w:rsidR="004A1008" w:rsidRPr="00472E36" w:rsidRDefault="004A1008" w:rsidP="004A1008">
            <w:r w:rsidRPr="00472E36">
              <w:t>GDN</w:t>
            </w:r>
          </w:p>
        </w:tc>
        <w:tc>
          <w:tcPr>
            <w:tcW w:w="428" w:type="pct"/>
          </w:tcPr>
          <w:p w14:paraId="75664E74" w14:textId="77777777" w:rsidR="004A1008" w:rsidRPr="00472E36" w:rsidRDefault="004A1008" w:rsidP="004A1008">
            <w:r w:rsidRPr="00472E36">
              <w:t>21/22</w:t>
            </w:r>
          </w:p>
        </w:tc>
        <w:tc>
          <w:tcPr>
            <w:tcW w:w="428" w:type="pct"/>
          </w:tcPr>
          <w:p w14:paraId="70DCB8CA" w14:textId="77777777" w:rsidR="004A1008" w:rsidRPr="00472E36" w:rsidRDefault="004A1008" w:rsidP="004A1008">
            <w:r w:rsidRPr="00472E36">
              <w:t>22/23</w:t>
            </w:r>
          </w:p>
        </w:tc>
        <w:tc>
          <w:tcPr>
            <w:tcW w:w="428" w:type="pct"/>
          </w:tcPr>
          <w:p w14:paraId="5EAA18F0" w14:textId="77777777" w:rsidR="004A1008" w:rsidRPr="00472E36" w:rsidRDefault="004A1008" w:rsidP="004A1008">
            <w:r w:rsidRPr="00472E36">
              <w:t>23/24</w:t>
            </w:r>
          </w:p>
        </w:tc>
        <w:tc>
          <w:tcPr>
            <w:tcW w:w="428" w:type="pct"/>
          </w:tcPr>
          <w:p w14:paraId="3E8B9D42" w14:textId="77777777" w:rsidR="004A1008" w:rsidRPr="00472E36" w:rsidRDefault="004A1008" w:rsidP="004A1008">
            <w:r w:rsidRPr="00472E36">
              <w:t>24/25</w:t>
            </w:r>
          </w:p>
        </w:tc>
        <w:tc>
          <w:tcPr>
            <w:tcW w:w="428" w:type="pct"/>
          </w:tcPr>
          <w:p w14:paraId="0D1CC04D" w14:textId="77777777" w:rsidR="004A1008" w:rsidRPr="00472E36" w:rsidRDefault="004A1008" w:rsidP="004A1008">
            <w:r w:rsidRPr="00472E36">
              <w:t>25/26</w:t>
            </w:r>
          </w:p>
        </w:tc>
        <w:tc>
          <w:tcPr>
            <w:tcW w:w="1433" w:type="pct"/>
          </w:tcPr>
          <w:p w14:paraId="2309FCDA" w14:textId="77777777" w:rsidR="004A1008" w:rsidRPr="00472E36" w:rsidRDefault="004A1008" w:rsidP="004A1008">
            <w:r w:rsidRPr="00472E36">
              <w:t>Total Value (all years</w:t>
            </w:r>
            <w:r>
              <w:t>)</w:t>
            </w:r>
          </w:p>
        </w:tc>
      </w:tr>
      <w:tr w:rsidR="004A1008" w14:paraId="23522847" w14:textId="77777777" w:rsidTr="004A1008">
        <w:tc>
          <w:tcPr>
            <w:tcW w:w="1427" w:type="pct"/>
          </w:tcPr>
          <w:p w14:paraId="1E64240B" w14:textId="77777777" w:rsidR="004A1008" w:rsidRPr="00472E36" w:rsidRDefault="004A1008" w:rsidP="004A1008">
            <w:r w:rsidRPr="00472E36">
              <w:t>Cadent East of England</w:t>
            </w:r>
          </w:p>
        </w:tc>
        <w:tc>
          <w:tcPr>
            <w:tcW w:w="428" w:type="pct"/>
          </w:tcPr>
          <w:p w14:paraId="02C7853A" w14:textId="77777777" w:rsidR="004A1008" w:rsidRPr="00472E36" w:rsidRDefault="004A1008" w:rsidP="004A1008"/>
        </w:tc>
        <w:tc>
          <w:tcPr>
            <w:tcW w:w="428" w:type="pct"/>
          </w:tcPr>
          <w:p w14:paraId="3B4EC3A2" w14:textId="77777777" w:rsidR="004A1008" w:rsidRPr="00472E36" w:rsidRDefault="004A1008" w:rsidP="004A1008"/>
        </w:tc>
        <w:tc>
          <w:tcPr>
            <w:tcW w:w="428" w:type="pct"/>
          </w:tcPr>
          <w:p w14:paraId="57B3F538" w14:textId="77777777" w:rsidR="004A1008" w:rsidRPr="00472E36" w:rsidRDefault="004A1008" w:rsidP="004A1008"/>
        </w:tc>
        <w:tc>
          <w:tcPr>
            <w:tcW w:w="428" w:type="pct"/>
          </w:tcPr>
          <w:p w14:paraId="2DD34E3F" w14:textId="77777777" w:rsidR="004A1008" w:rsidRPr="00472E36" w:rsidRDefault="004A1008" w:rsidP="004A1008"/>
        </w:tc>
        <w:tc>
          <w:tcPr>
            <w:tcW w:w="428" w:type="pct"/>
          </w:tcPr>
          <w:p w14:paraId="1E6D85C1" w14:textId="77777777" w:rsidR="004A1008" w:rsidRPr="00472E36" w:rsidRDefault="004A1008" w:rsidP="004A1008"/>
        </w:tc>
        <w:tc>
          <w:tcPr>
            <w:tcW w:w="1433" w:type="pct"/>
          </w:tcPr>
          <w:p w14:paraId="6AB0FFCC" w14:textId="77777777" w:rsidR="004A1008" w:rsidRPr="00472E36" w:rsidRDefault="004A1008" w:rsidP="004A1008"/>
        </w:tc>
      </w:tr>
      <w:tr w:rsidR="004A1008" w14:paraId="2B659AEB" w14:textId="77777777" w:rsidTr="004A1008">
        <w:tc>
          <w:tcPr>
            <w:tcW w:w="1427" w:type="pct"/>
          </w:tcPr>
          <w:p w14:paraId="21DFE63D" w14:textId="77777777" w:rsidR="004A1008" w:rsidRPr="00472E36" w:rsidRDefault="004A1008" w:rsidP="004A1008">
            <w:r w:rsidRPr="00472E36">
              <w:t>Cadent North London</w:t>
            </w:r>
          </w:p>
        </w:tc>
        <w:tc>
          <w:tcPr>
            <w:tcW w:w="428" w:type="pct"/>
          </w:tcPr>
          <w:p w14:paraId="25907FB6" w14:textId="77777777" w:rsidR="004A1008" w:rsidRPr="00472E36" w:rsidRDefault="004A1008" w:rsidP="004A1008"/>
        </w:tc>
        <w:tc>
          <w:tcPr>
            <w:tcW w:w="428" w:type="pct"/>
          </w:tcPr>
          <w:p w14:paraId="338042E2" w14:textId="77777777" w:rsidR="004A1008" w:rsidRPr="00472E36" w:rsidRDefault="004A1008" w:rsidP="004A1008"/>
        </w:tc>
        <w:tc>
          <w:tcPr>
            <w:tcW w:w="428" w:type="pct"/>
          </w:tcPr>
          <w:p w14:paraId="5A92A2CE" w14:textId="77777777" w:rsidR="004A1008" w:rsidRPr="00472E36" w:rsidRDefault="004A1008" w:rsidP="004A1008"/>
        </w:tc>
        <w:tc>
          <w:tcPr>
            <w:tcW w:w="428" w:type="pct"/>
          </w:tcPr>
          <w:p w14:paraId="467C9659" w14:textId="77777777" w:rsidR="004A1008" w:rsidRPr="00472E36" w:rsidRDefault="004A1008" w:rsidP="004A1008"/>
        </w:tc>
        <w:tc>
          <w:tcPr>
            <w:tcW w:w="428" w:type="pct"/>
          </w:tcPr>
          <w:p w14:paraId="34A0A22F" w14:textId="77777777" w:rsidR="004A1008" w:rsidRPr="00472E36" w:rsidRDefault="004A1008" w:rsidP="004A1008"/>
        </w:tc>
        <w:tc>
          <w:tcPr>
            <w:tcW w:w="1433" w:type="pct"/>
          </w:tcPr>
          <w:p w14:paraId="117AB45A" w14:textId="77777777" w:rsidR="004A1008" w:rsidRPr="00472E36" w:rsidRDefault="004A1008" w:rsidP="004A1008"/>
        </w:tc>
      </w:tr>
      <w:tr w:rsidR="004A1008" w14:paraId="0C938AB4" w14:textId="77777777" w:rsidTr="004A1008">
        <w:tc>
          <w:tcPr>
            <w:tcW w:w="1427" w:type="pct"/>
          </w:tcPr>
          <w:p w14:paraId="73F4E204" w14:textId="77777777" w:rsidR="004A1008" w:rsidRPr="00472E36" w:rsidRDefault="004A1008" w:rsidP="004A1008">
            <w:r w:rsidRPr="00472E36">
              <w:t>Cadent North West</w:t>
            </w:r>
          </w:p>
        </w:tc>
        <w:tc>
          <w:tcPr>
            <w:tcW w:w="428" w:type="pct"/>
          </w:tcPr>
          <w:p w14:paraId="148F9995" w14:textId="77777777" w:rsidR="004A1008" w:rsidRPr="00472E36" w:rsidRDefault="004A1008" w:rsidP="004A1008"/>
        </w:tc>
        <w:tc>
          <w:tcPr>
            <w:tcW w:w="428" w:type="pct"/>
          </w:tcPr>
          <w:p w14:paraId="6403B2C8" w14:textId="77777777" w:rsidR="004A1008" w:rsidRPr="00472E36" w:rsidRDefault="004A1008" w:rsidP="004A1008"/>
        </w:tc>
        <w:tc>
          <w:tcPr>
            <w:tcW w:w="428" w:type="pct"/>
          </w:tcPr>
          <w:p w14:paraId="7CEE91B2" w14:textId="77777777" w:rsidR="004A1008" w:rsidRPr="00472E36" w:rsidRDefault="004A1008" w:rsidP="004A1008"/>
        </w:tc>
        <w:tc>
          <w:tcPr>
            <w:tcW w:w="428" w:type="pct"/>
          </w:tcPr>
          <w:p w14:paraId="67586135" w14:textId="77777777" w:rsidR="004A1008" w:rsidRPr="00472E36" w:rsidRDefault="004A1008" w:rsidP="004A1008"/>
        </w:tc>
        <w:tc>
          <w:tcPr>
            <w:tcW w:w="428" w:type="pct"/>
          </w:tcPr>
          <w:p w14:paraId="44961EB9" w14:textId="77777777" w:rsidR="004A1008" w:rsidRPr="00472E36" w:rsidRDefault="004A1008" w:rsidP="004A1008"/>
        </w:tc>
        <w:tc>
          <w:tcPr>
            <w:tcW w:w="1433" w:type="pct"/>
          </w:tcPr>
          <w:p w14:paraId="4E256B55" w14:textId="77777777" w:rsidR="004A1008" w:rsidRPr="00472E36" w:rsidRDefault="004A1008" w:rsidP="004A1008"/>
        </w:tc>
      </w:tr>
      <w:tr w:rsidR="004A1008" w14:paraId="1CAE648A" w14:textId="77777777" w:rsidTr="004A1008">
        <w:tc>
          <w:tcPr>
            <w:tcW w:w="1427" w:type="pct"/>
          </w:tcPr>
          <w:p w14:paraId="133CC14F" w14:textId="77777777" w:rsidR="004A1008" w:rsidRPr="00472E36" w:rsidRDefault="004A1008" w:rsidP="004A1008">
            <w:r w:rsidRPr="00472E36">
              <w:lastRenderedPageBreak/>
              <w:t>Cadent West Midlands</w:t>
            </w:r>
          </w:p>
        </w:tc>
        <w:tc>
          <w:tcPr>
            <w:tcW w:w="428" w:type="pct"/>
          </w:tcPr>
          <w:p w14:paraId="1CD0A3BB" w14:textId="77777777" w:rsidR="004A1008" w:rsidRPr="00472E36" w:rsidRDefault="004A1008" w:rsidP="004A1008"/>
        </w:tc>
        <w:tc>
          <w:tcPr>
            <w:tcW w:w="428" w:type="pct"/>
          </w:tcPr>
          <w:p w14:paraId="0B2600F9" w14:textId="77777777" w:rsidR="004A1008" w:rsidRPr="00472E36" w:rsidRDefault="004A1008" w:rsidP="004A1008"/>
        </w:tc>
        <w:tc>
          <w:tcPr>
            <w:tcW w:w="428" w:type="pct"/>
          </w:tcPr>
          <w:p w14:paraId="4C00013C" w14:textId="77777777" w:rsidR="004A1008" w:rsidRPr="00472E36" w:rsidRDefault="004A1008" w:rsidP="004A1008"/>
        </w:tc>
        <w:tc>
          <w:tcPr>
            <w:tcW w:w="428" w:type="pct"/>
          </w:tcPr>
          <w:p w14:paraId="373C3E27" w14:textId="77777777" w:rsidR="004A1008" w:rsidRPr="00472E36" w:rsidRDefault="004A1008" w:rsidP="004A1008"/>
        </w:tc>
        <w:tc>
          <w:tcPr>
            <w:tcW w:w="428" w:type="pct"/>
          </w:tcPr>
          <w:p w14:paraId="1D293277" w14:textId="77777777" w:rsidR="004A1008" w:rsidRPr="00472E36" w:rsidRDefault="004A1008" w:rsidP="004A1008"/>
        </w:tc>
        <w:tc>
          <w:tcPr>
            <w:tcW w:w="1433" w:type="pct"/>
          </w:tcPr>
          <w:p w14:paraId="5081BFF8" w14:textId="77777777" w:rsidR="004A1008" w:rsidRPr="00472E36" w:rsidRDefault="004A1008" w:rsidP="004A1008"/>
        </w:tc>
      </w:tr>
      <w:tr w:rsidR="004A1008" w14:paraId="4D0D6F34" w14:textId="77777777" w:rsidTr="004A1008">
        <w:tc>
          <w:tcPr>
            <w:tcW w:w="1427" w:type="pct"/>
          </w:tcPr>
          <w:p w14:paraId="6953B4A2" w14:textId="77777777" w:rsidR="004A1008" w:rsidRPr="00472E36" w:rsidRDefault="004A1008" w:rsidP="004A1008">
            <w:r w:rsidRPr="00472E36">
              <w:t>Northern Gas Networks</w:t>
            </w:r>
          </w:p>
        </w:tc>
        <w:tc>
          <w:tcPr>
            <w:tcW w:w="428" w:type="pct"/>
          </w:tcPr>
          <w:p w14:paraId="4B459506" w14:textId="77777777" w:rsidR="004A1008" w:rsidRPr="00472E36" w:rsidRDefault="004A1008" w:rsidP="004A1008"/>
        </w:tc>
        <w:tc>
          <w:tcPr>
            <w:tcW w:w="428" w:type="pct"/>
          </w:tcPr>
          <w:p w14:paraId="4772EFC8" w14:textId="77777777" w:rsidR="004A1008" w:rsidRPr="00472E36" w:rsidRDefault="004A1008" w:rsidP="004A1008"/>
        </w:tc>
        <w:tc>
          <w:tcPr>
            <w:tcW w:w="428" w:type="pct"/>
          </w:tcPr>
          <w:p w14:paraId="1F659503" w14:textId="77777777" w:rsidR="004A1008" w:rsidRPr="00472E36" w:rsidRDefault="004A1008" w:rsidP="004A1008"/>
        </w:tc>
        <w:tc>
          <w:tcPr>
            <w:tcW w:w="428" w:type="pct"/>
          </w:tcPr>
          <w:p w14:paraId="17126743" w14:textId="77777777" w:rsidR="004A1008" w:rsidRPr="00472E36" w:rsidRDefault="004A1008" w:rsidP="004A1008"/>
        </w:tc>
        <w:tc>
          <w:tcPr>
            <w:tcW w:w="428" w:type="pct"/>
          </w:tcPr>
          <w:p w14:paraId="381040A5" w14:textId="77777777" w:rsidR="004A1008" w:rsidRPr="00472E36" w:rsidRDefault="004A1008" w:rsidP="004A1008"/>
        </w:tc>
        <w:tc>
          <w:tcPr>
            <w:tcW w:w="1433" w:type="pct"/>
          </w:tcPr>
          <w:p w14:paraId="628CC278" w14:textId="77777777" w:rsidR="004A1008" w:rsidRPr="00472E36" w:rsidRDefault="004A1008" w:rsidP="004A1008"/>
        </w:tc>
      </w:tr>
      <w:tr w:rsidR="004A1008" w14:paraId="636FCF4B" w14:textId="77777777" w:rsidTr="004A1008">
        <w:tc>
          <w:tcPr>
            <w:tcW w:w="1427" w:type="pct"/>
          </w:tcPr>
          <w:p w14:paraId="176FF02A" w14:textId="77777777" w:rsidR="004A1008" w:rsidRPr="00472E36" w:rsidRDefault="004A1008" w:rsidP="004A1008">
            <w:r w:rsidRPr="00472E36">
              <w:t>SGN Scotland</w:t>
            </w:r>
          </w:p>
        </w:tc>
        <w:tc>
          <w:tcPr>
            <w:tcW w:w="428" w:type="pct"/>
          </w:tcPr>
          <w:p w14:paraId="3C5D3FAB" w14:textId="77777777" w:rsidR="004A1008" w:rsidRPr="00472E36" w:rsidRDefault="004A1008" w:rsidP="004A1008"/>
        </w:tc>
        <w:tc>
          <w:tcPr>
            <w:tcW w:w="428" w:type="pct"/>
          </w:tcPr>
          <w:p w14:paraId="606056BD" w14:textId="77777777" w:rsidR="004A1008" w:rsidRPr="00472E36" w:rsidRDefault="004A1008" w:rsidP="004A1008"/>
        </w:tc>
        <w:tc>
          <w:tcPr>
            <w:tcW w:w="428" w:type="pct"/>
          </w:tcPr>
          <w:p w14:paraId="6AEC85C5" w14:textId="77777777" w:rsidR="004A1008" w:rsidRPr="00472E36" w:rsidRDefault="004A1008" w:rsidP="004A1008"/>
        </w:tc>
        <w:tc>
          <w:tcPr>
            <w:tcW w:w="428" w:type="pct"/>
          </w:tcPr>
          <w:p w14:paraId="0ED4D31A" w14:textId="77777777" w:rsidR="004A1008" w:rsidRPr="00472E36" w:rsidRDefault="004A1008" w:rsidP="004A1008"/>
        </w:tc>
        <w:tc>
          <w:tcPr>
            <w:tcW w:w="428" w:type="pct"/>
          </w:tcPr>
          <w:p w14:paraId="15B33BBA" w14:textId="77777777" w:rsidR="004A1008" w:rsidRPr="00472E36" w:rsidRDefault="004A1008" w:rsidP="004A1008"/>
        </w:tc>
        <w:tc>
          <w:tcPr>
            <w:tcW w:w="1433" w:type="pct"/>
          </w:tcPr>
          <w:p w14:paraId="180719A7" w14:textId="77777777" w:rsidR="004A1008" w:rsidRPr="00472E36" w:rsidRDefault="004A1008" w:rsidP="004A1008"/>
        </w:tc>
      </w:tr>
      <w:tr w:rsidR="004A1008" w14:paraId="7DBA0E49" w14:textId="77777777" w:rsidTr="004A1008">
        <w:tc>
          <w:tcPr>
            <w:tcW w:w="1427" w:type="pct"/>
          </w:tcPr>
          <w:p w14:paraId="53704FDB" w14:textId="77777777" w:rsidR="004A1008" w:rsidRPr="00472E36" w:rsidRDefault="004A1008" w:rsidP="004A1008">
            <w:r w:rsidRPr="00472E36">
              <w:t>SGN Southern</w:t>
            </w:r>
          </w:p>
        </w:tc>
        <w:tc>
          <w:tcPr>
            <w:tcW w:w="428" w:type="pct"/>
          </w:tcPr>
          <w:p w14:paraId="16B455B5" w14:textId="77777777" w:rsidR="004A1008" w:rsidRPr="00472E36" w:rsidRDefault="004A1008" w:rsidP="004A1008"/>
        </w:tc>
        <w:tc>
          <w:tcPr>
            <w:tcW w:w="428" w:type="pct"/>
          </w:tcPr>
          <w:p w14:paraId="1F48CFBB" w14:textId="77777777" w:rsidR="004A1008" w:rsidRPr="00472E36" w:rsidRDefault="004A1008" w:rsidP="004A1008"/>
        </w:tc>
        <w:tc>
          <w:tcPr>
            <w:tcW w:w="428" w:type="pct"/>
          </w:tcPr>
          <w:p w14:paraId="4755FDA5" w14:textId="77777777" w:rsidR="004A1008" w:rsidRPr="00472E36" w:rsidRDefault="004A1008" w:rsidP="004A1008"/>
        </w:tc>
        <w:tc>
          <w:tcPr>
            <w:tcW w:w="428" w:type="pct"/>
          </w:tcPr>
          <w:p w14:paraId="48F06C12" w14:textId="77777777" w:rsidR="004A1008" w:rsidRPr="00472E36" w:rsidRDefault="004A1008" w:rsidP="004A1008"/>
        </w:tc>
        <w:tc>
          <w:tcPr>
            <w:tcW w:w="428" w:type="pct"/>
          </w:tcPr>
          <w:p w14:paraId="4A6ED32B" w14:textId="77777777" w:rsidR="004A1008" w:rsidRPr="00472E36" w:rsidRDefault="004A1008" w:rsidP="004A1008"/>
        </w:tc>
        <w:tc>
          <w:tcPr>
            <w:tcW w:w="1433" w:type="pct"/>
          </w:tcPr>
          <w:p w14:paraId="18A7F04A" w14:textId="77777777" w:rsidR="004A1008" w:rsidRPr="00472E36" w:rsidRDefault="004A1008" w:rsidP="004A1008"/>
        </w:tc>
      </w:tr>
      <w:tr w:rsidR="004A1008" w14:paraId="69C19E81" w14:textId="77777777" w:rsidTr="004A1008">
        <w:tc>
          <w:tcPr>
            <w:tcW w:w="1427" w:type="pct"/>
          </w:tcPr>
          <w:p w14:paraId="65C30AB1" w14:textId="77777777" w:rsidR="004A1008" w:rsidRPr="00472E36" w:rsidRDefault="004A1008" w:rsidP="004A1008">
            <w:r w:rsidRPr="00472E36">
              <w:t>Wales &amp; West Utilities</w:t>
            </w:r>
          </w:p>
        </w:tc>
        <w:tc>
          <w:tcPr>
            <w:tcW w:w="428" w:type="pct"/>
          </w:tcPr>
          <w:p w14:paraId="067E1207" w14:textId="77777777" w:rsidR="004A1008" w:rsidRPr="00472E36" w:rsidRDefault="004A1008" w:rsidP="004A1008"/>
        </w:tc>
        <w:tc>
          <w:tcPr>
            <w:tcW w:w="428" w:type="pct"/>
          </w:tcPr>
          <w:p w14:paraId="2D865556" w14:textId="77777777" w:rsidR="004A1008" w:rsidRPr="00472E36" w:rsidRDefault="004A1008" w:rsidP="004A1008"/>
        </w:tc>
        <w:tc>
          <w:tcPr>
            <w:tcW w:w="428" w:type="pct"/>
          </w:tcPr>
          <w:p w14:paraId="15847FF7" w14:textId="77777777" w:rsidR="004A1008" w:rsidRPr="00472E36" w:rsidRDefault="004A1008" w:rsidP="004A1008"/>
        </w:tc>
        <w:tc>
          <w:tcPr>
            <w:tcW w:w="428" w:type="pct"/>
          </w:tcPr>
          <w:p w14:paraId="172DD14B" w14:textId="77777777" w:rsidR="004A1008" w:rsidRPr="00472E36" w:rsidRDefault="004A1008" w:rsidP="004A1008"/>
        </w:tc>
        <w:tc>
          <w:tcPr>
            <w:tcW w:w="428" w:type="pct"/>
          </w:tcPr>
          <w:p w14:paraId="53C2E451" w14:textId="77777777" w:rsidR="004A1008" w:rsidRPr="00472E36" w:rsidRDefault="004A1008" w:rsidP="004A1008"/>
        </w:tc>
        <w:tc>
          <w:tcPr>
            <w:tcW w:w="1433" w:type="pct"/>
          </w:tcPr>
          <w:p w14:paraId="76BDC87F" w14:textId="77777777" w:rsidR="004A1008" w:rsidRPr="00472E36" w:rsidRDefault="004A1008" w:rsidP="004A1008"/>
        </w:tc>
      </w:tr>
    </w:tbl>
    <w:p w14:paraId="43EAAA22" w14:textId="77777777" w:rsidR="004A1008" w:rsidRDefault="004A1008" w:rsidP="004A1008"/>
    <w:p w14:paraId="4B83C726" w14:textId="77777777" w:rsidR="004A1008" w:rsidRPr="000B3D53" w:rsidRDefault="004A1008" w:rsidP="004A1008">
      <w:pPr>
        <w:pStyle w:val="Heading2"/>
        <w:numPr>
          <w:ilvl w:val="1"/>
          <w:numId w:val="7"/>
        </w:numPr>
      </w:pPr>
      <w:bookmarkStart w:id="78" w:name="_Toc51783621"/>
      <w:bookmarkStart w:id="79" w:name="_Toc52364544"/>
      <w:r>
        <w:t>Tier 1 Services Repex Price Control Deliverable (TIS</w:t>
      </w:r>
      <w:r w:rsidRPr="00C0744E">
        <w:rPr>
          <w:vertAlign w:val="subscript"/>
        </w:rPr>
        <w:t>t</w:t>
      </w:r>
      <w:r>
        <w:t>)</w:t>
      </w:r>
      <w:bookmarkEnd w:id="78"/>
      <w:bookmarkEnd w:id="79"/>
    </w:p>
    <w:p w14:paraId="197BDDC4" w14:textId="77777777" w:rsidR="004A1008" w:rsidRPr="000B3D53" w:rsidRDefault="004A1008" w:rsidP="004A1008">
      <w:pPr>
        <w:pStyle w:val="Heading3nonumbering"/>
      </w:pPr>
      <w:r w:rsidRPr="000B3D53">
        <w:t xml:space="preserve">Introduction </w:t>
      </w:r>
    </w:p>
    <w:p w14:paraId="3FF75D54" w14:textId="77777777" w:rsidR="004A1008" w:rsidRPr="000B3D53" w:rsidRDefault="004A1008" w:rsidP="004A1008">
      <w:pPr>
        <w:pStyle w:val="NumberedNormal"/>
        <w:numPr>
          <w:ilvl w:val="2"/>
          <w:numId w:val="7"/>
        </w:numPr>
      </w:pPr>
      <w:r>
        <w:t>The purpose of this condition is to calculate the term T1S</w:t>
      </w:r>
      <w:r w:rsidRPr="00C0744E">
        <w:rPr>
          <w:vertAlign w:val="subscript"/>
        </w:rPr>
        <w:t>t</w:t>
      </w:r>
      <w:r>
        <w:t xml:space="preserve"> (the Tier 1 Services Repex Price Control Deliverable term).  This contributes to the calculation of the Totex Allowance.</w:t>
      </w:r>
    </w:p>
    <w:p w14:paraId="0FC4310A" w14:textId="2CD64043" w:rsidR="004A1008" w:rsidRPr="000B3D53" w:rsidRDefault="004A1008" w:rsidP="004A1008">
      <w:pPr>
        <w:pStyle w:val="NumberedNormal"/>
        <w:numPr>
          <w:ilvl w:val="2"/>
          <w:numId w:val="7"/>
        </w:numPr>
      </w:pPr>
      <w:r>
        <w:t>This condition specifies the outputs and associated allowances for the Price Control Deliverable</w:t>
      </w:r>
      <w:r w:rsidR="009621C8" w:rsidRPr="009621C8">
        <w:t xml:space="preserve"> </w:t>
      </w:r>
      <w:r w:rsidR="009621C8">
        <w:t>puts in place reporting requirements for the licensee</w:t>
      </w:r>
      <w:r>
        <w:t>.</w:t>
      </w:r>
    </w:p>
    <w:p w14:paraId="749A1815" w14:textId="77777777" w:rsidR="004A1008" w:rsidRPr="000B3D53" w:rsidRDefault="004A1008" w:rsidP="004A1008">
      <w:pPr>
        <w:pStyle w:val="Heading3"/>
        <w:numPr>
          <w:ilvl w:val="5"/>
          <w:numId w:val="7"/>
        </w:numPr>
      </w:pPr>
      <w:r>
        <w:t>Formula for calculating the Tier 1 Services Repex Control Deliverable term</w:t>
      </w:r>
    </w:p>
    <w:p w14:paraId="569ADA75" w14:textId="77777777" w:rsidR="004A1008" w:rsidRPr="000B3D53" w:rsidRDefault="004A1008" w:rsidP="004A1008">
      <w:pPr>
        <w:pStyle w:val="NumberedNormal"/>
        <w:numPr>
          <w:ilvl w:val="2"/>
          <w:numId w:val="7"/>
        </w:numPr>
      </w:pPr>
      <w:r>
        <w:t>The value of T1SRt is derived in accordance with the following formula:</w:t>
      </w:r>
    </w:p>
    <w:p w14:paraId="0DBBAC06" w14:textId="77777777" w:rsidR="004A1008" w:rsidRPr="000B3D53" w:rsidRDefault="004A1008" w:rsidP="004A1008">
      <w:pPr>
        <w:pStyle w:val="Equation"/>
      </w:pPr>
      <m:oMathPara>
        <m:oMath>
          <m:r>
            <w:rPr>
              <w:rFonts w:ascii="Cambria Math" w:hAnsi="Cambria Math"/>
            </w:rPr>
            <m:t>T</m:t>
          </m:r>
          <m:r>
            <m:rPr>
              <m:sty m:val="p"/>
            </m:rPr>
            <w:rPr>
              <w:rFonts w:ascii="Cambria Math" w:hAnsi="Cambria Math"/>
            </w:rPr>
            <m:t>1</m:t>
          </m:r>
          <m:r>
            <w:rPr>
              <w:rFonts w:ascii="Cambria Math" w:hAnsi="Cambria Math"/>
            </w:rPr>
            <m:t>SRt</m:t>
          </m:r>
          <m:r>
            <m:rPr>
              <m:sty m:val="p"/>
            </m:rPr>
            <w:rPr>
              <w:rFonts w:ascii="Cambria Math" w:hAnsi="Cambria Math"/>
            </w:rPr>
            <m:t>=</m:t>
          </m:r>
          <m:nary>
            <m:naryPr>
              <m:chr m:val="∑"/>
              <m:limLoc m:val="subSup"/>
              <m:supHide m:val="1"/>
              <m:ctrlPr>
                <w:rPr>
                  <w:rFonts w:ascii="Cambria Math" w:hAnsi="Cambria Math"/>
                </w:rPr>
              </m:ctrlPr>
            </m:naryPr>
            <m:sub>
              <m:r>
                <w:rPr>
                  <w:rFonts w:ascii="Cambria Math" w:hAnsi="Cambria Math"/>
                </w:rPr>
                <m:t>i</m:t>
              </m:r>
            </m:sub>
            <m:sup/>
            <m:e>
              <m:r>
                <m:rPr>
                  <m:sty m:val="p"/>
                </m:rPr>
                <w:rPr>
                  <w:rFonts w:ascii="Cambria Math" w:hAnsi="Cambria Math"/>
                </w:rPr>
                <m:t>(</m:t>
              </m:r>
              <m:sSub>
                <m:sSubPr>
                  <m:ctrlPr>
                    <w:rPr>
                      <w:rFonts w:ascii="Cambria Math" w:hAnsi="Cambria Math"/>
                    </w:rPr>
                  </m:ctrlPr>
                </m:sSubPr>
                <m:e>
                  <m:r>
                    <m:rPr>
                      <m:sty m:val="p"/>
                    </m:rPr>
                    <w:rPr>
                      <w:rFonts w:ascii="Cambria Math" w:hAnsi="Cambria Math"/>
                    </w:rPr>
                    <m:t>((</m:t>
                  </m:r>
                  <m:r>
                    <w:rPr>
                      <w:rFonts w:ascii="Cambria Math" w:hAnsi="Cambria Math"/>
                    </w:rPr>
                    <m:t>DV</m:t>
                  </m:r>
                </m:e>
                <m:sub>
                  <m:r>
                    <w:rPr>
                      <w:rFonts w:ascii="Cambria Math" w:hAnsi="Cambria Math"/>
                    </w:rPr>
                    <m:t>i</m:t>
                  </m:r>
                  <m:r>
                    <m:rPr>
                      <m:sty m:val="p"/>
                    </m:rPr>
                    <w:rPr>
                      <w:rFonts w:ascii="Cambria Math" w:hAnsi="Cambria Math"/>
                    </w:rPr>
                    <m:t xml:space="preserve"> </m:t>
                  </m:r>
                </m:sub>
              </m:sSub>
            </m:e>
          </m:nary>
          <m:r>
            <m:rPr>
              <m:sty m:val="p"/>
            </m:rPr>
            <w:rPr>
              <w:rFonts w:ascii="Cambria Math" w:hAnsi="Cambria Math"/>
            </w:rPr>
            <m:t xml:space="preserve">∙ </m:t>
          </m:r>
          <m:r>
            <w:rPr>
              <w:rFonts w:ascii="Cambria Math" w:hAnsi="Cambria Math"/>
            </w:rPr>
            <m:t>FVM</m:t>
          </m:r>
          <m:r>
            <m:rPr>
              <m:sty m:val="p"/>
            </m:rPr>
            <w:rPr>
              <w:rFonts w:ascii="Cambria Math" w:hAnsi="Cambria Math"/>
            </w:rPr>
            <m:t>)-</m:t>
          </m:r>
          <m:r>
            <w:rPr>
              <w:rFonts w:ascii="Cambria Math" w:hAnsi="Cambria Math"/>
            </w:rPr>
            <m:t>BVi</m:t>
          </m:r>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i</m:t>
              </m:r>
            </m:sub>
          </m:sSub>
          <m:r>
            <m:rPr>
              <m:sty m:val="p"/>
            </m:rPr>
            <w:rPr>
              <w:rFonts w:ascii="Cambria Math" w:hAnsi="Cambria Math"/>
            </w:rPr>
            <m:t xml:space="preserve"> ∙</m:t>
          </m:r>
          <m:f>
            <m:fPr>
              <m:ctrlPr>
                <w:rPr>
                  <w:rFonts w:ascii="Cambria Math" w:hAnsi="Cambria Math"/>
                </w:rPr>
              </m:ctrlPr>
            </m:fPr>
            <m:num>
              <m:r>
                <w:rPr>
                  <w:rFonts w:ascii="Cambria Math" w:hAnsi="Cambria Math"/>
                </w:rPr>
                <m:t>T</m:t>
              </m:r>
              <m:r>
                <m:rPr>
                  <m:sty m:val="p"/>
                </m:rPr>
                <w:rPr>
                  <w:rFonts w:ascii="Cambria Math" w:hAnsi="Cambria Math"/>
                </w:rPr>
                <m:t>1</m:t>
              </m:r>
              <m:r>
                <w:rPr>
                  <w:rFonts w:ascii="Cambria Math" w:hAnsi="Cambria Math"/>
                </w:rPr>
                <m:t>SRAt</m:t>
              </m:r>
            </m:num>
            <m:den>
              <m:r>
                <w:rPr>
                  <w:rFonts w:ascii="Cambria Math" w:hAnsi="Cambria Math"/>
                </w:rPr>
                <m:t>T</m:t>
              </m:r>
              <m:r>
                <m:rPr>
                  <m:sty m:val="p"/>
                </m:rPr>
                <w:rPr>
                  <w:rFonts w:ascii="Cambria Math" w:hAnsi="Cambria Math"/>
                </w:rPr>
                <m:t>1</m:t>
              </m:r>
              <m:r>
                <w:rPr>
                  <w:rFonts w:ascii="Cambria Math" w:hAnsi="Cambria Math"/>
                </w:rPr>
                <m:t>SRA</m:t>
              </m:r>
            </m:den>
          </m:f>
          <m:r>
            <m:rPr>
              <m:sty m:val="p"/>
            </m:rPr>
            <w:rPr>
              <w:rFonts w:ascii="Cambria Math" w:hAnsi="Cambria Math"/>
            </w:rPr>
            <m:t xml:space="preserve"> </m:t>
          </m:r>
        </m:oMath>
      </m:oMathPara>
    </w:p>
    <w:p w14:paraId="73C31CC5" w14:textId="77777777" w:rsidR="004A1008" w:rsidRPr="000B3D53" w:rsidRDefault="004A1008" w:rsidP="004A1008">
      <w:r>
        <w:tab/>
      </w:r>
      <w:r w:rsidRPr="000B3D53">
        <w:t>where:</w:t>
      </w:r>
    </w:p>
    <w:tbl>
      <w:tblPr>
        <w:tblStyle w:val="TableGridLight"/>
        <w:tblW w:w="0" w:type="auto"/>
        <w:tblLook w:val="04A0" w:firstRow="1" w:lastRow="0" w:firstColumn="1" w:lastColumn="0" w:noHBand="0" w:noVBand="1"/>
      </w:tblPr>
      <w:tblGrid>
        <w:gridCol w:w="861"/>
        <w:gridCol w:w="7485"/>
      </w:tblGrid>
      <w:tr w:rsidR="004A1008" w14:paraId="74B48B03" w14:textId="77777777" w:rsidTr="004A1008">
        <w:tc>
          <w:tcPr>
            <w:tcW w:w="0" w:type="auto"/>
          </w:tcPr>
          <w:p w14:paraId="1F33B36B" w14:textId="77777777" w:rsidR="004A1008" w:rsidRPr="00F83779" w:rsidRDefault="004A1008" w:rsidP="004A1008">
            <w:pPr>
              <w:rPr>
                <w:i/>
                <w:iCs/>
              </w:rPr>
            </w:pPr>
            <w:r w:rsidRPr="00F83779">
              <w:rPr>
                <w:i/>
                <w:iCs/>
              </w:rPr>
              <w:t>i</w:t>
            </w:r>
          </w:p>
        </w:tc>
        <w:tc>
          <w:tcPr>
            <w:tcW w:w="0" w:type="auto"/>
          </w:tcPr>
          <w:p w14:paraId="1D76E178" w14:textId="326C0D1A" w:rsidR="004A1008" w:rsidRPr="000B3D53" w:rsidRDefault="004A1008" w:rsidP="004A1008">
            <w:r w:rsidRPr="000B3D53">
              <w:t>denotes each Tier 1 Services Repex Workload Activity</w:t>
            </w:r>
            <w:r>
              <w:t>;</w:t>
            </w:r>
          </w:p>
        </w:tc>
      </w:tr>
      <w:tr w:rsidR="004A1008" w14:paraId="4F17AB90" w14:textId="77777777" w:rsidTr="004A1008">
        <w:tc>
          <w:tcPr>
            <w:tcW w:w="0" w:type="auto"/>
          </w:tcPr>
          <w:p w14:paraId="4D45EACD" w14:textId="77777777" w:rsidR="004A1008" w:rsidRPr="00F83779" w:rsidRDefault="004A1008" w:rsidP="004A1008">
            <w:pPr>
              <w:pStyle w:val="Equation"/>
              <w:rPr>
                <w:i/>
                <w:iCs/>
              </w:rPr>
            </w:pPr>
            <w:r w:rsidRPr="00F83779">
              <w:rPr>
                <w:i/>
                <w:iCs/>
              </w:rPr>
              <w:t>DVi</w:t>
            </w:r>
          </w:p>
        </w:tc>
        <w:tc>
          <w:tcPr>
            <w:tcW w:w="0" w:type="auto"/>
          </w:tcPr>
          <w:p w14:paraId="0E4D85EE" w14:textId="763F7236" w:rsidR="004A1008" w:rsidRPr="000B3D53" w:rsidRDefault="004A1008" w:rsidP="004A1008">
            <w:pPr>
              <w:pStyle w:val="Equation"/>
            </w:pPr>
            <w:r w:rsidRPr="000B3D53">
              <w:t>means the Outturn Workload of Tier 1 Services Repex within the relevant Tier 1 Services Repex Workload Activity</w:t>
            </w:r>
            <w:r>
              <w:t>;</w:t>
            </w:r>
          </w:p>
        </w:tc>
      </w:tr>
      <w:tr w:rsidR="004A1008" w14:paraId="3DB50D2A" w14:textId="77777777" w:rsidTr="004A1008">
        <w:tc>
          <w:tcPr>
            <w:tcW w:w="0" w:type="auto"/>
          </w:tcPr>
          <w:p w14:paraId="5A1DA4AE" w14:textId="77777777" w:rsidR="004A1008" w:rsidRPr="00F83779" w:rsidRDefault="004A1008" w:rsidP="004A1008">
            <w:pPr>
              <w:pStyle w:val="Equation"/>
              <w:rPr>
                <w:i/>
                <w:iCs/>
              </w:rPr>
            </w:pPr>
            <w:r w:rsidRPr="00F83779">
              <w:rPr>
                <w:i/>
                <w:iCs/>
              </w:rPr>
              <w:t>FVM</w:t>
            </w:r>
          </w:p>
        </w:tc>
        <w:tc>
          <w:tcPr>
            <w:tcW w:w="0" w:type="auto"/>
          </w:tcPr>
          <w:p w14:paraId="3E437A3B" w14:textId="7B0D84AA" w:rsidR="004A1008" w:rsidRPr="000B3D53" w:rsidRDefault="004A1008" w:rsidP="004A1008">
            <w:pPr>
              <w:pStyle w:val="Equation"/>
            </w:pPr>
            <w:r w:rsidRPr="000B3D53">
              <w:t>means the Funded Volume Multiplier, derived in accordance with paragraph 4</w:t>
            </w:r>
            <w:r>
              <w:t>;</w:t>
            </w:r>
          </w:p>
        </w:tc>
      </w:tr>
      <w:tr w:rsidR="004A1008" w14:paraId="235056BC" w14:textId="77777777" w:rsidTr="004A1008">
        <w:tc>
          <w:tcPr>
            <w:tcW w:w="0" w:type="auto"/>
          </w:tcPr>
          <w:p w14:paraId="65C6D507" w14:textId="77777777" w:rsidR="004A1008" w:rsidRPr="00F83779" w:rsidRDefault="004A1008" w:rsidP="004A1008">
            <w:pPr>
              <w:pStyle w:val="Equation"/>
              <w:rPr>
                <w:i/>
                <w:iCs/>
              </w:rPr>
            </w:pPr>
            <w:r w:rsidRPr="00F83779">
              <w:rPr>
                <w:i/>
                <w:iCs/>
              </w:rPr>
              <w:t>BVi</w:t>
            </w:r>
          </w:p>
        </w:tc>
        <w:tc>
          <w:tcPr>
            <w:tcW w:w="0" w:type="auto"/>
          </w:tcPr>
          <w:p w14:paraId="17E76668" w14:textId="77777777" w:rsidR="004A1008" w:rsidRPr="000B3D53" w:rsidRDefault="004A1008" w:rsidP="004A1008">
            <w:pPr>
              <w:pStyle w:val="Equation"/>
            </w:pPr>
            <w:r w:rsidRPr="000B3D53">
              <w:t xml:space="preserve">means the Baseline Volume of Tier 1 Services Repex within the relevant Tier 1 Services Repex Workload Activity, as set out in Appendix </w:t>
            </w:r>
            <w:r>
              <w:t>1;</w:t>
            </w:r>
          </w:p>
        </w:tc>
      </w:tr>
      <w:tr w:rsidR="004A1008" w14:paraId="373A4E78" w14:textId="77777777" w:rsidTr="004A1008">
        <w:tc>
          <w:tcPr>
            <w:tcW w:w="0" w:type="auto"/>
          </w:tcPr>
          <w:p w14:paraId="5C1C318D" w14:textId="77777777" w:rsidR="004A1008" w:rsidRPr="00F83779" w:rsidRDefault="004A1008" w:rsidP="004A1008">
            <w:pPr>
              <w:pStyle w:val="Equation"/>
              <w:rPr>
                <w:i/>
                <w:iCs/>
              </w:rPr>
            </w:pPr>
            <w:r w:rsidRPr="00F83779">
              <w:rPr>
                <w:i/>
                <w:iCs/>
              </w:rPr>
              <w:t>Ci</w:t>
            </w:r>
          </w:p>
        </w:tc>
        <w:tc>
          <w:tcPr>
            <w:tcW w:w="0" w:type="auto"/>
          </w:tcPr>
          <w:p w14:paraId="40A5E476" w14:textId="77777777" w:rsidR="004A1008" w:rsidRPr="000B3D53" w:rsidRDefault="004A1008" w:rsidP="004A1008">
            <w:pPr>
              <w:pStyle w:val="Equation"/>
            </w:pPr>
            <w:r w:rsidRPr="000B3D53">
              <w:t xml:space="preserve">means the Allowed Unit Cost of Tier 1 Services Repex within the relevant Tier 1 Services Repex Workload Activity as set out in Appendix </w:t>
            </w:r>
            <w:r>
              <w:t>1; and</w:t>
            </w:r>
          </w:p>
        </w:tc>
      </w:tr>
      <w:tr w:rsidR="004A1008" w14:paraId="7549EC9B" w14:textId="77777777" w:rsidTr="004A1008">
        <w:tc>
          <w:tcPr>
            <w:tcW w:w="0" w:type="auto"/>
          </w:tcPr>
          <w:p w14:paraId="52E135FF" w14:textId="77777777" w:rsidR="004A1008" w:rsidRPr="00F83779" w:rsidRDefault="004A1008" w:rsidP="004A1008">
            <w:pPr>
              <w:pStyle w:val="Equation"/>
              <w:rPr>
                <w:i/>
                <w:iCs/>
              </w:rPr>
            </w:pPr>
            <w:r w:rsidRPr="00F83779">
              <w:rPr>
                <w:i/>
                <w:iCs/>
              </w:rPr>
              <w:t>T1SRA</w:t>
            </w:r>
          </w:p>
        </w:tc>
        <w:tc>
          <w:tcPr>
            <w:tcW w:w="0" w:type="auto"/>
          </w:tcPr>
          <w:p w14:paraId="24E160C3" w14:textId="77777777" w:rsidR="004A1008" w:rsidRPr="000B3D53" w:rsidRDefault="004A1008" w:rsidP="004A1008">
            <w:pPr>
              <w:pStyle w:val="Equation"/>
            </w:pPr>
            <w:r w:rsidRPr="000B3D53">
              <w:t xml:space="preserve">means the Tier 1 Services Baseline Value, as set out in Appendix </w:t>
            </w:r>
            <w:r>
              <w:t>2</w:t>
            </w:r>
            <w:r w:rsidRPr="000B3D53">
              <w:t>.</w:t>
            </w:r>
          </w:p>
        </w:tc>
      </w:tr>
    </w:tbl>
    <w:p w14:paraId="3006F95C" w14:textId="5505516E" w:rsidR="004A1008" w:rsidRPr="000B3D53" w:rsidRDefault="004A1008" w:rsidP="004A1008">
      <w:pPr>
        <w:pStyle w:val="NumberedNormal"/>
      </w:pPr>
      <w:r>
        <w:t>The value of FVM is derived in accordance with the following formula:</w:t>
      </w:r>
    </w:p>
    <w:p w14:paraId="16990C6D" w14:textId="77777777" w:rsidR="004A1008" w:rsidRPr="000B3D53" w:rsidRDefault="004A1008" w:rsidP="004A1008">
      <w:pPr>
        <w:pStyle w:val="Equation"/>
        <w:jc w:val="center"/>
      </w:pPr>
      <m:oMath>
        <m:r>
          <w:rPr>
            <w:rFonts w:ascii="Cambria Math" w:hAnsi="Cambria Math"/>
          </w:rPr>
          <m:t>FVM</m:t>
        </m:r>
        <m:r>
          <m:rPr>
            <m:sty m:val="p"/>
          </m:rPr>
          <w:rPr>
            <w:rFonts w:ascii="Cambria Math" w:hAnsi="Cambria Math"/>
          </w:rPr>
          <m:t>=min⁡((</m:t>
        </m:r>
        <m:f>
          <m:fPr>
            <m:ctrlPr>
              <w:rPr>
                <w:rFonts w:ascii="Cambria Math" w:hAnsi="Cambria Math"/>
              </w:rPr>
            </m:ctrlPr>
          </m:fPr>
          <m:num>
            <m:nary>
              <m:naryPr>
                <m:chr m:val="∑"/>
                <m:limLoc m:val="subSup"/>
                <m:supHide m:val="1"/>
                <m:ctrlPr>
                  <w:rPr>
                    <w:rFonts w:ascii="Cambria Math" w:hAnsi="Cambria Math"/>
                  </w:rPr>
                </m:ctrlPr>
              </m:naryPr>
              <m:sub>
                <m:r>
                  <w:rPr>
                    <w:rFonts w:ascii="Cambria Math" w:hAnsi="Cambria Math"/>
                  </w:rPr>
                  <m:t>i</m:t>
                </m:r>
              </m:sub>
              <m:sup/>
              <m:e>
                <m:sSub>
                  <m:sSubPr>
                    <m:ctrlPr>
                      <w:rPr>
                        <w:rFonts w:ascii="Cambria Math" w:hAnsi="Cambria Math"/>
                      </w:rPr>
                    </m:ctrlPr>
                  </m:sSubPr>
                  <m:e>
                    <m:r>
                      <w:rPr>
                        <w:rFonts w:ascii="Cambria Math" w:hAnsi="Cambria Math"/>
                      </w:rPr>
                      <m:t>BV</m:t>
                    </m:r>
                  </m:e>
                  <m:sub>
                    <m:r>
                      <w:rPr>
                        <w:rFonts w:ascii="Cambria Math" w:hAnsi="Cambria Math"/>
                      </w:rPr>
                      <m:t>i</m:t>
                    </m:r>
                  </m:sub>
                </m:sSub>
              </m:e>
            </m:nary>
          </m:num>
          <m:den>
            <m:nary>
              <m:naryPr>
                <m:chr m:val="∑"/>
                <m:limLoc m:val="undOvr"/>
                <m:supHide m:val="1"/>
                <m:ctrlPr>
                  <w:rPr>
                    <w:rFonts w:ascii="Cambria Math" w:hAnsi="Cambria Math"/>
                  </w:rPr>
                </m:ctrlPr>
              </m:naryPr>
              <m:sub>
                <m:r>
                  <w:rPr>
                    <w:rFonts w:ascii="Cambria Math" w:hAnsi="Cambria Math"/>
                  </w:rPr>
                  <m:t>i</m:t>
                </m:r>
              </m:sub>
              <m:sup/>
              <m:e>
                <m:sSub>
                  <m:sSubPr>
                    <m:ctrlPr>
                      <w:rPr>
                        <w:rFonts w:ascii="Cambria Math" w:hAnsi="Cambria Math"/>
                      </w:rPr>
                    </m:ctrlPr>
                  </m:sSubPr>
                  <m:e>
                    <m:r>
                      <w:rPr>
                        <w:rFonts w:ascii="Cambria Math" w:hAnsi="Cambria Math"/>
                      </w:rPr>
                      <m:t>DV</m:t>
                    </m:r>
                  </m:e>
                  <m:sub>
                    <m:r>
                      <w:rPr>
                        <w:rFonts w:ascii="Cambria Math" w:hAnsi="Cambria Math"/>
                      </w:rPr>
                      <m:t>i</m:t>
                    </m:r>
                  </m:sub>
                </m:sSub>
              </m:e>
            </m:nary>
          </m:den>
        </m:f>
        <m:r>
          <m:rPr>
            <m:sty m:val="p"/>
          </m:rPr>
          <w:rPr>
            <w:rFonts w:ascii="Cambria Math" w:hAnsi="Cambria Math"/>
          </w:rPr>
          <m:t>×1.1)</m:t>
        </m:r>
      </m:oMath>
      <w:r w:rsidRPr="000B3D53">
        <w:t>, 1)</w:t>
      </w:r>
    </w:p>
    <w:p w14:paraId="087E6873" w14:textId="77777777" w:rsidR="004A1008" w:rsidRPr="000B3D53" w:rsidRDefault="004A1008" w:rsidP="004A1008">
      <w:r>
        <w:tab/>
      </w:r>
      <w:r w:rsidRPr="000B3D53">
        <w:t>where:</w:t>
      </w:r>
    </w:p>
    <w:tbl>
      <w:tblPr>
        <w:tblW w:w="0" w:type="auto"/>
        <w:tblInd w:w="720" w:type="dxa"/>
        <w:tblLook w:val="04A0" w:firstRow="1" w:lastRow="0" w:firstColumn="1" w:lastColumn="0" w:noHBand="0" w:noVBand="1"/>
      </w:tblPr>
      <w:tblGrid>
        <w:gridCol w:w="1832"/>
        <w:gridCol w:w="6474"/>
      </w:tblGrid>
      <w:tr w:rsidR="004A1008" w14:paraId="06AF2640" w14:textId="77777777" w:rsidTr="004A1008">
        <w:tc>
          <w:tcPr>
            <w:tcW w:w="1832" w:type="dxa"/>
            <w:shd w:val="clear" w:color="auto" w:fill="auto"/>
          </w:tcPr>
          <w:p w14:paraId="7479B5C0" w14:textId="77777777" w:rsidR="004A1008" w:rsidRPr="000B3D53" w:rsidRDefault="004A1008" w:rsidP="004A1008">
            <w:r w:rsidRPr="000B3D53">
              <w:lastRenderedPageBreak/>
              <w:t>i</w:t>
            </w:r>
          </w:p>
        </w:tc>
        <w:tc>
          <w:tcPr>
            <w:tcW w:w="6474" w:type="dxa"/>
            <w:shd w:val="clear" w:color="auto" w:fill="auto"/>
          </w:tcPr>
          <w:p w14:paraId="7C3E8CDE" w14:textId="77777777" w:rsidR="004A1008" w:rsidRPr="000B3D53" w:rsidRDefault="004A1008" w:rsidP="004A1008">
            <w:r w:rsidRPr="000B3D53">
              <w:t>denotes each Tier 1 Services Repex Workload Activity</w:t>
            </w:r>
            <w:r>
              <w:t>;</w:t>
            </w:r>
          </w:p>
        </w:tc>
      </w:tr>
      <w:tr w:rsidR="004A1008" w14:paraId="70AE2858" w14:textId="77777777" w:rsidTr="004A1008">
        <w:tc>
          <w:tcPr>
            <w:tcW w:w="1832" w:type="dxa"/>
            <w:shd w:val="clear" w:color="auto" w:fill="auto"/>
          </w:tcPr>
          <w:p w14:paraId="085B13A2" w14:textId="77777777" w:rsidR="004A1008" w:rsidRPr="000B3D53" w:rsidRDefault="004A1008" w:rsidP="004A1008">
            <w:r w:rsidRPr="000B3D53">
              <w:t>DVi</w:t>
            </w:r>
          </w:p>
        </w:tc>
        <w:tc>
          <w:tcPr>
            <w:tcW w:w="6474" w:type="dxa"/>
            <w:shd w:val="clear" w:color="auto" w:fill="auto"/>
          </w:tcPr>
          <w:p w14:paraId="290CF20A" w14:textId="77777777" w:rsidR="004A1008" w:rsidRPr="000B3D53" w:rsidRDefault="004A1008" w:rsidP="004A1008">
            <w:r w:rsidRPr="000B3D53">
              <w:t>means the Outturn Workload of Tier 1 Services Repex within the relevant Tier 1 Services Repex Workload Activity</w:t>
            </w:r>
            <w:r>
              <w:t>; and</w:t>
            </w:r>
          </w:p>
        </w:tc>
      </w:tr>
      <w:tr w:rsidR="004A1008" w14:paraId="4D1CAB90" w14:textId="77777777" w:rsidTr="004A1008">
        <w:tc>
          <w:tcPr>
            <w:tcW w:w="1832" w:type="dxa"/>
            <w:shd w:val="clear" w:color="auto" w:fill="auto"/>
          </w:tcPr>
          <w:p w14:paraId="644EB971" w14:textId="77777777" w:rsidR="004A1008" w:rsidRPr="000B3D53" w:rsidRDefault="004A1008" w:rsidP="004A1008">
            <w:r w:rsidRPr="000B3D53">
              <w:t>BVi</w:t>
            </w:r>
          </w:p>
        </w:tc>
        <w:tc>
          <w:tcPr>
            <w:tcW w:w="6474" w:type="dxa"/>
            <w:shd w:val="clear" w:color="auto" w:fill="auto"/>
          </w:tcPr>
          <w:p w14:paraId="3B2D1F75" w14:textId="77777777" w:rsidR="004A1008" w:rsidRPr="000B3D53" w:rsidRDefault="004A1008" w:rsidP="004A1008">
            <w:r w:rsidRPr="000B3D53">
              <w:t xml:space="preserve">means the Baseline Volume of Tier 1 Services Repex within the relevant Tier 1 Services Repex Workload Activity, as set out in Appendix </w:t>
            </w:r>
            <w:r>
              <w:t>1.</w:t>
            </w:r>
          </w:p>
        </w:tc>
      </w:tr>
    </w:tbl>
    <w:p w14:paraId="5FEE87E8" w14:textId="77777777" w:rsidR="004A1008" w:rsidRPr="000B3D53" w:rsidRDefault="004A1008" w:rsidP="004A1008">
      <w:pPr>
        <w:pStyle w:val="Heading3"/>
        <w:numPr>
          <w:ilvl w:val="5"/>
          <w:numId w:val="7"/>
        </w:numPr>
      </w:pPr>
      <w:r>
        <w:t>What is the licensee funded to deliver?</w:t>
      </w:r>
    </w:p>
    <w:p w14:paraId="5CE0ABE4" w14:textId="77777777" w:rsidR="004A1008" w:rsidRPr="000B3D53" w:rsidRDefault="004A1008" w:rsidP="004A1008">
      <w:pPr>
        <w:pStyle w:val="NumberedNormal"/>
        <w:numPr>
          <w:ilvl w:val="2"/>
          <w:numId w:val="7"/>
        </w:numPr>
      </w:pPr>
      <w:r>
        <w:t xml:space="preserve">The licensee, is funded to deliver a Baseline Target Workload of Tier 1 Services Repex during the Price Control Period, as set out in Appendix 1. </w:t>
      </w:r>
    </w:p>
    <w:p w14:paraId="5863872B" w14:textId="325E5501" w:rsidR="004A1008" w:rsidRPr="000B3D53" w:rsidRDefault="009621C8" w:rsidP="004A1008">
      <w:pPr>
        <w:pStyle w:val="Heading3"/>
        <w:numPr>
          <w:ilvl w:val="5"/>
          <w:numId w:val="7"/>
        </w:numPr>
      </w:pPr>
      <w:r>
        <w:t>Reporting requirements</w:t>
      </w:r>
    </w:p>
    <w:p w14:paraId="7F2C62C7" w14:textId="77777777" w:rsidR="004A1008" w:rsidRPr="000B3D53" w:rsidRDefault="004A1008" w:rsidP="004A1008">
      <w:pPr>
        <w:pStyle w:val="NumberedNormal"/>
        <w:numPr>
          <w:ilvl w:val="2"/>
          <w:numId w:val="7"/>
        </w:numPr>
      </w:pPr>
      <w:r>
        <w:t xml:space="preserve">If the Outturn Workload of Tier 1 Services Repex is more than 10% less than the Baseline Target Workload, then the licensee must submit to the Authority a report for publication that details the reasons for, and effects of, this under-delivery, in a format directed by the Authority. </w:t>
      </w:r>
    </w:p>
    <w:p w14:paraId="64D675EF" w14:textId="77777777" w:rsidR="004A1008" w:rsidRPr="000B3D53" w:rsidRDefault="004A1008" w:rsidP="004A1008">
      <w:pPr>
        <w:pStyle w:val="AppendixHeading"/>
      </w:pPr>
    </w:p>
    <w:p w14:paraId="12774597" w14:textId="77777777" w:rsidR="004A1008" w:rsidRPr="00761A2F" w:rsidRDefault="004A1008" w:rsidP="004A1008">
      <w:pPr>
        <w:pStyle w:val="Caption"/>
      </w:pPr>
      <w:r w:rsidRPr="00761A2F">
        <w:t>Tier 1 Services Baseline Target Workloads and Unit Costs</w:t>
      </w:r>
    </w:p>
    <w:tbl>
      <w:tblPr>
        <w:tblStyle w:val="AppendixTable"/>
        <w:tblW w:w="0" w:type="auto"/>
        <w:tblLook w:val="04A0" w:firstRow="1" w:lastRow="0" w:firstColumn="1" w:lastColumn="0" w:noHBand="0" w:noVBand="1"/>
      </w:tblPr>
      <w:tblGrid>
        <w:gridCol w:w="1744"/>
        <w:gridCol w:w="2357"/>
        <w:gridCol w:w="1329"/>
        <w:gridCol w:w="2089"/>
        <w:gridCol w:w="1507"/>
      </w:tblGrid>
      <w:tr w:rsidR="004A1008" w:rsidRPr="005E1A8B" w14:paraId="4E4E214A" w14:textId="77777777" w:rsidTr="004A1008">
        <w:trPr>
          <w:cnfStyle w:val="100000000000" w:firstRow="1" w:lastRow="0" w:firstColumn="0" w:lastColumn="0" w:oddVBand="0" w:evenVBand="0" w:oddHBand="0" w:evenHBand="0" w:firstRowFirstColumn="0" w:firstRowLastColumn="0" w:lastRowFirstColumn="0" w:lastRowLastColumn="0"/>
          <w:trHeight w:val="195"/>
          <w:tblHeader/>
        </w:trPr>
        <w:tc>
          <w:tcPr>
            <w:tcW w:w="0" w:type="auto"/>
          </w:tcPr>
          <w:p w14:paraId="04B57DB0" w14:textId="77777777" w:rsidR="004A1008" w:rsidRPr="005E1A8B" w:rsidRDefault="004A1008" w:rsidP="004A1008">
            <w:r w:rsidRPr="005E1A8B">
              <w:t>Licensee</w:t>
            </w:r>
          </w:p>
        </w:tc>
        <w:tc>
          <w:tcPr>
            <w:tcW w:w="0" w:type="auto"/>
          </w:tcPr>
          <w:p w14:paraId="41A37585" w14:textId="77777777" w:rsidR="004A1008" w:rsidRPr="005E1A8B" w:rsidRDefault="004A1008" w:rsidP="004A1008">
            <w:r>
              <w:t>Type of Service Intervention</w:t>
            </w:r>
          </w:p>
        </w:tc>
        <w:tc>
          <w:tcPr>
            <w:tcW w:w="0" w:type="auto"/>
          </w:tcPr>
          <w:p w14:paraId="36E04C14" w14:textId="77777777" w:rsidR="004A1008" w:rsidRPr="005E1A8B" w:rsidRDefault="004A1008" w:rsidP="004A1008">
            <w:r>
              <w:t>Property type</w:t>
            </w:r>
          </w:p>
        </w:tc>
        <w:tc>
          <w:tcPr>
            <w:tcW w:w="0" w:type="auto"/>
          </w:tcPr>
          <w:p w14:paraId="55D37029" w14:textId="77777777" w:rsidR="004A1008" w:rsidRPr="005E1A8B" w:rsidRDefault="004A1008" w:rsidP="004A1008">
            <w:r w:rsidRPr="005E1A8B">
              <w:t>Baseline Target Workload</w:t>
            </w:r>
          </w:p>
        </w:tc>
        <w:tc>
          <w:tcPr>
            <w:tcW w:w="0" w:type="auto"/>
          </w:tcPr>
          <w:p w14:paraId="2B82A704" w14:textId="77777777" w:rsidR="004A1008" w:rsidRPr="005E1A8B" w:rsidRDefault="004A1008" w:rsidP="004A1008">
            <w:r w:rsidRPr="005E1A8B">
              <w:t>Allowed Unit Cost</w:t>
            </w:r>
          </w:p>
        </w:tc>
      </w:tr>
      <w:tr w:rsidR="004A1008" w:rsidRPr="005E1A8B" w14:paraId="0645F3E7" w14:textId="77777777" w:rsidTr="004A1008">
        <w:trPr>
          <w:trHeight w:val="205"/>
        </w:trPr>
        <w:tc>
          <w:tcPr>
            <w:tcW w:w="0" w:type="auto"/>
          </w:tcPr>
          <w:p w14:paraId="265FEFBF" w14:textId="77777777" w:rsidR="004A1008" w:rsidRPr="005E1A8B" w:rsidRDefault="004A1008" w:rsidP="004A1008">
            <w:r w:rsidRPr="005E1A8B">
              <w:t>Cadent East of England</w:t>
            </w:r>
          </w:p>
        </w:tc>
        <w:tc>
          <w:tcPr>
            <w:tcW w:w="0" w:type="auto"/>
          </w:tcPr>
          <w:p w14:paraId="497D4063" w14:textId="77777777" w:rsidR="004A1008" w:rsidRPr="005E1A8B" w:rsidRDefault="004A1008" w:rsidP="004A1008">
            <w:r>
              <w:t>Relay</w:t>
            </w:r>
          </w:p>
        </w:tc>
        <w:tc>
          <w:tcPr>
            <w:tcW w:w="0" w:type="auto"/>
          </w:tcPr>
          <w:p w14:paraId="651BF32C" w14:textId="77777777" w:rsidR="004A1008" w:rsidRPr="005E1A8B" w:rsidRDefault="004A1008" w:rsidP="004A1008">
            <w:r>
              <w:t>Domestic</w:t>
            </w:r>
          </w:p>
        </w:tc>
        <w:tc>
          <w:tcPr>
            <w:tcW w:w="0" w:type="auto"/>
          </w:tcPr>
          <w:p w14:paraId="7C4CDDAF" w14:textId="77777777" w:rsidR="004A1008" w:rsidRPr="005E1A8B" w:rsidRDefault="004A1008" w:rsidP="004A1008"/>
        </w:tc>
        <w:tc>
          <w:tcPr>
            <w:tcW w:w="0" w:type="auto"/>
          </w:tcPr>
          <w:p w14:paraId="2BE188B3" w14:textId="77777777" w:rsidR="004A1008" w:rsidRPr="005E1A8B" w:rsidRDefault="004A1008" w:rsidP="004A1008"/>
        </w:tc>
      </w:tr>
      <w:tr w:rsidR="004A1008" w:rsidRPr="005E1A8B" w14:paraId="6D4B2DF6" w14:textId="77777777" w:rsidTr="004A1008">
        <w:trPr>
          <w:trHeight w:val="205"/>
        </w:trPr>
        <w:tc>
          <w:tcPr>
            <w:tcW w:w="0" w:type="auto"/>
          </w:tcPr>
          <w:p w14:paraId="44AA9339" w14:textId="77777777" w:rsidR="004A1008" w:rsidRPr="005E1A8B" w:rsidRDefault="004A1008" w:rsidP="004A1008">
            <w:r w:rsidRPr="005E1A8B">
              <w:t>Cadent East of England</w:t>
            </w:r>
          </w:p>
        </w:tc>
        <w:tc>
          <w:tcPr>
            <w:tcW w:w="0" w:type="auto"/>
          </w:tcPr>
          <w:p w14:paraId="5EDED549" w14:textId="77777777" w:rsidR="004A1008" w:rsidRPr="005E1A8B" w:rsidRDefault="004A1008" w:rsidP="004A1008">
            <w:r>
              <w:t xml:space="preserve">Test &amp; Transfer </w:t>
            </w:r>
          </w:p>
        </w:tc>
        <w:tc>
          <w:tcPr>
            <w:tcW w:w="0" w:type="auto"/>
          </w:tcPr>
          <w:p w14:paraId="25A93AB9" w14:textId="77777777" w:rsidR="004A1008" w:rsidRPr="005E1A8B" w:rsidRDefault="004A1008" w:rsidP="004A1008">
            <w:r>
              <w:t>Domestic</w:t>
            </w:r>
          </w:p>
        </w:tc>
        <w:tc>
          <w:tcPr>
            <w:tcW w:w="0" w:type="auto"/>
          </w:tcPr>
          <w:p w14:paraId="683E7F94" w14:textId="77777777" w:rsidR="004A1008" w:rsidRPr="005E1A8B" w:rsidRDefault="004A1008" w:rsidP="004A1008"/>
        </w:tc>
        <w:tc>
          <w:tcPr>
            <w:tcW w:w="0" w:type="auto"/>
          </w:tcPr>
          <w:p w14:paraId="40B14FB2" w14:textId="77777777" w:rsidR="004A1008" w:rsidRPr="005E1A8B" w:rsidRDefault="004A1008" w:rsidP="004A1008"/>
        </w:tc>
      </w:tr>
      <w:tr w:rsidR="004A1008" w:rsidRPr="005E1A8B" w14:paraId="1BBA2E43" w14:textId="77777777" w:rsidTr="004A1008">
        <w:trPr>
          <w:trHeight w:val="205"/>
        </w:trPr>
        <w:tc>
          <w:tcPr>
            <w:tcW w:w="0" w:type="auto"/>
          </w:tcPr>
          <w:p w14:paraId="782F2F73" w14:textId="77777777" w:rsidR="004A1008" w:rsidRPr="005E1A8B" w:rsidRDefault="004A1008" w:rsidP="004A1008">
            <w:r w:rsidRPr="005E1A8B">
              <w:t>Cadent East of England</w:t>
            </w:r>
          </w:p>
        </w:tc>
        <w:tc>
          <w:tcPr>
            <w:tcW w:w="0" w:type="auto"/>
          </w:tcPr>
          <w:p w14:paraId="453C3CFF" w14:textId="77777777" w:rsidR="004A1008" w:rsidRPr="005E1A8B" w:rsidRDefault="004A1008" w:rsidP="004A1008">
            <w:r>
              <w:t>Relay</w:t>
            </w:r>
          </w:p>
        </w:tc>
        <w:tc>
          <w:tcPr>
            <w:tcW w:w="0" w:type="auto"/>
          </w:tcPr>
          <w:p w14:paraId="32FCE3F8" w14:textId="77777777" w:rsidR="004A1008" w:rsidRPr="005E1A8B" w:rsidRDefault="004A1008" w:rsidP="004A1008">
            <w:r>
              <w:t>Non-Domestic</w:t>
            </w:r>
          </w:p>
        </w:tc>
        <w:tc>
          <w:tcPr>
            <w:tcW w:w="0" w:type="auto"/>
          </w:tcPr>
          <w:p w14:paraId="2AC27910" w14:textId="77777777" w:rsidR="004A1008" w:rsidRPr="005E1A8B" w:rsidRDefault="004A1008" w:rsidP="004A1008"/>
        </w:tc>
        <w:tc>
          <w:tcPr>
            <w:tcW w:w="0" w:type="auto"/>
          </w:tcPr>
          <w:p w14:paraId="01AB17BC" w14:textId="77777777" w:rsidR="004A1008" w:rsidRPr="005E1A8B" w:rsidRDefault="004A1008" w:rsidP="004A1008"/>
        </w:tc>
      </w:tr>
      <w:tr w:rsidR="004A1008" w:rsidRPr="005E1A8B" w14:paraId="29FD71F1" w14:textId="77777777" w:rsidTr="004A1008">
        <w:trPr>
          <w:trHeight w:val="205"/>
        </w:trPr>
        <w:tc>
          <w:tcPr>
            <w:tcW w:w="0" w:type="auto"/>
          </w:tcPr>
          <w:p w14:paraId="508D8533" w14:textId="77777777" w:rsidR="004A1008" w:rsidRPr="005E1A8B" w:rsidRDefault="004A1008" w:rsidP="004A1008">
            <w:r w:rsidRPr="005E1A8B">
              <w:t>Cadent East of England</w:t>
            </w:r>
          </w:p>
        </w:tc>
        <w:tc>
          <w:tcPr>
            <w:tcW w:w="0" w:type="auto"/>
          </w:tcPr>
          <w:p w14:paraId="603BE398" w14:textId="77777777" w:rsidR="004A1008" w:rsidRPr="005E1A8B" w:rsidRDefault="004A1008" w:rsidP="004A1008">
            <w:r>
              <w:t xml:space="preserve">Test &amp; Transfer </w:t>
            </w:r>
          </w:p>
        </w:tc>
        <w:tc>
          <w:tcPr>
            <w:tcW w:w="0" w:type="auto"/>
          </w:tcPr>
          <w:p w14:paraId="749737E6" w14:textId="77777777" w:rsidR="004A1008" w:rsidRPr="005E1A8B" w:rsidRDefault="004A1008" w:rsidP="004A1008">
            <w:r>
              <w:t>Non-Domestic</w:t>
            </w:r>
          </w:p>
        </w:tc>
        <w:tc>
          <w:tcPr>
            <w:tcW w:w="0" w:type="auto"/>
          </w:tcPr>
          <w:p w14:paraId="68487228" w14:textId="77777777" w:rsidR="004A1008" w:rsidRPr="005E1A8B" w:rsidRDefault="004A1008" w:rsidP="004A1008"/>
        </w:tc>
        <w:tc>
          <w:tcPr>
            <w:tcW w:w="0" w:type="auto"/>
          </w:tcPr>
          <w:p w14:paraId="3E504F42" w14:textId="77777777" w:rsidR="004A1008" w:rsidRPr="005E1A8B" w:rsidRDefault="004A1008" w:rsidP="004A1008"/>
        </w:tc>
      </w:tr>
      <w:tr w:rsidR="004A1008" w:rsidRPr="005E1A8B" w14:paraId="10091EFA" w14:textId="77777777" w:rsidTr="004A1008">
        <w:trPr>
          <w:trHeight w:val="205"/>
        </w:trPr>
        <w:tc>
          <w:tcPr>
            <w:tcW w:w="0" w:type="auto"/>
          </w:tcPr>
          <w:p w14:paraId="7B08F1A8" w14:textId="77777777" w:rsidR="004A1008" w:rsidRPr="005E1A8B" w:rsidRDefault="004A1008" w:rsidP="004A1008">
            <w:r w:rsidRPr="005E1A8B">
              <w:t xml:space="preserve">Cadent </w:t>
            </w:r>
            <w:r>
              <w:t>North London</w:t>
            </w:r>
          </w:p>
        </w:tc>
        <w:tc>
          <w:tcPr>
            <w:tcW w:w="0" w:type="auto"/>
          </w:tcPr>
          <w:p w14:paraId="212BA255" w14:textId="77777777" w:rsidR="004A1008" w:rsidRPr="005E1A8B" w:rsidRDefault="004A1008" w:rsidP="004A1008">
            <w:r>
              <w:t>Relay</w:t>
            </w:r>
          </w:p>
        </w:tc>
        <w:tc>
          <w:tcPr>
            <w:tcW w:w="0" w:type="auto"/>
          </w:tcPr>
          <w:p w14:paraId="21FF6ABA" w14:textId="77777777" w:rsidR="004A1008" w:rsidRPr="005E1A8B" w:rsidRDefault="004A1008" w:rsidP="004A1008">
            <w:r>
              <w:t>Domestic</w:t>
            </w:r>
          </w:p>
        </w:tc>
        <w:tc>
          <w:tcPr>
            <w:tcW w:w="0" w:type="auto"/>
          </w:tcPr>
          <w:p w14:paraId="5EAE1EDC" w14:textId="77777777" w:rsidR="004A1008" w:rsidRPr="005E1A8B" w:rsidRDefault="004A1008" w:rsidP="004A1008"/>
        </w:tc>
        <w:tc>
          <w:tcPr>
            <w:tcW w:w="0" w:type="auto"/>
          </w:tcPr>
          <w:p w14:paraId="58E2CE17" w14:textId="77777777" w:rsidR="004A1008" w:rsidRPr="005E1A8B" w:rsidRDefault="004A1008" w:rsidP="004A1008"/>
        </w:tc>
      </w:tr>
      <w:tr w:rsidR="004A1008" w:rsidRPr="005E1A8B" w14:paraId="17FDB87D" w14:textId="77777777" w:rsidTr="004A1008">
        <w:trPr>
          <w:trHeight w:val="205"/>
        </w:trPr>
        <w:tc>
          <w:tcPr>
            <w:tcW w:w="0" w:type="auto"/>
          </w:tcPr>
          <w:p w14:paraId="48F60F66" w14:textId="77777777" w:rsidR="004A1008" w:rsidRPr="005E1A8B" w:rsidRDefault="004A1008" w:rsidP="004A1008">
            <w:r w:rsidRPr="005E1A8B">
              <w:t xml:space="preserve">Cadent </w:t>
            </w:r>
            <w:r>
              <w:t>North London</w:t>
            </w:r>
          </w:p>
        </w:tc>
        <w:tc>
          <w:tcPr>
            <w:tcW w:w="0" w:type="auto"/>
          </w:tcPr>
          <w:p w14:paraId="22B986D6" w14:textId="77777777" w:rsidR="004A1008" w:rsidRPr="005E1A8B" w:rsidRDefault="004A1008" w:rsidP="004A1008">
            <w:r>
              <w:t xml:space="preserve">Test &amp; Transfer </w:t>
            </w:r>
          </w:p>
        </w:tc>
        <w:tc>
          <w:tcPr>
            <w:tcW w:w="0" w:type="auto"/>
          </w:tcPr>
          <w:p w14:paraId="42767DDC" w14:textId="77777777" w:rsidR="004A1008" w:rsidRPr="005E1A8B" w:rsidRDefault="004A1008" w:rsidP="004A1008">
            <w:r>
              <w:t>Domestic</w:t>
            </w:r>
          </w:p>
        </w:tc>
        <w:tc>
          <w:tcPr>
            <w:tcW w:w="0" w:type="auto"/>
          </w:tcPr>
          <w:p w14:paraId="56C72AA6" w14:textId="77777777" w:rsidR="004A1008" w:rsidRPr="005E1A8B" w:rsidRDefault="004A1008" w:rsidP="004A1008"/>
        </w:tc>
        <w:tc>
          <w:tcPr>
            <w:tcW w:w="0" w:type="auto"/>
          </w:tcPr>
          <w:p w14:paraId="31BC1851" w14:textId="77777777" w:rsidR="004A1008" w:rsidRPr="005E1A8B" w:rsidRDefault="004A1008" w:rsidP="004A1008"/>
        </w:tc>
      </w:tr>
      <w:tr w:rsidR="004A1008" w:rsidRPr="005E1A8B" w14:paraId="2FB14287" w14:textId="77777777" w:rsidTr="004A1008">
        <w:trPr>
          <w:trHeight w:val="205"/>
        </w:trPr>
        <w:tc>
          <w:tcPr>
            <w:tcW w:w="0" w:type="auto"/>
          </w:tcPr>
          <w:p w14:paraId="7B9B5DD0" w14:textId="77777777" w:rsidR="004A1008" w:rsidRPr="005E1A8B" w:rsidRDefault="004A1008" w:rsidP="004A1008">
            <w:r w:rsidRPr="005E1A8B">
              <w:t xml:space="preserve">Cadent </w:t>
            </w:r>
            <w:r>
              <w:t>North London</w:t>
            </w:r>
          </w:p>
        </w:tc>
        <w:tc>
          <w:tcPr>
            <w:tcW w:w="0" w:type="auto"/>
          </w:tcPr>
          <w:p w14:paraId="126ADC91" w14:textId="77777777" w:rsidR="004A1008" w:rsidRPr="005E1A8B" w:rsidRDefault="004A1008" w:rsidP="004A1008">
            <w:r>
              <w:t>Relay</w:t>
            </w:r>
          </w:p>
        </w:tc>
        <w:tc>
          <w:tcPr>
            <w:tcW w:w="0" w:type="auto"/>
          </w:tcPr>
          <w:p w14:paraId="289C5EA6" w14:textId="77777777" w:rsidR="004A1008" w:rsidRPr="005E1A8B" w:rsidRDefault="004A1008" w:rsidP="004A1008">
            <w:r>
              <w:t>Non-Domestic</w:t>
            </w:r>
          </w:p>
        </w:tc>
        <w:tc>
          <w:tcPr>
            <w:tcW w:w="0" w:type="auto"/>
          </w:tcPr>
          <w:p w14:paraId="11E7D415" w14:textId="77777777" w:rsidR="004A1008" w:rsidRPr="005E1A8B" w:rsidRDefault="004A1008" w:rsidP="004A1008"/>
        </w:tc>
        <w:tc>
          <w:tcPr>
            <w:tcW w:w="0" w:type="auto"/>
          </w:tcPr>
          <w:p w14:paraId="05BFF1F0" w14:textId="77777777" w:rsidR="004A1008" w:rsidRPr="005E1A8B" w:rsidRDefault="004A1008" w:rsidP="004A1008"/>
        </w:tc>
      </w:tr>
      <w:tr w:rsidR="004A1008" w:rsidRPr="005E1A8B" w14:paraId="59B7B801" w14:textId="77777777" w:rsidTr="004A1008">
        <w:trPr>
          <w:trHeight w:val="205"/>
        </w:trPr>
        <w:tc>
          <w:tcPr>
            <w:tcW w:w="0" w:type="auto"/>
          </w:tcPr>
          <w:p w14:paraId="3E5213AE" w14:textId="77777777" w:rsidR="004A1008" w:rsidRPr="005E1A8B" w:rsidRDefault="004A1008" w:rsidP="004A1008">
            <w:r w:rsidRPr="005E1A8B">
              <w:t xml:space="preserve">Cadent </w:t>
            </w:r>
            <w:r>
              <w:t>North London</w:t>
            </w:r>
          </w:p>
        </w:tc>
        <w:tc>
          <w:tcPr>
            <w:tcW w:w="0" w:type="auto"/>
          </w:tcPr>
          <w:p w14:paraId="6DC9BD7E" w14:textId="77777777" w:rsidR="004A1008" w:rsidRPr="005E1A8B" w:rsidRDefault="004A1008" w:rsidP="004A1008">
            <w:r>
              <w:t xml:space="preserve">Test &amp; Transfer </w:t>
            </w:r>
          </w:p>
        </w:tc>
        <w:tc>
          <w:tcPr>
            <w:tcW w:w="0" w:type="auto"/>
          </w:tcPr>
          <w:p w14:paraId="6F778F52" w14:textId="77777777" w:rsidR="004A1008" w:rsidRPr="005E1A8B" w:rsidRDefault="004A1008" w:rsidP="004A1008">
            <w:r>
              <w:t>Non-Domestic</w:t>
            </w:r>
          </w:p>
        </w:tc>
        <w:tc>
          <w:tcPr>
            <w:tcW w:w="0" w:type="auto"/>
          </w:tcPr>
          <w:p w14:paraId="58C22311" w14:textId="77777777" w:rsidR="004A1008" w:rsidRPr="005E1A8B" w:rsidRDefault="004A1008" w:rsidP="004A1008"/>
        </w:tc>
        <w:tc>
          <w:tcPr>
            <w:tcW w:w="0" w:type="auto"/>
          </w:tcPr>
          <w:p w14:paraId="2AC81AC5" w14:textId="77777777" w:rsidR="004A1008" w:rsidRPr="005E1A8B" w:rsidRDefault="004A1008" w:rsidP="004A1008"/>
        </w:tc>
      </w:tr>
      <w:tr w:rsidR="004A1008" w:rsidRPr="005E1A8B" w14:paraId="7E112771" w14:textId="77777777" w:rsidTr="004A1008">
        <w:trPr>
          <w:trHeight w:val="205"/>
        </w:trPr>
        <w:tc>
          <w:tcPr>
            <w:tcW w:w="0" w:type="auto"/>
          </w:tcPr>
          <w:p w14:paraId="781AE04B" w14:textId="77777777" w:rsidR="004A1008" w:rsidRPr="005E1A8B" w:rsidRDefault="004A1008" w:rsidP="004A1008">
            <w:r w:rsidRPr="005E1A8B">
              <w:t xml:space="preserve">Cadent </w:t>
            </w:r>
            <w:r>
              <w:t>North West</w:t>
            </w:r>
          </w:p>
        </w:tc>
        <w:tc>
          <w:tcPr>
            <w:tcW w:w="0" w:type="auto"/>
          </w:tcPr>
          <w:p w14:paraId="3A1B8699" w14:textId="77777777" w:rsidR="004A1008" w:rsidRPr="005E1A8B" w:rsidRDefault="004A1008" w:rsidP="004A1008">
            <w:r>
              <w:t>Relay</w:t>
            </w:r>
          </w:p>
        </w:tc>
        <w:tc>
          <w:tcPr>
            <w:tcW w:w="0" w:type="auto"/>
          </w:tcPr>
          <w:p w14:paraId="4D075E0B" w14:textId="77777777" w:rsidR="004A1008" w:rsidRPr="005E1A8B" w:rsidRDefault="004A1008" w:rsidP="004A1008">
            <w:r>
              <w:t>Domestic</w:t>
            </w:r>
          </w:p>
        </w:tc>
        <w:tc>
          <w:tcPr>
            <w:tcW w:w="0" w:type="auto"/>
          </w:tcPr>
          <w:p w14:paraId="2EAFAA42" w14:textId="77777777" w:rsidR="004A1008" w:rsidRPr="005E1A8B" w:rsidRDefault="004A1008" w:rsidP="004A1008"/>
        </w:tc>
        <w:tc>
          <w:tcPr>
            <w:tcW w:w="0" w:type="auto"/>
          </w:tcPr>
          <w:p w14:paraId="24236CC9" w14:textId="77777777" w:rsidR="004A1008" w:rsidRPr="005E1A8B" w:rsidRDefault="004A1008" w:rsidP="004A1008"/>
        </w:tc>
      </w:tr>
      <w:tr w:rsidR="004A1008" w:rsidRPr="005E1A8B" w14:paraId="372ABDBB" w14:textId="77777777" w:rsidTr="004A1008">
        <w:trPr>
          <w:trHeight w:val="205"/>
        </w:trPr>
        <w:tc>
          <w:tcPr>
            <w:tcW w:w="0" w:type="auto"/>
          </w:tcPr>
          <w:p w14:paraId="732324BE" w14:textId="77777777" w:rsidR="004A1008" w:rsidRPr="005E1A8B" w:rsidRDefault="004A1008" w:rsidP="004A1008">
            <w:r w:rsidRPr="005E1A8B">
              <w:t xml:space="preserve">Cadent </w:t>
            </w:r>
            <w:r>
              <w:t>North West</w:t>
            </w:r>
          </w:p>
        </w:tc>
        <w:tc>
          <w:tcPr>
            <w:tcW w:w="0" w:type="auto"/>
          </w:tcPr>
          <w:p w14:paraId="26456F42" w14:textId="77777777" w:rsidR="004A1008" w:rsidRPr="005E1A8B" w:rsidRDefault="004A1008" w:rsidP="004A1008">
            <w:r>
              <w:t xml:space="preserve">Test &amp; Transfer </w:t>
            </w:r>
          </w:p>
        </w:tc>
        <w:tc>
          <w:tcPr>
            <w:tcW w:w="0" w:type="auto"/>
          </w:tcPr>
          <w:p w14:paraId="50C9EF8C" w14:textId="77777777" w:rsidR="004A1008" w:rsidRPr="005E1A8B" w:rsidRDefault="004A1008" w:rsidP="004A1008">
            <w:r>
              <w:t>Domestic</w:t>
            </w:r>
          </w:p>
        </w:tc>
        <w:tc>
          <w:tcPr>
            <w:tcW w:w="0" w:type="auto"/>
          </w:tcPr>
          <w:p w14:paraId="6DF7AD04" w14:textId="77777777" w:rsidR="004A1008" w:rsidRPr="005E1A8B" w:rsidRDefault="004A1008" w:rsidP="004A1008"/>
        </w:tc>
        <w:tc>
          <w:tcPr>
            <w:tcW w:w="0" w:type="auto"/>
          </w:tcPr>
          <w:p w14:paraId="51B56684" w14:textId="77777777" w:rsidR="004A1008" w:rsidRPr="005E1A8B" w:rsidRDefault="004A1008" w:rsidP="004A1008"/>
        </w:tc>
      </w:tr>
      <w:tr w:rsidR="004A1008" w:rsidRPr="005E1A8B" w14:paraId="46AA1000" w14:textId="77777777" w:rsidTr="004A1008">
        <w:trPr>
          <w:trHeight w:val="205"/>
        </w:trPr>
        <w:tc>
          <w:tcPr>
            <w:tcW w:w="0" w:type="auto"/>
          </w:tcPr>
          <w:p w14:paraId="7DBD785C" w14:textId="77777777" w:rsidR="004A1008" w:rsidRPr="005E1A8B" w:rsidRDefault="004A1008" w:rsidP="004A1008">
            <w:r w:rsidRPr="005E1A8B">
              <w:lastRenderedPageBreak/>
              <w:t xml:space="preserve">Cadent </w:t>
            </w:r>
            <w:r>
              <w:t>North West</w:t>
            </w:r>
          </w:p>
        </w:tc>
        <w:tc>
          <w:tcPr>
            <w:tcW w:w="0" w:type="auto"/>
          </w:tcPr>
          <w:p w14:paraId="68BF61EC" w14:textId="77777777" w:rsidR="004A1008" w:rsidRPr="005E1A8B" w:rsidRDefault="004A1008" w:rsidP="004A1008">
            <w:r>
              <w:t>Relay</w:t>
            </w:r>
          </w:p>
        </w:tc>
        <w:tc>
          <w:tcPr>
            <w:tcW w:w="0" w:type="auto"/>
          </w:tcPr>
          <w:p w14:paraId="111C885C" w14:textId="77777777" w:rsidR="004A1008" w:rsidRPr="005E1A8B" w:rsidRDefault="004A1008" w:rsidP="004A1008">
            <w:r>
              <w:t>Non-Domestic</w:t>
            </w:r>
          </w:p>
        </w:tc>
        <w:tc>
          <w:tcPr>
            <w:tcW w:w="0" w:type="auto"/>
          </w:tcPr>
          <w:p w14:paraId="0EA7DAEF" w14:textId="77777777" w:rsidR="004A1008" w:rsidRPr="005E1A8B" w:rsidRDefault="004A1008" w:rsidP="004A1008"/>
        </w:tc>
        <w:tc>
          <w:tcPr>
            <w:tcW w:w="0" w:type="auto"/>
          </w:tcPr>
          <w:p w14:paraId="5886CE6D" w14:textId="77777777" w:rsidR="004A1008" w:rsidRPr="005E1A8B" w:rsidRDefault="004A1008" w:rsidP="004A1008"/>
        </w:tc>
      </w:tr>
      <w:tr w:rsidR="004A1008" w:rsidRPr="005E1A8B" w14:paraId="147665F7" w14:textId="77777777" w:rsidTr="004A1008">
        <w:trPr>
          <w:trHeight w:val="205"/>
        </w:trPr>
        <w:tc>
          <w:tcPr>
            <w:tcW w:w="0" w:type="auto"/>
          </w:tcPr>
          <w:p w14:paraId="0534B921" w14:textId="77777777" w:rsidR="004A1008" w:rsidRPr="005E1A8B" w:rsidRDefault="004A1008" w:rsidP="004A1008">
            <w:r w:rsidRPr="005E1A8B">
              <w:t xml:space="preserve">Cadent </w:t>
            </w:r>
            <w:r>
              <w:t>North West</w:t>
            </w:r>
          </w:p>
        </w:tc>
        <w:tc>
          <w:tcPr>
            <w:tcW w:w="0" w:type="auto"/>
          </w:tcPr>
          <w:p w14:paraId="52AED465" w14:textId="77777777" w:rsidR="004A1008" w:rsidRDefault="004A1008" w:rsidP="004A1008">
            <w:r>
              <w:t xml:space="preserve">Test &amp; Transfer </w:t>
            </w:r>
          </w:p>
        </w:tc>
        <w:tc>
          <w:tcPr>
            <w:tcW w:w="0" w:type="auto"/>
          </w:tcPr>
          <w:p w14:paraId="18170361" w14:textId="77777777" w:rsidR="004A1008" w:rsidRDefault="004A1008" w:rsidP="004A1008">
            <w:r>
              <w:t>Non-Domestic</w:t>
            </w:r>
          </w:p>
        </w:tc>
        <w:tc>
          <w:tcPr>
            <w:tcW w:w="0" w:type="auto"/>
          </w:tcPr>
          <w:p w14:paraId="45E96E2A" w14:textId="77777777" w:rsidR="004A1008" w:rsidRPr="005E1A8B" w:rsidRDefault="004A1008" w:rsidP="004A1008"/>
        </w:tc>
        <w:tc>
          <w:tcPr>
            <w:tcW w:w="0" w:type="auto"/>
          </w:tcPr>
          <w:p w14:paraId="27341781" w14:textId="77777777" w:rsidR="004A1008" w:rsidRPr="005E1A8B" w:rsidRDefault="004A1008" w:rsidP="004A1008"/>
        </w:tc>
      </w:tr>
      <w:tr w:rsidR="004A1008" w:rsidRPr="005E1A8B" w14:paraId="2022B126" w14:textId="77777777" w:rsidTr="004A1008">
        <w:trPr>
          <w:trHeight w:val="205"/>
        </w:trPr>
        <w:tc>
          <w:tcPr>
            <w:tcW w:w="0" w:type="auto"/>
          </w:tcPr>
          <w:p w14:paraId="1D326DC1" w14:textId="77777777" w:rsidR="004A1008" w:rsidRPr="005E1A8B" w:rsidRDefault="004A1008" w:rsidP="004A1008">
            <w:r w:rsidRPr="005E1A8B">
              <w:t xml:space="preserve">Cadent </w:t>
            </w:r>
            <w:r>
              <w:t>West Midlands</w:t>
            </w:r>
          </w:p>
        </w:tc>
        <w:tc>
          <w:tcPr>
            <w:tcW w:w="0" w:type="auto"/>
          </w:tcPr>
          <w:p w14:paraId="32A9415B" w14:textId="77777777" w:rsidR="004A1008" w:rsidRDefault="004A1008" w:rsidP="004A1008">
            <w:r>
              <w:t>Relay</w:t>
            </w:r>
          </w:p>
        </w:tc>
        <w:tc>
          <w:tcPr>
            <w:tcW w:w="0" w:type="auto"/>
          </w:tcPr>
          <w:p w14:paraId="223D1B66" w14:textId="77777777" w:rsidR="004A1008" w:rsidRDefault="004A1008" w:rsidP="004A1008">
            <w:r>
              <w:t>Domestic</w:t>
            </w:r>
          </w:p>
        </w:tc>
        <w:tc>
          <w:tcPr>
            <w:tcW w:w="0" w:type="auto"/>
          </w:tcPr>
          <w:p w14:paraId="1D50DBA4" w14:textId="77777777" w:rsidR="004A1008" w:rsidRPr="005E1A8B" w:rsidRDefault="004A1008" w:rsidP="004A1008"/>
        </w:tc>
        <w:tc>
          <w:tcPr>
            <w:tcW w:w="0" w:type="auto"/>
          </w:tcPr>
          <w:p w14:paraId="4206F646" w14:textId="77777777" w:rsidR="004A1008" w:rsidRPr="005E1A8B" w:rsidRDefault="004A1008" w:rsidP="004A1008"/>
        </w:tc>
      </w:tr>
      <w:tr w:rsidR="004A1008" w:rsidRPr="005E1A8B" w14:paraId="407B3AE6" w14:textId="77777777" w:rsidTr="004A1008">
        <w:trPr>
          <w:trHeight w:val="205"/>
        </w:trPr>
        <w:tc>
          <w:tcPr>
            <w:tcW w:w="0" w:type="auto"/>
          </w:tcPr>
          <w:p w14:paraId="6DF2D0D9" w14:textId="77777777" w:rsidR="004A1008" w:rsidRPr="005E1A8B" w:rsidRDefault="004A1008" w:rsidP="004A1008">
            <w:r w:rsidRPr="005E1A8B">
              <w:t xml:space="preserve">Cadent </w:t>
            </w:r>
            <w:r>
              <w:t>West Midlands</w:t>
            </w:r>
          </w:p>
        </w:tc>
        <w:tc>
          <w:tcPr>
            <w:tcW w:w="0" w:type="auto"/>
          </w:tcPr>
          <w:p w14:paraId="17431111" w14:textId="77777777" w:rsidR="004A1008" w:rsidRDefault="004A1008" w:rsidP="004A1008">
            <w:r>
              <w:t xml:space="preserve">Test &amp; Transfer </w:t>
            </w:r>
          </w:p>
        </w:tc>
        <w:tc>
          <w:tcPr>
            <w:tcW w:w="0" w:type="auto"/>
          </w:tcPr>
          <w:p w14:paraId="02F272F3" w14:textId="77777777" w:rsidR="004A1008" w:rsidRDefault="004A1008" w:rsidP="004A1008">
            <w:r>
              <w:t>Domestic</w:t>
            </w:r>
          </w:p>
        </w:tc>
        <w:tc>
          <w:tcPr>
            <w:tcW w:w="0" w:type="auto"/>
          </w:tcPr>
          <w:p w14:paraId="2A30897A" w14:textId="77777777" w:rsidR="004A1008" w:rsidRPr="005E1A8B" w:rsidRDefault="004A1008" w:rsidP="004A1008"/>
        </w:tc>
        <w:tc>
          <w:tcPr>
            <w:tcW w:w="0" w:type="auto"/>
          </w:tcPr>
          <w:p w14:paraId="2316E5D1" w14:textId="77777777" w:rsidR="004A1008" w:rsidRPr="005E1A8B" w:rsidRDefault="004A1008" w:rsidP="004A1008"/>
        </w:tc>
      </w:tr>
      <w:tr w:rsidR="004A1008" w:rsidRPr="005E1A8B" w14:paraId="446F1192" w14:textId="77777777" w:rsidTr="004A1008">
        <w:trPr>
          <w:trHeight w:val="205"/>
        </w:trPr>
        <w:tc>
          <w:tcPr>
            <w:tcW w:w="0" w:type="auto"/>
          </w:tcPr>
          <w:p w14:paraId="528F5754" w14:textId="77777777" w:rsidR="004A1008" w:rsidRPr="005E1A8B" w:rsidRDefault="004A1008" w:rsidP="004A1008">
            <w:r w:rsidRPr="005E1A8B">
              <w:t xml:space="preserve">Cadent </w:t>
            </w:r>
            <w:r>
              <w:t>West Midlands</w:t>
            </w:r>
          </w:p>
        </w:tc>
        <w:tc>
          <w:tcPr>
            <w:tcW w:w="0" w:type="auto"/>
          </w:tcPr>
          <w:p w14:paraId="6016202F" w14:textId="77777777" w:rsidR="004A1008" w:rsidRDefault="004A1008" w:rsidP="004A1008">
            <w:r>
              <w:t>Relay</w:t>
            </w:r>
          </w:p>
        </w:tc>
        <w:tc>
          <w:tcPr>
            <w:tcW w:w="0" w:type="auto"/>
          </w:tcPr>
          <w:p w14:paraId="4BDD8FC7" w14:textId="77777777" w:rsidR="004A1008" w:rsidRDefault="004A1008" w:rsidP="004A1008">
            <w:r>
              <w:t>Non-Domestic</w:t>
            </w:r>
          </w:p>
        </w:tc>
        <w:tc>
          <w:tcPr>
            <w:tcW w:w="0" w:type="auto"/>
          </w:tcPr>
          <w:p w14:paraId="0DE1A3EE" w14:textId="77777777" w:rsidR="004A1008" w:rsidRPr="005E1A8B" w:rsidRDefault="004A1008" w:rsidP="004A1008"/>
        </w:tc>
        <w:tc>
          <w:tcPr>
            <w:tcW w:w="0" w:type="auto"/>
          </w:tcPr>
          <w:p w14:paraId="245AA4C0" w14:textId="77777777" w:rsidR="004A1008" w:rsidRPr="005E1A8B" w:rsidRDefault="004A1008" w:rsidP="004A1008"/>
        </w:tc>
      </w:tr>
      <w:tr w:rsidR="004A1008" w:rsidRPr="005E1A8B" w14:paraId="128C4C13" w14:textId="77777777" w:rsidTr="004A1008">
        <w:trPr>
          <w:trHeight w:val="205"/>
        </w:trPr>
        <w:tc>
          <w:tcPr>
            <w:tcW w:w="0" w:type="auto"/>
          </w:tcPr>
          <w:p w14:paraId="7401F43D" w14:textId="77777777" w:rsidR="004A1008" w:rsidRPr="005E1A8B" w:rsidRDefault="004A1008" w:rsidP="004A1008">
            <w:r w:rsidRPr="005E1A8B">
              <w:t xml:space="preserve">Cadent </w:t>
            </w:r>
            <w:r>
              <w:t>West Midlands</w:t>
            </w:r>
          </w:p>
        </w:tc>
        <w:tc>
          <w:tcPr>
            <w:tcW w:w="0" w:type="auto"/>
          </w:tcPr>
          <w:p w14:paraId="0A03BF13" w14:textId="77777777" w:rsidR="004A1008" w:rsidRDefault="004A1008" w:rsidP="004A1008">
            <w:r>
              <w:t xml:space="preserve">Test &amp; Transfer </w:t>
            </w:r>
          </w:p>
        </w:tc>
        <w:tc>
          <w:tcPr>
            <w:tcW w:w="0" w:type="auto"/>
          </w:tcPr>
          <w:p w14:paraId="4CC5F991" w14:textId="77777777" w:rsidR="004A1008" w:rsidRDefault="004A1008" w:rsidP="004A1008">
            <w:r>
              <w:t>Non-Domestic</w:t>
            </w:r>
          </w:p>
        </w:tc>
        <w:tc>
          <w:tcPr>
            <w:tcW w:w="0" w:type="auto"/>
          </w:tcPr>
          <w:p w14:paraId="62041C52" w14:textId="77777777" w:rsidR="004A1008" w:rsidRPr="005E1A8B" w:rsidRDefault="004A1008" w:rsidP="004A1008"/>
        </w:tc>
        <w:tc>
          <w:tcPr>
            <w:tcW w:w="0" w:type="auto"/>
          </w:tcPr>
          <w:p w14:paraId="52BF5E2A" w14:textId="77777777" w:rsidR="004A1008" w:rsidRPr="005E1A8B" w:rsidRDefault="004A1008" w:rsidP="004A1008"/>
        </w:tc>
      </w:tr>
      <w:tr w:rsidR="004A1008" w:rsidRPr="005E1A8B" w14:paraId="28956FB2" w14:textId="77777777" w:rsidTr="004A1008">
        <w:trPr>
          <w:trHeight w:val="205"/>
        </w:trPr>
        <w:tc>
          <w:tcPr>
            <w:tcW w:w="0" w:type="auto"/>
          </w:tcPr>
          <w:p w14:paraId="2B4F2E13" w14:textId="77777777" w:rsidR="004A1008" w:rsidRPr="005E1A8B" w:rsidRDefault="004A1008" w:rsidP="004A1008">
            <w:r>
              <w:t>NGN</w:t>
            </w:r>
          </w:p>
        </w:tc>
        <w:tc>
          <w:tcPr>
            <w:tcW w:w="0" w:type="auto"/>
          </w:tcPr>
          <w:p w14:paraId="17A75916" w14:textId="77777777" w:rsidR="004A1008" w:rsidRDefault="004A1008" w:rsidP="004A1008">
            <w:r>
              <w:t>Relay</w:t>
            </w:r>
          </w:p>
        </w:tc>
        <w:tc>
          <w:tcPr>
            <w:tcW w:w="0" w:type="auto"/>
          </w:tcPr>
          <w:p w14:paraId="0A114DBA" w14:textId="77777777" w:rsidR="004A1008" w:rsidRDefault="004A1008" w:rsidP="004A1008">
            <w:r>
              <w:t>Domestic</w:t>
            </w:r>
          </w:p>
        </w:tc>
        <w:tc>
          <w:tcPr>
            <w:tcW w:w="0" w:type="auto"/>
          </w:tcPr>
          <w:p w14:paraId="54DF9CE7" w14:textId="77777777" w:rsidR="004A1008" w:rsidRPr="005E1A8B" w:rsidRDefault="004A1008" w:rsidP="004A1008"/>
        </w:tc>
        <w:tc>
          <w:tcPr>
            <w:tcW w:w="0" w:type="auto"/>
          </w:tcPr>
          <w:p w14:paraId="21933CEF" w14:textId="77777777" w:rsidR="004A1008" w:rsidRPr="005E1A8B" w:rsidRDefault="004A1008" w:rsidP="004A1008"/>
        </w:tc>
      </w:tr>
      <w:tr w:rsidR="004A1008" w:rsidRPr="005E1A8B" w14:paraId="7AA3B039" w14:textId="77777777" w:rsidTr="004A1008">
        <w:trPr>
          <w:trHeight w:val="205"/>
        </w:trPr>
        <w:tc>
          <w:tcPr>
            <w:tcW w:w="0" w:type="auto"/>
          </w:tcPr>
          <w:p w14:paraId="07EAD576" w14:textId="77777777" w:rsidR="004A1008" w:rsidRPr="005E1A8B" w:rsidRDefault="004A1008" w:rsidP="004A1008">
            <w:r>
              <w:t>NGN</w:t>
            </w:r>
          </w:p>
        </w:tc>
        <w:tc>
          <w:tcPr>
            <w:tcW w:w="0" w:type="auto"/>
          </w:tcPr>
          <w:p w14:paraId="570BC285" w14:textId="77777777" w:rsidR="004A1008" w:rsidRDefault="004A1008" w:rsidP="004A1008">
            <w:r>
              <w:t xml:space="preserve">Test &amp; Transfer </w:t>
            </w:r>
          </w:p>
        </w:tc>
        <w:tc>
          <w:tcPr>
            <w:tcW w:w="0" w:type="auto"/>
          </w:tcPr>
          <w:p w14:paraId="79323A0F" w14:textId="77777777" w:rsidR="004A1008" w:rsidRDefault="004A1008" w:rsidP="004A1008">
            <w:r>
              <w:t>Domestic</w:t>
            </w:r>
          </w:p>
        </w:tc>
        <w:tc>
          <w:tcPr>
            <w:tcW w:w="0" w:type="auto"/>
          </w:tcPr>
          <w:p w14:paraId="16EA582C" w14:textId="77777777" w:rsidR="004A1008" w:rsidRPr="005E1A8B" w:rsidRDefault="004A1008" w:rsidP="004A1008"/>
        </w:tc>
        <w:tc>
          <w:tcPr>
            <w:tcW w:w="0" w:type="auto"/>
          </w:tcPr>
          <w:p w14:paraId="37455A3D" w14:textId="77777777" w:rsidR="004A1008" w:rsidRPr="005E1A8B" w:rsidRDefault="004A1008" w:rsidP="004A1008"/>
        </w:tc>
      </w:tr>
      <w:tr w:rsidR="004A1008" w:rsidRPr="005E1A8B" w14:paraId="0FFAA049" w14:textId="77777777" w:rsidTr="004A1008">
        <w:trPr>
          <w:trHeight w:val="205"/>
        </w:trPr>
        <w:tc>
          <w:tcPr>
            <w:tcW w:w="0" w:type="auto"/>
          </w:tcPr>
          <w:p w14:paraId="74AC6148" w14:textId="77777777" w:rsidR="004A1008" w:rsidRPr="005E1A8B" w:rsidRDefault="004A1008" w:rsidP="004A1008">
            <w:r>
              <w:t>NGN</w:t>
            </w:r>
          </w:p>
        </w:tc>
        <w:tc>
          <w:tcPr>
            <w:tcW w:w="0" w:type="auto"/>
          </w:tcPr>
          <w:p w14:paraId="141CFAA0" w14:textId="77777777" w:rsidR="004A1008" w:rsidRDefault="004A1008" w:rsidP="004A1008">
            <w:r>
              <w:t>Relay</w:t>
            </w:r>
          </w:p>
        </w:tc>
        <w:tc>
          <w:tcPr>
            <w:tcW w:w="0" w:type="auto"/>
          </w:tcPr>
          <w:p w14:paraId="36C77C28" w14:textId="77777777" w:rsidR="004A1008" w:rsidRDefault="004A1008" w:rsidP="004A1008">
            <w:r>
              <w:t>Non-Domestic</w:t>
            </w:r>
          </w:p>
        </w:tc>
        <w:tc>
          <w:tcPr>
            <w:tcW w:w="0" w:type="auto"/>
          </w:tcPr>
          <w:p w14:paraId="1DF2CE92" w14:textId="77777777" w:rsidR="004A1008" w:rsidRPr="005E1A8B" w:rsidRDefault="004A1008" w:rsidP="004A1008"/>
        </w:tc>
        <w:tc>
          <w:tcPr>
            <w:tcW w:w="0" w:type="auto"/>
          </w:tcPr>
          <w:p w14:paraId="06EB67D2" w14:textId="77777777" w:rsidR="004A1008" w:rsidRPr="005E1A8B" w:rsidRDefault="004A1008" w:rsidP="004A1008"/>
        </w:tc>
      </w:tr>
      <w:tr w:rsidR="004A1008" w:rsidRPr="005E1A8B" w14:paraId="68EA6C01" w14:textId="77777777" w:rsidTr="004A1008">
        <w:trPr>
          <w:trHeight w:val="205"/>
        </w:trPr>
        <w:tc>
          <w:tcPr>
            <w:tcW w:w="0" w:type="auto"/>
          </w:tcPr>
          <w:p w14:paraId="1CE3BE74" w14:textId="77777777" w:rsidR="004A1008" w:rsidRPr="005E1A8B" w:rsidRDefault="004A1008" w:rsidP="004A1008">
            <w:r>
              <w:t>NGN</w:t>
            </w:r>
          </w:p>
        </w:tc>
        <w:tc>
          <w:tcPr>
            <w:tcW w:w="0" w:type="auto"/>
          </w:tcPr>
          <w:p w14:paraId="680E28E0" w14:textId="77777777" w:rsidR="004A1008" w:rsidRDefault="004A1008" w:rsidP="004A1008">
            <w:r>
              <w:t xml:space="preserve">Test &amp; Transfer </w:t>
            </w:r>
          </w:p>
        </w:tc>
        <w:tc>
          <w:tcPr>
            <w:tcW w:w="0" w:type="auto"/>
          </w:tcPr>
          <w:p w14:paraId="0243172F" w14:textId="77777777" w:rsidR="004A1008" w:rsidRDefault="004A1008" w:rsidP="004A1008">
            <w:r>
              <w:t>Non-Domestic</w:t>
            </w:r>
          </w:p>
        </w:tc>
        <w:tc>
          <w:tcPr>
            <w:tcW w:w="0" w:type="auto"/>
          </w:tcPr>
          <w:p w14:paraId="62DD1893" w14:textId="77777777" w:rsidR="004A1008" w:rsidRPr="005E1A8B" w:rsidRDefault="004A1008" w:rsidP="004A1008"/>
        </w:tc>
        <w:tc>
          <w:tcPr>
            <w:tcW w:w="0" w:type="auto"/>
          </w:tcPr>
          <w:p w14:paraId="5704A994" w14:textId="77777777" w:rsidR="004A1008" w:rsidRPr="005E1A8B" w:rsidRDefault="004A1008" w:rsidP="004A1008"/>
        </w:tc>
      </w:tr>
      <w:tr w:rsidR="004A1008" w:rsidRPr="005E1A8B" w14:paraId="7AD69225" w14:textId="77777777" w:rsidTr="004A1008">
        <w:trPr>
          <w:trHeight w:val="205"/>
        </w:trPr>
        <w:tc>
          <w:tcPr>
            <w:tcW w:w="0" w:type="auto"/>
          </w:tcPr>
          <w:p w14:paraId="043E4905" w14:textId="77777777" w:rsidR="004A1008" w:rsidRPr="005E1A8B" w:rsidRDefault="004A1008" w:rsidP="004A1008">
            <w:r>
              <w:t>SGN Scotland</w:t>
            </w:r>
          </w:p>
        </w:tc>
        <w:tc>
          <w:tcPr>
            <w:tcW w:w="0" w:type="auto"/>
          </w:tcPr>
          <w:p w14:paraId="6483F272" w14:textId="77777777" w:rsidR="004A1008" w:rsidRDefault="004A1008" w:rsidP="004A1008">
            <w:r>
              <w:t>Relay</w:t>
            </w:r>
          </w:p>
        </w:tc>
        <w:tc>
          <w:tcPr>
            <w:tcW w:w="0" w:type="auto"/>
          </w:tcPr>
          <w:p w14:paraId="34F8F102" w14:textId="77777777" w:rsidR="004A1008" w:rsidRDefault="004A1008" w:rsidP="004A1008">
            <w:r>
              <w:t>Domestic</w:t>
            </w:r>
          </w:p>
        </w:tc>
        <w:tc>
          <w:tcPr>
            <w:tcW w:w="0" w:type="auto"/>
          </w:tcPr>
          <w:p w14:paraId="4D429B4A" w14:textId="77777777" w:rsidR="004A1008" w:rsidRPr="005E1A8B" w:rsidRDefault="004A1008" w:rsidP="004A1008"/>
        </w:tc>
        <w:tc>
          <w:tcPr>
            <w:tcW w:w="0" w:type="auto"/>
          </w:tcPr>
          <w:p w14:paraId="0F4C3D41" w14:textId="77777777" w:rsidR="004A1008" w:rsidRPr="005E1A8B" w:rsidRDefault="004A1008" w:rsidP="004A1008"/>
        </w:tc>
      </w:tr>
      <w:tr w:rsidR="004A1008" w:rsidRPr="005E1A8B" w14:paraId="4FE3080D" w14:textId="77777777" w:rsidTr="004A1008">
        <w:trPr>
          <w:trHeight w:val="205"/>
        </w:trPr>
        <w:tc>
          <w:tcPr>
            <w:tcW w:w="0" w:type="auto"/>
          </w:tcPr>
          <w:p w14:paraId="14B183BD" w14:textId="77777777" w:rsidR="004A1008" w:rsidRPr="005E1A8B" w:rsidRDefault="004A1008" w:rsidP="004A1008">
            <w:r>
              <w:t>SGN Scotland</w:t>
            </w:r>
          </w:p>
        </w:tc>
        <w:tc>
          <w:tcPr>
            <w:tcW w:w="0" w:type="auto"/>
          </w:tcPr>
          <w:p w14:paraId="7917AB85" w14:textId="77777777" w:rsidR="004A1008" w:rsidRDefault="004A1008" w:rsidP="004A1008">
            <w:r>
              <w:t xml:space="preserve">Test &amp; Transfer </w:t>
            </w:r>
          </w:p>
        </w:tc>
        <w:tc>
          <w:tcPr>
            <w:tcW w:w="0" w:type="auto"/>
          </w:tcPr>
          <w:p w14:paraId="1C1C008F" w14:textId="77777777" w:rsidR="004A1008" w:rsidRDefault="004A1008" w:rsidP="004A1008">
            <w:r>
              <w:t>Domestic</w:t>
            </w:r>
          </w:p>
        </w:tc>
        <w:tc>
          <w:tcPr>
            <w:tcW w:w="0" w:type="auto"/>
          </w:tcPr>
          <w:p w14:paraId="794E2F82" w14:textId="77777777" w:rsidR="004A1008" w:rsidRPr="005E1A8B" w:rsidRDefault="004A1008" w:rsidP="004A1008"/>
        </w:tc>
        <w:tc>
          <w:tcPr>
            <w:tcW w:w="0" w:type="auto"/>
          </w:tcPr>
          <w:p w14:paraId="47818BF5" w14:textId="77777777" w:rsidR="004A1008" w:rsidRPr="005E1A8B" w:rsidRDefault="004A1008" w:rsidP="004A1008"/>
        </w:tc>
      </w:tr>
      <w:tr w:rsidR="004A1008" w:rsidRPr="005E1A8B" w14:paraId="50A90446" w14:textId="77777777" w:rsidTr="004A1008">
        <w:trPr>
          <w:trHeight w:val="205"/>
        </w:trPr>
        <w:tc>
          <w:tcPr>
            <w:tcW w:w="0" w:type="auto"/>
          </w:tcPr>
          <w:p w14:paraId="53B8B097" w14:textId="77777777" w:rsidR="004A1008" w:rsidRPr="005E1A8B" w:rsidRDefault="004A1008" w:rsidP="004A1008">
            <w:r>
              <w:t>SGN Scotland</w:t>
            </w:r>
          </w:p>
        </w:tc>
        <w:tc>
          <w:tcPr>
            <w:tcW w:w="0" w:type="auto"/>
          </w:tcPr>
          <w:p w14:paraId="6F5B70D6" w14:textId="77777777" w:rsidR="004A1008" w:rsidRDefault="004A1008" w:rsidP="004A1008">
            <w:r>
              <w:t>Relay</w:t>
            </w:r>
          </w:p>
        </w:tc>
        <w:tc>
          <w:tcPr>
            <w:tcW w:w="0" w:type="auto"/>
          </w:tcPr>
          <w:p w14:paraId="2204B5BC" w14:textId="77777777" w:rsidR="004A1008" w:rsidRDefault="004A1008" w:rsidP="004A1008">
            <w:r>
              <w:t>Non-Domestic</w:t>
            </w:r>
          </w:p>
        </w:tc>
        <w:tc>
          <w:tcPr>
            <w:tcW w:w="0" w:type="auto"/>
          </w:tcPr>
          <w:p w14:paraId="29BCA7AB" w14:textId="77777777" w:rsidR="004A1008" w:rsidRPr="005E1A8B" w:rsidRDefault="004A1008" w:rsidP="004A1008"/>
        </w:tc>
        <w:tc>
          <w:tcPr>
            <w:tcW w:w="0" w:type="auto"/>
          </w:tcPr>
          <w:p w14:paraId="457911B4" w14:textId="77777777" w:rsidR="004A1008" w:rsidRPr="005E1A8B" w:rsidRDefault="004A1008" w:rsidP="004A1008"/>
        </w:tc>
      </w:tr>
      <w:tr w:rsidR="004A1008" w:rsidRPr="005E1A8B" w14:paraId="78D7D68C" w14:textId="77777777" w:rsidTr="004A1008">
        <w:trPr>
          <w:trHeight w:val="205"/>
        </w:trPr>
        <w:tc>
          <w:tcPr>
            <w:tcW w:w="0" w:type="auto"/>
          </w:tcPr>
          <w:p w14:paraId="7F15E21E" w14:textId="77777777" w:rsidR="004A1008" w:rsidRPr="005E1A8B" w:rsidRDefault="004A1008" w:rsidP="004A1008">
            <w:r>
              <w:t>SGN Scotland</w:t>
            </w:r>
          </w:p>
        </w:tc>
        <w:tc>
          <w:tcPr>
            <w:tcW w:w="0" w:type="auto"/>
          </w:tcPr>
          <w:p w14:paraId="0590A04C" w14:textId="77777777" w:rsidR="004A1008" w:rsidRDefault="004A1008" w:rsidP="004A1008">
            <w:r>
              <w:t xml:space="preserve">Test &amp; Transfer </w:t>
            </w:r>
          </w:p>
        </w:tc>
        <w:tc>
          <w:tcPr>
            <w:tcW w:w="0" w:type="auto"/>
          </w:tcPr>
          <w:p w14:paraId="18623FC8" w14:textId="77777777" w:rsidR="004A1008" w:rsidRDefault="004A1008" w:rsidP="004A1008">
            <w:r>
              <w:t>Non-Domestic</w:t>
            </w:r>
          </w:p>
        </w:tc>
        <w:tc>
          <w:tcPr>
            <w:tcW w:w="0" w:type="auto"/>
          </w:tcPr>
          <w:p w14:paraId="0C3589AA" w14:textId="77777777" w:rsidR="004A1008" w:rsidRPr="005E1A8B" w:rsidRDefault="004A1008" w:rsidP="004A1008"/>
        </w:tc>
        <w:tc>
          <w:tcPr>
            <w:tcW w:w="0" w:type="auto"/>
          </w:tcPr>
          <w:p w14:paraId="7CEF0676" w14:textId="77777777" w:rsidR="004A1008" w:rsidRPr="005E1A8B" w:rsidRDefault="004A1008" w:rsidP="004A1008"/>
        </w:tc>
      </w:tr>
      <w:tr w:rsidR="004A1008" w:rsidRPr="005E1A8B" w14:paraId="4173C8EF" w14:textId="77777777" w:rsidTr="004A1008">
        <w:trPr>
          <w:trHeight w:val="205"/>
        </w:trPr>
        <w:tc>
          <w:tcPr>
            <w:tcW w:w="0" w:type="auto"/>
          </w:tcPr>
          <w:p w14:paraId="0B4EB877" w14:textId="77777777" w:rsidR="004A1008" w:rsidRPr="005E1A8B" w:rsidRDefault="004A1008" w:rsidP="004A1008">
            <w:r>
              <w:t>SGN Southern</w:t>
            </w:r>
          </w:p>
        </w:tc>
        <w:tc>
          <w:tcPr>
            <w:tcW w:w="0" w:type="auto"/>
          </w:tcPr>
          <w:p w14:paraId="66076D98" w14:textId="77777777" w:rsidR="004A1008" w:rsidRDefault="004A1008" w:rsidP="004A1008">
            <w:r>
              <w:t>Relay</w:t>
            </w:r>
          </w:p>
        </w:tc>
        <w:tc>
          <w:tcPr>
            <w:tcW w:w="0" w:type="auto"/>
          </w:tcPr>
          <w:p w14:paraId="46043B2F" w14:textId="77777777" w:rsidR="004A1008" w:rsidRDefault="004A1008" w:rsidP="004A1008">
            <w:r>
              <w:t>Domestic</w:t>
            </w:r>
          </w:p>
        </w:tc>
        <w:tc>
          <w:tcPr>
            <w:tcW w:w="0" w:type="auto"/>
          </w:tcPr>
          <w:p w14:paraId="2B5F412F" w14:textId="77777777" w:rsidR="004A1008" w:rsidRPr="005E1A8B" w:rsidRDefault="004A1008" w:rsidP="004A1008"/>
        </w:tc>
        <w:tc>
          <w:tcPr>
            <w:tcW w:w="0" w:type="auto"/>
          </w:tcPr>
          <w:p w14:paraId="00546A04" w14:textId="77777777" w:rsidR="004A1008" w:rsidRPr="005E1A8B" w:rsidRDefault="004A1008" w:rsidP="004A1008"/>
        </w:tc>
      </w:tr>
      <w:tr w:rsidR="004A1008" w:rsidRPr="005E1A8B" w14:paraId="540F1821" w14:textId="77777777" w:rsidTr="004A1008">
        <w:trPr>
          <w:trHeight w:val="205"/>
        </w:trPr>
        <w:tc>
          <w:tcPr>
            <w:tcW w:w="0" w:type="auto"/>
          </w:tcPr>
          <w:p w14:paraId="11F05C7C" w14:textId="77777777" w:rsidR="004A1008" w:rsidRPr="005E1A8B" w:rsidRDefault="004A1008" w:rsidP="004A1008">
            <w:r>
              <w:t>SGN Southern</w:t>
            </w:r>
          </w:p>
        </w:tc>
        <w:tc>
          <w:tcPr>
            <w:tcW w:w="0" w:type="auto"/>
          </w:tcPr>
          <w:p w14:paraId="4D18B2E0" w14:textId="77777777" w:rsidR="004A1008" w:rsidRDefault="004A1008" w:rsidP="004A1008">
            <w:r>
              <w:t xml:space="preserve">Test &amp; Transfer </w:t>
            </w:r>
          </w:p>
        </w:tc>
        <w:tc>
          <w:tcPr>
            <w:tcW w:w="0" w:type="auto"/>
          </w:tcPr>
          <w:p w14:paraId="47930D32" w14:textId="77777777" w:rsidR="004A1008" w:rsidRDefault="004A1008" w:rsidP="004A1008">
            <w:r>
              <w:t>Domestic</w:t>
            </w:r>
          </w:p>
        </w:tc>
        <w:tc>
          <w:tcPr>
            <w:tcW w:w="0" w:type="auto"/>
          </w:tcPr>
          <w:p w14:paraId="6F6E1E7D" w14:textId="77777777" w:rsidR="004A1008" w:rsidRPr="005E1A8B" w:rsidRDefault="004A1008" w:rsidP="004A1008"/>
        </w:tc>
        <w:tc>
          <w:tcPr>
            <w:tcW w:w="0" w:type="auto"/>
          </w:tcPr>
          <w:p w14:paraId="6E948DC1" w14:textId="77777777" w:rsidR="004A1008" w:rsidRPr="005E1A8B" w:rsidRDefault="004A1008" w:rsidP="004A1008"/>
        </w:tc>
      </w:tr>
      <w:tr w:rsidR="004A1008" w:rsidRPr="005E1A8B" w14:paraId="48D6A4E1" w14:textId="77777777" w:rsidTr="004A1008">
        <w:trPr>
          <w:trHeight w:val="205"/>
        </w:trPr>
        <w:tc>
          <w:tcPr>
            <w:tcW w:w="0" w:type="auto"/>
          </w:tcPr>
          <w:p w14:paraId="621D7CEF" w14:textId="77777777" w:rsidR="004A1008" w:rsidRPr="005E1A8B" w:rsidRDefault="004A1008" w:rsidP="004A1008">
            <w:r>
              <w:t>SGN Southern</w:t>
            </w:r>
          </w:p>
        </w:tc>
        <w:tc>
          <w:tcPr>
            <w:tcW w:w="0" w:type="auto"/>
          </w:tcPr>
          <w:p w14:paraId="204EB996" w14:textId="77777777" w:rsidR="004A1008" w:rsidRDefault="004A1008" w:rsidP="004A1008">
            <w:r>
              <w:t>Relay</w:t>
            </w:r>
          </w:p>
        </w:tc>
        <w:tc>
          <w:tcPr>
            <w:tcW w:w="0" w:type="auto"/>
          </w:tcPr>
          <w:p w14:paraId="07328464" w14:textId="77777777" w:rsidR="004A1008" w:rsidRDefault="004A1008" w:rsidP="004A1008">
            <w:r>
              <w:t>Non-Domestic</w:t>
            </w:r>
          </w:p>
        </w:tc>
        <w:tc>
          <w:tcPr>
            <w:tcW w:w="0" w:type="auto"/>
          </w:tcPr>
          <w:p w14:paraId="380D9C16" w14:textId="77777777" w:rsidR="004A1008" w:rsidRPr="005E1A8B" w:rsidRDefault="004A1008" w:rsidP="004A1008"/>
        </w:tc>
        <w:tc>
          <w:tcPr>
            <w:tcW w:w="0" w:type="auto"/>
          </w:tcPr>
          <w:p w14:paraId="7D29D4D3" w14:textId="77777777" w:rsidR="004A1008" w:rsidRPr="005E1A8B" w:rsidRDefault="004A1008" w:rsidP="004A1008"/>
        </w:tc>
      </w:tr>
      <w:tr w:rsidR="004A1008" w:rsidRPr="005E1A8B" w14:paraId="5F774A18" w14:textId="77777777" w:rsidTr="004A1008">
        <w:trPr>
          <w:trHeight w:val="205"/>
        </w:trPr>
        <w:tc>
          <w:tcPr>
            <w:tcW w:w="0" w:type="auto"/>
          </w:tcPr>
          <w:p w14:paraId="6D8019E3" w14:textId="77777777" w:rsidR="004A1008" w:rsidRPr="005E1A8B" w:rsidRDefault="004A1008" w:rsidP="004A1008">
            <w:r>
              <w:t>SGN Southern</w:t>
            </w:r>
          </w:p>
        </w:tc>
        <w:tc>
          <w:tcPr>
            <w:tcW w:w="0" w:type="auto"/>
          </w:tcPr>
          <w:p w14:paraId="666E049C" w14:textId="77777777" w:rsidR="004A1008" w:rsidRDefault="004A1008" w:rsidP="004A1008">
            <w:r>
              <w:t xml:space="preserve">Test &amp; Transfer </w:t>
            </w:r>
          </w:p>
        </w:tc>
        <w:tc>
          <w:tcPr>
            <w:tcW w:w="0" w:type="auto"/>
          </w:tcPr>
          <w:p w14:paraId="25B3CB49" w14:textId="77777777" w:rsidR="004A1008" w:rsidRDefault="004A1008" w:rsidP="004A1008">
            <w:r>
              <w:t>Non-Domestic</w:t>
            </w:r>
          </w:p>
        </w:tc>
        <w:tc>
          <w:tcPr>
            <w:tcW w:w="0" w:type="auto"/>
          </w:tcPr>
          <w:p w14:paraId="7D8A7799" w14:textId="77777777" w:rsidR="004A1008" w:rsidRPr="005E1A8B" w:rsidRDefault="004A1008" w:rsidP="004A1008"/>
        </w:tc>
        <w:tc>
          <w:tcPr>
            <w:tcW w:w="0" w:type="auto"/>
          </w:tcPr>
          <w:p w14:paraId="441B1EBE" w14:textId="77777777" w:rsidR="004A1008" w:rsidRPr="005E1A8B" w:rsidRDefault="004A1008" w:rsidP="004A1008"/>
        </w:tc>
      </w:tr>
      <w:tr w:rsidR="004A1008" w:rsidRPr="005E1A8B" w14:paraId="1B6D198F" w14:textId="77777777" w:rsidTr="004A1008">
        <w:trPr>
          <w:trHeight w:val="205"/>
        </w:trPr>
        <w:tc>
          <w:tcPr>
            <w:tcW w:w="0" w:type="auto"/>
          </w:tcPr>
          <w:p w14:paraId="7E626A35" w14:textId="77777777" w:rsidR="004A1008" w:rsidRPr="005E1A8B" w:rsidRDefault="004A1008" w:rsidP="004A1008">
            <w:r>
              <w:t>WWU</w:t>
            </w:r>
          </w:p>
        </w:tc>
        <w:tc>
          <w:tcPr>
            <w:tcW w:w="0" w:type="auto"/>
          </w:tcPr>
          <w:p w14:paraId="20917E40" w14:textId="77777777" w:rsidR="004A1008" w:rsidRDefault="004A1008" w:rsidP="004A1008">
            <w:r>
              <w:t>Relay</w:t>
            </w:r>
          </w:p>
        </w:tc>
        <w:tc>
          <w:tcPr>
            <w:tcW w:w="0" w:type="auto"/>
          </w:tcPr>
          <w:p w14:paraId="08A50EA2" w14:textId="77777777" w:rsidR="004A1008" w:rsidRDefault="004A1008" w:rsidP="004A1008">
            <w:r>
              <w:t>Domestic</w:t>
            </w:r>
          </w:p>
        </w:tc>
        <w:tc>
          <w:tcPr>
            <w:tcW w:w="0" w:type="auto"/>
          </w:tcPr>
          <w:p w14:paraId="3F2F04DD" w14:textId="77777777" w:rsidR="004A1008" w:rsidRPr="005E1A8B" w:rsidRDefault="004A1008" w:rsidP="004A1008"/>
        </w:tc>
        <w:tc>
          <w:tcPr>
            <w:tcW w:w="0" w:type="auto"/>
          </w:tcPr>
          <w:p w14:paraId="09DA6BFA" w14:textId="77777777" w:rsidR="004A1008" w:rsidRPr="005E1A8B" w:rsidRDefault="004A1008" w:rsidP="004A1008"/>
        </w:tc>
      </w:tr>
      <w:tr w:rsidR="004A1008" w:rsidRPr="005E1A8B" w14:paraId="2A199243" w14:textId="77777777" w:rsidTr="004A1008">
        <w:trPr>
          <w:trHeight w:val="205"/>
        </w:trPr>
        <w:tc>
          <w:tcPr>
            <w:tcW w:w="0" w:type="auto"/>
          </w:tcPr>
          <w:p w14:paraId="437A3E38" w14:textId="77777777" w:rsidR="004A1008" w:rsidRPr="005E1A8B" w:rsidRDefault="004A1008" w:rsidP="004A1008">
            <w:r>
              <w:t>WWU</w:t>
            </w:r>
          </w:p>
        </w:tc>
        <w:tc>
          <w:tcPr>
            <w:tcW w:w="0" w:type="auto"/>
          </w:tcPr>
          <w:p w14:paraId="43B1B7D2" w14:textId="77777777" w:rsidR="004A1008" w:rsidRDefault="004A1008" w:rsidP="004A1008">
            <w:r>
              <w:t xml:space="preserve">Test &amp; Transfer </w:t>
            </w:r>
          </w:p>
        </w:tc>
        <w:tc>
          <w:tcPr>
            <w:tcW w:w="0" w:type="auto"/>
          </w:tcPr>
          <w:p w14:paraId="13E5C616" w14:textId="77777777" w:rsidR="004A1008" w:rsidRDefault="004A1008" w:rsidP="004A1008">
            <w:r>
              <w:t>Domestic</w:t>
            </w:r>
          </w:p>
        </w:tc>
        <w:tc>
          <w:tcPr>
            <w:tcW w:w="0" w:type="auto"/>
          </w:tcPr>
          <w:p w14:paraId="70ED08D0" w14:textId="77777777" w:rsidR="004A1008" w:rsidRPr="005E1A8B" w:rsidRDefault="004A1008" w:rsidP="004A1008"/>
        </w:tc>
        <w:tc>
          <w:tcPr>
            <w:tcW w:w="0" w:type="auto"/>
          </w:tcPr>
          <w:p w14:paraId="50781710" w14:textId="77777777" w:rsidR="004A1008" w:rsidRPr="005E1A8B" w:rsidRDefault="004A1008" w:rsidP="004A1008"/>
        </w:tc>
      </w:tr>
      <w:tr w:rsidR="004A1008" w:rsidRPr="005E1A8B" w14:paraId="29A9C142" w14:textId="77777777" w:rsidTr="004A1008">
        <w:trPr>
          <w:trHeight w:val="205"/>
        </w:trPr>
        <w:tc>
          <w:tcPr>
            <w:tcW w:w="0" w:type="auto"/>
          </w:tcPr>
          <w:p w14:paraId="320CD8D3" w14:textId="77777777" w:rsidR="004A1008" w:rsidRPr="005E1A8B" w:rsidRDefault="004A1008" w:rsidP="004A1008">
            <w:r>
              <w:t>WWU</w:t>
            </w:r>
          </w:p>
        </w:tc>
        <w:tc>
          <w:tcPr>
            <w:tcW w:w="0" w:type="auto"/>
          </w:tcPr>
          <w:p w14:paraId="31E6F13E" w14:textId="77777777" w:rsidR="004A1008" w:rsidRDefault="004A1008" w:rsidP="004A1008">
            <w:r>
              <w:t>Relay</w:t>
            </w:r>
          </w:p>
        </w:tc>
        <w:tc>
          <w:tcPr>
            <w:tcW w:w="0" w:type="auto"/>
          </w:tcPr>
          <w:p w14:paraId="03C1A228" w14:textId="77777777" w:rsidR="004A1008" w:rsidRDefault="004A1008" w:rsidP="004A1008">
            <w:r>
              <w:t>Non-Domestic</w:t>
            </w:r>
          </w:p>
        </w:tc>
        <w:tc>
          <w:tcPr>
            <w:tcW w:w="0" w:type="auto"/>
          </w:tcPr>
          <w:p w14:paraId="367688B6" w14:textId="77777777" w:rsidR="004A1008" w:rsidRPr="005E1A8B" w:rsidRDefault="004A1008" w:rsidP="004A1008"/>
        </w:tc>
        <w:tc>
          <w:tcPr>
            <w:tcW w:w="0" w:type="auto"/>
          </w:tcPr>
          <w:p w14:paraId="7C678016" w14:textId="77777777" w:rsidR="004A1008" w:rsidRPr="005E1A8B" w:rsidRDefault="004A1008" w:rsidP="004A1008"/>
        </w:tc>
      </w:tr>
      <w:tr w:rsidR="004A1008" w:rsidRPr="005E1A8B" w14:paraId="37E1054D" w14:textId="77777777" w:rsidTr="004A1008">
        <w:trPr>
          <w:trHeight w:val="205"/>
        </w:trPr>
        <w:tc>
          <w:tcPr>
            <w:tcW w:w="0" w:type="auto"/>
          </w:tcPr>
          <w:p w14:paraId="7067BECA" w14:textId="77777777" w:rsidR="004A1008" w:rsidRPr="005E1A8B" w:rsidRDefault="004A1008" w:rsidP="004A1008">
            <w:r>
              <w:t>WWU</w:t>
            </w:r>
          </w:p>
        </w:tc>
        <w:tc>
          <w:tcPr>
            <w:tcW w:w="0" w:type="auto"/>
          </w:tcPr>
          <w:p w14:paraId="570F45F7" w14:textId="77777777" w:rsidR="004A1008" w:rsidRDefault="004A1008" w:rsidP="004A1008">
            <w:r>
              <w:t xml:space="preserve">Test &amp; Transfer </w:t>
            </w:r>
          </w:p>
        </w:tc>
        <w:tc>
          <w:tcPr>
            <w:tcW w:w="0" w:type="auto"/>
          </w:tcPr>
          <w:p w14:paraId="7FFBF4DC" w14:textId="77777777" w:rsidR="004A1008" w:rsidRDefault="004A1008" w:rsidP="004A1008">
            <w:r>
              <w:t>Non-Domestic</w:t>
            </w:r>
          </w:p>
        </w:tc>
        <w:tc>
          <w:tcPr>
            <w:tcW w:w="0" w:type="auto"/>
          </w:tcPr>
          <w:p w14:paraId="7FED9DD8" w14:textId="77777777" w:rsidR="004A1008" w:rsidRPr="005E1A8B" w:rsidRDefault="004A1008" w:rsidP="004A1008"/>
        </w:tc>
        <w:tc>
          <w:tcPr>
            <w:tcW w:w="0" w:type="auto"/>
          </w:tcPr>
          <w:p w14:paraId="59CD6679" w14:textId="77777777" w:rsidR="004A1008" w:rsidRPr="005E1A8B" w:rsidRDefault="004A1008" w:rsidP="004A1008"/>
        </w:tc>
      </w:tr>
    </w:tbl>
    <w:p w14:paraId="4E95308A" w14:textId="77777777" w:rsidR="004A1008" w:rsidRDefault="004A1008" w:rsidP="004A1008"/>
    <w:p w14:paraId="4C74089B" w14:textId="77777777" w:rsidR="004A1008" w:rsidRPr="00472E36" w:rsidRDefault="004A1008" w:rsidP="004A1008">
      <w:pPr>
        <w:pStyle w:val="AppendixHeading"/>
      </w:pPr>
    </w:p>
    <w:p w14:paraId="1A7B006C" w14:textId="77777777" w:rsidR="004A1008" w:rsidRPr="00761A2F" w:rsidRDefault="004A1008" w:rsidP="004A1008">
      <w:pPr>
        <w:pStyle w:val="Caption"/>
      </w:pPr>
      <w:r>
        <w:t>Tier 1 Services</w:t>
      </w:r>
      <w:r w:rsidRPr="00761A2F">
        <w:t xml:space="preserve"> Baseline Values</w:t>
      </w:r>
      <w:r>
        <w:t xml:space="preserve"> by Regulatory Year</w:t>
      </w:r>
    </w:p>
    <w:tbl>
      <w:tblPr>
        <w:tblStyle w:val="AppendixTable"/>
        <w:tblW w:w="5000" w:type="pct"/>
        <w:tblLook w:val="04A0" w:firstRow="1" w:lastRow="0" w:firstColumn="1" w:lastColumn="0" w:noHBand="0" w:noVBand="1"/>
      </w:tblPr>
      <w:tblGrid>
        <w:gridCol w:w="2575"/>
        <w:gridCol w:w="772"/>
        <w:gridCol w:w="773"/>
        <w:gridCol w:w="773"/>
        <w:gridCol w:w="773"/>
        <w:gridCol w:w="773"/>
        <w:gridCol w:w="2587"/>
      </w:tblGrid>
      <w:tr w:rsidR="004A1008" w14:paraId="1AD5189D" w14:textId="77777777" w:rsidTr="004A1008">
        <w:trPr>
          <w:cnfStyle w:val="100000000000" w:firstRow="1" w:lastRow="0" w:firstColumn="0" w:lastColumn="0" w:oddVBand="0" w:evenVBand="0" w:oddHBand="0" w:evenHBand="0" w:firstRowFirstColumn="0" w:firstRowLastColumn="0" w:lastRowFirstColumn="0" w:lastRowLastColumn="0"/>
          <w:trHeight w:val="702"/>
        </w:trPr>
        <w:tc>
          <w:tcPr>
            <w:tcW w:w="1427" w:type="pct"/>
          </w:tcPr>
          <w:p w14:paraId="7BCBE81A" w14:textId="77777777" w:rsidR="004A1008" w:rsidRPr="00472E36" w:rsidRDefault="004A1008" w:rsidP="004A1008">
            <w:r w:rsidRPr="00472E36">
              <w:t>GDN</w:t>
            </w:r>
          </w:p>
        </w:tc>
        <w:tc>
          <w:tcPr>
            <w:tcW w:w="428" w:type="pct"/>
          </w:tcPr>
          <w:p w14:paraId="5894287A" w14:textId="77777777" w:rsidR="004A1008" w:rsidRPr="00472E36" w:rsidRDefault="004A1008" w:rsidP="004A1008">
            <w:r w:rsidRPr="00472E36">
              <w:t>21/22</w:t>
            </w:r>
          </w:p>
        </w:tc>
        <w:tc>
          <w:tcPr>
            <w:tcW w:w="428" w:type="pct"/>
          </w:tcPr>
          <w:p w14:paraId="46E1B40D" w14:textId="77777777" w:rsidR="004A1008" w:rsidRPr="00472E36" w:rsidRDefault="004A1008" w:rsidP="004A1008">
            <w:r w:rsidRPr="00472E36">
              <w:t>22/23</w:t>
            </w:r>
          </w:p>
        </w:tc>
        <w:tc>
          <w:tcPr>
            <w:tcW w:w="428" w:type="pct"/>
          </w:tcPr>
          <w:p w14:paraId="5BC5277E" w14:textId="77777777" w:rsidR="004A1008" w:rsidRPr="00472E36" w:rsidRDefault="004A1008" w:rsidP="004A1008">
            <w:r w:rsidRPr="00472E36">
              <w:t>23/24</w:t>
            </w:r>
          </w:p>
        </w:tc>
        <w:tc>
          <w:tcPr>
            <w:tcW w:w="428" w:type="pct"/>
          </w:tcPr>
          <w:p w14:paraId="358905A2" w14:textId="77777777" w:rsidR="004A1008" w:rsidRPr="00472E36" w:rsidRDefault="004A1008" w:rsidP="004A1008">
            <w:r w:rsidRPr="00472E36">
              <w:t>24/25</w:t>
            </w:r>
          </w:p>
        </w:tc>
        <w:tc>
          <w:tcPr>
            <w:tcW w:w="428" w:type="pct"/>
          </w:tcPr>
          <w:p w14:paraId="64A9F12A" w14:textId="77777777" w:rsidR="004A1008" w:rsidRPr="00472E36" w:rsidRDefault="004A1008" w:rsidP="004A1008">
            <w:r w:rsidRPr="00472E36">
              <w:t>25/26</w:t>
            </w:r>
          </w:p>
        </w:tc>
        <w:tc>
          <w:tcPr>
            <w:tcW w:w="1433" w:type="pct"/>
          </w:tcPr>
          <w:p w14:paraId="6695C5E0" w14:textId="77777777" w:rsidR="004A1008" w:rsidRPr="00472E36" w:rsidRDefault="004A1008" w:rsidP="004A1008">
            <w:r w:rsidRPr="00472E36">
              <w:t>Total Value (all years</w:t>
            </w:r>
            <w:r>
              <w:t>)</w:t>
            </w:r>
          </w:p>
        </w:tc>
      </w:tr>
      <w:tr w:rsidR="004A1008" w14:paraId="6C730077" w14:textId="77777777" w:rsidTr="004A1008">
        <w:tc>
          <w:tcPr>
            <w:tcW w:w="1427" w:type="pct"/>
          </w:tcPr>
          <w:p w14:paraId="7C1E0AA2" w14:textId="77777777" w:rsidR="004A1008" w:rsidRPr="00472E36" w:rsidRDefault="004A1008" w:rsidP="004A1008">
            <w:r w:rsidRPr="00472E36">
              <w:t>Cadent East of England</w:t>
            </w:r>
          </w:p>
        </w:tc>
        <w:tc>
          <w:tcPr>
            <w:tcW w:w="428" w:type="pct"/>
          </w:tcPr>
          <w:p w14:paraId="278AF39F" w14:textId="77777777" w:rsidR="004A1008" w:rsidRPr="00472E36" w:rsidRDefault="004A1008" w:rsidP="004A1008"/>
        </w:tc>
        <w:tc>
          <w:tcPr>
            <w:tcW w:w="428" w:type="pct"/>
          </w:tcPr>
          <w:p w14:paraId="18B0DD87" w14:textId="77777777" w:rsidR="004A1008" w:rsidRPr="00472E36" w:rsidRDefault="004A1008" w:rsidP="004A1008"/>
        </w:tc>
        <w:tc>
          <w:tcPr>
            <w:tcW w:w="428" w:type="pct"/>
          </w:tcPr>
          <w:p w14:paraId="542F3173" w14:textId="77777777" w:rsidR="004A1008" w:rsidRPr="00472E36" w:rsidRDefault="004A1008" w:rsidP="004A1008"/>
        </w:tc>
        <w:tc>
          <w:tcPr>
            <w:tcW w:w="428" w:type="pct"/>
          </w:tcPr>
          <w:p w14:paraId="3188E577" w14:textId="77777777" w:rsidR="004A1008" w:rsidRPr="00472E36" w:rsidRDefault="004A1008" w:rsidP="004A1008"/>
        </w:tc>
        <w:tc>
          <w:tcPr>
            <w:tcW w:w="428" w:type="pct"/>
          </w:tcPr>
          <w:p w14:paraId="6BD7D427" w14:textId="77777777" w:rsidR="004A1008" w:rsidRPr="00472E36" w:rsidRDefault="004A1008" w:rsidP="004A1008"/>
        </w:tc>
        <w:tc>
          <w:tcPr>
            <w:tcW w:w="1433" w:type="pct"/>
          </w:tcPr>
          <w:p w14:paraId="51F2D8C6" w14:textId="77777777" w:rsidR="004A1008" w:rsidRPr="00472E36" w:rsidRDefault="004A1008" w:rsidP="004A1008"/>
        </w:tc>
      </w:tr>
      <w:tr w:rsidR="004A1008" w14:paraId="20344639" w14:textId="77777777" w:rsidTr="004A1008">
        <w:tc>
          <w:tcPr>
            <w:tcW w:w="1427" w:type="pct"/>
          </w:tcPr>
          <w:p w14:paraId="12E5BB96" w14:textId="77777777" w:rsidR="004A1008" w:rsidRPr="00472E36" w:rsidRDefault="004A1008" w:rsidP="004A1008">
            <w:r w:rsidRPr="00472E36">
              <w:t>Cadent North London</w:t>
            </w:r>
          </w:p>
        </w:tc>
        <w:tc>
          <w:tcPr>
            <w:tcW w:w="428" w:type="pct"/>
          </w:tcPr>
          <w:p w14:paraId="125A21C4" w14:textId="77777777" w:rsidR="004A1008" w:rsidRPr="00472E36" w:rsidRDefault="004A1008" w:rsidP="004A1008"/>
        </w:tc>
        <w:tc>
          <w:tcPr>
            <w:tcW w:w="428" w:type="pct"/>
          </w:tcPr>
          <w:p w14:paraId="26CE1F7E" w14:textId="77777777" w:rsidR="004A1008" w:rsidRPr="00472E36" w:rsidRDefault="004A1008" w:rsidP="004A1008"/>
        </w:tc>
        <w:tc>
          <w:tcPr>
            <w:tcW w:w="428" w:type="pct"/>
          </w:tcPr>
          <w:p w14:paraId="4C9ADC98" w14:textId="77777777" w:rsidR="004A1008" w:rsidRPr="00472E36" w:rsidRDefault="004A1008" w:rsidP="004A1008"/>
        </w:tc>
        <w:tc>
          <w:tcPr>
            <w:tcW w:w="428" w:type="pct"/>
          </w:tcPr>
          <w:p w14:paraId="6C0D996B" w14:textId="77777777" w:rsidR="004A1008" w:rsidRPr="00472E36" w:rsidRDefault="004A1008" w:rsidP="004A1008"/>
        </w:tc>
        <w:tc>
          <w:tcPr>
            <w:tcW w:w="428" w:type="pct"/>
          </w:tcPr>
          <w:p w14:paraId="60C394C8" w14:textId="77777777" w:rsidR="004A1008" w:rsidRPr="00472E36" w:rsidRDefault="004A1008" w:rsidP="004A1008"/>
        </w:tc>
        <w:tc>
          <w:tcPr>
            <w:tcW w:w="1433" w:type="pct"/>
          </w:tcPr>
          <w:p w14:paraId="4A2FA0AF" w14:textId="77777777" w:rsidR="004A1008" w:rsidRPr="00472E36" w:rsidRDefault="004A1008" w:rsidP="004A1008"/>
        </w:tc>
      </w:tr>
      <w:tr w:rsidR="004A1008" w14:paraId="4176433C" w14:textId="77777777" w:rsidTr="004A1008">
        <w:tc>
          <w:tcPr>
            <w:tcW w:w="1427" w:type="pct"/>
          </w:tcPr>
          <w:p w14:paraId="1076BAB9" w14:textId="77777777" w:rsidR="004A1008" w:rsidRPr="00472E36" w:rsidRDefault="004A1008" w:rsidP="004A1008">
            <w:r w:rsidRPr="00472E36">
              <w:t>Cadent North West</w:t>
            </w:r>
          </w:p>
        </w:tc>
        <w:tc>
          <w:tcPr>
            <w:tcW w:w="428" w:type="pct"/>
          </w:tcPr>
          <w:p w14:paraId="35E5FFA8" w14:textId="77777777" w:rsidR="004A1008" w:rsidRPr="00472E36" w:rsidRDefault="004A1008" w:rsidP="004A1008"/>
        </w:tc>
        <w:tc>
          <w:tcPr>
            <w:tcW w:w="428" w:type="pct"/>
          </w:tcPr>
          <w:p w14:paraId="538DAF90" w14:textId="77777777" w:rsidR="004A1008" w:rsidRPr="00472E36" w:rsidRDefault="004A1008" w:rsidP="004A1008"/>
        </w:tc>
        <w:tc>
          <w:tcPr>
            <w:tcW w:w="428" w:type="pct"/>
          </w:tcPr>
          <w:p w14:paraId="7D9517DA" w14:textId="77777777" w:rsidR="004A1008" w:rsidRPr="00472E36" w:rsidRDefault="004A1008" w:rsidP="004A1008"/>
        </w:tc>
        <w:tc>
          <w:tcPr>
            <w:tcW w:w="428" w:type="pct"/>
          </w:tcPr>
          <w:p w14:paraId="5BC0FFA7" w14:textId="77777777" w:rsidR="004A1008" w:rsidRPr="00472E36" w:rsidRDefault="004A1008" w:rsidP="004A1008"/>
        </w:tc>
        <w:tc>
          <w:tcPr>
            <w:tcW w:w="428" w:type="pct"/>
          </w:tcPr>
          <w:p w14:paraId="161C9472" w14:textId="77777777" w:rsidR="004A1008" w:rsidRPr="00472E36" w:rsidRDefault="004A1008" w:rsidP="004A1008"/>
        </w:tc>
        <w:tc>
          <w:tcPr>
            <w:tcW w:w="1433" w:type="pct"/>
          </w:tcPr>
          <w:p w14:paraId="617786AB" w14:textId="77777777" w:rsidR="004A1008" w:rsidRPr="00472E36" w:rsidRDefault="004A1008" w:rsidP="004A1008"/>
        </w:tc>
      </w:tr>
      <w:tr w:rsidR="004A1008" w14:paraId="66147773" w14:textId="77777777" w:rsidTr="004A1008">
        <w:tc>
          <w:tcPr>
            <w:tcW w:w="1427" w:type="pct"/>
          </w:tcPr>
          <w:p w14:paraId="70FE2AF6" w14:textId="77777777" w:rsidR="004A1008" w:rsidRPr="00472E36" w:rsidRDefault="004A1008" w:rsidP="004A1008">
            <w:r w:rsidRPr="00472E36">
              <w:t>Cadent West Midlands</w:t>
            </w:r>
          </w:p>
        </w:tc>
        <w:tc>
          <w:tcPr>
            <w:tcW w:w="428" w:type="pct"/>
          </w:tcPr>
          <w:p w14:paraId="61C31B39" w14:textId="77777777" w:rsidR="004A1008" w:rsidRPr="00472E36" w:rsidRDefault="004A1008" w:rsidP="004A1008"/>
        </w:tc>
        <w:tc>
          <w:tcPr>
            <w:tcW w:w="428" w:type="pct"/>
          </w:tcPr>
          <w:p w14:paraId="14F83D4A" w14:textId="77777777" w:rsidR="004A1008" w:rsidRPr="00472E36" w:rsidRDefault="004A1008" w:rsidP="004A1008"/>
        </w:tc>
        <w:tc>
          <w:tcPr>
            <w:tcW w:w="428" w:type="pct"/>
          </w:tcPr>
          <w:p w14:paraId="125402B9" w14:textId="77777777" w:rsidR="004A1008" w:rsidRPr="00472E36" w:rsidRDefault="004A1008" w:rsidP="004A1008"/>
        </w:tc>
        <w:tc>
          <w:tcPr>
            <w:tcW w:w="428" w:type="pct"/>
          </w:tcPr>
          <w:p w14:paraId="3BF92795" w14:textId="77777777" w:rsidR="004A1008" w:rsidRPr="00472E36" w:rsidRDefault="004A1008" w:rsidP="004A1008"/>
        </w:tc>
        <w:tc>
          <w:tcPr>
            <w:tcW w:w="428" w:type="pct"/>
          </w:tcPr>
          <w:p w14:paraId="607057B1" w14:textId="77777777" w:rsidR="004A1008" w:rsidRPr="00472E36" w:rsidRDefault="004A1008" w:rsidP="004A1008"/>
        </w:tc>
        <w:tc>
          <w:tcPr>
            <w:tcW w:w="1433" w:type="pct"/>
          </w:tcPr>
          <w:p w14:paraId="50E115F7" w14:textId="77777777" w:rsidR="004A1008" w:rsidRPr="00472E36" w:rsidRDefault="004A1008" w:rsidP="004A1008"/>
        </w:tc>
      </w:tr>
      <w:tr w:rsidR="004A1008" w14:paraId="16A31ED3" w14:textId="77777777" w:rsidTr="004A1008">
        <w:tc>
          <w:tcPr>
            <w:tcW w:w="1427" w:type="pct"/>
          </w:tcPr>
          <w:p w14:paraId="3A3764FF" w14:textId="77777777" w:rsidR="004A1008" w:rsidRPr="00472E36" w:rsidRDefault="004A1008" w:rsidP="004A1008">
            <w:r w:rsidRPr="00472E36">
              <w:t>Northern Gas Networks</w:t>
            </w:r>
          </w:p>
        </w:tc>
        <w:tc>
          <w:tcPr>
            <w:tcW w:w="428" w:type="pct"/>
          </w:tcPr>
          <w:p w14:paraId="7A2A6BE4" w14:textId="77777777" w:rsidR="004A1008" w:rsidRPr="00472E36" w:rsidRDefault="004A1008" w:rsidP="004A1008"/>
        </w:tc>
        <w:tc>
          <w:tcPr>
            <w:tcW w:w="428" w:type="pct"/>
          </w:tcPr>
          <w:p w14:paraId="487A0130" w14:textId="77777777" w:rsidR="004A1008" w:rsidRPr="00472E36" w:rsidRDefault="004A1008" w:rsidP="004A1008"/>
        </w:tc>
        <w:tc>
          <w:tcPr>
            <w:tcW w:w="428" w:type="pct"/>
          </w:tcPr>
          <w:p w14:paraId="0B8C75EB" w14:textId="77777777" w:rsidR="004A1008" w:rsidRPr="00472E36" w:rsidRDefault="004A1008" w:rsidP="004A1008"/>
        </w:tc>
        <w:tc>
          <w:tcPr>
            <w:tcW w:w="428" w:type="pct"/>
          </w:tcPr>
          <w:p w14:paraId="269465EE" w14:textId="77777777" w:rsidR="004A1008" w:rsidRPr="00472E36" w:rsidRDefault="004A1008" w:rsidP="004A1008"/>
        </w:tc>
        <w:tc>
          <w:tcPr>
            <w:tcW w:w="428" w:type="pct"/>
          </w:tcPr>
          <w:p w14:paraId="26171FB9" w14:textId="77777777" w:rsidR="004A1008" w:rsidRPr="00472E36" w:rsidRDefault="004A1008" w:rsidP="004A1008"/>
        </w:tc>
        <w:tc>
          <w:tcPr>
            <w:tcW w:w="1433" w:type="pct"/>
          </w:tcPr>
          <w:p w14:paraId="6028C1E4" w14:textId="77777777" w:rsidR="004A1008" w:rsidRPr="00472E36" w:rsidRDefault="004A1008" w:rsidP="004A1008"/>
        </w:tc>
      </w:tr>
      <w:tr w:rsidR="004A1008" w14:paraId="4F8387A8" w14:textId="77777777" w:rsidTr="004A1008">
        <w:tc>
          <w:tcPr>
            <w:tcW w:w="1427" w:type="pct"/>
          </w:tcPr>
          <w:p w14:paraId="0AE233B6" w14:textId="77777777" w:rsidR="004A1008" w:rsidRPr="00472E36" w:rsidRDefault="004A1008" w:rsidP="004A1008">
            <w:r w:rsidRPr="00472E36">
              <w:t>SGN Scotland</w:t>
            </w:r>
          </w:p>
        </w:tc>
        <w:tc>
          <w:tcPr>
            <w:tcW w:w="428" w:type="pct"/>
          </w:tcPr>
          <w:p w14:paraId="22E6834B" w14:textId="77777777" w:rsidR="004A1008" w:rsidRPr="00472E36" w:rsidRDefault="004A1008" w:rsidP="004A1008"/>
        </w:tc>
        <w:tc>
          <w:tcPr>
            <w:tcW w:w="428" w:type="pct"/>
          </w:tcPr>
          <w:p w14:paraId="0047943D" w14:textId="77777777" w:rsidR="004A1008" w:rsidRPr="00472E36" w:rsidRDefault="004A1008" w:rsidP="004A1008"/>
        </w:tc>
        <w:tc>
          <w:tcPr>
            <w:tcW w:w="428" w:type="pct"/>
          </w:tcPr>
          <w:p w14:paraId="550EA048" w14:textId="77777777" w:rsidR="004A1008" w:rsidRPr="00472E36" w:rsidRDefault="004A1008" w:rsidP="004A1008"/>
        </w:tc>
        <w:tc>
          <w:tcPr>
            <w:tcW w:w="428" w:type="pct"/>
          </w:tcPr>
          <w:p w14:paraId="2D27C5DF" w14:textId="77777777" w:rsidR="004A1008" w:rsidRPr="00472E36" w:rsidRDefault="004A1008" w:rsidP="004A1008"/>
        </w:tc>
        <w:tc>
          <w:tcPr>
            <w:tcW w:w="428" w:type="pct"/>
          </w:tcPr>
          <w:p w14:paraId="69DECA76" w14:textId="77777777" w:rsidR="004A1008" w:rsidRPr="00472E36" w:rsidRDefault="004A1008" w:rsidP="004A1008"/>
        </w:tc>
        <w:tc>
          <w:tcPr>
            <w:tcW w:w="1433" w:type="pct"/>
          </w:tcPr>
          <w:p w14:paraId="2309F187" w14:textId="77777777" w:rsidR="004A1008" w:rsidRPr="00472E36" w:rsidRDefault="004A1008" w:rsidP="004A1008"/>
        </w:tc>
      </w:tr>
      <w:tr w:rsidR="004A1008" w14:paraId="56FA1651" w14:textId="77777777" w:rsidTr="004A1008">
        <w:tc>
          <w:tcPr>
            <w:tcW w:w="1427" w:type="pct"/>
          </w:tcPr>
          <w:p w14:paraId="03F81A0B" w14:textId="77777777" w:rsidR="004A1008" w:rsidRPr="00472E36" w:rsidRDefault="004A1008" w:rsidP="004A1008">
            <w:r w:rsidRPr="00472E36">
              <w:t>SGN Southern</w:t>
            </w:r>
          </w:p>
        </w:tc>
        <w:tc>
          <w:tcPr>
            <w:tcW w:w="428" w:type="pct"/>
          </w:tcPr>
          <w:p w14:paraId="600BBB96" w14:textId="77777777" w:rsidR="004A1008" w:rsidRPr="00472E36" w:rsidRDefault="004A1008" w:rsidP="004A1008"/>
        </w:tc>
        <w:tc>
          <w:tcPr>
            <w:tcW w:w="428" w:type="pct"/>
          </w:tcPr>
          <w:p w14:paraId="3D284E0C" w14:textId="77777777" w:rsidR="004A1008" w:rsidRPr="00472E36" w:rsidRDefault="004A1008" w:rsidP="004A1008"/>
        </w:tc>
        <w:tc>
          <w:tcPr>
            <w:tcW w:w="428" w:type="pct"/>
          </w:tcPr>
          <w:p w14:paraId="4E46F30E" w14:textId="77777777" w:rsidR="004A1008" w:rsidRPr="00472E36" w:rsidRDefault="004A1008" w:rsidP="004A1008"/>
        </w:tc>
        <w:tc>
          <w:tcPr>
            <w:tcW w:w="428" w:type="pct"/>
          </w:tcPr>
          <w:p w14:paraId="12E751FB" w14:textId="77777777" w:rsidR="004A1008" w:rsidRPr="00472E36" w:rsidRDefault="004A1008" w:rsidP="004A1008"/>
        </w:tc>
        <w:tc>
          <w:tcPr>
            <w:tcW w:w="428" w:type="pct"/>
          </w:tcPr>
          <w:p w14:paraId="4F40C141" w14:textId="77777777" w:rsidR="004A1008" w:rsidRPr="00472E36" w:rsidRDefault="004A1008" w:rsidP="004A1008"/>
        </w:tc>
        <w:tc>
          <w:tcPr>
            <w:tcW w:w="1433" w:type="pct"/>
          </w:tcPr>
          <w:p w14:paraId="0242C7DD" w14:textId="77777777" w:rsidR="004A1008" w:rsidRPr="00472E36" w:rsidRDefault="004A1008" w:rsidP="004A1008"/>
        </w:tc>
      </w:tr>
      <w:tr w:rsidR="004A1008" w14:paraId="2A4FC6CD" w14:textId="77777777" w:rsidTr="004A1008">
        <w:tc>
          <w:tcPr>
            <w:tcW w:w="1427" w:type="pct"/>
          </w:tcPr>
          <w:p w14:paraId="533701A3" w14:textId="77777777" w:rsidR="004A1008" w:rsidRPr="00472E36" w:rsidRDefault="004A1008" w:rsidP="004A1008">
            <w:r w:rsidRPr="00472E36">
              <w:t>Wales &amp; West Utilities</w:t>
            </w:r>
          </w:p>
        </w:tc>
        <w:tc>
          <w:tcPr>
            <w:tcW w:w="428" w:type="pct"/>
          </w:tcPr>
          <w:p w14:paraId="00469D64" w14:textId="77777777" w:rsidR="004A1008" w:rsidRPr="00472E36" w:rsidRDefault="004A1008" w:rsidP="004A1008"/>
        </w:tc>
        <w:tc>
          <w:tcPr>
            <w:tcW w:w="428" w:type="pct"/>
          </w:tcPr>
          <w:p w14:paraId="3010AA45" w14:textId="77777777" w:rsidR="004A1008" w:rsidRPr="00472E36" w:rsidRDefault="004A1008" w:rsidP="004A1008"/>
        </w:tc>
        <w:tc>
          <w:tcPr>
            <w:tcW w:w="428" w:type="pct"/>
          </w:tcPr>
          <w:p w14:paraId="0A60E19A" w14:textId="77777777" w:rsidR="004A1008" w:rsidRPr="00472E36" w:rsidRDefault="004A1008" w:rsidP="004A1008"/>
        </w:tc>
        <w:tc>
          <w:tcPr>
            <w:tcW w:w="428" w:type="pct"/>
          </w:tcPr>
          <w:p w14:paraId="41BB8C37" w14:textId="77777777" w:rsidR="004A1008" w:rsidRPr="00472E36" w:rsidRDefault="004A1008" w:rsidP="004A1008"/>
        </w:tc>
        <w:tc>
          <w:tcPr>
            <w:tcW w:w="428" w:type="pct"/>
          </w:tcPr>
          <w:p w14:paraId="52FEE775" w14:textId="77777777" w:rsidR="004A1008" w:rsidRPr="00472E36" w:rsidRDefault="004A1008" w:rsidP="004A1008"/>
        </w:tc>
        <w:tc>
          <w:tcPr>
            <w:tcW w:w="1433" w:type="pct"/>
          </w:tcPr>
          <w:p w14:paraId="1802464D" w14:textId="77777777" w:rsidR="004A1008" w:rsidRPr="00472E36" w:rsidRDefault="004A1008" w:rsidP="004A1008"/>
        </w:tc>
      </w:tr>
    </w:tbl>
    <w:p w14:paraId="518A5D3F" w14:textId="77777777" w:rsidR="004A1008" w:rsidRDefault="004A1008" w:rsidP="004A1008"/>
    <w:p w14:paraId="44280B42" w14:textId="77777777" w:rsidR="004A1008" w:rsidRDefault="004A1008" w:rsidP="004A1008"/>
    <w:p w14:paraId="45C81DC0" w14:textId="77777777" w:rsidR="004A1008" w:rsidRPr="00AB00E9" w:rsidRDefault="004A1008" w:rsidP="004A1008">
      <w:pPr>
        <w:pStyle w:val="Heading2"/>
        <w:numPr>
          <w:ilvl w:val="1"/>
          <w:numId w:val="7"/>
        </w:numPr>
      </w:pPr>
      <w:bookmarkStart w:id="80" w:name="_Toc51783626"/>
      <w:bookmarkStart w:id="81" w:name="_Toc52364545"/>
      <w:r>
        <w:t>Gas Holder Demolitions Price Control Deliverable (GHRA</w:t>
      </w:r>
      <w:r w:rsidRPr="00761A2F">
        <w:rPr>
          <w:vertAlign w:val="subscript"/>
        </w:rPr>
        <w:t>t</w:t>
      </w:r>
      <w:r>
        <w:t>)</w:t>
      </w:r>
      <w:bookmarkEnd w:id="80"/>
      <w:bookmarkEnd w:id="81"/>
    </w:p>
    <w:p w14:paraId="292A2CA3" w14:textId="77777777" w:rsidR="004A1008" w:rsidRPr="00AB00E9" w:rsidRDefault="004A1008" w:rsidP="004A1008">
      <w:pPr>
        <w:pStyle w:val="Heading3nonumbering"/>
      </w:pPr>
      <w:r w:rsidRPr="00AB00E9">
        <w:t xml:space="preserve">Introduction </w:t>
      </w:r>
    </w:p>
    <w:p w14:paraId="51FF338B" w14:textId="77777777" w:rsidR="004A1008" w:rsidRPr="00AB00E9" w:rsidRDefault="004A1008" w:rsidP="004A1008">
      <w:pPr>
        <w:pStyle w:val="NumberedNormal"/>
        <w:numPr>
          <w:ilvl w:val="2"/>
          <w:numId w:val="7"/>
        </w:numPr>
      </w:pPr>
      <w:r>
        <w:t>The purpose of this condition is to calculate the term GHRA</w:t>
      </w:r>
      <w:r w:rsidRPr="00761A2F">
        <w:rPr>
          <w:vertAlign w:val="subscript"/>
        </w:rPr>
        <w:t>t</w:t>
      </w:r>
      <w:r>
        <w:t xml:space="preserve"> (the Gas Holder demolitions Price Control Deliverable term). This contributes to the calculation of the Totex Allowance.</w:t>
      </w:r>
    </w:p>
    <w:p w14:paraId="46693C87" w14:textId="77777777" w:rsidR="004A1008" w:rsidRPr="00AB00E9" w:rsidRDefault="004A1008" w:rsidP="004A1008">
      <w:pPr>
        <w:pStyle w:val="NumberedNormal"/>
        <w:numPr>
          <w:ilvl w:val="2"/>
          <w:numId w:val="7"/>
        </w:numPr>
      </w:pPr>
      <w:r>
        <w:t>This condition specifies the allowances for Gas Holder demolitions and the reduction in allowances if the licensee does not Fully Demolish all of its Gas Holders.</w:t>
      </w:r>
    </w:p>
    <w:p w14:paraId="4E43E980" w14:textId="77777777" w:rsidR="004A1008" w:rsidRPr="00AB00E9" w:rsidRDefault="004A1008" w:rsidP="004A1008">
      <w:pPr>
        <w:pStyle w:val="Heading3"/>
        <w:numPr>
          <w:ilvl w:val="5"/>
          <w:numId w:val="7"/>
        </w:numPr>
      </w:pPr>
      <w:r>
        <w:t>Adjustment for failure to Fully Demolish Gas Holders</w:t>
      </w:r>
    </w:p>
    <w:p w14:paraId="1E61A0E7" w14:textId="77777777" w:rsidR="004A1008" w:rsidRPr="00AB00E9" w:rsidRDefault="004A1008" w:rsidP="004A1008">
      <w:pPr>
        <w:pStyle w:val="NumberedNormal"/>
        <w:numPr>
          <w:ilvl w:val="2"/>
          <w:numId w:val="7"/>
        </w:numPr>
      </w:pPr>
      <w:r>
        <w:t>The value of GHRA</w:t>
      </w:r>
      <w:r w:rsidRPr="00761A2F">
        <w:rPr>
          <w:vertAlign w:val="subscript"/>
        </w:rPr>
        <w:t>t</w:t>
      </w:r>
      <w:r>
        <w:t xml:space="preserve"> is derived in accordance with the following formula:</w:t>
      </w:r>
    </w:p>
    <w:p w14:paraId="226689BF" w14:textId="77777777" w:rsidR="004A1008" w:rsidRPr="00AB00E9" w:rsidRDefault="008C7681" w:rsidP="004A1008">
      <w:pPr>
        <w:pStyle w:val="Equation"/>
      </w:pPr>
      <m:oMathPara>
        <m:oMath>
          <m:sSub>
            <m:sSubPr>
              <m:ctrlPr>
                <w:rPr>
                  <w:rFonts w:ascii="Cambria Math" w:hAnsi="Cambria Math"/>
                </w:rPr>
              </m:ctrlPr>
            </m:sSubPr>
            <m:e>
              <m:r>
                <w:rPr>
                  <w:rFonts w:ascii="Cambria Math" w:hAnsi="Cambria Math"/>
                </w:rPr>
                <m:t>GHRA</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m:t>
              </m:r>
              <m:nary>
                <m:naryPr>
                  <m:chr m:val="∑"/>
                  <m:limLoc m:val="undOvr"/>
                  <m:ctrlPr>
                    <w:rPr>
                      <w:rFonts w:ascii="Cambria Math" w:hAnsi="Cambria Math"/>
                    </w:rPr>
                  </m:ctrlPr>
                </m:naryPr>
                <m:sub>
                  <m:r>
                    <w:rPr>
                      <w:rFonts w:ascii="Cambria Math" w:hAnsi="Cambria Math"/>
                    </w:rPr>
                    <m:t>n=1</m:t>
                  </m:r>
                </m:sub>
                <m:sup>
                  <m:r>
                    <w:rPr>
                      <w:rFonts w:ascii="Cambria Math" w:hAnsi="Cambria Math"/>
                    </w:rPr>
                    <m:t>7</m:t>
                  </m:r>
                </m:sup>
                <m:e>
                  <m:sSub>
                    <m:sSubPr>
                      <m:ctrlPr>
                        <w:rPr>
                          <w:rFonts w:ascii="Cambria Math" w:hAnsi="Cambria Math"/>
                        </w:rPr>
                      </m:ctrlPr>
                    </m:sSubPr>
                    <m:e>
                      <m:r>
                        <w:rPr>
                          <w:rFonts w:ascii="Cambria Math" w:hAnsi="Cambria Math"/>
                        </w:rPr>
                        <m:t>GH</m:t>
                      </m:r>
                    </m:e>
                    <m:sub>
                      <m:r>
                        <w:rPr>
                          <w:rFonts w:ascii="Cambria Math" w:hAnsi="Cambria Math"/>
                        </w:rPr>
                        <m:t>n</m:t>
                      </m:r>
                    </m:sub>
                  </m:sSub>
                  <m:r>
                    <w:rPr>
                      <w:rFonts w:ascii="Cambria Math" w:hAnsi="Cambria Math"/>
                    </w:rPr>
                    <m:t>×</m:t>
                  </m:r>
                  <m:sSub>
                    <m:sSubPr>
                      <m:ctrlPr>
                        <w:rPr>
                          <w:rFonts w:ascii="Cambria Math" w:hAnsi="Cambria Math"/>
                        </w:rPr>
                      </m:ctrlPr>
                    </m:sSubPr>
                    <m:e>
                      <m:r>
                        <m:rPr>
                          <m:sty m:val="p"/>
                        </m:rPr>
                        <w:rPr>
                          <w:rFonts w:ascii="Cambria Math" w:hAnsi="Cambria Math"/>
                        </w:rPr>
                        <m:t>A</m:t>
                      </m:r>
                    </m:e>
                    <m:sub>
                      <m:r>
                        <w:rPr>
                          <w:rFonts w:ascii="Cambria Math" w:hAnsi="Cambria Math"/>
                        </w:rPr>
                        <m:t>n</m:t>
                      </m:r>
                    </m:sub>
                  </m:sSub>
                </m:e>
              </m:nary>
            </m:e>
          </m:d>
          <m:f>
            <m:fPr>
              <m:ctrlPr>
                <w:rPr>
                  <w:rFonts w:ascii="Cambria Math" w:hAnsi="Cambria Math"/>
                </w:rPr>
              </m:ctrlPr>
            </m:fPr>
            <m:num>
              <m:sSub>
                <m:sSubPr>
                  <m:ctrlPr>
                    <w:rPr>
                      <w:rFonts w:ascii="Cambria Math" w:hAnsi="Cambria Math"/>
                    </w:rPr>
                  </m:ctrlPr>
                </m:sSubPr>
                <m:e>
                  <m:r>
                    <w:rPr>
                      <w:rFonts w:ascii="Cambria Math" w:hAnsi="Cambria Math"/>
                    </w:rPr>
                    <m:t>GHBA</m:t>
                  </m:r>
                </m:e>
                <m:sub>
                  <m:r>
                    <w:rPr>
                      <w:rFonts w:ascii="Cambria Math" w:hAnsi="Cambria Math"/>
                    </w:rPr>
                    <m:t>t</m:t>
                  </m:r>
                </m:sub>
              </m:sSub>
            </m:num>
            <m:den>
              <m:nary>
                <m:naryPr>
                  <m:chr m:val="∑"/>
                  <m:limLoc m:val="undOvr"/>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GHBA</m:t>
                      </m:r>
                    </m:e>
                    <m:sub>
                      <m:r>
                        <w:rPr>
                          <w:rFonts w:ascii="Cambria Math" w:hAnsi="Cambria Math"/>
                        </w:rPr>
                        <m:t>t</m:t>
                      </m:r>
                    </m:sub>
                  </m:sSub>
                </m:e>
              </m:nary>
            </m:den>
          </m:f>
        </m:oMath>
      </m:oMathPara>
    </w:p>
    <w:p w14:paraId="52BF3755" w14:textId="77777777" w:rsidR="004A1008" w:rsidRPr="00AB00E9" w:rsidRDefault="004A1008" w:rsidP="004A1008">
      <w:r>
        <w:tab/>
      </w:r>
      <w:r w:rsidRPr="00AB00E9">
        <w:t>where:</w:t>
      </w:r>
    </w:p>
    <w:tbl>
      <w:tblPr>
        <w:tblStyle w:val="TableGridLight"/>
        <w:tblW w:w="0" w:type="auto"/>
        <w:tblLook w:val="0000" w:firstRow="0" w:lastRow="0" w:firstColumn="0" w:lastColumn="0" w:noHBand="0" w:noVBand="0"/>
      </w:tblPr>
      <w:tblGrid>
        <w:gridCol w:w="1499"/>
        <w:gridCol w:w="6847"/>
      </w:tblGrid>
      <w:tr w:rsidR="004A1008" w14:paraId="2EE7F014" w14:textId="77777777" w:rsidTr="004A1008">
        <w:tc>
          <w:tcPr>
            <w:tcW w:w="1507" w:type="dxa"/>
          </w:tcPr>
          <w:p w14:paraId="0CBA94A5" w14:textId="77777777" w:rsidR="004A1008" w:rsidRPr="00AB00E9" w:rsidRDefault="004A1008" w:rsidP="004A1008">
            <w:pPr>
              <w:pStyle w:val="Equation"/>
            </w:pPr>
            <w:r w:rsidRPr="00AB00E9">
              <w:t>GHBAt</w:t>
            </w:r>
          </w:p>
        </w:tc>
        <w:tc>
          <w:tcPr>
            <w:tcW w:w="6952" w:type="dxa"/>
          </w:tcPr>
          <w:p w14:paraId="6CE52C78" w14:textId="77777777" w:rsidR="004A1008" w:rsidRPr="00AB00E9" w:rsidRDefault="004A1008" w:rsidP="004A1008">
            <w:pPr>
              <w:pStyle w:val="Equation"/>
            </w:pPr>
            <w:r w:rsidRPr="00AB00E9">
              <w:t>means the Gas Holder demolition allowance set out in Appendix 1</w:t>
            </w:r>
            <w:r>
              <w:t>;</w:t>
            </w:r>
          </w:p>
        </w:tc>
      </w:tr>
      <w:tr w:rsidR="004A1008" w14:paraId="73BC2DB2" w14:textId="77777777" w:rsidTr="004A1008">
        <w:tc>
          <w:tcPr>
            <w:tcW w:w="1507" w:type="dxa"/>
          </w:tcPr>
          <w:p w14:paraId="12F20C1B" w14:textId="77777777" w:rsidR="004A1008" w:rsidRPr="00AB00E9" w:rsidRDefault="008C7681" w:rsidP="004A1008">
            <w:pPr>
              <w:pStyle w:val="Equation"/>
            </w:pPr>
            <m:oMathPara>
              <m:oMath>
                <m:nary>
                  <m:naryPr>
                    <m:chr m:val="∑"/>
                    <m:limLoc m:val="undOvr"/>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GHBA</m:t>
                        </m:r>
                      </m:e>
                      <m:sub>
                        <m:r>
                          <w:rPr>
                            <w:rFonts w:ascii="Cambria Math" w:hAnsi="Cambria Math"/>
                          </w:rPr>
                          <m:t>t</m:t>
                        </m:r>
                      </m:sub>
                    </m:sSub>
                  </m:e>
                </m:nary>
              </m:oMath>
            </m:oMathPara>
          </w:p>
        </w:tc>
        <w:tc>
          <w:tcPr>
            <w:tcW w:w="6952" w:type="dxa"/>
          </w:tcPr>
          <w:p w14:paraId="6AC71D4E" w14:textId="77777777" w:rsidR="004A1008" w:rsidRPr="00AB00E9" w:rsidRDefault="004A1008" w:rsidP="004A1008">
            <w:pPr>
              <w:pStyle w:val="Equation"/>
            </w:pPr>
            <w:r w:rsidRPr="00AB00E9">
              <w:t>means the total Gas Holder demolition allowance in the RIIO-2 period</w:t>
            </w:r>
            <w:r>
              <w:t>;</w:t>
            </w:r>
          </w:p>
        </w:tc>
      </w:tr>
      <w:tr w:rsidR="004A1008" w14:paraId="6FBBF504" w14:textId="77777777" w:rsidTr="004A1008">
        <w:tc>
          <w:tcPr>
            <w:tcW w:w="1507" w:type="dxa"/>
          </w:tcPr>
          <w:p w14:paraId="15320951" w14:textId="77777777" w:rsidR="004A1008" w:rsidRPr="00AB00E9" w:rsidRDefault="008C7681" w:rsidP="004A1008">
            <w:pPr>
              <w:pStyle w:val="Equation"/>
            </w:pPr>
            <m:oMathPara>
              <m:oMath>
                <m:sSub>
                  <m:sSubPr>
                    <m:ctrlPr>
                      <w:rPr>
                        <w:rFonts w:ascii="Cambria Math" w:hAnsi="Cambria Math"/>
                      </w:rPr>
                    </m:ctrlPr>
                  </m:sSubPr>
                  <m:e>
                    <m:r>
                      <m:rPr>
                        <m:sty m:val="p"/>
                      </m:rPr>
                      <w:rPr>
                        <w:rFonts w:ascii="Cambria Math" w:hAnsi="Cambria Math"/>
                      </w:rPr>
                      <m:t>GH</m:t>
                    </m:r>
                  </m:e>
                  <m:sub>
                    <m:r>
                      <w:rPr>
                        <w:rFonts w:ascii="Cambria Math" w:hAnsi="Cambria Math"/>
                      </w:rPr>
                      <m:t>n</m:t>
                    </m:r>
                  </m:sub>
                </m:sSub>
              </m:oMath>
            </m:oMathPara>
          </w:p>
        </w:tc>
        <w:tc>
          <w:tcPr>
            <w:tcW w:w="6952" w:type="dxa"/>
          </w:tcPr>
          <w:p w14:paraId="3B9C2172" w14:textId="77777777" w:rsidR="004A1008" w:rsidRPr="00AB00E9" w:rsidRDefault="004A1008" w:rsidP="004A1008">
            <w:pPr>
              <w:pStyle w:val="Equation"/>
            </w:pPr>
            <w:r w:rsidRPr="00AB00E9">
              <w:t>means the number of Gas Holders of type n owned by the licensee on 31 March 2027 that it did not Fully Demolish</w:t>
            </w:r>
            <w:r>
              <w:t>;</w:t>
            </w:r>
          </w:p>
        </w:tc>
      </w:tr>
      <w:tr w:rsidR="004A1008" w14:paraId="1CE22877" w14:textId="77777777" w:rsidTr="004A1008">
        <w:tc>
          <w:tcPr>
            <w:tcW w:w="1507" w:type="dxa"/>
          </w:tcPr>
          <w:p w14:paraId="18B39C28" w14:textId="77777777" w:rsidR="004A1008" w:rsidRPr="00AB00E9" w:rsidRDefault="004A1008" w:rsidP="004A1008">
            <w:pPr>
              <w:pStyle w:val="Equation"/>
            </w:pPr>
            <m:oMathPara>
              <m:oMath>
                <m:r>
                  <m:rPr>
                    <m:sty m:val="p"/>
                  </m:rPr>
                  <w:rPr>
                    <w:rFonts w:ascii="Cambria Math" w:hAnsi="Cambria Math"/>
                  </w:rPr>
                  <w:lastRenderedPageBreak/>
                  <m:t>n</m:t>
                </m:r>
              </m:oMath>
            </m:oMathPara>
          </w:p>
        </w:tc>
        <w:tc>
          <w:tcPr>
            <w:tcW w:w="6952" w:type="dxa"/>
          </w:tcPr>
          <w:p w14:paraId="3D7A6E31" w14:textId="77777777" w:rsidR="004A1008" w:rsidRPr="00AB00E9" w:rsidRDefault="004A1008" w:rsidP="004A1008">
            <w:pPr>
              <w:pStyle w:val="Equation"/>
            </w:pPr>
            <w:r w:rsidRPr="00AB00E9">
              <w:t>means the Gas Holder category corresponding to the Gas Holder type set out in the table below</w:t>
            </w:r>
            <w:r>
              <w:t>; and</w:t>
            </w:r>
          </w:p>
        </w:tc>
      </w:tr>
      <w:tr w:rsidR="004A1008" w14:paraId="56F1916E" w14:textId="77777777" w:rsidTr="004A1008">
        <w:tc>
          <w:tcPr>
            <w:tcW w:w="1507" w:type="dxa"/>
          </w:tcPr>
          <w:p w14:paraId="2B372ED4" w14:textId="77777777" w:rsidR="004A1008" w:rsidRPr="00AB00E9" w:rsidRDefault="008C7681" w:rsidP="004A1008">
            <w:pPr>
              <w:pStyle w:val="Equation"/>
            </w:pPr>
            <m:oMathPara>
              <m:oMath>
                <m:sSub>
                  <m:sSubPr>
                    <m:ctrlPr>
                      <w:rPr>
                        <w:rFonts w:ascii="Cambria Math" w:hAnsi="Cambria Math"/>
                      </w:rPr>
                    </m:ctrlPr>
                  </m:sSubPr>
                  <m:e>
                    <m:r>
                      <m:rPr>
                        <m:sty m:val="p"/>
                      </m:rPr>
                      <w:rPr>
                        <w:rFonts w:ascii="Cambria Math" w:hAnsi="Cambria Math"/>
                      </w:rPr>
                      <m:t>A</m:t>
                    </m:r>
                  </m:e>
                  <m:sub>
                    <m:r>
                      <w:rPr>
                        <w:rFonts w:ascii="Cambria Math" w:hAnsi="Cambria Math"/>
                      </w:rPr>
                      <m:t>n</m:t>
                    </m:r>
                  </m:sub>
                </m:sSub>
              </m:oMath>
            </m:oMathPara>
          </w:p>
        </w:tc>
        <w:tc>
          <w:tcPr>
            <w:tcW w:w="6952" w:type="dxa"/>
          </w:tcPr>
          <w:p w14:paraId="7F0C4D6F" w14:textId="77777777" w:rsidR="004A1008" w:rsidRDefault="004A1008" w:rsidP="004A1008">
            <w:pPr>
              <w:pStyle w:val="Equation"/>
            </w:pPr>
            <w:r w:rsidRPr="00AB00E9">
              <w:t>means the Gas Holder demolition unit cost set out in Appendix 2 that corresponds with Gas Holder category n</w:t>
            </w:r>
            <w:r>
              <w:t>.</w:t>
            </w:r>
          </w:p>
          <w:p w14:paraId="16039409" w14:textId="77777777" w:rsidR="004A1008" w:rsidRPr="00AF1449" w:rsidRDefault="004A1008" w:rsidP="004A1008"/>
          <w:tbl>
            <w:tblPr>
              <w:tblStyle w:val="TableGridLight"/>
              <w:tblW w:w="0" w:type="auto"/>
              <w:tblLook w:val="0000" w:firstRow="0" w:lastRow="0" w:firstColumn="0" w:lastColumn="0" w:noHBand="0" w:noVBand="0"/>
            </w:tblPr>
            <w:tblGrid>
              <w:gridCol w:w="2528"/>
              <w:gridCol w:w="3441"/>
            </w:tblGrid>
            <w:tr w:rsidR="004A1008" w14:paraId="3E7CD2DA" w14:textId="77777777" w:rsidTr="004A1008">
              <w:trPr>
                <w:trHeight w:val="441"/>
              </w:trPr>
              <w:tc>
                <w:tcPr>
                  <w:tcW w:w="2562" w:type="dxa"/>
                </w:tcPr>
                <w:p w14:paraId="2252E8B9" w14:textId="77777777" w:rsidR="004A1008" w:rsidRPr="00AB00E9" w:rsidRDefault="004A1008" w:rsidP="004A1008">
                  <w:pPr>
                    <w:pStyle w:val="Equation"/>
                  </w:pPr>
                  <w:r w:rsidRPr="00AB00E9">
                    <w:t>Gas Holder category, n</w:t>
                  </w:r>
                </w:p>
              </w:tc>
              <w:tc>
                <w:tcPr>
                  <w:tcW w:w="3479" w:type="dxa"/>
                </w:tcPr>
                <w:p w14:paraId="61B6D7AC" w14:textId="77777777" w:rsidR="004A1008" w:rsidRPr="00AB00E9" w:rsidRDefault="004A1008" w:rsidP="004A1008">
                  <w:pPr>
                    <w:pStyle w:val="Equation"/>
                  </w:pPr>
                  <w:r w:rsidRPr="00AB00E9">
                    <w:t>Gas Holder type</w:t>
                  </w:r>
                </w:p>
              </w:tc>
            </w:tr>
            <w:tr w:rsidR="004A1008" w14:paraId="55F91BE4" w14:textId="77777777" w:rsidTr="004A1008">
              <w:tc>
                <w:tcPr>
                  <w:tcW w:w="2562" w:type="dxa"/>
                </w:tcPr>
                <w:p w14:paraId="55B1C837" w14:textId="77777777" w:rsidR="004A1008" w:rsidRPr="00AB00E9" w:rsidRDefault="004A1008" w:rsidP="004A1008">
                  <w:pPr>
                    <w:pStyle w:val="Equation"/>
                    <w:jc w:val="right"/>
                  </w:pPr>
                  <w:r w:rsidRPr="00AB00E9">
                    <w:t>1</w:t>
                  </w:r>
                </w:p>
              </w:tc>
              <w:tc>
                <w:tcPr>
                  <w:tcW w:w="3479" w:type="dxa"/>
                </w:tcPr>
                <w:p w14:paraId="205AC9B6" w14:textId="77777777" w:rsidR="004A1008" w:rsidRPr="00AB00E9" w:rsidRDefault="004A1008" w:rsidP="004A1008">
                  <w:pPr>
                    <w:pStyle w:val="Equation"/>
                  </w:pPr>
                  <w:r w:rsidRPr="00AB00E9">
                    <w:t>Spiral guided, above-ground</w:t>
                  </w:r>
                </w:p>
              </w:tc>
            </w:tr>
            <w:tr w:rsidR="004A1008" w14:paraId="0BC773DB" w14:textId="77777777" w:rsidTr="004A1008">
              <w:tc>
                <w:tcPr>
                  <w:tcW w:w="2562" w:type="dxa"/>
                </w:tcPr>
                <w:p w14:paraId="50AFCC53" w14:textId="77777777" w:rsidR="004A1008" w:rsidRPr="00AB00E9" w:rsidRDefault="004A1008" w:rsidP="004A1008">
                  <w:pPr>
                    <w:pStyle w:val="Equation"/>
                    <w:jc w:val="right"/>
                  </w:pPr>
                  <w:r w:rsidRPr="00AB00E9">
                    <w:t>2</w:t>
                  </w:r>
                </w:p>
              </w:tc>
              <w:tc>
                <w:tcPr>
                  <w:tcW w:w="3479" w:type="dxa"/>
                </w:tcPr>
                <w:p w14:paraId="033E6579" w14:textId="77777777" w:rsidR="004A1008" w:rsidRPr="00AB00E9" w:rsidRDefault="004A1008" w:rsidP="004A1008">
                  <w:pPr>
                    <w:pStyle w:val="Equation"/>
                  </w:pPr>
                  <w:r w:rsidRPr="00AB00E9">
                    <w:t>Spiral guided, below-ground</w:t>
                  </w:r>
                </w:p>
              </w:tc>
            </w:tr>
            <w:tr w:rsidR="004A1008" w14:paraId="451AFDEB" w14:textId="77777777" w:rsidTr="004A1008">
              <w:tc>
                <w:tcPr>
                  <w:tcW w:w="2562" w:type="dxa"/>
                </w:tcPr>
                <w:p w14:paraId="7DB44211" w14:textId="77777777" w:rsidR="004A1008" w:rsidRPr="00AB00E9" w:rsidRDefault="004A1008" w:rsidP="004A1008">
                  <w:pPr>
                    <w:pStyle w:val="Equation"/>
                    <w:jc w:val="right"/>
                  </w:pPr>
                  <w:r w:rsidRPr="00AB00E9">
                    <w:t>3</w:t>
                  </w:r>
                </w:p>
              </w:tc>
              <w:tc>
                <w:tcPr>
                  <w:tcW w:w="3479" w:type="dxa"/>
                </w:tcPr>
                <w:p w14:paraId="07578F24" w14:textId="77777777" w:rsidR="004A1008" w:rsidRPr="00AB00E9" w:rsidRDefault="004A1008" w:rsidP="004A1008">
                  <w:pPr>
                    <w:pStyle w:val="Equation"/>
                  </w:pPr>
                  <w:r w:rsidRPr="00AB00E9">
                    <w:t>Column guided, above-ground</w:t>
                  </w:r>
                </w:p>
              </w:tc>
            </w:tr>
            <w:tr w:rsidR="004A1008" w14:paraId="26846079" w14:textId="77777777" w:rsidTr="004A1008">
              <w:tc>
                <w:tcPr>
                  <w:tcW w:w="2562" w:type="dxa"/>
                </w:tcPr>
                <w:p w14:paraId="378BEFCC" w14:textId="77777777" w:rsidR="004A1008" w:rsidRPr="00AB00E9" w:rsidRDefault="004A1008" w:rsidP="004A1008">
                  <w:pPr>
                    <w:pStyle w:val="Equation"/>
                    <w:jc w:val="right"/>
                  </w:pPr>
                  <w:r w:rsidRPr="00AB00E9">
                    <w:t>4</w:t>
                  </w:r>
                </w:p>
              </w:tc>
              <w:tc>
                <w:tcPr>
                  <w:tcW w:w="3479" w:type="dxa"/>
                </w:tcPr>
                <w:p w14:paraId="0E7B2D45" w14:textId="77777777" w:rsidR="004A1008" w:rsidRPr="00AB00E9" w:rsidRDefault="004A1008" w:rsidP="004A1008">
                  <w:pPr>
                    <w:pStyle w:val="Equation"/>
                  </w:pPr>
                  <w:r w:rsidRPr="00AB00E9">
                    <w:t>Column guided, below-ground</w:t>
                  </w:r>
                </w:p>
              </w:tc>
            </w:tr>
            <w:tr w:rsidR="004A1008" w14:paraId="0CDFED01" w14:textId="77777777" w:rsidTr="004A1008">
              <w:tc>
                <w:tcPr>
                  <w:tcW w:w="2562" w:type="dxa"/>
                </w:tcPr>
                <w:p w14:paraId="3F75C278" w14:textId="77777777" w:rsidR="004A1008" w:rsidRPr="00AB00E9" w:rsidRDefault="004A1008" w:rsidP="004A1008">
                  <w:pPr>
                    <w:pStyle w:val="Equation"/>
                    <w:jc w:val="right"/>
                  </w:pPr>
                  <w:r w:rsidRPr="00AB00E9">
                    <w:t>5</w:t>
                  </w:r>
                </w:p>
              </w:tc>
              <w:tc>
                <w:tcPr>
                  <w:tcW w:w="3479" w:type="dxa"/>
                </w:tcPr>
                <w:p w14:paraId="23B25E7F" w14:textId="77777777" w:rsidR="004A1008" w:rsidRPr="00AB00E9" w:rsidRDefault="004A1008" w:rsidP="004A1008">
                  <w:pPr>
                    <w:pStyle w:val="Equation"/>
                  </w:pPr>
                  <w:r w:rsidRPr="00AB00E9">
                    <w:t>Maschinenfabrik Augsburg-Nürnberg</w:t>
                  </w:r>
                </w:p>
              </w:tc>
            </w:tr>
            <w:tr w:rsidR="004A1008" w14:paraId="4485EA7D" w14:textId="77777777" w:rsidTr="004A1008">
              <w:tc>
                <w:tcPr>
                  <w:tcW w:w="2562" w:type="dxa"/>
                </w:tcPr>
                <w:p w14:paraId="0594020E" w14:textId="77777777" w:rsidR="004A1008" w:rsidRPr="00AB00E9" w:rsidRDefault="004A1008" w:rsidP="004A1008">
                  <w:pPr>
                    <w:pStyle w:val="Equation"/>
                    <w:jc w:val="right"/>
                  </w:pPr>
                  <w:r w:rsidRPr="00AB00E9">
                    <w:t>6</w:t>
                  </w:r>
                </w:p>
              </w:tc>
              <w:tc>
                <w:tcPr>
                  <w:tcW w:w="3479" w:type="dxa"/>
                </w:tcPr>
                <w:p w14:paraId="1A1F7987" w14:textId="77777777" w:rsidR="004A1008" w:rsidRPr="00AB00E9" w:rsidRDefault="004A1008" w:rsidP="004A1008">
                  <w:pPr>
                    <w:pStyle w:val="Equation"/>
                  </w:pPr>
                  <w:r w:rsidRPr="00AB00E9">
                    <w:t>Wiggins</w:t>
                  </w:r>
                </w:p>
              </w:tc>
            </w:tr>
            <w:tr w:rsidR="004A1008" w14:paraId="3BE2B80E" w14:textId="77777777" w:rsidTr="004A1008">
              <w:tc>
                <w:tcPr>
                  <w:tcW w:w="2562" w:type="dxa"/>
                </w:tcPr>
                <w:p w14:paraId="60818AF6" w14:textId="77777777" w:rsidR="004A1008" w:rsidRPr="00AB00E9" w:rsidRDefault="004A1008" w:rsidP="004A1008">
                  <w:pPr>
                    <w:pStyle w:val="Equation"/>
                    <w:jc w:val="right"/>
                  </w:pPr>
                  <w:r w:rsidRPr="00AB00E9">
                    <w:t>7</w:t>
                  </w:r>
                </w:p>
              </w:tc>
              <w:tc>
                <w:tcPr>
                  <w:tcW w:w="3479" w:type="dxa"/>
                </w:tcPr>
                <w:p w14:paraId="64BCD921" w14:textId="77777777" w:rsidR="004A1008" w:rsidRPr="00AB00E9" w:rsidRDefault="004A1008" w:rsidP="004A1008">
                  <w:pPr>
                    <w:pStyle w:val="Equation"/>
                  </w:pPr>
                  <w:r w:rsidRPr="00AB00E9">
                    <w:t>Other</w:t>
                  </w:r>
                </w:p>
              </w:tc>
            </w:tr>
          </w:tbl>
          <w:p w14:paraId="03BBCE9A" w14:textId="77777777" w:rsidR="004A1008" w:rsidRPr="00AB00E9" w:rsidRDefault="004A1008" w:rsidP="004A1008">
            <w:pPr>
              <w:pStyle w:val="Equation"/>
            </w:pPr>
          </w:p>
        </w:tc>
      </w:tr>
    </w:tbl>
    <w:p w14:paraId="0C651E9A" w14:textId="77777777" w:rsidR="004A1008" w:rsidRDefault="004A1008" w:rsidP="004A1008"/>
    <w:p w14:paraId="1E53B42B" w14:textId="77777777" w:rsidR="004A1008" w:rsidRPr="00AB00E9" w:rsidRDefault="004A1008" w:rsidP="004A1008">
      <w:pPr>
        <w:pStyle w:val="AppendixHeading"/>
      </w:pPr>
      <w:r w:rsidRPr="00AB00E9">
        <w:t xml:space="preserve"> </w:t>
      </w:r>
    </w:p>
    <w:p w14:paraId="0C338E45" w14:textId="77777777" w:rsidR="004A1008" w:rsidRPr="00AB00E9" w:rsidRDefault="004A1008" w:rsidP="004A1008">
      <w:pPr>
        <w:pStyle w:val="Caption"/>
      </w:pPr>
      <w:r w:rsidRPr="00AB00E9">
        <w:t xml:space="preserve">Gas Holder Demolitions Allowance (£m per Gas Holder, at 20xx/yy price levels) </w:t>
      </w:r>
    </w:p>
    <w:tbl>
      <w:tblPr>
        <w:tblStyle w:val="AppendixTable"/>
        <w:tblW w:w="0" w:type="auto"/>
        <w:tblLayout w:type="fixed"/>
        <w:tblLook w:val="04A0" w:firstRow="1" w:lastRow="0" w:firstColumn="1" w:lastColumn="0" w:noHBand="0" w:noVBand="1"/>
      </w:tblPr>
      <w:tblGrid>
        <w:gridCol w:w="2235"/>
        <w:gridCol w:w="1134"/>
        <w:gridCol w:w="1134"/>
        <w:gridCol w:w="1134"/>
        <w:gridCol w:w="1134"/>
        <w:gridCol w:w="1275"/>
      </w:tblGrid>
      <w:tr w:rsidR="004A1008" w:rsidRPr="00DE541A" w14:paraId="0D7F0F5B" w14:textId="77777777" w:rsidTr="004A1008">
        <w:trPr>
          <w:cnfStyle w:val="100000000000" w:firstRow="1" w:lastRow="0" w:firstColumn="0" w:lastColumn="0" w:oddVBand="0" w:evenVBand="0" w:oddHBand="0" w:evenHBand="0" w:firstRowFirstColumn="0" w:firstRowLastColumn="0" w:lastRowFirstColumn="0" w:lastRowLastColumn="0"/>
          <w:trHeight w:val="305"/>
        </w:trPr>
        <w:tc>
          <w:tcPr>
            <w:tcW w:w="2235" w:type="dxa"/>
          </w:tcPr>
          <w:p w14:paraId="30E5ACD5" w14:textId="77777777" w:rsidR="004A1008" w:rsidRPr="00AB00E9" w:rsidRDefault="004A1008" w:rsidP="004A1008"/>
        </w:tc>
        <w:tc>
          <w:tcPr>
            <w:tcW w:w="1134" w:type="dxa"/>
          </w:tcPr>
          <w:p w14:paraId="762430F5" w14:textId="77777777" w:rsidR="004A1008" w:rsidRPr="00AB00E9" w:rsidRDefault="004A1008" w:rsidP="004A1008">
            <w:r w:rsidRPr="00AB00E9">
              <w:t>2021/22</w:t>
            </w:r>
          </w:p>
        </w:tc>
        <w:tc>
          <w:tcPr>
            <w:tcW w:w="1134" w:type="dxa"/>
          </w:tcPr>
          <w:p w14:paraId="65770F14" w14:textId="77777777" w:rsidR="004A1008" w:rsidRPr="00AB00E9" w:rsidRDefault="004A1008" w:rsidP="004A1008">
            <w:r w:rsidRPr="00AB00E9">
              <w:t>2022/23</w:t>
            </w:r>
          </w:p>
        </w:tc>
        <w:tc>
          <w:tcPr>
            <w:tcW w:w="1134" w:type="dxa"/>
          </w:tcPr>
          <w:p w14:paraId="238A57A5" w14:textId="77777777" w:rsidR="004A1008" w:rsidRPr="00AB00E9" w:rsidRDefault="004A1008" w:rsidP="004A1008">
            <w:r w:rsidRPr="00AB00E9">
              <w:t>2023/24</w:t>
            </w:r>
          </w:p>
        </w:tc>
        <w:tc>
          <w:tcPr>
            <w:tcW w:w="1134" w:type="dxa"/>
          </w:tcPr>
          <w:p w14:paraId="0D512591" w14:textId="77777777" w:rsidR="004A1008" w:rsidRPr="00AB00E9" w:rsidRDefault="004A1008" w:rsidP="004A1008">
            <w:r w:rsidRPr="00AB00E9">
              <w:t>2024/25</w:t>
            </w:r>
          </w:p>
        </w:tc>
        <w:tc>
          <w:tcPr>
            <w:tcW w:w="1275" w:type="dxa"/>
          </w:tcPr>
          <w:p w14:paraId="7D1AF03B" w14:textId="77777777" w:rsidR="004A1008" w:rsidRPr="00AB00E9" w:rsidRDefault="004A1008" w:rsidP="004A1008">
            <w:r w:rsidRPr="00AB00E9">
              <w:t>2026/27</w:t>
            </w:r>
          </w:p>
        </w:tc>
      </w:tr>
      <w:tr w:rsidR="004A1008" w:rsidRPr="00D5104D" w14:paraId="3041F6A5" w14:textId="77777777" w:rsidTr="004A1008">
        <w:trPr>
          <w:trHeight w:val="321"/>
        </w:trPr>
        <w:tc>
          <w:tcPr>
            <w:tcW w:w="2235" w:type="dxa"/>
          </w:tcPr>
          <w:p w14:paraId="5E7CDCB7" w14:textId="77777777" w:rsidR="004A1008" w:rsidRPr="00AB00E9" w:rsidRDefault="004A1008" w:rsidP="004A1008">
            <w:r w:rsidRPr="00AB00E9">
              <w:t>EOE</w:t>
            </w:r>
          </w:p>
        </w:tc>
        <w:tc>
          <w:tcPr>
            <w:tcW w:w="1134" w:type="dxa"/>
          </w:tcPr>
          <w:p w14:paraId="772C3D55" w14:textId="77777777" w:rsidR="004A1008" w:rsidRPr="00AB00E9" w:rsidRDefault="004A1008" w:rsidP="004A1008">
            <w:r w:rsidRPr="00AB00E9">
              <w:t>X</w:t>
            </w:r>
          </w:p>
        </w:tc>
        <w:tc>
          <w:tcPr>
            <w:tcW w:w="1134" w:type="dxa"/>
          </w:tcPr>
          <w:p w14:paraId="7739D272" w14:textId="77777777" w:rsidR="004A1008" w:rsidRPr="00AB00E9" w:rsidRDefault="004A1008" w:rsidP="004A1008">
            <w:r w:rsidRPr="00AB00E9">
              <w:t>X</w:t>
            </w:r>
          </w:p>
        </w:tc>
        <w:tc>
          <w:tcPr>
            <w:tcW w:w="1134" w:type="dxa"/>
          </w:tcPr>
          <w:p w14:paraId="004B6743" w14:textId="77777777" w:rsidR="004A1008" w:rsidRPr="00AB00E9" w:rsidRDefault="004A1008" w:rsidP="004A1008">
            <w:r w:rsidRPr="00AB00E9">
              <w:t>X</w:t>
            </w:r>
          </w:p>
        </w:tc>
        <w:tc>
          <w:tcPr>
            <w:tcW w:w="1134" w:type="dxa"/>
          </w:tcPr>
          <w:p w14:paraId="67C534F4" w14:textId="77777777" w:rsidR="004A1008" w:rsidRPr="00AB00E9" w:rsidRDefault="004A1008" w:rsidP="004A1008">
            <w:r w:rsidRPr="00AB00E9">
              <w:t>X</w:t>
            </w:r>
          </w:p>
        </w:tc>
        <w:tc>
          <w:tcPr>
            <w:tcW w:w="1275" w:type="dxa"/>
          </w:tcPr>
          <w:p w14:paraId="138D56A7" w14:textId="77777777" w:rsidR="004A1008" w:rsidRPr="00AB00E9" w:rsidRDefault="004A1008" w:rsidP="004A1008">
            <w:r w:rsidRPr="00AB00E9">
              <w:t>X</w:t>
            </w:r>
          </w:p>
        </w:tc>
      </w:tr>
      <w:tr w:rsidR="004A1008" w:rsidRPr="00D5104D" w14:paraId="53D44859" w14:textId="77777777" w:rsidTr="004A1008">
        <w:trPr>
          <w:trHeight w:val="321"/>
        </w:trPr>
        <w:tc>
          <w:tcPr>
            <w:tcW w:w="2235" w:type="dxa"/>
          </w:tcPr>
          <w:p w14:paraId="6D9FF7B3" w14:textId="77777777" w:rsidR="004A1008" w:rsidRPr="00AB00E9" w:rsidRDefault="004A1008" w:rsidP="004A1008">
            <w:r w:rsidRPr="00AB00E9">
              <w:t>Lon</w:t>
            </w:r>
          </w:p>
        </w:tc>
        <w:tc>
          <w:tcPr>
            <w:tcW w:w="1134" w:type="dxa"/>
          </w:tcPr>
          <w:p w14:paraId="2CEE6D1D" w14:textId="77777777" w:rsidR="004A1008" w:rsidRPr="00AB00E9" w:rsidRDefault="004A1008" w:rsidP="004A1008">
            <w:r w:rsidRPr="00AB00E9">
              <w:t>X</w:t>
            </w:r>
          </w:p>
        </w:tc>
        <w:tc>
          <w:tcPr>
            <w:tcW w:w="1134" w:type="dxa"/>
          </w:tcPr>
          <w:p w14:paraId="51DCB857" w14:textId="77777777" w:rsidR="004A1008" w:rsidRPr="00AB00E9" w:rsidRDefault="004A1008" w:rsidP="004A1008">
            <w:r w:rsidRPr="00AB00E9">
              <w:t>X</w:t>
            </w:r>
          </w:p>
        </w:tc>
        <w:tc>
          <w:tcPr>
            <w:tcW w:w="1134" w:type="dxa"/>
          </w:tcPr>
          <w:p w14:paraId="1B98D466" w14:textId="77777777" w:rsidR="004A1008" w:rsidRPr="00AB00E9" w:rsidRDefault="004A1008" w:rsidP="004A1008">
            <w:r w:rsidRPr="00AB00E9">
              <w:t>X</w:t>
            </w:r>
          </w:p>
        </w:tc>
        <w:tc>
          <w:tcPr>
            <w:tcW w:w="1134" w:type="dxa"/>
          </w:tcPr>
          <w:p w14:paraId="51190B05" w14:textId="77777777" w:rsidR="004A1008" w:rsidRPr="00AB00E9" w:rsidRDefault="004A1008" w:rsidP="004A1008">
            <w:r w:rsidRPr="00AB00E9">
              <w:t>X</w:t>
            </w:r>
          </w:p>
        </w:tc>
        <w:tc>
          <w:tcPr>
            <w:tcW w:w="1275" w:type="dxa"/>
          </w:tcPr>
          <w:p w14:paraId="48C8A0F9" w14:textId="77777777" w:rsidR="004A1008" w:rsidRPr="00AB00E9" w:rsidRDefault="004A1008" w:rsidP="004A1008">
            <w:r w:rsidRPr="00AB00E9">
              <w:t>X</w:t>
            </w:r>
          </w:p>
        </w:tc>
      </w:tr>
      <w:tr w:rsidR="004A1008" w:rsidRPr="00D5104D" w14:paraId="6FB029A3" w14:textId="77777777" w:rsidTr="004A1008">
        <w:trPr>
          <w:trHeight w:val="315"/>
        </w:trPr>
        <w:tc>
          <w:tcPr>
            <w:tcW w:w="2235" w:type="dxa"/>
          </w:tcPr>
          <w:p w14:paraId="11E85AA6" w14:textId="77777777" w:rsidR="004A1008" w:rsidRPr="00AB00E9" w:rsidRDefault="004A1008" w:rsidP="004A1008">
            <w:r w:rsidRPr="00AB00E9">
              <w:t>NW</w:t>
            </w:r>
          </w:p>
        </w:tc>
        <w:tc>
          <w:tcPr>
            <w:tcW w:w="1134" w:type="dxa"/>
          </w:tcPr>
          <w:p w14:paraId="19EA3D64" w14:textId="77777777" w:rsidR="004A1008" w:rsidRPr="00AB00E9" w:rsidRDefault="004A1008" w:rsidP="004A1008">
            <w:r w:rsidRPr="00AB00E9">
              <w:t>X</w:t>
            </w:r>
          </w:p>
        </w:tc>
        <w:tc>
          <w:tcPr>
            <w:tcW w:w="1134" w:type="dxa"/>
          </w:tcPr>
          <w:p w14:paraId="4A41E9D0" w14:textId="77777777" w:rsidR="004A1008" w:rsidRPr="00AB00E9" w:rsidRDefault="004A1008" w:rsidP="004A1008">
            <w:r w:rsidRPr="00AB00E9">
              <w:t>X</w:t>
            </w:r>
          </w:p>
        </w:tc>
        <w:tc>
          <w:tcPr>
            <w:tcW w:w="1134" w:type="dxa"/>
          </w:tcPr>
          <w:p w14:paraId="5DB3AB26" w14:textId="77777777" w:rsidR="004A1008" w:rsidRPr="00AB00E9" w:rsidRDefault="004A1008" w:rsidP="004A1008">
            <w:r w:rsidRPr="00AB00E9">
              <w:t>X</w:t>
            </w:r>
          </w:p>
        </w:tc>
        <w:tc>
          <w:tcPr>
            <w:tcW w:w="1134" w:type="dxa"/>
          </w:tcPr>
          <w:p w14:paraId="50B9C1CC" w14:textId="77777777" w:rsidR="004A1008" w:rsidRPr="00AB00E9" w:rsidRDefault="004A1008" w:rsidP="004A1008">
            <w:r w:rsidRPr="00AB00E9">
              <w:t>X</w:t>
            </w:r>
          </w:p>
        </w:tc>
        <w:tc>
          <w:tcPr>
            <w:tcW w:w="1275" w:type="dxa"/>
          </w:tcPr>
          <w:p w14:paraId="014C85A8" w14:textId="77777777" w:rsidR="004A1008" w:rsidRPr="00AB00E9" w:rsidRDefault="004A1008" w:rsidP="004A1008">
            <w:r w:rsidRPr="00AB00E9">
              <w:t>X</w:t>
            </w:r>
          </w:p>
        </w:tc>
      </w:tr>
      <w:tr w:rsidR="004A1008" w:rsidRPr="00B43143" w14:paraId="0227F0A5" w14:textId="77777777" w:rsidTr="004A1008">
        <w:trPr>
          <w:trHeight w:val="349"/>
        </w:trPr>
        <w:tc>
          <w:tcPr>
            <w:tcW w:w="2235" w:type="dxa"/>
          </w:tcPr>
          <w:p w14:paraId="543A477A" w14:textId="77777777" w:rsidR="004A1008" w:rsidRPr="00AB00E9" w:rsidRDefault="004A1008" w:rsidP="004A1008">
            <w:r w:rsidRPr="00AB00E9">
              <w:t>WM</w:t>
            </w:r>
          </w:p>
        </w:tc>
        <w:tc>
          <w:tcPr>
            <w:tcW w:w="1134" w:type="dxa"/>
          </w:tcPr>
          <w:p w14:paraId="5AD50309" w14:textId="77777777" w:rsidR="004A1008" w:rsidRPr="00AB00E9" w:rsidRDefault="004A1008" w:rsidP="004A1008">
            <w:r w:rsidRPr="00AB00E9">
              <w:t>X</w:t>
            </w:r>
          </w:p>
        </w:tc>
        <w:tc>
          <w:tcPr>
            <w:tcW w:w="1134" w:type="dxa"/>
          </w:tcPr>
          <w:p w14:paraId="38E269CE" w14:textId="77777777" w:rsidR="004A1008" w:rsidRPr="00AB00E9" w:rsidRDefault="004A1008" w:rsidP="004A1008">
            <w:r w:rsidRPr="00AB00E9">
              <w:t>X</w:t>
            </w:r>
          </w:p>
        </w:tc>
        <w:tc>
          <w:tcPr>
            <w:tcW w:w="1134" w:type="dxa"/>
          </w:tcPr>
          <w:p w14:paraId="6101CF23" w14:textId="77777777" w:rsidR="004A1008" w:rsidRPr="00AB00E9" w:rsidRDefault="004A1008" w:rsidP="004A1008">
            <w:r w:rsidRPr="00AB00E9">
              <w:t>X</w:t>
            </w:r>
          </w:p>
        </w:tc>
        <w:tc>
          <w:tcPr>
            <w:tcW w:w="1134" w:type="dxa"/>
          </w:tcPr>
          <w:p w14:paraId="1D74609C" w14:textId="77777777" w:rsidR="004A1008" w:rsidRPr="00AB00E9" w:rsidRDefault="004A1008" w:rsidP="004A1008">
            <w:r w:rsidRPr="00AB00E9">
              <w:t>X</w:t>
            </w:r>
          </w:p>
        </w:tc>
        <w:tc>
          <w:tcPr>
            <w:tcW w:w="1275" w:type="dxa"/>
          </w:tcPr>
          <w:p w14:paraId="14AB13EC" w14:textId="77777777" w:rsidR="004A1008" w:rsidRPr="00AB00E9" w:rsidRDefault="004A1008" w:rsidP="004A1008">
            <w:r w:rsidRPr="00AB00E9">
              <w:t>X</w:t>
            </w:r>
          </w:p>
        </w:tc>
      </w:tr>
      <w:tr w:rsidR="004A1008" w:rsidRPr="00B43143" w14:paraId="738340E2" w14:textId="77777777" w:rsidTr="004A1008">
        <w:trPr>
          <w:trHeight w:val="228"/>
        </w:trPr>
        <w:tc>
          <w:tcPr>
            <w:tcW w:w="2235" w:type="dxa"/>
          </w:tcPr>
          <w:p w14:paraId="5147AE5A" w14:textId="77777777" w:rsidR="004A1008" w:rsidRPr="00AB00E9" w:rsidRDefault="004A1008" w:rsidP="004A1008">
            <w:r w:rsidRPr="00AB00E9">
              <w:t>Northern Gas Networks Ltd</w:t>
            </w:r>
          </w:p>
        </w:tc>
        <w:tc>
          <w:tcPr>
            <w:tcW w:w="1134" w:type="dxa"/>
          </w:tcPr>
          <w:p w14:paraId="45F88651" w14:textId="77777777" w:rsidR="004A1008" w:rsidRPr="00AB00E9" w:rsidRDefault="004A1008" w:rsidP="004A1008">
            <w:r w:rsidRPr="00AB00E9">
              <w:t>X</w:t>
            </w:r>
          </w:p>
        </w:tc>
        <w:tc>
          <w:tcPr>
            <w:tcW w:w="1134" w:type="dxa"/>
          </w:tcPr>
          <w:p w14:paraId="6A45B72D" w14:textId="77777777" w:rsidR="004A1008" w:rsidRPr="00AB00E9" w:rsidRDefault="004A1008" w:rsidP="004A1008">
            <w:r w:rsidRPr="00AB00E9">
              <w:t>X</w:t>
            </w:r>
          </w:p>
        </w:tc>
        <w:tc>
          <w:tcPr>
            <w:tcW w:w="1134" w:type="dxa"/>
          </w:tcPr>
          <w:p w14:paraId="0F912CD1" w14:textId="77777777" w:rsidR="004A1008" w:rsidRPr="00AB00E9" w:rsidRDefault="004A1008" w:rsidP="004A1008">
            <w:r w:rsidRPr="00AB00E9">
              <w:t>X</w:t>
            </w:r>
          </w:p>
        </w:tc>
        <w:tc>
          <w:tcPr>
            <w:tcW w:w="1134" w:type="dxa"/>
          </w:tcPr>
          <w:p w14:paraId="4F70FDE1" w14:textId="77777777" w:rsidR="004A1008" w:rsidRPr="00AB00E9" w:rsidRDefault="004A1008" w:rsidP="004A1008">
            <w:r w:rsidRPr="00AB00E9">
              <w:t>X</w:t>
            </w:r>
          </w:p>
        </w:tc>
        <w:tc>
          <w:tcPr>
            <w:tcW w:w="1275" w:type="dxa"/>
          </w:tcPr>
          <w:p w14:paraId="3CC8842B" w14:textId="77777777" w:rsidR="004A1008" w:rsidRPr="00AB00E9" w:rsidRDefault="004A1008" w:rsidP="004A1008">
            <w:r w:rsidRPr="00AB00E9">
              <w:t>X</w:t>
            </w:r>
          </w:p>
        </w:tc>
      </w:tr>
      <w:tr w:rsidR="004A1008" w:rsidRPr="00B43143" w14:paraId="4FD9E488" w14:textId="77777777" w:rsidTr="004A1008">
        <w:trPr>
          <w:trHeight w:val="233"/>
        </w:trPr>
        <w:tc>
          <w:tcPr>
            <w:tcW w:w="2235" w:type="dxa"/>
          </w:tcPr>
          <w:p w14:paraId="0D5D0116" w14:textId="77777777" w:rsidR="004A1008" w:rsidRPr="00AB00E9" w:rsidRDefault="004A1008" w:rsidP="004A1008">
            <w:r w:rsidRPr="00AB00E9">
              <w:t>Scotland Gas Networks plc</w:t>
            </w:r>
          </w:p>
        </w:tc>
        <w:tc>
          <w:tcPr>
            <w:tcW w:w="1134" w:type="dxa"/>
          </w:tcPr>
          <w:p w14:paraId="43FF5A85" w14:textId="77777777" w:rsidR="004A1008" w:rsidRPr="00AB00E9" w:rsidRDefault="004A1008" w:rsidP="004A1008">
            <w:r w:rsidRPr="00AB00E9">
              <w:t>X</w:t>
            </w:r>
          </w:p>
        </w:tc>
        <w:tc>
          <w:tcPr>
            <w:tcW w:w="1134" w:type="dxa"/>
          </w:tcPr>
          <w:p w14:paraId="36407CA1" w14:textId="77777777" w:rsidR="004A1008" w:rsidRPr="00AB00E9" w:rsidRDefault="004A1008" w:rsidP="004A1008">
            <w:r w:rsidRPr="00AB00E9">
              <w:t>X</w:t>
            </w:r>
          </w:p>
        </w:tc>
        <w:tc>
          <w:tcPr>
            <w:tcW w:w="1134" w:type="dxa"/>
          </w:tcPr>
          <w:p w14:paraId="62F9FDEF" w14:textId="77777777" w:rsidR="004A1008" w:rsidRPr="00AB00E9" w:rsidRDefault="004A1008" w:rsidP="004A1008">
            <w:r w:rsidRPr="00AB00E9">
              <w:t>X</w:t>
            </w:r>
          </w:p>
        </w:tc>
        <w:tc>
          <w:tcPr>
            <w:tcW w:w="1134" w:type="dxa"/>
          </w:tcPr>
          <w:p w14:paraId="2B8FA4AC" w14:textId="77777777" w:rsidR="004A1008" w:rsidRPr="00AB00E9" w:rsidRDefault="004A1008" w:rsidP="004A1008">
            <w:r w:rsidRPr="00AB00E9">
              <w:t>X</w:t>
            </w:r>
          </w:p>
        </w:tc>
        <w:tc>
          <w:tcPr>
            <w:tcW w:w="1275" w:type="dxa"/>
          </w:tcPr>
          <w:p w14:paraId="40AD3513" w14:textId="77777777" w:rsidR="004A1008" w:rsidRPr="00AB00E9" w:rsidRDefault="004A1008" w:rsidP="004A1008">
            <w:r w:rsidRPr="00AB00E9">
              <w:t>X</w:t>
            </w:r>
          </w:p>
        </w:tc>
      </w:tr>
      <w:tr w:rsidR="004A1008" w:rsidRPr="00B43143" w14:paraId="7DDC5D56" w14:textId="77777777" w:rsidTr="004A1008">
        <w:trPr>
          <w:trHeight w:val="395"/>
        </w:trPr>
        <w:tc>
          <w:tcPr>
            <w:tcW w:w="2235" w:type="dxa"/>
          </w:tcPr>
          <w:p w14:paraId="75210BF2" w14:textId="77777777" w:rsidR="004A1008" w:rsidRPr="00AB00E9" w:rsidRDefault="004A1008" w:rsidP="004A1008">
            <w:r w:rsidRPr="00AB00E9">
              <w:t>Southern Gas Networks plc</w:t>
            </w:r>
          </w:p>
        </w:tc>
        <w:tc>
          <w:tcPr>
            <w:tcW w:w="1134" w:type="dxa"/>
          </w:tcPr>
          <w:p w14:paraId="0FD43B41" w14:textId="77777777" w:rsidR="004A1008" w:rsidRPr="00AB00E9" w:rsidRDefault="004A1008" w:rsidP="004A1008">
            <w:r w:rsidRPr="00AB00E9">
              <w:t>X</w:t>
            </w:r>
          </w:p>
        </w:tc>
        <w:tc>
          <w:tcPr>
            <w:tcW w:w="1134" w:type="dxa"/>
          </w:tcPr>
          <w:p w14:paraId="5BF1D54C" w14:textId="77777777" w:rsidR="004A1008" w:rsidRPr="00AB00E9" w:rsidRDefault="004A1008" w:rsidP="004A1008">
            <w:r w:rsidRPr="00AB00E9">
              <w:t>X</w:t>
            </w:r>
          </w:p>
        </w:tc>
        <w:tc>
          <w:tcPr>
            <w:tcW w:w="1134" w:type="dxa"/>
          </w:tcPr>
          <w:p w14:paraId="6790B6A6" w14:textId="77777777" w:rsidR="004A1008" w:rsidRPr="00AB00E9" w:rsidRDefault="004A1008" w:rsidP="004A1008">
            <w:r w:rsidRPr="00AB00E9">
              <w:t>X</w:t>
            </w:r>
          </w:p>
        </w:tc>
        <w:tc>
          <w:tcPr>
            <w:tcW w:w="1134" w:type="dxa"/>
          </w:tcPr>
          <w:p w14:paraId="35BBE9AE" w14:textId="77777777" w:rsidR="004A1008" w:rsidRPr="00AB00E9" w:rsidRDefault="004A1008" w:rsidP="004A1008">
            <w:r w:rsidRPr="00AB00E9">
              <w:t>X</w:t>
            </w:r>
          </w:p>
        </w:tc>
        <w:tc>
          <w:tcPr>
            <w:tcW w:w="1275" w:type="dxa"/>
          </w:tcPr>
          <w:p w14:paraId="050076DB" w14:textId="77777777" w:rsidR="004A1008" w:rsidRPr="00AB00E9" w:rsidRDefault="004A1008" w:rsidP="004A1008">
            <w:r w:rsidRPr="00AB00E9">
              <w:t>X</w:t>
            </w:r>
          </w:p>
        </w:tc>
      </w:tr>
      <w:tr w:rsidR="004A1008" w:rsidRPr="00B43143" w14:paraId="6D3943CC" w14:textId="77777777" w:rsidTr="004A1008">
        <w:trPr>
          <w:trHeight w:val="273"/>
        </w:trPr>
        <w:tc>
          <w:tcPr>
            <w:tcW w:w="2235" w:type="dxa"/>
          </w:tcPr>
          <w:p w14:paraId="09F5ABC6" w14:textId="77777777" w:rsidR="004A1008" w:rsidRPr="00AB00E9" w:rsidRDefault="004A1008" w:rsidP="004A1008">
            <w:r w:rsidRPr="00AB00E9">
              <w:t>Wales &amp; West Utilities Ltd</w:t>
            </w:r>
          </w:p>
        </w:tc>
        <w:tc>
          <w:tcPr>
            <w:tcW w:w="1134" w:type="dxa"/>
          </w:tcPr>
          <w:p w14:paraId="30CB8467" w14:textId="77777777" w:rsidR="004A1008" w:rsidRPr="00AB00E9" w:rsidRDefault="004A1008" w:rsidP="004A1008">
            <w:r w:rsidRPr="00AB00E9">
              <w:t>X</w:t>
            </w:r>
          </w:p>
        </w:tc>
        <w:tc>
          <w:tcPr>
            <w:tcW w:w="1134" w:type="dxa"/>
          </w:tcPr>
          <w:p w14:paraId="0AA3231C" w14:textId="77777777" w:rsidR="004A1008" w:rsidRPr="00AB00E9" w:rsidRDefault="004A1008" w:rsidP="004A1008">
            <w:r w:rsidRPr="00AB00E9">
              <w:t>X</w:t>
            </w:r>
          </w:p>
        </w:tc>
        <w:tc>
          <w:tcPr>
            <w:tcW w:w="1134" w:type="dxa"/>
          </w:tcPr>
          <w:p w14:paraId="2F86ABC9" w14:textId="77777777" w:rsidR="004A1008" w:rsidRPr="00AB00E9" w:rsidRDefault="004A1008" w:rsidP="004A1008">
            <w:r w:rsidRPr="00AB00E9">
              <w:t>X</w:t>
            </w:r>
          </w:p>
        </w:tc>
        <w:tc>
          <w:tcPr>
            <w:tcW w:w="1134" w:type="dxa"/>
          </w:tcPr>
          <w:p w14:paraId="5C7903DA" w14:textId="77777777" w:rsidR="004A1008" w:rsidRPr="00AB00E9" w:rsidRDefault="004A1008" w:rsidP="004A1008">
            <w:r w:rsidRPr="00AB00E9">
              <w:t>X</w:t>
            </w:r>
          </w:p>
        </w:tc>
        <w:tc>
          <w:tcPr>
            <w:tcW w:w="1275" w:type="dxa"/>
          </w:tcPr>
          <w:p w14:paraId="2995A720" w14:textId="77777777" w:rsidR="004A1008" w:rsidRPr="00AB00E9" w:rsidRDefault="004A1008" w:rsidP="004A1008">
            <w:r w:rsidRPr="00AB00E9">
              <w:t>X</w:t>
            </w:r>
          </w:p>
        </w:tc>
      </w:tr>
    </w:tbl>
    <w:p w14:paraId="48EAECC2" w14:textId="77777777" w:rsidR="004A1008" w:rsidRPr="00761A2F" w:rsidRDefault="004A1008" w:rsidP="004A1008">
      <w:pPr>
        <w:pStyle w:val="AppendixHeading"/>
      </w:pPr>
    </w:p>
    <w:p w14:paraId="7789ADDB" w14:textId="77777777" w:rsidR="004A1008" w:rsidRPr="00761A2F" w:rsidRDefault="004A1008" w:rsidP="004A1008">
      <w:pPr>
        <w:rPr>
          <w:b/>
          <w:bCs/>
        </w:rPr>
      </w:pPr>
      <w:r w:rsidRPr="00761A2F">
        <w:rPr>
          <w:b/>
          <w:bCs/>
        </w:rPr>
        <w:t xml:space="preserve">Gas Holder Demolitions Unit Cost (£m per Gas Holder, at 200xx/yy price levels)  </w:t>
      </w:r>
    </w:p>
    <w:tbl>
      <w:tblPr>
        <w:tblStyle w:val="AppendixTable"/>
        <w:tblW w:w="4942" w:type="dxa"/>
        <w:tblLayout w:type="fixed"/>
        <w:tblLook w:val="04A0" w:firstRow="1" w:lastRow="0" w:firstColumn="1" w:lastColumn="0" w:noHBand="0" w:noVBand="1"/>
      </w:tblPr>
      <w:tblGrid>
        <w:gridCol w:w="2707"/>
        <w:gridCol w:w="2235"/>
      </w:tblGrid>
      <w:tr w:rsidR="004A1008" w:rsidRPr="00DE541A" w14:paraId="322EFC43" w14:textId="77777777" w:rsidTr="004A1008">
        <w:trPr>
          <w:cnfStyle w:val="100000000000" w:firstRow="1" w:lastRow="0" w:firstColumn="0" w:lastColumn="0" w:oddVBand="0" w:evenVBand="0" w:oddHBand="0" w:evenHBand="0" w:firstRowFirstColumn="0" w:firstRowLastColumn="0" w:lastRowFirstColumn="0" w:lastRowLastColumn="0"/>
          <w:trHeight w:val="305"/>
        </w:trPr>
        <w:tc>
          <w:tcPr>
            <w:tcW w:w="2707" w:type="dxa"/>
          </w:tcPr>
          <w:p w14:paraId="77DFB386" w14:textId="77777777" w:rsidR="004A1008" w:rsidRPr="00AB00E9" w:rsidRDefault="004A1008" w:rsidP="004A1008">
            <w:r w:rsidRPr="00AB00E9">
              <w:t>Gas Holder category, n</w:t>
            </w:r>
          </w:p>
        </w:tc>
        <w:tc>
          <w:tcPr>
            <w:tcW w:w="2235" w:type="dxa"/>
          </w:tcPr>
          <w:p w14:paraId="5BF71D61" w14:textId="77777777" w:rsidR="004A1008" w:rsidRPr="00AB00E9" w:rsidRDefault="004A1008" w:rsidP="004A1008">
            <w:r w:rsidRPr="00AB00E9">
              <w:t xml:space="preserve">£m per Gas Holder </w:t>
            </w:r>
          </w:p>
        </w:tc>
      </w:tr>
      <w:tr w:rsidR="004A1008" w:rsidRPr="00D5104D" w14:paraId="466723CA" w14:textId="77777777" w:rsidTr="004A1008">
        <w:trPr>
          <w:trHeight w:val="321"/>
        </w:trPr>
        <w:tc>
          <w:tcPr>
            <w:tcW w:w="2707" w:type="dxa"/>
          </w:tcPr>
          <w:p w14:paraId="4F907101" w14:textId="77777777" w:rsidR="004A1008" w:rsidRPr="00AB00E9" w:rsidRDefault="004A1008" w:rsidP="004A1008">
            <w:r w:rsidRPr="00AB00E9">
              <w:t>1</w:t>
            </w:r>
          </w:p>
        </w:tc>
        <w:tc>
          <w:tcPr>
            <w:tcW w:w="2235" w:type="dxa"/>
          </w:tcPr>
          <w:p w14:paraId="734C04F5" w14:textId="77777777" w:rsidR="004A1008" w:rsidRPr="00AB00E9" w:rsidRDefault="004A1008" w:rsidP="004A1008">
            <w:r w:rsidRPr="00AB00E9">
              <w:t>XX</w:t>
            </w:r>
          </w:p>
        </w:tc>
      </w:tr>
      <w:tr w:rsidR="004A1008" w:rsidRPr="00D5104D" w14:paraId="221E77B7" w14:textId="77777777" w:rsidTr="004A1008">
        <w:trPr>
          <w:trHeight w:val="321"/>
        </w:trPr>
        <w:tc>
          <w:tcPr>
            <w:tcW w:w="2707" w:type="dxa"/>
          </w:tcPr>
          <w:p w14:paraId="7DD4CEBA" w14:textId="77777777" w:rsidR="004A1008" w:rsidRPr="00AB00E9" w:rsidRDefault="004A1008" w:rsidP="004A1008">
            <w:r w:rsidRPr="00AB00E9">
              <w:t>2</w:t>
            </w:r>
          </w:p>
        </w:tc>
        <w:tc>
          <w:tcPr>
            <w:tcW w:w="2235" w:type="dxa"/>
          </w:tcPr>
          <w:p w14:paraId="680BA74F" w14:textId="77777777" w:rsidR="004A1008" w:rsidRPr="00AB00E9" w:rsidRDefault="004A1008" w:rsidP="004A1008">
            <w:r w:rsidRPr="00AB00E9">
              <w:t>XX</w:t>
            </w:r>
          </w:p>
        </w:tc>
      </w:tr>
      <w:tr w:rsidR="004A1008" w:rsidRPr="00D5104D" w14:paraId="7B1CA188" w14:textId="77777777" w:rsidTr="004A1008">
        <w:trPr>
          <w:trHeight w:val="315"/>
        </w:trPr>
        <w:tc>
          <w:tcPr>
            <w:tcW w:w="2707" w:type="dxa"/>
          </w:tcPr>
          <w:p w14:paraId="05E35E2F" w14:textId="77777777" w:rsidR="004A1008" w:rsidRPr="00AB00E9" w:rsidRDefault="004A1008" w:rsidP="004A1008">
            <w:r w:rsidRPr="00AB00E9">
              <w:lastRenderedPageBreak/>
              <w:t>3</w:t>
            </w:r>
          </w:p>
        </w:tc>
        <w:tc>
          <w:tcPr>
            <w:tcW w:w="2235" w:type="dxa"/>
          </w:tcPr>
          <w:p w14:paraId="7EA0D51C" w14:textId="77777777" w:rsidR="004A1008" w:rsidRPr="00AB00E9" w:rsidRDefault="004A1008" w:rsidP="004A1008">
            <w:r w:rsidRPr="00AB00E9">
              <w:t>XX</w:t>
            </w:r>
          </w:p>
        </w:tc>
      </w:tr>
      <w:tr w:rsidR="004A1008" w:rsidRPr="00B43143" w14:paraId="785932AA" w14:textId="77777777" w:rsidTr="004A1008">
        <w:trPr>
          <w:trHeight w:val="349"/>
        </w:trPr>
        <w:tc>
          <w:tcPr>
            <w:tcW w:w="2707" w:type="dxa"/>
          </w:tcPr>
          <w:p w14:paraId="146DE31B" w14:textId="77777777" w:rsidR="004A1008" w:rsidRPr="00AB00E9" w:rsidRDefault="004A1008" w:rsidP="004A1008">
            <w:r w:rsidRPr="00AB00E9">
              <w:t>4</w:t>
            </w:r>
          </w:p>
        </w:tc>
        <w:tc>
          <w:tcPr>
            <w:tcW w:w="2235" w:type="dxa"/>
          </w:tcPr>
          <w:p w14:paraId="56AE50A8" w14:textId="77777777" w:rsidR="004A1008" w:rsidRPr="00AB00E9" w:rsidRDefault="004A1008" w:rsidP="004A1008">
            <w:r w:rsidRPr="00AB00E9">
              <w:t>XX</w:t>
            </w:r>
          </w:p>
        </w:tc>
      </w:tr>
      <w:tr w:rsidR="004A1008" w:rsidRPr="00B43143" w14:paraId="5F31010D" w14:textId="77777777" w:rsidTr="004A1008">
        <w:trPr>
          <w:trHeight w:val="228"/>
        </w:trPr>
        <w:tc>
          <w:tcPr>
            <w:tcW w:w="2707" w:type="dxa"/>
          </w:tcPr>
          <w:p w14:paraId="10F9AAB5" w14:textId="77777777" w:rsidR="004A1008" w:rsidRPr="00AB00E9" w:rsidRDefault="004A1008" w:rsidP="004A1008">
            <w:r w:rsidRPr="00AB00E9">
              <w:t>5</w:t>
            </w:r>
          </w:p>
        </w:tc>
        <w:tc>
          <w:tcPr>
            <w:tcW w:w="2235" w:type="dxa"/>
          </w:tcPr>
          <w:p w14:paraId="55169A79" w14:textId="77777777" w:rsidR="004A1008" w:rsidRPr="00AB00E9" w:rsidRDefault="004A1008" w:rsidP="004A1008">
            <w:r w:rsidRPr="00AB00E9">
              <w:t>XX</w:t>
            </w:r>
          </w:p>
        </w:tc>
      </w:tr>
      <w:tr w:rsidR="004A1008" w:rsidRPr="00B43143" w14:paraId="4AA9C4D8" w14:textId="77777777" w:rsidTr="004A1008">
        <w:trPr>
          <w:trHeight w:val="233"/>
        </w:trPr>
        <w:tc>
          <w:tcPr>
            <w:tcW w:w="2707" w:type="dxa"/>
          </w:tcPr>
          <w:p w14:paraId="76023B8B" w14:textId="77777777" w:rsidR="004A1008" w:rsidRPr="00AB00E9" w:rsidRDefault="004A1008" w:rsidP="004A1008">
            <w:r w:rsidRPr="00AB00E9">
              <w:t>6</w:t>
            </w:r>
          </w:p>
        </w:tc>
        <w:tc>
          <w:tcPr>
            <w:tcW w:w="2235" w:type="dxa"/>
          </w:tcPr>
          <w:p w14:paraId="4EB32BF2" w14:textId="77777777" w:rsidR="004A1008" w:rsidRPr="00AB00E9" w:rsidRDefault="004A1008" w:rsidP="004A1008">
            <w:r w:rsidRPr="00AB00E9">
              <w:t>XX</w:t>
            </w:r>
          </w:p>
        </w:tc>
      </w:tr>
      <w:tr w:rsidR="004A1008" w:rsidRPr="00B43143" w14:paraId="6A398957" w14:textId="77777777" w:rsidTr="004A1008">
        <w:trPr>
          <w:trHeight w:val="233"/>
        </w:trPr>
        <w:tc>
          <w:tcPr>
            <w:tcW w:w="2707" w:type="dxa"/>
          </w:tcPr>
          <w:p w14:paraId="6DF17BD1" w14:textId="77777777" w:rsidR="004A1008" w:rsidRPr="00AB00E9" w:rsidRDefault="004A1008" w:rsidP="004A1008">
            <w:r w:rsidRPr="00AB00E9">
              <w:t>7</w:t>
            </w:r>
          </w:p>
        </w:tc>
        <w:tc>
          <w:tcPr>
            <w:tcW w:w="2235" w:type="dxa"/>
          </w:tcPr>
          <w:p w14:paraId="6427E999" w14:textId="77777777" w:rsidR="004A1008" w:rsidRPr="00AB00E9" w:rsidRDefault="004A1008" w:rsidP="004A1008">
            <w:r w:rsidRPr="00AB00E9">
              <w:t>XX</w:t>
            </w:r>
          </w:p>
        </w:tc>
      </w:tr>
    </w:tbl>
    <w:p w14:paraId="5DE52FD4" w14:textId="77777777" w:rsidR="004A1008" w:rsidRPr="001419C7" w:rsidRDefault="004A1008" w:rsidP="004A1008">
      <w:pPr>
        <w:pStyle w:val="Heading2"/>
        <w:numPr>
          <w:ilvl w:val="1"/>
          <w:numId w:val="7"/>
        </w:numPr>
      </w:pPr>
      <w:bookmarkStart w:id="82" w:name="_Toc51783629"/>
      <w:bookmarkStart w:id="83" w:name="_Toc52364546"/>
      <w:r>
        <w:t>Capital Projects Price Control Deliverables (CAP</w:t>
      </w:r>
      <w:r w:rsidRPr="00761A2F">
        <w:rPr>
          <w:vertAlign w:val="subscript"/>
        </w:rPr>
        <w:t>t</w:t>
      </w:r>
      <w:r>
        <w:t>)</w:t>
      </w:r>
      <w:bookmarkEnd w:id="82"/>
      <w:bookmarkEnd w:id="83"/>
    </w:p>
    <w:p w14:paraId="3C68B18E" w14:textId="77777777" w:rsidR="004A1008" w:rsidRPr="001419C7" w:rsidRDefault="004A1008" w:rsidP="004A1008">
      <w:pPr>
        <w:pStyle w:val="Heading3nonumbering"/>
      </w:pPr>
      <w:r w:rsidRPr="001419C7">
        <w:t xml:space="preserve">Introduction </w:t>
      </w:r>
    </w:p>
    <w:p w14:paraId="177070C0" w14:textId="77777777" w:rsidR="004A1008" w:rsidRPr="001419C7" w:rsidRDefault="004A1008" w:rsidP="004A1008">
      <w:pPr>
        <w:pStyle w:val="NumberedNormal"/>
        <w:numPr>
          <w:ilvl w:val="2"/>
          <w:numId w:val="7"/>
        </w:numPr>
      </w:pPr>
      <w:r>
        <w:t>The purpose of this condition is to calculate the term CAP</w:t>
      </w:r>
      <w:r w:rsidRPr="00761A2F">
        <w:rPr>
          <w:vertAlign w:val="subscript"/>
        </w:rPr>
        <w:t>t</w:t>
      </w:r>
      <w:r>
        <w:t xml:space="preserve"> (the Capital Projects Price Control Deliverable term). This contributes to the calculation of the Totex Allowance.</w:t>
      </w:r>
    </w:p>
    <w:p w14:paraId="4FA23942" w14:textId="77777777" w:rsidR="004A1008" w:rsidRPr="001419C7" w:rsidRDefault="004A1008" w:rsidP="004A1008">
      <w:pPr>
        <w:pStyle w:val="NumberedNormal"/>
        <w:numPr>
          <w:ilvl w:val="2"/>
          <w:numId w:val="7"/>
        </w:numPr>
      </w:pPr>
      <w:r>
        <w:t>The effect of this condition is to:</w:t>
      </w:r>
    </w:p>
    <w:p w14:paraId="1D7B8C12" w14:textId="77777777" w:rsidR="004A1008" w:rsidRPr="001419C7" w:rsidRDefault="004A1008" w:rsidP="004A1008">
      <w:pPr>
        <w:pStyle w:val="ListNormal"/>
        <w:numPr>
          <w:ilvl w:val="3"/>
          <w:numId w:val="7"/>
        </w:numPr>
      </w:pPr>
      <w:r>
        <w:t>specify the outputs, delivery dates and associated allowances for the Price Control Deliverables; and</w:t>
      </w:r>
    </w:p>
    <w:p w14:paraId="27B94204" w14:textId="77777777" w:rsidR="004A1008" w:rsidRPr="001419C7" w:rsidRDefault="004A1008" w:rsidP="004A1008">
      <w:pPr>
        <w:pStyle w:val="ListNormal"/>
        <w:numPr>
          <w:ilvl w:val="3"/>
          <w:numId w:val="7"/>
        </w:numPr>
      </w:pPr>
      <w:r>
        <w:t>provide for an assessment of the Price Control Deliverable at the end of the Price Control Period.</w:t>
      </w:r>
    </w:p>
    <w:p w14:paraId="09266521" w14:textId="77777777" w:rsidR="004A1008" w:rsidRPr="001419C7" w:rsidRDefault="004A1008" w:rsidP="004A1008">
      <w:pPr>
        <w:pStyle w:val="NumberedNormal"/>
        <w:numPr>
          <w:ilvl w:val="2"/>
          <w:numId w:val="7"/>
        </w:numPr>
      </w:pPr>
      <w:bookmarkStart w:id="84" w:name="_Hlk51850736"/>
      <w:r>
        <w:t>This condition also explains the process the Authority will follow when assessing the Price Control Deliverable.</w:t>
      </w:r>
    </w:p>
    <w:bookmarkEnd w:id="84"/>
    <w:p w14:paraId="21025604" w14:textId="77777777" w:rsidR="004A1008" w:rsidRPr="001419C7" w:rsidRDefault="004A1008" w:rsidP="004A1008">
      <w:pPr>
        <w:pStyle w:val="Heading3"/>
        <w:numPr>
          <w:ilvl w:val="5"/>
          <w:numId w:val="7"/>
        </w:numPr>
      </w:pPr>
      <w:r>
        <w:t>Formula for calculating the Capital Projects Price Control Deliverables term (CAP</w:t>
      </w:r>
      <w:r w:rsidRPr="00761A2F">
        <w:rPr>
          <w:vertAlign w:val="subscript"/>
        </w:rPr>
        <w:t>t</w:t>
      </w:r>
      <w:r>
        <w:t>)</w:t>
      </w:r>
    </w:p>
    <w:p w14:paraId="71AAA5AD" w14:textId="77777777" w:rsidR="004A1008" w:rsidRDefault="004A1008" w:rsidP="004A1008">
      <w:pPr>
        <w:pStyle w:val="NumberedNormal"/>
        <w:numPr>
          <w:ilvl w:val="2"/>
          <w:numId w:val="7"/>
        </w:numPr>
      </w:pPr>
      <w:r>
        <w:t>The value of CAP</w:t>
      </w:r>
      <w:r w:rsidRPr="00761A2F">
        <w:rPr>
          <w:vertAlign w:val="subscript"/>
        </w:rPr>
        <w:t>t</w:t>
      </w:r>
      <w:r>
        <w:t xml:space="preserve"> is derived in accordance with the following formula:</w:t>
      </w:r>
    </w:p>
    <w:p w14:paraId="3AA2CFF7" w14:textId="77777777" w:rsidR="004A1008" w:rsidRPr="001419C7" w:rsidRDefault="008C7681" w:rsidP="004A1008">
      <m:oMathPara>
        <m:oMath>
          <m:sSub>
            <m:sSubPr>
              <m:ctrlPr>
                <w:rPr>
                  <w:rFonts w:ascii="Cambria Math" w:hAnsi="Cambria Math"/>
                  <w:i/>
                </w:rPr>
              </m:ctrlPr>
            </m:sSubPr>
            <m:e>
              <m:r>
                <w:rPr>
                  <w:rFonts w:ascii="Cambria Math" w:hAnsi="Cambria Math"/>
                </w:rPr>
                <m:t>CAP</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CAPA</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CAPR</m:t>
              </m:r>
            </m:e>
            <m:sub>
              <m:r>
                <w:rPr>
                  <w:rFonts w:ascii="Cambria Math" w:hAnsi="Cambria Math"/>
                </w:rPr>
                <m:t>t</m:t>
              </m:r>
            </m:sub>
          </m:sSub>
        </m:oMath>
      </m:oMathPara>
    </w:p>
    <w:p w14:paraId="131102C9" w14:textId="77777777" w:rsidR="004A1008" w:rsidRDefault="004A1008" w:rsidP="004A1008">
      <w:r>
        <w:tab/>
      </w:r>
      <w:r w:rsidRPr="001419C7">
        <w:t>where:</w:t>
      </w:r>
    </w:p>
    <w:tbl>
      <w:tblPr>
        <w:tblStyle w:val="TableGridLight"/>
        <w:tblW w:w="0" w:type="auto"/>
        <w:tblLook w:val="04A0" w:firstRow="1" w:lastRow="0" w:firstColumn="1" w:lastColumn="0" w:noHBand="0" w:noVBand="1"/>
      </w:tblPr>
      <w:tblGrid>
        <w:gridCol w:w="887"/>
        <w:gridCol w:w="7459"/>
      </w:tblGrid>
      <w:tr w:rsidR="004A1008" w:rsidRPr="005F6BAE" w14:paraId="2BF0F925" w14:textId="77777777" w:rsidTr="004A1008">
        <w:trPr>
          <w:trHeight w:val="255"/>
        </w:trPr>
        <w:tc>
          <w:tcPr>
            <w:tcW w:w="880" w:type="dxa"/>
            <w:noWrap/>
            <w:hideMark/>
          </w:tcPr>
          <w:p w14:paraId="0EA49A83" w14:textId="77777777" w:rsidR="004A1008" w:rsidRPr="005F6BAE" w:rsidRDefault="004A1008" w:rsidP="004A1008">
            <w:pPr>
              <w:rPr>
                <w:lang w:eastAsia="en-GB"/>
              </w:rPr>
            </w:pPr>
            <w:r w:rsidRPr="005F6BAE">
              <w:rPr>
                <w:lang w:eastAsia="en-GB"/>
              </w:rPr>
              <w:t>CAPA</w:t>
            </w:r>
            <w:r w:rsidRPr="005F6BAE">
              <w:rPr>
                <w:vertAlign w:val="subscript"/>
                <w:lang w:eastAsia="en-GB"/>
              </w:rPr>
              <w:t>t</w:t>
            </w:r>
          </w:p>
        </w:tc>
        <w:tc>
          <w:tcPr>
            <w:tcW w:w="7466" w:type="dxa"/>
            <w:noWrap/>
            <w:hideMark/>
          </w:tcPr>
          <w:p w14:paraId="5BC83DA0" w14:textId="77777777" w:rsidR="004A1008" w:rsidRPr="005F6BAE" w:rsidRDefault="004A1008" w:rsidP="004A1008">
            <w:pPr>
              <w:rPr>
                <w:lang w:eastAsia="en-GB"/>
              </w:rPr>
            </w:pPr>
            <w:r w:rsidRPr="005F6BAE">
              <w:rPr>
                <w:lang w:eastAsia="en-GB"/>
              </w:rPr>
              <w:t>means the allowances in Appendix 1 that relate to the licensee; and</w:t>
            </w:r>
          </w:p>
        </w:tc>
      </w:tr>
      <w:tr w:rsidR="004A1008" w:rsidRPr="005F6BAE" w14:paraId="62E42A15" w14:textId="77777777" w:rsidTr="004A1008">
        <w:trPr>
          <w:trHeight w:val="255"/>
        </w:trPr>
        <w:tc>
          <w:tcPr>
            <w:tcW w:w="880" w:type="dxa"/>
            <w:noWrap/>
            <w:hideMark/>
          </w:tcPr>
          <w:p w14:paraId="5692C7FF" w14:textId="77777777" w:rsidR="004A1008" w:rsidRPr="005F6BAE" w:rsidRDefault="004A1008" w:rsidP="004A1008">
            <w:pPr>
              <w:rPr>
                <w:lang w:eastAsia="en-GB"/>
              </w:rPr>
            </w:pPr>
            <w:r w:rsidRPr="005F6BAE">
              <w:rPr>
                <w:lang w:eastAsia="en-GB"/>
              </w:rPr>
              <w:t>CAPR</w:t>
            </w:r>
            <w:r w:rsidRPr="005F6BAE">
              <w:rPr>
                <w:vertAlign w:val="subscript"/>
                <w:lang w:eastAsia="en-GB"/>
              </w:rPr>
              <w:t>t</w:t>
            </w:r>
          </w:p>
        </w:tc>
        <w:tc>
          <w:tcPr>
            <w:tcW w:w="7466" w:type="dxa"/>
            <w:noWrap/>
            <w:hideMark/>
          </w:tcPr>
          <w:p w14:paraId="580F6D62" w14:textId="77777777" w:rsidR="004A1008" w:rsidRPr="005F6BAE" w:rsidRDefault="004A1008" w:rsidP="004A1008">
            <w:pPr>
              <w:rPr>
                <w:lang w:eastAsia="en-GB"/>
              </w:rPr>
            </w:pPr>
            <w:r w:rsidRPr="005F6BAE">
              <w:rPr>
                <w:lang w:eastAsia="en-GB"/>
              </w:rPr>
              <w:t>has the value zero, unless otherwise directed by the Authority in accordance with Part C</w:t>
            </w:r>
          </w:p>
        </w:tc>
      </w:tr>
    </w:tbl>
    <w:p w14:paraId="662F4D88" w14:textId="77777777" w:rsidR="004A1008" w:rsidRPr="001419C7" w:rsidRDefault="004A1008" w:rsidP="004A1008"/>
    <w:p w14:paraId="3FBE3572" w14:textId="77777777" w:rsidR="004A1008" w:rsidRPr="001419C7" w:rsidRDefault="004A1008" w:rsidP="004A1008">
      <w:pPr>
        <w:pStyle w:val="Heading3"/>
        <w:numPr>
          <w:ilvl w:val="5"/>
          <w:numId w:val="7"/>
        </w:numPr>
      </w:pPr>
      <w:r>
        <w:t>What is the licensee funded to deliver?</w:t>
      </w:r>
    </w:p>
    <w:p w14:paraId="7F15247C" w14:textId="77777777" w:rsidR="004A1008" w:rsidRDefault="004A1008" w:rsidP="004A1008">
      <w:pPr>
        <w:pStyle w:val="NumberedNormal"/>
      </w:pPr>
      <w:r>
        <w:t xml:space="preserve">Appendix 1 specifies the outputs that the licensee is funded to deliver, the delivery dates for those outputs and the allowances provided. </w:t>
      </w:r>
    </w:p>
    <w:p w14:paraId="6925B396" w14:textId="77777777" w:rsidR="004A1008" w:rsidRPr="001419C7" w:rsidRDefault="004A1008" w:rsidP="004A1008">
      <w:pPr>
        <w:pStyle w:val="Heading3"/>
      </w:pPr>
      <w:r>
        <w:t>Assessment of outputs (CAPRt)</w:t>
      </w:r>
    </w:p>
    <w:p w14:paraId="66677C26" w14:textId="77777777" w:rsidR="004A1008" w:rsidRPr="001419C7" w:rsidRDefault="004A1008" w:rsidP="004A1008">
      <w:pPr>
        <w:pStyle w:val="NumberedNormal"/>
        <w:numPr>
          <w:ilvl w:val="2"/>
          <w:numId w:val="7"/>
        </w:numPr>
      </w:pPr>
      <w:r>
        <w:t>At the end of the Price Control Period, the Authority will direct a value for CAPR</w:t>
      </w:r>
      <w:r w:rsidRPr="0039702C">
        <w:rPr>
          <w:vertAlign w:val="subscript"/>
        </w:rPr>
        <w:t>t</w:t>
      </w:r>
      <w:r>
        <w:t xml:space="preserve"> where the licensee has not Fully Delivered an output in Appendix 1 in order to reduce the allowance for the output to zero.</w:t>
      </w:r>
    </w:p>
    <w:p w14:paraId="2B12A4E8" w14:textId="77777777" w:rsidR="004A1008" w:rsidRPr="001419C7" w:rsidRDefault="004A1008" w:rsidP="004A1008">
      <w:pPr>
        <w:pStyle w:val="Heading3"/>
        <w:numPr>
          <w:ilvl w:val="5"/>
          <w:numId w:val="7"/>
        </w:numPr>
      </w:pPr>
      <w:r>
        <w:lastRenderedPageBreak/>
        <w:t>What process will the Authority follow in making a direction?</w:t>
      </w:r>
    </w:p>
    <w:p w14:paraId="054D2FBA" w14:textId="1CAF3323" w:rsidR="004A1008" w:rsidRPr="001419C7" w:rsidRDefault="004A1008" w:rsidP="004A1008">
      <w:pPr>
        <w:pStyle w:val="NumberedNormal"/>
        <w:numPr>
          <w:ilvl w:val="2"/>
          <w:numId w:val="7"/>
        </w:numPr>
      </w:pPr>
      <w:r>
        <w:t>Before making a direction under paragraph 3.1</w:t>
      </w:r>
      <w:r w:rsidR="005C07FC">
        <w:t>2</w:t>
      </w:r>
      <w:r>
        <w:t>.5 the Authority will publish on the Authority's Website:</w:t>
      </w:r>
    </w:p>
    <w:p w14:paraId="7D2CA512" w14:textId="77777777" w:rsidR="004A1008" w:rsidRPr="001419C7" w:rsidRDefault="004A1008" w:rsidP="004A1008">
      <w:pPr>
        <w:pStyle w:val="ListNormal"/>
        <w:numPr>
          <w:ilvl w:val="3"/>
          <w:numId w:val="7"/>
        </w:numPr>
      </w:pPr>
      <w:r>
        <w:t>the text of the proposed direction;</w:t>
      </w:r>
    </w:p>
    <w:p w14:paraId="34C58DB7" w14:textId="77777777" w:rsidR="004A1008" w:rsidRPr="001419C7" w:rsidRDefault="004A1008" w:rsidP="004A1008">
      <w:pPr>
        <w:pStyle w:val="ListNormal"/>
        <w:numPr>
          <w:ilvl w:val="3"/>
          <w:numId w:val="7"/>
        </w:numPr>
      </w:pPr>
      <w:r>
        <w:t>the reasons for the proposed direction;</w:t>
      </w:r>
    </w:p>
    <w:p w14:paraId="19DA67CB" w14:textId="77777777" w:rsidR="004A1008" w:rsidRPr="001419C7" w:rsidRDefault="004A1008" w:rsidP="004A1008">
      <w:pPr>
        <w:pStyle w:val="ListNormal"/>
        <w:numPr>
          <w:ilvl w:val="3"/>
          <w:numId w:val="7"/>
        </w:numPr>
      </w:pPr>
      <w:r>
        <w:t>a period during which representations may be made on the proposed direction, which will not be less than 28 days.</w:t>
      </w:r>
    </w:p>
    <w:p w14:paraId="6ACCA711" w14:textId="77777777" w:rsidR="004A1008" w:rsidRPr="001419C7" w:rsidRDefault="004A1008" w:rsidP="004A1008">
      <w:pPr>
        <w:pStyle w:val="NumberedNormal"/>
        <w:numPr>
          <w:ilvl w:val="2"/>
          <w:numId w:val="7"/>
        </w:numPr>
      </w:pPr>
      <w:r>
        <w:t>The direction will set out any adjustments due to the value of the CAPR</w:t>
      </w:r>
      <w:r w:rsidRPr="00D64641">
        <w:rPr>
          <w:vertAlign w:val="subscript"/>
        </w:rPr>
        <w:t>t</w:t>
      </w:r>
      <w:r>
        <w:t xml:space="preserve"> term and the Regulatory Years to which those values relate.</w:t>
      </w:r>
    </w:p>
    <w:p w14:paraId="48322C97" w14:textId="77777777" w:rsidR="004A1008" w:rsidRPr="00D64641" w:rsidRDefault="004A1008" w:rsidP="004A1008">
      <w:pPr>
        <w:pStyle w:val="AppendixHeading"/>
      </w:pPr>
    </w:p>
    <w:p w14:paraId="47E5689C" w14:textId="77777777" w:rsidR="004A1008" w:rsidRPr="00D64641" w:rsidRDefault="004A1008" w:rsidP="004A1008">
      <w:pPr>
        <w:pStyle w:val="Caption"/>
      </w:pPr>
      <w:r w:rsidRPr="00D64641">
        <w:t>Capital Projects P</w:t>
      </w:r>
      <w:r>
        <w:t xml:space="preserve">rice </w:t>
      </w:r>
      <w:r w:rsidRPr="00D64641">
        <w:t>C</w:t>
      </w:r>
      <w:r>
        <w:t xml:space="preserve">ontrol </w:t>
      </w:r>
      <w:r w:rsidRPr="00D64641">
        <w:t>D</w:t>
      </w:r>
      <w:r>
        <w:t>eliverable</w:t>
      </w:r>
      <w:r w:rsidRPr="00D64641">
        <w:t xml:space="preserve"> - Cadent</w:t>
      </w:r>
    </w:p>
    <w:tbl>
      <w:tblPr>
        <w:tblStyle w:val="AppendixTable"/>
        <w:tblW w:w="5000" w:type="pct"/>
        <w:tblLook w:val="04A0" w:firstRow="1" w:lastRow="0" w:firstColumn="1" w:lastColumn="0" w:noHBand="0" w:noVBand="1"/>
      </w:tblPr>
      <w:tblGrid>
        <w:gridCol w:w="1035"/>
        <w:gridCol w:w="2985"/>
        <w:gridCol w:w="1656"/>
        <w:gridCol w:w="1657"/>
        <w:gridCol w:w="1693"/>
      </w:tblGrid>
      <w:tr w:rsidR="004A1008" w:rsidRPr="00DE541A" w14:paraId="4AE0DA77" w14:textId="77777777" w:rsidTr="004A1008">
        <w:trPr>
          <w:cnfStyle w:val="100000000000" w:firstRow="1" w:lastRow="0" w:firstColumn="0" w:lastColumn="0" w:oddVBand="0" w:evenVBand="0" w:oddHBand="0" w:evenHBand="0" w:firstRowFirstColumn="0" w:firstRowLastColumn="0" w:lastRowFirstColumn="0" w:lastRowLastColumn="0"/>
          <w:trHeight w:val="305"/>
        </w:trPr>
        <w:tc>
          <w:tcPr>
            <w:tcW w:w="573" w:type="pct"/>
          </w:tcPr>
          <w:p w14:paraId="46EAF4A6" w14:textId="77777777" w:rsidR="004A1008" w:rsidRPr="001419C7" w:rsidRDefault="004A1008" w:rsidP="004A1008">
            <w:r w:rsidRPr="001419C7">
              <w:t>Licensee</w:t>
            </w:r>
          </w:p>
        </w:tc>
        <w:tc>
          <w:tcPr>
            <w:tcW w:w="1653" w:type="pct"/>
          </w:tcPr>
          <w:p w14:paraId="3EB86530" w14:textId="77777777" w:rsidR="004A1008" w:rsidRPr="001419C7" w:rsidRDefault="004A1008" w:rsidP="004A1008">
            <w:r w:rsidRPr="001419C7">
              <w:t>Project Name</w:t>
            </w:r>
          </w:p>
        </w:tc>
        <w:tc>
          <w:tcPr>
            <w:tcW w:w="917" w:type="pct"/>
          </w:tcPr>
          <w:p w14:paraId="430EB6F5" w14:textId="77777777" w:rsidR="004A1008" w:rsidRPr="001419C7" w:rsidRDefault="004A1008" w:rsidP="004A1008">
            <w:r w:rsidRPr="001419C7">
              <w:t>Delivery Date</w:t>
            </w:r>
          </w:p>
        </w:tc>
        <w:tc>
          <w:tcPr>
            <w:tcW w:w="918" w:type="pct"/>
          </w:tcPr>
          <w:p w14:paraId="268DAAA6" w14:textId="77777777" w:rsidR="004A1008" w:rsidRPr="001419C7" w:rsidRDefault="004A1008" w:rsidP="004A1008">
            <w:r w:rsidRPr="001419C7">
              <w:t>Total Allowance</w:t>
            </w:r>
          </w:p>
          <w:p w14:paraId="23D86D63" w14:textId="77777777" w:rsidR="004A1008" w:rsidRPr="001419C7" w:rsidRDefault="004A1008" w:rsidP="004A1008"/>
        </w:tc>
        <w:tc>
          <w:tcPr>
            <w:tcW w:w="938" w:type="pct"/>
          </w:tcPr>
          <w:p w14:paraId="40E92297" w14:textId="77777777" w:rsidR="004A1008" w:rsidRPr="001419C7" w:rsidRDefault="004A1008" w:rsidP="004A1008">
            <w:r w:rsidRPr="001419C7">
              <w:t>Outputs (Reference to EJP)</w:t>
            </w:r>
          </w:p>
        </w:tc>
      </w:tr>
      <w:tr w:rsidR="004A1008" w:rsidRPr="004A29FE" w14:paraId="7496A369" w14:textId="77777777" w:rsidTr="004A1008">
        <w:trPr>
          <w:trHeight w:val="321"/>
        </w:trPr>
        <w:tc>
          <w:tcPr>
            <w:tcW w:w="573" w:type="pct"/>
          </w:tcPr>
          <w:p w14:paraId="2F29D861" w14:textId="77777777" w:rsidR="004A1008" w:rsidRPr="001419C7" w:rsidRDefault="004A1008" w:rsidP="004A1008">
            <w:r w:rsidRPr="001419C7">
              <w:t>Cadent</w:t>
            </w:r>
          </w:p>
        </w:tc>
        <w:tc>
          <w:tcPr>
            <w:tcW w:w="1653" w:type="pct"/>
          </w:tcPr>
          <w:p w14:paraId="735ED036" w14:textId="77777777" w:rsidR="004A1008" w:rsidRPr="001419C7" w:rsidRDefault="004A1008" w:rsidP="004A1008">
            <w:r w:rsidRPr="001419C7">
              <w:t>Capacity Upgrades &gt; 7bar</w:t>
            </w:r>
          </w:p>
        </w:tc>
        <w:tc>
          <w:tcPr>
            <w:tcW w:w="917" w:type="pct"/>
          </w:tcPr>
          <w:p w14:paraId="176692B1" w14:textId="77777777" w:rsidR="004A1008" w:rsidRPr="001419C7" w:rsidRDefault="004A1008" w:rsidP="004A1008">
            <w:r w:rsidRPr="001419C7">
              <w:t>March 2026</w:t>
            </w:r>
          </w:p>
        </w:tc>
        <w:tc>
          <w:tcPr>
            <w:tcW w:w="918" w:type="pct"/>
          </w:tcPr>
          <w:p w14:paraId="55165981" w14:textId="77777777" w:rsidR="004A1008" w:rsidRPr="001419C7" w:rsidRDefault="004A1008" w:rsidP="004A1008">
            <w:r w:rsidRPr="001419C7">
              <w:t>24.82</w:t>
            </w:r>
          </w:p>
        </w:tc>
        <w:tc>
          <w:tcPr>
            <w:tcW w:w="938" w:type="pct"/>
          </w:tcPr>
          <w:p w14:paraId="55749576" w14:textId="77777777" w:rsidR="004A1008" w:rsidRPr="001419C7" w:rsidRDefault="004A1008" w:rsidP="004A1008">
            <w:r w:rsidRPr="001419C7">
              <w:t>APP_CAD_09.23</w:t>
            </w:r>
          </w:p>
        </w:tc>
      </w:tr>
      <w:tr w:rsidR="004A1008" w:rsidRPr="004A29FE" w14:paraId="09E84CB0" w14:textId="77777777" w:rsidTr="004A1008">
        <w:trPr>
          <w:trHeight w:val="321"/>
        </w:trPr>
        <w:tc>
          <w:tcPr>
            <w:tcW w:w="573" w:type="pct"/>
          </w:tcPr>
          <w:p w14:paraId="5207E14A" w14:textId="77777777" w:rsidR="004A1008" w:rsidRPr="001419C7" w:rsidRDefault="004A1008" w:rsidP="004A1008">
            <w:r w:rsidRPr="001419C7">
              <w:t>Cadent</w:t>
            </w:r>
          </w:p>
        </w:tc>
        <w:tc>
          <w:tcPr>
            <w:tcW w:w="1653" w:type="pct"/>
          </w:tcPr>
          <w:p w14:paraId="135AAE53" w14:textId="77777777" w:rsidR="004A1008" w:rsidRPr="001419C7" w:rsidRDefault="004A1008" w:rsidP="004A1008">
            <w:r w:rsidRPr="001419C7">
              <w:t>Offtakes &amp; PRS Metering</w:t>
            </w:r>
          </w:p>
        </w:tc>
        <w:tc>
          <w:tcPr>
            <w:tcW w:w="917" w:type="pct"/>
          </w:tcPr>
          <w:p w14:paraId="18DE62D9" w14:textId="77777777" w:rsidR="004A1008" w:rsidRPr="001419C7" w:rsidRDefault="004A1008" w:rsidP="004A1008">
            <w:r w:rsidRPr="001419C7">
              <w:t>March 2026</w:t>
            </w:r>
          </w:p>
        </w:tc>
        <w:tc>
          <w:tcPr>
            <w:tcW w:w="918" w:type="pct"/>
          </w:tcPr>
          <w:p w14:paraId="2682D741" w14:textId="77777777" w:rsidR="004A1008" w:rsidRPr="001419C7" w:rsidRDefault="004A1008" w:rsidP="004A1008">
            <w:r w:rsidRPr="001419C7">
              <w:t>17.21</w:t>
            </w:r>
          </w:p>
        </w:tc>
        <w:tc>
          <w:tcPr>
            <w:tcW w:w="938" w:type="pct"/>
          </w:tcPr>
          <w:p w14:paraId="0488A9D7" w14:textId="77777777" w:rsidR="004A1008" w:rsidRPr="001419C7" w:rsidRDefault="004A1008" w:rsidP="004A1008">
            <w:r w:rsidRPr="001419C7">
              <w:t>APP_CAD_09.10</w:t>
            </w:r>
          </w:p>
        </w:tc>
      </w:tr>
      <w:tr w:rsidR="004A1008" w:rsidRPr="004A29FE" w14:paraId="7E2DEEC3" w14:textId="77777777" w:rsidTr="004A1008">
        <w:trPr>
          <w:trHeight w:val="321"/>
        </w:trPr>
        <w:tc>
          <w:tcPr>
            <w:tcW w:w="573" w:type="pct"/>
          </w:tcPr>
          <w:p w14:paraId="2FD2BC87" w14:textId="77777777" w:rsidR="004A1008" w:rsidRPr="001419C7" w:rsidRDefault="004A1008" w:rsidP="004A1008">
            <w:r w:rsidRPr="001419C7">
              <w:t>Cadent</w:t>
            </w:r>
          </w:p>
        </w:tc>
        <w:tc>
          <w:tcPr>
            <w:tcW w:w="1653" w:type="pct"/>
          </w:tcPr>
          <w:p w14:paraId="4297508C" w14:textId="77777777" w:rsidR="004A1008" w:rsidRPr="001419C7" w:rsidRDefault="004A1008" w:rsidP="004A1008">
            <w:r w:rsidRPr="001419C7">
              <w:t>Reduced Depth of Cover</w:t>
            </w:r>
          </w:p>
        </w:tc>
        <w:tc>
          <w:tcPr>
            <w:tcW w:w="917" w:type="pct"/>
          </w:tcPr>
          <w:p w14:paraId="41F9EBF7" w14:textId="77777777" w:rsidR="004A1008" w:rsidRPr="001419C7" w:rsidRDefault="004A1008" w:rsidP="004A1008">
            <w:r w:rsidRPr="001419C7">
              <w:t>March 2026</w:t>
            </w:r>
          </w:p>
        </w:tc>
        <w:tc>
          <w:tcPr>
            <w:tcW w:w="918" w:type="pct"/>
          </w:tcPr>
          <w:p w14:paraId="2BDE4C28" w14:textId="77777777" w:rsidR="004A1008" w:rsidRPr="001419C7" w:rsidRDefault="004A1008" w:rsidP="004A1008">
            <w:r w:rsidRPr="001419C7">
              <w:t>5.18</w:t>
            </w:r>
          </w:p>
        </w:tc>
        <w:tc>
          <w:tcPr>
            <w:tcW w:w="938" w:type="pct"/>
          </w:tcPr>
          <w:p w14:paraId="0A1C63D1" w14:textId="77777777" w:rsidR="004A1008" w:rsidRPr="001419C7" w:rsidRDefault="004A1008" w:rsidP="004A1008">
            <w:r w:rsidRPr="001419C7">
              <w:t>APP_CAD_09.32</w:t>
            </w:r>
          </w:p>
        </w:tc>
      </w:tr>
      <w:tr w:rsidR="004A1008" w:rsidRPr="004A29FE" w14:paraId="1026C232" w14:textId="77777777" w:rsidTr="004A1008">
        <w:trPr>
          <w:trHeight w:val="321"/>
        </w:trPr>
        <w:tc>
          <w:tcPr>
            <w:tcW w:w="573" w:type="pct"/>
          </w:tcPr>
          <w:p w14:paraId="432DA4A1" w14:textId="77777777" w:rsidR="004A1008" w:rsidRPr="001419C7" w:rsidRDefault="004A1008" w:rsidP="004A1008">
            <w:r w:rsidRPr="001419C7">
              <w:t>Cadent</w:t>
            </w:r>
          </w:p>
        </w:tc>
        <w:tc>
          <w:tcPr>
            <w:tcW w:w="1653" w:type="pct"/>
          </w:tcPr>
          <w:p w14:paraId="49117CA5" w14:textId="77777777" w:rsidR="004A1008" w:rsidRPr="001419C7" w:rsidRDefault="004A1008" w:rsidP="004A1008">
            <w:r w:rsidRPr="001419C7">
              <w:t>Holford Salt Cavity</w:t>
            </w:r>
          </w:p>
        </w:tc>
        <w:tc>
          <w:tcPr>
            <w:tcW w:w="917" w:type="pct"/>
          </w:tcPr>
          <w:p w14:paraId="3EE79CB5" w14:textId="77777777" w:rsidR="004A1008" w:rsidRPr="001419C7" w:rsidRDefault="004A1008" w:rsidP="004A1008">
            <w:r w:rsidRPr="001419C7">
              <w:t>March 2026</w:t>
            </w:r>
          </w:p>
        </w:tc>
        <w:tc>
          <w:tcPr>
            <w:tcW w:w="918" w:type="pct"/>
          </w:tcPr>
          <w:p w14:paraId="5673B2A1" w14:textId="77777777" w:rsidR="004A1008" w:rsidRPr="001419C7" w:rsidRDefault="004A1008" w:rsidP="004A1008">
            <w:r w:rsidRPr="001419C7">
              <w:t>1.93</w:t>
            </w:r>
          </w:p>
        </w:tc>
        <w:tc>
          <w:tcPr>
            <w:tcW w:w="938" w:type="pct"/>
          </w:tcPr>
          <w:p w14:paraId="2F98B364" w14:textId="77777777" w:rsidR="004A1008" w:rsidRPr="001419C7" w:rsidRDefault="004A1008" w:rsidP="004A1008">
            <w:r w:rsidRPr="001419C7">
              <w:t>APP_CAD_09.15</w:t>
            </w:r>
          </w:p>
        </w:tc>
      </w:tr>
      <w:tr w:rsidR="004A1008" w:rsidRPr="004A29FE" w14:paraId="697A59D7" w14:textId="77777777" w:rsidTr="004A1008">
        <w:trPr>
          <w:trHeight w:val="321"/>
        </w:trPr>
        <w:tc>
          <w:tcPr>
            <w:tcW w:w="573" w:type="pct"/>
          </w:tcPr>
          <w:p w14:paraId="39F4BADA" w14:textId="77777777" w:rsidR="004A1008" w:rsidRPr="001419C7" w:rsidRDefault="004A1008" w:rsidP="004A1008">
            <w:r w:rsidRPr="001419C7">
              <w:t>Cadent</w:t>
            </w:r>
          </w:p>
        </w:tc>
        <w:tc>
          <w:tcPr>
            <w:tcW w:w="1653" w:type="pct"/>
          </w:tcPr>
          <w:p w14:paraId="7CB109FE" w14:textId="77777777" w:rsidR="004A1008" w:rsidRPr="001419C7" w:rsidRDefault="004A1008" w:rsidP="004A1008">
            <w:r w:rsidRPr="001419C7">
              <w:t>MP/IP Valves</w:t>
            </w:r>
          </w:p>
        </w:tc>
        <w:tc>
          <w:tcPr>
            <w:tcW w:w="917" w:type="pct"/>
          </w:tcPr>
          <w:p w14:paraId="2ED95C72" w14:textId="77777777" w:rsidR="004A1008" w:rsidRPr="001419C7" w:rsidRDefault="004A1008" w:rsidP="004A1008">
            <w:r w:rsidRPr="001419C7">
              <w:t>March 2026</w:t>
            </w:r>
          </w:p>
        </w:tc>
        <w:tc>
          <w:tcPr>
            <w:tcW w:w="918" w:type="pct"/>
          </w:tcPr>
          <w:p w14:paraId="63BC4EF7" w14:textId="77777777" w:rsidR="004A1008" w:rsidRPr="001419C7" w:rsidRDefault="004A1008" w:rsidP="004A1008">
            <w:r w:rsidRPr="001419C7">
              <w:t>43.77</w:t>
            </w:r>
          </w:p>
        </w:tc>
        <w:tc>
          <w:tcPr>
            <w:tcW w:w="938" w:type="pct"/>
          </w:tcPr>
          <w:p w14:paraId="4A2E337F" w14:textId="77777777" w:rsidR="004A1008" w:rsidRPr="001419C7" w:rsidRDefault="004A1008" w:rsidP="004A1008">
            <w:r w:rsidRPr="001419C7">
              <w:t>APP_CAD_09.31</w:t>
            </w:r>
          </w:p>
        </w:tc>
      </w:tr>
      <w:tr w:rsidR="004A1008" w:rsidRPr="004A29FE" w14:paraId="1194C976" w14:textId="77777777" w:rsidTr="004A1008">
        <w:trPr>
          <w:trHeight w:val="321"/>
        </w:trPr>
        <w:tc>
          <w:tcPr>
            <w:tcW w:w="573" w:type="pct"/>
          </w:tcPr>
          <w:p w14:paraId="15D56A9E" w14:textId="77777777" w:rsidR="004A1008" w:rsidRPr="001419C7" w:rsidRDefault="004A1008" w:rsidP="004A1008">
            <w:r w:rsidRPr="001419C7">
              <w:t>Cadent</w:t>
            </w:r>
          </w:p>
        </w:tc>
        <w:tc>
          <w:tcPr>
            <w:tcW w:w="1653" w:type="pct"/>
          </w:tcPr>
          <w:p w14:paraId="3767FD40" w14:textId="77777777" w:rsidR="004A1008" w:rsidRPr="001419C7" w:rsidRDefault="004A1008" w:rsidP="004A1008">
            <w:r w:rsidRPr="001419C7">
              <w:t>Brunel Bridge</w:t>
            </w:r>
          </w:p>
        </w:tc>
        <w:tc>
          <w:tcPr>
            <w:tcW w:w="917" w:type="pct"/>
          </w:tcPr>
          <w:p w14:paraId="2B6B4F87" w14:textId="77777777" w:rsidR="004A1008" w:rsidRPr="001419C7" w:rsidRDefault="004A1008" w:rsidP="004A1008">
            <w:r w:rsidRPr="001419C7">
              <w:t>March 2026</w:t>
            </w:r>
          </w:p>
        </w:tc>
        <w:tc>
          <w:tcPr>
            <w:tcW w:w="918" w:type="pct"/>
          </w:tcPr>
          <w:p w14:paraId="4ED6A843" w14:textId="77777777" w:rsidR="004A1008" w:rsidRPr="001419C7" w:rsidRDefault="004A1008" w:rsidP="004A1008">
            <w:r w:rsidRPr="001419C7">
              <w:t>0.99</w:t>
            </w:r>
          </w:p>
        </w:tc>
        <w:tc>
          <w:tcPr>
            <w:tcW w:w="938" w:type="pct"/>
          </w:tcPr>
          <w:p w14:paraId="1C01F15A" w14:textId="77777777" w:rsidR="004A1008" w:rsidRPr="001419C7" w:rsidRDefault="004A1008" w:rsidP="004A1008">
            <w:r w:rsidRPr="001419C7">
              <w:t>APP_CAD_09.13</w:t>
            </w:r>
          </w:p>
        </w:tc>
      </w:tr>
      <w:tr w:rsidR="004A1008" w:rsidRPr="004A29FE" w14:paraId="6E373AD1" w14:textId="77777777" w:rsidTr="004A1008">
        <w:trPr>
          <w:trHeight w:val="321"/>
        </w:trPr>
        <w:tc>
          <w:tcPr>
            <w:tcW w:w="573" w:type="pct"/>
          </w:tcPr>
          <w:p w14:paraId="14017D73" w14:textId="77777777" w:rsidR="004A1008" w:rsidRPr="001419C7" w:rsidRDefault="004A1008" w:rsidP="004A1008">
            <w:r w:rsidRPr="001419C7">
              <w:t>Cadent</w:t>
            </w:r>
          </w:p>
        </w:tc>
        <w:tc>
          <w:tcPr>
            <w:tcW w:w="1653" w:type="pct"/>
          </w:tcPr>
          <w:p w14:paraId="1836667E" w14:textId="77777777" w:rsidR="004A1008" w:rsidRPr="001419C7" w:rsidRDefault="004A1008" w:rsidP="004A1008">
            <w:r w:rsidRPr="001419C7">
              <w:t>Mersey Tunnel</w:t>
            </w:r>
          </w:p>
        </w:tc>
        <w:tc>
          <w:tcPr>
            <w:tcW w:w="917" w:type="pct"/>
          </w:tcPr>
          <w:p w14:paraId="7A06AEB6" w14:textId="77777777" w:rsidR="004A1008" w:rsidRPr="001419C7" w:rsidRDefault="004A1008" w:rsidP="004A1008">
            <w:r w:rsidRPr="001419C7">
              <w:t>March 2026</w:t>
            </w:r>
          </w:p>
        </w:tc>
        <w:tc>
          <w:tcPr>
            <w:tcW w:w="918" w:type="pct"/>
          </w:tcPr>
          <w:p w14:paraId="6D696C22" w14:textId="77777777" w:rsidR="004A1008" w:rsidRPr="001419C7" w:rsidRDefault="004A1008" w:rsidP="004A1008">
            <w:r w:rsidRPr="001419C7">
              <w:t>0.75</w:t>
            </w:r>
          </w:p>
        </w:tc>
        <w:tc>
          <w:tcPr>
            <w:tcW w:w="938" w:type="pct"/>
          </w:tcPr>
          <w:p w14:paraId="00664379" w14:textId="77777777" w:rsidR="004A1008" w:rsidRPr="001419C7" w:rsidRDefault="004A1008" w:rsidP="004A1008">
            <w:r w:rsidRPr="001419C7">
              <w:t>APP_CAD_09.18</w:t>
            </w:r>
          </w:p>
        </w:tc>
      </w:tr>
    </w:tbl>
    <w:p w14:paraId="57D8572A" w14:textId="77777777" w:rsidR="004A1008" w:rsidRPr="001419C7" w:rsidRDefault="004A1008" w:rsidP="004A1008"/>
    <w:p w14:paraId="2194DC6C" w14:textId="77777777" w:rsidR="004A1008" w:rsidRPr="001419C7" w:rsidRDefault="004A1008" w:rsidP="004A1008">
      <w:pPr>
        <w:pStyle w:val="Caption"/>
      </w:pPr>
      <w:r w:rsidRPr="001419C7">
        <w:t xml:space="preserve">Capital Projects </w:t>
      </w:r>
      <w:r w:rsidRPr="00D64641">
        <w:t>P</w:t>
      </w:r>
      <w:r>
        <w:t xml:space="preserve">rice </w:t>
      </w:r>
      <w:r w:rsidRPr="00D64641">
        <w:t>C</w:t>
      </w:r>
      <w:r>
        <w:t xml:space="preserve">ontrol </w:t>
      </w:r>
      <w:r w:rsidRPr="00D64641">
        <w:t>D</w:t>
      </w:r>
      <w:r>
        <w:t>eliverable</w:t>
      </w:r>
      <w:r w:rsidRPr="001419C7">
        <w:t xml:space="preserve"> - NGN</w:t>
      </w:r>
    </w:p>
    <w:tbl>
      <w:tblPr>
        <w:tblStyle w:val="AppendixTable"/>
        <w:tblW w:w="5000" w:type="pct"/>
        <w:tblLook w:val="04A0" w:firstRow="1" w:lastRow="0" w:firstColumn="1" w:lastColumn="0" w:noHBand="0" w:noVBand="1"/>
      </w:tblPr>
      <w:tblGrid>
        <w:gridCol w:w="1035"/>
        <w:gridCol w:w="2985"/>
        <w:gridCol w:w="1656"/>
        <w:gridCol w:w="1657"/>
        <w:gridCol w:w="1693"/>
      </w:tblGrid>
      <w:tr w:rsidR="004A1008" w:rsidRPr="00DE541A" w14:paraId="450ED512" w14:textId="77777777" w:rsidTr="004A1008">
        <w:trPr>
          <w:cnfStyle w:val="100000000000" w:firstRow="1" w:lastRow="0" w:firstColumn="0" w:lastColumn="0" w:oddVBand="0" w:evenVBand="0" w:oddHBand="0" w:evenHBand="0" w:firstRowFirstColumn="0" w:firstRowLastColumn="0" w:lastRowFirstColumn="0" w:lastRowLastColumn="0"/>
          <w:trHeight w:val="305"/>
        </w:trPr>
        <w:tc>
          <w:tcPr>
            <w:tcW w:w="573" w:type="pct"/>
          </w:tcPr>
          <w:p w14:paraId="66D8DFDE" w14:textId="77777777" w:rsidR="004A1008" w:rsidRPr="001419C7" w:rsidRDefault="004A1008" w:rsidP="004A1008">
            <w:r w:rsidRPr="001419C7">
              <w:t>Licensee</w:t>
            </w:r>
          </w:p>
        </w:tc>
        <w:tc>
          <w:tcPr>
            <w:tcW w:w="1653" w:type="pct"/>
          </w:tcPr>
          <w:p w14:paraId="2911302D" w14:textId="77777777" w:rsidR="004A1008" w:rsidRPr="001419C7" w:rsidRDefault="004A1008" w:rsidP="004A1008">
            <w:r w:rsidRPr="001419C7">
              <w:t>Project Name</w:t>
            </w:r>
          </w:p>
        </w:tc>
        <w:tc>
          <w:tcPr>
            <w:tcW w:w="917" w:type="pct"/>
          </w:tcPr>
          <w:p w14:paraId="1371F0BD" w14:textId="77777777" w:rsidR="004A1008" w:rsidRPr="001419C7" w:rsidRDefault="004A1008" w:rsidP="004A1008">
            <w:r w:rsidRPr="001419C7">
              <w:t>Delivery Date</w:t>
            </w:r>
          </w:p>
        </w:tc>
        <w:tc>
          <w:tcPr>
            <w:tcW w:w="918" w:type="pct"/>
          </w:tcPr>
          <w:p w14:paraId="152D3397" w14:textId="77777777" w:rsidR="004A1008" w:rsidRPr="001419C7" w:rsidRDefault="004A1008" w:rsidP="004A1008">
            <w:r w:rsidRPr="001419C7">
              <w:t>Total Allowance</w:t>
            </w:r>
          </w:p>
        </w:tc>
        <w:tc>
          <w:tcPr>
            <w:tcW w:w="938" w:type="pct"/>
          </w:tcPr>
          <w:p w14:paraId="0220F2CA" w14:textId="77777777" w:rsidR="004A1008" w:rsidRPr="001419C7" w:rsidRDefault="004A1008" w:rsidP="004A1008">
            <w:r w:rsidRPr="001419C7">
              <w:t>Outputs (Reference to EJP)</w:t>
            </w:r>
          </w:p>
        </w:tc>
      </w:tr>
      <w:tr w:rsidR="004A1008" w:rsidRPr="004A29FE" w14:paraId="2ADE1998" w14:textId="77777777" w:rsidTr="004A1008">
        <w:trPr>
          <w:trHeight w:val="321"/>
        </w:trPr>
        <w:tc>
          <w:tcPr>
            <w:tcW w:w="573" w:type="pct"/>
          </w:tcPr>
          <w:p w14:paraId="6510FB64" w14:textId="77777777" w:rsidR="004A1008" w:rsidRPr="001419C7" w:rsidRDefault="004A1008" w:rsidP="004A1008">
            <w:r w:rsidRPr="001419C7">
              <w:t>NGN</w:t>
            </w:r>
          </w:p>
        </w:tc>
        <w:tc>
          <w:tcPr>
            <w:tcW w:w="1653" w:type="pct"/>
          </w:tcPr>
          <w:p w14:paraId="578912BA" w14:textId="77777777" w:rsidR="004A1008" w:rsidRPr="001419C7" w:rsidRDefault="004A1008" w:rsidP="004A1008">
            <w:r w:rsidRPr="001419C7">
              <w:t>TransPennine</w:t>
            </w:r>
          </w:p>
        </w:tc>
        <w:tc>
          <w:tcPr>
            <w:tcW w:w="917" w:type="pct"/>
          </w:tcPr>
          <w:p w14:paraId="40A05CE3" w14:textId="77777777" w:rsidR="004A1008" w:rsidRPr="001419C7" w:rsidRDefault="004A1008" w:rsidP="004A1008">
            <w:r w:rsidRPr="001419C7">
              <w:t>March 2026</w:t>
            </w:r>
          </w:p>
        </w:tc>
        <w:tc>
          <w:tcPr>
            <w:tcW w:w="918" w:type="pct"/>
          </w:tcPr>
          <w:p w14:paraId="631838D8" w14:textId="77777777" w:rsidR="004A1008" w:rsidRPr="001419C7" w:rsidRDefault="004A1008" w:rsidP="004A1008">
            <w:r w:rsidRPr="001419C7">
              <w:t>19.47</w:t>
            </w:r>
          </w:p>
        </w:tc>
        <w:tc>
          <w:tcPr>
            <w:tcW w:w="938" w:type="pct"/>
          </w:tcPr>
          <w:p w14:paraId="3349A224" w14:textId="77777777" w:rsidR="004A1008" w:rsidRPr="001419C7" w:rsidRDefault="004A1008" w:rsidP="004A1008">
            <w:r w:rsidRPr="001419C7">
              <w:t>A23.F</w:t>
            </w:r>
          </w:p>
        </w:tc>
      </w:tr>
      <w:tr w:rsidR="004A1008" w:rsidRPr="004A29FE" w14:paraId="59942895" w14:textId="77777777" w:rsidTr="004A1008">
        <w:trPr>
          <w:trHeight w:val="321"/>
        </w:trPr>
        <w:tc>
          <w:tcPr>
            <w:tcW w:w="573" w:type="pct"/>
          </w:tcPr>
          <w:p w14:paraId="25889FE2" w14:textId="77777777" w:rsidR="004A1008" w:rsidRPr="001419C7" w:rsidRDefault="004A1008" w:rsidP="004A1008">
            <w:r w:rsidRPr="001419C7">
              <w:t>NGN</w:t>
            </w:r>
          </w:p>
        </w:tc>
        <w:tc>
          <w:tcPr>
            <w:tcW w:w="1653" w:type="pct"/>
          </w:tcPr>
          <w:p w14:paraId="056A5568" w14:textId="77777777" w:rsidR="004A1008" w:rsidRPr="001419C7" w:rsidRDefault="004A1008" w:rsidP="004A1008">
            <w:r w:rsidRPr="001419C7">
              <w:t>Overcrossings</w:t>
            </w:r>
          </w:p>
        </w:tc>
        <w:tc>
          <w:tcPr>
            <w:tcW w:w="917" w:type="pct"/>
          </w:tcPr>
          <w:p w14:paraId="5B5B2203" w14:textId="77777777" w:rsidR="004A1008" w:rsidRPr="001419C7" w:rsidRDefault="004A1008" w:rsidP="004A1008">
            <w:r w:rsidRPr="001419C7">
              <w:t>March 2026</w:t>
            </w:r>
          </w:p>
        </w:tc>
        <w:tc>
          <w:tcPr>
            <w:tcW w:w="918" w:type="pct"/>
          </w:tcPr>
          <w:p w14:paraId="5234C5E0" w14:textId="77777777" w:rsidR="004A1008" w:rsidRPr="001419C7" w:rsidRDefault="004A1008" w:rsidP="004A1008">
            <w:r w:rsidRPr="001419C7">
              <w:t>8.25</w:t>
            </w:r>
          </w:p>
        </w:tc>
        <w:tc>
          <w:tcPr>
            <w:tcW w:w="938" w:type="pct"/>
          </w:tcPr>
          <w:p w14:paraId="4D97F4B8" w14:textId="77777777" w:rsidR="004A1008" w:rsidRPr="001419C7" w:rsidRDefault="004A1008" w:rsidP="004A1008">
            <w:r w:rsidRPr="001419C7">
              <w:t>A23.G</w:t>
            </w:r>
          </w:p>
        </w:tc>
      </w:tr>
    </w:tbl>
    <w:p w14:paraId="23E5D1FE" w14:textId="77777777" w:rsidR="004A1008" w:rsidRPr="001419C7" w:rsidRDefault="004A1008" w:rsidP="004A1008"/>
    <w:p w14:paraId="42B5CC66" w14:textId="77777777" w:rsidR="004A1008" w:rsidRPr="001419C7" w:rsidRDefault="004A1008" w:rsidP="004A1008">
      <w:pPr>
        <w:pStyle w:val="Caption"/>
      </w:pPr>
      <w:r w:rsidRPr="001419C7">
        <w:t xml:space="preserve">Capital Projects </w:t>
      </w:r>
      <w:r w:rsidRPr="00D64641">
        <w:t>P</w:t>
      </w:r>
      <w:r>
        <w:t xml:space="preserve">rice </w:t>
      </w:r>
      <w:r w:rsidRPr="00D64641">
        <w:t>C</w:t>
      </w:r>
      <w:r>
        <w:t xml:space="preserve">ontrol </w:t>
      </w:r>
      <w:r w:rsidRPr="00D64641">
        <w:t>D</w:t>
      </w:r>
      <w:r>
        <w:t>eliverable</w:t>
      </w:r>
      <w:r w:rsidRPr="001419C7">
        <w:t xml:space="preserve"> – SGN</w:t>
      </w:r>
    </w:p>
    <w:tbl>
      <w:tblPr>
        <w:tblStyle w:val="AppendixTable"/>
        <w:tblW w:w="5000" w:type="pct"/>
        <w:tblLook w:val="04A0" w:firstRow="1" w:lastRow="0" w:firstColumn="1" w:lastColumn="0" w:noHBand="0" w:noVBand="1"/>
      </w:tblPr>
      <w:tblGrid>
        <w:gridCol w:w="1035"/>
        <w:gridCol w:w="2985"/>
        <w:gridCol w:w="1656"/>
        <w:gridCol w:w="1657"/>
        <w:gridCol w:w="1693"/>
      </w:tblGrid>
      <w:tr w:rsidR="004A1008" w:rsidRPr="00DE541A" w14:paraId="39477DFC" w14:textId="77777777" w:rsidTr="004A1008">
        <w:trPr>
          <w:cnfStyle w:val="100000000000" w:firstRow="1" w:lastRow="0" w:firstColumn="0" w:lastColumn="0" w:oddVBand="0" w:evenVBand="0" w:oddHBand="0" w:evenHBand="0" w:firstRowFirstColumn="0" w:firstRowLastColumn="0" w:lastRowFirstColumn="0" w:lastRowLastColumn="0"/>
          <w:trHeight w:val="305"/>
        </w:trPr>
        <w:tc>
          <w:tcPr>
            <w:tcW w:w="573" w:type="pct"/>
          </w:tcPr>
          <w:p w14:paraId="536F37B3" w14:textId="77777777" w:rsidR="004A1008" w:rsidRPr="001419C7" w:rsidRDefault="004A1008" w:rsidP="004A1008">
            <w:r w:rsidRPr="001419C7">
              <w:t>Licensee</w:t>
            </w:r>
          </w:p>
        </w:tc>
        <w:tc>
          <w:tcPr>
            <w:tcW w:w="1653" w:type="pct"/>
          </w:tcPr>
          <w:p w14:paraId="6CB8B547" w14:textId="77777777" w:rsidR="004A1008" w:rsidRPr="001419C7" w:rsidRDefault="004A1008" w:rsidP="004A1008">
            <w:r w:rsidRPr="001419C7">
              <w:t>Project Name</w:t>
            </w:r>
          </w:p>
        </w:tc>
        <w:tc>
          <w:tcPr>
            <w:tcW w:w="917" w:type="pct"/>
          </w:tcPr>
          <w:p w14:paraId="050F4A2D" w14:textId="77777777" w:rsidR="004A1008" w:rsidRPr="001419C7" w:rsidRDefault="004A1008" w:rsidP="004A1008">
            <w:r w:rsidRPr="001419C7">
              <w:t>Delivery Date</w:t>
            </w:r>
          </w:p>
        </w:tc>
        <w:tc>
          <w:tcPr>
            <w:tcW w:w="918" w:type="pct"/>
          </w:tcPr>
          <w:p w14:paraId="369D4AAF" w14:textId="77777777" w:rsidR="004A1008" w:rsidRPr="001419C7" w:rsidRDefault="004A1008" w:rsidP="004A1008">
            <w:r w:rsidRPr="001419C7">
              <w:t>Total Allowance</w:t>
            </w:r>
          </w:p>
          <w:p w14:paraId="4B46E71A" w14:textId="77777777" w:rsidR="004A1008" w:rsidRPr="001419C7" w:rsidRDefault="004A1008" w:rsidP="004A1008"/>
        </w:tc>
        <w:tc>
          <w:tcPr>
            <w:tcW w:w="938" w:type="pct"/>
          </w:tcPr>
          <w:p w14:paraId="7A1CADE1" w14:textId="77777777" w:rsidR="004A1008" w:rsidRPr="001419C7" w:rsidRDefault="004A1008" w:rsidP="004A1008">
            <w:r w:rsidRPr="001419C7">
              <w:t>Outputs (Reference to EJP)</w:t>
            </w:r>
          </w:p>
        </w:tc>
      </w:tr>
      <w:tr w:rsidR="004A1008" w:rsidRPr="005D5E8A" w14:paraId="338616D0" w14:textId="77777777" w:rsidTr="004A1008">
        <w:trPr>
          <w:trHeight w:val="321"/>
        </w:trPr>
        <w:tc>
          <w:tcPr>
            <w:tcW w:w="573" w:type="pct"/>
          </w:tcPr>
          <w:p w14:paraId="06B90019" w14:textId="77777777" w:rsidR="004A1008" w:rsidRPr="001419C7" w:rsidRDefault="004A1008" w:rsidP="004A1008">
            <w:r w:rsidRPr="001419C7">
              <w:t>SC</w:t>
            </w:r>
          </w:p>
        </w:tc>
        <w:tc>
          <w:tcPr>
            <w:tcW w:w="1653" w:type="pct"/>
          </w:tcPr>
          <w:p w14:paraId="02456081" w14:textId="77777777" w:rsidR="004A1008" w:rsidRPr="001419C7" w:rsidRDefault="004A1008" w:rsidP="004A1008">
            <w:r w:rsidRPr="001419C7">
              <w:t>RO2 Dunkeld</w:t>
            </w:r>
          </w:p>
        </w:tc>
        <w:tc>
          <w:tcPr>
            <w:tcW w:w="917" w:type="pct"/>
          </w:tcPr>
          <w:p w14:paraId="3A93E8CA" w14:textId="77777777" w:rsidR="004A1008" w:rsidRPr="001419C7" w:rsidRDefault="004A1008" w:rsidP="004A1008">
            <w:r w:rsidRPr="001419C7">
              <w:t>March 2026</w:t>
            </w:r>
          </w:p>
        </w:tc>
        <w:tc>
          <w:tcPr>
            <w:tcW w:w="918" w:type="pct"/>
          </w:tcPr>
          <w:p w14:paraId="57566281" w14:textId="77777777" w:rsidR="004A1008" w:rsidRPr="001419C7" w:rsidRDefault="004A1008" w:rsidP="004A1008">
            <w:r w:rsidRPr="001419C7">
              <w:t>23.10</w:t>
            </w:r>
          </w:p>
        </w:tc>
        <w:tc>
          <w:tcPr>
            <w:tcW w:w="938" w:type="pct"/>
          </w:tcPr>
          <w:p w14:paraId="280DC688" w14:textId="77777777" w:rsidR="004A1008" w:rsidRPr="001419C7" w:rsidRDefault="004A1008" w:rsidP="004A1008">
            <w:r w:rsidRPr="001419C7">
              <w:t>SGN-Trans-029Dunk</w:t>
            </w:r>
          </w:p>
        </w:tc>
      </w:tr>
      <w:tr w:rsidR="004A1008" w:rsidRPr="005D5E8A" w14:paraId="113D795A" w14:textId="77777777" w:rsidTr="004A1008">
        <w:trPr>
          <w:trHeight w:val="321"/>
        </w:trPr>
        <w:tc>
          <w:tcPr>
            <w:tcW w:w="573" w:type="pct"/>
          </w:tcPr>
          <w:p w14:paraId="3A260760" w14:textId="77777777" w:rsidR="004A1008" w:rsidRPr="001419C7" w:rsidRDefault="004A1008" w:rsidP="004A1008">
            <w:r w:rsidRPr="001419C7">
              <w:lastRenderedPageBreak/>
              <w:t>SC</w:t>
            </w:r>
          </w:p>
        </w:tc>
        <w:tc>
          <w:tcPr>
            <w:tcW w:w="1653" w:type="pct"/>
          </w:tcPr>
          <w:p w14:paraId="5FF5B13C" w14:textId="77777777" w:rsidR="004A1008" w:rsidRPr="001419C7" w:rsidRDefault="004A1008" w:rsidP="004A1008">
            <w:r w:rsidRPr="001419C7">
              <w:t>T8: Pitcairngreen to Huntingtower - R04 and R05</w:t>
            </w:r>
          </w:p>
        </w:tc>
        <w:tc>
          <w:tcPr>
            <w:tcW w:w="917" w:type="pct"/>
          </w:tcPr>
          <w:p w14:paraId="6F9D2FF3" w14:textId="77777777" w:rsidR="004A1008" w:rsidRPr="001419C7" w:rsidRDefault="004A1008" w:rsidP="004A1008">
            <w:r w:rsidRPr="001419C7">
              <w:t>March 2026</w:t>
            </w:r>
          </w:p>
        </w:tc>
        <w:tc>
          <w:tcPr>
            <w:tcW w:w="918" w:type="pct"/>
          </w:tcPr>
          <w:p w14:paraId="7C455F5B" w14:textId="77777777" w:rsidR="004A1008" w:rsidRPr="001419C7" w:rsidRDefault="004A1008" w:rsidP="004A1008">
            <w:r w:rsidRPr="001419C7">
              <w:t>5.67</w:t>
            </w:r>
          </w:p>
        </w:tc>
        <w:tc>
          <w:tcPr>
            <w:tcW w:w="938" w:type="pct"/>
          </w:tcPr>
          <w:p w14:paraId="0C681D6C" w14:textId="77777777" w:rsidR="004A1008" w:rsidRPr="001419C7" w:rsidRDefault="004A1008" w:rsidP="004A1008">
            <w:r w:rsidRPr="001419C7">
              <w:t>SGN-Trans-030Capa</w:t>
            </w:r>
          </w:p>
        </w:tc>
      </w:tr>
      <w:tr w:rsidR="004A1008" w:rsidRPr="005D5E8A" w14:paraId="43F15956" w14:textId="77777777" w:rsidTr="004A1008">
        <w:trPr>
          <w:trHeight w:val="321"/>
        </w:trPr>
        <w:tc>
          <w:tcPr>
            <w:tcW w:w="573" w:type="pct"/>
          </w:tcPr>
          <w:p w14:paraId="7E651F40" w14:textId="77777777" w:rsidR="004A1008" w:rsidRPr="001419C7" w:rsidRDefault="004A1008" w:rsidP="004A1008">
            <w:r w:rsidRPr="001419C7">
              <w:t>SC</w:t>
            </w:r>
          </w:p>
        </w:tc>
        <w:tc>
          <w:tcPr>
            <w:tcW w:w="1653" w:type="pct"/>
          </w:tcPr>
          <w:p w14:paraId="086CC4E0" w14:textId="77777777" w:rsidR="004A1008" w:rsidRPr="001419C7" w:rsidRDefault="004A1008" w:rsidP="004A1008">
            <w:r w:rsidRPr="001419C7">
              <w:t>E&amp;I Upgrade Programme (5 sites)</w:t>
            </w:r>
          </w:p>
        </w:tc>
        <w:tc>
          <w:tcPr>
            <w:tcW w:w="917" w:type="pct"/>
          </w:tcPr>
          <w:p w14:paraId="4FC98B22" w14:textId="77777777" w:rsidR="004A1008" w:rsidRPr="001419C7" w:rsidRDefault="004A1008" w:rsidP="004A1008">
            <w:r w:rsidRPr="001419C7">
              <w:t>March 2026</w:t>
            </w:r>
          </w:p>
        </w:tc>
        <w:tc>
          <w:tcPr>
            <w:tcW w:w="918" w:type="pct"/>
          </w:tcPr>
          <w:p w14:paraId="01EB7551" w14:textId="77777777" w:rsidR="004A1008" w:rsidRPr="001419C7" w:rsidRDefault="004A1008" w:rsidP="004A1008">
            <w:r w:rsidRPr="001419C7">
              <w:t>1.05</w:t>
            </w:r>
          </w:p>
        </w:tc>
        <w:tc>
          <w:tcPr>
            <w:tcW w:w="938" w:type="pct"/>
          </w:tcPr>
          <w:p w14:paraId="41004F5C" w14:textId="77777777" w:rsidR="004A1008" w:rsidRPr="001419C7" w:rsidRDefault="004A1008" w:rsidP="004A1008">
            <w:r w:rsidRPr="001419C7">
              <w:t>SGN-EandI-005Upgrades</w:t>
            </w:r>
          </w:p>
        </w:tc>
      </w:tr>
      <w:tr w:rsidR="004A1008" w:rsidRPr="005D5E8A" w14:paraId="223EE767" w14:textId="77777777" w:rsidTr="004A1008">
        <w:trPr>
          <w:trHeight w:val="321"/>
        </w:trPr>
        <w:tc>
          <w:tcPr>
            <w:tcW w:w="573" w:type="pct"/>
          </w:tcPr>
          <w:p w14:paraId="1CFD0BB7" w14:textId="77777777" w:rsidR="004A1008" w:rsidRPr="001419C7" w:rsidRDefault="004A1008" w:rsidP="004A1008">
            <w:r w:rsidRPr="001419C7">
              <w:t>SC</w:t>
            </w:r>
          </w:p>
        </w:tc>
        <w:tc>
          <w:tcPr>
            <w:tcW w:w="1653" w:type="pct"/>
          </w:tcPr>
          <w:p w14:paraId="32B72C4B" w14:textId="77777777" w:rsidR="004A1008" w:rsidRPr="001419C7" w:rsidRDefault="004A1008" w:rsidP="004A1008">
            <w:r w:rsidRPr="001419C7">
              <w:t>ICMDL</w:t>
            </w:r>
          </w:p>
        </w:tc>
        <w:tc>
          <w:tcPr>
            <w:tcW w:w="917" w:type="pct"/>
          </w:tcPr>
          <w:p w14:paraId="382B17A8" w14:textId="77777777" w:rsidR="004A1008" w:rsidRPr="001419C7" w:rsidRDefault="004A1008" w:rsidP="004A1008">
            <w:r w:rsidRPr="001419C7">
              <w:t>March 2026</w:t>
            </w:r>
          </w:p>
        </w:tc>
        <w:tc>
          <w:tcPr>
            <w:tcW w:w="918" w:type="pct"/>
          </w:tcPr>
          <w:p w14:paraId="68375CC6" w14:textId="77777777" w:rsidR="004A1008" w:rsidRPr="001419C7" w:rsidRDefault="004A1008" w:rsidP="004A1008">
            <w:r w:rsidRPr="001419C7">
              <w:t>1.99</w:t>
            </w:r>
          </w:p>
        </w:tc>
        <w:tc>
          <w:tcPr>
            <w:tcW w:w="938" w:type="pct"/>
          </w:tcPr>
          <w:p w14:paraId="2EEF027B" w14:textId="77777777" w:rsidR="004A1008" w:rsidRPr="001419C7" w:rsidRDefault="004A1008" w:rsidP="004A1008">
            <w:r w:rsidRPr="001419C7">
              <w:t>SGN-EandI-006ICMDatalog</w:t>
            </w:r>
          </w:p>
        </w:tc>
      </w:tr>
      <w:tr w:rsidR="004A1008" w:rsidRPr="005D5E8A" w14:paraId="42504F4A" w14:textId="77777777" w:rsidTr="004A1008">
        <w:trPr>
          <w:trHeight w:val="321"/>
        </w:trPr>
        <w:tc>
          <w:tcPr>
            <w:tcW w:w="573" w:type="pct"/>
          </w:tcPr>
          <w:p w14:paraId="62400F2A" w14:textId="77777777" w:rsidR="004A1008" w:rsidRPr="001419C7" w:rsidRDefault="004A1008" w:rsidP="004A1008">
            <w:r w:rsidRPr="001419C7">
              <w:t>SC</w:t>
            </w:r>
          </w:p>
        </w:tc>
        <w:tc>
          <w:tcPr>
            <w:tcW w:w="1653" w:type="pct"/>
          </w:tcPr>
          <w:p w14:paraId="4E92B9AA" w14:textId="77777777" w:rsidR="004A1008" w:rsidRPr="001419C7" w:rsidRDefault="004A1008" w:rsidP="004A1008">
            <w:r w:rsidRPr="001419C7">
              <w:t>Telemetry Upgrades (8 Offtakes)</w:t>
            </w:r>
          </w:p>
        </w:tc>
        <w:tc>
          <w:tcPr>
            <w:tcW w:w="917" w:type="pct"/>
          </w:tcPr>
          <w:p w14:paraId="6DE98ED0" w14:textId="77777777" w:rsidR="004A1008" w:rsidRPr="001419C7" w:rsidRDefault="004A1008" w:rsidP="004A1008">
            <w:r w:rsidRPr="001419C7">
              <w:t>March 2026</w:t>
            </w:r>
          </w:p>
        </w:tc>
        <w:tc>
          <w:tcPr>
            <w:tcW w:w="918" w:type="pct"/>
          </w:tcPr>
          <w:p w14:paraId="3418BC85" w14:textId="77777777" w:rsidR="004A1008" w:rsidRPr="001419C7" w:rsidRDefault="004A1008" w:rsidP="004A1008">
            <w:r w:rsidRPr="001419C7">
              <w:t>0.46</w:t>
            </w:r>
          </w:p>
        </w:tc>
        <w:tc>
          <w:tcPr>
            <w:tcW w:w="938" w:type="pct"/>
          </w:tcPr>
          <w:p w14:paraId="34051701" w14:textId="77777777" w:rsidR="004A1008" w:rsidRPr="001419C7" w:rsidRDefault="004A1008" w:rsidP="004A1008">
            <w:r w:rsidRPr="001419C7">
              <w:t>SGN-EandI-001Tele</w:t>
            </w:r>
          </w:p>
        </w:tc>
      </w:tr>
      <w:tr w:rsidR="004A1008" w:rsidRPr="005D5E8A" w14:paraId="4FE6D7C4" w14:textId="77777777" w:rsidTr="004A1008">
        <w:trPr>
          <w:trHeight w:val="321"/>
        </w:trPr>
        <w:tc>
          <w:tcPr>
            <w:tcW w:w="573" w:type="pct"/>
          </w:tcPr>
          <w:p w14:paraId="1DFEA021" w14:textId="77777777" w:rsidR="004A1008" w:rsidRPr="001419C7" w:rsidRDefault="004A1008" w:rsidP="004A1008">
            <w:r w:rsidRPr="001419C7">
              <w:t>SC</w:t>
            </w:r>
          </w:p>
        </w:tc>
        <w:tc>
          <w:tcPr>
            <w:tcW w:w="1653" w:type="pct"/>
          </w:tcPr>
          <w:p w14:paraId="4C51C816" w14:textId="77777777" w:rsidR="004A1008" w:rsidRPr="001419C7" w:rsidRDefault="004A1008" w:rsidP="004A1008">
            <w:r w:rsidRPr="001419C7">
              <w:t xml:space="preserve">Dreghorn PRS </w:t>
            </w:r>
          </w:p>
        </w:tc>
        <w:tc>
          <w:tcPr>
            <w:tcW w:w="917" w:type="pct"/>
          </w:tcPr>
          <w:p w14:paraId="7875D35F" w14:textId="77777777" w:rsidR="004A1008" w:rsidRPr="001419C7" w:rsidRDefault="004A1008" w:rsidP="004A1008">
            <w:r w:rsidRPr="001419C7">
              <w:t>March 2026</w:t>
            </w:r>
          </w:p>
        </w:tc>
        <w:tc>
          <w:tcPr>
            <w:tcW w:w="918" w:type="pct"/>
          </w:tcPr>
          <w:p w14:paraId="5B3AEC7B" w14:textId="77777777" w:rsidR="004A1008" w:rsidRPr="001419C7" w:rsidRDefault="004A1008" w:rsidP="004A1008">
            <w:r w:rsidRPr="001419C7">
              <w:t>2.04</w:t>
            </w:r>
          </w:p>
        </w:tc>
        <w:tc>
          <w:tcPr>
            <w:tcW w:w="938" w:type="pct"/>
          </w:tcPr>
          <w:p w14:paraId="7E8F0605" w14:textId="77777777" w:rsidR="004A1008" w:rsidRPr="001419C7" w:rsidRDefault="004A1008" w:rsidP="004A1008">
            <w:r w:rsidRPr="001419C7">
              <w:t>SGN-Trans-030Capa</w:t>
            </w:r>
          </w:p>
        </w:tc>
      </w:tr>
      <w:tr w:rsidR="004A1008" w:rsidRPr="005D5E8A" w14:paraId="0516EEAD" w14:textId="77777777" w:rsidTr="004A1008">
        <w:trPr>
          <w:trHeight w:val="321"/>
        </w:trPr>
        <w:tc>
          <w:tcPr>
            <w:tcW w:w="573" w:type="pct"/>
          </w:tcPr>
          <w:p w14:paraId="65F04E0C" w14:textId="77777777" w:rsidR="004A1008" w:rsidRPr="001419C7" w:rsidRDefault="004A1008" w:rsidP="004A1008">
            <w:r w:rsidRPr="001419C7">
              <w:t>SC</w:t>
            </w:r>
          </w:p>
        </w:tc>
        <w:tc>
          <w:tcPr>
            <w:tcW w:w="1653" w:type="pct"/>
          </w:tcPr>
          <w:p w14:paraId="4EEF0603" w14:textId="77777777" w:rsidR="004A1008" w:rsidRPr="001419C7" w:rsidRDefault="004A1008" w:rsidP="004A1008">
            <w:r w:rsidRPr="001419C7">
              <w:t>E&amp;I Upgrade Programme (4 sites)</w:t>
            </w:r>
          </w:p>
        </w:tc>
        <w:tc>
          <w:tcPr>
            <w:tcW w:w="917" w:type="pct"/>
          </w:tcPr>
          <w:p w14:paraId="42C69142" w14:textId="77777777" w:rsidR="004A1008" w:rsidRPr="001419C7" w:rsidRDefault="004A1008" w:rsidP="004A1008">
            <w:r w:rsidRPr="001419C7">
              <w:t>March 2026</w:t>
            </w:r>
          </w:p>
        </w:tc>
        <w:tc>
          <w:tcPr>
            <w:tcW w:w="918" w:type="pct"/>
          </w:tcPr>
          <w:p w14:paraId="56BF6798" w14:textId="77777777" w:rsidR="004A1008" w:rsidRPr="001419C7" w:rsidRDefault="004A1008" w:rsidP="004A1008">
            <w:r w:rsidRPr="001419C7">
              <w:t>0.55</w:t>
            </w:r>
          </w:p>
        </w:tc>
        <w:tc>
          <w:tcPr>
            <w:tcW w:w="938" w:type="pct"/>
          </w:tcPr>
          <w:p w14:paraId="07F60B2A" w14:textId="77777777" w:rsidR="004A1008" w:rsidRPr="001419C7" w:rsidRDefault="004A1008" w:rsidP="004A1008">
            <w:r w:rsidRPr="001419C7">
              <w:t>SGN-EandI-005Upgrades</w:t>
            </w:r>
          </w:p>
        </w:tc>
      </w:tr>
      <w:tr w:rsidR="004A1008" w:rsidRPr="005D5E8A" w14:paraId="589BB08F" w14:textId="77777777" w:rsidTr="004A1008">
        <w:trPr>
          <w:trHeight w:val="321"/>
        </w:trPr>
        <w:tc>
          <w:tcPr>
            <w:tcW w:w="573" w:type="pct"/>
          </w:tcPr>
          <w:p w14:paraId="5BCF20F6" w14:textId="77777777" w:rsidR="004A1008" w:rsidRPr="001419C7" w:rsidRDefault="004A1008" w:rsidP="004A1008">
            <w:r w:rsidRPr="001419C7">
              <w:t>SC</w:t>
            </w:r>
          </w:p>
        </w:tc>
        <w:tc>
          <w:tcPr>
            <w:tcW w:w="1653" w:type="pct"/>
          </w:tcPr>
          <w:p w14:paraId="34306D76" w14:textId="77777777" w:rsidR="004A1008" w:rsidRPr="001419C7" w:rsidRDefault="004A1008" w:rsidP="004A1008">
            <w:r w:rsidRPr="001419C7">
              <w:t>New PRS (Edinburgh South East Wedge)</w:t>
            </w:r>
          </w:p>
        </w:tc>
        <w:tc>
          <w:tcPr>
            <w:tcW w:w="917" w:type="pct"/>
          </w:tcPr>
          <w:p w14:paraId="40E41784" w14:textId="77777777" w:rsidR="004A1008" w:rsidRPr="001419C7" w:rsidRDefault="004A1008" w:rsidP="004A1008">
            <w:r w:rsidRPr="001419C7">
              <w:t>March 2026</w:t>
            </w:r>
          </w:p>
        </w:tc>
        <w:tc>
          <w:tcPr>
            <w:tcW w:w="918" w:type="pct"/>
          </w:tcPr>
          <w:p w14:paraId="09670005" w14:textId="77777777" w:rsidR="004A1008" w:rsidRPr="001419C7" w:rsidRDefault="004A1008" w:rsidP="004A1008">
            <w:r w:rsidRPr="001419C7">
              <w:t>2.34</w:t>
            </w:r>
          </w:p>
        </w:tc>
        <w:tc>
          <w:tcPr>
            <w:tcW w:w="938" w:type="pct"/>
          </w:tcPr>
          <w:p w14:paraId="4F7863DB" w14:textId="77777777" w:rsidR="004A1008" w:rsidRPr="001419C7" w:rsidRDefault="004A1008" w:rsidP="004A1008">
            <w:r w:rsidRPr="001419C7">
              <w:t>SGN-Trans-030Capa</w:t>
            </w:r>
          </w:p>
        </w:tc>
      </w:tr>
      <w:tr w:rsidR="004A1008" w:rsidRPr="005D5E8A" w14:paraId="4C48A166" w14:textId="77777777" w:rsidTr="004A1008">
        <w:trPr>
          <w:trHeight w:val="321"/>
        </w:trPr>
        <w:tc>
          <w:tcPr>
            <w:tcW w:w="573" w:type="pct"/>
          </w:tcPr>
          <w:p w14:paraId="67D13C48" w14:textId="77777777" w:rsidR="004A1008" w:rsidRPr="001419C7" w:rsidRDefault="004A1008" w:rsidP="004A1008">
            <w:r w:rsidRPr="001419C7">
              <w:t>SC</w:t>
            </w:r>
          </w:p>
        </w:tc>
        <w:tc>
          <w:tcPr>
            <w:tcW w:w="1653" w:type="pct"/>
          </w:tcPr>
          <w:p w14:paraId="61028A4B" w14:textId="77777777" w:rsidR="004A1008" w:rsidRPr="001419C7" w:rsidRDefault="004A1008" w:rsidP="004A1008">
            <w:r w:rsidRPr="001419C7">
              <w:t>Newton Means and Waterfoot PRS</w:t>
            </w:r>
          </w:p>
        </w:tc>
        <w:tc>
          <w:tcPr>
            <w:tcW w:w="917" w:type="pct"/>
          </w:tcPr>
          <w:p w14:paraId="39804DEA" w14:textId="77777777" w:rsidR="004A1008" w:rsidRPr="001419C7" w:rsidRDefault="004A1008" w:rsidP="004A1008">
            <w:r w:rsidRPr="001419C7">
              <w:t>March 2026</w:t>
            </w:r>
          </w:p>
        </w:tc>
        <w:tc>
          <w:tcPr>
            <w:tcW w:w="918" w:type="pct"/>
          </w:tcPr>
          <w:p w14:paraId="0A39EEB7" w14:textId="77777777" w:rsidR="004A1008" w:rsidRPr="001419C7" w:rsidRDefault="004A1008" w:rsidP="004A1008">
            <w:r w:rsidRPr="001419C7">
              <w:t>7.54</w:t>
            </w:r>
          </w:p>
        </w:tc>
        <w:tc>
          <w:tcPr>
            <w:tcW w:w="938" w:type="pct"/>
          </w:tcPr>
          <w:p w14:paraId="6B879AC0" w14:textId="77777777" w:rsidR="004A1008" w:rsidRPr="001419C7" w:rsidRDefault="004A1008" w:rsidP="004A1008">
            <w:r w:rsidRPr="001419C7">
              <w:t>SGN-Trans-023Newt</w:t>
            </w:r>
          </w:p>
        </w:tc>
      </w:tr>
      <w:tr w:rsidR="004A1008" w:rsidRPr="005D5E8A" w14:paraId="0F8DD666" w14:textId="77777777" w:rsidTr="004A1008">
        <w:trPr>
          <w:trHeight w:val="321"/>
        </w:trPr>
        <w:tc>
          <w:tcPr>
            <w:tcW w:w="573" w:type="pct"/>
          </w:tcPr>
          <w:p w14:paraId="1964A464" w14:textId="77777777" w:rsidR="004A1008" w:rsidRPr="001419C7" w:rsidRDefault="004A1008" w:rsidP="004A1008">
            <w:r w:rsidRPr="001419C7">
              <w:t>SC</w:t>
            </w:r>
          </w:p>
        </w:tc>
        <w:tc>
          <w:tcPr>
            <w:tcW w:w="1653" w:type="pct"/>
          </w:tcPr>
          <w:p w14:paraId="45035E1B" w14:textId="77777777" w:rsidR="004A1008" w:rsidRPr="001419C7" w:rsidRDefault="004A1008" w:rsidP="004A1008">
            <w:r w:rsidRPr="001419C7">
              <w:t>Provan PRS</w:t>
            </w:r>
          </w:p>
        </w:tc>
        <w:tc>
          <w:tcPr>
            <w:tcW w:w="917" w:type="pct"/>
          </w:tcPr>
          <w:p w14:paraId="2D3DFA1E" w14:textId="77777777" w:rsidR="004A1008" w:rsidRPr="001419C7" w:rsidRDefault="004A1008" w:rsidP="004A1008">
            <w:r w:rsidRPr="001419C7">
              <w:t>March 2026</w:t>
            </w:r>
          </w:p>
        </w:tc>
        <w:tc>
          <w:tcPr>
            <w:tcW w:w="918" w:type="pct"/>
          </w:tcPr>
          <w:p w14:paraId="3DB10F3D" w14:textId="77777777" w:rsidR="004A1008" w:rsidRPr="001419C7" w:rsidRDefault="004A1008" w:rsidP="004A1008">
            <w:r w:rsidRPr="001419C7">
              <w:t>11.96</w:t>
            </w:r>
          </w:p>
        </w:tc>
        <w:tc>
          <w:tcPr>
            <w:tcW w:w="938" w:type="pct"/>
          </w:tcPr>
          <w:p w14:paraId="4CA275CB" w14:textId="77777777" w:rsidR="004A1008" w:rsidRPr="001419C7" w:rsidRDefault="004A1008" w:rsidP="004A1008">
            <w:r w:rsidRPr="001419C7">
              <w:t>SGN-Trans-022Prov</w:t>
            </w:r>
          </w:p>
        </w:tc>
      </w:tr>
      <w:tr w:rsidR="004A1008" w:rsidRPr="005D5E8A" w14:paraId="080DAD7E" w14:textId="77777777" w:rsidTr="004A1008">
        <w:trPr>
          <w:trHeight w:val="321"/>
        </w:trPr>
        <w:tc>
          <w:tcPr>
            <w:tcW w:w="573" w:type="pct"/>
          </w:tcPr>
          <w:p w14:paraId="4F66BEE0" w14:textId="77777777" w:rsidR="004A1008" w:rsidRPr="001419C7" w:rsidRDefault="004A1008" w:rsidP="004A1008">
            <w:r w:rsidRPr="001419C7">
              <w:t>SC</w:t>
            </w:r>
          </w:p>
        </w:tc>
        <w:tc>
          <w:tcPr>
            <w:tcW w:w="1653" w:type="pct"/>
          </w:tcPr>
          <w:p w14:paraId="33B57D94" w14:textId="77777777" w:rsidR="004A1008" w:rsidRPr="001419C7" w:rsidRDefault="004A1008" w:rsidP="004A1008">
            <w:r w:rsidRPr="001419C7">
              <w:t>Telemetry Upgrade (73 PRS')</w:t>
            </w:r>
          </w:p>
        </w:tc>
        <w:tc>
          <w:tcPr>
            <w:tcW w:w="917" w:type="pct"/>
          </w:tcPr>
          <w:p w14:paraId="549F6750" w14:textId="77777777" w:rsidR="004A1008" w:rsidRPr="001419C7" w:rsidRDefault="004A1008" w:rsidP="004A1008">
            <w:r w:rsidRPr="001419C7">
              <w:t>March 2026</w:t>
            </w:r>
          </w:p>
        </w:tc>
        <w:tc>
          <w:tcPr>
            <w:tcW w:w="918" w:type="pct"/>
          </w:tcPr>
          <w:p w14:paraId="024B4C05" w14:textId="77777777" w:rsidR="004A1008" w:rsidRPr="001419C7" w:rsidRDefault="004A1008" w:rsidP="004A1008">
            <w:r w:rsidRPr="001419C7">
              <w:t>3.33</w:t>
            </w:r>
          </w:p>
        </w:tc>
        <w:tc>
          <w:tcPr>
            <w:tcW w:w="938" w:type="pct"/>
          </w:tcPr>
          <w:p w14:paraId="1DB01B22" w14:textId="77777777" w:rsidR="004A1008" w:rsidRPr="001419C7" w:rsidRDefault="004A1008" w:rsidP="004A1008">
            <w:r w:rsidRPr="001419C7">
              <w:t>SGN-EandI-001Tele</w:t>
            </w:r>
          </w:p>
        </w:tc>
      </w:tr>
      <w:tr w:rsidR="004A1008" w:rsidRPr="005D5E8A" w14:paraId="6CE889AF" w14:textId="77777777" w:rsidTr="004A1008">
        <w:trPr>
          <w:trHeight w:val="321"/>
        </w:trPr>
        <w:tc>
          <w:tcPr>
            <w:tcW w:w="573" w:type="pct"/>
          </w:tcPr>
          <w:p w14:paraId="0FC55F7E" w14:textId="77777777" w:rsidR="004A1008" w:rsidRPr="001419C7" w:rsidRDefault="004A1008" w:rsidP="004A1008">
            <w:r w:rsidRPr="001419C7">
              <w:t>SC</w:t>
            </w:r>
          </w:p>
        </w:tc>
        <w:tc>
          <w:tcPr>
            <w:tcW w:w="1653" w:type="pct"/>
          </w:tcPr>
          <w:p w14:paraId="21ED1867" w14:textId="77777777" w:rsidR="004A1008" w:rsidRPr="001419C7" w:rsidRDefault="004A1008" w:rsidP="004A1008">
            <w:r w:rsidRPr="001419C7">
              <w:t xml:space="preserve">Tranent PRS </w:t>
            </w:r>
          </w:p>
        </w:tc>
        <w:tc>
          <w:tcPr>
            <w:tcW w:w="917" w:type="pct"/>
          </w:tcPr>
          <w:p w14:paraId="1FCDE0AA" w14:textId="77777777" w:rsidR="004A1008" w:rsidRPr="001419C7" w:rsidRDefault="004A1008" w:rsidP="004A1008">
            <w:r w:rsidRPr="001419C7">
              <w:t>March 2026</w:t>
            </w:r>
          </w:p>
        </w:tc>
        <w:tc>
          <w:tcPr>
            <w:tcW w:w="918" w:type="pct"/>
          </w:tcPr>
          <w:p w14:paraId="3830AAE8" w14:textId="77777777" w:rsidR="004A1008" w:rsidRPr="001419C7" w:rsidRDefault="004A1008" w:rsidP="004A1008">
            <w:r w:rsidRPr="001419C7">
              <w:t>2.39</w:t>
            </w:r>
          </w:p>
        </w:tc>
        <w:tc>
          <w:tcPr>
            <w:tcW w:w="938" w:type="pct"/>
          </w:tcPr>
          <w:p w14:paraId="3E195542" w14:textId="77777777" w:rsidR="004A1008" w:rsidRPr="001419C7" w:rsidRDefault="004A1008" w:rsidP="004A1008">
            <w:r w:rsidRPr="001419C7">
              <w:t>SGN-Trans-030Capa</w:t>
            </w:r>
          </w:p>
        </w:tc>
      </w:tr>
      <w:tr w:rsidR="004A1008" w:rsidRPr="005D5E8A" w14:paraId="494DAF19" w14:textId="77777777" w:rsidTr="004A1008">
        <w:trPr>
          <w:trHeight w:val="321"/>
        </w:trPr>
        <w:tc>
          <w:tcPr>
            <w:tcW w:w="573" w:type="pct"/>
          </w:tcPr>
          <w:p w14:paraId="2FF6EE12" w14:textId="77777777" w:rsidR="004A1008" w:rsidRPr="001419C7" w:rsidRDefault="004A1008" w:rsidP="004A1008">
            <w:r w:rsidRPr="001419C7">
              <w:t>SO</w:t>
            </w:r>
          </w:p>
        </w:tc>
        <w:tc>
          <w:tcPr>
            <w:tcW w:w="1653" w:type="pct"/>
          </w:tcPr>
          <w:p w14:paraId="2F17E6CE" w14:textId="77777777" w:rsidR="004A1008" w:rsidRPr="001419C7" w:rsidRDefault="004A1008" w:rsidP="004A1008">
            <w:r w:rsidRPr="001419C7">
              <w:t>E&amp;I Upgrade Programme (2 sites)</w:t>
            </w:r>
          </w:p>
        </w:tc>
        <w:tc>
          <w:tcPr>
            <w:tcW w:w="917" w:type="pct"/>
          </w:tcPr>
          <w:p w14:paraId="42FE4481" w14:textId="77777777" w:rsidR="004A1008" w:rsidRPr="001419C7" w:rsidRDefault="004A1008" w:rsidP="004A1008">
            <w:r w:rsidRPr="001419C7">
              <w:t>March 2026</w:t>
            </w:r>
          </w:p>
        </w:tc>
        <w:tc>
          <w:tcPr>
            <w:tcW w:w="918" w:type="pct"/>
          </w:tcPr>
          <w:p w14:paraId="2F96D045" w14:textId="77777777" w:rsidR="004A1008" w:rsidRPr="001419C7" w:rsidRDefault="004A1008" w:rsidP="004A1008">
            <w:r w:rsidRPr="001419C7">
              <w:t>0.48</w:t>
            </w:r>
          </w:p>
        </w:tc>
        <w:tc>
          <w:tcPr>
            <w:tcW w:w="938" w:type="pct"/>
          </w:tcPr>
          <w:p w14:paraId="47C0C4E0" w14:textId="77777777" w:rsidR="004A1008" w:rsidRPr="001419C7" w:rsidRDefault="004A1008" w:rsidP="004A1008">
            <w:r w:rsidRPr="001419C7">
              <w:t>SGN-EandI-005Upgrades</w:t>
            </w:r>
          </w:p>
        </w:tc>
      </w:tr>
      <w:tr w:rsidR="004A1008" w:rsidRPr="005D5E8A" w14:paraId="5E89453B" w14:textId="77777777" w:rsidTr="004A1008">
        <w:trPr>
          <w:trHeight w:val="321"/>
        </w:trPr>
        <w:tc>
          <w:tcPr>
            <w:tcW w:w="573" w:type="pct"/>
          </w:tcPr>
          <w:p w14:paraId="4443373C" w14:textId="77777777" w:rsidR="004A1008" w:rsidRPr="001419C7" w:rsidRDefault="004A1008" w:rsidP="004A1008">
            <w:r w:rsidRPr="001419C7">
              <w:t>SO</w:t>
            </w:r>
          </w:p>
        </w:tc>
        <w:tc>
          <w:tcPr>
            <w:tcW w:w="1653" w:type="pct"/>
          </w:tcPr>
          <w:p w14:paraId="61AADAE0" w14:textId="77777777" w:rsidR="004A1008" w:rsidRPr="001419C7" w:rsidRDefault="004A1008" w:rsidP="004A1008">
            <w:r w:rsidRPr="001419C7">
              <w:t>ICMDL</w:t>
            </w:r>
          </w:p>
        </w:tc>
        <w:tc>
          <w:tcPr>
            <w:tcW w:w="917" w:type="pct"/>
          </w:tcPr>
          <w:p w14:paraId="729BBAA8" w14:textId="77777777" w:rsidR="004A1008" w:rsidRPr="001419C7" w:rsidRDefault="004A1008" w:rsidP="004A1008">
            <w:r w:rsidRPr="001419C7">
              <w:t>March 2026</w:t>
            </w:r>
          </w:p>
        </w:tc>
        <w:tc>
          <w:tcPr>
            <w:tcW w:w="918" w:type="pct"/>
          </w:tcPr>
          <w:p w14:paraId="5B54C5D3" w14:textId="77777777" w:rsidR="004A1008" w:rsidRPr="001419C7" w:rsidRDefault="004A1008" w:rsidP="004A1008">
            <w:r w:rsidRPr="001419C7">
              <w:t>2.89</w:t>
            </w:r>
          </w:p>
        </w:tc>
        <w:tc>
          <w:tcPr>
            <w:tcW w:w="938" w:type="pct"/>
          </w:tcPr>
          <w:p w14:paraId="5E362729" w14:textId="77777777" w:rsidR="004A1008" w:rsidRPr="001419C7" w:rsidRDefault="004A1008" w:rsidP="004A1008">
            <w:r w:rsidRPr="001419C7">
              <w:t>SGN-EandI-006ICMDatalog</w:t>
            </w:r>
          </w:p>
        </w:tc>
      </w:tr>
      <w:tr w:rsidR="004A1008" w:rsidRPr="005D5E8A" w14:paraId="4A8C544A" w14:textId="77777777" w:rsidTr="004A1008">
        <w:trPr>
          <w:trHeight w:val="321"/>
        </w:trPr>
        <w:tc>
          <w:tcPr>
            <w:tcW w:w="573" w:type="pct"/>
          </w:tcPr>
          <w:p w14:paraId="5331D381" w14:textId="77777777" w:rsidR="004A1008" w:rsidRPr="001419C7" w:rsidRDefault="004A1008" w:rsidP="004A1008">
            <w:r w:rsidRPr="001419C7">
              <w:t>SO</w:t>
            </w:r>
          </w:p>
        </w:tc>
        <w:tc>
          <w:tcPr>
            <w:tcW w:w="1653" w:type="pct"/>
          </w:tcPr>
          <w:p w14:paraId="398BEB5B" w14:textId="77777777" w:rsidR="004A1008" w:rsidRPr="001419C7" w:rsidRDefault="004A1008" w:rsidP="004A1008">
            <w:r w:rsidRPr="001419C7">
              <w:t>Mappowder</w:t>
            </w:r>
          </w:p>
        </w:tc>
        <w:tc>
          <w:tcPr>
            <w:tcW w:w="917" w:type="pct"/>
          </w:tcPr>
          <w:p w14:paraId="47D0E6B0" w14:textId="77777777" w:rsidR="004A1008" w:rsidRPr="001419C7" w:rsidRDefault="004A1008" w:rsidP="004A1008">
            <w:r w:rsidRPr="001419C7">
              <w:t>March 2026</w:t>
            </w:r>
          </w:p>
        </w:tc>
        <w:tc>
          <w:tcPr>
            <w:tcW w:w="918" w:type="pct"/>
          </w:tcPr>
          <w:p w14:paraId="342EC59B" w14:textId="77777777" w:rsidR="004A1008" w:rsidRPr="001419C7" w:rsidRDefault="004A1008" w:rsidP="004A1008">
            <w:r w:rsidRPr="001419C7">
              <w:t>3.86</w:t>
            </w:r>
          </w:p>
        </w:tc>
        <w:tc>
          <w:tcPr>
            <w:tcW w:w="938" w:type="pct"/>
          </w:tcPr>
          <w:p w14:paraId="015F92B8" w14:textId="77777777" w:rsidR="004A1008" w:rsidRPr="001419C7" w:rsidRDefault="004A1008" w:rsidP="004A1008">
            <w:r w:rsidRPr="001419C7">
              <w:t>SGN-Trans-001Mapp</w:t>
            </w:r>
          </w:p>
        </w:tc>
      </w:tr>
      <w:tr w:rsidR="004A1008" w:rsidRPr="005D5E8A" w14:paraId="78CFFFE5" w14:textId="77777777" w:rsidTr="004A1008">
        <w:trPr>
          <w:trHeight w:val="321"/>
        </w:trPr>
        <w:tc>
          <w:tcPr>
            <w:tcW w:w="573" w:type="pct"/>
          </w:tcPr>
          <w:p w14:paraId="048A849D" w14:textId="77777777" w:rsidR="004A1008" w:rsidRPr="001419C7" w:rsidRDefault="004A1008" w:rsidP="004A1008">
            <w:r w:rsidRPr="001419C7">
              <w:t>SO</w:t>
            </w:r>
          </w:p>
        </w:tc>
        <w:tc>
          <w:tcPr>
            <w:tcW w:w="1653" w:type="pct"/>
          </w:tcPr>
          <w:p w14:paraId="510E1EED" w14:textId="77777777" w:rsidR="004A1008" w:rsidRPr="001419C7" w:rsidRDefault="004A1008" w:rsidP="004A1008">
            <w:r w:rsidRPr="001419C7">
              <w:t>Telemetry Upgrades (2 Offtakes)</w:t>
            </w:r>
          </w:p>
        </w:tc>
        <w:tc>
          <w:tcPr>
            <w:tcW w:w="917" w:type="pct"/>
          </w:tcPr>
          <w:p w14:paraId="25C5442A" w14:textId="77777777" w:rsidR="004A1008" w:rsidRPr="001419C7" w:rsidRDefault="004A1008" w:rsidP="004A1008">
            <w:r w:rsidRPr="001419C7">
              <w:t>March 2026</w:t>
            </w:r>
          </w:p>
        </w:tc>
        <w:tc>
          <w:tcPr>
            <w:tcW w:w="918" w:type="pct"/>
          </w:tcPr>
          <w:p w14:paraId="1BD4BF79" w14:textId="77777777" w:rsidR="004A1008" w:rsidRPr="001419C7" w:rsidRDefault="004A1008" w:rsidP="004A1008">
            <w:r w:rsidRPr="001419C7">
              <w:t>0.12</w:t>
            </w:r>
          </w:p>
        </w:tc>
        <w:tc>
          <w:tcPr>
            <w:tcW w:w="938" w:type="pct"/>
          </w:tcPr>
          <w:p w14:paraId="4BC251FC" w14:textId="77777777" w:rsidR="004A1008" w:rsidRPr="001419C7" w:rsidRDefault="004A1008" w:rsidP="004A1008">
            <w:r w:rsidRPr="001419C7">
              <w:t>SGN-EandI-001Tele</w:t>
            </w:r>
          </w:p>
        </w:tc>
      </w:tr>
      <w:tr w:rsidR="004A1008" w:rsidRPr="005D5E8A" w14:paraId="07EC1508" w14:textId="77777777" w:rsidTr="004A1008">
        <w:trPr>
          <w:trHeight w:val="321"/>
        </w:trPr>
        <w:tc>
          <w:tcPr>
            <w:tcW w:w="573" w:type="pct"/>
          </w:tcPr>
          <w:p w14:paraId="5E98DBBE" w14:textId="77777777" w:rsidR="004A1008" w:rsidRPr="001419C7" w:rsidRDefault="004A1008" w:rsidP="004A1008">
            <w:r w:rsidRPr="001419C7">
              <w:t>SO</w:t>
            </w:r>
          </w:p>
        </w:tc>
        <w:tc>
          <w:tcPr>
            <w:tcW w:w="1653" w:type="pct"/>
          </w:tcPr>
          <w:p w14:paraId="2932E310" w14:textId="77777777" w:rsidR="004A1008" w:rsidRPr="001419C7" w:rsidRDefault="004A1008" w:rsidP="004A1008">
            <w:r w:rsidRPr="001419C7">
              <w:t>Winkfield Offtake - System 1 (South East)</w:t>
            </w:r>
          </w:p>
        </w:tc>
        <w:tc>
          <w:tcPr>
            <w:tcW w:w="917" w:type="pct"/>
          </w:tcPr>
          <w:p w14:paraId="203DAAE4" w14:textId="77777777" w:rsidR="004A1008" w:rsidRPr="001419C7" w:rsidRDefault="004A1008" w:rsidP="004A1008">
            <w:r w:rsidRPr="001419C7">
              <w:t>March 2026</w:t>
            </w:r>
          </w:p>
        </w:tc>
        <w:tc>
          <w:tcPr>
            <w:tcW w:w="918" w:type="pct"/>
          </w:tcPr>
          <w:p w14:paraId="78D1AAA4" w14:textId="77777777" w:rsidR="004A1008" w:rsidRPr="001419C7" w:rsidRDefault="004A1008" w:rsidP="004A1008">
            <w:r w:rsidRPr="001419C7">
              <w:t>4.84</w:t>
            </w:r>
          </w:p>
        </w:tc>
        <w:tc>
          <w:tcPr>
            <w:tcW w:w="938" w:type="pct"/>
          </w:tcPr>
          <w:p w14:paraId="1E8C502A" w14:textId="77777777" w:rsidR="004A1008" w:rsidRPr="001419C7" w:rsidRDefault="004A1008" w:rsidP="004A1008">
            <w:r w:rsidRPr="001419C7">
              <w:t>SGN-Trans-002Wink1</w:t>
            </w:r>
          </w:p>
        </w:tc>
      </w:tr>
      <w:tr w:rsidR="004A1008" w:rsidRPr="005D5E8A" w14:paraId="18572574" w14:textId="77777777" w:rsidTr="004A1008">
        <w:trPr>
          <w:trHeight w:val="321"/>
        </w:trPr>
        <w:tc>
          <w:tcPr>
            <w:tcW w:w="573" w:type="pct"/>
          </w:tcPr>
          <w:p w14:paraId="06EF891C" w14:textId="77777777" w:rsidR="004A1008" w:rsidRPr="001419C7" w:rsidRDefault="004A1008" w:rsidP="004A1008">
            <w:r w:rsidRPr="001419C7">
              <w:t>SO</w:t>
            </w:r>
          </w:p>
        </w:tc>
        <w:tc>
          <w:tcPr>
            <w:tcW w:w="1653" w:type="pct"/>
          </w:tcPr>
          <w:p w14:paraId="2E6BA94D" w14:textId="77777777" w:rsidR="004A1008" w:rsidRPr="001419C7" w:rsidRDefault="004A1008" w:rsidP="004A1008">
            <w:r w:rsidRPr="001419C7">
              <w:t>Winkfield Offtake - System 2 (South)</w:t>
            </w:r>
          </w:p>
        </w:tc>
        <w:tc>
          <w:tcPr>
            <w:tcW w:w="917" w:type="pct"/>
          </w:tcPr>
          <w:p w14:paraId="734AB64D" w14:textId="77777777" w:rsidR="004A1008" w:rsidRPr="001419C7" w:rsidRDefault="004A1008" w:rsidP="004A1008">
            <w:r w:rsidRPr="001419C7">
              <w:t>March 2026</w:t>
            </w:r>
          </w:p>
        </w:tc>
        <w:tc>
          <w:tcPr>
            <w:tcW w:w="918" w:type="pct"/>
          </w:tcPr>
          <w:p w14:paraId="1440A52E" w14:textId="77777777" w:rsidR="004A1008" w:rsidRPr="001419C7" w:rsidRDefault="004A1008" w:rsidP="004A1008">
            <w:r w:rsidRPr="001419C7">
              <w:t>3.81</w:t>
            </w:r>
          </w:p>
        </w:tc>
        <w:tc>
          <w:tcPr>
            <w:tcW w:w="938" w:type="pct"/>
          </w:tcPr>
          <w:p w14:paraId="0F0D9D45" w14:textId="77777777" w:rsidR="004A1008" w:rsidRPr="001419C7" w:rsidRDefault="004A1008" w:rsidP="004A1008">
            <w:r w:rsidRPr="001419C7">
              <w:t>SGN-Trans-003Wink2</w:t>
            </w:r>
          </w:p>
        </w:tc>
      </w:tr>
      <w:tr w:rsidR="004A1008" w:rsidRPr="005D5E8A" w14:paraId="0E11AFC7" w14:textId="77777777" w:rsidTr="004A1008">
        <w:trPr>
          <w:trHeight w:val="321"/>
        </w:trPr>
        <w:tc>
          <w:tcPr>
            <w:tcW w:w="573" w:type="pct"/>
          </w:tcPr>
          <w:p w14:paraId="62448E42" w14:textId="77777777" w:rsidR="004A1008" w:rsidRPr="001419C7" w:rsidRDefault="004A1008" w:rsidP="004A1008">
            <w:r w:rsidRPr="001419C7">
              <w:t>SO</w:t>
            </w:r>
          </w:p>
        </w:tc>
        <w:tc>
          <w:tcPr>
            <w:tcW w:w="1653" w:type="pct"/>
          </w:tcPr>
          <w:p w14:paraId="7B125FE0" w14:textId="77777777" w:rsidR="004A1008" w:rsidRPr="001419C7" w:rsidRDefault="004A1008" w:rsidP="004A1008">
            <w:r w:rsidRPr="001419C7">
              <w:t>E&amp;I Upgrade Programme (23 sites)</w:t>
            </w:r>
          </w:p>
        </w:tc>
        <w:tc>
          <w:tcPr>
            <w:tcW w:w="917" w:type="pct"/>
          </w:tcPr>
          <w:p w14:paraId="0AF515C8" w14:textId="77777777" w:rsidR="004A1008" w:rsidRPr="001419C7" w:rsidRDefault="004A1008" w:rsidP="004A1008">
            <w:r w:rsidRPr="001419C7">
              <w:t>March 2026</w:t>
            </w:r>
          </w:p>
        </w:tc>
        <w:tc>
          <w:tcPr>
            <w:tcW w:w="918" w:type="pct"/>
          </w:tcPr>
          <w:p w14:paraId="77514171" w14:textId="77777777" w:rsidR="004A1008" w:rsidRPr="001419C7" w:rsidRDefault="004A1008" w:rsidP="004A1008">
            <w:r w:rsidRPr="001419C7">
              <w:t>3.41</w:t>
            </w:r>
          </w:p>
        </w:tc>
        <w:tc>
          <w:tcPr>
            <w:tcW w:w="938" w:type="pct"/>
          </w:tcPr>
          <w:p w14:paraId="03487734" w14:textId="77777777" w:rsidR="004A1008" w:rsidRPr="001419C7" w:rsidRDefault="004A1008" w:rsidP="004A1008">
            <w:r w:rsidRPr="001419C7">
              <w:t>SGN-EandI-005Upgrades</w:t>
            </w:r>
          </w:p>
        </w:tc>
      </w:tr>
      <w:tr w:rsidR="004A1008" w:rsidRPr="005D5E8A" w14:paraId="7EC935D4" w14:textId="77777777" w:rsidTr="004A1008">
        <w:trPr>
          <w:trHeight w:val="321"/>
        </w:trPr>
        <w:tc>
          <w:tcPr>
            <w:tcW w:w="573" w:type="pct"/>
          </w:tcPr>
          <w:p w14:paraId="57912D60" w14:textId="77777777" w:rsidR="004A1008" w:rsidRPr="001419C7" w:rsidRDefault="004A1008" w:rsidP="004A1008">
            <w:r w:rsidRPr="001419C7">
              <w:t>SO</w:t>
            </w:r>
          </w:p>
        </w:tc>
        <w:tc>
          <w:tcPr>
            <w:tcW w:w="1653" w:type="pct"/>
          </w:tcPr>
          <w:p w14:paraId="7786A2AC" w14:textId="77777777" w:rsidR="004A1008" w:rsidRPr="001419C7" w:rsidRDefault="004A1008" w:rsidP="004A1008">
            <w:r w:rsidRPr="001419C7">
              <w:t>East Morden</w:t>
            </w:r>
          </w:p>
        </w:tc>
        <w:tc>
          <w:tcPr>
            <w:tcW w:w="917" w:type="pct"/>
          </w:tcPr>
          <w:p w14:paraId="031BA8C8" w14:textId="77777777" w:rsidR="004A1008" w:rsidRPr="001419C7" w:rsidRDefault="004A1008" w:rsidP="004A1008">
            <w:r w:rsidRPr="001419C7">
              <w:t>March 2026</w:t>
            </w:r>
          </w:p>
        </w:tc>
        <w:tc>
          <w:tcPr>
            <w:tcW w:w="918" w:type="pct"/>
          </w:tcPr>
          <w:p w14:paraId="5726C3B7" w14:textId="77777777" w:rsidR="004A1008" w:rsidRPr="001419C7" w:rsidRDefault="004A1008" w:rsidP="004A1008">
            <w:r w:rsidRPr="001419C7">
              <w:t>3.80</w:t>
            </w:r>
          </w:p>
        </w:tc>
        <w:tc>
          <w:tcPr>
            <w:tcW w:w="938" w:type="pct"/>
          </w:tcPr>
          <w:p w14:paraId="052F3321" w14:textId="77777777" w:rsidR="004A1008" w:rsidRPr="001419C7" w:rsidRDefault="004A1008" w:rsidP="004A1008">
            <w:r w:rsidRPr="001419C7">
              <w:t>SGN-Trans-030Capa</w:t>
            </w:r>
          </w:p>
        </w:tc>
      </w:tr>
      <w:tr w:rsidR="004A1008" w:rsidRPr="005D5E8A" w14:paraId="0F2EBA8C" w14:textId="77777777" w:rsidTr="004A1008">
        <w:trPr>
          <w:trHeight w:val="321"/>
        </w:trPr>
        <w:tc>
          <w:tcPr>
            <w:tcW w:w="573" w:type="pct"/>
          </w:tcPr>
          <w:p w14:paraId="0822F2BE" w14:textId="77777777" w:rsidR="004A1008" w:rsidRPr="001419C7" w:rsidRDefault="004A1008" w:rsidP="004A1008">
            <w:r w:rsidRPr="001419C7">
              <w:t>SO</w:t>
            </w:r>
          </w:p>
        </w:tc>
        <w:tc>
          <w:tcPr>
            <w:tcW w:w="1653" w:type="pct"/>
          </w:tcPr>
          <w:p w14:paraId="3FC705B7" w14:textId="77777777" w:rsidR="004A1008" w:rsidRPr="001419C7" w:rsidRDefault="004A1008" w:rsidP="004A1008">
            <w:r w:rsidRPr="001419C7">
              <w:t>Telemetry Upgrade (82 PRS')</w:t>
            </w:r>
          </w:p>
        </w:tc>
        <w:tc>
          <w:tcPr>
            <w:tcW w:w="917" w:type="pct"/>
          </w:tcPr>
          <w:p w14:paraId="51331B24" w14:textId="77777777" w:rsidR="004A1008" w:rsidRPr="001419C7" w:rsidRDefault="004A1008" w:rsidP="004A1008">
            <w:r w:rsidRPr="001419C7">
              <w:t>March 2026</w:t>
            </w:r>
          </w:p>
        </w:tc>
        <w:tc>
          <w:tcPr>
            <w:tcW w:w="918" w:type="pct"/>
          </w:tcPr>
          <w:p w14:paraId="30A50FDE" w14:textId="77777777" w:rsidR="004A1008" w:rsidRPr="001419C7" w:rsidRDefault="004A1008" w:rsidP="004A1008">
            <w:r w:rsidRPr="001419C7">
              <w:t>3.78</w:t>
            </w:r>
          </w:p>
        </w:tc>
        <w:tc>
          <w:tcPr>
            <w:tcW w:w="938" w:type="pct"/>
          </w:tcPr>
          <w:p w14:paraId="475E7EAE" w14:textId="77777777" w:rsidR="004A1008" w:rsidRPr="001419C7" w:rsidRDefault="004A1008" w:rsidP="004A1008">
            <w:r w:rsidRPr="001419C7">
              <w:t>SGN-EandI-001Tele</w:t>
            </w:r>
          </w:p>
        </w:tc>
      </w:tr>
      <w:tr w:rsidR="004A1008" w:rsidRPr="005D5E8A" w14:paraId="0EB923F7" w14:textId="77777777" w:rsidTr="004A1008">
        <w:trPr>
          <w:trHeight w:val="321"/>
        </w:trPr>
        <w:tc>
          <w:tcPr>
            <w:tcW w:w="573" w:type="pct"/>
          </w:tcPr>
          <w:p w14:paraId="0EB73E77" w14:textId="77777777" w:rsidR="004A1008" w:rsidRPr="001419C7" w:rsidRDefault="004A1008" w:rsidP="004A1008">
            <w:r w:rsidRPr="001419C7">
              <w:t>SO</w:t>
            </w:r>
          </w:p>
        </w:tc>
        <w:tc>
          <w:tcPr>
            <w:tcW w:w="1653" w:type="pct"/>
          </w:tcPr>
          <w:p w14:paraId="26E41826" w14:textId="77777777" w:rsidR="004A1008" w:rsidRPr="001419C7" w:rsidRDefault="004A1008" w:rsidP="004A1008">
            <w:r w:rsidRPr="001419C7">
              <w:t>Wavendon</w:t>
            </w:r>
          </w:p>
        </w:tc>
        <w:tc>
          <w:tcPr>
            <w:tcW w:w="917" w:type="pct"/>
          </w:tcPr>
          <w:p w14:paraId="177F3722" w14:textId="77777777" w:rsidR="004A1008" w:rsidRPr="001419C7" w:rsidRDefault="004A1008" w:rsidP="004A1008">
            <w:r w:rsidRPr="001419C7">
              <w:t>March 2026</w:t>
            </w:r>
          </w:p>
        </w:tc>
        <w:tc>
          <w:tcPr>
            <w:tcW w:w="918" w:type="pct"/>
          </w:tcPr>
          <w:p w14:paraId="0672D837" w14:textId="77777777" w:rsidR="004A1008" w:rsidRPr="001419C7" w:rsidRDefault="004A1008" w:rsidP="004A1008">
            <w:r w:rsidRPr="001419C7">
              <w:t>3.65</w:t>
            </w:r>
          </w:p>
        </w:tc>
        <w:tc>
          <w:tcPr>
            <w:tcW w:w="938" w:type="pct"/>
          </w:tcPr>
          <w:p w14:paraId="7EDD66AE" w14:textId="77777777" w:rsidR="004A1008" w:rsidRPr="001419C7" w:rsidRDefault="004A1008" w:rsidP="004A1008">
            <w:r w:rsidRPr="001419C7">
              <w:t>SGN-Trans-030Capa</w:t>
            </w:r>
          </w:p>
        </w:tc>
      </w:tr>
      <w:tr w:rsidR="004A1008" w:rsidRPr="005D5E8A" w14:paraId="7C4733C0" w14:textId="77777777" w:rsidTr="004A1008">
        <w:trPr>
          <w:trHeight w:val="321"/>
        </w:trPr>
        <w:tc>
          <w:tcPr>
            <w:tcW w:w="573" w:type="pct"/>
          </w:tcPr>
          <w:p w14:paraId="6FA56CDB" w14:textId="77777777" w:rsidR="004A1008" w:rsidRPr="001419C7" w:rsidRDefault="004A1008" w:rsidP="004A1008">
            <w:r w:rsidRPr="001419C7">
              <w:lastRenderedPageBreak/>
              <w:t>SC</w:t>
            </w:r>
          </w:p>
        </w:tc>
        <w:tc>
          <w:tcPr>
            <w:tcW w:w="1653" w:type="pct"/>
          </w:tcPr>
          <w:p w14:paraId="384DFB41" w14:textId="77777777" w:rsidR="004A1008" w:rsidRPr="001419C7" w:rsidRDefault="004A1008" w:rsidP="004A1008">
            <w:r w:rsidRPr="001419C7">
              <w:t>Lockerbie Offtake</w:t>
            </w:r>
          </w:p>
        </w:tc>
        <w:tc>
          <w:tcPr>
            <w:tcW w:w="917" w:type="pct"/>
          </w:tcPr>
          <w:p w14:paraId="22ACC375" w14:textId="77777777" w:rsidR="004A1008" w:rsidRPr="001419C7" w:rsidRDefault="004A1008" w:rsidP="004A1008">
            <w:r w:rsidRPr="001419C7">
              <w:t>March 2026</w:t>
            </w:r>
          </w:p>
        </w:tc>
        <w:tc>
          <w:tcPr>
            <w:tcW w:w="918" w:type="pct"/>
          </w:tcPr>
          <w:p w14:paraId="58D326FC" w14:textId="77777777" w:rsidR="004A1008" w:rsidRPr="001419C7" w:rsidRDefault="004A1008" w:rsidP="004A1008">
            <w:r w:rsidRPr="001419C7">
              <w:t>1.74</w:t>
            </w:r>
          </w:p>
        </w:tc>
        <w:tc>
          <w:tcPr>
            <w:tcW w:w="938" w:type="pct"/>
          </w:tcPr>
          <w:p w14:paraId="378B7654" w14:textId="77777777" w:rsidR="004A1008" w:rsidRPr="001419C7" w:rsidRDefault="004A1008" w:rsidP="004A1008">
            <w:r w:rsidRPr="001419C7">
              <w:t>SGN-Trans-021Lock</w:t>
            </w:r>
          </w:p>
        </w:tc>
      </w:tr>
      <w:tr w:rsidR="004A1008" w:rsidRPr="005D5E8A" w14:paraId="5094FFAB" w14:textId="77777777" w:rsidTr="004A1008">
        <w:trPr>
          <w:trHeight w:val="321"/>
        </w:trPr>
        <w:tc>
          <w:tcPr>
            <w:tcW w:w="573" w:type="pct"/>
          </w:tcPr>
          <w:p w14:paraId="529958A4" w14:textId="77777777" w:rsidR="004A1008" w:rsidRPr="001419C7" w:rsidRDefault="004A1008" w:rsidP="004A1008">
            <w:r w:rsidRPr="001419C7">
              <w:t>SC</w:t>
            </w:r>
          </w:p>
        </w:tc>
        <w:tc>
          <w:tcPr>
            <w:tcW w:w="1653" w:type="pct"/>
          </w:tcPr>
          <w:p w14:paraId="5FEA6A36" w14:textId="77777777" w:rsidR="004A1008" w:rsidRPr="001419C7" w:rsidRDefault="004A1008" w:rsidP="004A1008">
            <w:r w:rsidRPr="001419C7">
              <w:t>Metering Uncertainty Programme (6 sites)</w:t>
            </w:r>
          </w:p>
        </w:tc>
        <w:tc>
          <w:tcPr>
            <w:tcW w:w="917" w:type="pct"/>
          </w:tcPr>
          <w:p w14:paraId="3EF98344" w14:textId="77777777" w:rsidR="004A1008" w:rsidRPr="001419C7" w:rsidRDefault="004A1008" w:rsidP="004A1008">
            <w:r w:rsidRPr="001419C7">
              <w:t>March 2026</w:t>
            </w:r>
          </w:p>
        </w:tc>
        <w:tc>
          <w:tcPr>
            <w:tcW w:w="918" w:type="pct"/>
          </w:tcPr>
          <w:p w14:paraId="052DA5E4" w14:textId="77777777" w:rsidR="004A1008" w:rsidRPr="001419C7" w:rsidRDefault="004A1008" w:rsidP="004A1008">
            <w:r w:rsidRPr="001419C7">
              <w:t>3.32</w:t>
            </w:r>
          </w:p>
        </w:tc>
        <w:tc>
          <w:tcPr>
            <w:tcW w:w="938" w:type="pct"/>
          </w:tcPr>
          <w:p w14:paraId="4341DBAB" w14:textId="77777777" w:rsidR="004A1008" w:rsidRPr="001419C7" w:rsidRDefault="004A1008" w:rsidP="004A1008">
            <w:r w:rsidRPr="001419C7">
              <w:t>SGN-EandI-004Meter</w:t>
            </w:r>
          </w:p>
        </w:tc>
      </w:tr>
      <w:tr w:rsidR="004A1008" w:rsidRPr="005D5E8A" w14:paraId="36B60552" w14:textId="77777777" w:rsidTr="004A1008">
        <w:trPr>
          <w:trHeight w:val="321"/>
        </w:trPr>
        <w:tc>
          <w:tcPr>
            <w:tcW w:w="573" w:type="pct"/>
          </w:tcPr>
          <w:p w14:paraId="7F212712" w14:textId="77777777" w:rsidR="004A1008" w:rsidRPr="001419C7" w:rsidRDefault="004A1008" w:rsidP="004A1008">
            <w:r w:rsidRPr="001419C7">
              <w:t>SC</w:t>
            </w:r>
          </w:p>
        </w:tc>
        <w:tc>
          <w:tcPr>
            <w:tcW w:w="1653" w:type="pct"/>
          </w:tcPr>
          <w:p w14:paraId="35E4E995" w14:textId="77777777" w:rsidR="004A1008" w:rsidRPr="001419C7" w:rsidRDefault="004A1008" w:rsidP="004A1008">
            <w:r w:rsidRPr="001419C7">
              <w:t>Aberdeen (Craibstone) PRS</w:t>
            </w:r>
          </w:p>
        </w:tc>
        <w:tc>
          <w:tcPr>
            <w:tcW w:w="917" w:type="pct"/>
          </w:tcPr>
          <w:p w14:paraId="29E1BF57" w14:textId="77777777" w:rsidR="004A1008" w:rsidRPr="001419C7" w:rsidRDefault="004A1008" w:rsidP="004A1008">
            <w:r w:rsidRPr="001419C7">
              <w:t>March 2026</w:t>
            </w:r>
          </w:p>
        </w:tc>
        <w:tc>
          <w:tcPr>
            <w:tcW w:w="918" w:type="pct"/>
          </w:tcPr>
          <w:p w14:paraId="547627A6" w14:textId="77777777" w:rsidR="004A1008" w:rsidRPr="001419C7" w:rsidRDefault="004A1008" w:rsidP="004A1008">
            <w:r w:rsidRPr="001419C7">
              <w:t>0.59</w:t>
            </w:r>
          </w:p>
        </w:tc>
        <w:tc>
          <w:tcPr>
            <w:tcW w:w="938" w:type="pct"/>
          </w:tcPr>
          <w:p w14:paraId="53DBEA3D" w14:textId="77777777" w:rsidR="004A1008" w:rsidRPr="001419C7" w:rsidRDefault="004A1008" w:rsidP="004A1008">
            <w:r w:rsidRPr="001419C7">
              <w:t>SGN-Trans-028Carl</w:t>
            </w:r>
          </w:p>
        </w:tc>
      </w:tr>
      <w:tr w:rsidR="004A1008" w:rsidRPr="005D5E8A" w14:paraId="065A6A38" w14:textId="77777777" w:rsidTr="004A1008">
        <w:trPr>
          <w:trHeight w:val="321"/>
        </w:trPr>
        <w:tc>
          <w:tcPr>
            <w:tcW w:w="573" w:type="pct"/>
          </w:tcPr>
          <w:p w14:paraId="7FF6E87C" w14:textId="77777777" w:rsidR="004A1008" w:rsidRPr="001419C7" w:rsidRDefault="004A1008" w:rsidP="004A1008">
            <w:r w:rsidRPr="001419C7">
              <w:t>SC</w:t>
            </w:r>
          </w:p>
        </w:tc>
        <w:tc>
          <w:tcPr>
            <w:tcW w:w="1653" w:type="pct"/>
          </w:tcPr>
          <w:p w14:paraId="3E41EB1D" w14:textId="77777777" w:rsidR="004A1008" w:rsidRPr="001419C7" w:rsidRDefault="004A1008" w:rsidP="004A1008">
            <w:r w:rsidRPr="001419C7">
              <w:t>Airth</w:t>
            </w:r>
          </w:p>
        </w:tc>
        <w:tc>
          <w:tcPr>
            <w:tcW w:w="917" w:type="pct"/>
          </w:tcPr>
          <w:p w14:paraId="01E57A00" w14:textId="77777777" w:rsidR="004A1008" w:rsidRPr="001419C7" w:rsidRDefault="004A1008" w:rsidP="004A1008">
            <w:r w:rsidRPr="001419C7">
              <w:t>March 2026</w:t>
            </w:r>
          </w:p>
        </w:tc>
        <w:tc>
          <w:tcPr>
            <w:tcW w:w="918" w:type="pct"/>
          </w:tcPr>
          <w:p w14:paraId="5B8609E5" w14:textId="77777777" w:rsidR="004A1008" w:rsidRPr="001419C7" w:rsidRDefault="004A1008" w:rsidP="004A1008">
            <w:r w:rsidRPr="001419C7">
              <w:t>1.07</w:t>
            </w:r>
          </w:p>
        </w:tc>
        <w:tc>
          <w:tcPr>
            <w:tcW w:w="938" w:type="pct"/>
          </w:tcPr>
          <w:p w14:paraId="4036835D" w14:textId="77777777" w:rsidR="004A1008" w:rsidRPr="001419C7" w:rsidRDefault="004A1008" w:rsidP="004A1008">
            <w:r w:rsidRPr="001419C7">
              <w:t>SGN-Trans-027Airt</w:t>
            </w:r>
          </w:p>
        </w:tc>
      </w:tr>
      <w:tr w:rsidR="004A1008" w:rsidRPr="005D5E8A" w14:paraId="76A88BA3" w14:textId="77777777" w:rsidTr="004A1008">
        <w:trPr>
          <w:trHeight w:val="321"/>
        </w:trPr>
        <w:tc>
          <w:tcPr>
            <w:tcW w:w="573" w:type="pct"/>
          </w:tcPr>
          <w:p w14:paraId="55A99B3E" w14:textId="77777777" w:rsidR="004A1008" w:rsidRPr="001419C7" w:rsidRDefault="004A1008" w:rsidP="004A1008">
            <w:r w:rsidRPr="001419C7">
              <w:t>SC</w:t>
            </w:r>
          </w:p>
        </w:tc>
        <w:tc>
          <w:tcPr>
            <w:tcW w:w="1653" w:type="pct"/>
          </w:tcPr>
          <w:p w14:paraId="66B57C80" w14:textId="77777777" w:rsidR="004A1008" w:rsidRPr="001419C7" w:rsidRDefault="004A1008" w:rsidP="004A1008">
            <w:r w:rsidRPr="001419C7">
              <w:t>Carleith PRS</w:t>
            </w:r>
          </w:p>
        </w:tc>
        <w:tc>
          <w:tcPr>
            <w:tcW w:w="917" w:type="pct"/>
          </w:tcPr>
          <w:p w14:paraId="5B7638AE" w14:textId="77777777" w:rsidR="004A1008" w:rsidRPr="001419C7" w:rsidRDefault="004A1008" w:rsidP="004A1008">
            <w:r w:rsidRPr="001419C7">
              <w:t>March 2026</w:t>
            </w:r>
          </w:p>
        </w:tc>
        <w:tc>
          <w:tcPr>
            <w:tcW w:w="918" w:type="pct"/>
          </w:tcPr>
          <w:p w14:paraId="6169408D" w14:textId="77777777" w:rsidR="004A1008" w:rsidRPr="001419C7" w:rsidRDefault="004A1008" w:rsidP="004A1008">
            <w:r w:rsidRPr="001419C7">
              <w:t>0.83</w:t>
            </w:r>
          </w:p>
        </w:tc>
        <w:tc>
          <w:tcPr>
            <w:tcW w:w="938" w:type="pct"/>
          </w:tcPr>
          <w:p w14:paraId="1DDE5D28" w14:textId="77777777" w:rsidR="004A1008" w:rsidRPr="001419C7" w:rsidRDefault="004A1008" w:rsidP="004A1008">
            <w:r w:rsidRPr="001419C7">
              <w:t>SGN-Trans-028Carl</w:t>
            </w:r>
          </w:p>
        </w:tc>
      </w:tr>
      <w:tr w:rsidR="004A1008" w:rsidRPr="005D5E8A" w14:paraId="62414DBB" w14:textId="77777777" w:rsidTr="004A1008">
        <w:trPr>
          <w:trHeight w:val="321"/>
        </w:trPr>
        <w:tc>
          <w:tcPr>
            <w:tcW w:w="573" w:type="pct"/>
          </w:tcPr>
          <w:p w14:paraId="3B01F0B0" w14:textId="77777777" w:rsidR="004A1008" w:rsidRPr="001419C7" w:rsidRDefault="004A1008" w:rsidP="004A1008">
            <w:r w:rsidRPr="001419C7">
              <w:t>SC</w:t>
            </w:r>
          </w:p>
        </w:tc>
        <w:tc>
          <w:tcPr>
            <w:tcW w:w="1653" w:type="pct"/>
          </w:tcPr>
          <w:p w14:paraId="547B6F2C" w14:textId="77777777" w:rsidR="004A1008" w:rsidRPr="001419C7" w:rsidRDefault="004A1008" w:rsidP="004A1008">
            <w:r w:rsidRPr="001419C7">
              <w:t>Fairmilehead</w:t>
            </w:r>
          </w:p>
        </w:tc>
        <w:tc>
          <w:tcPr>
            <w:tcW w:w="917" w:type="pct"/>
          </w:tcPr>
          <w:p w14:paraId="1E64BFA8" w14:textId="77777777" w:rsidR="004A1008" w:rsidRPr="001419C7" w:rsidRDefault="004A1008" w:rsidP="004A1008">
            <w:r w:rsidRPr="001419C7">
              <w:t>March 2026</w:t>
            </w:r>
          </w:p>
        </w:tc>
        <w:tc>
          <w:tcPr>
            <w:tcW w:w="918" w:type="pct"/>
          </w:tcPr>
          <w:p w14:paraId="1A194D40" w14:textId="77777777" w:rsidR="004A1008" w:rsidRPr="001419C7" w:rsidRDefault="004A1008" w:rsidP="004A1008">
            <w:r w:rsidRPr="001419C7">
              <w:t>1.79</w:t>
            </w:r>
          </w:p>
        </w:tc>
        <w:tc>
          <w:tcPr>
            <w:tcW w:w="938" w:type="pct"/>
          </w:tcPr>
          <w:p w14:paraId="57B55316" w14:textId="77777777" w:rsidR="004A1008" w:rsidRPr="001419C7" w:rsidRDefault="004A1008" w:rsidP="004A1008">
            <w:r w:rsidRPr="001419C7">
              <w:t>SGN-Trans-025Fair</w:t>
            </w:r>
          </w:p>
        </w:tc>
      </w:tr>
      <w:tr w:rsidR="004A1008" w:rsidRPr="005D5E8A" w14:paraId="418EEB1A" w14:textId="77777777" w:rsidTr="004A1008">
        <w:trPr>
          <w:trHeight w:val="321"/>
        </w:trPr>
        <w:tc>
          <w:tcPr>
            <w:tcW w:w="573" w:type="pct"/>
          </w:tcPr>
          <w:p w14:paraId="7E4FD77F" w14:textId="77777777" w:rsidR="004A1008" w:rsidRPr="001419C7" w:rsidRDefault="004A1008" w:rsidP="004A1008">
            <w:r w:rsidRPr="001419C7">
              <w:t>SC</w:t>
            </w:r>
          </w:p>
        </w:tc>
        <w:tc>
          <w:tcPr>
            <w:tcW w:w="1653" w:type="pct"/>
          </w:tcPr>
          <w:p w14:paraId="580B17CD" w14:textId="77777777" w:rsidR="004A1008" w:rsidRPr="001419C7" w:rsidRDefault="004A1008" w:rsidP="004A1008">
            <w:r w:rsidRPr="001419C7">
              <w:t>Granton</w:t>
            </w:r>
          </w:p>
        </w:tc>
        <w:tc>
          <w:tcPr>
            <w:tcW w:w="917" w:type="pct"/>
          </w:tcPr>
          <w:p w14:paraId="3C9CE645" w14:textId="77777777" w:rsidR="004A1008" w:rsidRPr="001419C7" w:rsidRDefault="004A1008" w:rsidP="004A1008">
            <w:r w:rsidRPr="001419C7">
              <w:t>March 2026</w:t>
            </w:r>
          </w:p>
        </w:tc>
        <w:tc>
          <w:tcPr>
            <w:tcW w:w="918" w:type="pct"/>
          </w:tcPr>
          <w:p w14:paraId="6A3AB3E4" w14:textId="77777777" w:rsidR="004A1008" w:rsidRPr="001419C7" w:rsidRDefault="004A1008" w:rsidP="004A1008">
            <w:r w:rsidRPr="001419C7">
              <w:t>0.68</w:t>
            </w:r>
          </w:p>
        </w:tc>
        <w:tc>
          <w:tcPr>
            <w:tcW w:w="938" w:type="pct"/>
          </w:tcPr>
          <w:p w14:paraId="69140EF6" w14:textId="77777777" w:rsidR="004A1008" w:rsidRPr="001419C7" w:rsidRDefault="004A1008" w:rsidP="004A1008">
            <w:r w:rsidRPr="001419C7">
              <w:t>SGN-Trans-028Carl</w:t>
            </w:r>
          </w:p>
        </w:tc>
      </w:tr>
      <w:tr w:rsidR="004A1008" w:rsidRPr="005D5E8A" w14:paraId="47665FCA" w14:textId="77777777" w:rsidTr="004A1008">
        <w:trPr>
          <w:trHeight w:val="321"/>
        </w:trPr>
        <w:tc>
          <w:tcPr>
            <w:tcW w:w="573" w:type="pct"/>
          </w:tcPr>
          <w:p w14:paraId="22DE2854" w14:textId="77777777" w:rsidR="004A1008" w:rsidRPr="001419C7" w:rsidRDefault="004A1008" w:rsidP="004A1008">
            <w:r w:rsidRPr="001419C7">
              <w:t>SC</w:t>
            </w:r>
          </w:p>
        </w:tc>
        <w:tc>
          <w:tcPr>
            <w:tcW w:w="1653" w:type="pct"/>
          </w:tcPr>
          <w:p w14:paraId="3FBDD6DD" w14:textId="77777777" w:rsidR="004A1008" w:rsidRPr="001419C7" w:rsidRDefault="004A1008" w:rsidP="004A1008">
            <w:r w:rsidRPr="001419C7">
              <w:t>Lauder</w:t>
            </w:r>
          </w:p>
        </w:tc>
        <w:tc>
          <w:tcPr>
            <w:tcW w:w="917" w:type="pct"/>
          </w:tcPr>
          <w:p w14:paraId="70E8A689" w14:textId="77777777" w:rsidR="004A1008" w:rsidRPr="001419C7" w:rsidRDefault="004A1008" w:rsidP="004A1008">
            <w:r w:rsidRPr="001419C7">
              <w:t>March 2026</w:t>
            </w:r>
          </w:p>
        </w:tc>
        <w:tc>
          <w:tcPr>
            <w:tcW w:w="918" w:type="pct"/>
          </w:tcPr>
          <w:p w14:paraId="2849D633" w14:textId="77777777" w:rsidR="004A1008" w:rsidRPr="001419C7" w:rsidRDefault="004A1008" w:rsidP="004A1008">
            <w:r w:rsidRPr="001419C7">
              <w:t>0.98</w:t>
            </w:r>
          </w:p>
        </w:tc>
        <w:tc>
          <w:tcPr>
            <w:tcW w:w="938" w:type="pct"/>
          </w:tcPr>
          <w:p w14:paraId="33AB22E4" w14:textId="77777777" w:rsidR="004A1008" w:rsidRPr="001419C7" w:rsidRDefault="004A1008" w:rsidP="004A1008">
            <w:r w:rsidRPr="001419C7">
              <w:t>SGN-Trans-027Airt</w:t>
            </w:r>
          </w:p>
        </w:tc>
      </w:tr>
      <w:tr w:rsidR="004A1008" w:rsidRPr="005D5E8A" w14:paraId="7AD13900" w14:textId="77777777" w:rsidTr="004A1008">
        <w:trPr>
          <w:trHeight w:val="321"/>
        </w:trPr>
        <w:tc>
          <w:tcPr>
            <w:tcW w:w="573" w:type="pct"/>
          </w:tcPr>
          <w:p w14:paraId="3D75B5DB" w14:textId="77777777" w:rsidR="004A1008" w:rsidRPr="001419C7" w:rsidRDefault="004A1008" w:rsidP="004A1008">
            <w:r w:rsidRPr="001419C7">
              <w:t>SC</w:t>
            </w:r>
          </w:p>
        </w:tc>
        <w:tc>
          <w:tcPr>
            <w:tcW w:w="1653" w:type="pct"/>
          </w:tcPr>
          <w:p w14:paraId="67CE547E" w14:textId="77777777" w:rsidR="004A1008" w:rsidRPr="001419C7" w:rsidRDefault="004A1008" w:rsidP="004A1008">
            <w:r w:rsidRPr="001419C7">
              <w:t>St Andrews PRS</w:t>
            </w:r>
          </w:p>
        </w:tc>
        <w:tc>
          <w:tcPr>
            <w:tcW w:w="917" w:type="pct"/>
          </w:tcPr>
          <w:p w14:paraId="718C5FFB" w14:textId="77777777" w:rsidR="004A1008" w:rsidRPr="001419C7" w:rsidRDefault="004A1008" w:rsidP="004A1008">
            <w:r w:rsidRPr="001419C7">
              <w:t>March 2026</w:t>
            </w:r>
          </w:p>
        </w:tc>
        <w:tc>
          <w:tcPr>
            <w:tcW w:w="918" w:type="pct"/>
          </w:tcPr>
          <w:p w14:paraId="314B03D7" w14:textId="77777777" w:rsidR="004A1008" w:rsidRPr="001419C7" w:rsidRDefault="004A1008" w:rsidP="004A1008">
            <w:r w:rsidRPr="001419C7">
              <w:t>2.11</w:t>
            </w:r>
          </w:p>
        </w:tc>
        <w:tc>
          <w:tcPr>
            <w:tcW w:w="938" w:type="pct"/>
          </w:tcPr>
          <w:p w14:paraId="25DF1910" w14:textId="77777777" w:rsidR="004A1008" w:rsidRPr="001419C7" w:rsidRDefault="004A1008" w:rsidP="004A1008">
            <w:r w:rsidRPr="001419C7">
              <w:t>SGN-Trans-026StAn</w:t>
            </w:r>
          </w:p>
        </w:tc>
      </w:tr>
      <w:tr w:rsidR="004A1008" w:rsidRPr="005D5E8A" w14:paraId="6B86DAED" w14:textId="77777777" w:rsidTr="004A1008">
        <w:trPr>
          <w:trHeight w:val="321"/>
        </w:trPr>
        <w:tc>
          <w:tcPr>
            <w:tcW w:w="573" w:type="pct"/>
          </w:tcPr>
          <w:p w14:paraId="4784AC10" w14:textId="77777777" w:rsidR="004A1008" w:rsidRPr="001419C7" w:rsidRDefault="004A1008" w:rsidP="004A1008">
            <w:r w:rsidRPr="001419C7">
              <w:t>SO</w:t>
            </w:r>
          </w:p>
        </w:tc>
        <w:tc>
          <w:tcPr>
            <w:tcW w:w="1653" w:type="pct"/>
          </w:tcPr>
          <w:p w14:paraId="47C9AD6A" w14:textId="77777777" w:rsidR="004A1008" w:rsidRPr="001419C7" w:rsidRDefault="004A1008" w:rsidP="004A1008">
            <w:r w:rsidRPr="001419C7">
              <w:t>Metering Uncertainty Programme (1 site)</w:t>
            </w:r>
          </w:p>
        </w:tc>
        <w:tc>
          <w:tcPr>
            <w:tcW w:w="917" w:type="pct"/>
          </w:tcPr>
          <w:p w14:paraId="1F0E9FEA" w14:textId="77777777" w:rsidR="004A1008" w:rsidRPr="001419C7" w:rsidRDefault="004A1008" w:rsidP="004A1008">
            <w:r w:rsidRPr="001419C7">
              <w:t>March 2026</w:t>
            </w:r>
          </w:p>
        </w:tc>
        <w:tc>
          <w:tcPr>
            <w:tcW w:w="918" w:type="pct"/>
          </w:tcPr>
          <w:p w14:paraId="0F1996C6" w14:textId="77777777" w:rsidR="004A1008" w:rsidRPr="001419C7" w:rsidRDefault="004A1008" w:rsidP="004A1008">
            <w:r w:rsidRPr="001419C7">
              <w:t>0.20</w:t>
            </w:r>
          </w:p>
        </w:tc>
        <w:tc>
          <w:tcPr>
            <w:tcW w:w="938" w:type="pct"/>
          </w:tcPr>
          <w:p w14:paraId="63B9D756" w14:textId="77777777" w:rsidR="004A1008" w:rsidRPr="001419C7" w:rsidRDefault="004A1008" w:rsidP="004A1008">
            <w:r w:rsidRPr="001419C7">
              <w:t>SGN-EandI-004Meter</w:t>
            </w:r>
          </w:p>
        </w:tc>
      </w:tr>
      <w:tr w:rsidR="004A1008" w:rsidRPr="005D5E8A" w14:paraId="7F8CB82A" w14:textId="77777777" w:rsidTr="004A1008">
        <w:trPr>
          <w:trHeight w:val="321"/>
        </w:trPr>
        <w:tc>
          <w:tcPr>
            <w:tcW w:w="573" w:type="pct"/>
          </w:tcPr>
          <w:p w14:paraId="2F89AA63" w14:textId="77777777" w:rsidR="004A1008" w:rsidRPr="001419C7" w:rsidRDefault="004A1008" w:rsidP="004A1008">
            <w:r w:rsidRPr="001419C7">
              <w:t>SO</w:t>
            </w:r>
          </w:p>
        </w:tc>
        <w:tc>
          <w:tcPr>
            <w:tcW w:w="1653" w:type="pct"/>
          </w:tcPr>
          <w:p w14:paraId="4F5A6E35" w14:textId="77777777" w:rsidR="004A1008" w:rsidRPr="001419C7" w:rsidRDefault="004A1008" w:rsidP="004A1008">
            <w:r w:rsidRPr="001419C7">
              <w:t>Aylesham PRS</w:t>
            </w:r>
          </w:p>
        </w:tc>
        <w:tc>
          <w:tcPr>
            <w:tcW w:w="917" w:type="pct"/>
          </w:tcPr>
          <w:p w14:paraId="5B42C3B7" w14:textId="77777777" w:rsidR="004A1008" w:rsidRPr="001419C7" w:rsidRDefault="004A1008" w:rsidP="004A1008">
            <w:r w:rsidRPr="001419C7">
              <w:t>March 2026</w:t>
            </w:r>
          </w:p>
        </w:tc>
        <w:tc>
          <w:tcPr>
            <w:tcW w:w="918" w:type="pct"/>
          </w:tcPr>
          <w:p w14:paraId="2B5B22DE" w14:textId="77777777" w:rsidR="004A1008" w:rsidRPr="001419C7" w:rsidRDefault="004A1008" w:rsidP="004A1008">
            <w:r w:rsidRPr="001419C7">
              <w:t>1.27</w:t>
            </w:r>
          </w:p>
        </w:tc>
        <w:tc>
          <w:tcPr>
            <w:tcW w:w="938" w:type="pct"/>
          </w:tcPr>
          <w:p w14:paraId="62555AE4" w14:textId="77777777" w:rsidR="004A1008" w:rsidRPr="001419C7" w:rsidRDefault="004A1008" w:rsidP="004A1008">
            <w:r w:rsidRPr="001419C7">
              <w:t>SGN-Trans-004Ayle</w:t>
            </w:r>
          </w:p>
        </w:tc>
      </w:tr>
      <w:tr w:rsidR="004A1008" w:rsidRPr="005D5E8A" w14:paraId="4AB380C6" w14:textId="77777777" w:rsidTr="004A1008">
        <w:trPr>
          <w:trHeight w:val="321"/>
        </w:trPr>
        <w:tc>
          <w:tcPr>
            <w:tcW w:w="573" w:type="pct"/>
          </w:tcPr>
          <w:p w14:paraId="54820D35" w14:textId="77777777" w:rsidR="004A1008" w:rsidRPr="001419C7" w:rsidRDefault="004A1008" w:rsidP="004A1008">
            <w:r w:rsidRPr="001419C7">
              <w:t>SO</w:t>
            </w:r>
          </w:p>
        </w:tc>
        <w:tc>
          <w:tcPr>
            <w:tcW w:w="1653" w:type="pct"/>
          </w:tcPr>
          <w:p w14:paraId="1C417E1A" w14:textId="77777777" w:rsidR="004A1008" w:rsidRPr="001419C7" w:rsidRDefault="004A1008" w:rsidP="004A1008">
            <w:r w:rsidRPr="001419C7">
              <w:t>Battle PRS - System 1</w:t>
            </w:r>
          </w:p>
        </w:tc>
        <w:tc>
          <w:tcPr>
            <w:tcW w:w="917" w:type="pct"/>
          </w:tcPr>
          <w:p w14:paraId="178F68BD" w14:textId="77777777" w:rsidR="004A1008" w:rsidRPr="001419C7" w:rsidRDefault="004A1008" w:rsidP="004A1008">
            <w:r w:rsidRPr="001419C7">
              <w:t>March 2026</w:t>
            </w:r>
          </w:p>
        </w:tc>
        <w:tc>
          <w:tcPr>
            <w:tcW w:w="918" w:type="pct"/>
          </w:tcPr>
          <w:p w14:paraId="73B1E476" w14:textId="77777777" w:rsidR="004A1008" w:rsidRPr="001419C7" w:rsidRDefault="004A1008" w:rsidP="004A1008">
            <w:r w:rsidRPr="001419C7">
              <w:t>0.49</w:t>
            </w:r>
          </w:p>
        </w:tc>
        <w:tc>
          <w:tcPr>
            <w:tcW w:w="938" w:type="pct"/>
          </w:tcPr>
          <w:p w14:paraId="0A967FDA" w14:textId="77777777" w:rsidR="004A1008" w:rsidRPr="001419C7" w:rsidRDefault="004A1008" w:rsidP="004A1008">
            <w:r w:rsidRPr="001419C7">
              <w:t>SGN-Trans-005Batt1</w:t>
            </w:r>
          </w:p>
        </w:tc>
      </w:tr>
      <w:tr w:rsidR="004A1008" w:rsidRPr="005D5E8A" w14:paraId="7A197030" w14:textId="77777777" w:rsidTr="004A1008">
        <w:trPr>
          <w:trHeight w:val="321"/>
        </w:trPr>
        <w:tc>
          <w:tcPr>
            <w:tcW w:w="573" w:type="pct"/>
          </w:tcPr>
          <w:p w14:paraId="635FF6B5" w14:textId="77777777" w:rsidR="004A1008" w:rsidRPr="001419C7" w:rsidRDefault="004A1008" w:rsidP="004A1008">
            <w:r w:rsidRPr="001419C7">
              <w:t>SO</w:t>
            </w:r>
          </w:p>
        </w:tc>
        <w:tc>
          <w:tcPr>
            <w:tcW w:w="1653" w:type="pct"/>
          </w:tcPr>
          <w:p w14:paraId="7388623B" w14:textId="77777777" w:rsidR="004A1008" w:rsidRPr="001419C7" w:rsidRDefault="004A1008" w:rsidP="004A1008">
            <w:r w:rsidRPr="001419C7">
              <w:t>Boxhill PRS</w:t>
            </w:r>
          </w:p>
        </w:tc>
        <w:tc>
          <w:tcPr>
            <w:tcW w:w="917" w:type="pct"/>
          </w:tcPr>
          <w:p w14:paraId="522D6187" w14:textId="77777777" w:rsidR="004A1008" w:rsidRPr="001419C7" w:rsidRDefault="004A1008" w:rsidP="004A1008">
            <w:r w:rsidRPr="001419C7">
              <w:t>March 2026</w:t>
            </w:r>
          </w:p>
        </w:tc>
        <w:tc>
          <w:tcPr>
            <w:tcW w:w="918" w:type="pct"/>
          </w:tcPr>
          <w:p w14:paraId="320347B1" w14:textId="77777777" w:rsidR="004A1008" w:rsidRPr="001419C7" w:rsidRDefault="004A1008" w:rsidP="004A1008">
            <w:r w:rsidRPr="001419C7">
              <w:t>1.55</w:t>
            </w:r>
          </w:p>
        </w:tc>
        <w:tc>
          <w:tcPr>
            <w:tcW w:w="938" w:type="pct"/>
          </w:tcPr>
          <w:p w14:paraId="42E22E5D" w14:textId="77777777" w:rsidR="004A1008" w:rsidRPr="001419C7" w:rsidRDefault="004A1008" w:rsidP="004A1008">
            <w:r w:rsidRPr="001419C7">
              <w:t>SGN-Trans-006Batt2</w:t>
            </w:r>
          </w:p>
        </w:tc>
      </w:tr>
      <w:tr w:rsidR="004A1008" w:rsidRPr="005D5E8A" w14:paraId="136FDF0F" w14:textId="77777777" w:rsidTr="004A1008">
        <w:trPr>
          <w:trHeight w:val="321"/>
        </w:trPr>
        <w:tc>
          <w:tcPr>
            <w:tcW w:w="573" w:type="pct"/>
          </w:tcPr>
          <w:p w14:paraId="3CF1C970" w14:textId="77777777" w:rsidR="004A1008" w:rsidRPr="001419C7" w:rsidRDefault="004A1008" w:rsidP="004A1008">
            <w:r w:rsidRPr="001419C7">
              <w:t>SO</w:t>
            </w:r>
          </w:p>
        </w:tc>
        <w:tc>
          <w:tcPr>
            <w:tcW w:w="1653" w:type="pct"/>
          </w:tcPr>
          <w:p w14:paraId="22C9AC06" w14:textId="77777777" w:rsidR="004A1008" w:rsidRPr="001419C7" w:rsidRDefault="004A1008" w:rsidP="004A1008">
            <w:r w:rsidRPr="001419C7">
              <w:t>Braishfield C</w:t>
            </w:r>
          </w:p>
        </w:tc>
        <w:tc>
          <w:tcPr>
            <w:tcW w:w="917" w:type="pct"/>
          </w:tcPr>
          <w:p w14:paraId="2DD92FF5" w14:textId="77777777" w:rsidR="004A1008" w:rsidRPr="001419C7" w:rsidRDefault="004A1008" w:rsidP="004A1008">
            <w:r w:rsidRPr="001419C7">
              <w:t>March 2026</w:t>
            </w:r>
          </w:p>
        </w:tc>
        <w:tc>
          <w:tcPr>
            <w:tcW w:w="918" w:type="pct"/>
          </w:tcPr>
          <w:p w14:paraId="00119250" w14:textId="77777777" w:rsidR="004A1008" w:rsidRPr="001419C7" w:rsidRDefault="004A1008" w:rsidP="004A1008">
            <w:r w:rsidRPr="001419C7">
              <w:t>1.23</w:t>
            </w:r>
          </w:p>
        </w:tc>
        <w:tc>
          <w:tcPr>
            <w:tcW w:w="938" w:type="pct"/>
          </w:tcPr>
          <w:p w14:paraId="3D26C567" w14:textId="77777777" w:rsidR="004A1008" w:rsidRPr="001419C7" w:rsidRDefault="004A1008" w:rsidP="004A1008">
            <w:r w:rsidRPr="001419C7">
              <w:t>SGN-Trans-008Brai</w:t>
            </w:r>
          </w:p>
        </w:tc>
      </w:tr>
      <w:tr w:rsidR="004A1008" w:rsidRPr="005D5E8A" w14:paraId="2D42938D" w14:textId="77777777" w:rsidTr="004A1008">
        <w:trPr>
          <w:trHeight w:val="321"/>
        </w:trPr>
        <w:tc>
          <w:tcPr>
            <w:tcW w:w="573" w:type="pct"/>
          </w:tcPr>
          <w:p w14:paraId="45CCED02" w14:textId="77777777" w:rsidR="004A1008" w:rsidRPr="001419C7" w:rsidRDefault="004A1008" w:rsidP="004A1008">
            <w:r w:rsidRPr="001419C7">
              <w:t>SO</w:t>
            </w:r>
          </w:p>
        </w:tc>
        <w:tc>
          <w:tcPr>
            <w:tcW w:w="1653" w:type="pct"/>
          </w:tcPr>
          <w:p w14:paraId="61AD4628" w14:textId="77777777" w:rsidR="004A1008" w:rsidRPr="001419C7" w:rsidRDefault="004A1008" w:rsidP="004A1008">
            <w:r w:rsidRPr="001419C7">
              <w:t>Godstone PRS</w:t>
            </w:r>
          </w:p>
        </w:tc>
        <w:tc>
          <w:tcPr>
            <w:tcW w:w="917" w:type="pct"/>
          </w:tcPr>
          <w:p w14:paraId="4F6963F7" w14:textId="77777777" w:rsidR="004A1008" w:rsidRPr="001419C7" w:rsidRDefault="004A1008" w:rsidP="004A1008">
            <w:r w:rsidRPr="001419C7">
              <w:t>March 2026</w:t>
            </w:r>
          </w:p>
        </w:tc>
        <w:tc>
          <w:tcPr>
            <w:tcW w:w="918" w:type="pct"/>
          </w:tcPr>
          <w:p w14:paraId="192CE91A" w14:textId="77777777" w:rsidR="004A1008" w:rsidRPr="001419C7" w:rsidRDefault="004A1008" w:rsidP="004A1008">
            <w:r w:rsidRPr="001419C7">
              <w:t>1.69</w:t>
            </w:r>
          </w:p>
        </w:tc>
        <w:tc>
          <w:tcPr>
            <w:tcW w:w="938" w:type="pct"/>
          </w:tcPr>
          <w:p w14:paraId="6AF75346" w14:textId="77777777" w:rsidR="004A1008" w:rsidRPr="001419C7" w:rsidRDefault="004A1008" w:rsidP="004A1008">
            <w:r w:rsidRPr="001419C7">
              <w:t>SGN-Trans-009Gods</w:t>
            </w:r>
          </w:p>
        </w:tc>
      </w:tr>
      <w:tr w:rsidR="004A1008" w:rsidRPr="005D5E8A" w14:paraId="0DC67C2A" w14:textId="77777777" w:rsidTr="004A1008">
        <w:trPr>
          <w:trHeight w:val="321"/>
        </w:trPr>
        <w:tc>
          <w:tcPr>
            <w:tcW w:w="573" w:type="pct"/>
          </w:tcPr>
          <w:p w14:paraId="6E234A15" w14:textId="77777777" w:rsidR="004A1008" w:rsidRPr="001419C7" w:rsidRDefault="004A1008" w:rsidP="004A1008">
            <w:r w:rsidRPr="001419C7">
              <w:t>SO</w:t>
            </w:r>
          </w:p>
        </w:tc>
        <w:tc>
          <w:tcPr>
            <w:tcW w:w="1653" w:type="pct"/>
          </w:tcPr>
          <w:p w14:paraId="5ADDFADE" w14:textId="77777777" w:rsidR="004A1008" w:rsidRPr="001419C7" w:rsidRDefault="004A1008" w:rsidP="004A1008">
            <w:r w:rsidRPr="001419C7">
              <w:t>Hillside</w:t>
            </w:r>
          </w:p>
        </w:tc>
        <w:tc>
          <w:tcPr>
            <w:tcW w:w="917" w:type="pct"/>
          </w:tcPr>
          <w:p w14:paraId="10EDFE94" w14:textId="77777777" w:rsidR="004A1008" w:rsidRPr="001419C7" w:rsidRDefault="004A1008" w:rsidP="004A1008">
            <w:r w:rsidRPr="001419C7">
              <w:t>March 2026</w:t>
            </w:r>
          </w:p>
        </w:tc>
        <w:tc>
          <w:tcPr>
            <w:tcW w:w="918" w:type="pct"/>
          </w:tcPr>
          <w:p w14:paraId="154C24C6" w14:textId="77777777" w:rsidR="004A1008" w:rsidRPr="001419C7" w:rsidRDefault="004A1008" w:rsidP="004A1008">
            <w:r w:rsidRPr="001419C7">
              <w:t>1.87</w:t>
            </w:r>
          </w:p>
        </w:tc>
        <w:tc>
          <w:tcPr>
            <w:tcW w:w="938" w:type="pct"/>
          </w:tcPr>
          <w:p w14:paraId="252B6B77" w14:textId="77777777" w:rsidR="004A1008" w:rsidRPr="001419C7" w:rsidRDefault="004A1008" w:rsidP="004A1008">
            <w:r w:rsidRPr="001419C7">
              <w:t>SGN-Trans-010Hill</w:t>
            </w:r>
          </w:p>
        </w:tc>
      </w:tr>
      <w:tr w:rsidR="004A1008" w:rsidRPr="005D5E8A" w14:paraId="16A02317" w14:textId="77777777" w:rsidTr="004A1008">
        <w:trPr>
          <w:trHeight w:val="321"/>
        </w:trPr>
        <w:tc>
          <w:tcPr>
            <w:tcW w:w="573" w:type="pct"/>
          </w:tcPr>
          <w:p w14:paraId="1296191F" w14:textId="77777777" w:rsidR="004A1008" w:rsidRPr="001419C7" w:rsidRDefault="004A1008" w:rsidP="004A1008">
            <w:r w:rsidRPr="001419C7">
              <w:t>SO</w:t>
            </w:r>
          </w:p>
        </w:tc>
        <w:tc>
          <w:tcPr>
            <w:tcW w:w="1653" w:type="pct"/>
          </w:tcPr>
          <w:p w14:paraId="234E8724" w14:textId="77777777" w:rsidR="004A1008" w:rsidRPr="001419C7" w:rsidRDefault="004A1008" w:rsidP="004A1008">
            <w:r w:rsidRPr="001419C7">
              <w:t>Hurst Green PRS</w:t>
            </w:r>
          </w:p>
        </w:tc>
        <w:tc>
          <w:tcPr>
            <w:tcW w:w="917" w:type="pct"/>
          </w:tcPr>
          <w:p w14:paraId="16A3317E" w14:textId="77777777" w:rsidR="004A1008" w:rsidRPr="001419C7" w:rsidRDefault="004A1008" w:rsidP="004A1008">
            <w:r w:rsidRPr="001419C7">
              <w:t>March 2026</w:t>
            </w:r>
          </w:p>
        </w:tc>
        <w:tc>
          <w:tcPr>
            <w:tcW w:w="918" w:type="pct"/>
          </w:tcPr>
          <w:p w14:paraId="0DAE7835" w14:textId="77777777" w:rsidR="004A1008" w:rsidRPr="001419C7" w:rsidRDefault="004A1008" w:rsidP="004A1008">
            <w:r w:rsidRPr="001419C7">
              <w:t>1.69</w:t>
            </w:r>
          </w:p>
        </w:tc>
        <w:tc>
          <w:tcPr>
            <w:tcW w:w="938" w:type="pct"/>
          </w:tcPr>
          <w:p w14:paraId="79463D07" w14:textId="77777777" w:rsidR="004A1008" w:rsidRPr="001419C7" w:rsidRDefault="004A1008" w:rsidP="004A1008">
            <w:r w:rsidRPr="001419C7">
              <w:t>SGN-Trans-011Hurs</w:t>
            </w:r>
          </w:p>
        </w:tc>
      </w:tr>
      <w:tr w:rsidR="004A1008" w:rsidRPr="005D5E8A" w14:paraId="75428124" w14:textId="77777777" w:rsidTr="004A1008">
        <w:trPr>
          <w:trHeight w:val="321"/>
        </w:trPr>
        <w:tc>
          <w:tcPr>
            <w:tcW w:w="573" w:type="pct"/>
          </w:tcPr>
          <w:p w14:paraId="186EF26A" w14:textId="77777777" w:rsidR="004A1008" w:rsidRPr="001419C7" w:rsidRDefault="004A1008" w:rsidP="004A1008">
            <w:r w:rsidRPr="001419C7">
              <w:t>SO</w:t>
            </w:r>
          </w:p>
        </w:tc>
        <w:tc>
          <w:tcPr>
            <w:tcW w:w="1653" w:type="pct"/>
          </w:tcPr>
          <w:p w14:paraId="735683CD" w14:textId="77777777" w:rsidR="004A1008" w:rsidRPr="001419C7" w:rsidRDefault="004A1008" w:rsidP="004A1008">
            <w:r w:rsidRPr="001419C7">
              <w:t>Reading A</w:t>
            </w:r>
          </w:p>
        </w:tc>
        <w:tc>
          <w:tcPr>
            <w:tcW w:w="917" w:type="pct"/>
          </w:tcPr>
          <w:p w14:paraId="590B519F" w14:textId="77777777" w:rsidR="004A1008" w:rsidRPr="001419C7" w:rsidRDefault="004A1008" w:rsidP="004A1008">
            <w:r w:rsidRPr="001419C7">
              <w:t>March 2026</w:t>
            </w:r>
          </w:p>
        </w:tc>
        <w:tc>
          <w:tcPr>
            <w:tcW w:w="918" w:type="pct"/>
          </w:tcPr>
          <w:p w14:paraId="22472E3C" w14:textId="77777777" w:rsidR="004A1008" w:rsidRPr="001419C7" w:rsidRDefault="004A1008" w:rsidP="004A1008">
            <w:r w:rsidRPr="001419C7">
              <w:t>3.09</w:t>
            </w:r>
          </w:p>
        </w:tc>
        <w:tc>
          <w:tcPr>
            <w:tcW w:w="938" w:type="pct"/>
          </w:tcPr>
          <w:p w14:paraId="1FC575BC" w14:textId="77777777" w:rsidR="004A1008" w:rsidRPr="001419C7" w:rsidRDefault="004A1008" w:rsidP="004A1008">
            <w:r w:rsidRPr="001419C7">
              <w:t>SGN-Trans-012Read</w:t>
            </w:r>
          </w:p>
        </w:tc>
      </w:tr>
      <w:tr w:rsidR="004A1008" w:rsidRPr="005D5E8A" w14:paraId="5D134D0B" w14:textId="77777777" w:rsidTr="004A1008">
        <w:trPr>
          <w:trHeight w:val="321"/>
        </w:trPr>
        <w:tc>
          <w:tcPr>
            <w:tcW w:w="573" w:type="pct"/>
          </w:tcPr>
          <w:p w14:paraId="136125BC" w14:textId="77777777" w:rsidR="004A1008" w:rsidRPr="001419C7" w:rsidRDefault="004A1008" w:rsidP="004A1008">
            <w:r w:rsidRPr="001419C7">
              <w:t>SO</w:t>
            </w:r>
          </w:p>
        </w:tc>
        <w:tc>
          <w:tcPr>
            <w:tcW w:w="1653" w:type="pct"/>
          </w:tcPr>
          <w:p w14:paraId="10F16741" w14:textId="77777777" w:rsidR="004A1008" w:rsidRPr="001419C7" w:rsidRDefault="004A1008" w:rsidP="004A1008">
            <w:r w:rsidRPr="001419C7">
              <w:t>Shalford</w:t>
            </w:r>
          </w:p>
        </w:tc>
        <w:tc>
          <w:tcPr>
            <w:tcW w:w="917" w:type="pct"/>
          </w:tcPr>
          <w:p w14:paraId="1812E6CE" w14:textId="77777777" w:rsidR="004A1008" w:rsidRPr="001419C7" w:rsidRDefault="004A1008" w:rsidP="004A1008">
            <w:r w:rsidRPr="001419C7">
              <w:t>March 2026</w:t>
            </w:r>
          </w:p>
        </w:tc>
        <w:tc>
          <w:tcPr>
            <w:tcW w:w="918" w:type="pct"/>
          </w:tcPr>
          <w:p w14:paraId="282D3D89" w14:textId="77777777" w:rsidR="004A1008" w:rsidRPr="001419C7" w:rsidRDefault="004A1008" w:rsidP="004A1008">
            <w:r w:rsidRPr="001419C7">
              <w:t>4.24</w:t>
            </w:r>
          </w:p>
        </w:tc>
        <w:tc>
          <w:tcPr>
            <w:tcW w:w="938" w:type="pct"/>
          </w:tcPr>
          <w:p w14:paraId="6A9E7C4C" w14:textId="77777777" w:rsidR="004A1008" w:rsidRPr="001419C7" w:rsidRDefault="004A1008" w:rsidP="004A1008">
            <w:r w:rsidRPr="001419C7">
              <w:t>SGN-Trans-013Shal</w:t>
            </w:r>
          </w:p>
        </w:tc>
      </w:tr>
      <w:tr w:rsidR="004A1008" w:rsidRPr="005D5E8A" w14:paraId="4F05ABE4" w14:textId="77777777" w:rsidTr="004A1008">
        <w:trPr>
          <w:trHeight w:val="321"/>
        </w:trPr>
        <w:tc>
          <w:tcPr>
            <w:tcW w:w="573" w:type="pct"/>
          </w:tcPr>
          <w:p w14:paraId="487F8C3E" w14:textId="77777777" w:rsidR="004A1008" w:rsidRPr="001419C7" w:rsidRDefault="004A1008" w:rsidP="004A1008">
            <w:r w:rsidRPr="001419C7">
              <w:t>SO</w:t>
            </w:r>
          </w:p>
        </w:tc>
        <w:tc>
          <w:tcPr>
            <w:tcW w:w="1653" w:type="pct"/>
          </w:tcPr>
          <w:p w14:paraId="6033F9EB" w14:textId="77777777" w:rsidR="004A1008" w:rsidRPr="001419C7" w:rsidRDefault="004A1008" w:rsidP="004A1008">
            <w:r w:rsidRPr="001419C7">
              <w:t>Shatterling PRS</w:t>
            </w:r>
          </w:p>
        </w:tc>
        <w:tc>
          <w:tcPr>
            <w:tcW w:w="917" w:type="pct"/>
          </w:tcPr>
          <w:p w14:paraId="45078C94" w14:textId="77777777" w:rsidR="004A1008" w:rsidRPr="001419C7" w:rsidRDefault="004A1008" w:rsidP="004A1008">
            <w:r w:rsidRPr="001419C7">
              <w:t>March 2026</w:t>
            </w:r>
          </w:p>
        </w:tc>
        <w:tc>
          <w:tcPr>
            <w:tcW w:w="918" w:type="pct"/>
          </w:tcPr>
          <w:p w14:paraId="4DA8EC4C" w14:textId="77777777" w:rsidR="004A1008" w:rsidRPr="001419C7" w:rsidRDefault="004A1008" w:rsidP="004A1008">
            <w:r w:rsidRPr="001419C7">
              <w:t>1.43</w:t>
            </w:r>
          </w:p>
        </w:tc>
        <w:tc>
          <w:tcPr>
            <w:tcW w:w="938" w:type="pct"/>
          </w:tcPr>
          <w:p w14:paraId="647DF3FA" w14:textId="77777777" w:rsidR="004A1008" w:rsidRPr="001419C7" w:rsidRDefault="004A1008" w:rsidP="004A1008">
            <w:r w:rsidRPr="001419C7">
              <w:t>SGN-Trans-014Shat</w:t>
            </w:r>
          </w:p>
        </w:tc>
      </w:tr>
      <w:tr w:rsidR="004A1008" w:rsidRPr="005D5E8A" w14:paraId="3547D175" w14:textId="77777777" w:rsidTr="004A1008">
        <w:trPr>
          <w:trHeight w:val="321"/>
        </w:trPr>
        <w:tc>
          <w:tcPr>
            <w:tcW w:w="573" w:type="pct"/>
          </w:tcPr>
          <w:p w14:paraId="27A01D26" w14:textId="77777777" w:rsidR="004A1008" w:rsidRPr="001419C7" w:rsidRDefault="004A1008" w:rsidP="004A1008">
            <w:r w:rsidRPr="001419C7">
              <w:t>SO</w:t>
            </w:r>
          </w:p>
        </w:tc>
        <w:tc>
          <w:tcPr>
            <w:tcW w:w="1653" w:type="pct"/>
          </w:tcPr>
          <w:p w14:paraId="448B140B" w14:textId="77777777" w:rsidR="004A1008" w:rsidRPr="001419C7" w:rsidRDefault="004A1008" w:rsidP="004A1008">
            <w:r w:rsidRPr="001419C7">
              <w:t>Smarden PRS</w:t>
            </w:r>
          </w:p>
        </w:tc>
        <w:tc>
          <w:tcPr>
            <w:tcW w:w="917" w:type="pct"/>
          </w:tcPr>
          <w:p w14:paraId="268CD0A6" w14:textId="77777777" w:rsidR="004A1008" w:rsidRPr="001419C7" w:rsidRDefault="004A1008" w:rsidP="004A1008">
            <w:r w:rsidRPr="001419C7">
              <w:t>March 2026</w:t>
            </w:r>
          </w:p>
        </w:tc>
        <w:tc>
          <w:tcPr>
            <w:tcW w:w="918" w:type="pct"/>
          </w:tcPr>
          <w:p w14:paraId="032D444E" w14:textId="77777777" w:rsidR="004A1008" w:rsidRPr="001419C7" w:rsidRDefault="004A1008" w:rsidP="004A1008">
            <w:r w:rsidRPr="001419C7">
              <w:t>1.53</w:t>
            </w:r>
          </w:p>
        </w:tc>
        <w:tc>
          <w:tcPr>
            <w:tcW w:w="938" w:type="pct"/>
          </w:tcPr>
          <w:p w14:paraId="7AA20933" w14:textId="77777777" w:rsidR="004A1008" w:rsidRPr="001419C7" w:rsidRDefault="004A1008" w:rsidP="004A1008">
            <w:r w:rsidRPr="001419C7">
              <w:t>SGN-Trans-015Smar</w:t>
            </w:r>
          </w:p>
        </w:tc>
      </w:tr>
      <w:tr w:rsidR="004A1008" w:rsidRPr="005D5E8A" w14:paraId="4C46D5BD" w14:textId="77777777" w:rsidTr="004A1008">
        <w:trPr>
          <w:trHeight w:val="321"/>
        </w:trPr>
        <w:tc>
          <w:tcPr>
            <w:tcW w:w="573" w:type="pct"/>
          </w:tcPr>
          <w:p w14:paraId="1F3B3D83" w14:textId="77777777" w:rsidR="004A1008" w:rsidRPr="001419C7" w:rsidRDefault="004A1008" w:rsidP="004A1008">
            <w:r w:rsidRPr="001419C7">
              <w:lastRenderedPageBreak/>
              <w:t>SO</w:t>
            </w:r>
          </w:p>
        </w:tc>
        <w:tc>
          <w:tcPr>
            <w:tcW w:w="1653" w:type="pct"/>
          </w:tcPr>
          <w:p w14:paraId="3EB3936C" w14:textId="77777777" w:rsidR="004A1008" w:rsidRPr="001419C7" w:rsidRDefault="004A1008" w:rsidP="004A1008">
            <w:r w:rsidRPr="001419C7">
              <w:t>Westerham PRS - System 1</w:t>
            </w:r>
          </w:p>
        </w:tc>
        <w:tc>
          <w:tcPr>
            <w:tcW w:w="917" w:type="pct"/>
          </w:tcPr>
          <w:p w14:paraId="0A2B5EFE" w14:textId="77777777" w:rsidR="004A1008" w:rsidRPr="001419C7" w:rsidRDefault="004A1008" w:rsidP="004A1008">
            <w:r w:rsidRPr="001419C7">
              <w:t>March 2026</w:t>
            </w:r>
          </w:p>
        </w:tc>
        <w:tc>
          <w:tcPr>
            <w:tcW w:w="918" w:type="pct"/>
          </w:tcPr>
          <w:p w14:paraId="3CE7F810" w14:textId="77777777" w:rsidR="004A1008" w:rsidRPr="001419C7" w:rsidRDefault="004A1008" w:rsidP="004A1008">
            <w:r w:rsidRPr="001419C7">
              <w:t>2.90</w:t>
            </w:r>
          </w:p>
        </w:tc>
        <w:tc>
          <w:tcPr>
            <w:tcW w:w="938" w:type="pct"/>
          </w:tcPr>
          <w:p w14:paraId="2A2443B9" w14:textId="77777777" w:rsidR="004A1008" w:rsidRPr="001419C7" w:rsidRDefault="004A1008" w:rsidP="004A1008">
            <w:r w:rsidRPr="001419C7">
              <w:t>SGN-Trans-018West1</w:t>
            </w:r>
          </w:p>
        </w:tc>
      </w:tr>
      <w:tr w:rsidR="004A1008" w:rsidRPr="005D5E8A" w14:paraId="1A2E3990" w14:textId="77777777" w:rsidTr="004A1008">
        <w:trPr>
          <w:trHeight w:val="321"/>
        </w:trPr>
        <w:tc>
          <w:tcPr>
            <w:tcW w:w="573" w:type="pct"/>
          </w:tcPr>
          <w:p w14:paraId="5482A314" w14:textId="77777777" w:rsidR="004A1008" w:rsidRPr="001419C7" w:rsidRDefault="004A1008" w:rsidP="004A1008">
            <w:r w:rsidRPr="001419C7">
              <w:t>SO</w:t>
            </w:r>
          </w:p>
        </w:tc>
        <w:tc>
          <w:tcPr>
            <w:tcW w:w="1653" w:type="pct"/>
          </w:tcPr>
          <w:p w14:paraId="32B713ED" w14:textId="77777777" w:rsidR="004A1008" w:rsidRPr="001419C7" w:rsidRDefault="004A1008" w:rsidP="004A1008">
            <w:r w:rsidRPr="001419C7">
              <w:t>Woking</w:t>
            </w:r>
          </w:p>
        </w:tc>
        <w:tc>
          <w:tcPr>
            <w:tcW w:w="917" w:type="pct"/>
          </w:tcPr>
          <w:p w14:paraId="348446E3" w14:textId="77777777" w:rsidR="004A1008" w:rsidRPr="001419C7" w:rsidRDefault="004A1008" w:rsidP="004A1008">
            <w:r w:rsidRPr="001419C7">
              <w:t>March 2026</w:t>
            </w:r>
          </w:p>
        </w:tc>
        <w:tc>
          <w:tcPr>
            <w:tcW w:w="918" w:type="pct"/>
          </w:tcPr>
          <w:p w14:paraId="51A0397F" w14:textId="77777777" w:rsidR="004A1008" w:rsidRPr="001419C7" w:rsidRDefault="004A1008" w:rsidP="004A1008">
            <w:r w:rsidRPr="001419C7">
              <w:t>2.09</w:t>
            </w:r>
          </w:p>
        </w:tc>
        <w:tc>
          <w:tcPr>
            <w:tcW w:w="938" w:type="pct"/>
          </w:tcPr>
          <w:p w14:paraId="0ACA9E79" w14:textId="77777777" w:rsidR="004A1008" w:rsidRPr="001419C7" w:rsidRDefault="004A1008" w:rsidP="004A1008">
            <w:r w:rsidRPr="001419C7">
              <w:t>SGN-Trans-019Woki</w:t>
            </w:r>
          </w:p>
        </w:tc>
      </w:tr>
    </w:tbl>
    <w:p w14:paraId="7A63063A" w14:textId="77777777" w:rsidR="004A1008" w:rsidRPr="001419C7" w:rsidRDefault="004A1008" w:rsidP="004A1008"/>
    <w:p w14:paraId="43F2D2C2" w14:textId="77777777" w:rsidR="004A1008" w:rsidRPr="001419C7" w:rsidRDefault="004A1008" w:rsidP="004A1008">
      <w:pPr>
        <w:pStyle w:val="Caption"/>
      </w:pPr>
      <w:r w:rsidRPr="001419C7">
        <w:t xml:space="preserve">Capital Projects </w:t>
      </w:r>
      <w:r w:rsidRPr="00D64641">
        <w:t>P</w:t>
      </w:r>
      <w:r>
        <w:t xml:space="preserve">rice </w:t>
      </w:r>
      <w:r w:rsidRPr="00D64641">
        <w:t>C</w:t>
      </w:r>
      <w:r>
        <w:t xml:space="preserve">ontrol </w:t>
      </w:r>
      <w:r w:rsidRPr="00D64641">
        <w:t>D</w:t>
      </w:r>
      <w:r>
        <w:t>eliverable</w:t>
      </w:r>
      <w:r w:rsidRPr="001419C7">
        <w:t xml:space="preserve"> - WWU</w:t>
      </w:r>
    </w:p>
    <w:tbl>
      <w:tblPr>
        <w:tblStyle w:val="AppendixTable"/>
        <w:tblW w:w="5000" w:type="pct"/>
        <w:tblLook w:val="04A0" w:firstRow="1" w:lastRow="0" w:firstColumn="1" w:lastColumn="0" w:noHBand="0" w:noVBand="1"/>
      </w:tblPr>
      <w:tblGrid>
        <w:gridCol w:w="1035"/>
        <w:gridCol w:w="2985"/>
        <w:gridCol w:w="1656"/>
        <w:gridCol w:w="1657"/>
        <w:gridCol w:w="1693"/>
      </w:tblGrid>
      <w:tr w:rsidR="004A1008" w:rsidRPr="00DE541A" w14:paraId="60C1C83E" w14:textId="77777777" w:rsidTr="004A1008">
        <w:trPr>
          <w:cnfStyle w:val="100000000000" w:firstRow="1" w:lastRow="0" w:firstColumn="0" w:lastColumn="0" w:oddVBand="0" w:evenVBand="0" w:oddHBand="0" w:evenHBand="0" w:firstRowFirstColumn="0" w:firstRowLastColumn="0" w:lastRowFirstColumn="0" w:lastRowLastColumn="0"/>
          <w:trHeight w:val="305"/>
        </w:trPr>
        <w:tc>
          <w:tcPr>
            <w:tcW w:w="573" w:type="pct"/>
          </w:tcPr>
          <w:p w14:paraId="558C47B3" w14:textId="77777777" w:rsidR="004A1008" w:rsidRPr="001419C7" w:rsidRDefault="004A1008" w:rsidP="004A1008">
            <w:r w:rsidRPr="001419C7">
              <w:t>Licensee</w:t>
            </w:r>
          </w:p>
        </w:tc>
        <w:tc>
          <w:tcPr>
            <w:tcW w:w="1653" w:type="pct"/>
          </w:tcPr>
          <w:p w14:paraId="01A77519" w14:textId="77777777" w:rsidR="004A1008" w:rsidRPr="001419C7" w:rsidRDefault="004A1008" w:rsidP="004A1008">
            <w:r w:rsidRPr="001419C7">
              <w:t>Project Name</w:t>
            </w:r>
          </w:p>
        </w:tc>
        <w:tc>
          <w:tcPr>
            <w:tcW w:w="917" w:type="pct"/>
          </w:tcPr>
          <w:p w14:paraId="1043F61C" w14:textId="77777777" w:rsidR="004A1008" w:rsidRPr="001419C7" w:rsidRDefault="004A1008" w:rsidP="004A1008">
            <w:r w:rsidRPr="001419C7">
              <w:t>Delivery Date</w:t>
            </w:r>
          </w:p>
        </w:tc>
        <w:tc>
          <w:tcPr>
            <w:tcW w:w="918" w:type="pct"/>
          </w:tcPr>
          <w:p w14:paraId="1A45423A" w14:textId="77777777" w:rsidR="004A1008" w:rsidRPr="001419C7" w:rsidRDefault="004A1008" w:rsidP="004A1008">
            <w:r w:rsidRPr="001419C7">
              <w:t>Total Allowance</w:t>
            </w:r>
          </w:p>
          <w:p w14:paraId="6E0A76EF" w14:textId="77777777" w:rsidR="004A1008" w:rsidRPr="001419C7" w:rsidRDefault="004A1008" w:rsidP="004A1008"/>
        </w:tc>
        <w:tc>
          <w:tcPr>
            <w:tcW w:w="938" w:type="pct"/>
          </w:tcPr>
          <w:p w14:paraId="22819870" w14:textId="77777777" w:rsidR="004A1008" w:rsidRPr="001419C7" w:rsidRDefault="004A1008" w:rsidP="004A1008">
            <w:r w:rsidRPr="001419C7">
              <w:t>Outputs (Reference to EJP)</w:t>
            </w:r>
          </w:p>
        </w:tc>
      </w:tr>
      <w:tr w:rsidR="004A1008" w:rsidRPr="004A29FE" w14:paraId="6CADC99C" w14:textId="77777777" w:rsidTr="004A1008">
        <w:trPr>
          <w:trHeight w:val="321"/>
        </w:trPr>
        <w:tc>
          <w:tcPr>
            <w:tcW w:w="573" w:type="pct"/>
          </w:tcPr>
          <w:p w14:paraId="052BDE46" w14:textId="77777777" w:rsidR="004A1008" w:rsidRPr="001419C7" w:rsidRDefault="004A1008" w:rsidP="004A1008">
            <w:r w:rsidRPr="001419C7">
              <w:t>WWU</w:t>
            </w:r>
          </w:p>
        </w:tc>
        <w:tc>
          <w:tcPr>
            <w:tcW w:w="1653" w:type="pct"/>
          </w:tcPr>
          <w:p w14:paraId="7EFADE8B" w14:textId="77777777" w:rsidR="004A1008" w:rsidRPr="001419C7" w:rsidRDefault="004A1008" w:rsidP="004A1008">
            <w:r w:rsidRPr="001419C7">
              <w:t>HN039 LTS Pipeline Replacement</w:t>
            </w:r>
          </w:p>
        </w:tc>
        <w:tc>
          <w:tcPr>
            <w:tcW w:w="917" w:type="pct"/>
          </w:tcPr>
          <w:p w14:paraId="793886C2" w14:textId="77777777" w:rsidR="004A1008" w:rsidRPr="001419C7" w:rsidRDefault="004A1008" w:rsidP="004A1008">
            <w:r w:rsidRPr="001419C7">
              <w:t>March 2026</w:t>
            </w:r>
          </w:p>
        </w:tc>
        <w:tc>
          <w:tcPr>
            <w:tcW w:w="918" w:type="pct"/>
          </w:tcPr>
          <w:p w14:paraId="0896C1E2" w14:textId="77777777" w:rsidR="004A1008" w:rsidRPr="001419C7" w:rsidRDefault="004A1008" w:rsidP="004A1008">
            <w:r w:rsidRPr="001419C7">
              <w:t>13.19</w:t>
            </w:r>
          </w:p>
        </w:tc>
        <w:tc>
          <w:tcPr>
            <w:tcW w:w="938" w:type="pct"/>
          </w:tcPr>
          <w:p w14:paraId="1A98A2E4" w14:textId="77777777" w:rsidR="004A1008" w:rsidRPr="001419C7" w:rsidRDefault="004A1008" w:rsidP="004A1008">
            <w:r w:rsidRPr="001419C7">
              <w:t>15B1.4</w:t>
            </w:r>
          </w:p>
        </w:tc>
      </w:tr>
    </w:tbl>
    <w:p w14:paraId="621C5C22" w14:textId="77777777" w:rsidR="004A1008" w:rsidRDefault="004A1008" w:rsidP="004A1008"/>
    <w:p w14:paraId="014B424A" w14:textId="77777777" w:rsidR="004A1008" w:rsidRPr="00A11589" w:rsidRDefault="004A1008" w:rsidP="00083B7A">
      <w:pPr>
        <w:pStyle w:val="Heading2"/>
      </w:pPr>
      <w:bookmarkStart w:id="85" w:name="_Toc51783609"/>
      <w:bookmarkStart w:id="86" w:name="_Toc52364547"/>
      <w:r w:rsidRPr="00A11589">
        <w:t>Fuel Poor Network Extension Scheme Volume Driver</w:t>
      </w:r>
      <w:r>
        <w:t xml:space="preserve"> (FPA</w:t>
      </w:r>
      <w:r w:rsidRPr="00DF27BB">
        <w:rPr>
          <w:vertAlign w:val="subscript"/>
        </w:rPr>
        <w:t>t</w:t>
      </w:r>
      <w:r>
        <w:t>)</w:t>
      </w:r>
      <w:bookmarkEnd w:id="85"/>
      <w:bookmarkEnd w:id="86"/>
    </w:p>
    <w:p w14:paraId="3F3AB05A" w14:textId="77777777" w:rsidR="004A1008" w:rsidRPr="00A11589" w:rsidRDefault="004A1008" w:rsidP="004A1008">
      <w:pPr>
        <w:pStyle w:val="Heading3nonumbering"/>
      </w:pPr>
      <w:r w:rsidRPr="00A11589">
        <w:t xml:space="preserve">Introduction </w:t>
      </w:r>
    </w:p>
    <w:p w14:paraId="498C51A0" w14:textId="77777777" w:rsidR="004A1008" w:rsidRPr="00A11589" w:rsidRDefault="004A1008" w:rsidP="004A1008">
      <w:pPr>
        <w:pStyle w:val="NumberedNormal"/>
      </w:pPr>
      <w:r>
        <w:t>The purpose of this condition is to calculate the term FPA</w:t>
      </w:r>
      <w:r w:rsidRPr="00DF27BB">
        <w:rPr>
          <w:vertAlign w:val="subscript"/>
        </w:rPr>
        <w:t>t</w:t>
      </w:r>
      <w:r>
        <w:t xml:space="preserve"> (the FPNES Adjustment term).  This contributes to the calculation of the Totex Allowance.</w:t>
      </w:r>
    </w:p>
    <w:p w14:paraId="27243FC4" w14:textId="77777777" w:rsidR="004A1008" w:rsidRDefault="004A1008" w:rsidP="004A1008">
      <w:pPr>
        <w:pStyle w:val="NumberedNormal"/>
      </w:pPr>
      <w:r>
        <w:t>The effect of this condition is to adjust revenue to fund the licensee for connections made under the FPNES.</w:t>
      </w:r>
    </w:p>
    <w:p w14:paraId="34AF1779" w14:textId="77777777" w:rsidR="004A1008" w:rsidRPr="00A11589" w:rsidRDefault="004A1008" w:rsidP="004A1008">
      <w:pPr>
        <w:pStyle w:val="Heading3"/>
      </w:pPr>
      <w:r>
        <w:t>Formula for calculating the FPNES Adjustment Term (FPAt)</w:t>
      </w:r>
    </w:p>
    <w:p w14:paraId="3C244B8F" w14:textId="77777777" w:rsidR="004A1008" w:rsidRPr="00A11589" w:rsidRDefault="004A1008" w:rsidP="004A1008">
      <w:pPr>
        <w:pStyle w:val="NumberedNormal"/>
      </w:pPr>
      <w:r>
        <w:t xml:space="preserve">The value of </w:t>
      </w:r>
      <w:r w:rsidRPr="0067583E">
        <w:rPr>
          <w:i/>
          <w:iCs/>
        </w:rPr>
        <w:t>FPA</w:t>
      </w:r>
      <w:r w:rsidRPr="0067583E">
        <w:rPr>
          <w:i/>
          <w:iCs/>
          <w:vertAlign w:val="subscript"/>
        </w:rPr>
        <w:t>t</w:t>
      </w:r>
      <w:r>
        <w:t xml:space="preserve"> is derived in accordance with the following formula: </w:t>
      </w:r>
    </w:p>
    <w:p w14:paraId="5773752E" w14:textId="77777777" w:rsidR="004A1008" w:rsidRPr="00A11589" w:rsidRDefault="008C7681" w:rsidP="004A1008">
      <w:pPr>
        <w:pStyle w:val="Equation"/>
      </w:pPr>
      <m:oMathPara>
        <m:oMath>
          <m:sSub>
            <m:sSubPr>
              <m:ctrlPr>
                <w:rPr>
                  <w:rFonts w:ascii="Cambria Math" w:hAnsi="Cambria Math"/>
                </w:rPr>
              </m:ctrlPr>
            </m:sSubPr>
            <m:e>
              <m:r>
                <w:rPr>
                  <w:rFonts w:ascii="Cambria Math" w:hAnsi="Cambria Math"/>
                </w:rPr>
                <m:t>FPA</m:t>
              </m:r>
            </m:e>
            <m:sub>
              <m:r>
                <w:rPr>
                  <w:rFonts w:ascii="Cambria Math" w:hAnsi="Cambria Math"/>
                </w:rPr>
                <m:t>t</m:t>
              </m:r>
            </m:sub>
          </m:sSub>
          <m:r>
            <w:rPr>
              <w:rFonts w:ascii="Cambria Math" w:hAnsi="Cambria Math"/>
            </w:rPr>
            <m:t>=</m:t>
          </m:r>
          <m:r>
            <m:rPr>
              <m:sty m:val="p"/>
            </m:rPr>
            <w:rPr>
              <w:rFonts w:ascii="Cambria Math" w:hAnsi="Cambria Math"/>
            </w:rPr>
            <m:t>min⁡</m:t>
          </m:r>
          <m:r>
            <w:rPr>
              <w:rFonts w:ascii="Cambria Math" w:hAnsi="Cambria Math"/>
            </w:rPr>
            <m:t>(</m:t>
          </m:r>
          <m:nary>
            <m:naryPr>
              <m:chr m:val="∑"/>
              <m:limLoc m:val="undOvr"/>
              <m:ctrlPr>
                <w:rPr>
                  <w:rFonts w:ascii="Cambria Math" w:hAnsi="Cambria Math"/>
                </w:rPr>
              </m:ctrlPr>
            </m:naryPr>
            <m:sub>
              <m:r>
                <m:rPr>
                  <m:sty m:val="p"/>
                </m:rPr>
                <w:rPr>
                  <w:rFonts w:ascii="Cambria Math" w:hAnsi="Cambria Math"/>
                </w:rPr>
                <m:t>n=1</m:t>
              </m:r>
            </m:sub>
            <m:sup>
              <m:r>
                <m:rPr>
                  <m:sty m:val="p"/>
                </m:rPr>
                <w:rPr>
                  <w:rFonts w:ascii="Cambria Math" w:hAnsi="Cambria Math"/>
                </w:rPr>
                <m:t>3</m:t>
              </m:r>
            </m:sup>
            <m:e>
              <m:d>
                <m:dPr>
                  <m:ctrlPr>
                    <w:rPr>
                      <w:rFonts w:ascii="Cambria Math" w:hAnsi="Cambria Math"/>
                    </w:rPr>
                  </m:ctrlPr>
                </m:dPr>
                <m:e>
                  <m:r>
                    <w:rPr>
                      <w:rFonts w:ascii="Cambria Math" w:hAnsi="Cambria Math"/>
                    </w:rPr>
                    <m:t>DC</m:t>
                  </m:r>
                  <m:r>
                    <m:rPr>
                      <m:sty m:val="p"/>
                    </m:rPr>
                    <w:rPr>
                      <w:rFonts w:ascii="Cambria Math" w:hAnsi="Cambria Math"/>
                    </w:rPr>
                    <m:t>×</m:t>
                  </m:r>
                  <m:sSub>
                    <m:sSubPr>
                      <m:ctrlPr>
                        <w:rPr>
                          <w:rFonts w:ascii="Cambria Math" w:hAnsi="Cambria Math"/>
                        </w:rPr>
                      </m:ctrlPr>
                    </m:sSubPr>
                    <m:e>
                      <m:r>
                        <w:rPr>
                          <w:rFonts w:ascii="Cambria Math" w:hAnsi="Cambria Math"/>
                        </w:rPr>
                        <m:t>V</m:t>
                      </m:r>
                    </m:e>
                    <m:sub>
                      <m:r>
                        <m:rPr>
                          <m:sty m:val="p"/>
                        </m:rPr>
                        <w:rPr>
                          <w:rFonts w:ascii="Cambria Math" w:hAnsi="Cambria Math"/>
                        </w:rPr>
                        <m:t>n,t</m:t>
                      </m:r>
                    </m:sub>
                  </m:sSub>
                </m:e>
              </m:d>
            </m:e>
          </m:nary>
          <m:r>
            <w:rPr>
              <w:rFonts w:ascii="Cambria Math" w:hAnsi="Cambria Math"/>
            </w:rPr>
            <m:t xml:space="preserve">, </m:t>
          </m:r>
          <m:d>
            <m:dPr>
              <m:ctrlPr>
                <w:rPr>
                  <w:rFonts w:ascii="Cambria Math" w:hAnsi="Cambria Math"/>
                </w:rPr>
              </m:ctrlPr>
            </m:dPr>
            <m:e>
              <m:r>
                <w:rPr>
                  <w:rFonts w:ascii="Cambria Math" w:hAnsi="Cambria Math"/>
                </w:rPr>
                <m:t>C</m:t>
              </m:r>
              <m:r>
                <m:rPr>
                  <m:sty m:val="p"/>
                </m:rPr>
                <w:rPr>
                  <w:rFonts w:ascii="Cambria Math" w:hAnsi="Cambria Math"/>
                </w:rPr>
                <m:t>×</m:t>
              </m:r>
              <m:sSub>
                <m:sSubPr>
                  <m:ctrlPr>
                    <w:rPr>
                      <w:rFonts w:ascii="Cambria Math" w:hAnsi="Cambria Math"/>
                    </w:rPr>
                  </m:ctrlPr>
                </m:sSubPr>
                <m:e>
                  <m:r>
                    <w:rPr>
                      <w:rFonts w:ascii="Cambria Math" w:hAnsi="Cambria Math"/>
                    </w:rPr>
                    <m:t>V</m:t>
                  </m:r>
                </m:e>
                <m:sub>
                  <m:r>
                    <m:rPr>
                      <m:sty m:val="p"/>
                    </m:rPr>
                    <w:rPr>
                      <w:rFonts w:ascii="Cambria Math" w:hAnsi="Cambria Math"/>
                    </w:rPr>
                    <m:t>n,t</m:t>
                  </m:r>
                </m:sub>
              </m:sSub>
            </m:e>
          </m:d>
          <m:r>
            <w:rPr>
              <w:rFonts w:ascii="Cambria Math" w:hAnsi="Cambria Math"/>
            </w:rPr>
            <m:t xml:space="preserve">) </m:t>
          </m:r>
        </m:oMath>
      </m:oMathPara>
    </w:p>
    <w:tbl>
      <w:tblPr>
        <w:tblW w:w="0" w:type="auto"/>
        <w:tblInd w:w="534" w:type="dxa"/>
        <w:tblLook w:val="0000" w:firstRow="0" w:lastRow="0" w:firstColumn="0" w:lastColumn="0" w:noHBand="0" w:noVBand="0"/>
      </w:tblPr>
      <w:tblGrid>
        <w:gridCol w:w="1673"/>
        <w:gridCol w:w="6819"/>
      </w:tblGrid>
      <w:tr w:rsidR="004A1008" w14:paraId="562D0DE5" w14:textId="77777777" w:rsidTr="004A1008">
        <w:tc>
          <w:tcPr>
            <w:tcW w:w="1673" w:type="dxa"/>
          </w:tcPr>
          <w:p w14:paraId="03634373" w14:textId="77777777" w:rsidR="004A1008" w:rsidRPr="00A11589" w:rsidRDefault="004A1008" w:rsidP="004A1008">
            <w:r w:rsidRPr="00A11589">
              <w:t>where:</w:t>
            </w:r>
          </w:p>
        </w:tc>
        <w:tc>
          <w:tcPr>
            <w:tcW w:w="6819" w:type="dxa"/>
          </w:tcPr>
          <w:p w14:paraId="121F4F2C" w14:textId="77777777" w:rsidR="004A1008" w:rsidRPr="00A11589" w:rsidRDefault="004A1008" w:rsidP="004A1008"/>
        </w:tc>
      </w:tr>
      <w:tr w:rsidR="004A1008" w14:paraId="1684EDAD" w14:textId="77777777" w:rsidTr="004A1008">
        <w:trPr>
          <w:trHeight w:val="744"/>
        </w:trPr>
        <w:tc>
          <w:tcPr>
            <w:tcW w:w="1673" w:type="dxa"/>
          </w:tcPr>
          <w:p w14:paraId="197AEBE7" w14:textId="77777777" w:rsidR="004A1008" w:rsidRPr="00092D87" w:rsidRDefault="004A1008" w:rsidP="004A1008">
            <w:pPr>
              <w:pStyle w:val="Equation"/>
              <w:rPr>
                <w:i/>
                <w:iCs/>
              </w:rPr>
            </w:pPr>
            <w:r w:rsidRPr="00092D87">
              <w:rPr>
                <w:i/>
                <w:iCs/>
              </w:rPr>
              <w:t>C</w:t>
            </w:r>
          </w:p>
        </w:tc>
        <w:tc>
          <w:tcPr>
            <w:tcW w:w="6819" w:type="dxa"/>
          </w:tcPr>
          <w:p w14:paraId="1BB8AB00" w14:textId="77777777" w:rsidR="004A1008" w:rsidRPr="00A11589" w:rsidRDefault="004A1008" w:rsidP="004A1008">
            <w:pPr>
              <w:pStyle w:val="Equation"/>
            </w:pPr>
            <w:r w:rsidRPr="00A11589">
              <w:t>means the maximum number of FPNES Connections the licensee may complete within the Price Control Period as set out in Appendix</w:t>
            </w:r>
            <w:r>
              <w:t xml:space="preserve"> 2;</w:t>
            </w:r>
          </w:p>
        </w:tc>
      </w:tr>
      <w:tr w:rsidR="004A1008" w14:paraId="6AF86196" w14:textId="77777777" w:rsidTr="004A1008">
        <w:tc>
          <w:tcPr>
            <w:tcW w:w="1673" w:type="dxa"/>
          </w:tcPr>
          <w:p w14:paraId="049ED50D" w14:textId="77777777" w:rsidR="004A1008" w:rsidRPr="00092D87" w:rsidRDefault="004A1008" w:rsidP="004A1008">
            <w:pPr>
              <w:pStyle w:val="Equation"/>
              <w:rPr>
                <w:i/>
                <w:iCs/>
              </w:rPr>
            </w:pPr>
            <w:r w:rsidRPr="00092D87">
              <w:rPr>
                <w:i/>
                <w:iCs/>
              </w:rPr>
              <w:t>DC</w:t>
            </w:r>
          </w:p>
        </w:tc>
        <w:tc>
          <w:tcPr>
            <w:tcW w:w="6819" w:type="dxa"/>
          </w:tcPr>
          <w:p w14:paraId="5C6006F9" w14:textId="77777777" w:rsidR="004A1008" w:rsidRPr="00A11589" w:rsidRDefault="004A1008" w:rsidP="004A1008">
            <w:pPr>
              <w:pStyle w:val="Equation"/>
            </w:pPr>
            <w:r w:rsidRPr="00A11589">
              <w:t>means the number of Delivered FPNES Connections over the Price Control Period;</w:t>
            </w:r>
            <w:r>
              <w:t xml:space="preserve"> and </w:t>
            </w:r>
          </w:p>
        </w:tc>
      </w:tr>
      <w:tr w:rsidR="004A1008" w14:paraId="61A2EDF8" w14:textId="77777777" w:rsidTr="004A1008">
        <w:tc>
          <w:tcPr>
            <w:tcW w:w="1673" w:type="dxa"/>
          </w:tcPr>
          <w:p w14:paraId="55C49D3E" w14:textId="77777777" w:rsidR="004A1008" w:rsidRPr="00092D87" w:rsidRDefault="004A1008" w:rsidP="004A1008">
            <w:pPr>
              <w:pStyle w:val="Equation"/>
              <w:rPr>
                <w:i/>
                <w:iCs/>
              </w:rPr>
            </w:pPr>
            <w:r w:rsidRPr="00092D87">
              <w:rPr>
                <w:i/>
                <w:iCs/>
              </w:rPr>
              <w:t>V</w:t>
            </w:r>
            <w:r w:rsidRPr="00092D87">
              <w:rPr>
                <w:i/>
                <w:iCs/>
                <w:vertAlign w:val="subscript"/>
              </w:rPr>
              <w:t>n,t</w:t>
            </w:r>
          </w:p>
        </w:tc>
        <w:tc>
          <w:tcPr>
            <w:tcW w:w="6819" w:type="dxa"/>
          </w:tcPr>
          <w:p w14:paraId="72D14723" w14:textId="77777777" w:rsidR="004A1008" w:rsidRPr="00A11589" w:rsidRDefault="004A1008" w:rsidP="004A1008">
            <w:pPr>
              <w:pStyle w:val="Equation"/>
            </w:pPr>
            <w:r w:rsidRPr="00A11589">
              <w:t xml:space="preserve">means the Fuel Poor Individual Connection Cost as set out in Appendix </w:t>
            </w:r>
            <w:r>
              <w:t>3</w:t>
            </w:r>
            <w:r w:rsidRPr="00A11589">
              <w:t>.</w:t>
            </w:r>
          </w:p>
        </w:tc>
      </w:tr>
    </w:tbl>
    <w:p w14:paraId="42901E6E" w14:textId="77777777" w:rsidR="004A1008" w:rsidRPr="00A11589" w:rsidRDefault="004A1008" w:rsidP="004A1008"/>
    <w:p w14:paraId="2DEC4BE9" w14:textId="77777777" w:rsidR="004A1008" w:rsidRPr="00A11589" w:rsidRDefault="004A1008" w:rsidP="004A1008">
      <w:pPr>
        <w:pStyle w:val="Heading3"/>
      </w:pPr>
      <w:r>
        <w:t>Closing the scheme</w:t>
      </w:r>
    </w:p>
    <w:p w14:paraId="5D28FD57" w14:textId="77777777" w:rsidR="004A1008" w:rsidRDefault="004A1008" w:rsidP="004A1008">
      <w:pPr>
        <w:pStyle w:val="NumberedNormal"/>
      </w:pPr>
      <w:r>
        <w:t>The Authority will close the FPNES by direction.</w:t>
      </w:r>
    </w:p>
    <w:p w14:paraId="088BC854" w14:textId="77777777" w:rsidR="004A1008" w:rsidRPr="00A11589" w:rsidRDefault="004A1008" w:rsidP="004A1008">
      <w:pPr>
        <w:pStyle w:val="NumberedNormal"/>
      </w:pPr>
      <w:r>
        <w:lastRenderedPageBreak/>
        <w:t>Before issuing a direction, the Authority will publish a notice setting out:</w:t>
      </w:r>
    </w:p>
    <w:p w14:paraId="7590EA32" w14:textId="77777777" w:rsidR="004A1008" w:rsidRPr="00A11589" w:rsidRDefault="004A1008" w:rsidP="004A1008">
      <w:pPr>
        <w:pStyle w:val="ListNormal"/>
      </w:pPr>
      <w:r>
        <w:t>the changes in government policy that it considers have made the FPNES redundant;</w:t>
      </w:r>
    </w:p>
    <w:p w14:paraId="53757C65" w14:textId="77777777" w:rsidR="004A1008" w:rsidRPr="00A11589" w:rsidRDefault="004A1008" w:rsidP="004A1008">
      <w:pPr>
        <w:pStyle w:val="ListNormal"/>
      </w:pPr>
      <w:r>
        <w:t xml:space="preserve">the date by which the licensee must complete all planned connections under the FPNES; </w:t>
      </w:r>
    </w:p>
    <w:p w14:paraId="5D320ED3" w14:textId="700635D7" w:rsidR="004A1008" w:rsidRPr="00A11589" w:rsidRDefault="004A1008" w:rsidP="004A1008">
      <w:pPr>
        <w:pStyle w:val="ListNormal"/>
      </w:pPr>
      <w:r>
        <w:t>the resultant changes to the licensee's RIIO-GD2 FPNES Connection Target</w:t>
      </w:r>
      <w:r w:rsidR="00DC4451">
        <w:t xml:space="preserve"> set out in Appendix 1</w:t>
      </w:r>
      <w:r>
        <w:t>;</w:t>
      </w:r>
    </w:p>
    <w:p w14:paraId="646F9036" w14:textId="77777777" w:rsidR="004A1008" w:rsidRPr="00A11589" w:rsidRDefault="004A1008" w:rsidP="004A1008">
      <w:pPr>
        <w:pStyle w:val="ListNormal"/>
      </w:pPr>
      <w:r>
        <w:t xml:space="preserve">the date of the planned closure, which will be not less than 30 days after the date of publication of the notice; and </w:t>
      </w:r>
    </w:p>
    <w:p w14:paraId="26FC6679" w14:textId="77777777" w:rsidR="004A1008" w:rsidRPr="00A11589" w:rsidRDefault="004A1008" w:rsidP="004A1008">
      <w:pPr>
        <w:pStyle w:val="ListNormal"/>
      </w:pPr>
      <w:r>
        <w:t>a period during which representations may be made on the direction, which will be not less than 15 days.</w:t>
      </w:r>
    </w:p>
    <w:p w14:paraId="3BF3F74A" w14:textId="77777777" w:rsidR="004A1008" w:rsidRPr="00A11589" w:rsidRDefault="004A1008" w:rsidP="004A1008">
      <w:pPr>
        <w:pStyle w:val="Heading3"/>
      </w:pPr>
      <w:r>
        <w:t>FPNES Governance Document</w:t>
      </w:r>
    </w:p>
    <w:p w14:paraId="1962A8BA" w14:textId="77777777" w:rsidR="004A1008" w:rsidRPr="00A11589" w:rsidRDefault="004A1008" w:rsidP="004A1008">
      <w:pPr>
        <w:pStyle w:val="NumberedNormal"/>
      </w:pPr>
      <w:r>
        <w:t>The licensee must comply with the FPNES Governance Document for the administration and delivery of the FPNES.</w:t>
      </w:r>
    </w:p>
    <w:p w14:paraId="78EFAF0C" w14:textId="77777777" w:rsidR="004A1008" w:rsidRPr="00A11589" w:rsidRDefault="004A1008" w:rsidP="004A1008">
      <w:pPr>
        <w:pStyle w:val="NumberedNormal"/>
      </w:pPr>
      <w:r>
        <w:t xml:space="preserve">The Authority will issue and amend the FPNES Governance Document by direction. </w:t>
      </w:r>
    </w:p>
    <w:p w14:paraId="1E1B6A81" w14:textId="77777777" w:rsidR="004A1008" w:rsidRPr="00A11589" w:rsidRDefault="004A1008" w:rsidP="004A1008">
      <w:pPr>
        <w:pStyle w:val="NumberedNormal"/>
      </w:pPr>
      <w:r>
        <w:t>The Authority will publish the FPNES Governance Document on the Authority's Website.</w:t>
      </w:r>
    </w:p>
    <w:p w14:paraId="1CD1962E" w14:textId="77777777" w:rsidR="004A1008" w:rsidRPr="00A11589" w:rsidRDefault="004A1008" w:rsidP="004A1008">
      <w:pPr>
        <w:pStyle w:val="NumberedNormal"/>
      </w:pPr>
      <w:r>
        <w:t>The FPNES Governance Document will make provision about:</w:t>
      </w:r>
    </w:p>
    <w:p w14:paraId="2F7B28D8" w14:textId="77777777" w:rsidR="004A1008" w:rsidRPr="00A11589" w:rsidRDefault="004A1008" w:rsidP="004A1008">
      <w:pPr>
        <w:pStyle w:val="ListNormal"/>
      </w:pPr>
      <w:r>
        <w:t>the eligibility criteria which FPNES Connections must meet;</w:t>
      </w:r>
    </w:p>
    <w:p w14:paraId="22DAC0E9" w14:textId="77777777" w:rsidR="004A1008" w:rsidRPr="00A11589" w:rsidRDefault="004A1008" w:rsidP="004A1008">
      <w:pPr>
        <w:pStyle w:val="ListNormal"/>
      </w:pPr>
      <w:r>
        <w:t xml:space="preserve">requirements the licensee must adhere to in relation to the administration and delivery of the FPNES; and </w:t>
      </w:r>
    </w:p>
    <w:p w14:paraId="3D276756" w14:textId="77777777" w:rsidR="004A1008" w:rsidRPr="00A11589" w:rsidRDefault="004A1008" w:rsidP="004A1008">
      <w:pPr>
        <w:pStyle w:val="ListNormal"/>
      </w:pPr>
      <w:r>
        <w:t>the nature of the reporting obligations in respect of the FPNES.</w:t>
      </w:r>
    </w:p>
    <w:p w14:paraId="2BB42D07" w14:textId="77777777" w:rsidR="004A1008" w:rsidRPr="00A11589" w:rsidRDefault="004A1008" w:rsidP="004A1008">
      <w:pPr>
        <w:pStyle w:val="NumberedNormal"/>
      </w:pPr>
      <w:r>
        <w:t>Before issuing the FPNES Governance Document by direction, the Authority will publish on the Authority's Website:</w:t>
      </w:r>
    </w:p>
    <w:p w14:paraId="3A3036C4" w14:textId="77777777" w:rsidR="004A1008" w:rsidRPr="00A11589" w:rsidRDefault="004A1008" w:rsidP="004A1008">
      <w:pPr>
        <w:pStyle w:val="ListNormal"/>
      </w:pPr>
      <w:r>
        <w:t xml:space="preserve">the text of the proposed FPNES Governance Document; </w:t>
      </w:r>
    </w:p>
    <w:p w14:paraId="66B1D325" w14:textId="77777777" w:rsidR="004A1008" w:rsidRPr="00A11589" w:rsidRDefault="004A1008" w:rsidP="004A1008">
      <w:pPr>
        <w:pStyle w:val="ListNormal"/>
      </w:pPr>
      <w:r>
        <w:t>the date on which the Authority intends the FPNES Governance Document to come into effect; and</w:t>
      </w:r>
    </w:p>
    <w:p w14:paraId="4EFE1964" w14:textId="77777777" w:rsidR="004A1008" w:rsidRPr="00A11589" w:rsidRDefault="004A1008" w:rsidP="004A1008">
      <w:pPr>
        <w:pStyle w:val="ListNormal"/>
      </w:pPr>
      <w:r>
        <w:t xml:space="preserve">a period during which representations may be made on the content of the FPNES Governance Document, which will not be less than 28 days. </w:t>
      </w:r>
      <w:r w:rsidRPr="00A11589">
        <w:t xml:space="preserve"> </w:t>
      </w:r>
    </w:p>
    <w:p w14:paraId="05210133" w14:textId="77777777" w:rsidR="004A1008" w:rsidRPr="00A11589" w:rsidRDefault="004A1008" w:rsidP="004A1008">
      <w:pPr>
        <w:pStyle w:val="NumberedNormal"/>
      </w:pPr>
      <w:r>
        <w:t>Before amending the FPNES Governance Document by direction, the Authority will publish on the Authority's Website:</w:t>
      </w:r>
    </w:p>
    <w:p w14:paraId="5E37BC45" w14:textId="77777777" w:rsidR="004A1008" w:rsidRPr="00A11589" w:rsidRDefault="004A1008" w:rsidP="004A1008">
      <w:pPr>
        <w:pStyle w:val="ListNormal"/>
      </w:pPr>
      <w:r>
        <w:t xml:space="preserve">the text of the amended FPNES Governance Document; </w:t>
      </w:r>
    </w:p>
    <w:p w14:paraId="1B3E8C7E" w14:textId="77777777" w:rsidR="004A1008" w:rsidRPr="00A11589" w:rsidRDefault="004A1008" w:rsidP="004A1008">
      <w:pPr>
        <w:pStyle w:val="ListNormal"/>
      </w:pPr>
      <w:r>
        <w:t xml:space="preserve">the date on which the Authority intends the amended FPNES Governance Document to come into effect; </w:t>
      </w:r>
    </w:p>
    <w:p w14:paraId="49A0870E" w14:textId="77777777" w:rsidR="004A1008" w:rsidRPr="00A11589" w:rsidRDefault="004A1008" w:rsidP="004A1008">
      <w:pPr>
        <w:pStyle w:val="ListNormal"/>
      </w:pPr>
      <w:r>
        <w:t>the reasons for the amendments to the FPNES Governance Document; and</w:t>
      </w:r>
    </w:p>
    <w:p w14:paraId="2E69F04A" w14:textId="77777777" w:rsidR="004A1008" w:rsidRDefault="004A1008" w:rsidP="004A1008">
      <w:pPr>
        <w:pStyle w:val="ListNormal"/>
      </w:pPr>
      <w:r>
        <w:lastRenderedPageBreak/>
        <w:t xml:space="preserve">a period during which representations may be made on the amendments to the FPNES Governance Document, which will not be less than 28 days. </w:t>
      </w:r>
    </w:p>
    <w:p w14:paraId="3134164F" w14:textId="77777777" w:rsidR="004A1008" w:rsidRPr="00A11589" w:rsidRDefault="004A1008" w:rsidP="004A1008"/>
    <w:p w14:paraId="36489CDB" w14:textId="77777777" w:rsidR="004A1008" w:rsidRPr="00A11589" w:rsidRDefault="004A1008" w:rsidP="004A1008">
      <w:pPr>
        <w:pStyle w:val="AppendixHeading"/>
      </w:pPr>
    </w:p>
    <w:p w14:paraId="1AB65454" w14:textId="159A63AE" w:rsidR="004A1008" w:rsidRPr="00A11589" w:rsidRDefault="004A1008" w:rsidP="004A1008">
      <w:pPr>
        <w:pStyle w:val="Caption"/>
      </w:pPr>
      <w:r w:rsidRPr="00993297">
        <w:t xml:space="preserve">RIIO-GD2 FPNES Connection Target </w:t>
      </w:r>
      <w:r>
        <w:t>Between</w:t>
      </w:r>
      <w:r w:rsidRPr="00993297">
        <w:t xml:space="preserve"> 1 April 2021 </w:t>
      </w:r>
      <w:r>
        <w:t>and</w:t>
      </w:r>
      <w:r w:rsidRPr="00993297">
        <w:t xml:space="preserve"> 31 March 2026</w:t>
      </w:r>
    </w:p>
    <w:tbl>
      <w:tblPr>
        <w:tblStyle w:val="AppendixTable"/>
        <w:tblW w:w="0" w:type="auto"/>
        <w:tblLayout w:type="fixed"/>
        <w:tblLook w:val="04A0" w:firstRow="1" w:lastRow="0" w:firstColumn="1" w:lastColumn="0" w:noHBand="0" w:noVBand="1"/>
      </w:tblPr>
      <w:tblGrid>
        <w:gridCol w:w="3023"/>
        <w:gridCol w:w="4677"/>
      </w:tblGrid>
      <w:tr w:rsidR="004A1008" w:rsidRPr="00DE541A" w14:paraId="19DDC848" w14:textId="77777777" w:rsidTr="004A1008">
        <w:trPr>
          <w:cnfStyle w:val="100000000000" w:firstRow="1" w:lastRow="0" w:firstColumn="0" w:lastColumn="0" w:oddVBand="0" w:evenVBand="0" w:oddHBand="0" w:evenHBand="0" w:firstRowFirstColumn="0" w:firstRowLastColumn="0" w:lastRowFirstColumn="0" w:lastRowLastColumn="0"/>
          <w:trHeight w:val="317"/>
        </w:trPr>
        <w:tc>
          <w:tcPr>
            <w:tcW w:w="3023" w:type="dxa"/>
          </w:tcPr>
          <w:p w14:paraId="5FCDDB07" w14:textId="77777777" w:rsidR="004A1008" w:rsidRPr="00A11589" w:rsidRDefault="004A1008" w:rsidP="004A1008">
            <w:r>
              <w:t>Distribution Network</w:t>
            </w:r>
          </w:p>
        </w:tc>
        <w:tc>
          <w:tcPr>
            <w:tcW w:w="4677" w:type="dxa"/>
          </w:tcPr>
          <w:p w14:paraId="77588471" w14:textId="77777777" w:rsidR="004A1008" w:rsidRPr="00A11589" w:rsidRDefault="004A1008" w:rsidP="004A1008"/>
        </w:tc>
      </w:tr>
      <w:tr w:rsidR="004A1008" w:rsidRPr="00D5104D" w14:paraId="569614EA" w14:textId="77777777" w:rsidTr="004A1008">
        <w:trPr>
          <w:trHeight w:val="321"/>
        </w:trPr>
        <w:tc>
          <w:tcPr>
            <w:tcW w:w="3023" w:type="dxa"/>
          </w:tcPr>
          <w:p w14:paraId="6C5934EA" w14:textId="77777777" w:rsidR="004A1008" w:rsidRPr="00A11589" w:rsidRDefault="004A1008" w:rsidP="004A1008">
            <w:r w:rsidRPr="00A11589">
              <w:t>EOE</w:t>
            </w:r>
          </w:p>
        </w:tc>
        <w:tc>
          <w:tcPr>
            <w:tcW w:w="4677" w:type="dxa"/>
          </w:tcPr>
          <w:p w14:paraId="354FEF24" w14:textId="77777777" w:rsidR="004A1008" w:rsidRPr="00A11589" w:rsidRDefault="004A1008" w:rsidP="004A1008">
            <w:r w:rsidRPr="00A11589">
              <w:t>Xxxx</w:t>
            </w:r>
          </w:p>
        </w:tc>
      </w:tr>
      <w:tr w:rsidR="004A1008" w:rsidRPr="00D5104D" w14:paraId="11B8B54E" w14:textId="77777777" w:rsidTr="004A1008">
        <w:trPr>
          <w:trHeight w:val="321"/>
        </w:trPr>
        <w:tc>
          <w:tcPr>
            <w:tcW w:w="3023" w:type="dxa"/>
          </w:tcPr>
          <w:p w14:paraId="56AD30DE" w14:textId="77777777" w:rsidR="004A1008" w:rsidRPr="00A11589" w:rsidRDefault="004A1008" w:rsidP="004A1008">
            <w:r w:rsidRPr="00A11589">
              <w:t>Lon</w:t>
            </w:r>
          </w:p>
        </w:tc>
        <w:tc>
          <w:tcPr>
            <w:tcW w:w="4677" w:type="dxa"/>
          </w:tcPr>
          <w:p w14:paraId="4D38A903" w14:textId="77777777" w:rsidR="004A1008" w:rsidRPr="00A11589" w:rsidRDefault="004A1008" w:rsidP="004A1008">
            <w:r w:rsidRPr="00A11589">
              <w:t>xxxx</w:t>
            </w:r>
          </w:p>
        </w:tc>
      </w:tr>
      <w:tr w:rsidR="004A1008" w:rsidRPr="00D5104D" w14:paraId="5D5EBE85" w14:textId="77777777" w:rsidTr="004A1008">
        <w:trPr>
          <w:trHeight w:val="315"/>
        </w:trPr>
        <w:tc>
          <w:tcPr>
            <w:tcW w:w="3023" w:type="dxa"/>
          </w:tcPr>
          <w:p w14:paraId="7610234F" w14:textId="77777777" w:rsidR="004A1008" w:rsidRPr="00A11589" w:rsidRDefault="004A1008" w:rsidP="004A1008">
            <w:r w:rsidRPr="00A11589">
              <w:t>NW</w:t>
            </w:r>
          </w:p>
        </w:tc>
        <w:tc>
          <w:tcPr>
            <w:tcW w:w="4677" w:type="dxa"/>
          </w:tcPr>
          <w:p w14:paraId="642793D2" w14:textId="77777777" w:rsidR="004A1008" w:rsidRPr="00A11589" w:rsidRDefault="004A1008" w:rsidP="004A1008">
            <w:r w:rsidRPr="00A11589">
              <w:t>xxxx</w:t>
            </w:r>
          </w:p>
        </w:tc>
      </w:tr>
      <w:tr w:rsidR="004A1008" w:rsidRPr="00B43143" w14:paraId="39522FD8" w14:textId="77777777" w:rsidTr="004A1008">
        <w:trPr>
          <w:trHeight w:val="349"/>
        </w:trPr>
        <w:tc>
          <w:tcPr>
            <w:tcW w:w="3023" w:type="dxa"/>
          </w:tcPr>
          <w:p w14:paraId="16BFEF5A" w14:textId="77777777" w:rsidR="004A1008" w:rsidRPr="00A11589" w:rsidRDefault="004A1008" w:rsidP="004A1008">
            <w:r w:rsidRPr="00A11589">
              <w:t>WM</w:t>
            </w:r>
          </w:p>
        </w:tc>
        <w:tc>
          <w:tcPr>
            <w:tcW w:w="4677" w:type="dxa"/>
          </w:tcPr>
          <w:p w14:paraId="5C4E0CE9" w14:textId="77777777" w:rsidR="004A1008" w:rsidRPr="00A11589" w:rsidRDefault="004A1008" w:rsidP="004A1008">
            <w:r w:rsidRPr="00A11589">
              <w:t>xxxx</w:t>
            </w:r>
          </w:p>
        </w:tc>
      </w:tr>
      <w:tr w:rsidR="004A1008" w:rsidRPr="00B43143" w14:paraId="5878F797" w14:textId="77777777" w:rsidTr="004A1008">
        <w:trPr>
          <w:trHeight w:val="228"/>
        </w:trPr>
        <w:tc>
          <w:tcPr>
            <w:tcW w:w="3023" w:type="dxa"/>
          </w:tcPr>
          <w:p w14:paraId="21024C36" w14:textId="77777777" w:rsidR="004A1008" w:rsidRPr="00A11589" w:rsidRDefault="004A1008" w:rsidP="004A1008">
            <w:r w:rsidRPr="00A11589">
              <w:t>Northern Gas Networks Ltd</w:t>
            </w:r>
          </w:p>
        </w:tc>
        <w:tc>
          <w:tcPr>
            <w:tcW w:w="4677" w:type="dxa"/>
          </w:tcPr>
          <w:p w14:paraId="703265D1" w14:textId="77777777" w:rsidR="004A1008" w:rsidRPr="00A11589" w:rsidRDefault="004A1008" w:rsidP="004A1008">
            <w:r w:rsidRPr="00A11589">
              <w:t>xxxx</w:t>
            </w:r>
          </w:p>
        </w:tc>
      </w:tr>
      <w:tr w:rsidR="004A1008" w:rsidRPr="00B43143" w14:paraId="2D8D3DE9" w14:textId="77777777" w:rsidTr="004A1008">
        <w:trPr>
          <w:trHeight w:val="233"/>
        </w:trPr>
        <w:tc>
          <w:tcPr>
            <w:tcW w:w="3023" w:type="dxa"/>
          </w:tcPr>
          <w:p w14:paraId="33BF2EA7" w14:textId="77777777" w:rsidR="004A1008" w:rsidRPr="00A11589" w:rsidRDefault="004A1008" w:rsidP="004A1008">
            <w:r w:rsidRPr="00A11589">
              <w:t>Scotland Gas Networks plc</w:t>
            </w:r>
          </w:p>
        </w:tc>
        <w:tc>
          <w:tcPr>
            <w:tcW w:w="4677" w:type="dxa"/>
          </w:tcPr>
          <w:p w14:paraId="486D8B7E" w14:textId="77777777" w:rsidR="004A1008" w:rsidRPr="00A11589" w:rsidRDefault="004A1008" w:rsidP="004A1008">
            <w:r w:rsidRPr="00A11589">
              <w:t>xxxx</w:t>
            </w:r>
          </w:p>
        </w:tc>
      </w:tr>
      <w:tr w:rsidR="004A1008" w:rsidRPr="00B43143" w14:paraId="4C3ED196" w14:textId="77777777" w:rsidTr="004A1008">
        <w:trPr>
          <w:trHeight w:val="395"/>
        </w:trPr>
        <w:tc>
          <w:tcPr>
            <w:tcW w:w="3023" w:type="dxa"/>
          </w:tcPr>
          <w:p w14:paraId="1E8CE505" w14:textId="77777777" w:rsidR="004A1008" w:rsidRPr="00A11589" w:rsidRDefault="004A1008" w:rsidP="004A1008">
            <w:r w:rsidRPr="00A11589">
              <w:t>Southern Gas Networks plc</w:t>
            </w:r>
          </w:p>
        </w:tc>
        <w:tc>
          <w:tcPr>
            <w:tcW w:w="4677" w:type="dxa"/>
          </w:tcPr>
          <w:p w14:paraId="1E3AAE56" w14:textId="77777777" w:rsidR="004A1008" w:rsidRPr="00A11589" w:rsidRDefault="004A1008" w:rsidP="004A1008">
            <w:r w:rsidRPr="00A11589">
              <w:t>xxxx</w:t>
            </w:r>
          </w:p>
        </w:tc>
      </w:tr>
      <w:tr w:rsidR="004A1008" w:rsidRPr="00B43143" w14:paraId="155F5860" w14:textId="77777777" w:rsidTr="004A1008">
        <w:trPr>
          <w:trHeight w:val="273"/>
        </w:trPr>
        <w:tc>
          <w:tcPr>
            <w:tcW w:w="3023" w:type="dxa"/>
          </w:tcPr>
          <w:p w14:paraId="20FB581D" w14:textId="77777777" w:rsidR="004A1008" w:rsidRPr="00A11589" w:rsidRDefault="004A1008" w:rsidP="004A1008">
            <w:r w:rsidRPr="00A11589">
              <w:t>Wales &amp; West Utilities Ltd</w:t>
            </w:r>
          </w:p>
        </w:tc>
        <w:tc>
          <w:tcPr>
            <w:tcW w:w="4677" w:type="dxa"/>
          </w:tcPr>
          <w:p w14:paraId="6570043C" w14:textId="77777777" w:rsidR="004A1008" w:rsidRPr="00A11589" w:rsidRDefault="004A1008" w:rsidP="004A1008">
            <w:r w:rsidRPr="00A11589">
              <w:t>xxxx</w:t>
            </w:r>
          </w:p>
        </w:tc>
      </w:tr>
    </w:tbl>
    <w:p w14:paraId="05CE27E8" w14:textId="77777777" w:rsidR="004A1008" w:rsidRPr="00A11589" w:rsidRDefault="004A1008" w:rsidP="004A1008">
      <w:pPr>
        <w:pStyle w:val="AppendixHeading"/>
      </w:pPr>
    </w:p>
    <w:p w14:paraId="50DD9844" w14:textId="77777777" w:rsidR="004A1008" w:rsidRPr="00A11589" w:rsidRDefault="004A1008" w:rsidP="004A1008">
      <w:pPr>
        <w:pStyle w:val="Caption"/>
      </w:pPr>
      <w:r w:rsidRPr="009B2202">
        <w:t xml:space="preserve">RIIO-GD2 FPNES Connection Cap </w:t>
      </w:r>
      <w:r>
        <w:t>Between</w:t>
      </w:r>
      <w:r w:rsidRPr="009B2202">
        <w:t xml:space="preserve"> 1 April 2021 </w:t>
      </w:r>
      <w:r>
        <w:t>and</w:t>
      </w:r>
      <w:r w:rsidRPr="009B2202">
        <w:t xml:space="preserve"> 31 March 2026</w:t>
      </w:r>
    </w:p>
    <w:tbl>
      <w:tblPr>
        <w:tblStyle w:val="AppendixTable"/>
        <w:tblW w:w="0" w:type="auto"/>
        <w:tblLayout w:type="fixed"/>
        <w:tblLook w:val="04A0" w:firstRow="1" w:lastRow="0" w:firstColumn="1" w:lastColumn="0" w:noHBand="0" w:noVBand="1"/>
      </w:tblPr>
      <w:tblGrid>
        <w:gridCol w:w="3023"/>
        <w:gridCol w:w="4677"/>
      </w:tblGrid>
      <w:tr w:rsidR="004A1008" w:rsidRPr="00DE541A" w14:paraId="01D31D02" w14:textId="77777777" w:rsidTr="004A1008">
        <w:trPr>
          <w:cnfStyle w:val="100000000000" w:firstRow="1" w:lastRow="0" w:firstColumn="0" w:lastColumn="0" w:oddVBand="0" w:evenVBand="0" w:oddHBand="0" w:evenHBand="0" w:firstRowFirstColumn="0" w:firstRowLastColumn="0" w:lastRowFirstColumn="0" w:lastRowLastColumn="0"/>
          <w:trHeight w:val="317"/>
        </w:trPr>
        <w:tc>
          <w:tcPr>
            <w:tcW w:w="3023" w:type="dxa"/>
          </w:tcPr>
          <w:p w14:paraId="60275041" w14:textId="77777777" w:rsidR="004A1008" w:rsidRPr="00A11589" w:rsidRDefault="004A1008" w:rsidP="004A1008">
            <w:r>
              <w:t>Distribution Network</w:t>
            </w:r>
          </w:p>
        </w:tc>
        <w:tc>
          <w:tcPr>
            <w:tcW w:w="4677" w:type="dxa"/>
          </w:tcPr>
          <w:p w14:paraId="5F3EA880" w14:textId="77777777" w:rsidR="004A1008" w:rsidRPr="00A11589" w:rsidRDefault="004A1008" w:rsidP="004A1008"/>
        </w:tc>
      </w:tr>
      <w:tr w:rsidR="004A1008" w:rsidRPr="00D5104D" w14:paraId="7D268E91" w14:textId="77777777" w:rsidTr="004A1008">
        <w:trPr>
          <w:trHeight w:val="321"/>
        </w:trPr>
        <w:tc>
          <w:tcPr>
            <w:tcW w:w="3023" w:type="dxa"/>
          </w:tcPr>
          <w:p w14:paraId="1B0C756C" w14:textId="77777777" w:rsidR="004A1008" w:rsidRPr="00A11589" w:rsidRDefault="004A1008" w:rsidP="004A1008">
            <w:r w:rsidRPr="00A11589">
              <w:t>EOE</w:t>
            </w:r>
          </w:p>
        </w:tc>
        <w:tc>
          <w:tcPr>
            <w:tcW w:w="4677" w:type="dxa"/>
          </w:tcPr>
          <w:p w14:paraId="480183B5" w14:textId="77777777" w:rsidR="004A1008" w:rsidRPr="00A11589" w:rsidRDefault="004A1008" w:rsidP="004A1008">
            <w:r w:rsidRPr="00A11589">
              <w:t>Xxxx</w:t>
            </w:r>
          </w:p>
        </w:tc>
      </w:tr>
      <w:tr w:rsidR="004A1008" w:rsidRPr="00D5104D" w14:paraId="5D2338F7" w14:textId="77777777" w:rsidTr="004A1008">
        <w:trPr>
          <w:trHeight w:val="321"/>
        </w:trPr>
        <w:tc>
          <w:tcPr>
            <w:tcW w:w="3023" w:type="dxa"/>
          </w:tcPr>
          <w:p w14:paraId="4B384C62" w14:textId="77777777" w:rsidR="004A1008" w:rsidRPr="00A11589" w:rsidRDefault="004A1008" w:rsidP="004A1008">
            <w:r w:rsidRPr="00A11589">
              <w:t>Lon</w:t>
            </w:r>
          </w:p>
        </w:tc>
        <w:tc>
          <w:tcPr>
            <w:tcW w:w="4677" w:type="dxa"/>
          </w:tcPr>
          <w:p w14:paraId="49D7213F" w14:textId="77777777" w:rsidR="004A1008" w:rsidRPr="00A11589" w:rsidRDefault="004A1008" w:rsidP="004A1008">
            <w:r w:rsidRPr="00A11589">
              <w:t>xxxx</w:t>
            </w:r>
          </w:p>
        </w:tc>
      </w:tr>
      <w:tr w:rsidR="004A1008" w:rsidRPr="00D5104D" w14:paraId="047B3A4B" w14:textId="77777777" w:rsidTr="004A1008">
        <w:trPr>
          <w:trHeight w:val="315"/>
        </w:trPr>
        <w:tc>
          <w:tcPr>
            <w:tcW w:w="3023" w:type="dxa"/>
          </w:tcPr>
          <w:p w14:paraId="2B4D35B9" w14:textId="77777777" w:rsidR="004A1008" w:rsidRPr="00A11589" w:rsidRDefault="004A1008" w:rsidP="004A1008">
            <w:r w:rsidRPr="00A11589">
              <w:t>NW</w:t>
            </w:r>
          </w:p>
        </w:tc>
        <w:tc>
          <w:tcPr>
            <w:tcW w:w="4677" w:type="dxa"/>
          </w:tcPr>
          <w:p w14:paraId="4C12B374" w14:textId="77777777" w:rsidR="004A1008" w:rsidRPr="00A11589" w:rsidRDefault="004A1008" w:rsidP="004A1008">
            <w:r w:rsidRPr="00A11589">
              <w:t>xxxx</w:t>
            </w:r>
          </w:p>
        </w:tc>
      </w:tr>
      <w:tr w:rsidR="004A1008" w:rsidRPr="00B43143" w14:paraId="33364AFC" w14:textId="77777777" w:rsidTr="004A1008">
        <w:trPr>
          <w:trHeight w:val="349"/>
        </w:trPr>
        <w:tc>
          <w:tcPr>
            <w:tcW w:w="3023" w:type="dxa"/>
          </w:tcPr>
          <w:p w14:paraId="0677F7DC" w14:textId="77777777" w:rsidR="004A1008" w:rsidRPr="00A11589" w:rsidRDefault="004A1008" w:rsidP="004A1008">
            <w:r w:rsidRPr="00A11589">
              <w:t>WM</w:t>
            </w:r>
          </w:p>
        </w:tc>
        <w:tc>
          <w:tcPr>
            <w:tcW w:w="4677" w:type="dxa"/>
          </w:tcPr>
          <w:p w14:paraId="436C77A2" w14:textId="77777777" w:rsidR="004A1008" w:rsidRPr="00A11589" w:rsidRDefault="004A1008" w:rsidP="004A1008">
            <w:r w:rsidRPr="00A11589">
              <w:t>xxxx</w:t>
            </w:r>
          </w:p>
        </w:tc>
      </w:tr>
      <w:tr w:rsidR="004A1008" w:rsidRPr="00B43143" w14:paraId="4D4870D7" w14:textId="77777777" w:rsidTr="004A1008">
        <w:trPr>
          <w:trHeight w:val="228"/>
        </w:trPr>
        <w:tc>
          <w:tcPr>
            <w:tcW w:w="3023" w:type="dxa"/>
          </w:tcPr>
          <w:p w14:paraId="44E763D0" w14:textId="77777777" w:rsidR="004A1008" w:rsidRPr="00A11589" w:rsidRDefault="004A1008" w:rsidP="004A1008">
            <w:r w:rsidRPr="00A11589">
              <w:t>Northern Gas Networks Ltd</w:t>
            </w:r>
          </w:p>
        </w:tc>
        <w:tc>
          <w:tcPr>
            <w:tcW w:w="4677" w:type="dxa"/>
          </w:tcPr>
          <w:p w14:paraId="7BECFA3A" w14:textId="77777777" w:rsidR="004A1008" w:rsidRPr="00A11589" w:rsidRDefault="004A1008" w:rsidP="004A1008">
            <w:r w:rsidRPr="00A11589">
              <w:t>xxxx</w:t>
            </w:r>
          </w:p>
        </w:tc>
      </w:tr>
      <w:tr w:rsidR="004A1008" w:rsidRPr="00B43143" w14:paraId="3CC9D3FA" w14:textId="77777777" w:rsidTr="004A1008">
        <w:trPr>
          <w:trHeight w:val="233"/>
        </w:trPr>
        <w:tc>
          <w:tcPr>
            <w:tcW w:w="3023" w:type="dxa"/>
          </w:tcPr>
          <w:p w14:paraId="6F1DC5FD" w14:textId="77777777" w:rsidR="004A1008" w:rsidRPr="00A11589" w:rsidRDefault="004A1008" w:rsidP="004A1008">
            <w:r w:rsidRPr="00A11589">
              <w:t>Scotland Gas Networks plc</w:t>
            </w:r>
          </w:p>
        </w:tc>
        <w:tc>
          <w:tcPr>
            <w:tcW w:w="4677" w:type="dxa"/>
          </w:tcPr>
          <w:p w14:paraId="64416B9A" w14:textId="77777777" w:rsidR="004A1008" w:rsidRPr="00A11589" w:rsidRDefault="004A1008" w:rsidP="004A1008">
            <w:r w:rsidRPr="00A11589">
              <w:t>xxxx</w:t>
            </w:r>
          </w:p>
        </w:tc>
      </w:tr>
      <w:tr w:rsidR="004A1008" w:rsidRPr="00B43143" w14:paraId="206456FE" w14:textId="77777777" w:rsidTr="004A1008">
        <w:trPr>
          <w:trHeight w:val="395"/>
        </w:trPr>
        <w:tc>
          <w:tcPr>
            <w:tcW w:w="3023" w:type="dxa"/>
          </w:tcPr>
          <w:p w14:paraId="25D60047" w14:textId="77777777" w:rsidR="004A1008" w:rsidRPr="00A11589" w:rsidRDefault="004A1008" w:rsidP="004A1008">
            <w:r w:rsidRPr="00A11589">
              <w:t>Southern Gas Networks plc</w:t>
            </w:r>
          </w:p>
        </w:tc>
        <w:tc>
          <w:tcPr>
            <w:tcW w:w="4677" w:type="dxa"/>
          </w:tcPr>
          <w:p w14:paraId="1DD57132" w14:textId="77777777" w:rsidR="004A1008" w:rsidRPr="00A11589" w:rsidRDefault="004A1008" w:rsidP="004A1008">
            <w:r w:rsidRPr="00A11589">
              <w:t>xxxx</w:t>
            </w:r>
          </w:p>
        </w:tc>
      </w:tr>
      <w:tr w:rsidR="004A1008" w:rsidRPr="00B43143" w14:paraId="4A2066B4" w14:textId="77777777" w:rsidTr="004A1008">
        <w:trPr>
          <w:trHeight w:val="273"/>
        </w:trPr>
        <w:tc>
          <w:tcPr>
            <w:tcW w:w="3023" w:type="dxa"/>
          </w:tcPr>
          <w:p w14:paraId="446A2138" w14:textId="77777777" w:rsidR="004A1008" w:rsidRPr="00A11589" w:rsidRDefault="004A1008" w:rsidP="004A1008">
            <w:r w:rsidRPr="00A11589">
              <w:t>Wales &amp; West Utilities Ltd</w:t>
            </w:r>
          </w:p>
        </w:tc>
        <w:tc>
          <w:tcPr>
            <w:tcW w:w="4677" w:type="dxa"/>
          </w:tcPr>
          <w:p w14:paraId="36893E1B" w14:textId="77777777" w:rsidR="004A1008" w:rsidRPr="00A11589" w:rsidRDefault="004A1008" w:rsidP="004A1008">
            <w:r w:rsidRPr="00A11589">
              <w:t>xxxx</w:t>
            </w:r>
          </w:p>
        </w:tc>
      </w:tr>
    </w:tbl>
    <w:p w14:paraId="5810D983" w14:textId="77777777" w:rsidR="004A1008" w:rsidRPr="00A11589" w:rsidRDefault="004A1008" w:rsidP="004A1008"/>
    <w:p w14:paraId="1975536E" w14:textId="77777777" w:rsidR="004A1008" w:rsidRDefault="004A1008" w:rsidP="004A1008">
      <w:pPr>
        <w:pStyle w:val="AppendixHeading"/>
      </w:pPr>
    </w:p>
    <w:p w14:paraId="450E5876" w14:textId="77777777" w:rsidR="004A1008" w:rsidRPr="00A11589" w:rsidRDefault="004A1008" w:rsidP="004A1008">
      <w:pPr>
        <w:pStyle w:val="Caption"/>
      </w:pPr>
      <w:r w:rsidRPr="00A11589">
        <w:t xml:space="preserve">Fuel Poor Individual Connection Cost </w:t>
      </w:r>
    </w:p>
    <w:tbl>
      <w:tblPr>
        <w:tblStyle w:val="AppendixTable"/>
        <w:tblW w:w="5000" w:type="pct"/>
        <w:tblLook w:val="04A0" w:firstRow="1" w:lastRow="0" w:firstColumn="1" w:lastColumn="0" w:noHBand="0" w:noVBand="1"/>
      </w:tblPr>
      <w:tblGrid>
        <w:gridCol w:w="3544"/>
        <w:gridCol w:w="5482"/>
      </w:tblGrid>
      <w:tr w:rsidR="004A1008" w:rsidRPr="00DE541A" w14:paraId="3A58E143" w14:textId="77777777" w:rsidTr="004A1008">
        <w:trPr>
          <w:cnfStyle w:val="100000000000" w:firstRow="1" w:lastRow="0" w:firstColumn="0" w:lastColumn="0" w:oddVBand="0" w:evenVBand="0" w:oddHBand="0" w:evenHBand="0" w:firstRowFirstColumn="0" w:firstRowLastColumn="0" w:lastRowFirstColumn="0" w:lastRowLastColumn="0"/>
          <w:trHeight w:val="317"/>
        </w:trPr>
        <w:tc>
          <w:tcPr>
            <w:tcW w:w="1963" w:type="pct"/>
          </w:tcPr>
          <w:p w14:paraId="526474DE" w14:textId="77777777" w:rsidR="004A1008" w:rsidRPr="00A11589" w:rsidRDefault="004A1008" w:rsidP="004A1008">
            <w:r>
              <w:t>Distribution Network</w:t>
            </w:r>
          </w:p>
        </w:tc>
        <w:tc>
          <w:tcPr>
            <w:tcW w:w="3037" w:type="pct"/>
          </w:tcPr>
          <w:p w14:paraId="72E445DB" w14:textId="77777777" w:rsidR="004A1008" w:rsidRPr="00A11589" w:rsidRDefault="004A1008" w:rsidP="004A1008">
            <w:r w:rsidRPr="00A11589">
              <w:t>£m</w:t>
            </w:r>
            <w:r>
              <w:t xml:space="preserve"> </w:t>
            </w:r>
          </w:p>
        </w:tc>
      </w:tr>
      <w:tr w:rsidR="004A1008" w:rsidRPr="00D5104D" w14:paraId="221B2765" w14:textId="77777777" w:rsidTr="004A1008">
        <w:trPr>
          <w:trHeight w:val="321"/>
        </w:trPr>
        <w:tc>
          <w:tcPr>
            <w:tcW w:w="1963" w:type="pct"/>
          </w:tcPr>
          <w:p w14:paraId="7EC6A72B" w14:textId="77777777" w:rsidR="004A1008" w:rsidRPr="00A11589" w:rsidRDefault="004A1008" w:rsidP="004A1008">
            <w:r w:rsidRPr="00A11589">
              <w:t>EOE</w:t>
            </w:r>
          </w:p>
        </w:tc>
        <w:tc>
          <w:tcPr>
            <w:tcW w:w="3037" w:type="pct"/>
          </w:tcPr>
          <w:p w14:paraId="2608290A" w14:textId="77777777" w:rsidR="004A1008" w:rsidRPr="00A11589" w:rsidRDefault="004A1008" w:rsidP="004A1008">
            <w:r w:rsidRPr="00A11589">
              <w:t>xxxx</w:t>
            </w:r>
          </w:p>
        </w:tc>
      </w:tr>
      <w:tr w:rsidR="004A1008" w:rsidRPr="00D5104D" w14:paraId="7B6E7D82" w14:textId="77777777" w:rsidTr="004A1008">
        <w:trPr>
          <w:trHeight w:val="321"/>
        </w:trPr>
        <w:tc>
          <w:tcPr>
            <w:tcW w:w="1963" w:type="pct"/>
          </w:tcPr>
          <w:p w14:paraId="06C32177" w14:textId="77777777" w:rsidR="004A1008" w:rsidRPr="00A11589" w:rsidRDefault="004A1008" w:rsidP="004A1008">
            <w:r w:rsidRPr="00A11589">
              <w:t>Lon</w:t>
            </w:r>
          </w:p>
        </w:tc>
        <w:tc>
          <w:tcPr>
            <w:tcW w:w="3037" w:type="pct"/>
          </w:tcPr>
          <w:p w14:paraId="06E7888F" w14:textId="77777777" w:rsidR="004A1008" w:rsidRPr="00A11589" w:rsidRDefault="004A1008" w:rsidP="004A1008">
            <w:r w:rsidRPr="00A11589">
              <w:t>xxxx</w:t>
            </w:r>
          </w:p>
        </w:tc>
      </w:tr>
      <w:tr w:rsidR="004A1008" w:rsidRPr="00D5104D" w14:paraId="6F27225B" w14:textId="77777777" w:rsidTr="004A1008">
        <w:trPr>
          <w:trHeight w:val="315"/>
        </w:trPr>
        <w:tc>
          <w:tcPr>
            <w:tcW w:w="1963" w:type="pct"/>
          </w:tcPr>
          <w:p w14:paraId="58D1E0D5" w14:textId="77777777" w:rsidR="004A1008" w:rsidRPr="00A11589" w:rsidRDefault="004A1008" w:rsidP="004A1008">
            <w:r w:rsidRPr="00A11589">
              <w:lastRenderedPageBreak/>
              <w:t>NW</w:t>
            </w:r>
          </w:p>
        </w:tc>
        <w:tc>
          <w:tcPr>
            <w:tcW w:w="3037" w:type="pct"/>
          </w:tcPr>
          <w:p w14:paraId="06AB27EB" w14:textId="77777777" w:rsidR="004A1008" w:rsidRPr="00A11589" w:rsidRDefault="004A1008" w:rsidP="004A1008">
            <w:r w:rsidRPr="00A11589">
              <w:t>xxxx</w:t>
            </w:r>
          </w:p>
        </w:tc>
      </w:tr>
      <w:tr w:rsidR="004A1008" w:rsidRPr="00B43143" w14:paraId="5FA86292" w14:textId="77777777" w:rsidTr="004A1008">
        <w:trPr>
          <w:trHeight w:val="349"/>
        </w:trPr>
        <w:tc>
          <w:tcPr>
            <w:tcW w:w="1963" w:type="pct"/>
          </w:tcPr>
          <w:p w14:paraId="4B5E01E8" w14:textId="77777777" w:rsidR="004A1008" w:rsidRPr="00A11589" w:rsidRDefault="004A1008" w:rsidP="004A1008">
            <w:r w:rsidRPr="00A11589">
              <w:t>WM</w:t>
            </w:r>
          </w:p>
        </w:tc>
        <w:tc>
          <w:tcPr>
            <w:tcW w:w="3037" w:type="pct"/>
          </w:tcPr>
          <w:p w14:paraId="707BFD11" w14:textId="77777777" w:rsidR="004A1008" w:rsidRPr="00A11589" w:rsidRDefault="004A1008" w:rsidP="004A1008">
            <w:r w:rsidRPr="00A11589">
              <w:t>xxxx</w:t>
            </w:r>
          </w:p>
        </w:tc>
      </w:tr>
      <w:tr w:rsidR="004A1008" w:rsidRPr="00B43143" w14:paraId="5F4BAB99" w14:textId="77777777" w:rsidTr="004A1008">
        <w:trPr>
          <w:trHeight w:val="228"/>
        </w:trPr>
        <w:tc>
          <w:tcPr>
            <w:tcW w:w="1963" w:type="pct"/>
          </w:tcPr>
          <w:p w14:paraId="59DA5C5F" w14:textId="77777777" w:rsidR="004A1008" w:rsidRPr="00A11589" w:rsidRDefault="004A1008" w:rsidP="004A1008">
            <w:r w:rsidRPr="00A11589">
              <w:t>Northern Gas Networks Ltd</w:t>
            </w:r>
          </w:p>
        </w:tc>
        <w:tc>
          <w:tcPr>
            <w:tcW w:w="3037" w:type="pct"/>
          </w:tcPr>
          <w:p w14:paraId="2916807B" w14:textId="77777777" w:rsidR="004A1008" w:rsidRPr="00A11589" w:rsidRDefault="004A1008" w:rsidP="004A1008">
            <w:r w:rsidRPr="00A11589">
              <w:t>xxxx</w:t>
            </w:r>
          </w:p>
        </w:tc>
      </w:tr>
      <w:tr w:rsidR="004A1008" w:rsidRPr="00B43143" w14:paraId="7CB1E805" w14:textId="77777777" w:rsidTr="004A1008">
        <w:trPr>
          <w:trHeight w:val="233"/>
        </w:trPr>
        <w:tc>
          <w:tcPr>
            <w:tcW w:w="1963" w:type="pct"/>
          </w:tcPr>
          <w:p w14:paraId="75030045" w14:textId="77777777" w:rsidR="004A1008" w:rsidRPr="00A11589" w:rsidRDefault="004A1008" w:rsidP="004A1008">
            <w:r w:rsidRPr="00A11589">
              <w:t>Scotland Gas Networks plc</w:t>
            </w:r>
          </w:p>
        </w:tc>
        <w:tc>
          <w:tcPr>
            <w:tcW w:w="3037" w:type="pct"/>
          </w:tcPr>
          <w:p w14:paraId="0F2E424B" w14:textId="77777777" w:rsidR="004A1008" w:rsidRPr="00A11589" w:rsidRDefault="004A1008" w:rsidP="004A1008">
            <w:r w:rsidRPr="00A11589">
              <w:t>xxxx</w:t>
            </w:r>
          </w:p>
        </w:tc>
      </w:tr>
      <w:tr w:rsidR="004A1008" w:rsidRPr="00B43143" w14:paraId="70CCD1A7" w14:textId="77777777" w:rsidTr="004A1008">
        <w:trPr>
          <w:trHeight w:val="395"/>
        </w:trPr>
        <w:tc>
          <w:tcPr>
            <w:tcW w:w="1963" w:type="pct"/>
          </w:tcPr>
          <w:p w14:paraId="501F1189" w14:textId="77777777" w:rsidR="004A1008" w:rsidRPr="00A11589" w:rsidRDefault="004A1008" w:rsidP="004A1008">
            <w:r w:rsidRPr="00A11589">
              <w:t>Southern Gas Networks plc</w:t>
            </w:r>
          </w:p>
        </w:tc>
        <w:tc>
          <w:tcPr>
            <w:tcW w:w="3037" w:type="pct"/>
          </w:tcPr>
          <w:p w14:paraId="52F08936" w14:textId="77777777" w:rsidR="004A1008" w:rsidRPr="00A11589" w:rsidRDefault="004A1008" w:rsidP="004A1008">
            <w:r w:rsidRPr="00A11589">
              <w:t>xxxx</w:t>
            </w:r>
          </w:p>
        </w:tc>
      </w:tr>
      <w:tr w:rsidR="004A1008" w:rsidRPr="00B43143" w14:paraId="045FCD70" w14:textId="77777777" w:rsidTr="004A1008">
        <w:trPr>
          <w:trHeight w:val="273"/>
        </w:trPr>
        <w:tc>
          <w:tcPr>
            <w:tcW w:w="1963" w:type="pct"/>
          </w:tcPr>
          <w:p w14:paraId="7C93E93A" w14:textId="77777777" w:rsidR="004A1008" w:rsidRPr="00A11589" w:rsidRDefault="004A1008" w:rsidP="004A1008">
            <w:r w:rsidRPr="00A11589">
              <w:t>Wales &amp; West Utilities Ltd</w:t>
            </w:r>
          </w:p>
        </w:tc>
        <w:tc>
          <w:tcPr>
            <w:tcW w:w="3037" w:type="pct"/>
          </w:tcPr>
          <w:p w14:paraId="5167561F" w14:textId="77777777" w:rsidR="004A1008" w:rsidRPr="00A11589" w:rsidRDefault="004A1008" w:rsidP="004A1008">
            <w:r w:rsidRPr="00A11589">
              <w:t>xxxx</w:t>
            </w:r>
          </w:p>
        </w:tc>
      </w:tr>
      <w:tr w:rsidR="004A1008" w:rsidRPr="00B43143" w14:paraId="1B328950" w14:textId="77777777" w:rsidTr="004A1008">
        <w:trPr>
          <w:trHeight w:val="273"/>
        </w:trPr>
        <w:tc>
          <w:tcPr>
            <w:tcW w:w="1963" w:type="pct"/>
          </w:tcPr>
          <w:p w14:paraId="6A5903EC" w14:textId="77777777" w:rsidR="004A1008" w:rsidRPr="00A11589" w:rsidRDefault="004A1008" w:rsidP="004A1008">
            <w:r w:rsidRPr="00A11589">
              <w:t>Wales &amp; West Utilities Ltd</w:t>
            </w:r>
          </w:p>
        </w:tc>
        <w:tc>
          <w:tcPr>
            <w:tcW w:w="3037" w:type="pct"/>
          </w:tcPr>
          <w:p w14:paraId="73F86473" w14:textId="77777777" w:rsidR="004A1008" w:rsidRPr="00A11589" w:rsidRDefault="004A1008" w:rsidP="004A1008">
            <w:r w:rsidRPr="00A11589">
              <w:t>xxxx</w:t>
            </w:r>
          </w:p>
        </w:tc>
      </w:tr>
    </w:tbl>
    <w:p w14:paraId="22D6C652" w14:textId="77777777" w:rsidR="00096A49" w:rsidRDefault="00096A49" w:rsidP="00096A49">
      <w:pPr>
        <w:pStyle w:val="Heading2"/>
      </w:pPr>
      <w:bookmarkStart w:id="87" w:name="_Toc52364548"/>
      <w:r>
        <w:t>Tier 2A Mains and Services Replacement Volume Driver (RE</w:t>
      </w:r>
      <w:r w:rsidRPr="00096A49">
        <w:rPr>
          <w:vertAlign w:val="subscript"/>
        </w:rPr>
        <w:t>t</w:t>
      </w:r>
      <w:r>
        <w:t>)</w:t>
      </w:r>
      <w:bookmarkEnd w:id="54"/>
      <w:bookmarkEnd w:id="87"/>
    </w:p>
    <w:p w14:paraId="2482F24F" w14:textId="77777777" w:rsidR="00096A49" w:rsidRPr="0057526A" w:rsidRDefault="00096A49" w:rsidP="00096A49">
      <w:pPr>
        <w:pStyle w:val="Heading3nonumbering"/>
      </w:pPr>
      <w:r w:rsidRPr="0057526A">
        <w:t xml:space="preserve">Introduction </w:t>
      </w:r>
    </w:p>
    <w:p w14:paraId="4E969538" w14:textId="77777777" w:rsidR="00096A49" w:rsidRDefault="00096A49" w:rsidP="00096A49">
      <w:pPr>
        <w:pStyle w:val="NumberedNormal"/>
      </w:pPr>
      <w:r>
        <w:t>The purpose of this condition is to calculate the term RE</w:t>
      </w:r>
      <w:r w:rsidRPr="00096A49">
        <w:rPr>
          <w:vertAlign w:val="subscript"/>
        </w:rPr>
        <w:t>t</w:t>
      </w:r>
      <w:r>
        <w:t xml:space="preserve"> (the Tier 2A mains and services replacement volume driver). </w:t>
      </w:r>
    </w:p>
    <w:p w14:paraId="01E75AFE" w14:textId="1010BFC9" w:rsidR="00096A49" w:rsidRPr="0092429C" w:rsidRDefault="00096A49" w:rsidP="00096A49">
      <w:pPr>
        <w:pStyle w:val="NumberedNormal"/>
      </w:pPr>
      <w:r>
        <w:t>This contributes to the calculation of the Totex Allowance.</w:t>
      </w:r>
    </w:p>
    <w:p w14:paraId="239A66FE" w14:textId="77777777" w:rsidR="00096A49" w:rsidRPr="0092429C" w:rsidRDefault="00096A49" w:rsidP="00096A49">
      <w:pPr>
        <w:pStyle w:val="NumberedNormal"/>
      </w:pPr>
      <w:r>
        <w:t>The effect of this condition is to adjust revenue to fund the licensee for mains and services replacement expenditure incurred in relation to Above Risk Action Threshold Tier 2 Mains.</w:t>
      </w:r>
    </w:p>
    <w:p w14:paraId="756DD1E6" w14:textId="77777777" w:rsidR="00096A49" w:rsidRPr="00AE57AC" w:rsidRDefault="00096A49" w:rsidP="00096A49">
      <w:pPr>
        <w:pStyle w:val="Heading3"/>
      </w:pPr>
      <w:r>
        <w:t>Formula for calculating the Tier 2A mains and services replacement volume driver</w:t>
      </w:r>
    </w:p>
    <w:p w14:paraId="111A5B2B" w14:textId="77777777" w:rsidR="00096A49" w:rsidRPr="0092429C" w:rsidRDefault="00096A49" w:rsidP="00096A49">
      <w:pPr>
        <w:pStyle w:val="NumberedNormal"/>
      </w:pPr>
      <w:r>
        <w:t>The value of RE</w:t>
      </w:r>
      <w:r w:rsidRPr="00DF27BB">
        <w:rPr>
          <w:vertAlign w:val="subscript"/>
        </w:rPr>
        <w:t>t</w:t>
      </w:r>
      <w:r>
        <w:t xml:space="preserve"> is derived in accordance with the following formula: </w:t>
      </w:r>
    </w:p>
    <w:p w14:paraId="3B2848C7" w14:textId="77777777" w:rsidR="00096A49" w:rsidRPr="0092429C" w:rsidRDefault="008C7681" w:rsidP="00096A49">
      <m:oMathPara>
        <m:oMath>
          <m:sSub>
            <m:sSubPr>
              <m:ctrlPr>
                <w:rPr>
                  <w:rFonts w:ascii="Cambria Math" w:hAnsi="Cambria Math"/>
                </w:rPr>
              </m:ctrlPr>
            </m:sSubPr>
            <m:e>
              <m:r>
                <m:rPr>
                  <m:sty m:val="p"/>
                </m:rPr>
                <w:rPr>
                  <w:rFonts w:ascii="Cambria Math" w:hAnsi="Cambria Math"/>
                </w:rPr>
                <m:t>RE</m:t>
              </m:r>
            </m:e>
            <m:sub>
              <m:r>
                <m:rPr>
                  <m:sty m:val="p"/>
                </m:rPr>
                <w:rPr>
                  <w:rFonts w:ascii="Cambria Math" w:hAnsi="Cambria Math"/>
                </w:rPr>
                <m:t>t</m:t>
              </m:r>
            </m:sub>
          </m:sSub>
          <m:r>
            <w:rPr>
              <w:rFonts w:ascii="Cambria Math" w:hAnsi="Cambria Math"/>
            </w:rPr>
            <m:t>=</m:t>
          </m:r>
          <m:nary>
            <m:naryPr>
              <m:chr m:val="∑"/>
              <m:limLoc m:val="undOvr"/>
              <m:ctrlPr>
                <w:rPr>
                  <w:rFonts w:ascii="Cambria Math" w:hAnsi="Cambria Math"/>
                </w:rPr>
              </m:ctrlPr>
            </m:naryPr>
            <m:sub>
              <m:r>
                <m:rPr>
                  <m:sty m:val="p"/>
                </m:rPr>
                <w:rPr>
                  <w:rFonts w:ascii="Cambria Math" w:hAnsi="Cambria Math"/>
                </w:rPr>
                <m:t>n=1</m:t>
              </m:r>
            </m:sub>
            <m:sup>
              <m:r>
                <m:rPr>
                  <m:sty m:val="p"/>
                </m:rPr>
                <w:rPr>
                  <w:rFonts w:ascii="Cambria Math" w:hAnsi="Cambria Math"/>
                </w:rPr>
                <m:t>3</m:t>
              </m:r>
            </m:sup>
            <m:e>
              <m:d>
                <m:dPr>
                  <m:ctrlPr>
                    <w:rPr>
                      <w:rFonts w:ascii="Cambria Math" w:hAnsi="Cambria Math"/>
                    </w:rPr>
                  </m:ctrlPr>
                </m:dPr>
                <m:e>
                  <m:sSub>
                    <m:sSubPr>
                      <m:ctrlPr>
                        <w:rPr>
                          <w:rFonts w:ascii="Cambria Math" w:hAnsi="Cambria Math"/>
                        </w:rPr>
                      </m:ctrlPr>
                    </m:sSubPr>
                    <m:e>
                      <m:r>
                        <m:rPr>
                          <m:sty m:val="p"/>
                        </m:rPr>
                        <w:rPr>
                          <w:rFonts w:ascii="Cambria Math" w:hAnsi="Cambria Math"/>
                        </w:rPr>
                        <m:t>L</m:t>
                      </m:r>
                    </m:e>
                    <m:sub>
                      <m:r>
                        <m:rPr>
                          <m:sty m:val="p"/>
                        </m:rPr>
                        <w:rPr>
                          <w:rFonts w:ascii="Cambria Math" w:hAnsi="Cambria Math"/>
                        </w:rPr>
                        <m:t>n,t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U</m:t>
                      </m:r>
                    </m:e>
                    <m:sub>
                      <m:r>
                        <m:rPr>
                          <m:sty m:val="p"/>
                        </m:rPr>
                        <w:rPr>
                          <w:rFonts w:ascii="Cambria Math" w:hAnsi="Cambria Math"/>
                        </w:rPr>
                        <m:t>n,t</m:t>
                      </m:r>
                    </m:sub>
                  </m:sSub>
                </m:e>
              </m:d>
            </m:e>
          </m:nary>
          <m:r>
            <m:rPr>
              <m:sty m:val="p"/>
            </m:rPr>
            <w:rPr>
              <w:rFonts w:ascii="Cambria Math" w:hAnsi="Cambria Math"/>
            </w:rPr>
            <m:t>×1000</m:t>
          </m:r>
        </m:oMath>
      </m:oMathPara>
    </w:p>
    <w:p w14:paraId="137CD110" w14:textId="77777777" w:rsidR="00096A49" w:rsidRPr="003518F4" w:rsidRDefault="00096A49" w:rsidP="00096A49">
      <w:r>
        <w:t>where:</w:t>
      </w:r>
    </w:p>
    <w:tbl>
      <w:tblPr>
        <w:tblStyle w:val="TableGridLight"/>
        <w:tblpPr w:leftFromText="180" w:rightFromText="180" w:vertAnchor="text" w:horzAnchor="margin" w:tblpY="357"/>
        <w:tblW w:w="0" w:type="auto"/>
        <w:tblInd w:w="0" w:type="dxa"/>
        <w:tblLook w:val="01E0" w:firstRow="1" w:lastRow="1" w:firstColumn="1" w:lastColumn="1" w:noHBand="0" w:noVBand="0"/>
      </w:tblPr>
      <w:tblGrid>
        <w:gridCol w:w="1517"/>
        <w:gridCol w:w="6692"/>
      </w:tblGrid>
      <w:tr w:rsidR="00096A49" w:rsidRPr="00422243" w14:paraId="37E5FD3F" w14:textId="77777777" w:rsidTr="00D809A0">
        <w:tc>
          <w:tcPr>
            <w:tcW w:w="1517" w:type="dxa"/>
          </w:tcPr>
          <w:p w14:paraId="366D1354" w14:textId="77777777" w:rsidR="00096A49" w:rsidRPr="003518F4" w:rsidRDefault="00096A49" w:rsidP="00D809A0"/>
          <w:p w14:paraId="118B400E" w14:textId="77777777" w:rsidR="00096A49" w:rsidRPr="0092429C" w:rsidRDefault="00096A49" w:rsidP="00D809A0">
            <w:r w:rsidRPr="003518F4">
              <w:t>L</w:t>
            </w:r>
            <w:r w:rsidRPr="00DF27BB">
              <w:rPr>
                <w:vertAlign w:val="subscript"/>
              </w:rPr>
              <w:t>n,t</w:t>
            </w:r>
          </w:p>
        </w:tc>
        <w:tc>
          <w:tcPr>
            <w:tcW w:w="6692" w:type="dxa"/>
          </w:tcPr>
          <w:p w14:paraId="262517F4" w14:textId="634D0DBA" w:rsidR="00096A49" w:rsidRDefault="00096A49" w:rsidP="00D809A0">
            <w:r w:rsidRPr="003518F4">
              <w:t xml:space="preserve">means the length of Above Risk Action Threshold Tier 2 Mains in kilometres decommissioned in respect of diameter band n, where the diameter bands are defined as set out in </w:t>
            </w:r>
            <w:r w:rsidRPr="0092429C">
              <w:t>the following table, except that any diameter of mains not covered by the table or any mains measured in metric measurement is to be reported in the diameter band corresponding to the nearest imperial equivalent</w:t>
            </w:r>
            <w:r>
              <w:t>;</w:t>
            </w:r>
          </w:p>
          <w:p w14:paraId="7814AE53" w14:textId="77777777" w:rsidR="00096A49" w:rsidRPr="0092429C" w:rsidRDefault="00096A49" w:rsidP="00D809A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5"/>
              <w:gridCol w:w="3363"/>
            </w:tblGrid>
            <w:tr w:rsidR="00096A49" w:rsidRPr="00422243" w14:paraId="76244037" w14:textId="77777777" w:rsidTr="00D809A0">
              <w:tc>
                <w:tcPr>
                  <w:tcW w:w="1945" w:type="dxa"/>
                </w:tcPr>
                <w:p w14:paraId="4C709951" w14:textId="77777777" w:rsidR="00096A49" w:rsidRPr="0092429C" w:rsidRDefault="00096A49" w:rsidP="008C7681">
                  <w:pPr>
                    <w:framePr w:hSpace="180" w:wrap="around" w:vAnchor="text" w:hAnchor="margin" w:y="357"/>
                  </w:pPr>
                  <w:bookmarkStart w:id="88" w:name="_Hlk324869427"/>
                  <w:r w:rsidRPr="003518F4">
                    <w:t>Diameter band n</w:t>
                  </w:r>
                </w:p>
              </w:tc>
              <w:tc>
                <w:tcPr>
                  <w:tcW w:w="3363" w:type="dxa"/>
                </w:tcPr>
                <w:p w14:paraId="16B69950" w14:textId="77777777" w:rsidR="00096A49" w:rsidRPr="0092429C" w:rsidRDefault="00096A49" w:rsidP="008C7681">
                  <w:pPr>
                    <w:framePr w:hSpace="180" w:wrap="around" w:vAnchor="text" w:hAnchor="margin" w:y="357"/>
                  </w:pPr>
                  <w:r w:rsidRPr="003518F4">
                    <w:t>Nominal internal diameter of mains decommissioned (inches)</w:t>
                  </w:r>
                </w:p>
              </w:tc>
            </w:tr>
            <w:tr w:rsidR="00096A49" w:rsidRPr="00422243" w14:paraId="59CD08C5" w14:textId="77777777" w:rsidTr="00D809A0">
              <w:tc>
                <w:tcPr>
                  <w:tcW w:w="1945" w:type="dxa"/>
                </w:tcPr>
                <w:p w14:paraId="67C079FC" w14:textId="77777777" w:rsidR="00096A49" w:rsidRPr="0092429C" w:rsidRDefault="00096A49" w:rsidP="008C7681">
                  <w:pPr>
                    <w:framePr w:hSpace="180" w:wrap="around" w:vAnchor="text" w:hAnchor="margin" w:y="357"/>
                  </w:pPr>
                  <w:r w:rsidRPr="003518F4">
                    <w:t>1</w:t>
                  </w:r>
                </w:p>
              </w:tc>
              <w:tc>
                <w:tcPr>
                  <w:tcW w:w="3363" w:type="dxa"/>
                </w:tcPr>
                <w:p w14:paraId="5E14AA10" w14:textId="77777777" w:rsidR="00096A49" w:rsidRPr="0092429C" w:rsidRDefault="00096A49" w:rsidP="008C7681">
                  <w:pPr>
                    <w:framePr w:hSpace="180" w:wrap="around" w:vAnchor="text" w:hAnchor="margin" w:y="357"/>
                  </w:pPr>
                  <w:r w:rsidRPr="003518F4">
                    <w:t>&gt;8&lt;</w:t>
                  </w:r>
                  <w:r w:rsidRPr="0092429C">
                    <w:t>=10</w:t>
                  </w:r>
                </w:p>
              </w:tc>
            </w:tr>
            <w:tr w:rsidR="00096A49" w:rsidRPr="00422243" w14:paraId="2A6F7F20" w14:textId="77777777" w:rsidTr="00D809A0">
              <w:tc>
                <w:tcPr>
                  <w:tcW w:w="1945" w:type="dxa"/>
                </w:tcPr>
                <w:p w14:paraId="29D6490E" w14:textId="77777777" w:rsidR="00096A49" w:rsidRPr="0092429C" w:rsidRDefault="00096A49" w:rsidP="008C7681">
                  <w:pPr>
                    <w:framePr w:hSpace="180" w:wrap="around" w:vAnchor="text" w:hAnchor="margin" w:y="357"/>
                  </w:pPr>
                  <w:r w:rsidRPr="003518F4">
                    <w:lastRenderedPageBreak/>
                    <w:t>2</w:t>
                  </w:r>
                </w:p>
              </w:tc>
              <w:tc>
                <w:tcPr>
                  <w:tcW w:w="3363" w:type="dxa"/>
                </w:tcPr>
                <w:p w14:paraId="1CBD6F9C" w14:textId="77777777" w:rsidR="00096A49" w:rsidRPr="0092429C" w:rsidRDefault="00096A49" w:rsidP="008C7681">
                  <w:pPr>
                    <w:framePr w:hSpace="180" w:wrap="around" w:vAnchor="text" w:hAnchor="margin" w:y="357"/>
                  </w:pPr>
                  <w:r>
                    <w:t>&gt;</w:t>
                  </w:r>
                  <w:r w:rsidRPr="0092429C">
                    <w:t>10 &lt;=12</w:t>
                  </w:r>
                </w:p>
              </w:tc>
            </w:tr>
            <w:tr w:rsidR="00096A49" w:rsidRPr="00422243" w14:paraId="1EA6303B" w14:textId="77777777" w:rsidTr="00D809A0">
              <w:tc>
                <w:tcPr>
                  <w:tcW w:w="1945" w:type="dxa"/>
                </w:tcPr>
                <w:p w14:paraId="126CC518" w14:textId="77777777" w:rsidR="00096A49" w:rsidRPr="0092429C" w:rsidRDefault="00096A49" w:rsidP="008C7681">
                  <w:pPr>
                    <w:framePr w:hSpace="180" w:wrap="around" w:vAnchor="text" w:hAnchor="margin" w:y="357"/>
                  </w:pPr>
                  <w:r w:rsidRPr="003518F4">
                    <w:t>3</w:t>
                  </w:r>
                </w:p>
              </w:tc>
              <w:tc>
                <w:tcPr>
                  <w:tcW w:w="3363" w:type="dxa"/>
                </w:tcPr>
                <w:p w14:paraId="71D1F4B8" w14:textId="77777777" w:rsidR="00096A49" w:rsidRPr="0092429C" w:rsidRDefault="00096A49" w:rsidP="008C7681">
                  <w:pPr>
                    <w:framePr w:hSpace="180" w:wrap="around" w:vAnchor="text" w:hAnchor="margin" w:y="357"/>
                  </w:pPr>
                  <w:r w:rsidRPr="003518F4">
                    <w:t>&gt;12&lt;18</w:t>
                  </w:r>
                  <w:r>
                    <w:t>; and</w:t>
                  </w:r>
                </w:p>
              </w:tc>
            </w:tr>
            <w:bookmarkEnd w:id="88"/>
          </w:tbl>
          <w:p w14:paraId="689504CC" w14:textId="77777777" w:rsidR="00096A49" w:rsidRPr="003518F4" w:rsidRDefault="00096A49" w:rsidP="00D809A0"/>
        </w:tc>
      </w:tr>
      <w:tr w:rsidR="00096A49" w:rsidRPr="00422243" w14:paraId="0777F2A2" w14:textId="77777777" w:rsidTr="00D809A0">
        <w:tc>
          <w:tcPr>
            <w:tcW w:w="1517" w:type="dxa"/>
          </w:tcPr>
          <w:p w14:paraId="0D312C63" w14:textId="77777777" w:rsidR="00096A49" w:rsidRPr="0092429C" w:rsidRDefault="00096A49" w:rsidP="00D809A0">
            <w:r w:rsidRPr="003518F4">
              <w:lastRenderedPageBreak/>
              <w:t>U</w:t>
            </w:r>
            <w:r w:rsidRPr="00DF27BB">
              <w:rPr>
                <w:vertAlign w:val="subscript"/>
              </w:rPr>
              <w:t>n,t</w:t>
            </w:r>
          </w:p>
        </w:tc>
        <w:tc>
          <w:tcPr>
            <w:tcW w:w="6692" w:type="dxa"/>
          </w:tcPr>
          <w:p w14:paraId="328084EB" w14:textId="041DC044" w:rsidR="00096A49" w:rsidRPr="0092429C" w:rsidRDefault="00096A49" w:rsidP="00D809A0">
            <w:r w:rsidRPr="003518F4">
              <w:t>means the specific matrix costs in respect of diameter band n as set out in the relevant table in Appendix 1</w:t>
            </w:r>
            <w:r w:rsidRPr="0092429C">
              <w:t>.</w:t>
            </w:r>
          </w:p>
        </w:tc>
      </w:tr>
    </w:tbl>
    <w:p w14:paraId="1FA3DA5D" w14:textId="77777777" w:rsidR="00096A49" w:rsidRPr="00070E89" w:rsidRDefault="00096A49" w:rsidP="00096A49"/>
    <w:p w14:paraId="6BFCED63" w14:textId="77777777" w:rsidR="00096A49" w:rsidRPr="00944A34" w:rsidRDefault="00096A49" w:rsidP="00096A49"/>
    <w:p w14:paraId="612BD35E" w14:textId="77777777" w:rsidR="00096A49" w:rsidRPr="0082287C" w:rsidRDefault="00096A49" w:rsidP="00096A49"/>
    <w:p w14:paraId="6958A645" w14:textId="77777777" w:rsidR="00096A49" w:rsidRPr="0082287C" w:rsidRDefault="00096A49" w:rsidP="00096A49"/>
    <w:p w14:paraId="08EF9F34" w14:textId="77777777" w:rsidR="00096A49" w:rsidRPr="00070E89" w:rsidRDefault="00096A49" w:rsidP="00096A49"/>
    <w:p w14:paraId="7923674B" w14:textId="69B8DEEC" w:rsidR="00096A49" w:rsidRPr="00DF27BB" w:rsidRDefault="00096A49" w:rsidP="00D51F4A">
      <w:pPr>
        <w:pStyle w:val="AppendixHeading"/>
      </w:pPr>
    </w:p>
    <w:p w14:paraId="5E3EAF7D" w14:textId="3856CCD6" w:rsidR="00096A49" w:rsidRPr="00DF27BB" w:rsidRDefault="00096A49" w:rsidP="00096A49">
      <w:pPr>
        <w:rPr>
          <w:b/>
          <w:bCs/>
        </w:rPr>
      </w:pPr>
      <w:r w:rsidRPr="00DF27BB">
        <w:rPr>
          <w:b/>
          <w:bCs/>
        </w:rPr>
        <w:t>Distribution Network specific matrix costs for Above Risk Action Threshold Tier 2 Mains:  Distribution Network: EOE</w:t>
      </w:r>
    </w:p>
    <w:tbl>
      <w:tblPr>
        <w:tblStyle w:val="AppendixTable"/>
        <w:tblW w:w="5000" w:type="pct"/>
        <w:tblLook w:val="01A0" w:firstRow="1" w:lastRow="0" w:firstColumn="1" w:lastColumn="1" w:noHBand="0" w:noVBand="0"/>
      </w:tblPr>
      <w:tblGrid>
        <w:gridCol w:w="1423"/>
        <w:gridCol w:w="2107"/>
        <w:gridCol w:w="1374"/>
        <w:gridCol w:w="1374"/>
        <w:gridCol w:w="1374"/>
        <w:gridCol w:w="1374"/>
      </w:tblGrid>
      <w:tr w:rsidR="00096A49" w:rsidRPr="00D24270" w14:paraId="68C21E1B" w14:textId="77777777" w:rsidTr="00BF32EC">
        <w:trPr>
          <w:cnfStyle w:val="100000000000" w:firstRow="1" w:lastRow="0" w:firstColumn="0" w:lastColumn="0" w:oddVBand="0" w:evenVBand="0" w:oddHBand="0" w:evenHBand="0" w:firstRowFirstColumn="0" w:firstRowLastColumn="0" w:lastRowFirstColumn="0" w:lastRowLastColumn="0"/>
        </w:trPr>
        <w:tc>
          <w:tcPr>
            <w:tcW w:w="789" w:type="pct"/>
          </w:tcPr>
          <w:p w14:paraId="497D7E7A" w14:textId="77777777" w:rsidR="00096A49" w:rsidRPr="00791FB5" w:rsidRDefault="00096A49" w:rsidP="00D809A0">
            <w:r w:rsidRPr="00D24270">
              <w:t>Diameter band n</w:t>
            </w:r>
          </w:p>
        </w:tc>
        <w:tc>
          <w:tcPr>
            <w:tcW w:w="1167" w:type="pct"/>
          </w:tcPr>
          <w:p w14:paraId="6E69DB0A" w14:textId="77777777" w:rsidR="00096A49" w:rsidRPr="00791FB5" w:rsidRDefault="00096A49" w:rsidP="00D809A0">
            <w:r w:rsidRPr="00D24270">
              <w:t>2021/22</w:t>
            </w:r>
          </w:p>
        </w:tc>
        <w:tc>
          <w:tcPr>
            <w:tcW w:w="761" w:type="pct"/>
          </w:tcPr>
          <w:p w14:paraId="6E04FDE6" w14:textId="77777777" w:rsidR="00096A49" w:rsidRPr="00791FB5" w:rsidRDefault="00096A49" w:rsidP="00D809A0">
            <w:r w:rsidRPr="00D24270">
              <w:t>2022/23</w:t>
            </w:r>
          </w:p>
        </w:tc>
        <w:tc>
          <w:tcPr>
            <w:tcW w:w="761" w:type="pct"/>
          </w:tcPr>
          <w:p w14:paraId="508D56B7" w14:textId="77777777" w:rsidR="00096A49" w:rsidRPr="00791FB5" w:rsidRDefault="00096A49" w:rsidP="00D809A0">
            <w:r w:rsidRPr="00D24270">
              <w:t>2023/24</w:t>
            </w:r>
          </w:p>
        </w:tc>
        <w:tc>
          <w:tcPr>
            <w:tcW w:w="761" w:type="pct"/>
          </w:tcPr>
          <w:p w14:paraId="5944958D" w14:textId="77777777" w:rsidR="00096A49" w:rsidRPr="00791FB5" w:rsidRDefault="00096A49" w:rsidP="00D809A0">
            <w:r w:rsidRPr="00D24270">
              <w:t>2024/25</w:t>
            </w:r>
          </w:p>
        </w:tc>
        <w:tc>
          <w:tcPr>
            <w:tcW w:w="761" w:type="pct"/>
          </w:tcPr>
          <w:p w14:paraId="372A31B8" w14:textId="77777777" w:rsidR="00096A49" w:rsidRPr="00791FB5" w:rsidRDefault="00096A49" w:rsidP="00D809A0">
            <w:r w:rsidRPr="00D24270">
              <w:t>2025/26</w:t>
            </w:r>
          </w:p>
        </w:tc>
      </w:tr>
      <w:tr w:rsidR="00096A49" w:rsidRPr="00D24270" w14:paraId="60442D94" w14:textId="77777777" w:rsidTr="00BF32EC">
        <w:tc>
          <w:tcPr>
            <w:tcW w:w="789" w:type="pct"/>
          </w:tcPr>
          <w:p w14:paraId="7A09EFD6" w14:textId="77777777" w:rsidR="00096A49" w:rsidRPr="00791FB5" w:rsidRDefault="00096A49" w:rsidP="00D809A0">
            <w:r w:rsidRPr="00D24270">
              <w:t>1</w:t>
            </w:r>
          </w:p>
        </w:tc>
        <w:tc>
          <w:tcPr>
            <w:tcW w:w="1167" w:type="pct"/>
          </w:tcPr>
          <w:p w14:paraId="6A42D283" w14:textId="77777777" w:rsidR="00096A49" w:rsidRPr="00D24270" w:rsidRDefault="00096A49" w:rsidP="00D809A0"/>
        </w:tc>
        <w:tc>
          <w:tcPr>
            <w:tcW w:w="761" w:type="pct"/>
          </w:tcPr>
          <w:p w14:paraId="2092C97A" w14:textId="77777777" w:rsidR="00096A49" w:rsidRPr="00D24270" w:rsidRDefault="00096A49" w:rsidP="00D809A0"/>
        </w:tc>
        <w:tc>
          <w:tcPr>
            <w:tcW w:w="761" w:type="pct"/>
          </w:tcPr>
          <w:p w14:paraId="3A4817A6" w14:textId="77777777" w:rsidR="00096A49" w:rsidRPr="00D24270" w:rsidRDefault="00096A49" w:rsidP="00D809A0"/>
        </w:tc>
        <w:tc>
          <w:tcPr>
            <w:tcW w:w="761" w:type="pct"/>
          </w:tcPr>
          <w:p w14:paraId="7AC01C55" w14:textId="77777777" w:rsidR="00096A49" w:rsidRPr="00D24270" w:rsidRDefault="00096A49" w:rsidP="00D809A0"/>
        </w:tc>
        <w:tc>
          <w:tcPr>
            <w:tcW w:w="761" w:type="pct"/>
          </w:tcPr>
          <w:p w14:paraId="370BF1B3" w14:textId="77777777" w:rsidR="00096A49" w:rsidRPr="00D24270" w:rsidRDefault="00096A49" w:rsidP="00D809A0"/>
        </w:tc>
      </w:tr>
      <w:tr w:rsidR="00096A49" w:rsidRPr="00D24270" w14:paraId="37CC1F87" w14:textId="77777777" w:rsidTr="00BF32EC">
        <w:tc>
          <w:tcPr>
            <w:tcW w:w="789" w:type="pct"/>
          </w:tcPr>
          <w:p w14:paraId="32956088" w14:textId="77777777" w:rsidR="00096A49" w:rsidRPr="00791FB5" w:rsidRDefault="00096A49" w:rsidP="00D809A0">
            <w:r w:rsidRPr="00D24270">
              <w:t>2</w:t>
            </w:r>
          </w:p>
        </w:tc>
        <w:tc>
          <w:tcPr>
            <w:tcW w:w="1167" w:type="pct"/>
          </w:tcPr>
          <w:p w14:paraId="27A50C1D" w14:textId="77777777" w:rsidR="00096A49" w:rsidRPr="00D24270" w:rsidRDefault="00096A49" w:rsidP="00D809A0"/>
        </w:tc>
        <w:tc>
          <w:tcPr>
            <w:tcW w:w="761" w:type="pct"/>
          </w:tcPr>
          <w:p w14:paraId="01CE6BB0" w14:textId="77777777" w:rsidR="00096A49" w:rsidRPr="00D24270" w:rsidRDefault="00096A49" w:rsidP="00D809A0"/>
        </w:tc>
        <w:tc>
          <w:tcPr>
            <w:tcW w:w="761" w:type="pct"/>
          </w:tcPr>
          <w:p w14:paraId="6705E66C" w14:textId="77777777" w:rsidR="00096A49" w:rsidRPr="00D24270" w:rsidRDefault="00096A49" w:rsidP="00D809A0"/>
        </w:tc>
        <w:tc>
          <w:tcPr>
            <w:tcW w:w="761" w:type="pct"/>
          </w:tcPr>
          <w:p w14:paraId="6865B2DF" w14:textId="77777777" w:rsidR="00096A49" w:rsidRPr="00D24270" w:rsidRDefault="00096A49" w:rsidP="00D809A0"/>
        </w:tc>
        <w:tc>
          <w:tcPr>
            <w:tcW w:w="761" w:type="pct"/>
          </w:tcPr>
          <w:p w14:paraId="208C0C99" w14:textId="77777777" w:rsidR="00096A49" w:rsidRPr="00D24270" w:rsidRDefault="00096A49" w:rsidP="00D809A0"/>
        </w:tc>
      </w:tr>
      <w:tr w:rsidR="00096A49" w:rsidRPr="00D24270" w14:paraId="1DB4B328" w14:textId="77777777" w:rsidTr="00BF32EC">
        <w:tc>
          <w:tcPr>
            <w:tcW w:w="789" w:type="pct"/>
          </w:tcPr>
          <w:p w14:paraId="2CE23EA2" w14:textId="77777777" w:rsidR="00096A49" w:rsidRPr="00791FB5" w:rsidRDefault="00096A49" w:rsidP="00D809A0">
            <w:r w:rsidRPr="00D24270">
              <w:t>3</w:t>
            </w:r>
          </w:p>
        </w:tc>
        <w:tc>
          <w:tcPr>
            <w:tcW w:w="1167" w:type="pct"/>
          </w:tcPr>
          <w:p w14:paraId="7E89965A" w14:textId="77777777" w:rsidR="00096A49" w:rsidRPr="00D24270" w:rsidRDefault="00096A49" w:rsidP="00D809A0"/>
        </w:tc>
        <w:tc>
          <w:tcPr>
            <w:tcW w:w="761" w:type="pct"/>
          </w:tcPr>
          <w:p w14:paraId="7F5A022A" w14:textId="77777777" w:rsidR="00096A49" w:rsidRPr="00D24270" w:rsidRDefault="00096A49" w:rsidP="00D809A0"/>
        </w:tc>
        <w:tc>
          <w:tcPr>
            <w:tcW w:w="761" w:type="pct"/>
          </w:tcPr>
          <w:p w14:paraId="3B11EEAF" w14:textId="77777777" w:rsidR="00096A49" w:rsidRPr="00D24270" w:rsidRDefault="00096A49" w:rsidP="00D809A0"/>
        </w:tc>
        <w:tc>
          <w:tcPr>
            <w:tcW w:w="761" w:type="pct"/>
          </w:tcPr>
          <w:p w14:paraId="39FE78EE" w14:textId="77777777" w:rsidR="00096A49" w:rsidRPr="00D24270" w:rsidRDefault="00096A49" w:rsidP="00D809A0"/>
        </w:tc>
        <w:tc>
          <w:tcPr>
            <w:tcW w:w="761" w:type="pct"/>
          </w:tcPr>
          <w:p w14:paraId="727215A1" w14:textId="77777777" w:rsidR="00096A49" w:rsidRPr="00D24270" w:rsidRDefault="00096A49" w:rsidP="00D809A0"/>
        </w:tc>
      </w:tr>
    </w:tbl>
    <w:p w14:paraId="0275EEEF" w14:textId="77777777" w:rsidR="00096A49" w:rsidRPr="00D24270" w:rsidRDefault="00096A49" w:rsidP="00B31340">
      <w:pPr>
        <w:pStyle w:val="Caption"/>
      </w:pPr>
      <w:r w:rsidRPr="00D24270">
        <w:t>Distribution Network specific matrix costs (£ per metre, at 2019/20</w:t>
      </w:r>
      <w:r>
        <w:t xml:space="preserve"> </w:t>
      </w:r>
      <w:r w:rsidRPr="00D24270">
        <w:t>price levels) for Above Risk Action Threshold Tier 2 Mains:  Distribution Network: LON</w:t>
      </w:r>
    </w:p>
    <w:tbl>
      <w:tblPr>
        <w:tblStyle w:val="AppendixTable"/>
        <w:tblW w:w="5000" w:type="pct"/>
        <w:tblLook w:val="01A0" w:firstRow="1" w:lastRow="0" w:firstColumn="1" w:lastColumn="1" w:noHBand="0" w:noVBand="0"/>
      </w:tblPr>
      <w:tblGrid>
        <w:gridCol w:w="1513"/>
        <w:gridCol w:w="1677"/>
        <w:gridCol w:w="1459"/>
        <w:gridCol w:w="1459"/>
        <w:gridCol w:w="1459"/>
        <w:gridCol w:w="1459"/>
      </w:tblGrid>
      <w:tr w:rsidR="00096A49" w:rsidRPr="00D24270" w14:paraId="7B645308" w14:textId="77777777" w:rsidTr="00BF32EC">
        <w:trPr>
          <w:cnfStyle w:val="100000000000" w:firstRow="1" w:lastRow="0" w:firstColumn="0" w:lastColumn="0" w:oddVBand="0" w:evenVBand="0" w:oddHBand="0" w:evenHBand="0" w:firstRowFirstColumn="0" w:firstRowLastColumn="0" w:lastRowFirstColumn="0" w:lastRowLastColumn="0"/>
        </w:trPr>
        <w:tc>
          <w:tcPr>
            <w:tcW w:w="838" w:type="pct"/>
          </w:tcPr>
          <w:p w14:paraId="22EDA64D" w14:textId="77777777" w:rsidR="00096A49" w:rsidRPr="00791FB5" w:rsidRDefault="00096A49" w:rsidP="00D809A0">
            <w:r w:rsidRPr="00D24270">
              <w:t>Diameter band n</w:t>
            </w:r>
          </w:p>
        </w:tc>
        <w:tc>
          <w:tcPr>
            <w:tcW w:w="929" w:type="pct"/>
          </w:tcPr>
          <w:p w14:paraId="1211A4A1" w14:textId="77777777" w:rsidR="00096A49" w:rsidRPr="00791FB5" w:rsidRDefault="00096A49" w:rsidP="00D809A0">
            <w:r w:rsidRPr="00D24270">
              <w:t>2021/22</w:t>
            </w:r>
          </w:p>
        </w:tc>
        <w:tc>
          <w:tcPr>
            <w:tcW w:w="808" w:type="pct"/>
          </w:tcPr>
          <w:p w14:paraId="49E560FF" w14:textId="77777777" w:rsidR="00096A49" w:rsidRPr="00791FB5" w:rsidRDefault="00096A49" w:rsidP="00D809A0">
            <w:r w:rsidRPr="00D24270">
              <w:t>2022/23</w:t>
            </w:r>
          </w:p>
        </w:tc>
        <w:tc>
          <w:tcPr>
            <w:tcW w:w="808" w:type="pct"/>
          </w:tcPr>
          <w:p w14:paraId="7FC6EC6D" w14:textId="77777777" w:rsidR="00096A49" w:rsidRPr="00791FB5" w:rsidRDefault="00096A49" w:rsidP="00D809A0">
            <w:r w:rsidRPr="00D24270">
              <w:t>2023/24</w:t>
            </w:r>
          </w:p>
        </w:tc>
        <w:tc>
          <w:tcPr>
            <w:tcW w:w="808" w:type="pct"/>
          </w:tcPr>
          <w:p w14:paraId="0D6910FB" w14:textId="77777777" w:rsidR="00096A49" w:rsidRPr="00791FB5" w:rsidRDefault="00096A49" w:rsidP="00D809A0">
            <w:r w:rsidRPr="00D24270">
              <w:t>2024/25</w:t>
            </w:r>
          </w:p>
        </w:tc>
        <w:tc>
          <w:tcPr>
            <w:tcW w:w="808" w:type="pct"/>
          </w:tcPr>
          <w:p w14:paraId="12BD1892" w14:textId="77777777" w:rsidR="00096A49" w:rsidRPr="00791FB5" w:rsidRDefault="00096A49" w:rsidP="00D809A0">
            <w:r w:rsidRPr="00D24270">
              <w:t>2025/26</w:t>
            </w:r>
          </w:p>
        </w:tc>
      </w:tr>
      <w:tr w:rsidR="00096A49" w:rsidRPr="00D24270" w14:paraId="0BC7A158" w14:textId="77777777" w:rsidTr="00BF32EC">
        <w:tc>
          <w:tcPr>
            <w:tcW w:w="838" w:type="pct"/>
          </w:tcPr>
          <w:p w14:paraId="52D24A5F" w14:textId="77777777" w:rsidR="00096A49" w:rsidRPr="00791FB5" w:rsidRDefault="00096A49" w:rsidP="00D809A0">
            <w:r w:rsidRPr="00D24270">
              <w:t>1</w:t>
            </w:r>
          </w:p>
        </w:tc>
        <w:tc>
          <w:tcPr>
            <w:tcW w:w="929" w:type="pct"/>
          </w:tcPr>
          <w:p w14:paraId="687C1113" w14:textId="77777777" w:rsidR="00096A49" w:rsidRPr="00D24270" w:rsidRDefault="00096A49" w:rsidP="00D809A0"/>
        </w:tc>
        <w:tc>
          <w:tcPr>
            <w:tcW w:w="808" w:type="pct"/>
          </w:tcPr>
          <w:p w14:paraId="7AA7FBB0" w14:textId="77777777" w:rsidR="00096A49" w:rsidRPr="00D24270" w:rsidRDefault="00096A49" w:rsidP="00D809A0"/>
        </w:tc>
        <w:tc>
          <w:tcPr>
            <w:tcW w:w="808" w:type="pct"/>
          </w:tcPr>
          <w:p w14:paraId="196F7D76" w14:textId="77777777" w:rsidR="00096A49" w:rsidRPr="00D24270" w:rsidRDefault="00096A49" w:rsidP="00D809A0"/>
        </w:tc>
        <w:tc>
          <w:tcPr>
            <w:tcW w:w="808" w:type="pct"/>
          </w:tcPr>
          <w:p w14:paraId="652CC858" w14:textId="77777777" w:rsidR="00096A49" w:rsidRPr="00D24270" w:rsidRDefault="00096A49" w:rsidP="00D809A0"/>
        </w:tc>
        <w:tc>
          <w:tcPr>
            <w:tcW w:w="808" w:type="pct"/>
          </w:tcPr>
          <w:p w14:paraId="020EC5D1" w14:textId="77777777" w:rsidR="00096A49" w:rsidRPr="00D24270" w:rsidRDefault="00096A49" w:rsidP="00D809A0"/>
        </w:tc>
      </w:tr>
      <w:tr w:rsidR="00096A49" w:rsidRPr="00D24270" w14:paraId="6428E991" w14:textId="77777777" w:rsidTr="00BF32EC">
        <w:tc>
          <w:tcPr>
            <w:tcW w:w="838" w:type="pct"/>
          </w:tcPr>
          <w:p w14:paraId="04856C37" w14:textId="77777777" w:rsidR="00096A49" w:rsidRPr="00791FB5" w:rsidRDefault="00096A49" w:rsidP="00D809A0">
            <w:r w:rsidRPr="00D24270">
              <w:t>2</w:t>
            </w:r>
          </w:p>
        </w:tc>
        <w:tc>
          <w:tcPr>
            <w:tcW w:w="929" w:type="pct"/>
          </w:tcPr>
          <w:p w14:paraId="0D9529C7" w14:textId="77777777" w:rsidR="00096A49" w:rsidRPr="00D24270" w:rsidRDefault="00096A49" w:rsidP="00D809A0"/>
        </w:tc>
        <w:tc>
          <w:tcPr>
            <w:tcW w:w="808" w:type="pct"/>
          </w:tcPr>
          <w:p w14:paraId="2E707D88" w14:textId="77777777" w:rsidR="00096A49" w:rsidRPr="00D24270" w:rsidRDefault="00096A49" w:rsidP="00D809A0"/>
        </w:tc>
        <w:tc>
          <w:tcPr>
            <w:tcW w:w="808" w:type="pct"/>
          </w:tcPr>
          <w:p w14:paraId="2C8C8CDF" w14:textId="77777777" w:rsidR="00096A49" w:rsidRPr="00D24270" w:rsidRDefault="00096A49" w:rsidP="00D809A0"/>
        </w:tc>
        <w:tc>
          <w:tcPr>
            <w:tcW w:w="808" w:type="pct"/>
          </w:tcPr>
          <w:p w14:paraId="2704FEE9" w14:textId="77777777" w:rsidR="00096A49" w:rsidRPr="00D24270" w:rsidRDefault="00096A49" w:rsidP="00D809A0"/>
        </w:tc>
        <w:tc>
          <w:tcPr>
            <w:tcW w:w="808" w:type="pct"/>
          </w:tcPr>
          <w:p w14:paraId="05B3F775" w14:textId="77777777" w:rsidR="00096A49" w:rsidRPr="00D24270" w:rsidRDefault="00096A49" w:rsidP="00D809A0"/>
        </w:tc>
      </w:tr>
      <w:tr w:rsidR="00096A49" w:rsidRPr="00D24270" w14:paraId="6A0DFBC2" w14:textId="77777777" w:rsidTr="00BF32EC">
        <w:tc>
          <w:tcPr>
            <w:tcW w:w="838" w:type="pct"/>
          </w:tcPr>
          <w:p w14:paraId="10954402" w14:textId="77777777" w:rsidR="00096A49" w:rsidRPr="00791FB5" w:rsidRDefault="00096A49" w:rsidP="00D809A0">
            <w:r w:rsidRPr="00D24270">
              <w:t>3</w:t>
            </w:r>
          </w:p>
        </w:tc>
        <w:tc>
          <w:tcPr>
            <w:tcW w:w="929" w:type="pct"/>
          </w:tcPr>
          <w:p w14:paraId="495EBC85" w14:textId="77777777" w:rsidR="00096A49" w:rsidRPr="00D24270" w:rsidRDefault="00096A49" w:rsidP="00D809A0"/>
        </w:tc>
        <w:tc>
          <w:tcPr>
            <w:tcW w:w="808" w:type="pct"/>
          </w:tcPr>
          <w:p w14:paraId="52731235" w14:textId="77777777" w:rsidR="00096A49" w:rsidRPr="00D24270" w:rsidRDefault="00096A49" w:rsidP="00D809A0"/>
        </w:tc>
        <w:tc>
          <w:tcPr>
            <w:tcW w:w="808" w:type="pct"/>
          </w:tcPr>
          <w:p w14:paraId="238E5791" w14:textId="77777777" w:rsidR="00096A49" w:rsidRPr="00D24270" w:rsidRDefault="00096A49" w:rsidP="00D809A0"/>
        </w:tc>
        <w:tc>
          <w:tcPr>
            <w:tcW w:w="808" w:type="pct"/>
          </w:tcPr>
          <w:p w14:paraId="26C22720" w14:textId="77777777" w:rsidR="00096A49" w:rsidRPr="00D24270" w:rsidRDefault="00096A49" w:rsidP="00D809A0"/>
        </w:tc>
        <w:tc>
          <w:tcPr>
            <w:tcW w:w="808" w:type="pct"/>
          </w:tcPr>
          <w:p w14:paraId="0163BB1D" w14:textId="77777777" w:rsidR="00096A49" w:rsidRPr="00D24270" w:rsidRDefault="00096A49" w:rsidP="00D809A0"/>
        </w:tc>
      </w:tr>
    </w:tbl>
    <w:p w14:paraId="121D079A" w14:textId="77777777" w:rsidR="00096A49" w:rsidRPr="00D24270" w:rsidRDefault="00096A49" w:rsidP="00B31340">
      <w:pPr>
        <w:pStyle w:val="Caption"/>
      </w:pPr>
      <w:r w:rsidRPr="00D24270">
        <w:t>Distribution Network specific matrix costs (£ per metre, at 2019/2</w:t>
      </w:r>
      <w:r>
        <w:t xml:space="preserve">0 </w:t>
      </w:r>
      <w:r w:rsidRPr="00D24270">
        <w:t>price levels) for Above Risk Action Threshold Tier 2 Mains:  Distribution Network: NW</w:t>
      </w:r>
    </w:p>
    <w:tbl>
      <w:tblPr>
        <w:tblStyle w:val="AppendixTable"/>
        <w:tblW w:w="5000" w:type="pct"/>
        <w:tblLook w:val="01A0" w:firstRow="1" w:lastRow="0" w:firstColumn="1" w:lastColumn="1" w:noHBand="0" w:noVBand="0"/>
      </w:tblPr>
      <w:tblGrid>
        <w:gridCol w:w="1699"/>
        <w:gridCol w:w="2222"/>
        <w:gridCol w:w="1274"/>
        <w:gridCol w:w="1278"/>
        <w:gridCol w:w="1273"/>
        <w:gridCol w:w="1280"/>
      </w:tblGrid>
      <w:tr w:rsidR="00096A49" w:rsidRPr="00D24270" w14:paraId="32500910" w14:textId="77777777" w:rsidTr="009A6948">
        <w:trPr>
          <w:cnfStyle w:val="100000000000" w:firstRow="1" w:lastRow="0" w:firstColumn="0" w:lastColumn="0" w:oddVBand="0" w:evenVBand="0" w:oddHBand="0" w:evenHBand="0" w:firstRowFirstColumn="0" w:firstRowLastColumn="0" w:lastRowFirstColumn="0" w:lastRowLastColumn="0"/>
        </w:trPr>
        <w:tc>
          <w:tcPr>
            <w:tcW w:w="941" w:type="pct"/>
          </w:tcPr>
          <w:p w14:paraId="74A7F447" w14:textId="77777777" w:rsidR="00096A49" w:rsidRPr="00791FB5" w:rsidRDefault="00096A49" w:rsidP="00D809A0">
            <w:r w:rsidRPr="00D24270">
              <w:t>Diameter band n</w:t>
            </w:r>
          </w:p>
        </w:tc>
        <w:tc>
          <w:tcPr>
            <w:tcW w:w="1231" w:type="pct"/>
          </w:tcPr>
          <w:p w14:paraId="6A53437F" w14:textId="77777777" w:rsidR="00096A49" w:rsidRPr="00791FB5" w:rsidRDefault="00096A49" w:rsidP="00D809A0">
            <w:r w:rsidRPr="00D24270">
              <w:t>2021/22</w:t>
            </w:r>
          </w:p>
        </w:tc>
        <w:tc>
          <w:tcPr>
            <w:tcW w:w="706" w:type="pct"/>
          </w:tcPr>
          <w:p w14:paraId="17515B25" w14:textId="77777777" w:rsidR="00096A49" w:rsidRPr="00791FB5" w:rsidRDefault="00096A49" w:rsidP="00D809A0">
            <w:r w:rsidRPr="00D24270">
              <w:t>2022/23</w:t>
            </w:r>
          </w:p>
        </w:tc>
        <w:tc>
          <w:tcPr>
            <w:tcW w:w="708" w:type="pct"/>
          </w:tcPr>
          <w:p w14:paraId="27226585" w14:textId="77777777" w:rsidR="00096A49" w:rsidRPr="00791FB5" w:rsidRDefault="00096A49" w:rsidP="00D809A0">
            <w:r w:rsidRPr="00D24270">
              <w:t>2023/24</w:t>
            </w:r>
          </w:p>
        </w:tc>
        <w:tc>
          <w:tcPr>
            <w:tcW w:w="705" w:type="pct"/>
          </w:tcPr>
          <w:p w14:paraId="6D9D794E" w14:textId="77777777" w:rsidR="00096A49" w:rsidRPr="00791FB5" w:rsidRDefault="00096A49" w:rsidP="00D809A0">
            <w:r w:rsidRPr="00D24270">
              <w:t>2024/25</w:t>
            </w:r>
          </w:p>
        </w:tc>
        <w:tc>
          <w:tcPr>
            <w:tcW w:w="709" w:type="pct"/>
          </w:tcPr>
          <w:p w14:paraId="4D4384F2" w14:textId="77777777" w:rsidR="00096A49" w:rsidRPr="00791FB5" w:rsidRDefault="00096A49" w:rsidP="00D809A0">
            <w:r w:rsidRPr="00D24270">
              <w:t>2025/26</w:t>
            </w:r>
          </w:p>
        </w:tc>
      </w:tr>
      <w:tr w:rsidR="00096A49" w:rsidRPr="00D24270" w14:paraId="7661D628" w14:textId="77777777" w:rsidTr="009A6948">
        <w:tc>
          <w:tcPr>
            <w:tcW w:w="941" w:type="pct"/>
          </w:tcPr>
          <w:p w14:paraId="437879C9" w14:textId="77777777" w:rsidR="00096A49" w:rsidRPr="00791FB5" w:rsidRDefault="00096A49" w:rsidP="00D809A0">
            <w:r w:rsidRPr="00D24270">
              <w:t>1</w:t>
            </w:r>
          </w:p>
        </w:tc>
        <w:tc>
          <w:tcPr>
            <w:tcW w:w="1231" w:type="pct"/>
          </w:tcPr>
          <w:p w14:paraId="7FE4FF17" w14:textId="77777777" w:rsidR="00096A49" w:rsidRPr="00D24270" w:rsidRDefault="00096A49" w:rsidP="00D809A0"/>
        </w:tc>
        <w:tc>
          <w:tcPr>
            <w:tcW w:w="706" w:type="pct"/>
          </w:tcPr>
          <w:p w14:paraId="0F1B04DA" w14:textId="77777777" w:rsidR="00096A49" w:rsidRPr="00D24270" w:rsidRDefault="00096A49" w:rsidP="00D809A0"/>
        </w:tc>
        <w:tc>
          <w:tcPr>
            <w:tcW w:w="708" w:type="pct"/>
          </w:tcPr>
          <w:p w14:paraId="1A95DD77" w14:textId="77777777" w:rsidR="00096A49" w:rsidRPr="00D24270" w:rsidRDefault="00096A49" w:rsidP="00D809A0"/>
        </w:tc>
        <w:tc>
          <w:tcPr>
            <w:tcW w:w="705" w:type="pct"/>
          </w:tcPr>
          <w:p w14:paraId="025DCF8A" w14:textId="77777777" w:rsidR="00096A49" w:rsidRPr="00D24270" w:rsidRDefault="00096A49" w:rsidP="00D809A0"/>
        </w:tc>
        <w:tc>
          <w:tcPr>
            <w:tcW w:w="709" w:type="pct"/>
          </w:tcPr>
          <w:p w14:paraId="63EF822D" w14:textId="77777777" w:rsidR="00096A49" w:rsidRPr="00D24270" w:rsidRDefault="00096A49" w:rsidP="00D809A0"/>
        </w:tc>
      </w:tr>
      <w:tr w:rsidR="00096A49" w:rsidRPr="00D24270" w14:paraId="2B076764" w14:textId="77777777" w:rsidTr="009A6948">
        <w:tc>
          <w:tcPr>
            <w:tcW w:w="941" w:type="pct"/>
          </w:tcPr>
          <w:p w14:paraId="2261BD43" w14:textId="77777777" w:rsidR="00096A49" w:rsidRPr="00791FB5" w:rsidRDefault="00096A49" w:rsidP="00D809A0">
            <w:r w:rsidRPr="00D24270">
              <w:t>2</w:t>
            </w:r>
          </w:p>
        </w:tc>
        <w:tc>
          <w:tcPr>
            <w:tcW w:w="1231" w:type="pct"/>
          </w:tcPr>
          <w:p w14:paraId="1AA66937" w14:textId="77777777" w:rsidR="00096A49" w:rsidRPr="00D24270" w:rsidRDefault="00096A49" w:rsidP="00D809A0"/>
        </w:tc>
        <w:tc>
          <w:tcPr>
            <w:tcW w:w="706" w:type="pct"/>
          </w:tcPr>
          <w:p w14:paraId="7D1F2D75" w14:textId="77777777" w:rsidR="00096A49" w:rsidRPr="00D24270" w:rsidRDefault="00096A49" w:rsidP="00D809A0"/>
        </w:tc>
        <w:tc>
          <w:tcPr>
            <w:tcW w:w="708" w:type="pct"/>
          </w:tcPr>
          <w:p w14:paraId="301FD079" w14:textId="77777777" w:rsidR="00096A49" w:rsidRPr="00D24270" w:rsidRDefault="00096A49" w:rsidP="00D809A0"/>
        </w:tc>
        <w:tc>
          <w:tcPr>
            <w:tcW w:w="705" w:type="pct"/>
          </w:tcPr>
          <w:p w14:paraId="4F8D8C3F" w14:textId="77777777" w:rsidR="00096A49" w:rsidRPr="00D24270" w:rsidRDefault="00096A49" w:rsidP="00D809A0"/>
        </w:tc>
        <w:tc>
          <w:tcPr>
            <w:tcW w:w="709" w:type="pct"/>
          </w:tcPr>
          <w:p w14:paraId="044A2202" w14:textId="77777777" w:rsidR="00096A49" w:rsidRPr="00D24270" w:rsidRDefault="00096A49" w:rsidP="00D809A0"/>
        </w:tc>
      </w:tr>
      <w:tr w:rsidR="00096A49" w:rsidRPr="00D24270" w14:paraId="1D6DEC08" w14:textId="77777777" w:rsidTr="009A6948">
        <w:tc>
          <w:tcPr>
            <w:tcW w:w="941" w:type="pct"/>
          </w:tcPr>
          <w:p w14:paraId="561637CD" w14:textId="77777777" w:rsidR="00096A49" w:rsidRPr="00791FB5" w:rsidRDefault="00096A49" w:rsidP="00D809A0">
            <w:r w:rsidRPr="00D24270">
              <w:t>3</w:t>
            </w:r>
          </w:p>
        </w:tc>
        <w:tc>
          <w:tcPr>
            <w:tcW w:w="1231" w:type="pct"/>
          </w:tcPr>
          <w:p w14:paraId="2D679076" w14:textId="77777777" w:rsidR="00096A49" w:rsidRPr="00D24270" w:rsidRDefault="00096A49" w:rsidP="00D809A0"/>
        </w:tc>
        <w:tc>
          <w:tcPr>
            <w:tcW w:w="706" w:type="pct"/>
          </w:tcPr>
          <w:p w14:paraId="791DC24D" w14:textId="77777777" w:rsidR="00096A49" w:rsidRPr="00D24270" w:rsidRDefault="00096A49" w:rsidP="00D809A0"/>
        </w:tc>
        <w:tc>
          <w:tcPr>
            <w:tcW w:w="708" w:type="pct"/>
          </w:tcPr>
          <w:p w14:paraId="05B3F019" w14:textId="77777777" w:rsidR="00096A49" w:rsidRPr="00D24270" w:rsidRDefault="00096A49" w:rsidP="00D809A0"/>
        </w:tc>
        <w:tc>
          <w:tcPr>
            <w:tcW w:w="705" w:type="pct"/>
          </w:tcPr>
          <w:p w14:paraId="630EA6C0" w14:textId="77777777" w:rsidR="00096A49" w:rsidRPr="00D24270" w:rsidRDefault="00096A49" w:rsidP="00D809A0"/>
        </w:tc>
        <w:tc>
          <w:tcPr>
            <w:tcW w:w="709" w:type="pct"/>
          </w:tcPr>
          <w:p w14:paraId="44201261" w14:textId="77777777" w:rsidR="00096A49" w:rsidRPr="00D24270" w:rsidRDefault="00096A49" w:rsidP="00D809A0"/>
        </w:tc>
      </w:tr>
    </w:tbl>
    <w:p w14:paraId="573DAB1B" w14:textId="77777777" w:rsidR="00096A49" w:rsidRPr="00D24270" w:rsidRDefault="00096A49" w:rsidP="00B31340">
      <w:pPr>
        <w:pStyle w:val="Caption"/>
      </w:pPr>
      <w:r w:rsidRPr="00D24270">
        <w:t>Distribution Network specific matrix costs (£ per metre, at 2019/20 price levels) for Above Risk Action Threshold Tier 2 Mains:  Distribution Network: WM</w:t>
      </w:r>
    </w:p>
    <w:tbl>
      <w:tblPr>
        <w:tblStyle w:val="AppendixTable"/>
        <w:tblW w:w="5000" w:type="pct"/>
        <w:tblLook w:val="01A0" w:firstRow="1" w:lastRow="0" w:firstColumn="1" w:lastColumn="1" w:noHBand="0" w:noVBand="0"/>
      </w:tblPr>
      <w:tblGrid>
        <w:gridCol w:w="1469"/>
        <w:gridCol w:w="2403"/>
        <w:gridCol w:w="1282"/>
        <w:gridCol w:w="1285"/>
        <w:gridCol w:w="1291"/>
        <w:gridCol w:w="1296"/>
      </w:tblGrid>
      <w:tr w:rsidR="00096A49" w:rsidRPr="00D24270" w14:paraId="5671132C" w14:textId="77777777" w:rsidTr="009A6948">
        <w:trPr>
          <w:cnfStyle w:val="100000000000" w:firstRow="1" w:lastRow="0" w:firstColumn="0" w:lastColumn="0" w:oddVBand="0" w:evenVBand="0" w:oddHBand="0" w:evenHBand="0" w:firstRowFirstColumn="0" w:firstRowLastColumn="0" w:lastRowFirstColumn="0" w:lastRowLastColumn="0"/>
        </w:trPr>
        <w:tc>
          <w:tcPr>
            <w:tcW w:w="814" w:type="pct"/>
          </w:tcPr>
          <w:p w14:paraId="3C73CCE8" w14:textId="77777777" w:rsidR="00096A49" w:rsidRPr="00791FB5" w:rsidRDefault="00096A49" w:rsidP="00D809A0">
            <w:r w:rsidRPr="00D24270">
              <w:t>Diameter band n</w:t>
            </w:r>
          </w:p>
        </w:tc>
        <w:tc>
          <w:tcPr>
            <w:tcW w:w="1331" w:type="pct"/>
          </w:tcPr>
          <w:p w14:paraId="4188C104" w14:textId="77777777" w:rsidR="00096A49" w:rsidRPr="00791FB5" w:rsidRDefault="00096A49" w:rsidP="00D809A0">
            <w:r w:rsidRPr="00D24270">
              <w:t>2021/22</w:t>
            </w:r>
          </w:p>
        </w:tc>
        <w:tc>
          <w:tcPr>
            <w:tcW w:w="710" w:type="pct"/>
          </w:tcPr>
          <w:p w14:paraId="36617D09" w14:textId="77777777" w:rsidR="00096A49" w:rsidRPr="00791FB5" w:rsidRDefault="00096A49" w:rsidP="00D809A0">
            <w:r w:rsidRPr="00D24270">
              <w:t>2022/23</w:t>
            </w:r>
          </w:p>
        </w:tc>
        <w:tc>
          <w:tcPr>
            <w:tcW w:w="712" w:type="pct"/>
          </w:tcPr>
          <w:p w14:paraId="5506A027" w14:textId="77777777" w:rsidR="00096A49" w:rsidRPr="00791FB5" w:rsidRDefault="00096A49" w:rsidP="00D809A0">
            <w:r w:rsidRPr="00D24270">
              <w:t>2023/24</w:t>
            </w:r>
          </w:p>
        </w:tc>
        <w:tc>
          <w:tcPr>
            <w:tcW w:w="715" w:type="pct"/>
          </w:tcPr>
          <w:p w14:paraId="7A3AE8DB" w14:textId="77777777" w:rsidR="00096A49" w:rsidRPr="00791FB5" w:rsidRDefault="00096A49" w:rsidP="00D809A0">
            <w:r w:rsidRPr="00D24270">
              <w:t>2024/25</w:t>
            </w:r>
          </w:p>
        </w:tc>
        <w:tc>
          <w:tcPr>
            <w:tcW w:w="718" w:type="pct"/>
          </w:tcPr>
          <w:p w14:paraId="410420F4" w14:textId="77777777" w:rsidR="00096A49" w:rsidRPr="00791FB5" w:rsidRDefault="00096A49" w:rsidP="00D809A0">
            <w:r w:rsidRPr="00D24270">
              <w:t>2025/26</w:t>
            </w:r>
          </w:p>
        </w:tc>
      </w:tr>
      <w:tr w:rsidR="00096A49" w:rsidRPr="00D24270" w14:paraId="470C5993" w14:textId="77777777" w:rsidTr="009A6948">
        <w:tc>
          <w:tcPr>
            <w:tcW w:w="814" w:type="pct"/>
          </w:tcPr>
          <w:p w14:paraId="4AF9535A" w14:textId="77777777" w:rsidR="00096A49" w:rsidRPr="00791FB5" w:rsidRDefault="00096A49" w:rsidP="00D809A0">
            <w:r w:rsidRPr="00D24270">
              <w:t>1</w:t>
            </w:r>
          </w:p>
        </w:tc>
        <w:tc>
          <w:tcPr>
            <w:tcW w:w="1331" w:type="pct"/>
          </w:tcPr>
          <w:p w14:paraId="59FF91C4" w14:textId="77777777" w:rsidR="00096A49" w:rsidRPr="00D24270" w:rsidRDefault="00096A49" w:rsidP="00D809A0"/>
        </w:tc>
        <w:tc>
          <w:tcPr>
            <w:tcW w:w="710" w:type="pct"/>
          </w:tcPr>
          <w:p w14:paraId="3C87DF86" w14:textId="77777777" w:rsidR="00096A49" w:rsidRPr="00D24270" w:rsidRDefault="00096A49" w:rsidP="00D809A0"/>
        </w:tc>
        <w:tc>
          <w:tcPr>
            <w:tcW w:w="712" w:type="pct"/>
          </w:tcPr>
          <w:p w14:paraId="4396F0EB" w14:textId="77777777" w:rsidR="00096A49" w:rsidRPr="00D24270" w:rsidRDefault="00096A49" w:rsidP="00D809A0"/>
        </w:tc>
        <w:tc>
          <w:tcPr>
            <w:tcW w:w="715" w:type="pct"/>
          </w:tcPr>
          <w:p w14:paraId="10A54E07" w14:textId="77777777" w:rsidR="00096A49" w:rsidRPr="00D24270" w:rsidRDefault="00096A49" w:rsidP="00D809A0"/>
        </w:tc>
        <w:tc>
          <w:tcPr>
            <w:tcW w:w="718" w:type="pct"/>
          </w:tcPr>
          <w:p w14:paraId="30AF102D" w14:textId="77777777" w:rsidR="00096A49" w:rsidRPr="00D24270" w:rsidRDefault="00096A49" w:rsidP="00D809A0"/>
        </w:tc>
      </w:tr>
      <w:tr w:rsidR="00096A49" w:rsidRPr="00D24270" w14:paraId="2077218B" w14:textId="77777777" w:rsidTr="009A6948">
        <w:tc>
          <w:tcPr>
            <w:tcW w:w="814" w:type="pct"/>
          </w:tcPr>
          <w:p w14:paraId="3FD54454" w14:textId="77777777" w:rsidR="00096A49" w:rsidRPr="00791FB5" w:rsidRDefault="00096A49" w:rsidP="00D809A0">
            <w:r w:rsidRPr="00D24270">
              <w:t>2</w:t>
            </w:r>
          </w:p>
        </w:tc>
        <w:tc>
          <w:tcPr>
            <w:tcW w:w="1331" w:type="pct"/>
          </w:tcPr>
          <w:p w14:paraId="73AB21E1" w14:textId="77777777" w:rsidR="00096A49" w:rsidRPr="00D24270" w:rsidRDefault="00096A49" w:rsidP="00D809A0"/>
        </w:tc>
        <w:tc>
          <w:tcPr>
            <w:tcW w:w="710" w:type="pct"/>
          </w:tcPr>
          <w:p w14:paraId="073FAD01" w14:textId="77777777" w:rsidR="00096A49" w:rsidRPr="00D24270" w:rsidRDefault="00096A49" w:rsidP="00D809A0"/>
        </w:tc>
        <w:tc>
          <w:tcPr>
            <w:tcW w:w="712" w:type="pct"/>
          </w:tcPr>
          <w:p w14:paraId="30DCA102" w14:textId="77777777" w:rsidR="00096A49" w:rsidRPr="00D24270" w:rsidRDefault="00096A49" w:rsidP="00D809A0"/>
        </w:tc>
        <w:tc>
          <w:tcPr>
            <w:tcW w:w="715" w:type="pct"/>
          </w:tcPr>
          <w:p w14:paraId="1B19928F" w14:textId="77777777" w:rsidR="00096A49" w:rsidRPr="00D24270" w:rsidRDefault="00096A49" w:rsidP="00D809A0"/>
        </w:tc>
        <w:tc>
          <w:tcPr>
            <w:tcW w:w="718" w:type="pct"/>
          </w:tcPr>
          <w:p w14:paraId="3F1840B4" w14:textId="77777777" w:rsidR="00096A49" w:rsidRPr="00D24270" w:rsidRDefault="00096A49" w:rsidP="00D809A0"/>
        </w:tc>
      </w:tr>
      <w:tr w:rsidR="00096A49" w:rsidRPr="00D24270" w14:paraId="1246F712" w14:textId="77777777" w:rsidTr="009A6948">
        <w:tc>
          <w:tcPr>
            <w:tcW w:w="814" w:type="pct"/>
          </w:tcPr>
          <w:p w14:paraId="154E9768" w14:textId="77777777" w:rsidR="00096A49" w:rsidRPr="00791FB5" w:rsidRDefault="00096A49" w:rsidP="00D809A0">
            <w:r w:rsidRPr="00D24270">
              <w:t>3</w:t>
            </w:r>
          </w:p>
        </w:tc>
        <w:tc>
          <w:tcPr>
            <w:tcW w:w="1331" w:type="pct"/>
          </w:tcPr>
          <w:p w14:paraId="03133652" w14:textId="77777777" w:rsidR="00096A49" w:rsidRPr="00D24270" w:rsidRDefault="00096A49" w:rsidP="00D809A0"/>
        </w:tc>
        <w:tc>
          <w:tcPr>
            <w:tcW w:w="710" w:type="pct"/>
          </w:tcPr>
          <w:p w14:paraId="13178A7C" w14:textId="77777777" w:rsidR="00096A49" w:rsidRPr="00D24270" w:rsidRDefault="00096A49" w:rsidP="00D809A0"/>
        </w:tc>
        <w:tc>
          <w:tcPr>
            <w:tcW w:w="712" w:type="pct"/>
          </w:tcPr>
          <w:p w14:paraId="09286E5A" w14:textId="77777777" w:rsidR="00096A49" w:rsidRPr="00D24270" w:rsidRDefault="00096A49" w:rsidP="00D809A0"/>
        </w:tc>
        <w:tc>
          <w:tcPr>
            <w:tcW w:w="715" w:type="pct"/>
          </w:tcPr>
          <w:p w14:paraId="6F1E18C2" w14:textId="77777777" w:rsidR="00096A49" w:rsidRPr="00D24270" w:rsidRDefault="00096A49" w:rsidP="00D809A0"/>
        </w:tc>
        <w:tc>
          <w:tcPr>
            <w:tcW w:w="718" w:type="pct"/>
          </w:tcPr>
          <w:p w14:paraId="70A8AECE" w14:textId="77777777" w:rsidR="00096A49" w:rsidRPr="00D24270" w:rsidRDefault="00096A49" w:rsidP="00D809A0"/>
        </w:tc>
      </w:tr>
    </w:tbl>
    <w:p w14:paraId="4781261C" w14:textId="77777777" w:rsidR="00096A49" w:rsidRPr="00D24270" w:rsidRDefault="00096A49" w:rsidP="00096A49"/>
    <w:p w14:paraId="409FDF55" w14:textId="77777777" w:rsidR="00096A49" w:rsidRPr="00D24270" w:rsidRDefault="00096A49" w:rsidP="00B31340">
      <w:pPr>
        <w:pStyle w:val="Caption"/>
      </w:pPr>
      <w:r w:rsidRPr="00D24270">
        <w:t>Distribution Network specific matrix costs (£ per metre, at 2019/20</w:t>
      </w:r>
      <w:r>
        <w:t xml:space="preserve"> </w:t>
      </w:r>
      <w:r w:rsidRPr="00D24270">
        <w:t>price levels) for Above Risk Action Threshold Tier 2 Mains:  Distribution Network:  Northern Gas Networks Ltd</w:t>
      </w:r>
    </w:p>
    <w:tbl>
      <w:tblPr>
        <w:tblStyle w:val="AppendixTable"/>
        <w:tblW w:w="5000" w:type="pct"/>
        <w:tblLook w:val="01A0" w:firstRow="1" w:lastRow="0" w:firstColumn="1" w:lastColumn="1" w:noHBand="0" w:noVBand="0"/>
      </w:tblPr>
      <w:tblGrid>
        <w:gridCol w:w="1420"/>
        <w:gridCol w:w="2126"/>
        <w:gridCol w:w="1370"/>
        <w:gridCol w:w="1370"/>
        <w:gridCol w:w="1370"/>
        <w:gridCol w:w="1370"/>
      </w:tblGrid>
      <w:tr w:rsidR="00096A49" w:rsidRPr="00D24270" w14:paraId="102A3E82" w14:textId="77777777" w:rsidTr="00BF32EC">
        <w:trPr>
          <w:cnfStyle w:val="100000000000" w:firstRow="1" w:lastRow="0" w:firstColumn="0" w:lastColumn="0" w:oddVBand="0" w:evenVBand="0" w:oddHBand="0" w:evenHBand="0" w:firstRowFirstColumn="0" w:firstRowLastColumn="0" w:lastRowFirstColumn="0" w:lastRowLastColumn="0"/>
        </w:trPr>
        <w:tc>
          <w:tcPr>
            <w:tcW w:w="786" w:type="pct"/>
          </w:tcPr>
          <w:p w14:paraId="14083B59" w14:textId="77777777" w:rsidR="00096A49" w:rsidRPr="00791FB5" w:rsidRDefault="00096A49" w:rsidP="00D809A0">
            <w:r w:rsidRPr="00D24270">
              <w:t>Diameter band n</w:t>
            </w:r>
          </w:p>
        </w:tc>
        <w:tc>
          <w:tcPr>
            <w:tcW w:w="1177" w:type="pct"/>
          </w:tcPr>
          <w:p w14:paraId="1AD98C24" w14:textId="77777777" w:rsidR="00096A49" w:rsidRPr="00791FB5" w:rsidRDefault="00096A49" w:rsidP="00D809A0">
            <w:r w:rsidRPr="00D24270">
              <w:t>2021/22</w:t>
            </w:r>
          </w:p>
        </w:tc>
        <w:tc>
          <w:tcPr>
            <w:tcW w:w="759" w:type="pct"/>
          </w:tcPr>
          <w:p w14:paraId="26E20D82" w14:textId="77777777" w:rsidR="00096A49" w:rsidRPr="00791FB5" w:rsidRDefault="00096A49" w:rsidP="00D809A0">
            <w:r w:rsidRPr="00D24270">
              <w:t>2022/23</w:t>
            </w:r>
          </w:p>
        </w:tc>
        <w:tc>
          <w:tcPr>
            <w:tcW w:w="759" w:type="pct"/>
          </w:tcPr>
          <w:p w14:paraId="492CF231" w14:textId="77777777" w:rsidR="00096A49" w:rsidRPr="00791FB5" w:rsidRDefault="00096A49" w:rsidP="00D809A0">
            <w:r w:rsidRPr="00D24270">
              <w:t>2023/24</w:t>
            </w:r>
          </w:p>
        </w:tc>
        <w:tc>
          <w:tcPr>
            <w:tcW w:w="759" w:type="pct"/>
          </w:tcPr>
          <w:p w14:paraId="5C5423F5" w14:textId="77777777" w:rsidR="00096A49" w:rsidRPr="00791FB5" w:rsidRDefault="00096A49" w:rsidP="00D809A0">
            <w:r w:rsidRPr="00D24270">
              <w:t>2024/25</w:t>
            </w:r>
          </w:p>
        </w:tc>
        <w:tc>
          <w:tcPr>
            <w:tcW w:w="759" w:type="pct"/>
          </w:tcPr>
          <w:p w14:paraId="22F445E6" w14:textId="77777777" w:rsidR="00096A49" w:rsidRPr="00791FB5" w:rsidRDefault="00096A49" w:rsidP="00D809A0">
            <w:r w:rsidRPr="00D24270">
              <w:t>2025/26</w:t>
            </w:r>
          </w:p>
        </w:tc>
      </w:tr>
      <w:tr w:rsidR="00096A49" w:rsidRPr="00D24270" w14:paraId="2EF5BC66" w14:textId="77777777" w:rsidTr="00BF32EC">
        <w:tc>
          <w:tcPr>
            <w:tcW w:w="786" w:type="pct"/>
          </w:tcPr>
          <w:p w14:paraId="3FACAC50" w14:textId="77777777" w:rsidR="00096A49" w:rsidRPr="00791FB5" w:rsidRDefault="00096A49" w:rsidP="00D809A0">
            <w:r w:rsidRPr="00D24270">
              <w:t>1</w:t>
            </w:r>
          </w:p>
        </w:tc>
        <w:tc>
          <w:tcPr>
            <w:tcW w:w="1177" w:type="pct"/>
          </w:tcPr>
          <w:p w14:paraId="5E5B3D8C" w14:textId="77777777" w:rsidR="00096A49" w:rsidRPr="00D24270" w:rsidRDefault="00096A49" w:rsidP="00D809A0"/>
        </w:tc>
        <w:tc>
          <w:tcPr>
            <w:tcW w:w="759" w:type="pct"/>
          </w:tcPr>
          <w:p w14:paraId="6D54FE72" w14:textId="77777777" w:rsidR="00096A49" w:rsidRPr="00D24270" w:rsidRDefault="00096A49" w:rsidP="00D809A0"/>
        </w:tc>
        <w:tc>
          <w:tcPr>
            <w:tcW w:w="759" w:type="pct"/>
          </w:tcPr>
          <w:p w14:paraId="70B24C67" w14:textId="77777777" w:rsidR="00096A49" w:rsidRPr="00D24270" w:rsidRDefault="00096A49" w:rsidP="00D809A0"/>
        </w:tc>
        <w:tc>
          <w:tcPr>
            <w:tcW w:w="759" w:type="pct"/>
          </w:tcPr>
          <w:p w14:paraId="032A0854" w14:textId="77777777" w:rsidR="00096A49" w:rsidRPr="00D24270" w:rsidRDefault="00096A49" w:rsidP="00D809A0"/>
        </w:tc>
        <w:tc>
          <w:tcPr>
            <w:tcW w:w="759" w:type="pct"/>
          </w:tcPr>
          <w:p w14:paraId="7E8E2A32" w14:textId="77777777" w:rsidR="00096A49" w:rsidRPr="00D24270" w:rsidRDefault="00096A49" w:rsidP="00D809A0"/>
        </w:tc>
      </w:tr>
      <w:tr w:rsidR="00096A49" w:rsidRPr="00D24270" w14:paraId="523139A3" w14:textId="77777777" w:rsidTr="00BF32EC">
        <w:tc>
          <w:tcPr>
            <w:tcW w:w="786" w:type="pct"/>
          </w:tcPr>
          <w:p w14:paraId="244965C1" w14:textId="77777777" w:rsidR="00096A49" w:rsidRPr="00791FB5" w:rsidRDefault="00096A49" w:rsidP="00D809A0">
            <w:r w:rsidRPr="00D24270">
              <w:t>2</w:t>
            </w:r>
          </w:p>
        </w:tc>
        <w:tc>
          <w:tcPr>
            <w:tcW w:w="1177" w:type="pct"/>
          </w:tcPr>
          <w:p w14:paraId="2ED168A4" w14:textId="77777777" w:rsidR="00096A49" w:rsidRPr="00D24270" w:rsidRDefault="00096A49" w:rsidP="00D809A0"/>
        </w:tc>
        <w:tc>
          <w:tcPr>
            <w:tcW w:w="759" w:type="pct"/>
          </w:tcPr>
          <w:p w14:paraId="32A83904" w14:textId="77777777" w:rsidR="00096A49" w:rsidRPr="00D24270" w:rsidRDefault="00096A49" w:rsidP="00D809A0"/>
        </w:tc>
        <w:tc>
          <w:tcPr>
            <w:tcW w:w="759" w:type="pct"/>
          </w:tcPr>
          <w:p w14:paraId="7AA01555" w14:textId="77777777" w:rsidR="00096A49" w:rsidRPr="00D24270" w:rsidRDefault="00096A49" w:rsidP="00D809A0"/>
        </w:tc>
        <w:tc>
          <w:tcPr>
            <w:tcW w:w="759" w:type="pct"/>
          </w:tcPr>
          <w:p w14:paraId="6A5F57A3" w14:textId="77777777" w:rsidR="00096A49" w:rsidRPr="00D24270" w:rsidRDefault="00096A49" w:rsidP="00D809A0"/>
        </w:tc>
        <w:tc>
          <w:tcPr>
            <w:tcW w:w="759" w:type="pct"/>
          </w:tcPr>
          <w:p w14:paraId="66B1E87F" w14:textId="77777777" w:rsidR="00096A49" w:rsidRPr="00D24270" w:rsidRDefault="00096A49" w:rsidP="00D809A0"/>
        </w:tc>
      </w:tr>
      <w:tr w:rsidR="00096A49" w:rsidRPr="00D24270" w14:paraId="12B8F1D8" w14:textId="77777777" w:rsidTr="00BF32EC">
        <w:tc>
          <w:tcPr>
            <w:tcW w:w="786" w:type="pct"/>
          </w:tcPr>
          <w:p w14:paraId="457CF277" w14:textId="77777777" w:rsidR="00096A49" w:rsidRPr="00791FB5" w:rsidRDefault="00096A49" w:rsidP="00D809A0">
            <w:r w:rsidRPr="00D24270">
              <w:t>3</w:t>
            </w:r>
          </w:p>
        </w:tc>
        <w:tc>
          <w:tcPr>
            <w:tcW w:w="1177" w:type="pct"/>
          </w:tcPr>
          <w:p w14:paraId="656E874F" w14:textId="77777777" w:rsidR="00096A49" w:rsidRPr="00D24270" w:rsidRDefault="00096A49" w:rsidP="00D809A0"/>
        </w:tc>
        <w:tc>
          <w:tcPr>
            <w:tcW w:w="759" w:type="pct"/>
          </w:tcPr>
          <w:p w14:paraId="5C49D7DC" w14:textId="77777777" w:rsidR="00096A49" w:rsidRPr="00D24270" w:rsidRDefault="00096A49" w:rsidP="00D809A0"/>
        </w:tc>
        <w:tc>
          <w:tcPr>
            <w:tcW w:w="759" w:type="pct"/>
          </w:tcPr>
          <w:p w14:paraId="17EAFDEC" w14:textId="77777777" w:rsidR="00096A49" w:rsidRPr="00D24270" w:rsidRDefault="00096A49" w:rsidP="00D809A0"/>
        </w:tc>
        <w:tc>
          <w:tcPr>
            <w:tcW w:w="759" w:type="pct"/>
          </w:tcPr>
          <w:p w14:paraId="2D1C08E6" w14:textId="77777777" w:rsidR="00096A49" w:rsidRPr="00D24270" w:rsidRDefault="00096A49" w:rsidP="00D809A0"/>
        </w:tc>
        <w:tc>
          <w:tcPr>
            <w:tcW w:w="759" w:type="pct"/>
          </w:tcPr>
          <w:p w14:paraId="278E21F1" w14:textId="77777777" w:rsidR="00096A49" w:rsidRPr="00D24270" w:rsidRDefault="00096A49" w:rsidP="00D809A0"/>
        </w:tc>
      </w:tr>
    </w:tbl>
    <w:p w14:paraId="5C22B665" w14:textId="77777777" w:rsidR="00096A49" w:rsidRPr="00D24270" w:rsidRDefault="00096A49" w:rsidP="00096A49"/>
    <w:p w14:paraId="3ABC331C" w14:textId="77777777" w:rsidR="00096A49" w:rsidRPr="00D24270" w:rsidRDefault="00096A49" w:rsidP="009E1258">
      <w:pPr>
        <w:pStyle w:val="Caption"/>
      </w:pPr>
      <w:r w:rsidRPr="00D24270">
        <w:t>Distribution Network specific matrix costs (£ per metre, at 2019/20</w:t>
      </w:r>
      <w:r>
        <w:t xml:space="preserve"> </w:t>
      </w:r>
      <w:r w:rsidRPr="00D24270">
        <w:t>price levels) for Above Risk Action Threshold Tier 2 Mains:  Distribution Network:  Scotland Gas Networks plc</w:t>
      </w:r>
    </w:p>
    <w:tbl>
      <w:tblPr>
        <w:tblStyle w:val="AppendixTable"/>
        <w:tblW w:w="5000" w:type="pct"/>
        <w:tblLook w:val="01A0" w:firstRow="1" w:lastRow="0" w:firstColumn="1" w:lastColumn="1" w:noHBand="0" w:noVBand="0"/>
      </w:tblPr>
      <w:tblGrid>
        <w:gridCol w:w="1552"/>
        <w:gridCol w:w="2060"/>
        <w:gridCol w:w="1354"/>
        <w:gridCol w:w="1354"/>
        <w:gridCol w:w="1354"/>
        <w:gridCol w:w="1352"/>
      </w:tblGrid>
      <w:tr w:rsidR="00096A49" w:rsidRPr="00D24270" w14:paraId="33862E94" w14:textId="77777777" w:rsidTr="009E1258">
        <w:trPr>
          <w:cnfStyle w:val="100000000000" w:firstRow="1" w:lastRow="0" w:firstColumn="0" w:lastColumn="0" w:oddVBand="0" w:evenVBand="0" w:oddHBand="0" w:evenHBand="0" w:firstRowFirstColumn="0" w:firstRowLastColumn="0" w:lastRowFirstColumn="0" w:lastRowLastColumn="0"/>
        </w:trPr>
        <w:tc>
          <w:tcPr>
            <w:tcW w:w="860" w:type="pct"/>
          </w:tcPr>
          <w:p w14:paraId="15A6A0C3" w14:textId="77777777" w:rsidR="00096A49" w:rsidRPr="00791FB5" w:rsidRDefault="00096A49" w:rsidP="00D809A0">
            <w:r w:rsidRPr="00D24270">
              <w:t xml:space="preserve">Diameter </w:t>
            </w:r>
            <w:r w:rsidRPr="00791FB5">
              <w:t>band n</w:t>
            </w:r>
          </w:p>
        </w:tc>
        <w:tc>
          <w:tcPr>
            <w:tcW w:w="1141" w:type="pct"/>
          </w:tcPr>
          <w:p w14:paraId="34721E39" w14:textId="77777777" w:rsidR="00096A49" w:rsidRPr="00791FB5" w:rsidRDefault="00096A49" w:rsidP="00D809A0">
            <w:r w:rsidRPr="00D24270">
              <w:t>2021/22</w:t>
            </w:r>
          </w:p>
        </w:tc>
        <w:tc>
          <w:tcPr>
            <w:tcW w:w="750" w:type="pct"/>
          </w:tcPr>
          <w:p w14:paraId="18FE5231" w14:textId="77777777" w:rsidR="00096A49" w:rsidRPr="00791FB5" w:rsidRDefault="00096A49" w:rsidP="00D809A0">
            <w:r w:rsidRPr="00D24270">
              <w:t>2022/23</w:t>
            </w:r>
          </w:p>
        </w:tc>
        <w:tc>
          <w:tcPr>
            <w:tcW w:w="750" w:type="pct"/>
          </w:tcPr>
          <w:p w14:paraId="6FA3E156" w14:textId="77777777" w:rsidR="00096A49" w:rsidRPr="00791FB5" w:rsidRDefault="00096A49" w:rsidP="00D809A0">
            <w:r w:rsidRPr="00D24270">
              <w:t>2023/24</w:t>
            </w:r>
          </w:p>
        </w:tc>
        <w:tc>
          <w:tcPr>
            <w:tcW w:w="750" w:type="pct"/>
          </w:tcPr>
          <w:p w14:paraId="7D08A1A4" w14:textId="77777777" w:rsidR="00096A49" w:rsidRPr="00791FB5" w:rsidRDefault="00096A49" w:rsidP="00D809A0">
            <w:r w:rsidRPr="00D24270">
              <w:t>2024/25</w:t>
            </w:r>
          </w:p>
        </w:tc>
        <w:tc>
          <w:tcPr>
            <w:tcW w:w="750" w:type="pct"/>
          </w:tcPr>
          <w:p w14:paraId="4F2E0517" w14:textId="77777777" w:rsidR="00096A49" w:rsidRPr="00791FB5" w:rsidRDefault="00096A49" w:rsidP="00D809A0">
            <w:r w:rsidRPr="00D24270">
              <w:t>2025/26</w:t>
            </w:r>
          </w:p>
        </w:tc>
      </w:tr>
      <w:tr w:rsidR="00096A49" w:rsidRPr="00D24270" w14:paraId="1827B6AC" w14:textId="77777777" w:rsidTr="009E1258">
        <w:tc>
          <w:tcPr>
            <w:tcW w:w="860" w:type="pct"/>
          </w:tcPr>
          <w:p w14:paraId="3DB5BAD5" w14:textId="77777777" w:rsidR="00096A49" w:rsidRPr="00791FB5" w:rsidRDefault="00096A49" w:rsidP="00D809A0">
            <w:r w:rsidRPr="00D24270">
              <w:t>1</w:t>
            </w:r>
          </w:p>
        </w:tc>
        <w:tc>
          <w:tcPr>
            <w:tcW w:w="1141" w:type="pct"/>
          </w:tcPr>
          <w:p w14:paraId="7FCD59C3" w14:textId="77777777" w:rsidR="00096A49" w:rsidRPr="00D24270" w:rsidRDefault="00096A49" w:rsidP="00D809A0"/>
        </w:tc>
        <w:tc>
          <w:tcPr>
            <w:tcW w:w="750" w:type="pct"/>
          </w:tcPr>
          <w:p w14:paraId="03F98C9F" w14:textId="77777777" w:rsidR="00096A49" w:rsidRPr="00D24270" w:rsidRDefault="00096A49" w:rsidP="00D809A0"/>
        </w:tc>
        <w:tc>
          <w:tcPr>
            <w:tcW w:w="750" w:type="pct"/>
          </w:tcPr>
          <w:p w14:paraId="17947021" w14:textId="77777777" w:rsidR="00096A49" w:rsidRPr="00D24270" w:rsidRDefault="00096A49" w:rsidP="00D809A0"/>
        </w:tc>
        <w:tc>
          <w:tcPr>
            <w:tcW w:w="750" w:type="pct"/>
          </w:tcPr>
          <w:p w14:paraId="349E5697" w14:textId="77777777" w:rsidR="00096A49" w:rsidRPr="00D24270" w:rsidRDefault="00096A49" w:rsidP="00D809A0"/>
        </w:tc>
        <w:tc>
          <w:tcPr>
            <w:tcW w:w="750" w:type="pct"/>
          </w:tcPr>
          <w:p w14:paraId="396CA5F7" w14:textId="77777777" w:rsidR="00096A49" w:rsidRPr="00D24270" w:rsidRDefault="00096A49" w:rsidP="00D809A0"/>
        </w:tc>
      </w:tr>
      <w:tr w:rsidR="00096A49" w:rsidRPr="00D24270" w14:paraId="406AB2EA" w14:textId="77777777" w:rsidTr="009E1258">
        <w:tc>
          <w:tcPr>
            <w:tcW w:w="860" w:type="pct"/>
          </w:tcPr>
          <w:p w14:paraId="469791F7" w14:textId="77777777" w:rsidR="00096A49" w:rsidRPr="00791FB5" w:rsidRDefault="00096A49" w:rsidP="00D809A0">
            <w:r w:rsidRPr="00D24270">
              <w:t>2</w:t>
            </w:r>
          </w:p>
        </w:tc>
        <w:tc>
          <w:tcPr>
            <w:tcW w:w="1141" w:type="pct"/>
          </w:tcPr>
          <w:p w14:paraId="3FC79463" w14:textId="77777777" w:rsidR="00096A49" w:rsidRPr="00D24270" w:rsidRDefault="00096A49" w:rsidP="00D809A0"/>
        </w:tc>
        <w:tc>
          <w:tcPr>
            <w:tcW w:w="750" w:type="pct"/>
          </w:tcPr>
          <w:p w14:paraId="669463C4" w14:textId="77777777" w:rsidR="00096A49" w:rsidRPr="00D24270" w:rsidRDefault="00096A49" w:rsidP="00D809A0"/>
        </w:tc>
        <w:tc>
          <w:tcPr>
            <w:tcW w:w="750" w:type="pct"/>
          </w:tcPr>
          <w:p w14:paraId="65C4532E" w14:textId="77777777" w:rsidR="00096A49" w:rsidRPr="00D24270" w:rsidRDefault="00096A49" w:rsidP="00D809A0"/>
        </w:tc>
        <w:tc>
          <w:tcPr>
            <w:tcW w:w="750" w:type="pct"/>
          </w:tcPr>
          <w:p w14:paraId="37B80B04" w14:textId="77777777" w:rsidR="00096A49" w:rsidRPr="00D24270" w:rsidRDefault="00096A49" w:rsidP="00D809A0"/>
        </w:tc>
        <w:tc>
          <w:tcPr>
            <w:tcW w:w="750" w:type="pct"/>
          </w:tcPr>
          <w:p w14:paraId="2A8B633C" w14:textId="77777777" w:rsidR="00096A49" w:rsidRPr="00D24270" w:rsidRDefault="00096A49" w:rsidP="00D809A0"/>
        </w:tc>
      </w:tr>
      <w:tr w:rsidR="00096A49" w:rsidRPr="00D24270" w14:paraId="084F803B" w14:textId="77777777" w:rsidTr="009E1258">
        <w:tc>
          <w:tcPr>
            <w:tcW w:w="860" w:type="pct"/>
          </w:tcPr>
          <w:p w14:paraId="585E84BC" w14:textId="77777777" w:rsidR="00096A49" w:rsidRPr="00791FB5" w:rsidRDefault="00096A49" w:rsidP="00D809A0">
            <w:r w:rsidRPr="00D24270">
              <w:t>3</w:t>
            </w:r>
          </w:p>
        </w:tc>
        <w:tc>
          <w:tcPr>
            <w:tcW w:w="1141" w:type="pct"/>
          </w:tcPr>
          <w:p w14:paraId="3D17164F" w14:textId="77777777" w:rsidR="00096A49" w:rsidRPr="00D24270" w:rsidRDefault="00096A49" w:rsidP="00D809A0"/>
        </w:tc>
        <w:tc>
          <w:tcPr>
            <w:tcW w:w="750" w:type="pct"/>
          </w:tcPr>
          <w:p w14:paraId="39BFB1C3" w14:textId="77777777" w:rsidR="00096A49" w:rsidRPr="00D24270" w:rsidRDefault="00096A49" w:rsidP="00D809A0"/>
        </w:tc>
        <w:tc>
          <w:tcPr>
            <w:tcW w:w="750" w:type="pct"/>
          </w:tcPr>
          <w:p w14:paraId="0A13503F" w14:textId="77777777" w:rsidR="00096A49" w:rsidRPr="00D24270" w:rsidRDefault="00096A49" w:rsidP="00D809A0"/>
        </w:tc>
        <w:tc>
          <w:tcPr>
            <w:tcW w:w="750" w:type="pct"/>
          </w:tcPr>
          <w:p w14:paraId="21FA4287" w14:textId="77777777" w:rsidR="00096A49" w:rsidRPr="00D24270" w:rsidRDefault="00096A49" w:rsidP="00D809A0"/>
        </w:tc>
        <w:tc>
          <w:tcPr>
            <w:tcW w:w="750" w:type="pct"/>
          </w:tcPr>
          <w:p w14:paraId="18D6ED04" w14:textId="77777777" w:rsidR="00096A49" w:rsidRPr="00D24270" w:rsidRDefault="00096A49" w:rsidP="00D809A0"/>
        </w:tc>
      </w:tr>
    </w:tbl>
    <w:p w14:paraId="6CF71FBD" w14:textId="77777777" w:rsidR="00096A49" w:rsidRPr="00D24270" w:rsidRDefault="00096A49" w:rsidP="00096A49"/>
    <w:p w14:paraId="5F897A5D" w14:textId="77777777" w:rsidR="00096A49" w:rsidRPr="00D24270" w:rsidRDefault="00096A49" w:rsidP="009E1258">
      <w:pPr>
        <w:pStyle w:val="Caption"/>
      </w:pPr>
      <w:r w:rsidRPr="00D24270">
        <w:t>Distribution Network specific matrix costs (£ per metre, at 2019/2</w:t>
      </w:r>
      <w:r>
        <w:t xml:space="preserve">0 </w:t>
      </w:r>
      <w:r w:rsidRPr="00D24270">
        <w:t>price levels) for Above Risk Action</w:t>
      </w:r>
      <w:r>
        <w:t xml:space="preserve"> </w:t>
      </w:r>
      <w:r w:rsidRPr="00D24270">
        <w:t>Threshold Tier 2 Mains:  Distribution Network:  Southern Gas Networks plc</w:t>
      </w:r>
    </w:p>
    <w:tbl>
      <w:tblPr>
        <w:tblStyle w:val="AppendixTable"/>
        <w:tblW w:w="5000" w:type="pct"/>
        <w:tblLook w:val="01A0" w:firstRow="1" w:lastRow="0" w:firstColumn="1" w:lastColumn="1" w:noHBand="0" w:noVBand="0"/>
      </w:tblPr>
      <w:tblGrid>
        <w:gridCol w:w="1552"/>
        <w:gridCol w:w="2060"/>
        <w:gridCol w:w="1354"/>
        <w:gridCol w:w="1354"/>
        <w:gridCol w:w="1354"/>
        <w:gridCol w:w="1352"/>
      </w:tblGrid>
      <w:tr w:rsidR="00096A49" w:rsidRPr="00D24270" w14:paraId="6402B061" w14:textId="77777777" w:rsidTr="009E1258">
        <w:trPr>
          <w:cnfStyle w:val="100000000000" w:firstRow="1" w:lastRow="0" w:firstColumn="0" w:lastColumn="0" w:oddVBand="0" w:evenVBand="0" w:oddHBand="0" w:evenHBand="0" w:firstRowFirstColumn="0" w:firstRowLastColumn="0" w:lastRowFirstColumn="0" w:lastRowLastColumn="0"/>
        </w:trPr>
        <w:tc>
          <w:tcPr>
            <w:tcW w:w="860" w:type="pct"/>
          </w:tcPr>
          <w:p w14:paraId="5C7ED2C7" w14:textId="77777777" w:rsidR="00096A49" w:rsidRPr="00791FB5" w:rsidRDefault="00096A49" w:rsidP="00D809A0">
            <w:r w:rsidRPr="00D24270">
              <w:t>Diameter band n</w:t>
            </w:r>
          </w:p>
        </w:tc>
        <w:tc>
          <w:tcPr>
            <w:tcW w:w="1141" w:type="pct"/>
          </w:tcPr>
          <w:p w14:paraId="0868F3D0" w14:textId="77777777" w:rsidR="00096A49" w:rsidRPr="00791FB5" w:rsidRDefault="00096A49" w:rsidP="00D809A0">
            <w:r w:rsidRPr="00D24270">
              <w:t>2021/22</w:t>
            </w:r>
          </w:p>
        </w:tc>
        <w:tc>
          <w:tcPr>
            <w:tcW w:w="750" w:type="pct"/>
          </w:tcPr>
          <w:p w14:paraId="3D5E2C08" w14:textId="77777777" w:rsidR="00096A49" w:rsidRPr="00791FB5" w:rsidRDefault="00096A49" w:rsidP="00D809A0">
            <w:r w:rsidRPr="00D24270">
              <w:t>2022/23</w:t>
            </w:r>
          </w:p>
        </w:tc>
        <w:tc>
          <w:tcPr>
            <w:tcW w:w="750" w:type="pct"/>
          </w:tcPr>
          <w:p w14:paraId="60CC14F5" w14:textId="77777777" w:rsidR="00096A49" w:rsidRPr="00791FB5" w:rsidRDefault="00096A49" w:rsidP="00D809A0">
            <w:r w:rsidRPr="00D24270">
              <w:t>2023/24</w:t>
            </w:r>
          </w:p>
        </w:tc>
        <w:tc>
          <w:tcPr>
            <w:tcW w:w="750" w:type="pct"/>
          </w:tcPr>
          <w:p w14:paraId="104CE3FB" w14:textId="77777777" w:rsidR="00096A49" w:rsidRPr="00791FB5" w:rsidRDefault="00096A49" w:rsidP="00D809A0">
            <w:r w:rsidRPr="00D24270">
              <w:t>2024/25</w:t>
            </w:r>
          </w:p>
        </w:tc>
        <w:tc>
          <w:tcPr>
            <w:tcW w:w="750" w:type="pct"/>
          </w:tcPr>
          <w:p w14:paraId="70D2DA04" w14:textId="77777777" w:rsidR="00096A49" w:rsidRPr="00791FB5" w:rsidRDefault="00096A49" w:rsidP="00D809A0">
            <w:r w:rsidRPr="00D24270">
              <w:t>2025/26</w:t>
            </w:r>
          </w:p>
        </w:tc>
      </w:tr>
      <w:tr w:rsidR="00096A49" w:rsidRPr="00D24270" w14:paraId="67CE9A54" w14:textId="77777777" w:rsidTr="009E1258">
        <w:tc>
          <w:tcPr>
            <w:tcW w:w="860" w:type="pct"/>
          </w:tcPr>
          <w:p w14:paraId="56356CDA" w14:textId="77777777" w:rsidR="00096A49" w:rsidRPr="00791FB5" w:rsidRDefault="00096A49" w:rsidP="00D809A0">
            <w:r w:rsidRPr="00D24270">
              <w:t>1</w:t>
            </w:r>
          </w:p>
        </w:tc>
        <w:tc>
          <w:tcPr>
            <w:tcW w:w="1141" w:type="pct"/>
          </w:tcPr>
          <w:p w14:paraId="5A9DCB73" w14:textId="77777777" w:rsidR="00096A49" w:rsidRPr="00D24270" w:rsidRDefault="00096A49" w:rsidP="00D809A0"/>
        </w:tc>
        <w:tc>
          <w:tcPr>
            <w:tcW w:w="750" w:type="pct"/>
          </w:tcPr>
          <w:p w14:paraId="7292D5F6" w14:textId="77777777" w:rsidR="00096A49" w:rsidRPr="00D24270" w:rsidRDefault="00096A49" w:rsidP="00D809A0"/>
        </w:tc>
        <w:tc>
          <w:tcPr>
            <w:tcW w:w="750" w:type="pct"/>
          </w:tcPr>
          <w:p w14:paraId="062740BF" w14:textId="77777777" w:rsidR="00096A49" w:rsidRPr="00D24270" w:rsidRDefault="00096A49" w:rsidP="00D809A0"/>
        </w:tc>
        <w:tc>
          <w:tcPr>
            <w:tcW w:w="750" w:type="pct"/>
          </w:tcPr>
          <w:p w14:paraId="2AEB94F6" w14:textId="77777777" w:rsidR="00096A49" w:rsidRPr="00D24270" w:rsidRDefault="00096A49" w:rsidP="00D809A0"/>
        </w:tc>
        <w:tc>
          <w:tcPr>
            <w:tcW w:w="750" w:type="pct"/>
          </w:tcPr>
          <w:p w14:paraId="2ABE7656" w14:textId="77777777" w:rsidR="00096A49" w:rsidRPr="00D24270" w:rsidRDefault="00096A49" w:rsidP="00D809A0"/>
        </w:tc>
      </w:tr>
      <w:tr w:rsidR="00096A49" w:rsidRPr="00D24270" w14:paraId="7BCF4B0B" w14:textId="77777777" w:rsidTr="009E1258">
        <w:tc>
          <w:tcPr>
            <w:tcW w:w="860" w:type="pct"/>
          </w:tcPr>
          <w:p w14:paraId="7C038797" w14:textId="77777777" w:rsidR="00096A49" w:rsidRPr="00791FB5" w:rsidRDefault="00096A49" w:rsidP="00D809A0">
            <w:r w:rsidRPr="00D24270">
              <w:t>2</w:t>
            </w:r>
          </w:p>
        </w:tc>
        <w:tc>
          <w:tcPr>
            <w:tcW w:w="1141" w:type="pct"/>
          </w:tcPr>
          <w:p w14:paraId="2E75AE75" w14:textId="77777777" w:rsidR="00096A49" w:rsidRPr="00D24270" w:rsidRDefault="00096A49" w:rsidP="00D809A0"/>
        </w:tc>
        <w:tc>
          <w:tcPr>
            <w:tcW w:w="750" w:type="pct"/>
          </w:tcPr>
          <w:p w14:paraId="73B2890E" w14:textId="77777777" w:rsidR="00096A49" w:rsidRPr="00D24270" w:rsidRDefault="00096A49" w:rsidP="00D809A0"/>
        </w:tc>
        <w:tc>
          <w:tcPr>
            <w:tcW w:w="750" w:type="pct"/>
          </w:tcPr>
          <w:p w14:paraId="2340D406" w14:textId="77777777" w:rsidR="00096A49" w:rsidRPr="00D24270" w:rsidRDefault="00096A49" w:rsidP="00D809A0"/>
        </w:tc>
        <w:tc>
          <w:tcPr>
            <w:tcW w:w="750" w:type="pct"/>
          </w:tcPr>
          <w:p w14:paraId="0912C06D" w14:textId="77777777" w:rsidR="00096A49" w:rsidRPr="00D24270" w:rsidRDefault="00096A49" w:rsidP="00D809A0"/>
        </w:tc>
        <w:tc>
          <w:tcPr>
            <w:tcW w:w="750" w:type="pct"/>
          </w:tcPr>
          <w:p w14:paraId="2F6CCBB2" w14:textId="77777777" w:rsidR="00096A49" w:rsidRPr="00D24270" w:rsidRDefault="00096A49" w:rsidP="00D809A0"/>
        </w:tc>
      </w:tr>
      <w:tr w:rsidR="00096A49" w:rsidRPr="00D24270" w14:paraId="02B21631" w14:textId="77777777" w:rsidTr="009E1258">
        <w:tc>
          <w:tcPr>
            <w:tcW w:w="860" w:type="pct"/>
          </w:tcPr>
          <w:p w14:paraId="5A7EEDF7" w14:textId="77777777" w:rsidR="00096A49" w:rsidRPr="00791FB5" w:rsidRDefault="00096A49" w:rsidP="00D809A0">
            <w:r w:rsidRPr="00D24270">
              <w:t>3</w:t>
            </w:r>
          </w:p>
        </w:tc>
        <w:tc>
          <w:tcPr>
            <w:tcW w:w="1141" w:type="pct"/>
          </w:tcPr>
          <w:p w14:paraId="527BF811" w14:textId="77777777" w:rsidR="00096A49" w:rsidRPr="00D24270" w:rsidRDefault="00096A49" w:rsidP="00D809A0"/>
        </w:tc>
        <w:tc>
          <w:tcPr>
            <w:tcW w:w="750" w:type="pct"/>
          </w:tcPr>
          <w:p w14:paraId="78E88E1F" w14:textId="77777777" w:rsidR="00096A49" w:rsidRPr="00D24270" w:rsidRDefault="00096A49" w:rsidP="00D809A0"/>
        </w:tc>
        <w:tc>
          <w:tcPr>
            <w:tcW w:w="750" w:type="pct"/>
          </w:tcPr>
          <w:p w14:paraId="0CA13553" w14:textId="77777777" w:rsidR="00096A49" w:rsidRPr="00D24270" w:rsidRDefault="00096A49" w:rsidP="00D809A0"/>
        </w:tc>
        <w:tc>
          <w:tcPr>
            <w:tcW w:w="750" w:type="pct"/>
          </w:tcPr>
          <w:p w14:paraId="1F876096" w14:textId="77777777" w:rsidR="00096A49" w:rsidRPr="00D24270" w:rsidRDefault="00096A49" w:rsidP="00D809A0"/>
        </w:tc>
        <w:tc>
          <w:tcPr>
            <w:tcW w:w="750" w:type="pct"/>
          </w:tcPr>
          <w:p w14:paraId="27910D25" w14:textId="77777777" w:rsidR="00096A49" w:rsidRPr="00D24270" w:rsidRDefault="00096A49" w:rsidP="00D809A0"/>
        </w:tc>
      </w:tr>
    </w:tbl>
    <w:p w14:paraId="050A0FCD" w14:textId="77777777" w:rsidR="00096A49" w:rsidRPr="00D24270" w:rsidRDefault="00096A49" w:rsidP="00096A49"/>
    <w:p w14:paraId="6E0CCF37" w14:textId="77777777" w:rsidR="00096A49" w:rsidRPr="00D24270" w:rsidRDefault="00096A49" w:rsidP="009E1258">
      <w:pPr>
        <w:pStyle w:val="Caption"/>
      </w:pPr>
      <w:r w:rsidRPr="00D24270">
        <w:t>Distribution Network specific matrix costs (£ per metre, at 2019/2</w:t>
      </w:r>
      <w:r>
        <w:t xml:space="preserve">0 </w:t>
      </w:r>
      <w:r w:rsidRPr="00D24270">
        <w:t>price levels) for Above Risk Action Threshold Tier 2 Mains:  Distribution Network:  Wales &amp; West Utilities Ltd</w:t>
      </w:r>
    </w:p>
    <w:tbl>
      <w:tblPr>
        <w:tblStyle w:val="AppendixTable"/>
        <w:tblW w:w="5000" w:type="pct"/>
        <w:tblLook w:val="01A0" w:firstRow="1" w:lastRow="0" w:firstColumn="1" w:lastColumn="1" w:noHBand="0" w:noVBand="0"/>
      </w:tblPr>
      <w:tblGrid>
        <w:gridCol w:w="1552"/>
        <w:gridCol w:w="2062"/>
        <w:gridCol w:w="1352"/>
        <w:gridCol w:w="1352"/>
        <w:gridCol w:w="1352"/>
        <w:gridCol w:w="1356"/>
      </w:tblGrid>
      <w:tr w:rsidR="00096A49" w:rsidRPr="00D24270" w14:paraId="195F450C" w14:textId="77777777" w:rsidTr="009E1258">
        <w:trPr>
          <w:cnfStyle w:val="100000000000" w:firstRow="1" w:lastRow="0" w:firstColumn="0" w:lastColumn="0" w:oddVBand="0" w:evenVBand="0" w:oddHBand="0" w:evenHBand="0" w:firstRowFirstColumn="0" w:firstRowLastColumn="0" w:lastRowFirstColumn="0" w:lastRowLastColumn="0"/>
        </w:trPr>
        <w:tc>
          <w:tcPr>
            <w:tcW w:w="860" w:type="pct"/>
          </w:tcPr>
          <w:p w14:paraId="3F82F2DF" w14:textId="77777777" w:rsidR="00096A49" w:rsidRPr="00791FB5" w:rsidRDefault="00096A49" w:rsidP="00D809A0">
            <w:r w:rsidRPr="00D24270">
              <w:t>Diameter band n</w:t>
            </w:r>
          </w:p>
        </w:tc>
        <w:tc>
          <w:tcPr>
            <w:tcW w:w="1142" w:type="pct"/>
          </w:tcPr>
          <w:p w14:paraId="1DAC34FF" w14:textId="77777777" w:rsidR="00096A49" w:rsidRPr="00791FB5" w:rsidRDefault="00096A49" w:rsidP="00D809A0">
            <w:r w:rsidRPr="00D24270">
              <w:t>2021/22</w:t>
            </w:r>
          </w:p>
        </w:tc>
        <w:tc>
          <w:tcPr>
            <w:tcW w:w="749" w:type="pct"/>
          </w:tcPr>
          <w:p w14:paraId="7279E842" w14:textId="77777777" w:rsidR="00096A49" w:rsidRPr="00791FB5" w:rsidRDefault="00096A49" w:rsidP="00D809A0">
            <w:r w:rsidRPr="00D24270">
              <w:t>2022/23</w:t>
            </w:r>
          </w:p>
        </w:tc>
        <w:tc>
          <w:tcPr>
            <w:tcW w:w="749" w:type="pct"/>
          </w:tcPr>
          <w:p w14:paraId="49D03312" w14:textId="77777777" w:rsidR="00096A49" w:rsidRPr="00791FB5" w:rsidRDefault="00096A49" w:rsidP="00D809A0">
            <w:r w:rsidRPr="00D24270">
              <w:t>2023/24</w:t>
            </w:r>
          </w:p>
        </w:tc>
        <w:tc>
          <w:tcPr>
            <w:tcW w:w="749" w:type="pct"/>
          </w:tcPr>
          <w:p w14:paraId="5344268F" w14:textId="77777777" w:rsidR="00096A49" w:rsidRPr="00791FB5" w:rsidRDefault="00096A49" w:rsidP="00D809A0">
            <w:r w:rsidRPr="00D24270">
              <w:t>2024/25</w:t>
            </w:r>
          </w:p>
        </w:tc>
        <w:tc>
          <w:tcPr>
            <w:tcW w:w="751" w:type="pct"/>
          </w:tcPr>
          <w:p w14:paraId="788820CD" w14:textId="77777777" w:rsidR="00096A49" w:rsidRPr="00791FB5" w:rsidRDefault="00096A49" w:rsidP="00D809A0">
            <w:r w:rsidRPr="00D24270">
              <w:t>2025/26</w:t>
            </w:r>
          </w:p>
        </w:tc>
      </w:tr>
      <w:tr w:rsidR="00096A49" w:rsidRPr="00D24270" w14:paraId="0FA99CE7" w14:textId="77777777" w:rsidTr="009E1258">
        <w:tc>
          <w:tcPr>
            <w:tcW w:w="860" w:type="pct"/>
          </w:tcPr>
          <w:p w14:paraId="76E8987A" w14:textId="77777777" w:rsidR="00096A49" w:rsidRPr="00791FB5" w:rsidRDefault="00096A49" w:rsidP="00D809A0">
            <w:r w:rsidRPr="00D24270">
              <w:t>1</w:t>
            </w:r>
          </w:p>
        </w:tc>
        <w:tc>
          <w:tcPr>
            <w:tcW w:w="1142" w:type="pct"/>
          </w:tcPr>
          <w:p w14:paraId="542E6639" w14:textId="77777777" w:rsidR="00096A49" w:rsidRPr="00D24270" w:rsidRDefault="00096A49" w:rsidP="00D809A0"/>
        </w:tc>
        <w:tc>
          <w:tcPr>
            <w:tcW w:w="749" w:type="pct"/>
          </w:tcPr>
          <w:p w14:paraId="131473BF" w14:textId="77777777" w:rsidR="00096A49" w:rsidRPr="00D24270" w:rsidRDefault="00096A49" w:rsidP="00D809A0"/>
        </w:tc>
        <w:tc>
          <w:tcPr>
            <w:tcW w:w="749" w:type="pct"/>
          </w:tcPr>
          <w:p w14:paraId="12A93477" w14:textId="77777777" w:rsidR="00096A49" w:rsidRPr="00D24270" w:rsidRDefault="00096A49" w:rsidP="00D809A0"/>
        </w:tc>
        <w:tc>
          <w:tcPr>
            <w:tcW w:w="749" w:type="pct"/>
          </w:tcPr>
          <w:p w14:paraId="004E770D" w14:textId="77777777" w:rsidR="00096A49" w:rsidRPr="00D24270" w:rsidRDefault="00096A49" w:rsidP="00D809A0"/>
        </w:tc>
        <w:tc>
          <w:tcPr>
            <w:tcW w:w="751" w:type="pct"/>
          </w:tcPr>
          <w:p w14:paraId="5D39DB94" w14:textId="77777777" w:rsidR="00096A49" w:rsidRPr="00D24270" w:rsidRDefault="00096A49" w:rsidP="00D809A0"/>
        </w:tc>
      </w:tr>
      <w:tr w:rsidR="00096A49" w:rsidRPr="00D24270" w14:paraId="13755FE4" w14:textId="77777777" w:rsidTr="009E1258">
        <w:tc>
          <w:tcPr>
            <w:tcW w:w="860" w:type="pct"/>
          </w:tcPr>
          <w:p w14:paraId="78F50D80" w14:textId="77777777" w:rsidR="00096A49" w:rsidRPr="00791FB5" w:rsidRDefault="00096A49" w:rsidP="00D809A0">
            <w:r w:rsidRPr="00D24270">
              <w:t>2</w:t>
            </w:r>
          </w:p>
        </w:tc>
        <w:tc>
          <w:tcPr>
            <w:tcW w:w="1142" w:type="pct"/>
          </w:tcPr>
          <w:p w14:paraId="6C13E18E" w14:textId="77777777" w:rsidR="00096A49" w:rsidRPr="00D24270" w:rsidRDefault="00096A49" w:rsidP="00D809A0"/>
        </w:tc>
        <w:tc>
          <w:tcPr>
            <w:tcW w:w="749" w:type="pct"/>
          </w:tcPr>
          <w:p w14:paraId="51C100BE" w14:textId="77777777" w:rsidR="00096A49" w:rsidRPr="00D24270" w:rsidRDefault="00096A49" w:rsidP="00D809A0"/>
        </w:tc>
        <w:tc>
          <w:tcPr>
            <w:tcW w:w="749" w:type="pct"/>
          </w:tcPr>
          <w:p w14:paraId="7446521C" w14:textId="77777777" w:rsidR="00096A49" w:rsidRPr="00D24270" w:rsidRDefault="00096A49" w:rsidP="00D809A0"/>
        </w:tc>
        <w:tc>
          <w:tcPr>
            <w:tcW w:w="749" w:type="pct"/>
          </w:tcPr>
          <w:p w14:paraId="48C8FB40" w14:textId="77777777" w:rsidR="00096A49" w:rsidRPr="00D24270" w:rsidRDefault="00096A49" w:rsidP="00D809A0"/>
        </w:tc>
        <w:tc>
          <w:tcPr>
            <w:tcW w:w="751" w:type="pct"/>
          </w:tcPr>
          <w:p w14:paraId="615BA27C" w14:textId="77777777" w:rsidR="00096A49" w:rsidRPr="00D24270" w:rsidRDefault="00096A49" w:rsidP="00D809A0"/>
        </w:tc>
      </w:tr>
      <w:tr w:rsidR="00096A49" w:rsidRPr="00D24270" w14:paraId="745C744A" w14:textId="77777777" w:rsidTr="009E1258">
        <w:tc>
          <w:tcPr>
            <w:tcW w:w="860" w:type="pct"/>
          </w:tcPr>
          <w:p w14:paraId="18EC7670" w14:textId="77777777" w:rsidR="00096A49" w:rsidRPr="00791FB5" w:rsidRDefault="00096A49" w:rsidP="00D809A0">
            <w:r w:rsidRPr="00D24270">
              <w:t>3</w:t>
            </w:r>
          </w:p>
        </w:tc>
        <w:tc>
          <w:tcPr>
            <w:tcW w:w="1142" w:type="pct"/>
          </w:tcPr>
          <w:p w14:paraId="42885A8A" w14:textId="77777777" w:rsidR="00096A49" w:rsidRPr="00D24270" w:rsidRDefault="00096A49" w:rsidP="00D809A0"/>
        </w:tc>
        <w:tc>
          <w:tcPr>
            <w:tcW w:w="749" w:type="pct"/>
          </w:tcPr>
          <w:p w14:paraId="04062E49" w14:textId="77777777" w:rsidR="00096A49" w:rsidRPr="00D24270" w:rsidRDefault="00096A49" w:rsidP="00D809A0"/>
        </w:tc>
        <w:tc>
          <w:tcPr>
            <w:tcW w:w="749" w:type="pct"/>
          </w:tcPr>
          <w:p w14:paraId="7C2A6B4D" w14:textId="77777777" w:rsidR="00096A49" w:rsidRPr="00D24270" w:rsidRDefault="00096A49" w:rsidP="00D809A0"/>
        </w:tc>
        <w:tc>
          <w:tcPr>
            <w:tcW w:w="749" w:type="pct"/>
          </w:tcPr>
          <w:p w14:paraId="02635F70" w14:textId="77777777" w:rsidR="00096A49" w:rsidRPr="00D24270" w:rsidRDefault="00096A49" w:rsidP="00D809A0"/>
        </w:tc>
        <w:tc>
          <w:tcPr>
            <w:tcW w:w="751" w:type="pct"/>
          </w:tcPr>
          <w:p w14:paraId="395105E8" w14:textId="77777777" w:rsidR="00096A49" w:rsidRPr="00D24270" w:rsidRDefault="00096A49" w:rsidP="00D809A0"/>
        </w:tc>
      </w:tr>
    </w:tbl>
    <w:p w14:paraId="668917B6" w14:textId="77777777" w:rsidR="004A1008" w:rsidRPr="00F350E6" w:rsidRDefault="004A1008" w:rsidP="004A1008">
      <w:pPr>
        <w:pStyle w:val="Heading2"/>
        <w:numPr>
          <w:ilvl w:val="1"/>
          <w:numId w:val="7"/>
        </w:numPr>
      </w:pPr>
      <w:bookmarkStart w:id="89" w:name="_Toc51783642"/>
      <w:bookmarkStart w:id="90" w:name="_Toc51783610"/>
      <w:bookmarkStart w:id="91" w:name="_Toc52364549"/>
      <w:r>
        <w:lastRenderedPageBreak/>
        <w:t>HSE Repex policy Re-opener (REPt)</w:t>
      </w:r>
      <w:bookmarkEnd w:id="89"/>
      <w:bookmarkEnd w:id="91"/>
    </w:p>
    <w:p w14:paraId="345F9794" w14:textId="77777777" w:rsidR="004A1008" w:rsidRPr="00F350E6" w:rsidRDefault="004A1008" w:rsidP="004A1008">
      <w:pPr>
        <w:pStyle w:val="Heading3nonumbering"/>
      </w:pPr>
      <w:r w:rsidRPr="00F350E6">
        <w:t xml:space="preserve">Introduction </w:t>
      </w:r>
    </w:p>
    <w:p w14:paraId="5246E946" w14:textId="77777777" w:rsidR="004A1008" w:rsidRPr="00F350E6" w:rsidRDefault="004A1008" w:rsidP="004A1008">
      <w:pPr>
        <w:pStyle w:val="NumberedNormal"/>
        <w:numPr>
          <w:ilvl w:val="2"/>
          <w:numId w:val="7"/>
        </w:numPr>
      </w:pPr>
      <w:r>
        <w:t>The purpose of this condition is to calculate the term REP</w:t>
      </w:r>
      <w:r w:rsidRPr="004B52CE">
        <w:rPr>
          <w:vertAlign w:val="subscript"/>
        </w:rPr>
        <w:t>t</w:t>
      </w:r>
      <w:r>
        <w:t xml:space="preserve"> (the HSE Repex policy Re-opener term). This contributes to calculation of the Totex Allowance.</w:t>
      </w:r>
    </w:p>
    <w:p w14:paraId="056FFA79" w14:textId="77777777" w:rsidR="004A1008" w:rsidRPr="00F350E6" w:rsidRDefault="004A1008" w:rsidP="004A1008">
      <w:pPr>
        <w:pStyle w:val="NumberedNormal"/>
        <w:numPr>
          <w:ilvl w:val="2"/>
          <w:numId w:val="7"/>
        </w:numPr>
      </w:pPr>
      <w:r>
        <w:t xml:space="preserve">The effect of this condition is to establish a Re-opener triggered by either the licensee or the Authority where there have been specified changes to the costs of delivering the licensee's Iron Mains Risk Reduction Programme. </w:t>
      </w:r>
    </w:p>
    <w:p w14:paraId="33E8B7D8" w14:textId="77777777" w:rsidR="004A1008" w:rsidRPr="00F350E6" w:rsidRDefault="004A1008" w:rsidP="004A1008">
      <w:pPr>
        <w:pStyle w:val="NumberedNormal"/>
        <w:numPr>
          <w:ilvl w:val="2"/>
          <w:numId w:val="7"/>
        </w:numPr>
      </w:pPr>
      <w:r>
        <w:t>This condition also explains the process that the Authority will follow when directing any changes as a result of the Re-opener.</w:t>
      </w:r>
    </w:p>
    <w:p w14:paraId="01E1A2AE" w14:textId="77777777" w:rsidR="004A1008" w:rsidRPr="00F350E6" w:rsidRDefault="004A1008" w:rsidP="004A1008">
      <w:pPr>
        <w:pStyle w:val="Heading3"/>
        <w:numPr>
          <w:ilvl w:val="5"/>
          <w:numId w:val="7"/>
        </w:numPr>
      </w:pPr>
      <w:r>
        <w:t>What costs are within scope of this Re-opener?</w:t>
      </w:r>
    </w:p>
    <w:p w14:paraId="482A8C15" w14:textId="77777777" w:rsidR="004A1008" w:rsidRPr="00F350E6" w:rsidRDefault="004A1008" w:rsidP="004A1008">
      <w:pPr>
        <w:pStyle w:val="NumberedNormal"/>
        <w:numPr>
          <w:ilvl w:val="2"/>
          <w:numId w:val="7"/>
        </w:numPr>
      </w:pPr>
      <w:r>
        <w:t>The licensee may apply to the Authority for a direction adjusting the value of REP</w:t>
      </w:r>
      <w:r w:rsidRPr="004B52CE">
        <w:rPr>
          <w:vertAlign w:val="subscript"/>
        </w:rPr>
        <w:t>t</w:t>
      </w:r>
      <w:r>
        <w:t xml:space="preserve"> term or the [repex PCDs] for any Regulatory Year during the Price Control Period where there are changes to a Repex Related HSE Policy Area that will materially impact the cost of delivering the licensee's Iron Mains Risk Reduction Programme.</w:t>
      </w:r>
    </w:p>
    <w:p w14:paraId="234CD52E" w14:textId="77777777" w:rsidR="004A1008" w:rsidRPr="00F350E6" w:rsidRDefault="004A1008" w:rsidP="004A1008">
      <w:pPr>
        <w:pStyle w:val="Heading3"/>
        <w:numPr>
          <w:ilvl w:val="5"/>
          <w:numId w:val="7"/>
        </w:numPr>
      </w:pPr>
      <w:r>
        <w:t>When to make an application</w:t>
      </w:r>
    </w:p>
    <w:p w14:paraId="559AFE22" w14:textId="070E4F37" w:rsidR="004A1008" w:rsidRPr="00F350E6" w:rsidRDefault="004A1008" w:rsidP="004A1008">
      <w:pPr>
        <w:pStyle w:val="NumberedNormal"/>
        <w:numPr>
          <w:ilvl w:val="2"/>
          <w:numId w:val="7"/>
        </w:numPr>
      </w:pPr>
      <w:r>
        <w:t>The licensee may only apply to the Authority for an adjustment under paragraph 3.1</w:t>
      </w:r>
      <w:r w:rsidR="005C07FC">
        <w:t>5</w:t>
      </w:r>
      <w:r>
        <w:t>.4:</w:t>
      </w:r>
    </w:p>
    <w:p w14:paraId="36142F93" w14:textId="77777777" w:rsidR="004A1008" w:rsidRPr="00F350E6" w:rsidRDefault="004A1008" w:rsidP="004A1008">
      <w:pPr>
        <w:pStyle w:val="ListNormal"/>
        <w:numPr>
          <w:ilvl w:val="3"/>
          <w:numId w:val="7"/>
        </w:numPr>
      </w:pPr>
      <w:r>
        <w:t>Between 25 January 2022 and 31 January 2022;</w:t>
      </w:r>
    </w:p>
    <w:p w14:paraId="3F71F058" w14:textId="77777777" w:rsidR="004A1008" w:rsidRPr="00F350E6" w:rsidRDefault="004A1008" w:rsidP="004A1008">
      <w:pPr>
        <w:pStyle w:val="ListNormal"/>
        <w:numPr>
          <w:ilvl w:val="3"/>
          <w:numId w:val="7"/>
        </w:numPr>
      </w:pPr>
      <w:r>
        <w:t>Between 25 January 2023 and 31 January 2023;</w:t>
      </w:r>
    </w:p>
    <w:p w14:paraId="111E46EC" w14:textId="77777777" w:rsidR="004A1008" w:rsidRDefault="004A1008" w:rsidP="004A1008">
      <w:pPr>
        <w:pStyle w:val="ListNormal"/>
        <w:numPr>
          <w:ilvl w:val="3"/>
          <w:numId w:val="7"/>
        </w:numPr>
      </w:pPr>
      <w:r>
        <w:t>Between 25 January 2024 and 31 January 2024; or</w:t>
      </w:r>
    </w:p>
    <w:p w14:paraId="5193953D" w14:textId="77777777" w:rsidR="004A1008" w:rsidRPr="00F350E6" w:rsidRDefault="004A1008" w:rsidP="004A1008">
      <w:pPr>
        <w:pStyle w:val="ListNormal"/>
        <w:numPr>
          <w:ilvl w:val="3"/>
          <w:numId w:val="7"/>
        </w:numPr>
      </w:pPr>
      <w:r>
        <w:t>during such later periods as the Authority may direct.</w:t>
      </w:r>
    </w:p>
    <w:p w14:paraId="25D12645" w14:textId="77777777" w:rsidR="004A1008" w:rsidRPr="00F350E6" w:rsidRDefault="004A1008" w:rsidP="004A1008">
      <w:pPr>
        <w:pStyle w:val="Heading3"/>
        <w:numPr>
          <w:ilvl w:val="5"/>
          <w:numId w:val="7"/>
        </w:numPr>
      </w:pPr>
      <w:r>
        <w:t>How to make an application</w:t>
      </w:r>
    </w:p>
    <w:p w14:paraId="63B5E820" w14:textId="476EE75E" w:rsidR="004A1008" w:rsidRPr="00F350E6" w:rsidRDefault="004A1008" w:rsidP="004A1008">
      <w:pPr>
        <w:pStyle w:val="NumberedNormal"/>
        <w:numPr>
          <w:ilvl w:val="2"/>
          <w:numId w:val="7"/>
        </w:numPr>
      </w:pPr>
      <w:r>
        <w:t>An application under paragraph 3.1</w:t>
      </w:r>
      <w:r w:rsidR="00C344F8">
        <w:t>5</w:t>
      </w:r>
      <w:r>
        <w:t>.4 must be made in writing to the Authority and:</w:t>
      </w:r>
    </w:p>
    <w:p w14:paraId="54970344" w14:textId="77777777" w:rsidR="004A1008" w:rsidRPr="00F350E6" w:rsidRDefault="004A1008" w:rsidP="004A1008">
      <w:pPr>
        <w:pStyle w:val="ListNormal"/>
        <w:numPr>
          <w:ilvl w:val="3"/>
          <w:numId w:val="7"/>
        </w:numPr>
      </w:pPr>
      <w:r>
        <w:t>specify the Repex Related HSE Policy Areas changes to which the application relates;</w:t>
      </w:r>
    </w:p>
    <w:p w14:paraId="40653A45" w14:textId="77777777" w:rsidR="004A1008" w:rsidRPr="00F350E6" w:rsidRDefault="004A1008" w:rsidP="004A1008">
      <w:pPr>
        <w:pStyle w:val="ListNormal"/>
        <w:numPr>
          <w:ilvl w:val="3"/>
          <w:numId w:val="7"/>
        </w:numPr>
      </w:pPr>
      <w:r>
        <w:t>set out any changes to the [repex PCDs] that the licensee is requesting;</w:t>
      </w:r>
    </w:p>
    <w:p w14:paraId="0679387F" w14:textId="77777777" w:rsidR="004A1008" w:rsidRPr="00F350E6" w:rsidRDefault="004A1008" w:rsidP="004A1008">
      <w:pPr>
        <w:pStyle w:val="ListNormal"/>
        <w:numPr>
          <w:ilvl w:val="3"/>
          <w:numId w:val="7"/>
        </w:numPr>
      </w:pPr>
      <w:r>
        <w:t>set out the adjustments to the value of the REP</w:t>
      </w:r>
      <w:r w:rsidRPr="004B52CE">
        <w:rPr>
          <w:vertAlign w:val="subscript"/>
        </w:rPr>
        <w:t>t</w:t>
      </w:r>
      <w:r>
        <w:t xml:space="preserve"> term that the licensee is requesting, and the Regulatory Years to which those adjustments relate; </w:t>
      </w:r>
    </w:p>
    <w:p w14:paraId="737901ED" w14:textId="77777777" w:rsidR="004A1008" w:rsidRPr="00F350E6" w:rsidRDefault="004A1008" w:rsidP="004A1008">
      <w:pPr>
        <w:pStyle w:val="ListNormal"/>
        <w:numPr>
          <w:ilvl w:val="3"/>
          <w:numId w:val="7"/>
        </w:numPr>
      </w:pPr>
      <w:r>
        <w:t>explain the basis of the calculation for the proposed adjustments to the REP</w:t>
      </w:r>
      <w:r w:rsidRPr="004B52CE">
        <w:rPr>
          <w:vertAlign w:val="subscript"/>
        </w:rPr>
        <w:t>t</w:t>
      </w:r>
      <w:r>
        <w:t xml:space="preserve"> term; and  </w:t>
      </w:r>
    </w:p>
    <w:p w14:paraId="044BDE3B" w14:textId="77777777" w:rsidR="004A1008" w:rsidRPr="00F350E6" w:rsidRDefault="004A1008" w:rsidP="004A1008">
      <w:pPr>
        <w:pStyle w:val="ListNormal"/>
        <w:numPr>
          <w:ilvl w:val="3"/>
          <w:numId w:val="7"/>
        </w:numPr>
      </w:pPr>
      <w:r>
        <w:t>include such detailed supporting evidence, including cost benefit analysis, impact assessments and engineering justification statements, as is reasonable in the circumstances.</w:t>
      </w:r>
    </w:p>
    <w:p w14:paraId="6D993E18" w14:textId="77777777" w:rsidR="004A1008" w:rsidRPr="00F350E6" w:rsidRDefault="004A1008" w:rsidP="004A1008">
      <w:pPr>
        <w:pStyle w:val="NumberedNormal"/>
        <w:numPr>
          <w:ilvl w:val="2"/>
          <w:numId w:val="7"/>
        </w:numPr>
      </w:pPr>
      <w:r>
        <w:t>An application must:</w:t>
      </w:r>
    </w:p>
    <w:p w14:paraId="2AF0158F" w14:textId="77777777" w:rsidR="004A1008" w:rsidRPr="00F350E6" w:rsidRDefault="004A1008" w:rsidP="004A1008">
      <w:pPr>
        <w:pStyle w:val="ListNormal"/>
        <w:numPr>
          <w:ilvl w:val="3"/>
          <w:numId w:val="7"/>
        </w:numPr>
      </w:pPr>
      <w:r>
        <w:lastRenderedPageBreak/>
        <w:t>relate to changes to a Repex Related HSE Policy Area that occur Between 1 April 2020 and 31 March 2024;</w:t>
      </w:r>
    </w:p>
    <w:p w14:paraId="5777C5B8" w14:textId="77777777" w:rsidR="004A1008" w:rsidRPr="00F350E6" w:rsidRDefault="004A1008" w:rsidP="004A1008">
      <w:pPr>
        <w:pStyle w:val="ListNormal"/>
        <w:numPr>
          <w:ilvl w:val="3"/>
          <w:numId w:val="7"/>
        </w:numPr>
      </w:pPr>
      <w:r>
        <w:t>take account of any allowed expenditure, which can be avoided as a result of the changes;</w:t>
      </w:r>
    </w:p>
    <w:p w14:paraId="28E91B95" w14:textId="77777777" w:rsidR="004A1008" w:rsidRDefault="004A1008" w:rsidP="004A1008">
      <w:pPr>
        <w:pStyle w:val="ListNormal"/>
        <w:numPr>
          <w:ilvl w:val="3"/>
          <w:numId w:val="7"/>
        </w:numPr>
      </w:pPr>
      <w:r>
        <w:t>be confined to costs incurred or expected to be incurred that exceed the materiality threshold set out in Appendix 1; and</w:t>
      </w:r>
    </w:p>
    <w:p w14:paraId="11D3E0A6" w14:textId="77777777" w:rsidR="004A1008" w:rsidRPr="00F350E6" w:rsidRDefault="004A1008" w:rsidP="004A1008">
      <w:pPr>
        <w:pStyle w:val="ListNormal"/>
        <w:numPr>
          <w:ilvl w:val="3"/>
          <w:numId w:val="7"/>
        </w:numPr>
      </w:pPr>
      <w:r>
        <w:t xml:space="preserve">relate to costs incurred or expected to be incurred on or after 1 April 2021.  </w:t>
      </w:r>
    </w:p>
    <w:p w14:paraId="085DF8A8" w14:textId="77777777" w:rsidR="004A1008" w:rsidRPr="00F350E6" w:rsidRDefault="004A1008" w:rsidP="004A1008">
      <w:pPr>
        <w:pStyle w:val="Heading3"/>
        <w:numPr>
          <w:ilvl w:val="5"/>
          <w:numId w:val="7"/>
        </w:numPr>
      </w:pPr>
      <w:r>
        <w:t>Authority triggered re-opener</w:t>
      </w:r>
    </w:p>
    <w:p w14:paraId="1818E8ED" w14:textId="77777777" w:rsidR="004A1008" w:rsidRPr="00F350E6" w:rsidRDefault="004A1008" w:rsidP="004A1008">
      <w:pPr>
        <w:pStyle w:val="NumberedNormal"/>
        <w:numPr>
          <w:ilvl w:val="2"/>
          <w:numId w:val="7"/>
        </w:numPr>
      </w:pPr>
      <w:r>
        <w:t>The Authority will also consider directing an adjustment to the value of the REP</w:t>
      </w:r>
      <w:r w:rsidRPr="004B52CE">
        <w:rPr>
          <w:vertAlign w:val="subscript"/>
        </w:rPr>
        <w:t>t</w:t>
      </w:r>
      <w:r>
        <w:t xml:space="preserve"> term or the [repex PCDs] where it considers that there have been changes to any Repex Related HSE Policy Area or the licensee's Approved Programme that materially impact the cost of  the licensee delivering its Iron Mains Risk Reduction Programme that:</w:t>
      </w:r>
    </w:p>
    <w:p w14:paraId="0EAC7FCD" w14:textId="77777777" w:rsidR="004A1008" w:rsidRPr="00F350E6" w:rsidRDefault="004A1008" w:rsidP="004A1008">
      <w:pPr>
        <w:pStyle w:val="ListNormal"/>
        <w:numPr>
          <w:ilvl w:val="3"/>
          <w:numId w:val="7"/>
        </w:numPr>
      </w:pPr>
      <w:r>
        <w:t>have come into effect Between 1 April 2020 and 31 March 2024;</w:t>
      </w:r>
    </w:p>
    <w:p w14:paraId="0AAF9BB1" w14:textId="77777777" w:rsidR="004A1008" w:rsidRPr="00F350E6" w:rsidRDefault="004A1008" w:rsidP="004A1008">
      <w:pPr>
        <w:pStyle w:val="ListNormal"/>
        <w:numPr>
          <w:ilvl w:val="3"/>
          <w:numId w:val="7"/>
        </w:numPr>
      </w:pPr>
      <w:r>
        <w:t>relate to changes to costs incurred or expected to be incurred that exceed the materiality threshold in Appendix 1; and</w:t>
      </w:r>
    </w:p>
    <w:p w14:paraId="0DF47BF8" w14:textId="77777777" w:rsidR="004A1008" w:rsidRPr="00F350E6" w:rsidRDefault="004A1008" w:rsidP="004A1008">
      <w:pPr>
        <w:pStyle w:val="ListNormal"/>
        <w:numPr>
          <w:ilvl w:val="3"/>
          <w:numId w:val="7"/>
        </w:numPr>
      </w:pPr>
      <w:r>
        <w:t>relate to changes to costs incurred or expected to be incurred on or after 1 April 2021</w:t>
      </w:r>
    </w:p>
    <w:p w14:paraId="77448214" w14:textId="77777777" w:rsidR="004A1008" w:rsidRPr="00F350E6" w:rsidRDefault="004A1008" w:rsidP="004A1008">
      <w:pPr>
        <w:pStyle w:val="Heading3"/>
        <w:numPr>
          <w:ilvl w:val="5"/>
          <w:numId w:val="7"/>
        </w:numPr>
      </w:pPr>
      <w:r>
        <w:t>What process will the Authority in making a direction?</w:t>
      </w:r>
    </w:p>
    <w:p w14:paraId="1A3F20D2" w14:textId="3D810FD5" w:rsidR="004A1008" w:rsidRPr="00F350E6" w:rsidRDefault="004A1008" w:rsidP="004A1008">
      <w:pPr>
        <w:pStyle w:val="NumberedNormal"/>
        <w:numPr>
          <w:ilvl w:val="2"/>
          <w:numId w:val="7"/>
        </w:numPr>
      </w:pPr>
      <w:r>
        <w:t>Before making a direction under paragraph 3.1</w:t>
      </w:r>
      <w:r w:rsidR="00C344F8">
        <w:t>5</w:t>
      </w:r>
      <w:r>
        <w:t>.3 or 3.1</w:t>
      </w:r>
      <w:r w:rsidR="00C344F8">
        <w:t>5</w:t>
      </w:r>
      <w:r>
        <w:t>.8, the Authority will publish on the Authority's Website:</w:t>
      </w:r>
    </w:p>
    <w:p w14:paraId="02DACCF8" w14:textId="77777777" w:rsidR="004A1008" w:rsidRPr="00F350E6" w:rsidRDefault="004A1008" w:rsidP="004A1008">
      <w:pPr>
        <w:pStyle w:val="ListNormal"/>
        <w:numPr>
          <w:ilvl w:val="3"/>
          <w:numId w:val="7"/>
        </w:numPr>
      </w:pPr>
      <w:r>
        <w:t>the text of the proposed direction;</w:t>
      </w:r>
    </w:p>
    <w:p w14:paraId="1EF5EDCF" w14:textId="77777777" w:rsidR="004A1008" w:rsidRPr="00F350E6" w:rsidRDefault="004A1008" w:rsidP="004A1008">
      <w:pPr>
        <w:pStyle w:val="ListNormal"/>
        <w:numPr>
          <w:ilvl w:val="3"/>
          <w:numId w:val="7"/>
        </w:numPr>
      </w:pPr>
      <w:r>
        <w:t>the reasons for the proposed direction;</w:t>
      </w:r>
    </w:p>
    <w:p w14:paraId="5BB0DC04" w14:textId="77777777" w:rsidR="004A1008" w:rsidRPr="00F350E6" w:rsidRDefault="004A1008" w:rsidP="004A1008">
      <w:pPr>
        <w:pStyle w:val="ListNormal"/>
        <w:numPr>
          <w:ilvl w:val="3"/>
          <w:numId w:val="7"/>
        </w:numPr>
      </w:pPr>
      <w:r>
        <w:t>a period during which representations may be made on the proposed direction, which will not be less than 28 days.</w:t>
      </w:r>
    </w:p>
    <w:p w14:paraId="2AF570AD" w14:textId="77777777" w:rsidR="004A1008" w:rsidRPr="00F350E6" w:rsidRDefault="004A1008" w:rsidP="004A1008">
      <w:pPr>
        <w:pStyle w:val="NumberedNormal"/>
        <w:numPr>
          <w:ilvl w:val="2"/>
          <w:numId w:val="7"/>
        </w:numPr>
      </w:pPr>
      <w:r>
        <w:t>The direction will set out:</w:t>
      </w:r>
    </w:p>
    <w:p w14:paraId="24F073EB" w14:textId="77777777" w:rsidR="004A1008" w:rsidRPr="00F350E6" w:rsidRDefault="004A1008" w:rsidP="004A1008">
      <w:pPr>
        <w:pStyle w:val="ListNormal"/>
        <w:numPr>
          <w:ilvl w:val="3"/>
          <w:numId w:val="7"/>
        </w:numPr>
      </w:pPr>
      <w:r>
        <w:t>any amendments to the [repex PCDs]; and</w:t>
      </w:r>
    </w:p>
    <w:p w14:paraId="379BB465" w14:textId="77777777" w:rsidR="004A1008" w:rsidRPr="00F350E6" w:rsidRDefault="004A1008" w:rsidP="004A1008">
      <w:pPr>
        <w:pStyle w:val="ListNormal"/>
        <w:numPr>
          <w:ilvl w:val="3"/>
          <w:numId w:val="7"/>
        </w:numPr>
      </w:pPr>
      <w:r>
        <w:t>any adjustments to the value of the REP</w:t>
      </w:r>
      <w:r w:rsidRPr="004B52CE">
        <w:rPr>
          <w:vertAlign w:val="subscript"/>
        </w:rPr>
        <w:t>t</w:t>
      </w:r>
      <w:r>
        <w:t xml:space="preserve"> term and the Regulatory Years to which those adjustments relate.</w:t>
      </w:r>
    </w:p>
    <w:p w14:paraId="6B645F1B" w14:textId="77777777" w:rsidR="004A1008" w:rsidRPr="00C80989" w:rsidRDefault="004A1008" w:rsidP="004A1008">
      <w:pPr>
        <w:pStyle w:val="AppendixHeading"/>
      </w:pPr>
    </w:p>
    <w:p w14:paraId="04A1758A" w14:textId="77777777" w:rsidR="004A1008" w:rsidRPr="004B52CE" w:rsidRDefault="004A1008" w:rsidP="004A1008">
      <w:pPr>
        <w:pStyle w:val="Caption"/>
      </w:pPr>
      <w:r w:rsidRPr="004B52CE">
        <w:t>Materiality Threshold</w:t>
      </w:r>
    </w:p>
    <w:tbl>
      <w:tblPr>
        <w:tblStyle w:val="AppendixTable"/>
        <w:tblW w:w="5000" w:type="pct"/>
        <w:tblLook w:val="04A0" w:firstRow="1" w:lastRow="0" w:firstColumn="1" w:lastColumn="0" w:noHBand="0" w:noVBand="1"/>
      </w:tblPr>
      <w:tblGrid>
        <w:gridCol w:w="4513"/>
        <w:gridCol w:w="4513"/>
      </w:tblGrid>
      <w:tr w:rsidR="004A1008" w:rsidRPr="00DE541A" w14:paraId="3574439C" w14:textId="77777777" w:rsidTr="004A1008">
        <w:trPr>
          <w:cnfStyle w:val="100000000000" w:firstRow="1" w:lastRow="0" w:firstColumn="0" w:lastColumn="0" w:oddVBand="0" w:evenVBand="0" w:oddHBand="0" w:evenHBand="0" w:firstRowFirstColumn="0" w:firstRowLastColumn="0" w:lastRowFirstColumn="0" w:lastRowLastColumn="0"/>
          <w:trHeight w:val="305"/>
        </w:trPr>
        <w:tc>
          <w:tcPr>
            <w:tcW w:w="2500" w:type="pct"/>
          </w:tcPr>
          <w:p w14:paraId="4126E3CF" w14:textId="77777777" w:rsidR="004A1008" w:rsidRPr="00C80989" w:rsidRDefault="004A1008" w:rsidP="004A1008">
            <w:r w:rsidRPr="00C80989">
              <w:t>Licensee</w:t>
            </w:r>
          </w:p>
        </w:tc>
        <w:tc>
          <w:tcPr>
            <w:tcW w:w="2500" w:type="pct"/>
          </w:tcPr>
          <w:p w14:paraId="0BFE4A47" w14:textId="77777777" w:rsidR="004A1008" w:rsidRPr="00C80989" w:rsidRDefault="004A1008" w:rsidP="004A1008">
            <w:r w:rsidRPr="00C80989">
              <w:t xml:space="preserve">Materiality threshold </w:t>
            </w:r>
          </w:p>
        </w:tc>
      </w:tr>
      <w:tr w:rsidR="004A1008" w:rsidRPr="00D5104D" w14:paraId="65327DED" w14:textId="77777777" w:rsidTr="004A1008">
        <w:trPr>
          <w:trHeight w:val="321"/>
        </w:trPr>
        <w:tc>
          <w:tcPr>
            <w:tcW w:w="2500" w:type="pct"/>
          </w:tcPr>
          <w:p w14:paraId="48528BE4" w14:textId="77777777" w:rsidR="004A1008" w:rsidRPr="00C80989" w:rsidRDefault="004A1008" w:rsidP="004A1008">
            <w:r w:rsidRPr="00C80989">
              <w:t>Northern Gas Networks Limited</w:t>
            </w:r>
          </w:p>
        </w:tc>
        <w:tc>
          <w:tcPr>
            <w:tcW w:w="2500" w:type="pct"/>
          </w:tcPr>
          <w:p w14:paraId="21CD89F7" w14:textId="77777777" w:rsidR="004A1008" w:rsidRPr="00C80989" w:rsidRDefault="004A1008" w:rsidP="004A1008"/>
        </w:tc>
      </w:tr>
      <w:tr w:rsidR="004A1008" w:rsidRPr="00D5104D" w14:paraId="68BD454C" w14:textId="77777777" w:rsidTr="004A1008">
        <w:trPr>
          <w:trHeight w:val="321"/>
        </w:trPr>
        <w:tc>
          <w:tcPr>
            <w:tcW w:w="2500" w:type="pct"/>
          </w:tcPr>
          <w:p w14:paraId="5D15EBF3" w14:textId="77777777" w:rsidR="004A1008" w:rsidRPr="00C80989" w:rsidRDefault="004A1008" w:rsidP="004A1008">
            <w:r w:rsidRPr="00C80989">
              <w:t>Scotland Gas Networks Plc</w:t>
            </w:r>
          </w:p>
        </w:tc>
        <w:tc>
          <w:tcPr>
            <w:tcW w:w="2500" w:type="pct"/>
          </w:tcPr>
          <w:p w14:paraId="2D09B6F9" w14:textId="77777777" w:rsidR="004A1008" w:rsidRPr="00C80989" w:rsidRDefault="004A1008" w:rsidP="004A1008"/>
        </w:tc>
      </w:tr>
      <w:tr w:rsidR="004A1008" w:rsidRPr="00D5104D" w14:paraId="65127CF9" w14:textId="77777777" w:rsidTr="004A1008">
        <w:trPr>
          <w:trHeight w:val="321"/>
        </w:trPr>
        <w:tc>
          <w:tcPr>
            <w:tcW w:w="2500" w:type="pct"/>
          </w:tcPr>
          <w:p w14:paraId="40186274" w14:textId="77777777" w:rsidR="004A1008" w:rsidRPr="00C80989" w:rsidRDefault="004A1008" w:rsidP="004A1008">
            <w:r w:rsidRPr="00C80989">
              <w:t>Southern Gas Networks Plc</w:t>
            </w:r>
          </w:p>
        </w:tc>
        <w:tc>
          <w:tcPr>
            <w:tcW w:w="2500" w:type="pct"/>
          </w:tcPr>
          <w:p w14:paraId="0285E0EC" w14:textId="77777777" w:rsidR="004A1008" w:rsidRPr="00C80989" w:rsidRDefault="004A1008" w:rsidP="004A1008"/>
        </w:tc>
      </w:tr>
      <w:tr w:rsidR="004A1008" w:rsidRPr="00D5104D" w14:paraId="18BD49CA" w14:textId="77777777" w:rsidTr="004A1008">
        <w:trPr>
          <w:trHeight w:val="321"/>
        </w:trPr>
        <w:tc>
          <w:tcPr>
            <w:tcW w:w="2500" w:type="pct"/>
          </w:tcPr>
          <w:p w14:paraId="115141FE" w14:textId="77777777" w:rsidR="004A1008" w:rsidRPr="00C80989" w:rsidRDefault="004A1008" w:rsidP="004A1008">
            <w:r w:rsidRPr="00C80989">
              <w:lastRenderedPageBreak/>
              <w:t>Wales &amp; West Utilities Limited</w:t>
            </w:r>
          </w:p>
        </w:tc>
        <w:tc>
          <w:tcPr>
            <w:tcW w:w="2500" w:type="pct"/>
          </w:tcPr>
          <w:p w14:paraId="755D561B" w14:textId="77777777" w:rsidR="004A1008" w:rsidRPr="00C80989" w:rsidRDefault="004A1008" w:rsidP="004A1008"/>
        </w:tc>
      </w:tr>
      <w:tr w:rsidR="004A1008" w:rsidRPr="00D5104D" w14:paraId="4E46150D" w14:textId="77777777" w:rsidTr="004A1008">
        <w:trPr>
          <w:trHeight w:val="321"/>
        </w:trPr>
        <w:tc>
          <w:tcPr>
            <w:tcW w:w="2500" w:type="pct"/>
          </w:tcPr>
          <w:p w14:paraId="30C48727" w14:textId="77777777" w:rsidR="004A1008" w:rsidRPr="00C80989" w:rsidRDefault="004A1008" w:rsidP="004A1008">
            <w:r w:rsidRPr="00C80989">
              <w:t>Cadent Limited</w:t>
            </w:r>
          </w:p>
        </w:tc>
        <w:tc>
          <w:tcPr>
            <w:tcW w:w="2500" w:type="pct"/>
          </w:tcPr>
          <w:p w14:paraId="7E81A28E" w14:textId="77777777" w:rsidR="004A1008" w:rsidRPr="00C80989" w:rsidRDefault="004A1008" w:rsidP="004A1008"/>
        </w:tc>
      </w:tr>
    </w:tbl>
    <w:p w14:paraId="464002D3" w14:textId="77777777" w:rsidR="00A17ECC" w:rsidRPr="00C62540" w:rsidRDefault="00A17ECC" w:rsidP="00A17ECC">
      <w:pPr>
        <w:pStyle w:val="Heading2"/>
        <w:numPr>
          <w:ilvl w:val="1"/>
          <w:numId w:val="7"/>
        </w:numPr>
      </w:pPr>
      <w:bookmarkStart w:id="92" w:name="_Toc51783644"/>
      <w:bookmarkStart w:id="93" w:name="_Toc52364550"/>
      <w:r>
        <w:t>Tier 1 Stubs Repex Policy Re-opener (STUB</w:t>
      </w:r>
      <w:r w:rsidRPr="004B52CE">
        <w:rPr>
          <w:vertAlign w:val="subscript"/>
        </w:rPr>
        <w:t>t</w:t>
      </w:r>
      <w:r>
        <w:t>)</w:t>
      </w:r>
      <w:bookmarkEnd w:id="92"/>
      <w:bookmarkEnd w:id="93"/>
    </w:p>
    <w:p w14:paraId="20B92621" w14:textId="77777777" w:rsidR="00A17ECC" w:rsidRPr="00C62540" w:rsidRDefault="00A17ECC" w:rsidP="00A17ECC">
      <w:pPr>
        <w:pStyle w:val="Heading3nonumbering"/>
      </w:pPr>
      <w:r w:rsidRPr="00C62540">
        <w:t xml:space="preserve">Introduction </w:t>
      </w:r>
    </w:p>
    <w:p w14:paraId="79F892C8" w14:textId="77777777" w:rsidR="00A17ECC" w:rsidRPr="00C62540" w:rsidRDefault="00A17ECC" w:rsidP="00A17ECC">
      <w:pPr>
        <w:pStyle w:val="NumberedNormal"/>
        <w:numPr>
          <w:ilvl w:val="2"/>
          <w:numId w:val="7"/>
        </w:numPr>
      </w:pPr>
      <w:r>
        <w:t>The purpose of this condition is to calculate the term STUB</w:t>
      </w:r>
      <w:r w:rsidRPr="004B52CE">
        <w:rPr>
          <w:vertAlign w:val="subscript"/>
        </w:rPr>
        <w:t>t</w:t>
      </w:r>
      <w:r>
        <w:t xml:space="preserve"> (the Tier 1 Stubs Re-opener term). This contributes to the calculation of the Totex Allowance.</w:t>
      </w:r>
    </w:p>
    <w:p w14:paraId="5023F7D8" w14:textId="77777777" w:rsidR="00A17ECC" w:rsidRPr="00C62540" w:rsidRDefault="00A17ECC" w:rsidP="00A17ECC">
      <w:pPr>
        <w:pStyle w:val="NumberedNormal"/>
        <w:numPr>
          <w:ilvl w:val="2"/>
          <w:numId w:val="7"/>
        </w:numPr>
      </w:pPr>
      <w:r>
        <w:t xml:space="preserve">The effect of this condition is to establish a Re-opener to be triggered by the licensee where the outcome of an HSE Review will impact the cost of delivering licensed activities relating to Tier 1 Stubs. </w:t>
      </w:r>
    </w:p>
    <w:p w14:paraId="0EE7F69C" w14:textId="77777777" w:rsidR="00A17ECC" w:rsidRPr="00C62540" w:rsidRDefault="00A17ECC" w:rsidP="00A17ECC">
      <w:pPr>
        <w:pStyle w:val="NumberedNormal"/>
        <w:numPr>
          <w:ilvl w:val="2"/>
          <w:numId w:val="7"/>
        </w:numPr>
      </w:pPr>
      <w:r>
        <w:t>This condition also explains the process that the Authority will follow when directing any changes as a result of the Re-opener.</w:t>
      </w:r>
    </w:p>
    <w:p w14:paraId="73EC69AE" w14:textId="77777777" w:rsidR="00A17ECC" w:rsidRPr="00C62540" w:rsidRDefault="00A17ECC" w:rsidP="00A17ECC">
      <w:pPr>
        <w:pStyle w:val="Heading3"/>
        <w:numPr>
          <w:ilvl w:val="5"/>
          <w:numId w:val="7"/>
        </w:numPr>
      </w:pPr>
      <w:r>
        <w:t xml:space="preserve">What costs are within the scope of this Re-opener? </w:t>
      </w:r>
    </w:p>
    <w:p w14:paraId="4F9F1C17" w14:textId="77777777" w:rsidR="00A17ECC" w:rsidRPr="00C62540" w:rsidRDefault="00A17ECC" w:rsidP="00A17ECC">
      <w:pPr>
        <w:pStyle w:val="NumberedNormal"/>
        <w:numPr>
          <w:ilvl w:val="2"/>
          <w:numId w:val="7"/>
        </w:numPr>
      </w:pPr>
      <w:r>
        <w:t>The licensee may apply to the Authority for a direction adjusting the value of the STUB</w:t>
      </w:r>
      <w:r w:rsidRPr="004B52CE">
        <w:rPr>
          <w:vertAlign w:val="subscript"/>
        </w:rPr>
        <w:t>t</w:t>
      </w:r>
      <w:r>
        <w:t xml:space="preserve"> term or amending the outputs, delivery dates or allowances in the [repex PCDs] for any Regulatory Year during the Price Control Period where the outcome of an HSE Review will impact the cost of delivering Licensed Activity relating to Tier 1 Stubs.</w:t>
      </w:r>
    </w:p>
    <w:p w14:paraId="26057D24" w14:textId="77777777" w:rsidR="00A17ECC" w:rsidRPr="00C62540" w:rsidRDefault="00A17ECC" w:rsidP="00A17ECC">
      <w:pPr>
        <w:pStyle w:val="Heading3"/>
        <w:numPr>
          <w:ilvl w:val="5"/>
          <w:numId w:val="7"/>
        </w:numPr>
      </w:pPr>
      <w:r>
        <w:t>When to make an application</w:t>
      </w:r>
    </w:p>
    <w:p w14:paraId="3B9E9F4D" w14:textId="0FC7CB2D" w:rsidR="00A17ECC" w:rsidRPr="00C62540" w:rsidRDefault="00A17ECC" w:rsidP="00A17ECC">
      <w:pPr>
        <w:pStyle w:val="NumberedNormal"/>
        <w:numPr>
          <w:ilvl w:val="2"/>
          <w:numId w:val="7"/>
        </w:numPr>
      </w:pPr>
      <w:r>
        <w:t>The licensee must apply to the Authority for an</w:t>
      </w:r>
      <w:r w:rsidR="00C344F8">
        <w:t xml:space="preserve"> adjustment under paragraph 3.16</w:t>
      </w:r>
      <w:r>
        <w:t>.4 Between [25 January 2022 and 31 January 2022] or during such later periods as the Authority may direct.</w:t>
      </w:r>
    </w:p>
    <w:p w14:paraId="4F5222EA" w14:textId="77777777" w:rsidR="00A17ECC" w:rsidRPr="00C62540" w:rsidRDefault="00A17ECC" w:rsidP="00A17ECC">
      <w:pPr>
        <w:pStyle w:val="Heading3"/>
        <w:numPr>
          <w:ilvl w:val="5"/>
          <w:numId w:val="7"/>
        </w:numPr>
      </w:pPr>
      <w:r>
        <w:t>How should an application be made?</w:t>
      </w:r>
    </w:p>
    <w:p w14:paraId="1D1251F6" w14:textId="2BD73650" w:rsidR="00A17ECC" w:rsidRPr="00C62540" w:rsidRDefault="00A17ECC" w:rsidP="00A17ECC">
      <w:pPr>
        <w:pStyle w:val="NumberedNormal"/>
        <w:numPr>
          <w:ilvl w:val="2"/>
          <w:numId w:val="7"/>
        </w:numPr>
      </w:pPr>
      <w:r>
        <w:t>The licensee must prepare and submit an application under paragraph 3.1</w:t>
      </w:r>
      <w:r w:rsidR="00C344F8">
        <w:t>6</w:t>
      </w:r>
      <w:r>
        <w:t>.4, jointly with all other DN Operators impacted by the outcome of an HSE Review.</w:t>
      </w:r>
    </w:p>
    <w:p w14:paraId="62DF13DF" w14:textId="77777777" w:rsidR="00A17ECC" w:rsidRPr="00C62540" w:rsidRDefault="00A17ECC" w:rsidP="00A17ECC">
      <w:pPr>
        <w:pStyle w:val="NumberedNormal"/>
        <w:numPr>
          <w:ilvl w:val="2"/>
          <w:numId w:val="7"/>
        </w:numPr>
      </w:pPr>
      <w:r>
        <w:t>An application must be made in writing to the Authority and must:</w:t>
      </w:r>
    </w:p>
    <w:p w14:paraId="230A331F" w14:textId="77777777" w:rsidR="00A17ECC" w:rsidRPr="00C62540" w:rsidRDefault="00A17ECC" w:rsidP="00A17ECC">
      <w:pPr>
        <w:pStyle w:val="ListNormal"/>
        <w:numPr>
          <w:ilvl w:val="3"/>
          <w:numId w:val="7"/>
        </w:numPr>
      </w:pPr>
      <w:r>
        <w:t>specify the additional costs relating to the classification and definition of Tier 1 Stubs following the HSE Review that have led to the application;</w:t>
      </w:r>
    </w:p>
    <w:p w14:paraId="5957EF52" w14:textId="77777777" w:rsidR="00A17ECC" w:rsidRPr="00C62540" w:rsidRDefault="00A17ECC" w:rsidP="00A17ECC">
      <w:pPr>
        <w:pStyle w:val="ListNormal"/>
        <w:numPr>
          <w:ilvl w:val="3"/>
          <w:numId w:val="7"/>
        </w:numPr>
      </w:pPr>
      <w:r>
        <w:t>set out any changes relating to the classification and definition of Tier 1 Stubs and results presented by the HSE Review to which this application relates;</w:t>
      </w:r>
    </w:p>
    <w:p w14:paraId="1D850C6F" w14:textId="0E49D2FB" w:rsidR="00A17ECC" w:rsidRPr="00C62540" w:rsidRDefault="00A17ECC" w:rsidP="00A17ECC">
      <w:pPr>
        <w:pStyle w:val="ListNormal"/>
        <w:numPr>
          <w:ilvl w:val="3"/>
          <w:numId w:val="7"/>
        </w:numPr>
      </w:pPr>
      <w:r>
        <w:t xml:space="preserve">give justification for the needs case of the proposal and how this </w:t>
      </w:r>
      <w:r w:rsidR="004570A6">
        <w:t xml:space="preserve">needs case </w:t>
      </w:r>
      <w:r>
        <w:t>relates to the HSE Review;</w:t>
      </w:r>
    </w:p>
    <w:p w14:paraId="143ACA87" w14:textId="77777777" w:rsidR="00A17ECC" w:rsidRPr="00C62540" w:rsidRDefault="00A17ECC" w:rsidP="00A17ECC">
      <w:pPr>
        <w:pStyle w:val="ListNormal"/>
        <w:numPr>
          <w:ilvl w:val="3"/>
          <w:numId w:val="7"/>
        </w:numPr>
      </w:pPr>
      <w:r>
        <w:t>set out a consistent view by all DN Operators on how to define and classify Tier 1 Stubs;</w:t>
      </w:r>
    </w:p>
    <w:p w14:paraId="2E786C78" w14:textId="77777777" w:rsidR="00A17ECC" w:rsidRPr="00C62540" w:rsidRDefault="00A17ECC" w:rsidP="00A17ECC">
      <w:pPr>
        <w:pStyle w:val="ListNormal"/>
        <w:numPr>
          <w:ilvl w:val="3"/>
          <w:numId w:val="7"/>
        </w:numPr>
      </w:pPr>
      <w:r>
        <w:t>set out a consistent view by all DN Operators on how risk associated with Tier 1 Stubs must be assessed;</w:t>
      </w:r>
    </w:p>
    <w:p w14:paraId="5CE5FFC0" w14:textId="11776179" w:rsidR="00A17ECC" w:rsidRPr="00C62540" w:rsidRDefault="00A17ECC" w:rsidP="00A17ECC">
      <w:pPr>
        <w:pStyle w:val="ListNormal"/>
        <w:numPr>
          <w:ilvl w:val="3"/>
          <w:numId w:val="7"/>
        </w:numPr>
      </w:pPr>
      <w:r>
        <w:lastRenderedPageBreak/>
        <w:t xml:space="preserve">set out an approach agreed by all DN Operators to determine the volumes of Tier 1 Stubs in each </w:t>
      </w:r>
      <w:r w:rsidR="0039591B">
        <w:t>L</w:t>
      </w:r>
      <w:r>
        <w:t xml:space="preserve">icensee </w:t>
      </w:r>
      <w:r w:rsidR="0039591B">
        <w:t>Asset R</w:t>
      </w:r>
      <w:r>
        <w:t>egister;</w:t>
      </w:r>
    </w:p>
    <w:p w14:paraId="7E913F83" w14:textId="77777777" w:rsidR="00A17ECC" w:rsidRPr="00C62540" w:rsidRDefault="00A17ECC" w:rsidP="00A17ECC">
      <w:pPr>
        <w:pStyle w:val="ListNormal"/>
        <w:numPr>
          <w:ilvl w:val="3"/>
          <w:numId w:val="7"/>
        </w:numPr>
      </w:pPr>
      <w:r>
        <w:t>give engineering and cost justifications for the set of technical solutions for replacing Tier 1 Stubs;</w:t>
      </w:r>
    </w:p>
    <w:p w14:paraId="253E91D5" w14:textId="77777777" w:rsidR="00A17ECC" w:rsidRPr="00C62540" w:rsidRDefault="00A17ECC" w:rsidP="00A17ECC">
      <w:pPr>
        <w:pStyle w:val="ListNormal"/>
        <w:numPr>
          <w:ilvl w:val="3"/>
          <w:numId w:val="7"/>
        </w:numPr>
      </w:pPr>
      <w:r>
        <w:t>provide detailed cost estimates for replacing the volumes included in the application supported by market assessment and cost scoping of materials, labour and equipment;</w:t>
      </w:r>
    </w:p>
    <w:p w14:paraId="6C6D5AFD" w14:textId="77777777" w:rsidR="00A17ECC" w:rsidRPr="00C62540" w:rsidRDefault="00A17ECC" w:rsidP="00A17ECC">
      <w:pPr>
        <w:pStyle w:val="ListNormal"/>
        <w:numPr>
          <w:ilvl w:val="3"/>
          <w:numId w:val="7"/>
        </w:numPr>
      </w:pPr>
      <w:r>
        <w:t>set out a proposed project timeline for replacing the volumes proposed in the application;</w:t>
      </w:r>
    </w:p>
    <w:p w14:paraId="3A48881B" w14:textId="77777777" w:rsidR="00A17ECC" w:rsidRPr="00C62540" w:rsidRDefault="00A17ECC" w:rsidP="00A17ECC">
      <w:pPr>
        <w:pStyle w:val="ListNormal"/>
        <w:numPr>
          <w:ilvl w:val="3"/>
          <w:numId w:val="7"/>
        </w:numPr>
      </w:pPr>
      <w:r>
        <w:t>set out any amendments to the outputs, delivery dates or allowances in the [repex PCDs] that the licensee is requesting;</w:t>
      </w:r>
    </w:p>
    <w:p w14:paraId="0B9A58BE" w14:textId="77777777" w:rsidR="00A17ECC" w:rsidRPr="00C62540" w:rsidRDefault="00A17ECC" w:rsidP="00A17ECC">
      <w:pPr>
        <w:pStyle w:val="ListNormal"/>
        <w:numPr>
          <w:ilvl w:val="3"/>
          <w:numId w:val="7"/>
        </w:numPr>
      </w:pPr>
      <w:r>
        <w:t>set out the adjustments to the value of the STUB</w:t>
      </w:r>
      <w:r w:rsidRPr="004B52CE">
        <w:rPr>
          <w:vertAlign w:val="subscript"/>
        </w:rPr>
        <w:t>t</w:t>
      </w:r>
      <w:r>
        <w:t xml:space="preserve"> term that the licensee is requesting, and the Regulatory Years to which those adjustments relate; </w:t>
      </w:r>
    </w:p>
    <w:p w14:paraId="3B4B17D6" w14:textId="77777777" w:rsidR="00A17ECC" w:rsidRPr="00C62540" w:rsidRDefault="00A17ECC" w:rsidP="00A17ECC">
      <w:pPr>
        <w:pStyle w:val="ListNormal"/>
        <w:numPr>
          <w:ilvl w:val="3"/>
          <w:numId w:val="7"/>
        </w:numPr>
      </w:pPr>
      <w:r>
        <w:t xml:space="preserve">explain the basis of the calculation for the proposed adjustments to the STUBt term or the allowances in the [repex PCDs];  </w:t>
      </w:r>
    </w:p>
    <w:p w14:paraId="4ADE4A07" w14:textId="77777777" w:rsidR="00A17ECC" w:rsidRPr="00C62540" w:rsidRDefault="00A17ECC" w:rsidP="00A17ECC">
      <w:pPr>
        <w:pStyle w:val="ListNormal"/>
        <w:numPr>
          <w:ilvl w:val="3"/>
          <w:numId w:val="7"/>
        </w:numPr>
      </w:pPr>
      <w:r>
        <w:t>include such detailed supporting evidence including cost benefit analysis, impact assessments and engineering justification statements as is reasonable in the circumstances.</w:t>
      </w:r>
    </w:p>
    <w:p w14:paraId="4CCACDDA" w14:textId="77777777" w:rsidR="00A17ECC" w:rsidRPr="00C62540" w:rsidRDefault="00A17ECC" w:rsidP="00A17ECC">
      <w:pPr>
        <w:pStyle w:val="NumberedNormal"/>
        <w:numPr>
          <w:ilvl w:val="2"/>
          <w:numId w:val="7"/>
        </w:numPr>
      </w:pPr>
      <w:r>
        <w:t>An application must:</w:t>
      </w:r>
    </w:p>
    <w:p w14:paraId="1B47FFD6" w14:textId="77777777" w:rsidR="00A17ECC" w:rsidRPr="00C62540" w:rsidRDefault="00A17ECC" w:rsidP="00A17ECC">
      <w:pPr>
        <w:pStyle w:val="ListNormal"/>
        <w:numPr>
          <w:ilvl w:val="3"/>
          <w:numId w:val="7"/>
        </w:numPr>
      </w:pPr>
      <w:r>
        <w:t>be confined to costs that are incurred or are expected to be incurred on or after 1 April 2021; and</w:t>
      </w:r>
    </w:p>
    <w:p w14:paraId="342E6DD7" w14:textId="77777777" w:rsidR="00A17ECC" w:rsidRPr="00C62540" w:rsidRDefault="00A17ECC" w:rsidP="00A17ECC">
      <w:pPr>
        <w:pStyle w:val="ListNormal"/>
        <w:numPr>
          <w:ilvl w:val="3"/>
          <w:numId w:val="7"/>
        </w:numPr>
      </w:pPr>
      <w:r>
        <w:t>take account of any allowed expenditure which can be avoided as a result of the changes.</w:t>
      </w:r>
    </w:p>
    <w:p w14:paraId="74389450" w14:textId="77777777" w:rsidR="00A17ECC" w:rsidRPr="00C62540" w:rsidRDefault="00A17ECC" w:rsidP="00A17ECC">
      <w:pPr>
        <w:pStyle w:val="Heading3"/>
        <w:numPr>
          <w:ilvl w:val="5"/>
          <w:numId w:val="7"/>
        </w:numPr>
      </w:pPr>
      <w:r>
        <w:t>Authority triggered Re-opener</w:t>
      </w:r>
    </w:p>
    <w:p w14:paraId="399EBEA5" w14:textId="3780C540" w:rsidR="00A17ECC" w:rsidRDefault="00A17ECC" w:rsidP="00A17ECC">
      <w:pPr>
        <w:pStyle w:val="NumberedNormal"/>
        <w:numPr>
          <w:ilvl w:val="2"/>
          <w:numId w:val="7"/>
        </w:numPr>
      </w:pPr>
      <w:r>
        <w:t>The Authority will also consider directing an adjustment to the value of the STUB</w:t>
      </w:r>
      <w:r w:rsidRPr="004B52CE">
        <w:rPr>
          <w:vertAlign w:val="subscript"/>
        </w:rPr>
        <w:t>t</w:t>
      </w:r>
      <w:r>
        <w:t xml:space="preserve"> term or the outputs, delivery dates or allowances in the [repex outputs] without an application being made under paragraph 3.1</w:t>
      </w:r>
      <w:r w:rsidR="00C344F8">
        <w:t>6</w:t>
      </w:r>
      <w:r>
        <w:t>.4, where it considers that:</w:t>
      </w:r>
    </w:p>
    <w:p w14:paraId="1A0483E7" w14:textId="77777777" w:rsidR="00A17ECC" w:rsidRDefault="00A17ECC" w:rsidP="00A17ECC">
      <w:pPr>
        <w:pStyle w:val="ListNormal"/>
        <w:numPr>
          <w:ilvl w:val="3"/>
          <w:numId w:val="7"/>
        </w:numPr>
      </w:pPr>
      <w:r>
        <w:t>the cost of delivering Licensed Activity relating to Tier 1 Stubs has been impacted by the outcomes of an HSE Review that; and</w:t>
      </w:r>
    </w:p>
    <w:p w14:paraId="3A450518" w14:textId="77777777" w:rsidR="00A17ECC" w:rsidRPr="00C62540" w:rsidRDefault="00A17ECC" w:rsidP="00A17ECC">
      <w:pPr>
        <w:pStyle w:val="ListNormal"/>
        <w:numPr>
          <w:ilvl w:val="3"/>
          <w:numId w:val="7"/>
        </w:numPr>
      </w:pPr>
      <w:r>
        <w:t>those costs were incurred or are expected to be incurred on or after 1 April 2021.</w:t>
      </w:r>
    </w:p>
    <w:p w14:paraId="04E12AD6" w14:textId="77777777" w:rsidR="00A17ECC" w:rsidRPr="00C62540" w:rsidRDefault="00A17ECC" w:rsidP="00A17ECC">
      <w:pPr>
        <w:pStyle w:val="Heading3"/>
        <w:numPr>
          <w:ilvl w:val="5"/>
          <w:numId w:val="7"/>
        </w:numPr>
      </w:pPr>
      <w:r>
        <w:t>What process will the Authority follow in making a direction?</w:t>
      </w:r>
    </w:p>
    <w:p w14:paraId="4D35014C" w14:textId="68ED6DFD" w:rsidR="00A17ECC" w:rsidRPr="00C62540" w:rsidRDefault="00A17ECC" w:rsidP="00A17ECC">
      <w:pPr>
        <w:pStyle w:val="NumberedNormal"/>
        <w:numPr>
          <w:ilvl w:val="2"/>
          <w:numId w:val="7"/>
        </w:numPr>
      </w:pPr>
      <w:r>
        <w:t>Before making a direction under paragraph 3.1</w:t>
      </w:r>
      <w:r w:rsidR="00C344F8">
        <w:t>6</w:t>
      </w:r>
      <w:r>
        <w:t>.4, the Authority will publish on the Authority's Website:</w:t>
      </w:r>
    </w:p>
    <w:p w14:paraId="057FAB3C" w14:textId="77777777" w:rsidR="00A17ECC" w:rsidRPr="00C62540" w:rsidRDefault="00A17ECC" w:rsidP="00A17ECC">
      <w:pPr>
        <w:pStyle w:val="ListNormal"/>
        <w:numPr>
          <w:ilvl w:val="3"/>
          <w:numId w:val="7"/>
        </w:numPr>
      </w:pPr>
      <w:r>
        <w:t>the text of the proposed direction;</w:t>
      </w:r>
    </w:p>
    <w:p w14:paraId="0DD8E27C" w14:textId="77777777" w:rsidR="00A17ECC" w:rsidRPr="00C62540" w:rsidRDefault="00A17ECC" w:rsidP="00A17ECC">
      <w:pPr>
        <w:pStyle w:val="ListNormal"/>
        <w:numPr>
          <w:ilvl w:val="3"/>
          <w:numId w:val="7"/>
        </w:numPr>
      </w:pPr>
      <w:r>
        <w:t>the reasons for the proposed direction; and</w:t>
      </w:r>
    </w:p>
    <w:p w14:paraId="54755FAD" w14:textId="77777777" w:rsidR="00A17ECC" w:rsidRPr="00C62540" w:rsidRDefault="00A17ECC" w:rsidP="00A17ECC">
      <w:pPr>
        <w:pStyle w:val="ListNormal"/>
        <w:numPr>
          <w:ilvl w:val="3"/>
          <w:numId w:val="7"/>
        </w:numPr>
      </w:pPr>
      <w:r>
        <w:lastRenderedPageBreak/>
        <w:t>a period during which representations may be made on the proposed direction, which will not be less than 28 days.</w:t>
      </w:r>
    </w:p>
    <w:p w14:paraId="35E44544" w14:textId="77777777" w:rsidR="00A17ECC" w:rsidRPr="00C62540" w:rsidRDefault="00A17ECC" w:rsidP="00A17ECC">
      <w:pPr>
        <w:pStyle w:val="NumberedNormal"/>
        <w:numPr>
          <w:ilvl w:val="2"/>
          <w:numId w:val="7"/>
        </w:numPr>
      </w:pPr>
      <w:r>
        <w:t>The direction will set out:</w:t>
      </w:r>
    </w:p>
    <w:p w14:paraId="11421E3E" w14:textId="77777777" w:rsidR="00A17ECC" w:rsidRPr="00C62540" w:rsidRDefault="00A17ECC" w:rsidP="00A17ECC">
      <w:pPr>
        <w:pStyle w:val="ListNormal"/>
        <w:numPr>
          <w:ilvl w:val="3"/>
          <w:numId w:val="7"/>
        </w:numPr>
      </w:pPr>
      <w:r>
        <w:t>any amendments to the [repex PCDs]; and</w:t>
      </w:r>
    </w:p>
    <w:p w14:paraId="308EF083" w14:textId="77777777" w:rsidR="00A17ECC" w:rsidRPr="00C62540" w:rsidRDefault="00A17ECC" w:rsidP="00A17ECC">
      <w:pPr>
        <w:pStyle w:val="ListNormal"/>
        <w:numPr>
          <w:ilvl w:val="3"/>
          <w:numId w:val="7"/>
        </w:numPr>
      </w:pPr>
      <w:r>
        <w:t>any adjustments to the value of the STUB</w:t>
      </w:r>
      <w:r w:rsidRPr="00E22557">
        <w:rPr>
          <w:vertAlign w:val="subscript"/>
        </w:rPr>
        <w:t>t</w:t>
      </w:r>
      <w:r>
        <w:t xml:space="preserve"> term and the Regulatory Years to which those adjustments relate</w:t>
      </w:r>
    </w:p>
    <w:p w14:paraId="427AF3EE" w14:textId="77777777" w:rsidR="00A17ECC" w:rsidRPr="00DF002A" w:rsidRDefault="00A17ECC" w:rsidP="00A17ECC">
      <w:pPr>
        <w:pStyle w:val="Heading2"/>
        <w:numPr>
          <w:ilvl w:val="1"/>
          <w:numId w:val="7"/>
        </w:numPr>
      </w:pPr>
      <w:bookmarkStart w:id="94" w:name="_Toc51783645"/>
      <w:bookmarkStart w:id="95" w:name="_Toc52364551"/>
      <w:r>
        <w:t>Heat Policy and Energy Efficiency Re-opener (HPRA</w:t>
      </w:r>
      <w:r w:rsidRPr="00E22557">
        <w:rPr>
          <w:vertAlign w:val="subscript"/>
        </w:rPr>
        <w:t>t</w:t>
      </w:r>
      <w:r>
        <w:t>)</w:t>
      </w:r>
      <w:bookmarkEnd w:id="94"/>
      <w:bookmarkEnd w:id="95"/>
    </w:p>
    <w:p w14:paraId="01ECB859" w14:textId="77777777" w:rsidR="00A17ECC" w:rsidRPr="00DF002A" w:rsidRDefault="00A17ECC" w:rsidP="00A17ECC">
      <w:pPr>
        <w:pStyle w:val="Heading3nonumbering"/>
      </w:pPr>
      <w:r w:rsidRPr="00DF002A">
        <w:t xml:space="preserve">Introduction </w:t>
      </w:r>
    </w:p>
    <w:p w14:paraId="7168DB5C" w14:textId="77777777" w:rsidR="00A17ECC" w:rsidRPr="00DF002A" w:rsidRDefault="00A17ECC" w:rsidP="00A17ECC">
      <w:pPr>
        <w:pStyle w:val="NumberedNormal"/>
        <w:numPr>
          <w:ilvl w:val="2"/>
          <w:numId w:val="7"/>
        </w:numPr>
      </w:pPr>
      <w:r>
        <w:t>The purpose of this condition is to calculate the term HPRA</w:t>
      </w:r>
      <w:r w:rsidRPr="00E22557">
        <w:rPr>
          <w:vertAlign w:val="subscript"/>
        </w:rPr>
        <w:t>t</w:t>
      </w:r>
      <w:r>
        <w:t xml:space="preserve"> (the heat policy Re-opener term). This contributes to the calculation of the Totex Allowance.</w:t>
      </w:r>
    </w:p>
    <w:p w14:paraId="5EB45EFE" w14:textId="2D86607C" w:rsidR="00A17ECC" w:rsidRPr="00DF002A" w:rsidRDefault="00A17ECC" w:rsidP="00A17ECC">
      <w:pPr>
        <w:pStyle w:val="NumberedNormal"/>
        <w:numPr>
          <w:ilvl w:val="2"/>
          <w:numId w:val="7"/>
        </w:numPr>
      </w:pPr>
      <w:r>
        <w:t>The effect of this condition is to establish a Re-opener triggered by either the licensee or the Authority where there have been changes to Heat Policy Area</w:t>
      </w:r>
      <w:r w:rsidR="002E4DAC">
        <w:t>s</w:t>
      </w:r>
      <w:r>
        <w:t xml:space="preserve"> that result in material changes to the cost of License</w:t>
      </w:r>
      <w:r w:rsidR="005A6845">
        <w:t>d</w:t>
      </w:r>
      <w:r>
        <w:t xml:space="preserve"> Activity.</w:t>
      </w:r>
      <w:r w:rsidRPr="4A26DA62">
        <w:rPr>
          <w:highlight w:val="yellow"/>
        </w:rPr>
        <w:t xml:space="preserve">  </w:t>
      </w:r>
    </w:p>
    <w:p w14:paraId="48AD2FE2" w14:textId="77777777" w:rsidR="00A17ECC" w:rsidRPr="00DF002A" w:rsidRDefault="00A17ECC" w:rsidP="00A17ECC">
      <w:pPr>
        <w:pStyle w:val="NumberedNormal"/>
        <w:numPr>
          <w:ilvl w:val="2"/>
          <w:numId w:val="7"/>
        </w:numPr>
      </w:pPr>
      <w:r>
        <w:t xml:space="preserve">This condition also explains the process the Authority will follow when directing any changes as a result of the Re-opener. </w:t>
      </w:r>
    </w:p>
    <w:p w14:paraId="3712C360" w14:textId="77777777" w:rsidR="00A17ECC" w:rsidRPr="00DF002A" w:rsidRDefault="00A17ECC" w:rsidP="00A17ECC">
      <w:pPr>
        <w:pStyle w:val="Heading3"/>
        <w:numPr>
          <w:ilvl w:val="5"/>
          <w:numId w:val="7"/>
        </w:numPr>
      </w:pPr>
      <w:r>
        <w:t>What changes in the heat policy environment are within the scope of this Re-opener?</w:t>
      </w:r>
    </w:p>
    <w:p w14:paraId="65DDFE48" w14:textId="09F78E64" w:rsidR="00A17ECC" w:rsidRPr="00DF002A" w:rsidRDefault="00A17ECC" w:rsidP="00A17ECC">
      <w:pPr>
        <w:pStyle w:val="NumberedNormal"/>
        <w:numPr>
          <w:ilvl w:val="2"/>
          <w:numId w:val="7"/>
        </w:numPr>
      </w:pPr>
      <w:r>
        <w:t>The licensee may apply to the Authority for a direction to adjust the value of the HPRA</w:t>
      </w:r>
      <w:r w:rsidRPr="00E22557">
        <w:rPr>
          <w:vertAlign w:val="subscript"/>
        </w:rPr>
        <w:t>t</w:t>
      </w:r>
      <w:r>
        <w:t xml:space="preserve"> term or the outputs within [the output condition</w:t>
      </w:r>
      <w:r w:rsidR="00D119A4">
        <w:t>s</w:t>
      </w:r>
      <w:r>
        <w:t>] for any Regulatory Year during the Price Control Period where there have been changes to Heat Policy Area</w:t>
      </w:r>
      <w:r w:rsidR="00883461">
        <w:t>s</w:t>
      </w:r>
      <w:r>
        <w:t xml:space="preserve"> that affect its legal obligations as a licensee. </w:t>
      </w:r>
    </w:p>
    <w:p w14:paraId="10710A25" w14:textId="77777777" w:rsidR="00A17ECC" w:rsidRPr="00DF002A" w:rsidRDefault="00A17ECC" w:rsidP="00A17ECC">
      <w:pPr>
        <w:pStyle w:val="Heading3"/>
        <w:numPr>
          <w:ilvl w:val="5"/>
          <w:numId w:val="7"/>
        </w:numPr>
      </w:pPr>
      <w:r>
        <w:t>When to make an application</w:t>
      </w:r>
    </w:p>
    <w:p w14:paraId="5B9ED5D4" w14:textId="16FD30B3" w:rsidR="00A17ECC" w:rsidRPr="00DF002A" w:rsidRDefault="00A17ECC" w:rsidP="00A17ECC">
      <w:pPr>
        <w:pStyle w:val="NumberedNormal"/>
        <w:numPr>
          <w:ilvl w:val="2"/>
          <w:numId w:val="7"/>
        </w:numPr>
      </w:pPr>
      <w:r>
        <w:t>The licensee may only apply to the Authority for an adjustment under paragraph 3.</w:t>
      </w:r>
      <w:r w:rsidR="00C344F8">
        <w:t>17</w:t>
      </w:r>
      <w:r>
        <w:t>.4:</w:t>
      </w:r>
    </w:p>
    <w:p w14:paraId="777DFC2E" w14:textId="77777777" w:rsidR="00A17ECC" w:rsidRPr="00DF002A" w:rsidRDefault="00A17ECC" w:rsidP="00A17ECC">
      <w:pPr>
        <w:pStyle w:val="ListNormal"/>
        <w:numPr>
          <w:ilvl w:val="3"/>
          <w:numId w:val="7"/>
        </w:numPr>
      </w:pPr>
      <w:r>
        <w:t xml:space="preserve">Between [25 January 2022 and 31 January 2022]; </w:t>
      </w:r>
    </w:p>
    <w:p w14:paraId="37406C91" w14:textId="77777777" w:rsidR="00A17ECC" w:rsidRDefault="00A17ECC" w:rsidP="00A17ECC">
      <w:pPr>
        <w:pStyle w:val="ListNormal"/>
        <w:numPr>
          <w:ilvl w:val="3"/>
          <w:numId w:val="7"/>
        </w:numPr>
      </w:pPr>
      <w:r>
        <w:t>Between [25 January 2023 and 31 January 2023]; or</w:t>
      </w:r>
    </w:p>
    <w:p w14:paraId="3D91DA42" w14:textId="77777777" w:rsidR="00A17ECC" w:rsidRPr="00DF002A" w:rsidRDefault="00A17ECC" w:rsidP="00A17ECC">
      <w:pPr>
        <w:pStyle w:val="ListNormal"/>
        <w:numPr>
          <w:ilvl w:val="3"/>
          <w:numId w:val="7"/>
        </w:numPr>
      </w:pPr>
      <w:r>
        <w:t>during such later periods as the Authority may direct.</w:t>
      </w:r>
    </w:p>
    <w:p w14:paraId="1F6ED8D1" w14:textId="77777777" w:rsidR="00A17ECC" w:rsidRPr="00DF002A" w:rsidRDefault="00A17ECC" w:rsidP="00A17ECC">
      <w:pPr>
        <w:pStyle w:val="Heading3"/>
        <w:numPr>
          <w:ilvl w:val="5"/>
          <w:numId w:val="7"/>
        </w:numPr>
      </w:pPr>
      <w:r>
        <w:t>How to make an application</w:t>
      </w:r>
    </w:p>
    <w:p w14:paraId="7A807E4C" w14:textId="5CBD0CDB" w:rsidR="00A17ECC" w:rsidRPr="00DF002A" w:rsidRDefault="00A17ECC" w:rsidP="00A17ECC">
      <w:pPr>
        <w:pStyle w:val="NumberedNormal"/>
        <w:numPr>
          <w:ilvl w:val="2"/>
          <w:numId w:val="7"/>
        </w:numPr>
      </w:pPr>
      <w:r>
        <w:t>An application under paragraph 3.</w:t>
      </w:r>
      <w:r w:rsidR="00C344F8">
        <w:t>17</w:t>
      </w:r>
      <w:r>
        <w:t>.4 must be made in writing to the Authority and include:</w:t>
      </w:r>
    </w:p>
    <w:p w14:paraId="2E7A288A" w14:textId="2994193C" w:rsidR="00A17ECC" w:rsidRPr="00DF002A" w:rsidRDefault="00A17ECC" w:rsidP="00A17ECC">
      <w:pPr>
        <w:pStyle w:val="ListNormal"/>
        <w:numPr>
          <w:ilvl w:val="3"/>
          <w:numId w:val="7"/>
        </w:numPr>
      </w:pPr>
      <w:r>
        <w:t>the Heat Policy Area</w:t>
      </w:r>
      <w:r w:rsidR="00883461">
        <w:t>s</w:t>
      </w:r>
      <w:r>
        <w:t xml:space="preserve"> and the consequent changes to the licensee's legal obligations to which the application relates; </w:t>
      </w:r>
    </w:p>
    <w:p w14:paraId="1F720496" w14:textId="791E3BE9" w:rsidR="00A17ECC" w:rsidRPr="00DF002A" w:rsidRDefault="00A17ECC" w:rsidP="00A17ECC">
      <w:pPr>
        <w:pStyle w:val="ListNormal"/>
        <w:numPr>
          <w:ilvl w:val="3"/>
          <w:numId w:val="7"/>
        </w:numPr>
      </w:pPr>
      <w:r>
        <w:t>any amendments requested to [the output condition</w:t>
      </w:r>
      <w:r w:rsidR="00B76273">
        <w:t>s</w:t>
      </w:r>
      <w:r>
        <w:t>];</w:t>
      </w:r>
    </w:p>
    <w:p w14:paraId="7426A8C9" w14:textId="77777777" w:rsidR="00A17ECC" w:rsidRPr="00DF002A" w:rsidRDefault="00A17ECC" w:rsidP="00A17ECC">
      <w:pPr>
        <w:pStyle w:val="ListNormal"/>
        <w:numPr>
          <w:ilvl w:val="3"/>
          <w:numId w:val="7"/>
        </w:numPr>
      </w:pPr>
      <w:r>
        <w:t xml:space="preserve">the adjustments to the value of the HPRAt term that the licensee is requesting, and the Regulatory Years to which those adjustments relate; </w:t>
      </w:r>
    </w:p>
    <w:p w14:paraId="0A260D00" w14:textId="17ED5295" w:rsidR="00A17ECC" w:rsidRPr="00DF002A" w:rsidRDefault="00A17ECC" w:rsidP="00A17ECC">
      <w:pPr>
        <w:pStyle w:val="ListNormal"/>
        <w:numPr>
          <w:ilvl w:val="3"/>
          <w:numId w:val="7"/>
        </w:numPr>
      </w:pPr>
      <w:r>
        <w:lastRenderedPageBreak/>
        <w:t>the basis of the calculation for the proposed adjustments to the HPRAt term or the allowances in [the output condition</w:t>
      </w:r>
      <w:r w:rsidR="00B76273">
        <w:t>s</w:t>
      </w:r>
      <w:r>
        <w:t xml:space="preserve">]; and </w:t>
      </w:r>
    </w:p>
    <w:p w14:paraId="70CD74B7" w14:textId="77777777" w:rsidR="00A17ECC" w:rsidRPr="00DF002A" w:rsidRDefault="00A17ECC" w:rsidP="00A17ECC">
      <w:pPr>
        <w:pStyle w:val="ListNormal"/>
        <w:numPr>
          <w:ilvl w:val="3"/>
          <w:numId w:val="7"/>
        </w:numPr>
      </w:pPr>
      <w:r>
        <w:t xml:space="preserve">such detailed supporting evidence including cost benefit analysis, impact assessments and engineering justification statements as is reasonable in the circumstances. </w:t>
      </w:r>
    </w:p>
    <w:p w14:paraId="150387C5" w14:textId="3B639D9B" w:rsidR="00A17ECC" w:rsidRPr="00DF002A" w:rsidRDefault="00A17ECC" w:rsidP="00A17ECC">
      <w:pPr>
        <w:pStyle w:val="NumberedNormal"/>
        <w:numPr>
          <w:ilvl w:val="2"/>
          <w:numId w:val="7"/>
        </w:numPr>
      </w:pPr>
      <w:r>
        <w:t>An application under paragraph 3.</w:t>
      </w:r>
      <w:r w:rsidR="00C344F8">
        <w:t>17</w:t>
      </w:r>
      <w:r>
        <w:t>.4 must:</w:t>
      </w:r>
    </w:p>
    <w:p w14:paraId="437C4AA3" w14:textId="0685D834" w:rsidR="00A17ECC" w:rsidRPr="00DF002A" w:rsidRDefault="00A17ECC" w:rsidP="00A17ECC">
      <w:pPr>
        <w:pStyle w:val="ListNormal"/>
        <w:numPr>
          <w:ilvl w:val="3"/>
          <w:numId w:val="7"/>
        </w:numPr>
      </w:pPr>
      <w:r>
        <w:t>relate to changes to Heat Policy Area</w:t>
      </w:r>
      <w:r w:rsidR="00883461">
        <w:t>s</w:t>
      </w:r>
      <w:r>
        <w:t xml:space="preserve"> that have come into effect on or after 1 April 2021;</w:t>
      </w:r>
    </w:p>
    <w:p w14:paraId="7509B274" w14:textId="77777777" w:rsidR="00D34349" w:rsidRDefault="00A17ECC" w:rsidP="00A17ECC">
      <w:pPr>
        <w:pStyle w:val="ListNormal"/>
        <w:numPr>
          <w:ilvl w:val="3"/>
          <w:numId w:val="7"/>
        </w:numPr>
      </w:pPr>
      <w:r>
        <w:t xml:space="preserve">take account of any allowed expenditure, which can be avoided as a result of the changes; </w:t>
      </w:r>
    </w:p>
    <w:p w14:paraId="1248204A" w14:textId="1E0217C9" w:rsidR="00A17ECC" w:rsidRPr="00DF002A" w:rsidRDefault="00D34349" w:rsidP="00A17ECC">
      <w:pPr>
        <w:pStyle w:val="ListNormal"/>
        <w:numPr>
          <w:ilvl w:val="3"/>
          <w:numId w:val="7"/>
        </w:numPr>
      </w:pPr>
      <w:r>
        <w:t xml:space="preserve">exceed the relevant materiality threshold in Appendix 1; </w:t>
      </w:r>
      <w:r w:rsidR="00A17ECC">
        <w:t>and</w:t>
      </w:r>
    </w:p>
    <w:p w14:paraId="740B7EE3" w14:textId="77777777" w:rsidR="00A17ECC" w:rsidRPr="00DF002A" w:rsidRDefault="00A17ECC" w:rsidP="00A17ECC">
      <w:pPr>
        <w:pStyle w:val="ListNormal"/>
        <w:numPr>
          <w:ilvl w:val="3"/>
          <w:numId w:val="7"/>
        </w:numPr>
      </w:pPr>
      <w:r>
        <w:t>be confined to costs incurred or expected to be incurred on or after 1 April 2021.</w:t>
      </w:r>
    </w:p>
    <w:p w14:paraId="07000709" w14:textId="77777777" w:rsidR="00A17ECC" w:rsidRPr="00DF002A" w:rsidRDefault="00A17ECC" w:rsidP="00A17ECC">
      <w:pPr>
        <w:pStyle w:val="Heading3"/>
        <w:numPr>
          <w:ilvl w:val="5"/>
          <w:numId w:val="7"/>
        </w:numPr>
      </w:pPr>
      <w:r>
        <w:t>Authority triggered Re-opener</w:t>
      </w:r>
    </w:p>
    <w:p w14:paraId="271A8AC9" w14:textId="4A2AFD1A" w:rsidR="00A17ECC" w:rsidRPr="00DF002A" w:rsidRDefault="00A17ECC" w:rsidP="00A17ECC">
      <w:pPr>
        <w:pStyle w:val="NumberedNormal"/>
        <w:numPr>
          <w:ilvl w:val="2"/>
          <w:numId w:val="7"/>
        </w:numPr>
      </w:pPr>
      <w:r>
        <w:t>The Authority will also consider directing an adjustment to the HPRA</w:t>
      </w:r>
      <w:r w:rsidRPr="00E22557">
        <w:rPr>
          <w:vertAlign w:val="subscript"/>
        </w:rPr>
        <w:t>t</w:t>
      </w:r>
      <w:r>
        <w:t xml:space="preserve"> term or the outputs, delivery dates or allowances in [the outputs condition] where it considers that there have been changes to Heat Policy Area</w:t>
      </w:r>
      <w:r w:rsidR="00245CAA">
        <w:t>s</w:t>
      </w:r>
      <w:r>
        <w:t xml:space="preserve"> that affect the licensee's legal obligations as a licensee that:</w:t>
      </w:r>
    </w:p>
    <w:p w14:paraId="404B026F" w14:textId="77777777" w:rsidR="00A17ECC" w:rsidRPr="00DF002A" w:rsidRDefault="00A17ECC" w:rsidP="00A17ECC">
      <w:pPr>
        <w:pStyle w:val="ListNormal"/>
        <w:numPr>
          <w:ilvl w:val="3"/>
          <w:numId w:val="7"/>
        </w:numPr>
      </w:pPr>
      <w:r>
        <w:t>have come into effect on or after 1 April 2021;</w:t>
      </w:r>
    </w:p>
    <w:p w14:paraId="18A925C2" w14:textId="2755F299" w:rsidR="00A17ECC" w:rsidRPr="00DF002A" w:rsidRDefault="00A17ECC" w:rsidP="00A17ECC">
      <w:pPr>
        <w:pStyle w:val="ListNormal"/>
        <w:numPr>
          <w:ilvl w:val="3"/>
          <w:numId w:val="7"/>
        </w:numPr>
      </w:pPr>
      <w:r>
        <w:t>exceed the relevant materiality threshold in Appendix 1; and</w:t>
      </w:r>
    </w:p>
    <w:p w14:paraId="2C1A3741" w14:textId="77777777" w:rsidR="00A17ECC" w:rsidRPr="00DF002A" w:rsidRDefault="00A17ECC" w:rsidP="00A17ECC">
      <w:pPr>
        <w:pStyle w:val="ListNormal"/>
        <w:numPr>
          <w:ilvl w:val="3"/>
          <w:numId w:val="7"/>
        </w:numPr>
      </w:pPr>
      <w:r>
        <w:t>relate to costs incurred or expected to be incurred on or after 1 April 2021.</w:t>
      </w:r>
    </w:p>
    <w:p w14:paraId="04C67FCD" w14:textId="77777777" w:rsidR="00A17ECC" w:rsidRPr="00DF002A" w:rsidRDefault="00A17ECC" w:rsidP="00A17ECC">
      <w:pPr>
        <w:pStyle w:val="Heading3"/>
        <w:numPr>
          <w:ilvl w:val="5"/>
          <w:numId w:val="7"/>
        </w:numPr>
      </w:pPr>
      <w:r>
        <w:t>What process will the Authority follow in making a direction?</w:t>
      </w:r>
    </w:p>
    <w:p w14:paraId="4E217E04" w14:textId="03084C03" w:rsidR="00A17ECC" w:rsidRPr="00DF002A" w:rsidRDefault="00A17ECC" w:rsidP="00C344F8">
      <w:pPr>
        <w:pStyle w:val="NumberedNormal"/>
      </w:pPr>
      <w:r>
        <w:t xml:space="preserve">Before making </w:t>
      </w:r>
      <w:r w:rsidR="00C344F8">
        <w:t>a direction under paragraph 3.17.4 or 3.17</w:t>
      </w:r>
      <w:r>
        <w:t>.10, the Authority will publish on the Authority's Website:</w:t>
      </w:r>
    </w:p>
    <w:p w14:paraId="75EC2F2D" w14:textId="77777777" w:rsidR="00A17ECC" w:rsidRPr="00DF002A" w:rsidRDefault="00A17ECC" w:rsidP="00A17ECC">
      <w:pPr>
        <w:pStyle w:val="ListNormal"/>
        <w:numPr>
          <w:ilvl w:val="3"/>
          <w:numId w:val="7"/>
        </w:numPr>
      </w:pPr>
      <w:r>
        <w:t>the text of the proposed direction;</w:t>
      </w:r>
    </w:p>
    <w:p w14:paraId="00DAB562" w14:textId="77777777" w:rsidR="00A17ECC" w:rsidRPr="00DF002A" w:rsidRDefault="00A17ECC" w:rsidP="00A17ECC">
      <w:pPr>
        <w:pStyle w:val="ListNormal"/>
        <w:numPr>
          <w:ilvl w:val="3"/>
          <w:numId w:val="7"/>
        </w:numPr>
      </w:pPr>
      <w:r>
        <w:t>the reasons for the proposed direction; and</w:t>
      </w:r>
    </w:p>
    <w:p w14:paraId="616D1098" w14:textId="77777777" w:rsidR="00A17ECC" w:rsidRPr="00DF002A" w:rsidRDefault="00A17ECC" w:rsidP="00A17ECC">
      <w:pPr>
        <w:pStyle w:val="ListNormal"/>
        <w:numPr>
          <w:ilvl w:val="3"/>
          <w:numId w:val="7"/>
        </w:numPr>
      </w:pPr>
      <w:r>
        <w:t>a period during which representations may be made on the proposed direction, which will not be less than 28 days.</w:t>
      </w:r>
    </w:p>
    <w:p w14:paraId="30228691" w14:textId="77777777" w:rsidR="00A17ECC" w:rsidRPr="00DF002A" w:rsidRDefault="00A17ECC" w:rsidP="00A17ECC">
      <w:pPr>
        <w:pStyle w:val="NumberedNormal"/>
        <w:numPr>
          <w:ilvl w:val="2"/>
          <w:numId w:val="7"/>
        </w:numPr>
      </w:pPr>
      <w:r>
        <w:t>The direction will set out:</w:t>
      </w:r>
    </w:p>
    <w:p w14:paraId="37912478" w14:textId="77777777" w:rsidR="00A17ECC" w:rsidRPr="00DF002A" w:rsidRDefault="00A17ECC" w:rsidP="00A17ECC">
      <w:pPr>
        <w:pStyle w:val="ListNormal"/>
        <w:numPr>
          <w:ilvl w:val="3"/>
          <w:numId w:val="7"/>
        </w:numPr>
      </w:pPr>
      <w:r>
        <w:t>any amendments to [outputs condition]; and</w:t>
      </w:r>
    </w:p>
    <w:p w14:paraId="5630E77C" w14:textId="77777777" w:rsidR="00A17ECC" w:rsidRPr="00DF002A" w:rsidRDefault="00A17ECC" w:rsidP="00A17ECC">
      <w:pPr>
        <w:pStyle w:val="ListNormal"/>
        <w:numPr>
          <w:ilvl w:val="3"/>
          <w:numId w:val="7"/>
        </w:numPr>
      </w:pPr>
      <w:r>
        <w:t>any adjustments to the value of the HPRAt term and the Regulatory Years to which those adjustments relate.</w:t>
      </w:r>
    </w:p>
    <w:p w14:paraId="2D2D5C5C" w14:textId="77777777" w:rsidR="00A17ECC" w:rsidRPr="00DF002A" w:rsidRDefault="00A17ECC" w:rsidP="00A17ECC">
      <w:pPr>
        <w:pStyle w:val="AppendixHeading"/>
      </w:pPr>
    </w:p>
    <w:p w14:paraId="403D06DF" w14:textId="77777777" w:rsidR="00A17ECC" w:rsidRPr="00D51F4A" w:rsidRDefault="00A17ECC" w:rsidP="00A17ECC">
      <w:pPr>
        <w:pStyle w:val="Caption"/>
      </w:pPr>
      <w:r w:rsidRPr="00D51F4A">
        <w:t>Materiality Threshold where application relates to one Heat Policy Area</w:t>
      </w:r>
    </w:p>
    <w:tbl>
      <w:tblPr>
        <w:tblStyle w:val="AppendixTable"/>
        <w:tblW w:w="5000" w:type="pct"/>
        <w:tblLook w:val="04A0" w:firstRow="1" w:lastRow="0" w:firstColumn="1" w:lastColumn="0" w:noHBand="0" w:noVBand="1"/>
      </w:tblPr>
      <w:tblGrid>
        <w:gridCol w:w="4513"/>
        <w:gridCol w:w="4513"/>
      </w:tblGrid>
      <w:tr w:rsidR="00A17ECC" w:rsidRPr="00DE541A" w14:paraId="1220C934" w14:textId="77777777" w:rsidTr="009F2749">
        <w:trPr>
          <w:cnfStyle w:val="100000000000" w:firstRow="1" w:lastRow="0" w:firstColumn="0" w:lastColumn="0" w:oddVBand="0" w:evenVBand="0" w:oddHBand="0" w:evenHBand="0" w:firstRowFirstColumn="0" w:firstRowLastColumn="0" w:lastRowFirstColumn="0" w:lastRowLastColumn="0"/>
          <w:trHeight w:val="305"/>
        </w:trPr>
        <w:tc>
          <w:tcPr>
            <w:tcW w:w="2500" w:type="pct"/>
          </w:tcPr>
          <w:p w14:paraId="003D5D80" w14:textId="77777777" w:rsidR="00A17ECC" w:rsidRPr="00DF002A" w:rsidRDefault="00A17ECC" w:rsidP="009F2749">
            <w:r w:rsidRPr="00DF002A">
              <w:t>Licensee</w:t>
            </w:r>
          </w:p>
        </w:tc>
        <w:tc>
          <w:tcPr>
            <w:tcW w:w="2500" w:type="pct"/>
          </w:tcPr>
          <w:p w14:paraId="4D38ABB9" w14:textId="77777777" w:rsidR="00A17ECC" w:rsidRPr="00DF002A" w:rsidRDefault="00A17ECC" w:rsidP="009F2749">
            <w:r w:rsidRPr="00DF002A">
              <w:t xml:space="preserve">Materiality threshold </w:t>
            </w:r>
          </w:p>
        </w:tc>
      </w:tr>
      <w:tr w:rsidR="00A17ECC" w:rsidRPr="00D5104D" w14:paraId="3BBA4F7F" w14:textId="77777777" w:rsidTr="009F2749">
        <w:trPr>
          <w:trHeight w:val="321"/>
        </w:trPr>
        <w:tc>
          <w:tcPr>
            <w:tcW w:w="2500" w:type="pct"/>
          </w:tcPr>
          <w:p w14:paraId="0ED38E76" w14:textId="77777777" w:rsidR="00A17ECC" w:rsidRPr="00DF002A" w:rsidRDefault="00A17ECC" w:rsidP="009F2749">
            <w:r w:rsidRPr="00DF002A">
              <w:t>Northern Gas Networks Limited</w:t>
            </w:r>
          </w:p>
        </w:tc>
        <w:tc>
          <w:tcPr>
            <w:tcW w:w="2500" w:type="pct"/>
          </w:tcPr>
          <w:p w14:paraId="650CEBAE" w14:textId="77777777" w:rsidR="00A17ECC" w:rsidRPr="00DF002A" w:rsidRDefault="00A17ECC" w:rsidP="009F2749"/>
        </w:tc>
      </w:tr>
      <w:tr w:rsidR="00A17ECC" w:rsidRPr="00D5104D" w14:paraId="6EA84941" w14:textId="77777777" w:rsidTr="009F2749">
        <w:trPr>
          <w:trHeight w:val="321"/>
        </w:trPr>
        <w:tc>
          <w:tcPr>
            <w:tcW w:w="2500" w:type="pct"/>
          </w:tcPr>
          <w:p w14:paraId="75889A71" w14:textId="77777777" w:rsidR="00A17ECC" w:rsidRPr="00DF002A" w:rsidRDefault="00A17ECC" w:rsidP="009F2749">
            <w:r w:rsidRPr="00DF002A">
              <w:t>Scotland Gas Networks Plc</w:t>
            </w:r>
          </w:p>
        </w:tc>
        <w:tc>
          <w:tcPr>
            <w:tcW w:w="2500" w:type="pct"/>
          </w:tcPr>
          <w:p w14:paraId="1499E30E" w14:textId="77777777" w:rsidR="00A17ECC" w:rsidRPr="00DF002A" w:rsidRDefault="00A17ECC" w:rsidP="009F2749"/>
        </w:tc>
      </w:tr>
      <w:tr w:rsidR="00A17ECC" w:rsidRPr="00D5104D" w14:paraId="5E9C9C90" w14:textId="77777777" w:rsidTr="009F2749">
        <w:trPr>
          <w:trHeight w:val="321"/>
        </w:trPr>
        <w:tc>
          <w:tcPr>
            <w:tcW w:w="2500" w:type="pct"/>
          </w:tcPr>
          <w:p w14:paraId="490F3328" w14:textId="77777777" w:rsidR="00A17ECC" w:rsidRPr="00DF002A" w:rsidRDefault="00A17ECC" w:rsidP="009F2749">
            <w:r w:rsidRPr="00DF002A">
              <w:t>Southern Gas Networks Plc</w:t>
            </w:r>
          </w:p>
        </w:tc>
        <w:tc>
          <w:tcPr>
            <w:tcW w:w="2500" w:type="pct"/>
          </w:tcPr>
          <w:p w14:paraId="672A58C6" w14:textId="77777777" w:rsidR="00A17ECC" w:rsidRPr="00DF002A" w:rsidRDefault="00A17ECC" w:rsidP="009F2749"/>
        </w:tc>
      </w:tr>
      <w:tr w:rsidR="00A17ECC" w:rsidRPr="00D5104D" w14:paraId="22615BC9" w14:textId="77777777" w:rsidTr="009F2749">
        <w:trPr>
          <w:trHeight w:val="321"/>
        </w:trPr>
        <w:tc>
          <w:tcPr>
            <w:tcW w:w="2500" w:type="pct"/>
          </w:tcPr>
          <w:p w14:paraId="392F2B16" w14:textId="77777777" w:rsidR="00A17ECC" w:rsidRPr="00DF002A" w:rsidRDefault="00A17ECC" w:rsidP="009F2749">
            <w:r w:rsidRPr="00DF002A">
              <w:t>Wales &amp; West Utilities Limited</w:t>
            </w:r>
          </w:p>
        </w:tc>
        <w:tc>
          <w:tcPr>
            <w:tcW w:w="2500" w:type="pct"/>
          </w:tcPr>
          <w:p w14:paraId="6194BE9C" w14:textId="77777777" w:rsidR="00A17ECC" w:rsidRPr="00DF002A" w:rsidRDefault="00A17ECC" w:rsidP="009F2749"/>
        </w:tc>
      </w:tr>
      <w:tr w:rsidR="00A17ECC" w:rsidRPr="00D5104D" w14:paraId="7CF4DFF6" w14:textId="77777777" w:rsidTr="009F2749">
        <w:trPr>
          <w:trHeight w:val="321"/>
        </w:trPr>
        <w:tc>
          <w:tcPr>
            <w:tcW w:w="2500" w:type="pct"/>
          </w:tcPr>
          <w:p w14:paraId="0C0B0431" w14:textId="77777777" w:rsidR="00A17ECC" w:rsidRPr="00DF002A" w:rsidRDefault="00A17ECC" w:rsidP="009F2749">
            <w:r w:rsidRPr="00DF002A">
              <w:t>Cadent Limited</w:t>
            </w:r>
          </w:p>
        </w:tc>
        <w:tc>
          <w:tcPr>
            <w:tcW w:w="2500" w:type="pct"/>
          </w:tcPr>
          <w:p w14:paraId="1DAC7AEF" w14:textId="77777777" w:rsidR="00A17ECC" w:rsidRPr="00DF002A" w:rsidRDefault="00A17ECC" w:rsidP="009F2749"/>
        </w:tc>
      </w:tr>
    </w:tbl>
    <w:p w14:paraId="20FF37DC" w14:textId="77777777" w:rsidR="00A17ECC" w:rsidRPr="00A319F9" w:rsidRDefault="00A17ECC" w:rsidP="00A17ECC">
      <w:pPr>
        <w:pStyle w:val="Heading2"/>
        <w:numPr>
          <w:ilvl w:val="1"/>
          <w:numId w:val="7"/>
        </w:numPr>
      </w:pPr>
      <w:bookmarkStart w:id="96" w:name="_Toc52212820"/>
      <w:bookmarkStart w:id="97" w:name="_Toc51783648"/>
      <w:bookmarkStart w:id="98" w:name="_Toc52364552"/>
      <w:bookmarkEnd w:id="96"/>
      <w:r>
        <w:t>Diversions Policy Re-opener (DIV</w:t>
      </w:r>
      <w:r w:rsidRPr="4A26DA62">
        <w:rPr>
          <w:vertAlign w:val="subscript"/>
        </w:rPr>
        <w:t>t</w:t>
      </w:r>
      <w:r>
        <w:t>)</w:t>
      </w:r>
      <w:bookmarkEnd w:id="97"/>
      <w:bookmarkEnd w:id="98"/>
    </w:p>
    <w:p w14:paraId="7A0EB7DA" w14:textId="77777777" w:rsidR="00A17ECC" w:rsidRPr="00A319F9" w:rsidRDefault="00A17ECC" w:rsidP="00A17ECC">
      <w:pPr>
        <w:pStyle w:val="Heading3nonumbering"/>
      </w:pPr>
      <w:r w:rsidRPr="00A319F9">
        <w:t>Introduction</w:t>
      </w:r>
    </w:p>
    <w:p w14:paraId="21B02A99" w14:textId="77777777" w:rsidR="00A17ECC" w:rsidRPr="00A319F9" w:rsidRDefault="00A17ECC" w:rsidP="00A17ECC">
      <w:pPr>
        <w:pStyle w:val="NumberedNormal"/>
        <w:numPr>
          <w:ilvl w:val="2"/>
          <w:numId w:val="7"/>
        </w:numPr>
      </w:pPr>
      <w:r>
        <w:t>The purpose of this condition is to calculate the term DIV</w:t>
      </w:r>
      <w:r w:rsidRPr="00E22557">
        <w:rPr>
          <w:vertAlign w:val="subscript"/>
        </w:rPr>
        <w:t>t</w:t>
      </w:r>
      <w:r>
        <w:t xml:space="preserve"> (the Diversions policy Re-opener term). This contributes to the calculation of the Totex Allowance. </w:t>
      </w:r>
    </w:p>
    <w:p w14:paraId="7E5EE18E" w14:textId="77777777" w:rsidR="00A17ECC" w:rsidRPr="00A319F9" w:rsidRDefault="00A17ECC" w:rsidP="00A17ECC">
      <w:pPr>
        <w:pStyle w:val="NumberedNormal"/>
        <w:numPr>
          <w:ilvl w:val="2"/>
          <w:numId w:val="7"/>
        </w:numPr>
      </w:pPr>
      <w:r>
        <w:t xml:space="preserve">The effect of this condition is to establish a Re-opener triggered by either the licensee or the Authority where there are material additional Diversion Costs that meet the requirements laid out in Parts A and B. </w:t>
      </w:r>
    </w:p>
    <w:p w14:paraId="19000AB6" w14:textId="77777777" w:rsidR="00A17ECC" w:rsidRPr="00A319F9" w:rsidRDefault="00A17ECC" w:rsidP="00A17ECC">
      <w:pPr>
        <w:pStyle w:val="NumberedNormal"/>
        <w:numPr>
          <w:ilvl w:val="2"/>
          <w:numId w:val="7"/>
        </w:numPr>
      </w:pPr>
      <w:r>
        <w:t xml:space="preserve">This condition also explains the process the Authority will follow when directing any changes as a result of the Re-opener. </w:t>
      </w:r>
    </w:p>
    <w:p w14:paraId="31A7A0FD" w14:textId="77777777" w:rsidR="00A17ECC" w:rsidRPr="00A319F9" w:rsidRDefault="00A17ECC" w:rsidP="00A17ECC">
      <w:pPr>
        <w:pStyle w:val="Heading3"/>
        <w:numPr>
          <w:ilvl w:val="5"/>
          <w:numId w:val="7"/>
        </w:numPr>
      </w:pPr>
      <w:r>
        <w:t>What costs are within scope of this Re-opener?</w:t>
      </w:r>
    </w:p>
    <w:p w14:paraId="06D7DE95" w14:textId="77777777" w:rsidR="00A17ECC" w:rsidRPr="00A319F9" w:rsidRDefault="00A17ECC" w:rsidP="00A17ECC">
      <w:pPr>
        <w:pStyle w:val="NumberedNormal"/>
        <w:numPr>
          <w:ilvl w:val="2"/>
          <w:numId w:val="7"/>
        </w:numPr>
      </w:pPr>
      <w:r>
        <w:t>The licensee may apply to the Authority for a direction adjusting the value of the DIV</w:t>
      </w:r>
      <w:r w:rsidRPr="00E22557">
        <w:rPr>
          <w:vertAlign w:val="subscript"/>
        </w:rPr>
        <w:t>t</w:t>
      </w:r>
      <w:r>
        <w:t xml:space="preserve"> term for any Regulatory Year during the Price Control Period if the licensee incurs or expects to incur additional Diversion Costs. </w:t>
      </w:r>
    </w:p>
    <w:p w14:paraId="2282B759" w14:textId="77777777" w:rsidR="00A17ECC" w:rsidRPr="00A319F9" w:rsidRDefault="00A17ECC" w:rsidP="00A17ECC">
      <w:pPr>
        <w:pStyle w:val="Heading3"/>
        <w:numPr>
          <w:ilvl w:val="5"/>
          <w:numId w:val="7"/>
        </w:numPr>
      </w:pPr>
      <w:r>
        <w:t>When to make an application</w:t>
      </w:r>
    </w:p>
    <w:p w14:paraId="0BC0942C" w14:textId="54C91DBA" w:rsidR="00A17ECC" w:rsidRPr="00A319F9" w:rsidRDefault="00A17ECC" w:rsidP="00A17ECC">
      <w:pPr>
        <w:pStyle w:val="NumberedNormal"/>
        <w:numPr>
          <w:ilvl w:val="2"/>
          <w:numId w:val="7"/>
        </w:numPr>
      </w:pPr>
      <w:r>
        <w:t>The licensee may only apply to the Authority for an adjustment under paragr</w:t>
      </w:r>
      <w:r w:rsidR="00C344F8">
        <w:t>aph 3.18</w:t>
      </w:r>
      <w:r>
        <w:t>.4 Between 25 January 2022 and 31 January 2022, or during such later periods as the Authority may direct.</w:t>
      </w:r>
    </w:p>
    <w:p w14:paraId="7601105B" w14:textId="77777777" w:rsidR="00A17ECC" w:rsidRPr="00A319F9" w:rsidRDefault="00A17ECC" w:rsidP="00A17ECC">
      <w:pPr>
        <w:pStyle w:val="Heading3"/>
        <w:numPr>
          <w:ilvl w:val="5"/>
          <w:numId w:val="7"/>
        </w:numPr>
      </w:pPr>
      <w:r>
        <w:t>How to make an application</w:t>
      </w:r>
    </w:p>
    <w:p w14:paraId="21DD71FD" w14:textId="549CC668" w:rsidR="00A17ECC" w:rsidRPr="00A319F9" w:rsidRDefault="00A17ECC" w:rsidP="00A17ECC">
      <w:pPr>
        <w:pStyle w:val="NumberedNormal"/>
        <w:numPr>
          <w:ilvl w:val="2"/>
          <w:numId w:val="7"/>
        </w:numPr>
      </w:pPr>
      <w:r>
        <w:t>An</w:t>
      </w:r>
      <w:r w:rsidR="00C344F8">
        <w:t xml:space="preserve"> application under paragraph 3.18</w:t>
      </w:r>
      <w:r>
        <w:t>.4 must be made in writing to the Authority and:</w:t>
      </w:r>
    </w:p>
    <w:p w14:paraId="476AC55C" w14:textId="77777777" w:rsidR="00A17ECC" w:rsidRPr="00A319F9" w:rsidRDefault="00A17ECC" w:rsidP="00A17ECC">
      <w:pPr>
        <w:pStyle w:val="ListNormal"/>
        <w:numPr>
          <w:ilvl w:val="3"/>
          <w:numId w:val="7"/>
        </w:numPr>
      </w:pPr>
      <w:r>
        <w:t>specify the additional Diversion Costs that have led to the application;</w:t>
      </w:r>
    </w:p>
    <w:p w14:paraId="66223B14" w14:textId="77777777" w:rsidR="00A17ECC" w:rsidRPr="00A319F9" w:rsidRDefault="00A17ECC" w:rsidP="00A17ECC">
      <w:pPr>
        <w:pStyle w:val="ListNormal"/>
        <w:numPr>
          <w:ilvl w:val="3"/>
          <w:numId w:val="7"/>
        </w:numPr>
      </w:pPr>
      <w:r>
        <w:t>set out the adjustments to the value of the DIV</w:t>
      </w:r>
      <w:r w:rsidRPr="00E22557">
        <w:rPr>
          <w:vertAlign w:val="subscript"/>
        </w:rPr>
        <w:t>t</w:t>
      </w:r>
      <w:r>
        <w:t xml:space="preserve"> term that the licensee is requesting and the Regulatory Years to which those adjustments relate;</w:t>
      </w:r>
    </w:p>
    <w:p w14:paraId="4A41543E" w14:textId="77777777" w:rsidR="000265CD" w:rsidRPr="000265CD" w:rsidRDefault="00A17ECC" w:rsidP="000265CD">
      <w:pPr>
        <w:pStyle w:val="ListNormal"/>
        <w:numPr>
          <w:ilvl w:val="3"/>
          <w:numId w:val="7"/>
        </w:numPr>
      </w:pPr>
      <w:r>
        <w:t>explain the basis of the licensee's calculation of the proposed adjustments to the value of the DIV</w:t>
      </w:r>
      <w:r w:rsidRPr="00E22557">
        <w:rPr>
          <w:vertAlign w:val="subscript"/>
        </w:rPr>
        <w:t>t</w:t>
      </w:r>
      <w:r>
        <w:t xml:space="preserve"> term;</w:t>
      </w:r>
    </w:p>
    <w:p w14:paraId="3198737E" w14:textId="7AE7A61A" w:rsidR="24AB98EF" w:rsidRDefault="02568CB1" w:rsidP="24AB98EF">
      <w:pPr>
        <w:pStyle w:val="ListNormal"/>
        <w:numPr>
          <w:ilvl w:val="3"/>
          <w:numId w:val="7"/>
        </w:numPr>
      </w:pPr>
      <w:r>
        <w:lastRenderedPageBreak/>
        <w:t>include engineering justification statements that the Diversion Costs are efficient and unavoidable; and</w:t>
      </w:r>
    </w:p>
    <w:p w14:paraId="71061B5C" w14:textId="7AE7A61A" w:rsidR="00A17ECC" w:rsidRPr="00A319F9" w:rsidRDefault="00A17ECC" w:rsidP="00A17ECC">
      <w:pPr>
        <w:pStyle w:val="ListNormal"/>
        <w:numPr>
          <w:ilvl w:val="3"/>
          <w:numId w:val="7"/>
        </w:numPr>
      </w:pPr>
      <w:r>
        <w:t>include such detailed supporting evidence, including Improvement Plans, risk mitigation approaches, cost benefit analysis and impact assessments, as is reasonable in the circumstances.</w:t>
      </w:r>
    </w:p>
    <w:p w14:paraId="12547CFB" w14:textId="58C2A5B7" w:rsidR="00A17ECC" w:rsidRPr="00A319F9" w:rsidRDefault="00A17ECC" w:rsidP="00A17ECC">
      <w:pPr>
        <w:pStyle w:val="NumberedNormal"/>
        <w:numPr>
          <w:ilvl w:val="2"/>
          <w:numId w:val="7"/>
        </w:numPr>
      </w:pPr>
      <w:r>
        <w:t>An application under paragraph 3.</w:t>
      </w:r>
      <w:r w:rsidR="00C344F8">
        <w:t>18</w:t>
      </w:r>
      <w:r>
        <w:t>.4 must:</w:t>
      </w:r>
    </w:p>
    <w:p w14:paraId="4E4B53AB" w14:textId="77777777" w:rsidR="00A17ECC" w:rsidRPr="00A319F9" w:rsidRDefault="00A17ECC" w:rsidP="00A17ECC">
      <w:pPr>
        <w:pStyle w:val="ListNormal"/>
        <w:numPr>
          <w:ilvl w:val="3"/>
          <w:numId w:val="7"/>
        </w:numPr>
      </w:pPr>
      <w:r>
        <w:t xml:space="preserve">be confined to Diversion Costs that were incurred or are expected to be incurred on or after 1 April 2021; </w:t>
      </w:r>
    </w:p>
    <w:p w14:paraId="3AD5A096" w14:textId="77777777" w:rsidR="00A17ECC" w:rsidRPr="00A319F9" w:rsidRDefault="00A17ECC" w:rsidP="00A17ECC">
      <w:pPr>
        <w:pStyle w:val="ListNormal"/>
        <w:numPr>
          <w:ilvl w:val="3"/>
          <w:numId w:val="7"/>
        </w:numPr>
      </w:pPr>
      <w:r>
        <w:t>take account of any allowed expenditure, which can be avoided as a result of the change; and</w:t>
      </w:r>
    </w:p>
    <w:p w14:paraId="307E6FB0" w14:textId="77777777" w:rsidR="00A17ECC" w:rsidRPr="00A319F9" w:rsidRDefault="00A17ECC" w:rsidP="00A17ECC">
      <w:pPr>
        <w:pStyle w:val="ListNormal"/>
        <w:numPr>
          <w:ilvl w:val="3"/>
          <w:numId w:val="7"/>
        </w:numPr>
      </w:pPr>
      <w:r>
        <w:t>relate to costs incurred or expected to be incurred that exceed the materiality threshold specified for the licensee in Appendix 1.</w:t>
      </w:r>
    </w:p>
    <w:p w14:paraId="7D8F7A91" w14:textId="77777777" w:rsidR="00A17ECC" w:rsidRPr="00A319F9" w:rsidRDefault="00A17ECC" w:rsidP="00A17ECC">
      <w:pPr>
        <w:pStyle w:val="Heading3"/>
        <w:numPr>
          <w:ilvl w:val="5"/>
          <w:numId w:val="7"/>
        </w:numPr>
      </w:pPr>
      <w:r>
        <w:t>Authority triggered Re-opener</w:t>
      </w:r>
    </w:p>
    <w:p w14:paraId="045DFF65" w14:textId="7CC9EBD2" w:rsidR="00A17ECC" w:rsidRPr="00A319F9" w:rsidRDefault="00A17ECC" w:rsidP="00A17ECC">
      <w:pPr>
        <w:pStyle w:val="NumberedNormal"/>
        <w:numPr>
          <w:ilvl w:val="2"/>
          <w:numId w:val="7"/>
        </w:numPr>
      </w:pPr>
      <w:r>
        <w:t>The Authority will also consider directing an adjustment to the value of the DIV</w:t>
      </w:r>
      <w:r w:rsidRPr="00E22557">
        <w:rPr>
          <w:vertAlign w:val="subscript"/>
        </w:rPr>
        <w:t>t</w:t>
      </w:r>
      <w:r>
        <w:t xml:space="preserve"> term without an application being made under paragraph 3.</w:t>
      </w:r>
      <w:r w:rsidR="00C344F8">
        <w:t>18</w:t>
      </w:r>
      <w:r>
        <w:t>.4, where it considers there are additional Diversion Costs that:</w:t>
      </w:r>
    </w:p>
    <w:p w14:paraId="251B7CC4" w14:textId="77777777" w:rsidR="00A17ECC" w:rsidRPr="00A319F9" w:rsidRDefault="00A17ECC" w:rsidP="00A17ECC">
      <w:pPr>
        <w:pStyle w:val="ListNormal"/>
        <w:numPr>
          <w:ilvl w:val="3"/>
          <w:numId w:val="7"/>
        </w:numPr>
      </w:pPr>
      <w:r>
        <w:t>exceed or are expected to exceed the materiality threshold specified for the licensee in Appendix 1;</w:t>
      </w:r>
    </w:p>
    <w:p w14:paraId="2A8E3216" w14:textId="77777777" w:rsidR="00A17ECC" w:rsidRPr="00A319F9" w:rsidRDefault="00A17ECC" w:rsidP="00A17ECC">
      <w:pPr>
        <w:pStyle w:val="ListNormal"/>
        <w:numPr>
          <w:ilvl w:val="3"/>
          <w:numId w:val="7"/>
        </w:numPr>
      </w:pPr>
      <w:r>
        <w:t xml:space="preserve">were incurred or are expected to be incurred on or after 1 April 2021. </w:t>
      </w:r>
    </w:p>
    <w:p w14:paraId="2C244964" w14:textId="77777777" w:rsidR="00A17ECC" w:rsidRPr="00A319F9" w:rsidRDefault="00A17ECC" w:rsidP="00A17ECC">
      <w:pPr>
        <w:pStyle w:val="Heading3"/>
        <w:numPr>
          <w:ilvl w:val="5"/>
          <w:numId w:val="7"/>
        </w:numPr>
      </w:pPr>
      <w:r>
        <w:t>What process will the Authority follow in making a direction?</w:t>
      </w:r>
    </w:p>
    <w:p w14:paraId="07203B2D" w14:textId="51577150" w:rsidR="00A17ECC" w:rsidRPr="00A319F9" w:rsidRDefault="00A17ECC" w:rsidP="00A17ECC">
      <w:pPr>
        <w:pStyle w:val="NumberedNormal"/>
        <w:numPr>
          <w:ilvl w:val="2"/>
          <w:numId w:val="7"/>
        </w:numPr>
      </w:pPr>
      <w:r>
        <w:t>Before making</w:t>
      </w:r>
      <w:r w:rsidR="00C344F8">
        <w:t xml:space="preserve"> a direction under paragraph 3.18</w:t>
      </w:r>
      <w:r>
        <w:t>.4 the Authority will publish on the Authority's Website:</w:t>
      </w:r>
    </w:p>
    <w:p w14:paraId="7A8AE983" w14:textId="77777777" w:rsidR="00A17ECC" w:rsidRPr="00A319F9" w:rsidRDefault="00A17ECC" w:rsidP="00A17ECC">
      <w:pPr>
        <w:pStyle w:val="ListNormal"/>
        <w:numPr>
          <w:ilvl w:val="3"/>
          <w:numId w:val="7"/>
        </w:numPr>
      </w:pPr>
      <w:r>
        <w:t>the text of the proposed direction;</w:t>
      </w:r>
    </w:p>
    <w:p w14:paraId="3E2D4153" w14:textId="77777777" w:rsidR="00A17ECC" w:rsidRPr="00A319F9" w:rsidRDefault="00A17ECC" w:rsidP="00A17ECC">
      <w:pPr>
        <w:pStyle w:val="ListNormal"/>
        <w:numPr>
          <w:ilvl w:val="3"/>
          <w:numId w:val="7"/>
        </w:numPr>
      </w:pPr>
      <w:r>
        <w:t>the reasons for the proposed direction; and</w:t>
      </w:r>
    </w:p>
    <w:p w14:paraId="692FD502" w14:textId="77777777" w:rsidR="00A17ECC" w:rsidRPr="00A319F9" w:rsidRDefault="00A17ECC" w:rsidP="00A17ECC">
      <w:pPr>
        <w:pStyle w:val="ListNormal"/>
        <w:numPr>
          <w:ilvl w:val="3"/>
          <w:numId w:val="7"/>
        </w:numPr>
      </w:pPr>
      <w:r>
        <w:t>a period during which representations may be made on the proposed direction, which will not be less than 28 days.</w:t>
      </w:r>
    </w:p>
    <w:p w14:paraId="6B0B8EFB" w14:textId="77777777" w:rsidR="00A17ECC" w:rsidRPr="00A319F9" w:rsidRDefault="00A17ECC" w:rsidP="00A17ECC">
      <w:pPr>
        <w:pStyle w:val="NumberedNormal"/>
        <w:numPr>
          <w:ilvl w:val="2"/>
          <w:numId w:val="7"/>
        </w:numPr>
      </w:pPr>
      <w:r>
        <w:t>The direction will set out any adjustments to the value of the DIV</w:t>
      </w:r>
      <w:r w:rsidRPr="00E22557">
        <w:rPr>
          <w:vertAlign w:val="subscript"/>
        </w:rPr>
        <w:t>t</w:t>
      </w:r>
      <w:r>
        <w:t xml:space="preserve"> term and the Regulatory Years to which those adjustments relate.</w:t>
      </w:r>
    </w:p>
    <w:p w14:paraId="35792A8C" w14:textId="77777777" w:rsidR="00A17ECC" w:rsidRPr="00A319F9" w:rsidRDefault="00A17ECC" w:rsidP="00A17ECC">
      <w:pPr>
        <w:pStyle w:val="AppendixHeading"/>
      </w:pPr>
    </w:p>
    <w:p w14:paraId="0461FDFA" w14:textId="77777777" w:rsidR="00A17ECC" w:rsidRPr="00E22557" w:rsidRDefault="00A17ECC" w:rsidP="00A17ECC">
      <w:pPr>
        <w:pStyle w:val="Caption"/>
      </w:pPr>
      <w:r w:rsidRPr="00E22557">
        <w:t>Materiality threshold for Diversions Re-opener</w:t>
      </w:r>
    </w:p>
    <w:tbl>
      <w:tblPr>
        <w:tblStyle w:val="AppendixTable"/>
        <w:tblW w:w="0" w:type="auto"/>
        <w:jc w:val="center"/>
        <w:tblLayout w:type="fixed"/>
        <w:tblLook w:val="04A0" w:firstRow="1" w:lastRow="0" w:firstColumn="1" w:lastColumn="0" w:noHBand="0" w:noVBand="1"/>
      </w:tblPr>
      <w:tblGrid>
        <w:gridCol w:w="4023"/>
        <w:gridCol w:w="4023"/>
      </w:tblGrid>
      <w:tr w:rsidR="00A17ECC" w:rsidRPr="00DE541A" w14:paraId="66FD222E" w14:textId="77777777" w:rsidTr="009F2749">
        <w:trPr>
          <w:cnfStyle w:val="100000000000" w:firstRow="1" w:lastRow="0" w:firstColumn="0" w:lastColumn="0" w:oddVBand="0" w:evenVBand="0" w:oddHBand="0" w:evenHBand="0" w:firstRowFirstColumn="0" w:firstRowLastColumn="0" w:lastRowFirstColumn="0" w:lastRowLastColumn="0"/>
          <w:trHeight w:val="305"/>
          <w:jc w:val="center"/>
        </w:trPr>
        <w:tc>
          <w:tcPr>
            <w:tcW w:w="4023" w:type="dxa"/>
          </w:tcPr>
          <w:p w14:paraId="3E590D61" w14:textId="77777777" w:rsidR="00A17ECC" w:rsidRPr="00A319F9" w:rsidRDefault="00A17ECC" w:rsidP="009F2749">
            <w:r w:rsidRPr="00A319F9">
              <w:t>Licensee</w:t>
            </w:r>
          </w:p>
        </w:tc>
        <w:tc>
          <w:tcPr>
            <w:tcW w:w="4023" w:type="dxa"/>
          </w:tcPr>
          <w:p w14:paraId="7963067F" w14:textId="77777777" w:rsidR="00A17ECC" w:rsidRPr="00A319F9" w:rsidRDefault="00A17ECC" w:rsidP="009F2749">
            <w:r w:rsidRPr="00A319F9">
              <w:t xml:space="preserve">Materiality threshold </w:t>
            </w:r>
          </w:p>
        </w:tc>
      </w:tr>
      <w:tr w:rsidR="00A17ECC" w:rsidRPr="00D5104D" w14:paraId="6EA4D089" w14:textId="77777777" w:rsidTr="009F2749">
        <w:trPr>
          <w:trHeight w:val="321"/>
          <w:jc w:val="center"/>
        </w:trPr>
        <w:tc>
          <w:tcPr>
            <w:tcW w:w="4023" w:type="dxa"/>
          </w:tcPr>
          <w:p w14:paraId="18153C38" w14:textId="77777777" w:rsidR="00A17ECC" w:rsidRPr="00A319F9" w:rsidRDefault="00A17ECC" w:rsidP="009F2749">
            <w:r w:rsidRPr="00A319F9">
              <w:t>Northern Gas Networks Limited</w:t>
            </w:r>
          </w:p>
        </w:tc>
        <w:tc>
          <w:tcPr>
            <w:tcW w:w="4023" w:type="dxa"/>
          </w:tcPr>
          <w:p w14:paraId="01B3ED57" w14:textId="77777777" w:rsidR="00A17ECC" w:rsidRPr="00A319F9" w:rsidRDefault="00A17ECC" w:rsidP="009F2749"/>
        </w:tc>
      </w:tr>
      <w:tr w:rsidR="00A17ECC" w:rsidRPr="00D5104D" w14:paraId="455AFB2C" w14:textId="77777777" w:rsidTr="009F2749">
        <w:trPr>
          <w:trHeight w:val="321"/>
          <w:jc w:val="center"/>
        </w:trPr>
        <w:tc>
          <w:tcPr>
            <w:tcW w:w="4023" w:type="dxa"/>
          </w:tcPr>
          <w:p w14:paraId="43E0FEE0" w14:textId="77777777" w:rsidR="00A17ECC" w:rsidRPr="00A319F9" w:rsidRDefault="00A17ECC" w:rsidP="009F2749">
            <w:r w:rsidRPr="00A319F9">
              <w:t>Scotland Gas Networks Plc</w:t>
            </w:r>
          </w:p>
        </w:tc>
        <w:tc>
          <w:tcPr>
            <w:tcW w:w="4023" w:type="dxa"/>
          </w:tcPr>
          <w:p w14:paraId="299E9F88" w14:textId="77777777" w:rsidR="00A17ECC" w:rsidRPr="00A319F9" w:rsidRDefault="00A17ECC" w:rsidP="009F2749"/>
        </w:tc>
      </w:tr>
      <w:tr w:rsidR="00A17ECC" w:rsidRPr="00D5104D" w14:paraId="42499284" w14:textId="77777777" w:rsidTr="009F2749">
        <w:trPr>
          <w:trHeight w:val="321"/>
          <w:jc w:val="center"/>
        </w:trPr>
        <w:tc>
          <w:tcPr>
            <w:tcW w:w="4023" w:type="dxa"/>
          </w:tcPr>
          <w:p w14:paraId="4E62ADDC" w14:textId="77777777" w:rsidR="00A17ECC" w:rsidRPr="00A319F9" w:rsidRDefault="00A17ECC" w:rsidP="009F2749">
            <w:r w:rsidRPr="00A319F9">
              <w:t>Southern Gas Networks Plc</w:t>
            </w:r>
          </w:p>
        </w:tc>
        <w:tc>
          <w:tcPr>
            <w:tcW w:w="4023" w:type="dxa"/>
          </w:tcPr>
          <w:p w14:paraId="3AB4B9D2" w14:textId="77777777" w:rsidR="00A17ECC" w:rsidRPr="00A319F9" w:rsidRDefault="00A17ECC" w:rsidP="009F2749"/>
        </w:tc>
      </w:tr>
      <w:tr w:rsidR="00A17ECC" w:rsidRPr="00D5104D" w14:paraId="74B14610" w14:textId="77777777" w:rsidTr="009F2749">
        <w:trPr>
          <w:trHeight w:val="321"/>
          <w:jc w:val="center"/>
        </w:trPr>
        <w:tc>
          <w:tcPr>
            <w:tcW w:w="4023" w:type="dxa"/>
          </w:tcPr>
          <w:p w14:paraId="1B86BB01" w14:textId="77777777" w:rsidR="00A17ECC" w:rsidRPr="00A319F9" w:rsidRDefault="00A17ECC" w:rsidP="009F2749">
            <w:r w:rsidRPr="00A319F9">
              <w:t>Wales &amp; West Utilities Limited</w:t>
            </w:r>
          </w:p>
        </w:tc>
        <w:tc>
          <w:tcPr>
            <w:tcW w:w="4023" w:type="dxa"/>
          </w:tcPr>
          <w:p w14:paraId="1AC0E22B" w14:textId="77777777" w:rsidR="00A17ECC" w:rsidRPr="00A319F9" w:rsidRDefault="00A17ECC" w:rsidP="009F2749"/>
        </w:tc>
      </w:tr>
      <w:tr w:rsidR="00A17ECC" w:rsidRPr="00D5104D" w14:paraId="774601D0" w14:textId="77777777" w:rsidTr="009F2749">
        <w:trPr>
          <w:trHeight w:val="321"/>
          <w:jc w:val="center"/>
        </w:trPr>
        <w:tc>
          <w:tcPr>
            <w:tcW w:w="4023" w:type="dxa"/>
          </w:tcPr>
          <w:p w14:paraId="4FD9C7BA" w14:textId="77777777" w:rsidR="00A17ECC" w:rsidRPr="00A319F9" w:rsidRDefault="00A17ECC" w:rsidP="009F2749">
            <w:r w:rsidRPr="00A319F9">
              <w:lastRenderedPageBreak/>
              <w:t>Cadent Limited</w:t>
            </w:r>
          </w:p>
        </w:tc>
        <w:tc>
          <w:tcPr>
            <w:tcW w:w="4023" w:type="dxa"/>
          </w:tcPr>
          <w:p w14:paraId="70D00468" w14:textId="77777777" w:rsidR="00A17ECC" w:rsidRPr="00A319F9" w:rsidRDefault="00A17ECC" w:rsidP="009F2749"/>
        </w:tc>
      </w:tr>
    </w:tbl>
    <w:p w14:paraId="05C06BB3" w14:textId="77777777" w:rsidR="00A17ECC" w:rsidRPr="009E3FB5" w:rsidRDefault="00A17ECC" w:rsidP="00A17ECC">
      <w:pPr>
        <w:pStyle w:val="Heading2"/>
        <w:numPr>
          <w:ilvl w:val="1"/>
          <w:numId w:val="7"/>
        </w:numPr>
      </w:pPr>
      <w:bookmarkStart w:id="99" w:name="_Toc51783650"/>
      <w:bookmarkStart w:id="100" w:name="_Toc52364553"/>
      <w:r>
        <w:t>Multiple Occupancy Buildings safety Re-opener (MOBS</w:t>
      </w:r>
      <w:r w:rsidRPr="00E22557">
        <w:rPr>
          <w:vertAlign w:val="subscript"/>
        </w:rPr>
        <w:t>t</w:t>
      </w:r>
      <w:r>
        <w:t>)</w:t>
      </w:r>
      <w:bookmarkEnd w:id="99"/>
      <w:bookmarkEnd w:id="100"/>
    </w:p>
    <w:p w14:paraId="41F0576B" w14:textId="77777777" w:rsidR="00A17ECC" w:rsidRPr="009E3FB5" w:rsidRDefault="00A17ECC" w:rsidP="00A17ECC">
      <w:pPr>
        <w:pStyle w:val="Heading3nonumbering"/>
      </w:pPr>
      <w:r w:rsidRPr="009E3FB5">
        <w:t xml:space="preserve">Introduction </w:t>
      </w:r>
    </w:p>
    <w:p w14:paraId="3C566FD9" w14:textId="1F4E302A" w:rsidR="00A17ECC" w:rsidRPr="009E3FB5" w:rsidRDefault="00A17ECC" w:rsidP="00A17ECC">
      <w:pPr>
        <w:pStyle w:val="NumberedNormal"/>
        <w:numPr>
          <w:ilvl w:val="2"/>
          <w:numId w:val="7"/>
        </w:numPr>
      </w:pPr>
      <w:r>
        <w:t>The purpose of this condition is to calculate the term MOBS</w:t>
      </w:r>
      <w:r w:rsidRPr="00E22557">
        <w:rPr>
          <w:vertAlign w:val="subscript"/>
        </w:rPr>
        <w:t xml:space="preserve">t </w:t>
      </w:r>
      <w:r>
        <w:t xml:space="preserve">(the Multiple Occupancy Buildings safety Re-opener term). This contributes to the calculation of the Totex Allowance. </w:t>
      </w:r>
    </w:p>
    <w:p w14:paraId="5B0DB8B7" w14:textId="646E07BD" w:rsidR="00A17ECC" w:rsidRPr="009E3FB5" w:rsidRDefault="00A17ECC" w:rsidP="00A17ECC">
      <w:pPr>
        <w:pStyle w:val="NumberedNormal"/>
        <w:numPr>
          <w:ilvl w:val="2"/>
          <w:numId w:val="7"/>
        </w:numPr>
      </w:pPr>
      <w:r>
        <w:t>The effect of this condition is to establish a Re-opener triggered by either the licensee or the Authority where there have been changes to the Safety Requirements Relating to Multiple Occupancy Buildings that result in material changes to the costs of carrying out License</w:t>
      </w:r>
      <w:r w:rsidR="005A6845">
        <w:t>d</w:t>
      </w:r>
      <w:r>
        <w:t xml:space="preserve"> Activity. </w:t>
      </w:r>
    </w:p>
    <w:p w14:paraId="38741900" w14:textId="77777777" w:rsidR="00A17ECC" w:rsidRPr="009E3FB5" w:rsidRDefault="00A17ECC" w:rsidP="00A17ECC">
      <w:pPr>
        <w:pStyle w:val="NumberedNormal"/>
        <w:numPr>
          <w:ilvl w:val="2"/>
          <w:numId w:val="7"/>
        </w:numPr>
      </w:pPr>
      <w:r>
        <w:t xml:space="preserve">This condition also explains the process the Authority will follow when directing any changes as a result of the Re-opener. </w:t>
      </w:r>
    </w:p>
    <w:p w14:paraId="58EFEAA4" w14:textId="77777777" w:rsidR="00A17ECC" w:rsidRPr="009E3FB5" w:rsidRDefault="00A17ECC" w:rsidP="00A17ECC"/>
    <w:p w14:paraId="07098706" w14:textId="77777777" w:rsidR="00A17ECC" w:rsidRPr="009E3FB5" w:rsidRDefault="00A17ECC" w:rsidP="00A17ECC">
      <w:pPr>
        <w:pStyle w:val="Heading3"/>
        <w:numPr>
          <w:ilvl w:val="5"/>
          <w:numId w:val="7"/>
        </w:numPr>
      </w:pPr>
      <w:r>
        <w:t>What changes in the safety requirements relating to Multiple Occupancy Buildings are within the scope of this Re-opener?</w:t>
      </w:r>
    </w:p>
    <w:p w14:paraId="138DA4CF" w14:textId="77777777" w:rsidR="00A17ECC" w:rsidRPr="009E3FB5" w:rsidRDefault="00A17ECC" w:rsidP="00A17ECC">
      <w:pPr>
        <w:pStyle w:val="NumberedNormal"/>
        <w:numPr>
          <w:ilvl w:val="2"/>
          <w:numId w:val="7"/>
        </w:numPr>
      </w:pPr>
      <w:r>
        <w:t xml:space="preserve">The licensee may apply to the Authority for a direction to adjust the value of the MOBSt term for any Regulatory Year during the Price Control Period where there have been changes to the Safety Requirements Relating to Multiple Occupancy Buildings that affect its legal obligations as a licensee. </w:t>
      </w:r>
    </w:p>
    <w:p w14:paraId="3BF85272" w14:textId="77777777" w:rsidR="00A17ECC" w:rsidRPr="009E3FB5" w:rsidRDefault="00A17ECC" w:rsidP="00A17ECC">
      <w:pPr>
        <w:pStyle w:val="Heading3"/>
        <w:numPr>
          <w:ilvl w:val="5"/>
          <w:numId w:val="7"/>
        </w:numPr>
      </w:pPr>
      <w:r>
        <w:t>When can applications be made?</w:t>
      </w:r>
    </w:p>
    <w:p w14:paraId="407FB090" w14:textId="545EC51A" w:rsidR="00A17ECC" w:rsidRPr="009E3FB5" w:rsidRDefault="00A17ECC" w:rsidP="00A17ECC">
      <w:pPr>
        <w:pStyle w:val="NumberedNormal"/>
        <w:numPr>
          <w:ilvl w:val="2"/>
          <w:numId w:val="7"/>
        </w:numPr>
      </w:pPr>
      <w:r>
        <w:t>The licensee may only apply to the Authority for an adjustment under paragraph 3.</w:t>
      </w:r>
      <w:r w:rsidR="00C344F8">
        <w:t>18</w:t>
      </w:r>
      <w:r>
        <w:t>.4:</w:t>
      </w:r>
    </w:p>
    <w:p w14:paraId="7DA55349" w14:textId="77777777" w:rsidR="00A17ECC" w:rsidRPr="009E3FB5" w:rsidRDefault="00A17ECC" w:rsidP="00A17ECC">
      <w:pPr>
        <w:pStyle w:val="ListNormal"/>
        <w:numPr>
          <w:ilvl w:val="3"/>
          <w:numId w:val="7"/>
        </w:numPr>
      </w:pPr>
      <w:r>
        <w:t xml:space="preserve">Between [25 January 2022 and 31 January 2022]; </w:t>
      </w:r>
    </w:p>
    <w:p w14:paraId="4A790297" w14:textId="77777777" w:rsidR="00A17ECC" w:rsidRDefault="00A17ECC" w:rsidP="00A17ECC">
      <w:pPr>
        <w:pStyle w:val="ListNormal"/>
        <w:numPr>
          <w:ilvl w:val="3"/>
          <w:numId w:val="7"/>
        </w:numPr>
      </w:pPr>
      <w:r>
        <w:t>Between [25 January 2023 and 31 January 2023]; or</w:t>
      </w:r>
    </w:p>
    <w:p w14:paraId="1F654A6D" w14:textId="77777777" w:rsidR="00A17ECC" w:rsidRPr="009E3FB5" w:rsidRDefault="00A17ECC" w:rsidP="00A17ECC">
      <w:pPr>
        <w:pStyle w:val="ListNormal"/>
        <w:numPr>
          <w:ilvl w:val="3"/>
          <w:numId w:val="7"/>
        </w:numPr>
      </w:pPr>
      <w:r>
        <w:t>during such later periods as the Authority may direct.</w:t>
      </w:r>
    </w:p>
    <w:p w14:paraId="0BE4FCD6" w14:textId="77777777" w:rsidR="00A17ECC" w:rsidRPr="009E3FB5" w:rsidRDefault="00A17ECC" w:rsidP="00A17ECC">
      <w:pPr>
        <w:pStyle w:val="Heading3"/>
        <w:numPr>
          <w:ilvl w:val="5"/>
          <w:numId w:val="7"/>
        </w:numPr>
      </w:pPr>
      <w:r>
        <w:t>How should an application be made?</w:t>
      </w:r>
    </w:p>
    <w:p w14:paraId="6AC44AEC" w14:textId="235AC40D" w:rsidR="00A17ECC" w:rsidRPr="009E3FB5" w:rsidRDefault="00A17ECC" w:rsidP="00A17ECC">
      <w:pPr>
        <w:pStyle w:val="NumberedNormal"/>
        <w:numPr>
          <w:ilvl w:val="2"/>
          <w:numId w:val="7"/>
        </w:numPr>
      </w:pPr>
      <w:r>
        <w:t>An application under paragraph 3.</w:t>
      </w:r>
      <w:r w:rsidR="00C344F8">
        <w:t>18</w:t>
      </w:r>
      <w:r>
        <w:t>.4 must be made in writing to the Authority and must:</w:t>
      </w:r>
    </w:p>
    <w:p w14:paraId="077B2DE2" w14:textId="77777777" w:rsidR="00A17ECC" w:rsidRPr="009E3FB5" w:rsidRDefault="00A17ECC" w:rsidP="00A17ECC">
      <w:pPr>
        <w:pStyle w:val="ListNormal"/>
        <w:numPr>
          <w:ilvl w:val="3"/>
          <w:numId w:val="7"/>
        </w:numPr>
      </w:pPr>
      <w:r>
        <w:t>specify the changes to the Safety Requirements Relating to Multiple Occupancy Buildings and the consequent changes to the licensee's legal obligations to which the application relates;</w:t>
      </w:r>
    </w:p>
    <w:p w14:paraId="1B9BEB08" w14:textId="77777777" w:rsidR="00A17ECC" w:rsidRPr="009E3FB5" w:rsidRDefault="00A17ECC" w:rsidP="00A17ECC">
      <w:pPr>
        <w:pStyle w:val="ListNormal"/>
        <w:numPr>
          <w:ilvl w:val="3"/>
          <w:numId w:val="7"/>
        </w:numPr>
      </w:pPr>
      <w:r>
        <w:t>set out the adjustments to the value of the MOBS</w:t>
      </w:r>
      <w:r w:rsidRPr="004E1E8E">
        <w:rPr>
          <w:vertAlign w:val="subscript"/>
        </w:rPr>
        <w:t>t</w:t>
      </w:r>
      <w:r>
        <w:t xml:space="preserve"> term that the licensee is requesting, and the Regulatory Years to which those adjustments relate; </w:t>
      </w:r>
    </w:p>
    <w:p w14:paraId="479440A9" w14:textId="77777777" w:rsidR="00A17ECC" w:rsidRPr="009E3FB5" w:rsidRDefault="00A17ECC" w:rsidP="00A17ECC">
      <w:pPr>
        <w:pStyle w:val="ListNormal"/>
        <w:numPr>
          <w:ilvl w:val="3"/>
          <w:numId w:val="7"/>
        </w:numPr>
      </w:pPr>
      <w:r>
        <w:t>explain the basis of the calculation for the proposed adjustments to the MOBS</w:t>
      </w:r>
      <w:r w:rsidRPr="004E1E8E">
        <w:rPr>
          <w:vertAlign w:val="subscript"/>
        </w:rPr>
        <w:t>t</w:t>
      </w:r>
      <w:r>
        <w:t xml:space="preserve"> term; and </w:t>
      </w:r>
    </w:p>
    <w:p w14:paraId="1D817A6C" w14:textId="77777777" w:rsidR="00A17ECC" w:rsidRPr="009E3FB5" w:rsidRDefault="00A17ECC" w:rsidP="00A17ECC">
      <w:pPr>
        <w:pStyle w:val="ListNormal"/>
        <w:numPr>
          <w:ilvl w:val="3"/>
          <w:numId w:val="7"/>
        </w:numPr>
      </w:pPr>
      <w:r>
        <w:lastRenderedPageBreak/>
        <w:t>include such detailed supporting evidence, including cost benefit analysis, impact assessments and engineering justification statements, as is reasonable in the circumstances.</w:t>
      </w:r>
    </w:p>
    <w:p w14:paraId="0B4251B6" w14:textId="720A837F" w:rsidR="00A17ECC" w:rsidRPr="009E3FB5" w:rsidRDefault="00A17ECC" w:rsidP="00A17ECC">
      <w:pPr>
        <w:pStyle w:val="NumberedNormal"/>
        <w:numPr>
          <w:ilvl w:val="2"/>
          <w:numId w:val="7"/>
        </w:numPr>
      </w:pPr>
      <w:r>
        <w:t>An application under paragraph 3.</w:t>
      </w:r>
      <w:r w:rsidR="00C344F8">
        <w:t>18</w:t>
      </w:r>
      <w:r>
        <w:t>.4 must:</w:t>
      </w:r>
    </w:p>
    <w:p w14:paraId="0A4569BE" w14:textId="77777777" w:rsidR="00A17ECC" w:rsidRPr="009E3FB5" w:rsidRDefault="00A17ECC" w:rsidP="00A17ECC">
      <w:pPr>
        <w:pStyle w:val="ListNormal"/>
        <w:numPr>
          <w:ilvl w:val="3"/>
          <w:numId w:val="7"/>
        </w:numPr>
      </w:pPr>
      <w:r>
        <w:t>relate to changes to the Safety Requirements Relating to Multiple Occupancy Buildings that have come into effect on or after 1 April 2021;</w:t>
      </w:r>
    </w:p>
    <w:p w14:paraId="23F66176" w14:textId="6C2BC116" w:rsidR="00A17ECC" w:rsidRDefault="00A17ECC" w:rsidP="00A17ECC">
      <w:pPr>
        <w:pStyle w:val="ListNormal"/>
        <w:numPr>
          <w:ilvl w:val="3"/>
          <w:numId w:val="7"/>
        </w:numPr>
      </w:pPr>
      <w:r>
        <w:t xml:space="preserve">take account of any allowed expenditure, which can be avoided as a result of the change; </w:t>
      </w:r>
    </w:p>
    <w:p w14:paraId="258DB2A4" w14:textId="3028154F" w:rsidR="007D5C49" w:rsidRPr="009E3FB5" w:rsidRDefault="007D5C49" w:rsidP="00A17ECC">
      <w:pPr>
        <w:pStyle w:val="ListNormal"/>
        <w:numPr>
          <w:ilvl w:val="3"/>
          <w:numId w:val="7"/>
        </w:numPr>
      </w:pPr>
      <w:r>
        <w:t>exceed the relevant materiality threshold in Appendix 1; and</w:t>
      </w:r>
    </w:p>
    <w:p w14:paraId="3E05B1A0" w14:textId="77777777" w:rsidR="00A17ECC" w:rsidRPr="009E3FB5" w:rsidRDefault="00A17ECC" w:rsidP="00A17ECC">
      <w:pPr>
        <w:pStyle w:val="ListNormal"/>
        <w:numPr>
          <w:ilvl w:val="3"/>
          <w:numId w:val="7"/>
        </w:numPr>
      </w:pPr>
      <w:r>
        <w:t>be confined to costs incurred or expected to be incurred on or after 1 April 2021.</w:t>
      </w:r>
    </w:p>
    <w:p w14:paraId="64A78E4A" w14:textId="77777777" w:rsidR="00A17ECC" w:rsidRPr="009E3FB5" w:rsidRDefault="00A17ECC" w:rsidP="00A17ECC">
      <w:pPr>
        <w:pStyle w:val="Heading3"/>
        <w:numPr>
          <w:ilvl w:val="5"/>
          <w:numId w:val="7"/>
        </w:numPr>
      </w:pPr>
      <w:r>
        <w:t>Authority triggered re-opener</w:t>
      </w:r>
    </w:p>
    <w:p w14:paraId="0B0A89DF" w14:textId="77777777" w:rsidR="00A17ECC" w:rsidRPr="009E3FB5" w:rsidRDefault="00A17ECC" w:rsidP="00A17ECC">
      <w:pPr>
        <w:pStyle w:val="NumberedNormal"/>
        <w:numPr>
          <w:ilvl w:val="2"/>
          <w:numId w:val="7"/>
        </w:numPr>
      </w:pPr>
      <w:r>
        <w:t>The Authority will also consider directing an adjustment to the value of the MOBS</w:t>
      </w:r>
      <w:r w:rsidRPr="007A6C4E">
        <w:rPr>
          <w:vertAlign w:val="subscript"/>
        </w:rPr>
        <w:t>t</w:t>
      </w:r>
      <w:r>
        <w:t xml:space="preserve"> term where it considers that there have been changes to Safety Requirements Relating to Multiple Occupancy Buildings that affect the licensee's legal obligations as a licensee that:</w:t>
      </w:r>
    </w:p>
    <w:p w14:paraId="2E57F373" w14:textId="5067076C" w:rsidR="00A17ECC" w:rsidRDefault="00A17ECC" w:rsidP="00A17ECC">
      <w:pPr>
        <w:pStyle w:val="ListNormal"/>
        <w:numPr>
          <w:ilvl w:val="3"/>
          <w:numId w:val="7"/>
        </w:numPr>
      </w:pPr>
      <w:r>
        <w:t>have come into effect on or after 1 April 2021;</w:t>
      </w:r>
    </w:p>
    <w:p w14:paraId="1B948F81" w14:textId="1B2F69DC" w:rsidR="007D5C49" w:rsidRPr="009E3FB5" w:rsidRDefault="007D5C49" w:rsidP="00A17ECC">
      <w:pPr>
        <w:pStyle w:val="ListNormal"/>
        <w:numPr>
          <w:ilvl w:val="3"/>
          <w:numId w:val="7"/>
        </w:numPr>
      </w:pPr>
      <w:r>
        <w:t>exceed the relevant materiality threshold in Appendix 1; and</w:t>
      </w:r>
    </w:p>
    <w:p w14:paraId="7F234888" w14:textId="2E549620" w:rsidR="00A17ECC" w:rsidRDefault="00A17ECC" w:rsidP="00A17ECC">
      <w:pPr>
        <w:pStyle w:val="ListNormal"/>
        <w:numPr>
          <w:ilvl w:val="3"/>
          <w:numId w:val="7"/>
        </w:numPr>
      </w:pPr>
      <w:r>
        <w:t>relate to costs incurred or expected to be incurred on or after 1 April 2021</w:t>
      </w:r>
      <w:r w:rsidR="007D5C49">
        <w:t>.</w:t>
      </w:r>
    </w:p>
    <w:p w14:paraId="02241062" w14:textId="77777777" w:rsidR="00A17ECC" w:rsidRPr="009E3FB5" w:rsidRDefault="00A17ECC" w:rsidP="00A17ECC">
      <w:pPr>
        <w:pStyle w:val="ListNormal"/>
        <w:numPr>
          <w:ilvl w:val="0"/>
          <w:numId w:val="0"/>
        </w:numPr>
        <w:ind w:left="879"/>
      </w:pPr>
    </w:p>
    <w:p w14:paraId="3C954416" w14:textId="77777777" w:rsidR="00A17ECC" w:rsidRPr="009E3FB5" w:rsidRDefault="00A17ECC" w:rsidP="00A17ECC">
      <w:pPr>
        <w:pStyle w:val="Heading3"/>
        <w:numPr>
          <w:ilvl w:val="5"/>
          <w:numId w:val="7"/>
        </w:numPr>
      </w:pPr>
      <w:r>
        <w:t>What process will the Authority follow in directing changes to allowances?</w:t>
      </w:r>
    </w:p>
    <w:p w14:paraId="4561DA95" w14:textId="32A20C6F" w:rsidR="00A17ECC" w:rsidRPr="009E3FB5" w:rsidRDefault="00A17ECC" w:rsidP="00A17ECC">
      <w:pPr>
        <w:pStyle w:val="NumberedNormal"/>
        <w:numPr>
          <w:ilvl w:val="2"/>
          <w:numId w:val="7"/>
        </w:numPr>
      </w:pPr>
      <w:r>
        <w:t>Before making a direction under paragraph 3.</w:t>
      </w:r>
      <w:r w:rsidR="00C344F8">
        <w:t>19</w:t>
      </w:r>
      <w:r>
        <w:t>.4 or 3.</w:t>
      </w:r>
      <w:r w:rsidR="00C344F8">
        <w:t>19</w:t>
      </w:r>
      <w:r>
        <w:t>.8, the Authority will publish on the Authority's Website:</w:t>
      </w:r>
    </w:p>
    <w:p w14:paraId="560B67C2" w14:textId="77777777" w:rsidR="00A17ECC" w:rsidRPr="009E3FB5" w:rsidRDefault="00A17ECC" w:rsidP="00A17ECC">
      <w:pPr>
        <w:pStyle w:val="ListNormal"/>
        <w:numPr>
          <w:ilvl w:val="3"/>
          <w:numId w:val="7"/>
        </w:numPr>
      </w:pPr>
      <w:r>
        <w:t>the text of the proposed direction;</w:t>
      </w:r>
    </w:p>
    <w:p w14:paraId="0E987152" w14:textId="77777777" w:rsidR="00A17ECC" w:rsidRPr="009E3FB5" w:rsidRDefault="00A17ECC" w:rsidP="00A17ECC">
      <w:pPr>
        <w:pStyle w:val="ListNormal"/>
        <w:numPr>
          <w:ilvl w:val="3"/>
          <w:numId w:val="7"/>
        </w:numPr>
      </w:pPr>
      <w:r>
        <w:t>the reasons for the proposed direction; and</w:t>
      </w:r>
    </w:p>
    <w:p w14:paraId="0940033A" w14:textId="77777777" w:rsidR="00A17ECC" w:rsidRPr="009E3FB5" w:rsidRDefault="00A17ECC" w:rsidP="00A17ECC">
      <w:pPr>
        <w:pStyle w:val="ListNormal"/>
        <w:numPr>
          <w:ilvl w:val="3"/>
          <w:numId w:val="7"/>
        </w:numPr>
      </w:pPr>
      <w:r>
        <w:t>a period during which representations may be made on the proposed direction, which will not be less than 28 days.</w:t>
      </w:r>
    </w:p>
    <w:p w14:paraId="77C87087" w14:textId="77777777" w:rsidR="00A17ECC" w:rsidRPr="009E3FB5" w:rsidRDefault="00A17ECC" w:rsidP="00A17ECC">
      <w:pPr>
        <w:pStyle w:val="NumberedNormal"/>
        <w:numPr>
          <w:ilvl w:val="2"/>
          <w:numId w:val="7"/>
        </w:numPr>
      </w:pPr>
      <w:r>
        <w:t>The direction will set out any amendments to the value of the MOBS</w:t>
      </w:r>
      <w:r w:rsidRPr="007A6C4E">
        <w:rPr>
          <w:vertAlign w:val="subscript"/>
        </w:rPr>
        <w:t>t</w:t>
      </w:r>
      <w:r>
        <w:t xml:space="preserve"> term and the Regulatory Years to which those adjustments relate, </w:t>
      </w:r>
    </w:p>
    <w:p w14:paraId="5F91EE8A" w14:textId="77777777" w:rsidR="00A17ECC" w:rsidRPr="009E3FB5" w:rsidRDefault="00A17ECC" w:rsidP="00A17ECC">
      <w:pPr>
        <w:pStyle w:val="AppendixHeading"/>
      </w:pPr>
    </w:p>
    <w:p w14:paraId="7C791BF1" w14:textId="77777777" w:rsidR="00A17ECC" w:rsidRPr="007A6C4E" w:rsidRDefault="00A17ECC" w:rsidP="00A17ECC">
      <w:pPr>
        <w:pStyle w:val="Caption"/>
      </w:pPr>
      <w:r w:rsidRPr="007A6C4E">
        <w:t>Materiality Threshold and Totex Incentive Strength Rate</w:t>
      </w:r>
    </w:p>
    <w:tbl>
      <w:tblPr>
        <w:tblStyle w:val="AppendixTable"/>
        <w:tblW w:w="0" w:type="auto"/>
        <w:jc w:val="center"/>
        <w:tblLook w:val="04A0" w:firstRow="1" w:lastRow="0" w:firstColumn="1" w:lastColumn="0" w:noHBand="0" w:noVBand="1"/>
      </w:tblPr>
      <w:tblGrid>
        <w:gridCol w:w="2882"/>
        <w:gridCol w:w="2877"/>
      </w:tblGrid>
      <w:tr w:rsidR="00B56101" w:rsidRPr="00DE541A" w14:paraId="38C82D5D" w14:textId="77777777" w:rsidTr="00B56101">
        <w:trPr>
          <w:cnfStyle w:val="100000000000" w:firstRow="1" w:lastRow="0" w:firstColumn="0" w:lastColumn="0" w:oddVBand="0" w:evenVBand="0" w:oddHBand="0" w:evenHBand="0" w:firstRowFirstColumn="0" w:firstRowLastColumn="0" w:lastRowFirstColumn="0" w:lastRowLastColumn="0"/>
          <w:trHeight w:val="305"/>
          <w:jc w:val="center"/>
        </w:trPr>
        <w:tc>
          <w:tcPr>
            <w:tcW w:w="0" w:type="auto"/>
          </w:tcPr>
          <w:p w14:paraId="4D31D766" w14:textId="77777777" w:rsidR="00B56101" w:rsidRPr="009E3FB5" w:rsidRDefault="00B56101" w:rsidP="009F2749">
            <w:r w:rsidRPr="009E3FB5">
              <w:t>Licensee</w:t>
            </w:r>
          </w:p>
        </w:tc>
        <w:tc>
          <w:tcPr>
            <w:tcW w:w="0" w:type="auto"/>
          </w:tcPr>
          <w:p w14:paraId="0C213ECC" w14:textId="77777777" w:rsidR="00B56101" w:rsidRPr="009E3FB5" w:rsidRDefault="00B56101" w:rsidP="009F2749">
            <w:r w:rsidRPr="009E3FB5">
              <w:t xml:space="preserve">Materiality Threshold £m </w:t>
            </w:r>
          </w:p>
        </w:tc>
      </w:tr>
      <w:tr w:rsidR="00B56101" w:rsidRPr="00D5104D" w14:paraId="499A75AA" w14:textId="77777777" w:rsidTr="00B56101">
        <w:trPr>
          <w:trHeight w:val="321"/>
          <w:jc w:val="center"/>
        </w:trPr>
        <w:tc>
          <w:tcPr>
            <w:tcW w:w="0" w:type="auto"/>
          </w:tcPr>
          <w:p w14:paraId="72811B94" w14:textId="6E803E3A" w:rsidR="00B56101" w:rsidRPr="009E3FB5" w:rsidRDefault="00B56101" w:rsidP="007D5C49">
            <w:r>
              <w:t>Cadent Limited</w:t>
            </w:r>
          </w:p>
        </w:tc>
        <w:tc>
          <w:tcPr>
            <w:tcW w:w="0" w:type="auto"/>
          </w:tcPr>
          <w:p w14:paraId="5E0BF1F4" w14:textId="586E1B86" w:rsidR="00B56101" w:rsidRPr="009E3FB5" w:rsidRDefault="00B56101" w:rsidP="009F2749"/>
        </w:tc>
      </w:tr>
      <w:tr w:rsidR="00B56101" w:rsidRPr="00D5104D" w14:paraId="4EFA88EC" w14:textId="77777777" w:rsidTr="00B56101">
        <w:trPr>
          <w:trHeight w:val="321"/>
          <w:jc w:val="center"/>
        </w:trPr>
        <w:tc>
          <w:tcPr>
            <w:tcW w:w="0" w:type="auto"/>
          </w:tcPr>
          <w:p w14:paraId="41DFAA4A" w14:textId="77777777" w:rsidR="00B56101" w:rsidRPr="009E3FB5" w:rsidRDefault="00B56101" w:rsidP="009F2749">
            <w:r w:rsidRPr="009E3FB5">
              <w:t>Northern Gas Networks Ltd</w:t>
            </w:r>
          </w:p>
        </w:tc>
        <w:tc>
          <w:tcPr>
            <w:tcW w:w="0" w:type="auto"/>
          </w:tcPr>
          <w:p w14:paraId="3C94AEC0" w14:textId="77777777" w:rsidR="00B56101" w:rsidRPr="009E3FB5" w:rsidRDefault="00B56101" w:rsidP="009F2749"/>
        </w:tc>
      </w:tr>
      <w:tr w:rsidR="00B56101" w:rsidRPr="00D5104D" w14:paraId="3265C3DE" w14:textId="77777777" w:rsidTr="00B56101">
        <w:trPr>
          <w:trHeight w:val="321"/>
          <w:jc w:val="center"/>
        </w:trPr>
        <w:tc>
          <w:tcPr>
            <w:tcW w:w="0" w:type="auto"/>
          </w:tcPr>
          <w:p w14:paraId="7C63A677" w14:textId="77777777" w:rsidR="00B56101" w:rsidRPr="009E3FB5" w:rsidRDefault="00B56101" w:rsidP="009F2749">
            <w:r w:rsidRPr="009E3FB5">
              <w:lastRenderedPageBreak/>
              <w:t>Scotland Gas Networks plc</w:t>
            </w:r>
          </w:p>
        </w:tc>
        <w:tc>
          <w:tcPr>
            <w:tcW w:w="0" w:type="auto"/>
          </w:tcPr>
          <w:p w14:paraId="15F6102E" w14:textId="77777777" w:rsidR="00B56101" w:rsidRPr="009E3FB5" w:rsidRDefault="00B56101" w:rsidP="009F2749"/>
        </w:tc>
      </w:tr>
      <w:tr w:rsidR="00B56101" w:rsidRPr="00D5104D" w14:paraId="2B494C35" w14:textId="77777777" w:rsidTr="00B56101">
        <w:trPr>
          <w:trHeight w:val="321"/>
          <w:jc w:val="center"/>
        </w:trPr>
        <w:tc>
          <w:tcPr>
            <w:tcW w:w="0" w:type="auto"/>
          </w:tcPr>
          <w:p w14:paraId="0517F471" w14:textId="77777777" w:rsidR="00B56101" w:rsidRPr="009E3FB5" w:rsidRDefault="00B56101" w:rsidP="009F2749">
            <w:r w:rsidRPr="009E3FB5">
              <w:t>Southern Gas Networks plc</w:t>
            </w:r>
          </w:p>
        </w:tc>
        <w:tc>
          <w:tcPr>
            <w:tcW w:w="0" w:type="auto"/>
          </w:tcPr>
          <w:p w14:paraId="03094FE6" w14:textId="77777777" w:rsidR="00B56101" w:rsidRPr="009E3FB5" w:rsidRDefault="00B56101" w:rsidP="009F2749"/>
        </w:tc>
      </w:tr>
      <w:tr w:rsidR="00B56101" w:rsidRPr="00D5104D" w14:paraId="46D19CFC" w14:textId="77777777" w:rsidTr="00B56101">
        <w:trPr>
          <w:trHeight w:val="321"/>
          <w:jc w:val="center"/>
        </w:trPr>
        <w:tc>
          <w:tcPr>
            <w:tcW w:w="0" w:type="auto"/>
          </w:tcPr>
          <w:p w14:paraId="35FD5496" w14:textId="77777777" w:rsidR="00B56101" w:rsidRPr="009E3FB5" w:rsidRDefault="00B56101" w:rsidP="009F2749">
            <w:r w:rsidRPr="009E3FB5">
              <w:t>Wales &amp; West Utilities Ltd</w:t>
            </w:r>
          </w:p>
        </w:tc>
        <w:tc>
          <w:tcPr>
            <w:tcW w:w="0" w:type="auto"/>
          </w:tcPr>
          <w:p w14:paraId="52A2D555" w14:textId="77777777" w:rsidR="00B56101" w:rsidRPr="009E3FB5" w:rsidRDefault="00B56101" w:rsidP="009F2749"/>
        </w:tc>
      </w:tr>
    </w:tbl>
    <w:p w14:paraId="52F33936" w14:textId="77777777" w:rsidR="00A17ECC" w:rsidRPr="00DF002A" w:rsidRDefault="00A17ECC" w:rsidP="00A17ECC">
      <w:pPr>
        <w:pStyle w:val="Heading2"/>
        <w:numPr>
          <w:ilvl w:val="1"/>
          <w:numId w:val="7"/>
        </w:numPr>
      </w:pPr>
      <w:bookmarkStart w:id="101" w:name="_Toc51783652"/>
      <w:bookmarkStart w:id="102" w:name="_Toc52364554"/>
      <w:r>
        <w:t>New Large Load Connections Re-opener (NLLR</w:t>
      </w:r>
      <w:r w:rsidRPr="007A6C4E">
        <w:rPr>
          <w:vertAlign w:val="subscript"/>
        </w:rPr>
        <w:t>t</w:t>
      </w:r>
      <w:r>
        <w:t>)</w:t>
      </w:r>
      <w:bookmarkEnd w:id="101"/>
      <w:bookmarkEnd w:id="102"/>
    </w:p>
    <w:p w14:paraId="57E6C0D4" w14:textId="77777777" w:rsidR="00A17ECC" w:rsidRPr="00DF002A" w:rsidRDefault="00A17ECC" w:rsidP="00A17ECC">
      <w:pPr>
        <w:pStyle w:val="Heading3nonumbering"/>
      </w:pPr>
      <w:r w:rsidRPr="00DF002A">
        <w:t xml:space="preserve">Introduction </w:t>
      </w:r>
    </w:p>
    <w:p w14:paraId="4A807AA7" w14:textId="77777777" w:rsidR="00A17ECC" w:rsidRPr="00DF002A" w:rsidRDefault="00A17ECC" w:rsidP="00A17ECC">
      <w:pPr>
        <w:pStyle w:val="NumberedNormal"/>
        <w:numPr>
          <w:ilvl w:val="2"/>
          <w:numId w:val="7"/>
        </w:numPr>
      </w:pPr>
      <w:r>
        <w:t>The purpose of this condition is to calculate the term NLLR</w:t>
      </w:r>
      <w:r w:rsidRPr="007A6C4E">
        <w:rPr>
          <w:vertAlign w:val="subscript"/>
        </w:rPr>
        <w:t xml:space="preserve">t </w:t>
      </w:r>
      <w:r>
        <w:t xml:space="preserve">(the New Large Load Connections Re-opener term). This contributes to the calculation of the Totex Allowance. </w:t>
      </w:r>
    </w:p>
    <w:p w14:paraId="3DEE3940" w14:textId="77777777" w:rsidR="00A17ECC" w:rsidRPr="00DF002A" w:rsidRDefault="00A17ECC" w:rsidP="00A17ECC">
      <w:pPr>
        <w:pStyle w:val="NumberedNormal"/>
        <w:numPr>
          <w:ilvl w:val="2"/>
          <w:numId w:val="7"/>
        </w:numPr>
      </w:pPr>
      <w:r>
        <w:t>The effect of this condition is to establish a Re-opener triggered by either the licensee or the Authority where connection of New Large Load Connections will trigger specific reinforcement expenditure that cannot be recovered through the Connection Charge.</w:t>
      </w:r>
      <w:r w:rsidRPr="4A26DA62">
        <w:rPr>
          <w:highlight w:val="yellow"/>
        </w:rPr>
        <w:t xml:space="preserve">  </w:t>
      </w:r>
    </w:p>
    <w:p w14:paraId="77172B42" w14:textId="77777777" w:rsidR="00A17ECC" w:rsidRPr="00DF002A" w:rsidRDefault="00A17ECC" w:rsidP="00A17ECC">
      <w:pPr>
        <w:pStyle w:val="NumberedNormal"/>
        <w:numPr>
          <w:ilvl w:val="2"/>
          <w:numId w:val="7"/>
        </w:numPr>
      </w:pPr>
      <w:r>
        <w:t xml:space="preserve">This condition also explains the process the Authority will follow when directing any changes as a result of the Re-opener. </w:t>
      </w:r>
    </w:p>
    <w:p w14:paraId="4EE3691A" w14:textId="77777777" w:rsidR="00A17ECC" w:rsidRPr="00DF002A" w:rsidRDefault="00A17ECC" w:rsidP="00A17ECC">
      <w:pPr>
        <w:pStyle w:val="Heading3"/>
        <w:numPr>
          <w:ilvl w:val="5"/>
          <w:numId w:val="7"/>
        </w:numPr>
      </w:pPr>
      <w:r>
        <w:t>What connections are within the scope of this Re-opener?</w:t>
      </w:r>
    </w:p>
    <w:p w14:paraId="0543FA78" w14:textId="77777777" w:rsidR="00A17ECC" w:rsidRPr="00DF002A" w:rsidRDefault="00A17ECC" w:rsidP="00A17ECC">
      <w:pPr>
        <w:pStyle w:val="NumberedNormal"/>
        <w:numPr>
          <w:ilvl w:val="2"/>
          <w:numId w:val="7"/>
        </w:numPr>
      </w:pPr>
      <w:r>
        <w:t>The licensee may apply to the Authority for a direction to adjust the value of the NLLR</w:t>
      </w:r>
      <w:r w:rsidRPr="007A6C4E">
        <w:rPr>
          <w:vertAlign w:val="subscript"/>
        </w:rPr>
        <w:t>t</w:t>
      </w:r>
      <w:r>
        <w:t xml:space="preserve"> term for any Regulatory Year during the Price Control Period where the connection of New Large Load Connections will trigger specific reinforcement expenditure that cannot be recovered through the Connection Charge.</w:t>
      </w:r>
      <w:r w:rsidRPr="4A26DA62">
        <w:rPr>
          <w:highlight w:val="yellow"/>
        </w:rPr>
        <w:t xml:space="preserve">  </w:t>
      </w:r>
      <w:r>
        <w:t xml:space="preserve"> </w:t>
      </w:r>
    </w:p>
    <w:p w14:paraId="1BEC6FEA" w14:textId="77777777" w:rsidR="00A17ECC" w:rsidRPr="00DF002A" w:rsidRDefault="00A17ECC" w:rsidP="00A17ECC">
      <w:pPr>
        <w:pStyle w:val="Heading3"/>
        <w:numPr>
          <w:ilvl w:val="5"/>
          <w:numId w:val="7"/>
        </w:numPr>
      </w:pPr>
      <w:r>
        <w:t>When to make an application</w:t>
      </w:r>
    </w:p>
    <w:p w14:paraId="588E1ED3" w14:textId="0B40C985" w:rsidR="00A17ECC" w:rsidRPr="00DF002A" w:rsidRDefault="00A17ECC" w:rsidP="00A17ECC">
      <w:pPr>
        <w:pStyle w:val="NumberedNormal"/>
        <w:numPr>
          <w:ilvl w:val="2"/>
          <w:numId w:val="7"/>
        </w:numPr>
      </w:pPr>
      <w:r>
        <w:t>The licensee may only apply to the Authority for a</w:t>
      </w:r>
      <w:r w:rsidR="00C344F8">
        <w:t>n adjustment under paragraph 3.20</w:t>
      </w:r>
      <w:r>
        <w:t>.4 Between [25 January 2023 and 31 January 2023] or during such later periods as the Authority may direct.</w:t>
      </w:r>
    </w:p>
    <w:p w14:paraId="5F41750B" w14:textId="77777777" w:rsidR="00A17ECC" w:rsidRPr="00DF002A" w:rsidRDefault="00A17ECC" w:rsidP="00A17ECC">
      <w:pPr>
        <w:pStyle w:val="Heading3"/>
        <w:numPr>
          <w:ilvl w:val="5"/>
          <w:numId w:val="7"/>
        </w:numPr>
      </w:pPr>
      <w:r>
        <w:t>How to make an application</w:t>
      </w:r>
    </w:p>
    <w:p w14:paraId="6D341284" w14:textId="5E24ECF1" w:rsidR="00A17ECC" w:rsidRPr="00DF002A" w:rsidRDefault="00A17ECC" w:rsidP="00A17ECC">
      <w:pPr>
        <w:pStyle w:val="NumberedNormal"/>
        <w:numPr>
          <w:ilvl w:val="2"/>
          <w:numId w:val="7"/>
        </w:numPr>
      </w:pPr>
      <w:r>
        <w:t>An application under paragraph 3.</w:t>
      </w:r>
      <w:r w:rsidR="00C344F8">
        <w:t>20</w:t>
      </w:r>
      <w:r>
        <w:t>.4 must be made in writing to the Authority and:</w:t>
      </w:r>
    </w:p>
    <w:p w14:paraId="01B744E6" w14:textId="77777777" w:rsidR="00A17ECC" w:rsidRPr="00DF002A" w:rsidRDefault="00A17ECC" w:rsidP="00A17ECC">
      <w:pPr>
        <w:pStyle w:val="ListNormal"/>
        <w:numPr>
          <w:ilvl w:val="3"/>
          <w:numId w:val="7"/>
        </w:numPr>
      </w:pPr>
      <w:r>
        <w:t xml:space="preserve">specify the name and connection specifications of the New Large Load Connections to which the application relates; </w:t>
      </w:r>
    </w:p>
    <w:p w14:paraId="6EDAD13E" w14:textId="77777777" w:rsidR="00A17ECC" w:rsidRPr="00DF002A" w:rsidRDefault="00A17ECC" w:rsidP="00A17ECC">
      <w:pPr>
        <w:pStyle w:val="ListNormal"/>
        <w:numPr>
          <w:ilvl w:val="3"/>
          <w:numId w:val="7"/>
        </w:numPr>
      </w:pPr>
      <w:r>
        <w:t>set out the adjustments to the value of the NLLR</w:t>
      </w:r>
      <w:r w:rsidRPr="00261D0B">
        <w:rPr>
          <w:vertAlign w:val="subscript"/>
        </w:rPr>
        <w:t>t</w:t>
      </w:r>
      <w:r>
        <w:t xml:space="preserve"> term that the licensee is requesting, and the Regulatory Years to which those adjustments relate; </w:t>
      </w:r>
    </w:p>
    <w:p w14:paraId="5B9A1F60" w14:textId="77777777" w:rsidR="00A17ECC" w:rsidRPr="00DF002A" w:rsidRDefault="00A17ECC" w:rsidP="00A17ECC">
      <w:pPr>
        <w:pStyle w:val="ListNormal"/>
        <w:numPr>
          <w:ilvl w:val="3"/>
          <w:numId w:val="7"/>
        </w:numPr>
      </w:pPr>
      <w:r>
        <w:t>explain the basis of the calculation for the proposed adjustments to the NLLRA</w:t>
      </w:r>
      <w:r w:rsidRPr="00261D0B">
        <w:rPr>
          <w:vertAlign w:val="subscript"/>
        </w:rPr>
        <w:t>t</w:t>
      </w:r>
      <w:r>
        <w:t xml:space="preserve"> term including the Economic Test; and </w:t>
      </w:r>
    </w:p>
    <w:p w14:paraId="42B28D5A" w14:textId="77777777" w:rsidR="00A17ECC" w:rsidRPr="00DF002A" w:rsidRDefault="00A17ECC" w:rsidP="00A17ECC">
      <w:pPr>
        <w:pStyle w:val="ListNormal"/>
        <w:numPr>
          <w:ilvl w:val="3"/>
          <w:numId w:val="7"/>
        </w:numPr>
      </w:pPr>
      <w:r>
        <w:t xml:space="preserve">include such detailed supporting evidence, including any commitments that those seeking the New Large Load Connections may have provided, </w:t>
      </w:r>
      <w:r>
        <w:lastRenderedPageBreak/>
        <w:t>engineering justification statements and analysis of potential alternatives to specific reinforcement, as is reasonable in the circumstances.</w:t>
      </w:r>
    </w:p>
    <w:p w14:paraId="56E5899D" w14:textId="6BFCCDC5" w:rsidR="00A17ECC" w:rsidRPr="00DF002A" w:rsidRDefault="00A17ECC" w:rsidP="00A17ECC">
      <w:pPr>
        <w:pStyle w:val="NumberedNormal"/>
        <w:numPr>
          <w:ilvl w:val="2"/>
          <w:numId w:val="7"/>
        </w:numPr>
      </w:pPr>
      <w:r>
        <w:t>An application under paragraph 3.</w:t>
      </w:r>
      <w:r w:rsidR="00C344F8">
        <w:t>20</w:t>
      </w:r>
      <w:r>
        <w:t>.4 must:</w:t>
      </w:r>
    </w:p>
    <w:p w14:paraId="3EDD36A9" w14:textId="758FFE6D" w:rsidR="00A17ECC" w:rsidRPr="00DF002A" w:rsidRDefault="00A17ECC" w:rsidP="00A17ECC">
      <w:pPr>
        <w:pStyle w:val="ListNormal"/>
        <w:numPr>
          <w:ilvl w:val="3"/>
          <w:numId w:val="7"/>
        </w:numPr>
      </w:pPr>
      <w:r>
        <w:t xml:space="preserve">be confined to New Large Load Connections which were unforeseen </w:t>
      </w:r>
      <w:r w:rsidR="007D5C49">
        <w:t>at 1 April 2021</w:t>
      </w:r>
      <w:r>
        <w:t>;</w:t>
      </w:r>
    </w:p>
    <w:p w14:paraId="4786B714" w14:textId="77777777" w:rsidR="00A17ECC" w:rsidRPr="00DF002A" w:rsidRDefault="00A17ECC" w:rsidP="00A17ECC">
      <w:pPr>
        <w:pStyle w:val="ListNormal"/>
        <w:numPr>
          <w:ilvl w:val="3"/>
          <w:numId w:val="7"/>
        </w:numPr>
      </w:pPr>
      <w:r>
        <w:t xml:space="preserve">take account of any allowed expenditure, which was already included in the licensee's Totex Allowance on 1 April 2021; </w:t>
      </w:r>
    </w:p>
    <w:p w14:paraId="162A5143" w14:textId="6DB83CA2" w:rsidR="00A17ECC" w:rsidRPr="00DF002A" w:rsidRDefault="007D5C49" w:rsidP="00A17ECC">
      <w:pPr>
        <w:pStyle w:val="ListNormal"/>
        <w:numPr>
          <w:ilvl w:val="3"/>
          <w:numId w:val="7"/>
        </w:numPr>
      </w:pPr>
      <w:r>
        <w:t>exceed the materiality threshold in Appendix 1</w:t>
      </w:r>
      <w:r w:rsidR="00A17ECC">
        <w:t>;  and</w:t>
      </w:r>
    </w:p>
    <w:p w14:paraId="707C2664" w14:textId="77777777" w:rsidR="00A17ECC" w:rsidRPr="00DF002A" w:rsidRDefault="00A17ECC" w:rsidP="00A17ECC">
      <w:pPr>
        <w:pStyle w:val="ListNormal"/>
        <w:numPr>
          <w:ilvl w:val="3"/>
          <w:numId w:val="7"/>
        </w:numPr>
      </w:pPr>
      <w:r>
        <w:t>be confined to costs incurred or expected to be incurred on or after 1 April 2021.</w:t>
      </w:r>
    </w:p>
    <w:p w14:paraId="65D9CD3A" w14:textId="77777777" w:rsidR="00A17ECC" w:rsidRPr="00DF002A" w:rsidRDefault="00A17ECC" w:rsidP="00A17ECC">
      <w:pPr>
        <w:pStyle w:val="ListNormal"/>
        <w:numPr>
          <w:ilvl w:val="0"/>
          <w:numId w:val="0"/>
        </w:numPr>
        <w:ind w:left="879"/>
      </w:pPr>
    </w:p>
    <w:p w14:paraId="6FA3107F" w14:textId="77777777" w:rsidR="00A17ECC" w:rsidRPr="00DF002A" w:rsidRDefault="00A17ECC" w:rsidP="00A17ECC">
      <w:pPr>
        <w:pStyle w:val="Heading3"/>
        <w:numPr>
          <w:ilvl w:val="5"/>
          <w:numId w:val="7"/>
        </w:numPr>
      </w:pPr>
      <w:r>
        <w:t>Authority triggered Re-opener</w:t>
      </w:r>
    </w:p>
    <w:p w14:paraId="5DBCBD97" w14:textId="46CAB123" w:rsidR="00A17ECC" w:rsidRDefault="00A17ECC" w:rsidP="00D001B4">
      <w:pPr>
        <w:pStyle w:val="NumberedNormal"/>
        <w:numPr>
          <w:ilvl w:val="2"/>
          <w:numId w:val="7"/>
        </w:numPr>
      </w:pPr>
      <w:r>
        <w:t>The Authority will also consider directing an adjustment to the NLLRt term where it considers that:</w:t>
      </w:r>
    </w:p>
    <w:p w14:paraId="2CC22199" w14:textId="27C06083" w:rsidR="00A17ECC" w:rsidRPr="00DF002A" w:rsidRDefault="00A17ECC" w:rsidP="00A17ECC">
      <w:pPr>
        <w:pStyle w:val="ListNormal"/>
        <w:numPr>
          <w:ilvl w:val="3"/>
          <w:numId w:val="7"/>
        </w:numPr>
      </w:pPr>
      <w:r>
        <w:t>the connection of New Large Load Connections to the network will trigger specific reinforcement expenditure that cannot be recovered through the Connection Charge;</w:t>
      </w:r>
    </w:p>
    <w:p w14:paraId="2E8FB8F5" w14:textId="4FFB0EC8" w:rsidR="00A17ECC" w:rsidRDefault="00A17ECC" w:rsidP="00A17ECC">
      <w:pPr>
        <w:pStyle w:val="ListNormal"/>
        <w:numPr>
          <w:ilvl w:val="3"/>
          <w:numId w:val="7"/>
        </w:numPr>
      </w:pPr>
      <w:r>
        <w:t xml:space="preserve">the New Large Load Connections connecting were unforeseen </w:t>
      </w:r>
      <w:r w:rsidR="005F47FC">
        <w:t>at 1 April 2021</w:t>
      </w:r>
      <w:r>
        <w:t>;</w:t>
      </w:r>
    </w:p>
    <w:p w14:paraId="7C2764AF" w14:textId="741375F6" w:rsidR="005F47FC" w:rsidRPr="00DF002A" w:rsidRDefault="005F47FC" w:rsidP="00A17ECC">
      <w:pPr>
        <w:pStyle w:val="ListNormal"/>
        <w:numPr>
          <w:ilvl w:val="3"/>
          <w:numId w:val="7"/>
        </w:numPr>
      </w:pPr>
      <w:r>
        <w:t>exceed the relevant materiality threshold in Appendix 1; and</w:t>
      </w:r>
    </w:p>
    <w:p w14:paraId="49383866" w14:textId="27260BEB" w:rsidR="00A17ECC" w:rsidRPr="00DF002A" w:rsidRDefault="00A17ECC" w:rsidP="00C34E2A">
      <w:pPr>
        <w:pStyle w:val="ListNormal"/>
        <w:numPr>
          <w:ilvl w:val="3"/>
          <w:numId w:val="7"/>
        </w:numPr>
      </w:pPr>
      <w:r>
        <w:t>relate to costs that are incurred or are expected to be incurred on or after 1 April 2021</w:t>
      </w:r>
      <w:r w:rsidR="005F47FC">
        <w:t>.</w:t>
      </w:r>
    </w:p>
    <w:p w14:paraId="0CD882B1" w14:textId="77777777" w:rsidR="00A17ECC" w:rsidRPr="00DF002A" w:rsidRDefault="00A17ECC" w:rsidP="00A17ECC">
      <w:pPr>
        <w:pStyle w:val="Heading3"/>
        <w:numPr>
          <w:ilvl w:val="5"/>
          <w:numId w:val="7"/>
        </w:numPr>
      </w:pPr>
      <w:r>
        <w:t>What process will the Authority follow in making a direction?</w:t>
      </w:r>
    </w:p>
    <w:p w14:paraId="691A6769" w14:textId="53A72156" w:rsidR="00A17ECC" w:rsidRPr="00DF002A" w:rsidRDefault="00A17ECC" w:rsidP="00A17ECC">
      <w:pPr>
        <w:pStyle w:val="NumberedNormal"/>
        <w:numPr>
          <w:ilvl w:val="2"/>
          <w:numId w:val="7"/>
        </w:numPr>
      </w:pPr>
      <w:r>
        <w:t xml:space="preserve">Before making </w:t>
      </w:r>
      <w:r w:rsidR="00C344F8">
        <w:t>a direction under paragraph 3.</w:t>
      </w:r>
      <w:r w:rsidR="005E5FAA">
        <w:t>20</w:t>
      </w:r>
      <w:r>
        <w:t>.4 or 3.</w:t>
      </w:r>
      <w:r w:rsidR="005E5FAA">
        <w:t>20</w:t>
      </w:r>
      <w:r>
        <w:t>.8, the Authority will publish on the Authority's Website:</w:t>
      </w:r>
    </w:p>
    <w:p w14:paraId="34FE204E" w14:textId="77777777" w:rsidR="00A17ECC" w:rsidRPr="00DF002A" w:rsidRDefault="00A17ECC" w:rsidP="00A17ECC">
      <w:pPr>
        <w:pStyle w:val="ListNormal"/>
        <w:numPr>
          <w:ilvl w:val="3"/>
          <w:numId w:val="7"/>
        </w:numPr>
      </w:pPr>
      <w:r>
        <w:t>the text of the proposed direction;</w:t>
      </w:r>
    </w:p>
    <w:p w14:paraId="142A1F2A" w14:textId="77777777" w:rsidR="00A17ECC" w:rsidRPr="00DF002A" w:rsidRDefault="00A17ECC" w:rsidP="00A17ECC">
      <w:pPr>
        <w:pStyle w:val="ListNormal"/>
        <w:numPr>
          <w:ilvl w:val="3"/>
          <w:numId w:val="7"/>
        </w:numPr>
      </w:pPr>
      <w:r>
        <w:t>the reasons for the proposed direction; and</w:t>
      </w:r>
    </w:p>
    <w:p w14:paraId="2EFA4508" w14:textId="77777777" w:rsidR="00A17ECC" w:rsidRPr="00DF002A" w:rsidRDefault="00A17ECC" w:rsidP="00A17ECC">
      <w:pPr>
        <w:pStyle w:val="ListNormal"/>
        <w:numPr>
          <w:ilvl w:val="3"/>
          <w:numId w:val="7"/>
        </w:numPr>
      </w:pPr>
      <w:r>
        <w:t>a period during which representations may be made on the proposed direction, which will not be less than 28 days.</w:t>
      </w:r>
    </w:p>
    <w:p w14:paraId="52371547" w14:textId="77777777" w:rsidR="00A17ECC" w:rsidRPr="00DF002A" w:rsidRDefault="00A17ECC" w:rsidP="00A17ECC">
      <w:pPr>
        <w:pStyle w:val="NumberedNormal"/>
        <w:numPr>
          <w:ilvl w:val="2"/>
          <w:numId w:val="7"/>
        </w:numPr>
      </w:pPr>
      <w:r>
        <w:t>The direction will set out any adjustments to the value of the NLLR</w:t>
      </w:r>
      <w:r w:rsidRPr="00261D0B">
        <w:rPr>
          <w:vertAlign w:val="subscript"/>
        </w:rPr>
        <w:t>t</w:t>
      </w:r>
      <w:r>
        <w:t xml:space="preserve"> term and the Regulatory Years to which those adjustments relate.</w:t>
      </w:r>
    </w:p>
    <w:p w14:paraId="263828AD" w14:textId="77777777" w:rsidR="00A17ECC" w:rsidRPr="00DF002A" w:rsidRDefault="00A17ECC" w:rsidP="00A17ECC">
      <w:pPr>
        <w:pStyle w:val="AppendixHeading"/>
      </w:pPr>
    </w:p>
    <w:p w14:paraId="537D2D31" w14:textId="77777777" w:rsidR="00A17ECC" w:rsidRPr="00261D0B" w:rsidRDefault="00A17ECC" w:rsidP="00A17ECC">
      <w:pPr>
        <w:pStyle w:val="Caption"/>
      </w:pPr>
      <w:r w:rsidRPr="00261D0B">
        <w:t>Materiality Threshold and Totex Incentive Strength Rate</w:t>
      </w:r>
    </w:p>
    <w:tbl>
      <w:tblPr>
        <w:tblStyle w:val="AppendixTable"/>
        <w:tblW w:w="3769" w:type="pct"/>
        <w:jc w:val="center"/>
        <w:tblLook w:val="04A0" w:firstRow="1" w:lastRow="0" w:firstColumn="1" w:lastColumn="0" w:noHBand="0" w:noVBand="1"/>
      </w:tblPr>
      <w:tblGrid>
        <w:gridCol w:w="2222"/>
        <w:gridCol w:w="4582"/>
      </w:tblGrid>
      <w:tr w:rsidR="0062136A" w:rsidRPr="00DE541A" w14:paraId="4F724E85" w14:textId="77777777" w:rsidTr="0062136A">
        <w:trPr>
          <w:cnfStyle w:val="100000000000" w:firstRow="1" w:lastRow="0" w:firstColumn="0" w:lastColumn="0" w:oddVBand="0" w:evenVBand="0" w:oddHBand="0" w:evenHBand="0" w:firstRowFirstColumn="0" w:firstRowLastColumn="0" w:lastRowFirstColumn="0" w:lastRowLastColumn="0"/>
          <w:trHeight w:val="305"/>
          <w:jc w:val="center"/>
        </w:trPr>
        <w:tc>
          <w:tcPr>
            <w:tcW w:w="1633" w:type="pct"/>
          </w:tcPr>
          <w:p w14:paraId="043BA16C" w14:textId="77777777" w:rsidR="0062136A" w:rsidRPr="00DF002A" w:rsidRDefault="0062136A" w:rsidP="009F2749">
            <w:r w:rsidRPr="00DF002A">
              <w:t>Licensee</w:t>
            </w:r>
          </w:p>
        </w:tc>
        <w:tc>
          <w:tcPr>
            <w:tcW w:w="3367" w:type="pct"/>
          </w:tcPr>
          <w:p w14:paraId="7EAC5FEE" w14:textId="77777777" w:rsidR="0062136A" w:rsidRPr="00DF002A" w:rsidRDefault="0062136A" w:rsidP="009F2749">
            <w:r w:rsidRPr="00DF002A">
              <w:t xml:space="preserve">Materiality Threshold £m </w:t>
            </w:r>
          </w:p>
        </w:tc>
      </w:tr>
      <w:tr w:rsidR="0062136A" w:rsidRPr="00D5104D" w14:paraId="51DC38B9" w14:textId="77777777" w:rsidTr="0062136A">
        <w:trPr>
          <w:trHeight w:val="321"/>
          <w:jc w:val="center"/>
        </w:trPr>
        <w:tc>
          <w:tcPr>
            <w:tcW w:w="1633" w:type="pct"/>
          </w:tcPr>
          <w:p w14:paraId="6F3B1AA2" w14:textId="3E2381B2" w:rsidR="0062136A" w:rsidRPr="00DF002A" w:rsidRDefault="0062136A" w:rsidP="009F2749">
            <w:r>
              <w:t>Cadent Limited</w:t>
            </w:r>
          </w:p>
        </w:tc>
        <w:tc>
          <w:tcPr>
            <w:tcW w:w="3367" w:type="pct"/>
          </w:tcPr>
          <w:p w14:paraId="49799C48" w14:textId="73336E11" w:rsidR="0062136A" w:rsidRPr="00DF002A" w:rsidRDefault="0062136A" w:rsidP="009F2749"/>
        </w:tc>
      </w:tr>
      <w:tr w:rsidR="0062136A" w:rsidRPr="00D5104D" w14:paraId="6D6FBDC1" w14:textId="77777777" w:rsidTr="0062136A">
        <w:trPr>
          <w:trHeight w:val="321"/>
          <w:jc w:val="center"/>
        </w:trPr>
        <w:tc>
          <w:tcPr>
            <w:tcW w:w="1633" w:type="pct"/>
          </w:tcPr>
          <w:p w14:paraId="2BEE82AE" w14:textId="77777777" w:rsidR="0062136A" w:rsidRPr="00DF002A" w:rsidRDefault="0062136A" w:rsidP="009F2749">
            <w:r w:rsidRPr="00DF002A">
              <w:lastRenderedPageBreak/>
              <w:t>Northern Gas Networks Ltd</w:t>
            </w:r>
          </w:p>
        </w:tc>
        <w:tc>
          <w:tcPr>
            <w:tcW w:w="3367" w:type="pct"/>
          </w:tcPr>
          <w:p w14:paraId="78181630" w14:textId="77777777" w:rsidR="0062136A" w:rsidRPr="00DF002A" w:rsidRDefault="0062136A" w:rsidP="009F2749"/>
        </w:tc>
      </w:tr>
      <w:tr w:rsidR="0062136A" w:rsidRPr="00D5104D" w14:paraId="05113D01" w14:textId="77777777" w:rsidTr="0062136A">
        <w:trPr>
          <w:trHeight w:val="321"/>
          <w:jc w:val="center"/>
        </w:trPr>
        <w:tc>
          <w:tcPr>
            <w:tcW w:w="1633" w:type="pct"/>
          </w:tcPr>
          <w:p w14:paraId="72CF8919" w14:textId="77777777" w:rsidR="0062136A" w:rsidRPr="00DF002A" w:rsidRDefault="0062136A" w:rsidP="009F2749">
            <w:r w:rsidRPr="00DF002A">
              <w:t>Scotland Gas Networks plc</w:t>
            </w:r>
          </w:p>
        </w:tc>
        <w:tc>
          <w:tcPr>
            <w:tcW w:w="3367" w:type="pct"/>
          </w:tcPr>
          <w:p w14:paraId="1ECB8B2E" w14:textId="77777777" w:rsidR="0062136A" w:rsidRPr="00DF002A" w:rsidRDefault="0062136A" w:rsidP="009F2749"/>
        </w:tc>
      </w:tr>
      <w:tr w:rsidR="0062136A" w:rsidRPr="00D5104D" w14:paraId="0B4AB799" w14:textId="77777777" w:rsidTr="0062136A">
        <w:trPr>
          <w:trHeight w:val="321"/>
          <w:jc w:val="center"/>
        </w:trPr>
        <w:tc>
          <w:tcPr>
            <w:tcW w:w="1633" w:type="pct"/>
          </w:tcPr>
          <w:p w14:paraId="015E1594" w14:textId="77777777" w:rsidR="0062136A" w:rsidRPr="00DF002A" w:rsidRDefault="0062136A" w:rsidP="009F2749">
            <w:r w:rsidRPr="00DF002A">
              <w:t>Southern Gas Networks plc</w:t>
            </w:r>
          </w:p>
        </w:tc>
        <w:tc>
          <w:tcPr>
            <w:tcW w:w="3367" w:type="pct"/>
          </w:tcPr>
          <w:p w14:paraId="116E6EF2" w14:textId="77777777" w:rsidR="0062136A" w:rsidRPr="00DF002A" w:rsidRDefault="0062136A" w:rsidP="009F2749"/>
        </w:tc>
      </w:tr>
      <w:tr w:rsidR="0062136A" w:rsidRPr="00D5104D" w14:paraId="3216E539" w14:textId="77777777" w:rsidTr="0062136A">
        <w:trPr>
          <w:trHeight w:val="321"/>
          <w:jc w:val="center"/>
        </w:trPr>
        <w:tc>
          <w:tcPr>
            <w:tcW w:w="1633" w:type="pct"/>
          </w:tcPr>
          <w:p w14:paraId="4C722FC3" w14:textId="77777777" w:rsidR="0062136A" w:rsidRPr="00DF002A" w:rsidRDefault="0062136A" w:rsidP="009F2749">
            <w:r w:rsidRPr="00DF002A">
              <w:t>Wales &amp; West Utilities Ltd</w:t>
            </w:r>
          </w:p>
        </w:tc>
        <w:tc>
          <w:tcPr>
            <w:tcW w:w="3367" w:type="pct"/>
          </w:tcPr>
          <w:p w14:paraId="539F3B1C" w14:textId="77777777" w:rsidR="0062136A" w:rsidRPr="00DF002A" w:rsidRDefault="0062136A" w:rsidP="009F2749"/>
        </w:tc>
      </w:tr>
    </w:tbl>
    <w:p w14:paraId="5C032201" w14:textId="77777777" w:rsidR="00A17ECC" w:rsidRPr="006E6B94" w:rsidRDefault="00A17ECC" w:rsidP="00A17ECC">
      <w:pPr>
        <w:pStyle w:val="Heading2"/>
        <w:numPr>
          <w:ilvl w:val="1"/>
          <w:numId w:val="7"/>
        </w:numPr>
      </w:pPr>
      <w:bookmarkStart w:id="103" w:name="_Toc51783654"/>
      <w:bookmarkStart w:id="104" w:name="_Toc52364555"/>
      <w:r>
        <w:t>Smart Metering Roll-out Costs Re-opener (SMR</w:t>
      </w:r>
      <w:r w:rsidRPr="00261D0B">
        <w:rPr>
          <w:vertAlign w:val="subscript"/>
        </w:rPr>
        <w:t>t</w:t>
      </w:r>
      <w:r>
        <w:t>)</w:t>
      </w:r>
      <w:bookmarkEnd w:id="103"/>
      <w:bookmarkEnd w:id="104"/>
    </w:p>
    <w:p w14:paraId="7F3C60B8" w14:textId="77777777" w:rsidR="00A17ECC" w:rsidRPr="006E6B94" w:rsidRDefault="00A17ECC" w:rsidP="00A17ECC">
      <w:pPr>
        <w:pStyle w:val="Heading3nonumbering"/>
      </w:pPr>
      <w:r w:rsidRPr="006E6B94">
        <w:t xml:space="preserve">Introduction </w:t>
      </w:r>
    </w:p>
    <w:p w14:paraId="4A576350" w14:textId="77777777" w:rsidR="00A17ECC" w:rsidRPr="001121CD" w:rsidRDefault="00A17ECC" w:rsidP="00A17ECC">
      <w:pPr>
        <w:pStyle w:val="NumberedNormal"/>
        <w:numPr>
          <w:ilvl w:val="2"/>
          <w:numId w:val="7"/>
        </w:numPr>
      </w:pPr>
      <w:r>
        <w:t>The purpose of this condition is to calculate the term SMR</w:t>
      </w:r>
      <w:r w:rsidRPr="00261D0B">
        <w:rPr>
          <w:vertAlign w:val="subscript"/>
        </w:rPr>
        <w:t>t</w:t>
      </w:r>
      <w:r>
        <w:t xml:space="preserve"> (the Smart Metering Roll-out Costs term). This contributes to the calculation of the Totex Allowance. </w:t>
      </w:r>
    </w:p>
    <w:p w14:paraId="1589C044" w14:textId="77777777" w:rsidR="00A17ECC" w:rsidRPr="001121CD" w:rsidRDefault="00A17ECC" w:rsidP="00A17ECC">
      <w:pPr>
        <w:pStyle w:val="NumberedNormal"/>
        <w:numPr>
          <w:ilvl w:val="2"/>
          <w:numId w:val="7"/>
        </w:numPr>
      </w:pPr>
      <w:r>
        <w:t>The effect of this condition is to establish a Re-opener, triggered by either the licensee or the Authority, where there are material additional Smart Metering Roll-out Costs.</w:t>
      </w:r>
    </w:p>
    <w:p w14:paraId="60A1C020" w14:textId="77777777" w:rsidR="00A17ECC" w:rsidRPr="001121CD" w:rsidRDefault="00A17ECC" w:rsidP="00A17ECC">
      <w:pPr>
        <w:pStyle w:val="NumberedNormal"/>
        <w:numPr>
          <w:ilvl w:val="2"/>
          <w:numId w:val="7"/>
        </w:numPr>
      </w:pPr>
      <w:r>
        <w:t xml:space="preserve">This condition also explains the process the Authority will follow when directing any changes as a result of the Re-opener. </w:t>
      </w:r>
    </w:p>
    <w:p w14:paraId="38547A25" w14:textId="77777777" w:rsidR="00A17ECC" w:rsidRPr="006E6B94" w:rsidRDefault="00A17ECC" w:rsidP="00A17ECC">
      <w:pPr>
        <w:pStyle w:val="Heading3"/>
        <w:numPr>
          <w:ilvl w:val="5"/>
          <w:numId w:val="7"/>
        </w:numPr>
      </w:pPr>
      <w:r>
        <w:t>What costs are within scope of this Re-opener?</w:t>
      </w:r>
    </w:p>
    <w:p w14:paraId="1BDEB436" w14:textId="77777777" w:rsidR="00A17ECC" w:rsidRPr="001121CD" w:rsidRDefault="00A17ECC" w:rsidP="00A17ECC">
      <w:pPr>
        <w:pStyle w:val="NumberedNormal"/>
        <w:numPr>
          <w:ilvl w:val="2"/>
          <w:numId w:val="7"/>
        </w:numPr>
      </w:pPr>
      <w:r>
        <w:t>The licensee may apply to the Authority for a direction adjusting the value of the SMR</w:t>
      </w:r>
      <w:r w:rsidRPr="00261D0B">
        <w:rPr>
          <w:vertAlign w:val="subscript"/>
        </w:rPr>
        <w:t>t</w:t>
      </w:r>
      <w:r>
        <w:t xml:space="preserve"> term for any Regulatory Year during the Price Control Period if the licensee incurs or expects to incur Smart Metering Roll-out Costs that fulfil the requirements set out in Part C.</w:t>
      </w:r>
    </w:p>
    <w:p w14:paraId="49B43C21" w14:textId="77777777" w:rsidR="00A17ECC" w:rsidRPr="006E6B94" w:rsidRDefault="00A17ECC" w:rsidP="00A17ECC">
      <w:pPr>
        <w:pStyle w:val="Heading3"/>
        <w:numPr>
          <w:ilvl w:val="5"/>
          <w:numId w:val="7"/>
        </w:numPr>
      </w:pPr>
      <w:r>
        <w:t>When to make an application</w:t>
      </w:r>
    </w:p>
    <w:p w14:paraId="2273A6E4" w14:textId="1FBF2179" w:rsidR="00A17ECC" w:rsidRPr="001121CD" w:rsidRDefault="00A17ECC" w:rsidP="00A17ECC">
      <w:pPr>
        <w:pStyle w:val="NumberedNormal"/>
        <w:numPr>
          <w:ilvl w:val="2"/>
          <w:numId w:val="7"/>
        </w:numPr>
      </w:pPr>
      <w:r>
        <w:t xml:space="preserve">The licensee may only apply to the Authority for an adjustment under paragraph </w:t>
      </w:r>
      <w:r w:rsidR="009C2EBB">
        <w:t>3.21.</w:t>
      </w:r>
      <w:r>
        <w:t xml:space="preserve">.4 Between 25 January 2022 and 31 January 2022, or during such later periods as the Authority may direct. </w:t>
      </w:r>
    </w:p>
    <w:p w14:paraId="49D637B1" w14:textId="77777777" w:rsidR="00A17ECC" w:rsidRPr="006E6B94" w:rsidRDefault="00A17ECC" w:rsidP="00A17ECC">
      <w:pPr>
        <w:pStyle w:val="Heading3"/>
        <w:numPr>
          <w:ilvl w:val="5"/>
          <w:numId w:val="7"/>
        </w:numPr>
      </w:pPr>
      <w:r>
        <w:t>How to make an application</w:t>
      </w:r>
    </w:p>
    <w:p w14:paraId="3A236A5A" w14:textId="3C41C4D1" w:rsidR="00A17ECC" w:rsidRPr="001121CD" w:rsidRDefault="00A17ECC" w:rsidP="00A17ECC">
      <w:pPr>
        <w:pStyle w:val="NumberedNormal"/>
        <w:numPr>
          <w:ilvl w:val="2"/>
          <w:numId w:val="7"/>
        </w:numPr>
      </w:pPr>
      <w:r>
        <w:t>An application under paragraph 3.2</w:t>
      </w:r>
      <w:r w:rsidR="00C344F8">
        <w:t>1</w:t>
      </w:r>
      <w:r>
        <w:t>.4 must be made in writing to the Authority and:</w:t>
      </w:r>
    </w:p>
    <w:p w14:paraId="7BB3CB7E" w14:textId="77777777" w:rsidR="00A17ECC" w:rsidRPr="001121CD" w:rsidRDefault="00A17ECC" w:rsidP="00A17ECC">
      <w:pPr>
        <w:pStyle w:val="ListNormal"/>
        <w:numPr>
          <w:ilvl w:val="3"/>
          <w:numId w:val="7"/>
        </w:numPr>
      </w:pPr>
      <w:r>
        <w:t>specify the additional Smart Metering Roll-out Costs that have led to the application;</w:t>
      </w:r>
    </w:p>
    <w:p w14:paraId="3B92A7F2" w14:textId="77777777" w:rsidR="00A17ECC" w:rsidRPr="001121CD" w:rsidRDefault="00A17ECC" w:rsidP="00A17ECC">
      <w:pPr>
        <w:pStyle w:val="ListNormal"/>
        <w:numPr>
          <w:ilvl w:val="3"/>
          <w:numId w:val="7"/>
        </w:numPr>
      </w:pPr>
      <w:r>
        <w:t xml:space="preserve">set out the adjustments to the value of the SMRt term that the licensee is requesting and the Regulatory Years to which those adjustments relate; </w:t>
      </w:r>
    </w:p>
    <w:p w14:paraId="0441BC78" w14:textId="77777777" w:rsidR="00A17ECC" w:rsidRPr="001121CD" w:rsidRDefault="00A17ECC" w:rsidP="00A17ECC">
      <w:pPr>
        <w:pStyle w:val="ListNormal"/>
        <w:numPr>
          <w:ilvl w:val="3"/>
          <w:numId w:val="7"/>
        </w:numPr>
      </w:pPr>
      <w:r>
        <w:t>explain the basis of the licensee’s calculation of the proposed adjustments to the value of the SMRt term; and</w:t>
      </w:r>
    </w:p>
    <w:p w14:paraId="68E7FAFE" w14:textId="77777777" w:rsidR="00A17ECC" w:rsidRPr="001121CD" w:rsidRDefault="00A17ECC" w:rsidP="00A17ECC">
      <w:pPr>
        <w:pStyle w:val="ListNormal"/>
        <w:numPr>
          <w:ilvl w:val="3"/>
          <w:numId w:val="7"/>
        </w:numPr>
      </w:pPr>
      <w:r>
        <w:lastRenderedPageBreak/>
        <w:t>include such detailed supporting evidence that the additional Smart Metering Roll-out Costs are efficient and unavoidable, as is reasonable in the circumstances.</w:t>
      </w:r>
    </w:p>
    <w:p w14:paraId="2694D358" w14:textId="224D8F9C" w:rsidR="00A17ECC" w:rsidRPr="001121CD" w:rsidRDefault="00A17ECC" w:rsidP="00A17ECC">
      <w:pPr>
        <w:pStyle w:val="NumberedNormal"/>
        <w:numPr>
          <w:ilvl w:val="2"/>
          <w:numId w:val="7"/>
        </w:numPr>
      </w:pPr>
      <w:r>
        <w:t>An application under paragraph 3.2</w:t>
      </w:r>
      <w:r w:rsidR="00C344F8">
        <w:t>1</w:t>
      </w:r>
      <w:r>
        <w:t>.4 must:</w:t>
      </w:r>
    </w:p>
    <w:p w14:paraId="367C8E1E" w14:textId="77777777" w:rsidR="00A17ECC" w:rsidRPr="001121CD" w:rsidRDefault="00A17ECC" w:rsidP="00A17ECC">
      <w:pPr>
        <w:pStyle w:val="ListNormal"/>
        <w:numPr>
          <w:ilvl w:val="3"/>
          <w:numId w:val="7"/>
        </w:numPr>
      </w:pPr>
      <w:r>
        <w:t>be confined to additional Smart Metering Roll-out Costs that have been incurred or are expected to be incurred on or after 1 April 2021;</w:t>
      </w:r>
    </w:p>
    <w:p w14:paraId="6364E2BF" w14:textId="77777777" w:rsidR="00A17ECC" w:rsidRPr="001121CD" w:rsidRDefault="00A17ECC" w:rsidP="00A17ECC">
      <w:pPr>
        <w:pStyle w:val="ListNormal"/>
        <w:numPr>
          <w:ilvl w:val="3"/>
          <w:numId w:val="7"/>
        </w:numPr>
      </w:pPr>
      <w:r>
        <w:t>take account of any allowed expenditure, which can be avoided as a result; and</w:t>
      </w:r>
    </w:p>
    <w:p w14:paraId="305BAF07" w14:textId="77777777" w:rsidR="00A17ECC" w:rsidRPr="001121CD" w:rsidRDefault="00A17ECC" w:rsidP="00A17ECC">
      <w:pPr>
        <w:pStyle w:val="ListNormal"/>
        <w:numPr>
          <w:ilvl w:val="3"/>
          <w:numId w:val="7"/>
        </w:numPr>
      </w:pPr>
      <w:r>
        <w:t>relate to costs incurred or expected to be incurred that exceed or are expected to exceed the materiality threshold specified for the licensee in Appendix 1.</w:t>
      </w:r>
    </w:p>
    <w:p w14:paraId="485659C3" w14:textId="77777777" w:rsidR="00A17ECC" w:rsidRPr="006E6B94" w:rsidRDefault="00A17ECC" w:rsidP="00A17ECC">
      <w:pPr>
        <w:pStyle w:val="Heading3"/>
        <w:numPr>
          <w:ilvl w:val="5"/>
          <w:numId w:val="7"/>
        </w:numPr>
      </w:pPr>
      <w:r>
        <w:t>Authority triggered Re-opener</w:t>
      </w:r>
    </w:p>
    <w:p w14:paraId="33BE6CDA" w14:textId="77777777" w:rsidR="00A17ECC" w:rsidRPr="001121CD" w:rsidRDefault="00A17ECC" w:rsidP="00A17ECC">
      <w:pPr>
        <w:pStyle w:val="NumberedNormal"/>
        <w:numPr>
          <w:ilvl w:val="2"/>
          <w:numId w:val="7"/>
        </w:numPr>
      </w:pPr>
      <w:r>
        <w:t>The Authority will also consider directing an adjustment to the value of the SMR</w:t>
      </w:r>
      <w:r w:rsidRPr="00261D0B">
        <w:rPr>
          <w:vertAlign w:val="subscript"/>
        </w:rPr>
        <w:t>t</w:t>
      </w:r>
      <w:r>
        <w:t xml:space="preserve"> term where it considers that there are additional Smart Metering Roll-out Costs that:</w:t>
      </w:r>
    </w:p>
    <w:p w14:paraId="2B62A6F6" w14:textId="77777777" w:rsidR="00A17ECC" w:rsidRPr="001121CD" w:rsidRDefault="00A17ECC" w:rsidP="00A17ECC">
      <w:pPr>
        <w:pStyle w:val="ListNormal"/>
        <w:numPr>
          <w:ilvl w:val="3"/>
          <w:numId w:val="7"/>
        </w:numPr>
      </w:pPr>
      <w:r>
        <w:t>exceed or are expected to exceed the materiality threshold in Appendix 1; and</w:t>
      </w:r>
    </w:p>
    <w:p w14:paraId="02ABF4F3" w14:textId="77777777" w:rsidR="00A17ECC" w:rsidRPr="001121CD" w:rsidRDefault="00A17ECC" w:rsidP="00A17ECC">
      <w:pPr>
        <w:pStyle w:val="ListNormal"/>
        <w:numPr>
          <w:ilvl w:val="3"/>
          <w:numId w:val="7"/>
        </w:numPr>
      </w:pPr>
      <w:r>
        <w:t>are incurred or are expected to be incurred on or after 1 April 2021.</w:t>
      </w:r>
    </w:p>
    <w:p w14:paraId="19E0CFFE" w14:textId="77777777" w:rsidR="00A17ECC" w:rsidRPr="00AE57AC" w:rsidRDefault="00A17ECC" w:rsidP="00A17ECC">
      <w:pPr>
        <w:pStyle w:val="Heading3"/>
        <w:numPr>
          <w:ilvl w:val="5"/>
          <w:numId w:val="7"/>
        </w:numPr>
      </w:pPr>
      <w:r>
        <w:t>What process will the Authority follow in making a direction?</w:t>
      </w:r>
    </w:p>
    <w:p w14:paraId="60980237" w14:textId="2FD5AEE5" w:rsidR="00A17ECC" w:rsidRPr="001121CD" w:rsidRDefault="00A17ECC" w:rsidP="00A17ECC">
      <w:pPr>
        <w:pStyle w:val="NumberedNormal"/>
        <w:numPr>
          <w:ilvl w:val="2"/>
          <w:numId w:val="7"/>
        </w:numPr>
      </w:pPr>
      <w:r>
        <w:t>Before making a direction under pa</w:t>
      </w:r>
      <w:r w:rsidR="00C344F8">
        <w:t>ragraph 3.21.4 or 3.21</w:t>
      </w:r>
      <w:r>
        <w:t>.8, the Authority will publish on the Authority's Website:</w:t>
      </w:r>
    </w:p>
    <w:p w14:paraId="4299D8A3" w14:textId="77777777" w:rsidR="00A17ECC" w:rsidRPr="001121CD" w:rsidRDefault="00A17ECC" w:rsidP="00A17ECC">
      <w:pPr>
        <w:pStyle w:val="ListNormal"/>
        <w:numPr>
          <w:ilvl w:val="3"/>
          <w:numId w:val="7"/>
        </w:numPr>
      </w:pPr>
      <w:r>
        <w:t>the text of the proposed direction;</w:t>
      </w:r>
    </w:p>
    <w:p w14:paraId="2318CB32" w14:textId="77777777" w:rsidR="00A17ECC" w:rsidRPr="001121CD" w:rsidRDefault="00A17ECC" w:rsidP="00A17ECC">
      <w:pPr>
        <w:pStyle w:val="ListNormal"/>
        <w:numPr>
          <w:ilvl w:val="3"/>
          <w:numId w:val="7"/>
        </w:numPr>
      </w:pPr>
      <w:r>
        <w:t>the reasons for the proposed direction; and</w:t>
      </w:r>
    </w:p>
    <w:p w14:paraId="0937F8D0" w14:textId="77777777" w:rsidR="00A17ECC" w:rsidRPr="001121CD" w:rsidRDefault="00A17ECC" w:rsidP="00A17ECC">
      <w:pPr>
        <w:pStyle w:val="ListNormal"/>
        <w:numPr>
          <w:ilvl w:val="3"/>
          <w:numId w:val="7"/>
        </w:numPr>
      </w:pPr>
      <w:r>
        <w:t>a period during which representations may be made on the proposed direction, which will not be less than 28 days.</w:t>
      </w:r>
    </w:p>
    <w:p w14:paraId="4350E727" w14:textId="77777777" w:rsidR="00A17ECC" w:rsidRPr="001121CD" w:rsidRDefault="00A17ECC" w:rsidP="00A17ECC">
      <w:pPr>
        <w:pStyle w:val="NumberedNormal"/>
        <w:numPr>
          <w:ilvl w:val="2"/>
          <w:numId w:val="7"/>
        </w:numPr>
      </w:pPr>
      <w:r>
        <w:t>The direction will set out any adjustments to the value of the SMR</w:t>
      </w:r>
      <w:r w:rsidRPr="00261D0B">
        <w:rPr>
          <w:vertAlign w:val="subscript"/>
        </w:rPr>
        <w:t>t</w:t>
      </w:r>
      <w:r>
        <w:t xml:space="preserve"> term and the Regulatory Years to which those adjustments relate.</w:t>
      </w:r>
    </w:p>
    <w:p w14:paraId="11C0A7BA" w14:textId="77777777" w:rsidR="00A17ECC" w:rsidRPr="00951250" w:rsidRDefault="00A17ECC" w:rsidP="00A17ECC">
      <w:pPr>
        <w:pStyle w:val="AppendixHeading"/>
      </w:pPr>
    </w:p>
    <w:p w14:paraId="26EF34E8" w14:textId="77777777" w:rsidR="00A17ECC" w:rsidRPr="00261D0B" w:rsidRDefault="00A17ECC" w:rsidP="00A17ECC">
      <w:pPr>
        <w:pStyle w:val="Caption"/>
      </w:pPr>
      <w:r w:rsidRPr="00261D0B">
        <w:t>Materiality threshold for Specified Street Works Re-opener</w:t>
      </w:r>
    </w:p>
    <w:tbl>
      <w:tblPr>
        <w:tblStyle w:val="AppendixTable"/>
        <w:tblW w:w="0" w:type="auto"/>
        <w:jc w:val="center"/>
        <w:tblLayout w:type="fixed"/>
        <w:tblLook w:val="04A0" w:firstRow="1" w:lastRow="0" w:firstColumn="1" w:lastColumn="0" w:noHBand="0" w:noVBand="1"/>
      </w:tblPr>
      <w:tblGrid>
        <w:gridCol w:w="4023"/>
        <w:gridCol w:w="4023"/>
      </w:tblGrid>
      <w:tr w:rsidR="00A17ECC" w:rsidRPr="00DE541A" w14:paraId="22D89919" w14:textId="77777777" w:rsidTr="009F2749">
        <w:trPr>
          <w:cnfStyle w:val="100000000000" w:firstRow="1" w:lastRow="0" w:firstColumn="0" w:lastColumn="0" w:oddVBand="0" w:evenVBand="0" w:oddHBand="0" w:evenHBand="0" w:firstRowFirstColumn="0" w:firstRowLastColumn="0" w:lastRowFirstColumn="0" w:lastRowLastColumn="0"/>
          <w:trHeight w:val="305"/>
          <w:jc w:val="center"/>
        </w:trPr>
        <w:tc>
          <w:tcPr>
            <w:tcW w:w="4023" w:type="dxa"/>
          </w:tcPr>
          <w:p w14:paraId="41CD73CF" w14:textId="77777777" w:rsidR="00A17ECC" w:rsidRPr="00E46A8B" w:rsidRDefault="00A17ECC" w:rsidP="009F2749">
            <w:r w:rsidRPr="00DE541A">
              <w:t>Licensee</w:t>
            </w:r>
          </w:p>
        </w:tc>
        <w:tc>
          <w:tcPr>
            <w:tcW w:w="4023" w:type="dxa"/>
          </w:tcPr>
          <w:p w14:paraId="01E0A9A4" w14:textId="77777777" w:rsidR="00A17ECC" w:rsidRPr="00E46A8B" w:rsidRDefault="00A17ECC" w:rsidP="009F2749">
            <w:r>
              <w:t>M</w:t>
            </w:r>
            <w:r w:rsidRPr="00E46A8B">
              <w:t>ateriality threshold</w:t>
            </w:r>
          </w:p>
        </w:tc>
      </w:tr>
      <w:tr w:rsidR="00A17ECC" w:rsidRPr="00D5104D" w14:paraId="0364BCE0" w14:textId="77777777" w:rsidTr="009F2749">
        <w:trPr>
          <w:trHeight w:val="321"/>
          <w:jc w:val="center"/>
        </w:trPr>
        <w:tc>
          <w:tcPr>
            <w:tcW w:w="4023" w:type="dxa"/>
          </w:tcPr>
          <w:p w14:paraId="6A76277A" w14:textId="77777777" w:rsidR="00A17ECC" w:rsidRPr="00E46A8B" w:rsidRDefault="00A17ECC" w:rsidP="009F2749">
            <w:r>
              <w:t>Cadent Limited</w:t>
            </w:r>
          </w:p>
        </w:tc>
        <w:tc>
          <w:tcPr>
            <w:tcW w:w="4023" w:type="dxa"/>
          </w:tcPr>
          <w:p w14:paraId="51D56A88" w14:textId="77777777" w:rsidR="00A17ECC" w:rsidRPr="0082533A" w:rsidRDefault="00A17ECC" w:rsidP="009F2749"/>
        </w:tc>
      </w:tr>
      <w:tr w:rsidR="00A17ECC" w:rsidRPr="00D5104D" w14:paraId="796D94D0" w14:textId="77777777" w:rsidTr="009F2749">
        <w:trPr>
          <w:trHeight w:val="321"/>
          <w:jc w:val="center"/>
        </w:trPr>
        <w:tc>
          <w:tcPr>
            <w:tcW w:w="4023" w:type="dxa"/>
          </w:tcPr>
          <w:p w14:paraId="4AAE8C34" w14:textId="77777777" w:rsidR="00A17ECC" w:rsidRPr="00E46A8B" w:rsidRDefault="00A17ECC" w:rsidP="009F2749">
            <w:r>
              <w:t>Northern Gas Networks Limited</w:t>
            </w:r>
          </w:p>
        </w:tc>
        <w:tc>
          <w:tcPr>
            <w:tcW w:w="4023" w:type="dxa"/>
          </w:tcPr>
          <w:p w14:paraId="254594E3" w14:textId="77777777" w:rsidR="00A17ECC" w:rsidRPr="00D5104D" w:rsidRDefault="00A17ECC" w:rsidP="009F2749"/>
        </w:tc>
      </w:tr>
      <w:tr w:rsidR="00A17ECC" w:rsidRPr="00D5104D" w14:paraId="78C5B270" w14:textId="77777777" w:rsidTr="009F2749">
        <w:trPr>
          <w:trHeight w:val="321"/>
          <w:jc w:val="center"/>
        </w:trPr>
        <w:tc>
          <w:tcPr>
            <w:tcW w:w="4023" w:type="dxa"/>
          </w:tcPr>
          <w:p w14:paraId="7BF2F348" w14:textId="77777777" w:rsidR="00A17ECC" w:rsidRPr="00E46A8B" w:rsidRDefault="00A17ECC" w:rsidP="009F2749">
            <w:r>
              <w:t>Scotland Gas Networks Plc</w:t>
            </w:r>
          </w:p>
        </w:tc>
        <w:tc>
          <w:tcPr>
            <w:tcW w:w="4023" w:type="dxa"/>
          </w:tcPr>
          <w:p w14:paraId="326C1DF3" w14:textId="77777777" w:rsidR="00A17ECC" w:rsidRPr="00D5104D" w:rsidRDefault="00A17ECC" w:rsidP="009F2749"/>
        </w:tc>
      </w:tr>
      <w:tr w:rsidR="00A17ECC" w:rsidRPr="00D5104D" w14:paraId="1BE9E4BF" w14:textId="77777777" w:rsidTr="009F2749">
        <w:trPr>
          <w:trHeight w:val="321"/>
          <w:jc w:val="center"/>
        </w:trPr>
        <w:tc>
          <w:tcPr>
            <w:tcW w:w="4023" w:type="dxa"/>
          </w:tcPr>
          <w:p w14:paraId="535B779C" w14:textId="77777777" w:rsidR="00A17ECC" w:rsidRPr="00E46A8B" w:rsidRDefault="00A17ECC" w:rsidP="009F2749">
            <w:r>
              <w:t>Southern Gas Networks Plc</w:t>
            </w:r>
          </w:p>
        </w:tc>
        <w:tc>
          <w:tcPr>
            <w:tcW w:w="4023" w:type="dxa"/>
          </w:tcPr>
          <w:p w14:paraId="77087E80" w14:textId="77777777" w:rsidR="00A17ECC" w:rsidRPr="00D5104D" w:rsidRDefault="00A17ECC" w:rsidP="009F2749"/>
        </w:tc>
      </w:tr>
      <w:tr w:rsidR="00A17ECC" w:rsidRPr="00D5104D" w14:paraId="6755BBDB" w14:textId="77777777" w:rsidTr="009F2749">
        <w:trPr>
          <w:trHeight w:val="321"/>
          <w:jc w:val="center"/>
        </w:trPr>
        <w:tc>
          <w:tcPr>
            <w:tcW w:w="4023" w:type="dxa"/>
          </w:tcPr>
          <w:p w14:paraId="76F92AC1" w14:textId="77777777" w:rsidR="00A17ECC" w:rsidRPr="00E46A8B" w:rsidRDefault="00A17ECC" w:rsidP="009F2749">
            <w:r>
              <w:t>Wales &amp; West Utilities Limited</w:t>
            </w:r>
          </w:p>
        </w:tc>
        <w:tc>
          <w:tcPr>
            <w:tcW w:w="4023" w:type="dxa"/>
          </w:tcPr>
          <w:p w14:paraId="4FEA373B" w14:textId="77777777" w:rsidR="00A17ECC" w:rsidRPr="00D5104D" w:rsidRDefault="00A17ECC" w:rsidP="009F2749"/>
        </w:tc>
      </w:tr>
    </w:tbl>
    <w:p w14:paraId="274C4444" w14:textId="77777777" w:rsidR="00A17ECC" w:rsidRDefault="00A17ECC" w:rsidP="00A17ECC">
      <w:pPr>
        <w:pStyle w:val="Heading2"/>
        <w:numPr>
          <w:ilvl w:val="1"/>
          <w:numId w:val="7"/>
        </w:numPr>
      </w:pPr>
      <w:bookmarkStart w:id="105" w:name="_Toc51783656"/>
      <w:bookmarkStart w:id="106" w:name="_Toc52364556"/>
      <w:r>
        <w:lastRenderedPageBreak/>
        <w:t>Specified Streetworks Costs Re-opener (STW</w:t>
      </w:r>
      <w:r w:rsidRPr="00261D0B">
        <w:rPr>
          <w:vertAlign w:val="subscript"/>
        </w:rPr>
        <w:t>t</w:t>
      </w:r>
      <w:r>
        <w:t>)</w:t>
      </w:r>
      <w:bookmarkEnd w:id="105"/>
      <w:bookmarkEnd w:id="106"/>
    </w:p>
    <w:p w14:paraId="33E3B806" w14:textId="77777777" w:rsidR="00A17ECC" w:rsidRPr="0076147D" w:rsidRDefault="00A17ECC" w:rsidP="00A17ECC">
      <w:pPr>
        <w:pStyle w:val="Heading3nonumbering"/>
      </w:pPr>
      <w:r w:rsidRPr="0076147D">
        <w:t xml:space="preserve">Introduction </w:t>
      </w:r>
    </w:p>
    <w:p w14:paraId="4217976B" w14:textId="77777777" w:rsidR="00A17ECC" w:rsidRPr="000C09FB" w:rsidRDefault="00A17ECC" w:rsidP="00A17ECC">
      <w:pPr>
        <w:pStyle w:val="NumberedNormal"/>
        <w:numPr>
          <w:ilvl w:val="2"/>
          <w:numId w:val="7"/>
        </w:numPr>
      </w:pPr>
      <w:r>
        <w:t>The purpose of this condition is to calculate the term STW</w:t>
      </w:r>
      <w:r w:rsidRPr="00261D0B">
        <w:rPr>
          <w:vertAlign w:val="subscript"/>
        </w:rPr>
        <w:t>t</w:t>
      </w:r>
      <w:r>
        <w:t xml:space="preserve"> (the Specified Streetworks Costs term).  This contributes to the calculation of the Totex Allowance. </w:t>
      </w:r>
    </w:p>
    <w:p w14:paraId="1E18CA86" w14:textId="77777777" w:rsidR="00A17ECC" w:rsidRPr="000C09FB" w:rsidRDefault="00A17ECC" w:rsidP="00A17ECC">
      <w:pPr>
        <w:pStyle w:val="NumberedNormal"/>
        <w:numPr>
          <w:ilvl w:val="2"/>
          <w:numId w:val="7"/>
        </w:numPr>
      </w:pPr>
      <w:r>
        <w:t>The effect of this condition is to establish a Re-opener triggered by either the licensee or the Authority where there are material Specified Streetworks Costs.</w:t>
      </w:r>
    </w:p>
    <w:p w14:paraId="381E4AAD" w14:textId="77777777" w:rsidR="00A17ECC" w:rsidRPr="000C09FB" w:rsidRDefault="00A17ECC" w:rsidP="00A17ECC">
      <w:pPr>
        <w:pStyle w:val="NumberedNormal"/>
        <w:numPr>
          <w:ilvl w:val="2"/>
          <w:numId w:val="7"/>
        </w:numPr>
      </w:pPr>
      <w:r>
        <w:t xml:space="preserve">This condition also explains the process the Authority will follow when directing any changes as a result of the Re-opener. </w:t>
      </w:r>
    </w:p>
    <w:p w14:paraId="7D239A12" w14:textId="77777777" w:rsidR="00A17ECC" w:rsidRPr="00BD334C" w:rsidRDefault="00A17ECC" w:rsidP="00A17ECC">
      <w:pPr>
        <w:pStyle w:val="Heading3"/>
        <w:numPr>
          <w:ilvl w:val="5"/>
          <w:numId w:val="7"/>
        </w:numPr>
      </w:pPr>
      <w:r>
        <w:t>What costs are within scope of this Re-opener?</w:t>
      </w:r>
    </w:p>
    <w:p w14:paraId="59DAB2D4" w14:textId="77777777" w:rsidR="00A17ECC" w:rsidRPr="000C09FB" w:rsidRDefault="00A17ECC" w:rsidP="00A17ECC">
      <w:pPr>
        <w:pStyle w:val="NumberedNormal"/>
        <w:numPr>
          <w:ilvl w:val="2"/>
          <w:numId w:val="7"/>
        </w:numPr>
      </w:pPr>
      <w:r>
        <w:t>The licensee may apply to the Authority for a direction adjusting the value of the STWt term for any Regulatory Year during the Price Control Period as a result of Specified Streetworks Costs relating to permit schemes, lane rental schemes or requirements.</w:t>
      </w:r>
    </w:p>
    <w:p w14:paraId="360B4675" w14:textId="77777777" w:rsidR="00A17ECC" w:rsidRPr="0076147D" w:rsidRDefault="00A17ECC" w:rsidP="00A17ECC">
      <w:pPr>
        <w:pStyle w:val="Heading3"/>
        <w:numPr>
          <w:ilvl w:val="5"/>
          <w:numId w:val="7"/>
        </w:numPr>
      </w:pPr>
      <w:r>
        <w:t>When to make an application</w:t>
      </w:r>
    </w:p>
    <w:p w14:paraId="699ACF5E" w14:textId="0A3CD423" w:rsidR="00A17ECC" w:rsidRPr="000C09FB" w:rsidRDefault="00A17ECC" w:rsidP="00A17ECC">
      <w:pPr>
        <w:pStyle w:val="NumberedNormal"/>
        <w:numPr>
          <w:ilvl w:val="2"/>
          <w:numId w:val="7"/>
        </w:numPr>
      </w:pPr>
      <w:r>
        <w:t xml:space="preserve">The licensee may only apply to the Authority for an adjustment under paragraph </w:t>
      </w:r>
      <w:r w:rsidR="00F551DC">
        <w:t>3.22</w:t>
      </w:r>
      <w:r>
        <w:t xml:space="preserve">.4 Between 25 January 2022 and 31 January 2022, or during such later periods as the Authority may direct. </w:t>
      </w:r>
    </w:p>
    <w:p w14:paraId="73123352" w14:textId="77777777" w:rsidR="00A17ECC" w:rsidRPr="00E46EBA" w:rsidRDefault="00A17ECC" w:rsidP="00A17ECC">
      <w:pPr>
        <w:pStyle w:val="Heading3"/>
        <w:numPr>
          <w:ilvl w:val="5"/>
          <w:numId w:val="7"/>
        </w:numPr>
      </w:pPr>
      <w:r>
        <w:t>How to make an application</w:t>
      </w:r>
    </w:p>
    <w:p w14:paraId="1C47B964" w14:textId="1A058D2A" w:rsidR="00A17ECC" w:rsidRPr="000C09FB" w:rsidRDefault="00A17ECC" w:rsidP="00A17ECC">
      <w:pPr>
        <w:pStyle w:val="NumberedNormal"/>
        <w:numPr>
          <w:ilvl w:val="2"/>
          <w:numId w:val="7"/>
        </w:numPr>
      </w:pPr>
      <w:r>
        <w:t>An application under paragraph 3.2</w:t>
      </w:r>
      <w:r w:rsidR="00C344F8">
        <w:t>2</w:t>
      </w:r>
      <w:r>
        <w:t>.4 must be made in writing to the Authority and must:</w:t>
      </w:r>
    </w:p>
    <w:p w14:paraId="069FFAB0" w14:textId="77777777" w:rsidR="00A17ECC" w:rsidRPr="000C09FB" w:rsidRDefault="00A17ECC" w:rsidP="00A17ECC">
      <w:pPr>
        <w:pStyle w:val="ListNormal"/>
        <w:numPr>
          <w:ilvl w:val="3"/>
          <w:numId w:val="7"/>
        </w:numPr>
      </w:pPr>
      <w:r>
        <w:t>specify the Specified Streetworks Costs relating to permit schemes, lane rental schemes or requirements that have led to the application;</w:t>
      </w:r>
    </w:p>
    <w:p w14:paraId="4260DEBF" w14:textId="77777777" w:rsidR="00A17ECC" w:rsidRPr="000C09FB" w:rsidRDefault="00A17ECC" w:rsidP="00A17ECC">
      <w:pPr>
        <w:pStyle w:val="ListNormal"/>
        <w:numPr>
          <w:ilvl w:val="3"/>
          <w:numId w:val="7"/>
        </w:numPr>
      </w:pPr>
      <w:r>
        <w:t xml:space="preserve">set out the adjustments to the value of the STWt term that the licensee is requesting and the Regulatory Years to which those adjustments relate; </w:t>
      </w:r>
    </w:p>
    <w:p w14:paraId="194E10B1" w14:textId="77777777" w:rsidR="00A17ECC" w:rsidRPr="000C09FB" w:rsidRDefault="00A17ECC" w:rsidP="00A17ECC">
      <w:pPr>
        <w:pStyle w:val="ListNormal"/>
        <w:numPr>
          <w:ilvl w:val="3"/>
          <w:numId w:val="7"/>
        </w:numPr>
      </w:pPr>
      <w:r>
        <w:t>explain the basis of the licensee’s calculation of the proposed adjustments to the value of the STWt term; and</w:t>
      </w:r>
    </w:p>
    <w:p w14:paraId="62E31ED4" w14:textId="77777777" w:rsidR="00A17ECC" w:rsidRPr="000C09FB" w:rsidRDefault="00A17ECC" w:rsidP="00A17ECC">
      <w:pPr>
        <w:pStyle w:val="ListNormal"/>
        <w:numPr>
          <w:ilvl w:val="3"/>
          <w:numId w:val="7"/>
        </w:numPr>
      </w:pPr>
      <w:r>
        <w:t>include such detailed supporting evidence that the Specified Streetworks Costs are efficient and unavoidable as is reasonable in the circumstances.</w:t>
      </w:r>
    </w:p>
    <w:p w14:paraId="3E22A4A0" w14:textId="7E4ECC6C" w:rsidR="00A17ECC" w:rsidRPr="000C09FB" w:rsidRDefault="00A17ECC" w:rsidP="00A17ECC">
      <w:pPr>
        <w:pStyle w:val="NumberedNormal"/>
        <w:numPr>
          <w:ilvl w:val="2"/>
          <w:numId w:val="7"/>
        </w:numPr>
      </w:pPr>
      <w:r>
        <w:t>An application under paragraph 3.2</w:t>
      </w:r>
      <w:r w:rsidR="00C344F8">
        <w:t>2</w:t>
      </w:r>
      <w:r>
        <w:t>.4 must:</w:t>
      </w:r>
    </w:p>
    <w:p w14:paraId="52126065" w14:textId="77777777" w:rsidR="00A17ECC" w:rsidRPr="000C09FB" w:rsidRDefault="00A17ECC" w:rsidP="00A17ECC">
      <w:pPr>
        <w:pStyle w:val="ListNormal"/>
        <w:numPr>
          <w:ilvl w:val="3"/>
          <w:numId w:val="7"/>
        </w:numPr>
      </w:pPr>
      <w:r>
        <w:t>relate to permit schemes, lane rental schemes or requirements that have been imposed or are expected to be imposed on or after 1 April 2021;</w:t>
      </w:r>
    </w:p>
    <w:p w14:paraId="2608ED77" w14:textId="77777777" w:rsidR="00A17ECC" w:rsidRPr="000C09FB" w:rsidRDefault="00A17ECC" w:rsidP="00A17ECC">
      <w:pPr>
        <w:pStyle w:val="ListNormal"/>
        <w:numPr>
          <w:ilvl w:val="3"/>
          <w:numId w:val="7"/>
        </w:numPr>
      </w:pPr>
      <w:r>
        <w:t>take account of any allowed expenditure, which can be avoided as a result; and</w:t>
      </w:r>
    </w:p>
    <w:p w14:paraId="3F8AC1DA" w14:textId="77777777" w:rsidR="00A17ECC" w:rsidRPr="000C09FB" w:rsidRDefault="00A17ECC" w:rsidP="00A17ECC">
      <w:pPr>
        <w:pStyle w:val="ListNormal"/>
        <w:numPr>
          <w:ilvl w:val="3"/>
          <w:numId w:val="7"/>
        </w:numPr>
      </w:pPr>
      <w:r>
        <w:lastRenderedPageBreak/>
        <w:t>relate to costs incurred or expected to be incurred that exceed or are expected to exceed the materiality threshold specified for the licensee in Appendix 1.</w:t>
      </w:r>
    </w:p>
    <w:p w14:paraId="493B96F2" w14:textId="77777777" w:rsidR="00A17ECC" w:rsidRDefault="00A17ECC" w:rsidP="00A17ECC">
      <w:pPr>
        <w:pStyle w:val="Heading3"/>
        <w:numPr>
          <w:ilvl w:val="5"/>
          <w:numId w:val="7"/>
        </w:numPr>
      </w:pPr>
      <w:r>
        <w:t>Authority triggered Re-opener</w:t>
      </w:r>
    </w:p>
    <w:p w14:paraId="0E1A9816" w14:textId="77777777" w:rsidR="00A17ECC" w:rsidRPr="000C09FB" w:rsidRDefault="00A17ECC" w:rsidP="00A17ECC">
      <w:pPr>
        <w:pStyle w:val="NumberedNormal"/>
        <w:numPr>
          <w:ilvl w:val="2"/>
          <w:numId w:val="7"/>
        </w:numPr>
      </w:pPr>
      <w:r>
        <w:t>The Authority will also consider directing an adjustment to the value of the STW</w:t>
      </w:r>
      <w:r w:rsidRPr="00E55A1B">
        <w:rPr>
          <w:vertAlign w:val="subscript"/>
        </w:rPr>
        <w:t>t</w:t>
      </w:r>
      <w:r>
        <w:t xml:space="preserve"> term where it considers that there are Specified Streetworks Costs that:</w:t>
      </w:r>
    </w:p>
    <w:p w14:paraId="2D493320" w14:textId="77777777" w:rsidR="00A17ECC" w:rsidRDefault="00A17ECC" w:rsidP="00A17ECC">
      <w:pPr>
        <w:pStyle w:val="ListNormal"/>
        <w:numPr>
          <w:ilvl w:val="3"/>
          <w:numId w:val="7"/>
        </w:numPr>
      </w:pPr>
      <w:r>
        <w:t>relate to permit schemes, lane rental schemes or requirements that have been imposed or are expected to be imposed on or after 1 April 2021; and</w:t>
      </w:r>
    </w:p>
    <w:p w14:paraId="6C3B0FC4" w14:textId="77777777" w:rsidR="00A17ECC" w:rsidRPr="000C09FB" w:rsidRDefault="00A17ECC" w:rsidP="00A17ECC">
      <w:pPr>
        <w:pStyle w:val="ListNormal"/>
        <w:numPr>
          <w:ilvl w:val="3"/>
          <w:numId w:val="7"/>
        </w:numPr>
      </w:pPr>
      <w:r>
        <w:t>exceed or are expected to exceed the materiality threshold in Appendix 1.</w:t>
      </w:r>
    </w:p>
    <w:p w14:paraId="30D8B46F" w14:textId="77777777" w:rsidR="00A17ECC" w:rsidRPr="000C09FB" w:rsidRDefault="00A17ECC" w:rsidP="00A17ECC">
      <w:pPr>
        <w:pStyle w:val="ListNormal"/>
        <w:numPr>
          <w:ilvl w:val="3"/>
          <w:numId w:val="0"/>
        </w:numPr>
        <w:ind w:left="1236"/>
      </w:pPr>
    </w:p>
    <w:p w14:paraId="048EE543" w14:textId="77777777" w:rsidR="00A17ECC" w:rsidRPr="00AE57AC" w:rsidRDefault="00A17ECC" w:rsidP="00A17ECC">
      <w:pPr>
        <w:pStyle w:val="Heading3"/>
        <w:numPr>
          <w:ilvl w:val="5"/>
          <w:numId w:val="7"/>
        </w:numPr>
      </w:pPr>
      <w:r>
        <w:t>What process will the Authority follow in making a direction?</w:t>
      </w:r>
    </w:p>
    <w:p w14:paraId="78FDF422" w14:textId="69BFA8FE" w:rsidR="00A17ECC" w:rsidRPr="000C09FB" w:rsidRDefault="00A17ECC" w:rsidP="00A17ECC">
      <w:pPr>
        <w:pStyle w:val="NumberedNormal"/>
        <w:numPr>
          <w:ilvl w:val="2"/>
          <w:numId w:val="7"/>
        </w:numPr>
      </w:pPr>
      <w:r>
        <w:t>Before making a direction under paragraph 3.2</w:t>
      </w:r>
      <w:r w:rsidR="00C344F8">
        <w:t>2.4 or 3.22</w:t>
      </w:r>
      <w:r>
        <w:t>.8 the Authority will publish on the Authority's Website:</w:t>
      </w:r>
    </w:p>
    <w:p w14:paraId="418BB06A" w14:textId="77777777" w:rsidR="00A17ECC" w:rsidRPr="000C09FB" w:rsidRDefault="00A17ECC" w:rsidP="00A17ECC">
      <w:pPr>
        <w:pStyle w:val="ListNormal"/>
        <w:numPr>
          <w:ilvl w:val="3"/>
          <w:numId w:val="7"/>
        </w:numPr>
      </w:pPr>
      <w:r>
        <w:t>the text of the proposed direction;</w:t>
      </w:r>
    </w:p>
    <w:p w14:paraId="26FBBA49" w14:textId="77777777" w:rsidR="00A17ECC" w:rsidRPr="000C09FB" w:rsidRDefault="00A17ECC" w:rsidP="00A17ECC">
      <w:pPr>
        <w:pStyle w:val="ListNormal"/>
        <w:numPr>
          <w:ilvl w:val="3"/>
          <w:numId w:val="7"/>
        </w:numPr>
      </w:pPr>
      <w:r>
        <w:t>the reasons for the proposed direction; and</w:t>
      </w:r>
    </w:p>
    <w:p w14:paraId="22264BF4" w14:textId="77777777" w:rsidR="00A17ECC" w:rsidRPr="000C09FB" w:rsidRDefault="00A17ECC" w:rsidP="00A17ECC">
      <w:pPr>
        <w:pStyle w:val="ListNormal"/>
        <w:numPr>
          <w:ilvl w:val="3"/>
          <w:numId w:val="7"/>
        </w:numPr>
      </w:pPr>
      <w:r>
        <w:t>a period during which representations may be made on the proposed direction, which will not be less than 28 days.</w:t>
      </w:r>
    </w:p>
    <w:p w14:paraId="323C836B" w14:textId="77777777" w:rsidR="00A17ECC" w:rsidRPr="000C09FB" w:rsidRDefault="00A17ECC" w:rsidP="00A17ECC">
      <w:pPr>
        <w:pStyle w:val="NumberedNormal"/>
        <w:numPr>
          <w:ilvl w:val="2"/>
          <w:numId w:val="7"/>
        </w:numPr>
      </w:pPr>
      <w:r>
        <w:t>The direction will set out any adjustments to the value of the STW</w:t>
      </w:r>
      <w:r w:rsidRPr="00E55A1B">
        <w:rPr>
          <w:vertAlign w:val="subscript"/>
        </w:rPr>
        <w:t>t</w:t>
      </w:r>
      <w:r>
        <w:t xml:space="preserve"> term and the Regulatory Years to which those adjustments relate.</w:t>
      </w:r>
    </w:p>
    <w:p w14:paraId="568A670D" w14:textId="77777777" w:rsidR="00A17ECC" w:rsidRPr="00951250" w:rsidRDefault="00A17ECC" w:rsidP="00A17ECC">
      <w:pPr>
        <w:pStyle w:val="AppendixHeading"/>
      </w:pPr>
    </w:p>
    <w:p w14:paraId="16A04CFE" w14:textId="77777777" w:rsidR="00A17ECC" w:rsidRPr="00E55A1B" w:rsidRDefault="00A17ECC" w:rsidP="00A17ECC">
      <w:pPr>
        <w:pStyle w:val="Caption"/>
      </w:pPr>
      <w:r w:rsidRPr="00E55A1B">
        <w:t>Materiality threshold for Specified Streetworks Re-opener</w:t>
      </w:r>
    </w:p>
    <w:tbl>
      <w:tblPr>
        <w:tblStyle w:val="AppendixTable"/>
        <w:tblW w:w="5000" w:type="pct"/>
        <w:jc w:val="center"/>
        <w:tblLook w:val="04A0" w:firstRow="1" w:lastRow="0" w:firstColumn="1" w:lastColumn="0" w:noHBand="0" w:noVBand="1"/>
      </w:tblPr>
      <w:tblGrid>
        <w:gridCol w:w="4513"/>
        <w:gridCol w:w="4513"/>
      </w:tblGrid>
      <w:tr w:rsidR="00A17ECC" w:rsidRPr="00DE541A" w14:paraId="2DA86B68" w14:textId="77777777" w:rsidTr="009F2749">
        <w:trPr>
          <w:cnfStyle w:val="100000000000" w:firstRow="1" w:lastRow="0" w:firstColumn="0" w:lastColumn="0" w:oddVBand="0" w:evenVBand="0" w:oddHBand="0" w:evenHBand="0" w:firstRowFirstColumn="0" w:firstRowLastColumn="0" w:lastRowFirstColumn="0" w:lastRowLastColumn="0"/>
          <w:trHeight w:val="305"/>
          <w:tblHeader/>
          <w:jc w:val="center"/>
        </w:trPr>
        <w:tc>
          <w:tcPr>
            <w:tcW w:w="2500" w:type="pct"/>
          </w:tcPr>
          <w:p w14:paraId="1EB67C00" w14:textId="77777777" w:rsidR="00A17ECC" w:rsidRPr="001171C8" w:rsidRDefault="00A17ECC" w:rsidP="009F2749">
            <w:r w:rsidRPr="00DE541A">
              <w:t>Licensee</w:t>
            </w:r>
          </w:p>
        </w:tc>
        <w:tc>
          <w:tcPr>
            <w:tcW w:w="2500" w:type="pct"/>
          </w:tcPr>
          <w:p w14:paraId="59BFC9AA" w14:textId="77777777" w:rsidR="00A17ECC" w:rsidRPr="001171C8" w:rsidRDefault="00A17ECC" w:rsidP="009F2749">
            <w:r>
              <w:t>M</w:t>
            </w:r>
            <w:r w:rsidRPr="001171C8">
              <w:t>ateriality threshold</w:t>
            </w:r>
          </w:p>
        </w:tc>
      </w:tr>
      <w:tr w:rsidR="00A17ECC" w:rsidRPr="00D5104D" w14:paraId="2D9C217C" w14:textId="77777777" w:rsidTr="009F2749">
        <w:trPr>
          <w:trHeight w:val="321"/>
          <w:jc w:val="center"/>
        </w:trPr>
        <w:tc>
          <w:tcPr>
            <w:tcW w:w="2500" w:type="pct"/>
          </w:tcPr>
          <w:p w14:paraId="312D36CB" w14:textId="77777777" w:rsidR="00A17ECC" w:rsidRPr="001171C8" w:rsidRDefault="00A17ECC" w:rsidP="009F2749">
            <w:r>
              <w:t>Cadent Limited</w:t>
            </w:r>
          </w:p>
        </w:tc>
        <w:tc>
          <w:tcPr>
            <w:tcW w:w="2500" w:type="pct"/>
          </w:tcPr>
          <w:p w14:paraId="2E9BE490" w14:textId="77777777" w:rsidR="00A17ECC" w:rsidRPr="0082533A" w:rsidRDefault="00A17ECC" w:rsidP="009F2749"/>
        </w:tc>
      </w:tr>
      <w:tr w:rsidR="00A17ECC" w:rsidRPr="00D5104D" w14:paraId="0A1565F6" w14:textId="77777777" w:rsidTr="009F2749">
        <w:trPr>
          <w:trHeight w:val="321"/>
          <w:jc w:val="center"/>
        </w:trPr>
        <w:tc>
          <w:tcPr>
            <w:tcW w:w="2500" w:type="pct"/>
          </w:tcPr>
          <w:p w14:paraId="59BD5C3A" w14:textId="77777777" w:rsidR="00A17ECC" w:rsidRPr="001171C8" w:rsidRDefault="00A17ECC" w:rsidP="009F2749">
            <w:r>
              <w:t>Northern Gas Networks Limited</w:t>
            </w:r>
          </w:p>
        </w:tc>
        <w:tc>
          <w:tcPr>
            <w:tcW w:w="2500" w:type="pct"/>
          </w:tcPr>
          <w:p w14:paraId="5087F02A" w14:textId="77777777" w:rsidR="00A17ECC" w:rsidRPr="00D5104D" w:rsidRDefault="00A17ECC" w:rsidP="009F2749"/>
        </w:tc>
      </w:tr>
      <w:tr w:rsidR="00A17ECC" w:rsidRPr="00D5104D" w14:paraId="68C0EADC" w14:textId="77777777" w:rsidTr="009F2749">
        <w:trPr>
          <w:trHeight w:val="321"/>
          <w:jc w:val="center"/>
        </w:trPr>
        <w:tc>
          <w:tcPr>
            <w:tcW w:w="2500" w:type="pct"/>
          </w:tcPr>
          <w:p w14:paraId="71F534A7" w14:textId="77777777" w:rsidR="00A17ECC" w:rsidRPr="001171C8" w:rsidRDefault="00A17ECC" w:rsidP="009F2749">
            <w:r>
              <w:t>Scotland Gas Networks Plc</w:t>
            </w:r>
          </w:p>
        </w:tc>
        <w:tc>
          <w:tcPr>
            <w:tcW w:w="2500" w:type="pct"/>
          </w:tcPr>
          <w:p w14:paraId="66F1E3E6" w14:textId="77777777" w:rsidR="00A17ECC" w:rsidRPr="00D5104D" w:rsidRDefault="00A17ECC" w:rsidP="009F2749"/>
        </w:tc>
      </w:tr>
      <w:tr w:rsidR="00A17ECC" w:rsidRPr="00D5104D" w14:paraId="52DF2AD8" w14:textId="77777777" w:rsidTr="009F2749">
        <w:trPr>
          <w:trHeight w:val="321"/>
          <w:jc w:val="center"/>
        </w:trPr>
        <w:tc>
          <w:tcPr>
            <w:tcW w:w="2500" w:type="pct"/>
          </w:tcPr>
          <w:p w14:paraId="4BFEE0DF" w14:textId="77777777" w:rsidR="00A17ECC" w:rsidRPr="001171C8" w:rsidRDefault="00A17ECC" w:rsidP="009F2749">
            <w:r>
              <w:t>Southern Gas Networks Plc</w:t>
            </w:r>
          </w:p>
        </w:tc>
        <w:tc>
          <w:tcPr>
            <w:tcW w:w="2500" w:type="pct"/>
          </w:tcPr>
          <w:p w14:paraId="0C05BAE2" w14:textId="77777777" w:rsidR="00A17ECC" w:rsidRPr="00D5104D" w:rsidRDefault="00A17ECC" w:rsidP="009F2749"/>
        </w:tc>
      </w:tr>
      <w:tr w:rsidR="00A17ECC" w:rsidRPr="00D5104D" w14:paraId="4B3AF129" w14:textId="77777777" w:rsidTr="009F2749">
        <w:trPr>
          <w:trHeight w:val="321"/>
          <w:jc w:val="center"/>
        </w:trPr>
        <w:tc>
          <w:tcPr>
            <w:tcW w:w="2500" w:type="pct"/>
          </w:tcPr>
          <w:p w14:paraId="567B89E4" w14:textId="77777777" w:rsidR="00A17ECC" w:rsidRPr="001171C8" w:rsidRDefault="00A17ECC" w:rsidP="009F2749">
            <w:r>
              <w:t>Wales &amp; West Utilities Limited</w:t>
            </w:r>
          </w:p>
        </w:tc>
        <w:tc>
          <w:tcPr>
            <w:tcW w:w="2500" w:type="pct"/>
          </w:tcPr>
          <w:p w14:paraId="5C65DF78" w14:textId="77777777" w:rsidR="00A17ECC" w:rsidRPr="00D5104D" w:rsidRDefault="00A17ECC" w:rsidP="009F2749"/>
        </w:tc>
      </w:tr>
    </w:tbl>
    <w:p w14:paraId="6BDA763A" w14:textId="5CB99817" w:rsidR="00A17ECC" w:rsidRPr="00AB00E9" w:rsidRDefault="00A17ECC" w:rsidP="00A17ECC">
      <w:pPr>
        <w:pStyle w:val="Heading2"/>
        <w:numPr>
          <w:ilvl w:val="1"/>
          <w:numId w:val="7"/>
        </w:numPr>
      </w:pPr>
      <w:bookmarkStart w:id="107" w:name="_Toc51783673"/>
      <w:bookmarkStart w:id="108" w:name="_Toc52364557"/>
      <w:r w:rsidRPr="00AB00E9">
        <w:t xml:space="preserve">Domestic Connections </w:t>
      </w:r>
      <w:r w:rsidR="00465351">
        <w:t>V</w:t>
      </w:r>
      <w:r w:rsidRPr="00AB00E9">
        <w:t xml:space="preserve">olume </w:t>
      </w:r>
      <w:r w:rsidR="00465351">
        <w:t>D</w:t>
      </w:r>
      <w:r w:rsidRPr="00AB00E9">
        <w:t>river</w:t>
      </w:r>
      <w:r>
        <w:t xml:space="preserve"> (CA</w:t>
      </w:r>
      <w:r w:rsidRPr="00C70CA8">
        <w:rPr>
          <w:vertAlign w:val="subscript"/>
        </w:rPr>
        <w:t>t</w:t>
      </w:r>
      <w:r>
        <w:t>)</w:t>
      </w:r>
      <w:bookmarkEnd w:id="108"/>
    </w:p>
    <w:p w14:paraId="36F68BFA" w14:textId="77777777" w:rsidR="00A17ECC" w:rsidRPr="00AB00E9" w:rsidRDefault="00A17ECC" w:rsidP="00A17ECC">
      <w:pPr>
        <w:pStyle w:val="Heading3nonumbering"/>
      </w:pPr>
      <w:r w:rsidRPr="00AB00E9">
        <w:t xml:space="preserve">Introduction </w:t>
      </w:r>
    </w:p>
    <w:p w14:paraId="2B64C7DE" w14:textId="77777777" w:rsidR="00A17ECC" w:rsidRPr="00AB00E9" w:rsidRDefault="00A17ECC" w:rsidP="00A17ECC">
      <w:pPr>
        <w:pStyle w:val="NumberedNormal"/>
        <w:numPr>
          <w:ilvl w:val="2"/>
          <w:numId w:val="7"/>
        </w:numPr>
      </w:pPr>
      <w:r>
        <w:t>The purpose of this condition is to calculate the term CA</w:t>
      </w:r>
      <w:r w:rsidRPr="00C70CA8">
        <w:rPr>
          <w:vertAlign w:val="subscript"/>
        </w:rPr>
        <w:t>t</w:t>
      </w:r>
      <w:r>
        <w:t xml:space="preserve"> (the Domestic Connections volume driver term). This contributes to the calculation of the Totex Allowance.</w:t>
      </w:r>
    </w:p>
    <w:p w14:paraId="54546584" w14:textId="77777777" w:rsidR="00A17ECC" w:rsidRPr="00AB00E9" w:rsidRDefault="00A17ECC" w:rsidP="00A17ECC">
      <w:pPr>
        <w:pStyle w:val="NumberedNormal"/>
        <w:numPr>
          <w:ilvl w:val="2"/>
          <w:numId w:val="7"/>
        </w:numPr>
      </w:pPr>
      <w:r>
        <w:t>The effect of this condition is to adjust revenue to fund the licensee for Domestic Connections.</w:t>
      </w:r>
    </w:p>
    <w:p w14:paraId="44C758F0" w14:textId="77777777" w:rsidR="00A17ECC" w:rsidRPr="00AB00E9" w:rsidRDefault="00A17ECC" w:rsidP="00A17ECC">
      <w:pPr>
        <w:pStyle w:val="Heading3"/>
        <w:numPr>
          <w:ilvl w:val="5"/>
          <w:numId w:val="7"/>
        </w:numPr>
      </w:pPr>
      <w:r>
        <w:lastRenderedPageBreak/>
        <w:t>Formula for calculating the Connections Adjustment term (CA</w:t>
      </w:r>
      <w:r w:rsidRPr="00C70CA8">
        <w:rPr>
          <w:vertAlign w:val="subscript"/>
        </w:rPr>
        <w:t>t</w:t>
      </w:r>
      <w:r>
        <w:t>)</w:t>
      </w:r>
    </w:p>
    <w:p w14:paraId="2EABBCD1" w14:textId="77777777" w:rsidR="00A17ECC" w:rsidRPr="00AB00E9" w:rsidRDefault="00A17ECC" w:rsidP="00A17ECC">
      <w:pPr>
        <w:pStyle w:val="NumberedNormal"/>
        <w:numPr>
          <w:ilvl w:val="2"/>
          <w:numId w:val="7"/>
        </w:numPr>
      </w:pPr>
      <w:r>
        <w:t>The value of CA</w:t>
      </w:r>
      <w:r w:rsidRPr="00C70CA8">
        <w:rPr>
          <w:vertAlign w:val="subscript"/>
        </w:rPr>
        <w:t>t</w:t>
      </w:r>
      <w:r>
        <w:t xml:space="preserve"> is derived in accordance with the following formula: </w:t>
      </w:r>
    </w:p>
    <w:p w14:paraId="0D77584C" w14:textId="77777777" w:rsidR="00A17ECC" w:rsidRPr="0059360A" w:rsidRDefault="008C7681" w:rsidP="00A17ECC">
      <w:pPr>
        <w:pStyle w:val="Equation"/>
        <w:rPr>
          <w:i/>
        </w:rPr>
      </w:pPr>
      <m:oMathPara>
        <m:oMath>
          <m:sSub>
            <m:sSubPr>
              <m:ctrlPr>
                <w:rPr>
                  <w:rFonts w:ascii="Cambria Math" w:hAnsi="Cambria Math"/>
                  <w:i/>
                </w:rPr>
              </m:ctrlPr>
            </m:sSubPr>
            <m:e>
              <m:r>
                <w:rPr>
                  <w:rFonts w:ascii="Cambria Math" w:hAnsi="Cambria Math"/>
                </w:rPr>
                <m:t>CA</m:t>
              </m:r>
            </m:e>
            <m:sub>
              <m:r>
                <w:rPr>
                  <w:rFonts w:ascii="Cambria Math" w:hAnsi="Cambria Math"/>
                </w:rPr>
                <m:t>t</m:t>
              </m:r>
            </m:sub>
          </m:sSub>
          <m:r>
            <w:rPr>
              <w:rFonts w:ascii="Cambria Math" w:hAnsi="Cambria Math"/>
            </w:rPr>
            <m:t>=</m:t>
          </m:r>
          <m:nary>
            <m:naryPr>
              <m:chr m:val="∑"/>
              <m:limLoc m:val="undOvr"/>
              <m:ctrlPr>
                <w:rPr>
                  <w:rFonts w:ascii="Cambria Math" w:hAnsi="Cambria Math"/>
                  <w:i/>
                </w:rPr>
              </m:ctrlPr>
            </m:naryPr>
            <m:sub>
              <m:r>
                <w:rPr>
                  <w:rFonts w:ascii="Cambria Math" w:hAnsi="Cambria Math"/>
                </w:rPr>
                <m:t>n=1</m:t>
              </m:r>
            </m:sub>
            <m:sup>
              <m:r>
                <w:rPr>
                  <w:rFonts w:ascii="Cambria Math" w:hAnsi="Cambria Math"/>
                </w:rPr>
                <m:t>2</m:t>
              </m:r>
            </m:sup>
            <m:e>
              <m:d>
                <m:dPr>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n,t</m:t>
                      </m:r>
                    </m:sub>
                  </m:sSub>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n,t</m:t>
                      </m:r>
                    </m:sub>
                  </m:sSub>
                </m:e>
              </m:d>
            </m:e>
          </m:nary>
        </m:oMath>
      </m:oMathPara>
    </w:p>
    <w:p w14:paraId="36832231" w14:textId="77777777" w:rsidR="00A17ECC" w:rsidRPr="00AB00E9" w:rsidRDefault="00A17ECC" w:rsidP="00A17ECC"/>
    <w:tbl>
      <w:tblPr>
        <w:tblW w:w="0" w:type="auto"/>
        <w:tblInd w:w="534" w:type="dxa"/>
        <w:tblLook w:val="0000" w:firstRow="0" w:lastRow="0" w:firstColumn="0" w:lastColumn="0" w:noHBand="0" w:noVBand="0"/>
      </w:tblPr>
      <w:tblGrid>
        <w:gridCol w:w="1682"/>
        <w:gridCol w:w="6810"/>
      </w:tblGrid>
      <w:tr w:rsidR="00A17ECC" w14:paraId="0AAB9ABD" w14:textId="77777777" w:rsidTr="009F2749">
        <w:tc>
          <w:tcPr>
            <w:tcW w:w="1682" w:type="dxa"/>
          </w:tcPr>
          <w:p w14:paraId="5FC38FAF" w14:textId="77777777" w:rsidR="00A17ECC" w:rsidRPr="00AB00E9" w:rsidRDefault="00A17ECC" w:rsidP="009F2749">
            <w:r w:rsidRPr="00AB00E9">
              <w:t>where:</w:t>
            </w:r>
          </w:p>
        </w:tc>
        <w:tc>
          <w:tcPr>
            <w:tcW w:w="6810" w:type="dxa"/>
          </w:tcPr>
          <w:p w14:paraId="6C6C1D44" w14:textId="77777777" w:rsidR="00A17ECC" w:rsidRPr="00AB00E9" w:rsidRDefault="00A17ECC" w:rsidP="009F2749"/>
        </w:tc>
      </w:tr>
      <w:tr w:rsidR="00A17ECC" w14:paraId="614132D2" w14:textId="77777777" w:rsidTr="009F2749">
        <w:tc>
          <w:tcPr>
            <w:tcW w:w="1682" w:type="dxa"/>
          </w:tcPr>
          <w:p w14:paraId="745C00D3" w14:textId="77777777" w:rsidR="00A17ECC" w:rsidRPr="0059360A" w:rsidRDefault="00A17ECC" w:rsidP="009F2749">
            <w:pPr>
              <w:pStyle w:val="Equation"/>
              <w:rPr>
                <w:i/>
                <w:iCs/>
              </w:rPr>
            </w:pPr>
            <w:r w:rsidRPr="0059360A">
              <w:rPr>
                <w:i/>
                <w:iCs/>
              </w:rPr>
              <w:t>V</w:t>
            </w:r>
            <w:r w:rsidRPr="0059360A">
              <w:rPr>
                <w:i/>
                <w:iCs/>
                <w:vertAlign w:val="subscript"/>
              </w:rPr>
              <w:t>n,t</w:t>
            </w:r>
          </w:p>
        </w:tc>
        <w:tc>
          <w:tcPr>
            <w:tcW w:w="6810" w:type="dxa"/>
          </w:tcPr>
          <w:p w14:paraId="08989963" w14:textId="77777777" w:rsidR="00A17ECC" w:rsidRPr="00AB00E9" w:rsidRDefault="00A17ECC" w:rsidP="009F2749">
            <w:pPr>
              <w:pStyle w:val="Equation"/>
            </w:pPr>
            <w:r w:rsidRPr="00AB00E9">
              <w:t>means the number of delivered Domestic Connections over the Price Control Period</w:t>
            </w:r>
            <w:r>
              <w:t>; and</w:t>
            </w:r>
          </w:p>
        </w:tc>
      </w:tr>
      <w:tr w:rsidR="00A17ECC" w14:paraId="007352F7" w14:textId="77777777" w:rsidTr="009F2749">
        <w:tc>
          <w:tcPr>
            <w:tcW w:w="1682" w:type="dxa"/>
          </w:tcPr>
          <w:p w14:paraId="1D47838C" w14:textId="77777777" w:rsidR="00A17ECC" w:rsidRPr="0059360A" w:rsidRDefault="00A17ECC" w:rsidP="009F2749">
            <w:pPr>
              <w:pStyle w:val="Equation"/>
              <w:rPr>
                <w:i/>
                <w:iCs/>
              </w:rPr>
            </w:pPr>
            <w:r w:rsidRPr="0059360A">
              <w:rPr>
                <w:i/>
                <w:iCs/>
              </w:rPr>
              <w:t>U</w:t>
            </w:r>
            <w:r w:rsidRPr="0059360A">
              <w:rPr>
                <w:i/>
                <w:iCs/>
                <w:vertAlign w:val="subscript"/>
              </w:rPr>
              <w:t>n,t</w:t>
            </w:r>
          </w:p>
        </w:tc>
        <w:tc>
          <w:tcPr>
            <w:tcW w:w="6810" w:type="dxa"/>
          </w:tcPr>
          <w:p w14:paraId="5B8E62DB" w14:textId="77777777" w:rsidR="00A17ECC" w:rsidRPr="00AB00E9" w:rsidRDefault="00A17ECC" w:rsidP="009F2749">
            <w:pPr>
              <w:pStyle w:val="Equation"/>
            </w:pPr>
            <w:r w:rsidRPr="00AB00E9">
              <w:t>means the specific matrix costs in respect of Parent Main Diameter Band n as set out in the relevant table in Appendix 1</w:t>
            </w:r>
            <w:r>
              <w:t>.</w:t>
            </w:r>
          </w:p>
        </w:tc>
      </w:tr>
    </w:tbl>
    <w:p w14:paraId="63427451" w14:textId="77777777" w:rsidR="00A17ECC" w:rsidRPr="00AB00E9" w:rsidRDefault="00A17ECC" w:rsidP="00A17ECC">
      <w:pPr>
        <w:pStyle w:val="AppendixHeading"/>
      </w:pPr>
    </w:p>
    <w:p w14:paraId="0775362D" w14:textId="619CD39C" w:rsidR="00A17ECC" w:rsidRPr="00C70CA8" w:rsidRDefault="00A17ECC" w:rsidP="00A17ECC">
      <w:pPr>
        <w:pStyle w:val="Caption"/>
      </w:pPr>
      <w:r w:rsidRPr="00C70CA8">
        <w:t xml:space="preserve">Distribution Network specific matrix costs (£ per </w:t>
      </w:r>
      <w:r>
        <w:t>D</w:t>
      </w:r>
      <w:r w:rsidRPr="00C70CA8">
        <w:t xml:space="preserve">omestic </w:t>
      </w:r>
      <w:r>
        <w:t>C</w:t>
      </w:r>
      <w:r w:rsidRPr="00C70CA8">
        <w:t xml:space="preserve">onnection, at </w:t>
      </w:r>
      <w:r w:rsidR="0039591B" w:rsidRPr="00C70CA8">
        <w:t>2</w:t>
      </w:r>
      <w:r w:rsidR="0039591B">
        <w:t xml:space="preserve">018/19 </w:t>
      </w:r>
      <w:r w:rsidRPr="00C70CA8">
        <w:t>price levels): Distribution Network: E</w:t>
      </w:r>
      <w:r w:rsidR="00512D03">
        <w:t xml:space="preserve">ast of </w:t>
      </w:r>
      <w:r w:rsidRPr="00C70CA8">
        <w:t>E</w:t>
      </w:r>
      <w:r w:rsidR="00512D03">
        <w:t>ngland</w:t>
      </w:r>
    </w:p>
    <w:tbl>
      <w:tblPr>
        <w:tblStyle w:val="AppendixTable"/>
        <w:tblW w:w="5000" w:type="pct"/>
        <w:tblLook w:val="01A0" w:firstRow="1" w:lastRow="0" w:firstColumn="1" w:lastColumn="1" w:noHBand="0" w:noVBand="0"/>
      </w:tblPr>
      <w:tblGrid>
        <w:gridCol w:w="1970"/>
        <w:gridCol w:w="1229"/>
        <w:gridCol w:w="1455"/>
        <w:gridCol w:w="1457"/>
        <w:gridCol w:w="1455"/>
        <w:gridCol w:w="1460"/>
      </w:tblGrid>
      <w:tr w:rsidR="00A17ECC" w:rsidRPr="00D24270" w14:paraId="18C0B3C6" w14:textId="77777777" w:rsidTr="009F2749">
        <w:trPr>
          <w:cnfStyle w:val="100000000000" w:firstRow="1" w:lastRow="0" w:firstColumn="0" w:lastColumn="0" w:oddVBand="0" w:evenVBand="0" w:oddHBand="0" w:evenHBand="0" w:firstRowFirstColumn="0" w:firstRowLastColumn="0" w:lastRowFirstColumn="0" w:lastRowLastColumn="0"/>
        </w:trPr>
        <w:tc>
          <w:tcPr>
            <w:tcW w:w="1091" w:type="pct"/>
          </w:tcPr>
          <w:p w14:paraId="36AC06C2" w14:textId="77777777" w:rsidR="00A17ECC" w:rsidRPr="00AB00E9" w:rsidRDefault="00A17ECC" w:rsidP="009F2749"/>
        </w:tc>
        <w:tc>
          <w:tcPr>
            <w:tcW w:w="3909" w:type="pct"/>
            <w:gridSpan w:val="5"/>
          </w:tcPr>
          <w:p w14:paraId="008C12FA" w14:textId="77777777" w:rsidR="00A17ECC" w:rsidRPr="00AB00E9" w:rsidRDefault="00A17ECC" w:rsidP="009F2749">
            <w:pPr>
              <w:rPr>
                <w:highlight w:val="yellow"/>
              </w:rPr>
            </w:pPr>
            <w:r w:rsidRPr="00AB00E9">
              <w:t>Specific matrix costs (£ per connection)</w:t>
            </w:r>
          </w:p>
        </w:tc>
      </w:tr>
      <w:tr w:rsidR="00A17ECC" w:rsidRPr="00D24270" w14:paraId="3E690443" w14:textId="77777777" w:rsidTr="009F2749">
        <w:tc>
          <w:tcPr>
            <w:tcW w:w="1091" w:type="pct"/>
          </w:tcPr>
          <w:p w14:paraId="33BD7A30" w14:textId="77777777" w:rsidR="00A17ECC" w:rsidRPr="00AB00E9" w:rsidRDefault="00A17ECC" w:rsidP="009F2749">
            <w:r w:rsidRPr="00AB00E9">
              <w:t>Diameter Band n</w:t>
            </w:r>
          </w:p>
        </w:tc>
        <w:tc>
          <w:tcPr>
            <w:tcW w:w="681" w:type="pct"/>
          </w:tcPr>
          <w:p w14:paraId="07055ED1" w14:textId="77777777" w:rsidR="00A17ECC" w:rsidRPr="00AB00E9" w:rsidRDefault="00A17ECC" w:rsidP="009F2749">
            <w:r w:rsidRPr="00AB00E9">
              <w:t>2021/22</w:t>
            </w:r>
          </w:p>
        </w:tc>
        <w:tc>
          <w:tcPr>
            <w:tcW w:w="806" w:type="pct"/>
          </w:tcPr>
          <w:p w14:paraId="74132BD0" w14:textId="77777777" w:rsidR="00A17ECC" w:rsidRPr="00AB00E9" w:rsidRDefault="00A17ECC" w:rsidP="009F2749">
            <w:r w:rsidRPr="00AB00E9">
              <w:t>2022/23</w:t>
            </w:r>
          </w:p>
        </w:tc>
        <w:tc>
          <w:tcPr>
            <w:tcW w:w="807" w:type="pct"/>
          </w:tcPr>
          <w:p w14:paraId="1E84AF62" w14:textId="77777777" w:rsidR="00A17ECC" w:rsidRPr="00AB00E9" w:rsidRDefault="00A17ECC" w:rsidP="009F2749">
            <w:r w:rsidRPr="00AB00E9">
              <w:t>2023/24</w:t>
            </w:r>
          </w:p>
        </w:tc>
        <w:tc>
          <w:tcPr>
            <w:tcW w:w="806" w:type="pct"/>
          </w:tcPr>
          <w:p w14:paraId="6348F22E" w14:textId="77777777" w:rsidR="00A17ECC" w:rsidRPr="00AB00E9" w:rsidRDefault="00A17ECC" w:rsidP="009F2749">
            <w:r w:rsidRPr="00AB00E9">
              <w:t>2024/25</w:t>
            </w:r>
          </w:p>
        </w:tc>
        <w:tc>
          <w:tcPr>
            <w:tcW w:w="807" w:type="pct"/>
          </w:tcPr>
          <w:p w14:paraId="007FB5AB" w14:textId="77777777" w:rsidR="00A17ECC" w:rsidRPr="00AB00E9" w:rsidRDefault="00A17ECC" w:rsidP="009F2749">
            <w:r w:rsidRPr="00AB00E9">
              <w:t>2025/26</w:t>
            </w:r>
          </w:p>
        </w:tc>
      </w:tr>
      <w:tr w:rsidR="00A17ECC" w:rsidRPr="00D24270" w14:paraId="69BBA456" w14:textId="77777777" w:rsidTr="009F2749">
        <w:tc>
          <w:tcPr>
            <w:tcW w:w="1091" w:type="pct"/>
          </w:tcPr>
          <w:p w14:paraId="5DD55F72" w14:textId="77777777" w:rsidR="00A17ECC" w:rsidRPr="00AB00E9" w:rsidRDefault="00A17ECC" w:rsidP="009F2749">
            <w:r>
              <w:t xml:space="preserve">n=1: </w:t>
            </w:r>
            <w:r w:rsidRPr="00AB00E9">
              <w:t>&lt;180mm</w:t>
            </w:r>
          </w:p>
        </w:tc>
        <w:tc>
          <w:tcPr>
            <w:tcW w:w="681" w:type="pct"/>
          </w:tcPr>
          <w:p w14:paraId="5DBB8D4D" w14:textId="77777777" w:rsidR="00A17ECC" w:rsidRPr="00AB00E9" w:rsidRDefault="00A17ECC" w:rsidP="009F2749"/>
        </w:tc>
        <w:tc>
          <w:tcPr>
            <w:tcW w:w="806" w:type="pct"/>
          </w:tcPr>
          <w:p w14:paraId="7F28AA98" w14:textId="77777777" w:rsidR="00A17ECC" w:rsidRPr="00AB00E9" w:rsidRDefault="00A17ECC" w:rsidP="009F2749"/>
        </w:tc>
        <w:tc>
          <w:tcPr>
            <w:tcW w:w="807" w:type="pct"/>
          </w:tcPr>
          <w:p w14:paraId="56259170" w14:textId="77777777" w:rsidR="00A17ECC" w:rsidRPr="00AB00E9" w:rsidRDefault="00A17ECC" w:rsidP="009F2749"/>
        </w:tc>
        <w:tc>
          <w:tcPr>
            <w:tcW w:w="806" w:type="pct"/>
          </w:tcPr>
          <w:p w14:paraId="7A495837" w14:textId="77777777" w:rsidR="00A17ECC" w:rsidRPr="00AB00E9" w:rsidRDefault="00A17ECC" w:rsidP="009F2749"/>
        </w:tc>
        <w:tc>
          <w:tcPr>
            <w:tcW w:w="807" w:type="pct"/>
          </w:tcPr>
          <w:p w14:paraId="6ACA30B6" w14:textId="77777777" w:rsidR="00A17ECC" w:rsidRPr="00AB00E9" w:rsidRDefault="00A17ECC" w:rsidP="009F2749"/>
        </w:tc>
      </w:tr>
      <w:tr w:rsidR="00A17ECC" w:rsidRPr="00D24270" w14:paraId="5CB3DF07" w14:textId="77777777" w:rsidTr="009F2749">
        <w:tc>
          <w:tcPr>
            <w:tcW w:w="1091" w:type="pct"/>
          </w:tcPr>
          <w:p w14:paraId="5E9C5893" w14:textId="77777777" w:rsidR="00A17ECC" w:rsidRPr="00AB00E9" w:rsidRDefault="00A17ECC" w:rsidP="009F2749">
            <w:r>
              <w:t xml:space="preserve">n=2: </w:t>
            </w:r>
            <w:r w:rsidRPr="00AB00E9">
              <w:t>&gt;180mm</w:t>
            </w:r>
          </w:p>
        </w:tc>
        <w:tc>
          <w:tcPr>
            <w:tcW w:w="681" w:type="pct"/>
          </w:tcPr>
          <w:p w14:paraId="2EFED75F" w14:textId="77777777" w:rsidR="00A17ECC" w:rsidRPr="00AB00E9" w:rsidRDefault="00A17ECC" w:rsidP="009F2749"/>
        </w:tc>
        <w:tc>
          <w:tcPr>
            <w:tcW w:w="806" w:type="pct"/>
          </w:tcPr>
          <w:p w14:paraId="0199146F" w14:textId="77777777" w:rsidR="00A17ECC" w:rsidRPr="00AB00E9" w:rsidRDefault="00A17ECC" w:rsidP="009F2749"/>
        </w:tc>
        <w:tc>
          <w:tcPr>
            <w:tcW w:w="807" w:type="pct"/>
          </w:tcPr>
          <w:p w14:paraId="68B18D49" w14:textId="77777777" w:rsidR="00A17ECC" w:rsidRPr="00AB00E9" w:rsidRDefault="00A17ECC" w:rsidP="009F2749"/>
        </w:tc>
        <w:tc>
          <w:tcPr>
            <w:tcW w:w="806" w:type="pct"/>
          </w:tcPr>
          <w:p w14:paraId="7E8614BD" w14:textId="77777777" w:rsidR="00A17ECC" w:rsidRPr="00AB00E9" w:rsidRDefault="00A17ECC" w:rsidP="009F2749"/>
        </w:tc>
        <w:tc>
          <w:tcPr>
            <w:tcW w:w="807" w:type="pct"/>
          </w:tcPr>
          <w:p w14:paraId="78D69F8D" w14:textId="77777777" w:rsidR="00A17ECC" w:rsidRPr="00AB00E9" w:rsidRDefault="00A17ECC" w:rsidP="009F2749"/>
        </w:tc>
      </w:tr>
    </w:tbl>
    <w:p w14:paraId="7B8004A7" w14:textId="257A3955" w:rsidR="00A17ECC" w:rsidRPr="00AB00E9" w:rsidRDefault="00A17ECC" w:rsidP="00A17ECC">
      <w:pPr>
        <w:pStyle w:val="Caption"/>
      </w:pPr>
      <w:r w:rsidRPr="00AB00E9">
        <w:t xml:space="preserve">Distribution Network specific matrix costs (£ per </w:t>
      </w:r>
      <w:r>
        <w:t>D</w:t>
      </w:r>
      <w:r w:rsidRPr="00AB00E9">
        <w:t xml:space="preserve">omestic </w:t>
      </w:r>
      <w:r>
        <w:t>C</w:t>
      </w:r>
      <w:r w:rsidRPr="00AB00E9">
        <w:t xml:space="preserve">onnection, at </w:t>
      </w:r>
      <w:r w:rsidR="0039591B" w:rsidRPr="00C70CA8">
        <w:t>2</w:t>
      </w:r>
      <w:r w:rsidR="0039591B">
        <w:t>018/19</w:t>
      </w:r>
      <w:r w:rsidRPr="00AB00E9">
        <w:t xml:space="preserve"> price levels): Distribution Network: L</w:t>
      </w:r>
      <w:r w:rsidR="00512D03">
        <w:t>ondon</w:t>
      </w:r>
    </w:p>
    <w:tbl>
      <w:tblPr>
        <w:tblStyle w:val="AppendixTable"/>
        <w:tblW w:w="5000" w:type="pct"/>
        <w:tblLook w:val="01A0" w:firstRow="1" w:lastRow="0" w:firstColumn="1" w:lastColumn="1" w:noHBand="0" w:noVBand="0"/>
      </w:tblPr>
      <w:tblGrid>
        <w:gridCol w:w="1927"/>
        <w:gridCol w:w="1402"/>
        <w:gridCol w:w="1425"/>
        <w:gridCol w:w="1424"/>
        <w:gridCol w:w="1424"/>
        <w:gridCol w:w="1424"/>
      </w:tblGrid>
      <w:tr w:rsidR="00A17ECC" w:rsidRPr="00D24270" w14:paraId="292ACDA3" w14:textId="77777777" w:rsidTr="009F2749">
        <w:trPr>
          <w:cnfStyle w:val="100000000000" w:firstRow="1" w:lastRow="0" w:firstColumn="0" w:lastColumn="0" w:oddVBand="0" w:evenVBand="0" w:oddHBand="0" w:evenHBand="0" w:firstRowFirstColumn="0" w:firstRowLastColumn="0" w:lastRowFirstColumn="0" w:lastRowLastColumn="0"/>
        </w:trPr>
        <w:tc>
          <w:tcPr>
            <w:tcW w:w="1067" w:type="pct"/>
          </w:tcPr>
          <w:p w14:paraId="793F7732" w14:textId="77777777" w:rsidR="00A17ECC" w:rsidRPr="00AB00E9" w:rsidRDefault="00A17ECC" w:rsidP="009F2749">
            <w:r w:rsidRPr="00AB00E9">
              <w:t>Diameter Band n</w:t>
            </w:r>
          </w:p>
        </w:tc>
        <w:tc>
          <w:tcPr>
            <w:tcW w:w="776" w:type="pct"/>
          </w:tcPr>
          <w:p w14:paraId="12CCB52C" w14:textId="77777777" w:rsidR="00A17ECC" w:rsidRPr="00AB00E9" w:rsidRDefault="00A17ECC" w:rsidP="009F2749">
            <w:r w:rsidRPr="00AB00E9">
              <w:t>2021/22</w:t>
            </w:r>
          </w:p>
        </w:tc>
        <w:tc>
          <w:tcPr>
            <w:tcW w:w="789" w:type="pct"/>
          </w:tcPr>
          <w:p w14:paraId="524F2423" w14:textId="77777777" w:rsidR="00A17ECC" w:rsidRPr="00AB00E9" w:rsidRDefault="00A17ECC" w:rsidP="009F2749">
            <w:r w:rsidRPr="00AB00E9">
              <w:t>2022/23</w:t>
            </w:r>
          </w:p>
        </w:tc>
        <w:tc>
          <w:tcPr>
            <w:tcW w:w="789" w:type="pct"/>
          </w:tcPr>
          <w:p w14:paraId="412A33AC" w14:textId="77777777" w:rsidR="00A17ECC" w:rsidRPr="00AB00E9" w:rsidRDefault="00A17ECC" w:rsidP="009F2749">
            <w:r w:rsidRPr="00AB00E9">
              <w:t>2023/24</w:t>
            </w:r>
          </w:p>
        </w:tc>
        <w:tc>
          <w:tcPr>
            <w:tcW w:w="789" w:type="pct"/>
          </w:tcPr>
          <w:p w14:paraId="0B0D28FA" w14:textId="77777777" w:rsidR="00A17ECC" w:rsidRPr="00AB00E9" w:rsidRDefault="00A17ECC" w:rsidP="009F2749">
            <w:r w:rsidRPr="00AB00E9">
              <w:t>2024/25</w:t>
            </w:r>
          </w:p>
        </w:tc>
        <w:tc>
          <w:tcPr>
            <w:tcW w:w="789" w:type="pct"/>
          </w:tcPr>
          <w:p w14:paraId="12E9A9FB" w14:textId="77777777" w:rsidR="00A17ECC" w:rsidRPr="00AB00E9" w:rsidRDefault="00A17ECC" w:rsidP="009F2749">
            <w:r w:rsidRPr="00AB00E9">
              <w:t>2025/26</w:t>
            </w:r>
          </w:p>
        </w:tc>
      </w:tr>
      <w:tr w:rsidR="00A17ECC" w:rsidRPr="00D24270" w14:paraId="219862AA" w14:textId="77777777" w:rsidTr="009F2749">
        <w:tc>
          <w:tcPr>
            <w:tcW w:w="1067" w:type="pct"/>
          </w:tcPr>
          <w:p w14:paraId="6A1FBCAE" w14:textId="77777777" w:rsidR="00A17ECC" w:rsidRPr="00AB00E9" w:rsidRDefault="00A17ECC" w:rsidP="009F2749">
            <w:r>
              <w:t xml:space="preserve">n=1:: </w:t>
            </w:r>
            <w:r w:rsidRPr="00AB00E9">
              <w:t>&lt;180mm</w:t>
            </w:r>
          </w:p>
        </w:tc>
        <w:tc>
          <w:tcPr>
            <w:tcW w:w="776" w:type="pct"/>
          </w:tcPr>
          <w:p w14:paraId="5E965093" w14:textId="77777777" w:rsidR="00A17ECC" w:rsidRPr="00AB00E9" w:rsidRDefault="00A17ECC" w:rsidP="009F2749"/>
        </w:tc>
        <w:tc>
          <w:tcPr>
            <w:tcW w:w="789" w:type="pct"/>
          </w:tcPr>
          <w:p w14:paraId="479E10C9" w14:textId="77777777" w:rsidR="00A17ECC" w:rsidRPr="00AB00E9" w:rsidRDefault="00A17ECC" w:rsidP="009F2749"/>
        </w:tc>
        <w:tc>
          <w:tcPr>
            <w:tcW w:w="789" w:type="pct"/>
          </w:tcPr>
          <w:p w14:paraId="15F6D2C1" w14:textId="77777777" w:rsidR="00A17ECC" w:rsidRPr="00AB00E9" w:rsidRDefault="00A17ECC" w:rsidP="009F2749"/>
        </w:tc>
        <w:tc>
          <w:tcPr>
            <w:tcW w:w="789" w:type="pct"/>
          </w:tcPr>
          <w:p w14:paraId="38FFE086" w14:textId="77777777" w:rsidR="00A17ECC" w:rsidRPr="00AB00E9" w:rsidRDefault="00A17ECC" w:rsidP="009F2749"/>
        </w:tc>
        <w:tc>
          <w:tcPr>
            <w:tcW w:w="789" w:type="pct"/>
          </w:tcPr>
          <w:p w14:paraId="4B55472D" w14:textId="77777777" w:rsidR="00A17ECC" w:rsidRPr="00AB00E9" w:rsidRDefault="00A17ECC" w:rsidP="009F2749"/>
        </w:tc>
      </w:tr>
      <w:tr w:rsidR="00A17ECC" w:rsidRPr="00D24270" w14:paraId="466CE867" w14:textId="77777777" w:rsidTr="009F2749">
        <w:tc>
          <w:tcPr>
            <w:tcW w:w="1067" w:type="pct"/>
          </w:tcPr>
          <w:p w14:paraId="6E0DDB03" w14:textId="77777777" w:rsidR="00A17ECC" w:rsidRPr="00AB00E9" w:rsidRDefault="00A17ECC" w:rsidP="009F2749">
            <w:r>
              <w:t xml:space="preserve">n=2:: </w:t>
            </w:r>
            <w:r w:rsidRPr="00AB00E9">
              <w:t>&gt;180mm</w:t>
            </w:r>
          </w:p>
        </w:tc>
        <w:tc>
          <w:tcPr>
            <w:tcW w:w="776" w:type="pct"/>
          </w:tcPr>
          <w:p w14:paraId="2497F854" w14:textId="77777777" w:rsidR="00A17ECC" w:rsidRPr="00AB00E9" w:rsidRDefault="00A17ECC" w:rsidP="009F2749"/>
        </w:tc>
        <w:tc>
          <w:tcPr>
            <w:tcW w:w="789" w:type="pct"/>
          </w:tcPr>
          <w:p w14:paraId="751E7A44" w14:textId="77777777" w:rsidR="00A17ECC" w:rsidRPr="00AB00E9" w:rsidRDefault="00A17ECC" w:rsidP="009F2749"/>
        </w:tc>
        <w:tc>
          <w:tcPr>
            <w:tcW w:w="789" w:type="pct"/>
          </w:tcPr>
          <w:p w14:paraId="2D45750C" w14:textId="77777777" w:rsidR="00A17ECC" w:rsidRPr="00AB00E9" w:rsidRDefault="00A17ECC" w:rsidP="009F2749"/>
        </w:tc>
        <w:tc>
          <w:tcPr>
            <w:tcW w:w="789" w:type="pct"/>
          </w:tcPr>
          <w:p w14:paraId="5CA80807" w14:textId="77777777" w:rsidR="00A17ECC" w:rsidRPr="00AB00E9" w:rsidRDefault="00A17ECC" w:rsidP="009F2749"/>
        </w:tc>
        <w:tc>
          <w:tcPr>
            <w:tcW w:w="789" w:type="pct"/>
          </w:tcPr>
          <w:p w14:paraId="3548D700" w14:textId="77777777" w:rsidR="00A17ECC" w:rsidRPr="00AB00E9" w:rsidRDefault="00A17ECC" w:rsidP="009F2749"/>
        </w:tc>
      </w:tr>
    </w:tbl>
    <w:p w14:paraId="5B1C833E" w14:textId="60E27E79" w:rsidR="00A17ECC" w:rsidRPr="00AB00E9" w:rsidRDefault="00A17ECC" w:rsidP="00A17ECC">
      <w:pPr>
        <w:pStyle w:val="Caption"/>
      </w:pPr>
      <w:r w:rsidRPr="00AB00E9">
        <w:t xml:space="preserve">Distribution Network specific matrix costs (£ per </w:t>
      </w:r>
      <w:r>
        <w:t>D</w:t>
      </w:r>
      <w:r w:rsidRPr="00AB00E9">
        <w:t xml:space="preserve">omestic </w:t>
      </w:r>
      <w:r>
        <w:t>C</w:t>
      </w:r>
      <w:r w:rsidRPr="00AB00E9">
        <w:t xml:space="preserve">onnection, at </w:t>
      </w:r>
      <w:r w:rsidR="0039591B" w:rsidRPr="00C70CA8">
        <w:t>2</w:t>
      </w:r>
      <w:r w:rsidR="0039591B">
        <w:t>018/19</w:t>
      </w:r>
      <w:r w:rsidRPr="00AB00E9">
        <w:t xml:space="preserve"> price levels): Distribution Network: N</w:t>
      </w:r>
      <w:r w:rsidR="00512D03">
        <w:t xml:space="preserve">orth </w:t>
      </w:r>
      <w:r w:rsidRPr="00AB00E9">
        <w:t>W</w:t>
      </w:r>
      <w:r w:rsidR="00512D03">
        <w:t>est</w:t>
      </w:r>
    </w:p>
    <w:tbl>
      <w:tblPr>
        <w:tblStyle w:val="AppendixTable"/>
        <w:tblW w:w="5000" w:type="pct"/>
        <w:tblLook w:val="01A0" w:firstRow="1" w:lastRow="0" w:firstColumn="1" w:lastColumn="1" w:noHBand="0" w:noVBand="0"/>
      </w:tblPr>
      <w:tblGrid>
        <w:gridCol w:w="1826"/>
        <w:gridCol w:w="1255"/>
        <w:gridCol w:w="1486"/>
        <w:gridCol w:w="1487"/>
        <w:gridCol w:w="1486"/>
        <w:gridCol w:w="1486"/>
      </w:tblGrid>
      <w:tr w:rsidR="00A17ECC" w:rsidRPr="00D24270" w14:paraId="57DF0C1F" w14:textId="77777777" w:rsidTr="009F2749">
        <w:trPr>
          <w:cnfStyle w:val="100000000000" w:firstRow="1" w:lastRow="0" w:firstColumn="0" w:lastColumn="0" w:oddVBand="0" w:evenVBand="0" w:oddHBand="0" w:evenHBand="0" w:firstRowFirstColumn="0" w:firstRowLastColumn="0" w:lastRowFirstColumn="0" w:lastRowLastColumn="0"/>
        </w:trPr>
        <w:tc>
          <w:tcPr>
            <w:tcW w:w="1012" w:type="pct"/>
          </w:tcPr>
          <w:p w14:paraId="6FE3DAD4" w14:textId="77777777" w:rsidR="00A17ECC" w:rsidRPr="00AB00E9" w:rsidRDefault="00A17ECC" w:rsidP="009F2749"/>
        </w:tc>
        <w:tc>
          <w:tcPr>
            <w:tcW w:w="3988" w:type="pct"/>
            <w:gridSpan w:val="5"/>
          </w:tcPr>
          <w:p w14:paraId="134EFA25" w14:textId="77777777" w:rsidR="00A17ECC" w:rsidRPr="00AB00E9" w:rsidRDefault="00A17ECC" w:rsidP="009F2749">
            <w:pPr>
              <w:rPr>
                <w:highlight w:val="yellow"/>
              </w:rPr>
            </w:pPr>
            <w:r w:rsidRPr="00AB00E9">
              <w:t>Specific matrix costs (£ per connection)</w:t>
            </w:r>
          </w:p>
        </w:tc>
      </w:tr>
      <w:tr w:rsidR="00A17ECC" w:rsidRPr="00D24270" w14:paraId="2850447F" w14:textId="77777777" w:rsidTr="009F2749">
        <w:tc>
          <w:tcPr>
            <w:tcW w:w="1012" w:type="pct"/>
          </w:tcPr>
          <w:p w14:paraId="22E0E152" w14:textId="77777777" w:rsidR="00A17ECC" w:rsidRPr="00AB00E9" w:rsidRDefault="00A17ECC" w:rsidP="009F2749">
            <w:r w:rsidRPr="00AB00E9">
              <w:t>Diameter Band n</w:t>
            </w:r>
          </w:p>
        </w:tc>
        <w:tc>
          <w:tcPr>
            <w:tcW w:w="695" w:type="pct"/>
          </w:tcPr>
          <w:p w14:paraId="2830DB63" w14:textId="77777777" w:rsidR="00A17ECC" w:rsidRPr="00AB00E9" w:rsidRDefault="00A17ECC" w:rsidP="009F2749">
            <w:r w:rsidRPr="00AB00E9">
              <w:t>2021/22</w:t>
            </w:r>
          </w:p>
        </w:tc>
        <w:tc>
          <w:tcPr>
            <w:tcW w:w="823" w:type="pct"/>
          </w:tcPr>
          <w:p w14:paraId="755D1B36" w14:textId="77777777" w:rsidR="00A17ECC" w:rsidRPr="00AB00E9" w:rsidRDefault="00A17ECC" w:rsidP="009F2749">
            <w:r w:rsidRPr="00AB00E9">
              <w:t>2022/23</w:t>
            </w:r>
          </w:p>
        </w:tc>
        <w:tc>
          <w:tcPr>
            <w:tcW w:w="824" w:type="pct"/>
          </w:tcPr>
          <w:p w14:paraId="0FE9D3F1" w14:textId="77777777" w:rsidR="00A17ECC" w:rsidRPr="00AB00E9" w:rsidRDefault="00A17ECC" w:rsidP="009F2749">
            <w:r w:rsidRPr="00AB00E9">
              <w:t>2023/24</w:t>
            </w:r>
          </w:p>
        </w:tc>
        <w:tc>
          <w:tcPr>
            <w:tcW w:w="823" w:type="pct"/>
          </w:tcPr>
          <w:p w14:paraId="187478A1" w14:textId="77777777" w:rsidR="00A17ECC" w:rsidRPr="00AB00E9" w:rsidRDefault="00A17ECC" w:rsidP="009F2749">
            <w:r w:rsidRPr="00AB00E9">
              <w:t>2024/25</w:t>
            </w:r>
          </w:p>
        </w:tc>
        <w:tc>
          <w:tcPr>
            <w:tcW w:w="824" w:type="pct"/>
          </w:tcPr>
          <w:p w14:paraId="4744752E" w14:textId="77777777" w:rsidR="00A17ECC" w:rsidRPr="00AB00E9" w:rsidRDefault="00A17ECC" w:rsidP="009F2749">
            <w:r w:rsidRPr="00AB00E9">
              <w:t>2025/26</w:t>
            </w:r>
          </w:p>
        </w:tc>
      </w:tr>
      <w:tr w:rsidR="00A17ECC" w:rsidRPr="00D24270" w14:paraId="21AC7BE6" w14:textId="77777777" w:rsidTr="009F2749">
        <w:tc>
          <w:tcPr>
            <w:tcW w:w="1012" w:type="pct"/>
          </w:tcPr>
          <w:p w14:paraId="2A608D5C" w14:textId="77777777" w:rsidR="00A17ECC" w:rsidRPr="00AB00E9" w:rsidRDefault="00A17ECC" w:rsidP="009F2749">
            <w:r>
              <w:t xml:space="preserve">n=1:: </w:t>
            </w:r>
            <w:r w:rsidRPr="00AB00E9">
              <w:t>&lt;180mm</w:t>
            </w:r>
          </w:p>
        </w:tc>
        <w:tc>
          <w:tcPr>
            <w:tcW w:w="695" w:type="pct"/>
          </w:tcPr>
          <w:p w14:paraId="551BD85D" w14:textId="77777777" w:rsidR="00A17ECC" w:rsidRPr="00AB00E9" w:rsidRDefault="00A17ECC" w:rsidP="009F2749"/>
        </w:tc>
        <w:tc>
          <w:tcPr>
            <w:tcW w:w="823" w:type="pct"/>
          </w:tcPr>
          <w:p w14:paraId="28484EBD" w14:textId="77777777" w:rsidR="00A17ECC" w:rsidRPr="00AB00E9" w:rsidRDefault="00A17ECC" w:rsidP="009F2749"/>
        </w:tc>
        <w:tc>
          <w:tcPr>
            <w:tcW w:w="824" w:type="pct"/>
          </w:tcPr>
          <w:p w14:paraId="79017229" w14:textId="77777777" w:rsidR="00A17ECC" w:rsidRPr="00AB00E9" w:rsidRDefault="00A17ECC" w:rsidP="009F2749"/>
        </w:tc>
        <w:tc>
          <w:tcPr>
            <w:tcW w:w="823" w:type="pct"/>
          </w:tcPr>
          <w:p w14:paraId="4785965D" w14:textId="77777777" w:rsidR="00A17ECC" w:rsidRPr="00AB00E9" w:rsidRDefault="00A17ECC" w:rsidP="009F2749"/>
        </w:tc>
        <w:tc>
          <w:tcPr>
            <w:tcW w:w="824" w:type="pct"/>
          </w:tcPr>
          <w:p w14:paraId="6AE65735" w14:textId="77777777" w:rsidR="00A17ECC" w:rsidRPr="00AB00E9" w:rsidRDefault="00A17ECC" w:rsidP="009F2749"/>
        </w:tc>
      </w:tr>
      <w:tr w:rsidR="00A17ECC" w:rsidRPr="00D24270" w14:paraId="0AD2B50C" w14:textId="77777777" w:rsidTr="009F2749">
        <w:tc>
          <w:tcPr>
            <w:tcW w:w="1012" w:type="pct"/>
          </w:tcPr>
          <w:p w14:paraId="7119F2E7" w14:textId="77777777" w:rsidR="00A17ECC" w:rsidRPr="00AB00E9" w:rsidRDefault="00A17ECC" w:rsidP="009F2749">
            <w:r>
              <w:t xml:space="preserve">n=2:: </w:t>
            </w:r>
            <w:r w:rsidRPr="00AB00E9">
              <w:t>&gt;180mm</w:t>
            </w:r>
          </w:p>
        </w:tc>
        <w:tc>
          <w:tcPr>
            <w:tcW w:w="695" w:type="pct"/>
          </w:tcPr>
          <w:p w14:paraId="0B888BA5" w14:textId="77777777" w:rsidR="00A17ECC" w:rsidRPr="00AB00E9" w:rsidRDefault="00A17ECC" w:rsidP="009F2749"/>
        </w:tc>
        <w:tc>
          <w:tcPr>
            <w:tcW w:w="823" w:type="pct"/>
          </w:tcPr>
          <w:p w14:paraId="1061F902" w14:textId="77777777" w:rsidR="00A17ECC" w:rsidRPr="00AB00E9" w:rsidRDefault="00A17ECC" w:rsidP="009F2749"/>
        </w:tc>
        <w:tc>
          <w:tcPr>
            <w:tcW w:w="824" w:type="pct"/>
          </w:tcPr>
          <w:p w14:paraId="199A80D2" w14:textId="77777777" w:rsidR="00A17ECC" w:rsidRPr="00AB00E9" w:rsidRDefault="00A17ECC" w:rsidP="009F2749"/>
        </w:tc>
        <w:tc>
          <w:tcPr>
            <w:tcW w:w="823" w:type="pct"/>
          </w:tcPr>
          <w:p w14:paraId="574CA984" w14:textId="77777777" w:rsidR="00A17ECC" w:rsidRPr="00AB00E9" w:rsidRDefault="00A17ECC" w:rsidP="009F2749"/>
        </w:tc>
        <w:tc>
          <w:tcPr>
            <w:tcW w:w="824" w:type="pct"/>
          </w:tcPr>
          <w:p w14:paraId="331013C1" w14:textId="77777777" w:rsidR="00A17ECC" w:rsidRPr="00AB00E9" w:rsidRDefault="00A17ECC" w:rsidP="009F2749"/>
        </w:tc>
      </w:tr>
    </w:tbl>
    <w:p w14:paraId="50785058" w14:textId="2B022FF5" w:rsidR="00A17ECC" w:rsidRPr="00AB00E9" w:rsidRDefault="00A17ECC" w:rsidP="00A17ECC">
      <w:pPr>
        <w:pStyle w:val="Caption"/>
      </w:pPr>
      <w:r w:rsidRPr="00AB00E9">
        <w:lastRenderedPageBreak/>
        <w:t xml:space="preserve">Distribution Network specific matrix costs (£ per </w:t>
      </w:r>
      <w:r>
        <w:t>D</w:t>
      </w:r>
      <w:r w:rsidRPr="00AB00E9">
        <w:t xml:space="preserve">omestic </w:t>
      </w:r>
      <w:r>
        <w:t>C</w:t>
      </w:r>
      <w:r w:rsidRPr="00AB00E9">
        <w:t xml:space="preserve">onnection, at </w:t>
      </w:r>
      <w:r w:rsidR="0039591B" w:rsidRPr="00C70CA8">
        <w:t>2</w:t>
      </w:r>
      <w:r w:rsidR="0039591B">
        <w:t>018/19</w:t>
      </w:r>
      <w:r w:rsidRPr="00AB00E9">
        <w:t xml:space="preserve"> price levels): Distribution Network: W</w:t>
      </w:r>
      <w:r w:rsidR="00512D03">
        <w:t xml:space="preserve">est </w:t>
      </w:r>
      <w:r w:rsidRPr="00AB00E9">
        <w:t>M</w:t>
      </w:r>
      <w:r w:rsidR="00512D03">
        <w:t>idlands</w:t>
      </w:r>
    </w:p>
    <w:tbl>
      <w:tblPr>
        <w:tblStyle w:val="AppendixTable"/>
        <w:tblW w:w="5000" w:type="pct"/>
        <w:tblLook w:val="01A0" w:firstRow="1" w:lastRow="0" w:firstColumn="1" w:lastColumn="1" w:noHBand="0" w:noVBand="0"/>
      </w:tblPr>
      <w:tblGrid>
        <w:gridCol w:w="1786"/>
        <w:gridCol w:w="1431"/>
        <w:gridCol w:w="1452"/>
        <w:gridCol w:w="1453"/>
        <w:gridCol w:w="1451"/>
        <w:gridCol w:w="1453"/>
      </w:tblGrid>
      <w:tr w:rsidR="00A17ECC" w:rsidRPr="00D24270" w14:paraId="4F092FD3" w14:textId="77777777" w:rsidTr="009F2749">
        <w:trPr>
          <w:cnfStyle w:val="100000000000" w:firstRow="1" w:lastRow="0" w:firstColumn="0" w:lastColumn="0" w:oddVBand="0" w:evenVBand="0" w:oddHBand="0" w:evenHBand="0" w:firstRowFirstColumn="0" w:firstRowLastColumn="0" w:lastRowFirstColumn="0" w:lastRowLastColumn="0"/>
        </w:trPr>
        <w:tc>
          <w:tcPr>
            <w:tcW w:w="989" w:type="pct"/>
          </w:tcPr>
          <w:p w14:paraId="32AF28A5" w14:textId="77777777" w:rsidR="00A17ECC" w:rsidRPr="00AB00E9" w:rsidRDefault="00A17ECC" w:rsidP="009F2749">
            <w:r w:rsidRPr="00AB00E9">
              <w:t>Diameter Band n</w:t>
            </w:r>
          </w:p>
        </w:tc>
        <w:tc>
          <w:tcPr>
            <w:tcW w:w="792" w:type="pct"/>
          </w:tcPr>
          <w:p w14:paraId="04B71245" w14:textId="77777777" w:rsidR="00A17ECC" w:rsidRPr="00AB00E9" w:rsidRDefault="00A17ECC" w:rsidP="009F2749">
            <w:r w:rsidRPr="00AB00E9">
              <w:t>2021/22</w:t>
            </w:r>
          </w:p>
        </w:tc>
        <w:tc>
          <w:tcPr>
            <w:tcW w:w="804" w:type="pct"/>
          </w:tcPr>
          <w:p w14:paraId="7E4489C0" w14:textId="77777777" w:rsidR="00A17ECC" w:rsidRPr="00AB00E9" w:rsidRDefault="00A17ECC" w:rsidP="009F2749">
            <w:r w:rsidRPr="00AB00E9">
              <w:t>2022/23</w:t>
            </w:r>
          </w:p>
        </w:tc>
        <w:tc>
          <w:tcPr>
            <w:tcW w:w="805" w:type="pct"/>
          </w:tcPr>
          <w:p w14:paraId="26657CCB" w14:textId="77777777" w:rsidR="00A17ECC" w:rsidRPr="00AB00E9" w:rsidRDefault="00A17ECC" w:rsidP="009F2749">
            <w:r w:rsidRPr="00AB00E9">
              <w:t>2023/24</w:t>
            </w:r>
          </w:p>
        </w:tc>
        <w:tc>
          <w:tcPr>
            <w:tcW w:w="804" w:type="pct"/>
          </w:tcPr>
          <w:p w14:paraId="1E713CE8" w14:textId="77777777" w:rsidR="00A17ECC" w:rsidRPr="00AB00E9" w:rsidRDefault="00A17ECC" w:rsidP="009F2749">
            <w:r w:rsidRPr="00AB00E9">
              <w:t>2024/25</w:t>
            </w:r>
          </w:p>
        </w:tc>
        <w:tc>
          <w:tcPr>
            <w:tcW w:w="805" w:type="pct"/>
          </w:tcPr>
          <w:p w14:paraId="793A5CDB" w14:textId="77777777" w:rsidR="00A17ECC" w:rsidRPr="00AB00E9" w:rsidRDefault="00A17ECC" w:rsidP="009F2749">
            <w:r w:rsidRPr="00AB00E9">
              <w:t>2025/26</w:t>
            </w:r>
          </w:p>
        </w:tc>
      </w:tr>
      <w:tr w:rsidR="00A17ECC" w:rsidRPr="00D24270" w14:paraId="414497CE" w14:textId="77777777" w:rsidTr="009F2749">
        <w:tc>
          <w:tcPr>
            <w:tcW w:w="989" w:type="pct"/>
          </w:tcPr>
          <w:p w14:paraId="2E7C8BA5" w14:textId="77777777" w:rsidR="00A17ECC" w:rsidRPr="00AB00E9" w:rsidRDefault="00A17ECC" w:rsidP="009F2749">
            <w:r>
              <w:t xml:space="preserve">n=1: </w:t>
            </w:r>
            <w:r w:rsidRPr="00AB00E9">
              <w:t>&lt;180mm</w:t>
            </w:r>
          </w:p>
        </w:tc>
        <w:tc>
          <w:tcPr>
            <w:tcW w:w="792" w:type="pct"/>
          </w:tcPr>
          <w:p w14:paraId="7B05F22F" w14:textId="77777777" w:rsidR="00A17ECC" w:rsidRPr="00AB00E9" w:rsidRDefault="00A17ECC" w:rsidP="009F2749"/>
        </w:tc>
        <w:tc>
          <w:tcPr>
            <w:tcW w:w="804" w:type="pct"/>
          </w:tcPr>
          <w:p w14:paraId="2E28EC96" w14:textId="77777777" w:rsidR="00A17ECC" w:rsidRPr="00AB00E9" w:rsidRDefault="00A17ECC" w:rsidP="009F2749"/>
        </w:tc>
        <w:tc>
          <w:tcPr>
            <w:tcW w:w="805" w:type="pct"/>
          </w:tcPr>
          <w:p w14:paraId="7309058A" w14:textId="77777777" w:rsidR="00A17ECC" w:rsidRPr="00AB00E9" w:rsidRDefault="00A17ECC" w:rsidP="009F2749"/>
        </w:tc>
        <w:tc>
          <w:tcPr>
            <w:tcW w:w="804" w:type="pct"/>
          </w:tcPr>
          <w:p w14:paraId="3C26712D" w14:textId="77777777" w:rsidR="00A17ECC" w:rsidRPr="00AB00E9" w:rsidRDefault="00A17ECC" w:rsidP="009F2749"/>
        </w:tc>
        <w:tc>
          <w:tcPr>
            <w:tcW w:w="805" w:type="pct"/>
          </w:tcPr>
          <w:p w14:paraId="29D09082" w14:textId="77777777" w:rsidR="00A17ECC" w:rsidRPr="00AB00E9" w:rsidRDefault="00A17ECC" w:rsidP="009F2749"/>
        </w:tc>
      </w:tr>
      <w:tr w:rsidR="00A17ECC" w:rsidRPr="00D24270" w14:paraId="2740B0AF" w14:textId="77777777" w:rsidTr="009F2749">
        <w:tc>
          <w:tcPr>
            <w:tcW w:w="989" w:type="pct"/>
          </w:tcPr>
          <w:p w14:paraId="7F8085BC" w14:textId="77777777" w:rsidR="00A17ECC" w:rsidRPr="00AB00E9" w:rsidRDefault="00A17ECC" w:rsidP="009F2749">
            <w:r>
              <w:t xml:space="preserve">n=2: </w:t>
            </w:r>
            <w:r w:rsidRPr="00AB00E9">
              <w:t>&gt;180mm</w:t>
            </w:r>
          </w:p>
        </w:tc>
        <w:tc>
          <w:tcPr>
            <w:tcW w:w="792" w:type="pct"/>
          </w:tcPr>
          <w:p w14:paraId="00977D94" w14:textId="77777777" w:rsidR="00A17ECC" w:rsidRPr="00AB00E9" w:rsidRDefault="00A17ECC" w:rsidP="009F2749"/>
        </w:tc>
        <w:tc>
          <w:tcPr>
            <w:tcW w:w="804" w:type="pct"/>
          </w:tcPr>
          <w:p w14:paraId="4EB9490B" w14:textId="77777777" w:rsidR="00A17ECC" w:rsidRPr="00AB00E9" w:rsidRDefault="00A17ECC" w:rsidP="009F2749"/>
        </w:tc>
        <w:tc>
          <w:tcPr>
            <w:tcW w:w="805" w:type="pct"/>
          </w:tcPr>
          <w:p w14:paraId="35340044" w14:textId="77777777" w:rsidR="00A17ECC" w:rsidRPr="00AB00E9" w:rsidRDefault="00A17ECC" w:rsidP="009F2749"/>
        </w:tc>
        <w:tc>
          <w:tcPr>
            <w:tcW w:w="804" w:type="pct"/>
          </w:tcPr>
          <w:p w14:paraId="26FB0AC5" w14:textId="77777777" w:rsidR="00A17ECC" w:rsidRPr="00AB00E9" w:rsidRDefault="00A17ECC" w:rsidP="009F2749"/>
        </w:tc>
        <w:tc>
          <w:tcPr>
            <w:tcW w:w="805" w:type="pct"/>
          </w:tcPr>
          <w:p w14:paraId="07D8E7C9" w14:textId="77777777" w:rsidR="00A17ECC" w:rsidRPr="00AB00E9" w:rsidRDefault="00A17ECC" w:rsidP="009F2749"/>
        </w:tc>
      </w:tr>
    </w:tbl>
    <w:p w14:paraId="77C6F8EC" w14:textId="11C2D669" w:rsidR="00A17ECC" w:rsidRPr="00AB00E9" w:rsidRDefault="00A17ECC" w:rsidP="00A17ECC">
      <w:pPr>
        <w:pStyle w:val="Caption"/>
      </w:pPr>
      <w:r w:rsidRPr="00AB00E9">
        <w:t xml:space="preserve">Distribution Network specific matrix costs (£ per </w:t>
      </w:r>
      <w:r>
        <w:t>D</w:t>
      </w:r>
      <w:r w:rsidRPr="00AB00E9">
        <w:t xml:space="preserve">omestic </w:t>
      </w:r>
      <w:r>
        <w:t>C</w:t>
      </w:r>
      <w:r w:rsidRPr="00AB00E9">
        <w:t xml:space="preserve">onnection, at </w:t>
      </w:r>
      <w:r w:rsidR="0039591B" w:rsidRPr="00C70CA8">
        <w:t>2</w:t>
      </w:r>
      <w:r w:rsidR="0039591B">
        <w:t>018/19</w:t>
      </w:r>
      <w:r w:rsidRPr="00AB00E9">
        <w:t xml:space="preserve"> price levels): Distribution Network: N</w:t>
      </w:r>
      <w:r w:rsidR="00512D03">
        <w:t>orthern</w:t>
      </w:r>
    </w:p>
    <w:tbl>
      <w:tblPr>
        <w:tblStyle w:val="AppendixTable"/>
        <w:tblW w:w="5000" w:type="pct"/>
        <w:tblLook w:val="01A0" w:firstRow="1" w:lastRow="0" w:firstColumn="1" w:lastColumn="1" w:noHBand="0" w:noVBand="0"/>
      </w:tblPr>
      <w:tblGrid>
        <w:gridCol w:w="1786"/>
        <w:gridCol w:w="1431"/>
        <w:gridCol w:w="1452"/>
        <w:gridCol w:w="1453"/>
        <w:gridCol w:w="1451"/>
        <w:gridCol w:w="1453"/>
      </w:tblGrid>
      <w:tr w:rsidR="00A17ECC" w:rsidRPr="00D24270" w14:paraId="4A8B1FAE" w14:textId="77777777" w:rsidTr="009F2749">
        <w:trPr>
          <w:cnfStyle w:val="100000000000" w:firstRow="1" w:lastRow="0" w:firstColumn="0" w:lastColumn="0" w:oddVBand="0" w:evenVBand="0" w:oddHBand="0" w:evenHBand="0" w:firstRowFirstColumn="0" w:firstRowLastColumn="0" w:lastRowFirstColumn="0" w:lastRowLastColumn="0"/>
        </w:trPr>
        <w:tc>
          <w:tcPr>
            <w:tcW w:w="989" w:type="pct"/>
          </w:tcPr>
          <w:p w14:paraId="27485D4A" w14:textId="77777777" w:rsidR="00A17ECC" w:rsidRPr="00AB00E9" w:rsidRDefault="00A17ECC" w:rsidP="009F2749">
            <w:r w:rsidRPr="00AB00E9">
              <w:t>Diameter Band n</w:t>
            </w:r>
          </w:p>
        </w:tc>
        <w:tc>
          <w:tcPr>
            <w:tcW w:w="792" w:type="pct"/>
          </w:tcPr>
          <w:p w14:paraId="1E2F948F" w14:textId="77777777" w:rsidR="00A17ECC" w:rsidRPr="00AB00E9" w:rsidRDefault="00A17ECC" w:rsidP="009F2749">
            <w:r w:rsidRPr="00AB00E9">
              <w:t>2021/22</w:t>
            </w:r>
          </w:p>
        </w:tc>
        <w:tc>
          <w:tcPr>
            <w:tcW w:w="804" w:type="pct"/>
          </w:tcPr>
          <w:p w14:paraId="22630007" w14:textId="77777777" w:rsidR="00A17ECC" w:rsidRPr="00AB00E9" w:rsidRDefault="00A17ECC" w:rsidP="009F2749">
            <w:r w:rsidRPr="00AB00E9">
              <w:t>2022/23</w:t>
            </w:r>
          </w:p>
        </w:tc>
        <w:tc>
          <w:tcPr>
            <w:tcW w:w="805" w:type="pct"/>
          </w:tcPr>
          <w:p w14:paraId="4B04CA5C" w14:textId="77777777" w:rsidR="00A17ECC" w:rsidRPr="00AB00E9" w:rsidRDefault="00A17ECC" w:rsidP="009F2749">
            <w:r w:rsidRPr="00AB00E9">
              <w:t>2023/24</w:t>
            </w:r>
          </w:p>
        </w:tc>
        <w:tc>
          <w:tcPr>
            <w:tcW w:w="804" w:type="pct"/>
          </w:tcPr>
          <w:p w14:paraId="11D3FFA5" w14:textId="77777777" w:rsidR="00A17ECC" w:rsidRPr="00AB00E9" w:rsidRDefault="00A17ECC" w:rsidP="009F2749">
            <w:r w:rsidRPr="00AB00E9">
              <w:t>2024/25</w:t>
            </w:r>
          </w:p>
        </w:tc>
        <w:tc>
          <w:tcPr>
            <w:tcW w:w="805" w:type="pct"/>
          </w:tcPr>
          <w:p w14:paraId="0D0316B7" w14:textId="77777777" w:rsidR="00A17ECC" w:rsidRPr="00AB00E9" w:rsidRDefault="00A17ECC" w:rsidP="009F2749">
            <w:r w:rsidRPr="00AB00E9">
              <w:t>2025/26</w:t>
            </w:r>
          </w:p>
        </w:tc>
      </w:tr>
      <w:tr w:rsidR="00A17ECC" w:rsidRPr="00D24270" w14:paraId="380D9A84" w14:textId="77777777" w:rsidTr="009F2749">
        <w:tc>
          <w:tcPr>
            <w:tcW w:w="989" w:type="pct"/>
          </w:tcPr>
          <w:p w14:paraId="564B2EB3" w14:textId="77777777" w:rsidR="00A17ECC" w:rsidRPr="00AB00E9" w:rsidRDefault="00A17ECC" w:rsidP="009F2749">
            <w:r>
              <w:t xml:space="preserve">n=1:: </w:t>
            </w:r>
            <w:r w:rsidRPr="00AB00E9">
              <w:t>&lt;180mm</w:t>
            </w:r>
          </w:p>
        </w:tc>
        <w:tc>
          <w:tcPr>
            <w:tcW w:w="792" w:type="pct"/>
          </w:tcPr>
          <w:p w14:paraId="1D4B76BA" w14:textId="77777777" w:rsidR="00A17ECC" w:rsidRPr="00AB00E9" w:rsidRDefault="00A17ECC" w:rsidP="009F2749"/>
        </w:tc>
        <w:tc>
          <w:tcPr>
            <w:tcW w:w="804" w:type="pct"/>
          </w:tcPr>
          <w:p w14:paraId="73166E0C" w14:textId="77777777" w:rsidR="00A17ECC" w:rsidRPr="00AB00E9" w:rsidRDefault="00A17ECC" w:rsidP="009F2749"/>
        </w:tc>
        <w:tc>
          <w:tcPr>
            <w:tcW w:w="805" w:type="pct"/>
          </w:tcPr>
          <w:p w14:paraId="3E88B034" w14:textId="77777777" w:rsidR="00A17ECC" w:rsidRPr="00AB00E9" w:rsidRDefault="00A17ECC" w:rsidP="009F2749"/>
        </w:tc>
        <w:tc>
          <w:tcPr>
            <w:tcW w:w="804" w:type="pct"/>
          </w:tcPr>
          <w:p w14:paraId="1CDC9FD2" w14:textId="77777777" w:rsidR="00A17ECC" w:rsidRPr="00AB00E9" w:rsidRDefault="00A17ECC" w:rsidP="009F2749"/>
        </w:tc>
        <w:tc>
          <w:tcPr>
            <w:tcW w:w="805" w:type="pct"/>
          </w:tcPr>
          <w:p w14:paraId="56EC0877" w14:textId="77777777" w:rsidR="00A17ECC" w:rsidRPr="00AB00E9" w:rsidRDefault="00A17ECC" w:rsidP="009F2749"/>
        </w:tc>
      </w:tr>
      <w:tr w:rsidR="00A17ECC" w:rsidRPr="00D24270" w14:paraId="153061F8" w14:textId="77777777" w:rsidTr="009F2749">
        <w:tc>
          <w:tcPr>
            <w:tcW w:w="989" w:type="pct"/>
          </w:tcPr>
          <w:p w14:paraId="7CED9942" w14:textId="77777777" w:rsidR="00A17ECC" w:rsidRPr="00AB00E9" w:rsidRDefault="00A17ECC" w:rsidP="009F2749">
            <w:r>
              <w:t xml:space="preserve">n=2: </w:t>
            </w:r>
            <w:r w:rsidRPr="00AB00E9">
              <w:t>&gt;180mm</w:t>
            </w:r>
          </w:p>
        </w:tc>
        <w:tc>
          <w:tcPr>
            <w:tcW w:w="792" w:type="pct"/>
          </w:tcPr>
          <w:p w14:paraId="421D7AFA" w14:textId="77777777" w:rsidR="00A17ECC" w:rsidRPr="00AB00E9" w:rsidRDefault="00A17ECC" w:rsidP="009F2749"/>
        </w:tc>
        <w:tc>
          <w:tcPr>
            <w:tcW w:w="804" w:type="pct"/>
          </w:tcPr>
          <w:p w14:paraId="0003A85C" w14:textId="77777777" w:rsidR="00A17ECC" w:rsidRPr="00AB00E9" w:rsidRDefault="00A17ECC" w:rsidP="009F2749"/>
        </w:tc>
        <w:tc>
          <w:tcPr>
            <w:tcW w:w="805" w:type="pct"/>
          </w:tcPr>
          <w:p w14:paraId="275E753D" w14:textId="77777777" w:rsidR="00A17ECC" w:rsidRPr="00AB00E9" w:rsidRDefault="00A17ECC" w:rsidP="009F2749"/>
        </w:tc>
        <w:tc>
          <w:tcPr>
            <w:tcW w:w="804" w:type="pct"/>
          </w:tcPr>
          <w:p w14:paraId="6DC47841" w14:textId="77777777" w:rsidR="00A17ECC" w:rsidRPr="00AB00E9" w:rsidRDefault="00A17ECC" w:rsidP="009F2749"/>
        </w:tc>
        <w:tc>
          <w:tcPr>
            <w:tcW w:w="805" w:type="pct"/>
          </w:tcPr>
          <w:p w14:paraId="25464E23" w14:textId="77777777" w:rsidR="00A17ECC" w:rsidRPr="00AB00E9" w:rsidRDefault="00A17ECC" w:rsidP="009F2749"/>
        </w:tc>
      </w:tr>
    </w:tbl>
    <w:p w14:paraId="7C2B24FB" w14:textId="60ADE389" w:rsidR="00A17ECC" w:rsidRPr="00AB00E9" w:rsidRDefault="00A17ECC" w:rsidP="00A17ECC">
      <w:pPr>
        <w:pStyle w:val="Caption"/>
      </w:pPr>
      <w:r w:rsidRPr="00AB00E9">
        <w:t xml:space="preserve">Distribution Network specific matrix costs (£ per </w:t>
      </w:r>
      <w:r>
        <w:t>D</w:t>
      </w:r>
      <w:r w:rsidRPr="00AB00E9">
        <w:t xml:space="preserve">omestic </w:t>
      </w:r>
      <w:r>
        <w:t>C</w:t>
      </w:r>
      <w:r w:rsidRPr="00AB00E9">
        <w:t xml:space="preserve">onnection, at </w:t>
      </w:r>
      <w:r w:rsidR="0039591B" w:rsidRPr="00C70CA8">
        <w:t>2</w:t>
      </w:r>
      <w:r w:rsidR="0039591B">
        <w:t>018/19</w:t>
      </w:r>
      <w:r w:rsidRPr="00AB00E9">
        <w:t xml:space="preserve"> price levels): Distribution Network: Sc</w:t>
      </w:r>
      <w:r w:rsidR="00512D03">
        <w:t>otland</w:t>
      </w:r>
    </w:p>
    <w:tbl>
      <w:tblPr>
        <w:tblStyle w:val="AppendixTable"/>
        <w:tblW w:w="5000" w:type="pct"/>
        <w:tblLook w:val="01A0" w:firstRow="1" w:lastRow="0" w:firstColumn="1" w:lastColumn="1" w:noHBand="0" w:noVBand="0"/>
      </w:tblPr>
      <w:tblGrid>
        <w:gridCol w:w="1786"/>
        <w:gridCol w:w="1431"/>
        <w:gridCol w:w="1452"/>
        <w:gridCol w:w="1453"/>
        <w:gridCol w:w="1451"/>
        <w:gridCol w:w="1453"/>
      </w:tblGrid>
      <w:tr w:rsidR="00A17ECC" w:rsidRPr="00D24270" w14:paraId="79DBFAA3" w14:textId="77777777" w:rsidTr="009F2749">
        <w:trPr>
          <w:cnfStyle w:val="100000000000" w:firstRow="1" w:lastRow="0" w:firstColumn="0" w:lastColumn="0" w:oddVBand="0" w:evenVBand="0" w:oddHBand="0" w:evenHBand="0" w:firstRowFirstColumn="0" w:firstRowLastColumn="0" w:lastRowFirstColumn="0" w:lastRowLastColumn="0"/>
        </w:trPr>
        <w:tc>
          <w:tcPr>
            <w:tcW w:w="989" w:type="pct"/>
          </w:tcPr>
          <w:p w14:paraId="1E36B2BD" w14:textId="77777777" w:rsidR="00A17ECC" w:rsidRPr="00AB00E9" w:rsidRDefault="00A17ECC" w:rsidP="009F2749">
            <w:r w:rsidRPr="00AB00E9">
              <w:t>Diameter Band n</w:t>
            </w:r>
          </w:p>
        </w:tc>
        <w:tc>
          <w:tcPr>
            <w:tcW w:w="792" w:type="pct"/>
          </w:tcPr>
          <w:p w14:paraId="3373B263" w14:textId="77777777" w:rsidR="00A17ECC" w:rsidRPr="00AB00E9" w:rsidRDefault="00A17ECC" w:rsidP="009F2749">
            <w:r w:rsidRPr="00AB00E9">
              <w:t>2021/22</w:t>
            </w:r>
          </w:p>
        </w:tc>
        <w:tc>
          <w:tcPr>
            <w:tcW w:w="804" w:type="pct"/>
          </w:tcPr>
          <w:p w14:paraId="788F3C81" w14:textId="77777777" w:rsidR="00A17ECC" w:rsidRPr="00AB00E9" w:rsidRDefault="00A17ECC" w:rsidP="009F2749">
            <w:r w:rsidRPr="00AB00E9">
              <w:t>2022/23</w:t>
            </w:r>
          </w:p>
        </w:tc>
        <w:tc>
          <w:tcPr>
            <w:tcW w:w="805" w:type="pct"/>
          </w:tcPr>
          <w:p w14:paraId="2A111813" w14:textId="77777777" w:rsidR="00A17ECC" w:rsidRPr="00AB00E9" w:rsidRDefault="00A17ECC" w:rsidP="009F2749">
            <w:r w:rsidRPr="00AB00E9">
              <w:t>2023/24</w:t>
            </w:r>
          </w:p>
        </w:tc>
        <w:tc>
          <w:tcPr>
            <w:tcW w:w="804" w:type="pct"/>
          </w:tcPr>
          <w:p w14:paraId="6CD56A70" w14:textId="77777777" w:rsidR="00A17ECC" w:rsidRPr="00AB00E9" w:rsidRDefault="00A17ECC" w:rsidP="009F2749">
            <w:r w:rsidRPr="00AB00E9">
              <w:t>2024/25</w:t>
            </w:r>
          </w:p>
        </w:tc>
        <w:tc>
          <w:tcPr>
            <w:tcW w:w="805" w:type="pct"/>
          </w:tcPr>
          <w:p w14:paraId="52614D36" w14:textId="77777777" w:rsidR="00A17ECC" w:rsidRPr="00AB00E9" w:rsidRDefault="00A17ECC" w:rsidP="009F2749">
            <w:r w:rsidRPr="00AB00E9">
              <w:t>2025/26</w:t>
            </w:r>
          </w:p>
        </w:tc>
      </w:tr>
      <w:tr w:rsidR="00A17ECC" w:rsidRPr="00D24270" w14:paraId="13DAF136" w14:textId="77777777" w:rsidTr="009F2749">
        <w:tc>
          <w:tcPr>
            <w:tcW w:w="989" w:type="pct"/>
          </w:tcPr>
          <w:p w14:paraId="072B403F" w14:textId="77777777" w:rsidR="00A17ECC" w:rsidRPr="00AB00E9" w:rsidRDefault="00A17ECC" w:rsidP="009F2749">
            <w:r>
              <w:t xml:space="preserve">n=1:: </w:t>
            </w:r>
            <w:r w:rsidRPr="00AB00E9">
              <w:t>&lt;180mm</w:t>
            </w:r>
          </w:p>
        </w:tc>
        <w:tc>
          <w:tcPr>
            <w:tcW w:w="792" w:type="pct"/>
          </w:tcPr>
          <w:p w14:paraId="214C5C46" w14:textId="77777777" w:rsidR="00A17ECC" w:rsidRPr="00AB00E9" w:rsidRDefault="00A17ECC" w:rsidP="009F2749"/>
        </w:tc>
        <w:tc>
          <w:tcPr>
            <w:tcW w:w="804" w:type="pct"/>
          </w:tcPr>
          <w:p w14:paraId="097CA36E" w14:textId="77777777" w:rsidR="00A17ECC" w:rsidRPr="00AB00E9" w:rsidRDefault="00A17ECC" w:rsidP="009F2749"/>
        </w:tc>
        <w:tc>
          <w:tcPr>
            <w:tcW w:w="805" w:type="pct"/>
          </w:tcPr>
          <w:p w14:paraId="0D9656B5" w14:textId="77777777" w:rsidR="00A17ECC" w:rsidRPr="00AB00E9" w:rsidRDefault="00A17ECC" w:rsidP="009F2749"/>
        </w:tc>
        <w:tc>
          <w:tcPr>
            <w:tcW w:w="804" w:type="pct"/>
          </w:tcPr>
          <w:p w14:paraId="5B890384" w14:textId="77777777" w:rsidR="00A17ECC" w:rsidRPr="00AB00E9" w:rsidRDefault="00A17ECC" w:rsidP="009F2749"/>
        </w:tc>
        <w:tc>
          <w:tcPr>
            <w:tcW w:w="805" w:type="pct"/>
          </w:tcPr>
          <w:p w14:paraId="3258CDC6" w14:textId="77777777" w:rsidR="00A17ECC" w:rsidRPr="00AB00E9" w:rsidRDefault="00A17ECC" w:rsidP="009F2749"/>
        </w:tc>
      </w:tr>
      <w:tr w:rsidR="00A17ECC" w:rsidRPr="00D24270" w14:paraId="6CF37B5A" w14:textId="77777777" w:rsidTr="009F2749">
        <w:tc>
          <w:tcPr>
            <w:tcW w:w="989" w:type="pct"/>
          </w:tcPr>
          <w:p w14:paraId="516454A5" w14:textId="77777777" w:rsidR="00A17ECC" w:rsidRPr="00AB00E9" w:rsidRDefault="00A17ECC" w:rsidP="009F2749">
            <w:r>
              <w:t xml:space="preserve">n=2: </w:t>
            </w:r>
            <w:r w:rsidRPr="00AB00E9">
              <w:t>&gt;180mm</w:t>
            </w:r>
          </w:p>
        </w:tc>
        <w:tc>
          <w:tcPr>
            <w:tcW w:w="792" w:type="pct"/>
          </w:tcPr>
          <w:p w14:paraId="11102858" w14:textId="77777777" w:rsidR="00A17ECC" w:rsidRPr="00AB00E9" w:rsidRDefault="00A17ECC" w:rsidP="009F2749"/>
        </w:tc>
        <w:tc>
          <w:tcPr>
            <w:tcW w:w="804" w:type="pct"/>
          </w:tcPr>
          <w:p w14:paraId="33E868C0" w14:textId="77777777" w:rsidR="00A17ECC" w:rsidRPr="00AB00E9" w:rsidRDefault="00A17ECC" w:rsidP="009F2749"/>
        </w:tc>
        <w:tc>
          <w:tcPr>
            <w:tcW w:w="805" w:type="pct"/>
          </w:tcPr>
          <w:p w14:paraId="76074ABD" w14:textId="77777777" w:rsidR="00A17ECC" w:rsidRPr="00AB00E9" w:rsidRDefault="00A17ECC" w:rsidP="009F2749"/>
        </w:tc>
        <w:tc>
          <w:tcPr>
            <w:tcW w:w="804" w:type="pct"/>
          </w:tcPr>
          <w:p w14:paraId="10CB2F52" w14:textId="77777777" w:rsidR="00A17ECC" w:rsidRPr="00AB00E9" w:rsidRDefault="00A17ECC" w:rsidP="009F2749"/>
        </w:tc>
        <w:tc>
          <w:tcPr>
            <w:tcW w:w="805" w:type="pct"/>
          </w:tcPr>
          <w:p w14:paraId="5DE31D9A" w14:textId="77777777" w:rsidR="00A17ECC" w:rsidRPr="00AB00E9" w:rsidRDefault="00A17ECC" w:rsidP="009F2749"/>
        </w:tc>
      </w:tr>
    </w:tbl>
    <w:p w14:paraId="53D026CD" w14:textId="11D551E8" w:rsidR="00A17ECC" w:rsidRPr="00AB00E9" w:rsidRDefault="00A17ECC" w:rsidP="00A17ECC">
      <w:pPr>
        <w:pStyle w:val="Caption"/>
      </w:pPr>
      <w:r w:rsidRPr="00AB00E9">
        <w:t xml:space="preserve">Distribution Network specific matrix costs (£ per </w:t>
      </w:r>
      <w:r>
        <w:t>D</w:t>
      </w:r>
      <w:r w:rsidRPr="00AB00E9">
        <w:t xml:space="preserve">omestic </w:t>
      </w:r>
      <w:r>
        <w:t>C</w:t>
      </w:r>
      <w:r w:rsidRPr="00AB00E9">
        <w:t xml:space="preserve">onnection, at </w:t>
      </w:r>
      <w:r w:rsidR="0039591B" w:rsidRPr="00C70CA8">
        <w:t>2</w:t>
      </w:r>
      <w:r w:rsidR="0039591B">
        <w:t>018/19</w:t>
      </w:r>
      <w:r w:rsidRPr="00AB00E9">
        <w:t xml:space="preserve"> price levels): Distribution Network: So</w:t>
      </w:r>
      <w:r w:rsidR="00512D03">
        <w:t>uthern</w:t>
      </w:r>
    </w:p>
    <w:tbl>
      <w:tblPr>
        <w:tblStyle w:val="AppendixTable"/>
        <w:tblW w:w="5000" w:type="pct"/>
        <w:tblLook w:val="01A0" w:firstRow="1" w:lastRow="0" w:firstColumn="1" w:lastColumn="1" w:noHBand="0" w:noVBand="0"/>
      </w:tblPr>
      <w:tblGrid>
        <w:gridCol w:w="1826"/>
        <w:gridCol w:w="1255"/>
        <w:gridCol w:w="1486"/>
        <w:gridCol w:w="1487"/>
        <w:gridCol w:w="1486"/>
        <w:gridCol w:w="1486"/>
      </w:tblGrid>
      <w:tr w:rsidR="00A17ECC" w:rsidRPr="00D24270" w14:paraId="201CE359" w14:textId="77777777" w:rsidTr="009F2749">
        <w:trPr>
          <w:cnfStyle w:val="100000000000" w:firstRow="1" w:lastRow="0" w:firstColumn="0" w:lastColumn="0" w:oddVBand="0" w:evenVBand="0" w:oddHBand="0" w:evenHBand="0" w:firstRowFirstColumn="0" w:firstRowLastColumn="0" w:lastRowFirstColumn="0" w:lastRowLastColumn="0"/>
        </w:trPr>
        <w:tc>
          <w:tcPr>
            <w:tcW w:w="1012" w:type="pct"/>
          </w:tcPr>
          <w:p w14:paraId="736D7118" w14:textId="77777777" w:rsidR="00A17ECC" w:rsidRPr="00AB00E9" w:rsidRDefault="00A17ECC" w:rsidP="009F2749"/>
        </w:tc>
        <w:tc>
          <w:tcPr>
            <w:tcW w:w="3988" w:type="pct"/>
            <w:gridSpan w:val="5"/>
          </w:tcPr>
          <w:p w14:paraId="489891C4" w14:textId="77777777" w:rsidR="00A17ECC" w:rsidRPr="00AB00E9" w:rsidRDefault="00A17ECC" w:rsidP="009F2749">
            <w:pPr>
              <w:rPr>
                <w:highlight w:val="yellow"/>
              </w:rPr>
            </w:pPr>
            <w:r w:rsidRPr="00AB00E9">
              <w:t>Specific matrix costs (£ per connection)</w:t>
            </w:r>
          </w:p>
        </w:tc>
      </w:tr>
      <w:tr w:rsidR="00A17ECC" w:rsidRPr="00D24270" w14:paraId="21982014" w14:textId="77777777" w:rsidTr="009F2749">
        <w:tc>
          <w:tcPr>
            <w:tcW w:w="1012" w:type="pct"/>
          </w:tcPr>
          <w:p w14:paraId="0F4A8A54" w14:textId="77777777" w:rsidR="00A17ECC" w:rsidRPr="00AB00E9" w:rsidRDefault="00A17ECC" w:rsidP="009F2749">
            <w:r w:rsidRPr="00AB00E9">
              <w:t>Diameter Band n</w:t>
            </w:r>
          </w:p>
        </w:tc>
        <w:tc>
          <w:tcPr>
            <w:tcW w:w="695" w:type="pct"/>
          </w:tcPr>
          <w:p w14:paraId="39A96673" w14:textId="77777777" w:rsidR="00A17ECC" w:rsidRPr="00AB00E9" w:rsidRDefault="00A17ECC" w:rsidP="009F2749">
            <w:r w:rsidRPr="00AB00E9">
              <w:t>2021/22</w:t>
            </w:r>
          </w:p>
        </w:tc>
        <w:tc>
          <w:tcPr>
            <w:tcW w:w="823" w:type="pct"/>
          </w:tcPr>
          <w:p w14:paraId="32CC0A84" w14:textId="77777777" w:rsidR="00A17ECC" w:rsidRPr="00AB00E9" w:rsidRDefault="00A17ECC" w:rsidP="009F2749">
            <w:r w:rsidRPr="00AB00E9">
              <w:t>2022/23</w:t>
            </w:r>
          </w:p>
        </w:tc>
        <w:tc>
          <w:tcPr>
            <w:tcW w:w="824" w:type="pct"/>
          </w:tcPr>
          <w:p w14:paraId="58BC4165" w14:textId="77777777" w:rsidR="00A17ECC" w:rsidRPr="00AB00E9" w:rsidRDefault="00A17ECC" w:rsidP="009F2749">
            <w:r w:rsidRPr="00AB00E9">
              <w:t>2023/24</w:t>
            </w:r>
          </w:p>
        </w:tc>
        <w:tc>
          <w:tcPr>
            <w:tcW w:w="823" w:type="pct"/>
          </w:tcPr>
          <w:p w14:paraId="4925988E" w14:textId="77777777" w:rsidR="00A17ECC" w:rsidRPr="00AB00E9" w:rsidRDefault="00A17ECC" w:rsidP="009F2749">
            <w:r w:rsidRPr="00AB00E9">
              <w:t>2024/25</w:t>
            </w:r>
          </w:p>
        </w:tc>
        <w:tc>
          <w:tcPr>
            <w:tcW w:w="824" w:type="pct"/>
          </w:tcPr>
          <w:p w14:paraId="425A69C2" w14:textId="77777777" w:rsidR="00A17ECC" w:rsidRPr="00AB00E9" w:rsidRDefault="00A17ECC" w:rsidP="009F2749">
            <w:r w:rsidRPr="00AB00E9">
              <w:t>2025/26</w:t>
            </w:r>
          </w:p>
        </w:tc>
      </w:tr>
      <w:tr w:rsidR="00A17ECC" w:rsidRPr="00D24270" w14:paraId="6D51A9E6" w14:textId="77777777" w:rsidTr="009F2749">
        <w:tc>
          <w:tcPr>
            <w:tcW w:w="1012" w:type="pct"/>
          </w:tcPr>
          <w:p w14:paraId="6413689E" w14:textId="77777777" w:rsidR="00A17ECC" w:rsidRPr="00AB00E9" w:rsidRDefault="00A17ECC" w:rsidP="009F2749">
            <w:r>
              <w:t xml:space="preserve">n=1:: </w:t>
            </w:r>
            <w:r w:rsidRPr="00AB00E9">
              <w:t>&lt;180mm</w:t>
            </w:r>
          </w:p>
        </w:tc>
        <w:tc>
          <w:tcPr>
            <w:tcW w:w="695" w:type="pct"/>
          </w:tcPr>
          <w:p w14:paraId="57A16EEE" w14:textId="77777777" w:rsidR="00A17ECC" w:rsidRPr="00AB00E9" w:rsidRDefault="00A17ECC" w:rsidP="009F2749"/>
        </w:tc>
        <w:tc>
          <w:tcPr>
            <w:tcW w:w="823" w:type="pct"/>
          </w:tcPr>
          <w:p w14:paraId="67299220" w14:textId="77777777" w:rsidR="00A17ECC" w:rsidRPr="00AB00E9" w:rsidRDefault="00A17ECC" w:rsidP="009F2749"/>
        </w:tc>
        <w:tc>
          <w:tcPr>
            <w:tcW w:w="824" w:type="pct"/>
          </w:tcPr>
          <w:p w14:paraId="40D7C485" w14:textId="77777777" w:rsidR="00A17ECC" w:rsidRPr="00AB00E9" w:rsidRDefault="00A17ECC" w:rsidP="009F2749"/>
        </w:tc>
        <w:tc>
          <w:tcPr>
            <w:tcW w:w="823" w:type="pct"/>
          </w:tcPr>
          <w:p w14:paraId="309AF590" w14:textId="77777777" w:rsidR="00A17ECC" w:rsidRPr="00AB00E9" w:rsidRDefault="00A17ECC" w:rsidP="009F2749"/>
        </w:tc>
        <w:tc>
          <w:tcPr>
            <w:tcW w:w="824" w:type="pct"/>
          </w:tcPr>
          <w:p w14:paraId="43CB6795" w14:textId="77777777" w:rsidR="00A17ECC" w:rsidRPr="00AB00E9" w:rsidRDefault="00A17ECC" w:rsidP="009F2749"/>
        </w:tc>
      </w:tr>
      <w:tr w:rsidR="00A17ECC" w:rsidRPr="00D24270" w14:paraId="7E4DC1BD" w14:textId="77777777" w:rsidTr="009F2749">
        <w:tc>
          <w:tcPr>
            <w:tcW w:w="1012" w:type="pct"/>
          </w:tcPr>
          <w:p w14:paraId="70EFD689" w14:textId="77777777" w:rsidR="00A17ECC" w:rsidRPr="00AB00E9" w:rsidRDefault="00A17ECC" w:rsidP="009F2749">
            <w:r>
              <w:t xml:space="preserve">n=2: </w:t>
            </w:r>
            <w:r w:rsidRPr="00AB00E9">
              <w:t>&gt;180mm</w:t>
            </w:r>
          </w:p>
        </w:tc>
        <w:tc>
          <w:tcPr>
            <w:tcW w:w="695" w:type="pct"/>
          </w:tcPr>
          <w:p w14:paraId="3C063AE2" w14:textId="77777777" w:rsidR="00A17ECC" w:rsidRPr="00AB00E9" w:rsidRDefault="00A17ECC" w:rsidP="009F2749"/>
        </w:tc>
        <w:tc>
          <w:tcPr>
            <w:tcW w:w="823" w:type="pct"/>
          </w:tcPr>
          <w:p w14:paraId="560DC658" w14:textId="77777777" w:rsidR="00A17ECC" w:rsidRPr="00AB00E9" w:rsidRDefault="00A17ECC" w:rsidP="009F2749"/>
        </w:tc>
        <w:tc>
          <w:tcPr>
            <w:tcW w:w="824" w:type="pct"/>
          </w:tcPr>
          <w:p w14:paraId="697EFA6E" w14:textId="77777777" w:rsidR="00A17ECC" w:rsidRPr="00AB00E9" w:rsidRDefault="00A17ECC" w:rsidP="009F2749"/>
        </w:tc>
        <w:tc>
          <w:tcPr>
            <w:tcW w:w="823" w:type="pct"/>
          </w:tcPr>
          <w:p w14:paraId="475A2D58" w14:textId="77777777" w:rsidR="00A17ECC" w:rsidRPr="00AB00E9" w:rsidRDefault="00A17ECC" w:rsidP="009F2749"/>
        </w:tc>
        <w:tc>
          <w:tcPr>
            <w:tcW w:w="824" w:type="pct"/>
          </w:tcPr>
          <w:p w14:paraId="698A6B92" w14:textId="77777777" w:rsidR="00A17ECC" w:rsidRPr="00AB00E9" w:rsidRDefault="00A17ECC" w:rsidP="009F2749"/>
        </w:tc>
      </w:tr>
    </w:tbl>
    <w:p w14:paraId="080E599D" w14:textId="4ED5021C" w:rsidR="00A17ECC" w:rsidRPr="00AB00E9" w:rsidRDefault="00A17ECC" w:rsidP="00A17ECC">
      <w:pPr>
        <w:pStyle w:val="Caption"/>
      </w:pPr>
      <w:r w:rsidRPr="00AB00E9">
        <w:t xml:space="preserve">Distribution Network specific matrix costs (£ per </w:t>
      </w:r>
      <w:r>
        <w:t>D</w:t>
      </w:r>
      <w:r w:rsidRPr="00AB00E9">
        <w:t xml:space="preserve">omestic </w:t>
      </w:r>
      <w:r>
        <w:t>C</w:t>
      </w:r>
      <w:r w:rsidRPr="00AB00E9">
        <w:t xml:space="preserve">onnection, at </w:t>
      </w:r>
      <w:r w:rsidR="0039591B" w:rsidRPr="00C70CA8">
        <w:t>2</w:t>
      </w:r>
      <w:r w:rsidR="0039591B">
        <w:t>018/19</w:t>
      </w:r>
      <w:r w:rsidRPr="00AB00E9">
        <w:t xml:space="preserve"> price levels): Distribution Network: W</w:t>
      </w:r>
      <w:r w:rsidR="00512D03">
        <w:t xml:space="preserve">ales &amp; </w:t>
      </w:r>
      <w:r w:rsidRPr="00AB00E9">
        <w:t>W</w:t>
      </w:r>
      <w:r w:rsidR="00512D03">
        <w:t>est</w:t>
      </w:r>
    </w:p>
    <w:tbl>
      <w:tblPr>
        <w:tblStyle w:val="AppendixTable"/>
        <w:tblW w:w="5000" w:type="pct"/>
        <w:tblLook w:val="01A0" w:firstRow="1" w:lastRow="0" w:firstColumn="1" w:lastColumn="1" w:noHBand="0" w:noVBand="0"/>
      </w:tblPr>
      <w:tblGrid>
        <w:gridCol w:w="1565"/>
        <w:gridCol w:w="1493"/>
        <w:gridCol w:w="1491"/>
        <w:gridCol w:w="1493"/>
        <w:gridCol w:w="1491"/>
        <w:gridCol w:w="1493"/>
      </w:tblGrid>
      <w:tr w:rsidR="00A17ECC" w:rsidRPr="00D24270" w14:paraId="2C214F8E" w14:textId="77777777" w:rsidTr="009F2749">
        <w:trPr>
          <w:cnfStyle w:val="100000000000" w:firstRow="1" w:lastRow="0" w:firstColumn="0" w:lastColumn="0" w:oddVBand="0" w:evenVBand="0" w:oddHBand="0" w:evenHBand="0" w:firstRowFirstColumn="0" w:firstRowLastColumn="0" w:lastRowFirstColumn="0" w:lastRowLastColumn="0"/>
        </w:trPr>
        <w:tc>
          <w:tcPr>
            <w:tcW w:w="867" w:type="pct"/>
          </w:tcPr>
          <w:p w14:paraId="29908985" w14:textId="77777777" w:rsidR="00A17ECC" w:rsidRPr="00AB00E9" w:rsidRDefault="00A17ECC" w:rsidP="009F2749">
            <w:r w:rsidRPr="00AB00E9">
              <w:t>Diameter Band n</w:t>
            </w:r>
          </w:p>
        </w:tc>
        <w:tc>
          <w:tcPr>
            <w:tcW w:w="827" w:type="pct"/>
          </w:tcPr>
          <w:p w14:paraId="28F8709C" w14:textId="77777777" w:rsidR="00A17ECC" w:rsidRPr="00AB00E9" w:rsidRDefault="00A17ECC" w:rsidP="009F2749">
            <w:r w:rsidRPr="00AB00E9">
              <w:t>2021/22</w:t>
            </w:r>
          </w:p>
        </w:tc>
        <w:tc>
          <w:tcPr>
            <w:tcW w:w="826" w:type="pct"/>
          </w:tcPr>
          <w:p w14:paraId="5E04DA7A" w14:textId="77777777" w:rsidR="00A17ECC" w:rsidRPr="00AB00E9" w:rsidRDefault="00A17ECC" w:rsidP="009F2749">
            <w:r w:rsidRPr="00AB00E9">
              <w:t>2022/23</w:t>
            </w:r>
          </w:p>
        </w:tc>
        <w:tc>
          <w:tcPr>
            <w:tcW w:w="827" w:type="pct"/>
          </w:tcPr>
          <w:p w14:paraId="7B3E50EF" w14:textId="77777777" w:rsidR="00A17ECC" w:rsidRPr="00AB00E9" w:rsidRDefault="00A17ECC" w:rsidP="009F2749">
            <w:r w:rsidRPr="00AB00E9">
              <w:t>2023/24</w:t>
            </w:r>
          </w:p>
        </w:tc>
        <w:tc>
          <w:tcPr>
            <w:tcW w:w="826" w:type="pct"/>
          </w:tcPr>
          <w:p w14:paraId="20B3E021" w14:textId="77777777" w:rsidR="00A17ECC" w:rsidRPr="00AB00E9" w:rsidRDefault="00A17ECC" w:rsidP="009F2749">
            <w:r w:rsidRPr="00AB00E9">
              <w:t>2024/25</w:t>
            </w:r>
          </w:p>
        </w:tc>
        <w:tc>
          <w:tcPr>
            <w:tcW w:w="827" w:type="pct"/>
          </w:tcPr>
          <w:p w14:paraId="2FAA1CD8" w14:textId="77777777" w:rsidR="00A17ECC" w:rsidRPr="00AB00E9" w:rsidRDefault="00A17ECC" w:rsidP="009F2749">
            <w:r w:rsidRPr="00AB00E9">
              <w:t>2025/26</w:t>
            </w:r>
          </w:p>
        </w:tc>
      </w:tr>
      <w:tr w:rsidR="00A17ECC" w:rsidRPr="00D24270" w14:paraId="5D2BAD2F" w14:textId="77777777" w:rsidTr="00A17ECC">
        <w:tc>
          <w:tcPr>
            <w:tcW w:w="867" w:type="pct"/>
          </w:tcPr>
          <w:p w14:paraId="14F5C033" w14:textId="77777777" w:rsidR="00A17ECC" w:rsidRPr="00AB00E9" w:rsidRDefault="00A17ECC" w:rsidP="009F2749">
            <w:r>
              <w:t xml:space="preserve">n=1: </w:t>
            </w:r>
            <w:r w:rsidRPr="00AB00E9">
              <w:t>&lt;180mm</w:t>
            </w:r>
          </w:p>
        </w:tc>
        <w:tc>
          <w:tcPr>
            <w:tcW w:w="827" w:type="pct"/>
          </w:tcPr>
          <w:p w14:paraId="32DB0E30" w14:textId="77777777" w:rsidR="00A17ECC" w:rsidRPr="00AB00E9" w:rsidRDefault="00A17ECC" w:rsidP="009F2749"/>
        </w:tc>
        <w:tc>
          <w:tcPr>
            <w:tcW w:w="826" w:type="pct"/>
          </w:tcPr>
          <w:p w14:paraId="18BC20FB" w14:textId="77777777" w:rsidR="00A17ECC" w:rsidRPr="00AB00E9" w:rsidRDefault="00A17ECC" w:rsidP="009F2749"/>
        </w:tc>
        <w:tc>
          <w:tcPr>
            <w:tcW w:w="827" w:type="pct"/>
          </w:tcPr>
          <w:p w14:paraId="0449F2FC" w14:textId="77777777" w:rsidR="00A17ECC" w:rsidRPr="00AB00E9" w:rsidRDefault="00A17ECC" w:rsidP="009F2749"/>
        </w:tc>
        <w:tc>
          <w:tcPr>
            <w:tcW w:w="826" w:type="pct"/>
          </w:tcPr>
          <w:p w14:paraId="23FB710F" w14:textId="77777777" w:rsidR="00A17ECC" w:rsidRPr="00AB00E9" w:rsidRDefault="00A17ECC" w:rsidP="009F2749"/>
        </w:tc>
        <w:tc>
          <w:tcPr>
            <w:tcW w:w="827" w:type="pct"/>
          </w:tcPr>
          <w:p w14:paraId="002D192E" w14:textId="77777777" w:rsidR="00A17ECC" w:rsidRPr="00AB00E9" w:rsidRDefault="00A17ECC" w:rsidP="009F2749"/>
        </w:tc>
      </w:tr>
      <w:tr w:rsidR="00A17ECC" w:rsidRPr="00D24270" w14:paraId="144A37C1" w14:textId="77777777" w:rsidTr="00A17ECC">
        <w:tc>
          <w:tcPr>
            <w:tcW w:w="867" w:type="pct"/>
          </w:tcPr>
          <w:p w14:paraId="6F9FDC1C" w14:textId="77777777" w:rsidR="00A17ECC" w:rsidRPr="00AB00E9" w:rsidRDefault="00A17ECC" w:rsidP="009F2749">
            <w:r>
              <w:t xml:space="preserve">n=2: </w:t>
            </w:r>
            <w:r w:rsidRPr="00AB00E9">
              <w:t>&gt;180mm</w:t>
            </w:r>
          </w:p>
        </w:tc>
        <w:tc>
          <w:tcPr>
            <w:tcW w:w="827" w:type="pct"/>
          </w:tcPr>
          <w:p w14:paraId="62CC05F2" w14:textId="77777777" w:rsidR="00A17ECC" w:rsidRPr="00AB00E9" w:rsidRDefault="00A17ECC" w:rsidP="009F2749"/>
        </w:tc>
        <w:tc>
          <w:tcPr>
            <w:tcW w:w="826" w:type="pct"/>
          </w:tcPr>
          <w:p w14:paraId="480D04C8" w14:textId="77777777" w:rsidR="00A17ECC" w:rsidRPr="00AB00E9" w:rsidRDefault="00A17ECC" w:rsidP="009F2749"/>
        </w:tc>
        <w:tc>
          <w:tcPr>
            <w:tcW w:w="827" w:type="pct"/>
          </w:tcPr>
          <w:p w14:paraId="367D4DC4" w14:textId="77777777" w:rsidR="00A17ECC" w:rsidRPr="00AB00E9" w:rsidRDefault="00A17ECC" w:rsidP="009F2749"/>
        </w:tc>
        <w:tc>
          <w:tcPr>
            <w:tcW w:w="826" w:type="pct"/>
          </w:tcPr>
          <w:p w14:paraId="001D1B45" w14:textId="77777777" w:rsidR="00A17ECC" w:rsidRPr="00AB00E9" w:rsidRDefault="00A17ECC" w:rsidP="009F2749"/>
        </w:tc>
        <w:tc>
          <w:tcPr>
            <w:tcW w:w="827" w:type="pct"/>
          </w:tcPr>
          <w:p w14:paraId="77ABC8FB" w14:textId="77777777" w:rsidR="00A17ECC" w:rsidRPr="00AB00E9" w:rsidRDefault="00A17ECC" w:rsidP="009F2749"/>
        </w:tc>
      </w:tr>
    </w:tbl>
    <w:p w14:paraId="627F20B7" w14:textId="1F56F04C" w:rsidR="00A17ECC" w:rsidRDefault="00A17ECC" w:rsidP="00A17ECC">
      <w:pPr>
        <w:pStyle w:val="Heading2"/>
        <w:numPr>
          <w:ilvl w:val="1"/>
          <w:numId w:val="7"/>
        </w:numPr>
      </w:pPr>
      <w:bookmarkStart w:id="109" w:name="_Toc51783658"/>
      <w:bookmarkStart w:id="110" w:name="_Toc52364558"/>
      <w:r>
        <w:t>Consumer Value Proposition (CVP</w:t>
      </w:r>
      <w:r w:rsidRPr="0039702C">
        <w:rPr>
          <w:vertAlign w:val="subscript"/>
        </w:rPr>
        <w:t>t</w:t>
      </w:r>
      <w:r>
        <w:t>)</w:t>
      </w:r>
      <w:bookmarkEnd w:id="110"/>
    </w:p>
    <w:p w14:paraId="4216E57F" w14:textId="77777777" w:rsidR="00A17ECC" w:rsidRPr="00645878" w:rsidRDefault="00A17ECC" w:rsidP="00A17ECC">
      <w:pPr>
        <w:pStyle w:val="Heading3nonumbering"/>
      </w:pPr>
      <w:r w:rsidRPr="00645878">
        <w:t xml:space="preserve">Introduction </w:t>
      </w:r>
    </w:p>
    <w:p w14:paraId="036F0AE3" w14:textId="77777777" w:rsidR="00A17ECC" w:rsidRDefault="00A17ECC" w:rsidP="00A17ECC">
      <w:pPr>
        <w:pStyle w:val="NumberedNormal"/>
        <w:numPr>
          <w:ilvl w:val="2"/>
          <w:numId w:val="7"/>
        </w:numPr>
      </w:pPr>
      <w:r>
        <w:t>The purpose of this condition is to:</w:t>
      </w:r>
    </w:p>
    <w:p w14:paraId="56016075" w14:textId="77777777" w:rsidR="00A17ECC" w:rsidRDefault="00A17ECC" w:rsidP="00A17ECC">
      <w:pPr>
        <w:pStyle w:val="ListNormal"/>
      </w:pPr>
      <w:r>
        <w:lastRenderedPageBreak/>
        <w:t>calculate the term CVPt (the Consumer Value Proposition term), which contributes to the calculation of the Totex Allowance;</w:t>
      </w:r>
    </w:p>
    <w:p w14:paraId="0DDE58FA" w14:textId="77777777" w:rsidR="00A17ECC" w:rsidRDefault="00A17ECC" w:rsidP="00A17ECC">
      <w:pPr>
        <w:pStyle w:val="ListNormal"/>
      </w:pPr>
      <w:r>
        <w:t>specify the CVP Outputs and associated CVP Rewards for the licensee's CVPs;</w:t>
      </w:r>
    </w:p>
    <w:p w14:paraId="26081496" w14:textId="0A4B32A1" w:rsidR="00A17ECC" w:rsidRPr="00645878" w:rsidRDefault="00A17ECC" w:rsidP="00A17ECC">
      <w:pPr>
        <w:pStyle w:val="ListNormal"/>
      </w:pPr>
      <w:r>
        <w:t>allow for the adjustment of the term BPIt (the business plan incentive term), which contributes to the calculation of Calculated Revenue</w:t>
      </w:r>
      <w:r w:rsidR="00656AE6">
        <w:t xml:space="preserve"> in Special Condition 2.1 (Revenue Restriction)</w:t>
      </w:r>
      <w:r>
        <w:t>.</w:t>
      </w:r>
    </w:p>
    <w:p w14:paraId="1F0A86F3" w14:textId="0C7F86CF" w:rsidR="00A17ECC" w:rsidRDefault="00A17ECC" w:rsidP="00A17ECC">
      <w:pPr>
        <w:pStyle w:val="NumberedNormal"/>
        <w:numPr>
          <w:ilvl w:val="2"/>
          <w:numId w:val="7"/>
        </w:numPr>
      </w:pPr>
      <w:r>
        <w:t>This condition also explains the process the Authority will follow when assessing the delivery of the CVP Outputs</w:t>
      </w:r>
      <w:r w:rsidR="00083B7A" w:rsidRPr="00083B7A">
        <w:t xml:space="preserve"> </w:t>
      </w:r>
      <w:r w:rsidR="00083B7A" w:rsidRPr="00645878">
        <w:t>and directing a value for CVPRt</w:t>
      </w:r>
      <w:r w:rsidR="00380A01">
        <w:t xml:space="preserve"> or an adjustment to BPIt</w:t>
      </w:r>
      <w:r>
        <w:t>.</w:t>
      </w:r>
    </w:p>
    <w:p w14:paraId="71E7E48D" w14:textId="77777777" w:rsidR="00A17ECC" w:rsidRPr="00645878" w:rsidRDefault="00A17ECC" w:rsidP="00A17ECC">
      <w:pPr>
        <w:pStyle w:val="Heading3"/>
        <w:numPr>
          <w:ilvl w:val="5"/>
          <w:numId w:val="7"/>
        </w:numPr>
      </w:pPr>
      <w:r>
        <w:t>Formula for calculating the CVP term</w:t>
      </w:r>
    </w:p>
    <w:p w14:paraId="6837F1FA" w14:textId="77777777" w:rsidR="00A17ECC" w:rsidRDefault="00A17ECC" w:rsidP="00A17ECC">
      <w:pPr>
        <w:pStyle w:val="NumberedNormal"/>
        <w:numPr>
          <w:ilvl w:val="2"/>
          <w:numId w:val="7"/>
        </w:numPr>
      </w:pPr>
      <w:r>
        <w:t>The value of the CVPt term is derived in accordance with the following formula:</w:t>
      </w:r>
    </w:p>
    <w:p w14:paraId="454AEE4B" w14:textId="77777777" w:rsidR="00A17ECC" w:rsidRPr="00645878" w:rsidRDefault="008C7681" w:rsidP="00A17ECC">
      <w:pPr>
        <w:pStyle w:val="Equation"/>
      </w:pPr>
      <m:oMathPara>
        <m:oMath>
          <m:sSub>
            <m:sSubPr>
              <m:ctrlPr>
                <w:rPr>
                  <w:rFonts w:ascii="Cambria Math" w:hAnsi="Cambria Math"/>
                  <w:i/>
                </w:rPr>
              </m:ctrlPr>
            </m:sSubPr>
            <m:e>
              <m:r>
                <w:rPr>
                  <w:rFonts w:ascii="Cambria Math" w:hAnsi="Cambria Math"/>
                </w:rPr>
                <m:t>CVP</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CVPA</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CVPR</m:t>
              </m:r>
            </m:e>
            <m:sub>
              <m:r>
                <w:rPr>
                  <w:rFonts w:ascii="Cambria Math" w:hAnsi="Cambria Math"/>
                </w:rPr>
                <m:t>t</m:t>
              </m:r>
            </m:sub>
          </m:sSub>
        </m:oMath>
      </m:oMathPara>
    </w:p>
    <w:p w14:paraId="66A4915B" w14:textId="77777777" w:rsidR="00A17ECC" w:rsidRDefault="00A17ECC" w:rsidP="00A17ECC">
      <w:r>
        <w:tab/>
      </w:r>
      <w:r w:rsidRPr="00645878">
        <w:t>where:</w:t>
      </w:r>
    </w:p>
    <w:tbl>
      <w:tblPr>
        <w:tblStyle w:val="TableGridLight"/>
        <w:tblW w:w="9360" w:type="dxa"/>
        <w:tblLook w:val="04A0" w:firstRow="1" w:lastRow="0" w:firstColumn="1" w:lastColumn="0" w:noHBand="0" w:noVBand="1"/>
      </w:tblPr>
      <w:tblGrid>
        <w:gridCol w:w="1018"/>
        <w:gridCol w:w="8358"/>
      </w:tblGrid>
      <w:tr w:rsidR="00A17ECC" w:rsidRPr="009542E2" w14:paraId="72BD0896" w14:textId="77777777" w:rsidTr="009F2749">
        <w:trPr>
          <w:trHeight w:val="255"/>
        </w:trPr>
        <w:tc>
          <w:tcPr>
            <w:tcW w:w="1010" w:type="dxa"/>
            <w:noWrap/>
            <w:hideMark/>
          </w:tcPr>
          <w:p w14:paraId="52692F4B" w14:textId="77777777" w:rsidR="00A17ECC" w:rsidRPr="009542E2" w:rsidRDefault="00A17ECC" w:rsidP="009F2749">
            <w:pPr>
              <w:rPr>
                <w:lang w:eastAsia="en-GB"/>
              </w:rPr>
            </w:pPr>
            <w:r w:rsidRPr="009542E2">
              <w:rPr>
                <w:lang w:eastAsia="en-GB"/>
              </w:rPr>
              <w:t>CVPAt</w:t>
            </w:r>
          </w:p>
        </w:tc>
        <w:tc>
          <w:tcPr>
            <w:tcW w:w="8350" w:type="dxa"/>
            <w:noWrap/>
            <w:hideMark/>
          </w:tcPr>
          <w:p w14:paraId="284824EB" w14:textId="77777777" w:rsidR="00A17ECC" w:rsidRPr="009542E2" w:rsidRDefault="00A17ECC" w:rsidP="009F2749">
            <w:pPr>
              <w:rPr>
                <w:lang w:eastAsia="en-GB"/>
              </w:rPr>
            </w:pPr>
            <w:r w:rsidRPr="009542E2">
              <w:rPr>
                <w:lang w:eastAsia="en-GB"/>
              </w:rPr>
              <w:t xml:space="preserve">means the sum of values in the 'Reward' column of Appendix 1; and </w:t>
            </w:r>
          </w:p>
        </w:tc>
      </w:tr>
      <w:tr w:rsidR="00A17ECC" w:rsidRPr="009542E2" w14:paraId="20937833" w14:textId="77777777" w:rsidTr="009F2749">
        <w:trPr>
          <w:trHeight w:val="255"/>
        </w:trPr>
        <w:tc>
          <w:tcPr>
            <w:tcW w:w="1010" w:type="dxa"/>
            <w:noWrap/>
            <w:hideMark/>
          </w:tcPr>
          <w:p w14:paraId="58FF4BB1" w14:textId="77777777" w:rsidR="00A17ECC" w:rsidRPr="009542E2" w:rsidRDefault="00A17ECC" w:rsidP="009F2749">
            <w:pPr>
              <w:rPr>
                <w:lang w:eastAsia="en-GB"/>
              </w:rPr>
            </w:pPr>
            <w:r w:rsidRPr="009542E2">
              <w:rPr>
                <w:lang w:eastAsia="en-GB"/>
              </w:rPr>
              <w:t xml:space="preserve">CVPRt </w:t>
            </w:r>
          </w:p>
        </w:tc>
        <w:tc>
          <w:tcPr>
            <w:tcW w:w="8350" w:type="dxa"/>
            <w:noWrap/>
            <w:hideMark/>
          </w:tcPr>
          <w:p w14:paraId="5507A00A" w14:textId="77777777" w:rsidR="00A17ECC" w:rsidRPr="009542E2" w:rsidRDefault="00A17ECC" w:rsidP="009F2749">
            <w:pPr>
              <w:rPr>
                <w:lang w:eastAsia="en-GB"/>
              </w:rPr>
            </w:pPr>
            <w:r w:rsidRPr="009542E2">
              <w:rPr>
                <w:lang w:eastAsia="en-GB"/>
              </w:rPr>
              <w:t>has the value zero unless otherwise directed by the Authority in accordance with Part D.</w:t>
            </w:r>
          </w:p>
        </w:tc>
      </w:tr>
    </w:tbl>
    <w:p w14:paraId="54770AD4" w14:textId="77777777" w:rsidR="00A17ECC" w:rsidRPr="00645878" w:rsidRDefault="00A17ECC" w:rsidP="00A17ECC">
      <w:pPr>
        <w:pStyle w:val="Heading3"/>
        <w:numPr>
          <w:ilvl w:val="5"/>
          <w:numId w:val="7"/>
        </w:numPr>
      </w:pPr>
      <w:r>
        <w:t>What is the licensee expected to deliver?</w:t>
      </w:r>
    </w:p>
    <w:p w14:paraId="75E739BC" w14:textId="77777777" w:rsidR="00A17ECC" w:rsidRPr="00645878" w:rsidRDefault="00A17ECC" w:rsidP="00A17ECC">
      <w:pPr>
        <w:pStyle w:val="NumberedNormal"/>
        <w:numPr>
          <w:ilvl w:val="2"/>
          <w:numId w:val="7"/>
        </w:numPr>
      </w:pPr>
      <w:r>
        <w:t>Appendix 1 specifies the CVP Outputs that the licensee is expected to deliver, the delivery dates for those outputs and the rewards and costs provided.</w:t>
      </w:r>
    </w:p>
    <w:p w14:paraId="429ECF84" w14:textId="77777777" w:rsidR="00A17ECC" w:rsidRPr="00645878" w:rsidRDefault="00A17ECC" w:rsidP="00A17ECC">
      <w:pPr>
        <w:pStyle w:val="Heading3"/>
        <w:numPr>
          <w:ilvl w:val="5"/>
          <w:numId w:val="7"/>
        </w:numPr>
      </w:pPr>
      <w:r>
        <w:t>Reporting requirements</w:t>
      </w:r>
    </w:p>
    <w:p w14:paraId="618BDC49" w14:textId="430DC479" w:rsidR="00A17ECC" w:rsidRDefault="00A17ECC" w:rsidP="00A17ECC">
      <w:pPr>
        <w:pStyle w:val="NumberedNormal"/>
      </w:pPr>
      <w:r>
        <w:t>T</w:t>
      </w:r>
      <w:r w:rsidRPr="00F83C3A">
        <w:t xml:space="preserve">he licensee must submit a single report to the Authority demonstrating how the licensee has delivered all of its CVP Outputs set out in Appendix 1. </w:t>
      </w:r>
    </w:p>
    <w:p w14:paraId="4D8EB47C" w14:textId="42D0F00E" w:rsidR="00A17ECC" w:rsidRPr="00F83C3A" w:rsidRDefault="00A17ECC" w:rsidP="00A17ECC">
      <w:pPr>
        <w:pStyle w:val="NumberedNormal"/>
      </w:pPr>
      <w:r>
        <w:t xml:space="preserve">The report must be submitted </w:t>
      </w:r>
      <w:r w:rsidRPr="00F83C3A">
        <w:t xml:space="preserve">on </w:t>
      </w:r>
      <w:r>
        <w:t xml:space="preserve">or before </w:t>
      </w:r>
      <w:r w:rsidRPr="00F83C3A">
        <w:t>a date to be directed by the Authority, which will be after the Price Control Period ends</w:t>
      </w:r>
      <w:r>
        <w:t>.</w:t>
      </w:r>
    </w:p>
    <w:p w14:paraId="76AEDC53" w14:textId="3E48260C" w:rsidR="00A17ECC" w:rsidRPr="00645878" w:rsidRDefault="00A17ECC" w:rsidP="00A17ECC">
      <w:pPr>
        <w:pStyle w:val="NumberedNormal"/>
        <w:numPr>
          <w:ilvl w:val="2"/>
          <w:numId w:val="7"/>
        </w:numPr>
      </w:pPr>
      <w:r>
        <w:t>If the licensee believes that a CVP Output no longer provides value to consumers, and has not delivered the CVP Output, it must include in the r</w:t>
      </w:r>
      <w:r w:rsidR="00C344F8">
        <w:t>eport required by paragraph 3.24</w:t>
      </w:r>
      <w:r>
        <w:t xml:space="preserve">.5: </w:t>
      </w:r>
    </w:p>
    <w:p w14:paraId="2D474FD8" w14:textId="77777777" w:rsidR="00A17ECC" w:rsidRPr="00645878" w:rsidRDefault="00A17ECC" w:rsidP="00A17ECC">
      <w:pPr>
        <w:pStyle w:val="ListNormal"/>
        <w:numPr>
          <w:ilvl w:val="3"/>
          <w:numId w:val="7"/>
        </w:numPr>
      </w:pPr>
      <w:r>
        <w:t>justification for this belief; and</w:t>
      </w:r>
    </w:p>
    <w:p w14:paraId="23CED654" w14:textId="77777777" w:rsidR="00A17ECC" w:rsidRPr="00645878" w:rsidRDefault="00A17ECC" w:rsidP="00A17ECC">
      <w:pPr>
        <w:pStyle w:val="ListNormal"/>
        <w:numPr>
          <w:ilvl w:val="3"/>
          <w:numId w:val="7"/>
        </w:numPr>
      </w:pPr>
      <w:r>
        <w:t xml:space="preserve">details of any alternative activity undertaken and evidence that it delivers outcomes with an equivalent or higher value to consumers.  </w:t>
      </w:r>
    </w:p>
    <w:p w14:paraId="51012B95" w14:textId="77777777" w:rsidR="00A17ECC" w:rsidRPr="00645878" w:rsidRDefault="00A17ECC" w:rsidP="00A17ECC">
      <w:pPr>
        <w:pStyle w:val="Heading3"/>
        <w:numPr>
          <w:ilvl w:val="5"/>
          <w:numId w:val="7"/>
        </w:numPr>
      </w:pPr>
      <w:r>
        <w:t>Authority Assessment and direction</w:t>
      </w:r>
    </w:p>
    <w:p w14:paraId="34F1CF84" w14:textId="518685F1" w:rsidR="00A17ECC" w:rsidRDefault="00A17ECC" w:rsidP="00A17ECC">
      <w:pPr>
        <w:pStyle w:val="NumberedNormal"/>
        <w:numPr>
          <w:ilvl w:val="2"/>
          <w:numId w:val="7"/>
        </w:numPr>
      </w:pPr>
      <w:r>
        <w:t>The Authority will consider directing a value for CVPR</w:t>
      </w:r>
      <w:r w:rsidRPr="0039702C">
        <w:rPr>
          <w:vertAlign w:val="subscript"/>
        </w:rPr>
        <w:t>t</w:t>
      </w:r>
      <w:r>
        <w:t xml:space="preserve"> and BPIt after the Price Control Period where the licensee has not demonstrated CVP Full Delivery for one or more CVP Outputs in Appendix 1.</w:t>
      </w:r>
    </w:p>
    <w:p w14:paraId="3BB2D35E" w14:textId="38CAEA1C" w:rsidR="00A17ECC" w:rsidRPr="00645878" w:rsidRDefault="00A17ECC" w:rsidP="00A17ECC">
      <w:pPr>
        <w:pStyle w:val="NumberedNormal"/>
        <w:numPr>
          <w:ilvl w:val="2"/>
          <w:numId w:val="7"/>
        </w:numPr>
      </w:pPr>
      <w:r>
        <w:lastRenderedPageBreak/>
        <w:t>Before making a direction under paragraph 3.2</w:t>
      </w:r>
      <w:r w:rsidR="00C344F8">
        <w:t>4</w:t>
      </w:r>
      <w:r>
        <w:t>.</w:t>
      </w:r>
      <w:r w:rsidDel="00083B7A">
        <w:t>8</w:t>
      </w:r>
      <w:r>
        <w:t xml:space="preserve"> the Authority will publish on the Authority's Website:</w:t>
      </w:r>
    </w:p>
    <w:p w14:paraId="5663A3E0" w14:textId="77777777" w:rsidR="00A17ECC" w:rsidRPr="00645878" w:rsidRDefault="00A17ECC" w:rsidP="00A17ECC">
      <w:pPr>
        <w:pStyle w:val="ListNormal"/>
        <w:numPr>
          <w:ilvl w:val="3"/>
          <w:numId w:val="7"/>
        </w:numPr>
      </w:pPr>
      <w:r>
        <w:t>the text of the proposed direction;</w:t>
      </w:r>
    </w:p>
    <w:p w14:paraId="4792A356" w14:textId="77777777" w:rsidR="00A17ECC" w:rsidRPr="00645878" w:rsidRDefault="00A17ECC" w:rsidP="00A17ECC">
      <w:pPr>
        <w:pStyle w:val="ListNormal"/>
        <w:numPr>
          <w:ilvl w:val="3"/>
          <w:numId w:val="7"/>
        </w:numPr>
      </w:pPr>
      <w:r>
        <w:t>the reasons for the proposed direction; and</w:t>
      </w:r>
    </w:p>
    <w:p w14:paraId="5F9107B6" w14:textId="77777777" w:rsidR="00A17ECC" w:rsidRPr="00645878" w:rsidRDefault="00A17ECC" w:rsidP="00A17ECC">
      <w:pPr>
        <w:pStyle w:val="ListNormal"/>
        <w:numPr>
          <w:ilvl w:val="3"/>
          <w:numId w:val="7"/>
        </w:numPr>
      </w:pPr>
      <w:r>
        <w:t>a period during which representations may be made on the proposed direction, which will not be less than 28 days.</w:t>
      </w:r>
    </w:p>
    <w:p w14:paraId="59E1B96B" w14:textId="77777777" w:rsidR="00A17ECC" w:rsidRPr="008E271A" w:rsidRDefault="00A17ECC" w:rsidP="00A17ECC">
      <w:pPr>
        <w:pStyle w:val="AppendixHeading"/>
      </w:pPr>
    </w:p>
    <w:p w14:paraId="439311B7" w14:textId="27085B82" w:rsidR="00A17ECC" w:rsidRPr="008E271A" w:rsidRDefault="00A17ECC" w:rsidP="00A17ECC">
      <w:pPr>
        <w:pStyle w:val="Caption"/>
      </w:pPr>
      <w:r w:rsidRPr="008E271A">
        <w:t>Consumer Value Proposition</w:t>
      </w:r>
    </w:p>
    <w:tbl>
      <w:tblPr>
        <w:tblStyle w:val="AppendixTable"/>
        <w:tblW w:w="5000" w:type="pct"/>
        <w:tblLook w:val="04A0" w:firstRow="1" w:lastRow="0" w:firstColumn="1" w:lastColumn="0" w:noHBand="0" w:noVBand="1"/>
      </w:tblPr>
      <w:tblGrid>
        <w:gridCol w:w="1386"/>
        <w:gridCol w:w="1612"/>
        <w:gridCol w:w="1803"/>
        <w:gridCol w:w="2098"/>
        <w:gridCol w:w="1253"/>
        <w:gridCol w:w="874"/>
      </w:tblGrid>
      <w:tr w:rsidR="00A17ECC" w:rsidRPr="00DE541A" w14:paraId="5C0D16DB" w14:textId="77777777" w:rsidTr="009F2749">
        <w:trPr>
          <w:cnfStyle w:val="100000000000" w:firstRow="1" w:lastRow="0" w:firstColumn="0" w:lastColumn="0" w:oddVBand="0" w:evenVBand="0" w:oddHBand="0" w:evenHBand="0" w:firstRowFirstColumn="0" w:firstRowLastColumn="0" w:lastRowFirstColumn="0" w:lastRowLastColumn="0"/>
          <w:trHeight w:val="305"/>
        </w:trPr>
        <w:tc>
          <w:tcPr>
            <w:tcW w:w="768" w:type="pct"/>
          </w:tcPr>
          <w:p w14:paraId="7C1B7D22" w14:textId="77777777" w:rsidR="00A17ECC" w:rsidRPr="00D1751B" w:rsidRDefault="00A17ECC" w:rsidP="009F2749">
            <w:r w:rsidRPr="00D1751B">
              <w:t>Licensee</w:t>
            </w:r>
          </w:p>
        </w:tc>
        <w:tc>
          <w:tcPr>
            <w:tcW w:w="893" w:type="pct"/>
          </w:tcPr>
          <w:p w14:paraId="459C7185" w14:textId="77777777" w:rsidR="00A17ECC" w:rsidRPr="00D1751B" w:rsidRDefault="00A17ECC" w:rsidP="009F2749">
            <w:r w:rsidRPr="00D1751B">
              <w:t>CVP Name</w:t>
            </w:r>
          </w:p>
        </w:tc>
        <w:tc>
          <w:tcPr>
            <w:tcW w:w="999" w:type="pct"/>
          </w:tcPr>
          <w:p w14:paraId="1DBBD203" w14:textId="77777777" w:rsidR="00A17ECC" w:rsidRPr="00D1751B" w:rsidRDefault="00A17ECC" w:rsidP="009F2749">
            <w:r w:rsidRPr="00D1751B">
              <w:t>CVP Output</w:t>
            </w:r>
          </w:p>
        </w:tc>
        <w:tc>
          <w:tcPr>
            <w:tcW w:w="1162" w:type="pct"/>
          </w:tcPr>
          <w:p w14:paraId="497476A2" w14:textId="77777777" w:rsidR="00A17ECC" w:rsidRDefault="00A17ECC" w:rsidP="009F2749">
            <w:r>
              <w:t>Delivery date</w:t>
            </w:r>
          </w:p>
        </w:tc>
        <w:tc>
          <w:tcPr>
            <w:tcW w:w="694" w:type="pct"/>
          </w:tcPr>
          <w:p w14:paraId="13F811E0" w14:textId="77777777" w:rsidR="00A17ECC" w:rsidRPr="00D1751B" w:rsidRDefault="00A17ECC" w:rsidP="009F2749">
            <w:r w:rsidRPr="00D1751B">
              <w:t>Reward</w:t>
            </w:r>
          </w:p>
        </w:tc>
        <w:tc>
          <w:tcPr>
            <w:tcW w:w="484" w:type="pct"/>
          </w:tcPr>
          <w:p w14:paraId="2ED27CDE" w14:textId="77777777" w:rsidR="00A17ECC" w:rsidRPr="00D1751B" w:rsidRDefault="00A17ECC" w:rsidP="009F2749">
            <w:r w:rsidRPr="00D1751B">
              <w:t>Costs</w:t>
            </w:r>
          </w:p>
        </w:tc>
      </w:tr>
      <w:tr w:rsidR="00A17ECC" w:rsidRPr="00D5104D" w14:paraId="4BC3EDF5" w14:textId="77777777" w:rsidTr="009F2749">
        <w:trPr>
          <w:trHeight w:val="321"/>
        </w:trPr>
        <w:tc>
          <w:tcPr>
            <w:tcW w:w="768" w:type="pct"/>
          </w:tcPr>
          <w:p w14:paraId="7D32B0F6" w14:textId="77777777" w:rsidR="00A17ECC" w:rsidRPr="00D1751B" w:rsidRDefault="00A17ECC" w:rsidP="009F2749"/>
        </w:tc>
        <w:tc>
          <w:tcPr>
            <w:tcW w:w="893" w:type="pct"/>
          </w:tcPr>
          <w:p w14:paraId="1CBBD2AB" w14:textId="77777777" w:rsidR="00A17ECC" w:rsidRPr="00D1751B" w:rsidRDefault="00A17ECC" w:rsidP="009F2749"/>
        </w:tc>
        <w:tc>
          <w:tcPr>
            <w:tcW w:w="999" w:type="pct"/>
          </w:tcPr>
          <w:p w14:paraId="6C8DA2FD" w14:textId="77777777" w:rsidR="00A17ECC" w:rsidRPr="00D1751B" w:rsidRDefault="00A17ECC" w:rsidP="009F2749"/>
        </w:tc>
        <w:tc>
          <w:tcPr>
            <w:tcW w:w="1162" w:type="pct"/>
          </w:tcPr>
          <w:p w14:paraId="10B2BEF2" w14:textId="77777777" w:rsidR="00A17ECC" w:rsidRDefault="00A17ECC" w:rsidP="009F2749"/>
        </w:tc>
        <w:tc>
          <w:tcPr>
            <w:tcW w:w="694" w:type="pct"/>
          </w:tcPr>
          <w:p w14:paraId="34540748" w14:textId="77777777" w:rsidR="00A17ECC" w:rsidRPr="00D1751B" w:rsidRDefault="00A17ECC" w:rsidP="009F2749"/>
        </w:tc>
        <w:tc>
          <w:tcPr>
            <w:tcW w:w="484" w:type="pct"/>
          </w:tcPr>
          <w:p w14:paraId="16A825EF" w14:textId="77777777" w:rsidR="00A17ECC" w:rsidRPr="00D1751B" w:rsidRDefault="00A17ECC" w:rsidP="009F2749"/>
        </w:tc>
      </w:tr>
      <w:tr w:rsidR="00A17ECC" w:rsidRPr="00D5104D" w14:paraId="377C4726" w14:textId="77777777" w:rsidTr="009F2749">
        <w:trPr>
          <w:trHeight w:val="321"/>
        </w:trPr>
        <w:tc>
          <w:tcPr>
            <w:tcW w:w="768" w:type="pct"/>
          </w:tcPr>
          <w:p w14:paraId="368CA952" w14:textId="77777777" w:rsidR="00A17ECC" w:rsidRPr="00D1751B" w:rsidRDefault="00A17ECC" w:rsidP="009F2749"/>
        </w:tc>
        <w:tc>
          <w:tcPr>
            <w:tcW w:w="893" w:type="pct"/>
          </w:tcPr>
          <w:p w14:paraId="4D48760C" w14:textId="77777777" w:rsidR="00A17ECC" w:rsidRPr="00D1751B" w:rsidRDefault="00A17ECC" w:rsidP="009F2749"/>
        </w:tc>
        <w:tc>
          <w:tcPr>
            <w:tcW w:w="999" w:type="pct"/>
          </w:tcPr>
          <w:p w14:paraId="6FE57A3B" w14:textId="77777777" w:rsidR="00A17ECC" w:rsidRPr="00D1751B" w:rsidRDefault="00A17ECC" w:rsidP="009F2749"/>
        </w:tc>
        <w:tc>
          <w:tcPr>
            <w:tcW w:w="1162" w:type="pct"/>
          </w:tcPr>
          <w:p w14:paraId="518F1B66" w14:textId="77777777" w:rsidR="00A17ECC" w:rsidRDefault="00A17ECC" w:rsidP="009F2749"/>
        </w:tc>
        <w:tc>
          <w:tcPr>
            <w:tcW w:w="694" w:type="pct"/>
          </w:tcPr>
          <w:p w14:paraId="7A1AFC88" w14:textId="77777777" w:rsidR="00A17ECC" w:rsidRPr="00D1751B" w:rsidRDefault="00A17ECC" w:rsidP="009F2749"/>
        </w:tc>
        <w:tc>
          <w:tcPr>
            <w:tcW w:w="484" w:type="pct"/>
          </w:tcPr>
          <w:p w14:paraId="7856DD7F" w14:textId="77777777" w:rsidR="00A17ECC" w:rsidRPr="00D1751B" w:rsidRDefault="00A17ECC" w:rsidP="009F2749"/>
        </w:tc>
      </w:tr>
      <w:tr w:rsidR="00A17ECC" w:rsidRPr="00D5104D" w14:paraId="7CC9E56E" w14:textId="77777777" w:rsidTr="009F2749">
        <w:trPr>
          <w:trHeight w:val="321"/>
        </w:trPr>
        <w:tc>
          <w:tcPr>
            <w:tcW w:w="768" w:type="pct"/>
          </w:tcPr>
          <w:p w14:paraId="35C259F1" w14:textId="77777777" w:rsidR="00A17ECC" w:rsidRPr="00D1751B" w:rsidRDefault="00A17ECC" w:rsidP="009F2749"/>
        </w:tc>
        <w:tc>
          <w:tcPr>
            <w:tcW w:w="893" w:type="pct"/>
          </w:tcPr>
          <w:p w14:paraId="7C0143EB" w14:textId="77777777" w:rsidR="00A17ECC" w:rsidRPr="00D1751B" w:rsidRDefault="00A17ECC" w:rsidP="009F2749"/>
        </w:tc>
        <w:tc>
          <w:tcPr>
            <w:tcW w:w="999" w:type="pct"/>
          </w:tcPr>
          <w:p w14:paraId="5797989D" w14:textId="77777777" w:rsidR="00A17ECC" w:rsidRPr="00D1751B" w:rsidRDefault="00A17ECC" w:rsidP="009F2749"/>
        </w:tc>
        <w:tc>
          <w:tcPr>
            <w:tcW w:w="1162" w:type="pct"/>
          </w:tcPr>
          <w:p w14:paraId="6DC69DD1" w14:textId="77777777" w:rsidR="00A17ECC" w:rsidRDefault="00A17ECC" w:rsidP="009F2749"/>
        </w:tc>
        <w:tc>
          <w:tcPr>
            <w:tcW w:w="694" w:type="pct"/>
          </w:tcPr>
          <w:p w14:paraId="77A15282" w14:textId="77777777" w:rsidR="00A17ECC" w:rsidRPr="00D1751B" w:rsidRDefault="00A17ECC" w:rsidP="009F2749"/>
        </w:tc>
        <w:tc>
          <w:tcPr>
            <w:tcW w:w="484" w:type="pct"/>
          </w:tcPr>
          <w:p w14:paraId="02E74189" w14:textId="77777777" w:rsidR="00A17ECC" w:rsidRPr="00D1751B" w:rsidRDefault="00A17ECC" w:rsidP="009F2749"/>
        </w:tc>
      </w:tr>
    </w:tbl>
    <w:p w14:paraId="6873A3CC" w14:textId="77777777" w:rsidR="00A17ECC" w:rsidRPr="00645878" w:rsidRDefault="00A17ECC" w:rsidP="00A17ECC">
      <w:pPr>
        <w:pStyle w:val="NumberedNormal"/>
        <w:numPr>
          <w:ilvl w:val="0"/>
          <w:numId w:val="0"/>
        </w:numPr>
        <w:ind w:left="879" w:hanging="879"/>
      </w:pPr>
    </w:p>
    <w:p w14:paraId="5C0F1FE3" w14:textId="3111C73B" w:rsidR="00A17ECC" w:rsidRPr="00586003" w:rsidRDefault="00A17ECC" w:rsidP="00A17ECC">
      <w:pPr>
        <w:pStyle w:val="Heading2"/>
        <w:numPr>
          <w:ilvl w:val="1"/>
          <w:numId w:val="7"/>
        </w:numPr>
      </w:pPr>
      <w:bookmarkStart w:id="111" w:name="_Toc52364559"/>
      <w:r>
        <w:t>London Medium Pressure Repex Re-opener (LMP</w:t>
      </w:r>
      <w:r w:rsidRPr="00E55A1B">
        <w:rPr>
          <w:vertAlign w:val="subscript"/>
        </w:rPr>
        <w:t>t</w:t>
      </w:r>
      <w:r>
        <w:t>) [Cadent North London ONLY</w:t>
      </w:r>
      <w:bookmarkEnd w:id="109"/>
      <w:r>
        <w:t>]</w:t>
      </w:r>
      <w:bookmarkEnd w:id="111"/>
    </w:p>
    <w:p w14:paraId="4B47311D" w14:textId="77777777" w:rsidR="00A17ECC" w:rsidRPr="00586003" w:rsidRDefault="00A17ECC" w:rsidP="00A17ECC">
      <w:pPr>
        <w:pStyle w:val="Heading3nonumbering"/>
      </w:pPr>
      <w:r w:rsidRPr="00586003">
        <w:t xml:space="preserve">Introduction </w:t>
      </w:r>
    </w:p>
    <w:p w14:paraId="053403B9" w14:textId="77777777" w:rsidR="00A17ECC" w:rsidRPr="00586003" w:rsidRDefault="00A17ECC" w:rsidP="00A17ECC">
      <w:pPr>
        <w:pStyle w:val="NumberedNormal"/>
        <w:numPr>
          <w:ilvl w:val="2"/>
          <w:numId w:val="7"/>
        </w:numPr>
      </w:pPr>
      <w:r>
        <w:t>The purpose of this condition is to calculate the term LMP</w:t>
      </w:r>
      <w:r w:rsidRPr="00E55A1B">
        <w:rPr>
          <w:vertAlign w:val="subscript"/>
        </w:rPr>
        <w:t>t</w:t>
      </w:r>
      <w:r>
        <w:t xml:space="preserve"> (the London Medium Pressure Repex Re-opener term). This contributes to the calculation of the Totex Allowance.</w:t>
      </w:r>
    </w:p>
    <w:p w14:paraId="377F900C" w14:textId="6E11A5BB" w:rsidR="00A17ECC" w:rsidRPr="00586003" w:rsidRDefault="00A17ECC" w:rsidP="00A17ECC">
      <w:pPr>
        <w:pStyle w:val="NumberedNormal"/>
        <w:numPr>
          <w:ilvl w:val="2"/>
          <w:numId w:val="7"/>
        </w:numPr>
      </w:pPr>
      <w:r>
        <w:t>The effect of this condition is to establish a Re-opener, triggered by the licensee where there are London Medium Pressure Project Costs.</w:t>
      </w:r>
    </w:p>
    <w:p w14:paraId="33C5ECE9" w14:textId="77777777" w:rsidR="00A17ECC" w:rsidRPr="00586003" w:rsidRDefault="00A17ECC" w:rsidP="00A17ECC">
      <w:pPr>
        <w:pStyle w:val="NumberedNormal"/>
        <w:numPr>
          <w:ilvl w:val="2"/>
          <w:numId w:val="7"/>
        </w:numPr>
      </w:pPr>
      <w:r>
        <w:t>This condition also explains the process that the Authority will follow when directing any changes as a result of the Re-opener.</w:t>
      </w:r>
    </w:p>
    <w:p w14:paraId="4B1E643C" w14:textId="77777777" w:rsidR="00A17ECC" w:rsidRPr="00586003" w:rsidRDefault="00A17ECC" w:rsidP="00A17ECC">
      <w:pPr>
        <w:pStyle w:val="Heading3"/>
        <w:numPr>
          <w:ilvl w:val="5"/>
          <w:numId w:val="7"/>
        </w:numPr>
      </w:pPr>
      <w:r>
        <w:t>What costs are within scope of this Re-opener?</w:t>
      </w:r>
    </w:p>
    <w:p w14:paraId="67F83779" w14:textId="360FD74B" w:rsidR="00A17ECC" w:rsidRPr="00586003" w:rsidRDefault="00A17ECC" w:rsidP="00A17ECC">
      <w:pPr>
        <w:pStyle w:val="NumberedNormal"/>
        <w:numPr>
          <w:ilvl w:val="2"/>
          <w:numId w:val="7"/>
        </w:numPr>
      </w:pPr>
      <w:r>
        <w:t>The licensee may apply to the Authority for a direction adjusting the value of the LMPt term for any Regulatory Year during the price Control Period where the licensee incurs or expects to incur London Medium Pressure Project Costs.</w:t>
      </w:r>
    </w:p>
    <w:p w14:paraId="38750974" w14:textId="77777777" w:rsidR="00A17ECC" w:rsidRPr="00586003" w:rsidRDefault="00A17ECC" w:rsidP="00A17ECC">
      <w:pPr>
        <w:pStyle w:val="Heading3"/>
        <w:numPr>
          <w:ilvl w:val="5"/>
          <w:numId w:val="7"/>
        </w:numPr>
      </w:pPr>
      <w:r>
        <w:t>When to make an application</w:t>
      </w:r>
    </w:p>
    <w:p w14:paraId="7CF88193" w14:textId="4465D80B" w:rsidR="00A17ECC" w:rsidRPr="00586003" w:rsidRDefault="00A17ECC" w:rsidP="00A17ECC">
      <w:pPr>
        <w:pStyle w:val="NumberedNormal"/>
        <w:numPr>
          <w:ilvl w:val="2"/>
          <w:numId w:val="7"/>
        </w:numPr>
      </w:pPr>
      <w:r>
        <w:t>The licensee may only apply to the Authority for an adjustment under paragraph 3.2</w:t>
      </w:r>
      <w:r w:rsidR="00C344F8">
        <w:t>5</w:t>
      </w:r>
      <w:r>
        <w:t>.4:</w:t>
      </w:r>
    </w:p>
    <w:p w14:paraId="648FEDD2" w14:textId="77777777" w:rsidR="00A17ECC" w:rsidRPr="00586003" w:rsidRDefault="00A17ECC" w:rsidP="00A17ECC">
      <w:pPr>
        <w:pStyle w:val="ListNormal"/>
        <w:numPr>
          <w:ilvl w:val="3"/>
          <w:numId w:val="7"/>
        </w:numPr>
      </w:pPr>
      <w:r>
        <w:t>Between 25 January 2022 and 31 January 2022;</w:t>
      </w:r>
    </w:p>
    <w:p w14:paraId="00A3703A" w14:textId="77777777" w:rsidR="00A17ECC" w:rsidRDefault="00A17ECC" w:rsidP="00A17ECC">
      <w:pPr>
        <w:pStyle w:val="ListNormal"/>
        <w:numPr>
          <w:ilvl w:val="3"/>
          <w:numId w:val="7"/>
        </w:numPr>
      </w:pPr>
      <w:r>
        <w:t>Between 24 January 2024 and 31 January 2024; or</w:t>
      </w:r>
    </w:p>
    <w:p w14:paraId="191519DE" w14:textId="77777777" w:rsidR="00A17ECC" w:rsidRPr="00586003" w:rsidRDefault="00A17ECC" w:rsidP="00A17ECC">
      <w:pPr>
        <w:pStyle w:val="ListNormal"/>
        <w:numPr>
          <w:ilvl w:val="3"/>
          <w:numId w:val="7"/>
        </w:numPr>
      </w:pPr>
      <w:r>
        <w:t>during such later periods as the Authority may direct.</w:t>
      </w:r>
      <w:r>
        <w:br/>
      </w:r>
    </w:p>
    <w:p w14:paraId="598E2759" w14:textId="77777777" w:rsidR="00A17ECC" w:rsidRPr="00586003" w:rsidRDefault="00A17ECC" w:rsidP="00A17ECC">
      <w:pPr>
        <w:pStyle w:val="Heading3"/>
        <w:numPr>
          <w:ilvl w:val="5"/>
          <w:numId w:val="7"/>
        </w:numPr>
      </w:pPr>
      <w:r>
        <w:lastRenderedPageBreak/>
        <w:t>How should an application be made?</w:t>
      </w:r>
    </w:p>
    <w:p w14:paraId="3D887489" w14:textId="22802101" w:rsidR="00A17ECC" w:rsidRPr="00586003" w:rsidRDefault="00A17ECC" w:rsidP="00A17ECC">
      <w:pPr>
        <w:pStyle w:val="NumberedNormal"/>
        <w:numPr>
          <w:ilvl w:val="2"/>
          <w:numId w:val="7"/>
        </w:numPr>
      </w:pPr>
      <w:r>
        <w:t>An application under paragraph 3.2</w:t>
      </w:r>
      <w:r w:rsidR="00C344F8">
        <w:t>5</w:t>
      </w:r>
      <w:r>
        <w:t>.4 must be made in writing to the Authority and:</w:t>
      </w:r>
    </w:p>
    <w:p w14:paraId="36EB7CD8" w14:textId="18C32281" w:rsidR="00A17ECC" w:rsidRPr="00586003" w:rsidRDefault="00A17ECC" w:rsidP="00A17ECC">
      <w:pPr>
        <w:pStyle w:val="ListNormal"/>
        <w:numPr>
          <w:ilvl w:val="3"/>
          <w:numId w:val="7"/>
        </w:numPr>
      </w:pPr>
      <w:r>
        <w:t>specify the London Medium Pressure Project Costs that have led to the application;</w:t>
      </w:r>
    </w:p>
    <w:p w14:paraId="0321327B" w14:textId="77777777" w:rsidR="00A17ECC" w:rsidRPr="00586003" w:rsidRDefault="00A17ECC" w:rsidP="00A17ECC">
      <w:pPr>
        <w:pStyle w:val="ListNormal"/>
        <w:numPr>
          <w:ilvl w:val="3"/>
          <w:numId w:val="7"/>
        </w:numPr>
      </w:pPr>
      <w:r>
        <w:t xml:space="preserve">set out the adjustments to the value of the LMPt term that the licensee is requesting and the Regulatory Years to which those adjustments relate; </w:t>
      </w:r>
    </w:p>
    <w:p w14:paraId="2B9A3B27" w14:textId="77777777" w:rsidR="00A17ECC" w:rsidRPr="00586003" w:rsidRDefault="00A17ECC" w:rsidP="00A17ECC">
      <w:pPr>
        <w:pStyle w:val="ListNormal"/>
        <w:numPr>
          <w:ilvl w:val="3"/>
          <w:numId w:val="7"/>
        </w:numPr>
      </w:pPr>
      <w:r>
        <w:t>explain the basis of the licensee’s calculation of the proposed adjustments to the value of the LMPt term;</w:t>
      </w:r>
    </w:p>
    <w:p w14:paraId="56DC0FED" w14:textId="77777777" w:rsidR="00A17ECC" w:rsidRPr="00586003" w:rsidRDefault="00A17ECC" w:rsidP="00A17ECC">
      <w:pPr>
        <w:pStyle w:val="ListNormal"/>
        <w:numPr>
          <w:ilvl w:val="3"/>
          <w:numId w:val="7"/>
        </w:numPr>
      </w:pPr>
      <w:r>
        <w:t>explain the justifiable needs case for the proposed Project Section of the London Medium Pressure Project;</w:t>
      </w:r>
    </w:p>
    <w:p w14:paraId="535BCFE3" w14:textId="77777777" w:rsidR="00A17ECC" w:rsidRPr="00586003" w:rsidRDefault="00A17ECC" w:rsidP="00A17ECC">
      <w:pPr>
        <w:pStyle w:val="ListNormal"/>
        <w:numPr>
          <w:ilvl w:val="3"/>
          <w:numId w:val="7"/>
        </w:numPr>
      </w:pPr>
      <w:r>
        <w:t>set out the overall proposed project plan and timeline for completing the relevant Project Section of the London Medium Pressure Project proposed under the application;</w:t>
      </w:r>
    </w:p>
    <w:p w14:paraId="04431AAD" w14:textId="77777777" w:rsidR="00A17ECC" w:rsidRPr="00586003" w:rsidRDefault="00A17ECC" w:rsidP="00A17ECC">
      <w:pPr>
        <w:pStyle w:val="ListNormal"/>
        <w:numPr>
          <w:ilvl w:val="3"/>
          <w:numId w:val="7"/>
        </w:numPr>
      </w:pPr>
      <w:r>
        <w:t>set out a description of the proposed Project Sections and detailed cost assessment for each Project Section of the London Medium Pressure Project to be implemented under the application supported by market assessment and preliminary tendering or contracting with prospective contractors and or material suppliers;</w:t>
      </w:r>
    </w:p>
    <w:p w14:paraId="1D62FED8" w14:textId="77777777" w:rsidR="00A17ECC" w:rsidRDefault="00A17ECC" w:rsidP="00A17ECC">
      <w:pPr>
        <w:pStyle w:val="ListNormal"/>
        <w:numPr>
          <w:ilvl w:val="3"/>
          <w:numId w:val="7"/>
        </w:numPr>
      </w:pPr>
      <w:r>
        <w:t>provide evidence demonstrating that utilities and stakeholders operating within the area covered by each Project Section proposed in the application have been consulted and coordination regarding permissions and access to the construction area has been agreed upon with local authorities; and</w:t>
      </w:r>
    </w:p>
    <w:p w14:paraId="79D76D72" w14:textId="110F6291" w:rsidR="00A17ECC" w:rsidRPr="00586003" w:rsidRDefault="00A17ECC" w:rsidP="00A17ECC">
      <w:pPr>
        <w:pStyle w:val="ListNormal"/>
        <w:numPr>
          <w:ilvl w:val="3"/>
          <w:numId w:val="7"/>
        </w:numPr>
      </w:pPr>
      <w:r>
        <w:t>include such other detailed supporting evidence, that the London Medium Pressure Project Costs are efficient and unavoidable as is reasonable in the circumstances.</w:t>
      </w:r>
    </w:p>
    <w:p w14:paraId="588EAB78" w14:textId="6AB1EB07" w:rsidR="00A17ECC" w:rsidRPr="00586003" w:rsidRDefault="00A17ECC" w:rsidP="00A17ECC">
      <w:pPr>
        <w:pStyle w:val="NumberedNormal"/>
        <w:numPr>
          <w:ilvl w:val="2"/>
          <w:numId w:val="7"/>
        </w:numPr>
      </w:pPr>
      <w:r>
        <w:t>An application und</w:t>
      </w:r>
      <w:r w:rsidR="00C344F8">
        <w:t>er paragraph 3.25</w:t>
      </w:r>
      <w:r>
        <w:t>.4 must:</w:t>
      </w:r>
    </w:p>
    <w:p w14:paraId="7454FA93" w14:textId="77777777" w:rsidR="00A17ECC" w:rsidRPr="00586003" w:rsidRDefault="00A17ECC" w:rsidP="00A17ECC">
      <w:pPr>
        <w:pStyle w:val="ListNormal"/>
        <w:numPr>
          <w:ilvl w:val="3"/>
          <w:numId w:val="7"/>
        </w:numPr>
      </w:pPr>
      <w:r>
        <w:t>be confined to new work and studies completed by the licensee relating to the London Medium Pressure Project that occur Between 1 April 2021 and 31 March 2024;</w:t>
      </w:r>
    </w:p>
    <w:p w14:paraId="7B1DCD63" w14:textId="77777777" w:rsidR="00A17ECC" w:rsidRPr="00586003" w:rsidRDefault="00A17ECC" w:rsidP="00A17ECC">
      <w:pPr>
        <w:pStyle w:val="ListNormal"/>
        <w:numPr>
          <w:ilvl w:val="3"/>
          <w:numId w:val="7"/>
        </w:numPr>
      </w:pPr>
      <w:r>
        <w:t>take account of any allowed expenditure, which can be avoided as a result of completed works and studies relating to the London Medium Pressure Project; and</w:t>
      </w:r>
    </w:p>
    <w:p w14:paraId="415D5610" w14:textId="77777777" w:rsidR="00A17ECC" w:rsidRPr="00586003" w:rsidRDefault="00A17ECC" w:rsidP="00A17ECC">
      <w:pPr>
        <w:pStyle w:val="ListNormal"/>
        <w:numPr>
          <w:ilvl w:val="3"/>
          <w:numId w:val="7"/>
        </w:numPr>
      </w:pPr>
      <w:r>
        <w:t>be confined to costs incurred or expected to be incurred during the Price Control Period.</w:t>
      </w:r>
    </w:p>
    <w:p w14:paraId="34BB6A79" w14:textId="77777777" w:rsidR="00A17ECC" w:rsidRPr="00586003" w:rsidRDefault="00A17ECC" w:rsidP="00A17ECC">
      <w:pPr>
        <w:pStyle w:val="Heading3"/>
        <w:numPr>
          <w:ilvl w:val="5"/>
          <w:numId w:val="7"/>
        </w:numPr>
      </w:pPr>
      <w:r>
        <w:t>Authority triggered Re-opener</w:t>
      </w:r>
    </w:p>
    <w:p w14:paraId="14F06273" w14:textId="164514E4" w:rsidR="00A17ECC" w:rsidRPr="00586003" w:rsidRDefault="00A17ECC" w:rsidP="00A17ECC">
      <w:pPr>
        <w:pStyle w:val="NumberedNormal"/>
        <w:numPr>
          <w:ilvl w:val="2"/>
          <w:numId w:val="7"/>
        </w:numPr>
      </w:pPr>
      <w:r>
        <w:t>The Authority will also consider directing an adjustment to the value of  the LMP</w:t>
      </w:r>
      <w:r w:rsidRPr="009C6B4A">
        <w:rPr>
          <w:vertAlign w:val="subscript"/>
        </w:rPr>
        <w:t>t</w:t>
      </w:r>
      <w:r>
        <w:t xml:space="preserve"> term without an application</w:t>
      </w:r>
      <w:r w:rsidR="00C344F8">
        <w:t xml:space="preserve"> being made under paragraph 3.25</w:t>
      </w:r>
      <w:r>
        <w:t>.4,  where it considers that there are London Medium Pressure Project Costs that:</w:t>
      </w:r>
    </w:p>
    <w:p w14:paraId="64FD9BFC" w14:textId="77777777" w:rsidR="00A17ECC" w:rsidRPr="00586003" w:rsidRDefault="00A17ECC" w:rsidP="00A17ECC">
      <w:pPr>
        <w:pStyle w:val="ListNormal"/>
        <w:numPr>
          <w:ilvl w:val="3"/>
          <w:numId w:val="7"/>
        </w:numPr>
      </w:pPr>
      <w:r>
        <w:lastRenderedPageBreak/>
        <w:t>are confined to new work and studies completed by the licensee relating to the London Medium Pressure Project that occur Between 1 April 2020 and 31 March 2024; and</w:t>
      </w:r>
    </w:p>
    <w:p w14:paraId="7055F3F3" w14:textId="77777777" w:rsidR="00A17ECC" w:rsidRPr="00586003" w:rsidRDefault="00A17ECC" w:rsidP="00A17ECC">
      <w:pPr>
        <w:pStyle w:val="ListNormal"/>
        <w:numPr>
          <w:ilvl w:val="3"/>
          <w:numId w:val="7"/>
        </w:numPr>
      </w:pPr>
      <w:r>
        <w:t>are incurred or expected to be incurred during the Price Control Period.</w:t>
      </w:r>
    </w:p>
    <w:p w14:paraId="2C7CB694" w14:textId="77777777" w:rsidR="00A17ECC" w:rsidRPr="00586003" w:rsidRDefault="00A17ECC" w:rsidP="00A17ECC">
      <w:pPr>
        <w:pStyle w:val="Heading3"/>
        <w:numPr>
          <w:ilvl w:val="5"/>
          <w:numId w:val="7"/>
        </w:numPr>
      </w:pPr>
      <w:r>
        <w:t>What process will the Authority follow in making a direction?</w:t>
      </w:r>
    </w:p>
    <w:p w14:paraId="477504A3" w14:textId="4D33CCEF" w:rsidR="00A17ECC" w:rsidRPr="00586003" w:rsidRDefault="00A17ECC" w:rsidP="00A17ECC">
      <w:pPr>
        <w:pStyle w:val="NumberedNormal"/>
        <w:numPr>
          <w:ilvl w:val="2"/>
          <w:numId w:val="7"/>
        </w:numPr>
      </w:pPr>
      <w:r>
        <w:t>Before making a direction under paragraph 3.2</w:t>
      </w:r>
      <w:r w:rsidR="00C344F8">
        <w:t>5</w:t>
      </w:r>
      <w:r>
        <w:t>.4 or 3.2</w:t>
      </w:r>
      <w:r w:rsidR="00C344F8">
        <w:t>5</w:t>
      </w:r>
      <w:r>
        <w:t>.8, the Authority will publish on the Authority's Website:</w:t>
      </w:r>
    </w:p>
    <w:p w14:paraId="6F3FB5E2" w14:textId="77777777" w:rsidR="00A17ECC" w:rsidRPr="00586003" w:rsidRDefault="00A17ECC" w:rsidP="00A17ECC">
      <w:pPr>
        <w:pStyle w:val="ListNormal"/>
        <w:numPr>
          <w:ilvl w:val="3"/>
          <w:numId w:val="7"/>
        </w:numPr>
      </w:pPr>
      <w:r>
        <w:t>the text of the proposed direction;</w:t>
      </w:r>
    </w:p>
    <w:p w14:paraId="7A3182AE" w14:textId="77777777" w:rsidR="00A17ECC" w:rsidRPr="00586003" w:rsidRDefault="00A17ECC" w:rsidP="00A17ECC">
      <w:pPr>
        <w:pStyle w:val="ListNormal"/>
        <w:numPr>
          <w:ilvl w:val="3"/>
          <w:numId w:val="7"/>
        </w:numPr>
      </w:pPr>
      <w:r>
        <w:t>the reasons for the proposed direction; and</w:t>
      </w:r>
    </w:p>
    <w:p w14:paraId="586F367C" w14:textId="77777777" w:rsidR="00A17ECC" w:rsidRPr="00586003" w:rsidRDefault="00A17ECC" w:rsidP="00A17ECC">
      <w:pPr>
        <w:pStyle w:val="ListNormal"/>
        <w:numPr>
          <w:ilvl w:val="3"/>
          <w:numId w:val="7"/>
        </w:numPr>
      </w:pPr>
      <w:r>
        <w:t>a period during which representations may be made on the proposed direction, which will not be less than 28 days.</w:t>
      </w:r>
    </w:p>
    <w:p w14:paraId="3D8A14D4" w14:textId="77777777" w:rsidR="00A17ECC" w:rsidRPr="00586003" w:rsidRDefault="00A17ECC" w:rsidP="00A17ECC">
      <w:pPr>
        <w:pStyle w:val="NumberedNormal"/>
        <w:numPr>
          <w:ilvl w:val="2"/>
          <w:numId w:val="7"/>
        </w:numPr>
      </w:pPr>
      <w:r>
        <w:t>The direction will set out any adjustments to the value of the LMP</w:t>
      </w:r>
      <w:r w:rsidRPr="009C6B4A">
        <w:rPr>
          <w:vertAlign w:val="subscript"/>
        </w:rPr>
        <w:t>t</w:t>
      </w:r>
      <w:r>
        <w:t xml:space="preserve"> term and the Regulatory Years to which those adjustments relate.</w:t>
      </w:r>
    </w:p>
    <w:p w14:paraId="373014E4" w14:textId="0E2BF893" w:rsidR="00A17ECC" w:rsidRPr="00DF002A" w:rsidRDefault="00512D03" w:rsidP="00A17ECC">
      <w:pPr>
        <w:pStyle w:val="Heading2"/>
        <w:numPr>
          <w:ilvl w:val="1"/>
          <w:numId w:val="7"/>
        </w:numPr>
      </w:pPr>
      <w:bookmarkStart w:id="112" w:name="_Toc51783634"/>
      <w:bookmarkStart w:id="113" w:name="_Toc51783631"/>
      <w:bookmarkStart w:id="114" w:name="_Toc52364560"/>
      <w:bookmarkEnd w:id="90"/>
      <w:bookmarkEnd w:id="107"/>
      <w:r>
        <w:t>[REDACTED]</w:t>
      </w:r>
      <w:r w:rsidR="00A17ECC">
        <w:t xml:space="preserve"> Price Control Deliverable (KFDt) [SGN only]</w:t>
      </w:r>
      <w:bookmarkEnd w:id="112"/>
      <w:bookmarkEnd w:id="114"/>
    </w:p>
    <w:p w14:paraId="4A9E4200" w14:textId="77777777" w:rsidR="00A17ECC" w:rsidRPr="00DF002A" w:rsidRDefault="00A17ECC" w:rsidP="00A17ECC">
      <w:pPr>
        <w:pStyle w:val="Heading3nonumbering"/>
      </w:pPr>
      <w:r w:rsidRPr="00DF002A">
        <w:t xml:space="preserve">Introduction </w:t>
      </w:r>
    </w:p>
    <w:p w14:paraId="3456C54E" w14:textId="114C816E" w:rsidR="00A17ECC" w:rsidRPr="00DF002A" w:rsidRDefault="00A17ECC" w:rsidP="00A17ECC">
      <w:pPr>
        <w:pStyle w:val="NumberedNormal"/>
        <w:numPr>
          <w:ilvl w:val="2"/>
          <w:numId w:val="7"/>
        </w:numPr>
      </w:pPr>
      <w:r>
        <w:t>The purpose of this condition is to calculate the term KFD</w:t>
      </w:r>
      <w:r w:rsidRPr="00D64641">
        <w:rPr>
          <w:vertAlign w:val="subscript"/>
        </w:rPr>
        <w:t>t</w:t>
      </w:r>
      <w:r>
        <w:t xml:space="preserve"> (the </w:t>
      </w:r>
      <w:r w:rsidR="00512D03">
        <w:t>[REDACTED]</w:t>
      </w:r>
      <w:r>
        <w:t xml:space="preserve"> Price Control Deliverable term). This contributes to the calculation of the Totex Allowance.</w:t>
      </w:r>
    </w:p>
    <w:p w14:paraId="7FDC09DD" w14:textId="77777777" w:rsidR="00A17ECC" w:rsidRPr="00DF002A" w:rsidRDefault="00A17ECC" w:rsidP="00A17ECC">
      <w:pPr>
        <w:pStyle w:val="NumberedNormal"/>
        <w:numPr>
          <w:ilvl w:val="2"/>
          <w:numId w:val="7"/>
        </w:numPr>
      </w:pPr>
      <w:r>
        <w:t>The effect of this condition is to:</w:t>
      </w:r>
    </w:p>
    <w:p w14:paraId="37735CE5" w14:textId="77777777" w:rsidR="00A17ECC" w:rsidRPr="00DF002A" w:rsidRDefault="00A17ECC" w:rsidP="00A17ECC">
      <w:pPr>
        <w:pStyle w:val="ListNormal"/>
        <w:numPr>
          <w:ilvl w:val="3"/>
          <w:numId w:val="7"/>
        </w:numPr>
      </w:pPr>
      <w:r>
        <w:t>specify the outputs, delivery dates and associated allowances for the Price Control Deliverable; and</w:t>
      </w:r>
    </w:p>
    <w:p w14:paraId="5FBF8F89" w14:textId="77777777" w:rsidR="00A17ECC" w:rsidRPr="00DF002A" w:rsidRDefault="00A17ECC" w:rsidP="00A17ECC">
      <w:pPr>
        <w:pStyle w:val="ListNormal"/>
        <w:numPr>
          <w:ilvl w:val="3"/>
          <w:numId w:val="7"/>
        </w:numPr>
      </w:pPr>
      <w:r>
        <w:t>provide for the adjustment of those allowances at the end of the Price Control Period.</w:t>
      </w:r>
    </w:p>
    <w:p w14:paraId="52F26C83" w14:textId="77777777" w:rsidR="00A17ECC" w:rsidRPr="00DF002A" w:rsidRDefault="00A17ECC" w:rsidP="00A17ECC">
      <w:pPr>
        <w:pStyle w:val="NumberedNormal"/>
        <w:numPr>
          <w:ilvl w:val="2"/>
          <w:numId w:val="7"/>
        </w:numPr>
      </w:pPr>
      <w:r>
        <w:t>This condition also explains the process the Authority will follow when assessing the Price Control Deliverable.</w:t>
      </w:r>
    </w:p>
    <w:p w14:paraId="3939AD17" w14:textId="2E474A3B" w:rsidR="00A17ECC" w:rsidRPr="00DF002A" w:rsidRDefault="00A17ECC" w:rsidP="00A17ECC">
      <w:pPr>
        <w:pStyle w:val="Heading3"/>
        <w:numPr>
          <w:ilvl w:val="5"/>
          <w:numId w:val="7"/>
        </w:numPr>
      </w:pPr>
      <w:r>
        <w:t xml:space="preserve">Formula for calculating the </w:t>
      </w:r>
      <w:r w:rsidR="00512D03">
        <w:t>[REDACTED]</w:t>
      </w:r>
      <w:r>
        <w:t xml:space="preserve"> Price Control Deliverable term</w:t>
      </w:r>
    </w:p>
    <w:p w14:paraId="74B21A7A" w14:textId="77777777" w:rsidR="00A17ECC" w:rsidRPr="00DF002A" w:rsidRDefault="00A17ECC" w:rsidP="00A17ECC">
      <w:pPr>
        <w:pStyle w:val="NumberedNormal"/>
        <w:numPr>
          <w:ilvl w:val="2"/>
          <w:numId w:val="7"/>
        </w:numPr>
      </w:pPr>
      <w:r>
        <w:t>The value of KFD</w:t>
      </w:r>
      <w:r w:rsidRPr="00D64641">
        <w:rPr>
          <w:vertAlign w:val="subscript"/>
        </w:rPr>
        <w:t>t</w:t>
      </w:r>
      <w:r>
        <w:t xml:space="preserve"> is derived in accordance with the following formula:</w:t>
      </w:r>
    </w:p>
    <w:p w14:paraId="6FAEB354" w14:textId="77777777" w:rsidR="00A17ECC" w:rsidRPr="00415A3D" w:rsidRDefault="00A17ECC" w:rsidP="00A17ECC">
      <w:pPr>
        <w:pStyle w:val="Equation"/>
        <w:rPr>
          <w:i/>
          <w:iCs/>
        </w:rPr>
      </w:pPr>
      <w:r>
        <w:tab/>
      </w:r>
      <w:r w:rsidRPr="00415A3D">
        <w:rPr>
          <w:i/>
          <w:iCs/>
        </w:rPr>
        <w:t>KFD</w:t>
      </w:r>
      <w:r w:rsidRPr="00415A3D">
        <w:rPr>
          <w:i/>
          <w:iCs/>
          <w:vertAlign w:val="subscript"/>
        </w:rPr>
        <w:t>t</w:t>
      </w:r>
      <w:r w:rsidRPr="00415A3D">
        <w:rPr>
          <w:i/>
          <w:iCs/>
        </w:rPr>
        <w:t xml:space="preserve"> =  KFDA</w:t>
      </w:r>
      <w:r w:rsidRPr="00415A3D">
        <w:rPr>
          <w:i/>
          <w:iCs/>
          <w:vertAlign w:val="subscript"/>
        </w:rPr>
        <w:t>t</w:t>
      </w:r>
      <w:r w:rsidRPr="00415A3D">
        <w:rPr>
          <w:i/>
          <w:iCs/>
        </w:rPr>
        <w:t xml:space="preserve"> - KFDR</w:t>
      </w:r>
      <w:r w:rsidRPr="00415A3D">
        <w:rPr>
          <w:i/>
          <w:iCs/>
          <w:vertAlign w:val="subscript"/>
        </w:rPr>
        <w:t>t</w:t>
      </w:r>
    </w:p>
    <w:p w14:paraId="1C2284D8" w14:textId="77777777" w:rsidR="00A17ECC" w:rsidRPr="00DF002A" w:rsidRDefault="00A17ECC" w:rsidP="00A17ECC">
      <w:r>
        <w:tab/>
      </w:r>
      <w:r w:rsidRPr="00DF002A">
        <w:t>where:</w:t>
      </w:r>
    </w:p>
    <w:p w14:paraId="734F1886" w14:textId="77777777" w:rsidR="00A17ECC" w:rsidRPr="00DF002A" w:rsidRDefault="00A17ECC" w:rsidP="00A17ECC">
      <w:pPr>
        <w:pStyle w:val="Equation"/>
        <w:ind w:left="720"/>
      </w:pPr>
      <w:r w:rsidRPr="00DF002A">
        <w:t>KFDA</w:t>
      </w:r>
      <w:r w:rsidRPr="0039702C">
        <w:rPr>
          <w:vertAlign w:val="subscript"/>
        </w:rPr>
        <w:t>t</w:t>
      </w:r>
      <w:r>
        <w:rPr>
          <w:vertAlign w:val="subscript"/>
        </w:rPr>
        <w:tab/>
      </w:r>
      <w:r>
        <w:rPr>
          <w:vertAlign w:val="subscript"/>
        </w:rPr>
        <w:tab/>
      </w:r>
      <w:r w:rsidRPr="00DF002A">
        <w:t>means the sum of allowances in Appendix 1</w:t>
      </w:r>
      <w:r>
        <w:t>; and</w:t>
      </w:r>
      <w:r w:rsidRPr="00DF002A">
        <w:t xml:space="preserve"> </w:t>
      </w:r>
    </w:p>
    <w:p w14:paraId="3C6CC683" w14:textId="77777777" w:rsidR="00A17ECC" w:rsidRPr="00DF002A" w:rsidRDefault="00A17ECC" w:rsidP="00A17ECC">
      <w:pPr>
        <w:pStyle w:val="Equation"/>
        <w:ind w:left="720"/>
      </w:pPr>
      <w:r w:rsidRPr="00DF002A">
        <w:t>KFDR</w:t>
      </w:r>
      <w:r w:rsidRPr="0039702C">
        <w:rPr>
          <w:vertAlign w:val="subscript"/>
        </w:rPr>
        <w:t>t</w:t>
      </w:r>
      <w:r w:rsidRPr="00DF002A">
        <w:tab/>
        <w:t xml:space="preserve"> </w:t>
      </w:r>
      <w:r w:rsidRPr="00DF002A">
        <w:tab/>
      </w:r>
      <w:r w:rsidRPr="0076196B">
        <w:t xml:space="preserve">has the value zero unless otherwise directed by the Authority in accordance with Part </w:t>
      </w:r>
      <w:r>
        <w:t>C</w:t>
      </w:r>
      <w:r w:rsidRPr="0076196B">
        <w:t>.</w:t>
      </w:r>
    </w:p>
    <w:p w14:paraId="340876EB" w14:textId="77777777" w:rsidR="00A17ECC" w:rsidRPr="00DF002A" w:rsidRDefault="00A17ECC" w:rsidP="00A17ECC">
      <w:pPr>
        <w:pStyle w:val="Heading3"/>
        <w:numPr>
          <w:ilvl w:val="5"/>
          <w:numId w:val="7"/>
        </w:numPr>
      </w:pPr>
      <w:r>
        <w:lastRenderedPageBreak/>
        <w:t>What is the licensee funded to deliver?</w:t>
      </w:r>
    </w:p>
    <w:p w14:paraId="43C6DB5B" w14:textId="77777777" w:rsidR="00A17ECC" w:rsidRPr="00DF002A" w:rsidRDefault="00A17ECC" w:rsidP="00A17ECC">
      <w:pPr>
        <w:pStyle w:val="NumberedNormal"/>
        <w:numPr>
          <w:ilvl w:val="2"/>
          <w:numId w:val="7"/>
        </w:numPr>
      </w:pPr>
      <w:r>
        <w:t xml:space="preserve"> Appendix 1 specifies the outputs that the licensee is funded to deliver, the delivery dates for those outputs and the allowances provided.</w:t>
      </w:r>
    </w:p>
    <w:p w14:paraId="3ED9FE90" w14:textId="77777777" w:rsidR="00A17ECC" w:rsidRPr="00DF002A" w:rsidRDefault="00A17ECC" w:rsidP="00A17ECC">
      <w:pPr>
        <w:pStyle w:val="Heading3"/>
        <w:numPr>
          <w:ilvl w:val="5"/>
          <w:numId w:val="7"/>
        </w:numPr>
      </w:pPr>
      <w:r>
        <w:t>Assessment of outputs</w:t>
      </w:r>
    </w:p>
    <w:p w14:paraId="4C079F3F" w14:textId="77777777" w:rsidR="00A17ECC" w:rsidRPr="00DF002A" w:rsidRDefault="00A17ECC" w:rsidP="00A17ECC">
      <w:pPr>
        <w:pStyle w:val="NumberedNormal"/>
        <w:numPr>
          <w:ilvl w:val="2"/>
          <w:numId w:val="7"/>
        </w:numPr>
      </w:pPr>
      <w:r>
        <w:t xml:space="preserve">The licensee must, at the end of the Price Control Period submit to the Authority an independently audited engineering report confirming the complete delivery of the project as specified in Appendix 1. </w:t>
      </w:r>
    </w:p>
    <w:p w14:paraId="5B7511EC" w14:textId="77777777" w:rsidR="00A17ECC" w:rsidRPr="00DF002A" w:rsidRDefault="00A17ECC" w:rsidP="00A17ECC">
      <w:pPr>
        <w:pStyle w:val="NumberedNormal"/>
        <w:numPr>
          <w:ilvl w:val="2"/>
          <w:numId w:val="7"/>
        </w:numPr>
      </w:pPr>
      <w:r>
        <w:t>The Authority will direct a value for KFDR</w:t>
      </w:r>
      <w:r w:rsidRPr="0039702C">
        <w:rPr>
          <w:vertAlign w:val="subscript"/>
        </w:rPr>
        <w:t>t</w:t>
      </w:r>
      <w:r>
        <w:t xml:space="preserve"> equal to KFDA</w:t>
      </w:r>
      <w:r w:rsidRPr="0039702C">
        <w:rPr>
          <w:vertAlign w:val="subscript"/>
        </w:rPr>
        <w:t>t</w:t>
      </w:r>
      <w:r>
        <w:t>, where it considers that the licensee has not Fully Delivered the project in Appendix 1 by the delivery date specified.</w:t>
      </w:r>
    </w:p>
    <w:p w14:paraId="353D6300" w14:textId="77777777" w:rsidR="00A17ECC" w:rsidRPr="00DF002A" w:rsidRDefault="00A17ECC" w:rsidP="00A17ECC">
      <w:pPr>
        <w:pStyle w:val="Heading3"/>
        <w:numPr>
          <w:ilvl w:val="5"/>
          <w:numId w:val="7"/>
        </w:numPr>
      </w:pPr>
      <w:r>
        <w:t>What process will the Authority follow in making a direction?</w:t>
      </w:r>
    </w:p>
    <w:p w14:paraId="0F0BCFCB" w14:textId="7058B161" w:rsidR="00A17ECC" w:rsidRPr="00DF002A" w:rsidRDefault="00A17ECC" w:rsidP="00A17ECC">
      <w:pPr>
        <w:pStyle w:val="NumberedNormal"/>
        <w:numPr>
          <w:ilvl w:val="2"/>
          <w:numId w:val="7"/>
        </w:numPr>
      </w:pPr>
      <w:r>
        <w:t>Before making</w:t>
      </w:r>
      <w:r w:rsidR="00C344F8">
        <w:t xml:space="preserve"> a direction under paragraph 3.26</w:t>
      </w:r>
      <w:r>
        <w:t>.7 the Authority will publish on the Authority's Website:</w:t>
      </w:r>
    </w:p>
    <w:p w14:paraId="532F5B96" w14:textId="77777777" w:rsidR="00A17ECC" w:rsidRPr="00DF002A" w:rsidRDefault="00A17ECC" w:rsidP="00A17ECC">
      <w:pPr>
        <w:pStyle w:val="ListNormal"/>
        <w:numPr>
          <w:ilvl w:val="3"/>
          <w:numId w:val="7"/>
        </w:numPr>
      </w:pPr>
      <w:r>
        <w:t>the text of the proposed direction;</w:t>
      </w:r>
    </w:p>
    <w:p w14:paraId="5AD97636" w14:textId="77777777" w:rsidR="00A17ECC" w:rsidRPr="00DF002A" w:rsidRDefault="00A17ECC" w:rsidP="00A17ECC">
      <w:pPr>
        <w:pStyle w:val="ListNormal"/>
        <w:numPr>
          <w:ilvl w:val="3"/>
          <w:numId w:val="7"/>
        </w:numPr>
      </w:pPr>
      <w:r>
        <w:t>the reasons for the proposed direction; and</w:t>
      </w:r>
    </w:p>
    <w:p w14:paraId="6398E4F5" w14:textId="77777777" w:rsidR="00A17ECC" w:rsidRPr="00DF002A" w:rsidRDefault="00A17ECC" w:rsidP="00A17ECC">
      <w:pPr>
        <w:pStyle w:val="ListNormal"/>
        <w:numPr>
          <w:ilvl w:val="3"/>
          <w:numId w:val="7"/>
        </w:numPr>
      </w:pPr>
      <w:r>
        <w:t>a period during which representations may be made on the proposed direction, which will not be less than 28 days.</w:t>
      </w:r>
    </w:p>
    <w:p w14:paraId="7B94880E" w14:textId="197C23EC" w:rsidR="00A17ECC" w:rsidRPr="00DF002A" w:rsidRDefault="00A17ECC" w:rsidP="00A17ECC">
      <w:pPr>
        <w:pStyle w:val="NumberedNormal"/>
        <w:numPr>
          <w:ilvl w:val="2"/>
          <w:numId w:val="7"/>
        </w:numPr>
      </w:pPr>
      <w:r>
        <w:t>A direction under paragraph 3.</w:t>
      </w:r>
      <w:r w:rsidR="00C344F8">
        <w:t>26</w:t>
      </w:r>
      <w:r>
        <w:t>.7 will set out the value of the KFDR</w:t>
      </w:r>
      <w:r w:rsidRPr="00D64641">
        <w:rPr>
          <w:vertAlign w:val="subscript"/>
        </w:rPr>
        <w:t>t</w:t>
      </w:r>
      <w:r>
        <w:t xml:space="preserve"> term and the Regulatory Years to which those adjustments relate.</w:t>
      </w:r>
    </w:p>
    <w:p w14:paraId="0C34875C" w14:textId="77777777" w:rsidR="00A17ECC" w:rsidRPr="00DF002A" w:rsidRDefault="00A17ECC" w:rsidP="00A17ECC">
      <w:pPr>
        <w:pStyle w:val="AppendixHeading"/>
      </w:pPr>
    </w:p>
    <w:p w14:paraId="56399B14" w14:textId="299BA901" w:rsidR="00A17ECC" w:rsidRPr="00D64641" w:rsidRDefault="002F7DFA" w:rsidP="00A17ECC">
      <w:pPr>
        <w:pStyle w:val="Caption"/>
      </w:pPr>
      <w:r>
        <w:t>[REDACTED]</w:t>
      </w:r>
      <w:r w:rsidR="00A17ECC" w:rsidRPr="00D64641">
        <w:t xml:space="preserve"> Price Control Deliverable</w:t>
      </w:r>
      <w:r w:rsidR="00A17ECC">
        <w:t xml:space="preserve"> Allowance</w:t>
      </w:r>
    </w:p>
    <w:tbl>
      <w:tblPr>
        <w:tblStyle w:val="AppendixTable"/>
        <w:tblW w:w="0" w:type="auto"/>
        <w:tblLook w:val="04A0" w:firstRow="1" w:lastRow="0" w:firstColumn="1" w:lastColumn="0" w:noHBand="0" w:noVBand="1"/>
      </w:tblPr>
      <w:tblGrid>
        <w:gridCol w:w="1015"/>
        <w:gridCol w:w="1955"/>
        <w:gridCol w:w="1027"/>
        <w:gridCol w:w="746"/>
        <w:gridCol w:w="746"/>
        <w:gridCol w:w="746"/>
        <w:gridCol w:w="746"/>
        <w:gridCol w:w="746"/>
        <w:gridCol w:w="1299"/>
      </w:tblGrid>
      <w:tr w:rsidR="00A17ECC" w:rsidRPr="00D5104D" w14:paraId="6F3408BD" w14:textId="77777777" w:rsidTr="009F2749">
        <w:trPr>
          <w:cnfStyle w:val="100000000000" w:firstRow="1" w:lastRow="0" w:firstColumn="0" w:lastColumn="0" w:oddVBand="0" w:evenVBand="0" w:oddHBand="0" w:evenHBand="0" w:firstRowFirstColumn="0" w:firstRowLastColumn="0" w:lastRowFirstColumn="0" w:lastRowLastColumn="0"/>
          <w:trHeight w:val="289"/>
        </w:trPr>
        <w:tc>
          <w:tcPr>
            <w:tcW w:w="0" w:type="auto"/>
          </w:tcPr>
          <w:p w14:paraId="7AFF331E" w14:textId="77777777" w:rsidR="00A17ECC" w:rsidRPr="00DF002A" w:rsidRDefault="00A17ECC" w:rsidP="009F2749">
            <w:r w:rsidRPr="00DF002A">
              <w:t>Licensee</w:t>
            </w:r>
          </w:p>
        </w:tc>
        <w:tc>
          <w:tcPr>
            <w:tcW w:w="0" w:type="auto"/>
          </w:tcPr>
          <w:p w14:paraId="2B58F279" w14:textId="77777777" w:rsidR="00A17ECC" w:rsidRPr="00DF002A" w:rsidRDefault="00A17ECC" w:rsidP="009F2749">
            <w:r w:rsidRPr="00DF002A">
              <w:t>Output</w:t>
            </w:r>
          </w:p>
        </w:tc>
        <w:tc>
          <w:tcPr>
            <w:tcW w:w="0" w:type="auto"/>
          </w:tcPr>
          <w:p w14:paraId="0E5AC714" w14:textId="77777777" w:rsidR="00A17ECC" w:rsidRPr="00DF002A" w:rsidRDefault="00A17ECC" w:rsidP="009F2749">
            <w:r w:rsidRPr="00DF002A">
              <w:t>Delivery Date</w:t>
            </w:r>
          </w:p>
        </w:tc>
        <w:tc>
          <w:tcPr>
            <w:tcW w:w="0" w:type="auto"/>
          </w:tcPr>
          <w:p w14:paraId="4B9409CE" w14:textId="77777777" w:rsidR="00A17ECC" w:rsidRPr="00DF002A" w:rsidRDefault="00A17ECC" w:rsidP="009F2749">
            <w:r w:rsidRPr="00DF002A">
              <w:t>21/22</w:t>
            </w:r>
          </w:p>
        </w:tc>
        <w:tc>
          <w:tcPr>
            <w:tcW w:w="0" w:type="auto"/>
          </w:tcPr>
          <w:p w14:paraId="0948FEE1" w14:textId="77777777" w:rsidR="00A17ECC" w:rsidRPr="00DF002A" w:rsidRDefault="00A17ECC" w:rsidP="009F2749">
            <w:r w:rsidRPr="00DF002A">
              <w:t>22/23</w:t>
            </w:r>
          </w:p>
        </w:tc>
        <w:tc>
          <w:tcPr>
            <w:tcW w:w="0" w:type="auto"/>
          </w:tcPr>
          <w:p w14:paraId="5066A573" w14:textId="77777777" w:rsidR="00A17ECC" w:rsidRPr="00DF002A" w:rsidRDefault="00A17ECC" w:rsidP="009F2749">
            <w:r w:rsidRPr="00DF002A">
              <w:t>23/24</w:t>
            </w:r>
          </w:p>
        </w:tc>
        <w:tc>
          <w:tcPr>
            <w:tcW w:w="0" w:type="auto"/>
          </w:tcPr>
          <w:p w14:paraId="0CE610F6" w14:textId="77777777" w:rsidR="00A17ECC" w:rsidRPr="00DF002A" w:rsidRDefault="00A17ECC" w:rsidP="009F2749">
            <w:r w:rsidRPr="00DF002A">
              <w:t>24/25</w:t>
            </w:r>
          </w:p>
        </w:tc>
        <w:tc>
          <w:tcPr>
            <w:tcW w:w="0" w:type="auto"/>
          </w:tcPr>
          <w:p w14:paraId="71255B38" w14:textId="77777777" w:rsidR="00A17ECC" w:rsidRPr="00DF002A" w:rsidRDefault="00A17ECC" w:rsidP="009F2749">
            <w:r w:rsidRPr="00DF002A">
              <w:t>25/26</w:t>
            </w:r>
          </w:p>
        </w:tc>
        <w:tc>
          <w:tcPr>
            <w:tcW w:w="0" w:type="auto"/>
          </w:tcPr>
          <w:p w14:paraId="412979D7" w14:textId="77777777" w:rsidR="00A17ECC" w:rsidRPr="00DF002A" w:rsidRDefault="00A17ECC" w:rsidP="009F2749">
            <w:r w:rsidRPr="00DF002A">
              <w:t>Total Allowance (All years)</w:t>
            </w:r>
          </w:p>
        </w:tc>
      </w:tr>
      <w:tr w:rsidR="00A17ECC" w:rsidRPr="00D5104D" w14:paraId="0B9B68D9" w14:textId="77777777" w:rsidTr="009F2749">
        <w:trPr>
          <w:trHeight w:val="289"/>
        </w:trPr>
        <w:tc>
          <w:tcPr>
            <w:tcW w:w="0" w:type="auto"/>
          </w:tcPr>
          <w:p w14:paraId="3A40407C" w14:textId="77777777" w:rsidR="00A17ECC" w:rsidRPr="00DF002A" w:rsidRDefault="00A17ECC" w:rsidP="009F2749">
            <w:r w:rsidRPr="00DF002A">
              <w:t>SGN</w:t>
            </w:r>
          </w:p>
        </w:tc>
        <w:tc>
          <w:tcPr>
            <w:tcW w:w="0" w:type="auto"/>
          </w:tcPr>
          <w:p w14:paraId="4DF69868" w14:textId="35989305" w:rsidR="00A17ECC" w:rsidRPr="00DF002A" w:rsidRDefault="002F7DFA" w:rsidP="009F2749">
            <w:r>
              <w:t>[REDACTED]</w:t>
            </w:r>
            <w:r w:rsidR="00A17ECC" w:rsidRPr="00DF002A">
              <w:t xml:space="preserve"> Project - as outlined in the relevant EJP document provided in support of SGN's RIIO-GD2 Business Plan</w:t>
            </w:r>
          </w:p>
        </w:tc>
        <w:tc>
          <w:tcPr>
            <w:tcW w:w="0" w:type="auto"/>
          </w:tcPr>
          <w:p w14:paraId="0841B2F0" w14:textId="77777777" w:rsidR="00A17ECC" w:rsidRPr="00DF002A" w:rsidRDefault="00A17ECC" w:rsidP="009F2749">
            <w:r w:rsidRPr="00DF002A">
              <w:t>31 March 2026</w:t>
            </w:r>
          </w:p>
        </w:tc>
        <w:tc>
          <w:tcPr>
            <w:tcW w:w="0" w:type="auto"/>
          </w:tcPr>
          <w:p w14:paraId="5B7A5CE7" w14:textId="77777777" w:rsidR="00A17ECC" w:rsidRPr="00DF002A" w:rsidRDefault="00A17ECC" w:rsidP="009F2749"/>
        </w:tc>
        <w:tc>
          <w:tcPr>
            <w:tcW w:w="0" w:type="auto"/>
          </w:tcPr>
          <w:p w14:paraId="004B0135" w14:textId="77777777" w:rsidR="00A17ECC" w:rsidRPr="00DF002A" w:rsidRDefault="00A17ECC" w:rsidP="009F2749"/>
        </w:tc>
        <w:tc>
          <w:tcPr>
            <w:tcW w:w="0" w:type="auto"/>
          </w:tcPr>
          <w:p w14:paraId="587A0852" w14:textId="77777777" w:rsidR="00A17ECC" w:rsidRPr="00DF002A" w:rsidRDefault="00A17ECC" w:rsidP="009F2749"/>
        </w:tc>
        <w:tc>
          <w:tcPr>
            <w:tcW w:w="0" w:type="auto"/>
          </w:tcPr>
          <w:p w14:paraId="5C9E293A" w14:textId="77777777" w:rsidR="00A17ECC" w:rsidRPr="00DF002A" w:rsidRDefault="00A17ECC" w:rsidP="009F2749"/>
        </w:tc>
        <w:tc>
          <w:tcPr>
            <w:tcW w:w="0" w:type="auto"/>
          </w:tcPr>
          <w:p w14:paraId="3AA06C77" w14:textId="77777777" w:rsidR="00A17ECC" w:rsidRPr="00DF002A" w:rsidRDefault="00A17ECC" w:rsidP="009F2749"/>
        </w:tc>
        <w:tc>
          <w:tcPr>
            <w:tcW w:w="0" w:type="auto"/>
          </w:tcPr>
          <w:p w14:paraId="376DD544" w14:textId="77777777" w:rsidR="00A17ECC" w:rsidRPr="00DF002A" w:rsidRDefault="00A17ECC" w:rsidP="009F2749">
            <w:r w:rsidRPr="00DF002A">
              <w:t>£4.9m</w:t>
            </w:r>
          </w:p>
        </w:tc>
      </w:tr>
    </w:tbl>
    <w:p w14:paraId="641209D2" w14:textId="77777777" w:rsidR="00A17ECC" w:rsidRPr="00DF002A" w:rsidRDefault="00A17ECC" w:rsidP="00A17ECC"/>
    <w:p w14:paraId="37347FED" w14:textId="77777777" w:rsidR="00A17ECC" w:rsidRPr="00E74AA9" w:rsidRDefault="00A17ECC" w:rsidP="00A17ECC">
      <w:pPr>
        <w:pStyle w:val="Heading2"/>
        <w:numPr>
          <w:ilvl w:val="1"/>
          <w:numId w:val="7"/>
        </w:numPr>
      </w:pPr>
      <w:bookmarkStart w:id="115" w:name="_Toc51783636"/>
      <w:bookmarkStart w:id="116" w:name="_Toc52364561"/>
      <w:r>
        <w:lastRenderedPageBreak/>
        <w:t>Intermediate Pressure Reconfigurations Price Control Deliverable (IPR</w:t>
      </w:r>
      <w:r w:rsidRPr="00D64641">
        <w:rPr>
          <w:vertAlign w:val="subscript"/>
        </w:rPr>
        <w:t>t</w:t>
      </w:r>
      <w:r>
        <w:t>) [SGN only]</w:t>
      </w:r>
      <w:bookmarkEnd w:id="115"/>
      <w:bookmarkEnd w:id="116"/>
    </w:p>
    <w:p w14:paraId="741C7C83" w14:textId="77777777" w:rsidR="00A17ECC" w:rsidRPr="00E74AA9" w:rsidRDefault="00A17ECC" w:rsidP="00A17ECC">
      <w:pPr>
        <w:pStyle w:val="Heading3nonumbering"/>
      </w:pPr>
      <w:r w:rsidRPr="00E74AA9">
        <w:t xml:space="preserve">Introduction </w:t>
      </w:r>
    </w:p>
    <w:p w14:paraId="03E1B07E" w14:textId="77777777" w:rsidR="00A17ECC" w:rsidRPr="00E74AA9" w:rsidRDefault="00A17ECC" w:rsidP="00A17ECC">
      <w:pPr>
        <w:pStyle w:val="NumberedNormal"/>
        <w:numPr>
          <w:ilvl w:val="2"/>
          <w:numId w:val="7"/>
        </w:numPr>
      </w:pPr>
      <w:r>
        <w:t>The purpose of this condition is to calculate the term IPR</w:t>
      </w:r>
      <w:r w:rsidRPr="00D64641">
        <w:rPr>
          <w:vertAlign w:val="subscript"/>
        </w:rPr>
        <w:t>t</w:t>
      </w:r>
      <w:r>
        <w:t xml:space="preserve"> (the Intermediate Pressure Reconfigurations Price Control Deliverable term). This contributes to the calculation of the Totex Allowance.</w:t>
      </w:r>
    </w:p>
    <w:p w14:paraId="043C91D7" w14:textId="77777777" w:rsidR="00A17ECC" w:rsidRPr="00E74AA9" w:rsidRDefault="00A17ECC" w:rsidP="00A17ECC">
      <w:pPr>
        <w:pStyle w:val="NumberedNormal"/>
        <w:numPr>
          <w:ilvl w:val="2"/>
          <w:numId w:val="7"/>
        </w:numPr>
      </w:pPr>
      <w:r>
        <w:t>The effect of this condition is to:</w:t>
      </w:r>
    </w:p>
    <w:p w14:paraId="22B3A432" w14:textId="1161219E" w:rsidR="00A17ECC" w:rsidRPr="00E74AA9" w:rsidRDefault="00A17ECC" w:rsidP="00A17ECC">
      <w:pPr>
        <w:pStyle w:val="ListNormal"/>
        <w:numPr>
          <w:ilvl w:val="3"/>
          <w:numId w:val="7"/>
        </w:numPr>
      </w:pPr>
      <w:r>
        <w:t>specify the outputs, delivery dates and associated allowances for the Price Control Deliverable; and</w:t>
      </w:r>
    </w:p>
    <w:p w14:paraId="60AEE9C1" w14:textId="77777777" w:rsidR="00A17ECC" w:rsidRPr="00E74AA9" w:rsidRDefault="00A17ECC" w:rsidP="00A17ECC">
      <w:pPr>
        <w:pStyle w:val="ListNormal"/>
        <w:numPr>
          <w:ilvl w:val="3"/>
          <w:numId w:val="7"/>
        </w:numPr>
      </w:pPr>
      <w:r>
        <w:t>provide for the adjustment of those allowances at the end of the Price Control Period in line with the formula in Part C.</w:t>
      </w:r>
    </w:p>
    <w:p w14:paraId="314A77EB" w14:textId="77777777" w:rsidR="00A17ECC" w:rsidRPr="00E74AA9" w:rsidRDefault="00A17ECC" w:rsidP="00A17ECC">
      <w:pPr>
        <w:pStyle w:val="NumberedNormal"/>
        <w:numPr>
          <w:ilvl w:val="2"/>
          <w:numId w:val="7"/>
        </w:numPr>
      </w:pPr>
      <w:r>
        <w:t>This condition also explains the process the Authority will follow when assessing the Price Control Deliverable.</w:t>
      </w:r>
    </w:p>
    <w:p w14:paraId="10E72DF1" w14:textId="77777777" w:rsidR="00A17ECC" w:rsidRPr="00E74AA9" w:rsidRDefault="00A17ECC" w:rsidP="00A17ECC">
      <w:pPr>
        <w:pStyle w:val="Heading3"/>
        <w:numPr>
          <w:ilvl w:val="5"/>
          <w:numId w:val="7"/>
        </w:numPr>
      </w:pPr>
      <w:r>
        <w:t>Formula for calculating the Intermediate Pressure Reconfigurations Price Control Deliverable term (IPR</w:t>
      </w:r>
      <w:r w:rsidRPr="00D64641">
        <w:rPr>
          <w:vertAlign w:val="subscript"/>
        </w:rPr>
        <w:t>t</w:t>
      </w:r>
      <w:r>
        <w:t>)</w:t>
      </w:r>
    </w:p>
    <w:p w14:paraId="0FDA398A" w14:textId="77777777" w:rsidR="00A17ECC" w:rsidRPr="00E74AA9" w:rsidRDefault="00A17ECC" w:rsidP="00A17ECC">
      <w:pPr>
        <w:pStyle w:val="NumberedNormal"/>
        <w:numPr>
          <w:ilvl w:val="2"/>
          <w:numId w:val="7"/>
        </w:numPr>
      </w:pPr>
      <w:r>
        <w:t>The value of IPR</w:t>
      </w:r>
      <w:r w:rsidRPr="00D64641">
        <w:rPr>
          <w:vertAlign w:val="subscript"/>
        </w:rPr>
        <w:t>t</w:t>
      </w:r>
      <w:r>
        <w:t xml:space="preserve"> is derived in accordance with the following formula:</w:t>
      </w:r>
    </w:p>
    <w:p w14:paraId="41DE2572" w14:textId="77777777" w:rsidR="00A17ECC" w:rsidRPr="00E74AA9" w:rsidRDefault="00A17ECC" w:rsidP="00A17ECC">
      <w:pPr>
        <w:pStyle w:val="Equation"/>
        <w:ind w:left="720"/>
      </w:pPr>
      <w:r w:rsidRPr="00E74AA9">
        <w:t>IPR</w:t>
      </w:r>
      <w:r w:rsidRPr="0039702C">
        <w:rPr>
          <w:vertAlign w:val="subscript"/>
        </w:rPr>
        <w:t>t</w:t>
      </w:r>
      <w:r w:rsidRPr="00E74AA9">
        <w:t xml:space="preserve"> =  IPRA</w:t>
      </w:r>
      <w:r w:rsidRPr="0039702C">
        <w:rPr>
          <w:vertAlign w:val="subscript"/>
        </w:rPr>
        <w:t>t</w:t>
      </w:r>
      <w:r w:rsidRPr="00E74AA9">
        <w:t xml:space="preserve"> - IPRR</w:t>
      </w:r>
      <w:r w:rsidRPr="0039702C">
        <w:rPr>
          <w:vertAlign w:val="subscript"/>
        </w:rPr>
        <w:t>t</w:t>
      </w:r>
    </w:p>
    <w:p w14:paraId="024F56BE" w14:textId="77777777" w:rsidR="00A17ECC" w:rsidRPr="00E74AA9" w:rsidRDefault="00A17ECC" w:rsidP="00A17ECC">
      <w:r w:rsidRPr="00E74AA9">
        <w:t>where:</w:t>
      </w:r>
    </w:p>
    <w:p w14:paraId="38BF5FB6" w14:textId="77777777" w:rsidR="00A17ECC" w:rsidRPr="00E74AA9" w:rsidRDefault="00A17ECC" w:rsidP="00A17ECC">
      <w:pPr>
        <w:pStyle w:val="Equation"/>
        <w:ind w:left="720"/>
      </w:pPr>
      <w:r w:rsidRPr="00E74AA9">
        <w:t>IPRA</w:t>
      </w:r>
      <w:r w:rsidRPr="0039702C">
        <w:rPr>
          <w:vertAlign w:val="subscript"/>
        </w:rPr>
        <w:t>t</w:t>
      </w:r>
      <w:r w:rsidRPr="00E74AA9">
        <w:tab/>
      </w:r>
      <w:r w:rsidRPr="00E74AA9">
        <w:tab/>
        <w:t>means the sum of allowances in Appendix 1</w:t>
      </w:r>
      <w:r>
        <w:t>; and</w:t>
      </w:r>
      <w:r w:rsidRPr="00E74AA9">
        <w:t xml:space="preserve"> </w:t>
      </w:r>
    </w:p>
    <w:p w14:paraId="20C794CD" w14:textId="77777777" w:rsidR="00A17ECC" w:rsidRPr="00E74AA9" w:rsidRDefault="00A17ECC" w:rsidP="00A17ECC">
      <w:pPr>
        <w:pStyle w:val="Equation"/>
        <w:ind w:left="720"/>
      </w:pPr>
      <w:r w:rsidRPr="00E74AA9">
        <w:t>IPRR</w:t>
      </w:r>
      <w:r w:rsidRPr="0039702C">
        <w:rPr>
          <w:vertAlign w:val="subscript"/>
        </w:rPr>
        <w:t>t</w:t>
      </w:r>
      <w:r w:rsidRPr="00E74AA9">
        <w:tab/>
      </w:r>
      <w:r w:rsidRPr="00E74AA9">
        <w:tab/>
        <w:t>is derived in accordance with Part C</w:t>
      </w:r>
      <w:r>
        <w:t>.</w:t>
      </w:r>
    </w:p>
    <w:p w14:paraId="23A43220" w14:textId="77777777" w:rsidR="00A17ECC" w:rsidRPr="00E74AA9" w:rsidRDefault="00A17ECC" w:rsidP="00A17ECC">
      <w:pPr>
        <w:pStyle w:val="Heading3"/>
        <w:numPr>
          <w:ilvl w:val="5"/>
          <w:numId w:val="7"/>
        </w:numPr>
      </w:pPr>
      <w:r>
        <w:t>What is the licensee funded to deliver?</w:t>
      </w:r>
    </w:p>
    <w:p w14:paraId="6D23AB32" w14:textId="77777777" w:rsidR="00A17ECC" w:rsidRPr="00E74AA9" w:rsidRDefault="00A17ECC" w:rsidP="00A17ECC">
      <w:pPr>
        <w:pStyle w:val="NumberedNormal"/>
        <w:numPr>
          <w:ilvl w:val="2"/>
          <w:numId w:val="7"/>
        </w:numPr>
      </w:pPr>
      <w:r>
        <w:t>Appendix 1 specifies the outputs that the licensee is funded to deliver, the delivery dates for those outputs and the allowances provided.</w:t>
      </w:r>
    </w:p>
    <w:p w14:paraId="0C6B9880" w14:textId="77777777" w:rsidR="00A17ECC" w:rsidRPr="00E74AA9" w:rsidRDefault="00A17ECC" w:rsidP="00A17ECC">
      <w:pPr>
        <w:pStyle w:val="Heading3"/>
        <w:numPr>
          <w:ilvl w:val="5"/>
          <w:numId w:val="7"/>
        </w:numPr>
      </w:pPr>
      <w:r>
        <w:t>Assessment of outputs</w:t>
      </w:r>
    </w:p>
    <w:p w14:paraId="16C61961" w14:textId="77777777" w:rsidR="00A17ECC" w:rsidRDefault="00A17ECC" w:rsidP="00A17ECC">
      <w:pPr>
        <w:pStyle w:val="NumberedNormal"/>
        <w:numPr>
          <w:ilvl w:val="2"/>
          <w:numId w:val="7"/>
        </w:numPr>
      </w:pPr>
      <w:r>
        <w:t>At the end of the Price Control Period, the value of IPRRt will be derived in accordance with the following formula:</w:t>
      </w:r>
    </w:p>
    <w:p w14:paraId="48C85E87" w14:textId="77777777" w:rsidR="00A17ECC" w:rsidRDefault="00A17ECC" w:rsidP="00A17ECC">
      <w:pPr>
        <w:pStyle w:val="Equation"/>
        <w:ind w:left="720"/>
      </w:pPr>
      <w:r w:rsidRPr="00E74AA9">
        <w:t>IPRRt = [ (PRIT - PRID) x PRIC ] + [ (SGT-SGD) x SGC ]</w:t>
      </w:r>
    </w:p>
    <w:p w14:paraId="49DF350A" w14:textId="77777777" w:rsidR="00A17ECC" w:rsidRPr="00E74AA9" w:rsidRDefault="00A17ECC" w:rsidP="00A17ECC">
      <w:pPr>
        <w:pStyle w:val="Equation"/>
      </w:pPr>
      <w:r w:rsidRPr="00E74AA9">
        <w:t>where:</w:t>
      </w:r>
    </w:p>
    <w:tbl>
      <w:tblPr>
        <w:tblW w:w="0" w:type="auto"/>
        <w:tblInd w:w="612" w:type="dxa"/>
        <w:tblLook w:val="0000" w:firstRow="0" w:lastRow="0" w:firstColumn="0" w:lastColumn="0" w:noHBand="0" w:noVBand="0"/>
      </w:tblPr>
      <w:tblGrid>
        <w:gridCol w:w="1146"/>
        <w:gridCol w:w="4066"/>
      </w:tblGrid>
      <w:tr w:rsidR="00A17ECC" w14:paraId="4C8F8233" w14:textId="77777777" w:rsidTr="009F2749">
        <w:trPr>
          <w:trHeight w:val="311"/>
        </w:trPr>
        <w:tc>
          <w:tcPr>
            <w:tcW w:w="1146" w:type="dxa"/>
          </w:tcPr>
          <w:p w14:paraId="13028BDD" w14:textId="77777777" w:rsidR="00A17ECC" w:rsidRPr="00E74AA9" w:rsidRDefault="00A17ECC" w:rsidP="009F2749">
            <w:pPr>
              <w:pStyle w:val="Equation"/>
            </w:pPr>
            <w:r w:rsidRPr="00E74AA9">
              <w:t>PRIT</w:t>
            </w:r>
          </w:p>
        </w:tc>
        <w:tc>
          <w:tcPr>
            <w:tcW w:w="4066" w:type="dxa"/>
          </w:tcPr>
          <w:p w14:paraId="63BC5ED8" w14:textId="77777777" w:rsidR="00A17ECC" w:rsidRPr="00E74AA9" w:rsidRDefault="00A17ECC" w:rsidP="009F2749">
            <w:pPr>
              <w:pStyle w:val="Equation"/>
            </w:pPr>
            <w:r w:rsidRPr="00E74AA9">
              <w:t>means the target number of Small PRIs specified in Appendix 2</w:t>
            </w:r>
            <w:r>
              <w:t>;</w:t>
            </w:r>
          </w:p>
        </w:tc>
      </w:tr>
      <w:tr w:rsidR="00A17ECC" w14:paraId="718EDC44" w14:textId="77777777" w:rsidTr="009F2749">
        <w:trPr>
          <w:trHeight w:val="320"/>
        </w:trPr>
        <w:tc>
          <w:tcPr>
            <w:tcW w:w="1146" w:type="dxa"/>
          </w:tcPr>
          <w:p w14:paraId="3882B06D" w14:textId="77777777" w:rsidR="00A17ECC" w:rsidRPr="00E74AA9" w:rsidRDefault="00A17ECC" w:rsidP="009F2749">
            <w:pPr>
              <w:pStyle w:val="Equation"/>
            </w:pPr>
            <w:r w:rsidRPr="00E74AA9">
              <w:t>PRID</w:t>
            </w:r>
          </w:p>
        </w:tc>
        <w:tc>
          <w:tcPr>
            <w:tcW w:w="4066" w:type="dxa"/>
          </w:tcPr>
          <w:p w14:paraId="08B70D88" w14:textId="77777777" w:rsidR="00A17ECC" w:rsidRPr="00E74AA9" w:rsidRDefault="00A17ECC" w:rsidP="009F2749">
            <w:pPr>
              <w:pStyle w:val="Equation"/>
            </w:pPr>
            <w:r w:rsidRPr="00E74AA9">
              <w:t>means the number of Small PRIs installed as of 31 March 2026</w:t>
            </w:r>
            <w:r>
              <w:t>;</w:t>
            </w:r>
          </w:p>
        </w:tc>
      </w:tr>
      <w:tr w:rsidR="00A17ECC" w14:paraId="6157B7AF" w14:textId="77777777" w:rsidTr="009F2749">
        <w:trPr>
          <w:trHeight w:val="311"/>
        </w:trPr>
        <w:tc>
          <w:tcPr>
            <w:tcW w:w="1146" w:type="dxa"/>
          </w:tcPr>
          <w:p w14:paraId="10A50FF2" w14:textId="77777777" w:rsidR="00A17ECC" w:rsidRPr="00E74AA9" w:rsidRDefault="00A17ECC" w:rsidP="009F2749">
            <w:pPr>
              <w:pStyle w:val="Equation"/>
            </w:pPr>
            <w:r w:rsidRPr="00E74AA9">
              <w:t>PRIC</w:t>
            </w:r>
          </w:p>
        </w:tc>
        <w:tc>
          <w:tcPr>
            <w:tcW w:w="4066" w:type="dxa"/>
          </w:tcPr>
          <w:p w14:paraId="2761787A" w14:textId="77777777" w:rsidR="00A17ECC" w:rsidRPr="00E74AA9" w:rsidRDefault="00A17ECC" w:rsidP="009F2749">
            <w:pPr>
              <w:pStyle w:val="Equation"/>
            </w:pPr>
            <w:r w:rsidRPr="00E74AA9">
              <w:t>means the unit cost for each Small PRI as set out in Appendix 2</w:t>
            </w:r>
            <w:r>
              <w:t>;</w:t>
            </w:r>
          </w:p>
        </w:tc>
      </w:tr>
      <w:tr w:rsidR="00A17ECC" w14:paraId="35488FB6" w14:textId="77777777" w:rsidTr="009F2749">
        <w:trPr>
          <w:trHeight w:val="571"/>
        </w:trPr>
        <w:tc>
          <w:tcPr>
            <w:tcW w:w="1146" w:type="dxa"/>
          </w:tcPr>
          <w:p w14:paraId="7D2EACD5" w14:textId="77777777" w:rsidR="00A17ECC" w:rsidRPr="00E74AA9" w:rsidRDefault="00A17ECC" w:rsidP="009F2749">
            <w:pPr>
              <w:pStyle w:val="Equation"/>
            </w:pPr>
            <w:r w:rsidRPr="00E74AA9">
              <w:lastRenderedPageBreak/>
              <w:t>SGT</w:t>
            </w:r>
          </w:p>
        </w:tc>
        <w:tc>
          <w:tcPr>
            <w:tcW w:w="4066" w:type="dxa"/>
          </w:tcPr>
          <w:p w14:paraId="02A955AD" w14:textId="77777777" w:rsidR="00A17ECC" w:rsidRPr="00E74AA9" w:rsidRDefault="00A17ECC" w:rsidP="009F2749">
            <w:pPr>
              <w:pStyle w:val="Equation"/>
            </w:pPr>
            <w:r w:rsidRPr="00E74AA9">
              <w:t>means the target number of Service Governors specified in Appendix 2</w:t>
            </w:r>
            <w:r>
              <w:t>;</w:t>
            </w:r>
          </w:p>
        </w:tc>
      </w:tr>
      <w:tr w:rsidR="00A17ECC" w14:paraId="7DB83972" w14:textId="77777777" w:rsidTr="009F2749">
        <w:trPr>
          <w:trHeight w:val="311"/>
        </w:trPr>
        <w:tc>
          <w:tcPr>
            <w:tcW w:w="1146" w:type="dxa"/>
          </w:tcPr>
          <w:p w14:paraId="3BBE05FF" w14:textId="77777777" w:rsidR="00A17ECC" w:rsidRPr="00E74AA9" w:rsidRDefault="00A17ECC" w:rsidP="009F2749">
            <w:pPr>
              <w:pStyle w:val="Equation"/>
            </w:pPr>
            <w:r w:rsidRPr="00E74AA9">
              <w:t>SGD</w:t>
            </w:r>
          </w:p>
        </w:tc>
        <w:tc>
          <w:tcPr>
            <w:tcW w:w="4066" w:type="dxa"/>
          </w:tcPr>
          <w:p w14:paraId="03F8E00E" w14:textId="77777777" w:rsidR="00A17ECC" w:rsidRPr="00E74AA9" w:rsidRDefault="00A17ECC" w:rsidP="009F2749">
            <w:pPr>
              <w:pStyle w:val="Equation"/>
            </w:pPr>
            <w:r w:rsidRPr="00E74AA9">
              <w:t>means the number of Service Governors installed as of 31 March 2026</w:t>
            </w:r>
            <w:r>
              <w:t>; and</w:t>
            </w:r>
          </w:p>
        </w:tc>
      </w:tr>
      <w:tr w:rsidR="00A17ECC" w14:paraId="5F923D07" w14:textId="77777777" w:rsidTr="009F2749">
        <w:trPr>
          <w:trHeight w:val="571"/>
        </w:trPr>
        <w:tc>
          <w:tcPr>
            <w:tcW w:w="1146" w:type="dxa"/>
          </w:tcPr>
          <w:p w14:paraId="1F80CBBE" w14:textId="77777777" w:rsidR="00A17ECC" w:rsidRPr="00E74AA9" w:rsidRDefault="00A17ECC" w:rsidP="009F2749">
            <w:pPr>
              <w:pStyle w:val="Equation"/>
            </w:pPr>
            <w:r w:rsidRPr="00E74AA9">
              <w:t>SGC</w:t>
            </w:r>
          </w:p>
        </w:tc>
        <w:tc>
          <w:tcPr>
            <w:tcW w:w="4066" w:type="dxa"/>
          </w:tcPr>
          <w:p w14:paraId="2B14FF48" w14:textId="77777777" w:rsidR="00A17ECC" w:rsidRPr="00E74AA9" w:rsidRDefault="00A17ECC" w:rsidP="009F2749">
            <w:pPr>
              <w:pStyle w:val="Equation"/>
            </w:pPr>
            <w:r w:rsidRPr="00E74AA9">
              <w:t>means the unit cost for each Service Governor as set out in Appendix 2</w:t>
            </w:r>
            <w:r>
              <w:t>.</w:t>
            </w:r>
          </w:p>
        </w:tc>
      </w:tr>
    </w:tbl>
    <w:p w14:paraId="083C2783" w14:textId="77777777" w:rsidR="00A17ECC" w:rsidRPr="008D0CE3" w:rsidRDefault="00A17ECC" w:rsidP="00A17ECC">
      <w:pPr>
        <w:pStyle w:val="AppendixHeading"/>
      </w:pPr>
    </w:p>
    <w:p w14:paraId="06C48AA2" w14:textId="77777777" w:rsidR="00A17ECC" w:rsidRPr="00646BA3" w:rsidRDefault="00A17ECC" w:rsidP="00A17ECC">
      <w:pPr>
        <w:pStyle w:val="Caption"/>
      </w:pPr>
      <w:r w:rsidRPr="00646BA3">
        <w:t>Intermediate Pressure Reconfigurations Price Control Deliverable</w:t>
      </w:r>
    </w:p>
    <w:tbl>
      <w:tblPr>
        <w:tblStyle w:val="AppendixTable"/>
        <w:tblW w:w="9689" w:type="dxa"/>
        <w:tblLook w:val="04A0" w:firstRow="1" w:lastRow="0" w:firstColumn="1" w:lastColumn="0" w:noHBand="0" w:noVBand="1"/>
      </w:tblPr>
      <w:tblGrid>
        <w:gridCol w:w="1106"/>
        <w:gridCol w:w="601"/>
        <w:gridCol w:w="1638"/>
        <w:gridCol w:w="1242"/>
        <w:gridCol w:w="746"/>
        <w:gridCol w:w="746"/>
        <w:gridCol w:w="746"/>
        <w:gridCol w:w="746"/>
        <w:gridCol w:w="746"/>
        <w:gridCol w:w="1372"/>
      </w:tblGrid>
      <w:tr w:rsidR="00A17ECC" w:rsidRPr="00D5104D" w14:paraId="07A2D574" w14:textId="77777777" w:rsidTr="009F2749">
        <w:trPr>
          <w:cnfStyle w:val="100000000000" w:firstRow="1" w:lastRow="0" w:firstColumn="0" w:lastColumn="0" w:oddVBand="0" w:evenVBand="0" w:oddHBand="0" w:evenHBand="0" w:firstRowFirstColumn="0" w:firstRowLastColumn="0" w:lastRowFirstColumn="0" w:lastRowLastColumn="0"/>
          <w:trHeight w:val="256"/>
        </w:trPr>
        <w:tc>
          <w:tcPr>
            <w:tcW w:w="1106" w:type="dxa"/>
          </w:tcPr>
          <w:p w14:paraId="3D072B9D" w14:textId="77777777" w:rsidR="00A17ECC" w:rsidRPr="008D0CE3" w:rsidRDefault="00A17ECC" w:rsidP="009F2749">
            <w:r w:rsidRPr="008D0CE3">
              <w:t>Licensee</w:t>
            </w:r>
          </w:p>
        </w:tc>
        <w:tc>
          <w:tcPr>
            <w:tcW w:w="601" w:type="dxa"/>
          </w:tcPr>
          <w:p w14:paraId="5720F9CE" w14:textId="77777777" w:rsidR="00A17ECC" w:rsidRPr="008D0CE3" w:rsidRDefault="00A17ECC" w:rsidP="009F2749">
            <w:r w:rsidRPr="008D0CE3">
              <w:t>Site</w:t>
            </w:r>
          </w:p>
        </w:tc>
        <w:tc>
          <w:tcPr>
            <w:tcW w:w="0" w:type="auto"/>
          </w:tcPr>
          <w:p w14:paraId="271C3086" w14:textId="77777777" w:rsidR="00A17ECC" w:rsidRPr="008D0CE3" w:rsidRDefault="00A17ECC" w:rsidP="009F2749">
            <w:r w:rsidRPr="008D0CE3">
              <w:t>Output</w:t>
            </w:r>
          </w:p>
        </w:tc>
        <w:tc>
          <w:tcPr>
            <w:tcW w:w="0" w:type="auto"/>
          </w:tcPr>
          <w:p w14:paraId="7F7E529A" w14:textId="77777777" w:rsidR="00A17ECC" w:rsidRPr="008D0CE3" w:rsidRDefault="00A17ECC" w:rsidP="009F2749">
            <w:r w:rsidRPr="008D0CE3">
              <w:t>Delivery Date</w:t>
            </w:r>
          </w:p>
        </w:tc>
        <w:tc>
          <w:tcPr>
            <w:tcW w:w="0" w:type="auto"/>
          </w:tcPr>
          <w:p w14:paraId="2C33DA8D" w14:textId="77777777" w:rsidR="00A17ECC" w:rsidRPr="008D0CE3" w:rsidRDefault="00A17ECC" w:rsidP="009F2749">
            <w:r w:rsidRPr="008D0CE3">
              <w:t>21/22</w:t>
            </w:r>
          </w:p>
        </w:tc>
        <w:tc>
          <w:tcPr>
            <w:tcW w:w="0" w:type="auto"/>
          </w:tcPr>
          <w:p w14:paraId="5C542FC2" w14:textId="77777777" w:rsidR="00A17ECC" w:rsidRPr="008D0CE3" w:rsidRDefault="00A17ECC" w:rsidP="009F2749">
            <w:r w:rsidRPr="008D0CE3">
              <w:t>22/23</w:t>
            </w:r>
          </w:p>
        </w:tc>
        <w:tc>
          <w:tcPr>
            <w:tcW w:w="0" w:type="auto"/>
          </w:tcPr>
          <w:p w14:paraId="24B90BD5" w14:textId="77777777" w:rsidR="00A17ECC" w:rsidRPr="008D0CE3" w:rsidRDefault="00A17ECC" w:rsidP="009F2749">
            <w:r w:rsidRPr="008D0CE3">
              <w:t>23/24</w:t>
            </w:r>
          </w:p>
        </w:tc>
        <w:tc>
          <w:tcPr>
            <w:tcW w:w="0" w:type="auto"/>
          </w:tcPr>
          <w:p w14:paraId="6A07A27F" w14:textId="77777777" w:rsidR="00A17ECC" w:rsidRPr="008D0CE3" w:rsidRDefault="00A17ECC" w:rsidP="009F2749">
            <w:r w:rsidRPr="008D0CE3">
              <w:t>24/25</w:t>
            </w:r>
          </w:p>
        </w:tc>
        <w:tc>
          <w:tcPr>
            <w:tcW w:w="0" w:type="auto"/>
          </w:tcPr>
          <w:p w14:paraId="41F1E436" w14:textId="77777777" w:rsidR="00A17ECC" w:rsidRPr="008D0CE3" w:rsidRDefault="00A17ECC" w:rsidP="009F2749">
            <w:r w:rsidRPr="008D0CE3">
              <w:t>25/26</w:t>
            </w:r>
          </w:p>
        </w:tc>
        <w:tc>
          <w:tcPr>
            <w:tcW w:w="1372" w:type="dxa"/>
          </w:tcPr>
          <w:p w14:paraId="77CCD20B" w14:textId="77777777" w:rsidR="00A17ECC" w:rsidRPr="008D0CE3" w:rsidRDefault="00A17ECC" w:rsidP="009F2749">
            <w:r w:rsidRPr="008D0CE3">
              <w:t>Total Allowance (All years)</w:t>
            </w:r>
          </w:p>
        </w:tc>
      </w:tr>
      <w:tr w:rsidR="00A17ECC" w:rsidRPr="00D5104D" w14:paraId="25B93AF9" w14:textId="77777777" w:rsidTr="009F2749">
        <w:trPr>
          <w:trHeight w:val="256"/>
        </w:trPr>
        <w:tc>
          <w:tcPr>
            <w:tcW w:w="1106" w:type="dxa"/>
          </w:tcPr>
          <w:p w14:paraId="0CE37486" w14:textId="77777777" w:rsidR="00A17ECC" w:rsidRPr="008D0CE3" w:rsidRDefault="00A17ECC" w:rsidP="009F2749">
            <w:r w:rsidRPr="008D0CE3">
              <w:t>SGN</w:t>
            </w:r>
          </w:p>
        </w:tc>
        <w:tc>
          <w:tcPr>
            <w:tcW w:w="601" w:type="dxa"/>
          </w:tcPr>
          <w:p w14:paraId="0CF9E0B2" w14:textId="77777777" w:rsidR="00A17ECC" w:rsidRPr="008D0CE3" w:rsidRDefault="00A17ECC" w:rsidP="009F2749"/>
        </w:tc>
        <w:tc>
          <w:tcPr>
            <w:tcW w:w="0" w:type="auto"/>
          </w:tcPr>
          <w:p w14:paraId="692DBFFD" w14:textId="77777777" w:rsidR="00A17ECC" w:rsidRPr="008D0CE3" w:rsidRDefault="00A17ECC" w:rsidP="009F2749">
            <w:r w:rsidRPr="008D0CE3">
              <w:t>Small PRI workload</w:t>
            </w:r>
          </w:p>
        </w:tc>
        <w:tc>
          <w:tcPr>
            <w:tcW w:w="0" w:type="auto"/>
          </w:tcPr>
          <w:p w14:paraId="1B2B3703" w14:textId="77777777" w:rsidR="00A17ECC" w:rsidRPr="008D0CE3" w:rsidRDefault="00A17ECC" w:rsidP="009F2749">
            <w:r w:rsidRPr="008D0CE3">
              <w:t>End of RIIO-GD2</w:t>
            </w:r>
          </w:p>
        </w:tc>
        <w:tc>
          <w:tcPr>
            <w:tcW w:w="0" w:type="auto"/>
          </w:tcPr>
          <w:p w14:paraId="63EA295B" w14:textId="77777777" w:rsidR="00A17ECC" w:rsidRPr="008D0CE3" w:rsidRDefault="00A17ECC" w:rsidP="009F2749"/>
        </w:tc>
        <w:tc>
          <w:tcPr>
            <w:tcW w:w="0" w:type="auto"/>
          </w:tcPr>
          <w:p w14:paraId="29417BE6" w14:textId="77777777" w:rsidR="00A17ECC" w:rsidRPr="008D0CE3" w:rsidRDefault="00A17ECC" w:rsidP="009F2749"/>
        </w:tc>
        <w:tc>
          <w:tcPr>
            <w:tcW w:w="0" w:type="auto"/>
          </w:tcPr>
          <w:p w14:paraId="503AF95A" w14:textId="77777777" w:rsidR="00A17ECC" w:rsidRPr="008D0CE3" w:rsidRDefault="00A17ECC" w:rsidP="009F2749"/>
        </w:tc>
        <w:tc>
          <w:tcPr>
            <w:tcW w:w="0" w:type="auto"/>
          </w:tcPr>
          <w:p w14:paraId="017CC086" w14:textId="77777777" w:rsidR="00A17ECC" w:rsidRPr="008D0CE3" w:rsidRDefault="00A17ECC" w:rsidP="009F2749"/>
        </w:tc>
        <w:tc>
          <w:tcPr>
            <w:tcW w:w="0" w:type="auto"/>
          </w:tcPr>
          <w:p w14:paraId="29F28B74" w14:textId="77777777" w:rsidR="00A17ECC" w:rsidRPr="008D0CE3" w:rsidRDefault="00A17ECC" w:rsidP="009F2749"/>
        </w:tc>
        <w:tc>
          <w:tcPr>
            <w:tcW w:w="1372" w:type="dxa"/>
          </w:tcPr>
          <w:p w14:paraId="58DCB283" w14:textId="77777777" w:rsidR="00A17ECC" w:rsidRPr="008D0CE3" w:rsidRDefault="00A17ECC" w:rsidP="009F2749">
            <w:r w:rsidRPr="008D0CE3">
              <w:t>£827,815</w:t>
            </w:r>
          </w:p>
        </w:tc>
      </w:tr>
      <w:tr w:rsidR="00A17ECC" w:rsidRPr="00D5104D" w14:paraId="1E3B9CB5" w14:textId="77777777" w:rsidTr="009F2749">
        <w:trPr>
          <w:trHeight w:val="256"/>
        </w:trPr>
        <w:tc>
          <w:tcPr>
            <w:tcW w:w="1106" w:type="dxa"/>
          </w:tcPr>
          <w:p w14:paraId="4E18297D" w14:textId="77777777" w:rsidR="00A17ECC" w:rsidRPr="008D0CE3" w:rsidRDefault="00A17ECC" w:rsidP="009F2749">
            <w:r w:rsidRPr="008D0CE3">
              <w:t>SGN</w:t>
            </w:r>
          </w:p>
        </w:tc>
        <w:tc>
          <w:tcPr>
            <w:tcW w:w="601" w:type="dxa"/>
          </w:tcPr>
          <w:p w14:paraId="0FFC81BF" w14:textId="77777777" w:rsidR="00A17ECC" w:rsidRPr="008D0CE3" w:rsidRDefault="00A17ECC" w:rsidP="009F2749"/>
        </w:tc>
        <w:tc>
          <w:tcPr>
            <w:tcW w:w="0" w:type="auto"/>
          </w:tcPr>
          <w:p w14:paraId="650A2DFD" w14:textId="77777777" w:rsidR="00A17ECC" w:rsidRPr="008D0CE3" w:rsidRDefault="00A17ECC" w:rsidP="009F2749">
            <w:r w:rsidRPr="008D0CE3">
              <w:t>Service Governor workload</w:t>
            </w:r>
          </w:p>
        </w:tc>
        <w:tc>
          <w:tcPr>
            <w:tcW w:w="0" w:type="auto"/>
          </w:tcPr>
          <w:p w14:paraId="52932630" w14:textId="77777777" w:rsidR="00A17ECC" w:rsidRPr="008D0CE3" w:rsidRDefault="00A17ECC" w:rsidP="009F2749">
            <w:r w:rsidRPr="008D0CE3">
              <w:t>End of RIIO-GD2</w:t>
            </w:r>
          </w:p>
        </w:tc>
        <w:tc>
          <w:tcPr>
            <w:tcW w:w="0" w:type="auto"/>
          </w:tcPr>
          <w:p w14:paraId="722CF320" w14:textId="77777777" w:rsidR="00A17ECC" w:rsidRPr="008D0CE3" w:rsidRDefault="00A17ECC" w:rsidP="009F2749"/>
        </w:tc>
        <w:tc>
          <w:tcPr>
            <w:tcW w:w="0" w:type="auto"/>
          </w:tcPr>
          <w:p w14:paraId="4177FDD9" w14:textId="77777777" w:rsidR="00A17ECC" w:rsidRPr="008D0CE3" w:rsidRDefault="00A17ECC" w:rsidP="009F2749"/>
        </w:tc>
        <w:tc>
          <w:tcPr>
            <w:tcW w:w="0" w:type="auto"/>
          </w:tcPr>
          <w:p w14:paraId="335244FA" w14:textId="77777777" w:rsidR="00A17ECC" w:rsidRPr="008D0CE3" w:rsidRDefault="00A17ECC" w:rsidP="009F2749"/>
        </w:tc>
        <w:tc>
          <w:tcPr>
            <w:tcW w:w="0" w:type="auto"/>
          </w:tcPr>
          <w:p w14:paraId="762CE7CF" w14:textId="77777777" w:rsidR="00A17ECC" w:rsidRPr="008D0CE3" w:rsidRDefault="00A17ECC" w:rsidP="009F2749"/>
        </w:tc>
        <w:tc>
          <w:tcPr>
            <w:tcW w:w="0" w:type="auto"/>
          </w:tcPr>
          <w:p w14:paraId="33C5EADC" w14:textId="77777777" w:rsidR="00A17ECC" w:rsidRPr="008D0CE3" w:rsidRDefault="00A17ECC" w:rsidP="009F2749"/>
        </w:tc>
        <w:tc>
          <w:tcPr>
            <w:tcW w:w="1372" w:type="dxa"/>
          </w:tcPr>
          <w:p w14:paraId="4ACFBABC" w14:textId="77777777" w:rsidR="00A17ECC" w:rsidRPr="008D0CE3" w:rsidRDefault="00A17ECC" w:rsidP="009F2749">
            <w:r w:rsidRPr="008D0CE3">
              <w:t>£1,505,910</w:t>
            </w:r>
          </w:p>
        </w:tc>
      </w:tr>
    </w:tbl>
    <w:p w14:paraId="6FF7A07F" w14:textId="77777777" w:rsidR="00A17ECC" w:rsidRPr="008D0CE3" w:rsidRDefault="00A17ECC" w:rsidP="00A17ECC">
      <w:pPr>
        <w:pStyle w:val="AppendixHeading"/>
      </w:pPr>
    </w:p>
    <w:p w14:paraId="09D512B0" w14:textId="03E707A4" w:rsidR="00A17ECC" w:rsidRPr="00646BA3" w:rsidRDefault="00A17ECC" w:rsidP="00A17ECC">
      <w:pPr>
        <w:pStyle w:val="Caption"/>
      </w:pPr>
      <w:r w:rsidRPr="00646BA3">
        <w:t>Target Number of Small PRIs and Service Governors and Unit Costs</w:t>
      </w:r>
    </w:p>
    <w:tbl>
      <w:tblPr>
        <w:tblStyle w:val="AppendixTable"/>
        <w:tblW w:w="5000" w:type="pct"/>
        <w:tblLook w:val="04A0" w:firstRow="1" w:lastRow="0" w:firstColumn="1" w:lastColumn="0" w:noHBand="0" w:noVBand="1"/>
      </w:tblPr>
      <w:tblGrid>
        <w:gridCol w:w="1535"/>
        <w:gridCol w:w="3130"/>
        <w:gridCol w:w="2368"/>
        <w:gridCol w:w="1993"/>
      </w:tblGrid>
      <w:tr w:rsidR="00A17ECC" w:rsidRPr="00DE541A" w14:paraId="55445853" w14:textId="77777777" w:rsidTr="009F2749">
        <w:trPr>
          <w:cnfStyle w:val="100000000000" w:firstRow="1" w:lastRow="0" w:firstColumn="0" w:lastColumn="0" w:oddVBand="0" w:evenVBand="0" w:oddHBand="0" w:evenHBand="0" w:firstRowFirstColumn="0" w:firstRowLastColumn="0" w:lastRowFirstColumn="0" w:lastRowLastColumn="0"/>
          <w:trHeight w:val="305"/>
        </w:trPr>
        <w:tc>
          <w:tcPr>
            <w:tcW w:w="850" w:type="pct"/>
          </w:tcPr>
          <w:p w14:paraId="4E3AA8CD" w14:textId="77777777" w:rsidR="00A17ECC" w:rsidRPr="008D0CE3" w:rsidRDefault="00A17ECC" w:rsidP="009F2749">
            <w:r w:rsidRPr="008D0CE3">
              <w:t>Network</w:t>
            </w:r>
          </w:p>
        </w:tc>
        <w:tc>
          <w:tcPr>
            <w:tcW w:w="1734" w:type="pct"/>
          </w:tcPr>
          <w:p w14:paraId="3B6AA986" w14:textId="77777777" w:rsidR="00A17ECC" w:rsidRPr="008D0CE3" w:rsidRDefault="00A17ECC" w:rsidP="009F2749">
            <w:r w:rsidRPr="008D0CE3">
              <w:t>Workload</w:t>
            </w:r>
          </w:p>
        </w:tc>
        <w:tc>
          <w:tcPr>
            <w:tcW w:w="1312" w:type="pct"/>
          </w:tcPr>
          <w:p w14:paraId="05F6467C" w14:textId="77777777" w:rsidR="00A17ECC" w:rsidRPr="008D0CE3" w:rsidRDefault="00A17ECC" w:rsidP="009F2749">
            <w:r w:rsidRPr="008D0CE3">
              <w:t>Target Workload</w:t>
            </w:r>
          </w:p>
        </w:tc>
        <w:tc>
          <w:tcPr>
            <w:tcW w:w="1104" w:type="pct"/>
          </w:tcPr>
          <w:p w14:paraId="53FABD7D" w14:textId="665A1EBA" w:rsidR="00A17ECC" w:rsidRPr="008D0CE3" w:rsidRDefault="00A17ECC" w:rsidP="009F2749">
            <w:r w:rsidRPr="008D0CE3">
              <w:t>Unit Cost</w:t>
            </w:r>
            <w:r w:rsidR="004170EA">
              <w:t xml:space="preserve"> £</w:t>
            </w:r>
          </w:p>
        </w:tc>
      </w:tr>
      <w:tr w:rsidR="00A17ECC" w:rsidRPr="00D5104D" w14:paraId="65C389B2" w14:textId="77777777" w:rsidTr="009F2749">
        <w:trPr>
          <w:trHeight w:val="321"/>
        </w:trPr>
        <w:tc>
          <w:tcPr>
            <w:tcW w:w="850" w:type="pct"/>
          </w:tcPr>
          <w:p w14:paraId="39FD41EB" w14:textId="77777777" w:rsidR="00A17ECC" w:rsidRPr="008D0CE3" w:rsidRDefault="00A17ECC" w:rsidP="009F2749">
            <w:r w:rsidRPr="008D0CE3">
              <w:t>SGN</w:t>
            </w:r>
          </w:p>
        </w:tc>
        <w:tc>
          <w:tcPr>
            <w:tcW w:w="1734" w:type="pct"/>
          </w:tcPr>
          <w:p w14:paraId="43D69F13" w14:textId="77777777" w:rsidR="00A17ECC" w:rsidRPr="008D0CE3" w:rsidRDefault="00A17ECC" w:rsidP="009F2749">
            <w:r w:rsidRPr="008D0CE3">
              <w:t>Small PRI workload</w:t>
            </w:r>
          </w:p>
        </w:tc>
        <w:tc>
          <w:tcPr>
            <w:tcW w:w="1312" w:type="pct"/>
          </w:tcPr>
          <w:p w14:paraId="1BA1796A" w14:textId="77777777" w:rsidR="00A17ECC" w:rsidRPr="008D0CE3" w:rsidRDefault="00A17ECC" w:rsidP="009F2749">
            <w:r w:rsidRPr="008D0CE3">
              <w:t>85</w:t>
            </w:r>
          </w:p>
        </w:tc>
        <w:tc>
          <w:tcPr>
            <w:tcW w:w="1104" w:type="pct"/>
          </w:tcPr>
          <w:p w14:paraId="1CBBA55C" w14:textId="77777777" w:rsidR="00A17ECC" w:rsidRPr="008D0CE3" w:rsidRDefault="00A17ECC" w:rsidP="009F2749">
            <w:r w:rsidRPr="008D0CE3">
              <w:t>£9,739</w:t>
            </w:r>
          </w:p>
        </w:tc>
      </w:tr>
      <w:tr w:rsidR="00A17ECC" w:rsidRPr="00D5104D" w14:paraId="1C84913A" w14:textId="77777777" w:rsidTr="009F2749">
        <w:trPr>
          <w:trHeight w:val="321"/>
        </w:trPr>
        <w:tc>
          <w:tcPr>
            <w:tcW w:w="850" w:type="pct"/>
          </w:tcPr>
          <w:p w14:paraId="19865240" w14:textId="77777777" w:rsidR="00A17ECC" w:rsidRPr="008D0CE3" w:rsidRDefault="00A17ECC" w:rsidP="009F2749">
            <w:r w:rsidRPr="008D0CE3">
              <w:t>SGN</w:t>
            </w:r>
          </w:p>
        </w:tc>
        <w:tc>
          <w:tcPr>
            <w:tcW w:w="1734" w:type="pct"/>
          </w:tcPr>
          <w:p w14:paraId="510E19E5" w14:textId="77777777" w:rsidR="00A17ECC" w:rsidRPr="008D0CE3" w:rsidRDefault="00A17ECC" w:rsidP="009F2749">
            <w:r w:rsidRPr="008D0CE3">
              <w:t>Service Governor workload</w:t>
            </w:r>
          </w:p>
        </w:tc>
        <w:tc>
          <w:tcPr>
            <w:tcW w:w="1312" w:type="pct"/>
          </w:tcPr>
          <w:p w14:paraId="25044C52" w14:textId="77777777" w:rsidR="00A17ECC" w:rsidRPr="008D0CE3" w:rsidRDefault="00A17ECC" w:rsidP="009F2749">
            <w:r w:rsidRPr="008D0CE3">
              <w:t>355</w:t>
            </w:r>
          </w:p>
        </w:tc>
        <w:tc>
          <w:tcPr>
            <w:tcW w:w="1104" w:type="pct"/>
          </w:tcPr>
          <w:p w14:paraId="30F0AF5F" w14:textId="77777777" w:rsidR="00A17ECC" w:rsidRPr="008D0CE3" w:rsidRDefault="00A17ECC" w:rsidP="009F2749">
            <w:r w:rsidRPr="008D0CE3">
              <w:t>£4,242</w:t>
            </w:r>
          </w:p>
        </w:tc>
      </w:tr>
    </w:tbl>
    <w:p w14:paraId="646D72E6" w14:textId="77777777" w:rsidR="00D809A0" w:rsidRPr="00472E36" w:rsidRDefault="00D809A0" w:rsidP="00D51F4A">
      <w:pPr>
        <w:pStyle w:val="Heading2"/>
        <w:numPr>
          <w:ilvl w:val="1"/>
          <w:numId w:val="7"/>
        </w:numPr>
      </w:pPr>
      <w:bookmarkStart w:id="117" w:name="_Toc52364562"/>
      <w:r>
        <w:t>Remote pressure management Price Control Deliverable (RPM</w:t>
      </w:r>
      <w:r w:rsidRPr="00D64641">
        <w:rPr>
          <w:vertAlign w:val="subscript"/>
        </w:rPr>
        <w:t>t</w:t>
      </w:r>
      <w:r>
        <w:t>) [SGN only]</w:t>
      </w:r>
      <w:bookmarkEnd w:id="113"/>
      <w:bookmarkEnd w:id="117"/>
    </w:p>
    <w:p w14:paraId="55DDCFC6" w14:textId="77777777" w:rsidR="00D809A0" w:rsidRPr="00472E36" w:rsidRDefault="00D809A0" w:rsidP="00D809A0">
      <w:pPr>
        <w:pStyle w:val="Heading3nonumbering"/>
      </w:pPr>
      <w:r w:rsidRPr="00472E36">
        <w:t xml:space="preserve">Introduction </w:t>
      </w:r>
    </w:p>
    <w:p w14:paraId="3978C030" w14:textId="7696795B" w:rsidR="00D809A0" w:rsidRPr="00472E36" w:rsidRDefault="00D809A0" w:rsidP="00D51F4A">
      <w:pPr>
        <w:pStyle w:val="NumberedNormal"/>
        <w:numPr>
          <w:ilvl w:val="2"/>
          <w:numId w:val="7"/>
        </w:numPr>
      </w:pPr>
      <w:r>
        <w:t>The purpose of this condition is to calculate the term RPM</w:t>
      </w:r>
      <w:r w:rsidRPr="00D64641">
        <w:rPr>
          <w:vertAlign w:val="subscript"/>
        </w:rPr>
        <w:t>t</w:t>
      </w:r>
      <w:r>
        <w:t xml:space="preserve"> (the remote pressure management Price Control Deliverable term). This contributes to the calculation of the Totex Allowance.  </w:t>
      </w:r>
    </w:p>
    <w:p w14:paraId="6871C26F" w14:textId="05BA872E" w:rsidR="00D809A0" w:rsidRPr="00472E36" w:rsidRDefault="00D809A0" w:rsidP="00D51F4A">
      <w:pPr>
        <w:pStyle w:val="NumberedNormal"/>
        <w:numPr>
          <w:ilvl w:val="2"/>
          <w:numId w:val="7"/>
        </w:numPr>
      </w:pPr>
      <w:r>
        <w:t>This condition specifies the outputs, delivery dates and associated allowances for the Price Control Deliverable and provides for the adjustment of allowances at the end of the Price Control Period in line with the formula in Part C.</w:t>
      </w:r>
    </w:p>
    <w:p w14:paraId="6F3D03B9" w14:textId="20BEF6E6" w:rsidR="00D809A0" w:rsidRPr="00472E36" w:rsidRDefault="00D809A0" w:rsidP="00D51F4A">
      <w:pPr>
        <w:pStyle w:val="NumberedNormal"/>
        <w:numPr>
          <w:ilvl w:val="2"/>
          <w:numId w:val="7"/>
        </w:numPr>
      </w:pPr>
      <w:r>
        <w:t xml:space="preserve">This condition also explains the process the Authority will follow when assessing the </w:t>
      </w:r>
      <w:r w:rsidR="00B40370">
        <w:t>Price Control Deliverable</w:t>
      </w:r>
      <w:r>
        <w:t>.</w:t>
      </w:r>
    </w:p>
    <w:p w14:paraId="12C4C386" w14:textId="77777777" w:rsidR="00D809A0" w:rsidRPr="00472E36" w:rsidRDefault="00D809A0" w:rsidP="00D51F4A">
      <w:pPr>
        <w:pStyle w:val="Heading3"/>
        <w:numPr>
          <w:ilvl w:val="5"/>
          <w:numId w:val="7"/>
        </w:numPr>
      </w:pPr>
      <w:r>
        <w:lastRenderedPageBreak/>
        <w:t>Formula for calculating the Remote Pressure Management Price Control Deliverable term</w:t>
      </w:r>
    </w:p>
    <w:p w14:paraId="218DB423" w14:textId="5FE0B192" w:rsidR="00D809A0" w:rsidRPr="00472E36" w:rsidRDefault="00D809A0" w:rsidP="00D51F4A">
      <w:pPr>
        <w:pStyle w:val="NumberedNormal"/>
        <w:numPr>
          <w:ilvl w:val="2"/>
          <w:numId w:val="7"/>
        </w:numPr>
      </w:pPr>
      <w:r>
        <w:t>The value of RPM</w:t>
      </w:r>
      <w:r w:rsidRPr="00D64641">
        <w:rPr>
          <w:vertAlign w:val="subscript"/>
        </w:rPr>
        <w:t>t</w:t>
      </w:r>
      <w:r>
        <w:t xml:space="preserve"> is derived in accordance with the following formula:</w:t>
      </w:r>
    </w:p>
    <w:p w14:paraId="54446EFE" w14:textId="77777777" w:rsidR="00D809A0" w:rsidRPr="00472E36" w:rsidRDefault="008C7681" w:rsidP="00D809A0">
      <w:pPr>
        <w:pStyle w:val="Equation"/>
      </w:pPr>
      <m:oMathPara>
        <m:oMath>
          <m:sSub>
            <m:sSubPr>
              <m:ctrlPr>
                <w:rPr>
                  <w:rFonts w:ascii="Cambria Math" w:hAnsi="Cambria Math"/>
                </w:rPr>
              </m:ctrlPr>
            </m:sSubPr>
            <m:e>
              <m:r>
                <w:rPr>
                  <w:rFonts w:ascii="Cambria Math" w:hAnsi="Cambria Math"/>
                </w:rPr>
                <m:t>RPM</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RPMA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RPMR</m:t>
              </m:r>
            </m:e>
            <m:sub>
              <m:r>
                <w:rPr>
                  <w:rFonts w:ascii="Cambria Math" w:hAnsi="Cambria Math"/>
                </w:rPr>
                <m:t>t</m:t>
              </m:r>
            </m:sub>
          </m:sSub>
        </m:oMath>
      </m:oMathPara>
    </w:p>
    <w:p w14:paraId="6062DCAA" w14:textId="67D6E743" w:rsidR="00D809A0" w:rsidRDefault="00F640FB" w:rsidP="00D809A0">
      <w:r>
        <w:tab/>
      </w:r>
      <w:r w:rsidR="00D809A0" w:rsidRPr="00472E36">
        <w:t>where:</w:t>
      </w:r>
    </w:p>
    <w:tbl>
      <w:tblPr>
        <w:tblStyle w:val="TableGridLight"/>
        <w:tblW w:w="0" w:type="auto"/>
        <w:tblLook w:val="04A0" w:firstRow="1" w:lastRow="0" w:firstColumn="1" w:lastColumn="0" w:noHBand="0" w:noVBand="1"/>
      </w:tblPr>
      <w:tblGrid>
        <w:gridCol w:w="883"/>
        <w:gridCol w:w="5065"/>
      </w:tblGrid>
      <w:tr w:rsidR="00F640FB" w:rsidRPr="00F640FB" w14:paraId="31C47A25" w14:textId="77777777" w:rsidTr="00F640FB">
        <w:trPr>
          <w:trHeight w:val="255"/>
        </w:trPr>
        <w:tc>
          <w:tcPr>
            <w:tcW w:w="0" w:type="auto"/>
            <w:noWrap/>
            <w:hideMark/>
          </w:tcPr>
          <w:p w14:paraId="4E4EE122" w14:textId="77777777" w:rsidR="00F640FB" w:rsidRPr="00F640FB" w:rsidRDefault="00F640FB" w:rsidP="00F640FB">
            <w:pPr>
              <w:rPr>
                <w:lang w:eastAsia="en-GB"/>
              </w:rPr>
            </w:pPr>
            <w:r w:rsidRPr="00F640FB">
              <w:rPr>
                <w:lang w:eastAsia="en-GB"/>
              </w:rPr>
              <w:t>RPMA</w:t>
            </w:r>
            <w:r w:rsidRPr="00F640FB">
              <w:rPr>
                <w:vertAlign w:val="subscript"/>
                <w:lang w:eastAsia="en-GB"/>
              </w:rPr>
              <w:t>t</w:t>
            </w:r>
            <w:r w:rsidRPr="00F640FB">
              <w:rPr>
                <w:lang w:eastAsia="en-GB"/>
              </w:rPr>
              <w:t xml:space="preserve"> </w:t>
            </w:r>
          </w:p>
        </w:tc>
        <w:tc>
          <w:tcPr>
            <w:tcW w:w="0" w:type="auto"/>
            <w:noWrap/>
            <w:hideMark/>
          </w:tcPr>
          <w:p w14:paraId="431FB08A" w14:textId="77777777" w:rsidR="00F640FB" w:rsidRPr="00F640FB" w:rsidRDefault="00F640FB" w:rsidP="00F640FB">
            <w:pPr>
              <w:rPr>
                <w:lang w:eastAsia="en-GB"/>
              </w:rPr>
            </w:pPr>
            <w:r w:rsidRPr="00F640FB">
              <w:rPr>
                <w:lang w:eastAsia="en-GB"/>
              </w:rPr>
              <w:t xml:space="preserve">means the allowance set out in Appendix 1; and </w:t>
            </w:r>
          </w:p>
        </w:tc>
      </w:tr>
      <w:tr w:rsidR="00F640FB" w:rsidRPr="00F640FB" w14:paraId="3A9E3158" w14:textId="77777777" w:rsidTr="00F640FB">
        <w:trPr>
          <w:trHeight w:val="255"/>
        </w:trPr>
        <w:tc>
          <w:tcPr>
            <w:tcW w:w="0" w:type="auto"/>
            <w:noWrap/>
            <w:hideMark/>
          </w:tcPr>
          <w:p w14:paraId="598EB961" w14:textId="77777777" w:rsidR="00F640FB" w:rsidRPr="00F640FB" w:rsidRDefault="00F640FB" w:rsidP="00F640FB">
            <w:pPr>
              <w:rPr>
                <w:lang w:eastAsia="en-GB"/>
              </w:rPr>
            </w:pPr>
            <w:r w:rsidRPr="00F640FB">
              <w:rPr>
                <w:lang w:eastAsia="en-GB"/>
              </w:rPr>
              <w:t>RPMR</w:t>
            </w:r>
            <w:r w:rsidRPr="00F640FB">
              <w:rPr>
                <w:vertAlign w:val="subscript"/>
                <w:lang w:eastAsia="en-GB"/>
              </w:rPr>
              <w:t>t</w:t>
            </w:r>
            <w:r w:rsidRPr="00F640FB">
              <w:rPr>
                <w:lang w:eastAsia="en-GB"/>
              </w:rPr>
              <w:t xml:space="preserve"> </w:t>
            </w:r>
          </w:p>
        </w:tc>
        <w:tc>
          <w:tcPr>
            <w:tcW w:w="0" w:type="auto"/>
            <w:noWrap/>
            <w:hideMark/>
          </w:tcPr>
          <w:p w14:paraId="536A9335" w14:textId="37591F3A" w:rsidR="00F640FB" w:rsidRPr="00F640FB" w:rsidRDefault="00F640FB" w:rsidP="00F640FB">
            <w:pPr>
              <w:rPr>
                <w:lang w:eastAsia="en-GB"/>
              </w:rPr>
            </w:pPr>
            <w:r w:rsidRPr="00F640FB">
              <w:rPr>
                <w:lang w:eastAsia="en-GB"/>
              </w:rPr>
              <w:t>is derived in accordance with Part C.</w:t>
            </w:r>
          </w:p>
        </w:tc>
      </w:tr>
    </w:tbl>
    <w:p w14:paraId="7362DAD6" w14:textId="77777777" w:rsidR="00D809A0" w:rsidRPr="00472E36" w:rsidRDefault="00D809A0" w:rsidP="00D51F4A">
      <w:pPr>
        <w:pStyle w:val="Heading3"/>
        <w:numPr>
          <w:ilvl w:val="5"/>
          <w:numId w:val="7"/>
        </w:numPr>
      </w:pPr>
      <w:r>
        <w:t>What is the licensee funded to deliver?</w:t>
      </w:r>
    </w:p>
    <w:p w14:paraId="32723E8D" w14:textId="77777777" w:rsidR="00D809A0" w:rsidRPr="00472E36" w:rsidRDefault="00D809A0" w:rsidP="00D51F4A">
      <w:pPr>
        <w:pStyle w:val="NumberedNormal"/>
        <w:numPr>
          <w:ilvl w:val="2"/>
          <w:numId w:val="7"/>
        </w:numPr>
      </w:pPr>
      <w:r>
        <w:t>The licensee is funded to deliver by 31 March 2026 the target number of District Governors that are Equipped For Remote Pressure Management specified in Appendix 2.</w:t>
      </w:r>
    </w:p>
    <w:p w14:paraId="63D675F8" w14:textId="77777777" w:rsidR="00D809A0" w:rsidRPr="00472E36" w:rsidRDefault="00D809A0" w:rsidP="00D51F4A">
      <w:pPr>
        <w:pStyle w:val="Heading3"/>
        <w:numPr>
          <w:ilvl w:val="5"/>
          <w:numId w:val="7"/>
        </w:numPr>
      </w:pPr>
      <w:r>
        <w:t>Assessment of outputs</w:t>
      </w:r>
    </w:p>
    <w:p w14:paraId="3578A7A0" w14:textId="7F7C768D" w:rsidR="00D809A0" w:rsidRPr="00472E36" w:rsidRDefault="00D809A0" w:rsidP="00D51F4A">
      <w:pPr>
        <w:pStyle w:val="NumberedNormal"/>
        <w:numPr>
          <w:ilvl w:val="2"/>
          <w:numId w:val="7"/>
        </w:numPr>
      </w:pPr>
      <w:r>
        <w:t>At the end of the Price Control Period, the value of RPMR</w:t>
      </w:r>
      <w:r w:rsidRPr="00D64641">
        <w:rPr>
          <w:vertAlign w:val="subscript"/>
        </w:rPr>
        <w:t>t</w:t>
      </w:r>
      <w:r>
        <w:t xml:space="preserve"> will be derived in accordance with the following formula:</w:t>
      </w:r>
    </w:p>
    <w:p w14:paraId="70C37A9E" w14:textId="167F30BE" w:rsidR="00D809A0" w:rsidRPr="00472E36" w:rsidRDefault="008C7681" w:rsidP="00D809A0">
      <w:pPr>
        <w:pStyle w:val="Equation"/>
      </w:pPr>
      <m:oMathPara>
        <m:oMath>
          <m:sSub>
            <m:sSubPr>
              <m:ctrlPr>
                <w:rPr>
                  <w:rFonts w:ascii="Cambria Math" w:hAnsi="Cambria Math"/>
                  <w:i/>
                </w:rPr>
              </m:ctrlPr>
            </m:sSubPr>
            <m:e>
              <m:r>
                <w:rPr>
                  <w:rFonts w:ascii="Cambria Math" w:hAnsi="Cambria Math"/>
                </w:rPr>
                <m:t>RPMR</m:t>
              </m:r>
            </m:e>
            <m:sub>
              <m:r>
                <w:rPr>
                  <w:rFonts w:ascii="Cambria Math" w:hAnsi="Cambria Math"/>
                </w:rPr>
                <m:t>t</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RPMA</m:t>
                  </m:r>
                </m:e>
                <m:sub>
                  <m:r>
                    <w:rPr>
                      <w:rFonts w:ascii="Cambria Math" w:hAnsi="Cambria Math"/>
                    </w:rPr>
                    <m:t>t</m:t>
                  </m:r>
                </m:sub>
              </m:sSub>
            </m:num>
            <m:den>
              <m:nary>
                <m:naryPr>
                  <m:chr m:val="∑"/>
                  <m:limLoc m:val="undOvr"/>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RPMA</m:t>
                      </m:r>
                    </m:e>
                    <m:sub>
                      <m:r>
                        <w:rPr>
                          <w:rFonts w:ascii="Cambria Math" w:hAnsi="Cambria Math"/>
                        </w:rPr>
                        <m:t>t</m:t>
                      </m:r>
                    </m:sub>
                  </m:sSub>
                </m:e>
              </m:nary>
            </m:den>
          </m:f>
          <m:d>
            <m:dPr>
              <m:ctrlPr>
                <w:rPr>
                  <w:rFonts w:ascii="Cambria Math" w:hAnsi="Cambria Math"/>
                </w:rPr>
              </m:ctrlPr>
            </m:dPr>
            <m:e>
              <m:r>
                <w:rPr>
                  <w:rFonts w:ascii="Cambria Math" w:hAnsi="Cambria Math"/>
                </w:rPr>
                <m:t>DGT</m:t>
              </m:r>
              <m:r>
                <m:rPr>
                  <m:sty m:val="p"/>
                </m:rPr>
                <w:rPr>
                  <w:rFonts w:ascii="Cambria Math" w:hAnsi="Cambria Math"/>
                </w:rPr>
                <m:t>-</m:t>
              </m:r>
              <m:r>
                <w:rPr>
                  <w:rFonts w:ascii="Cambria Math" w:hAnsi="Cambria Math"/>
                </w:rPr>
                <m:t>DGD</m:t>
              </m:r>
            </m:e>
          </m:d>
          <m:r>
            <m:rPr>
              <m:sty m:val="p"/>
            </m:rPr>
            <w:rPr>
              <w:rFonts w:ascii="Cambria Math" w:hAnsi="Cambria Math"/>
            </w:rPr>
            <m:t>∙</m:t>
          </m:r>
          <m:r>
            <w:rPr>
              <w:rFonts w:ascii="Cambria Math" w:hAnsi="Cambria Math"/>
            </w:rPr>
            <m:t>DGC</m:t>
          </m:r>
        </m:oMath>
      </m:oMathPara>
    </w:p>
    <w:p w14:paraId="1643E2E8" w14:textId="4B7AF44A" w:rsidR="00D809A0" w:rsidRPr="00472E36" w:rsidRDefault="00E97228" w:rsidP="00D809A0">
      <w:r>
        <w:tab/>
      </w:r>
      <w:r w:rsidR="00D809A0" w:rsidRPr="00472E36">
        <w:t>where:</w:t>
      </w:r>
    </w:p>
    <w:tbl>
      <w:tblPr>
        <w:tblW w:w="0" w:type="auto"/>
        <w:tblInd w:w="612" w:type="dxa"/>
        <w:tblLook w:val="0000" w:firstRow="0" w:lastRow="0" w:firstColumn="0" w:lastColumn="0" w:noHBand="0" w:noVBand="0"/>
      </w:tblPr>
      <w:tblGrid>
        <w:gridCol w:w="1701"/>
        <w:gridCol w:w="5387"/>
      </w:tblGrid>
      <w:tr w:rsidR="00D809A0" w14:paraId="6F4CBB19" w14:textId="77777777" w:rsidTr="00D64641">
        <w:tc>
          <w:tcPr>
            <w:tcW w:w="1701" w:type="dxa"/>
          </w:tcPr>
          <w:p w14:paraId="3F7A82AA" w14:textId="190BDCBB" w:rsidR="00D809A0" w:rsidRPr="00E97228" w:rsidRDefault="00D809A0" w:rsidP="00D809A0">
            <w:pPr>
              <w:pStyle w:val="Equation"/>
              <w:rPr>
                <w:i/>
                <w:iCs/>
              </w:rPr>
            </w:pPr>
            <w:r w:rsidRPr="00E97228">
              <w:rPr>
                <w:i/>
                <w:iCs/>
              </w:rPr>
              <w:t>RPMA</w:t>
            </w:r>
            <w:r w:rsidRPr="00E97228">
              <w:rPr>
                <w:i/>
                <w:iCs/>
                <w:vertAlign w:val="subscript"/>
              </w:rPr>
              <w:t>t</w:t>
            </w:r>
          </w:p>
        </w:tc>
        <w:tc>
          <w:tcPr>
            <w:tcW w:w="5387" w:type="dxa"/>
          </w:tcPr>
          <w:p w14:paraId="59F38BF2" w14:textId="771FB73D" w:rsidR="00D809A0" w:rsidRPr="00472E36" w:rsidRDefault="00D809A0" w:rsidP="00D809A0">
            <w:pPr>
              <w:pStyle w:val="Equation"/>
            </w:pPr>
            <w:r w:rsidRPr="00472E36">
              <w:t>means the allowance set out in Appendix 1</w:t>
            </w:r>
            <w:r>
              <w:t>;</w:t>
            </w:r>
          </w:p>
        </w:tc>
      </w:tr>
      <w:tr w:rsidR="00D809A0" w14:paraId="53F3D56F" w14:textId="77777777" w:rsidTr="00D64641">
        <w:tc>
          <w:tcPr>
            <w:tcW w:w="1701" w:type="dxa"/>
          </w:tcPr>
          <w:p w14:paraId="6DB29568" w14:textId="2DB51972" w:rsidR="00D809A0" w:rsidRPr="00E97228" w:rsidRDefault="008C7681" w:rsidP="00D809A0">
            <w:pPr>
              <w:pStyle w:val="Equation"/>
              <w:rPr>
                <w:i/>
                <w:iCs/>
              </w:rPr>
            </w:pPr>
            <m:oMathPara>
              <m:oMathParaPr>
                <m:jc m:val="left"/>
              </m:oMathParaPr>
              <m:oMath>
                <m:nary>
                  <m:naryPr>
                    <m:chr m:val="∑"/>
                    <m:limLoc m:val="undOvr"/>
                    <m:subHide m:val="1"/>
                    <m:supHide m:val="1"/>
                    <m:ctrlPr>
                      <w:rPr>
                        <w:rFonts w:ascii="Cambria Math" w:hAnsi="Cambria Math"/>
                        <w:i/>
                        <w:iCs/>
                      </w:rPr>
                    </m:ctrlPr>
                  </m:naryPr>
                  <m:sub/>
                  <m:sup/>
                  <m:e>
                    <m:sSub>
                      <m:sSubPr>
                        <m:ctrlPr>
                          <w:rPr>
                            <w:rFonts w:ascii="Cambria Math" w:hAnsi="Cambria Math"/>
                            <w:i/>
                            <w:iCs/>
                          </w:rPr>
                        </m:ctrlPr>
                      </m:sSubPr>
                      <m:e>
                        <m:r>
                          <w:rPr>
                            <w:rFonts w:ascii="Cambria Math" w:hAnsi="Cambria Math"/>
                          </w:rPr>
                          <m:t>RPMA</m:t>
                        </m:r>
                      </m:e>
                      <m:sub>
                        <m:r>
                          <w:rPr>
                            <w:rFonts w:ascii="Cambria Math" w:hAnsi="Cambria Math"/>
                          </w:rPr>
                          <m:t>t</m:t>
                        </m:r>
                      </m:sub>
                    </m:sSub>
                  </m:e>
                </m:nary>
              </m:oMath>
            </m:oMathPara>
          </w:p>
        </w:tc>
        <w:tc>
          <w:tcPr>
            <w:tcW w:w="5387" w:type="dxa"/>
          </w:tcPr>
          <w:p w14:paraId="771AA333" w14:textId="16C5A00A" w:rsidR="00D809A0" w:rsidRPr="00472E36" w:rsidRDefault="00D809A0" w:rsidP="00D809A0">
            <w:pPr>
              <w:pStyle w:val="Equation"/>
            </w:pPr>
            <w:r w:rsidRPr="00472E36">
              <w:t>means the total allowance in the Price Control Period set out in Appendix 1</w:t>
            </w:r>
            <w:r>
              <w:t>;</w:t>
            </w:r>
          </w:p>
        </w:tc>
      </w:tr>
      <w:tr w:rsidR="00D809A0" w14:paraId="35F7B71D" w14:textId="77777777" w:rsidTr="00D64641">
        <w:tc>
          <w:tcPr>
            <w:tcW w:w="1701" w:type="dxa"/>
          </w:tcPr>
          <w:p w14:paraId="4C4FF18B" w14:textId="77777777" w:rsidR="00D809A0" w:rsidRPr="00E97228" w:rsidRDefault="00D809A0" w:rsidP="00D809A0">
            <w:pPr>
              <w:pStyle w:val="Equation"/>
              <w:rPr>
                <w:i/>
                <w:iCs/>
              </w:rPr>
            </w:pPr>
            <w:r w:rsidRPr="00E97228">
              <w:rPr>
                <w:i/>
                <w:iCs/>
              </w:rPr>
              <w:t>DGT</w:t>
            </w:r>
          </w:p>
        </w:tc>
        <w:tc>
          <w:tcPr>
            <w:tcW w:w="5387" w:type="dxa"/>
          </w:tcPr>
          <w:p w14:paraId="31F242C1" w14:textId="3699634B" w:rsidR="00D809A0" w:rsidRPr="00472E36" w:rsidRDefault="00D809A0" w:rsidP="00D809A0">
            <w:pPr>
              <w:pStyle w:val="Equation"/>
            </w:pPr>
            <w:r w:rsidRPr="00472E36">
              <w:t>means the target number of District Governors  Equipped For Remote Pressure Management specified in  Appendix 2</w:t>
            </w:r>
            <w:r>
              <w:t>;</w:t>
            </w:r>
          </w:p>
        </w:tc>
      </w:tr>
      <w:tr w:rsidR="00D809A0" w14:paraId="2E7AC50D" w14:textId="77777777" w:rsidTr="00D64641">
        <w:tc>
          <w:tcPr>
            <w:tcW w:w="1701" w:type="dxa"/>
          </w:tcPr>
          <w:p w14:paraId="2832CB3B" w14:textId="77777777" w:rsidR="00D809A0" w:rsidRPr="00E97228" w:rsidRDefault="00D809A0" w:rsidP="00D809A0">
            <w:pPr>
              <w:pStyle w:val="Equation"/>
              <w:rPr>
                <w:i/>
                <w:iCs/>
              </w:rPr>
            </w:pPr>
            <w:r w:rsidRPr="00E97228">
              <w:rPr>
                <w:i/>
                <w:iCs/>
              </w:rPr>
              <w:t>DGD</w:t>
            </w:r>
          </w:p>
        </w:tc>
        <w:tc>
          <w:tcPr>
            <w:tcW w:w="5387" w:type="dxa"/>
          </w:tcPr>
          <w:p w14:paraId="3FAB6CD4" w14:textId="35830EE9" w:rsidR="00D809A0" w:rsidRPr="00472E36" w:rsidRDefault="00D809A0" w:rsidP="00D809A0">
            <w:pPr>
              <w:pStyle w:val="Equation"/>
            </w:pPr>
            <w:r w:rsidRPr="00472E36">
              <w:t>means the number of District Governors Equipped For Remote Pressure Management owned by the licensee as of 31 March 2026</w:t>
            </w:r>
            <w:r>
              <w:t>; and</w:t>
            </w:r>
          </w:p>
        </w:tc>
      </w:tr>
      <w:tr w:rsidR="00D809A0" w14:paraId="20506EE0" w14:textId="77777777" w:rsidTr="00D64641">
        <w:tc>
          <w:tcPr>
            <w:tcW w:w="1701" w:type="dxa"/>
          </w:tcPr>
          <w:p w14:paraId="36E65ADD" w14:textId="77777777" w:rsidR="00D809A0" w:rsidRPr="00E97228" w:rsidRDefault="00D809A0" w:rsidP="00D809A0">
            <w:pPr>
              <w:pStyle w:val="Equation"/>
              <w:rPr>
                <w:i/>
                <w:iCs/>
              </w:rPr>
            </w:pPr>
            <w:r w:rsidRPr="00E97228">
              <w:rPr>
                <w:i/>
                <w:iCs/>
              </w:rPr>
              <w:t>DGC</w:t>
            </w:r>
          </w:p>
        </w:tc>
        <w:tc>
          <w:tcPr>
            <w:tcW w:w="5387" w:type="dxa"/>
          </w:tcPr>
          <w:p w14:paraId="3E38B3A4" w14:textId="77777777" w:rsidR="00D809A0" w:rsidRPr="00472E36" w:rsidRDefault="00D809A0" w:rsidP="00D809A0">
            <w:pPr>
              <w:pStyle w:val="Equation"/>
            </w:pPr>
            <w:r w:rsidRPr="00472E36">
              <w:t>means the</w:t>
            </w:r>
            <w:r>
              <w:t xml:space="preserve"> </w:t>
            </w:r>
            <w:r w:rsidRPr="00472E36">
              <w:t>allowance for each District Governor  Equipped For Remote Pressure Management as set out in Appendix 2</w:t>
            </w:r>
            <w:r>
              <w:t>.</w:t>
            </w:r>
          </w:p>
        </w:tc>
      </w:tr>
    </w:tbl>
    <w:p w14:paraId="489166F2" w14:textId="77777777" w:rsidR="00D64641" w:rsidRDefault="00D64641" w:rsidP="00D51F4A"/>
    <w:p w14:paraId="48BA481D" w14:textId="43D8E5DC" w:rsidR="00D809A0" w:rsidRPr="00472E36" w:rsidRDefault="00D809A0" w:rsidP="00D51F4A">
      <w:pPr>
        <w:pStyle w:val="AppendixHeading"/>
      </w:pPr>
    </w:p>
    <w:p w14:paraId="2D6D57FA" w14:textId="4DE1C016" w:rsidR="00D809A0" w:rsidRPr="00D64641" w:rsidRDefault="00D809A0" w:rsidP="00B957D8">
      <w:pPr>
        <w:pStyle w:val="Caption"/>
      </w:pPr>
      <w:r w:rsidRPr="00D64641">
        <w:t xml:space="preserve">Remote Pressure Management Allowance </w:t>
      </w:r>
    </w:p>
    <w:tbl>
      <w:tblPr>
        <w:tblStyle w:val="AppendixTable"/>
        <w:tblW w:w="8359" w:type="dxa"/>
        <w:tblLook w:val="04A0" w:firstRow="1" w:lastRow="0" w:firstColumn="1" w:lastColumn="0" w:noHBand="0" w:noVBand="1"/>
      </w:tblPr>
      <w:tblGrid>
        <w:gridCol w:w="2042"/>
        <w:gridCol w:w="867"/>
        <w:gridCol w:w="867"/>
        <w:gridCol w:w="867"/>
        <w:gridCol w:w="867"/>
        <w:gridCol w:w="867"/>
        <w:gridCol w:w="1982"/>
      </w:tblGrid>
      <w:tr w:rsidR="00D809A0" w:rsidRPr="00D5104D" w14:paraId="497C9803" w14:textId="77777777" w:rsidTr="00B957D8">
        <w:trPr>
          <w:cnfStyle w:val="100000000000" w:firstRow="1" w:lastRow="0" w:firstColumn="0" w:lastColumn="0" w:oddVBand="0" w:evenVBand="0" w:oddHBand="0" w:evenHBand="0" w:firstRowFirstColumn="0" w:firstRowLastColumn="0" w:lastRowFirstColumn="0" w:lastRowLastColumn="0"/>
          <w:trHeight w:val="160"/>
        </w:trPr>
        <w:tc>
          <w:tcPr>
            <w:tcW w:w="2042" w:type="dxa"/>
          </w:tcPr>
          <w:p w14:paraId="0636D6AF" w14:textId="143A1FEB" w:rsidR="00D809A0" w:rsidRPr="00472E36" w:rsidRDefault="00B957D8" w:rsidP="00D809A0">
            <w:r w:rsidRPr="00472E36">
              <w:t>GDN</w:t>
            </w:r>
          </w:p>
        </w:tc>
        <w:tc>
          <w:tcPr>
            <w:tcW w:w="0" w:type="auto"/>
          </w:tcPr>
          <w:p w14:paraId="00D699D2" w14:textId="77777777" w:rsidR="00D809A0" w:rsidRPr="00472E36" w:rsidRDefault="00D809A0" w:rsidP="00D809A0">
            <w:r w:rsidRPr="00472E36">
              <w:t>21/22</w:t>
            </w:r>
          </w:p>
        </w:tc>
        <w:tc>
          <w:tcPr>
            <w:tcW w:w="0" w:type="auto"/>
          </w:tcPr>
          <w:p w14:paraId="43D7C124" w14:textId="77777777" w:rsidR="00D809A0" w:rsidRPr="00472E36" w:rsidRDefault="00D809A0" w:rsidP="00D809A0">
            <w:r w:rsidRPr="00472E36">
              <w:t>22/23</w:t>
            </w:r>
          </w:p>
        </w:tc>
        <w:tc>
          <w:tcPr>
            <w:tcW w:w="0" w:type="auto"/>
          </w:tcPr>
          <w:p w14:paraId="4719503B" w14:textId="77777777" w:rsidR="00D809A0" w:rsidRPr="00472E36" w:rsidRDefault="00D809A0" w:rsidP="00D809A0">
            <w:r w:rsidRPr="00472E36">
              <w:t>23/24</w:t>
            </w:r>
          </w:p>
        </w:tc>
        <w:tc>
          <w:tcPr>
            <w:tcW w:w="0" w:type="auto"/>
          </w:tcPr>
          <w:p w14:paraId="3127B7AF" w14:textId="77777777" w:rsidR="00D809A0" w:rsidRPr="00472E36" w:rsidRDefault="00D809A0" w:rsidP="00D809A0">
            <w:r w:rsidRPr="00472E36">
              <w:t>24/25</w:t>
            </w:r>
          </w:p>
        </w:tc>
        <w:tc>
          <w:tcPr>
            <w:tcW w:w="0" w:type="auto"/>
          </w:tcPr>
          <w:p w14:paraId="5BBE7CA7" w14:textId="77777777" w:rsidR="00D809A0" w:rsidRPr="00472E36" w:rsidRDefault="00D809A0" w:rsidP="00D809A0">
            <w:r w:rsidRPr="00472E36">
              <w:t>25/26</w:t>
            </w:r>
          </w:p>
        </w:tc>
        <w:tc>
          <w:tcPr>
            <w:tcW w:w="1982" w:type="dxa"/>
          </w:tcPr>
          <w:p w14:paraId="35C108D5" w14:textId="77777777" w:rsidR="00D809A0" w:rsidRPr="00472E36" w:rsidRDefault="00D809A0" w:rsidP="00D809A0">
            <w:r w:rsidRPr="00472E36">
              <w:t>Total Allowance (All years)</w:t>
            </w:r>
          </w:p>
        </w:tc>
      </w:tr>
      <w:tr w:rsidR="00D809A0" w:rsidRPr="00D5104D" w14:paraId="538F94F9" w14:textId="77777777" w:rsidTr="00B957D8">
        <w:trPr>
          <w:trHeight w:val="160"/>
        </w:trPr>
        <w:tc>
          <w:tcPr>
            <w:tcW w:w="2042" w:type="dxa"/>
          </w:tcPr>
          <w:p w14:paraId="4BE0939D" w14:textId="77777777" w:rsidR="00D809A0" w:rsidRPr="00472E36" w:rsidRDefault="00D809A0" w:rsidP="00D809A0">
            <w:r w:rsidRPr="00472E36">
              <w:t>Southern</w:t>
            </w:r>
          </w:p>
        </w:tc>
        <w:tc>
          <w:tcPr>
            <w:tcW w:w="0" w:type="auto"/>
          </w:tcPr>
          <w:p w14:paraId="018BD6CA" w14:textId="77777777" w:rsidR="00D809A0" w:rsidRPr="00472E36" w:rsidRDefault="00D809A0" w:rsidP="00D809A0">
            <w:r w:rsidRPr="00472E36">
              <w:t>X</w:t>
            </w:r>
          </w:p>
        </w:tc>
        <w:tc>
          <w:tcPr>
            <w:tcW w:w="0" w:type="auto"/>
          </w:tcPr>
          <w:p w14:paraId="6CBBB44F" w14:textId="77777777" w:rsidR="00D809A0" w:rsidRPr="00472E36" w:rsidRDefault="00D809A0" w:rsidP="00D809A0">
            <w:r w:rsidRPr="00472E36">
              <w:t>X</w:t>
            </w:r>
          </w:p>
        </w:tc>
        <w:tc>
          <w:tcPr>
            <w:tcW w:w="0" w:type="auto"/>
          </w:tcPr>
          <w:p w14:paraId="78012BFD" w14:textId="77777777" w:rsidR="00D809A0" w:rsidRPr="00472E36" w:rsidRDefault="00D809A0" w:rsidP="00D809A0">
            <w:r w:rsidRPr="00472E36">
              <w:t>X</w:t>
            </w:r>
          </w:p>
        </w:tc>
        <w:tc>
          <w:tcPr>
            <w:tcW w:w="0" w:type="auto"/>
          </w:tcPr>
          <w:p w14:paraId="600186DD" w14:textId="77777777" w:rsidR="00D809A0" w:rsidRPr="00472E36" w:rsidRDefault="00D809A0" w:rsidP="00D809A0">
            <w:r w:rsidRPr="00472E36">
              <w:t>X</w:t>
            </w:r>
          </w:p>
        </w:tc>
        <w:tc>
          <w:tcPr>
            <w:tcW w:w="0" w:type="auto"/>
          </w:tcPr>
          <w:p w14:paraId="359FB32A" w14:textId="77777777" w:rsidR="00D809A0" w:rsidRPr="00472E36" w:rsidRDefault="00D809A0" w:rsidP="00D809A0">
            <w:r w:rsidRPr="00472E36">
              <w:t>X</w:t>
            </w:r>
          </w:p>
        </w:tc>
        <w:tc>
          <w:tcPr>
            <w:tcW w:w="1982" w:type="dxa"/>
          </w:tcPr>
          <w:p w14:paraId="4AA914CB" w14:textId="77777777" w:rsidR="00D809A0" w:rsidRPr="00472E36" w:rsidRDefault="00D809A0" w:rsidP="00D809A0">
            <w:r w:rsidRPr="00472E36">
              <w:t>X</w:t>
            </w:r>
          </w:p>
        </w:tc>
      </w:tr>
    </w:tbl>
    <w:p w14:paraId="4652FD82" w14:textId="77777777" w:rsidR="00D809A0" w:rsidRPr="00472E36" w:rsidRDefault="00D809A0" w:rsidP="00D809A0"/>
    <w:p w14:paraId="78D43106" w14:textId="7669AD28" w:rsidR="00D809A0" w:rsidRPr="00472E36" w:rsidRDefault="00D809A0" w:rsidP="00D51F4A">
      <w:pPr>
        <w:pStyle w:val="AppendixHeading"/>
      </w:pPr>
    </w:p>
    <w:p w14:paraId="7F69BA59" w14:textId="77777777" w:rsidR="00D809A0" w:rsidRPr="00D64641" w:rsidRDefault="00D809A0" w:rsidP="00AC0AEF">
      <w:pPr>
        <w:pStyle w:val="Caption"/>
      </w:pPr>
      <w:r w:rsidRPr="00D64641">
        <w:t xml:space="preserve">Target Number of District Governors Equipped For Remote Pressure Management and related Cost </w:t>
      </w:r>
    </w:p>
    <w:tbl>
      <w:tblPr>
        <w:tblW w:w="68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3"/>
        <w:gridCol w:w="2551"/>
        <w:gridCol w:w="2905"/>
      </w:tblGrid>
      <w:tr w:rsidR="00D809A0" w:rsidRPr="00DE541A" w14:paraId="11019D3C" w14:textId="77777777" w:rsidTr="00D809A0">
        <w:trPr>
          <w:trHeight w:val="271"/>
        </w:trPr>
        <w:tc>
          <w:tcPr>
            <w:tcW w:w="1413" w:type="dxa"/>
          </w:tcPr>
          <w:p w14:paraId="38F436BA" w14:textId="77777777" w:rsidR="00D809A0" w:rsidRPr="00472E36" w:rsidRDefault="00D809A0" w:rsidP="00D809A0">
            <w:r w:rsidRPr="00472E36">
              <w:t>GDN</w:t>
            </w:r>
          </w:p>
        </w:tc>
        <w:tc>
          <w:tcPr>
            <w:tcW w:w="2551" w:type="dxa"/>
            <w:vAlign w:val="bottom"/>
          </w:tcPr>
          <w:p w14:paraId="0BE44F3F" w14:textId="77777777" w:rsidR="00D809A0" w:rsidRPr="00472E36" w:rsidRDefault="00D809A0" w:rsidP="00D809A0">
            <w:r w:rsidRPr="00472E36">
              <w:t>Target Number of District Governors Equipped For Remote Pressure Management (DGT)</w:t>
            </w:r>
          </w:p>
        </w:tc>
        <w:tc>
          <w:tcPr>
            <w:tcW w:w="2905" w:type="dxa"/>
          </w:tcPr>
          <w:p w14:paraId="50C0D6EA" w14:textId="6892E9E0" w:rsidR="00D809A0" w:rsidRPr="00472E36" w:rsidDel="000864BC" w:rsidRDefault="00D809A0" w:rsidP="00D809A0">
            <w:r w:rsidRPr="00472E36">
              <w:t>Allowance Cost per District Governor Equipped For Remote Pressure Management (DGC)</w:t>
            </w:r>
          </w:p>
        </w:tc>
      </w:tr>
      <w:tr w:rsidR="00D809A0" w:rsidRPr="00D5104D" w14:paraId="09DC10AB" w14:textId="77777777" w:rsidTr="00D809A0">
        <w:trPr>
          <w:trHeight w:val="285"/>
        </w:trPr>
        <w:tc>
          <w:tcPr>
            <w:tcW w:w="1413" w:type="dxa"/>
          </w:tcPr>
          <w:p w14:paraId="05F9D28E" w14:textId="77777777" w:rsidR="00D809A0" w:rsidRPr="00472E36" w:rsidRDefault="00D809A0" w:rsidP="00D809A0">
            <w:r w:rsidRPr="00472E36">
              <w:t>Southern</w:t>
            </w:r>
          </w:p>
        </w:tc>
        <w:tc>
          <w:tcPr>
            <w:tcW w:w="2551" w:type="dxa"/>
            <w:vAlign w:val="bottom"/>
          </w:tcPr>
          <w:p w14:paraId="5C0F3733" w14:textId="77777777" w:rsidR="00D809A0" w:rsidRPr="00472E36" w:rsidRDefault="00D809A0" w:rsidP="00D809A0">
            <w:r w:rsidRPr="00472E36">
              <w:t>X</w:t>
            </w:r>
          </w:p>
        </w:tc>
        <w:tc>
          <w:tcPr>
            <w:tcW w:w="2905" w:type="dxa"/>
          </w:tcPr>
          <w:p w14:paraId="4EC58069" w14:textId="77777777" w:rsidR="00D809A0" w:rsidRPr="00472E36" w:rsidRDefault="00D809A0" w:rsidP="00D809A0">
            <w:r w:rsidRPr="00472E36">
              <w:t>X</w:t>
            </w:r>
          </w:p>
        </w:tc>
      </w:tr>
    </w:tbl>
    <w:p w14:paraId="0DDF922C" w14:textId="3B1C832B" w:rsidR="00D809A0" w:rsidRDefault="00D809A0" w:rsidP="00D51F4A">
      <w:pPr>
        <w:pStyle w:val="Heading2"/>
        <w:numPr>
          <w:ilvl w:val="1"/>
          <w:numId w:val="7"/>
        </w:numPr>
      </w:pPr>
      <w:bookmarkStart w:id="118" w:name="_Toc51783659"/>
      <w:bookmarkStart w:id="119" w:name="_Toc52364563"/>
      <w:r>
        <w:t>Biomethane Improved Access Rollout [SGN only]</w:t>
      </w:r>
      <w:bookmarkEnd w:id="118"/>
      <w:r w:rsidR="00CD50E1" w:rsidRPr="00CD50E1">
        <w:t xml:space="preserve"> </w:t>
      </w:r>
      <w:r w:rsidR="00CD50E1">
        <w:t>[Not included in this consultation]</w:t>
      </w:r>
      <w:bookmarkEnd w:id="119"/>
    </w:p>
    <w:p w14:paraId="54F764BF" w14:textId="77777777" w:rsidR="00D809A0" w:rsidRPr="00606793" w:rsidRDefault="00D809A0" w:rsidP="00D51F4A">
      <w:pPr>
        <w:pStyle w:val="NumberedNormal"/>
        <w:numPr>
          <w:ilvl w:val="2"/>
          <w:numId w:val="7"/>
        </w:numPr>
      </w:pPr>
      <w:r>
        <w:t xml:space="preserve"> </w:t>
      </w:r>
    </w:p>
    <w:p w14:paraId="57F79B5A" w14:textId="77777777" w:rsidR="00D809A0" w:rsidRDefault="00D809A0" w:rsidP="00D51F4A">
      <w:pPr>
        <w:pStyle w:val="Heading1"/>
        <w:numPr>
          <w:ilvl w:val="0"/>
          <w:numId w:val="7"/>
        </w:numPr>
      </w:pPr>
      <w:bookmarkStart w:id="120" w:name="_Toc51783662"/>
      <w:bookmarkStart w:id="121" w:name="_Toc52364564"/>
      <w:r>
        <w:lastRenderedPageBreak/>
        <w:t>Output delivery incentives</w:t>
      </w:r>
      <w:bookmarkEnd w:id="120"/>
      <w:bookmarkEnd w:id="121"/>
    </w:p>
    <w:p w14:paraId="510FBF4F" w14:textId="77777777" w:rsidR="00D809A0" w:rsidRDefault="00D809A0" w:rsidP="00D51F4A">
      <w:pPr>
        <w:pStyle w:val="Heading2"/>
        <w:numPr>
          <w:ilvl w:val="1"/>
          <w:numId w:val="7"/>
        </w:numPr>
      </w:pPr>
      <w:bookmarkStart w:id="122" w:name="_Toc51783663"/>
      <w:bookmarkStart w:id="123" w:name="_Toc52364565"/>
      <w:r>
        <w:t>Total output delivery incentive performance</w:t>
      </w:r>
      <w:bookmarkEnd w:id="122"/>
      <w:bookmarkEnd w:id="123"/>
    </w:p>
    <w:p w14:paraId="642B1DF4" w14:textId="77777777" w:rsidR="00D809A0" w:rsidRDefault="00D809A0" w:rsidP="00D809A0">
      <w:pPr>
        <w:pStyle w:val="Heading3nonumbering"/>
      </w:pPr>
      <w:r>
        <w:t>Introduction</w:t>
      </w:r>
    </w:p>
    <w:p w14:paraId="6528F4D4" w14:textId="59E2465A" w:rsidR="00D809A0" w:rsidRDefault="00D809A0" w:rsidP="00D51F4A">
      <w:pPr>
        <w:pStyle w:val="NumberedNormal"/>
        <w:numPr>
          <w:ilvl w:val="2"/>
          <w:numId w:val="7"/>
        </w:numPr>
      </w:pPr>
      <w:r>
        <w:t>The purpose of this condition is to calculate ODI</w:t>
      </w:r>
      <w:r w:rsidRPr="004E1E8E">
        <w:rPr>
          <w:vertAlign w:val="subscript"/>
        </w:rPr>
        <w:t>t</w:t>
      </w:r>
      <w:r>
        <w:t xml:space="preserve"> (the output delivery incentives term). This contributes to the calculation of Calculated Revenues in Special Condition 2.1 (Revenue Restriction).</w:t>
      </w:r>
    </w:p>
    <w:p w14:paraId="6F454506" w14:textId="77777777" w:rsidR="00D809A0" w:rsidRPr="00CD759D" w:rsidRDefault="00D809A0" w:rsidP="00D51F4A">
      <w:pPr>
        <w:pStyle w:val="Heading3"/>
        <w:numPr>
          <w:ilvl w:val="5"/>
          <w:numId w:val="7"/>
        </w:numPr>
      </w:pPr>
      <w:r>
        <w:t>Formula for calculating total output delivery incentive performance</w:t>
      </w:r>
    </w:p>
    <w:p w14:paraId="4F75F97B" w14:textId="77777777" w:rsidR="00D809A0" w:rsidRPr="003C282C" w:rsidRDefault="00D809A0" w:rsidP="00D51F4A">
      <w:pPr>
        <w:pStyle w:val="NumberedNormal"/>
        <w:numPr>
          <w:ilvl w:val="2"/>
          <w:numId w:val="7"/>
        </w:numPr>
      </w:pPr>
      <w:r>
        <w:t>The value of ODI</w:t>
      </w:r>
      <w:r w:rsidRPr="00C74677">
        <w:rPr>
          <w:vertAlign w:val="subscript"/>
        </w:rPr>
        <w:t>t</w:t>
      </w:r>
      <w:r>
        <w:t xml:space="preserve"> is derived in accordance with the following formula:</w:t>
      </w:r>
    </w:p>
    <w:p w14:paraId="7BF0B8B9" w14:textId="45C8ACC0" w:rsidR="00D809A0" w:rsidRDefault="008C7681" w:rsidP="00D809A0">
      <m:oMathPara>
        <m:oMath>
          <m:sSub>
            <m:sSubPr>
              <m:ctrlPr>
                <w:rPr>
                  <w:rFonts w:ascii="Cambria Math" w:hAnsi="Cambria Math"/>
                </w:rPr>
              </m:ctrlPr>
            </m:sSubPr>
            <m:e>
              <m:r>
                <w:rPr>
                  <w:rFonts w:ascii="Cambria Math" w:hAnsi="Cambria Math"/>
                </w:rPr>
                <m:t>ODI</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CS</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SM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UIP</m:t>
              </m:r>
            </m:e>
            <m:sub>
              <m:r>
                <w:rPr>
                  <w:rFonts w:ascii="Cambria Math" w:hAnsi="Cambria Math"/>
                </w:rPr>
                <m:t>t</m:t>
              </m:r>
            </m:sub>
          </m:sSub>
        </m:oMath>
      </m:oMathPara>
    </w:p>
    <w:p w14:paraId="5CEB97A1" w14:textId="1940CAD2" w:rsidR="00D809A0" w:rsidRDefault="002E2188" w:rsidP="00D809A0">
      <w:r>
        <w:tab/>
      </w:r>
      <w:r w:rsidR="00D809A0">
        <w:t>where:</w:t>
      </w:r>
    </w:p>
    <w:tbl>
      <w:tblPr>
        <w:tblStyle w:val="TableGridLight"/>
        <w:tblW w:w="0" w:type="auto"/>
        <w:tblLook w:val="04A0" w:firstRow="1" w:lastRow="0" w:firstColumn="1" w:lastColumn="0" w:noHBand="0" w:noVBand="1"/>
      </w:tblPr>
      <w:tblGrid>
        <w:gridCol w:w="616"/>
        <w:gridCol w:w="5900"/>
      </w:tblGrid>
      <w:tr w:rsidR="00D809A0" w14:paraId="6436EF43" w14:textId="77777777" w:rsidTr="002E2188">
        <w:tc>
          <w:tcPr>
            <w:tcW w:w="0" w:type="auto"/>
          </w:tcPr>
          <w:p w14:paraId="5524D03B" w14:textId="77777777" w:rsidR="00D809A0" w:rsidRPr="002E2188" w:rsidRDefault="00D809A0" w:rsidP="00D809A0">
            <w:pPr>
              <w:rPr>
                <w:i/>
                <w:iCs/>
              </w:rPr>
            </w:pPr>
            <w:r w:rsidRPr="002E2188">
              <w:rPr>
                <w:i/>
                <w:iCs/>
              </w:rPr>
              <w:t>CM</w:t>
            </w:r>
            <w:r w:rsidRPr="002E2188">
              <w:rPr>
                <w:i/>
                <w:iCs/>
                <w:vertAlign w:val="subscript"/>
              </w:rPr>
              <w:t>t</w:t>
            </w:r>
          </w:p>
        </w:tc>
        <w:tc>
          <w:tcPr>
            <w:tcW w:w="0" w:type="auto"/>
          </w:tcPr>
          <w:p w14:paraId="005551FC" w14:textId="56590D6A" w:rsidR="00D809A0" w:rsidRPr="003C282C" w:rsidRDefault="00D809A0" w:rsidP="00D809A0">
            <w:r>
              <w:t>is d</w:t>
            </w:r>
            <w:r w:rsidRPr="003C282C">
              <w:t>erived in accordance with Special Condition</w:t>
            </w:r>
            <w:r>
              <w:t xml:space="preserve"> </w:t>
            </w:r>
            <w:r w:rsidR="003A2C34">
              <w:t>4.2</w:t>
            </w:r>
            <w:r>
              <w:t>;</w:t>
            </w:r>
          </w:p>
        </w:tc>
      </w:tr>
      <w:tr w:rsidR="00D809A0" w14:paraId="5735454D" w14:textId="77777777" w:rsidTr="002E2188">
        <w:tc>
          <w:tcPr>
            <w:tcW w:w="0" w:type="auto"/>
          </w:tcPr>
          <w:p w14:paraId="2A85B875" w14:textId="77777777" w:rsidR="00D809A0" w:rsidRPr="002E2188" w:rsidRDefault="00D809A0" w:rsidP="00D809A0">
            <w:pPr>
              <w:rPr>
                <w:i/>
                <w:iCs/>
              </w:rPr>
            </w:pPr>
            <w:r w:rsidRPr="002E2188">
              <w:rPr>
                <w:i/>
                <w:iCs/>
              </w:rPr>
              <w:t>CS</w:t>
            </w:r>
            <w:r w:rsidRPr="002E2188">
              <w:rPr>
                <w:i/>
                <w:iCs/>
                <w:vertAlign w:val="subscript"/>
              </w:rPr>
              <w:t>t</w:t>
            </w:r>
          </w:p>
        </w:tc>
        <w:tc>
          <w:tcPr>
            <w:tcW w:w="0" w:type="auto"/>
          </w:tcPr>
          <w:p w14:paraId="67021D92" w14:textId="7804B156" w:rsidR="00D809A0" w:rsidRDefault="00D809A0" w:rsidP="00D809A0">
            <w:r>
              <w:t>is d</w:t>
            </w:r>
            <w:r w:rsidRPr="00786899">
              <w:t xml:space="preserve">erived in accordance with Special Condition </w:t>
            </w:r>
            <w:r w:rsidR="003A2C34">
              <w:t>4.3</w:t>
            </w:r>
            <w:r>
              <w:t xml:space="preserve">; </w:t>
            </w:r>
          </w:p>
        </w:tc>
      </w:tr>
      <w:tr w:rsidR="003A2C34" w14:paraId="468A0BE1" w14:textId="77777777" w:rsidTr="002E2188">
        <w:tc>
          <w:tcPr>
            <w:tcW w:w="0" w:type="auto"/>
          </w:tcPr>
          <w:p w14:paraId="56CD1457" w14:textId="4EEDC27B" w:rsidR="003A2C34" w:rsidRPr="002E2188" w:rsidRDefault="003A2C34" w:rsidP="003A2C34">
            <w:pPr>
              <w:rPr>
                <w:i/>
                <w:iCs/>
              </w:rPr>
            </w:pPr>
            <w:r>
              <w:rPr>
                <w:i/>
                <w:iCs/>
              </w:rPr>
              <w:t>SM</w:t>
            </w:r>
            <w:r w:rsidRPr="00B200C6">
              <w:rPr>
                <w:i/>
                <w:iCs/>
                <w:vertAlign w:val="subscript"/>
              </w:rPr>
              <w:t>t</w:t>
            </w:r>
          </w:p>
        </w:tc>
        <w:tc>
          <w:tcPr>
            <w:tcW w:w="0" w:type="auto"/>
          </w:tcPr>
          <w:p w14:paraId="14922B0B" w14:textId="4D6C035A" w:rsidR="003A2C34" w:rsidRDefault="003A2C34" w:rsidP="003A2C34">
            <w:r>
              <w:t>is d</w:t>
            </w:r>
            <w:r w:rsidRPr="00786899">
              <w:t xml:space="preserve">erived in accordance with Special Condition </w:t>
            </w:r>
            <w:r>
              <w:t>4.4; and</w:t>
            </w:r>
          </w:p>
        </w:tc>
      </w:tr>
      <w:tr w:rsidR="003A2C34" w14:paraId="645C4AD8" w14:textId="77777777" w:rsidTr="002E2188">
        <w:tc>
          <w:tcPr>
            <w:tcW w:w="0" w:type="auto"/>
          </w:tcPr>
          <w:p w14:paraId="31B07DF4" w14:textId="77777777" w:rsidR="003A2C34" w:rsidRPr="002E2188" w:rsidRDefault="003A2C34" w:rsidP="003A2C34">
            <w:pPr>
              <w:rPr>
                <w:i/>
                <w:iCs/>
              </w:rPr>
            </w:pPr>
            <w:r w:rsidRPr="002E2188">
              <w:rPr>
                <w:i/>
                <w:iCs/>
              </w:rPr>
              <w:t>UIP</w:t>
            </w:r>
            <w:r w:rsidRPr="002E2188">
              <w:rPr>
                <w:i/>
                <w:iCs/>
                <w:vertAlign w:val="subscript"/>
              </w:rPr>
              <w:t>t</w:t>
            </w:r>
          </w:p>
        </w:tc>
        <w:tc>
          <w:tcPr>
            <w:tcW w:w="0" w:type="auto"/>
          </w:tcPr>
          <w:p w14:paraId="5ADCD175" w14:textId="671416BE" w:rsidR="003A2C34" w:rsidRDefault="003A2C34" w:rsidP="003A2C34">
            <w:r>
              <w:t>is d</w:t>
            </w:r>
            <w:r w:rsidRPr="00786899">
              <w:t xml:space="preserve">erived in accordance with Special Condition </w:t>
            </w:r>
            <w:r>
              <w:t>4.5.</w:t>
            </w:r>
          </w:p>
        </w:tc>
      </w:tr>
    </w:tbl>
    <w:p w14:paraId="299CBC28" w14:textId="77777777" w:rsidR="00D809A0" w:rsidRPr="0057526A" w:rsidRDefault="00D809A0" w:rsidP="00D51F4A">
      <w:pPr>
        <w:pStyle w:val="Heading2"/>
        <w:numPr>
          <w:ilvl w:val="1"/>
          <w:numId w:val="7"/>
        </w:numPr>
      </w:pPr>
      <w:bookmarkStart w:id="124" w:name="_Toc51783664"/>
      <w:bookmarkStart w:id="125" w:name="_Toc52364566"/>
      <w:r>
        <w:t>Customer Satisfaction Survey output delivery incentive (CS</w:t>
      </w:r>
      <w:r w:rsidRPr="00C74677">
        <w:rPr>
          <w:vertAlign w:val="subscript"/>
        </w:rPr>
        <w:t>t</w:t>
      </w:r>
      <w:r>
        <w:t>)</w:t>
      </w:r>
      <w:bookmarkEnd w:id="124"/>
      <w:bookmarkEnd w:id="125"/>
    </w:p>
    <w:p w14:paraId="7CEB0366" w14:textId="77777777" w:rsidR="00D809A0" w:rsidRPr="0057526A" w:rsidRDefault="00D809A0" w:rsidP="00D809A0">
      <w:pPr>
        <w:pStyle w:val="Heading3nonumbering"/>
      </w:pPr>
      <w:r w:rsidRPr="0057526A">
        <w:t xml:space="preserve">Introduction </w:t>
      </w:r>
    </w:p>
    <w:p w14:paraId="5EEE5B16" w14:textId="6C23858C" w:rsidR="00D809A0" w:rsidRPr="004C1A71" w:rsidRDefault="00D809A0" w:rsidP="00D51F4A">
      <w:pPr>
        <w:pStyle w:val="NumberedNormal"/>
        <w:numPr>
          <w:ilvl w:val="2"/>
          <w:numId w:val="7"/>
        </w:numPr>
      </w:pPr>
      <w:r>
        <w:t>The purpose of this condition is to calculate the term CS</w:t>
      </w:r>
      <w:r w:rsidRPr="00C74677">
        <w:rPr>
          <w:vertAlign w:val="subscript"/>
        </w:rPr>
        <w:t>t</w:t>
      </w:r>
      <w:r>
        <w:t xml:space="preserve"> (the Customer Satisfaction Survey output delivery incentive term).  This contributes to the calculation of the term ODI</w:t>
      </w:r>
      <w:r w:rsidRPr="00C74677">
        <w:rPr>
          <w:vertAlign w:val="subscript"/>
        </w:rPr>
        <w:t>t</w:t>
      </w:r>
      <w:r>
        <w:t xml:space="preserve"> (the output delivery incentives term), which in turn feeds into Calculated Revenue in Special Condition 2.1 (Revenue Restriction).</w:t>
      </w:r>
    </w:p>
    <w:p w14:paraId="79293EB8" w14:textId="29C742D9" w:rsidR="00D809A0" w:rsidRPr="004C1A71" w:rsidRDefault="00D809A0" w:rsidP="00D51F4A">
      <w:pPr>
        <w:pStyle w:val="NumberedNormal"/>
        <w:numPr>
          <w:ilvl w:val="2"/>
          <w:numId w:val="7"/>
        </w:numPr>
      </w:pPr>
      <w:r>
        <w:t>The effect of the Customer Satisfaction Survey output delivery incentive is to reward or penalise the licensee where its customer service performance improves or deteriorates under three contributing survey elements.</w:t>
      </w:r>
    </w:p>
    <w:p w14:paraId="3E580FFB" w14:textId="77777777" w:rsidR="00D809A0" w:rsidRPr="003B46E9" w:rsidRDefault="00D809A0" w:rsidP="00D51F4A">
      <w:pPr>
        <w:pStyle w:val="Heading3"/>
        <w:numPr>
          <w:ilvl w:val="5"/>
          <w:numId w:val="7"/>
        </w:numPr>
      </w:pPr>
      <w:r>
        <w:t>Adjustments arising from the Customer Satisfaction Survey (CS</w:t>
      </w:r>
      <w:r w:rsidRPr="00C74677">
        <w:rPr>
          <w:vertAlign w:val="subscript"/>
        </w:rPr>
        <w:t>t</w:t>
      </w:r>
      <w:r>
        <w:t>)</w:t>
      </w:r>
    </w:p>
    <w:p w14:paraId="5369E2D4" w14:textId="540CD93A" w:rsidR="00D809A0" w:rsidRDefault="00D809A0" w:rsidP="00D51F4A">
      <w:pPr>
        <w:pStyle w:val="NumberedNormal"/>
        <w:numPr>
          <w:ilvl w:val="2"/>
          <w:numId w:val="7"/>
        </w:numPr>
      </w:pPr>
      <w:r>
        <w:t>The value of the CS</w:t>
      </w:r>
      <w:r w:rsidRPr="00C74677">
        <w:rPr>
          <w:vertAlign w:val="subscript"/>
        </w:rPr>
        <w:t>t</w:t>
      </w:r>
      <w:r>
        <w:t xml:space="preserve"> term is derived in accordance with the following formula:</w:t>
      </w:r>
    </w:p>
    <w:p w14:paraId="0BF66588" w14:textId="01CD9714" w:rsidR="002014E7" w:rsidRPr="004C1A71" w:rsidRDefault="008C7681" w:rsidP="002014E7">
      <w:pPr>
        <w:pStyle w:val="Equation"/>
      </w:pPr>
      <m:oMathPara>
        <m:oMath>
          <m:sSub>
            <m:sSubPr>
              <m:ctrlPr>
                <w:rPr>
                  <w:rFonts w:ascii="Cambria Math" w:hAnsi="Cambria Math"/>
                  <w:i/>
                </w:rPr>
              </m:ctrlPr>
            </m:sSubPr>
            <m:e>
              <m:r>
                <w:rPr>
                  <w:rFonts w:ascii="Cambria Math" w:hAnsi="Cambria Math"/>
                </w:rPr>
                <m:t>CS</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CSA</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CSB</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CSC</m:t>
              </m:r>
            </m:e>
            <m:sub>
              <m:r>
                <w:rPr>
                  <w:rFonts w:ascii="Cambria Math" w:hAnsi="Cambria Math"/>
                </w:rPr>
                <m:t>t</m:t>
              </m:r>
            </m:sub>
          </m:sSub>
        </m:oMath>
      </m:oMathPara>
    </w:p>
    <w:p w14:paraId="63D60414" w14:textId="61A00C83" w:rsidR="00D809A0" w:rsidRPr="000F1528" w:rsidRDefault="002014E7" w:rsidP="00D809A0">
      <w:r>
        <w:tab/>
      </w:r>
      <w:r w:rsidR="00D809A0" w:rsidRPr="004C1A71">
        <w:t>where:</w:t>
      </w:r>
    </w:p>
    <w:tbl>
      <w:tblPr>
        <w:tblW w:w="8222" w:type="dxa"/>
        <w:tblInd w:w="817" w:type="dxa"/>
        <w:tblLayout w:type="fixed"/>
        <w:tblLook w:val="04A0" w:firstRow="1" w:lastRow="0" w:firstColumn="1" w:lastColumn="0" w:noHBand="0" w:noVBand="1"/>
      </w:tblPr>
      <w:tblGrid>
        <w:gridCol w:w="1418"/>
        <w:gridCol w:w="6804"/>
      </w:tblGrid>
      <w:tr w:rsidR="00D809A0" w:rsidRPr="008A14D6" w14:paraId="4E00ED8A" w14:textId="77777777" w:rsidTr="00D809A0">
        <w:trPr>
          <w:trHeight w:val="567"/>
        </w:trPr>
        <w:tc>
          <w:tcPr>
            <w:tcW w:w="1418" w:type="dxa"/>
          </w:tcPr>
          <w:p w14:paraId="24676A41" w14:textId="17A8722F" w:rsidR="00D809A0" w:rsidRPr="002014E7" w:rsidRDefault="00D809A0" w:rsidP="00D809A0">
            <w:pPr>
              <w:rPr>
                <w:i/>
                <w:iCs/>
              </w:rPr>
            </w:pPr>
            <w:r w:rsidRPr="002014E7">
              <w:rPr>
                <w:i/>
                <w:iCs/>
              </w:rPr>
              <w:t>CSA</w:t>
            </w:r>
            <w:r w:rsidRPr="002014E7">
              <w:rPr>
                <w:i/>
                <w:iCs/>
                <w:vertAlign w:val="subscript"/>
              </w:rPr>
              <w:t>t</w:t>
            </w:r>
          </w:p>
        </w:tc>
        <w:tc>
          <w:tcPr>
            <w:tcW w:w="6804" w:type="dxa"/>
          </w:tcPr>
          <w:p w14:paraId="2E64042D" w14:textId="0CE8B269" w:rsidR="00D809A0" w:rsidRPr="004C1A71" w:rsidRDefault="00D809A0" w:rsidP="00D809A0">
            <w:r w:rsidRPr="00B764B0">
              <w:t xml:space="preserve">means the adjustment in respect of performance for the Planned Supply Interruptions element of the Customer Satisfaction Survey </w:t>
            </w:r>
            <w:r>
              <w:t>and i</w:t>
            </w:r>
            <w:r w:rsidRPr="004C1A71">
              <w:t>s derived in accordance with Part B</w:t>
            </w:r>
            <w:r>
              <w:t>;</w:t>
            </w:r>
          </w:p>
        </w:tc>
      </w:tr>
      <w:tr w:rsidR="00D809A0" w:rsidRPr="008A14D6" w14:paraId="345BD59B" w14:textId="77777777" w:rsidTr="00D809A0">
        <w:trPr>
          <w:trHeight w:val="567"/>
        </w:trPr>
        <w:tc>
          <w:tcPr>
            <w:tcW w:w="1418" w:type="dxa"/>
          </w:tcPr>
          <w:p w14:paraId="14A5B402" w14:textId="3431331E" w:rsidR="00D809A0" w:rsidRPr="002014E7" w:rsidRDefault="00D809A0" w:rsidP="00D809A0">
            <w:pPr>
              <w:rPr>
                <w:i/>
                <w:iCs/>
              </w:rPr>
            </w:pPr>
            <w:r w:rsidRPr="002014E7">
              <w:rPr>
                <w:i/>
                <w:iCs/>
              </w:rPr>
              <w:lastRenderedPageBreak/>
              <w:t>CSB</w:t>
            </w:r>
            <w:r w:rsidRPr="002014E7">
              <w:rPr>
                <w:i/>
                <w:iCs/>
                <w:vertAlign w:val="subscript"/>
              </w:rPr>
              <w:t>t</w:t>
            </w:r>
          </w:p>
        </w:tc>
        <w:tc>
          <w:tcPr>
            <w:tcW w:w="6804" w:type="dxa"/>
          </w:tcPr>
          <w:p w14:paraId="33F76148" w14:textId="56111A4B" w:rsidR="00D809A0" w:rsidRPr="004C1A71" w:rsidRDefault="00D809A0" w:rsidP="00D809A0">
            <w:r w:rsidRPr="00B764B0">
              <w:t xml:space="preserve">means the adjustment in respect of performance for the Planned Supply Interruptions element of the Customer Satisfaction Survey </w:t>
            </w:r>
            <w:r>
              <w:t>and i</w:t>
            </w:r>
            <w:r w:rsidRPr="004C1A71">
              <w:t>s derived in accordance with Part C</w:t>
            </w:r>
            <w:r>
              <w:t>; and</w:t>
            </w:r>
          </w:p>
        </w:tc>
      </w:tr>
      <w:tr w:rsidR="00D809A0" w:rsidRPr="008A14D6" w14:paraId="149D39C3" w14:textId="77777777" w:rsidTr="00D809A0">
        <w:trPr>
          <w:trHeight w:val="567"/>
        </w:trPr>
        <w:tc>
          <w:tcPr>
            <w:tcW w:w="1418" w:type="dxa"/>
          </w:tcPr>
          <w:p w14:paraId="421E7BF7" w14:textId="5E82C8A8" w:rsidR="00D809A0" w:rsidRPr="002014E7" w:rsidRDefault="00D809A0" w:rsidP="00D809A0">
            <w:pPr>
              <w:rPr>
                <w:i/>
                <w:iCs/>
              </w:rPr>
            </w:pPr>
            <w:r w:rsidRPr="002014E7">
              <w:rPr>
                <w:i/>
                <w:iCs/>
              </w:rPr>
              <w:t>CSC</w:t>
            </w:r>
            <w:r w:rsidRPr="002014E7">
              <w:rPr>
                <w:i/>
                <w:iCs/>
                <w:vertAlign w:val="subscript"/>
              </w:rPr>
              <w:t>t</w:t>
            </w:r>
          </w:p>
        </w:tc>
        <w:tc>
          <w:tcPr>
            <w:tcW w:w="6804" w:type="dxa"/>
          </w:tcPr>
          <w:p w14:paraId="268698B6" w14:textId="692A9944" w:rsidR="00D809A0" w:rsidRPr="004C1A71" w:rsidRDefault="00D809A0" w:rsidP="00D809A0">
            <w:r w:rsidRPr="004F49EE">
              <w:t xml:space="preserve">means the actual performance for the Connections element of the Customer Satisfaction Survey </w:t>
            </w:r>
            <w:r>
              <w:t>and i</w:t>
            </w:r>
            <w:r w:rsidRPr="004C1A71">
              <w:t>s derived in accordance with Part D</w:t>
            </w:r>
            <w:r>
              <w:t>.</w:t>
            </w:r>
          </w:p>
        </w:tc>
      </w:tr>
    </w:tbl>
    <w:p w14:paraId="6EBDB7CB" w14:textId="77777777" w:rsidR="00D809A0" w:rsidRDefault="00D809A0" w:rsidP="00D809A0"/>
    <w:p w14:paraId="7F40CB4C" w14:textId="77777777" w:rsidR="00D809A0" w:rsidRPr="00AE57AC" w:rsidRDefault="00D809A0" w:rsidP="00D51F4A">
      <w:pPr>
        <w:pStyle w:val="Heading3"/>
        <w:numPr>
          <w:ilvl w:val="5"/>
          <w:numId w:val="7"/>
        </w:numPr>
      </w:pPr>
      <w:r>
        <w:t>Planned Supply Interruptions element of the Customer Satisfaction Survey</w:t>
      </w:r>
    </w:p>
    <w:p w14:paraId="73C419D1" w14:textId="5A58CF2A" w:rsidR="00D809A0" w:rsidRPr="004C1A71" w:rsidRDefault="00D809A0" w:rsidP="00D51F4A">
      <w:pPr>
        <w:pStyle w:val="NumberedNormal"/>
        <w:numPr>
          <w:ilvl w:val="2"/>
          <w:numId w:val="7"/>
        </w:numPr>
      </w:pPr>
      <w:r>
        <w:t xml:space="preserve">The </w:t>
      </w:r>
      <w:r w:rsidRPr="00E21F40">
        <w:rPr>
          <w:i/>
          <w:iCs/>
        </w:rPr>
        <w:t>CSA</w:t>
      </w:r>
      <w:r w:rsidRPr="00E21F40">
        <w:rPr>
          <w:i/>
          <w:iCs/>
          <w:vertAlign w:val="subscript"/>
        </w:rPr>
        <w:t>t</w:t>
      </w:r>
      <w:r>
        <w:t xml:space="preserve"> term is derived in accordance with the following formula: </w:t>
      </w:r>
    </w:p>
    <w:p w14:paraId="451F66D4" w14:textId="77777777" w:rsidR="00D809A0" w:rsidRPr="00464119" w:rsidRDefault="008C7681" w:rsidP="00D809A0">
      <w:pPr>
        <w:pStyle w:val="Equation"/>
      </w:pPr>
      <m:oMathPara>
        <m:oMathParaPr>
          <m:jc m:val="center"/>
        </m:oMathParaPr>
        <m:oMath>
          <m:sSub>
            <m:sSubPr>
              <m:ctrlPr>
                <w:rPr>
                  <w:rFonts w:ascii="Cambria Math" w:hAnsi="Cambria Math"/>
                </w:rPr>
              </m:ctrlPr>
            </m:sSubPr>
            <m:e>
              <m:r>
                <w:rPr>
                  <w:rFonts w:ascii="Cambria Math" w:hAnsi="Cambria Math"/>
                </w:rPr>
                <m:t>CSA</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m:rPr>
                      <m:sty m:val="p"/>
                    </m:rPr>
                    <w:rPr>
                      <w:rFonts w:ascii="Cambria Math" w:hAnsi="Cambria Math"/>
                    </w:rPr>
                    <m:t>min⁡</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CSAS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CSATU</m:t>
                              </m:r>
                            </m:e>
                            <m:sub>
                              <m:r>
                                <w:rPr>
                                  <w:rFonts w:ascii="Cambria Math" w:hAnsi="Cambria Math"/>
                                </w:rPr>
                                <m:t>t</m:t>
                              </m:r>
                            </m:sub>
                          </m:sSub>
                        </m:num>
                        <m:den>
                          <m:sSub>
                            <m:sSubPr>
                              <m:ctrlPr>
                                <w:rPr>
                                  <w:rFonts w:ascii="Cambria Math" w:hAnsi="Cambria Math"/>
                                </w:rPr>
                              </m:ctrlPr>
                            </m:sSubPr>
                            <m:e>
                              <m:r>
                                <w:rPr>
                                  <w:rFonts w:ascii="Cambria Math" w:hAnsi="Cambria Math"/>
                                </w:rPr>
                                <m:t>CSAMAX</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CSATU</m:t>
                              </m:r>
                            </m:e>
                            <m:sub>
                              <m:r>
                                <w:rPr>
                                  <w:rFonts w:ascii="Cambria Math" w:hAnsi="Cambria Math"/>
                                </w:rPr>
                                <m:t>t</m:t>
                              </m:r>
                            </m:sub>
                          </m:sSub>
                        </m:den>
                      </m:f>
                      <m:r>
                        <m:rPr>
                          <m:sty m:val="p"/>
                        </m:rPr>
                        <w:rPr>
                          <w:rFonts w:ascii="Cambria Math" w:hAnsi="Cambria Math"/>
                        </w:rPr>
                        <m:t>, 1</m:t>
                      </m:r>
                    </m:e>
                  </m:d>
                  <m:sSub>
                    <m:sSubPr>
                      <m:ctrlPr>
                        <w:rPr>
                          <w:rFonts w:ascii="Cambria Math" w:hAnsi="Cambria Math"/>
                        </w:rPr>
                      </m:ctrlPr>
                    </m:sSubPr>
                    <m:e>
                      <m:r>
                        <m:rPr>
                          <m:sty m:val="p"/>
                        </m:rPr>
                        <w:rPr>
                          <w:rFonts w:ascii="Cambria Math" w:hAnsi="Cambria Math"/>
                        </w:rPr>
                        <m:t xml:space="preserve">0.005/3 </m:t>
                      </m:r>
                      <m:r>
                        <w:rPr>
                          <w:rFonts w:ascii="Cambria Math" w:hAnsi="Cambria Math"/>
                        </w:rPr>
                        <m:t>EABR</m:t>
                      </m:r>
                    </m:e>
                    <m:sub>
                      <m:r>
                        <w:rPr>
                          <w:rFonts w:ascii="Cambria Math" w:hAnsi="Cambria Math"/>
                        </w:rPr>
                        <m:t>t</m:t>
                      </m:r>
                    </m:sub>
                  </m:sSub>
                  <m:r>
                    <m:rPr>
                      <m:sty m:val="p"/>
                    </m:rPr>
                    <w:rPr>
                      <w:rFonts w:ascii="Cambria Math" w:hAnsi="Cambria Math"/>
                    </w:rPr>
                    <m:t>,  &amp;</m:t>
                  </m:r>
                  <m:sSub>
                    <m:sSubPr>
                      <m:ctrlPr>
                        <w:rPr>
                          <w:rFonts w:ascii="Cambria Math" w:hAnsi="Cambria Math"/>
                        </w:rPr>
                      </m:ctrlPr>
                    </m:sSubPr>
                    <m:e>
                      <m:r>
                        <w:rPr>
                          <w:rFonts w:ascii="Cambria Math" w:hAnsi="Cambria Math"/>
                        </w:rPr>
                        <m:t>CSAS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CSATU</m:t>
                      </m:r>
                    </m:e>
                    <m:sub>
                      <m:r>
                        <w:rPr>
                          <w:rFonts w:ascii="Cambria Math" w:hAnsi="Cambria Math"/>
                        </w:rPr>
                        <m:t>t</m:t>
                      </m:r>
                    </m:sub>
                  </m:sSub>
                </m:e>
                <m:e>
                  <m:r>
                    <m:rPr>
                      <m:sty m:val="p"/>
                    </m:rPr>
                    <w:rPr>
                      <w:rFonts w:ascii="Cambria Math" w:hAnsi="Cambria Math"/>
                    </w:rPr>
                    <m:t>max⁡</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CSAS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CSAT</m:t>
                              </m:r>
                            </m:e>
                            <m:sub>
                              <m:r>
                                <w:rPr>
                                  <w:rFonts w:ascii="Cambria Math" w:hAnsi="Cambria Math"/>
                                </w:rPr>
                                <m:t>t</m:t>
                              </m:r>
                            </m:sub>
                          </m:sSub>
                        </m:num>
                        <m:den>
                          <m:sSub>
                            <m:sSubPr>
                              <m:ctrlPr>
                                <w:rPr>
                                  <w:rFonts w:ascii="Cambria Math" w:hAnsi="Cambria Math"/>
                                </w:rPr>
                              </m:ctrlPr>
                            </m:sSubPr>
                            <m:e>
                              <m:r>
                                <w:rPr>
                                  <w:rFonts w:ascii="Cambria Math" w:hAnsi="Cambria Math"/>
                                </w:rPr>
                                <m:t>CSAT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CSAMIN</m:t>
                              </m:r>
                            </m:e>
                            <m:sub>
                              <m:r>
                                <w:rPr>
                                  <w:rFonts w:ascii="Cambria Math" w:hAnsi="Cambria Math"/>
                                </w:rPr>
                                <m:t>t</m:t>
                              </m:r>
                            </m:sub>
                          </m:sSub>
                        </m:den>
                      </m:f>
                      <m:r>
                        <m:rPr>
                          <m:sty m:val="p"/>
                        </m:rPr>
                        <w:rPr>
                          <w:rFonts w:ascii="Cambria Math" w:hAnsi="Cambria Math"/>
                        </w:rPr>
                        <m:t>, -1</m:t>
                      </m:r>
                    </m:e>
                  </m:d>
                  <m:sSub>
                    <m:sSubPr>
                      <m:ctrlPr>
                        <w:rPr>
                          <w:rFonts w:ascii="Cambria Math" w:hAnsi="Cambria Math"/>
                        </w:rPr>
                      </m:ctrlPr>
                    </m:sSubPr>
                    <m:e>
                      <m:f>
                        <m:fPr>
                          <m:ctrlPr>
                            <w:rPr>
                              <w:rFonts w:ascii="Cambria Math" w:hAnsi="Cambria Math"/>
                            </w:rPr>
                          </m:ctrlPr>
                        </m:fPr>
                        <m:num>
                          <m:r>
                            <m:rPr>
                              <m:sty m:val="p"/>
                            </m:rPr>
                            <w:rPr>
                              <w:rFonts w:ascii="Cambria Math" w:hAnsi="Cambria Math"/>
                            </w:rPr>
                            <m:t>0.005</m:t>
                          </m:r>
                        </m:num>
                        <m:den>
                          <m:r>
                            <m:rPr>
                              <m:sty m:val="p"/>
                            </m:rPr>
                            <w:rPr>
                              <w:rFonts w:ascii="Cambria Math" w:hAnsi="Cambria Math"/>
                            </w:rPr>
                            <m:t>3</m:t>
                          </m:r>
                        </m:den>
                      </m:f>
                      <m:r>
                        <w:rPr>
                          <w:rFonts w:ascii="Cambria Math" w:hAnsi="Cambria Math"/>
                        </w:rPr>
                        <m:t>EABR</m:t>
                      </m:r>
                    </m:e>
                    <m:sub>
                      <m:r>
                        <w:rPr>
                          <w:rFonts w:ascii="Cambria Math" w:hAnsi="Cambria Math"/>
                        </w:rPr>
                        <m:t>t</m:t>
                      </m:r>
                    </m:sub>
                  </m:sSub>
                  <m:r>
                    <m:rPr>
                      <m:sty m:val="p"/>
                    </m:rPr>
                    <w:rPr>
                      <w:rFonts w:ascii="Cambria Math" w:hAnsi="Cambria Math"/>
                    </w:rPr>
                    <m:t>,  &amp;</m:t>
                  </m:r>
                  <m:sSub>
                    <m:sSubPr>
                      <m:ctrlPr>
                        <w:rPr>
                          <w:rFonts w:ascii="Cambria Math" w:hAnsi="Cambria Math"/>
                        </w:rPr>
                      </m:ctrlPr>
                    </m:sSubPr>
                    <m:e>
                      <m:r>
                        <w:rPr>
                          <w:rFonts w:ascii="Cambria Math" w:hAnsi="Cambria Math"/>
                        </w:rPr>
                        <m:t>CSAS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CSAT</m:t>
                      </m:r>
                    </m:e>
                    <m:sub>
                      <m:r>
                        <w:rPr>
                          <w:rFonts w:ascii="Cambria Math" w:hAnsi="Cambria Math"/>
                        </w:rPr>
                        <m:t>t</m:t>
                      </m:r>
                    </m:sub>
                  </m:sSub>
                </m:e>
                <m:e>
                  <m:r>
                    <m:rPr>
                      <m:sty m:val="p"/>
                    </m:rPr>
                    <w:rPr>
                      <w:rFonts w:ascii="Cambria Math" w:hAnsi="Cambria Math"/>
                    </w:rPr>
                    <m:t>0,  &amp;</m:t>
                  </m:r>
                  <m:sSub>
                    <m:sSubPr>
                      <m:ctrlPr>
                        <w:rPr>
                          <w:rFonts w:ascii="Cambria Math" w:hAnsi="Cambria Math"/>
                        </w:rPr>
                      </m:ctrlPr>
                    </m:sSubPr>
                    <m:e>
                      <m:r>
                        <w:rPr>
                          <w:rFonts w:ascii="Cambria Math" w:hAnsi="Cambria Math"/>
                        </w:rPr>
                        <m:t>Otherwise</m:t>
                      </m:r>
                    </m:e>
                    <m:sub/>
                  </m:sSub>
                </m:e>
              </m:eqArr>
            </m:e>
          </m:d>
        </m:oMath>
      </m:oMathPara>
    </w:p>
    <w:p w14:paraId="60B8AF40" w14:textId="0DD2E0B6" w:rsidR="00D809A0" w:rsidRPr="004C1A71" w:rsidRDefault="00464119" w:rsidP="00D809A0">
      <w:r>
        <w:tab/>
      </w:r>
      <w:r w:rsidR="00D809A0">
        <w:t>w</w:t>
      </w:r>
      <w:r w:rsidR="00D809A0" w:rsidRPr="004C1A71">
        <w:t>here:</w:t>
      </w:r>
    </w:p>
    <w:tbl>
      <w:tblPr>
        <w:tblW w:w="8222" w:type="dxa"/>
        <w:tblInd w:w="817" w:type="dxa"/>
        <w:tblLayout w:type="fixed"/>
        <w:tblLook w:val="04A0" w:firstRow="1" w:lastRow="0" w:firstColumn="1" w:lastColumn="0" w:noHBand="0" w:noVBand="1"/>
      </w:tblPr>
      <w:tblGrid>
        <w:gridCol w:w="1559"/>
        <w:gridCol w:w="6663"/>
      </w:tblGrid>
      <w:tr w:rsidR="00D809A0" w:rsidRPr="00234BAC" w14:paraId="26DEBA5E" w14:textId="77777777" w:rsidTr="00D809A0">
        <w:trPr>
          <w:trHeight w:val="567"/>
        </w:trPr>
        <w:tc>
          <w:tcPr>
            <w:tcW w:w="1559" w:type="dxa"/>
          </w:tcPr>
          <w:p w14:paraId="28281B18" w14:textId="1C105AF2" w:rsidR="00D809A0" w:rsidRPr="00464119" w:rsidRDefault="00D809A0" w:rsidP="00D809A0">
            <w:pPr>
              <w:rPr>
                <w:i/>
                <w:iCs/>
              </w:rPr>
            </w:pPr>
            <w:r w:rsidRPr="00464119">
              <w:rPr>
                <w:i/>
                <w:iCs/>
              </w:rPr>
              <w:t>CSAS</w:t>
            </w:r>
            <w:r w:rsidRPr="00464119">
              <w:rPr>
                <w:i/>
                <w:iCs/>
                <w:vertAlign w:val="subscript"/>
              </w:rPr>
              <w:t>t</w:t>
            </w:r>
          </w:p>
        </w:tc>
        <w:tc>
          <w:tcPr>
            <w:tcW w:w="6663" w:type="dxa"/>
          </w:tcPr>
          <w:p w14:paraId="25A43054" w14:textId="3A7DC3D7" w:rsidR="00D809A0" w:rsidRPr="004C1A71" w:rsidRDefault="00D809A0" w:rsidP="00D809A0">
            <w:r w:rsidRPr="00234BAC">
              <w:t xml:space="preserve">means the </w:t>
            </w:r>
            <w:r w:rsidRPr="004C1A71">
              <w:t>performance score for the Planned Supply Interruptions element of the Customer Satisfaction Survey</w:t>
            </w:r>
            <w:r>
              <w:t>;</w:t>
            </w:r>
          </w:p>
        </w:tc>
      </w:tr>
      <w:tr w:rsidR="00D809A0" w:rsidRPr="00234BAC" w14:paraId="5F0F52D2" w14:textId="77777777" w:rsidTr="00D809A0">
        <w:trPr>
          <w:trHeight w:val="567"/>
        </w:trPr>
        <w:tc>
          <w:tcPr>
            <w:tcW w:w="1559" w:type="dxa"/>
          </w:tcPr>
          <w:p w14:paraId="49A0764C" w14:textId="05CEE55A" w:rsidR="00D809A0" w:rsidRPr="00464119" w:rsidRDefault="00D809A0" w:rsidP="00D809A0">
            <w:pPr>
              <w:rPr>
                <w:i/>
                <w:iCs/>
              </w:rPr>
            </w:pPr>
            <w:r w:rsidRPr="00464119">
              <w:rPr>
                <w:i/>
                <w:iCs/>
              </w:rPr>
              <w:t>CSAT</w:t>
            </w:r>
            <w:r w:rsidRPr="00464119">
              <w:rPr>
                <w:i/>
                <w:iCs/>
                <w:vertAlign w:val="subscript"/>
              </w:rPr>
              <w:t>t</w:t>
            </w:r>
          </w:p>
          <w:p w14:paraId="2BE72CC2" w14:textId="77777777" w:rsidR="00D809A0" w:rsidRPr="00464119" w:rsidRDefault="00D809A0" w:rsidP="00D809A0">
            <w:pPr>
              <w:rPr>
                <w:i/>
                <w:iCs/>
              </w:rPr>
            </w:pPr>
          </w:p>
          <w:p w14:paraId="5EACDE93" w14:textId="6E035BB0" w:rsidR="00D809A0" w:rsidRPr="00464119" w:rsidRDefault="00D809A0" w:rsidP="00D809A0">
            <w:pPr>
              <w:rPr>
                <w:i/>
                <w:iCs/>
              </w:rPr>
            </w:pPr>
            <w:r w:rsidRPr="00464119">
              <w:rPr>
                <w:i/>
                <w:iCs/>
              </w:rPr>
              <w:t>CSATU</w:t>
            </w:r>
            <w:r w:rsidRPr="00464119">
              <w:rPr>
                <w:i/>
                <w:iCs/>
                <w:vertAlign w:val="subscript"/>
              </w:rPr>
              <w:t>t</w:t>
            </w:r>
          </w:p>
        </w:tc>
        <w:tc>
          <w:tcPr>
            <w:tcW w:w="6663" w:type="dxa"/>
          </w:tcPr>
          <w:p w14:paraId="28E38DE9" w14:textId="5E41FC14" w:rsidR="00D809A0" w:rsidRPr="004C1A71" w:rsidRDefault="00D809A0" w:rsidP="00D809A0">
            <w:r w:rsidRPr="00234BAC">
              <w:t xml:space="preserve">means the </w:t>
            </w:r>
            <w:r w:rsidRPr="004C1A71">
              <w:t>Planned Supply Interruptions score target, fixed at [</w:t>
            </w:r>
            <w:r w:rsidR="00B03F42">
              <w:t>8.51</w:t>
            </w:r>
            <w:r w:rsidRPr="004C1A71">
              <w:t>]</w:t>
            </w:r>
            <w:r>
              <w:t>;</w:t>
            </w:r>
          </w:p>
          <w:p w14:paraId="3CC7FBB0" w14:textId="2409FD64" w:rsidR="00D809A0" w:rsidRPr="004C1A71" w:rsidRDefault="00D809A0" w:rsidP="00B03F42">
            <w:r>
              <w:t xml:space="preserve">means the Planned Supply Interruptions </w:t>
            </w:r>
            <w:r w:rsidRPr="004C1A71">
              <w:t>score at which the reward will be applied, fixed</w:t>
            </w:r>
            <w:r w:rsidR="00B03F42">
              <w:t xml:space="preserve"> at [8</w:t>
            </w:r>
            <w:r w:rsidRPr="004C1A71">
              <w:t>.</w:t>
            </w:r>
            <w:r w:rsidR="00B03F42">
              <w:t>77</w:t>
            </w:r>
            <w:r w:rsidRPr="004C1A71">
              <w:t>]</w:t>
            </w:r>
            <w:r>
              <w:t>;</w:t>
            </w:r>
          </w:p>
        </w:tc>
      </w:tr>
      <w:tr w:rsidR="00D809A0" w:rsidRPr="00234BAC" w14:paraId="2502F414" w14:textId="77777777" w:rsidTr="00D809A0">
        <w:trPr>
          <w:trHeight w:val="567"/>
        </w:trPr>
        <w:tc>
          <w:tcPr>
            <w:tcW w:w="1559" w:type="dxa"/>
          </w:tcPr>
          <w:p w14:paraId="69E931DB" w14:textId="77777777" w:rsidR="00D809A0" w:rsidRPr="00464119" w:rsidRDefault="00D809A0" w:rsidP="00D809A0">
            <w:pPr>
              <w:rPr>
                <w:i/>
                <w:iCs/>
              </w:rPr>
            </w:pPr>
            <w:r w:rsidRPr="00464119">
              <w:rPr>
                <w:i/>
                <w:iCs/>
              </w:rPr>
              <w:t>CSAMAX</w:t>
            </w:r>
            <w:r w:rsidRPr="00464119">
              <w:rPr>
                <w:i/>
                <w:iCs/>
                <w:vertAlign w:val="subscript"/>
              </w:rPr>
              <w:t>t</w:t>
            </w:r>
          </w:p>
        </w:tc>
        <w:tc>
          <w:tcPr>
            <w:tcW w:w="6663" w:type="dxa"/>
          </w:tcPr>
          <w:p w14:paraId="322A8A28" w14:textId="535E0B2E" w:rsidR="00D809A0" w:rsidRPr="004C1A71" w:rsidRDefault="00D809A0" w:rsidP="00B03F42">
            <w:r>
              <w:t xml:space="preserve">means the </w:t>
            </w:r>
            <w:r w:rsidRPr="004C1A71">
              <w:t>Planned Supply Interruptions performance score at which the maximum level of reward will be applied, which is fixed as [</w:t>
            </w:r>
            <w:r w:rsidR="00B03F42">
              <w:t>9.13</w:t>
            </w:r>
            <w:r w:rsidRPr="004C1A71">
              <w:t>]</w:t>
            </w:r>
            <w:r>
              <w:t>;</w:t>
            </w:r>
          </w:p>
        </w:tc>
      </w:tr>
      <w:tr w:rsidR="00D809A0" w:rsidRPr="00234BAC" w14:paraId="1E190680" w14:textId="77777777" w:rsidTr="00D809A0">
        <w:trPr>
          <w:trHeight w:val="567"/>
        </w:trPr>
        <w:tc>
          <w:tcPr>
            <w:tcW w:w="1559" w:type="dxa"/>
          </w:tcPr>
          <w:p w14:paraId="7D5A6B0B" w14:textId="3E5ECA31" w:rsidR="00D809A0" w:rsidRPr="00464119" w:rsidRDefault="00D809A0" w:rsidP="00D809A0">
            <w:pPr>
              <w:rPr>
                <w:i/>
                <w:iCs/>
              </w:rPr>
            </w:pPr>
            <w:r w:rsidRPr="00464119">
              <w:rPr>
                <w:i/>
                <w:iCs/>
              </w:rPr>
              <w:t>CSAMIN</w:t>
            </w:r>
            <w:r w:rsidRPr="00464119">
              <w:rPr>
                <w:i/>
                <w:iCs/>
                <w:vertAlign w:val="subscript"/>
              </w:rPr>
              <w:t>t</w:t>
            </w:r>
          </w:p>
        </w:tc>
        <w:tc>
          <w:tcPr>
            <w:tcW w:w="6663" w:type="dxa"/>
          </w:tcPr>
          <w:p w14:paraId="10C985A7" w14:textId="035007F3" w:rsidR="00D809A0" w:rsidRPr="004C1A71" w:rsidRDefault="00D809A0" w:rsidP="00B03F42">
            <w:r>
              <w:t xml:space="preserve">means the </w:t>
            </w:r>
            <w:r w:rsidRPr="004C1A71">
              <w:t>Planned Supply Interruptions performance score at which the maximum level of penalty will be applied, which is fixed as [</w:t>
            </w:r>
            <w:r w:rsidR="00B03F42">
              <w:t>7.87</w:t>
            </w:r>
            <w:r w:rsidRPr="004C1A71">
              <w:t>]</w:t>
            </w:r>
            <w:r>
              <w:t>; and</w:t>
            </w:r>
          </w:p>
        </w:tc>
      </w:tr>
      <w:tr w:rsidR="00D809A0" w:rsidRPr="00234BAC" w14:paraId="1C62EEC1" w14:textId="77777777" w:rsidTr="00D809A0">
        <w:trPr>
          <w:trHeight w:val="567"/>
        </w:trPr>
        <w:tc>
          <w:tcPr>
            <w:tcW w:w="1559" w:type="dxa"/>
          </w:tcPr>
          <w:p w14:paraId="411B2422" w14:textId="19D9F18E" w:rsidR="00D809A0" w:rsidRPr="00464119" w:rsidRDefault="00D809A0" w:rsidP="00D809A0">
            <w:pPr>
              <w:rPr>
                <w:i/>
                <w:iCs/>
              </w:rPr>
            </w:pPr>
            <w:r w:rsidRPr="00464119">
              <w:rPr>
                <w:i/>
                <w:iCs/>
              </w:rPr>
              <w:t>EABR</w:t>
            </w:r>
            <w:r w:rsidRPr="00464119">
              <w:rPr>
                <w:i/>
                <w:iCs/>
                <w:vertAlign w:val="subscript"/>
              </w:rPr>
              <w:t>t</w:t>
            </w:r>
          </w:p>
        </w:tc>
        <w:tc>
          <w:tcPr>
            <w:tcW w:w="6663" w:type="dxa"/>
          </w:tcPr>
          <w:p w14:paraId="4945F8B4" w14:textId="7E2E7ED3" w:rsidR="00D809A0" w:rsidRPr="004C1A71" w:rsidRDefault="00A2394D" w:rsidP="00A2394D">
            <w:r>
              <w:t>means Ex-a</w:t>
            </w:r>
            <w:r w:rsidR="00D809A0">
              <w:t>nte Base Revenue</w:t>
            </w:r>
            <w:r>
              <w:t>.</w:t>
            </w:r>
          </w:p>
        </w:tc>
      </w:tr>
    </w:tbl>
    <w:p w14:paraId="1A6E2208" w14:textId="77777777" w:rsidR="00D809A0" w:rsidRDefault="00D809A0" w:rsidP="00D809A0"/>
    <w:p w14:paraId="0E1C3E10" w14:textId="77777777" w:rsidR="00D809A0" w:rsidRPr="00AE57AC" w:rsidRDefault="00D809A0" w:rsidP="00D51F4A">
      <w:pPr>
        <w:pStyle w:val="Heading3"/>
        <w:numPr>
          <w:ilvl w:val="5"/>
          <w:numId w:val="7"/>
        </w:numPr>
      </w:pPr>
      <w:r>
        <w:t>Unplanned Supply Interruptions element of the Customer Satisfaction Survey</w:t>
      </w:r>
    </w:p>
    <w:p w14:paraId="6C85A548" w14:textId="05F6657E" w:rsidR="00D809A0" w:rsidRPr="004C1A71" w:rsidRDefault="00D809A0" w:rsidP="00D809A0">
      <w:r>
        <w:t xml:space="preserve">The </w:t>
      </w:r>
      <w:r w:rsidRPr="00E21F40">
        <w:rPr>
          <w:i/>
          <w:iCs/>
        </w:rPr>
        <w:t>CSB</w:t>
      </w:r>
      <w:r w:rsidRPr="00E21F40">
        <w:rPr>
          <w:i/>
          <w:iCs/>
          <w:vertAlign w:val="subscript"/>
        </w:rPr>
        <w:t>t</w:t>
      </w:r>
      <w:r w:rsidRPr="004C1A71">
        <w:t xml:space="preserve"> term is derived in accordance with the following formula: </w:t>
      </w:r>
    </w:p>
    <w:p w14:paraId="5E22A135" w14:textId="77777777" w:rsidR="00D809A0" w:rsidRPr="004C1A71" w:rsidRDefault="008C7681" w:rsidP="00D809A0">
      <m:oMathPara>
        <m:oMathParaPr>
          <m:jc m:val="left"/>
        </m:oMathParaPr>
        <m:oMath>
          <m:sSub>
            <m:sSubPr>
              <m:ctrlPr>
                <w:rPr>
                  <w:rFonts w:ascii="Cambria Math" w:hAnsi="Cambria Math"/>
                </w:rPr>
              </m:ctrlPr>
            </m:sSubPr>
            <m:e>
              <m:r>
                <w:rPr>
                  <w:rFonts w:ascii="Cambria Math" w:hAnsi="Cambria Math"/>
                </w:rPr>
                <m:t>CSB</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m:rPr>
                      <m:sty m:val="p"/>
                    </m:rPr>
                    <w:rPr>
                      <w:rFonts w:ascii="Cambria Math" w:hAnsi="Cambria Math"/>
                    </w:rPr>
                    <m:t>min⁡</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CSBS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CSBTU</m:t>
                              </m:r>
                            </m:e>
                            <m:sub>
                              <m:r>
                                <w:rPr>
                                  <w:rFonts w:ascii="Cambria Math" w:hAnsi="Cambria Math"/>
                                </w:rPr>
                                <m:t>t</m:t>
                              </m:r>
                            </m:sub>
                          </m:sSub>
                        </m:num>
                        <m:den>
                          <m:sSub>
                            <m:sSubPr>
                              <m:ctrlPr>
                                <w:rPr>
                                  <w:rFonts w:ascii="Cambria Math" w:hAnsi="Cambria Math"/>
                                </w:rPr>
                              </m:ctrlPr>
                            </m:sSubPr>
                            <m:e>
                              <m:r>
                                <w:rPr>
                                  <w:rFonts w:ascii="Cambria Math" w:hAnsi="Cambria Math"/>
                                </w:rPr>
                                <m:t>CSBMAX</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CSBTU</m:t>
                              </m:r>
                            </m:e>
                            <m:sub>
                              <m:r>
                                <w:rPr>
                                  <w:rFonts w:ascii="Cambria Math" w:hAnsi="Cambria Math"/>
                                </w:rPr>
                                <m:t>t</m:t>
                              </m:r>
                            </m:sub>
                          </m:sSub>
                        </m:den>
                      </m:f>
                      <m:r>
                        <m:rPr>
                          <m:sty m:val="p"/>
                        </m:rPr>
                        <w:rPr>
                          <w:rFonts w:ascii="Cambria Math" w:hAnsi="Cambria Math"/>
                        </w:rPr>
                        <m:t>, 1</m:t>
                      </m:r>
                    </m:e>
                  </m:d>
                  <m:sSub>
                    <m:sSubPr>
                      <m:ctrlPr>
                        <w:rPr>
                          <w:rFonts w:ascii="Cambria Math" w:hAnsi="Cambria Math"/>
                        </w:rPr>
                      </m:ctrlPr>
                    </m:sSubPr>
                    <m:e>
                      <m:r>
                        <m:rPr>
                          <m:sty m:val="p"/>
                        </m:rPr>
                        <w:rPr>
                          <w:rFonts w:ascii="Cambria Math" w:hAnsi="Cambria Math"/>
                        </w:rPr>
                        <m:t xml:space="preserve">0.005/3 </m:t>
                      </m:r>
                      <m:r>
                        <w:rPr>
                          <w:rFonts w:ascii="Cambria Math" w:hAnsi="Cambria Math"/>
                        </w:rPr>
                        <m:t>EABR</m:t>
                      </m:r>
                    </m:e>
                    <m:sub>
                      <m:r>
                        <w:rPr>
                          <w:rFonts w:ascii="Cambria Math" w:hAnsi="Cambria Math"/>
                        </w:rPr>
                        <m:t>t</m:t>
                      </m:r>
                    </m:sub>
                  </m:sSub>
                  <m:r>
                    <m:rPr>
                      <m:sty m:val="p"/>
                    </m:rPr>
                    <w:rPr>
                      <w:rFonts w:ascii="Cambria Math" w:hAnsi="Cambria Math"/>
                    </w:rPr>
                    <m:t>,  &amp;</m:t>
                  </m:r>
                  <m:sSub>
                    <m:sSubPr>
                      <m:ctrlPr>
                        <w:rPr>
                          <w:rFonts w:ascii="Cambria Math" w:hAnsi="Cambria Math"/>
                        </w:rPr>
                      </m:ctrlPr>
                    </m:sSubPr>
                    <m:e>
                      <m:r>
                        <w:rPr>
                          <w:rFonts w:ascii="Cambria Math" w:hAnsi="Cambria Math"/>
                        </w:rPr>
                        <m:t>CSBS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CSBTU</m:t>
                      </m:r>
                    </m:e>
                    <m:sub>
                      <m:r>
                        <w:rPr>
                          <w:rFonts w:ascii="Cambria Math" w:hAnsi="Cambria Math"/>
                        </w:rPr>
                        <m:t>t</m:t>
                      </m:r>
                    </m:sub>
                  </m:sSub>
                </m:e>
                <m:e>
                  <m:r>
                    <m:rPr>
                      <m:sty m:val="p"/>
                    </m:rPr>
                    <w:rPr>
                      <w:rFonts w:ascii="Cambria Math" w:hAnsi="Cambria Math"/>
                    </w:rPr>
                    <m:t>max⁡</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CSBS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CSBT</m:t>
                              </m:r>
                            </m:e>
                            <m:sub>
                              <m:r>
                                <w:rPr>
                                  <w:rFonts w:ascii="Cambria Math" w:hAnsi="Cambria Math"/>
                                </w:rPr>
                                <m:t>t</m:t>
                              </m:r>
                            </m:sub>
                          </m:sSub>
                        </m:num>
                        <m:den>
                          <m:sSub>
                            <m:sSubPr>
                              <m:ctrlPr>
                                <w:rPr>
                                  <w:rFonts w:ascii="Cambria Math" w:hAnsi="Cambria Math"/>
                                </w:rPr>
                              </m:ctrlPr>
                            </m:sSubPr>
                            <m:e>
                              <m:r>
                                <w:rPr>
                                  <w:rFonts w:ascii="Cambria Math" w:hAnsi="Cambria Math"/>
                                </w:rPr>
                                <m:t>CSBT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CSBMIN</m:t>
                              </m:r>
                            </m:e>
                            <m:sub>
                              <m:r>
                                <w:rPr>
                                  <w:rFonts w:ascii="Cambria Math" w:hAnsi="Cambria Math"/>
                                </w:rPr>
                                <m:t>t</m:t>
                              </m:r>
                            </m:sub>
                          </m:sSub>
                        </m:den>
                      </m:f>
                      <m:r>
                        <m:rPr>
                          <m:sty m:val="p"/>
                        </m:rPr>
                        <w:rPr>
                          <w:rFonts w:ascii="Cambria Math" w:hAnsi="Cambria Math"/>
                        </w:rPr>
                        <m:t>, -1</m:t>
                      </m:r>
                    </m:e>
                  </m:d>
                  <m:sSub>
                    <m:sSubPr>
                      <m:ctrlPr>
                        <w:rPr>
                          <w:rFonts w:ascii="Cambria Math" w:hAnsi="Cambria Math"/>
                        </w:rPr>
                      </m:ctrlPr>
                    </m:sSubPr>
                    <m:e>
                      <m:f>
                        <m:fPr>
                          <m:ctrlPr>
                            <w:rPr>
                              <w:rFonts w:ascii="Cambria Math" w:hAnsi="Cambria Math"/>
                            </w:rPr>
                          </m:ctrlPr>
                        </m:fPr>
                        <m:num>
                          <m:r>
                            <m:rPr>
                              <m:sty m:val="p"/>
                            </m:rPr>
                            <w:rPr>
                              <w:rFonts w:ascii="Cambria Math" w:hAnsi="Cambria Math"/>
                            </w:rPr>
                            <m:t>0.005</m:t>
                          </m:r>
                        </m:num>
                        <m:den>
                          <m:r>
                            <m:rPr>
                              <m:sty m:val="p"/>
                            </m:rPr>
                            <w:rPr>
                              <w:rFonts w:ascii="Cambria Math" w:hAnsi="Cambria Math"/>
                            </w:rPr>
                            <m:t>3</m:t>
                          </m:r>
                        </m:den>
                      </m:f>
                      <m:r>
                        <w:rPr>
                          <w:rFonts w:ascii="Cambria Math" w:hAnsi="Cambria Math"/>
                        </w:rPr>
                        <m:t>EABR</m:t>
                      </m:r>
                    </m:e>
                    <m:sub>
                      <m:r>
                        <w:rPr>
                          <w:rFonts w:ascii="Cambria Math" w:hAnsi="Cambria Math"/>
                        </w:rPr>
                        <m:t>t</m:t>
                      </m:r>
                    </m:sub>
                  </m:sSub>
                  <m:r>
                    <m:rPr>
                      <m:sty m:val="p"/>
                    </m:rPr>
                    <w:rPr>
                      <w:rFonts w:ascii="Cambria Math" w:hAnsi="Cambria Math"/>
                    </w:rPr>
                    <m:t>,  &amp;</m:t>
                  </m:r>
                  <m:sSub>
                    <m:sSubPr>
                      <m:ctrlPr>
                        <w:rPr>
                          <w:rFonts w:ascii="Cambria Math" w:hAnsi="Cambria Math"/>
                        </w:rPr>
                      </m:ctrlPr>
                    </m:sSubPr>
                    <m:e>
                      <m:r>
                        <w:rPr>
                          <w:rFonts w:ascii="Cambria Math" w:hAnsi="Cambria Math"/>
                        </w:rPr>
                        <m:t>CSBS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CSBT</m:t>
                      </m:r>
                    </m:e>
                    <m:sub>
                      <m:r>
                        <w:rPr>
                          <w:rFonts w:ascii="Cambria Math" w:hAnsi="Cambria Math"/>
                        </w:rPr>
                        <m:t>t</m:t>
                      </m:r>
                    </m:sub>
                  </m:sSub>
                </m:e>
                <m:e>
                  <m:r>
                    <m:rPr>
                      <m:sty m:val="p"/>
                    </m:rPr>
                    <w:rPr>
                      <w:rFonts w:ascii="Cambria Math" w:hAnsi="Cambria Math"/>
                    </w:rPr>
                    <m:t>0,  &amp;</m:t>
                  </m:r>
                  <m:sSub>
                    <m:sSubPr>
                      <m:ctrlPr>
                        <w:rPr>
                          <w:rFonts w:ascii="Cambria Math" w:hAnsi="Cambria Math"/>
                        </w:rPr>
                      </m:ctrlPr>
                    </m:sSubPr>
                    <m:e>
                      <m:r>
                        <w:rPr>
                          <w:rFonts w:ascii="Cambria Math" w:hAnsi="Cambria Math"/>
                        </w:rPr>
                        <m:t>Otherwise</m:t>
                      </m:r>
                    </m:e>
                    <m:sub/>
                  </m:sSub>
                </m:e>
              </m:eqArr>
            </m:e>
          </m:d>
        </m:oMath>
      </m:oMathPara>
    </w:p>
    <w:p w14:paraId="718F5760" w14:textId="6A7C34C8" w:rsidR="00D809A0" w:rsidRPr="004C1A71" w:rsidRDefault="00195650" w:rsidP="00D809A0">
      <w:r>
        <w:tab/>
      </w:r>
      <w:r w:rsidR="00D809A0">
        <w:t>w</w:t>
      </w:r>
      <w:r w:rsidR="00D809A0" w:rsidRPr="004C1A71">
        <w:t>here:</w:t>
      </w:r>
    </w:p>
    <w:tbl>
      <w:tblPr>
        <w:tblW w:w="8222" w:type="dxa"/>
        <w:tblInd w:w="817" w:type="dxa"/>
        <w:tblLayout w:type="fixed"/>
        <w:tblLook w:val="04A0" w:firstRow="1" w:lastRow="0" w:firstColumn="1" w:lastColumn="0" w:noHBand="0" w:noVBand="1"/>
      </w:tblPr>
      <w:tblGrid>
        <w:gridCol w:w="1559"/>
        <w:gridCol w:w="6663"/>
      </w:tblGrid>
      <w:tr w:rsidR="00D809A0" w:rsidRPr="00234BAC" w14:paraId="2AEA0D2D" w14:textId="77777777" w:rsidTr="00D809A0">
        <w:trPr>
          <w:trHeight w:val="567"/>
        </w:trPr>
        <w:tc>
          <w:tcPr>
            <w:tcW w:w="1559" w:type="dxa"/>
          </w:tcPr>
          <w:p w14:paraId="2317F803" w14:textId="77777777" w:rsidR="00D809A0" w:rsidRPr="00E21F40" w:rsidRDefault="00D809A0" w:rsidP="00D809A0">
            <w:pPr>
              <w:rPr>
                <w:i/>
                <w:iCs/>
              </w:rPr>
            </w:pPr>
            <w:r w:rsidRPr="00E21F40">
              <w:rPr>
                <w:i/>
                <w:iCs/>
              </w:rPr>
              <w:t>CSBSt</w:t>
            </w:r>
          </w:p>
        </w:tc>
        <w:tc>
          <w:tcPr>
            <w:tcW w:w="6663" w:type="dxa"/>
          </w:tcPr>
          <w:p w14:paraId="6992418F" w14:textId="58A05575" w:rsidR="00D809A0" w:rsidRPr="004C1A71" w:rsidRDefault="00D809A0" w:rsidP="00D809A0">
            <w:r w:rsidRPr="001B1601">
              <w:t xml:space="preserve">means the </w:t>
            </w:r>
            <w:r w:rsidRPr="004C1A71">
              <w:t>performance score for the Unplanned Supply Interruptions element of the Customer Satisfaction Survey</w:t>
            </w:r>
            <w:r>
              <w:t>;</w:t>
            </w:r>
          </w:p>
        </w:tc>
      </w:tr>
      <w:tr w:rsidR="00D809A0" w:rsidRPr="00234BAC" w14:paraId="60311339" w14:textId="77777777" w:rsidTr="00D809A0">
        <w:trPr>
          <w:trHeight w:val="567"/>
        </w:trPr>
        <w:tc>
          <w:tcPr>
            <w:tcW w:w="1559" w:type="dxa"/>
          </w:tcPr>
          <w:p w14:paraId="70084558" w14:textId="77777777" w:rsidR="00D809A0" w:rsidRPr="00E21F40" w:rsidRDefault="00D809A0" w:rsidP="00D809A0">
            <w:pPr>
              <w:rPr>
                <w:i/>
                <w:iCs/>
              </w:rPr>
            </w:pPr>
            <w:r w:rsidRPr="00E21F40">
              <w:rPr>
                <w:i/>
                <w:iCs/>
              </w:rPr>
              <w:t>CSBTt</w:t>
            </w:r>
          </w:p>
          <w:p w14:paraId="0859448C" w14:textId="77777777" w:rsidR="00D809A0" w:rsidRPr="00E21F40" w:rsidRDefault="00D809A0" w:rsidP="00D809A0">
            <w:pPr>
              <w:rPr>
                <w:i/>
                <w:iCs/>
              </w:rPr>
            </w:pPr>
          </w:p>
          <w:p w14:paraId="63A760D6" w14:textId="77777777" w:rsidR="00D809A0" w:rsidRPr="00E21F40" w:rsidRDefault="00D809A0" w:rsidP="00D809A0">
            <w:pPr>
              <w:rPr>
                <w:i/>
                <w:iCs/>
              </w:rPr>
            </w:pPr>
            <w:r w:rsidRPr="00E21F40">
              <w:rPr>
                <w:i/>
                <w:iCs/>
              </w:rPr>
              <w:t>CSBTUt</w:t>
            </w:r>
          </w:p>
        </w:tc>
        <w:tc>
          <w:tcPr>
            <w:tcW w:w="6663" w:type="dxa"/>
          </w:tcPr>
          <w:p w14:paraId="273AD181" w14:textId="63AE4A1A" w:rsidR="00D809A0" w:rsidRPr="004C1A71" w:rsidRDefault="00D809A0" w:rsidP="00D809A0">
            <w:r w:rsidRPr="00234BAC">
              <w:t xml:space="preserve">means </w:t>
            </w:r>
            <w:r w:rsidRPr="004C1A71">
              <w:t>the Unplanned Supply Interru</w:t>
            </w:r>
            <w:r w:rsidR="00B03F42">
              <w:t>ptions score target, fixed at [9.37</w:t>
            </w:r>
            <w:r w:rsidRPr="004C1A71">
              <w:t>]</w:t>
            </w:r>
            <w:r>
              <w:t>;</w:t>
            </w:r>
          </w:p>
          <w:p w14:paraId="1683FA96" w14:textId="3F1DF005" w:rsidR="00D809A0" w:rsidRPr="004C1A71" w:rsidRDefault="00D809A0" w:rsidP="00B03F42">
            <w:r>
              <w:t>means the Un</w:t>
            </w:r>
            <w:r w:rsidRPr="004C1A71">
              <w:t>planned Supply Interruptions score at which the rew</w:t>
            </w:r>
            <w:r w:rsidR="00B03F42">
              <w:t>ard will be applied, fixed at [9</w:t>
            </w:r>
            <w:r w:rsidRPr="004C1A71">
              <w:t>.</w:t>
            </w:r>
            <w:r w:rsidR="00B03F42">
              <w:t>44</w:t>
            </w:r>
            <w:r w:rsidRPr="004C1A71">
              <w:t>]</w:t>
            </w:r>
            <w:r>
              <w:t>;</w:t>
            </w:r>
          </w:p>
        </w:tc>
      </w:tr>
      <w:tr w:rsidR="00D809A0" w:rsidRPr="00234BAC" w14:paraId="68207F8D" w14:textId="77777777" w:rsidTr="00D809A0">
        <w:trPr>
          <w:trHeight w:val="567"/>
        </w:trPr>
        <w:tc>
          <w:tcPr>
            <w:tcW w:w="1559" w:type="dxa"/>
          </w:tcPr>
          <w:p w14:paraId="55BB5D87" w14:textId="77777777" w:rsidR="00D809A0" w:rsidRPr="00E21F40" w:rsidRDefault="00D809A0" w:rsidP="00D809A0">
            <w:pPr>
              <w:rPr>
                <w:i/>
                <w:iCs/>
              </w:rPr>
            </w:pPr>
            <w:r w:rsidRPr="00E21F40">
              <w:rPr>
                <w:i/>
                <w:iCs/>
              </w:rPr>
              <w:t>CSBMAXt</w:t>
            </w:r>
          </w:p>
        </w:tc>
        <w:tc>
          <w:tcPr>
            <w:tcW w:w="6663" w:type="dxa"/>
          </w:tcPr>
          <w:p w14:paraId="0FFFEC7F" w14:textId="08E36083" w:rsidR="00D809A0" w:rsidRPr="004C1A71" w:rsidRDefault="00D809A0" w:rsidP="00A2394D">
            <w:r w:rsidRPr="001B1601">
              <w:t xml:space="preserve">means the </w:t>
            </w:r>
            <w:r w:rsidRPr="004C1A71">
              <w:t>Unplanned Supply Interruptions performance score at which the maximum level of  reward will be applied; which is fixed as [</w:t>
            </w:r>
            <w:r w:rsidR="00A2394D">
              <w:t>9.5]</w:t>
            </w:r>
            <w:r>
              <w:t>;</w:t>
            </w:r>
          </w:p>
        </w:tc>
      </w:tr>
      <w:tr w:rsidR="00D809A0" w:rsidRPr="00234BAC" w14:paraId="0C426F2A" w14:textId="77777777" w:rsidTr="00D809A0">
        <w:trPr>
          <w:trHeight w:val="567"/>
        </w:trPr>
        <w:tc>
          <w:tcPr>
            <w:tcW w:w="1559" w:type="dxa"/>
          </w:tcPr>
          <w:p w14:paraId="41CA4600" w14:textId="77777777" w:rsidR="00D809A0" w:rsidRPr="00E21F40" w:rsidRDefault="00D809A0" w:rsidP="00D809A0">
            <w:pPr>
              <w:rPr>
                <w:i/>
                <w:iCs/>
              </w:rPr>
            </w:pPr>
            <w:r w:rsidRPr="00E21F40">
              <w:rPr>
                <w:i/>
                <w:iCs/>
              </w:rPr>
              <w:t>CSBMINt</w:t>
            </w:r>
          </w:p>
        </w:tc>
        <w:tc>
          <w:tcPr>
            <w:tcW w:w="6663" w:type="dxa"/>
          </w:tcPr>
          <w:p w14:paraId="07EC388F" w14:textId="7B031BB8" w:rsidR="00D809A0" w:rsidRPr="004C1A71" w:rsidRDefault="00D809A0" w:rsidP="00A2394D">
            <w:r w:rsidRPr="00FC73E3">
              <w:t xml:space="preserve">means the </w:t>
            </w:r>
            <w:r w:rsidRPr="004C1A71">
              <w:t>Unplanned Supply Interruptions performance score at which the maximum level of penalty will be applied; which is fixed as [</w:t>
            </w:r>
            <w:r w:rsidR="00A2394D">
              <w:t>9.15]</w:t>
            </w:r>
            <w:r>
              <w:t>; and</w:t>
            </w:r>
          </w:p>
        </w:tc>
      </w:tr>
      <w:tr w:rsidR="00D809A0" w:rsidRPr="00734C6D" w14:paraId="6F56D6F3" w14:textId="77777777" w:rsidTr="00D809A0">
        <w:trPr>
          <w:trHeight w:val="567"/>
        </w:trPr>
        <w:tc>
          <w:tcPr>
            <w:tcW w:w="1559" w:type="dxa"/>
          </w:tcPr>
          <w:p w14:paraId="6BAF4DFC" w14:textId="77777777" w:rsidR="00D809A0" w:rsidRPr="00E21F40" w:rsidRDefault="00D809A0" w:rsidP="00D809A0">
            <w:pPr>
              <w:rPr>
                <w:i/>
                <w:iCs/>
              </w:rPr>
            </w:pPr>
            <w:r w:rsidRPr="00E21F40">
              <w:rPr>
                <w:i/>
                <w:iCs/>
              </w:rPr>
              <w:t>EABRt</w:t>
            </w:r>
          </w:p>
        </w:tc>
        <w:tc>
          <w:tcPr>
            <w:tcW w:w="6663" w:type="dxa"/>
          </w:tcPr>
          <w:p w14:paraId="3F4FB16F" w14:textId="0DD2BFB0" w:rsidR="00D809A0" w:rsidRPr="00A2394D" w:rsidRDefault="00D809A0" w:rsidP="00D809A0">
            <w:pPr>
              <w:rPr>
                <w:lang w:val="fr-FR"/>
              </w:rPr>
            </w:pPr>
            <w:r w:rsidRPr="00A2394D">
              <w:rPr>
                <w:lang w:val="fr-FR"/>
              </w:rPr>
              <w:t>m</w:t>
            </w:r>
            <w:r w:rsidR="00A2394D">
              <w:rPr>
                <w:lang w:val="fr-FR"/>
              </w:rPr>
              <w:t>eans Ex-a</w:t>
            </w:r>
            <w:r w:rsidRPr="00A2394D">
              <w:rPr>
                <w:lang w:val="fr-FR"/>
              </w:rPr>
              <w:t>nte Base Revenue.</w:t>
            </w:r>
          </w:p>
        </w:tc>
      </w:tr>
    </w:tbl>
    <w:p w14:paraId="71810A22" w14:textId="77777777" w:rsidR="00D809A0" w:rsidRPr="00A2394D" w:rsidRDefault="00D809A0" w:rsidP="00D809A0">
      <w:pPr>
        <w:rPr>
          <w:lang w:val="fr-FR"/>
        </w:rPr>
      </w:pPr>
    </w:p>
    <w:p w14:paraId="7E6E9CE1" w14:textId="77777777" w:rsidR="00D809A0" w:rsidRPr="00AE57AC" w:rsidRDefault="00D809A0" w:rsidP="00D51F4A">
      <w:pPr>
        <w:pStyle w:val="Heading3"/>
        <w:numPr>
          <w:ilvl w:val="5"/>
          <w:numId w:val="7"/>
        </w:numPr>
      </w:pPr>
      <w:r>
        <w:t>Part D: Connections element of the Customer Satisfaction Survey</w:t>
      </w:r>
    </w:p>
    <w:p w14:paraId="74855E8B" w14:textId="77777777" w:rsidR="00D809A0" w:rsidRPr="004C1A71" w:rsidRDefault="00D809A0" w:rsidP="00D51F4A">
      <w:pPr>
        <w:pStyle w:val="NumberedNormal"/>
        <w:numPr>
          <w:ilvl w:val="2"/>
          <w:numId w:val="7"/>
        </w:numPr>
      </w:pPr>
      <w:r>
        <w:t xml:space="preserve">The CSCt term is derived in accordance with the following formula: </w:t>
      </w:r>
    </w:p>
    <w:p w14:paraId="3B88EF9C" w14:textId="77777777" w:rsidR="00D809A0" w:rsidRPr="004C1A71" w:rsidRDefault="008C7681" w:rsidP="00D809A0">
      <m:oMathPara>
        <m:oMathParaPr>
          <m:jc m:val="left"/>
        </m:oMathParaPr>
        <m:oMath>
          <m:sSub>
            <m:sSubPr>
              <m:ctrlPr>
                <w:rPr>
                  <w:rFonts w:ascii="Cambria Math" w:hAnsi="Cambria Math"/>
                </w:rPr>
              </m:ctrlPr>
            </m:sSubPr>
            <m:e>
              <m:r>
                <w:rPr>
                  <w:rFonts w:ascii="Cambria Math" w:hAnsi="Cambria Math"/>
                </w:rPr>
                <m:t>CSC</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m:rPr>
                      <m:sty m:val="p"/>
                    </m:rPr>
                    <w:rPr>
                      <w:rFonts w:ascii="Cambria Math" w:hAnsi="Cambria Math"/>
                    </w:rPr>
                    <m:t>min⁡</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CSCS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CSCTU</m:t>
                              </m:r>
                            </m:e>
                            <m:sub>
                              <m:r>
                                <w:rPr>
                                  <w:rFonts w:ascii="Cambria Math" w:hAnsi="Cambria Math"/>
                                </w:rPr>
                                <m:t>t</m:t>
                              </m:r>
                            </m:sub>
                          </m:sSub>
                        </m:num>
                        <m:den>
                          <m:sSub>
                            <m:sSubPr>
                              <m:ctrlPr>
                                <w:rPr>
                                  <w:rFonts w:ascii="Cambria Math" w:hAnsi="Cambria Math"/>
                                </w:rPr>
                              </m:ctrlPr>
                            </m:sSubPr>
                            <m:e>
                              <m:r>
                                <w:rPr>
                                  <w:rFonts w:ascii="Cambria Math" w:hAnsi="Cambria Math"/>
                                </w:rPr>
                                <m:t>CSCMAX</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CSCTU</m:t>
                              </m:r>
                            </m:e>
                            <m:sub>
                              <m:r>
                                <w:rPr>
                                  <w:rFonts w:ascii="Cambria Math" w:hAnsi="Cambria Math"/>
                                </w:rPr>
                                <m:t>t</m:t>
                              </m:r>
                            </m:sub>
                          </m:sSub>
                        </m:den>
                      </m:f>
                      <m:r>
                        <m:rPr>
                          <m:sty m:val="p"/>
                        </m:rPr>
                        <w:rPr>
                          <w:rFonts w:ascii="Cambria Math" w:hAnsi="Cambria Math"/>
                        </w:rPr>
                        <m:t>, 1</m:t>
                      </m:r>
                    </m:e>
                  </m:d>
                  <m:sSub>
                    <m:sSubPr>
                      <m:ctrlPr>
                        <w:rPr>
                          <w:rFonts w:ascii="Cambria Math" w:hAnsi="Cambria Math"/>
                        </w:rPr>
                      </m:ctrlPr>
                    </m:sSubPr>
                    <m:e>
                      <m:r>
                        <m:rPr>
                          <m:sty m:val="p"/>
                        </m:rPr>
                        <w:rPr>
                          <w:rFonts w:ascii="Cambria Math" w:hAnsi="Cambria Math"/>
                        </w:rPr>
                        <m:t xml:space="preserve">0.005/3 </m:t>
                      </m:r>
                      <m:r>
                        <w:rPr>
                          <w:rFonts w:ascii="Cambria Math" w:hAnsi="Cambria Math"/>
                        </w:rPr>
                        <m:t>EABR</m:t>
                      </m:r>
                    </m:e>
                    <m:sub>
                      <m:r>
                        <w:rPr>
                          <w:rFonts w:ascii="Cambria Math" w:hAnsi="Cambria Math"/>
                        </w:rPr>
                        <m:t>t</m:t>
                      </m:r>
                    </m:sub>
                  </m:sSub>
                  <m:r>
                    <m:rPr>
                      <m:sty m:val="p"/>
                    </m:rPr>
                    <w:rPr>
                      <w:rFonts w:ascii="Cambria Math" w:hAnsi="Cambria Math"/>
                    </w:rPr>
                    <m:t>,  &amp;</m:t>
                  </m:r>
                  <m:sSub>
                    <m:sSubPr>
                      <m:ctrlPr>
                        <w:rPr>
                          <w:rFonts w:ascii="Cambria Math" w:hAnsi="Cambria Math"/>
                        </w:rPr>
                      </m:ctrlPr>
                    </m:sSubPr>
                    <m:e>
                      <m:r>
                        <w:rPr>
                          <w:rFonts w:ascii="Cambria Math" w:hAnsi="Cambria Math"/>
                        </w:rPr>
                        <m:t>CSCS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CSCTU</m:t>
                      </m:r>
                    </m:e>
                    <m:sub>
                      <m:r>
                        <w:rPr>
                          <w:rFonts w:ascii="Cambria Math" w:hAnsi="Cambria Math"/>
                        </w:rPr>
                        <m:t>t</m:t>
                      </m:r>
                    </m:sub>
                  </m:sSub>
                </m:e>
                <m:e>
                  <m:r>
                    <m:rPr>
                      <m:sty m:val="p"/>
                    </m:rPr>
                    <w:rPr>
                      <w:rFonts w:ascii="Cambria Math" w:hAnsi="Cambria Math"/>
                    </w:rPr>
                    <m:t>max⁡</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CSCS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CSCT</m:t>
                              </m:r>
                            </m:e>
                            <m:sub>
                              <m:r>
                                <w:rPr>
                                  <w:rFonts w:ascii="Cambria Math" w:hAnsi="Cambria Math"/>
                                </w:rPr>
                                <m:t>t</m:t>
                              </m:r>
                            </m:sub>
                          </m:sSub>
                        </m:num>
                        <m:den>
                          <m:sSub>
                            <m:sSubPr>
                              <m:ctrlPr>
                                <w:rPr>
                                  <w:rFonts w:ascii="Cambria Math" w:hAnsi="Cambria Math"/>
                                </w:rPr>
                              </m:ctrlPr>
                            </m:sSubPr>
                            <m:e>
                              <m:r>
                                <w:rPr>
                                  <w:rFonts w:ascii="Cambria Math" w:hAnsi="Cambria Math"/>
                                </w:rPr>
                                <m:t>CSCT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CSCMIN</m:t>
                              </m:r>
                            </m:e>
                            <m:sub>
                              <m:r>
                                <w:rPr>
                                  <w:rFonts w:ascii="Cambria Math" w:hAnsi="Cambria Math"/>
                                </w:rPr>
                                <m:t>t</m:t>
                              </m:r>
                            </m:sub>
                          </m:sSub>
                        </m:den>
                      </m:f>
                      <m:r>
                        <m:rPr>
                          <m:sty m:val="p"/>
                        </m:rPr>
                        <w:rPr>
                          <w:rFonts w:ascii="Cambria Math" w:hAnsi="Cambria Math"/>
                        </w:rPr>
                        <m:t>, -1</m:t>
                      </m:r>
                    </m:e>
                  </m:d>
                  <m:sSub>
                    <m:sSubPr>
                      <m:ctrlPr>
                        <w:rPr>
                          <w:rFonts w:ascii="Cambria Math" w:hAnsi="Cambria Math"/>
                        </w:rPr>
                      </m:ctrlPr>
                    </m:sSubPr>
                    <m:e>
                      <m:f>
                        <m:fPr>
                          <m:ctrlPr>
                            <w:rPr>
                              <w:rFonts w:ascii="Cambria Math" w:hAnsi="Cambria Math"/>
                            </w:rPr>
                          </m:ctrlPr>
                        </m:fPr>
                        <m:num>
                          <m:r>
                            <m:rPr>
                              <m:sty m:val="p"/>
                            </m:rPr>
                            <w:rPr>
                              <w:rFonts w:ascii="Cambria Math" w:hAnsi="Cambria Math"/>
                            </w:rPr>
                            <m:t>0.005</m:t>
                          </m:r>
                        </m:num>
                        <m:den>
                          <m:r>
                            <m:rPr>
                              <m:sty m:val="p"/>
                            </m:rPr>
                            <w:rPr>
                              <w:rFonts w:ascii="Cambria Math" w:hAnsi="Cambria Math"/>
                            </w:rPr>
                            <m:t>3</m:t>
                          </m:r>
                        </m:den>
                      </m:f>
                      <m:r>
                        <w:rPr>
                          <w:rFonts w:ascii="Cambria Math" w:hAnsi="Cambria Math"/>
                        </w:rPr>
                        <m:t>EABR</m:t>
                      </m:r>
                    </m:e>
                    <m:sub>
                      <m:r>
                        <w:rPr>
                          <w:rFonts w:ascii="Cambria Math" w:hAnsi="Cambria Math"/>
                        </w:rPr>
                        <m:t>t</m:t>
                      </m:r>
                    </m:sub>
                  </m:sSub>
                  <m:r>
                    <m:rPr>
                      <m:sty m:val="p"/>
                    </m:rPr>
                    <w:rPr>
                      <w:rFonts w:ascii="Cambria Math" w:hAnsi="Cambria Math"/>
                    </w:rPr>
                    <m:t>,  &amp;</m:t>
                  </m:r>
                  <m:sSub>
                    <m:sSubPr>
                      <m:ctrlPr>
                        <w:rPr>
                          <w:rFonts w:ascii="Cambria Math" w:hAnsi="Cambria Math"/>
                        </w:rPr>
                      </m:ctrlPr>
                    </m:sSubPr>
                    <m:e>
                      <m:r>
                        <w:rPr>
                          <w:rFonts w:ascii="Cambria Math" w:hAnsi="Cambria Math"/>
                        </w:rPr>
                        <m:t>CSCS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CSCT</m:t>
                      </m:r>
                    </m:e>
                    <m:sub>
                      <m:r>
                        <w:rPr>
                          <w:rFonts w:ascii="Cambria Math" w:hAnsi="Cambria Math"/>
                        </w:rPr>
                        <m:t>t</m:t>
                      </m:r>
                    </m:sub>
                  </m:sSub>
                </m:e>
                <m:e>
                  <m:r>
                    <m:rPr>
                      <m:sty m:val="p"/>
                    </m:rPr>
                    <w:rPr>
                      <w:rFonts w:ascii="Cambria Math" w:hAnsi="Cambria Math"/>
                    </w:rPr>
                    <m:t>0,  &amp;</m:t>
                  </m:r>
                  <m:sSub>
                    <m:sSubPr>
                      <m:ctrlPr>
                        <w:rPr>
                          <w:rFonts w:ascii="Cambria Math" w:hAnsi="Cambria Math"/>
                        </w:rPr>
                      </m:ctrlPr>
                    </m:sSubPr>
                    <m:e>
                      <m:r>
                        <w:rPr>
                          <w:rFonts w:ascii="Cambria Math" w:hAnsi="Cambria Math"/>
                        </w:rPr>
                        <m:t>Otherwise</m:t>
                      </m:r>
                    </m:e>
                    <m:sub/>
                  </m:sSub>
                  <m:r>
                    <w:rPr>
                      <w:rFonts w:ascii="Cambria Math" w:hAnsi="Cambria Math"/>
                    </w:rPr>
                    <m:t xml:space="preserve"> </m:t>
                  </m:r>
                </m:e>
              </m:eqArr>
            </m:e>
          </m:d>
        </m:oMath>
      </m:oMathPara>
    </w:p>
    <w:p w14:paraId="0F5D09EB" w14:textId="7F752714" w:rsidR="00D809A0" w:rsidRPr="004C1A71" w:rsidRDefault="00A0044B" w:rsidP="00D809A0">
      <w:r>
        <w:tab/>
      </w:r>
      <w:r w:rsidR="00D809A0">
        <w:t>w</w:t>
      </w:r>
      <w:r w:rsidR="00D809A0" w:rsidRPr="004C1A71">
        <w:t>here</w:t>
      </w:r>
      <w:r w:rsidR="00D809A0">
        <w:t>:</w:t>
      </w:r>
    </w:p>
    <w:tbl>
      <w:tblPr>
        <w:tblStyle w:val="TableGridLight"/>
        <w:tblW w:w="8222" w:type="dxa"/>
        <w:tblLayout w:type="fixed"/>
        <w:tblLook w:val="04A0" w:firstRow="1" w:lastRow="0" w:firstColumn="1" w:lastColumn="0" w:noHBand="0" w:noVBand="1"/>
      </w:tblPr>
      <w:tblGrid>
        <w:gridCol w:w="1559"/>
        <w:gridCol w:w="6663"/>
      </w:tblGrid>
      <w:tr w:rsidR="00D809A0" w:rsidRPr="00234BAC" w14:paraId="7E36CD7F" w14:textId="77777777" w:rsidTr="00A0044B">
        <w:trPr>
          <w:trHeight w:val="567"/>
        </w:trPr>
        <w:tc>
          <w:tcPr>
            <w:tcW w:w="1559" w:type="dxa"/>
          </w:tcPr>
          <w:p w14:paraId="7F523277" w14:textId="77777777" w:rsidR="00D809A0" w:rsidRPr="00A0044B" w:rsidRDefault="00D809A0" w:rsidP="00D809A0">
            <w:pPr>
              <w:rPr>
                <w:i/>
                <w:iCs/>
              </w:rPr>
            </w:pPr>
            <w:r w:rsidRPr="00A0044B">
              <w:rPr>
                <w:i/>
                <w:iCs/>
              </w:rPr>
              <w:t>CSCS</w:t>
            </w:r>
            <w:r w:rsidRPr="00A0044B">
              <w:rPr>
                <w:i/>
                <w:iCs/>
                <w:vertAlign w:val="subscript"/>
              </w:rPr>
              <w:t>t</w:t>
            </w:r>
          </w:p>
        </w:tc>
        <w:tc>
          <w:tcPr>
            <w:tcW w:w="6663" w:type="dxa"/>
          </w:tcPr>
          <w:p w14:paraId="0F6704FB" w14:textId="254243DA" w:rsidR="00D809A0" w:rsidRPr="004C1A71" w:rsidRDefault="00D809A0" w:rsidP="00D809A0">
            <w:r w:rsidRPr="001B1601">
              <w:t xml:space="preserve">means the </w:t>
            </w:r>
            <w:r w:rsidRPr="004C1A71">
              <w:t>performance score for the Connections element of the Customer Satisfaction Survey</w:t>
            </w:r>
            <w:r>
              <w:t>;</w:t>
            </w:r>
          </w:p>
        </w:tc>
      </w:tr>
      <w:tr w:rsidR="00D809A0" w:rsidRPr="00234BAC" w14:paraId="617CF86C" w14:textId="77777777" w:rsidTr="00A0044B">
        <w:trPr>
          <w:trHeight w:val="567"/>
        </w:trPr>
        <w:tc>
          <w:tcPr>
            <w:tcW w:w="1559" w:type="dxa"/>
          </w:tcPr>
          <w:p w14:paraId="399189AA" w14:textId="1B9D032B" w:rsidR="00D809A0" w:rsidRPr="00A0044B" w:rsidRDefault="00D809A0" w:rsidP="00D809A0">
            <w:pPr>
              <w:rPr>
                <w:i/>
                <w:iCs/>
              </w:rPr>
            </w:pPr>
            <w:r w:rsidRPr="00A0044B">
              <w:rPr>
                <w:i/>
                <w:iCs/>
              </w:rPr>
              <w:t>CSCT</w:t>
            </w:r>
            <w:r w:rsidRPr="00A0044B">
              <w:rPr>
                <w:i/>
                <w:iCs/>
                <w:vertAlign w:val="subscript"/>
              </w:rPr>
              <w:t>t</w:t>
            </w:r>
          </w:p>
        </w:tc>
        <w:tc>
          <w:tcPr>
            <w:tcW w:w="6663" w:type="dxa"/>
          </w:tcPr>
          <w:p w14:paraId="1F5B12D4" w14:textId="13DCB17C" w:rsidR="00D809A0" w:rsidRPr="004C1A71" w:rsidRDefault="00D809A0" w:rsidP="00D809A0">
            <w:r w:rsidRPr="00FC73E3">
              <w:t>means the</w:t>
            </w:r>
            <w:r w:rsidRPr="004C1A71">
              <w:t xml:space="preserve"> Connections score target, which will be fixed at [</w:t>
            </w:r>
            <w:r w:rsidR="00A2394D">
              <w:t>8.38</w:t>
            </w:r>
            <w:r w:rsidRPr="004C1A71">
              <w:t>.]</w:t>
            </w:r>
            <w:r>
              <w:t>;</w:t>
            </w:r>
          </w:p>
          <w:p w14:paraId="03EE2137" w14:textId="527A8DCA" w:rsidR="00D809A0" w:rsidRPr="004C1A71" w:rsidRDefault="00D809A0" w:rsidP="00D809A0"/>
        </w:tc>
      </w:tr>
      <w:tr w:rsidR="00A0044B" w:rsidRPr="00234BAC" w14:paraId="52740B4C" w14:textId="77777777" w:rsidTr="00A0044B">
        <w:trPr>
          <w:trHeight w:val="567"/>
        </w:trPr>
        <w:tc>
          <w:tcPr>
            <w:tcW w:w="1559" w:type="dxa"/>
          </w:tcPr>
          <w:p w14:paraId="1765EA66" w14:textId="32A91A35" w:rsidR="00A0044B" w:rsidRPr="00A0044B" w:rsidRDefault="00A0044B" w:rsidP="00D809A0">
            <w:pPr>
              <w:rPr>
                <w:i/>
                <w:iCs/>
              </w:rPr>
            </w:pPr>
            <w:r w:rsidRPr="00A0044B">
              <w:rPr>
                <w:i/>
                <w:iCs/>
              </w:rPr>
              <w:t>CSCTU</w:t>
            </w:r>
            <w:r w:rsidRPr="00A0044B">
              <w:rPr>
                <w:i/>
                <w:iCs/>
                <w:vertAlign w:val="subscript"/>
              </w:rPr>
              <w:t>t</w:t>
            </w:r>
          </w:p>
        </w:tc>
        <w:tc>
          <w:tcPr>
            <w:tcW w:w="6663" w:type="dxa"/>
          </w:tcPr>
          <w:p w14:paraId="3BDE190E" w14:textId="4AD4E35E" w:rsidR="00A0044B" w:rsidRPr="00FC73E3" w:rsidRDefault="00A0044B" w:rsidP="00A2394D">
            <w:r>
              <w:t xml:space="preserve">means the </w:t>
            </w:r>
            <w:r w:rsidRPr="004C1A71">
              <w:t>Connections score at which the reward will be applied, fixed at [</w:t>
            </w:r>
            <w:r w:rsidR="00A2394D">
              <w:t>8.86</w:t>
            </w:r>
            <w:r w:rsidRPr="004C1A71">
              <w:t>]</w:t>
            </w:r>
            <w:r>
              <w:t>;</w:t>
            </w:r>
          </w:p>
        </w:tc>
      </w:tr>
      <w:tr w:rsidR="00D809A0" w:rsidRPr="00234BAC" w14:paraId="14FDF6DB" w14:textId="77777777" w:rsidTr="00A0044B">
        <w:trPr>
          <w:trHeight w:val="567"/>
        </w:trPr>
        <w:tc>
          <w:tcPr>
            <w:tcW w:w="1559" w:type="dxa"/>
          </w:tcPr>
          <w:p w14:paraId="12531EFB" w14:textId="77777777" w:rsidR="00D809A0" w:rsidRPr="00A0044B" w:rsidRDefault="00D809A0" w:rsidP="00D809A0">
            <w:pPr>
              <w:rPr>
                <w:i/>
                <w:iCs/>
              </w:rPr>
            </w:pPr>
            <w:r w:rsidRPr="00A0044B">
              <w:rPr>
                <w:i/>
                <w:iCs/>
              </w:rPr>
              <w:t>CSCMAX</w:t>
            </w:r>
            <w:r w:rsidRPr="00A0044B">
              <w:rPr>
                <w:i/>
                <w:iCs/>
                <w:vertAlign w:val="subscript"/>
              </w:rPr>
              <w:t>t</w:t>
            </w:r>
          </w:p>
        </w:tc>
        <w:tc>
          <w:tcPr>
            <w:tcW w:w="6663" w:type="dxa"/>
          </w:tcPr>
          <w:p w14:paraId="19D82B33" w14:textId="7889D8F1" w:rsidR="00D809A0" w:rsidRPr="004C1A71" w:rsidRDefault="00D809A0" w:rsidP="00A2394D">
            <w:r w:rsidRPr="00FC73E3">
              <w:t xml:space="preserve">means the </w:t>
            </w:r>
            <w:r w:rsidRPr="004C1A71">
              <w:t xml:space="preserve">Connections performance score at which the maximum </w:t>
            </w:r>
            <w:r w:rsidR="00A2394D">
              <w:t>level of reward will be applied,</w:t>
            </w:r>
            <w:r w:rsidRPr="004C1A71">
              <w:t xml:space="preserve"> which is fixed as [</w:t>
            </w:r>
            <w:r w:rsidR="00A2394D">
              <w:t>9.33</w:t>
            </w:r>
            <w:r w:rsidRPr="004C1A71">
              <w:t>]</w:t>
            </w:r>
            <w:r>
              <w:t>;</w:t>
            </w:r>
          </w:p>
        </w:tc>
      </w:tr>
      <w:tr w:rsidR="00D809A0" w:rsidRPr="00234BAC" w14:paraId="4356364A" w14:textId="77777777" w:rsidTr="00A0044B">
        <w:trPr>
          <w:trHeight w:val="567"/>
        </w:trPr>
        <w:tc>
          <w:tcPr>
            <w:tcW w:w="1559" w:type="dxa"/>
          </w:tcPr>
          <w:p w14:paraId="6DF3F34B" w14:textId="77777777" w:rsidR="00D809A0" w:rsidRPr="00A0044B" w:rsidRDefault="00D809A0" w:rsidP="00D809A0">
            <w:pPr>
              <w:rPr>
                <w:i/>
                <w:iCs/>
              </w:rPr>
            </w:pPr>
            <w:r w:rsidRPr="00A0044B">
              <w:rPr>
                <w:i/>
                <w:iCs/>
              </w:rPr>
              <w:lastRenderedPageBreak/>
              <w:t>CSCMIN</w:t>
            </w:r>
            <w:r w:rsidRPr="00A0044B">
              <w:rPr>
                <w:i/>
                <w:iCs/>
                <w:vertAlign w:val="subscript"/>
              </w:rPr>
              <w:t>t</w:t>
            </w:r>
          </w:p>
        </w:tc>
        <w:tc>
          <w:tcPr>
            <w:tcW w:w="6663" w:type="dxa"/>
          </w:tcPr>
          <w:p w14:paraId="42C965E1" w14:textId="03842A7A" w:rsidR="00D809A0" w:rsidRPr="004C1A71" w:rsidRDefault="00D809A0" w:rsidP="00A2394D">
            <w:r w:rsidRPr="00125332">
              <w:t xml:space="preserve">means the </w:t>
            </w:r>
            <w:r w:rsidRPr="004C1A71">
              <w:t xml:space="preserve">Connections performance score at which the maximum level of penalty will </w:t>
            </w:r>
            <w:r w:rsidR="00A2394D">
              <w:t>be applied, which is fixed as [7.43</w:t>
            </w:r>
            <w:r w:rsidRPr="004C1A71">
              <w:t>]</w:t>
            </w:r>
            <w:r>
              <w:t>; and</w:t>
            </w:r>
          </w:p>
        </w:tc>
      </w:tr>
      <w:tr w:rsidR="00D809A0" w:rsidRPr="00734C6D" w14:paraId="3DF8C73D" w14:textId="77777777" w:rsidTr="00A0044B">
        <w:trPr>
          <w:trHeight w:val="567"/>
        </w:trPr>
        <w:tc>
          <w:tcPr>
            <w:tcW w:w="1559" w:type="dxa"/>
          </w:tcPr>
          <w:p w14:paraId="5D6D8EA5" w14:textId="77777777" w:rsidR="00D809A0" w:rsidRPr="00A0044B" w:rsidRDefault="00D809A0" w:rsidP="00D809A0">
            <w:pPr>
              <w:rPr>
                <w:i/>
                <w:iCs/>
              </w:rPr>
            </w:pPr>
            <w:r w:rsidRPr="00A0044B">
              <w:rPr>
                <w:i/>
                <w:iCs/>
              </w:rPr>
              <w:t>EABR</w:t>
            </w:r>
            <w:r w:rsidRPr="00A0044B">
              <w:rPr>
                <w:i/>
                <w:iCs/>
                <w:vertAlign w:val="subscript"/>
              </w:rPr>
              <w:t>t</w:t>
            </w:r>
          </w:p>
        </w:tc>
        <w:tc>
          <w:tcPr>
            <w:tcW w:w="6663" w:type="dxa"/>
          </w:tcPr>
          <w:p w14:paraId="4F064102" w14:textId="0836C9CB" w:rsidR="00D809A0" w:rsidRPr="00023BE8" w:rsidRDefault="00D809A0" w:rsidP="00D809A0">
            <w:r w:rsidRPr="00023BE8">
              <w:t>means Ex-ante Base Revenue.</w:t>
            </w:r>
          </w:p>
        </w:tc>
      </w:tr>
    </w:tbl>
    <w:p w14:paraId="00316B5E" w14:textId="77777777" w:rsidR="00D809A0" w:rsidRPr="0057526A" w:rsidRDefault="00D809A0" w:rsidP="00D51F4A">
      <w:pPr>
        <w:pStyle w:val="Heading2"/>
        <w:numPr>
          <w:ilvl w:val="1"/>
          <w:numId w:val="7"/>
        </w:numPr>
      </w:pPr>
      <w:bookmarkStart w:id="126" w:name="_Toc51783665"/>
      <w:bookmarkStart w:id="127" w:name="_Toc52364567"/>
      <w:r>
        <w:t>Complaints Metric output delivery incentive (CMt)</w:t>
      </w:r>
      <w:bookmarkEnd w:id="126"/>
      <w:bookmarkEnd w:id="127"/>
    </w:p>
    <w:p w14:paraId="02F0AF5F" w14:textId="77777777" w:rsidR="00D809A0" w:rsidRPr="0057526A" w:rsidRDefault="00D809A0" w:rsidP="00D809A0">
      <w:pPr>
        <w:pStyle w:val="Heading3nonumbering"/>
      </w:pPr>
      <w:r w:rsidRPr="0057526A">
        <w:t xml:space="preserve">Introduction </w:t>
      </w:r>
    </w:p>
    <w:p w14:paraId="66848828" w14:textId="03483633" w:rsidR="00D809A0" w:rsidRPr="00C00905" w:rsidRDefault="00D809A0" w:rsidP="00D51F4A">
      <w:pPr>
        <w:pStyle w:val="NumberedNormal"/>
        <w:numPr>
          <w:ilvl w:val="2"/>
          <w:numId w:val="7"/>
        </w:numPr>
      </w:pPr>
      <w:r>
        <w:t>The purpose of this condition is to calculate the term CMt (the Complaints Metric output delivery incentive term). This contributes to the calculation of the term ODIt (the output delivery incentives term), which in turn feeds into Calculated Revenue in Special Condition 2.1 (Revenue Restriction).</w:t>
      </w:r>
    </w:p>
    <w:p w14:paraId="05685B09" w14:textId="77777777" w:rsidR="00D809A0" w:rsidRPr="00C00905" w:rsidRDefault="00D809A0" w:rsidP="00D51F4A">
      <w:pPr>
        <w:pStyle w:val="NumberedNormal"/>
        <w:numPr>
          <w:ilvl w:val="2"/>
          <w:numId w:val="7"/>
        </w:numPr>
      </w:pPr>
      <w:r>
        <w:t>The effect of the Complaints Metric output delivery incentive is to penalise the licensee where it has performed poorly in relation to its handling of customer Complaints.</w:t>
      </w:r>
    </w:p>
    <w:p w14:paraId="0F792D22" w14:textId="77777777" w:rsidR="00D809A0" w:rsidRPr="00AE57AC" w:rsidRDefault="00D809A0" w:rsidP="00D51F4A">
      <w:pPr>
        <w:pStyle w:val="Heading3"/>
        <w:numPr>
          <w:ilvl w:val="5"/>
          <w:numId w:val="7"/>
        </w:numPr>
      </w:pPr>
      <w:r>
        <w:t>Adjustments arising from Complaints Metric (CMt)</w:t>
      </w:r>
    </w:p>
    <w:p w14:paraId="36C5220E" w14:textId="77777777" w:rsidR="00D809A0" w:rsidRPr="00C00905" w:rsidRDefault="00D809A0" w:rsidP="00D51F4A">
      <w:pPr>
        <w:pStyle w:val="NumberedNormal"/>
        <w:numPr>
          <w:ilvl w:val="2"/>
          <w:numId w:val="7"/>
        </w:numPr>
      </w:pPr>
      <w:r>
        <w:t>The value of the CMt term is derived in accordance with the following formula:</w:t>
      </w:r>
    </w:p>
    <w:p w14:paraId="43B84F79" w14:textId="77777777" w:rsidR="00D809A0" w:rsidRPr="000A3ECB" w:rsidRDefault="008C7681" w:rsidP="00D809A0">
      <w:pPr>
        <w:pStyle w:val="Equation"/>
      </w:pPr>
      <m:oMathPara>
        <m:oMath>
          <m:sSub>
            <m:sSubPr>
              <m:ctrlPr>
                <w:rPr>
                  <w:rFonts w:ascii="Cambria Math" w:hAnsi="Cambria Math"/>
                </w:rPr>
              </m:ctrlPr>
            </m:sSubPr>
            <m:e>
              <m:r>
                <w:rPr>
                  <w:rFonts w:ascii="Cambria Math" w:hAnsi="Cambria Math"/>
                </w:rPr>
                <m:t>CM</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m:rPr>
                      <m:sty m:val="p"/>
                    </m:rPr>
                    <w:rPr>
                      <w:rFonts w:ascii="Cambria Math" w:hAnsi="Cambria Math"/>
                    </w:rPr>
                    <m:t>0,  &amp;</m:t>
                  </m:r>
                  <m:sSub>
                    <m:sSubPr>
                      <m:ctrlPr>
                        <w:rPr>
                          <w:rFonts w:ascii="Cambria Math" w:hAnsi="Cambria Math"/>
                        </w:rPr>
                      </m:ctrlPr>
                    </m:sSubPr>
                    <m:e>
                      <m:r>
                        <w:rPr>
                          <w:rFonts w:ascii="Cambria Math" w:hAnsi="Cambria Math"/>
                        </w:rPr>
                        <m:t>CMS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CMT</m:t>
                      </m:r>
                    </m:e>
                    <m:sub>
                      <m:r>
                        <w:rPr>
                          <w:rFonts w:ascii="Cambria Math" w:hAnsi="Cambria Math"/>
                        </w:rPr>
                        <m:t>t</m:t>
                      </m:r>
                    </m:sub>
                  </m:sSub>
                </m:e>
                <m:e>
                  <m:r>
                    <m:rPr>
                      <m:sty m:val="p"/>
                    </m:rPr>
                    <w:rPr>
                      <w:rFonts w:ascii="Cambria Math" w:hAnsi="Cambria Math"/>
                    </w:rPr>
                    <m:t>max⁡</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CMS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CMT</m:t>
                              </m:r>
                            </m:e>
                            <m:sub>
                              <m:r>
                                <w:rPr>
                                  <w:rFonts w:ascii="Cambria Math" w:hAnsi="Cambria Math"/>
                                </w:rPr>
                                <m:t>t</m:t>
                              </m:r>
                            </m:sub>
                          </m:sSub>
                        </m:num>
                        <m:den>
                          <m:sSub>
                            <m:sSubPr>
                              <m:ctrlPr>
                                <w:rPr>
                                  <w:rFonts w:ascii="Cambria Math" w:hAnsi="Cambria Math"/>
                                </w:rPr>
                              </m:ctrlPr>
                            </m:sSubPr>
                            <m:e>
                              <m:r>
                                <w:rPr>
                                  <w:rFonts w:ascii="Cambria Math" w:hAnsi="Cambria Math"/>
                                </w:rPr>
                                <m:t>CMT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CMMIN</m:t>
                              </m:r>
                            </m:e>
                            <m:sub>
                              <m:r>
                                <w:rPr>
                                  <w:rFonts w:ascii="Cambria Math" w:hAnsi="Cambria Math"/>
                                </w:rPr>
                                <m:t>t</m:t>
                              </m:r>
                            </m:sub>
                          </m:sSub>
                        </m:den>
                      </m:f>
                      <m:r>
                        <m:rPr>
                          <m:sty m:val="p"/>
                        </m:rPr>
                        <w:rPr>
                          <w:rFonts w:ascii="Cambria Math" w:hAnsi="Cambria Math"/>
                        </w:rPr>
                        <m:t>, -1</m:t>
                      </m:r>
                    </m:e>
                  </m:d>
                  <m:r>
                    <m:rPr>
                      <m:sty m:val="p"/>
                    </m:rPr>
                    <w:rPr>
                      <w:rFonts w:ascii="Cambria Math" w:hAnsi="Cambria Math"/>
                    </w:rPr>
                    <m:t>[</m:t>
                  </m:r>
                  <m:sSub>
                    <m:sSubPr>
                      <m:ctrlPr>
                        <w:rPr>
                          <w:rFonts w:ascii="Cambria Math" w:hAnsi="Cambria Math"/>
                        </w:rPr>
                      </m:ctrlPr>
                    </m:sSubPr>
                    <m:e>
                      <m:r>
                        <m:rPr>
                          <m:sty m:val="p"/>
                        </m:rPr>
                        <w:rPr>
                          <w:rFonts w:ascii="Cambria Math" w:hAnsi="Cambria Math"/>
                        </w:rPr>
                        <m:t xml:space="preserve">0.005 </m:t>
                      </m:r>
                      <m:r>
                        <w:rPr>
                          <w:rFonts w:ascii="Cambria Math" w:hAnsi="Cambria Math"/>
                        </w:rPr>
                        <m:t>EABR</m:t>
                      </m:r>
                    </m:e>
                    <m:sub>
                      <m:r>
                        <w:rPr>
                          <w:rFonts w:ascii="Cambria Math" w:hAnsi="Cambria Math"/>
                        </w:rPr>
                        <m:t>t</m:t>
                      </m:r>
                    </m:sub>
                  </m:sSub>
                  <m:r>
                    <m:rPr>
                      <m:sty m:val="p"/>
                    </m:rPr>
                    <w:rPr>
                      <w:rFonts w:ascii="Cambria Math" w:hAnsi="Cambria Math"/>
                    </w:rPr>
                    <m:t>],  &amp;</m:t>
                  </m:r>
                  <m:sSub>
                    <m:sSubPr>
                      <m:ctrlPr>
                        <w:rPr>
                          <w:rFonts w:ascii="Cambria Math" w:hAnsi="Cambria Math"/>
                        </w:rPr>
                      </m:ctrlPr>
                    </m:sSubPr>
                    <m:e>
                      <m:r>
                        <w:rPr>
                          <w:rFonts w:ascii="Cambria Math" w:hAnsi="Cambria Math"/>
                        </w:rPr>
                        <m:t>CMS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CMT</m:t>
                      </m:r>
                    </m:e>
                    <m:sub>
                      <m:r>
                        <w:rPr>
                          <w:rFonts w:ascii="Cambria Math" w:hAnsi="Cambria Math"/>
                        </w:rPr>
                        <m:t>t</m:t>
                      </m:r>
                    </m:sub>
                  </m:sSub>
                </m:e>
              </m:eqArr>
            </m:e>
          </m:d>
        </m:oMath>
      </m:oMathPara>
    </w:p>
    <w:p w14:paraId="3D80FC3D" w14:textId="03283DC0" w:rsidR="00D809A0" w:rsidRPr="000A3ECB" w:rsidRDefault="005E79EE" w:rsidP="00D809A0">
      <w:r>
        <w:tab/>
      </w:r>
      <w:r w:rsidR="00D809A0">
        <w:t>w</w:t>
      </w:r>
      <w:r w:rsidR="00D809A0" w:rsidRPr="000A3ECB">
        <w:t>here</w:t>
      </w:r>
      <w:r w:rsidR="00D809A0">
        <w:t>:</w:t>
      </w:r>
    </w:p>
    <w:tbl>
      <w:tblPr>
        <w:tblStyle w:val="TableGridLight"/>
        <w:tblW w:w="0" w:type="auto"/>
        <w:tblLook w:val="0000" w:firstRow="0" w:lastRow="0" w:firstColumn="0" w:lastColumn="0" w:noHBand="0" w:noVBand="0"/>
      </w:tblPr>
      <w:tblGrid>
        <w:gridCol w:w="1001"/>
        <w:gridCol w:w="7345"/>
      </w:tblGrid>
      <w:tr w:rsidR="00D809A0" w14:paraId="7B241B3B" w14:textId="77777777" w:rsidTr="005E79EE">
        <w:tc>
          <w:tcPr>
            <w:tcW w:w="0" w:type="auto"/>
          </w:tcPr>
          <w:p w14:paraId="18598B20" w14:textId="77777777" w:rsidR="00D809A0" w:rsidRPr="005E79EE" w:rsidRDefault="00D809A0" w:rsidP="00D809A0">
            <w:pPr>
              <w:rPr>
                <w:i/>
                <w:iCs/>
              </w:rPr>
            </w:pPr>
            <w:r w:rsidRPr="005E79EE">
              <w:rPr>
                <w:i/>
                <w:iCs/>
              </w:rPr>
              <w:t>CMS</w:t>
            </w:r>
            <w:r w:rsidRPr="005E79EE">
              <w:rPr>
                <w:i/>
                <w:iCs/>
                <w:vertAlign w:val="subscript"/>
              </w:rPr>
              <w:t>t</w:t>
            </w:r>
          </w:p>
        </w:tc>
        <w:tc>
          <w:tcPr>
            <w:tcW w:w="0" w:type="auto"/>
          </w:tcPr>
          <w:p w14:paraId="3E3B11BB" w14:textId="2246C6BB" w:rsidR="00D809A0" w:rsidRPr="00C00905" w:rsidRDefault="00D809A0" w:rsidP="00D809A0">
            <w:r>
              <w:t>is derived in accordance with Part B;</w:t>
            </w:r>
          </w:p>
        </w:tc>
      </w:tr>
      <w:tr w:rsidR="00D809A0" w14:paraId="33998279" w14:textId="77777777" w:rsidTr="005E79EE">
        <w:tc>
          <w:tcPr>
            <w:tcW w:w="0" w:type="auto"/>
          </w:tcPr>
          <w:p w14:paraId="3335A0A5" w14:textId="77777777" w:rsidR="00D809A0" w:rsidRPr="005E79EE" w:rsidRDefault="00D809A0" w:rsidP="00D809A0">
            <w:pPr>
              <w:rPr>
                <w:i/>
                <w:iCs/>
              </w:rPr>
            </w:pPr>
            <w:r w:rsidRPr="005E79EE">
              <w:rPr>
                <w:i/>
                <w:iCs/>
              </w:rPr>
              <w:t>CMT</w:t>
            </w:r>
            <w:r w:rsidRPr="005E79EE">
              <w:rPr>
                <w:i/>
                <w:iCs/>
                <w:vertAlign w:val="subscript"/>
              </w:rPr>
              <w:t>t</w:t>
            </w:r>
          </w:p>
        </w:tc>
        <w:tc>
          <w:tcPr>
            <w:tcW w:w="0" w:type="auto"/>
          </w:tcPr>
          <w:p w14:paraId="2B60974F" w14:textId="0DCFFD27" w:rsidR="00D809A0" w:rsidRPr="00C00905" w:rsidRDefault="00D809A0" w:rsidP="00A2394D">
            <w:r>
              <w:t>means the Complaints Metric</w:t>
            </w:r>
            <w:r w:rsidR="00A2394D">
              <w:t xml:space="preserve"> target score, fixed at [5]</w:t>
            </w:r>
            <w:r>
              <w:t>;</w:t>
            </w:r>
          </w:p>
        </w:tc>
      </w:tr>
      <w:tr w:rsidR="00D809A0" w14:paraId="38DCDCC3" w14:textId="77777777" w:rsidTr="005E79EE">
        <w:tc>
          <w:tcPr>
            <w:tcW w:w="0" w:type="auto"/>
          </w:tcPr>
          <w:p w14:paraId="232F2E75" w14:textId="77777777" w:rsidR="00D809A0" w:rsidRPr="005E79EE" w:rsidRDefault="00D809A0" w:rsidP="00D809A0">
            <w:pPr>
              <w:rPr>
                <w:i/>
                <w:iCs/>
              </w:rPr>
            </w:pPr>
            <w:r w:rsidRPr="005E79EE">
              <w:rPr>
                <w:i/>
                <w:iCs/>
              </w:rPr>
              <w:t>CMMIN</w:t>
            </w:r>
            <w:r w:rsidRPr="005E79EE">
              <w:rPr>
                <w:i/>
                <w:iCs/>
                <w:vertAlign w:val="subscript"/>
              </w:rPr>
              <w:t>t</w:t>
            </w:r>
          </w:p>
        </w:tc>
        <w:tc>
          <w:tcPr>
            <w:tcW w:w="0" w:type="auto"/>
          </w:tcPr>
          <w:p w14:paraId="6415F174" w14:textId="7825744F" w:rsidR="00D809A0" w:rsidRPr="00C00905" w:rsidRDefault="00D809A0" w:rsidP="00D809A0">
            <w:r>
              <w:t>means the Complaints Metric</w:t>
            </w:r>
            <w:r w:rsidRPr="00C00905">
              <w:t xml:space="preserve"> performance score at which the maximum level of penalty will be applied</w:t>
            </w:r>
            <w:r w:rsidR="00A2394D">
              <w:t>, which is fixed as [10</w:t>
            </w:r>
            <w:r w:rsidRPr="00C00905">
              <w:t>]</w:t>
            </w:r>
            <w:r>
              <w:t>; and</w:t>
            </w:r>
          </w:p>
        </w:tc>
      </w:tr>
      <w:tr w:rsidR="00D809A0" w:rsidRPr="00734C6D" w14:paraId="4114F608" w14:textId="77777777" w:rsidTr="005E79EE">
        <w:tc>
          <w:tcPr>
            <w:tcW w:w="0" w:type="auto"/>
          </w:tcPr>
          <w:p w14:paraId="0C0DF4B8" w14:textId="77777777" w:rsidR="00D809A0" w:rsidRPr="005E79EE" w:rsidRDefault="00D809A0" w:rsidP="00D809A0">
            <w:pPr>
              <w:rPr>
                <w:i/>
                <w:iCs/>
              </w:rPr>
            </w:pPr>
            <w:r w:rsidRPr="005E79EE">
              <w:rPr>
                <w:i/>
                <w:iCs/>
              </w:rPr>
              <w:t>EABR</w:t>
            </w:r>
            <w:r w:rsidRPr="005E79EE">
              <w:rPr>
                <w:i/>
                <w:iCs/>
                <w:vertAlign w:val="subscript"/>
              </w:rPr>
              <w:t>t</w:t>
            </w:r>
          </w:p>
        </w:tc>
        <w:tc>
          <w:tcPr>
            <w:tcW w:w="0" w:type="auto"/>
          </w:tcPr>
          <w:p w14:paraId="0E71DC16" w14:textId="1F2305D5" w:rsidR="00D809A0" w:rsidRPr="00023BE8" w:rsidRDefault="00D809A0" w:rsidP="00D809A0">
            <w:r w:rsidRPr="00023BE8">
              <w:t xml:space="preserve">means Ex-ante Base Revenue.  </w:t>
            </w:r>
          </w:p>
        </w:tc>
      </w:tr>
    </w:tbl>
    <w:p w14:paraId="5C2F7A07" w14:textId="77777777" w:rsidR="00D809A0" w:rsidRPr="00023BE8" w:rsidRDefault="00D809A0" w:rsidP="00D809A0"/>
    <w:p w14:paraId="246958AE" w14:textId="77777777" w:rsidR="00D809A0" w:rsidRPr="00AE57AC" w:rsidRDefault="00D809A0" w:rsidP="00D51F4A">
      <w:pPr>
        <w:pStyle w:val="Heading3"/>
        <w:numPr>
          <w:ilvl w:val="5"/>
          <w:numId w:val="7"/>
        </w:numPr>
      </w:pPr>
      <w:r>
        <w:t>Complaint Metric performance score</w:t>
      </w:r>
    </w:p>
    <w:p w14:paraId="787BC188" w14:textId="77777777" w:rsidR="00D809A0" w:rsidRPr="00C00905" w:rsidRDefault="00D809A0" w:rsidP="00D51F4A">
      <w:pPr>
        <w:pStyle w:val="NumberedNormal"/>
        <w:numPr>
          <w:ilvl w:val="2"/>
          <w:numId w:val="7"/>
        </w:numPr>
      </w:pPr>
      <w:r>
        <w:t>The value of the CMS</w:t>
      </w:r>
      <w:r w:rsidRPr="008A3724">
        <w:rPr>
          <w:vertAlign w:val="subscript"/>
        </w:rPr>
        <w:t>t</w:t>
      </w:r>
      <w:r>
        <w:t xml:space="preserve"> term is derived in accordance with the following formula:</w:t>
      </w:r>
    </w:p>
    <w:p w14:paraId="3EBC72B2" w14:textId="77777777" w:rsidR="00D809A0" w:rsidRPr="00120019" w:rsidRDefault="008C7681" w:rsidP="00D809A0">
      <w:pPr>
        <w:pStyle w:val="Equation"/>
      </w:pPr>
      <m:oMathPara>
        <m:oMath>
          <m:sSub>
            <m:sSubPr>
              <m:ctrlPr>
                <w:rPr>
                  <w:rFonts w:ascii="Cambria Math" w:hAnsi="Cambria Math"/>
                </w:rPr>
              </m:ctrlPr>
            </m:sSubPr>
            <m:e>
              <m:r>
                <w:rPr>
                  <w:rFonts w:ascii="Cambria Math" w:hAnsi="Cambria Math"/>
                </w:rPr>
                <m:t>CMS</m:t>
              </m:r>
            </m:e>
            <m:sub>
              <m:r>
                <w:rPr>
                  <w:rFonts w:ascii="Cambria Math" w:hAnsi="Cambria Math"/>
                </w:rPr>
                <m:t>t</m:t>
              </m:r>
            </m:sub>
          </m:sSub>
          <m:r>
            <m:rPr>
              <m:sty m:val="p"/>
            </m:rPr>
            <w:rPr>
              <w:rFonts w:ascii="Cambria Math" w:hAnsi="Cambria Math"/>
            </w:rPr>
            <m:t>=10</m:t>
          </m:r>
          <m:sSub>
            <m:sSubPr>
              <m:ctrlPr>
                <w:rPr>
                  <w:rFonts w:ascii="Cambria Math" w:hAnsi="Cambria Math"/>
                </w:rPr>
              </m:ctrlPr>
            </m:sSubPr>
            <m:e>
              <m:r>
                <w:rPr>
                  <w:rFonts w:ascii="Cambria Math" w:hAnsi="Cambria Math"/>
                </w:rPr>
                <m:t>PCUDPO</m:t>
              </m:r>
            </m:e>
            <m:sub>
              <m:r>
                <w:rPr>
                  <w:rFonts w:ascii="Cambria Math" w:hAnsi="Cambria Math"/>
                </w:rPr>
                <m:t>t</m:t>
              </m:r>
            </m:sub>
          </m:sSub>
          <m:r>
            <m:rPr>
              <m:sty m:val="p"/>
            </m:rPr>
            <w:rPr>
              <w:rFonts w:ascii="Cambria Math" w:hAnsi="Cambria Math"/>
            </w:rPr>
            <m:t>+30</m:t>
          </m:r>
          <m:sSub>
            <m:sSubPr>
              <m:ctrlPr>
                <w:rPr>
                  <w:rFonts w:ascii="Cambria Math" w:hAnsi="Cambria Math"/>
                </w:rPr>
              </m:ctrlPr>
            </m:sSubPr>
            <m:e>
              <m:r>
                <w:rPr>
                  <w:rFonts w:ascii="Cambria Math" w:hAnsi="Cambria Math"/>
                </w:rPr>
                <m:t>PCUDPT</m:t>
              </m:r>
            </m:e>
            <m:sub>
              <m:r>
                <w:rPr>
                  <w:rFonts w:ascii="Cambria Math" w:hAnsi="Cambria Math"/>
                </w:rPr>
                <m:t>t</m:t>
              </m:r>
            </m:sub>
          </m:sSub>
          <m:r>
            <m:rPr>
              <m:sty m:val="p"/>
            </m:rPr>
            <w:rPr>
              <w:rFonts w:ascii="Cambria Math" w:hAnsi="Cambria Math"/>
            </w:rPr>
            <m:t>+50</m:t>
          </m:r>
          <m:sSub>
            <m:sSubPr>
              <m:ctrlPr>
                <w:rPr>
                  <w:rFonts w:ascii="Cambria Math" w:hAnsi="Cambria Math"/>
                </w:rPr>
              </m:ctrlPr>
            </m:sSubPr>
            <m:e>
              <m:r>
                <w:rPr>
                  <w:rFonts w:ascii="Cambria Math" w:hAnsi="Cambria Math"/>
                </w:rPr>
                <m:t>PRC</m:t>
              </m:r>
            </m:e>
            <m:sub>
              <m:r>
                <w:rPr>
                  <w:rFonts w:ascii="Cambria Math" w:hAnsi="Cambria Math"/>
                </w:rPr>
                <m:t>t</m:t>
              </m:r>
            </m:sub>
          </m:sSub>
          <m:r>
            <m:rPr>
              <m:sty m:val="p"/>
            </m:rPr>
            <w:rPr>
              <w:rFonts w:ascii="Cambria Math" w:hAnsi="Cambria Math"/>
            </w:rPr>
            <m:t>+10</m:t>
          </m:r>
          <m:sSub>
            <m:sSubPr>
              <m:ctrlPr>
                <w:rPr>
                  <w:rFonts w:ascii="Cambria Math" w:hAnsi="Cambria Math"/>
                </w:rPr>
              </m:ctrlPr>
            </m:sSubPr>
            <m:e>
              <m:r>
                <w:rPr>
                  <w:rFonts w:ascii="Cambria Math" w:hAnsi="Cambria Math"/>
                </w:rPr>
                <m:t>POF</m:t>
              </m:r>
            </m:e>
            <m:sub>
              <m:r>
                <w:rPr>
                  <w:rFonts w:ascii="Cambria Math" w:hAnsi="Cambria Math"/>
                </w:rPr>
                <m:t>t</m:t>
              </m:r>
            </m:sub>
          </m:sSub>
        </m:oMath>
      </m:oMathPara>
    </w:p>
    <w:p w14:paraId="5E88ECE8" w14:textId="60774017" w:rsidR="00D809A0" w:rsidRPr="000975C6" w:rsidRDefault="006B4C7F" w:rsidP="00D809A0">
      <w:r>
        <w:tab/>
      </w:r>
      <w:r w:rsidR="00D809A0" w:rsidRPr="000975C6">
        <w:t>where:</w:t>
      </w:r>
    </w:p>
    <w:tbl>
      <w:tblPr>
        <w:tblStyle w:val="TableGridLight"/>
        <w:tblW w:w="0" w:type="auto"/>
        <w:tblLook w:val="04A0" w:firstRow="1" w:lastRow="0" w:firstColumn="1" w:lastColumn="0" w:noHBand="0" w:noVBand="1"/>
      </w:tblPr>
      <w:tblGrid>
        <w:gridCol w:w="1131"/>
        <w:gridCol w:w="7215"/>
      </w:tblGrid>
      <w:tr w:rsidR="00D809A0" w:rsidRPr="00206CA8" w14:paraId="52C2AC63" w14:textId="77777777" w:rsidTr="006B4C7F">
        <w:trPr>
          <w:trHeight w:val="567"/>
        </w:trPr>
        <w:tc>
          <w:tcPr>
            <w:tcW w:w="0" w:type="auto"/>
          </w:tcPr>
          <w:p w14:paraId="45F55CBE" w14:textId="77777777" w:rsidR="00D809A0" w:rsidRPr="00C00905" w:rsidRDefault="00D809A0" w:rsidP="00D809A0">
            <w:r w:rsidRPr="000975C6">
              <w:t>PCUDPO</w:t>
            </w:r>
            <w:r w:rsidRPr="008A3724">
              <w:rPr>
                <w:vertAlign w:val="subscript"/>
              </w:rPr>
              <w:t>t</w:t>
            </w:r>
          </w:p>
        </w:tc>
        <w:tc>
          <w:tcPr>
            <w:tcW w:w="0" w:type="auto"/>
          </w:tcPr>
          <w:p w14:paraId="70F3C468" w14:textId="1EC1BBFC" w:rsidR="00D809A0" w:rsidRPr="00C00905" w:rsidRDefault="00D809A0" w:rsidP="00D809A0">
            <w:r w:rsidRPr="000975C6">
              <w:t>means the percentage of Complaints unresolved by the end of t</w:t>
            </w:r>
            <w:r w:rsidRPr="00C00905">
              <w:t xml:space="preserve">he first Working Day after the day on which the Complaint was first received by the </w:t>
            </w:r>
            <w:r>
              <w:t>l</w:t>
            </w:r>
            <w:r w:rsidRPr="00C00905">
              <w:t>icensee as reported to the Authority for that year</w:t>
            </w:r>
            <w:r>
              <w:t>;</w:t>
            </w:r>
          </w:p>
        </w:tc>
      </w:tr>
      <w:tr w:rsidR="00D809A0" w:rsidRPr="00206CA8" w14:paraId="55BC4D6E" w14:textId="77777777" w:rsidTr="006B4C7F">
        <w:trPr>
          <w:trHeight w:val="567"/>
        </w:trPr>
        <w:tc>
          <w:tcPr>
            <w:tcW w:w="0" w:type="auto"/>
          </w:tcPr>
          <w:p w14:paraId="115C2D4E" w14:textId="77777777" w:rsidR="00D809A0" w:rsidRPr="00C00905" w:rsidRDefault="00D809A0" w:rsidP="00D809A0">
            <w:r w:rsidRPr="000975C6">
              <w:t>PCUDPT</w:t>
            </w:r>
            <w:r w:rsidRPr="008A3724">
              <w:rPr>
                <w:vertAlign w:val="subscript"/>
              </w:rPr>
              <w:t>t</w:t>
            </w:r>
          </w:p>
        </w:tc>
        <w:tc>
          <w:tcPr>
            <w:tcW w:w="0" w:type="auto"/>
          </w:tcPr>
          <w:p w14:paraId="1842CCED" w14:textId="09558220" w:rsidR="00D809A0" w:rsidRPr="00C00905" w:rsidRDefault="00D809A0" w:rsidP="00D809A0">
            <w:r w:rsidRPr="000975C6">
              <w:t xml:space="preserve">means the percentage of Complaints </w:t>
            </w:r>
            <w:r w:rsidRPr="00C00905">
              <w:t xml:space="preserve">unresolved after the end of 31 Working Days from the end of the first Working Day after the day on </w:t>
            </w:r>
            <w:r w:rsidRPr="00C00905">
              <w:lastRenderedPageBreak/>
              <w:t xml:space="preserve">which the Complaint was first received by the </w:t>
            </w:r>
            <w:r>
              <w:t>l</w:t>
            </w:r>
            <w:r w:rsidRPr="00C00905">
              <w:t>icensee, as reported to the Authority for that year</w:t>
            </w:r>
            <w:r>
              <w:t>;</w:t>
            </w:r>
          </w:p>
        </w:tc>
      </w:tr>
      <w:tr w:rsidR="00D809A0" w:rsidRPr="00206CA8" w14:paraId="5BDD04D8" w14:textId="77777777" w:rsidTr="006B4C7F">
        <w:trPr>
          <w:trHeight w:val="567"/>
        </w:trPr>
        <w:tc>
          <w:tcPr>
            <w:tcW w:w="0" w:type="auto"/>
          </w:tcPr>
          <w:p w14:paraId="33F34AAE" w14:textId="77777777" w:rsidR="00D809A0" w:rsidRPr="00C00905" w:rsidRDefault="00D809A0" w:rsidP="00D809A0">
            <w:r w:rsidRPr="000975C6">
              <w:lastRenderedPageBreak/>
              <w:t>PRC</w:t>
            </w:r>
            <w:r w:rsidRPr="008A3724">
              <w:rPr>
                <w:vertAlign w:val="subscript"/>
              </w:rPr>
              <w:t>t</w:t>
            </w:r>
          </w:p>
        </w:tc>
        <w:tc>
          <w:tcPr>
            <w:tcW w:w="0" w:type="auto"/>
          </w:tcPr>
          <w:p w14:paraId="1784C743" w14:textId="306DB55B" w:rsidR="00D809A0" w:rsidRPr="00C00905" w:rsidRDefault="00D809A0" w:rsidP="00D809A0">
            <w:r w:rsidRPr="000975C6">
              <w:t xml:space="preserve">means the percentage of Repeat Complaints, as reported </w:t>
            </w:r>
            <w:r w:rsidRPr="00C00905">
              <w:t>to the Authority for that year</w:t>
            </w:r>
            <w:r>
              <w:t>; and</w:t>
            </w:r>
          </w:p>
        </w:tc>
      </w:tr>
      <w:tr w:rsidR="00D809A0" w:rsidRPr="00206CA8" w14:paraId="31D814F0" w14:textId="77777777" w:rsidTr="006B4C7F">
        <w:trPr>
          <w:trHeight w:val="567"/>
        </w:trPr>
        <w:tc>
          <w:tcPr>
            <w:tcW w:w="0" w:type="auto"/>
          </w:tcPr>
          <w:p w14:paraId="490FB274" w14:textId="77777777" w:rsidR="00D809A0" w:rsidRPr="00C00905" w:rsidRDefault="00D809A0" w:rsidP="00D809A0">
            <w:r w:rsidRPr="000975C6">
              <w:t>POF</w:t>
            </w:r>
            <w:r w:rsidRPr="008A3724">
              <w:rPr>
                <w:vertAlign w:val="subscript"/>
              </w:rPr>
              <w:t>t</w:t>
            </w:r>
          </w:p>
        </w:tc>
        <w:tc>
          <w:tcPr>
            <w:tcW w:w="0" w:type="auto"/>
          </w:tcPr>
          <w:p w14:paraId="7A3DD9C3" w14:textId="01D8B8AC" w:rsidR="00D809A0" w:rsidRPr="00C00905" w:rsidRDefault="00D809A0" w:rsidP="00D809A0">
            <w:r w:rsidRPr="000975C6">
              <w:t>means the percenta</w:t>
            </w:r>
            <w:r w:rsidRPr="00C00905">
              <w:t xml:space="preserve">ge of total Complaints where an Ombudsman Finding Against the </w:t>
            </w:r>
            <w:r w:rsidR="00A50570">
              <w:t>L</w:t>
            </w:r>
            <w:r w:rsidRPr="00C00905">
              <w:t>icensee is made, as reported to the Authority for that year</w:t>
            </w:r>
            <w:r>
              <w:t>.</w:t>
            </w:r>
          </w:p>
        </w:tc>
      </w:tr>
    </w:tbl>
    <w:p w14:paraId="4F22565C" w14:textId="56F66E27" w:rsidR="00D809A0" w:rsidRPr="0057526A" w:rsidRDefault="00D809A0" w:rsidP="00D51F4A">
      <w:pPr>
        <w:pStyle w:val="Heading2"/>
        <w:numPr>
          <w:ilvl w:val="1"/>
          <w:numId w:val="7"/>
        </w:numPr>
      </w:pPr>
      <w:bookmarkStart w:id="128" w:name="_Toc51783666"/>
      <w:bookmarkStart w:id="129" w:name="_Toc52364568"/>
      <w:r>
        <w:t xml:space="preserve">Shrinkage </w:t>
      </w:r>
      <w:r w:rsidR="008A3724">
        <w:t>m</w:t>
      </w:r>
      <w:r>
        <w:t>anagement output delivery incentive</w:t>
      </w:r>
      <w:r w:rsidRPr="0057526A">
        <w:t xml:space="preserve"> </w:t>
      </w:r>
      <w:r>
        <w:t>(SM</w:t>
      </w:r>
      <w:r w:rsidRPr="008A3724">
        <w:rPr>
          <w:vertAlign w:val="subscript"/>
        </w:rPr>
        <w:t>t</w:t>
      </w:r>
      <w:r>
        <w:t>)</w:t>
      </w:r>
      <w:bookmarkEnd w:id="128"/>
      <w:bookmarkEnd w:id="129"/>
    </w:p>
    <w:p w14:paraId="7357E8D3" w14:textId="77777777" w:rsidR="00D809A0" w:rsidRPr="0057526A" w:rsidRDefault="00D809A0" w:rsidP="00D809A0">
      <w:pPr>
        <w:pStyle w:val="Heading3nonumbering"/>
      </w:pPr>
      <w:r w:rsidRPr="0057526A">
        <w:t xml:space="preserve">Introduction </w:t>
      </w:r>
    </w:p>
    <w:p w14:paraId="0E8BEBF4" w14:textId="28949E75" w:rsidR="00D809A0" w:rsidRPr="00765157" w:rsidRDefault="00D809A0" w:rsidP="00D51F4A">
      <w:pPr>
        <w:pStyle w:val="NumberedNormal"/>
        <w:numPr>
          <w:ilvl w:val="2"/>
          <w:numId w:val="7"/>
        </w:numPr>
      </w:pPr>
      <w:r>
        <w:t xml:space="preserve">The purpose of this condition is to calculate the term </w:t>
      </w:r>
      <w:r w:rsidRPr="00AD2657">
        <w:rPr>
          <w:i/>
          <w:iCs/>
        </w:rPr>
        <w:t>SM</w:t>
      </w:r>
      <w:r w:rsidRPr="00AD2657">
        <w:rPr>
          <w:i/>
          <w:iCs/>
          <w:vertAlign w:val="subscript"/>
        </w:rPr>
        <w:t>t</w:t>
      </w:r>
      <w:r>
        <w:t xml:space="preserve"> (the Shrinkage </w:t>
      </w:r>
      <w:r w:rsidR="002D0DD8">
        <w:t>M</w:t>
      </w:r>
      <w:r>
        <w:t xml:space="preserve">anagement output delivery incentive term). This contributes to the calculation of the term </w:t>
      </w:r>
      <w:r w:rsidRPr="00AD2657">
        <w:rPr>
          <w:i/>
          <w:iCs/>
        </w:rPr>
        <w:t>ODI</w:t>
      </w:r>
      <w:r w:rsidRPr="00AD2657">
        <w:rPr>
          <w:i/>
          <w:iCs/>
          <w:vertAlign w:val="subscript"/>
        </w:rPr>
        <w:t>t</w:t>
      </w:r>
      <w:r>
        <w:t xml:space="preserve"> (the output delivery incentives term), which in turn feeds into Calculated Revenue in Special Condition 2.1 (Revenue Restriction).</w:t>
      </w:r>
    </w:p>
    <w:p w14:paraId="28E7A883" w14:textId="420F52CC" w:rsidR="00D809A0" w:rsidRPr="00765157" w:rsidRDefault="00D809A0" w:rsidP="00D51F4A">
      <w:pPr>
        <w:pStyle w:val="NumberedNormal"/>
        <w:numPr>
          <w:ilvl w:val="2"/>
          <w:numId w:val="7"/>
        </w:numPr>
      </w:pPr>
      <w:r>
        <w:t xml:space="preserve">The effect of the Shrinkage </w:t>
      </w:r>
      <w:r w:rsidR="002D0DD8">
        <w:t>M</w:t>
      </w:r>
      <w:r>
        <w:t>anagement output delivery incentive is to reward or penalise the licensee for its performance in reducing shrinkage of gas by means of pressure management and gas conditioning.</w:t>
      </w:r>
    </w:p>
    <w:p w14:paraId="5A387E42" w14:textId="77777777" w:rsidR="00D809A0" w:rsidRPr="00765157" w:rsidRDefault="00D809A0" w:rsidP="00D51F4A">
      <w:pPr>
        <w:pStyle w:val="NumberedNormal"/>
        <w:numPr>
          <w:ilvl w:val="2"/>
          <w:numId w:val="7"/>
        </w:numPr>
      </w:pPr>
      <w:r>
        <w:t>This condition also requires the licensee to:</w:t>
      </w:r>
    </w:p>
    <w:p w14:paraId="44508D8E" w14:textId="77777777" w:rsidR="00D809A0" w:rsidRPr="00765157" w:rsidRDefault="00D809A0" w:rsidP="00D51F4A">
      <w:pPr>
        <w:pStyle w:val="ListNormal"/>
        <w:numPr>
          <w:ilvl w:val="3"/>
          <w:numId w:val="7"/>
        </w:numPr>
      </w:pPr>
      <w:r>
        <w:t>maintain and comply with the Shrinkage and Leakage Model; and</w:t>
      </w:r>
    </w:p>
    <w:p w14:paraId="615369C9" w14:textId="7F313F78" w:rsidR="00D809A0" w:rsidRPr="00765157" w:rsidRDefault="00D809A0" w:rsidP="00D51F4A">
      <w:pPr>
        <w:pStyle w:val="ListNormal"/>
        <w:numPr>
          <w:ilvl w:val="3"/>
          <w:numId w:val="7"/>
        </w:numPr>
      </w:pPr>
      <w:r>
        <w:t>report to the Authority on levels of Shrinkage.</w:t>
      </w:r>
    </w:p>
    <w:p w14:paraId="580E1EC2" w14:textId="77777777" w:rsidR="00D809A0" w:rsidRPr="00AE57AC" w:rsidRDefault="00D809A0" w:rsidP="00D51F4A">
      <w:pPr>
        <w:pStyle w:val="Heading3"/>
        <w:numPr>
          <w:ilvl w:val="5"/>
          <w:numId w:val="7"/>
        </w:numPr>
      </w:pPr>
      <w:r>
        <w:t>Formula for calculating the Shrinkage Management incentive (SM</w:t>
      </w:r>
      <w:r w:rsidRPr="008A3724">
        <w:rPr>
          <w:vertAlign w:val="subscript"/>
        </w:rPr>
        <w:t>t</w:t>
      </w:r>
      <w:r>
        <w:t>)</w:t>
      </w:r>
    </w:p>
    <w:p w14:paraId="30BED10B" w14:textId="77777777" w:rsidR="00D809A0" w:rsidRPr="00765157" w:rsidRDefault="00D809A0" w:rsidP="00D51F4A">
      <w:pPr>
        <w:pStyle w:val="NumberedNormal"/>
        <w:numPr>
          <w:ilvl w:val="2"/>
          <w:numId w:val="7"/>
        </w:numPr>
      </w:pPr>
      <w:r>
        <w:t xml:space="preserve">The value of </w:t>
      </w:r>
      <w:r w:rsidRPr="00F658A3">
        <w:rPr>
          <w:i/>
          <w:iCs/>
        </w:rPr>
        <w:t>SM</w:t>
      </w:r>
      <w:r w:rsidRPr="00F658A3">
        <w:rPr>
          <w:i/>
          <w:iCs/>
          <w:vertAlign w:val="subscript"/>
        </w:rPr>
        <w:t>t</w:t>
      </w:r>
      <w:r w:rsidRPr="00F658A3">
        <w:rPr>
          <w:i/>
          <w:iCs/>
        </w:rPr>
        <w:t xml:space="preserve"> </w:t>
      </w:r>
      <w:r>
        <w:t>is derived in accordance with the following formula:</w:t>
      </w:r>
    </w:p>
    <w:p w14:paraId="319A2684" w14:textId="77777777" w:rsidR="00AA0D0C" w:rsidRPr="00A83ECF" w:rsidRDefault="008C7681" w:rsidP="00D809A0">
      <w:pPr>
        <w:pStyle w:val="Equation"/>
      </w:pPr>
      <m:oMathPara>
        <m:oMath>
          <m:sSub>
            <m:sSubPr>
              <m:ctrlPr>
                <w:rPr>
                  <w:rFonts w:ascii="Cambria Math" w:hAnsi="Cambria Math"/>
                </w:rPr>
              </m:ctrlPr>
            </m:sSubPr>
            <m:e>
              <m:r>
                <w:rPr>
                  <w:rFonts w:ascii="Cambria Math" w:hAnsi="Cambria Math"/>
                </w:rPr>
                <m:t>SM</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func>
                    <m:funcPr>
                      <m:ctrlPr>
                        <w:rPr>
                          <w:rFonts w:ascii="Cambria Math" w:hAnsi="Cambria Math"/>
                        </w:rPr>
                      </m:ctrlPr>
                    </m:funcPr>
                    <m:fName>
                      <m:r>
                        <m:rPr>
                          <m:sty m:val="p"/>
                        </m:rPr>
                        <w:rPr>
                          <w:rFonts w:ascii="Cambria Math" w:hAnsi="Cambria Math"/>
                        </w:rPr>
                        <m:t>min</m:t>
                      </m:r>
                    </m:fName>
                    <m:e>
                      <m:r>
                        <w:rPr>
                          <w:rFonts w:ascii="Cambria Math" w:hAnsi="Cambria Math"/>
                        </w:rPr>
                        <m:t>(</m:t>
                      </m:r>
                    </m:e>
                  </m:func>
                  <m:d>
                    <m:dPr>
                      <m:ctrlPr>
                        <w:rPr>
                          <w:rFonts w:ascii="Cambria Math" w:hAnsi="Cambria Math"/>
                        </w:rPr>
                      </m:ctrlPr>
                    </m:dPr>
                    <m:e>
                      <m:sSub>
                        <m:sSubPr>
                          <m:ctrlPr>
                            <w:rPr>
                              <w:rFonts w:ascii="Cambria Math" w:hAnsi="Cambria Math"/>
                            </w:rPr>
                          </m:ctrlPr>
                        </m:sSubPr>
                        <m:e>
                          <m:r>
                            <w:rPr>
                              <w:rFonts w:ascii="Cambria Math" w:hAnsi="Cambria Math"/>
                            </w:rPr>
                            <m:t>BSV</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ASV</m:t>
                          </m:r>
                        </m:e>
                        <m:sub>
                          <m:r>
                            <w:rPr>
                              <w:rFonts w:ascii="Cambria Math" w:hAnsi="Cambria Math"/>
                            </w:rPr>
                            <m:t>t</m:t>
                          </m:r>
                        </m:sub>
                      </m:sSub>
                    </m:e>
                  </m:d>
                  <m:d>
                    <m:dPr>
                      <m:ctrlPr>
                        <w:rPr>
                          <w:rFonts w:ascii="Cambria Math" w:hAnsi="Cambria Math"/>
                        </w:rPr>
                      </m:ctrlPr>
                    </m:dPr>
                    <m:e>
                      <m:sSub>
                        <m:sSubPr>
                          <m:ctrlPr>
                            <w:rPr>
                              <w:rFonts w:ascii="Cambria Math" w:hAnsi="Cambria Math"/>
                            </w:rPr>
                          </m:ctrlPr>
                        </m:sSubPr>
                        <m:e>
                          <m:r>
                            <w:rPr>
                              <w:rFonts w:ascii="Cambria Math" w:hAnsi="Cambria Math"/>
                            </w:rPr>
                            <m:t>GPRC</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CC</m:t>
                          </m:r>
                        </m:e>
                        <m:sub>
                          <m:r>
                            <w:rPr>
                              <w:rFonts w:ascii="Cambria Math" w:hAnsi="Cambria Math"/>
                            </w:rPr>
                            <m:t>t</m:t>
                          </m:r>
                        </m:sub>
                      </m:sSub>
                    </m:e>
                  </m:d>
                  <m:r>
                    <w:rPr>
                      <w:rFonts w:ascii="Cambria Math" w:hAnsi="Cambria Math"/>
                    </w:rPr>
                    <m:t>, 0.0025 EABR)           BSV ≥ASV</m:t>
                  </m:r>
                </m:e>
                <m:e>
                  <m:func>
                    <m:funcPr>
                      <m:ctrlPr>
                        <w:rPr>
                          <w:rFonts w:ascii="Cambria Math" w:hAnsi="Cambria Math"/>
                        </w:rPr>
                      </m:ctrlPr>
                    </m:funcPr>
                    <m:fName>
                      <m:r>
                        <m:rPr>
                          <m:sty m:val="p"/>
                        </m:rPr>
                        <w:rPr>
                          <w:rFonts w:ascii="Cambria Math" w:hAnsi="Cambria Math"/>
                        </w:rPr>
                        <m:t>max</m:t>
                      </m:r>
                    </m:fName>
                    <m:e>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BSV</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ASV</m:t>
                                  </m:r>
                                </m:e>
                                <m:sub>
                                  <m:r>
                                    <w:rPr>
                                      <w:rFonts w:ascii="Cambria Math" w:hAnsi="Cambria Math"/>
                                    </w:rPr>
                                    <m:t>t</m:t>
                                  </m:r>
                                </m:sub>
                              </m:sSub>
                            </m:e>
                          </m:d>
                          <m:d>
                            <m:dPr>
                              <m:ctrlPr>
                                <w:rPr>
                                  <w:rFonts w:ascii="Cambria Math" w:hAnsi="Cambria Math"/>
                                </w:rPr>
                              </m:ctrlPr>
                            </m:dPr>
                            <m:e>
                              <m:sSub>
                                <m:sSubPr>
                                  <m:ctrlPr>
                                    <w:rPr>
                                      <w:rFonts w:ascii="Cambria Math" w:hAnsi="Cambria Math"/>
                                    </w:rPr>
                                  </m:ctrlPr>
                                </m:sSubPr>
                                <m:e>
                                  <m:r>
                                    <w:rPr>
                                      <w:rFonts w:ascii="Cambria Math" w:hAnsi="Cambria Math"/>
                                    </w:rPr>
                                    <m:t>GPRC</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CC</m:t>
                                  </m:r>
                                </m:e>
                                <m:sub>
                                  <m:r>
                                    <w:rPr>
                                      <w:rFonts w:ascii="Cambria Math" w:hAnsi="Cambria Math"/>
                                    </w:rPr>
                                    <m:t>t</m:t>
                                  </m:r>
                                </m:sub>
                              </m:sSub>
                            </m:e>
                          </m:d>
                          <m:r>
                            <w:rPr>
                              <w:rFonts w:ascii="Cambria Math" w:hAnsi="Cambria Math"/>
                            </w:rPr>
                            <m:t>, 0.0025 EABR</m:t>
                          </m:r>
                          <m:ctrlPr>
                            <w:rPr>
                              <w:rFonts w:ascii="Cambria Math" w:hAnsi="Cambria Math"/>
                              <w:i/>
                            </w:rPr>
                          </m:ctrlPr>
                        </m:e>
                      </m:d>
                    </m:e>
                  </m:func>
                  <m:r>
                    <w:rPr>
                      <w:rFonts w:ascii="Cambria Math" w:hAnsi="Cambria Math"/>
                    </w:rPr>
                    <m:t xml:space="preserve">          BSV &lt;ASV     </m:t>
                  </m:r>
                </m:e>
              </m:eqArr>
            </m:e>
          </m:d>
          <m:r>
            <w:rPr>
              <w:rFonts w:ascii="Cambria Math" w:hAnsi="Cambria Math"/>
            </w:rPr>
            <m:t xml:space="preserve">     </m:t>
          </m:r>
        </m:oMath>
      </m:oMathPara>
    </w:p>
    <w:p w14:paraId="2366614C" w14:textId="5EC725F9" w:rsidR="00D809A0" w:rsidRPr="00765157" w:rsidRDefault="00D809A0" w:rsidP="00D809A0">
      <w:pPr>
        <w:pStyle w:val="Equation"/>
      </w:pPr>
    </w:p>
    <w:p w14:paraId="29AF7355" w14:textId="77777777" w:rsidR="00D809A0" w:rsidRPr="00765157" w:rsidRDefault="00D809A0" w:rsidP="00D809A0">
      <w:r>
        <w:t>where:</w:t>
      </w:r>
    </w:p>
    <w:tbl>
      <w:tblPr>
        <w:tblStyle w:val="TableGrid"/>
        <w:tblW w:w="8613" w:type="dxa"/>
        <w:tblInd w:w="67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097"/>
        <w:gridCol w:w="7516"/>
      </w:tblGrid>
      <w:tr w:rsidR="00D809A0" w:rsidRPr="00AE57AC" w14:paraId="55BBB495" w14:textId="77777777" w:rsidTr="00D809A0">
        <w:trPr>
          <w:cnfStyle w:val="100000000000" w:firstRow="1" w:lastRow="0" w:firstColumn="0" w:lastColumn="0" w:oddVBand="0" w:evenVBand="0" w:oddHBand="0" w:evenHBand="0" w:firstRowFirstColumn="0" w:firstRowLastColumn="0" w:lastRowFirstColumn="0" w:lastRowLastColumn="0"/>
          <w:trHeight w:val="454"/>
        </w:trPr>
        <w:tc>
          <w:tcPr>
            <w:tcW w:w="1097" w:type="dxa"/>
          </w:tcPr>
          <w:p w14:paraId="4AE84BBC" w14:textId="77777777" w:rsidR="00D809A0" w:rsidRPr="005C2883" w:rsidRDefault="00D809A0" w:rsidP="00D809A0">
            <w:pPr>
              <w:rPr>
                <w:i/>
                <w:iCs/>
              </w:rPr>
            </w:pPr>
            <w:r w:rsidRPr="005C2883">
              <w:rPr>
                <w:i/>
                <w:iCs/>
              </w:rPr>
              <w:t>BSV</w:t>
            </w:r>
            <w:r w:rsidRPr="005C2883">
              <w:rPr>
                <w:i/>
                <w:iCs/>
                <w:vertAlign w:val="subscript"/>
              </w:rPr>
              <w:t>t</w:t>
            </w:r>
          </w:p>
        </w:tc>
        <w:tc>
          <w:tcPr>
            <w:tcW w:w="7516" w:type="dxa"/>
          </w:tcPr>
          <w:p w14:paraId="4CAE4C8E" w14:textId="407E2ACA" w:rsidR="00D809A0" w:rsidRPr="00765157" w:rsidRDefault="00D809A0" w:rsidP="00D809A0">
            <w:r w:rsidRPr="00975764">
              <w:t>m</w:t>
            </w:r>
            <w:r w:rsidRPr="00765157">
              <w:t>eans the Baseline Shrinkage Volume</w:t>
            </w:r>
            <w:r>
              <w:t>;</w:t>
            </w:r>
          </w:p>
        </w:tc>
      </w:tr>
      <w:tr w:rsidR="00D809A0" w:rsidRPr="00AE57AC" w14:paraId="667F1ECD" w14:textId="77777777" w:rsidTr="00D809A0">
        <w:trPr>
          <w:trHeight w:val="454"/>
        </w:trPr>
        <w:tc>
          <w:tcPr>
            <w:tcW w:w="1097" w:type="dxa"/>
          </w:tcPr>
          <w:p w14:paraId="1D0B9F88" w14:textId="77777777" w:rsidR="00D809A0" w:rsidRPr="005C2883" w:rsidRDefault="00D809A0" w:rsidP="00D809A0">
            <w:pPr>
              <w:rPr>
                <w:i/>
                <w:iCs/>
              </w:rPr>
            </w:pPr>
            <w:r w:rsidRPr="005C2883">
              <w:rPr>
                <w:i/>
                <w:iCs/>
              </w:rPr>
              <w:t>ASV</w:t>
            </w:r>
            <w:r w:rsidRPr="005C2883">
              <w:rPr>
                <w:i/>
                <w:iCs/>
                <w:vertAlign w:val="subscript"/>
              </w:rPr>
              <w:t>t</w:t>
            </w:r>
          </w:p>
        </w:tc>
        <w:tc>
          <w:tcPr>
            <w:tcW w:w="7516" w:type="dxa"/>
          </w:tcPr>
          <w:p w14:paraId="61F3F15B" w14:textId="433C65DE" w:rsidR="00D809A0" w:rsidRPr="00765157" w:rsidRDefault="00D809A0" w:rsidP="00D809A0">
            <w:r>
              <w:t>means the Actual Shrinkage Volume;</w:t>
            </w:r>
            <w:r w:rsidRPr="00765157">
              <w:t xml:space="preserve"> </w:t>
            </w:r>
          </w:p>
        </w:tc>
      </w:tr>
      <w:tr w:rsidR="00D809A0" w:rsidRPr="00AE57AC" w14:paraId="1F2185AB" w14:textId="77777777" w:rsidTr="00D809A0">
        <w:trPr>
          <w:trHeight w:val="454"/>
        </w:trPr>
        <w:tc>
          <w:tcPr>
            <w:tcW w:w="1097" w:type="dxa"/>
          </w:tcPr>
          <w:p w14:paraId="35CD8A25" w14:textId="77777777" w:rsidR="00D809A0" w:rsidRPr="005C2883" w:rsidRDefault="00D809A0" w:rsidP="00D809A0">
            <w:pPr>
              <w:rPr>
                <w:i/>
                <w:iCs/>
              </w:rPr>
            </w:pPr>
            <w:r w:rsidRPr="005C2883">
              <w:rPr>
                <w:i/>
                <w:iCs/>
              </w:rPr>
              <w:t>GPRC</w:t>
            </w:r>
            <w:r w:rsidRPr="005C2883">
              <w:rPr>
                <w:i/>
                <w:iCs/>
                <w:vertAlign w:val="subscript"/>
              </w:rPr>
              <w:t>t</w:t>
            </w:r>
          </w:p>
        </w:tc>
        <w:tc>
          <w:tcPr>
            <w:tcW w:w="7516" w:type="dxa"/>
          </w:tcPr>
          <w:p w14:paraId="293987F5" w14:textId="1042C589" w:rsidR="00D809A0" w:rsidRPr="00765157" w:rsidRDefault="00D809A0" w:rsidP="00D809A0">
            <w:r>
              <w:t>is derived</w:t>
            </w:r>
            <w:r w:rsidRPr="00765157">
              <w:t xml:space="preserve"> in accordance with Part B</w:t>
            </w:r>
            <w:r>
              <w:t>; and</w:t>
            </w:r>
          </w:p>
        </w:tc>
      </w:tr>
      <w:tr w:rsidR="00D809A0" w:rsidRPr="00AE57AC" w14:paraId="76614ACC" w14:textId="77777777" w:rsidTr="00D809A0">
        <w:trPr>
          <w:trHeight w:val="454"/>
        </w:trPr>
        <w:tc>
          <w:tcPr>
            <w:tcW w:w="1097" w:type="dxa"/>
          </w:tcPr>
          <w:p w14:paraId="6411A56B" w14:textId="77777777" w:rsidR="00D809A0" w:rsidRPr="005C2883" w:rsidRDefault="00D809A0" w:rsidP="00D809A0">
            <w:pPr>
              <w:rPr>
                <w:i/>
                <w:iCs/>
              </w:rPr>
            </w:pPr>
            <w:r w:rsidRPr="005C2883">
              <w:rPr>
                <w:i/>
                <w:iCs/>
              </w:rPr>
              <w:t>CC</w:t>
            </w:r>
            <w:r w:rsidRPr="005C2883">
              <w:rPr>
                <w:i/>
                <w:iCs/>
                <w:vertAlign w:val="subscript"/>
              </w:rPr>
              <w:t>t</w:t>
            </w:r>
          </w:p>
        </w:tc>
        <w:tc>
          <w:tcPr>
            <w:tcW w:w="7516" w:type="dxa"/>
          </w:tcPr>
          <w:p w14:paraId="1403F1D6" w14:textId="77777777" w:rsidR="00D809A0" w:rsidRPr="00765157" w:rsidRDefault="00D809A0" w:rsidP="00D809A0">
            <w:r>
              <w:t>means the environmental emissions</w:t>
            </w:r>
            <w:r w:rsidRPr="00765157">
              <w:t xml:space="preserve"> factor set out in Appendix 1.</w:t>
            </w:r>
          </w:p>
        </w:tc>
      </w:tr>
    </w:tbl>
    <w:p w14:paraId="0D7F6CD3" w14:textId="77777777" w:rsidR="00D809A0" w:rsidRPr="003A7840" w:rsidRDefault="00D809A0" w:rsidP="00D51F4A">
      <w:pPr>
        <w:pStyle w:val="Heading3"/>
        <w:numPr>
          <w:ilvl w:val="5"/>
          <w:numId w:val="7"/>
        </w:numPr>
      </w:pPr>
      <w:r>
        <w:t>Formula for calculating the gas price reference cost</w:t>
      </w:r>
    </w:p>
    <w:p w14:paraId="6C7E7FBD" w14:textId="77777777" w:rsidR="00D809A0" w:rsidRPr="00765157" w:rsidRDefault="00D809A0" w:rsidP="00D51F4A">
      <w:pPr>
        <w:pStyle w:val="NumberedNormal"/>
        <w:numPr>
          <w:ilvl w:val="2"/>
          <w:numId w:val="7"/>
        </w:numPr>
      </w:pPr>
      <w:r>
        <w:t xml:space="preserve">The value of the </w:t>
      </w:r>
      <w:r w:rsidRPr="0029169F">
        <w:rPr>
          <w:i/>
          <w:iCs/>
        </w:rPr>
        <w:t>GPRC</w:t>
      </w:r>
      <w:r w:rsidRPr="0029169F">
        <w:rPr>
          <w:i/>
          <w:iCs/>
          <w:vertAlign w:val="subscript"/>
        </w:rPr>
        <w:t>t</w:t>
      </w:r>
      <w:r>
        <w:t xml:space="preserve"> term is derived in accordance with the following formula:</w:t>
      </w:r>
    </w:p>
    <w:p w14:paraId="4BF7727E" w14:textId="77777777" w:rsidR="00D809A0" w:rsidRPr="00765157" w:rsidRDefault="008C7681" w:rsidP="00D809A0">
      <m:oMathPara>
        <m:oMath>
          <m:sSub>
            <m:sSubPr>
              <m:ctrlPr>
                <w:rPr>
                  <w:rFonts w:ascii="Cambria Math" w:hAnsi="Cambria Math"/>
                </w:rPr>
              </m:ctrlPr>
            </m:sSubPr>
            <m:e>
              <m:r>
                <w:rPr>
                  <w:rFonts w:ascii="Cambria Math" w:hAnsi="Cambria Math"/>
                </w:rPr>
                <m:t>GPRC</m:t>
              </m:r>
            </m:e>
            <m:sub>
              <m:r>
                <w:rPr>
                  <w:rFonts w:ascii="Cambria Math" w:hAnsi="Cambria Math"/>
                </w:rPr>
                <m:t>t</m:t>
              </m:r>
            </m:sub>
          </m:sSub>
          <m:r>
            <w:rPr>
              <w:rFonts w:ascii="Cambria Math" w:hAnsi="Cambria Math"/>
            </w:rPr>
            <m:t>=CF</m:t>
          </m:r>
          <m:d>
            <m:dPr>
              <m:ctrlPr>
                <w:rPr>
                  <w:rFonts w:ascii="Cambria Math" w:hAnsi="Cambria Math"/>
                </w:rPr>
              </m:ctrlPr>
            </m:dPr>
            <m:e>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d=1</m:t>
                      </m:r>
                    </m:sub>
                    <m:sup>
                      <m:r>
                        <w:rPr>
                          <w:rFonts w:ascii="Cambria Math" w:hAnsi="Cambria Math"/>
                        </w:rPr>
                        <m:t>n</m:t>
                      </m:r>
                    </m:sup>
                    <m:e>
                      <m:sSub>
                        <m:sSubPr>
                          <m:ctrlPr>
                            <w:rPr>
                              <w:rFonts w:ascii="Cambria Math" w:hAnsi="Cambria Math"/>
                            </w:rPr>
                          </m:ctrlPr>
                        </m:sSubPr>
                        <m:e>
                          <m:r>
                            <w:rPr>
                              <w:rFonts w:ascii="Cambria Math" w:hAnsi="Cambria Math"/>
                            </w:rPr>
                            <m:t>GP</m:t>
                          </m:r>
                        </m:e>
                        <m:sub>
                          <m:r>
                            <w:rPr>
                              <w:rFonts w:ascii="Cambria Math" w:hAnsi="Cambria Math"/>
                            </w:rPr>
                            <m:t>d,t</m:t>
                          </m:r>
                        </m:sub>
                      </m:sSub>
                    </m:e>
                  </m:nary>
                </m:num>
                <m:den>
                  <m:sSub>
                    <m:sSubPr>
                      <m:ctrlPr>
                        <w:rPr>
                          <w:rFonts w:ascii="Cambria Math" w:hAnsi="Cambria Math"/>
                        </w:rPr>
                      </m:ctrlPr>
                    </m:sSubPr>
                    <m:e>
                      <m:r>
                        <w:rPr>
                          <w:rFonts w:ascii="Cambria Math" w:hAnsi="Cambria Math"/>
                        </w:rPr>
                        <m:t>n</m:t>
                      </m:r>
                    </m:e>
                    <m:sub>
                      <m:r>
                        <w:rPr>
                          <w:rFonts w:ascii="Cambria Math" w:hAnsi="Cambria Math"/>
                        </w:rPr>
                        <m:t>t</m:t>
                      </m:r>
                    </m:sub>
                  </m:sSub>
                </m:den>
              </m:f>
            </m:e>
          </m:d>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2018/19</m:t>
                  </m:r>
                </m:sub>
              </m:sSub>
            </m:num>
            <m:den>
              <m:sSub>
                <m:sSubPr>
                  <m:ctrlPr>
                    <w:rPr>
                      <w:rFonts w:ascii="Cambria Math" w:hAnsi="Cambria Math"/>
                    </w:rPr>
                  </m:ctrlPr>
                </m:sSubPr>
                <m:e>
                  <m:r>
                    <w:rPr>
                      <w:rFonts w:ascii="Cambria Math" w:hAnsi="Cambria Math"/>
                    </w:rPr>
                    <m:t>PI</m:t>
                  </m:r>
                </m:e>
                <m:sub>
                  <m:r>
                    <w:rPr>
                      <w:rFonts w:ascii="Cambria Math" w:hAnsi="Cambria Math"/>
                    </w:rPr>
                    <m:t>t</m:t>
                  </m:r>
                </m:sub>
              </m:sSub>
            </m:den>
          </m:f>
        </m:oMath>
      </m:oMathPara>
    </w:p>
    <w:p w14:paraId="6EF016ED" w14:textId="2157A605" w:rsidR="00D809A0" w:rsidRPr="00765157" w:rsidRDefault="00C92095" w:rsidP="00D809A0">
      <w:r>
        <w:tab/>
      </w:r>
      <w:r w:rsidR="00D809A0">
        <w:t>where:</w:t>
      </w:r>
    </w:p>
    <w:tbl>
      <w:tblPr>
        <w:tblStyle w:val="TableGridLight"/>
        <w:tblW w:w="0" w:type="auto"/>
        <w:tblLook w:val="04A0" w:firstRow="1" w:lastRow="0" w:firstColumn="1" w:lastColumn="0" w:noHBand="0" w:noVBand="1"/>
      </w:tblPr>
      <w:tblGrid>
        <w:gridCol w:w="643"/>
        <w:gridCol w:w="7703"/>
      </w:tblGrid>
      <w:tr w:rsidR="00D809A0" w:rsidRPr="00161DA4" w14:paraId="743FF7AA" w14:textId="77777777" w:rsidTr="00C92095">
        <w:trPr>
          <w:trHeight w:val="454"/>
        </w:trPr>
        <w:tc>
          <w:tcPr>
            <w:tcW w:w="0" w:type="auto"/>
          </w:tcPr>
          <w:p w14:paraId="0BAC630F" w14:textId="77777777" w:rsidR="00D809A0" w:rsidRPr="0029169F" w:rsidRDefault="00D809A0" w:rsidP="00D809A0">
            <w:pPr>
              <w:rPr>
                <w:i/>
                <w:iCs/>
              </w:rPr>
            </w:pPr>
            <w:r w:rsidRPr="0029169F">
              <w:rPr>
                <w:i/>
                <w:iCs/>
              </w:rPr>
              <w:t>CF</w:t>
            </w:r>
          </w:p>
        </w:tc>
        <w:tc>
          <w:tcPr>
            <w:tcW w:w="0" w:type="auto"/>
          </w:tcPr>
          <w:p w14:paraId="6F60EBB8" w14:textId="0F989CDA" w:rsidR="00D809A0" w:rsidRPr="00765157" w:rsidRDefault="00D809A0" w:rsidP="00D809A0">
            <w:r w:rsidRPr="00267DAB">
              <w:t xml:space="preserve">means the conversion factor and is used to convert the average price from </w:t>
            </w:r>
            <w:r w:rsidRPr="00765157">
              <w:t>pence per therm to pounds sterling per gigawatt hour, and is equal to 341.2</w:t>
            </w:r>
            <w:r>
              <w:t>;</w:t>
            </w:r>
          </w:p>
        </w:tc>
      </w:tr>
      <w:tr w:rsidR="00D809A0" w:rsidRPr="00161DA4" w14:paraId="745588B1" w14:textId="77777777" w:rsidTr="00C92095">
        <w:trPr>
          <w:trHeight w:val="454"/>
        </w:trPr>
        <w:tc>
          <w:tcPr>
            <w:tcW w:w="0" w:type="auto"/>
          </w:tcPr>
          <w:p w14:paraId="550D1E7B" w14:textId="77777777" w:rsidR="00D809A0" w:rsidRPr="0029169F" w:rsidRDefault="00D809A0" w:rsidP="00D809A0">
            <w:pPr>
              <w:rPr>
                <w:i/>
                <w:iCs/>
              </w:rPr>
            </w:pPr>
            <w:r w:rsidRPr="0029169F">
              <w:rPr>
                <w:i/>
                <w:iCs/>
              </w:rPr>
              <w:t>d</w:t>
            </w:r>
          </w:p>
        </w:tc>
        <w:tc>
          <w:tcPr>
            <w:tcW w:w="0" w:type="auto"/>
          </w:tcPr>
          <w:p w14:paraId="735739E9" w14:textId="41D78648" w:rsidR="00D809A0" w:rsidRPr="00765157" w:rsidRDefault="00D809A0" w:rsidP="00D809A0">
            <w:r w:rsidRPr="00267DAB">
              <w:t>means a calendar day, where d1 means 1 April and all other days are numbered consecutively thereafter</w:t>
            </w:r>
            <w:r>
              <w:t>;</w:t>
            </w:r>
          </w:p>
        </w:tc>
      </w:tr>
      <w:tr w:rsidR="00D809A0" w:rsidRPr="00161DA4" w14:paraId="4E08C7D6" w14:textId="77777777" w:rsidTr="00C92095">
        <w:trPr>
          <w:trHeight w:val="454"/>
        </w:trPr>
        <w:tc>
          <w:tcPr>
            <w:tcW w:w="0" w:type="auto"/>
          </w:tcPr>
          <w:p w14:paraId="1069E19E" w14:textId="77777777" w:rsidR="00D809A0" w:rsidRPr="0029169F" w:rsidRDefault="00D809A0" w:rsidP="00D809A0">
            <w:pPr>
              <w:rPr>
                <w:i/>
                <w:iCs/>
              </w:rPr>
            </w:pPr>
            <w:r w:rsidRPr="0029169F">
              <w:rPr>
                <w:i/>
                <w:iCs/>
              </w:rPr>
              <w:t>n</w:t>
            </w:r>
            <w:r w:rsidRPr="0029169F">
              <w:rPr>
                <w:i/>
                <w:iCs/>
                <w:vertAlign w:val="subscript"/>
              </w:rPr>
              <w:t>t</w:t>
            </w:r>
          </w:p>
        </w:tc>
        <w:tc>
          <w:tcPr>
            <w:tcW w:w="0" w:type="auto"/>
          </w:tcPr>
          <w:p w14:paraId="490132DB" w14:textId="3F0CC330" w:rsidR="00D809A0" w:rsidRPr="00765157" w:rsidRDefault="00D809A0" w:rsidP="00D809A0">
            <w:r w:rsidRPr="00267DAB">
              <w:t>means the total number of calendar days in Regulatory Year t</w:t>
            </w:r>
            <w:r>
              <w:t>;</w:t>
            </w:r>
          </w:p>
        </w:tc>
      </w:tr>
      <w:tr w:rsidR="00D809A0" w:rsidRPr="00161DA4" w14:paraId="236E4B2F" w14:textId="77777777" w:rsidTr="00C92095">
        <w:trPr>
          <w:trHeight w:val="454"/>
        </w:trPr>
        <w:tc>
          <w:tcPr>
            <w:tcW w:w="0" w:type="auto"/>
          </w:tcPr>
          <w:p w14:paraId="41E73322" w14:textId="77777777" w:rsidR="00D809A0" w:rsidRPr="0029169F" w:rsidRDefault="00D809A0" w:rsidP="00D809A0">
            <w:pPr>
              <w:rPr>
                <w:i/>
                <w:iCs/>
              </w:rPr>
            </w:pPr>
            <w:r w:rsidRPr="0029169F">
              <w:rPr>
                <w:i/>
                <w:iCs/>
              </w:rPr>
              <w:t>GP</w:t>
            </w:r>
            <w:r w:rsidRPr="0029169F">
              <w:rPr>
                <w:i/>
                <w:iCs/>
                <w:vertAlign w:val="subscript"/>
              </w:rPr>
              <w:t>d,t</w:t>
            </w:r>
          </w:p>
          <w:p w14:paraId="5DA189C0" w14:textId="77777777" w:rsidR="00D809A0" w:rsidRPr="0029169F" w:rsidRDefault="00D809A0" w:rsidP="00D809A0">
            <w:pPr>
              <w:rPr>
                <w:i/>
                <w:iCs/>
              </w:rPr>
            </w:pPr>
          </w:p>
        </w:tc>
        <w:tc>
          <w:tcPr>
            <w:tcW w:w="0" w:type="auto"/>
          </w:tcPr>
          <w:p w14:paraId="192E61E5" w14:textId="67A8D2B0" w:rsidR="00D809A0" w:rsidRPr="00765157" w:rsidRDefault="00D809A0" w:rsidP="00D809A0">
            <w:r w:rsidRPr="00267DAB">
              <w:t>means the closing day ahead offer price of gas for calendar day d, as pub</w:t>
            </w:r>
            <w:r w:rsidRPr="00765157">
              <w:t>lished in an Approved Market Price Report for delivery at the National Balancing Point. The price is typically published at close-of-business the day before calendar day d, and is otherwise the most recently published day ahead price before the day (eg published on Friday for a Sunday)</w:t>
            </w:r>
            <w:r>
              <w:t>; and</w:t>
            </w:r>
          </w:p>
        </w:tc>
      </w:tr>
      <w:tr w:rsidR="00D809A0" w:rsidRPr="00161DA4" w14:paraId="716EE5B0" w14:textId="77777777" w:rsidTr="00C92095">
        <w:trPr>
          <w:trHeight w:val="454"/>
        </w:trPr>
        <w:tc>
          <w:tcPr>
            <w:tcW w:w="0" w:type="auto"/>
          </w:tcPr>
          <w:p w14:paraId="59471E5E" w14:textId="77777777" w:rsidR="00D809A0" w:rsidRPr="0029169F" w:rsidRDefault="00D809A0" w:rsidP="00D809A0">
            <w:pPr>
              <w:rPr>
                <w:i/>
                <w:iCs/>
              </w:rPr>
            </w:pPr>
            <w:r w:rsidRPr="0029169F">
              <w:rPr>
                <w:i/>
                <w:iCs/>
              </w:rPr>
              <w:t>PI</w:t>
            </w:r>
            <w:r w:rsidRPr="0029169F">
              <w:rPr>
                <w:i/>
                <w:iCs/>
                <w:vertAlign w:val="subscript"/>
              </w:rPr>
              <w:t>t</w:t>
            </w:r>
          </w:p>
        </w:tc>
        <w:tc>
          <w:tcPr>
            <w:tcW w:w="0" w:type="auto"/>
          </w:tcPr>
          <w:p w14:paraId="1864E341" w14:textId="73C4F4CF" w:rsidR="00D809A0" w:rsidRPr="00765157" w:rsidRDefault="00D809A0" w:rsidP="00D809A0">
            <w:r>
              <w:t>m</w:t>
            </w:r>
            <w:r w:rsidRPr="00765157">
              <w:t xml:space="preserve">eans the price index derived in accordance with Part X of Special </w:t>
            </w:r>
            <w:r>
              <w:t>Condition 2.1 (Revenue Restriction).</w:t>
            </w:r>
          </w:p>
        </w:tc>
      </w:tr>
    </w:tbl>
    <w:p w14:paraId="466E902A" w14:textId="77777777" w:rsidR="00D809A0" w:rsidRDefault="00D809A0" w:rsidP="00D51F4A">
      <w:pPr>
        <w:pStyle w:val="Heading3"/>
        <w:numPr>
          <w:ilvl w:val="5"/>
          <w:numId w:val="7"/>
        </w:numPr>
      </w:pPr>
      <w:r>
        <w:t>Maintenance of the Shrinkage and Leakage Model</w:t>
      </w:r>
    </w:p>
    <w:p w14:paraId="1A9D8595" w14:textId="77777777" w:rsidR="00D809A0" w:rsidRPr="00765157" w:rsidRDefault="00D809A0" w:rsidP="00D51F4A">
      <w:pPr>
        <w:pStyle w:val="NumberedNormal"/>
        <w:numPr>
          <w:ilvl w:val="2"/>
          <w:numId w:val="7"/>
        </w:numPr>
      </w:pPr>
      <w:r>
        <w:t>The licensee, together with all other DN Operators, must have in place a Shrinkage and Leakage Model approved by the Authority.</w:t>
      </w:r>
    </w:p>
    <w:p w14:paraId="281A754E" w14:textId="77777777" w:rsidR="00D809A0" w:rsidRPr="00765157" w:rsidRDefault="00D809A0" w:rsidP="00D51F4A">
      <w:pPr>
        <w:pStyle w:val="NumberedNormal"/>
        <w:numPr>
          <w:ilvl w:val="2"/>
          <w:numId w:val="7"/>
        </w:numPr>
      </w:pPr>
      <w:r>
        <w:t xml:space="preserve">The Shrinkage and Leakage Model must be designed to facilitate the accurate calculation and reporting of Shrinkage and Leakage. </w:t>
      </w:r>
    </w:p>
    <w:p w14:paraId="63EBF9B2" w14:textId="77777777" w:rsidR="00D809A0" w:rsidRPr="00765157" w:rsidRDefault="00D809A0" w:rsidP="00D51F4A">
      <w:pPr>
        <w:pStyle w:val="NumberedNormal"/>
        <w:numPr>
          <w:ilvl w:val="2"/>
          <w:numId w:val="7"/>
        </w:numPr>
      </w:pPr>
      <w:r>
        <w:t>The licensee must, by 31 July in each Regulatory Year, make publicly available and provide to the Authority a report that sets out:</w:t>
      </w:r>
    </w:p>
    <w:p w14:paraId="6ED70C49" w14:textId="530F6BD5" w:rsidR="00D809A0" w:rsidRPr="00765157" w:rsidRDefault="00D809A0" w:rsidP="00D51F4A">
      <w:pPr>
        <w:pStyle w:val="ListNormal"/>
        <w:numPr>
          <w:ilvl w:val="3"/>
          <w:numId w:val="7"/>
        </w:numPr>
      </w:pPr>
      <w:r>
        <w:t>Actual Leakage Volumes;</w:t>
      </w:r>
    </w:p>
    <w:p w14:paraId="4AFF3891" w14:textId="77777777" w:rsidR="00D809A0" w:rsidRPr="00765157" w:rsidRDefault="00D809A0" w:rsidP="00D51F4A">
      <w:pPr>
        <w:pStyle w:val="ListNormal"/>
        <w:numPr>
          <w:ilvl w:val="3"/>
          <w:numId w:val="7"/>
        </w:numPr>
      </w:pPr>
      <w:r>
        <w:t xml:space="preserve">Actual Shrinkage Volumes; and </w:t>
      </w:r>
    </w:p>
    <w:p w14:paraId="3C29E9D1" w14:textId="11A8BE5F" w:rsidR="00D809A0" w:rsidRPr="00765157" w:rsidRDefault="00D809A0" w:rsidP="00D51F4A">
      <w:pPr>
        <w:pStyle w:val="ListNormal"/>
        <w:numPr>
          <w:ilvl w:val="3"/>
          <w:numId w:val="7"/>
        </w:numPr>
      </w:pPr>
      <w:r>
        <w:t>Baseline Shrinkage Volumes,</w:t>
      </w:r>
    </w:p>
    <w:p w14:paraId="2EFBDA48" w14:textId="77777777" w:rsidR="00D809A0" w:rsidRDefault="00D809A0" w:rsidP="00D809A0">
      <w:pPr>
        <w:pStyle w:val="ListNormal"/>
        <w:numPr>
          <w:ilvl w:val="0"/>
          <w:numId w:val="0"/>
        </w:numPr>
        <w:ind w:left="879"/>
      </w:pPr>
      <w:r>
        <w:t xml:space="preserve">as calculated in accordance with the Shrinkage and Leakage Model for each Distribution Network for the preceding Regulatory Year. </w:t>
      </w:r>
    </w:p>
    <w:p w14:paraId="0EF1D074" w14:textId="284130B0" w:rsidR="00D809A0" w:rsidRPr="00765157" w:rsidRDefault="00D809A0" w:rsidP="00D51F4A">
      <w:pPr>
        <w:pStyle w:val="NumberedNormal"/>
        <w:numPr>
          <w:ilvl w:val="2"/>
          <w:numId w:val="7"/>
        </w:numPr>
      </w:pPr>
      <w:r>
        <w:t>Subject to the provision of at least 28 days’ prior notice by the Authority, the licensee must allow the Authority, or a duly authorised representative of the Authority, such access to the licensee’s staff, records and facilities as the Authority may reasonably require, for the purpose of establishing to the Authority’s reasonable satisfaction that:</w:t>
      </w:r>
    </w:p>
    <w:p w14:paraId="6DD6B2E0" w14:textId="77777777" w:rsidR="00D809A0" w:rsidRPr="00765157" w:rsidRDefault="00D809A0" w:rsidP="00D51F4A">
      <w:pPr>
        <w:pStyle w:val="ListNormal"/>
        <w:numPr>
          <w:ilvl w:val="3"/>
          <w:numId w:val="7"/>
        </w:numPr>
      </w:pPr>
      <w:r>
        <w:t>the Shrinkage and Leakage Model complies with the requirements of this condition; and</w:t>
      </w:r>
    </w:p>
    <w:p w14:paraId="6099392E" w14:textId="77777777" w:rsidR="00D809A0" w:rsidRPr="00765157" w:rsidRDefault="00D809A0" w:rsidP="00D51F4A">
      <w:pPr>
        <w:pStyle w:val="ListNormal"/>
        <w:numPr>
          <w:ilvl w:val="3"/>
          <w:numId w:val="7"/>
        </w:numPr>
      </w:pPr>
      <w:r>
        <w:t xml:space="preserve">the licensee is complying with the relevant processes and procedures contained within the Shrinkage and Leakage Model. </w:t>
      </w:r>
    </w:p>
    <w:p w14:paraId="713372A6" w14:textId="77777777" w:rsidR="00D809A0" w:rsidRPr="00765157" w:rsidRDefault="00D809A0" w:rsidP="00D51F4A">
      <w:pPr>
        <w:pStyle w:val="NumberedNormal"/>
        <w:numPr>
          <w:ilvl w:val="2"/>
          <w:numId w:val="7"/>
        </w:numPr>
      </w:pPr>
      <w:r>
        <w:lastRenderedPageBreak/>
        <w:t xml:space="preserve">The licensee must not make any modification to the Shrinkage and Leakage Model except where it is directed to do so by the Authority pursuant to the provisions under Part D. </w:t>
      </w:r>
    </w:p>
    <w:p w14:paraId="5DC23B72" w14:textId="77777777" w:rsidR="00D809A0" w:rsidRDefault="00D809A0" w:rsidP="00D51F4A">
      <w:pPr>
        <w:pStyle w:val="Heading3"/>
        <w:numPr>
          <w:ilvl w:val="5"/>
          <w:numId w:val="7"/>
        </w:numPr>
      </w:pPr>
      <w:r>
        <w:t xml:space="preserve">Modification of the Shrinkage and Leakage Model </w:t>
      </w:r>
    </w:p>
    <w:p w14:paraId="7F6F690A" w14:textId="0CAD6C68" w:rsidR="00D809A0" w:rsidRPr="00765157" w:rsidRDefault="00D809A0" w:rsidP="00D51F4A">
      <w:pPr>
        <w:pStyle w:val="NumberedNormal"/>
        <w:numPr>
          <w:ilvl w:val="2"/>
          <w:numId w:val="7"/>
        </w:numPr>
      </w:pPr>
      <w:r>
        <w:t xml:space="preserve">The licensee must conduct a review of the Shrinkage and Leakage Model every </w:t>
      </w:r>
      <w:r w:rsidR="00237572">
        <w:t>Regulatory Y</w:t>
      </w:r>
      <w:r>
        <w:t xml:space="preserve">ear, and propose such revisions to it as may be appropriate in order to ensure that it maintains or improves the accuracy of its calculation of Shrinkage and Leakage. </w:t>
      </w:r>
    </w:p>
    <w:p w14:paraId="701DA2A9" w14:textId="77777777" w:rsidR="00D809A0" w:rsidRPr="00765157" w:rsidRDefault="00D809A0" w:rsidP="00D51F4A">
      <w:pPr>
        <w:pStyle w:val="NumberedNormal"/>
        <w:numPr>
          <w:ilvl w:val="2"/>
          <w:numId w:val="7"/>
        </w:numPr>
      </w:pPr>
      <w:r>
        <w:t xml:space="preserve">The licensee must: </w:t>
      </w:r>
    </w:p>
    <w:p w14:paraId="3BF61B51" w14:textId="77777777" w:rsidR="00D809A0" w:rsidRPr="00765157" w:rsidRDefault="00D809A0" w:rsidP="00D51F4A">
      <w:pPr>
        <w:pStyle w:val="ListNormal"/>
        <w:numPr>
          <w:ilvl w:val="3"/>
          <w:numId w:val="7"/>
        </w:numPr>
      </w:pPr>
      <w:r>
        <w:t xml:space="preserve">consult with other DN Operators, gas shippers and other interested parties on the outcome of the review; and </w:t>
      </w:r>
    </w:p>
    <w:p w14:paraId="6B82B7E2" w14:textId="3FD1AC2A" w:rsidR="00D809A0" w:rsidRPr="00765157" w:rsidRDefault="00D809A0" w:rsidP="00D51F4A">
      <w:pPr>
        <w:pStyle w:val="ListNormal"/>
        <w:numPr>
          <w:ilvl w:val="3"/>
          <w:numId w:val="7"/>
        </w:numPr>
      </w:pPr>
      <w:r>
        <w:t>send a copy of the consultation to the Authority by 31 December in each Regulatory Year.</w:t>
      </w:r>
    </w:p>
    <w:p w14:paraId="10D5418E" w14:textId="77777777" w:rsidR="00D809A0" w:rsidRPr="00765157" w:rsidRDefault="00D809A0" w:rsidP="00D51F4A">
      <w:pPr>
        <w:pStyle w:val="NumberedNormal"/>
        <w:numPr>
          <w:ilvl w:val="2"/>
          <w:numId w:val="7"/>
        </w:numPr>
      </w:pPr>
      <w:r>
        <w:t>Before proposing any revisions to the Shrinkage and Leakage Model, the licensee must:</w:t>
      </w:r>
    </w:p>
    <w:p w14:paraId="6040A027" w14:textId="77777777" w:rsidR="00D809A0" w:rsidRPr="00765157" w:rsidRDefault="00D809A0" w:rsidP="00D51F4A">
      <w:pPr>
        <w:pStyle w:val="ListNormal"/>
        <w:numPr>
          <w:ilvl w:val="3"/>
          <w:numId w:val="7"/>
        </w:numPr>
      </w:pPr>
      <w:r>
        <w:t xml:space="preserve">consult other DN Operators, gas shippers and other interested parties for their views on: </w:t>
      </w:r>
    </w:p>
    <w:p w14:paraId="2A4CE185" w14:textId="68AE8F59" w:rsidR="00D809A0" w:rsidRPr="00765157" w:rsidRDefault="00D809A0" w:rsidP="00D809A0">
      <w:pPr>
        <w:pStyle w:val="ListNormal"/>
        <w:numPr>
          <w:ilvl w:val="4"/>
          <w:numId w:val="2"/>
        </w:numPr>
      </w:pPr>
      <w:r>
        <w:t xml:space="preserve">whether the </w:t>
      </w:r>
      <w:r w:rsidRPr="00765157">
        <w:t xml:space="preserve">proposed revisions to the Shrinkage and Leakage Model would better achieve the objective set out in paragraph </w:t>
      </w:r>
      <w:r w:rsidR="00237572">
        <w:t>4.4</w:t>
      </w:r>
      <w:r w:rsidRPr="00765157">
        <w:t xml:space="preserve">.7; and </w:t>
      </w:r>
    </w:p>
    <w:p w14:paraId="62746DA0" w14:textId="7761A20B" w:rsidR="00D809A0" w:rsidRPr="00765157" w:rsidRDefault="00D809A0" w:rsidP="00D809A0">
      <w:pPr>
        <w:pStyle w:val="ListNormal"/>
        <w:numPr>
          <w:ilvl w:val="4"/>
          <w:numId w:val="2"/>
        </w:numPr>
      </w:pPr>
      <w:r>
        <w:t xml:space="preserve">whether the </w:t>
      </w:r>
      <w:r w:rsidRPr="00765157">
        <w:t xml:space="preserve">allowed Shrinkage and allowed Leakage volumes should be revised as proposed </w:t>
      </w:r>
    </w:p>
    <w:p w14:paraId="279E89D0" w14:textId="77928896" w:rsidR="00D809A0" w:rsidRDefault="00D809A0" w:rsidP="00D51F4A">
      <w:pPr>
        <w:pStyle w:val="ListNormal"/>
        <w:numPr>
          <w:ilvl w:val="3"/>
          <w:numId w:val="7"/>
        </w:numPr>
      </w:pPr>
      <w:r>
        <w:t xml:space="preserve">allowing them a period of not less than 28 days in which to make representations; </w:t>
      </w:r>
    </w:p>
    <w:p w14:paraId="0819BF9E" w14:textId="08F0F004" w:rsidR="00D809A0" w:rsidRPr="00765157" w:rsidRDefault="00D809A0" w:rsidP="00D51F4A">
      <w:pPr>
        <w:pStyle w:val="ListNormal"/>
        <w:numPr>
          <w:ilvl w:val="3"/>
          <w:numId w:val="7"/>
        </w:numPr>
      </w:pPr>
      <w:r>
        <w:t xml:space="preserve">together with other DN Operators, appoint an independent expert, who will provide a report setting out their opinion on the extent to which the proposed revisions to the Shrinkage and Leakage Model would better achieve the objective set out in paragraph </w:t>
      </w:r>
      <w:r w:rsidR="00237572">
        <w:t>4.4</w:t>
      </w:r>
      <w:r>
        <w:t>.7; and</w:t>
      </w:r>
    </w:p>
    <w:p w14:paraId="5ED8B5B6" w14:textId="77777777" w:rsidR="00D809A0" w:rsidRPr="00765157" w:rsidRDefault="00D809A0" w:rsidP="00D51F4A">
      <w:pPr>
        <w:pStyle w:val="ListNormal"/>
        <w:numPr>
          <w:ilvl w:val="3"/>
          <w:numId w:val="7"/>
        </w:numPr>
      </w:pPr>
      <w:r>
        <w:t>within 28 days after the close of that consultation, make publicly available and submit to the Authority a report.</w:t>
      </w:r>
    </w:p>
    <w:p w14:paraId="3ABFF27D" w14:textId="77777777" w:rsidR="00D809A0" w:rsidRPr="00765157" w:rsidRDefault="00D809A0" w:rsidP="00D51F4A">
      <w:pPr>
        <w:pStyle w:val="NumberedNormal"/>
        <w:numPr>
          <w:ilvl w:val="2"/>
          <w:numId w:val="7"/>
        </w:numPr>
      </w:pPr>
      <w:r>
        <w:t xml:space="preserve">The report must set out: </w:t>
      </w:r>
    </w:p>
    <w:p w14:paraId="70C68A69" w14:textId="77777777" w:rsidR="00D809A0" w:rsidRPr="00765157" w:rsidRDefault="00D809A0" w:rsidP="00D51F4A">
      <w:pPr>
        <w:pStyle w:val="ListNormal"/>
        <w:numPr>
          <w:ilvl w:val="3"/>
          <w:numId w:val="7"/>
        </w:numPr>
      </w:pPr>
      <w:r>
        <w:t>the modifications originally proposed;</w:t>
      </w:r>
    </w:p>
    <w:p w14:paraId="0BB8D8A8" w14:textId="77777777" w:rsidR="00D809A0" w:rsidRPr="00765157" w:rsidRDefault="00D809A0" w:rsidP="00D51F4A">
      <w:pPr>
        <w:pStyle w:val="ListNormal"/>
        <w:numPr>
          <w:ilvl w:val="3"/>
          <w:numId w:val="7"/>
        </w:numPr>
      </w:pPr>
      <w:r>
        <w:t>any impact on associated RIIO-GD2 Outputs;</w:t>
      </w:r>
    </w:p>
    <w:p w14:paraId="4D5C57E8" w14:textId="77777777" w:rsidR="00D809A0" w:rsidRPr="00765157" w:rsidRDefault="00D809A0" w:rsidP="00D51F4A">
      <w:pPr>
        <w:pStyle w:val="ListNormal"/>
        <w:numPr>
          <w:ilvl w:val="3"/>
          <w:numId w:val="7"/>
        </w:numPr>
      </w:pPr>
      <w:r>
        <w:t>the non-confidential representations (if any) that were made to the licensee by other DN Operators, gas shippers or other interested parties and not withdrawn;</w:t>
      </w:r>
    </w:p>
    <w:p w14:paraId="6AA545EE" w14:textId="77777777" w:rsidR="00D809A0" w:rsidRPr="00765157" w:rsidRDefault="00D809A0" w:rsidP="00D51F4A">
      <w:pPr>
        <w:pStyle w:val="ListNormal"/>
        <w:numPr>
          <w:ilvl w:val="3"/>
          <w:numId w:val="7"/>
        </w:numPr>
      </w:pPr>
      <w:r>
        <w:t>any changes to the modifications and to associated RIIO-GD2 Outputs that are proposed as a result of such representations;</w:t>
      </w:r>
    </w:p>
    <w:p w14:paraId="6178B5D1" w14:textId="67C3B367" w:rsidR="00D809A0" w:rsidRPr="00765157" w:rsidRDefault="00D809A0" w:rsidP="00D51F4A">
      <w:pPr>
        <w:pStyle w:val="ListNormal"/>
        <w:numPr>
          <w:ilvl w:val="3"/>
          <w:numId w:val="7"/>
        </w:numPr>
      </w:pPr>
      <w:r>
        <w:t>a copy of the independent expert’s report required by paragraph 4.4.1</w:t>
      </w:r>
      <w:r w:rsidR="00237572">
        <w:t>3</w:t>
      </w:r>
      <w:r>
        <w:t>.(c);</w:t>
      </w:r>
    </w:p>
    <w:p w14:paraId="6EE40484" w14:textId="77777777" w:rsidR="00D809A0" w:rsidRPr="00765157" w:rsidRDefault="00D809A0" w:rsidP="00D51F4A">
      <w:pPr>
        <w:pStyle w:val="ListNormal"/>
        <w:numPr>
          <w:ilvl w:val="3"/>
          <w:numId w:val="7"/>
        </w:numPr>
      </w:pPr>
      <w:r>
        <w:lastRenderedPageBreak/>
        <w:t>an explanation of how the proposed modifications would better achieve the objective set out in paragraph XX.7; and</w:t>
      </w:r>
    </w:p>
    <w:p w14:paraId="3C8E23E1" w14:textId="77777777" w:rsidR="00D809A0" w:rsidRPr="00765157" w:rsidRDefault="00D809A0" w:rsidP="00D51F4A">
      <w:pPr>
        <w:pStyle w:val="ListNormal"/>
        <w:numPr>
          <w:ilvl w:val="3"/>
          <w:numId w:val="7"/>
        </w:numPr>
      </w:pPr>
      <w:r>
        <w:t>a timetable for implementing the modifications originally proposed or any alternative modifications developed in the light of any representations made by other DN Operators, gas shippers or other interested parties, including the date with effect from which such modifications (if made) would take effect.</w:t>
      </w:r>
    </w:p>
    <w:p w14:paraId="3403462E" w14:textId="7BEA54CA" w:rsidR="00D809A0" w:rsidRPr="00765157" w:rsidRDefault="00D809A0" w:rsidP="00D51F4A">
      <w:pPr>
        <w:pStyle w:val="NumberedNormal"/>
        <w:numPr>
          <w:ilvl w:val="2"/>
          <w:numId w:val="7"/>
        </w:numPr>
      </w:pPr>
      <w:r>
        <w:t>If requested by other DN Operators, the licensee must provide all the information reasonably required to enable DN Operators to comply with paragraph 4.4.1</w:t>
      </w:r>
      <w:r w:rsidR="00237572">
        <w:t>3</w:t>
      </w:r>
      <w:r>
        <w:t xml:space="preserve">(c), even if the licensee does not agree that the modification better meets the objective set out in paragraph </w:t>
      </w:r>
      <w:r w:rsidR="00237572">
        <w:t>4.4</w:t>
      </w:r>
      <w:r>
        <w:t>.7.</w:t>
      </w:r>
    </w:p>
    <w:p w14:paraId="7CA82B93" w14:textId="77777777" w:rsidR="00D809A0" w:rsidRPr="00765157" w:rsidRDefault="00D809A0" w:rsidP="00D51F4A">
      <w:pPr>
        <w:pStyle w:val="NumberedNormal"/>
        <w:numPr>
          <w:ilvl w:val="2"/>
          <w:numId w:val="7"/>
        </w:numPr>
      </w:pPr>
      <w:r>
        <w:t>The Authority will either:</w:t>
      </w:r>
    </w:p>
    <w:p w14:paraId="5A9C9093" w14:textId="77777777" w:rsidR="00D809A0" w:rsidRPr="00765157" w:rsidRDefault="00D809A0" w:rsidP="00D51F4A">
      <w:pPr>
        <w:pStyle w:val="ListNormal"/>
        <w:numPr>
          <w:ilvl w:val="3"/>
          <w:numId w:val="7"/>
        </w:numPr>
      </w:pPr>
      <w:r>
        <w:t>approve the revisions proposed by the licensee;</w:t>
      </w:r>
    </w:p>
    <w:p w14:paraId="43634014" w14:textId="77777777" w:rsidR="00D809A0" w:rsidRPr="00765157" w:rsidRDefault="00D809A0" w:rsidP="00D51F4A">
      <w:pPr>
        <w:pStyle w:val="ListNormal"/>
        <w:numPr>
          <w:ilvl w:val="3"/>
          <w:numId w:val="7"/>
        </w:numPr>
      </w:pPr>
      <w:r>
        <w:t>reject the proposed revisions; or</w:t>
      </w:r>
    </w:p>
    <w:p w14:paraId="519E0F97" w14:textId="7D51EC7E" w:rsidR="00D809A0" w:rsidRPr="00765157" w:rsidRDefault="00D809A0" w:rsidP="00D51F4A">
      <w:pPr>
        <w:pStyle w:val="ListNormal"/>
        <w:numPr>
          <w:ilvl w:val="3"/>
          <w:numId w:val="7"/>
        </w:numPr>
      </w:pPr>
      <w:r>
        <w:t xml:space="preserve">reject the proposed revisions and give recommendations as to alternative revisions that it considers </w:t>
      </w:r>
      <w:r w:rsidR="000B07EF">
        <w:t>should</w:t>
      </w:r>
      <w:r>
        <w:t xml:space="preserve"> be made.</w:t>
      </w:r>
    </w:p>
    <w:p w14:paraId="37C8E2E8" w14:textId="77777777" w:rsidR="00D809A0" w:rsidRDefault="00D809A0" w:rsidP="00D51F4A">
      <w:pPr>
        <w:pStyle w:val="Heading3"/>
        <w:numPr>
          <w:ilvl w:val="5"/>
          <w:numId w:val="7"/>
        </w:numPr>
      </w:pPr>
      <w:r>
        <w:t>Review requirements in respect of modifications</w:t>
      </w:r>
    </w:p>
    <w:p w14:paraId="30B5A9F6" w14:textId="6EABCB5C" w:rsidR="00D809A0" w:rsidRPr="00765157" w:rsidRDefault="00D809A0" w:rsidP="00D51F4A">
      <w:pPr>
        <w:pStyle w:val="NumberedNormal"/>
        <w:numPr>
          <w:ilvl w:val="2"/>
          <w:numId w:val="7"/>
        </w:numPr>
      </w:pPr>
      <w:r>
        <w:t xml:space="preserve">Except where the Authority otherwise consents, the licensee must, together with other DN Operators and by no later than six months after the implementation of a modification to the Shrinkage and Leakage Model pursuant to Part D, appoint an independent expert to review and report on that implementation. </w:t>
      </w:r>
    </w:p>
    <w:p w14:paraId="44460760" w14:textId="0C7E845A" w:rsidR="00D809A0" w:rsidRPr="00765157" w:rsidRDefault="00D809A0" w:rsidP="00D51F4A">
      <w:pPr>
        <w:pStyle w:val="NumberedNormal"/>
        <w:numPr>
          <w:ilvl w:val="2"/>
          <w:numId w:val="7"/>
        </w:numPr>
      </w:pPr>
      <w:r>
        <w:t xml:space="preserve">The licensee must, together with other DN Operators, ensure that the independent expert’s report prepared under paragraph 4.4.18 is made publicly available, and that a copy of that report is sent to the Authority. </w:t>
      </w:r>
    </w:p>
    <w:p w14:paraId="4D95D2E1" w14:textId="56F0D3AB" w:rsidR="00D809A0" w:rsidRDefault="00D809A0" w:rsidP="00D51F4A">
      <w:pPr>
        <w:pStyle w:val="AppendixHeading"/>
      </w:pPr>
    </w:p>
    <w:p w14:paraId="07C7D5E3" w14:textId="4A9E9835" w:rsidR="00D809A0" w:rsidRDefault="00D809A0" w:rsidP="00F655BA">
      <w:pPr>
        <w:pStyle w:val="Caption"/>
      </w:pPr>
      <w:r w:rsidRPr="005C11C2">
        <w:t xml:space="preserve">Environmental emissions factor (the </w:t>
      </w:r>
      <w:r w:rsidRPr="00F655BA">
        <w:rPr>
          <w:i/>
          <w:iCs w:val="0"/>
        </w:rPr>
        <w:t>CC</w:t>
      </w:r>
      <w:r w:rsidR="00F655BA" w:rsidRPr="00F655BA">
        <w:rPr>
          <w:i/>
          <w:iCs w:val="0"/>
          <w:vertAlign w:val="subscript"/>
        </w:rPr>
        <w:t>t</w:t>
      </w:r>
      <w:r w:rsidRPr="005C11C2">
        <w:t xml:space="preserve"> term) for the period beginning on 1 April 2021 and ending on 31 March 2026 </w:t>
      </w:r>
    </w:p>
    <w:tbl>
      <w:tblPr>
        <w:tblStyle w:val="AppendixTable"/>
        <w:tblW w:w="0" w:type="auto"/>
        <w:jc w:val="center"/>
        <w:tblLayout w:type="fixed"/>
        <w:tblLook w:val="01A0" w:firstRow="1" w:lastRow="0" w:firstColumn="1" w:lastColumn="1" w:noHBand="0" w:noVBand="0"/>
      </w:tblPr>
      <w:tblGrid>
        <w:gridCol w:w="801"/>
        <w:gridCol w:w="1417"/>
        <w:gridCol w:w="1417"/>
        <w:gridCol w:w="1417"/>
        <w:gridCol w:w="1417"/>
        <w:gridCol w:w="1468"/>
      </w:tblGrid>
      <w:tr w:rsidR="00D809A0" w:rsidRPr="00FE51C6" w14:paraId="122FB7D0" w14:textId="77777777" w:rsidTr="00F655BA">
        <w:trPr>
          <w:cnfStyle w:val="100000000000" w:firstRow="1" w:lastRow="0" w:firstColumn="0" w:lastColumn="0" w:oddVBand="0" w:evenVBand="0" w:oddHBand="0" w:evenHBand="0" w:firstRowFirstColumn="0" w:firstRowLastColumn="0" w:lastRowFirstColumn="0" w:lastRowLastColumn="0"/>
          <w:jc w:val="center"/>
        </w:trPr>
        <w:tc>
          <w:tcPr>
            <w:tcW w:w="801" w:type="dxa"/>
          </w:tcPr>
          <w:p w14:paraId="10F45615" w14:textId="77777777" w:rsidR="00D809A0" w:rsidRPr="005C11C2" w:rsidRDefault="00D809A0" w:rsidP="00D809A0"/>
        </w:tc>
        <w:tc>
          <w:tcPr>
            <w:tcW w:w="1417" w:type="dxa"/>
          </w:tcPr>
          <w:p w14:paraId="08972E7C" w14:textId="77777777" w:rsidR="00D809A0" w:rsidRPr="005C11C2" w:rsidRDefault="00D809A0" w:rsidP="00D809A0">
            <w:r w:rsidRPr="005C11C2">
              <w:t>t=1</w:t>
            </w:r>
          </w:p>
        </w:tc>
        <w:tc>
          <w:tcPr>
            <w:tcW w:w="1417" w:type="dxa"/>
          </w:tcPr>
          <w:p w14:paraId="2ADF1022" w14:textId="77777777" w:rsidR="00D809A0" w:rsidRPr="005C11C2" w:rsidRDefault="00D809A0" w:rsidP="00D809A0">
            <w:r w:rsidRPr="005C11C2">
              <w:t>t=2</w:t>
            </w:r>
          </w:p>
        </w:tc>
        <w:tc>
          <w:tcPr>
            <w:tcW w:w="1417" w:type="dxa"/>
          </w:tcPr>
          <w:p w14:paraId="4A7AADF6" w14:textId="77777777" w:rsidR="00D809A0" w:rsidRPr="005C11C2" w:rsidRDefault="00D809A0" w:rsidP="00D809A0">
            <w:r w:rsidRPr="005C11C2">
              <w:t>t=3</w:t>
            </w:r>
          </w:p>
        </w:tc>
        <w:tc>
          <w:tcPr>
            <w:tcW w:w="1417" w:type="dxa"/>
          </w:tcPr>
          <w:p w14:paraId="5F708664" w14:textId="77777777" w:rsidR="00D809A0" w:rsidRPr="005C11C2" w:rsidRDefault="00D809A0" w:rsidP="00D809A0">
            <w:r w:rsidRPr="005C11C2">
              <w:t>t=4</w:t>
            </w:r>
          </w:p>
        </w:tc>
        <w:tc>
          <w:tcPr>
            <w:tcW w:w="1468" w:type="dxa"/>
          </w:tcPr>
          <w:p w14:paraId="7AE083DD" w14:textId="77777777" w:rsidR="00D809A0" w:rsidRPr="005C11C2" w:rsidRDefault="00D809A0" w:rsidP="00D809A0">
            <w:r w:rsidRPr="005C11C2">
              <w:t>t=5</w:t>
            </w:r>
          </w:p>
        </w:tc>
      </w:tr>
      <w:tr w:rsidR="00D809A0" w:rsidRPr="00FE51C6" w14:paraId="616B1495" w14:textId="77777777" w:rsidTr="00F655BA">
        <w:trPr>
          <w:jc w:val="center"/>
        </w:trPr>
        <w:tc>
          <w:tcPr>
            <w:tcW w:w="801" w:type="dxa"/>
          </w:tcPr>
          <w:p w14:paraId="4BAB6A39" w14:textId="77777777" w:rsidR="00D809A0" w:rsidRPr="005C11C2" w:rsidRDefault="00D809A0" w:rsidP="00D809A0">
            <w:r w:rsidRPr="00FE51C6">
              <w:t>CC</w:t>
            </w:r>
            <w:r w:rsidRPr="005C11C2">
              <w:t>t</w:t>
            </w:r>
          </w:p>
        </w:tc>
        <w:tc>
          <w:tcPr>
            <w:tcW w:w="1417" w:type="dxa"/>
          </w:tcPr>
          <w:p w14:paraId="0A16E760" w14:textId="77777777" w:rsidR="00D809A0" w:rsidRPr="005C11C2" w:rsidRDefault="00D809A0" w:rsidP="00D809A0">
            <w:r>
              <w:t>xxx</w:t>
            </w:r>
          </w:p>
        </w:tc>
        <w:tc>
          <w:tcPr>
            <w:tcW w:w="1417" w:type="dxa"/>
          </w:tcPr>
          <w:p w14:paraId="2BB6F91C" w14:textId="77777777" w:rsidR="00D809A0" w:rsidRPr="005C11C2" w:rsidRDefault="00D809A0" w:rsidP="00D809A0">
            <w:r>
              <w:t>xxx</w:t>
            </w:r>
          </w:p>
        </w:tc>
        <w:tc>
          <w:tcPr>
            <w:tcW w:w="1417" w:type="dxa"/>
          </w:tcPr>
          <w:p w14:paraId="257F7998" w14:textId="77777777" w:rsidR="00D809A0" w:rsidRPr="005C11C2" w:rsidRDefault="00D809A0" w:rsidP="00D809A0">
            <w:r>
              <w:t>xxx</w:t>
            </w:r>
          </w:p>
        </w:tc>
        <w:tc>
          <w:tcPr>
            <w:tcW w:w="1417" w:type="dxa"/>
          </w:tcPr>
          <w:p w14:paraId="26688E91" w14:textId="77777777" w:rsidR="00D809A0" w:rsidRPr="005C11C2" w:rsidRDefault="00D809A0" w:rsidP="00D809A0">
            <w:r>
              <w:t>xxx</w:t>
            </w:r>
          </w:p>
        </w:tc>
        <w:tc>
          <w:tcPr>
            <w:tcW w:w="1468" w:type="dxa"/>
          </w:tcPr>
          <w:p w14:paraId="14321C0F" w14:textId="77777777" w:rsidR="00D809A0" w:rsidRPr="005C11C2" w:rsidRDefault="00D809A0" w:rsidP="00D809A0">
            <w:r>
              <w:t>xxx</w:t>
            </w:r>
          </w:p>
        </w:tc>
      </w:tr>
    </w:tbl>
    <w:p w14:paraId="1E2FA971" w14:textId="2A560048" w:rsidR="00DA4085" w:rsidRPr="003F7DA7" w:rsidRDefault="00DA4085" w:rsidP="00DA4085">
      <w:pPr>
        <w:pStyle w:val="Heading2"/>
        <w:numPr>
          <w:ilvl w:val="1"/>
          <w:numId w:val="18"/>
        </w:numPr>
      </w:pPr>
      <w:bookmarkStart w:id="130" w:name="_Toc51783668"/>
      <w:bookmarkStart w:id="131" w:name="_Toc52364569"/>
      <w:r w:rsidRPr="003F7DA7">
        <w:t xml:space="preserve">Unplanned Interruption Overall Mean Duration </w:t>
      </w:r>
      <w:r>
        <w:t>o</w:t>
      </w:r>
      <w:r w:rsidRPr="003F7DA7">
        <w:t xml:space="preserve">utput </w:t>
      </w:r>
      <w:r>
        <w:t>d</w:t>
      </w:r>
      <w:r w:rsidRPr="003F7DA7">
        <w:t xml:space="preserve">elivery </w:t>
      </w:r>
      <w:r>
        <w:t>i</w:t>
      </w:r>
      <w:r w:rsidRPr="003F7DA7">
        <w:t>ncentive</w:t>
      </w:r>
      <w:r>
        <w:t xml:space="preserve"> (UIP</w:t>
      </w:r>
      <w:r w:rsidRPr="00DA4085">
        <w:rPr>
          <w:vertAlign w:val="subscript"/>
        </w:rPr>
        <w:t>t</w:t>
      </w:r>
      <w:r>
        <w:t xml:space="preserve">) </w:t>
      </w:r>
      <w:r w:rsidRPr="004E1E8E">
        <w:rPr>
          <w:highlight w:val="yellow"/>
        </w:rPr>
        <w:t>[NGN, SGN and WWU]</w:t>
      </w:r>
      <w:bookmarkEnd w:id="131"/>
    </w:p>
    <w:p w14:paraId="258416D0" w14:textId="77777777" w:rsidR="00DA4085" w:rsidRPr="003F7DA7" w:rsidRDefault="00DA4085" w:rsidP="00DA4085">
      <w:pPr>
        <w:pStyle w:val="Heading3nonumbering"/>
      </w:pPr>
      <w:r w:rsidRPr="003F7DA7">
        <w:t xml:space="preserve">Introduction </w:t>
      </w:r>
    </w:p>
    <w:p w14:paraId="576BFD55" w14:textId="77777777" w:rsidR="00DA4085" w:rsidRPr="003F7DA7" w:rsidRDefault="00DA4085" w:rsidP="00DA4085">
      <w:pPr>
        <w:pStyle w:val="NumberedNormal"/>
        <w:numPr>
          <w:ilvl w:val="2"/>
          <w:numId w:val="7"/>
        </w:numPr>
      </w:pPr>
      <w:r>
        <w:t>The purpose of this condition is to calculate the term UIPt (the Unplanned Interruption output delivery incentive term). This contributes to the calculation of the term ODIt (the output delivery incentives term), which in turn feeds into Calculated Revenue in Special Condition 2.1 (Revenue Restriction).</w:t>
      </w:r>
    </w:p>
    <w:p w14:paraId="64E28290" w14:textId="77777777" w:rsidR="00DA4085" w:rsidRPr="003F7DA7" w:rsidRDefault="00DA4085" w:rsidP="00DA4085">
      <w:pPr>
        <w:pStyle w:val="NumberedNormal"/>
        <w:numPr>
          <w:ilvl w:val="2"/>
          <w:numId w:val="7"/>
        </w:numPr>
      </w:pPr>
      <w:r>
        <w:lastRenderedPageBreak/>
        <w:t xml:space="preserve">The effect of the Unplanned Interruption output delivery incentive is to penalise the licensee should it fail to meet minimum standards in its Unplanned Interruption Overall Mean Duration performance. </w:t>
      </w:r>
    </w:p>
    <w:p w14:paraId="60B7C299" w14:textId="77777777" w:rsidR="00DA4085" w:rsidRPr="003F7DA7" w:rsidRDefault="00DA4085" w:rsidP="00DA4085">
      <w:pPr>
        <w:pStyle w:val="NumberedNormal"/>
        <w:numPr>
          <w:ilvl w:val="2"/>
          <w:numId w:val="7"/>
        </w:numPr>
      </w:pPr>
      <w:r>
        <w:t>This condition also:</w:t>
      </w:r>
    </w:p>
    <w:p w14:paraId="04B16431" w14:textId="77777777" w:rsidR="00DA4085" w:rsidRPr="003F7DA7" w:rsidRDefault="00DA4085" w:rsidP="00DA4085">
      <w:pPr>
        <w:pStyle w:val="ListNormal"/>
        <w:numPr>
          <w:ilvl w:val="3"/>
          <w:numId w:val="7"/>
        </w:numPr>
      </w:pPr>
      <w:r>
        <w:t>requires the licensee to submit an explanatory report should its performance breach the Unplanned Interruption Excessive Deterioration Level; and</w:t>
      </w:r>
    </w:p>
    <w:p w14:paraId="245D61E7" w14:textId="77777777" w:rsidR="00DA4085" w:rsidRPr="003F7DA7" w:rsidRDefault="00DA4085" w:rsidP="00DA4085">
      <w:pPr>
        <w:pStyle w:val="ListNormal"/>
        <w:numPr>
          <w:ilvl w:val="3"/>
          <w:numId w:val="7"/>
        </w:numPr>
      </w:pPr>
      <w:r>
        <w:t>makes provision for the licensee to apply for a reduction in the Unplanned Interruption Overall Mean Duration penalty in certain circumstances.</w:t>
      </w:r>
    </w:p>
    <w:p w14:paraId="2D8193F1" w14:textId="77777777" w:rsidR="00DA4085" w:rsidRPr="003F7DA7" w:rsidRDefault="00DA4085" w:rsidP="00DA4085">
      <w:pPr>
        <w:pStyle w:val="Heading3"/>
        <w:numPr>
          <w:ilvl w:val="5"/>
          <w:numId w:val="7"/>
        </w:numPr>
      </w:pPr>
      <w:r>
        <w:t xml:space="preserve">Formula for calculating the Unplanned Interruption Overall Mean Duration penalty </w:t>
      </w:r>
    </w:p>
    <w:p w14:paraId="5F1540CB" w14:textId="77777777" w:rsidR="00DA4085" w:rsidRPr="003F7DA7" w:rsidRDefault="00DA4085" w:rsidP="00DA4085">
      <w:pPr>
        <w:pStyle w:val="NumberedNormal"/>
        <w:numPr>
          <w:ilvl w:val="2"/>
          <w:numId w:val="7"/>
        </w:numPr>
      </w:pPr>
      <w:r>
        <w:t>The value of the UIP</w:t>
      </w:r>
      <w:r w:rsidRPr="00023BE8">
        <w:rPr>
          <w:vertAlign w:val="subscript"/>
        </w:rPr>
        <w:t>t</w:t>
      </w:r>
      <w:r>
        <w:t xml:space="preserve"> term is derived in accordance with the following formula:</w:t>
      </w:r>
    </w:p>
    <w:p w14:paraId="4D638715" w14:textId="77777777" w:rsidR="00DA4085" w:rsidRPr="003F7DA7" w:rsidRDefault="008C7681" w:rsidP="00DA4085">
      <w:pPr>
        <w:pStyle w:val="Equation"/>
      </w:pPr>
      <m:oMathPara>
        <m:oMath>
          <m:sSub>
            <m:sSubPr>
              <m:ctrlPr>
                <w:rPr>
                  <w:rFonts w:ascii="Cambria Math" w:hAnsi="Cambria Math"/>
                </w:rPr>
              </m:ctrlPr>
            </m:sSubPr>
            <m:e>
              <m:r>
                <w:rPr>
                  <w:rFonts w:ascii="Cambria Math" w:hAnsi="Cambria Math"/>
                </w:rPr>
                <m:t>UIP</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m:rPr>
                      <m:sty m:val="p"/>
                    </m:rPr>
                    <w:rPr>
                      <w:rFonts w:ascii="Cambria Math" w:hAnsi="Cambria Math"/>
                    </w:rPr>
                    <m:t>0,  &amp;</m:t>
                  </m:r>
                  <m:sSub>
                    <m:sSubPr>
                      <m:ctrlPr>
                        <w:rPr>
                          <w:rFonts w:ascii="Cambria Math" w:hAnsi="Cambria Math"/>
                        </w:rPr>
                      </m:ctrlPr>
                    </m:sSubPr>
                    <m:e>
                      <m:r>
                        <w:rPr>
                          <w:rFonts w:ascii="Cambria Math" w:hAnsi="Cambria Math"/>
                        </w:rPr>
                        <m:t>UIMD</m:t>
                      </m:r>
                    </m:e>
                    <m:sub>
                      <m:r>
                        <w:rPr>
                          <w:rFonts w:ascii="Cambria Math" w:hAnsi="Cambria Math"/>
                        </w:rPr>
                        <m:t>t</m:t>
                      </m:r>
                    </m:sub>
                  </m:sSub>
                  <m:r>
                    <m:rPr>
                      <m:sty m:val="p"/>
                    </m:rPr>
                    <w:rPr>
                      <w:rFonts w:ascii="Cambria Math" w:hAnsi="Cambria Math"/>
                    </w:rPr>
                    <m:t>≤</m:t>
                  </m:r>
                  <m:r>
                    <w:rPr>
                      <w:rFonts w:ascii="Cambria Math" w:hAnsi="Cambria Math"/>
                    </w:rPr>
                    <m:t>UIMS</m:t>
                  </m:r>
                </m:e>
                <m:e>
                  <m:r>
                    <m:rPr>
                      <m:sty m:val="p"/>
                    </m:rPr>
                    <w:rPr>
                      <w:rFonts w:ascii="Cambria Math" w:hAnsi="Cambria Math"/>
                    </w:rPr>
                    <m:t>max⁡</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UIMD</m:t>
                              </m:r>
                            </m:e>
                            <m:sub>
                              <m:r>
                                <w:rPr>
                                  <w:rFonts w:ascii="Cambria Math" w:hAnsi="Cambria Math"/>
                                </w:rPr>
                                <m:t>t</m:t>
                              </m:r>
                            </m:sub>
                          </m:sSub>
                          <m:r>
                            <m:rPr>
                              <m:sty m:val="p"/>
                            </m:rPr>
                            <w:rPr>
                              <w:rFonts w:ascii="Cambria Math" w:hAnsi="Cambria Math"/>
                            </w:rPr>
                            <m:t>-</m:t>
                          </m:r>
                          <m:r>
                            <w:rPr>
                              <w:rFonts w:ascii="Cambria Math" w:hAnsi="Cambria Math"/>
                            </w:rPr>
                            <m:t>UIMS</m:t>
                          </m:r>
                        </m:num>
                        <m:den>
                          <m:r>
                            <w:rPr>
                              <w:rFonts w:ascii="Cambria Math" w:hAnsi="Cambria Math"/>
                            </w:rPr>
                            <m:t>UIMS-UIED</m:t>
                          </m:r>
                        </m:den>
                      </m:f>
                      <m:r>
                        <m:rPr>
                          <m:sty m:val="p"/>
                        </m:rPr>
                        <w:rPr>
                          <w:rFonts w:ascii="Cambria Math" w:hAnsi="Cambria Math"/>
                        </w:rPr>
                        <m:t>, -1</m:t>
                      </m:r>
                    </m:e>
                  </m:d>
                  <m:r>
                    <m:rPr>
                      <m:sty m:val="p"/>
                    </m:rPr>
                    <w:rPr>
                      <w:rFonts w:ascii="Cambria Math" w:hAnsi="Cambria Math"/>
                    </w:rPr>
                    <m:t>[</m:t>
                  </m:r>
                  <m:sSub>
                    <m:sSubPr>
                      <m:ctrlPr>
                        <w:rPr>
                          <w:rFonts w:ascii="Cambria Math" w:hAnsi="Cambria Math"/>
                        </w:rPr>
                      </m:ctrlPr>
                    </m:sSubPr>
                    <m:e>
                      <m:r>
                        <m:rPr>
                          <m:sty m:val="p"/>
                        </m:rPr>
                        <w:rPr>
                          <w:rFonts w:ascii="Cambria Math" w:hAnsi="Cambria Math"/>
                        </w:rPr>
                        <m:t xml:space="preserve">0.005 </m:t>
                      </m:r>
                      <m:r>
                        <w:rPr>
                          <w:rFonts w:ascii="Cambria Math" w:hAnsi="Cambria Math"/>
                        </w:rPr>
                        <m:t>EABR</m:t>
                      </m:r>
                    </m:e>
                    <m:sub>
                      <m:r>
                        <w:rPr>
                          <w:rFonts w:ascii="Cambria Math" w:hAnsi="Cambria Math"/>
                        </w:rPr>
                        <m:t>t</m:t>
                      </m:r>
                    </m:sub>
                  </m:sSub>
                  <m:r>
                    <m:rPr>
                      <m:sty m:val="p"/>
                    </m:rPr>
                    <w:rPr>
                      <w:rFonts w:ascii="Cambria Math" w:hAnsi="Cambria Math"/>
                    </w:rPr>
                    <m:t>],  &amp;</m:t>
                  </m:r>
                  <m:sSub>
                    <m:sSubPr>
                      <m:ctrlPr>
                        <w:rPr>
                          <w:rFonts w:ascii="Cambria Math" w:hAnsi="Cambria Math"/>
                        </w:rPr>
                      </m:ctrlPr>
                    </m:sSubPr>
                    <m:e>
                      <m:r>
                        <w:rPr>
                          <w:rFonts w:ascii="Cambria Math" w:hAnsi="Cambria Math"/>
                        </w:rPr>
                        <m:t>UIMD</m:t>
                      </m:r>
                    </m:e>
                    <m:sub>
                      <m:r>
                        <w:rPr>
                          <w:rFonts w:ascii="Cambria Math" w:hAnsi="Cambria Math"/>
                        </w:rPr>
                        <m:t>t</m:t>
                      </m:r>
                    </m:sub>
                  </m:sSub>
                  <m:r>
                    <m:rPr>
                      <m:sty m:val="p"/>
                    </m:rPr>
                    <w:rPr>
                      <w:rFonts w:ascii="Cambria Math" w:hAnsi="Cambria Math"/>
                    </w:rPr>
                    <m:t>&gt;</m:t>
                  </m:r>
                  <m:r>
                    <w:rPr>
                      <w:rFonts w:ascii="Cambria Math" w:hAnsi="Cambria Math"/>
                    </w:rPr>
                    <m:t>UIMS</m:t>
                  </m:r>
                </m:e>
              </m:eqArr>
            </m:e>
          </m:d>
        </m:oMath>
      </m:oMathPara>
    </w:p>
    <w:p w14:paraId="7E421A93" w14:textId="77777777" w:rsidR="00DA4085" w:rsidRPr="003F7DA7" w:rsidRDefault="00DA4085" w:rsidP="00DA4085">
      <w:r w:rsidRPr="003F7DA7">
        <w:t>where:</w:t>
      </w:r>
    </w:p>
    <w:tbl>
      <w:tblPr>
        <w:tblW w:w="8613" w:type="dxa"/>
        <w:tblLook w:val="04A0" w:firstRow="1" w:lastRow="0" w:firstColumn="1" w:lastColumn="0" w:noHBand="0" w:noVBand="1"/>
      </w:tblPr>
      <w:tblGrid>
        <w:gridCol w:w="1447"/>
        <w:gridCol w:w="7166"/>
      </w:tblGrid>
      <w:tr w:rsidR="00DA4085" w:rsidRPr="00734C6D" w14:paraId="6BA76B68" w14:textId="77777777" w:rsidTr="009F2749">
        <w:trPr>
          <w:trHeight w:val="454"/>
        </w:trPr>
        <w:tc>
          <w:tcPr>
            <w:tcW w:w="1447" w:type="dxa"/>
          </w:tcPr>
          <w:p w14:paraId="49027376" w14:textId="77777777" w:rsidR="00DA4085" w:rsidRPr="00C21061" w:rsidRDefault="00DA4085" w:rsidP="009F2749">
            <w:pPr>
              <w:pStyle w:val="Equation"/>
              <w:rPr>
                <w:i/>
                <w:iCs/>
              </w:rPr>
            </w:pPr>
            <w:r w:rsidRPr="00C21061">
              <w:rPr>
                <w:i/>
                <w:iCs/>
              </w:rPr>
              <w:t>EABR</w:t>
            </w:r>
            <w:r w:rsidRPr="00C21061">
              <w:rPr>
                <w:i/>
                <w:iCs/>
                <w:vertAlign w:val="subscript"/>
              </w:rPr>
              <w:t>t</w:t>
            </w:r>
          </w:p>
        </w:tc>
        <w:tc>
          <w:tcPr>
            <w:tcW w:w="7166" w:type="dxa"/>
          </w:tcPr>
          <w:p w14:paraId="7E144BA8" w14:textId="77777777" w:rsidR="00DA4085" w:rsidRPr="00023BE8" w:rsidRDefault="00DA4085" w:rsidP="009F2749">
            <w:pPr>
              <w:pStyle w:val="Equation"/>
            </w:pPr>
            <w:r w:rsidRPr="00023BE8">
              <w:t>means Ex-ante Base Revenue;</w:t>
            </w:r>
          </w:p>
        </w:tc>
      </w:tr>
      <w:tr w:rsidR="00DA4085" w:rsidRPr="00AE57AC" w14:paraId="1E30A66A" w14:textId="77777777" w:rsidTr="009F2749">
        <w:trPr>
          <w:trHeight w:val="454"/>
        </w:trPr>
        <w:tc>
          <w:tcPr>
            <w:tcW w:w="1447" w:type="dxa"/>
          </w:tcPr>
          <w:p w14:paraId="10D06CE5" w14:textId="77777777" w:rsidR="00DA4085" w:rsidRPr="00C21061" w:rsidRDefault="00DA4085" w:rsidP="009F2749">
            <w:pPr>
              <w:pStyle w:val="Equation"/>
              <w:rPr>
                <w:i/>
                <w:iCs/>
              </w:rPr>
            </w:pPr>
            <w:r w:rsidRPr="00C21061">
              <w:rPr>
                <w:i/>
                <w:iCs/>
              </w:rPr>
              <w:t>UIMD</w:t>
            </w:r>
            <w:r w:rsidRPr="00C21061">
              <w:rPr>
                <w:i/>
                <w:iCs/>
                <w:vertAlign w:val="subscript"/>
              </w:rPr>
              <w:t>t</w:t>
            </w:r>
          </w:p>
        </w:tc>
        <w:tc>
          <w:tcPr>
            <w:tcW w:w="7166" w:type="dxa"/>
          </w:tcPr>
          <w:p w14:paraId="26EE4743" w14:textId="77777777" w:rsidR="00DA4085" w:rsidRPr="003F7DA7" w:rsidRDefault="00DA4085" w:rsidP="009F2749">
            <w:pPr>
              <w:pStyle w:val="Equation"/>
            </w:pPr>
            <w:r w:rsidRPr="003F7DA7">
              <w:t>means the Unplanned Interruption Overall Mean Duration expressed in minutes</w:t>
            </w:r>
            <w:r>
              <w:t>;</w:t>
            </w:r>
          </w:p>
        </w:tc>
      </w:tr>
      <w:tr w:rsidR="00DA4085" w:rsidRPr="00AE57AC" w14:paraId="7F05EFC5" w14:textId="77777777" w:rsidTr="009F2749">
        <w:trPr>
          <w:trHeight w:val="454"/>
        </w:trPr>
        <w:tc>
          <w:tcPr>
            <w:tcW w:w="1447" w:type="dxa"/>
          </w:tcPr>
          <w:p w14:paraId="4B6CF883" w14:textId="77777777" w:rsidR="00DA4085" w:rsidRPr="00C21061" w:rsidRDefault="00DA4085" w:rsidP="009F2749">
            <w:pPr>
              <w:pStyle w:val="Equation"/>
              <w:rPr>
                <w:i/>
                <w:iCs/>
              </w:rPr>
            </w:pPr>
            <w:r w:rsidRPr="00C21061">
              <w:rPr>
                <w:i/>
                <w:iCs/>
              </w:rPr>
              <w:t>UIMS</w:t>
            </w:r>
          </w:p>
        </w:tc>
        <w:tc>
          <w:tcPr>
            <w:tcW w:w="7166" w:type="dxa"/>
          </w:tcPr>
          <w:p w14:paraId="2E86A8C9" w14:textId="77777777" w:rsidR="00DA4085" w:rsidRPr="003F7DA7" w:rsidRDefault="00DA4085" w:rsidP="009F2749">
            <w:pPr>
              <w:pStyle w:val="Equation"/>
            </w:pPr>
            <w:r w:rsidRPr="003F7DA7">
              <w:t>means the Unplanned Interruption Minimum Standard Level value</w:t>
            </w:r>
            <w:r>
              <w:t>; and</w:t>
            </w:r>
          </w:p>
        </w:tc>
      </w:tr>
      <w:tr w:rsidR="00DA4085" w:rsidRPr="00AE57AC" w14:paraId="5D6089F5" w14:textId="77777777" w:rsidTr="009F2749">
        <w:trPr>
          <w:trHeight w:val="454"/>
        </w:trPr>
        <w:tc>
          <w:tcPr>
            <w:tcW w:w="1447" w:type="dxa"/>
          </w:tcPr>
          <w:p w14:paraId="21CC6715" w14:textId="77777777" w:rsidR="00DA4085" w:rsidRPr="00C21061" w:rsidRDefault="00DA4085" w:rsidP="009F2749">
            <w:pPr>
              <w:pStyle w:val="Equation"/>
              <w:rPr>
                <w:i/>
                <w:iCs/>
              </w:rPr>
            </w:pPr>
            <w:r w:rsidRPr="00C21061">
              <w:rPr>
                <w:i/>
                <w:iCs/>
              </w:rPr>
              <w:t>UIED</w:t>
            </w:r>
          </w:p>
          <w:p w14:paraId="399B56B0" w14:textId="77777777" w:rsidR="00DA4085" w:rsidRPr="00C21061" w:rsidRDefault="00DA4085" w:rsidP="009F2749">
            <w:pPr>
              <w:pStyle w:val="Equation"/>
              <w:rPr>
                <w:i/>
                <w:iCs/>
              </w:rPr>
            </w:pPr>
          </w:p>
        </w:tc>
        <w:tc>
          <w:tcPr>
            <w:tcW w:w="7166" w:type="dxa"/>
          </w:tcPr>
          <w:p w14:paraId="17597169" w14:textId="77777777" w:rsidR="00DA4085" w:rsidRPr="003F7DA7" w:rsidRDefault="00DA4085" w:rsidP="009F2749">
            <w:pPr>
              <w:pStyle w:val="Equation"/>
            </w:pPr>
            <w:r w:rsidRPr="003F7DA7">
              <w:t>means the Unplanned Interruption Excessive Deterioration Level value</w:t>
            </w:r>
            <w:r>
              <w:t>.</w:t>
            </w:r>
            <w:r w:rsidRPr="003F7DA7">
              <w:t xml:space="preserve"> </w:t>
            </w:r>
          </w:p>
        </w:tc>
      </w:tr>
    </w:tbl>
    <w:p w14:paraId="5B995A6A" w14:textId="77777777" w:rsidR="00DA4085" w:rsidRPr="003F7DA7" w:rsidRDefault="00DA4085" w:rsidP="00DA4085">
      <w:pPr>
        <w:pStyle w:val="Heading3"/>
        <w:numPr>
          <w:ilvl w:val="5"/>
          <w:numId w:val="7"/>
        </w:numPr>
      </w:pPr>
      <w:r>
        <w:t>Notification where the Unplanned Interruption Excessive Deterioration Level is breached</w:t>
      </w:r>
    </w:p>
    <w:p w14:paraId="252E6941" w14:textId="77777777" w:rsidR="00DA4085" w:rsidRPr="003F7DA7" w:rsidRDefault="00DA4085" w:rsidP="00DA4085">
      <w:pPr>
        <w:pStyle w:val="NumberedNormal"/>
        <w:numPr>
          <w:ilvl w:val="2"/>
          <w:numId w:val="7"/>
        </w:numPr>
      </w:pPr>
      <w:r>
        <w:t>If UIMD</w:t>
      </w:r>
      <w:r w:rsidRPr="0039702C">
        <w:rPr>
          <w:vertAlign w:val="subscript"/>
        </w:rPr>
        <w:t>t</w:t>
      </w:r>
      <w:r>
        <w:t xml:space="preserve"> exceeds UIED for any Regulatory Year, the licensee must submit to the Authority a report setting out:</w:t>
      </w:r>
    </w:p>
    <w:p w14:paraId="0088A6CD" w14:textId="77777777" w:rsidR="00DA4085" w:rsidRPr="003F7DA7" w:rsidRDefault="00DA4085" w:rsidP="00DA4085">
      <w:pPr>
        <w:pStyle w:val="ListNormal"/>
        <w:numPr>
          <w:ilvl w:val="3"/>
          <w:numId w:val="7"/>
        </w:numPr>
      </w:pPr>
      <w:r>
        <w:t>an explanation of all relevant factors that have contributed to a breach of the Unplanned Interruption Excessive Deterioration Level; and</w:t>
      </w:r>
    </w:p>
    <w:p w14:paraId="1573C531" w14:textId="77777777" w:rsidR="00DA4085" w:rsidRPr="003F7DA7" w:rsidRDefault="00DA4085" w:rsidP="00DA4085">
      <w:pPr>
        <w:pStyle w:val="ListNormal"/>
        <w:numPr>
          <w:ilvl w:val="3"/>
          <w:numId w:val="7"/>
        </w:numPr>
      </w:pPr>
      <w:r>
        <w:t>details of the actions undertaken to date, or planned within specified timescales, to improve the licensee's performance in relation to Unplanned Interruptions.</w:t>
      </w:r>
    </w:p>
    <w:p w14:paraId="15609D8E" w14:textId="77777777" w:rsidR="00DA4085" w:rsidRPr="003F7DA7" w:rsidRDefault="00DA4085" w:rsidP="00DA4085">
      <w:pPr>
        <w:pStyle w:val="NumberedNormal"/>
        <w:numPr>
          <w:ilvl w:val="2"/>
          <w:numId w:val="7"/>
        </w:numPr>
      </w:pPr>
      <w:r>
        <w:t>The licensee must submit the report within the period of 30 days beginning with the date of its submission of the Regulatory Reporting Pack for the Regulatory Year in question.</w:t>
      </w:r>
    </w:p>
    <w:p w14:paraId="36890AC5" w14:textId="77777777" w:rsidR="00DA4085" w:rsidRPr="003F7DA7" w:rsidRDefault="00DA4085" w:rsidP="00DA4085">
      <w:pPr>
        <w:pStyle w:val="Heading3"/>
        <w:numPr>
          <w:ilvl w:val="5"/>
          <w:numId w:val="7"/>
        </w:numPr>
      </w:pPr>
      <w:r>
        <w:lastRenderedPageBreak/>
        <w:t>Application for waiver or reduction in the penalty</w:t>
      </w:r>
    </w:p>
    <w:p w14:paraId="426EEFE9" w14:textId="77777777" w:rsidR="00DA4085" w:rsidRPr="003F7DA7" w:rsidRDefault="00DA4085" w:rsidP="00DA4085">
      <w:pPr>
        <w:pStyle w:val="NumberedNormal"/>
        <w:numPr>
          <w:ilvl w:val="2"/>
          <w:numId w:val="7"/>
        </w:numPr>
      </w:pPr>
      <w:r>
        <w:t>The licensee may apply to the Authority for a direction, waiving or reducing any Unplanned Interruption Overall Mean Duration Penalty where:</w:t>
      </w:r>
    </w:p>
    <w:p w14:paraId="34F6929D" w14:textId="77777777" w:rsidR="00DA4085" w:rsidRPr="003F7DA7" w:rsidRDefault="00DA4085" w:rsidP="00DA4085">
      <w:pPr>
        <w:pStyle w:val="ListNormal"/>
        <w:numPr>
          <w:ilvl w:val="3"/>
          <w:numId w:val="7"/>
        </w:numPr>
      </w:pPr>
      <w:r>
        <w:t>in any Regulatory Year, the number of Major Incidents occurring on an individual Distribution Network exceeds the Highest Modelled Major Incidents number,  resulting in a higher Unplanned Interruption Overall Mean Duration Penalty than would otherwise have applied; or</w:t>
      </w:r>
    </w:p>
    <w:p w14:paraId="72636A1F" w14:textId="77777777" w:rsidR="00DA4085" w:rsidRPr="003F7DA7" w:rsidRDefault="00DA4085" w:rsidP="00DA4085">
      <w:pPr>
        <w:pStyle w:val="ListNormal"/>
        <w:numPr>
          <w:ilvl w:val="3"/>
          <w:numId w:val="7"/>
        </w:numPr>
      </w:pPr>
      <w:r>
        <w:t>a change to the RIGs on the reporting of Unplanned Interruptions results in a higher Unplanned Interruption Overall Mean Duration Penalty than would have applied had the RIGs for the Regulatory Year 2019/20 remained in effect.</w:t>
      </w:r>
    </w:p>
    <w:p w14:paraId="6AEB2656" w14:textId="77777777" w:rsidR="00DA4085" w:rsidRPr="003F7DA7" w:rsidRDefault="00DA4085" w:rsidP="00DA4085">
      <w:pPr>
        <w:pStyle w:val="NumberedNormal"/>
        <w:numPr>
          <w:ilvl w:val="2"/>
          <w:numId w:val="7"/>
        </w:numPr>
      </w:pPr>
      <w:r>
        <w:t>The licensee must submit any application for a direction, waiving or reducing the Unplanned Interruption Overall Mean Duration Penalty, together with detailed supporting evidence, to the Authority within the period of 30 days beginning with the date of its submission of the Regulatory Reporting Pack for the Regulatory Year in question.</w:t>
      </w:r>
    </w:p>
    <w:p w14:paraId="5A2AB3D7" w14:textId="77777777" w:rsidR="00DA4085" w:rsidRPr="00951250" w:rsidRDefault="00DA4085" w:rsidP="00DA4085">
      <w:pPr>
        <w:pStyle w:val="AppendixHeading"/>
      </w:pPr>
      <w:r>
        <w:t xml:space="preserve"> </w:t>
      </w:r>
    </w:p>
    <w:p w14:paraId="33423006" w14:textId="77777777" w:rsidR="00DA4085" w:rsidRPr="008E271A" w:rsidRDefault="00DA4085" w:rsidP="00DA4085">
      <w:pPr>
        <w:rPr>
          <w:b/>
          <w:bCs/>
        </w:rPr>
      </w:pPr>
      <w:r w:rsidRPr="008E271A">
        <w:rPr>
          <w:b/>
          <w:bCs/>
        </w:rPr>
        <w:t>Unplanned Interruption Overall Mean Duration penalty levels</w:t>
      </w:r>
    </w:p>
    <w:tbl>
      <w:tblPr>
        <w:tblStyle w:val="AppendixTable"/>
        <w:tblW w:w="0" w:type="auto"/>
        <w:tblLook w:val="01A0" w:firstRow="1" w:lastRow="0" w:firstColumn="1" w:lastColumn="1" w:noHBand="0" w:noVBand="0"/>
      </w:tblPr>
      <w:tblGrid>
        <w:gridCol w:w="1759"/>
        <w:gridCol w:w="2715"/>
        <w:gridCol w:w="2836"/>
        <w:gridCol w:w="1716"/>
      </w:tblGrid>
      <w:tr w:rsidR="00DA4085" w:rsidRPr="00161DA4" w14:paraId="5D63443A" w14:textId="77777777" w:rsidTr="009F2749">
        <w:trPr>
          <w:cnfStyle w:val="100000000000" w:firstRow="1" w:lastRow="0" w:firstColumn="0" w:lastColumn="0" w:oddVBand="0" w:evenVBand="0" w:oddHBand="0" w:evenHBand="0" w:firstRowFirstColumn="0" w:firstRowLastColumn="0" w:lastRowFirstColumn="0" w:lastRowLastColumn="0"/>
          <w:tblHeader/>
        </w:trPr>
        <w:tc>
          <w:tcPr>
            <w:tcW w:w="0" w:type="auto"/>
          </w:tcPr>
          <w:p w14:paraId="0D3925C2" w14:textId="77777777" w:rsidR="00DA4085" w:rsidRPr="009565C7" w:rsidRDefault="00DA4085" w:rsidP="009F2749">
            <w:r w:rsidRPr="00895EE2">
              <w:t>Distribution Network</w:t>
            </w:r>
          </w:p>
        </w:tc>
        <w:tc>
          <w:tcPr>
            <w:tcW w:w="0" w:type="auto"/>
          </w:tcPr>
          <w:p w14:paraId="646A3334" w14:textId="77777777" w:rsidR="00DA4085" w:rsidRPr="009565C7" w:rsidRDefault="00DA4085" w:rsidP="009F2749">
            <w:r>
              <w:t>Unplanned Interruptions Minimum Standard Level (UIMS)</w:t>
            </w:r>
          </w:p>
        </w:tc>
        <w:tc>
          <w:tcPr>
            <w:tcW w:w="0" w:type="auto"/>
          </w:tcPr>
          <w:p w14:paraId="593B46C7" w14:textId="77777777" w:rsidR="00DA4085" w:rsidRPr="009565C7" w:rsidRDefault="00DA4085" w:rsidP="009F2749">
            <w:r>
              <w:t>Unplanned Interruptions Excessive Deterioration Level (UIED)</w:t>
            </w:r>
          </w:p>
        </w:tc>
        <w:tc>
          <w:tcPr>
            <w:tcW w:w="0" w:type="auto"/>
          </w:tcPr>
          <w:p w14:paraId="521727EB" w14:textId="77777777" w:rsidR="00DA4085" w:rsidRPr="009565C7" w:rsidDel="00660D2A" w:rsidRDefault="00DA4085" w:rsidP="009F2749">
            <w:r>
              <w:t>Highest Modelled Major Incidents</w:t>
            </w:r>
          </w:p>
        </w:tc>
      </w:tr>
      <w:tr w:rsidR="00DA4085" w:rsidRPr="00161DA4" w14:paraId="17E731DC" w14:textId="77777777" w:rsidTr="009F2749">
        <w:tc>
          <w:tcPr>
            <w:tcW w:w="0" w:type="auto"/>
          </w:tcPr>
          <w:p w14:paraId="443D4774" w14:textId="77777777" w:rsidR="00DA4085" w:rsidRPr="009565C7" w:rsidRDefault="00DA4085" w:rsidP="009F2749">
            <w:r w:rsidRPr="00895EE2">
              <w:t>EoE</w:t>
            </w:r>
          </w:p>
        </w:tc>
        <w:tc>
          <w:tcPr>
            <w:tcW w:w="0" w:type="auto"/>
          </w:tcPr>
          <w:p w14:paraId="7DEAF392" w14:textId="77777777" w:rsidR="00DA4085" w:rsidRPr="009565C7" w:rsidRDefault="00DA4085" w:rsidP="009F2749">
            <w:r w:rsidRPr="00895EE2">
              <w:t>xxxx</w:t>
            </w:r>
          </w:p>
        </w:tc>
        <w:tc>
          <w:tcPr>
            <w:tcW w:w="0" w:type="auto"/>
          </w:tcPr>
          <w:p w14:paraId="398F1E5A" w14:textId="77777777" w:rsidR="00DA4085" w:rsidRPr="009565C7" w:rsidRDefault="00DA4085" w:rsidP="009F2749">
            <w:r w:rsidRPr="00895EE2">
              <w:t>xxxx</w:t>
            </w:r>
          </w:p>
        </w:tc>
        <w:tc>
          <w:tcPr>
            <w:tcW w:w="0" w:type="auto"/>
          </w:tcPr>
          <w:p w14:paraId="428C3557" w14:textId="77777777" w:rsidR="00DA4085" w:rsidRPr="009565C7" w:rsidRDefault="00DA4085" w:rsidP="009F2749">
            <w:r>
              <w:t>x</w:t>
            </w:r>
          </w:p>
        </w:tc>
      </w:tr>
      <w:tr w:rsidR="00DA4085" w:rsidRPr="00161DA4" w14:paraId="141932CD" w14:textId="77777777" w:rsidTr="009F2749">
        <w:tc>
          <w:tcPr>
            <w:tcW w:w="0" w:type="auto"/>
          </w:tcPr>
          <w:p w14:paraId="1B7083F0" w14:textId="77777777" w:rsidR="00DA4085" w:rsidRPr="009565C7" w:rsidRDefault="00DA4085" w:rsidP="009F2749">
            <w:r w:rsidRPr="00895EE2">
              <w:t>NW</w:t>
            </w:r>
          </w:p>
        </w:tc>
        <w:tc>
          <w:tcPr>
            <w:tcW w:w="0" w:type="auto"/>
          </w:tcPr>
          <w:p w14:paraId="46825ECF" w14:textId="77777777" w:rsidR="00DA4085" w:rsidRPr="009565C7" w:rsidRDefault="00DA4085" w:rsidP="009F2749">
            <w:r w:rsidRPr="00895EE2">
              <w:t>xxxx</w:t>
            </w:r>
          </w:p>
        </w:tc>
        <w:tc>
          <w:tcPr>
            <w:tcW w:w="0" w:type="auto"/>
          </w:tcPr>
          <w:p w14:paraId="127C1620" w14:textId="77777777" w:rsidR="00DA4085" w:rsidRPr="009565C7" w:rsidRDefault="00DA4085" w:rsidP="009F2749">
            <w:r w:rsidRPr="00895EE2">
              <w:t>xxxx</w:t>
            </w:r>
          </w:p>
        </w:tc>
        <w:tc>
          <w:tcPr>
            <w:tcW w:w="0" w:type="auto"/>
          </w:tcPr>
          <w:p w14:paraId="3D6984D2" w14:textId="77777777" w:rsidR="00DA4085" w:rsidRPr="009565C7" w:rsidRDefault="00DA4085" w:rsidP="009F2749">
            <w:r>
              <w:t>x</w:t>
            </w:r>
          </w:p>
        </w:tc>
      </w:tr>
      <w:tr w:rsidR="00DA4085" w:rsidRPr="00161DA4" w14:paraId="1CA0AFC5" w14:textId="77777777" w:rsidTr="009F2749">
        <w:tc>
          <w:tcPr>
            <w:tcW w:w="0" w:type="auto"/>
          </w:tcPr>
          <w:p w14:paraId="25BE9307" w14:textId="77777777" w:rsidR="00DA4085" w:rsidRPr="009565C7" w:rsidRDefault="00DA4085" w:rsidP="009F2749">
            <w:r w:rsidRPr="00895EE2">
              <w:t>WM</w:t>
            </w:r>
          </w:p>
        </w:tc>
        <w:tc>
          <w:tcPr>
            <w:tcW w:w="0" w:type="auto"/>
          </w:tcPr>
          <w:p w14:paraId="1B1B41FF" w14:textId="77777777" w:rsidR="00DA4085" w:rsidRPr="009565C7" w:rsidRDefault="00DA4085" w:rsidP="009F2749">
            <w:r w:rsidRPr="00895EE2">
              <w:t>xxxx</w:t>
            </w:r>
          </w:p>
        </w:tc>
        <w:tc>
          <w:tcPr>
            <w:tcW w:w="0" w:type="auto"/>
          </w:tcPr>
          <w:p w14:paraId="7FBF8DED" w14:textId="77777777" w:rsidR="00DA4085" w:rsidRPr="009565C7" w:rsidRDefault="00DA4085" w:rsidP="009F2749">
            <w:r w:rsidRPr="00895EE2">
              <w:t>xxxx</w:t>
            </w:r>
          </w:p>
        </w:tc>
        <w:tc>
          <w:tcPr>
            <w:tcW w:w="0" w:type="auto"/>
          </w:tcPr>
          <w:p w14:paraId="72B4C970" w14:textId="77777777" w:rsidR="00DA4085" w:rsidRPr="009565C7" w:rsidRDefault="00DA4085" w:rsidP="009F2749">
            <w:r>
              <w:t>x</w:t>
            </w:r>
          </w:p>
        </w:tc>
      </w:tr>
      <w:tr w:rsidR="00DA4085" w:rsidRPr="00161DA4" w14:paraId="2074A7EF" w14:textId="77777777" w:rsidTr="009F2749">
        <w:tc>
          <w:tcPr>
            <w:tcW w:w="0" w:type="auto"/>
          </w:tcPr>
          <w:p w14:paraId="5B83E990" w14:textId="77777777" w:rsidR="00DA4085" w:rsidRPr="009565C7" w:rsidRDefault="00DA4085" w:rsidP="009F2749">
            <w:r w:rsidRPr="00895EE2">
              <w:t>Northern Gas Networks Ltd</w:t>
            </w:r>
          </w:p>
        </w:tc>
        <w:tc>
          <w:tcPr>
            <w:tcW w:w="0" w:type="auto"/>
          </w:tcPr>
          <w:p w14:paraId="6EA420B6" w14:textId="77777777" w:rsidR="00DA4085" w:rsidRPr="009565C7" w:rsidRDefault="00DA4085" w:rsidP="009F2749">
            <w:r w:rsidRPr="00895EE2">
              <w:t>xxxx</w:t>
            </w:r>
          </w:p>
        </w:tc>
        <w:tc>
          <w:tcPr>
            <w:tcW w:w="0" w:type="auto"/>
          </w:tcPr>
          <w:p w14:paraId="2987D96F" w14:textId="77777777" w:rsidR="00DA4085" w:rsidRPr="009565C7" w:rsidRDefault="00DA4085" w:rsidP="009F2749">
            <w:r w:rsidRPr="00895EE2">
              <w:t>xxxx</w:t>
            </w:r>
          </w:p>
        </w:tc>
        <w:tc>
          <w:tcPr>
            <w:tcW w:w="0" w:type="auto"/>
          </w:tcPr>
          <w:p w14:paraId="5BAD3FC7" w14:textId="77777777" w:rsidR="00DA4085" w:rsidRPr="009565C7" w:rsidRDefault="00DA4085" w:rsidP="009F2749">
            <w:r>
              <w:t>x</w:t>
            </w:r>
          </w:p>
        </w:tc>
      </w:tr>
      <w:tr w:rsidR="00DA4085" w:rsidRPr="00161DA4" w14:paraId="09B5F184" w14:textId="77777777" w:rsidTr="009F2749">
        <w:tc>
          <w:tcPr>
            <w:tcW w:w="0" w:type="auto"/>
          </w:tcPr>
          <w:p w14:paraId="365B5238" w14:textId="77777777" w:rsidR="00DA4085" w:rsidRPr="009565C7" w:rsidRDefault="00DA4085" w:rsidP="009F2749">
            <w:r w:rsidRPr="00895EE2">
              <w:t>Scotland Gas Networks plc</w:t>
            </w:r>
          </w:p>
        </w:tc>
        <w:tc>
          <w:tcPr>
            <w:tcW w:w="0" w:type="auto"/>
          </w:tcPr>
          <w:p w14:paraId="686DF260" w14:textId="77777777" w:rsidR="00DA4085" w:rsidRPr="009565C7" w:rsidRDefault="00DA4085" w:rsidP="009F2749">
            <w:r w:rsidRPr="00895EE2">
              <w:t>xxxx</w:t>
            </w:r>
          </w:p>
        </w:tc>
        <w:tc>
          <w:tcPr>
            <w:tcW w:w="0" w:type="auto"/>
          </w:tcPr>
          <w:p w14:paraId="5CF84A61" w14:textId="77777777" w:rsidR="00DA4085" w:rsidRPr="009565C7" w:rsidRDefault="00DA4085" w:rsidP="009F2749">
            <w:r w:rsidRPr="00895EE2">
              <w:t>xxxx</w:t>
            </w:r>
          </w:p>
        </w:tc>
        <w:tc>
          <w:tcPr>
            <w:tcW w:w="0" w:type="auto"/>
          </w:tcPr>
          <w:p w14:paraId="3C4A4E98" w14:textId="77777777" w:rsidR="00DA4085" w:rsidRPr="009565C7" w:rsidRDefault="00DA4085" w:rsidP="009F2749">
            <w:r>
              <w:t>x</w:t>
            </w:r>
          </w:p>
        </w:tc>
      </w:tr>
      <w:tr w:rsidR="00DA4085" w:rsidRPr="00161DA4" w14:paraId="49E35AD1" w14:textId="77777777" w:rsidTr="009F2749">
        <w:tc>
          <w:tcPr>
            <w:tcW w:w="0" w:type="auto"/>
          </w:tcPr>
          <w:p w14:paraId="23FF15B1" w14:textId="77777777" w:rsidR="00DA4085" w:rsidRPr="009565C7" w:rsidRDefault="00DA4085" w:rsidP="009F2749">
            <w:r w:rsidRPr="00895EE2">
              <w:t>Southern Gas Networks plc</w:t>
            </w:r>
          </w:p>
        </w:tc>
        <w:tc>
          <w:tcPr>
            <w:tcW w:w="0" w:type="auto"/>
          </w:tcPr>
          <w:p w14:paraId="0BEFFEBF" w14:textId="77777777" w:rsidR="00DA4085" w:rsidRPr="009565C7" w:rsidRDefault="00DA4085" w:rsidP="009F2749">
            <w:r w:rsidRPr="00895EE2">
              <w:t>xxxx</w:t>
            </w:r>
          </w:p>
        </w:tc>
        <w:tc>
          <w:tcPr>
            <w:tcW w:w="0" w:type="auto"/>
          </w:tcPr>
          <w:p w14:paraId="110C97E4" w14:textId="77777777" w:rsidR="00DA4085" w:rsidRPr="009565C7" w:rsidRDefault="00DA4085" w:rsidP="009F2749">
            <w:r w:rsidRPr="00895EE2">
              <w:t>xxxx</w:t>
            </w:r>
          </w:p>
        </w:tc>
        <w:tc>
          <w:tcPr>
            <w:tcW w:w="0" w:type="auto"/>
          </w:tcPr>
          <w:p w14:paraId="2B2BC9A4" w14:textId="77777777" w:rsidR="00DA4085" w:rsidRPr="009565C7" w:rsidRDefault="00DA4085" w:rsidP="009F2749">
            <w:r>
              <w:t>x</w:t>
            </w:r>
          </w:p>
        </w:tc>
      </w:tr>
      <w:tr w:rsidR="00DA4085" w:rsidRPr="00161DA4" w14:paraId="26D92289" w14:textId="77777777" w:rsidTr="009F2749">
        <w:tc>
          <w:tcPr>
            <w:tcW w:w="0" w:type="auto"/>
          </w:tcPr>
          <w:p w14:paraId="321FCD48" w14:textId="77777777" w:rsidR="00DA4085" w:rsidRPr="009565C7" w:rsidRDefault="00DA4085" w:rsidP="009F2749">
            <w:r w:rsidRPr="00895EE2">
              <w:t>Wales &amp; West Utilities Ltd</w:t>
            </w:r>
          </w:p>
        </w:tc>
        <w:tc>
          <w:tcPr>
            <w:tcW w:w="0" w:type="auto"/>
          </w:tcPr>
          <w:p w14:paraId="09131655" w14:textId="77777777" w:rsidR="00DA4085" w:rsidRPr="009565C7" w:rsidRDefault="00DA4085" w:rsidP="009F2749">
            <w:r w:rsidRPr="00895EE2">
              <w:t>xxxx</w:t>
            </w:r>
          </w:p>
        </w:tc>
        <w:tc>
          <w:tcPr>
            <w:tcW w:w="0" w:type="auto"/>
          </w:tcPr>
          <w:p w14:paraId="3C4C5FD2" w14:textId="77777777" w:rsidR="00DA4085" w:rsidRPr="009565C7" w:rsidRDefault="00DA4085" w:rsidP="009F2749">
            <w:r w:rsidRPr="00895EE2">
              <w:t>xxxx</w:t>
            </w:r>
          </w:p>
        </w:tc>
        <w:tc>
          <w:tcPr>
            <w:tcW w:w="0" w:type="auto"/>
          </w:tcPr>
          <w:p w14:paraId="5904C3D2" w14:textId="77777777" w:rsidR="00DA4085" w:rsidRPr="009565C7" w:rsidRDefault="00DA4085" w:rsidP="009F2749">
            <w:r>
              <w:t>x</w:t>
            </w:r>
          </w:p>
        </w:tc>
      </w:tr>
    </w:tbl>
    <w:p w14:paraId="730EB40A" w14:textId="77777777" w:rsidR="00DA4085" w:rsidRDefault="00DA4085" w:rsidP="00DA4085"/>
    <w:p w14:paraId="6F664FC0" w14:textId="77777777" w:rsidR="00FF59B4" w:rsidRPr="00FF59B4" w:rsidRDefault="00FF59B4" w:rsidP="00FF59B4">
      <w:pPr>
        <w:pStyle w:val="ListParagraph"/>
        <w:keepNext/>
        <w:keepLines/>
        <w:numPr>
          <w:ilvl w:val="1"/>
          <w:numId w:val="35"/>
        </w:numPr>
        <w:tabs>
          <w:tab w:val="clear" w:pos="879"/>
        </w:tabs>
        <w:spacing w:before="240" w:after="240"/>
        <w:outlineLvl w:val="1"/>
        <w:rPr>
          <w:rFonts w:ascii="Arial" w:eastAsiaTheme="majorEastAsia" w:hAnsi="Arial" w:cstheme="majorBidi"/>
          <w:b/>
          <w:vanish/>
          <w:sz w:val="28"/>
          <w:szCs w:val="26"/>
        </w:rPr>
      </w:pPr>
    </w:p>
    <w:p w14:paraId="1D349B1D" w14:textId="77777777" w:rsidR="00FF59B4" w:rsidRPr="00FF59B4" w:rsidRDefault="00FF59B4" w:rsidP="00FF59B4">
      <w:pPr>
        <w:pStyle w:val="ListParagraph"/>
        <w:keepNext/>
        <w:keepLines/>
        <w:numPr>
          <w:ilvl w:val="1"/>
          <w:numId w:val="35"/>
        </w:numPr>
        <w:tabs>
          <w:tab w:val="clear" w:pos="879"/>
        </w:tabs>
        <w:spacing w:before="240" w:after="240"/>
        <w:outlineLvl w:val="1"/>
        <w:rPr>
          <w:rFonts w:ascii="Arial" w:eastAsiaTheme="majorEastAsia" w:hAnsi="Arial" w:cstheme="majorBidi"/>
          <w:b/>
          <w:vanish/>
          <w:sz w:val="28"/>
          <w:szCs w:val="26"/>
        </w:rPr>
      </w:pPr>
    </w:p>
    <w:p w14:paraId="611F7B22" w14:textId="77777777" w:rsidR="00FF59B4" w:rsidRPr="00FF59B4" w:rsidRDefault="00FF59B4" w:rsidP="00FF59B4">
      <w:pPr>
        <w:pStyle w:val="ListParagraph"/>
        <w:keepNext/>
        <w:keepLines/>
        <w:numPr>
          <w:ilvl w:val="1"/>
          <w:numId w:val="35"/>
        </w:numPr>
        <w:tabs>
          <w:tab w:val="clear" w:pos="879"/>
        </w:tabs>
        <w:spacing w:before="240" w:after="240"/>
        <w:outlineLvl w:val="1"/>
        <w:rPr>
          <w:rFonts w:ascii="Arial" w:eastAsiaTheme="majorEastAsia" w:hAnsi="Arial" w:cstheme="majorBidi"/>
          <w:b/>
          <w:vanish/>
          <w:sz w:val="28"/>
          <w:szCs w:val="26"/>
        </w:rPr>
      </w:pPr>
    </w:p>
    <w:p w14:paraId="5FAF7F19" w14:textId="77777777" w:rsidR="00FF59B4" w:rsidRPr="00FF59B4" w:rsidRDefault="00FF59B4" w:rsidP="00FF59B4">
      <w:pPr>
        <w:pStyle w:val="ListParagraph"/>
        <w:keepNext/>
        <w:keepLines/>
        <w:numPr>
          <w:ilvl w:val="1"/>
          <w:numId w:val="35"/>
        </w:numPr>
        <w:tabs>
          <w:tab w:val="clear" w:pos="879"/>
        </w:tabs>
        <w:spacing w:before="240" w:after="240"/>
        <w:outlineLvl w:val="1"/>
        <w:rPr>
          <w:rFonts w:ascii="Arial" w:eastAsiaTheme="majorEastAsia" w:hAnsi="Arial" w:cstheme="majorBidi"/>
          <w:b/>
          <w:vanish/>
          <w:sz w:val="28"/>
          <w:szCs w:val="26"/>
        </w:rPr>
      </w:pPr>
    </w:p>
    <w:p w14:paraId="2AA2B90C" w14:textId="7C464C4E" w:rsidR="00D809A0" w:rsidRPr="0057526A" w:rsidRDefault="00D809A0" w:rsidP="00FF59B4">
      <w:pPr>
        <w:pStyle w:val="Heading2"/>
        <w:numPr>
          <w:ilvl w:val="1"/>
          <w:numId w:val="35"/>
        </w:numPr>
      </w:pPr>
      <w:bookmarkStart w:id="132" w:name="_Toc52364570"/>
      <w:r>
        <w:t>Unplanned Interruption Overall Mean Duration output delivery incentive (UIP</w:t>
      </w:r>
      <w:r w:rsidRPr="00DA4085">
        <w:rPr>
          <w:vertAlign w:val="subscript"/>
        </w:rPr>
        <w:t>t</w:t>
      </w:r>
      <w:r>
        <w:t xml:space="preserve">) </w:t>
      </w:r>
      <w:r w:rsidRPr="00CD50E1">
        <w:rPr>
          <w:rStyle w:val="YellowHighlight"/>
        </w:rPr>
        <w:t>[Cadent only]</w:t>
      </w:r>
      <w:bookmarkEnd w:id="130"/>
      <w:bookmarkEnd w:id="132"/>
    </w:p>
    <w:p w14:paraId="3FA1C23F" w14:textId="77777777" w:rsidR="00D809A0" w:rsidRPr="00D91B39" w:rsidRDefault="00D809A0" w:rsidP="00D809A0">
      <w:pPr>
        <w:pStyle w:val="Heading3nonumbering"/>
      </w:pPr>
      <w:r w:rsidRPr="0057526A">
        <w:t>Introduction</w:t>
      </w:r>
    </w:p>
    <w:p w14:paraId="3BA5D044" w14:textId="6CA82990" w:rsidR="00D809A0" w:rsidRPr="000E781A" w:rsidRDefault="00D809A0" w:rsidP="00D51F4A">
      <w:pPr>
        <w:pStyle w:val="NumberedNormal"/>
        <w:numPr>
          <w:ilvl w:val="2"/>
          <w:numId w:val="7"/>
        </w:numPr>
      </w:pPr>
      <w:r>
        <w:t xml:space="preserve">The purpose of this condition is to calculate the term UIPt (the Unplanned Interruptions output delivery incentive term).  This contributes to the calculation of the term ODIt (the output delivery incentives term), which in turn feeds into Calculated Revenue in Special Condition 2.1 (Revenue Restriction). </w:t>
      </w:r>
    </w:p>
    <w:p w14:paraId="63339153" w14:textId="77777777" w:rsidR="00D809A0" w:rsidRPr="000E781A" w:rsidRDefault="00D809A0" w:rsidP="00D51F4A">
      <w:pPr>
        <w:pStyle w:val="NumberedNormal"/>
        <w:numPr>
          <w:ilvl w:val="2"/>
          <w:numId w:val="7"/>
        </w:numPr>
      </w:pPr>
      <w:r>
        <w:t>In relation to the East of England, North West and West Midlands Distribution Networks, the effect of the Unplanned Interruptions incentive is to penalise the licensee if it fails to meet minimum standards in its Unplanned Interruption Overall Mean Duration performance.</w:t>
      </w:r>
    </w:p>
    <w:p w14:paraId="4C5B0813" w14:textId="0BB99B71" w:rsidR="00D809A0" w:rsidRPr="000E781A" w:rsidRDefault="00D809A0" w:rsidP="00D51F4A">
      <w:pPr>
        <w:pStyle w:val="NumberedNormal"/>
        <w:numPr>
          <w:ilvl w:val="2"/>
          <w:numId w:val="7"/>
        </w:numPr>
      </w:pPr>
      <w:r>
        <w:t xml:space="preserve">In relation to the London Distribution Network, this includes penalties relating to MOB Riser Interruptions as well as other types of Unplanned Interruptions. </w:t>
      </w:r>
    </w:p>
    <w:p w14:paraId="5B51A275" w14:textId="77777777" w:rsidR="00D809A0" w:rsidRPr="000E781A" w:rsidRDefault="00D809A0" w:rsidP="00D51F4A">
      <w:pPr>
        <w:pStyle w:val="NumberedNormal"/>
        <w:numPr>
          <w:ilvl w:val="2"/>
          <w:numId w:val="7"/>
        </w:numPr>
      </w:pPr>
      <w:r>
        <w:t>This condition also:</w:t>
      </w:r>
    </w:p>
    <w:p w14:paraId="65D24F5F" w14:textId="77777777" w:rsidR="00D809A0" w:rsidRPr="000E781A" w:rsidRDefault="00D809A0" w:rsidP="00D51F4A">
      <w:pPr>
        <w:pStyle w:val="ListNormal"/>
        <w:numPr>
          <w:ilvl w:val="3"/>
          <w:numId w:val="7"/>
        </w:numPr>
      </w:pPr>
      <w:r>
        <w:t>requires the licensee to submit an explanatory report should its performance breach the Unplanned Interruption Excessive Deterioration Level; and</w:t>
      </w:r>
    </w:p>
    <w:p w14:paraId="503BECCB" w14:textId="77777777" w:rsidR="00D809A0" w:rsidRPr="000E781A" w:rsidRDefault="00D809A0" w:rsidP="00D51F4A">
      <w:pPr>
        <w:pStyle w:val="ListNormal"/>
        <w:numPr>
          <w:ilvl w:val="3"/>
          <w:numId w:val="7"/>
        </w:numPr>
      </w:pPr>
      <w:r>
        <w:t>makes provision for the licensee to apply for a reduction in the Unplanned Interruption Overall Mean Duration Penalty in certain circumstances.</w:t>
      </w:r>
    </w:p>
    <w:p w14:paraId="25F7F633" w14:textId="77777777" w:rsidR="00D809A0" w:rsidRDefault="00D809A0" w:rsidP="00D51F4A">
      <w:pPr>
        <w:pStyle w:val="Heading3"/>
        <w:numPr>
          <w:ilvl w:val="5"/>
          <w:numId w:val="7"/>
        </w:numPr>
      </w:pPr>
      <w:r>
        <w:t>Formula for calculating the Unplanned Interruption Overall Mean Duration penalty (UIP</w:t>
      </w:r>
      <w:r w:rsidRPr="008E271A">
        <w:rPr>
          <w:vertAlign w:val="subscript"/>
        </w:rPr>
        <w:t>t</w:t>
      </w:r>
      <w:r>
        <w:t>)</w:t>
      </w:r>
    </w:p>
    <w:p w14:paraId="34ACBCD3" w14:textId="77777777" w:rsidR="00D809A0" w:rsidRPr="000E781A" w:rsidRDefault="00D809A0" w:rsidP="00D51F4A">
      <w:pPr>
        <w:pStyle w:val="NumberedNormal"/>
        <w:numPr>
          <w:ilvl w:val="2"/>
          <w:numId w:val="7"/>
        </w:numPr>
      </w:pPr>
      <w:r>
        <w:t>In relation to the East of England, North West and West Midlands Distribution Networks, the value of UIP</w:t>
      </w:r>
      <w:r w:rsidRPr="008E271A">
        <w:rPr>
          <w:vertAlign w:val="subscript"/>
        </w:rPr>
        <w:t>t</w:t>
      </w:r>
      <w:r>
        <w:t xml:space="preserve"> is derived in accordance with the following formula:</w:t>
      </w:r>
    </w:p>
    <w:p w14:paraId="61D4AA44" w14:textId="77777777" w:rsidR="00D809A0" w:rsidRPr="000E781A" w:rsidRDefault="008C7681" w:rsidP="00D809A0">
      <w:pPr>
        <w:pStyle w:val="Equation"/>
      </w:pPr>
      <m:oMathPara>
        <m:oMath>
          <m:sSub>
            <m:sSubPr>
              <m:ctrlPr>
                <w:rPr>
                  <w:rFonts w:ascii="Cambria Math" w:hAnsi="Cambria Math"/>
                </w:rPr>
              </m:ctrlPr>
            </m:sSubPr>
            <m:e>
              <m:r>
                <w:rPr>
                  <w:rFonts w:ascii="Cambria Math" w:hAnsi="Cambria Math"/>
                </w:rPr>
                <m:t>UIP</m:t>
              </m:r>
            </m:e>
            <m:sub>
              <m:r>
                <w:rPr>
                  <w:rFonts w:ascii="Cambria Math" w:hAnsi="Cambria Math"/>
                </w:rPr>
                <m:t>t</m:t>
              </m:r>
            </m:sub>
          </m:sSub>
          <m: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w:rPr>
                      <w:rFonts w:ascii="Cambria Math" w:hAnsi="Cambria Math"/>
                    </w:rPr>
                    <m:t>0,  &amp;</m:t>
                  </m:r>
                  <m:sSub>
                    <m:sSubPr>
                      <m:ctrlPr>
                        <w:rPr>
                          <w:rFonts w:ascii="Cambria Math" w:hAnsi="Cambria Math"/>
                        </w:rPr>
                      </m:ctrlPr>
                    </m:sSubPr>
                    <m:e>
                      <m:r>
                        <w:rPr>
                          <w:rFonts w:ascii="Cambria Math" w:hAnsi="Cambria Math"/>
                        </w:rPr>
                        <m:t>UIMD</m:t>
                      </m:r>
                    </m:e>
                    <m:sub>
                      <m:r>
                        <w:rPr>
                          <w:rFonts w:ascii="Cambria Math" w:hAnsi="Cambria Math"/>
                        </w:rPr>
                        <m:t>t</m:t>
                      </m:r>
                    </m:sub>
                  </m:sSub>
                  <m:r>
                    <w:rPr>
                      <w:rFonts w:ascii="Cambria Math" w:hAnsi="Cambria Math"/>
                    </w:rPr>
                    <m:t>≤UIMS</m:t>
                  </m:r>
                </m:e>
                <m:e>
                  <m:r>
                    <w:rPr>
                      <w:rFonts w:ascii="Cambria Math" w:hAnsi="Cambria Math"/>
                    </w:rPr>
                    <m:t>max⁡</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UIMD</m:t>
                              </m:r>
                            </m:e>
                            <m:sub>
                              <m:r>
                                <w:rPr>
                                  <w:rFonts w:ascii="Cambria Math" w:hAnsi="Cambria Math"/>
                                </w:rPr>
                                <m:t>t</m:t>
                              </m:r>
                            </m:sub>
                          </m:sSub>
                          <m:r>
                            <w:rPr>
                              <w:rFonts w:ascii="Cambria Math" w:hAnsi="Cambria Math"/>
                            </w:rPr>
                            <m:t>-UIMS</m:t>
                          </m:r>
                        </m:num>
                        <m:den>
                          <m:r>
                            <w:rPr>
                              <w:rFonts w:ascii="Cambria Math" w:hAnsi="Cambria Math"/>
                            </w:rPr>
                            <m:t>UIMS-UIED</m:t>
                          </m:r>
                        </m:den>
                      </m:f>
                      <m:r>
                        <w:rPr>
                          <w:rFonts w:ascii="Cambria Math" w:hAnsi="Cambria Math"/>
                        </w:rPr>
                        <m:t>, -1</m:t>
                      </m:r>
                    </m:e>
                  </m:d>
                  <m:r>
                    <w:rPr>
                      <w:rFonts w:ascii="Cambria Math" w:hAnsi="Cambria Math"/>
                    </w:rPr>
                    <m:t>[</m:t>
                  </m:r>
                  <m:sSub>
                    <m:sSubPr>
                      <m:ctrlPr>
                        <w:rPr>
                          <w:rFonts w:ascii="Cambria Math" w:hAnsi="Cambria Math"/>
                        </w:rPr>
                      </m:ctrlPr>
                    </m:sSubPr>
                    <m:e>
                      <m:r>
                        <w:rPr>
                          <w:rFonts w:ascii="Cambria Math" w:hAnsi="Cambria Math"/>
                        </w:rPr>
                        <m:t>0.005 EABR</m:t>
                      </m:r>
                    </m:e>
                    <m:sub>
                      <m:r>
                        <w:rPr>
                          <w:rFonts w:ascii="Cambria Math" w:hAnsi="Cambria Math"/>
                        </w:rPr>
                        <m:t>t</m:t>
                      </m:r>
                    </m:sub>
                  </m:sSub>
                  <m:r>
                    <w:rPr>
                      <w:rFonts w:ascii="Cambria Math" w:hAnsi="Cambria Math"/>
                    </w:rPr>
                    <m:t>],  &amp;</m:t>
                  </m:r>
                  <m:sSub>
                    <m:sSubPr>
                      <m:ctrlPr>
                        <w:rPr>
                          <w:rFonts w:ascii="Cambria Math" w:hAnsi="Cambria Math"/>
                        </w:rPr>
                      </m:ctrlPr>
                    </m:sSubPr>
                    <m:e>
                      <m:r>
                        <w:rPr>
                          <w:rFonts w:ascii="Cambria Math" w:hAnsi="Cambria Math"/>
                        </w:rPr>
                        <m:t>UIMD</m:t>
                      </m:r>
                    </m:e>
                    <m:sub>
                      <m:r>
                        <w:rPr>
                          <w:rFonts w:ascii="Cambria Math" w:hAnsi="Cambria Math"/>
                        </w:rPr>
                        <m:t>t</m:t>
                      </m:r>
                    </m:sub>
                  </m:sSub>
                  <m:r>
                    <w:rPr>
                      <w:rFonts w:ascii="Cambria Math" w:hAnsi="Cambria Math"/>
                    </w:rPr>
                    <m:t>&gt;UIMS</m:t>
                  </m:r>
                </m:e>
              </m:eqArr>
            </m:e>
          </m:d>
        </m:oMath>
      </m:oMathPara>
    </w:p>
    <w:p w14:paraId="3694D4B6" w14:textId="0EF0FA82" w:rsidR="00D809A0" w:rsidRPr="00B143C3" w:rsidRDefault="00CA3DA8" w:rsidP="00D809A0">
      <w:r>
        <w:tab/>
      </w:r>
      <w:r w:rsidR="00D809A0" w:rsidRPr="00B143C3">
        <w:t>where:</w:t>
      </w:r>
    </w:p>
    <w:tbl>
      <w:tblPr>
        <w:tblW w:w="8613" w:type="dxa"/>
        <w:tblInd w:w="612" w:type="dxa"/>
        <w:tblLook w:val="04A0" w:firstRow="1" w:lastRow="0" w:firstColumn="1" w:lastColumn="0" w:noHBand="0" w:noVBand="1"/>
      </w:tblPr>
      <w:tblGrid>
        <w:gridCol w:w="1447"/>
        <w:gridCol w:w="7166"/>
      </w:tblGrid>
      <w:tr w:rsidR="00D809A0" w:rsidRPr="00734C6D" w14:paraId="28F0F86B" w14:textId="77777777" w:rsidTr="008E271A">
        <w:trPr>
          <w:trHeight w:val="454"/>
        </w:trPr>
        <w:tc>
          <w:tcPr>
            <w:tcW w:w="1447" w:type="dxa"/>
          </w:tcPr>
          <w:p w14:paraId="06B11413" w14:textId="77777777" w:rsidR="00D809A0" w:rsidRPr="00CA3DA8" w:rsidRDefault="00D809A0" w:rsidP="00D809A0">
            <w:pPr>
              <w:rPr>
                <w:i/>
                <w:iCs/>
              </w:rPr>
            </w:pPr>
            <w:r w:rsidRPr="00CA3DA8">
              <w:rPr>
                <w:i/>
                <w:iCs/>
              </w:rPr>
              <w:t>EABR</w:t>
            </w:r>
            <w:r w:rsidRPr="00CA3DA8">
              <w:rPr>
                <w:i/>
                <w:iCs/>
                <w:vertAlign w:val="subscript"/>
              </w:rPr>
              <w:t>t</w:t>
            </w:r>
          </w:p>
        </w:tc>
        <w:tc>
          <w:tcPr>
            <w:tcW w:w="7166" w:type="dxa"/>
          </w:tcPr>
          <w:p w14:paraId="525BDB18" w14:textId="0A4F7459" w:rsidR="00D809A0" w:rsidRPr="00023BE8" w:rsidRDefault="00D809A0" w:rsidP="00D809A0">
            <w:r w:rsidRPr="00023BE8">
              <w:t>means Ex-ante Base Revenue;</w:t>
            </w:r>
          </w:p>
        </w:tc>
      </w:tr>
      <w:tr w:rsidR="00D809A0" w:rsidRPr="00AE57AC" w14:paraId="5698C2A8" w14:textId="77777777" w:rsidTr="008E271A">
        <w:trPr>
          <w:trHeight w:val="454"/>
        </w:trPr>
        <w:tc>
          <w:tcPr>
            <w:tcW w:w="1447" w:type="dxa"/>
          </w:tcPr>
          <w:p w14:paraId="3F76EC66" w14:textId="77777777" w:rsidR="00D809A0" w:rsidRPr="00CA3DA8" w:rsidRDefault="00D809A0" w:rsidP="00D809A0">
            <w:pPr>
              <w:rPr>
                <w:i/>
                <w:iCs/>
              </w:rPr>
            </w:pPr>
            <w:r w:rsidRPr="00CA3DA8">
              <w:rPr>
                <w:i/>
                <w:iCs/>
              </w:rPr>
              <w:t>UIMD</w:t>
            </w:r>
            <w:r w:rsidRPr="00CA3DA8">
              <w:rPr>
                <w:i/>
                <w:iCs/>
                <w:vertAlign w:val="subscript"/>
              </w:rPr>
              <w:t>t</w:t>
            </w:r>
          </w:p>
        </w:tc>
        <w:tc>
          <w:tcPr>
            <w:tcW w:w="7166" w:type="dxa"/>
          </w:tcPr>
          <w:p w14:paraId="5057E27D" w14:textId="252F37B3" w:rsidR="00D809A0" w:rsidRPr="000E781A" w:rsidRDefault="00D809A0" w:rsidP="00D809A0">
            <w:r w:rsidRPr="008C3C82">
              <w:t>means the Unplanned Interruption Overall Mean Duration</w:t>
            </w:r>
            <w:r w:rsidRPr="000E781A">
              <w:t xml:space="preserve"> expressed in minutes</w:t>
            </w:r>
            <w:r>
              <w:t>;</w:t>
            </w:r>
          </w:p>
        </w:tc>
      </w:tr>
      <w:tr w:rsidR="00D809A0" w:rsidRPr="00AE57AC" w14:paraId="1807CC5F" w14:textId="77777777" w:rsidTr="008E271A">
        <w:trPr>
          <w:trHeight w:val="454"/>
        </w:trPr>
        <w:tc>
          <w:tcPr>
            <w:tcW w:w="1447" w:type="dxa"/>
          </w:tcPr>
          <w:p w14:paraId="3D707A6D" w14:textId="77777777" w:rsidR="00D809A0" w:rsidRPr="00CA3DA8" w:rsidRDefault="00D809A0" w:rsidP="00D809A0">
            <w:pPr>
              <w:rPr>
                <w:i/>
                <w:iCs/>
              </w:rPr>
            </w:pPr>
            <w:r w:rsidRPr="00CA3DA8">
              <w:rPr>
                <w:i/>
                <w:iCs/>
              </w:rPr>
              <w:t>UIMS</w:t>
            </w:r>
          </w:p>
        </w:tc>
        <w:tc>
          <w:tcPr>
            <w:tcW w:w="7166" w:type="dxa"/>
          </w:tcPr>
          <w:p w14:paraId="1F1587CF" w14:textId="7170F0F7" w:rsidR="00D809A0" w:rsidRPr="000E781A" w:rsidRDefault="00D809A0" w:rsidP="00D809A0">
            <w:r>
              <w:t xml:space="preserve">means </w:t>
            </w:r>
            <w:r w:rsidRPr="000E781A">
              <w:t>the Unplanned Interruption Minimum Standard Level value</w:t>
            </w:r>
            <w:r>
              <w:t>; and</w:t>
            </w:r>
            <w:r w:rsidRPr="000E781A">
              <w:t xml:space="preserve"> </w:t>
            </w:r>
          </w:p>
        </w:tc>
      </w:tr>
      <w:tr w:rsidR="00D809A0" w:rsidRPr="00AE57AC" w14:paraId="415E8D93" w14:textId="77777777" w:rsidTr="008E271A">
        <w:trPr>
          <w:trHeight w:val="454"/>
        </w:trPr>
        <w:tc>
          <w:tcPr>
            <w:tcW w:w="1447" w:type="dxa"/>
          </w:tcPr>
          <w:p w14:paraId="7E380684" w14:textId="77777777" w:rsidR="00D809A0" w:rsidRPr="00CA3DA8" w:rsidRDefault="00D809A0" w:rsidP="00D809A0">
            <w:pPr>
              <w:rPr>
                <w:i/>
                <w:iCs/>
              </w:rPr>
            </w:pPr>
            <w:r w:rsidRPr="00CA3DA8">
              <w:rPr>
                <w:i/>
                <w:iCs/>
              </w:rPr>
              <w:t>UIED</w:t>
            </w:r>
          </w:p>
        </w:tc>
        <w:tc>
          <w:tcPr>
            <w:tcW w:w="7166" w:type="dxa"/>
          </w:tcPr>
          <w:p w14:paraId="465EE406" w14:textId="77777777" w:rsidR="00D809A0" w:rsidRPr="000E781A" w:rsidRDefault="00D809A0" w:rsidP="00D809A0">
            <w:r>
              <w:t xml:space="preserve">means the </w:t>
            </w:r>
            <w:r w:rsidRPr="000E781A">
              <w:t>Unplanned Interruption Excessive Deterioration Level value</w:t>
            </w:r>
            <w:r>
              <w:t>.</w:t>
            </w:r>
          </w:p>
        </w:tc>
      </w:tr>
    </w:tbl>
    <w:p w14:paraId="636A209C" w14:textId="77777777" w:rsidR="00D809A0" w:rsidRPr="000E781A" w:rsidRDefault="00D809A0" w:rsidP="00D51F4A">
      <w:pPr>
        <w:pStyle w:val="NumberedNormal"/>
        <w:numPr>
          <w:ilvl w:val="2"/>
          <w:numId w:val="7"/>
        </w:numPr>
      </w:pPr>
      <w:r>
        <w:lastRenderedPageBreak/>
        <w:t>In relation to the North London Distribution Network, the value of UIP</w:t>
      </w:r>
      <w:r w:rsidRPr="008E271A">
        <w:rPr>
          <w:vertAlign w:val="subscript"/>
        </w:rPr>
        <w:t>t</w:t>
      </w:r>
      <w:r>
        <w:t xml:space="preserve"> is derived in accordance with the following formula:</w:t>
      </w:r>
    </w:p>
    <w:p w14:paraId="7971E333" w14:textId="77777777" w:rsidR="00D809A0" w:rsidRPr="000E781A" w:rsidRDefault="008C7681" w:rsidP="00D809A0">
      <m:oMathPara>
        <m:oMath>
          <m:sSub>
            <m:sSubPr>
              <m:ctrlPr>
                <w:rPr>
                  <w:rFonts w:ascii="Cambria Math" w:hAnsi="Cambria Math"/>
                </w:rPr>
              </m:ctrlPr>
            </m:sSubPr>
            <m:e>
              <m:r>
                <w:rPr>
                  <w:rFonts w:ascii="Cambria Math" w:hAnsi="Cambria Math"/>
                </w:rPr>
                <m:t>UIP</m:t>
              </m:r>
            </m:e>
            <m:sub>
              <m:r>
                <w:rPr>
                  <w:rFonts w:ascii="Cambria Math" w:hAnsi="Cambria Math"/>
                </w:rPr>
                <m:t>t</m:t>
              </m:r>
            </m:sub>
          </m:sSub>
          <m:r>
            <w:rPr>
              <w:rFonts w:ascii="Cambria Math" w:hAnsi="Cambria Math"/>
            </w:rPr>
            <m:t xml:space="preserve">= </m:t>
          </m:r>
          <m:d>
            <m:dPr>
              <m:begChr m:val="{"/>
              <m:endChr m:val=""/>
              <m:ctrlPr>
                <w:rPr>
                  <w:rFonts w:ascii="Cambria Math" w:hAnsi="Cambria Math"/>
                </w:rPr>
              </m:ctrlPr>
            </m:dPr>
            <m:e>
              <m:eqArr>
                <m:eqArrPr>
                  <m:ctrlPr>
                    <w:rPr>
                      <w:rFonts w:ascii="Cambria Math" w:hAnsi="Cambria Math"/>
                    </w:rPr>
                  </m:ctrlPr>
                </m:eqArrPr>
                <m:e>
                  <m:r>
                    <w:rPr>
                      <w:rFonts w:ascii="Cambria Math" w:hAnsi="Cambria Math"/>
                    </w:rPr>
                    <m:t>0,  &amp;</m:t>
                  </m:r>
                  <m:sSub>
                    <m:sSubPr>
                      <m:ctrlPr>
                        <w:rPr>
                          <w:rFonts w:ascii="Cambria Math" w:hAnsi="Cambria Math"/>
                        </w:rPr>
                      </m:ctrlPr>
                    </m:sSubPr>
                    <m:e>
                      <m:r>
                        <w:rPr>
                          <w:rFonts w:ascii="Cambria Math" w:hAnsi="Cambria Math"/>
                        </w:rPr>
                        <m:t>UIMMD</m:t>
                      </m:r>
                    </m:e>
                    <m:sub>
                      <m:r>
                        <w:rPr>
                          <w:rFonts w:ascii="Cambria Math" w:hAnsi="Cambria Math"/>
                        </w:rPr>
                        <m:t>t</m:t>
                      </m:r>
                    </m:sub>
                  </m:sSub>
                  <m:r>
                    <w:rPr>
                      <w:rFonts w:ascii="Cambria Math" w:hAnsi="Cambria Math"/>
                    </w:rPr>
                    <m:t>≤UIMMS</m:t>
                  </m:r>
                </m:e>
                <m:e>
                  <m:r>
                    <m:rPr>
                      <m:sty m:val="p"/>
                    </m:rPr>
                    <w:rPr>
                      <w:rFonts w:ascii="Cambria Math" w:hAnsi="Cambria Math"/>
                    </w:rPr>
                    <m:t>max</m:t>
                  </m:r>
                  <m:r>
                    <w:rPr>
                      <w:rFonts w:ascii="Cambria Math" w:hAnsi="Cambria Math"/>
                    </w:rPr>
                    <m:t>⁡</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UIMMD</m:t>
                              </m:r>
                            </m:e>
                            <m:sub>
                              <m:r>
                                <w:rPr>
                                  <w:rFonts w:ascii="Cambria Math" w:hAnsi="Cambria Math"/>
                                </w:rPr>
                                <m:t>t</m:t>
                              </m:r>
                            </m:sub>
                          </m:sSub>
                          <m:r>
                            <w:rPr>
                              <w:rFonts w:ascii="Cambria Math" w:hAnsi="Cambria Math"/>
                            </w:rPr>
                            <m:t>-UIMMS</m:t>
                          </m:r>
                        </m:num>
                        <m:den>
                          <m:r>
                            <w:rPr>
                              <w:rFonts w:ascii="Cambria Math" w:hAnsi="Cambria Math"/>
                            </w:rPr>
                            <m:t>UIMMS-UIMED</m:t>
                          </m:r>
                        </m:den>
                      </m:f>
                      <m:r>
                        <w:rPr>
                          <w:rFonts w:ascii="Cambria Math" w:hAnsi="Cambria Math"/>
                        </w:rPr>
                        <m:t>, -1</m:t>
                      </m:r>
                    </m:e>
                  </m:d>
                  <m:r>
                    <w:rPr>
                      <w:rFonts w:ascii="Cambria Math" w:hAnsi="Cambria Math"/>
                    </w:rPr>
                    <m:t>[</m:t>
                  </m:r>
                  <m:sSub>
                    <m:sSubPr>
                      <m:ctrlPr>
                        <w:rPr>
                          <w:rFonts w:ascii="Cambria Math" w:hAnsi="Cambria Math"/>
                        </w:rPr>
                      </m:ctrlPr>
                    </m:sSubPr>
                    <m:e>
                      <m:r>
                        <w:rPr>
                          <w:rFonts w:ascii="Cambria Math" w:hAnsi="Cambria Math"/>
                        </w:rPr>
                        <m:t>0.025 EABR</m:t>
                      </m:r>
                    </m:e>
                    <m:sub>
                      <m:r>
                        <w:rPr>
                          <w:rFonts w:ascii="Cambria Math" w:hAnsi="Cambria Math"/>
                        </w:rPr>
                        <m:t>t</m:t>
                      </m:r>
                    </m:sub>
                  </m:sSub>
                  <m:r>
                    <w:rPr>
                      <w:rFonts w:ascii="Cambria Math" w:hAnsi="Cambria Math"/>
                    </w:rPr>
                    <m:t>],  &amp;</m:t>
                  </m:r>
                  <m:sSub>
                    <m:sSubPr>
                      <m:ctrlPr>
                        <w:rPr>
                          <w:rFonts w:ascii="Cambria Math" w:hAnsi="Cambria Math"/>
                        </w:rPr>
                      </m:ctrlPr>
                    </m:sSubPr>
                    <m:e>
                      <m:r>
                        <w:rPr>
                          <w:rFonts w:ascii="Cambria Math" w:hAnsi="Cambria Math"/>
                        </w:rPr>
                        <m:t>UIMMD</m:t>
                      </m:r>
                    </m:e>
                    <m:sub>
                      <m:r>
                        <w:rPr>
                          <w:rFonts w:ascii="Cambria Math" w:hAnsi="Cambria Math"/>
                        </w:rPr>
                        <m:t>t</m:t>
                      </m:r>
                    </m:sub>
                  </m:sSub>
                  <m:r>
                    <w:rPr>
                      <w:rFonts w:ascii="Cambria Math" w:hAnsi="Cambria Math"/>
                    </w:rPr>
                    <m:t>&gt;UIMMS</m:t>
                  </m:r>
                </m:e>
              </m:eqArr>
            </m:e>
          </m:d>
          <m:r>
            <w:rPr>
              <w:rFonts w:ascii="Cambria Math" w:hAnsi="Cambria Math"/>
            </w:rPr>
            <m:t xml:space="preserve">    </m:t>
          </m:r>
        </m:oMath>
      </m:oMathPara>
    </w:p>
    <w:p w14:paraId="21261643" w14:textId="77777777" w:rsidR="00D809A0" w:rsidRPr="00E44694" w:rsidRDefault="00D809A0" w:rsidP="00D809A0">
      <m:oMathPara>
        <m:oMath>
          <m: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w:rPr>
                      <w:rFonts w:ascii="Cambria Math" w:hAnsi="Cambria Math"/>
                    </w:rPr>
                    <m:t>0,  &amp;</m:t>
                  </m:r>
                  <m:sSub>
                    <m:sSubPr>
                      <m:ctrlPr>
                        <w:rPr>
                          <w:rFonts w:ascii="Cambria Math" w:hAnsi="Cambria Math"/>
                        </w:rPr>
                      </m:ctrlPr>
                    </m:sSubPr>
                    <m:e>
                      <m:r>
                        <w:rPr>
                          <w:rFonts w:ascii="Cambria Math" w:hAnsi="Cambria Math"/>
                        </w:rPr>
                        <m:t>UINMD</m:t>
                      </m:r>
                    </m:e>
                    <m:sub>
                      <m:r>
                        <w:rPr>
                          <w:rFonts w:ascii="Cambria Math" w:hAnsi="Cambria Math"/>
                        </w:rPr>
                        <m:t>t</m:t>
                      </m:r>
                    </m:sub>
                  </m:sSub>
                  <m:r>
                    <w:rPr>
                      <w:rFonts w:ascii="Cambria Math" w:hAnsi="Cambria Math"/>
                    </w:rPr>
                    <m:t>≤UINMS</m:t>
                  </m:r>
                </m:e>
                <m:e>
                  <m:r>
                    <m:rPr>
                      <m:sty m:val="p"/>
                    </m:rPr>
                    <w:rPr>
                      <w:rFonts w:ascii="Cambria Math" w:hAnsi="Cambria Math"/>
                    </w:rPr>
                    <m:t>max</m:t>
                  </m:r>
                  <m:r>
                    <w:rPr>
                      <w:rFonts w:ascii="Cambria Math" w:hAnsi="Cambria Math"/>
                    </w:rPr>
                    <m:t>⁡</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UINMD</m:t>
                              </m:r>
                            </m:e>
                            <m:sub>
                              <m:r>
                                <w:rPr>
                                  <w:rFonts w:ascii="Cambria Math" w:hAnsi="Cambria Math"/>
                                </w:rPr>
                                <m:t>t</m:t>
                              </m:r>
                            </m:sub>
                          </m:sSub>
                          <m:r>
                            <w:rPr>
                              <w:rFonts w:ascii="Cambria Math" w:hAnsi="Cambria Math"/>
                            </w:rPr>
                            <m:t>-UINMS</m:t>
                          </m:r>
                        </m:num>
                        <m:den>
                          <m:r>
                            <w:rPr>
                              <w:rFonts w:ascii="Cambria Math" w:hAnsi="Cambria Math"/>
                            </w:rPr>
                            <m:t>UINMS-UINED</m:t>
                          </m:r>
                        </m:den>
                      </m:f>
                      <m:r>
                        <w:rPr>
                          <w:rFonts w:ascii="Cambria Math" w:hAnsi="Cambria Math"/>
                        </w:rPr>
                        <m:t>, -1</m:t>
                      </m:r>
                    </m:e>
                  </m:d>
                  <m:r>
                    <w:rPr>
                      <w:rFonts w:ascii="Cambria Math" w:hAnsi="Cambria Math"/>
                    </w:rPr>
                    <m:t>[</m:t>
                  </m:r>
                  <m:sSub>
                    <m:sSubPr>
                      <m:ctrlPr>
                        <w:rPr>
                          <w:rFonts w:ascii="Cambria Math" w:hAnsi="Cambria Math"/>
                        </w:rPr>
                      </m:ctrlPr>
                    </m:sSubPr>
                    <m:e>
                      <m:r>
                        <w:rPr>
                          <w:rFonts w:ascii="Cambria Math" w:hAnsi="Cambria Math"/>
                        </w:rPr>
                        <m:t>0.0025 EABR</m:t>
                      </m:r>
                    </m:e>
                    <m:sub>
                      <m:r>
                        <w:rPr>
                          <w:rFonts w:ascii="Cambria Math" w:hAnsi="Cambria Math"/>
                        </w:rPr>
                        <m:t>t</m:t>
                      </m:r>
                    </m:sub>
                  </m:sSub>
                  <m:r>
                    <w:rPr>
                      <w:rFonts w:ascii="Cambria Math" w:hAnsi="Cambria Math"/>
                    </w:rPr>
                    <m:t>],  &amp;</m:t>
                  </m:r>
                  <m:sSub>
                    <m:sSubPr>
                      <m:ctrlPr>
                        <w:rPr>
                          <w:rFonts w:ascii="Cambria Math" w:hAnsi="Cambria Math"/>
                        </w:rPr>
                      </m:ctrlPr>
                    </m:sSubPr>
                    <m:e>
                      <m:r>
                        <w:rPr>
                          <w:rFonts w:ascii="Cambria Math" w:hAnsi="Cambria Math"/>
                        </w:rPr>
                        <m:t>UINMD</m:t>
                      </m:r>
                    </m:e>
                    <m:sub>
                      <m:r>
                        <w:rPr>
                          <w:rFonts w:ascii="Cambria Math" w:hAnsi="Cambria Math"/>
                        </w:rPr>
                        <m:t>t</m:t>
                      </m:r>
                    </m:sub>
                  </m:sSub>
                  <m:r>
                    <w:rPr>
                      <w:rFonts w:ascii="Cambria Math" w:hAnsi="Cambria Math"/>
                    </w:rPr>
                    <m:t>&gt;UINMS</m:t>
                  </m:r>
                </m:e>
              </m:eqArr>
            </m:e>
          </m:d>
        </m:oMath>
      </m:oMathPara>
    </w:p>
    <w:p w14:paraId="4D30D032" w14:textId="77777777" w:rsidR="00D809A0" w:rsidRPr="00B143C3" w:rsidRDefault="00D809A0" w:rsidP="00D809A0">
      <w:r w:rsidRPr="00B143C3">
        <w:t>where:</w:t>
      </w:r>
    </w:p>
    <w:tbl>
      <w:tblPr>
        <w:tblW w:w="8613" w:type="dxa"/>
        <w:tblInd w:w="612" w:type="dxa"/>
        <w:tblLook w:val="04A0" w:firstRow="1" w:lastRow="0" w:firstColumn="1" w:lastColumn="0" w:noHBand="0" w:noVBand="1"/>
      </w:tblPr>
      <w:tblGrid>
        <w:gridCol w:w="1447"/>
        <w:gridCol w:w="7166"/>
      </w:tblGrid>
      <w:tr w:rsidR="00D809A0" w:rsidRPr="00AE57AC" w14:paraId="46338FB2" w14:textId="77777777" w:rsidTr="008E271A">
        <w:trPr>
          <w:trHeight w:val="454"/>
        </w:trPr>
        <w:tc>
          <w:tcPr>
            <w:tcW w:w="1447" w:type="dxa"/>
          </w:tcPr>
          <w:p w14:paraId="64AFEF6B" w14:textId="77777777" w:rsidR="00D809A0" w:rsidRPr="00187646" w:rsidRDefault="00D809A0" w:rsidP="00D809A0">
            <w:pPr>
              <w:rPr>
                <w:i/>
                <w:iCs/>
              </w:rPr>
            </w:pPr>
            <w:r w:rsidRPr="00187646">
              <w:rPr>
                <w:i/>
                <w:iCs/>
              </w:rPr>
              <w:t>UIMMD</w:t>
            </w:r>
            <w:r w:rsidRPr="00187646">
              <w:rPr>
                <w:i/>
                <w:iCs/>
                <w:vertAlign w:val="subscript"/>
              </w:rPr>
              <w:t>t</w:t>
            </w:r>
          </w:p>
        </w:tc>
        <w:tc>
          <w:tcPr>
            <w:tcW w:w="7166" w:type="dxa"/>
          </w:tcPr>
          <w:p w14:paraId="4C80D33B" w14:textId="14D93369" w:rsidR="00D809A0" w:rsidRPr="000E781A" w:rsidRDefault="00D809A0" w:rsidP="00D809A0">
            <w:r w:rsidRPr="008C3C82">
              <w:t>means the Unplanned Interruption Overall Mean Duration</w:t>
            </w:r>
            <w:r w:rsidRPr="000E781A">
              <w:t xml:space="preserve"> relating to MOB Riser Interruptions, expressed in minutes</w:t>
            </w:r>
            <w:r>
              <w:t>;</w:t>
            </w:r>
          </w:p>
          <w:p w14:paraId="053465D7" w14:textId="77777777" w:rsidR="00D809A0" w:rsidRDefault="00D809A0" w:rsidP="00D809A0"/>
        </w:tc>
      </w:tr>
      <w:tr w:rsidR="00D809A0" w:rsidRPr="00AE57AC" w14:paraId="5B0CCFA2" w14:textId="77777777" w:rsidTr="008E271A">
        <w:trPr>
          <w:trHeight w:val="454"/>
        </w:trPr>
        <w:tc>
          <w:tcPr>
            <w:tcW w:w="1447" w:type="dxa"/>
          </w:tcPr>
          <w:p w14:paraId="431C680C" w14:textId="77777777" w:rsidR="00D809A0" w:rsidRPr="00187646" w:rsidRDefault="00D809A0" w:rsidP="00D809A0">
            <w:pPr>
              <w:rPr>
                <w:i/>
                <w:iCs/>
              </w:rPr>
            </w:pPr>
            <w:r w:rsidRPr="00187646">
              <w:rPr>
                <w:i/>
                <w:iCs/>
              </w:rPr>
              <w:t>UIMMS</w:t>
            </w:r>
          </w:p>
        </w:tc>
        <w:tc>
          <w:tcPr>
            <w:tcW w:w="7166" w:type="dxa"/>
          </w:tcPr>
          <w:p w14:paraId="33D059AB" w14:textId="6B960A66" w:rsidR="00D809A0" w:rsidRPr="000E781A" w:rsidRDefault="00D809A0" w:rsidP="00D809A0">
            <w:r>
              <w:t>means the Unplanned Interruption Minimum Standard Level relating to MOB Riser Interruptions set out in Appendix 1;</w:t>
            </w:r>
          </w:p>
        </w:tc>
      </w:tr>
      <w:tr w:rsidR="00D809A0" w:rsidRPr="00AE57AC" w14:paraId="3D0090E8" w14:textId="77777777" w:rsidTr="008E271A">
        <w:trPr>
          <w:trHeight w:val="454"/>
        </w:trPr>
        <w:tc>
          <w:tcPr>
            <w:tcW w:w="1447" w:type="dxa"/>
          </w:tcPr>
          <w:p w14:paraId="158663E1" w14:textId="77777777" w:rsidR="00D809A0" w:rsidRPr="00187646" w:rsidRDefault="00D809A0" w:rsidP="00D809A0">
            <w:pPr>
              <w:rPr>
                <w:i/>
                <w:iCs/>
              </w:rPr>
            </w:pPr>
            <w:r w:rsidRPr="00187646">
              <w:rPr>
                <w:i/>
                <w:iCs/>
              </w:rPr>
              <w:t>UIMED</w:t>
            </w:r>
          </w:p>
          <w:p w14:paraId="5FB26309" w14:textId="77777777" w:rsidR="00D809A0" w:rsidRPr="00187646" w:rsidRDefault="00D809A0" w:rsidP="00D809A0">
            <w:pPr>
              <w:rPr>
                <w:i/>
                <w:iCs/>
              </w:rPr>
            </w:pPr>
          </w:p>
        </w:tc>
        <w:tc>
          <w:tcPr>
            <w:tcW w:w="7166" w:type="dxa"/>
          </w:tcPr>
          <w:p w14:paraId="4275D1DB" w14:textId="1E8B639C" w:rsidR="00D809A0" w:rsidRDefault="00D809A0" w:rsidP="00074B43">
            <w:r>
              <w:t xml:space="preserve">means the </w:t>
            </w:r>
            <w:r w:rsidRPr="000E781A">
              <w:t>Excessive Deterioration level relating to MOB Riser Interruptions set out in Appendix 1</w:t>
            </w:r>
            <w:r>
              <w:t>;</w:t>
            </w:r>
          </w:p>
        </w:tc>
      </w:tr>
      <w:tr w:rsidR="00D809A0" w:rsidRPr="00AE57AC" w14:paraId="640DA312" w14:textId="77777777" w:rsidTr="008E271A">
        <w:trPr>
          <w:trHeight w:val="454"/>
        </w:trPr>
        <w:tc>
          <w:tcPr>
            <w:tcW w:w="1447" w:type="dxa"/>
          </w:tcPr>
          <w:p w14:paraId="59C3DFA8" w14:textId="77777777" w:rsidR="00D809A0" w:rsidRPr="00187646" w:rsidRDefault="00D809A0" w:rsidP="00D809A0">
            <w:pPr>
              <w:rPr>
                <w:i/>
                <w:iCs/>
              </w:rPr>
            </w:pPr>
            <w:r w:rsidRPr="00187646">
              <w:rPr>
                <w:i/>
                <w:iCs/>
              </w:rPr>
              <w:t>UINMD</w:t>
            </w:r>
            <w:r w:rsidRPr="00187646">
              <w:rPr>
                <w:i/>
                <w:iCs/>
                <w:vertAlign w:val="subscript"/>
              </w:rPr>
              <w:t>t</w:t>
            </w:r>
          </w:p>
        </w:tc>
        <w:tc>
          <w:tcPr>
            <w:tcW w:w="7166" w:type="dxa"/>
          </w:tcPr>
          <w:p w14:paraId="18829152" w14:textId="64790C92" w:rsidR="00D809A0" w:rsidRDefault="00D809A0" w:rsidP="00074B43">
            <w:r w:rsidRPr="008C3C82">
              <w:t>means the Unplanned Interruption Overall Mean Duration</w:t>
            </w:r>
            <w:r w:rsidRPr="000E781A">
              <w:t xml:space="preserve"> relating to all Unplanned Interruptions other than MOB Riser Interruptions, expressed in minutes</w:t>
            </w:r>
            <w:r>
              <w:t>;</w:t>
            </w:r>
          </w:p>
        </w:tc>
      </w:tr>
      <w:tr w:rsidR="00D809A0" w:rsidRPr="00AE57AC" w14:paraId="40E49B8A" w14:textId="77777777" w:rsidTr="008E271A">
        <w:trPr>
          <w:trHeight w:val="454"/>
        </w:trPr>
        <w:tc>
          <w:tcPr>
            <w:tcW w:w="1447" w:type="dxa"/>
          </w:tcPr>
          <w:p w14:paraId="7A35D0C9" w14:textId="77777777" w:rsidR="00D809A0" w:rsidRPr="00187646" w:rsidRDefault="00D809A0" w:rsidP="00D809A0">
            <w:pPr>
              <w:rPr>
                <w:i/>
                <w:iCs/>
              </w:rPr>
            </w:pPr>
            <w:r w:rsidRPr="00187646">
              <w:rPr>
                <w:i/>
                <w:iCs/>
              </w:rPr>
              <w:t>UINMS</w:t>
            </w:r>
          </w:p>
        </w:tc>
        <w:tc>
          <w:tcPr>
            <w:tcW w:w="7166" w:type="dxa"/>
          </w:tcPr>
          <w:p w14:paraId="7D97BAC2" w14:textId="388CBA0E" w:rsidR="00D809A0" w:rsidRPr="000E781A" w:rsidRDefault="00D809A0" w:rsidP="00D809A0">
            <w:r>
              <w:t>means the Unplanned Interruption Minimum Standard Level relating to all Unplanned Interruptions other than those relating to MOB Riser Interruptions set out in Appendix 1; and</w:t>
            </w:r>
          </w:p>
        </w:tc>
      </w:tr>
      <w:tr w:rsidR="00D809A0" w:rsidRPr="00AE57AC" w14:paraId="7C212705" w14:textId="77777777" w:rsidTr="008E271A">
        <w:trPr>
          <w:trHeight w:val="454"/>
        </w:trPr>
        <w:tc>
          <w:tcPr>
            <w:tcW w:w="1447" w:type="dxa"/>
          </w:tcPr>
          <w:p w14:paraId="1D2FC8BD" w14:textId="77777777" w:rsidR="00D809A0" w:rsidRPr="00187646" w:rsidRDefault="00D809A0" w:rsidP="00D809A0">
            <w:pPr>
              <w:rPr>
                <w:i/>
                <w:iCs/>
              </w:rPr>
            </w:pPr>
            <w:r w:rsidRPr="00187646">
              <w:rPr>
                <w:i/>
                <w:iCs/>
              </w:rPr>
              <w:t xml:space="preserve">UINED </w:t>
            </w:r>
          </w:p>
          <w:p w14:paraId="4D34B8B3" w14:textId="77777777" w:rsidR="00D809A0" w:rsidRPr="00187646" w:rsidRDefault="00D809A0" w:rsidP="00D809A0">
            <w:pPr>
              <w:rPr>
                <w:i/>
                <w:iCs/>
              </w:rPr>
            </w:pPr>
          </w:p>
        </w:tc>
        <w:tc>
          <w:tcPr>
            <w:tcW w:w="7166" w:type="dxa"/>
          </w:tcPr>
          <w:p w14:paraId="30A66FF0" w14:textId="60157C20" w:rsidR="00D809A0" w:rsidRDefault="00D809A0" w:rsidP="003E53B0">
            <w:r>
              <w:t>m</w:t>
            </w:r>
            <w:r w:rsidRPr="000E781A">
              <w:t>eans the Excessive Deterioration level relating to all Unplanned Interruptions other than those relating to MOB Riser Interruptions set out in Appendix 1.</w:t>
            </w:r>
          </w:p>
        </w:tc>
      </w:tr>
    </w:tbl>
    <w:p w14:paraId="1EE2ED0B" w14:textId="77777777" w:rsidR="00D809A0" w:rsidRDefault="00D809A0" w:rsidP="00D51F4A">
      <w:pPr>
        <w:pStyle w:val="Heading3"/>
        <w:numPr>
          <w:ilvl w:val="5"/>
          <w:numId w:val="7"/>
        </w:numPr>
      </w:pPr>
      <w:r>
        <w:t>Notification where the Unplanned Interruption Excessive Deterioration Level is breached</w:t>
      </w:r>
    </w:p>
    <w:p w14:paraId="02AC8D26" w14:textId="77777777" w:rsidR="00D809A0" w:rsidRPr="000E781A" w:rsidRDefault="00D809A0" w:rsidP="00D51F4A">
      <w:pPr>
        <w:pStyle w:val="NumberedNormal"/>
        <w:numPr>
          <w:ilvl w:val="2"/>
          <w:numId w:val="7"/>
        </w:numPr>
      </w:pPr>
      <w:r>
        <w:t>If UIMD</w:t>
      </w:r>
      <w:r w:rsidRPr="008E271A">
        <w:rPr>
          <w:vertAlign w:val="subscript"/>
        </w:rPr>
        <w:t>t</w:t>
      </w:r>
      <w:r>
        <w:t xml:space="preserve"> exceeds UIED for any Regulatory Year, the licensee must submit to the Authority a report setting out:</w:t>
      </w:r>
    </w:p>
    <w:p w14:paraId="30AFAF97" w14:textId="77777777" w:rsidR="00D809A0" w:rsidRPr="000E781A" w:rsidRDefault="00D809A0" w:rsidP="00D51F4A">
      <w:pPr>
        <w:pStyle w:val="ListNormal"/>
        <w:numPr>
          <w:ilvl w:val="3"/>
          <w:numId w:val="7"/>
        </w:numPr>
      </w:pPr>
      <w:r>
        <w:t>an explanation of all relevant factors that have contributed to the breach of the Unplanned Interruption Excessive Deterioration level; and</w:t>
      </w:r>
    </w:p>
    <w:p w14:paraId="5EF003F4" w14:textId="77777777" w:rsidR="00D809A0" w:rsidRPr="000E781A" w:rsidRDefault="00D809A0" w:rsidP="00D51F4A">
      <w:pPr>
        <w:pStyle w:val="ListNormal"/>
        <w:numPr>
          <w:ilvl w:val="3"/>
          <w:numId w:val="7"/>
        </w:numPr>
      </w:pPr>
      <w:r>
        <w:t>details of the actions undertaken to date, or planned within specified timescales, in order to improve the licensee's performance in relation to Unplanned Interruptions.</w:t>
      </w:r>
    </w:p>
    <w:p w14:paraId="38D49F27" w14:textId="09CA6C94" w:rsidR="00D809A0" w:rsidRPr="000E781A" w:rsidRDefault="00D809A0" w:rsidP="00D51F4A">
      <w:pPr>
        <w:pStyle w:val="NumberedNormal"/>
        <w:numPr>
          <w:ilvl w:val="2"/>
          <w:numId w:val="7"/>
        </w:numPr>
      </w:pPr>
      <w:r>
        <w:t>The licensee must submit the report during the period of 30 days beginning with the date of its submission of the Regulatory Reporting Pack for the Regulatory Year in question.</w:t>
      </w:r>
    </w:p>
    <w:p w14:paraId="4FEA6A24" w14:textId="77777777" w:rsidR="00D809A0" w:rsidRDefault="00D809A0" w:rsidP="00D51F4A">
      <w:pPr>
        <w:pStyle w:val="Heading3"/>
        <w:numPr>
          <w:ilvl w:val="5"/>
          <w:numId w:val="7"/>
        </w:numPr>
      </w:pPr>
      <w:r>
        <w:lastRenderedPageBreak/>
        <w:t>Application for waiver or reduction in the penalty</w:t>
      </w:r>
    </w:p>
    <w:p w14:paraId="6EF6D226" w14:textId="77777777" w:rsidR="00D809A0" w:rsidRPr="000E781A" w:rsidRDefault="00D809A0" w:rsidP="00D51F4A">
      <w:pPr>
        <w:pStyle w:val="NumberedNormal"/>
        <w:numPr>
          <w:ilvl w:val="2"/>
          <w:numId w:val="7"/>
        </w:numPr>
      </w:pPr>
      <w:r>
        <w:t>The licensee may apply to the Authority for a direction, waiving or reducing any Unplanned Interruption Overall Mean Duration Penalty, where:</w:t>
      </w:r>
    </w:p>
    <w:p w14:paraId="0DE8EB4D" w14:textId="35B413CD" w:rsidR="00D809A0" w:rsidRPr="000E781A" w:rsidRDefault="00D809A0" w:rsidP="00D51F4A">
      <w:pPr>
        <w:pStyle w:val="ListNormal"/>
        <w:numPr>
          <w:ilvl w:val="3"/>
          <w:numId w:val="7"/>
        </w:numPr>
      </w:pPr>
      <w:r>
        <w:t>in any Regulatory Year, the number of Major Incidents occurring on an individual Distribution Network exceeds the Highest Modelled Major Incidents number, resulting in a higher Unplanned Interruption Overall Mean Duration Penalty than would otherwise have applied; or</w:t>
      </w:r>
    </w:p>
    <w:p w14:paraId="3B97A73D" w14:textId="1D11AD15" w:rsidR="00D809A0" w:rsidRPr="000E781A" w:rsidRDefault="00D809A0" w:rsidP="00D51F4A">
      <w:pPr>
        <w:pStyle w:val="ListNormal"/>
        <w:numPr>
          <w:ilvl w:val="3"/>
          <w:numId w:val="7"/>
        </w:numPr>
      </w:pPr>
      <w:r>
        <w:t xml:space="preserve">a change to the RIGs on the reporting of Unplanned Interruptions results in a higher Unplanned Interruption Overall Mean Duration Penalty than would have applied had the RIGs for the </w:t>
      </w:r>
      <w:r w:rsidR="00237572">
        <w:t>Regulatory Y</w:t>
      </w:r>
      <w:r>
        <w:t>ear 2019/20 remained in effect.</w:t>
      </w:r>
    </w:p>
    <w:p w14:paraId="43F7A6D4" w14:textId="5868757D" w:rsidR="00D809A0" w:rsidRPr="000E781A" w:rsidRDefault="00D809A0" w:rsidP="00D51F4A">
      <w:pPr>
        <w:pStyle w:val="NumberedNormal"/>
        <w:numPr>
          <w:ilvl w:val="2"/>
          <w:numId w:val="7"/>
        </w:numPr>
      </w:pPr>
      <w:r>
        <w:t>The licensee must submit its application for a direction, waiving or reducing the Unplanned Interruption Overall Mean Duration Penalty, together with detailed supporting evidence, to the Authority during the period of 30 days beginning with the date of its submission of the Regulatory Reporting Pack for the Regulatory Year in question.</w:t>
      </w:r>
    </w:p>
    <w:p w14:paraId="0EC7DA6D" w14:textId="5F062668" w:rsidR="00D809A0" w:rsidRPr="00A82046" w:rsidRDefault="00D809A0" w:rsidP="00D51F4A">
      <w:pPr>
        <w:pStyle w:val="AppendixHeading"/>
      </w:pPr>
    </w:p>
    <w:p w14:paraId="24133F0C" w14:textId="77777777" w:rsidR="00D809A0" w:rsidRPr="008E271A" w:rsidRDefault="00D809A0" w:rsidP="003B6051">
      <w:pPr>
        <w:pStyle w:val="Caption"/>
      </w:pPr>
      <w:r w:rsidRPr="008E271A">
        <w:t>Unplanned Interruption Overall Mean Duration penalty levels - East of England, North West and West Midlands networks</w:t>
      </w:r>
    </w:p>
    <w:tbl>
      <w:tblPr>
        <w:tblStyle w:val="AppendixTable"/>
        <w:tblW w:w="5000" w:type="pct"/>
        <w:jc w:val="center"/>
        <w:tblLook w:val="01A0" w:firstRow="1" w:lastRow="0" w:firstColumn="1" w:lastColumn="1" w:noHBand="0" w:noVBand="0"/>
      </w:tblPr>
      <w:tblGrid>
        <w:gridCol w:w="1419"/>
        <w:gridCol w:w="3172"/>
        <w:gridCol w:w="2693"/>
        <w:gridCol w:w="1742"/>
      </w:tblGrid>
      <w:tr w:rsidR="00D809A0" w:rsidRPr="00161DA4" w14:paraId="39D186A9" w14:textId="77777777" w:rsidTr="003B6051">
        <w:trPr>
          <w:cnfStyle w:val="100000000000" w:firstRow="1" w:lastRow="0" w:firstColumn="0" w:lastColumn="0" w:oddVBand="0" w:evenVBand="0" w:oddHBand="0" w:evenHBand="0" w:firstRowFirstColumn="0" w:firstRowLastColumn="0" w:lastRowFirstColumn="0" w:lastRowLastColumn="0"/>
          <w:trHeight w:val="805"/>
          <w:jc w:val="center"/>
        </w:trPr>
        <w:tc>
          <w:tcPr>
            <w:tcW w:w="786" w:type="pct"/>
          </w:tcPr>
          <w:p w14:paraId="224BE200" w14:textId="77777777" w:rsidR="00D809A0" w:rsidRPr="00A82046" w:rsidRDefault="00D809A0" w:rsidP="00D809A0">
            <w:r w:rsidRPr="00895EE2">
              <w:t>Distribution Network</w:t>
            </w:r>
          </w:p>
        </w:tc>
        <w:tc>
          <w:tcPr>
            <w:tcW w:w="1757" w:type="pct"/>
          </w:tcPr>
          <w:p w14:paraId="63F8C4C4" w14:textId="250610E9" w:rsidR="00D809A0" w:rsidRPr="00A82046" w:rsidRDefault="00D809A0" w:rsidP="003B6051">
            <w:r>
              <w:t>Unplanned Interruptions Minimum Standard Level (UIMS)</w:t>
            </w:r>
          </w:p>
        </w:tc>
        <w:tc>
          <w:tcPr>
            <w:tcW w:w="1492" w:type="pct"/>
          </w:tcPr>
          <w:p w14:paraId="21DE054A" w14:textId="74C38798" w:rsidR="00D809A0" w:rsidRPr="00A82046" w:rsidRDefault="00D809A0" w:rsidP="003B6051">
            <w:r>
              <w:t>Unplanned Interruptions Excessive Deterioration Level (UIED)</w:t>
            </w:r>
          </w:p>
        </w:tc>
        <w:tc>
          <w:tcPr>
            <w:tcW w:w="966" w:type="pct"/>
          </w:tcPr>
          <w:p w14:paraId="5D7DAFE3" w14:textId="77777777" w:rsidR="00D809A0" w:rsidRPr="00A82046" w:rsidRDefault="00D809A0" w:rsidP="00D809A0">
            <w:r>
              <w:t>Highest Modelled Major Incidents</w:t>
            </w:r>
          </w:p>
        </w:tc>
      </w:tr>
      <w:tr w:rsidR="00D809A0" w:rsidRPr="00161DA4" w14:paraId="1E539E8E" w14:textId="77777777" w:rsidTr="003B6051">
        <w:trPr>
          <w:jc w:val="center"/>
        </w:trPr>
        <w:tc>
          <w:tcPr>
            <w:tcW w:w="786" w:type="pct"/>
          </w:tcPr>
          <w:p w14:paraId="3627CA27" w14:textId="77777777" w:rsidR="00D809A0" w:rsidRPr="00A82046" w:rsidRDefault="00D809A0" w:rsidP="00D809A0">
            <w:r w:rsidRPr="00895EE2">
              <w:t>EoE</w:t>
            </w:r>
          </w:p>
        </w:tc>
        <w:tc>
          <w:tcPr>
            <w:tcW w:w="1757" w:type="pct"/>
          </w:tcPr>
          <w:p w14:paraId="2F82FBF5" w14:textId="77777777" w:rsidR="00D809A0" w:rsidRPr="00A82046" w:rsidRDefault="00D809A0" w:rsidP="00D809A0">
            <w:r w:rsidRPr="00895EE2">
              <w:t>xxxx</w:t>
            </w:r>
          </w:p>
        </w:tc>
        <w:tc>
          <w:tcPr>
            <w:tcW w:w="1492" w:type="pct"/>
          </w:tcPr>
          <w:p w14:paraId="4F08ABE9" w14:textId="77777777" w:rsidR="00D809A0" w:rsidRPr="00A82046" w:rsidRDefault="00D809A0" w:rsidP="00D809A0">
            <w:r w:rsidRPr="00895EE2">
              <w:t>xxxx</w:t>
            </w:r>
          </w:p>
        </w:tc>
        <w:tc>
          <w:tcPr>
            <w:tcW w:w="966" w:type="pct"/>
          </w:tcPr>
          <w:p w14:paraId="1AB7F58B" w14:textId="77777777" w:rsidR="00D809A0" w:rsidRPr="00A82046" w:rsidRDefault="00D809A0" w:rsidP="00D809A0">
            <w:r>
              <w:t>X</w:t>
            </w:r>
          </w:p>
        </w:tc>
      </w:tr>
      <w:tr w:rsidR="00D809A0" w:rsidRPr="00161DA4" w14:paraId="0E91E4A8" w14:textId="77777777" w:rsidTr="003B6051">
        <w:trPr>
          <w:jc w:val="center"/>
        </w:trPr>
        <w:tc>
          <w:tcPr>
            <w:tcW w:w="786" w:type="pct"/>
          </w:tcPr>
          <w:p w14:paraId="08F664E3" w14:textId="77777777" w:rsidR="00D809A0" w:rsidRPr="00A82046" w:rsidRDefault="00D809A0" w:rsidP="00D809A0">
            <w:r w:rsidRPr="00895EE2">
              <w:t>NW</w:t>
            </w:r>
          </w:p>
        </w:tc>
        <w:tc>
          <w:tcPr>
            <w:tcW w:w="1757" w:type="pct"/>
          </w:tcPr>
          <w:p w14:paraId="6F890DE3" w14:textId="77777777" w:rsidR="00D809A0" w:rsidRPr="00A82046" w:rsidRDefault="00D809A0" w:rsidP="00D809A0">
            <w:r w:rsidRPr="00895EE2">
              <w:t>xxxx</w:t>
            </w:r>
          </w:p>
        </w:tc>
        <w:tc>
          <w:tcPr>
            <w:tcW w:w="1492" w:type="pct"/>
          </w:tcPr>
          <w:p w14:paraId="77E6AADB" w14:textId="77777777" w:rsidR="00D809A0" w:rsidRPr="00A82046" w:rsidRDefault="00D809A0" w:rsidP="00D809A0">
            <w:r w:rsidRPr="00895EE2">
              <w:t>xxxx</w:t>
            </w:r>
          </w:p>
        </w:tc>
        <w:tc>
          <w:tcPr>
            <w:tcW w:w="966" w:type="pct"/>
          </w:tcPr>
          <w:p w14:paraId="67359B40" w14:textId="77777777" w:rsidR="00D809A0" w:rsidRPr="00A82046" w:rsidRDefault="00D809A0" w:rsidP="00D809A0">
            <w:r>
              <w:t>X</w:t>
            </w:r>
          </w:p>
        </w:tc>
      </w:tr>
      <w:tr w:rsidR="00D809A0" w:rsidRPr="00161DA4" w14:paraId="4CED38A4" w14:textId="77777777" w:rsidTr="003B6051">
        <w:trPr>
          <w:jc w:val="center"/>
        </w:trPr>
        <w:tc>
          <w:tcPr>
            <w:tcW w:w="786" w:type="pct"/>
          </w:tcPr>
          <w:p w14:paraId="0DFDC4EB" w14:textId="77777777" w:rsidR="00D809A0" w:rsidRPr="00A82046" w:rsidRDefault="00D809A0" w:rsidP="00D809A0">
            <w:r w:rsidRPr="00895EE2">
              <w:t>WM</w:t>
            </w:r>
          </w:p>
        </w:tc>
        <w:tc>
          <w:tcPr>
            <w:tcW w:w="1757" w:type="pct"/>
          </w:tcPr>
          <w:p w14:paraId="5B783493" w14:textId="77777777" w:rsidR="00D809A0" w:rsidRPr="00A82046" w:rsidRDefault="00D809A0" w:rsidP="00D809A0">
            <w:r w:rsidRPr="00895EE2">
              <w:t>xxxx</w:t>
            </w:r>
          </w:p>
        </w:tc>
        <w:tc>
          <w:tcPr>
            <w:tcW w:w="1492" w:type="pct"/>
          </w:tcPr>
          <w:p w14:paraId="2D85D700" w14:textId="77777777" w:rsidR="00D809A0" w:rsidRPr="00A82046" w:rsidRDefault="00D809A0" w:rsidP="00D809A0">
            <w:r w:rsidRPr="00895EE2">
              <w:t>xxxx</w:t>
            </w:r>
          </w:p>
        </w:tc>
        <w:tc>
          <w:tcPr>
            <w:tcW w:w="966" w:type="pct"/>
          </w:tcPr>
          <w:p w14:paraId="0295EE8D" w14:textId="77777777" w:rsidR="00D809A0" w:rsidRPr="00A82046" w:rsidRDefault="00D809A0" w:rsidP="00D809A0">
            <w:r>
              <w:t>X</w:t>
            </w:r>
          </w:p>
        </w:tc>
      </w:tr>
    </w:tbl>
    <w:p w14:paraId="174F8087" w14:textId="61A3284C" w:rsidR="00D809A0" w:rsidRPr="00E44694" w:rsidRDefault="00D809A0" w:rsidP="00D51F4A">
      <w:pPr>
        <w:pStyle w:val="AppendixHeading"/>
      </w:pPr>
    </w:p>
    <w:p w14:paraId="030924CA" w14:textId="4D81F2C7" w:rsidR="00D809A0" w:rsidRPr="00895EE2" w:rsidRDefault="00D809A0" w:rsidP="00A86835">
      <w:pPr>
        <w:pStyle w:val="Caption"/>
      </w:pPr>
      <w:r w:rsidRPr="008E271A">
        <w:t>Unplanned Interruption Overall Mean Duration penalty levels - North London network</w:t>
      </w:r>
      <w:r w:rsidR="00A86835">
        <w:t xml:space="preserve"> for MOB Riser Interruptions</w:t>
      </w:r>
    </w:p>
    <w:tbl>
      <w:tblPr>
        <w:tblStyle w:val="AppendixTable"/>
        <w:tblW w:w="0" w:type="auto"/>
        <w:tblLook w:val="01A0" w:firstRow="1" w:lastRow="0" w:firstColumn="1" w:lastColumn="1" w:noHBand="0" w:noVBand="0"/>
      </w:tblPr>
      <w:tblGrid>
        <w:gridCol w:w="3295"/>
        <w:gridCol w:w="3510"/>
        <w:gridCol w:w="2221"/>
      </w:tblGrid>
      <w:tr w:rsidR="00D809A0" w:rsidRPr="00161DA4" w14:paraId="3906AF99" w14:textId="77777777" w:rsidTr="003B6051">
        <w:trPr>
          <w:cnfStyle w:val="100000000000" w:firstRow="1" w:lastRow="0" w:firstColumn="0" w:lastColumn="0" w:oddVBand="0" w:evenVBand="0" w:oddHBand="0" w:evenHBand="0" w:firstRowFirstColumn="0" w:firstRowLastColumn="0" w:lastRowFirstColumn="0" w:lastRowLastColumn="0"/>
        </w:trPr>
        <w:tc>
          <w:tcPr>
            <w:tcW w:w="0" w:type="auto"/>
          </w:tcPr>
          <w:p w14:paraId="10D4FCE7" w14:textId="77777777" w:rsidR="00D809A0" w:rsidRPr="00A82046" w:rsidRDefault="00D809A0" w:rsidP="00D809A0">
            <w:r>
              <w:t xml:space="preserve">Unplanned Interruptions Minimum Standard Level </w:t>
            </w:r>
          </w:p>
          <w:p w14:paraId="55F6E124" w14:textId="77777777" w:rsidR="00D809A0" w:rsidRPr="00A82046" w:rsidRDefault="00D809A0" w:rsidP="00D809A0">
            <w:r>
              <w:t>(</w:t>
            </w:r>
            <w:r w:rsidRPr="00A82046">
              <w:t>UIMMS)</w:t>
            </w:r>
          </w:p>
        </w:tc>
        <w:tc>
          <w:tcPr>
            <w:tcW w:w="0" w:type="auto"/>
          </w:tcPr>
          <w:p w14:paraId="7B280DE6" w14:textId="77777777" w:rsidR="00D809A0" w:rsidRPr="00A82046" w:rsidRDefault="00D809A0" w:rsidP="00D809A0">
            <w:r>
              <w:t xml:space="preserve">Unplanned Interruptions Excessive Deterioration Level </w:t>
            </w:r>
          </w:p>
          <w:p w14:paraId="4AAA1901" w14:textId="77777777" w:rsidR="00D809A0" w:rsidRPr="00A82046" w:rsidRDefault="00D809A0" w:rsidP="00D809A0">
            <w:r>
              <w:t>(</w:t>
            </w:r>
            <w:r w:rsidRPr="00A82046">
              <w:t>UIMED)</w:t>
            </w:r>
          </w:p>
        </w:tc>
        <w:tc>
          <w:tcPr>
            <w:tcW w:w="0" w:type="auto"/>
          </w:tcPr>
          <w:p w14:paraId="7A8E1D4B" w14:textId="77777777" w:rsidR="00D809A0" w:rsidRPr="00A82046" w:rsidRDefault="00D809A0" w:rsidP="00D809A0">
            <w:r>
              <w:t>Highest Modelled Major Incidents</w:t>
            </w:r>
          </w:p>
        </w:tc>
      </w:tr>
      <w:tr w:rsidR="00D809A0" w:rsidRPr="00161DA4" w14:paraId="598CA072" w14:textId="77777777" w:rsidTr="003B6051">
        <w:tc>
          <w:tcPr>
            <w:tcW w:w="0" w:type="auto"/>
          </w:tcPr>
          <w:p w14:paraId="508B430B" w14:textId="77777777" w:rsidR="00D809A0" w:rsidRPr="00A82046" w:rsidRDefault="00D809A0" w:rsidP="00D809A0">
            <w:r w:rsidRPr="00895EE2">
              <w:t>xxxx</w:t>
            </w:r>
          </w:p>
        </w:tc>
        <w:tc>
          <w:tcPr>
            <w:tcW w:w="0" w:type="auto"/>
          </w:tcPr>
          <w:p w14:paraId="0997DB42" w14:textId="77777777" w:rsidR="00D809A0" w:rsidRPr="00A82046" w:rsidRDefault="00D809A0" w:rsidP="00D809A0">
            <w:r w:rsidRPr="00895EE2">
              <w:t>xxxx</w:t>
            </w:r>
          </w:p>
        </w:tc>
        <w:tc>
          <w:tcPr>
            <w:tcW w:w="0" w:type="auto"/>
          </w:tcPr>
          <w:p w14:paraId="21C339C9" w14:textId="77777777" w:rsidR="00D809A0" w:rsidRPr="00A82046" w:rsidRDefault="00D809A0" w:rsidP="00D809A0">
            <w:r>
              <w:t>x</w:t>
            </w:r>
          </w:p>
        </w:tc>
      </w:tr>
    </w:tbl>
    <w:p w14:paraId="02F419BF" w14:textId="77777777" w:rsidR="00D809A0" w:rsidRPr="00161DA4" w:rsidRDefault="00D809A0" w:rsidP="00D809A0"/>
    <w:p w14:paraId="698C702D" w14:textId="77777777" w:rsidR="00D809A0" w:rsidRDefault="00D809A0" w:rsidP="003B6051">
      <w:pPr>
        <w:pStyle w:val="Caption"/>
      </w:pPr>
      <w:r>
        <w:lastRenderedPageBreak/>
        <w:t>For All Unplanned Interruptions Other Than MOB Riser Interruptions</w:t>
      </w:r>
    </w:p>
    <w:tbl>
      <w:tblPr>
        <w:tblStyle w:val="AppendixTable"/>
        <w:tblW w:w="0" w:type="auto"/>
        <w:tblLook w:val="01A0" w:firstRow="1" w:lastRow="0" w:firstColumn="1" w:lastColumn="1" w:noHBand="0" w:noVBand="0"/>
      </w:tblPr>
      <w:tblGrid>
        <w:gridCol w:w="3295"/>
        <w:gridCol w:w="3510"/>
        <w:gridCol w:w="2221"/>
      </w:tblGrid>
      <w:tr w:rsidR="00D809A0" w:rsidRPr="00161DA4" w14:paraId="7D4F2692" w14:textId="77777777" w:rsidTr="003B6051">
        <w:trPr>
          <w:cnfStyle w:val="100000000000" w:firstRow="1" w:lastRow="0" w:firstColumn="0" w:lastColumn="0" w:oddVBand="0" w:evenVBand="0" w:oddHBand="0" w:evenHBand="0" w:firstRowFirstColumn="0" w:firstRowLastColumn="0" w:lastRowFirstColumn="0" w:lastRowLastColumn="0"/>
        </w:trPr>
        <w:tc>
          <w:tcPr>
            <w:tcW w:w="0" w:type="auto"/>
          </w:tcPr>
          <w:p w14:paraId="7D2B4342" w14:textId="77777777" w:rsidR="00D809A0" w:rsidRPr="00A82046" w:rsidRDefault="00D809A0" w:rsidP="00D809A0">
            <w:r>
              <w:t xml:space="preserve">Unplanned Interruptions Minimum Standard Level </w:t>
            </w:r>
          </w:p>
          <w:p w14:paraId="7FC029B8" w14:textId="77777777" w:rsidR="00D809A0" w:rsidRPr="00A82046" w:rsidRDefault="00D809A0" w:rsidP="00D809A0">
            <w:r>
              <w:t>(</w:t>
            </w:r>
            <w:r w:rsidRPr="00A82046">
              <w:t>UIMMS)</w:t>
            </w:r>
          </w:p>
        </w:tc>
        <w:tc>
          <w:tcPr>
            <w:tcW w:w="0" w:type="auto"/>
          </w:tcPr>
          <w:p w14:paraId="0A0D63AB" w14:textId="77777777" w:rsidR="00D809A0" w:rsidRPr="00A82046" w:rsidRDefault="00D809A0" w:rsidP="00D809A0">
            <w:r>
              <w:t xml:space="preserve">Unplanned Interruptions Excessive Deterioration Level </w:t>
            </w:r>
          </w:p>
          <w:p w14:paraId="3EB55948" w14:textId="77777777" w:rsidR="00D809A0" w:rsidRPr="00A82046" w:rsidRDefault="00D809A0" w:rsidP="00D809A0">
            <w:r>
              <w:t>(</w:t>
            </w:r>
            <w:r w:rsidRPr="00A82046">
              <w:t>UIMED)</w:t>
            </w:r>
          </w:p>
        </w:tc>
        <w:tc>
          <w:tcPr>
            <w:tcW w:w="0" w:type="auto"/>
          </w:tcPr>
          <w:p w14:paraId="4E2F07E8" w14:textId="77777777" w:rsidR="00D809A0" w:rsidRPr="00A82046" w:rsidRDefault="00D809A0" w:rsidP="00D809A0">
            <w:r>
              <w:t>Highest Modelled Major Incidents</w:t>
            </w:r>
          </w:p>
        </w:tc>
      </w:tr>
      <w:tr w:rsidR="00D809A0" w:rsidRPr="00161DA4" w14:paraId="0183BF77" w14:textId="77777777" w:rsidTr="003B6051">
        <w:tc>
          <w:tcPr>
            <w:tcW w:w="0" w:type="auto"/>
          </w:tcPr>
          <w:p w14:paraId="6087A054" w14:textId="77777777" w:rsidR="00D809A0" w:rsidRPr="00A82046" w:rsidRDefault="00D809A0" w:rsidP="00D809A0">
            <w:r>
              <w:t>x</w:t>
            </w:r>
            <w:r w:rsidRPr="00A82046">
              <w:t>xxx</w:t>
            </w:r>
          </w:p>
        </w:tc>
        <w:tc>
          <w:tcPr>
            <w:tcW w:w="0" w:type="auto"/>
          </w:tcPr>
          <w:p w14:paraId="4E1EA8EE" w14:textId="77777777" w:rsidR="00D809A0" w:rsidRPr="00A82046" w:rsidRDefault="00D809A0" w:rsidP="00D809A0">
            <w:r w:rsidRPr="00895EE2">
              <w:t>xxxx</w:t>
            </w:r>
          </w:p>
        </w:tc>
        <w:tc>
          <w:tcPr>
            <w:tcW w:w="0" w:type="auto"/>
          </w:tcPr>
          <w:p w14:paraId="09439A51" w14:textId="77777777" w:rsidR="00D809A0" w:rsidRPr="00A82046" w:rsidRDefault="00D809A0" w:rsidP="00D809A0">
            <w:r>
              <w:t>x</w:t>
            </w:r>
          </w:p>
        </w:tc>
      </w:tr>
    </w:tbl>
    <w:p w14:paraId="28DD019A" w14:textId="77777777" w:rsidR="00DA4085" w:rsidRPr="00DA4085" w:rsidRDefault="00DA4085" w:rsidP="004E1E8E">
      <w:bookmarkStart w:id="133" w:name="_Toc51783671"/>
    </w:p>
    <w:p w14:paraId="6D1F00DE" w14:textId="77777777" w:rsidR="00D809A0" w:rsidRDefault="00D809A0" w:rsidP="00D51F4A">
      <w:pPr>
        <w:pStyle w:val="Heading1"/>
        <w:numPr>
          <w:ilvl w:val="0"/>
          <w:numId w:val="7"/>
        </w:numPr>
      </w:pPr>
      <w:bookmarkStart w:id="134" w:name="_Toc51783675"/>
      <w:bookmarkStart w:id="135" w:name="_Toc52364571"/>
      <w:bookmarkEnd w:id="133"/>
      <w:r w:rsidRPr="007C287B">
        <w:lastRenderedPageBreak/>
        <w:t>Innovation</w:t>
      </w:r>
      <w:bookmarkEnd w:id="134"/>
      <w:bookmarkEnd w:id="135"/>
    </w:p>
    <w:p w14:paraId="65A27C99" w14:textId="77777777" w:rsidR="00D809A0" w:rsidRDefault="00D809A0" w:rsidP="00D51F4A">
      <w:pPr>
        <w:pStyle w:val="Heading2"/>
        <w:numPr>
          <w:ilvl w:val="1"/>
          <w:numId w:val="7"/>
        </w:numPr>
      </w:pPr>
      <w:bookmarkStart w:id="136" w:name="_Toc51783676"/>
      <w:bookmarkStart w:id="137" w:name="_Toc52364572"/>
      <w:r>
        <w:t>Total innovation allowance</w:t>
      </w:r>
      <w:bookmarkEnd w:id="136"/>
      <w:bookmarkEnd w:id="137"/>
    </w:p>
    <w:p w14:paraId="2592E8A1" w14:textId="77777777" w:rsidR="00D809A0" w:rsidRDefault="00D809A0" w:rsidP="00D51F4A">
      <w:pPr>
        <w:pStyle w:val="Heading3"/>
        <w:numPr>
          <w:ilvl w:val="5"/>
          <w:numId w:val="7"/>
        </w:numPr>
      </w:pPr>
      <w:r>
        <w:t>Introduction</w:t>
      </w:r>
    </w:p>
    <w:p w14:paraId="0FF3234F" w14:textId="32A73A2D" w:rsidR="00D809A0" w:rsidRDefault="00D809A0" w:rsidP="00D51F4A">
      <w:pPr>
        <w:pStyle w:val="NumberedNormal"/>
        <w:numPr>
          <w:ilvl w:val="2"/>
          <w:numId w:val="7"/>
        </w:numPr>
      </w:pPr>
      <w:r>
        <w:t>The purpose of this condition is to calculate the term INNV</w:t>
      </w:r>
      <w:r w:rsidRPr="0039702C">
        <w:rPr>
          <w:vertAlign w:val="subscript"/>
        </w:rPr>
        <w:t>t</w:t>
      </w:r>
      <w:r>
        <w:t xml:space="preserve"> (the innovation allowance term). This contributes to the calculation of Calculated Revenues in Special Condition 2.1 (Revenue Restriction).</w:t>
      </w:r>
    </w:p>
    <w:p w14:paraId="7D9E57BA" w14:textId="77777777" w:rsidR="00D809A0" w:rsidRPr="00CD759D" w:rsidRDefault="00D809A0" w:rsidP="00D51F4A">
      <w:pPr>
        <w:pStyle w:val="Heading3"/>
        <w:numPr>
          <w:ilvl w:val="5"/>
          <w:numId w:val="7"/>
        </w:numPr>
      </w:pPr>
      <w:r>
        <w:t>Formula for calculating total innovation allowance</w:t>
      </w:r>
    </w:p>
    <w:p w14:paraId="3E986618" w14:textId="4EE5A5C1" w:rsidR="00D809A0" w:rsidRPr="003C282C" w:rsidRDefault="00D809A0" w:rsidP="00D51F4A">
      <w:pPr>
        <w:pStyle w:val="NumberedNormal"/>
        <w:numPr>
          <w:ilvl w:val="2"/>
          <w:numId w:val="7"/>
        </w:numPr>
      </w:pPr>
      <w:r>
        <w:t>The value of INNV</w:t>
      </w:r>
      <w:r w:rsidRPr="0039702C">
        <w:rPr>
          <w:vertAlign w:val="subscript"/>
        </w:rPr>
        <w:t>t</w:t>
      </w:r>
      <w:r>
        <w:t xml:space="preserve"> is derived in accordance with the following formula:</w:t>
      </w:r>
    </w:p>
    <w:p w14:paraId="7791735E" w14:textId="26B5D731" w:rsidR="00D809A0" w:rsidRDefault="008C7681" w:rsidP="00D809A0">
      <m:oMathPara>
        <m:oMath>
          <m:sSub>
            <m:sSubPr>
              <m:ctrlPr>
                <w:rPr>
                  <w:rFonts w:ascii="Cambria Math" w:hAnsi="Cambria Math"/>
                </w:rPr>
              </m:ctrlPr>
            </m:sSubPr>
            <m:e>
              <m:r>
                <w:rPr>
                  <w:rFonts w:ascii="Cambria Math" w:hAnsi="Cambria Math"/>
                </w:rPr>
                <m:t>INNV</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NIA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CNIA</m:t>
              </m:r>
            </m:e>
            <m:sub>
              <m:r>
                <w:rPr>
                  <w:rFonts w:ascii="Cambria Math" w:hAnsi="Cambria Math"/>
                </w:rPr>
                <m:t>t</m:t>
              </m:r>
            </m:sub>
          </m:sSub>
        </m:oMath>
      </m:oMathPara>
    </w:p>
    <w:p w14:paraId="2203D662" w14:textId="50700C21" w:rsidR="00D809A0" w:rsidRDefault="001D72BF" w:rsidP="00D809A0">
      <w:r>
        <w:tab/>
      </w:r>
      <w:r w:rsidR="00D809A0">
        <w:t>where:</w:t>
      </w:r>
    </w:p>
    <w:tbl>
      <w:tblPr>
        <w:tblStyle w:val="TableGridLight"/>
        <w:tblW w:w="0" w:type="auto"/>
        <w:tblLook w:val="04A0" w:firstRow="1" w:lastRow="0" w:firstColumn="1" w:lastColumn="0" w:noHBand="0" w:noVBand="1"/>
      </w:tblPr>
      <w:tblGrid>
        <w:gridCol w:w="762"/>
        <w:gridCol w:w="5463"/>
      </w:tblGrid>
      <w:tr w:rsidR="00D809A0" w14:paraId="58308F48" w14:textId="77777777" w:rsidTr="007E66BE">
        <w:tc>
          <w:tcPr>
            <w:tcW w:w="0" w:type="auto"/>
          </w:tcPr>
          <w:p w14:paraId="0844438C" w14:textId="233438D4" w:rsidR="00D809A0" w:rsidRPr="007E66BE" w:rsidRDefault="007E66BE" w:rsidP="00D809A0">
            <w:pPr>
              <w:rPr>
                <w:i/>
                <w:iCs/>
              </w:rPr>
            </w:pPr>
            <w:r w:rsidRPr="007E66BE">
              <w:rPr>
                <w:i/>
                <w:iCs/>
              </w:rPr>
              <w:t>NIA</w:t>
            </w:r>
            <w:r w:rsidR="00D809A0" w:rsidRPr="007E66BE">
              <w:rPr>
                <w:i/>
                <w:iCs/>
                <w:vertAlign w:val="subscript"/>
              </w:rPr>
              <w:t>t</w:t>
            </w:r>
          </w:p>
        </w:tc>
        <w:tc>
          <w:tcPr>
            <w:tcW w:w="0" w:type="auto"/>
          </w:tcPr>
          <w:p w14:paraId="3DE01273" w14:textId="27CAB14A" w:rsidR="00D809A0" w:rsidRPr="003402B7" w:rsidRDefault="00D809A0" w:rsidP="00D809A0">
            <w:r w:rsidRPr="003402B7">
              <w:t xml:space="preserve">is derived in accordance with Special Condition </w:t>
            </w:r>
            <w:r w:rsidR="004C774E">
              <w:t>5.2;</w:t>
            </w:r>
          </w:p>
        </w:tc>
      </w:tr>
      <w:tr w:rsidR="007E66BE" w14:paraId="34117D7C" w14:textId="77777777" w:rsidTr="007E66BE">
        <w:tc>
          <w:tcPr>
            <w:tcW w:w="0" w:type="auto"/>
          </w:tcPr>
          <w:p w14:paraId="59F59E43" w14:textId="7218F8DD" w:rsidR="007E66BE" w:rsidRPr="007E66BE" w:rsidRDefault="007E66BE" w:rsidP="007E66BE">
            <w:pPr>
              <w:rPr>
                <w:i/>
                <w:iCs/>
              </w:rPr>
            </w:pPr>
            <w:r w:rsidRPr="007E66BE">
              <w:rPr>
                <w:i/>
                <w:iCs/>
              </w:rPr>
              <w:t>CNIA</w:t>
            </w:r>
            <w:r w:rsidRPr="007E66BE">
              <w:rPr>
                <w:rStyle w:val="Subscript"/>
                <w:i/>
                <w:iCs/>
              </w:rPr>
              <w:t>t</w:t>
            </w:r>
          </w:p>
        </w:tc>
        <w:tc>
          <w:tcPr>
            <w:tcW w:w="0" w:type="auto"/>
          </w:tcPr>
          <w:p w14:paraId="3EC559C4" w14:textId="7C2DF58F" w:rsidR="007E66BE" w:rsidRPr="007E66BE" w:rsidRDefault="007E66BE" w:rsidP="007E66BE">
            <w:r w:rsidRPr="007E66BE">
              <w:t xml:space="preserve">is derived in accordance with Special Condition </w:t>
            </w:r>
            <w:r w:rsidR="004C774E">
              <w:t>5.3.</w:t>
            </w:r>
          </w:p>
        </w:tc>
      </w:tr>
    </w:tbl>
    <w:p w14:paraId="4C1EC6DD" w14:textId="39A6CBCF" w:rsidR="00D809A0" w:rsidRPr="003402B7" w:rsidRDefault="00D809A0" w:rsidP="00D51F4A">
      <w:pPr>
        <w:pStyle w:val="Heading2"/>
        <w:numPr>
          <w:ilvl w:val="1"/>
          <w:numId w:val="7"/>
        </w:numPr>
      </w:pPr>
      <w:bookmarkStart w:id="138" w:name="_Toc51783677"/>
      <w:bookmarkStart w:id="139" w:name="_Toc52364573"/>
      <w:r w:rsidRPr="003402B7">
        <w:t>The RIIO-2 Network Innovation Allowance</w:t>
      </w:r>
      <w:r>
        <w:t xml:space="preserve"> (NIA</w:t>
      </w:r>
      <w:r w:rsidRPr="0039702C">
        <w:rPr>
          <w:vertAlign w:val="subscript"/>
        </w:rPr>
        <w:t>t</w:t>
      </w:r>
      <w:r>
        <w:t>)</w:t>
      </w:r>
      <w:bookmarkEnd w:id="138"/>
      <w:bookmarkEnd w:id="139"/>
    </w:p>
    <w:p w14:paraId="53BFF52F" w14:textId="77777777" w:rsidR="00D809A0" w:rsidRPr="003402B7" w:rsidRDefault="00D809A0" w:rsidP="00D809A0">
      <w:pPr>
        <w:pStyle w:val="Heading3nonumbering"/>
      </w:pPr>
      <w:r w:rsidRPr="003402B7">
        <w:t>Introduction</w:t>
      </w:r>
    </w:p>
    <w:p w14:paraId="062DF14E" w14:textId="53B0698E" w:rsidR="00D809A0" w:rsidRPr="003402B7" w:rsidRDefault="00D809A0" w:rsidP="00D51F4A">
      <w:pPr>
        <w:pStyle w:val="NumberedNormal"/>
        <w:numPr>
          <w:ilvl w:val="2"/>
          <w:numId w:val="7"/>
        </w:numPr>
      </w:pPr>
      <w:r>
        <w:t xml:space="preserve">The purpose of this condition is to calculate </w:t>
      </w:r>
      <w:r w:rsidR="00697163">
        <w:t xml:space="preserve">term </w:t>
      </w:r>
      <w:r>
        <w:t>NIA</w:t>
      </w:r>
      <w:r w:rsidRPr="0039702C">
        <w:rPr>
          <w:vertAlign w:val="subscript"/>
        </w:rPr>
        <w:t>t</w:t>
      </w:r>
      <w:r>
        <w:t xml:space="preserve"> (the Network Innovation Allowance term). This contributes to the calculation of the term INNVt (the innovation term), which in turn feeds into Calculated Revenue in Special Condition 2.1 (Revenue Restriction).</w:t>
      </w:r>
    </w:p>
    <w:p w14:paraId="2B8F0006" w14:textId="77777777" w:rsidR="00D809A0" w:rsidRPr="003402B7" w:rsidRDefault="00D809A0" w:rsidP="00D51F4A">
      <w:pPr>
        <w:pStyle w:val="NumberedNormal"/>
        <w:numPr>
          <w:ilvl w:val="2"/>
          <w:numId w:val="7"/>
        </w:numPr>
      </w:pPr>
      <w:r>
        <w:t>The effect of this condition is to fund investment in innovation by means of the NIA.</w:t>
      </w:r>
    </w:p>
    <w:p w14:paraId="2800B2FC" w14:textId="77777777" w:rsidR="00D809A0" w:rsidRPr="003402B7" w:rsidRDefault="00D809A0" w:rsidP="00D51F4A">
      <w:pPr>
        <w:pStyle w:val="NumberedNormal"/>
        <w:numPr>
          <w:ilvl w:val="2"/>
          <w:numId w:val="7"/>
        </w:numPr>
      </w:pPr>
      <w:r>
        <w:t>This condition also establishes a framework for the governance and administration of the NIA.</w:t>
      </w:r>
    </w:p>
    <w:p w14:paraId="3DDF27FE" w14:textId="3C985FFA" w:rsidR="00D809A0" w:rsidRPr="003402B7" w:rsidRDefault="00310B62" w:rsidP="00D51F4A">
      <w:pPr>
        <w:pStyle w:val="Heading3"/>
        <w:numPr>
          <w:ilvl w:val="5"/>
          <w:numId w:val="7"/>
        </w:numPr>
      </w:pPr>
      <w:r>
        <w:t>Formula for calculating</w:t>
      </w:r>
      <w:r w:rsidR="00D809A0">
        <w:t xml:space="preserve"> the Network Innovation Allowance</w:t>
      </w:r>
      <w:r>
        <w:t xml:space="preserve"> term (NIA</w:t>
      </w:r>
      <w:r w:rsidRPr="00310B62">
        <w:rPr>
          <w:vertAlign w:val="subscript"/>
        </w:rPr>
        <w:t>t</w:t>
      </w:r>
      <w:r>
        <w:t>)</w:t>
      </w:r>
      <w:r w:rsidR="00D809A0">
        <w:t xml:space="preserve"> </w:t>
      </w:r>
    </w:p>
    <w:p w14:paraId="350E08D3" w14:textId="08B96373" w:rsidR="00D809A0" w:rsidRPr="003402B7" w:rsidRDefault="00D809A0" w:rsidP="00D51F4A">
      <w:pPr>
        <w:pStyle w:val="NumberedNormal"/>
        <w:numPr>
          <w:ilvl w:val="2"/>
          <w:numId w:val="7"/>
        </w:numPr>
      </w:pPr>
      <w:r>
        <w:t>The value of the NIA</w:t>
      </w:r>
      <w:r w:rsidRPr="0039702C">
        <w:rPr>
          <w:vertAlign w:val="subscript"/>
        </w:rPr>
        <w:t>t</w:t>
      </w:r>
      <w:r>
        <w:t xml:space="preserve"> term is the total Allowable NIA Expenditure incurred by the licensee, subject to the following limit: </w:t>
      </w:r>
    </w:p>
    <w:p w14:paraId="7675606A" w14:textId="77777777" w:rsidR="00D809A0" w:rsidRPr="003402B7" w:rsidRDefault="008C7681" w:rsidP="00D809A0">
      <m:oMathPara>
        <m:oMath>
          <m:nary>
            <m:naryPr>
              <m:chr m:val="∑"/>
              <m:limLoc m:val="undOvr"/>
              <m:ctrlPr>
                <w:rPr>
                  <w:rFonts w:ascii="Cambria Math" w:hAnsi="Cambria Math"/>
                </w:rPr>
              </m:ctrlPr>
            </m:naryPr>
            <m:sub>
              <m:r>
                <w:rPr>
                  <w:rFonts w:ascii="Cambria Math" w:hAnsi="Cambria Math"/>
                </w:rPr>
                <m:t>t=2021/22</m:t>
              </m:r>
            </m:sub>
            <m:sup>
              <m:r>
                <w:rPr>
                  <w:rFonts w:ascii="Cambria Math" w:hAnsi="Cambria Math"/>
                </w:rPr>
                <m:t>2025/26</m:t>
              </m:r>
            </m:sup>
            <m:e>
              <m:d>
                <m:dPr>
                  <m:ctrlPr>
                    <w:rPr>
                      <w:rFonts w:ascii="Cambria Math" w:hAnsi="Cambria Math"/>
                    </w:rPr>
                  </m:ctrlPr>
                </m:dPr>
                <m:e>
                  <m:sSub>
                    <m:sSubPr>
                      <m:ctrlPr>
                        <w:rPr>
                          <w:rFonts w:ascii="Cambria Math" w:hAnsi="Cambria Math"/>
                        </w:rPr>
                      </m:ctrlPr>
                    </m:sSubPr>
                    <m:e>
                      <m:r>
                        <w:rPr>
                          <w:rFonts w:ascii="Cambria Math" w:hAnsi="Cambria Math"/>
                        </w:rPr>
                        <m:t>NIA</m:t>
                      </m:r>
                    </m:e>
                    <m:sub>
                      <m:r>
                        <w:rPr>
                          <w:rFonts w:ascii="Cambria Math" w:hAnsi="Cambria Math"/>
                        </w:rPr>
                        <m:t>t</m:t>
                      </m:r>
                    </m:sub>
                  </m:sSub>
                </m:e>
              </m:d>
            </m:e>
          </m:nary>
          <m:r>
            <w:rPr>
              <w:rFonts w:ascii="Cambria Math" w:hAnsi="Cambria Math"/>
            </w:rPr>
            <m:t>≤£X,000,000</m:t>
          </m:r>
        </m:oMath>
      </m:oMathPara>
    </w:p>
    <w:p w14:paraId="1000B394" w14:textId="77777777" w:rsidR="00D809A0" w:rsidRPr="003402B7" w:rsidRDefault="00D809A0" w:rsidP="00D51F4A">
      <w:pPr>
        <w:pStyle w:val="Heading3"/>
        <w:numPr>
          <w:ilvl w:val="5"/>
          <w:numId w:val="7"/>
        </w:numPr>
      </w:pPr>
      <w:r>
        <w:t xml:space="preserve">The RIIO-2 NIA Governance Document </w:t>
      </w:r>
    </w:p>
    <w:p w14:paraId="05F5EBFE" w14:textId="52C57C50" w:rsidR="00D809A0" w:rsidRPr="003402B7" w:rsidRDefault="00D809A0" w:rsidP="00D51F4A">
      <w:pPr>
        <w:pStyle w:val="NumberedNormal"/>
        <w:numPr>
          <w:ilvl w:val="2"/>
          <w:numId w:val="7"/>
        </w:numPr>
      </w:pPr>
      <w:r>
        <w:t>The licensee must comply with the RIIO-2 NIA Governance Document.</w:t>
      </w:r>
    </w:p>
    <w:p w14:paraId="466B1DBB" w14:textId="77777777" w:rsidR="00D809A0" w:rsidRPr="003402B7" w:rsidRDefault="00D809A0" w:rsidP="00D51F4A">
      <w:pPr>
        <w:pStyle w:val="NumberedNormal"/>
        <w:numPr>
          <w:ilvl w:val="2"/>
          <w:numId w:val="7"/>
        </w:numPr>
      </w:pPr>
      <w:r>
        <w:t xml:space="preserve">The Authority will issue and amend the RIIO-2 NIA Governance Document by direction. </w:t>
      </w:r>
    </w:p>
    <w:p w14:paraId="16605A17" w14:textId="77777777" w:rsidR="00D809A0" w:rsidRPr="003402B7" w:rsidRDefault="00D809A0" w:rsidP="00D51F4A">
      <w:pPr>
        <w:pStyle w:val="NumberedNormal"/>
        <w:numPr>
          <w:ilvl w:val="2"/>
          <w:numId w:val="7"/>
        </w:numPr>
      </w:pPr>
      <w:r>
        <w:lastRenderedPageBreak/>
        <w:t>The Authority will publish the RIIO-2 NIA Governance Document on the Authority’s Website.</w:t>
      </w:r>
    </w:p>
    <w:p w14:paraId="096CDEF4" w14:textId="1DEF87A1" w:rsidR="00D809A0" w:rsidRPr="003402B7" w:rsidRDefault="00D809A0" w:rsidP="00D51F4A">
      <w:pPr>
        <w:pStyle w:val="NumberedNormal"/>
        <w:numPr>
          <w:ilvl w:val="2"/>
          <w:numId w:val="7"/>
        </w:numPr>
      </w:pPr>
      <w:r>
        <w:t>The RIIO-2 NIA Governance Document will make provision about the governance and administration of the NIA, including:</w:t>
      </w:r>
    </w:p>
    <w:p w14:paraId="30B1EBC4" w14:textId="7D3EDEA1" w:rsidR="00D809A0" w:rsidRPr="003402B7" w:rsidRDefault="00D809A0" w:rsidP="00D51F4A">
      <w:pPr>
        <w:pStyle w:val="ListNormal"/>
        <w:numPr>
          <w:ilvl w:val="3"/>
          <w:numId w:val="7"/>
        </w:numPr>
      </w:pPr>
      <w:r>
        <w:t>the definition of Allowable NIA Expenditure and Unrecoverable NIA Expenditure;</w:t>
      </w:r>
    </w:p>
    <w:p w14:paraId="34AE8FBA" w14:textId="60FBC16E" w:rsidR="00D809A0" w:rsidRPr="003402B7" w:rsidRDefault="00D809A0" w:rsidP="00D51F4A">
      <w:pPr>
        <w:pStyle w:val="ListNormal"/>
        <w:numPr>
          <w:ilvl w:val="3"/>
          <w:numId w:val="7"/>
        </w:numPr>
      </w:pPr>
      <w:r>
        <w:t xml:space="preserve">the eligibility criteria, which RIIO-2 NIA Projects must meet; </w:t>
      </w:r>
    </w:p>
    <w:p w14:paraId="27CC9E06" w14:textId="77777777" w:rsidR="00D809A0" w:rsidRPr="003402B7" w:rsidRDefault="00D809A0" w:rsidP="00D51F4A">
      <w:pPr>
        <w:pStyle w:val="ListNormal"/>
        <w:numPr>
          <w:ilvl w:val="3"/>
          <w:numId w:val="7"/>
        </w:numPr>
      </w:pPr>
      <w:r>
        <w:t>the information that is to be published by the licensee before RIIO-2 NIA Projects can begin;</w:t>
      </w:r>
    </w:p>
    <w:p w14:paraId="6FD722A5" w14:textId="06E678BB" w:rsidR="00D809A0" w:rsidRPr="003402B7" w:rsidRDefault="00D809A0" w:rsidP="00D51F4A">
      <w:pPr>
        <w:pStyle w:val="ListNormal"/>
        <w:numPr>
          <w:ilvl w:val="3"/>
          <w:numId w:val="7"/>
        </w:numPr>
      </w:pPr>
      <w:r>
        <w:t>the circumstances in which the licensee will require</w:t>
      </w:r>
      <w:r w:rsidR="00EE1AB0">
        <w:t xml:space="preserve"> approval</w:t>
      </w:r>
      <w:r w:rsidR="007D4476">
        <w:t xml:space="preserve"> </w:t>
      </w:r>
      <w:r>
        <w:t>from the Authority before beginning a RIIO-2 NIA Project</w:t>
      </w:r>
      <w:r w:rsidR="00EE1AB0">
        <w:t>, and the processes and procedures for that approval</w:t>
      </w:r>
      <w:r>
        <w:t>;</w:t>
      </w:r>
    </w:p>
    <w:p w14:paraId="112D7ACC" w14:textId="2CCA2456" w:rsidR="00D809A0" w:rsidRPr="003402B7" w:rsidRDefault="00D809A0" w:rsidP="00D51F4A">
      <w:pPr>
        <w:pStyle w:val="ListNormal"/>
        <w:numPr>
          <w:ilvl w:val="3"/>
          <w:numId w:val="7"/>
        </w:numPr>
      </w:pPr>
      <w:r>
        <w:t xml:space="preserve">arrangements for ensuring that learning from RIIO-2 NIA Projects can be captured and disseminated by the licensee to other Gas Transporter </w:t>
      </w:r>
      <w:r w:rsidR="007209A2">
        <w:t>l</w:t>
      </w:r>
      <w:r>
        <w:t>icensees;</w:t>
      </w:r>
    </w:p>
    <w:p w14:paraId="18CCA872" w14:textId="77777777" w:rsidR="00D809A0" w:rsidRPr="003402B7" w:rsidRDefault="00D809A0" w:rsidP="00D51F4A">
      <w:pPr>
        <w:pStyle w:val="ListNormal"/>
        <w:numPr>
          <w:ilvl w:val="3"/>
          <w:numId w:val="7"/>
        </w:numPr>
      </w:pPr>
      <w:r>
        <w:t>the reporting obligations in respect of RIIO-2 NIA Projects (which may include reporting in respect of the funding and the completion of such projects, and the provisions of the RIIO-2 NIA Governance Document); and</w:t>
      </w:r>
    </w:p>
    <w:p w14:paraId="7E66EA10" w14:textId="77777777" w:rsidR="00D809A0" w:rsidRPr="003402B7" w:rsidRDefault="00D809A0" w:rsidP="00D51F4A">
      <w:pPr>
        <w:pStyle w:val="ListNormal"/>
        <w:numPr>
          <w:ilvl w:val="3"/>
          <w:numId w:val="7"/>
        </w:numPr>
      </w:pPr>
      <w:r>
        <w:t>arrangements relating to the treatment of intellectual property rights in respect of RIIO-2 NIA Projects.</w:t>
      </w:r>
    </w:p>
    <w:p w14:paraId="4D2E610C" w14:textId="77777777" w:rsidR="00D809A0" w:rsidRPr="003402B7" w:rsidRDefault="00D809A0" w:rsidP="00D51F4A">
      <w:pPr>
        <w:pStyle w:val="NumberedNormal"/>
        <w:numPr>
          <w:ilvl w:val="2"/>
          <w:numId w:val="7"/>
        </w:numPr>
      </w:pPr>
      <w:r>
        <w:t>Before directing that the RIIO-2 NIA Governance Document comes into effect, the Authority will publish on the Authority’s Website:</w:t>
      </w:r>
    </w:p>
    <w:p w14:paraId="074DDF4E" w14:textId="77777777" w:rsidR="00D809A0" w:rsidRPr="003402B7" w:rsidRDefault="00D809A0" w:rsidP="00D51F4A">
      <w:pPr>
        <w:pStyle w:val="ListNormal"/>
        <w:numPr>
          <w:ilvl w:val="3"/>
          <w:numId w:val="7"/>
        </w:numPr>
      </w:pPr>
      <w:r>
        <w:t>the text of the proposed RIIO-2 NIA Governance Document;</w:t>
      </w:r>
    </w:p>
    <w:p w14:paraId="517C73EC" w14:textId="0932E723" w:rsidR="00D809A0" w:rsidRPr="003402B7" w:rsidRDefault="00D809A0" w:rsidP="00D51F4A">
      <w:pPr>
        <w:pStyle w:val="ListNormal"/>
        <w:numPr>
          <w:ilvl w:val="3"/>
          <w:numId w:val="7"/>
        </w:numPr>
      </w:pPr>
      <w:r>
        <w:t>the date on which the Authority intends the RIIO-2 NIA Governance Document to come into effect; and</w:t>
      </w:r>
    </w:p>
    <w:p w14:paraId="2E78149B" w14:textId="3437369B" w:rsidR="00D809A0" w:rsidRPr="003402B7" w:rsidRDefault="00D809A0" w:rsidP="00D51F4A">
      <w:pPr>
        <w:pStyle w:val="ListNormal"/>
        <w:numPr>
          <w:ilvl w:val="3"/>
          <w:numId w:val="7"/>
        </w:numPr>
      </w:pPr>
      <w:r>
        <w:t xml:space="preserve">a period during which representations may be made on the content of the RIIO-2 NIA Governance Document, which </w:t>
      </w:r>
      <w:r w:rsidR="00DA3550">
        <w:t>will</w:t>
      </w:r>
      <w:r>
        <w:t xml:space="preserve"> not be less than 28 days.</w:t>
      </w:r>
    </w:p>
    <w:p w14:paraId="4FBB390D" w14:textId="77777777" w:rsidR="00D809A0" w:rsidRPr="003402B7" w:rsidRDefault="00D809A0" w:rsidP="00D51F4A">
      <w:pPr>
        <w:pStyle w:val="NumberedNormal"/>
        <w:numPr>
          <w:ilvl w:val="2"/>
          <w:numId w:val="7"/>
        </w:numPr>
      </w:pPr>
      <w:r>
        <w:t xml:space="preserve">Before directing an amendment to the RIIO-2 NIA Governance Document, the Authority will publish on the Authority’s Website: </w:t>
      </w:r>
    </w:p>
    <w:p w14:paraId="5C889125" w14:textId="77777777" w:rsidR="00D809A0" w:rsidRPr="003402B7" w:rsidRDefault="00D809A0" w:rsidP="00D51F4A">
      <w:pPr>
        <w:pStyle w:val="ListNormal"/>
        <w:numPr>
          <w:ilvl w:val="3"/>
          <w:numId w:val="7"/>
        </w:numPr>
      </w:pPr>
      <w:r>
        <w:t>the text of the amended RIIO-2 NIA Governance Document;</w:t>
      </w:r>
    </w:p>
    <w:p w14:paraId="7E352815" w14:textId="77777777" w:rsidR="00D809A0" w:rsidRPr="003402B7" w:rsidRDefault="00D809A0" w:rsidP="00D51F4A">
      <w:pPr>
        <w:pStyle w:val="ListNormal"/>
        <w:numPr>
          <w:ilvl w:val="3"/>
          <w:numId w:val="7"/>
        </w:numPr>
      </w:pPr>
      <w:r>
        <w:t>the date on which the Authority intends the amended RIIO-2 NIA Governance Document to come into effect;</w:t>
      </w:r>
    </w:p>
    <w:p w14:paraId="584FA031" w14:textId="77777777" w:rsidR="00D809A0" w:rsidRPr="003402B7" w:rsidRDefault="00D809A0" w:rsidP="00D51F4A">
      <w:pPr>
        <w:pStyle w:val="ListNormal"/>
        <w:numPr>
          <w:ilvl w:val="3"/>
          <w:numId w:val="7"/>
        </w:numPr>
      </w:pPr>
      <w:r>
        <w:t>the reasons for the amendments to the RIIO-2 NIA Governance Document; and</w:t>
      </w:r>
    </w:p>
    <w:p w14:paraId="01C16DAB" w14:textId="167EB6CA" w:rsidR="00D809A0" w:rsidRPr="003402B7" w:rsidRDefault="00D809A0" w:rsidP="00D51F4A">
      <w:pPr>
        <w:pStyle w:val="ListNormal"/>
        <w:numPr>
          <w:ilvl w:val="3"/>
          <w:numId w:val="7"/>
        </w:numPr>
      </w:pPr>
      <w:r>
        <w:t xml:space="preserve">a period during which representations may be made on the amendments to the RIIO-2 NIA Governance Document, which </w:t>
      </w:r>
      <w:r w:rsidR="00DA3550">
        <w:t>will</w:t>
      </w:r>
      <w:r>
        <w:t xml:space="preserve"> not be less than 28 days.</w:t>
      </w:r>
    </w:p>
    <w:p w14:paraId="7498E1E1" w14:textId="77777777" w:rsidR="00D809A0" w:rsidRPr="003402B7" w:rsidRDefault="00D809A0" w:rsidP="00D51F4A">
      <w:pPr>
        <w:pStyle w:val="Heading2"/>
        <w:numPr>
          <w:ilvl w:val="1"/>
          <w:numId w:val="7"/>
        </w:numPr>
      </w:pPr>
      <w:bookmarkStart w:id="140" w:name="_Toc51783678"/>
      <w:bookmarkStart w:id="141" w:name="_Toc52364574"/>
      <w:r w:rsidRPr="003402B7">
        <w:lastRenderedPageBreak/>
        <w:t xml:space="preserve">Carry-over RIIO-1 Network Innovation Allowance </w:t>
      </w:r>
      <w:r>
        <w:t>(CNIA</w:t>
      </w:r>
      <w:r w:rsidRPr="009965B9">
        <w:rPr>
          <w:vertAlign w:val="subscript"/>
        </w:rPr>
        <w:t>t</w:t>
      </w:r>
      <w:r>
        <w:t>)</w:t>
      </w:r>
      <w:bookmarkEnd w:id="140"/>
      <w:bookmarkEnd w:id="141"/>
    </w:p>
    <w:p w14:paraId="281E6DC0" w14:textId="77777777" w:rsidR="00D809A0" w:rsidRPr="003402B7" w:rsidRDefault="00D809A0" w:rsidP="00D809A0">
      <w:pPr>
        <w:pStyle w:val="Heading3nonumbering"/>
      </w:pPr>
      <w:r w:rsidRPr="003402B7">
        <w:t xml:space="preserve">Introduction </w:t>
      </w:r>
    </w:p>
    <w:p w14:paraId="326536A4" w14:textId="61319879" w:rsidR="00D809A0" w:rsidRPr="003402B7" w:rsidRDefault="00D809A0" w:rsidP="00D51F4A">
      <w:pPr>
        <w:pStyle w:val="NumberedNormal"/>
        <w:numPr>
          <w:ilvl w:val="2"/>
          <w:numId w:val="7"/>
        </w:numPr>
      </w:pPr>
      <w:r>
        <w:t xml:space="preserve">The purpose of this condition is to calculate the term CNIAt (the Carry-over Network Innovation Allowance term). This contributes to the calculation of the term INNVt (the innovation term), which in turn feeds into Calculated Revenue in Special Condition 2.1 (Revenue Restriction). </w:t>
      </w:r>
    </w:p>
    <w:p w14:paraId="6FEE0DE3" w14:textId="35387CC4" w:rsidR="00D809A0" w:rsidRPr="003402B7" w:rsidRDefault="00D809A0" w:rsidP="00D51F4A">
      <w:pPr>
        <w:pStyle w:val="NumberedNormal"/>
        <w:numPr>
          <w:ilvl w:val="2"/>
          <w:numId w:val="7"/>
        </w:numPr>
      </w:pPr>
      <w:r>
        <w:t xml:space="preserve">The effect of this condition is to extend RIIO-1 Network Innovation Allowance funding. </w:t>
      </w:r>
    </w:p>
    <w:p w14:paraId="1A97B547" w14:textId="531742F1" w:rsidR="00D809A0" w:rsidRPr="003402B7" w:rsidRDefault="00D809A0" w:rsidP="00D51F4A">
      <w:pPr>
        <w:pStyle w:val="NumberedNormal"/>
        <w:numPr>
          <w:ilvl w:val="2"/>
          <w:numId w:val="7"/>
        </w:numPr>
      </w:pPr>
      <w:r>
        <w:t xml:space="preserve">This condition also makes appropriate provision for arrangements relating to the regulation, administration and governance of the Carry-over Network Innovation Allowance. </w:t>
      </w:r>
    </w:p>
    <w:p w14:paraId="4912295A" w14:textId="78C1B621" w:rsidR="00D809A0" w:rsidRPr="003402B7" w:rsidRDefault="00310B62" w:rsidP="00D51F4A">
      <w:pPr>
        <w:pStyle w:val="Heading3"/>
        <w:numPr>
          <w:ilvl w:val="5"/>
          <w:numId w:val="7"/>
        </w:numPr>
      </w:pPr>
      <w:r>
        <w:t xml:space="preserve">Formula for calculating the </w:t>
      </w:r>
      <w:r w:rsidR="00D809A0">
        <w:t>Carry-over N</w:t>
      </w:r>
      <w:r w:rsidR="00F074C9">
        <w:t xml:space="preserve">etwork Innovation </w:t>
      </w:r>
      <w:r w:rsidR="00D809A0">
        <w:t>A</w:t>
      </w:r>
      <w:r w:rsidR="00083EFE">
        <w:t>llowance</w:t>
      </w:r>
      <w:r>
        <w:t xml:space="preserve"> term (CNIA</w:t>
      </w:r>
      <w:r w:rsidRPr="00310B62">
        <w:rPr>
          <w:vertAlign w:val="subscript"/>
        </w:rPr>
        <w:t>t</w:t>
      </w:r>
      <w:r>
        <w:t>)</w:t>
      </w:r>
    </w:p>
    <w:p w14:paraId="3C25DB1F" w14:textId="46B3404F" w:rsidR="00D809A0" w:rsidRPr="003402B7" w:rsidRDefault="00D809A0" w:rsidP="00D51F4A">
      <w:pPr>
        <w:pStyle w:val="NumberedNormal"/>
        <w:numPr>
          <w:ilvl w:val="2"/>
          <w:numId w:val="7"/>
        </w:numPr>
      </w:pPr>
      <w:r>
        <w:t xml:space="preserve">For the Regulatory Year commencing on 1 April 2021, the value of CNIA is derived in accordance with the following formula: </w:t>
      </w:r>
    </w:p>
    <w:p w14:paraId="13540B2E" w14:textId="6DD410A0" w:rsidR="00D809A0" w:rsidRPr="003402B7" w:rsidRDefault="008C7681" w:rsidP="00D809A0">
      <m:oMathPara>
        <m:oMath>
          <m:sSub>
            <m:sSubPr>
              <m:ctrlPr>
                <w:rPr>
                  <w:rFonts w:ascii="Cambria Math" w:hAnsi="Cambria Math"/>
                </w:rPr>
              </m:ctrlPr>
            </m:sSubPr>
            <m:e>
              <m:r>
                <w:rPr>
                  <w:rFonts w:ascii="Cambria Math" w:hAnsi="Cambria Math"/>
                </w:rPr>
                <m:t>CNIA</m:t>
              </m:r>
            </m:e>
            <m:sub>
              <m:r>
                <w:rPr>
                  <w:rFonts w:ascii="Cambria Math" w:hAnsi="Cambria Math"/>
                </w:rPr>
                <m:t>t</m:t>
              </m:r>
            </m:sub>
          </m:sSub>
          <m:r>
            <w:rPr>
              <w:rFonts w:ascii="Cambria Math" w:hAnsi="Cambria Math"/>
            </w:rPr>
            <m:t>=</m:t>
          </m:r>
          <m:d>
            <m:dPr>
              <m:ctrlPr>
                <w:rPr>
                  <w:rFonts w:ascii="Cambria Math" w:hAnsi="Cambria Math"/>
                  <w:i/>
                </w:rPr>
              </m:ctrlPr>
            </m:dPr>
            <m:e>
              <m:r>
                <w:rPr>
                  <w:rFonts w:ascii="Cambria Math" w:hAnsi="Cambria Math"/>
                </w:rPr>
                <m:t>0.9∙</m:t>
              </m:r>
              <m:r>
                <m:rPr>
                  <m:nor/>
                </m:rPr>
                <w:rPr>
                  <w:rFonts w:ascii="Cambria Math" w:hAnsi="Cambria Math"/>
                </w:rPr>
                <m:t>min</m:t>
              </m:r>
              <m:d>
                <m:dPr>
                  <m:begChr m:val="["/>
                  <m:endChr m:val="]"/>
                  <m:ctrlPr>
                    <w:rPr>
                      <w:rFonts w:ascii="Cambria Math" w:hAnsi="Cambria Math"/>
                    </w:rPr>
                  </m:ctrlPr>
                </m:dPr>
                <m:e>
                  <m:sSub>
                    <m:sSubPr>
                      <m:ctrlPr>
                        <w:rPr>
                          <w:rFonts w:ascii="Cambria Math" w:hAnsi="Cambria Math"/>
                        </w:rPr>
                      </m:ctrlPr>
                    </m:sSubPr>
                    <m:e>
                      <m:r>
                        <w:rPr>
                          <w:rFonts w:ascii="Cambria Math" w:hAnsi="Cambria Math"/>
                        </w:rPr>
                        <m:t>ECNIA</m:t>
                      </m:r>
                    </m:e>
                    <m:sub>
                      <m:r>
                        <w:rPr>
                          <w:rFonts w:ascii="Cambria Math" w:hAnsi="Cambria Math"/>
                        </w:rPr>
                        <m:t>t</m:t>
                      </m:r>
                    </m:sub>
                  </m:sSub>
                  <m:r>
                    <w:rPr>
                      <w:rFonts w:ascii="Cambria Math" w:hAnsi="Cambria Math"/>
                    </w:rPr>
                    <m:t>,CNIAV</m:t>
                  </m:r>
                </m:e>
              </m:d>
              <m:r>
                <w:rPr>
                  <w:rFonts w:ascii="Cambria Math" w:hAnsi="Cambria Math"/>
                </w:rPr>
                <m:t>-</m:t>
              </m:r>
              <m:sSub>
                <m:sSubPr>
                  <m:ctrlPr>
                    <w:rPr>
                      <w:rFonts w:ascii="Cambria Math" w:hAnsi="Cambria Math"/>
                    </w:rPr>
                  </m:ctrlPr>
                </m:sSubPr>
                <m:e>
                  <m:r>
                    <w:rPr>
                      <w:rFonts w:ascii="Cambria Math" w:hAnsi="Cambria Math"/>
                    </w:rPr>
                    <m:t>CNIAR</m:t>
                  </m:r>
                </m:e>
                <m:sub>
                  <m:r>
                    <w:rPr>
                      <w:rFonts w:ascii="Cambria Math" w:hAnsi="Cambria Math"/>
                    </w:rPr>
                    <m:t>t</m:t>
                  </m:r>
                </m:sub>
              </m:sSub>
            </m:e>
          </m:d>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PI</m:t>
                  </m:r>
                </m:e>
                <m:sub>
                  <m:r>
                    <w:rPr>
                      <w:rFonts w:ascii="Cambria Math" w:eastAsiaTheme="minorEastAsia" w:hAnsi="Cambria Math"/>
                    </w:rPr>
                    <m:t>2018/19</m:t>
                  </m:r>
                </m:sub>
              </m:sSub>
            </m:num>
            <m:den>
              <m:sSub>
                <m:sSubPr>
                  <m:ctrlPr>
                    <w:rPr>
                      <w:rFonts w:ascii="Cambria Math" w:eastAsiaTheme="minorEastAsia" w:hAnsi="Cambria Math"/>
                      <w:i/>
                    </w:rPr>
                  </m:ctrlPr>
                </m:sSubPr>
                <m:e>
                  <m:r>
                    <w:rPr>
                      <w:rFonts w:ascii="Cambria Math" w:eastAsiaTheme="minorEastAsia" w:hAnsi="Cambria Math"/>
                    </w:rPr>
                    <m:t>PI</m:t>
                  </m:r>
                </m:e>
                <m:sub>
                  <m:r>
                    <w:rPr>
                      <w:rFonts w:ascii="Cambria Math" w:eastAsiaTheme="minorEastAsia" w:hAnsi="Cambria Math"/>
                    </w:rPr>
                    <m:t>t</m:t>
                  </m:r>
                </m:sub>
              </m:sSub>
            </m:den>
          </m:f>
        </m:oMath>
      </m:oMathPara>
    </w:p>
    <w:p w14:paraId="1A3DB22A" w14:textId="4256EBD8" w:rsidR="00D809A0" w:rsidRPr="003402B7" w:rsidRDefault="00A25B85" w:rsidP="00D809A0">
      <w:r>
        <w:tab/>
      </w:r>
      <w:r w:rsidR="00D809A0" w:rsidRPr="003402B7">
        <w:t xml:space="preserve">where: </w:t>
      </w:r>
    </w:p>
    <w:tbl>
      <w:tblPr>
        <w:tblStyle w:val="TableGridLight"/>
        <w:tblW w:w="5000" w:type="pct"/>
        <w:tblLook w:val="0000" w:firstRow="0" w:lastRow="0" w:firstColumn="0" w:lastColumn="0" w:noHBand="0" w:noVBand="0"/>
      </w:tblPr>
      <w:tblGrid>
        <w:gridCol w:w="917"/>
        <w:gridCol w:w="8109"/>
      </w:tblGrid>
      <w:tr w:rsidR="00D809A0" w:rsidRPr="00E72EE5" w14:paraId="249FE9BA" w14:textId="77777777" w:rsidTr="00A25B85">
        <w:trPr>
          <w:trHeight w:val="799"/>
        </w:trPr>
        <w:tc>
          <w:tcPr>
            <w:tcW w:w="508" w:type="pct"/>
          </w:tcPr>
          <w:p w14:paraId="4BE8AF8D" w14:textId="77777777" w:rsidR="00D809A0" w:rsidRPr="001D72BF" w:rsidRDefault="00D809A0" w:rsidP="00D809A0">
            <w:pPr>
              <w:rPr>
                <w:i/>
                <w:iCs/>
              </w:rPr>
            </w:pPr>
            <w:r w:rsidRPr="001D72BF">
              <w:rPr>
                <w:i/>
                <w:iCs/>
              </w:rPr>
              <w:t>ECNIA</w:t>
            </w:r>
            <w:r w:rsidRPr="001D72BF">
              <w:rPr>
                <w:i/>
                <w:iCs/>
                <w:vertAlign w:val="subscript"/>
              </w:rPr>
              <w:t>t</w:t>
            </w:r>
            <w:r w:rsidRPr="001D72BF">
              <w:rPr>
                <w:i/>
                <w:iCs/>
              </w:rPr>
              <w:t xml:space="preserve"> </w:t>
            </w:r>
          </w:p>
        </w:tc>
        <w:tc>
          <w:tcPr>
            <w:tcW w:w="4492" w:type="pct"/>
          </w:tcPr>
          <w:p w14:paraId="38A39A33" w14:textId="240B8787" w:rsidR="00D809A0" w:rsidRPr="003402B7" w:rsidRDefault="00D809A0" w:rsidP="00D809A0">
            <w:r w:rsidRPr="003402B7">
              <w:t xml:space="preserve">means the expenditure incurred by the licensee in respect of Eligible CNIA Projects as calculated by the licensee in accordance with the RIIO-1 NIA Governance Document and reported to the Authority in accordance with Standard Special Condition </w:t>
            </w:r>
            <w:r w:rsidR="00523280">
              <w:t>A40</w:t>
            </w:r>
            <w:r w:rsidRPr="003402B7">
              <w:t xml:space="preserve"> (Regulatory Instructions and Guidance)</w:t>
            </w:r>
            <w:r>
              <w:t>;</w:t>
            </w:r>
          </w:p>
          <w:p w14:paraId="775F7888" w14:textId="77777777" w:rsidR="00D809A0" w:rsidRPr="003402B7" w:rsidRDefault="00D809A0" w:rsidP="00D809A0"/>
        </w:tc>
      </w:tr>
      <w:tr w:rsidR="00D809A0" w:rsidRPr="00E72EE5" w14:paraId="46F6FA8D" w14:textId="77777777" w:rsidTr="00A25B85">
        <w:trPr>
          <w:trHeight w:val="385"/>
        </w:trPr>
        <w:tc>
          <w:tcPr>
            <w:tcW w:w="508" w:type="pct"/>
          </w:tcPr>
          <w:p w14:paraId="25D642D6" w14:textId="77777777" w:rsidR="00D809A0" w:rsidRPr="001D72BF" w:rsidRDefault="00D809A0" w:rsidP="00D809A0">
            <w:pPr>
              <w:rPr>
                <w:i/>
                <w:iCs/>
              </w:rPr>
            </w:pPr>
            <w:r w:rsidRPr="001D72BF">
              <w:rPr>
                <w:i/>
                <w:iCs/>
              </w:rPr>
              <w:t xml:space="preserve">CNIAV </w:t>
            </w:r>
          </w:p>
        </w:tc>
        <w:tc>
          <w:tcPr>
            <w:tcW w:w="4492" w:type="pct"/>
          </w:tcPr>
          <w:p w14:paraId="27CEE369" w14:textId="61E0B56E" w:rsidR="00D809A0" w:rsidRPr="003402B7" w:rsidRDefault="00D809A0" w:rsidP="00D809A0">
            <w:r w:rsidRPr="003402B7">
              <w:t>is derived in accordance with Part B</w:t>
            </w:r>
            <w:r>
              <w:t>;</w:t>
            </w:r>
          </w:p>
        </w:tc>
      </w:tr>
      <w:tr w:rsidR="00D809A0" w:rsidRPr="00E72EE5" w14:paraId="13844AA5" w14:textId="77777777" w:rsidTr="00A25B85">
        <w:trPr>
          <w:trHeight w:val="385"/>
        </w:trPr>
        <w:tc>
          <w:tcPr>
            <w:tcW w:w="508" w:type="pct"/>
          </w:tcPr>
          <w:p w14:paraId="0BF6D109" w14:textId="77777777" w:rsidR="00D809A0" w:rsidRPr="001D72BF" w:rsidRDefault="00D809A0" w:rsidP="00D809A0">
            <w:pPr>
              <w:rPr>
                <w:i/>
                <w:iCs/>
              </w:rPr>
            </w:pPr>
            <w:r w:rsidRPr="001D72BF">
              <w:rPr>
                <w:i/>
                <w:iCs/>
              </w:rPr>
              <w:t>CNIAR</w:t>
            </w:r>
          </w:p>
        </w:tc>
        <w:tc>
          <w:tcPr>
            <w:tcW w:w="4492" w:type="pct"/>
          </w:tcPr>
          <w:p w14:paraId="16BE09A2" w14:textId="049D3407" w:rsidR="00D809A0" w:rsidRPr="003402B7" w:rsidRDefault="00D809A0" w:rsidP="00D809A0">
            <w:r w:rsidRPr="003402B7">
              <w:t>means an amount recovered by the licensee in relation to Regulatory Year 2021/22 under the RIIO-1 NIA which the Authority has directed is unrecoverable in accordance with the RIIO-1 NIA Governance Document</w:t>
            </w:r>
            <w:r w:rsidR="00B52F6C">
              <w:t>; and</w:t>
            </w:r>
          </w:p>
        </w:tc>
      </w:tr>
      <w:tr w:rsidR="005E0B3F" w:rsidRPr="00E72EE5" w14:paraId="7C19F6F8" w14:textId="77777777" w:rsidTr="00A25B85">
        <w:trPr>
          <w:trHeight w:val="385"/>
        </w:trPr>
        <w:tc>
          <w:tcPr>
            <w:tcW w:w="508" w:type="pct"/>
          </w:tcPr>
          <w:p w14:paraId="0EC40DCE" w14:textId="4A71A0CD" w:rsidR="005E0B3F" w:rsidRPr="001D72BF" w:rsidRDefault="005E0B3F" w:rsidP="00D809A0">
            <w:pPr>
              <w:rPr>
                <w:i/>
                <w:iCs/>
              </w:rPr>
            </w:pPr>
            <w:r>
              <w:rPr>
                <w:i/>
                <w:iCs/>
              </w:rPr>
              <w:t>PI</w:t>
            </w:r>
            <w:r w:rsidRPr="00CC3B45">
              <w:rPr>
                <w:i/>
                <w:vertAlign w:val="subscript"/>
              </w:rPr>
              <w:t>t</w:t>
            </w:r>
          </w:p>
        </w:tc>
        <w:tc>
          <w:tcPr>
            <w:tcW w:w="4492" w:type="pct"/>
          </w:tcPr>
          <w:p w14:paraId="12525881" w14:textId="1836AD37" w:rsidR="005E0B3F" w:rsidRPr="003402B7" w:rsidRDefault="002B141A" w:rsidP="00D809A0">
            <w:r w:rsidRPr="007E49B6">
              <w:t>is the</w:t>
            </w:r>
            <w:r>
              <w:t xml:space="preserve"> </w:t>
            </w:r>
            <w:r w:rsidRPr="007E49B6">
              <w:t xml:space="preserve">price index </w:t>
            </w:r>
            <w:r>
              <w:t xml:space="preserve">calculated </w:t>
            </w:r>
            <w:r w:rsidRPr="00D74E41">
              <w:t xml:space="preserve">in accordance with </w:t>
            </w:r>
            <w:r>
              <w:t>Part D of Special Condition 2.1.</w:t>
            </w:r>
          </w:p>
        </w:tc>
      </w:tr>
    </w:tbl>
    <w:p w14:paraId="553057A9" w14:textId="77777777" w:rsidR="00D809A0" w:rsidRPr="003402B7" w:rsidRDefault="00D809A0" w:rsidP="00D809A0"/>
    <w:p w14:paraId="3A9FBF51" w14:textId="20B02DCE" w:rsidR="00D809A0" w:rsidRPr="003402B7" w:rsidRDefault="00D809A0" w:rsidP="00D51F4A">
      <w:pPr>
        <w:pStyle w:val="NumberedNormal"/>
        <w:numPr>
          <w:ilvl w:val="2"/>
          <w:numId w:val="7"/>
        </w:numPr>
      </w:pPr>
      <w:r>
        <w:t>For Regulatory Years commencing on or after 1 April 2022, the value of CNIA</w:t>
      </w:r>
      <w:r w:rsidR="00010B21" w:rsidRPr="004E1E8E">
        <w:rPr>
          <w:vertAlign w:val="subscript"/>
        </w:rPr>
        <w:t>t</w:t>
      </w:r>
      <w:r>
        <w:t xml:space="preserve"> is equal to zero.  </w:t>
      </w:r>
    </w:p>
    <w:p w14:paraId="1D7B66DC" w14:textId="2CC8067D" w:rsidR="00D809A0" w:rsidRPr="003402B7" w:rsidRDefault="00D809A0" w:rsidP="00D51F4A">
      <w:pPr>
        <w:pStyle w:val="NumberedNormal"/>
        <w:numPr>
          <w:ilvl w:val="2"/>
          <w:numId w:val="7"/>
        </w:numPr>
      </w:pPr>
      <w:r>
        <w:t xml:space="preserve">Eligible CNIA Internal Expenditure </w:t>
      </w:r>
      <w:r w:rsidR="00A22078">
        <w:t>may not</w:t>
      </w:r>
      <w:r>
        <w:t xml:space="preserve"> exceed 25% of the total Eligible CNIA, unless the Authority consents.</w:t>
      </w:r>
    </w:p>
    <w:p w14:paraId="2225D6FF" w14:textId="1DE195B6" w:rsidR="00D809A0" w:rsidRPr="003402B7" w:rsidRDefault="00310B62" w:rsidP="00D51F4A">
      <w:pPr>
        <w:pStyle w:val="Heading3"/>
        <w:numPr>
          <w:ilvl w:val="5"/>
          <w:numId w:val="7"/>
        </w:numPr>
      </w:pPr>
      <w:r>
        <w:t xml:space="preserve">Formula for calculating </w:t>
      </w:r>
      <w:r w:rsidR="00D809A0">
        <w:t>the Carry-over Network Innovation Allowance</w:t>
      </w:r>
      <w:r w:rsidR="00A22294">
        <w:t xml:space="preserve"> Value</w:t>
      </w:r>
      <w:r w:rsidR="00D809A0">
        <w:t xml:space="preserve"> </w:t>
      </w:r>
      <w:r>
        <w:t xml:space="preserve">term </w:t>
      </w:r>
      <w:r w:rsidR="005F53FC">
        <w:t>term</w:t>
      </w:r>
      <w:r>
        <w:t xml:space="preserve"> (CNIAV)</w:t>
      </w:r>
    </w:p>
    <w:p w14:paraId="20B5BCA5" w14:textId="2010F073" w:rsidR="00D809A0" w:rsidRPr="003402B7" w:rsidRDefault="00D809A0" w:rsidP="00D51F4A">
      <w:pPr>
        <w:pStyle w:val="NumberedNormal"/>
        <w:numPr>
          <w:ilvl w:val="2"/>
          <w:numId w:val="7"/>
        </w:numPr>
      </w:pPr>
      <w:r>
        <w:t>The value of CNIAV is derived in accordance with the following formula:</w:t>
      </w:r>
    </w:p>
    <w:p w14:paraId="7712CEC5" w14:textId="77777777" w:rsidR="00D809A0" w:rsidRPr="003402B7" w:rsidRDefault="00D809A0" w:rsidP="00D809A0">
      <m:oMathPara>
        <m:oMath>
          <m:r>
            <w:rPr>
              <w:rFonts w:ascii="Cambria Math" w:hAnsi="Cambria Math"/>
            </w:rPr>
            <w:lastRenderedPageBreak/>
            <m:t>CNIAV=</m:t>
          </m:r>
          <m:sSub>
            <m:sSubPr>
              <m:ctrlPr>
                <w:rPr>
                  <w:rFonts w:ascii="Cambria Math" w:hAnsi="Cambria Math"/>
                </w:rPr>
              </m:ctrlPr>
            </m:sSubPr>
            <m:e>
              <m:r>
                <w:rPr>
                  <w:rFonts w:ascii="Cambria Math" w:hAnsi="Cambria Math"/>
                </w:rPr>
                <m:t>NIAV</m:t>
              </m:r>
            </m:e>
            <m:sub>
              <m:r>
                <w:rPr>
                  <w:rFonts w:ascii="Cambria Math" w:hAnsi="Cambria Math"/>
                </w:rPr>
                <m:t>2020/21</m:t>
              </m:r>
            </m:sub>
          </m:sSub>
          <m:r>
            <w:rPr>
              <w:rFonts w:ascii="Cambria Math" w:hAnsi="Cambria Math"/>
            </w:rPr>
            <m:t>∙</m:t>
          </m:r>
          <m:sSub>
            <m:sSubPr>
              <m:ctrlPr>
                <w:rPr>
                  <w:rFonts w:ascii="Cambria Math" w:hAnsi="Cambria Math"/>
                </w:rPr>
              </m:ctrlPr>
            </m:sSubPr>
            <m:e>
              <m:r>
                <w:rPr>
                  <w:rFonts w:ascii="Cambria Math" w:hAnsi="Cambria Math"/>
                </w:rPr>
                <m:t>BR</m:t>
              </m:r>
            </m:e>
            <m:sub>
              <m:r>
                <w:rPr>
                  <w:rFonts w:ascii="Cambria Math" w:hAnsi="Cambria Math"/>
                </w:rPr>
                <m:t>2020/21</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ENIA</m:t>
                  </m:r>
                </m:e>
                <m:sub>
                  <m:r>
                    <w:rPr>
                      <w:rFonts w:ascii="Cambria Math" w:hAnsi="Cambria Math"/>
                    </w:rPr>
                    <m:t>2020/21</m:t>
                  </m:r>
                </m:sub>
              </m:sSub>
              <m:r>
                <w:rPr>
                  <w:rFonts w:ascii="Cambria Math" w:hAnsi="Cambria Math"/>
                </w:rPr>
                <m:t>+</m:t>
              </m:r>
              <m:sSub>
                <m:sSubPr>
                  <m:ctrlPr>
                    <w:rPr>
                      <w:rFonts w:ascii="Cambria Math" w:hAnsi="Cambria Math"/>
                    </w:rPr>
                  </m:ctrlPr>
                </m:sSubPr>
                <m:e>
                  <m:r>
                    <w:rPr>
                      <w:rFonts w:ascii="Cambria Math" w:hAnsi="Cambria Math"/>
                    </w:rPr>
                    <m:t>BPC</m:t>
                  </m:r>
                </m:e>
                <m:sub>
                  <m:r>
                    <w:rPr>
                      <w:rFonts w:ascii="Cambria Math" w:hAnsi="Cambria Math"/>
                    </w:rPr>
                    <m:t>2020/21</m:t>
                  </m:r>
                </m:sub>
              </m:sSub>
            </m:e>
          </m:d>
        </m:oMath>
      </m:oMathPara>
    </w:p>
    <w:p w14:paraId="27934AB0" w14:textId="51289EB3" w:rsidR="00D809A0" w:rsidRPr="003402B7" w:rsidRDefault="007B311D" w:rsidP="00D809A0">
      <w:r>
        <w:tab/>
      </w:r>
      <w:r w:rsidR="00D809A0" w:rsidRPr="003402B7">
        <w:t>where:</w:t>
      </w:r>
    </w:p>
    <w:tbl>
      <w:tblPr>
        <w:tblStyle w:val="TableGridLight"/>
        <w:tblW w:w="0" w:type="auto"/>
        <w:tblLook w:val="04A0" w:firstRow="1" w:lastRow="0" w:firstColumn="1" w:lastColumn="0" w:noHBand="0" w:noVBand="1"/>
      </w:tblPr>
      <w:tblGrid>
        <w:gridCol w:w="1969"/>
        <w:gridCol w:w="6327"/>
      </w:tblGrid>
      <w:tr w:rsidR="00D809A0" w:rsidRPr="00E72EE5" w14:paraId="196DEA1C" w14:textId="77777777" w:rsidTr="007B311D">
        <w:tc>
          <w:tcPr>
            <w:tcW w:w="1969" w:type="dxa"/>
          </w:tcPr>
          <w:p w14:paraId="58A503CC" w14:textId="77777777" w:rsidR="00D809A0" w:rsidRPr="007B311D" w:rsidRDefault="00D809A0" w:rsidP="00D809A0">
            <w:pPr>
              <w:rPr>
                <w:i/>
                <w:iCs/>
              </w:rPr>
            </w:pPr>
            <w:r w:rsidRPr="007B311D">
              <w:rPr>
                <w:i/>
                <w:iCs/>
              </w:rPr>
              <w:t>NIAV</w:t>
            </w:r>
            <w:r w:rsidRPr="007B311D">
              <w:rPr>
                <w:i/>
                <w:iCs/>
                <w:vertAlign w:val="subscript"/>
              </w:rPr>
              <w:t>2020/21</w:t>
            </w:r>
          </w:p>
        </w:tc>
        <w:tc>
          <w:tcPr>
            <w:tcW w:w="6327" w:type="dxa"/>
          </w:tcPr>
          <w:p w14:paraId="4D8F9C59" w14:textId="44E52ADE" w:rsidR="00D809A0" w:rsidRPr="003402B7" w:rsidRDefault="00D809A0" w:rsidP="00D809A0">
            <w:r w:rsidRPr="003402B7">
              <w:t>is calculated in accordance with Part B of Special Condition 1H (The Network Innovation Allowance) of this licence as in force on 31 March 2021</w:t>
            </w:r>
            <w:r>
              <w:t>;</w:t>
            </w:r>
          </w:p>
        </w:tc>
      </w:tr>
      <w:tr w:rsidR="00D809A0" w:rsidRPr="00E72EE5" w14:paraId="170B2E2D" w14:textId="77777777" w:rsidTr="007B311D">
        <w:tc>
          <w:tcPr>
            <w:tcW w:w="1969" w:type="dxa"/>
          </w:tcPr>
          <w:p w14:paraId="28BAFD9A" w14:textId="77777777" w:rsidR="00D809A0" w:rsidRPr="007B311D" w:rsidRDefault="00D809A0" w:rsidP="00D809A0">
            <w:pPr>
              <w:rPr>
                <w:i/>
                <w:iCs/>
              </w:rPr>
            </w:pPr>
            <w:r w:rsidRPr="007B311D">
              <w:rPr>
                <w:i/>
                <w:iCs/>
              </w:rPr>
              <w:t>BR</w:t>
            </w:r>
            <w:r w:rsidRPr="007B311D">
              <w:rPr>
                <w:i/>
                <w:iCs/>
                <w:vertAlign w:val="subscript"/>
              </w:rPr>
              <w:t>2020/21</w:t>
            </w:r>
          </w:p>
        </w:tc>
        <w:tc>
          <w:tcPr>
            <w:tcW w:w="6327" w:type="dxa"/>
          </w:tcPr>
          <w:p w14:paraId="289FD716" w14:textId="26AA5E3E" w:rsidR="00D809A0" w:rsidRPr="003402B7" w:rsidRDefault="00D809A0" w:rsidP="00D809A0">
            <w:r w:rsidRPr="003402B7">
              <w:t>is calculated in accordance with Part B of Special Condition 1H (The Network Innovation Allowance) of this licence as in force on 31 March 2021</w:t>
            </w:r>
            <w:r>
              <w:t>;</w:t>
            </w:r>
          </w:p>
        </w:tc>
      </w:tr>
      <w:tr w:rsidR="00D809A0" w:rsidRPr="00E72EE5" w14:paraId="4A60E545" w14:textId="77777777" w:rsidTr="007B311D">
        <w:tc>
          <w:tcPr>
            <w:tcW w:w="1969" w:type="dxa"/>
          </w:tcPr>
          <w:p w14:paraId="22F73D41" w14:textId="77777777" w:rsidR="00D809A0" w:rsidRPr="007B311D" w:rsidRDefault="00D809A0" w:rsidP="00D809A0">
            <w:pPr>
              <w:rPr>
                <w:i/>
                <w:iCs/>
              </w:rPr>
            </w:pPr>
            <w:r w:rsidRPr="007B311D">
              <w:rPr>
                <w:i/>
                <w:iCs/>
              </w:rPr>
              <w:t>ENIA</w:t>
            </w:r>
            <w:r w:rsidRPr="007B311D">
              <w:rPr>
                <w:i/>
                <w:iCs/>
                <w:vertAlign w:val="subscript"/>
              </w:rPr>
              <w:t>2020/21</w:t>
            </w:r>
          </w:p>
        </w:tc>
        <w:tc>
          <w:tcPr>
            <w:tcW w:w="6327" w:type="dxa"/>
          </w:tcPr>
          <w:p w14:paraId="01F5B657" w14:textId="70EE30F6" w:rsidR="00D809A0" w:rsidRPr="003402B7" w:rsidRDefault="00D809A0" w:rsidP="00D809A0">
            <w:r w:rsidRPr="003402B7">
              <w:t>is calculated in accordance with Part B of Special Condition 1H (The Network Innovation Allowance) of this licence as in force on 31 March 2021</w:t>
            </w:r>
            <w:r>
              <w:t>; and</w:t>
            </w:r>
          </w:p>
        </w:tc>
      </w:tr>
      <w:tr w:rsidR="00D809A0" w:rsidRPr="00E72EE5" w14:paraId="4785FEE3" w14:textId="77777777" w:rsidTr="007B311D">
        <w:tc>
          <w:tcPr>
            <w:tcW w:w="1969" w:type="dxa"/>
          </w:tcPr>
          <w:p w14:paraId="024874B8" w14:textId="77777777" w:rsidR="00D809A0" w:rsidRPr="007B311D" w:rsidRDefault="00D809A0" w:rsidP="00D809A0">
            <w:pPr>
              <w:rPr>
                <w:i/>
                <w:iCs/>
              </w:rPr>
            </w:pPr>
            <w:r w:rsidRPr="007B311D">
              <w:rPr>
                <w:i/>
                <w:iCs/>
              </w:rPr>
              <w:t>BPC</w:t>
            </w:r>
            <w:r w:rsidRPr="007B311D">
              <w:rPr>
                <w:i/>
                <w:iCs/>
                <w:vertAlign w:val="subscript"/>
              </w:rPr>
              <w:t>2020/21</w:t>
            </w:r>
          </w:p>
        </w:tc>
        <w:tc>
          <w:tcPr>
            <w:tcW w:w="6327" w:type="dxa"/>
          </w:tcPr>
          <w:p w14:paraId="30B2697F" w14:textId="77777777" w:rsidR="00D809A0" w:rsidRPr="003402B7" w:rsidRDefault="00D809A0" w:rsidP="00D809A0">
            <w:r w:rsidRPr="003402B7">
              <w:t>is calculated in accordance with Part B of Special Condition 1H (The Network Innovation Allowance) of this licence as in force on 31 March 2021.</w:t>
            </w:r>
          </w:p>
        </w:tc>
      </w:tr>
    </w:tbl>
    <w:p w14:paraId="057A6546" w14:textId="77777777" w:rsidR="00D809A0" w:rsidRPr="003402B7" w:rsidRDefault="00D809A0" w:rsidP="00D51F4A">
      <w:pPr>
        <w:pStyle w:val="Heading3"/>
        <w:numPr>
          <w:ilvl w:val="5"/>
          <w:numId w:val="7"/>
        </w:numPr>
      </w:pPr>
      <w:r>
        <w:t>The RIIO-1 NIA Governance Document</w:t>
      </w:r>
    </w:p>
    <w:p w14:paraId="438BD505" w14:textId="77777777" w:rsidR="00D809A0" w:rsidRPr="007C04E1" w:rsidRDefault="00D809A0" w:rsidP="00D809A0">
      <w:pPr>
        <w:pStyle w:val="NumberedNormal"/>
      </w:pPr>
      <w:r>
        <w:t xml:space="preserve">The licensee must comply with the RIIO-1 NIA Governance Document. </w:t>
      </w:r>
    </w:p>
    <w:p w14:paraId="6677E932" w14:textId="77777777" w:rsidR="00D809A0" w:rsidRPr="003402B7" w:rsidRDefault="00D809A0" w:rsidP="00D51F4A">
      <w:pPr>
        <w:pStyle w:val="NumberedNormal"/>
        <w:numPr>
          <w:ilvl w:val="2"/>
          <w:numId w:val="7"/>
        </w:numPr>
      </w:pPr>
      <w:r>
        <w:t xml:space="preserve">The Authority will amend the RIIO-1 NIA Governance Document by direction. </w:t>
      </w:r>
    </w:p>
    <w:p w14:paraId="213A0ED7" w14:textId="77777777" w:rsidR="00D809A0" w:rsidRPr="003402B7" w:rsidRDefault="00D809A0" w:rsidP="00D51F4A">
      <w:pPr>
        <w:pStyle w:val="NumberedNormal"/>
        <w:numPr>
          <w:ilvl w:val="2"/>
          <w:numId w:val="7"/>
        </w:numPr>
      </w:pPr>
      <w:r>
        <w:t xml:space="preserve">The RIIO-1 NIA Governance Document makes and will continue to make provision in respect of: </w:t>
      </w:r>
    </w:p>
    <w:p w14:paraId="4B580241" w14:textId="72391E30" w:rsidR="00D809A0" w:rsidRPr="003402B7" w:rsidRDefault="00D809A0" w:rsidP="00D51F4A">
      <w:pPr>
        <w:pStyle w:val="ListNormal"/>
        <w:numPr>
          <w:ilvl w:val="3"/>
          <w:numId w:val="7"/>
        </w:numPr>
      </w:pPr>
      <w:r>
        <w:t xml:space="preserve">arrangements for ensuring that relevant learning from Eligible CNIA Projects can be captured and disseminated by the licensee to </w:t>
      </w:r>
      <w:r w:rsidR="00CE618F">
        <w:t>other Gas Transporter Licensees in whose licence a condition of equivalent affect to this has effect</w:t>
      </w:r>
      <w:r>
        <w:t>;</w:t>
      </w:r>
    </w:p>
    <w:p w14:paraId="0A5B61A4" w14:textId="77777777" w:rsidR="00D809A0" w:rsidRPr="003402B7" w:rsidRDefault="00D809A0" w:rsidP="00D51F4A">
      <w:pPr>
        <w:pStyle w:val="ListNormal"/>
        <w:numPr>
          <w:ilvl w:val="3"/>
          <w:numId w:val="7"/>
        </w:numPr>
      </w:pPr>
      <w:r>
        <w:t xml:space="preserve">the nature of the reporting obligations in respect of such projects (which may include reporting in respect of the funding and the completion of such projects, as well as reporting on compliance with this condition and the provisions of the RIIO-1 NIA Governance Document); </w:t>
      </w:r>
    </w:p>
    <w:p w14:paraId="6EBD84E0" w14:textId="77777777" w:rsidR="00D809A0" w:rsidRPr="003402B7" w:rsidRDefault="00D809A0" w:rsidP="00D51F4A">
      <w:pPr>
        <w:pStyle w:val="ListNormal"/>
        <w:numPr>
          <w:ilvl w:val="3"/>
          <w:numId w:val="7"/>
        </w:numPr>
      </w:pPr>
      <w:r>
        <w:t xml:space="preserve">arrangements relating to the treatment of intellectual property rights in respect of Eligible CNIA Projects; and </w:t>
      </w:r>
    </w:p>
    <w:p w14:paraId="779F7D55" w14:textId="77777777" w:rsidR="00D809A0" w:rsidRPr="003402B7" w:rsidRDefault="00D809A0" w:rsidP="00D51F4A">
      <w:pPr>
        <w:pStyle w:val="ListNormal"/>
        <w:numPr>
          <w:ilvl w:val="3"/>
          <w:numId w:val="7"/>
        </w:numPr>
      </w:pPr>
      <w:r>
        <w:t xml:space="preserve">any other matters relating to the regulation, governance or administration of the Carry-over Network Innovation Allowance. </w:t>
      </w:r>
    </w:p>
    <w:p w14:paraId="3C981EBD" w14:textId="77777777" w:rsidR="00D809A0" w:rsidRPr="003402B7" w:rsidRDefault="00D809A0" w:rsidP="00D809A0"/>
    <w:p w14:paraId="32E0120D" w14:textId="77777777" w:rsidR="00D809A0" w:rsidRPr="003402B7" w:rsidRDefault="00D809A0" w:rsidP="00D51F4A">
      <w:pPr>
        <w:pStyle w:val="Heading3"/>
        <w:numPr>
          <w:ilvl w:val="5"/>
          <w:numId w:val="7"/>
        </w:numPr>
      </w:pPr>
      <w:r>
        <w:t xml:space="preserve">Procedure for amending the RIIO-1 NIA Governance Document </w:t>
      </w:r>
    </w:p>
    <w:p w14:paraId="59214AF2" w14:textId="77777777" w:rsidR="00D809A0" w:rsidRPr="003402B7" w:rsidRDefault="00D809A0" w:rsidP="00D51F4A">
      <w:pPr>
        <w:pStyle w:val="NumberedNormal"/>
        <w:numPr>
          <w:ilvl w:val="2"/>
          <w:numId w:val="7"/>
        </w:numPr>
      </w:pPr>
      <w:r>
        <w:t xml:space="preserve">Before amending the RIIO-1 NIA Governance Document by direction, the Authority will publish on the Authority’s Website: </w:t>
      </w:r>
    </w:p>
    <w:p w14:paraId="6D451807" w14:textId="77777777" w:rsidR="00D809A0" w:rsidRPr="003402B7" w:rsidRDefault="00D809A0" w:rsidP="00D51F4A">
      <w:pPr>
        <w:pStyle w:val="ListNormal"/>
        <w:numPr>
          <w:ilvl w:val="3"/>
          <w:numId w:val="7"/>
        </w:numPr>
      </w:pPr>
      <w:r>
        <w:t xml:space="preserve">the text of the amended RIIO-1 NIA Governance Document; </w:t>
      </w:r>
    </w:p>
    <w:p w14:paraId="0EB7B6E3" w14:textId="77777777" w:rsidR="00D809A0" w:rsidRPr="007C04E1" w:rsidRDefault="00D809A0" w:rsidP="00D809A0">
      <w:pPr>
        <w:pStyle w:val="ListNormal"/>
        <w:tabs>
          <w:tab w:val="num" w:pos="879"/>
        </w:tabs>
      </w:pPr>
      <w:r w:rsidRPr="007C04E1">
        <w:t xml:space="preserve">the date </w:t>
      </w:r>
      <w:r>
        <w:t xml:space="preserve">on which </w:t>
      </w:r>
      <w:r w:rsidRPr="007C04E1">
        <w:t>the Authority intends the amended RIIO-</w:t>
      </w:r>
      <w:r>
        <w:t>1</w:t>
      </w:r>
      <w:r w:rsidRPr="007C04E1">
        <w:t xml:space="preserve"> NIA Governance Document to come into effect;</w:t>
      </w:r>
    </w:p>
    <w:p w14:paraId="38EFDD22" w14:textId="77777777" w:rsidR="00D809A0" w:rsidRPr="003402B7" w:rsidRDefault="00D809A0" w:rsidP="00D51F4A">
      <w:pPr>
        <w:pStyle w:val="ListNormal"/>
        <w:numPr>
          <w:ilvl w:val="3"/>
          <w:numId w:val="7"/>
        </w:numPr>
      </w:pPr>
      <w:r>
        <w:lastRenderedPageBreak/>
        <w:t xml:space="preserve">the reasons for the amendments to the RIIO-1 NIA Governance Document; and </w:t>
      </w:r>
    </w:p>
    <w:p w14:paraId="650343CE" w14:textId="1C8C8332" w:rsidR="00D809A0" w:rsidRPr="003402B7" w:rsidRDefault="00D809A0" w:rsidP="00D51F4A">
      <w:pPr>
        <w:pStyle w:val="ListNormal"/>
        <w:numPr>
          <w:ilvl w:val="3"/>
          <w:numId w:val="7"/>
        </w:numPr>
      </w:pPr>
      <w:r>
        <w:t xml:space="preserve">a period during which representations may be made on the amendments to the RIIO-1 NIA Governance Document, which </w:t>
      </w:r>
      <w:r w:rsidR="00DA3550">
        <w:t xml:space="preserve">will </w:t>
      </w:r>
      <w:r>
        <w:t xml:space="preserve">not be less than 28 days. </w:t>
      </w:r>
    </w:p>
    <w:p w14:paraId="494D299A" w14:textId="77777777" w:rsidR="00D809A0" w:rsidRDefault="00D809A0" w:rsidP="00D809A0"/>
    <w:p w14:paraId="3041C4C6" w14:textId="77777777" w:rsidR="00D809A0" w:rsidRDefault="00D809A0" w:rsidP="00D51F4A">
      <w:pPr>
        <w:pStyle w:val="Heading1"/>
        <w:numPr>
          <w:ilvl w:val="0"/>
          <w:numId w:val="7"/>
        </w:numPr>
      </w:pPr>
      <w:bookmarkStart w:id="142" w:name="_Toc51783679"/>
      <w:bookmarkStart w:id="143" w:name="_Toc52364575"/>
      <w:r>
        <w:lastRenderedPageBreak/>
        <w:t>Pass-through expenditure</w:t>
      </w:r>
      <w:bookmarkEnd w:id="142"/>
      <w:bookmarkEnd w:id="143"/>
    </w:p>
    <w:p w14:paraId="6626B2E0" w14:textId="364E99E5" w:rsidR="00D809A0" w:rsidRPr="002E1707" w:rsidRDefault="00D809A0" w:rsidP="00D51F4A">
      <w:pPr>
        <w:pStyle w:val="Heading2"/>
        <w:numPr>
          <w:ilvl w:val="1"/>
          <w:numId w:val="7"/>
        </w:numPr>
      </w:pPr>
      <w:bookmarkStart w:id="144" w:name="_Toc51783680"/>
      <w:bookmarkStart w:id="145" w:name="_Toc52364576"/>
      <w:r w:rsidRPr="002E1707">
        <w:t>Pass</w:t>
      </w:r>
      <w:r w:rsidR="00E72ACC">
        <w:t>-</w:t>
      </w:r>
      <w:r w:rsidRPr="002E1707">
        <w:t xml:space="preserve">through items </w:t>
      </w:r>
      <w:r>
        <w:t>(PT</w:t>
      </w:r>
      <w:r w:rsidRPr="000157F3">
        <w:rPr>
          <w:vertAlign w:val="subscript"/>
        </w:rPr>
        <w:t>t</w:t>
      </w:r>
      <w:r>
        <w:t>)</w:t>
      </w:r>
      <w:bookmarkEnd w:id="144"/>
      <w:bookmarkEnd w:id="145"/>
    </w:p>
    <w:p w14:paraId="75A91822" w14:textId="77777777" w:rsidR="00D809A0" w:rsidRDefault="00D809A0" w:rsidP="00D809A0">
      <w:pPr>
        <w:pStyle w:val="Heading3"/>
        <w:numPr>
          <w:ilvl w:val="0"/>
          <w:numId w:val="0"/>
        </w:numPr>
        <w:ind w:left="357"/>
      </w:pPr>
      <w:r>
        <w:t>Introduction</w:t>
      </w:r>
    </w:p>
    <w:p w14:paraId="730FCB9B" w14:textId="1B4D4E48" w:rsidR="00D809A0" w:rsidRPr="002E1707" w:rsidRDefault="00D809A0" w:rsidP="00D51F4A">
      <w:pPr>
        <w:pStyle w:val="NumberedNormal"/>
        <w:numPr>
          <w:ilvl w:val="2"/>
          <w:numId w:val="7"/>
        </w:numPr>
      </w:pPr>
      <w:r>
        <w:t>The purpose of this condition is to calculate the term PTt (the allowed pass-through term). This feeds into Calculated Revenue in Special Condition 2.1 (Revenue Restriction).</w:t>
      </w:r>
    </w:p>
    <w:p w14:paraId="4002F1DE" w14:textId="77777777" w:rsidR="00D809A0" w:rsidRPr="002E1707" w:rsidRDefault="00D809A0" w:rsidP="00D51F4A">
      <w:pPr>
        <w:pStyle w:val="NumberedNormal"/>
        <w:numPr>
          <w:ilvl w:val="2"/>
          <w:numId w:val="7"/>
        </w:numPr>
      </w:pPr>
      <w:r>
        <w:t>The effect of this condition is to ensure that the licensee’s Allowed Revenue reflects that certain costs can be passed through to customers.</w:t>
      </w:r>
    </w:p>
    <w:p w14:paraId="4C05B587" w14:textId="78AC22F9" w:rsidR="00D809A0" w:rsidRPr="002E1707" w:rsidRDefault="00D809A0" w:rsidP="00D51F4A">
      <w:pPr>
        <w:pStyle w:val="Heading3"/>
        <w:numPr>
          <w:ilvl w:val="5"/>
          <w:numId w:val="7"/>
        </w:numPr>
      </w:pPr>
      <w:r>
        <w:t>Formula for calculating the allowed pass-through term</w:t>
      </w:r>
      <w:r w:rsidR="00CE618F">
        <w:t xml:space="preserve"> (PTt)</w:t>
      </w:r>
    </w:p>
    <w:p w14:paraId="1211DAC1" w14:textId="14DA25B5" w:rsidR="00D809A0" w:rsidRDefault="00D809A0" w:rsidP="00D51F4A">
      <w:pPr>
        <w:pStyle w:val="NumberedNormal"/>
        <w:numPr>
          <w:ilvl w:val="2"/>
          <w:numId w:val="7"/>
        </w:numPr>
      </w:pPr>
      <w:r>
        <w:t>The PT</w:t>
      </w:r>
      <w:r w:rsidRPr="000157F3">
        <w:rPr>
          <w:vertAlign w:val="subscript"/>
        </w:rPr>
        <w:t>t</w:t>
      </w:r>
      <w:r>
        <w:t xml:space="preserve"> term is derived in accordance with the following formula:</w:t>
      </w:r>
    </w:p>
    <w:p w14:paraId="0FE54668" w14:textId="1FC9B5C6" w:rsidR="00274B9D" w:rsidRPr="002E1707" w:rsidRDefault="008C7681" w:rsidP="00274B9D">
      <m:oMathPara>
        <m:oMath>
          <m:sSub>
            <m:sSubPr>
              <m:ctrlPr>
                <w:rPr>
                  <w:rFonts w:ascii="Cambria Math" w:hAnsi="Cambria Math"/>
                  <w:i/>
                </w:rPr>
              </m:ctrlPr>
            </m:sSubPr>
            <m:e>
              <m:r>
                <w:rPr>
                  <w:rFonts w:ascii="Cambria Math" w:hAnsi="Cambria Math"/>
                </w:rPr>
                <m:t>PT</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RB</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LF</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PD</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EDE</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TPWI</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TG</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MP</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CDSP</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SL</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EC</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BD</m:t>
              </m:r>
            </m:e>
            <m:sub>
              <m:r>
                <w:rPr>
                  <w:rFonts w:ascii="Cambria Math" w:hAnsi="Cambria Math"/>
                </w:rPr>
                <m:t>t</m:t>
              </m:r>
            </m:sub>
          </m:sSub>
        </m:oMath>
      </m:oMathPara>
    </w:p>
    <w:p w14:paraId="2E3C3837" w14:textId="6D76F1CE" w:rsidR="00D809A0" w:rsidRPr="002E1707" w:rsidRDefault="00671A30" w:rsidP="00D809A0">
      <w:r>
        <w:tab/>
      </w:r>
      <w:r w:rsidR="00D809A0" w:rsidRPr="002E1707">
        <w:t xml:space="preserve">where: </w:t>
      </w:r>
    </w:p>
    <w:tbl>
      <w:tblPr>
        <w:tblStyle w:val="TableGridLight"/>
        <w:tblW w:w="0" w:type="auto"/>
        <w:tblLook w:val="04A0" w:firstRow="1" w:lastRow="0" w:firstColumn="1" w:lastColumn="0" w:noHBand="0" w:noVBand="1"/>
      </w:tblPr>
      <w:tblGrid>
        <w:gridCol w:w="817"/>
        <w:gridCol w:w="7529"/>
      </w:tblGrid>
      <w:tr w:rsidR="00D809A0" w:rsidRPr="00161DA4" w14:paraId="6407555B" w14:textId="77777777" w:rsidTr="00671A30">
        <w:trPr>
          <w:trHeight w:val="567"/>
        </w:trPr>
        <w:tc>
          <w:tcPr>
            <w:tcW w:w="0" w:type="auto"/>
          </w:tcPr>
          <w:p w14:paraId="57455631" w14:textId="550BCB85" w:rsidR="00D809A0" w:rsidRPr="00671A30" w:rsidRDefault="00D809A0" w:rsidP="00D809A0">
            <w:pPr>
              <w:rPr>
                <w:i/>
                <w:iCs/>
              </w:rPr>
            </w:pPr>
            <w:r w:rsidRPr="00671A30">
              <w:rPr>
                <w:i/>
                <w:iCs/>
              </w:rPr>
              <w:t>RB</w:t>
            </w:r>
            <w:r w:rsidRPr="00671A30">
              <w:rPr>
                <w:i/>
                <w:iCs/>
                <w:vertAlign w:val="subscript"/>
              </w:rPr>
              <w:t>t</w:t>
            </w:r>
          </w:p>
        </w:tc>
        <w:tc>
          <w:tcPr>
            <w:tcW w:w="0" w:type="auto"/>
          </w:tcPr>
          <w:p w14:paraId="5483EC26" w14:textId="7745BB31" w:rsidR="00D809A0" w:rsidRPr="002E1707" w:rsidRDefault="00D809A0" w:rsidP="00D809A0">
            <w:r w:rsidRPr="002E1707">
              <w:t>means the amount levied on</w:t>
            </w:r>
            <w:r w:rsidR="00283BC8">
              <w:t xml:space="preserve"> the</w:t>
            </w:r>
            <w:r w:rsidRPr="002E1707">
              <w:t xml:space="preserve"> licensee in respect of the Prescribed Rates (or any equivalent tax or duty replacing them) or an amount directed under Part B</w:t>
            </w:r>
            <w:r>
              <w:t>;</w:t>
            </w:r>
          </w:p>
        </w:tc>
      </w:tr>
      <w:tr w:rsidR="00D809A0" w:rsidRPr="00161DA4" w14:paraId="1ED6DEEE" w14:textId="77777777" w:rsidTr="00671A30">
        <w:trPr>
          <w:trHeight w:val="567"/>
        </w:trPr>
        <w:tc>
          <w:tcPr>
            <w:tcW w:w="0" w:type="auto"/>
          </w:tcPr>
          <w:p w14:paraId="08625EF3" w14:textId="472574AA" w:rsidR="00D809A0" w:rsidRPr="00671A30" w:rsidRDefault="00D809A0" w:rsidP="00D809A0">
            <w:pPr>
              <w:rPr>
                <w:i/>
                <w:iCs/>
              </w:rPr>
            </w:pPr>
            <w:r w:rsidRPr="00671A30">
              <w:rPr>
                <w:i/>
                <w:iCs/>
              </w:rPr>
              <w:t>LF</w:t>
            </w:r>
            <w:r w:rsidRPr="00671A30">
              <w:rPr>
                <w:i/>
                <w:iCs/>
                <w:vertAlign w:val="subscript"/>
              </w:rPr>
              <w:t>t</w:t>
            </w:r>
          </w:p>
        </w:tc>
        <w:tc>
          <w:tcPr>
            <w:tcW w:w="0" w:type="auto"/>
          </w:tcPr>
          <w:p w14:paraId="40E1506B" w14:textId="29E8811F" w:rsidR="00D809A0" w:rsidRPr="002E1707" w:rsidRDefault="00D809A0" w:rsidP="00D809A0">
            <w:r w:rsidRPr="002E1707">
              <w:t xml:space="preserve">means the payments made by the licensee in respect of </w:t>
            </w:r>
            <w:r w:rsidR="00FF41BF">
              <w:t>Licensed</w:t>
            </w:r>
            <w:r w:rsidR="00683DFD">
              <w:t xml:space="preserve"> Activity</w:t>
            </w:r>
            <w:r w:rsidRPr="002E1707">
              <w:t xml:space="preserve"> under Standard Condition 3 (Payments by the Licensee to the Authority)</w:t>
            </w:r>
            <w:r>
              <w:t>;</w:t>
            </w:r>
          </w:p>
        </w:tc>
      </w:tr>
      <w:tr w:rsidR="00D809A0" w:rsidRPr="00161DA4" w14:paraId="0B4D73A1" w14:textId="77777777" w:rsidTr="00671A30">
        <w:trPr>
          <w:trHeight w:val="567"/>
        </w:trPr>
        <w:tc>
          <w:tcPr>
            <w:tcW w:w="0" w:type="auto"/>
          </w:tcPr>
          <w:p w14:paraId="343323EF" w14:textId="374B7BCE" w:rsidR="00D809A0" w:rsidRPr="00671A30" w:rsidRDefault="00D809A0" w:rsidP="00D809A0">
            <w:pPr>
              <w:rPr>
                <w:i/>
                <w:iCs/>
              </w:rPr>
            </w:pPr>
            <w:r w:rsidRPr="00671A30">
              <w:rPr>
                <w:i/>
                <w:iCs/>
              </w:rPr>
              <w:t>PD</w:t>
            </w:r>
            <w:r w:rsidRPr="00671A30">
              <w:rPr>
                <w:i/>
                <w:iCs/>
                <w:vertAlign w:val="subscript"/>
              </w:rPr>
              <w:t>t</w:t>
            </w:r>
          </w:p>
        </w:tc>
        <w:tc>
          <w:tcPr>
            <w:tcW w:w="0" w:type="auto"/>
          </w:tcPr>
          <w:p w14:paraId="28F648A4" w14:textId="65D97251" w:rsidR="00D809A0" w:rsidRPr="002E1707" w:rsidRDefault="00D809A0" w:rsidP="00D809A0">
            <w:r w:rsidRPr="002E1707">
              <w:t>means the payments made by the licensee to meet the Distribution Network Pension Deficit Charge, which is levied on the Distribution Network by the National Transmission System Operator</w:t>
            </w:r>
            <w:r>
              <w:t>;</w:t>
            </w:r>
          </w:p>
        </w:tc>
      </w:tr>
      <w:tr w:rsidR="00D809A0" w:rsidRPr="00161DA4" w14:paraId="072C733F" w14:textId="77777777" w:rsidTr="00671A30">
        <w:trPr>
          <w:trHeight w:val="567"/>
        </w:trPr>
        <w:tc>
          <w:tcPr>
            <w:tcW w:w="0" w:type="auto"/>
          </w:tcPr>
          <w:p w14:paraId="355995DF" w14:textId="62036E28" w:rsidR="00D809A0" w:rsidRPr="00671A30" w:rsidRDefault="00D809A0" w:rsidP="00D809A0">
            <w:pPr>
              <w:rPr>
                <w:i/>
                <w:iCs/>
              </w:rPr>
            </w:pPr>
            <w:r w:rsidRPr="00671A30">
              <w:rPr>
                <w:i/>
                <w:iCs/>
              </w:rPr>
              <w:t>EDE</w:t>
            </w:r>
            <w:r w:rsidRPr="00671A30">
              <w:rPr>
                <w:i/>
                <w:iCs/>
                <w:vertAlign w:val="subscript"/>
              </w:rPr>
              <w:t>t</w:t>
            </w:r>
          </w:p>
        </w:tc>
        <w:tc>
          <w:tcPr>
            <w:tcW w:w="0" w:type="auto"/>
          </w:tcPr>
          <w:p w14:paraId="48D75032" w14:textId="4130B0CA" w:rsidR="00D809A0" w:rsidRPr="002E1707" w:rsidRDefault="0064625F" w:rsidP="00D809A0">
            <w:r w:rsidRPr="0064625F">
              <w:t>means the payments in relation to the Pension Scheme Established Deficit repair expenditure for each Regulatory Year</w:t>
            </w:r>
            <w:r w:rsidR="00D809A0">
              <w:t>;</w:t>
            </w:r>
          </w:p>
        </w:tc>
      </w:tr>
      <w:tr w:rsidR="00D809A0" w:rsidRPr="00161DA4" w14:paraId="5ED60A08" w14:textId="77777777" w:rsidTr="00671A30">
        <w:trPr>
          <w:trHeight w:val="567"/>
        </w:trPr>
        <w:tc>
          <w:tcPr>
            <w:tcW w:w="0" w:type="auto"/>
          </w:tcPr>
          <w:p w14:paraId="4F4DECA3" w14:textId="38A5E17A" w:rsidR="00D809A0" w:rsidRPr="00671A30" w:rsidRDefault="00D809A0" w:rsidP="00D809A0">
            <w:pPr>
              <w:rPr>
                <w:i/>
                <w:iCs/>
              </w:rPr>
            </w:pPr>
            <w:r w:rsidRPr="00671A30">
              <w:rPr>
                <w:i/>
                <w:iCs/>
              </w:rPr>
              <w:t>TPWI</w:t>
            </w:r>
            <w:r w:rsidRPr="00671A30">
              <w:rPr>
                <w:i/>
                <w:iCs/>
                <w:vertAlign w:val="subscript"/>
              </w:rPr>
              <w:t>t</w:t>
            </w:r>
          </w:p>
        </w:tc>
        <w:tc>
          <w:tcPr>
            <w:tcW w:w="0" w:type="auto"/>
          </w:tcPr>
          <w:p w14:paraId="7B7BFE41" w14:textId="4EC7E334" w:rsidR="00D809A0" w:rsidRPr="002E1707" w:rsidRDefault="00D809A0" w:rsidP="00D809A0">
            <w:r>
              <w:t xml:space="preserve"> is derived in accordance with Part C; </w:t>
            </w:r>
          </w:p>
        </w:tc>
      </w:tr>
      <w:tr w:rsidR="00D809A0" w:rsidRPr="00161DA4" w14:paraId="42E46B4B" w14:textId="77777777" w:rsidTr="00671A30">
        <w:trPr>
          <w:trHeight w:val="567"/>
        </w:trPr>
        <w:tc>
          <w:tcPr>
            <w:tcW w:w="0" w:type="auto"/>
          </w:tcPr>
          <w:p w14:paraId="544BD003" w14:textId="65643295" w:rsidR="00D809A0" w:rsidRPr="00671A30" w:rsidRDefault="00D809A0" w:rsidP="00D809A0">
            <w:pPr>
              <w:rPr>
                <w:i/>
                <w:iCs/>
              </w:rPr>
            </w:pPr>
            <w:r w:rsidRPr="00671A30">
              <w:rPr>
                <w:i/>
                <w:iCs/>
              </w:rPr>
              <w:t>TG</w:t>
            </w:r>
            <w:r w:rsidRPr="00671A30">
              <w:rPr>
                <w:i/>
                <w:iCs/>
                <w:vertAlign w:val="subscript"/>
              </w:rPr>
              <w:t>t</w:t>
            </w:r>
          </w:p>
        </w:tc>
        <w:tc>
          <w:tcPr>
            <w:tcW w:w="0" w:type="auto"/>
          </w:tcPr>
          <w:p w14:paraId="7B77EDA2" w14:textId="4FF55F29" w:rsidR="00D809A0" w:rsidRPr="002E1707" w:rsidRDefault="00D809A0" w:rsidP="00D809A0">
            <w:r w:rsidRPr="002E1707">
              <w:t>means the adjustment equal to any allowance made, in total, for reasonable costs incurred by a gas supplier pursuant to paragraphs 5, 6 and 13 of Standard Condition 7 (Provision of Information Relating to Gas Illegally Taken)</w:t>
            </w:r>
            <w:r>
              <w:t>;</w:t>
            </w:r>
          </w:p>
        </w:tc>
      </w:tr>
      <w:tr w:rsidR="00D809A0" w:rsidRPr="00161DA4" w14:paraId="4035742E" w14:textId="77777777" w:rsidTr="00671A30">
        <w:trPr>
          <w:trHeight w:val="567"/>
        </w:trPr>
        <w:tc>
          <w:tcPr>
            <w:tcW w:w="0" w:type="auto"/>
          </w:tcPr>
          <w:p w14:paraId="4FF4F76F" w14:textId="13508A5A" w:rsidR="00D809A0" w:rsidRPr="00671A30" w:rsidRDefault="00D809A0" w:rsidP="00D809A0">
            <w:pPr>
              <w:rPr>
                <w:i/>
                <w:iCs/>
              </w:rPr>
            </w:pPr>
            <w:r w:rsidRPr="00671A30">
              <w:rPr>
                <w:i/>
                <w:iCs/>
              </w:rPr>
              <w:t>MP</w:t>
            </w:r>
            <w:r w:rsidRPr="00671A30">
              <w:rPr>
                <w:i/>
                <w:iCs/>
                <w:vertAlign w:val="subscript"/>
              </w:rPr>
              <w:t>t</w:t>
            </w:r>
          </w:p>
        </w:tc>
        <w:tc>
          <w:tcPr>
            <w:tcW w:w="0" w:type="auto"/>
          </w:tcPr>
          <w:p w14:paraId="03C53957" w14:textId="13D86C19" w:rsidR="00D809A0" w:rsidRPr="002E1707" w:rsidRDefault="00D809A0" w:rsidP="00D809A0">
            <w:r w:rsidRPr="002E1707">
              <w:t>means the adjustment equal to miscellaneous pass-through costs incurred by the licensee and not reflected in any other part of this condition, which the Authority has (following consultation with the licensee) directed the licensee to treat as part of MPt</w:t>
            </w:r>
            <w:r>
              <w:t>;</w:t>
            </w:r>
          </w:p>
        </w:tc>
      </w:tr>
      <w:tr w:rsidR="00D809A0" w:rsidRPr="00161DA4" w14:paraId="3800A3B0" w14:textId="77777777" w:rsidTr="00671A30">
        <w:trPr>
          <w:trHeight w:val="567"/>
        </w:trPr>
        <w:tc>
          <w:tcPr>
            <w:tcW w:w="0" w:type="auto"/>
          </w:tcPr>
          <w:p w14:paraId="5DB6DDAE" w14:textId="70B7C6E8" w:rsidR="00D809A0" w:rsidRPr="00671A30" w:rsidRDefault="00D809A0" w:rsidP="00D809A0">
            <w:pPr>
              <w:rPr>
                <w:i/>
                <w:iCs/>
              </w:rPr>
            </w:pPr>
            <w:r w:rsidRPr="00671A30">
              <w:rPr>
                <w:i/>
                <w:iCs/>
              </w:rPr>
              <w:t>CDSP</w:t>
            </w:r>
            <w:r w:rsidRPr="00671A30">
              <w:rPr>
                <w:i/>
                <w:iCs/>
                <w:vertAlign w:val="subscript"/>
              </w:rPr>
              <w:t>t</w:t>
            </w:r>
          </w:p>
        </w:tc>
        <w:tc>
          <w:tcPr>
            <w:tcW w:w="0" w:type="auto"/>
          </w:tcPr>
          <w:p w14:paraId="4B63354D" w14:textId="5556AB97" w:rsidR="00D809A0" w:rsidRPr="002E1707" w:rsidRDefault="00D809A0" w:rsidP="00D809A0">
            <w:r w:rsidRPr="002E1707">
              <w:t>means the adjustment to CDSP Costs, excluding UK Link Gemini Costs</w:t>
            </w:r>
            <w:r>
              <w:t>;</w:t>
            </w:r>
          </w:p>
        </w:tc>
      </w:tr>
      <w:tr w:rsidR="00D809A0" w:rsidRPr="00161DA4" w14:paraId="53A4DE3E" w14:textId="77777777" w:rsidTr="00671A30">
        <w:trPr>
          <w:trHeight w:val="567"/>
        </w:trPr>
        <w:tc>
          <w:tcPr>
            <w:tcW w:w="0" w:type="auto"/>
          </w:tcPr>
          <w:p w14:paraId="39BDEDFA" w14:textId="79019CB0" w:rsidR="00D809A0" w:rsidRPr="00671A30" w:rsidRDefault="00D809A0" w:rsidP="00D809A0">
            <w:pPr>
              <w:rPr>
                <w:i/>
                <w:iCs/>
              </w:rPr>
            </w:pPr>
            <w:r w:rsidRPr="00671A30">
              <w:rPr>
                <w:i/>
                <w:iCs/>
              </w:rPr>
              <w:t>SL</w:t>
            </w:r>
            <w:r w:rsidRPr="00671A30">
              <w:rPr>
                <w:i/>
                <w:iCs/>
                <w:vertAlign w:val="subscript"/>
              </w:rPr>
              <w:t>t</w:t>
            </w:r>
          </w:p>
        </w:tc>
        <w:tc>
          <w:tcPr>
            <w:tcW w:w="0" w:type="auto"/>
          </w:tcPr>
          <w:p w14:paraId="465F5DF8" w14:textId="4DE50E2A" w:rsidR="00D809A0" w:rsidRPr="002E1707" w:rsidRDefault="00D809A0" w:rsidP="00D809A0">
            <w:r>
              <w:t>is derived in accordance with Part D;</w:t>
            </w:r>
          </w:p>
        </w:tc>
      </w:tr>
      <w:tr w:rsidR="00D809A0" w:rsidRPr="00161DA4" w14:paraId="4F59531B" w14:textId="77777777" w:rsidTr="00671A30">
        <w:trPr>
          <w:trHeight w:val="567"/>
        </w:trPr>
        <w:tc>
          <w:tcPr>
            <w:tcW w:w="0" w:type="auto"/>
          </w:tcPr>
          <w:p w14:paraId="76EEC09E" w14:textId="675D2F68" w:rsidR="00D809A0" w:rsidRPr="00671A30" w:rsidRDefault="00D809A0" w:rsidP="00D809A0">
            <w:pPr>
              <w:rPr>
                <w:i/>
                <w:iCs/>
              </w:rPr>
            </w:pPr>
            <w:r w:rsidRPr="00671A30">
              <w:rPr>
                <w:i/>
                <w:iCs/>
              </w:rPr>
              <w:t>EC</w:t>
            </w:r>
            <w:r w:rsidRPr="00671A30">
              <w:rPr>
                <w:i/>
                <w:iCs/>
                <w:vertAlign w:val="subscript"/>
              </w:rPr>
              <w:t>t</w:t>
            </w:r>
          </w:p>
        </w:tc>
        <w:tc>
          <w:tcPr>
            <w:tcW w:w="0" w:type="auto"/>
          </w:tcPr>
          <w:p w14:paraId="40607445" w14:textId="7CF093ED" w:rsidR="00D809A0" w:rsidRPr="002E1707" w:rsidRDefault="00D809A0" w:rsidP="00D809A0">
            <w:r w:rsidRPr="002E1707">
              <w:t>means charges from the NTS for the use of NTS Exit Flat Capacity and Flex Capacity</w:t>
            </w:r>
            <w:r>
              <w:t>; and</w:t>
            </w:r>
          </w:p>
        </w:tc>
      </w:tr>
      <w:tr w:rsidR="00D809A0" w:rsidRPr="00161DA4" w14:paraId="39519F44" w14:textId="77777777" w:rsidTr="00671A30">
        <w:trPr>
          <w:trHeight w:val="567"/>
        </w:trPr>
        <w:tc>
          <w:tcPr>
            <w:tcW w:w="0" w:type="auto"/>
          </w:tcPr>
          <w:p w14:paraId="30D61D0F" w14:textId="3467E18F" w:rsidR="00D809A0" w:rsidRPr="00671A30" w:rsidRDefault="00D809A0" w:rsidP="00D809A0">
            <w:pPr>
              <w:rPr>
                <w:i/>
                <w:iCs/>
              </w:rPr>
            </w:pPr>
            <w:r w:rsidRPr="00671A30">
              <w:rPr>
                <w:i/>
                <w:iCs/>
              </w:rPr>
              <w:lastRenderedPageBreak/>
              <w:t>BD</w:t>
            </w:r>
            <w:r w:rsidRPr="00671A30">
              <w:rPr>
                <w:i/>
                <w:iCs/>
                <w:vertAlign w:val="subscript"/>
              </w:rPr>
              <w:t>t</w:t>
            </w:r>
          </w:p>
        </w:tc>
        <w:tc>
          <w:tcPr>
            <w:tcW w:w="0" w:type="auto"/>
          </w:tcPr>
          <w:p w14:paraId="212591A8" w14:textId="77777777" w:rsidR="00D809A0" w:rsidRPr="00B8033B" w:rsidRDefault="00D809A0" w:rsidP="00D809A0">
            <w:r w:rsidRPr="00B8033B">
              <w:t>is d</w:t>
            </w:r>
            <w:r>
              <w:t>erived in accordance with Part E</w:t>
            </w:r>
            <w:r w:rsidRPr="00B8033B">
              <w:t xml:space="preserve">. </w:t>
            </w:r>
          </w:p>
        </w:tc>
      </w:tr>
    </w:tbl>
    <w:p w14:paraId="0B57C740" w14:textId="2C80FE9E" w:rsidR="00D809A0" w:rsidRPr="002E1707" w:rsidRDefault="00D809A0" w:rsidP="00D51F4A">
      <w:pPr>
        <w:pStyle w:val="Heading3"/>
        <w:numPr>
          <w:ilvl w:val="5"/>
          <w:numId w:val="7"/>
        </w:numPr>
      </w:pPr>
      <w:r>
        <w:t>Review of Prescribed Rates pass</w:t>
      </w:r>
      <w:r w:rsidR="00283BC8">
        <w:t>-</w:t>
      </w:r>
      <w:r>
        <w:t>through term (RBt)</w:t>
      </w:r>
    </w:p>
    <w:p w14:paraId="4183AA08" w14:textId="77777777" w:rsidR="00D809A0" w:rsidRPr="002E1707" w:rsidRDefault="00D809A0" w:rsidP="00D51F4A">
      <w:pPr>
        <w:pStyle w:val="NumberedNormal"/>
        <w:numPr>
          <w:ilvl w:val="2"/>
          <w:numId w:val="7"/>
        </w:numPr>
      </w:pPr>
      <w:r>
        <w:t>As part of any periodic revaluation, the licensee must:</w:t>
      </w:r>
    </w:p>
    <w:p w14:paraId="731ECF31" w14:textId="77777777" w:rsidR="00D809A0" w:rsidRPr="002E1707" w:rsidRDefault="00D809A0" w:rsidP="00D51F4A">
      <w:pPr>
        <w:pStyle w:val="ListNormal"/>
        <w:numPr>
          <w:ilvl w:val="3"/>
          <w:numId w:val="7"/>
        </w:numPr>
      </w:pPr>
      <w:r>
        <w:t>engage with the Relevant Valuation Agency; and</w:t>
      </w:r>
    </w:p>
    <w:p w14:paraId="7FFF8647" w14:textId="52621FFE" w:rsidR="00D809A0" w:rsidRPr="002E1707" w:rsidRDefault="00D809A0" w:rsidP="00D51F4A">
      <w:pPr>
        <w:pStyle w:val="ListNormal"/>
        <w:numPr>
          <w:ilvl w:val="3"/>
          <w:numId w:val="7"/>
        </w:numPr>
      </w:pPr>
      <w:r>
        <w:t xml:space="preserve">use its </w:t>
      </w:r>
      <w:r w:rsidR="000E15C0">
        <w:t>reasonable</w:t>
      </w:r>
      <w:r>
        <w:t xml:space="preserve"> endeavours to minimise the amount of the Prescribed Rates to which it is liable.</w:t>
      </w:r>
    </w:p>
    <w:p w14:paraId="08CF5F30" w14:textId="77777777" w:rsidR="00D809A0" w:rsidRPr="002E1707" w:rsidRDefault="00D809A0" w:rsidP="00D51F4A">
      <w:pPr>
        <w:pStyle w:val="NumberedNormal"/>
        <w:numPr>
          <w:ilvl w:val="2"/>
          <w:numId w:val="7"/>
        </w:numPr>
      </w:pPr>
      <w:r>
        <w:t>The Authority will review the licensee’s engagement with the Relevant Valuation Agency with respect to a revaluation.</w:t>
      </w:r>
    </w:p>
    <w:p w14:paraId="16835EA0" w14:textId="5A05ABA2" w:rsidR="00D809A0" w:rsidRPr="002E1707" w:rsidRDefault="00D809A0" w:rsidP="00D51F4A">
      <w:pPr>
        <w:pStyle w:val="NumberedNormal"/>
        <w:numPr>
          <w:ilvl w:val="2"/>
          <w:numId w:val="7"/>
        </w:numPr>
      </w:pPr>
      <w:r>
        <w:t>If, after reviewing the licensee’s engagement with the Relevant Valuation Agency with respect to a particular revaluation, the Authority considers that the licensee has not complied with paragraph 6.1.4, the Authority will adjust the value of RB</w:t>
      </w:r>
      <w:r w:rsidRPr="0039702C">
        <w:rPr>
          <w:vertAlign w:val="subscript"/>
        </w:rPr>
        <w:t>t</w:t>
      </w:r>
      <w:r>
        <w:t xml:space="preserve"> by direction.</w:t>
      </w:r>
    </w:p>
    <w:p w14:paraId="48D1DDB7" w14:textId="021F096E" w:rsidR="00D809A0" w:rsidRPr="002E1707" w:rsidRDefault="00283BC8" w:rsidP="00D51F4A">
      <w:pPr>
        <w:pStyle w:val="Heading3"/>
        <w:numPr>
          <w:ilvl w:val="5"/>
          <w:numId w:val="7"/>
        </w:numPr>
      </w:pPr>
      <w:r>
        <w:t>Formula for calculating</w:t>
      </w:r>
      <w:r w:rsidR="00D809A0">
        <w:t xml:space="preserve"> the Third Party Damage and Water Ingress Costs pass</w:t>
      </w:r>
      <w:r>
        <w:t>-</w:t>
      </w:r>
      <w:r w:rsidR="00D809A0">
        <w:t>through term (TPWIt)</w:t>
      </w:r>
    </w:p>
    <w:p w14:paraId="36339B29" w14:textId="1C054198" w:rsidR="00D809A0" w:rsidRPr="002E1707" w:rsidRDefault="00D809A0" w:rsidP="00D51F4A">
      <w:pPr>
        <w:pStyle w:val="NumberedNormal"/>
        <w:numPr>
          <w:ilvl w:val="2"/>
          <w:numId w:val="7"/>
        </w:numPr>
      </w:pPr>
      <w:r>
        <w:t>Subject to paragraph 6.1.10, the TPWI</w:t>
      </w:r>
      <w:r w:rsidRPr="0039702C">
        <w:rPr>
          <w:vertAlign w:val="subscript"/>
        </w:rPr>
        <w:t>t</w:t>
      </w:r>
      <w:r>
        <w:t xml:space="preserve"> term is derived in accordance with the following formula:</w:t>
      </w:r>
    </w:p>
    <w:p w14:paraId="74D43A06" w14:textId="1E532C7E" w:rsidR="00D809A0" w:rsidRPr="001D7BB5" w:rsidRDefault="008C7681" w:rsidP="00D809A0">
      <w:pPr>
        <w:rPr>
          <w:i/>
          <w:iCs/>
        </w:rPr>
      </w:pPr>
      <m:oMathPara>
        <m:oMath>
          <m:sSub>
            <m:sSubPr>
              <m:ctrlPr>
                <w:rPr>
                  <w:rFonts w:ascii="Cambria Math" w:hAnsi="Cambria Math"/>
                  <w:i/>
                  <w:iCs/>
                </w:rPr>
              </m:ctrlPr>
            </m:sSubPr>
            <m:e>
              <m:r>
                <w:rPr>
                  <w:rFonts w:ascii="Cambria Math" w:hAnsi="Cambria Math"/>
                </w:rPr>
                <m:t>TPWI</m:t>
              </m:r>
            </m:e>
            <m:sub>
              <m:r>
                <w:rPr>
                  <w:rFonts w:ascii="Cambria Math" w:hAnsi="Cambria Math"/>
                </w:rPr>
                <m:t>t</m:t>
              </m:r>
            </m:sub>
          </m:sSub>
          <m:r>
            <w:rPr>
              <w:rFonts w:ascii="Cambria Math" w:hAnsi="Cambria Math"/>
            </w:rPr>
            <m:t>=</m:t>
          </m:r>
          <m:r>
            <m:rPr>
              <m:nor/>
            </m:rPr>
            <w:rPr>
              <w:rFonts w:ascii="Cambria Math" w:hAnsi="Cambria Math"/>
              <w:iCs/>
            </w:rPr>
            <m:t>max</m:t>
          </m:r>
          <m:d>
            <m:dPr>
              <m:begChr m:val="["/>
              <m:endChr m:val="]"/>
              <m:ctrlPr>
                <w:rPr>
                  <w:rFonts w:ascii="Cambria Math" w:hAnsi="Cambria Math"/>
                  <w:i/>
                  <w:iCs/>
                </w:rPr>
              </m:ctrlPr>
            </m:dPr>
            <m:e>
              <m:d>
                <m:dPr>
                  <m:ctrlPr>
                    <w:rPr>
                      <w:rFonts w:ascii="Cambria Math" w:hAnsi="Cambria Math"/>
                      <w:i/>
                      <w:iCs/>
                    </w:rPr>
                  </m:ctrlPr>
                </m:dPr>
                <m:e>
                  <m:r>
                    <w:rPr>
                      <w:rFonts w:ascii="Cambria Math" w:hAnsi="Cambria Math"/>
                    </w:rPr>
                    <m:t>0.95×TPWRt</m:t>
                  </m:r>
                </m:e>
              </m:d>
              <m:r>
                <w:rPr>
                  <w:rFonts w:ascii="Cambria Math" w:hAnsi="Cambria Math"/>
                </w:rPr>
                <m:t>-</m:t>
              </m:r>
              <m:d>
                <m:dPr>
                  <m:ctrlPr>
                    <w:rPr>
                      <w:rFonts w:ascii="Cambria Math" w:hAnsi="Cambria Math"/>
                      <w:i/>
                      <w:iCs/>
                    </w:rPr>
                  </m:ctrlPr>
                </m:dPr>
                <m:e>
                  <m:r>
                    <w:rPr>
                      <w:rFonts w:ascii="Cambria Math" w:hAnsi="Cambria Math"/>
                    </w:rPr>
                    <m:t>0.015×EABRt</m:t>
                  </m:r>
                </m:e>
              </m:d>
              <m:r>
                <w:rPr>
                  <w:rFonts w:ascii="Cambria Math" w:hAnsi="Cambria Math"/>
                </w:rPr>
                <m:t>,0</m:t>
              </m:r>
            </m:e>
          </m:d>
        </m:oMath>
      </m:oMathPara>
    </w:p>
    <w:p w14:paraId="0CC2F8FC" w14:textId="18397DF1" w:rsidR="00D809A0" w:rsidRPr="002E1707" w:rsidRDefault="001D7BB5" w:rsidP="00D809A0">
      <w:r>
        <w:tab/>
      </w:r>
      <w:r w:rsidR="00D809A0" w:rsidRPr="002E1707">
        <w:t>where:</w:t>
      </w:r>
    </w:p>
    <w:tbl>
      <w:tblPr>
        <w:tblW w:w="8222" w:type="dxa"/>
        <w:tblInd w:w="817" w:type="dxa"/>
        <w:tblLayout w:type="fixed"/>
        <w:tblLook w:val="04A0" w:firstRow="1" w:lastRow="0" w:firstColumn="1" w:lastColumn="0" w:noHBand="0" w:noVBand="1"/>
      </w:tblPr>
      <w:tblGrid>
        <w:gridCol w:w="1418"/>
        <w:gridCol w:w="6804"/>
      </w:tblGrid>
      <w:tr w:rsidR="00D809A0" w:rsidRPr="00161DA4" w14:paraId="41779107" w14:textId="77777777" w:rsidTr="00D809A0">
        <w:trPr>
          <w:trHeight w:val="567"/>
        </w:trPr>
        <w:tc>
          <w:tcPr>
            <w:tcW w:w="1418" w:type="dxa"/>
          </w:tcPr>
          <w:p w14:paraId="2ED69851" w14:textId="10B22DE0" w:rsidR="00D809A0" w:rsidRPr="001D7BB5" w:rsidRDefault="00D809A0" w:rsidP="00D809A0">
            <w:pPr>
              <w:rPr>
                <w:i/>
                <w:iCs/>
              </w:rPr>
            </w:pPr>
            <w:r w:rsidRPr="001D7BB5">
              <w:rPr>
                <w:i/>
                <w:iCs/>
              </w:rPr>
              <w:t>TPWR</w:t>
            </w:r>
            <w:r w:rsidRPr="001D7BB5">
              <w:rPr>
                <w:i/>
                <w:iCs/>
                <w:vertAlign w:val="subscript"/>
              </w:rPr>
              <w:t>t</w:t>
            </w:r>
          </w:p>
        </w:tc>
        <w:tc>
          <w:tcPr>
            <w:tcW w:w="6804" w:type="dxa"/>
          </w:tcPr>
          <w:p w14:paraId="799E1AD0" w14:textId="1E96B30F" w:rsidR="00D809A0" w:rsidRPr="002E1707" w:rsidRDefault="00D809A0" w:rsidP="00D809A0">
            <w:r w:rsidRPr="002E1707">
              <w:t>means Third Party Damage and Water Ingress Costs</w:t>
            </w:r>
            <w:r>
              <w:t>; and</w:t>
            </w:r>
          </w:p>
        </w:tc>
      </w:tr>
      <w:tr w:rsidR="00D809A0" w:rsidRPr="00734C6D" w14:paraId="06E997DA" w14:textId="77777777" w:rsidTr="00D809A0">
        <w:trPr>
          <w:trHeight w:val="567"/>
        </w:trPr>
        <w:tc>
          <w:tcPr>
            <w:tcW w:w="1418" w:type="dxa"/>
          </w:tcPr>
          <w:p w14:paraId="23038FF0" w14:textId="16600145" w:rsidR="00D809A0" w:rsidRPr="001D7BB5" w:rsidRDefault="00D809A0" w:rsidP="00D809A0">
            <w:pPr>
              <w:rPr>
                <w:i/>
                <w:iCs/>
              </w:rPr>
            </w:pPr>
            <w:r w:rsidRPr="001D7BB5">
              <w:rPr>
                <w:i/>
                <w:iCs/>
              </w:rPr>
              <w:t>EABR</w:t>
            </w:r>
            <w:r w:rsidRPr="001D7BB5">
              <w:rPr>
                <w:i/>
                <w:iCs/>
                <w:vertAlign w:val="subscript"/>
              </w:rPr>
              <w:t>t</w:t>
            </w:r>
          </w:p>
        </w:tc>
        <w:tc>
          <w:tcPr>
            <w:tcW w:w="6804" w:type="dxa"/>
          </w:tcPr>
          <w:p w14:paraId="5AB5AE39" w14:textId="77777777" w:rsidR="00D809A0" w:rsidRPr="005A28DA" w:rsidRDefault="00D809A0" w:rsidP="00D809A0">
            <w:r w:rsidRPr="005A28DA">
              <w:t>means Ex Ante Base Revenue.</w:t>
            </w:r>
          </w:p>
        </w:tc>
      </w:tr>
    </w:tbl>
    <w:p w14:paraId="42E55CBB" w14:textId="77777777" w:rsidR="00D809A0" w:rsidRPr="002E1707" w:rsidRDefault="00D809A0" w:rsidP="00D51F4A">
      <w:pPr>
        <w:pStyle w:val="NumberedNormal"/>
        <w:numPr>
          <w:ilvl w:val="2"/>
          <w:numId w:val="7"/>
        </w:numPr>
      </w:pPr>
      <w:r>
        <w:t xml:space="preserve">The licensee must use its best endeavours to recoup Third Party Damage and Water Ingress Costs via any related insurance policies or from the person responsible for the Third Party Damage and Water Ingress Costs. </w:t>
      </w:r>
    </w:p>
    <w:p w14:paraId="74235908" w14:textId="77777777" w:rsidR="00D809A0" w:rsidRPr="002E1707" w:rsidRDefault="00D809A0" w:rsidP="00D51F4A">
      <w:pPr>
        <w:pStyle w:val="NumberedNormal"/>
        <w:numPr>
          <w:ilvl w:val="2"/>
          <w:numId w:val="7"/>
        </w:numPr>
      </w:pPr>
      <w:r>
        <w:t>The Authority will review the action taken by the licensee to recoup Third Party Damage and Water Ingress Costs.</w:t>
      </w:r>
    </w:p>
    <w:p w14:paraId="0B1B85B7" w14:textId="4FA57A3D" w:rsidR="00D809A0" w:rsidRPr="002E1707" w:rsidRDefault="00D809A0" w:rsidP="00D51F4A">
      <w:pPr>
        <w:pStyle w:val="NumberedNormal"/>
        <w:numPr>
          <w:ilvl w:val="2"/>
          <w:numId w:val="7"/>
        </w:numPr>
      </w:pPr>
      <w:r>
        <w:t>If, after reviewing the licensee’s actions, the Authority considers that the licensee has not complied with paragraph 6.1.8, the Authority will adjust the value of TPWI</w:t>
      </w:r>
      <w:r w:rsidRPr="0039702C">
        <w:rPr>
          <w:vertAlign w:val="subscript"/>
        </w:rPr>
        <w:t>t</w:t>
      </w:r>
      <w:r>
        <w:t xml:space="preserve"> by direction.</w:t>
      </w:r>
    </w:p>
    <w:p w14:paraId="39E5700F" w14:textId="53A9B1F3" w:rsidR="00D809A0" w:rsidRPr="002E1707" w:rsidRDefault="00283BC8" w:rsidP="00D51F4A">
      <w:pPr>
        <w:pStyle w:val="Heading3"/>
        <w:numPr>
          <w:ilvl w:val="5"/>
          <w:numId w:val="7"/>
        </w:numPr>
      </w:pPr>
      <w:r>
        <w:t xml:space="preserve">Formula for calculating </w:t>
      </w:r>
      <w:r w:rsidR="00D809A0">
        <w:t>the Shrinkage Costs pass</w:t>
      </w:r>
      <w:r>
        <w:t>-</w:t>
      </w:r>
      <w:r w:rsidR="00D809A0">
        <w:t>through term (SL</w:t>
      </w:r>
      <w:r w:rsidR="00D809A0" w:rsidRPr="0039702C">
        <w:rPr>
          <w:vertAlign w:val="subscript"/>
        </w:rPr>
        <w:t>t</w:t>
      </w:r>
      <w:r w:rsidR="00D809A0">
        <w:t>)</w:t>
      </w:r>
    </w:p>
    <w:p w14:paraId="3208BA3B" w14:textId="0C7416BC" w:rsidR="00D809A0" w:rsidRPr="002E1707" w:rsidRDefault="00D809A0" w:rsidP="00D51F4A">
      <w:pPr>
        <w:pStyle w:val="NumberedNormal"/>
        <w:numPr>
          <w:ilvl w:val="2"/>
          <w:numId w:val="7"/>
        </w:numPr>
      </w:pPr>
      <w:r>
        <w:t>The value of SL</w:t>
      </w:r>
      <w:r w:rsidRPr="0039702C">
        <w:rPr>
          <w:vertAlign w:val="subscript"/>
        </w:rPr>
        <w:t>t</w:t>
      </w:r>
      <w:r>
        <w:t xml:space="preserve"> is derived in accordance with the following formula:</w:t>
      </w:r>
    </w:p>
    <w:p w14:paraId="13DD278D" w14:textId="622B47CC" w:rsidR="00D809A0" w:rsidRPr="00497E8E" w:rsidRDefault="00497E8E" w:rsidP="00497E8E">
      <w:pPr>
        <w:rPr>
          <w:i/>
        </w:rPr>
      </w:pPr>
      <w:r>
        <w:rPr>
          <w:rFonts w:eastAsiaTheme="minorEastAsia"/>
        </w:rPr>
        <w:tab/>
      </w:r>
      <m:oMath>
        <m:sSub>
          <m:sSubPr>
            <m:ctrlPr>
              <w:rPr>
                <w:rFonts w:ascii="Cambria Math" w:hAnsi="Cambria Math"/>
                <w:i/>
              </w:rPr>
            </m:ctrlPr>
          </m:sSubPr>
          <m:e>
            <m:r>
              <w:rPr>
                <w:rFonts w:ascii="Cambria Math" w:hAnsi="Cambria Math"/>
              </w:rPr>
              <m:t>SL</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ASV</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GPRC</m:t>
            </m:r>
          </m:e>
          <m:sub>
            <m:r>
              <w:rPr>
                <w:rFonts w:ascii="Cambria Math" w:hAnsi="Cambria Math"/>
              </w:rPr>
              <m:t>t</m:t>
            </m:r>
          </m:sub>
        </m:sSub>
      </m:oMath>
      <w:r w:rsidR="00D809A0" w:rsidRPr="00497E8E">
        <w:rPr>
          <w:i/>
        </w:rPr>
        <w:t xml:space="preserve"> </w:t>
      </w:r>
    </w:p>
    <w:p w14:paraId="264315F4" w14:textId="0B81FDD6" w:rsidR="00D809A0" w:rsidRPr="002E1707" w:rsidRDefault="00376262" w:rsidP="00D809A0">
      <w:r>
        <w:tab/>
      </w:r>
      <w:r w:rsidR="00D809A0" w:rsidRPr="002E1707">
        <w:t>where:</w:t>
      </w:r>
    </w:p>
    <w:tbl>
      <w:tblPr>
        <w:tblStyle w:val="TableGridLight"/>
        <w:tblW w:w="0" w:type="auto"/>
        <w:tblLook w:val="04A0" w:firstRow="1" w:lastRow="0" w:firstColumn="1" w:lastColumn="0" w:noHBand="0" w:noVBand="1"/>
      </w:tblPr>
      <w:tblGrid>
        <w:gridCol w:w="799"/>
        <w:gridCol w:w="7547"/>
      </w:tblGrid>
      <w:tr w:rsidR="00D809A0" w:rsidRPr="00161DA4" w14:paraId="65521E77" w14:textId="77777777" w:rsidTr="006B6A38">
        <w:trPr>
          <w:trHeight w:val="567"/>
        </w:trPr>
        <w:tc>
          <w:tcPr>
            <w:tcW w:w="0" w:type="auto"/>
          </w:tcPr>
          <w:p w14:paraId="76AE0149" w14:textId="14F3A6F4" w:rsidR="00D809A0" w:rsidRPr="00376262" w:rsidRDefault="00D809A0" w:rsidP="00D809A0">
            <w:pPr>
              <w:rPr>
                <w:i/>
                <w:iCs/>
              </w:rPr>
            </w:pPr>
            <w:r w:rsidRPr="00376262">
              <w:rPr>
                <w:i/>
                <w:iCs/>
              </w:rPr>
              <w:lastRenderedPageBreak/>
              <w:t>ASV</w:t>
            </w:r>
            <w:r w:rsidR="00376262" w:rsidRPr="00376262">
              <w:rPr>
                <w:i/>
                <w:iCs/>
                <w:vertAlign w:val="subscript"/>
              </w:rPr>
              <w:t>t</w:t>
            </w:r>
          </w:p>
        </w:tc>
        <w:tc>
          <w:tcPr>
            <w:tcW w:w="0" w:type="auto"/>
          </w:tcPr>
          <w:p w14:paraId="0C7450F2" w14:textId="5C98ED5B" w:rsidR="00D809A0" w:rsidRPr="002E1707" w:rsidRDefault="00D809A0" w:rsidP="00D809A0">
            <w:r w:rsidRPr="002E1707">
              <w:t>means the Actual Shrinkage Volume</w:t>
            </w:r>
            <w:r>
              <w:t>; and</w:t>
            </w:r>
          </w:p>
        </w:tc>
      </w:tr>
      <w:tr w:rsidR="00D809A0" w:rsidRPr="00161DA4" w14:paraId="25C9FF02" w14:textId="77777777" w:rsidTr="006B6A38">
        <w:trPr>
          <w:trHeight w:val="567"/>
        </w:trPr>
        <w:tc>
          <w:tcPr>
            <w:tcW w:w="0" w:type="auto"/>
          </w:tcPr>
          <w:p w14:paraId="1A67B12C" w14:textId="6258988F" w:rsidR="00D809A0" w:rsidRPr="00376262" w:rsidRDefault="00D809A0" w:rsidP="00D809A0">
            <w:pPr>
              <w:rPr>
                <w:i/>
                <w:iCs/>
              </w:rPr>
            </w:pPr>
            <w:r w:rsidRPr="00376262">
              <w:rPr>
                <w:i/>
                <w:iCs/>
              </w:rPr>
              <w:t>GPRC</w:t>
            </w:r>
            <w:r w:rsidR="00376262" w:rsidRPr="00376262">
              <w:rPr>
                <w:i/>
                <w:iCs/>
                <w:vertAlign w:val="subscript"/>
              </w:rPr>
              <w:t>t</w:t>
            </w:r>
          </w:p>
        </w:tc>
        <w:tc>
          <w:tcPr>
            <w:tcW w:w="0" w:type="auto"/>
          </w:tcPr>
          <w:p w14:paraId="170494B7" w14:textId="1DAF73BE" w:rsidR="00D809A0" w:rsidRPr="002E1707" w:rsidRDefault="00D809A0" w:rsidP="000157F3">
            <w:r w:rsidRPr="002E1707">
              <w:t>means the Gas Price Reference Cost, and is derived in accordance with Part B of Sp</w:t>
            </w:r>
            <w:r>
              <w:t xml:space="preserve">ecial </w:t>
            </w:r>
            <w:r w:rsidRPr="002E1707">
              <w:t>C</w:t>
            </w:r>
            <w:r>
              <w:t>ondition</w:t>
            </w:r>
            <w:r w:rsidRPr="002E1707">
              <w:t xml:space="preserve"> </w:t>
            </w:r>
            <w:r>
              <w:t xml:space="preserve">4.4 (Shrinkage </w:t>
            </w:r>
            <w:r w:rsidR="000157F3">
              <w:t>m</w:t>
            </w:r>
            <w:r>
              <w:t xml:space="preserve">anagement output delivery incentive). </w:t>
            </w:r>
          </w:p>
        </w:tc>
      </w:tr>
    </w:tbl>
    <w:p w14:paraId="6CBABBC4" w14:textId="6EF800E9" w:rsidR="00D809A0" w:rsidRPr="00B8033B" w:rsidRDefault="00D809A0" w:rsidP="00D809A0">
      <w:pPr>
        <w:pStyle w:val="Heading3"/>
      </w:pPr>
      <w:r w:rsidRPr="00B8033B">
        <w:t>Formula for calculating the Bad Debt term (BD</w:t>
      </w:r>
      <w:r w:rsidRPr="0039702C">
        <w:rPr>
          <w:vertAlign w:val="subscript"/>
        </w:rPr>
        <w:t>t</w:t>
      </w:r>
      <w:r w:rsidRPr="00B8033B">
        <w:t>)</w:t>
      </w:r>
    </w:p>
    <w:p w14:paraId="52C23095" w14:textId="3B47D006" w:rsidR="00D809A0" w:rsidRPr="00B8033B" w:rsidRDefault="00D809A0" w:rsidP="00D809A0">
      <w:pPr>
        <w:pStyle w:val="NumberedNormal"/>
      </w:pPr>
      <w:r>
        <w:t>The value of the BD</w:t>
      </w:r>
      <w:r w:rsidRPr="0039702C">
        <w:rPr>
          <w:vertAlign w:val="subscript"/>
        </w:rPr>
        <w:t>t</w:t>
      </w:r>
      <w:r>
        <w:t xml:space="preserve"> term is derived in accordance with the following formula:</w:t>
      </w:r>
    </w:p>
    <w:p w14:paraId="7ECEB0FF" w14:textId="6EB08C6B" w:rsidR="00D809A0" w:rsidRPr="008E0567" w:rsidRDefault="008E0567" w:rsidP="008E0567">
      <w:r>
        <w:rPr>
          <w:rFonts w:eastAsiaTheme="minorEastAsia"/>
        </w:rPr>
        <w:tab/>
      </w:r>
      <m:oMath>
        <m:sSub>
          <m:sSubPr>
            <m:ctrlPr>
              <w:rPr>
                <w:rFonts w:ascii="Cambria Math" w:hAnsi="Cambria Math"/>
              </w:rPr>
            </m:ctrlPr>
          </m:sSubPr>
          <m:e>
            <m:r>
              <m:rPr>
                <m:sty m:val="p"/>
              </m:rPr>
              <w:rPr>
                <w:rFonts w:ascii="Cambria Math" w:hAnsi="Cambria Math"/>
              </w:rPr>
              <m:t xml:space="preserve">  </m:t>
            </m:r>
            <m:r>
              <w:rPr>
                <w:rFonts w:ascii="Cambria Math" w:hAnsi="Cambria Math"/>
              </w:rPr>
              <m:t>BD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BDA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RBD</m:t>
            </m:r>
          </m:e>
          <m:sub>
            <m:r>
              <w:rPr>
                <w:rFonts w:ascii="Cambria Math" w:hAnsi="Cambria Math"/>
              </w:rPr>
              <m:t>t</m:t>
            </m:r>
          </m:sub>
        </m:sSub>
      </m:oMath>
    </w:p>
    <w:p w14:paraId="5A6923EA" w14:textId="0607DBDC" w:rsidR="00D809A0" w:rsidRPr="00F52FAE" w:rsidRDefault="008E0567" w:rsidP="000157F3">
      <w:r>
        <w:tab/>
      </w:r>
      <w:r w:rsidR="00D809A0" w:rsidRPr="00F52FAE">
        <w:t>where:</w:t>
      </w:r>
    </w:p>
    <w:tbl>
      <w:tblPr>
        <w:tblStyle w:val="TableGridLight"/>
        <w:tblW w:w="0" w:type="auto"/>
        <w:tblLook w:val="04A0" w:firstRow="1" w:lastRow="0" w:firstColumn="1" w:lastColumn="0" w:noHBand="0" w:noVBand="1"/>
      </w:tblPr>
      <w:tblGrid>
        <w:gridCol w:w="764"/>
        <w:gridCol w:w="7582"/>
      </w:tblGrid>
      <w:tr w:rsidR="00D809A0" w:rsidRPr="00485308" w14:paraId="2AACB5D6" w14:textId="77777777" w:rsidTr="00F07ABC">
        <w:trPr>
          <w:trHeight w:val="567"/>
        </w:trPr>
        <w:tc>
          <w:tcPr>
            <w:tcW w:w="0" w:type="auto"/>
          </w:tcPr>
          <w:p w14:paraId="0E93BCD3" w14:textId="7137993B" w:rsidR="00D809A0" w:rsidRPr="00F25D65" w:rsidRDefault="008C7681" w:rsidP="00D809A0">
            <w:pPr>
              <w:rPr>
                <w:i/>
                <w:iCs/>
              </w:rPr>
            </w:pPr>
            <m:oMath>
              <m:sSub>
                <m:sSubPr>
                  <m:ctrlPr>
                    <w:rPr>
                      <w:rFonts w:ascii="Cambria Math" w:hAnsi="Cambria Math"/>
                      <w:i/>
                      <w:iCs/>
                    </w:rPr>
                  </m:ctrlPr>
                </m:sSubPr>
                <m:e>
                  <m:r>
                    <w:rPr>
                      <w:rFonts w:ascii="Cambria Math" w:hAnsi="Cambria Math"/>
                    </w:rPr>
                    <m:t>BDA</m:t>
                  </m:r>
                </m:e>
                <m:sub>
                  <m:r>
                    <w:rPr>
                      <w:rFonts w:ascii="Cambria Math" w:hAnsi="Cambria Math"/>
                    </w:rPr>
                    <m:t>t</m:t>
                  </m:r>
                </m:sub>
              </m:sSub>
            </m:oMath>
            <w:r w:rsidR="00D809A0" w:rsidRPr="00F25D65">
              <w:rPr>
                <w:i/>
                <w:iCs/>
              </w:rPr>
              <w:t xml:space="preserve"> </w:t>
            </w:r>
          </w:p>
        </w:tc>
        <w:tc>
          <w:tcPr>
            <w:tcW w:w="0" w:type="auto"/>
          </w:tcPr>
          <w:p w14:paraId="54BFA4F2" w14:textId="4D0446E1" w:rsidR="00D809A0" w:rsidRPr="00B8033B" w:rsidRDefault="00D809A0" w:rsidP="00D809A0">
            <w:r>
              <w:t xml:space="preserve">means the aggregate value of Bad Debt the licensee has incurred or expects to incur with respect to Distribution Network Transportation Charges owed to the licensee by one or more Defaulting Gas Shippers, inclusive of interest income accrued at the default rate set out in the Uniform Network Code; and </w:t>
            </w:r>
          </w:p>
          <w:p w14:paraId="5727BDE4" w14:textId="77777777" w:rsidR="00D809A0" w:rsidRPr="00B8033B" w:rsidRDefault="00D809A0" w:rsidP="00D809A0"/>
        </w:tc>
      </w:tr>
      <w:tr w:rsidR="00D809A0" w:rsidRPr="00485308" w14:paraId="22A95E0B" w14:textId="77777777" w:rsidTr="00F07ABC">
        <w:trPr>
          <w:trHeight w:val="567"/>
        </w:trPr>
        <w:tc>
          <w:tcPr>
            <w:tcW w:w="0" w:type="auto"/>
          </w:tcPr>
          <w:p w14:paraId="3EC89CB2" w14:textId="76B94A42" w:rsidR="00D809A0" w:rsidRPr="00F25D65" w:rsidRDefault="008C7681" w:rsidP="00D809A0">
            <w:pPr>
              <w:rPr>
                <w:i/>
                <w:iCs/>
              </w:rPr>
            </w:pPr>
            <m:oMath>
              <m:sSub>
                <m:sSubPr>
                  <m:ctrlPr>
                    <w:rPr>
                      <w:rFonts w:ascii="Cambria Math" w:hAnsi="Cambria Math"/>
                      <w:i/>
                      <w:iCs/>
                    </w:rPr>
                  </m:ctrlPr>
                </m:sSubPr>
                <m:e>
                  <m:r>
                    <w:rPr>
                      <w:rFonts w:ascii="Cambria Math" w:hAnsi="Cambria Math"/>
                    </w:rPr>
                    <m:t>RBD</m:t>
                  </m:r>
                </m:e>
                <m:sub>
                  <m:r>
                    <w:rPr>
                      <w:rFonts w:ascii="Cambria Math" w:hAnsi="Cambria Math"/>
                    </w:rPr>
                    <m:t>t</m:t>
                  </m:r>
                </m:sub>
              </m:sSub>
            </m:oMath>
            <w:r w:rsidR="00D809A0" w:rsidRPr="00F25D65">
              <w:rPr>
                <w:i/>
                <w:iCs/>
              </w:rPr>
              <w:t xml:space="preserve"> </w:t>
            </w:r>
          </w:p>
        </w:tc>
        <w:tc>
          <w:tcPr>
            <w:tcW w:w="0" w:type="auto"/>
          </w:tcPr>
          <w:p w14:paraId="31303D38" w14:textId="381FF144" w:rsidR="00D809A0" w:rsidRPr="00B8033B" w:rsidRDefault="00D809A0" w:rsidP="00D809A0">
            <w:r>
              <w:t>means the aggregate value of Bad Debt previously recovered by the licensee via the BDA</w:t>
            </w:r>
            <w:r w:rsidRPr="0039702C">
              <w:rPr>
                <w:vertAlign w:val="subscript"/>
              </w:rPr>
              <w:t>t</w:t>
            </w:r>
            <w:r>
              <w:t xml:space="preserve"> term, where the licensee has been credited by the administrator or liquidator of a Defaulting Gas Shipper. </w:t>
            </w:r>
          </w:p>
        </w:tc>
      </w:tr>
    </w:tbl>
    <w:p w14:paraId="1653EBC2" w14:textId="77777777" w:rsidR="00F07ABC" w:rsidRDefault="00F07ABC" w:rsidP="00F07ABC"/>
    <w:p w14:paraId="56899786" w14:textId="792D08D3" w:rsidR="00D809A0" w:rsidRDefault="00D809A0" w:rsidP="00D51F4A">
      <w:pPr>
        <w:pStyle w:val="NumberedNormal"/>
        <w:numPr>
          <w:ilvl w:val="2"/>
          <w:numId w:val="7"/>
        </w:numPr>
      </w:pPr>
      <w:r>
        <w:t>The values for BDA</w:t>
      </w:r>
      <w:r w:rsidRPr="0039702C">
        <w:rPr>
          <w:vertAlign w:val="subscript"/>
        </w:rPr>
        <w:t>t</w:t>
      </w:r>
      <w:r>
        <w:rPr>
          <w:szCs w:val="24"/>
        </w:rPr>
        <w:t xml:space="preserve"> and </w:t>
      </w:r>
      <w:r>
        <w:t>BDA</w:t>
      </w:r>
      <w:r w:rsidRPr="0039702C">
        <w:rPr>
          <w:vertAlign w:val="subscript"/>
        </w:rPr>
        <w:t>t</w:t>
      </w:r>
      <w:r>
        <w:t xml:space="preserve"> are to be reported in accordance with the PCFM Guidance and the licensee’s obligations under standard condition </w:t>
      </w:r>
      <w:r w:rsidR="000173D7">
        <w:t>48</w:t>
      </w:r>
      <w:r>
        <w:t xml:space="preserve"> (Last Resort Supply: Payment Claims).</w:t>
      </w:r>
    </w:p>
    <w:p w14:paraId="7786CD1D" w14:textId="77777777" w:rsidR="00D809A0" w:rsidRPr="005E214B" w:rsidRDefault="00D809A0" w:rsidP="00D809A0"/>
    <w:p w14:paraId="0977BEC9" w14:textId="77777777" w:rsidR="00D809A0" w:rsidRDefault="00D809A0" w:rsidP="00D51F4A">
      <w:pPr>
        <w:pStyle w:val="Heading1"/>
        <w:numPr>
          <w:ilvl w:val="0"/>
          <w:numId w:val="7"/>
        </w:numPr>
      </w:pPr>
      <w:bookmarkStart w:id="146" w:name="_Toc51783681"/>
      <w:bookmarkStart w:id="147" w:name="_Toc52364577"/>
      <w:r>
        <w:lastRenderedPageBreak/>
        <w:t>Legacy Adjustments</w:t>
      </w:r>
      <w:bookmarkEnd w:id="146"/>
      <w:bookmarkEnd w:id="147"/>
    </w:p>
    <w:p w14:paraId="51DED233" w14:textId="7628C156" w:rsidR="00D809A0" w:rsidRDefault="00D809A0" w:rsidP="00D51F4A">
      <w:pPr>
        <w:pStyle w:val="Heading2"/>
        <w:numPr>
          <w:ilvl w:val="1"/>
          <w:numId w:val="7"/>
        </w:numPr>
      </w:pPr>
      <w:bookmarkStart w:id="148" w:name="_Toc51783682"/>
      <w:bookmarkStart w:id="149" w:name="_Toc52364578"/>
      <w:r>
        <w:t>Total legacy adjustments (LAR</w:t>
      </w:r>
      <w:r w:rsidRPr="0039702C">
        <w:rPr>
          <w:vertAlign w:val="subscript"/>
        </w:rPr>
        <w:t>t</w:t>
      </w:r>
      <w:r>
        <w:t>)</w:t>
      </w:r>
      <w:bookmarkEnd w:id="148"/>
      <w:bookmarkEnd w:id="149"/>
    </w:p>
    <w:p w14:paraId="6C32DCAB" w14:textId="77777777" w:rsidR="00D809A0" w:rsidRDefault="00D809A0" w:rsidP="00D51F4A">
      <w:pPr>
        <w:pStyle w:val="Heading3"/>
        <w:numPr>
          <w:ilvl w:val="5"/>
          <w:numId w:val="7"/>
        </w:numPr>
      </w:pPr>
      <w:r>
        <w:t>Introduction</w:t>
      </w:r>
    </w:p>
    <w:p w14:paraId="76488CC5" w14:textId="28185720" w:rsidR="00D809A0" w:rsidRDefault="00D809A0" w:rsidP="00D51F4A">
      <w:pPr>
        <w:pStyle w:val="NumberedNormal"/>
        <w:numPr>
          <w:ilvl w:val="2"/>
          <w:numId w:val="7"/>
        </w:numPr>
      </w:pPr>
      <w:r>
        <w:t>The purpose of this condition is to calculate the term LAR</w:t>
      </w:r>
      <w:r w:rsidRPr="0039702C">
        <w:rPr>
          <w:vertAlign w:val="subscript"/>
        </w:rPr>
        <w:t>t</w:t>
      </w:r>
      <w:r>
        <w:t xml:space="preserve"> (the legacy adjustments term), which in turn feeds into Calculated Revenue in Special Condition 2.1 (Revenue Restriction).</w:t>
      </w:r>
    </w:p>
    <w:p w14:paraId="584D5D1F" w14:textId="5AE74C87" w:rsidR="00D809A0" w:rsidRPr="00CD759D" w:rsidRDefault="00D809A0" w:rsidP="00D51F4A">
      <w:pPr>
        <w:pStyle w:val="Heading3"/>
        <w:numPr>
          <w:ilvl w:val="5"/>
          <w:numId w:val="7"/>
        </w:numPr>
      </w:pPr>
      <w:r>
        <w:t>Formula for calculating total legacy adjustments</w:t>
      </w:r>
      <w:r w:rsidR="00CE618F">
        <w:t xml:space="preserve"> (LAR</w:t>
      </w:r>
      <w:r w:rsidR="00CE618F" w:rsidRPr="00CE618F">
        <w:rPr>
          <w:vertAlign w:val="subscript"/>
        </w:rPr>
        <w:t>t</w:t>
      </w:r>
      <w:r w:rsidR="00CE618F">
        <w:t>)</w:t>
      </w:r>
    </w:p>
    <w:p w14:paraId="2AFA5C55" w14:textId="48D33AB2" w:rsidR="00D809A0" w:rsidRDefault="00D809A0" w:rsidP="00D51F4A">
      <w:pPr>
        <w:pStyle w:val="NumberedNormal"/>
        <w:numPr>
          <w:ilvl w:val="2"/>
          <w:numId w:val="7"/>
        </w:numPr>
      </w:pPr>
      <w:r>
        <w:t>The value of the LAR</w:t>
      </w:r>
      <w:r w:rsidRPr="0039702C">
        <w:rPr>
          <w:vertAlign w:val="subscript"/>
        </w:rPr>
        <w:t>t</w:t>
      </w:r>
      <w:r>
        <w:t xml:space="preserve"> term is derived in accordance with the following formula:</w:t>
      </w:r>
    </w:p>
    <w:p w14:paraId="61B4FC33" w14:textId="3AB48A66" w:rsidR="00D809A0" w:rsidRPr="003C282C" w:rsidRDefault="008C7681" w:rsidP="00D809A0">
      <m:oMathPara>
        <m:oMath>
          <m:sSub>
            <m:sSubPr>
              <m:ctrlPr>
                <w:rPr>
                  <w:rFonts w:ascii="Cambria Math" w:hAnsi="Cambria Math"/>
                  <w:i/>
                </w:rPr>
              </m:ctrlPr>
            </m:sSubPr>
            <m:e>
              <m:r>
                <w:rPr>
                  <w:rFonts w:ascii="Cambria Math" w:hAnsi="Cambria Math"/>
                </w:rPr>
                <m:t>LAR</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LPT</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LMOD</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LK</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LTRU</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NOCO</m:t>
              </m:r>
            </m:e>
            <m:sub>
              <m:r>
                <w:rPr>
                  <w:rFonts w:ascii="Cambria Math" w:hAnsi="Cambria Math"/>
                </w:rPr>
                <m:t>t</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LDRW</m:t>
              </m:r>
            </m:e>
            <m:sub>
              <m:r>
                <w:rPr>
                  <w:rFonts w:ascii="Cambria Math" w:eastAsiaTheme="minorEastAsia" w:hAnsi="Cambria Math"/>
                </w:rPr>
                <m:t>t</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LSE</m:t>
              </m:r>
            </m:e>
            <m:sub>
              <m:r>
                <w:rPr>
                  <w:rFonts w:ascii="Cambria Math" w:eastAsiaTheme="minorEastAsia" w:hAnsi="Cambria Math"/>
                </w:rPr>
                <m:t>t</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LCSO</m:t>
              </m:r>
            </m:e>
            <m:sub>
              <m:r>
                <w:rPr>
                  <w:rFonts w:ascii="Cambria Math" w:eastAsiaTheme="minorEastAsia" w:hAnsi="Cambria Math"/>
                </w:rPr>
                <m:t>t</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LCM</m:t>
              </m:r>
            </m:e>
            <m:sub>
              <m:r>
                <w:rPr>
                  <w:rFonts w:ascii="Cambria Math" w:eastAsiaTheme="minorEastAsia" w:hAnsi="Cambria Math"/>
                </w:rPr>
                <m:t>t</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LFPI</m:t>
              </m:r>
            </m:e>
            <m:sub>
              <m:r>
                <w:rPr>
                  <w:rFonts w:ascii="Cambria Math" w:eastAsiaTheme="minorEastAsia" w:hAnsi="Cambria Math"/>
                </w:rPr>
                <m:t>t</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LExO</m:t>
              </m:r>
            </m:e>
            <m:sub>
              <m:r>
                <w:rPr>
                  <w:rFonts w:ascii="Cambria Math" w:eastAsiaTheme="minorEastAsia" w:hAnsi="Cambria Math"/>
                </w:rPr>
                <m:t>t</m:t>
              </m:r>
            </m:sub>
          </m:sSub>
        </m:oMath>
      </m:oMathPara>
    </w:p>
    <w:p w14:paraId="773C09C4" w14:textId="56E04671" w:rsidR="00D809A0" w:rsidRDefault="00566D1D" w:rsidP="00D809A0">
      <w:r>
        <w:tab/>
      </w:r>
      <w:r w:rsidR="00D809A0">
        <w:t>where:</w:t>
      </w:r>
    </w:p>
    <w:tbl>
      <w:tblPr>
        <w:tblStyle w:val="TableGridLight"/>
        <w:tblW w:w="0" w:type="auto"/>
        <w:tblLook w:val="04A0" w:firstRow="1" w:lastRow="0" w:firstColumn="1" w:lastColumn="0" w:noHBand="0" w:noVBand="1"/>
      </w:tblPr>
      <w:tblGrid>
        <w:gridCol w:w="910"/>
        <w:gridCol w:w="7436"/>
      </w:tblGrid>
      <w:tr w:rsidR="00204715" w14:paraId="03EC3CAB" w14:textId="77777777" w:rsidTr="00003C8F">
        <w:tc>
          <w:tcPr>
            <w:tcW w:w="0" w:type="auto"/>
          </w:tcPr>
          <w:p w14:paraId="5B6EE255" w14:textId="0CAB8C19" w:rsidR="00204715" w:rsidRDefault="00204715" w:rsidP="00D809A0">
            <w:r>
              <w:t>LPT</w:t>
            </w:r>
            <w:r w:rsidRPr="00204715">
              <w:rPr>
                <w:vertAlign w:val="subscript"/>
              </w:rPr>
              <w:t>t</w:t>
            </w:r>
          </w:p>
        </w:tc>
        <w:tc>
          <w:tcPr>
            <w:tcW w:w="0" w:type="auto"/>
          </w:tcPr>
          <w:p w14:paraId="47EDABFF" w14:textId="22CD4D24" w:rsidR="00204715" w:rsidRDefault="00344E3E" w:rsidP="00D809A0">
            <w:r>
              <w:t xml:space="preserve">is derived in accordance with Special Condition </w:t>
            </w:r>
            <w:r w:rsidR="00FF6B6F">
              <w:t>7.2</w:t>
            </w:r>
            <w:r w:rsidR="006823AB">
              <w:t xml:space="preserve"> (Legacy pass-through)</w:t>
            </w:r>
            <w:r w:rsidR="00F4728E">
              <w:t>;</w:t>
            </w:r>
          </w:p>
        </w:tc>
      </w:tr>
      <w:tr w:rsidR="00D809A0" w14:paraId="1890F8CD" w14:textId="77777777" w:rsidTr="00003C8F">
        <w:tc>
          <w:tcPr>
            <w:tcW w:w="0" w:type="auto"/>
          </w:tcPr>
          <w:p w14:paraId="12CAB046" w14:textId="2C2A4E1C" w:rsidR="00D809A0" w:rsidRDefault="00D809A0" w:rsidP="00D809A0">
            <w:r>
              <w:t>LMOD</w:t>
            </w:r>
            <w:r w:rsidR="00204715" w:rsidRPr="00204715">
              <w:rPr>
                <w:vertAlign w:val="subscript"/>
              </w:rPr>
              <w:t>t</w:t>
            </w:r>
          </w:p>
        </w:tc>
        <w:tc>
          <w:tcPr>
            <w:tcW w:w="0" w:type="auto"/>
          </w:tcPr>
          <w:p w14:paraId="04D91F43" w14:textId="7C517816" w:rsidR="00D809A0" w:rsidRDefault="00D12FE1" w:rsidP="00D809A0">
            <w:r>
              <w:t xml:space="preserve">has the value in sheet X of the GD2 Price Control Financial </w:t>
            </w:r>
            <w:r w:rsidR="00F27907">
              <w:t>Model unless</w:t>
            </w:r>
            <w:r>
              <w:t xml:space="preserve"> the Authority directs otherwise </w:t>
            </w:r>
            <w:r w:rsidR="00BB4AB3">
              <w:t>in accordance with</w:t>
            </w:r>
            <w:r>
              <w:t xml:space="preserve"> Special Condition 7.3 (Legacy </w:t>
            </w:r>
            <w:r w:rsidR="00DF261C">
              <w:t>MOD</w:t>
            </w:r>
            <w:r>
              <w:t>)</w:t>
            </w:r>
            <w:r w:rsidR="00F4728E">
              <w:t>;</w:t>
            </w:r>
            <w:r w:rsidR="001D5B3A">
              <w:t xml:space="preserve"> </w:t>
            </w:r>
          </w:p>
        </w:tc>
      </w:tr>
      <w:tr w:rsidR="00D809A0" w14:paraId="310301FD" w14:textId="77777777" w:rsidTr="00003C8F">
        <w:tc>
          <w:tcPr>
            <w:tcW w:w="0" w:type="auto"/>
          </w:tcPr>
          <w:p w14:paraId="0CA59170" w14:textId="6E035665" w:rsidR="00D809A0" w:rsidRDefault="00D809A0" w:rsidP="00D809A0">
            <w:r>
              <w:t>LK</w:t>
            </w:r>
            <w:r w:rsidR="00204715" w:rsidRPr="00204715">
              <w:rPr>
                <w:vertAlign w:val="subscript"/>
              </w:rPr>
              <w:t>t</w:t>
            </w:r>
          </w:p>
        </w:tc>
        <w:tc>
          <w:tcPr>
            <w:tcW w:w="0" w:type="auto"/>
          </w:tcPr>
          <w:p w14:paraId="46C93BAC" w14:textId="5131ED9F" w:rsidR="00D809A0" w:rsidRDefault="000B148F" w:rsidP="00D809A0">
            <w:r>
              <w:t xml:space="preserve">is derived in accordance with Special Condition </w:t>
            </w:r>
            <w:r w:rsidR="002B3D7E">
              <w:t>7.4</w:t>
            </w:r>
            <w:r w:rsidR="00BB4AB3">
              <w:t xml:space="preserve"> (Legacy K correction term)</w:t>
            </w:r>
            <w:r w:rsidR="002B3D7E">
              <w:t>;</w:t>
            </w:r>
          </w:p>
        </w:tc>
      </w:tr>
      <w:tr w:rsidR="00D809A0" w14:paraId="698E9C20" w14:textId="77777777" w:rsidTr="00003C8F">
        <w:tc>
          <w:tcPr>
            <w:tcW w:w="0" w:type="auto"/>
          </w:tcPr>
          <w:p w14:paraId="5B700BD8" w14:textId="111652CF" w:rsidR="00D809A0" w:rsidRDefault="00D809A0" w:rsidP="00D809A0">
            <w:r>
              <w:t>LTRU</w:t>
            </w:r>
            <w:r w:rsidR="00204715" w:rsidRPr="00204715">
              <w:rPr>
                <w:vertAlign w:val="subscript"/>
              </w:rPr>
              <w:t>t</w:t>
            </w:r>
          </w:p>
        </w:tc>
        <w:tc>
          <w:tcPr>
            <w:tcW w:w="0" w:type="auto"/>
          </w:tcPr>
          <w:p w14:paraId="74833B80" w14:textId="3746DB11" w:rsidR="00D809A0" w:rsidRDefault="009F7F4A" w:rsidP="00D809A0">
            <w:r>
              <w:t xml:space="preserve">is derived in accordance with Special Condition </w:t>
            </w:r>
            <w:r w:rsidR="008F5493">
              <w:t>7.5</w:t>
            </w:r>
            <w:r w:rsidR="00BB4AB3">
              <w:t xml:space="preserve"> (Legacy TRU term)</w:t>
            </w:r>
            <w:r w:rsidR="008F5493">
              <w:t>;</w:t>
            </w:r>
          </w:p>
        </w:tc>
      </w:tr>
      <w:tr w:rsidR="00204715" w14:paraId="6E9ADC63" w14:textId="77777777" w:rsidTr="00003C8F">
        <w:tc>
          <w:tcPr>
            <w:tcW w:w="0" w:type="auto"/>
          </w:tcPr>
          <w:p w14:paraId="36F1157D" w14:textId="225E7F27" w:rsidR="00204715" w:rsidRDefault="00576BDD" w:rsidP="00204715">
            <w:r>
              <w:t>NOCO</w:t>
            </w:r>
            <w:r w:rsidR="00204715" w:rsidRPr="00204715">
              <w:rPr>
                <w:vertAlign w:val="subscript"/>
              </w:rPr>
              <w:t>t</w:t>
            </w:r>
          </w:p>
        </w:tc>
        <w:tc>
          <w:tcPr>
            <w:tcW w:w="0" w:type="auto"/>
          </w:tcPr>
          <w:p w14:paraId="59D229CF" w14:textId="404E771C" w:rsidR="00204715" w:rsidRDefault="00204715" w:rsidP="00204715">
            <w:r>
              <w:t xml:space="preserve">is derived in accordance with Special Condition </w:t>
            </w:r>
            <w:r w:rsidR="00E67628">
              <w:t>7.6</w:t>
            </w:r>
            <w:r w:rsidR="00FA2E29">
              <w:t xml:space="preserve"> (Close out of the RIIO-1 Network Outputs)</w:t>
            </w:r>
            <w:r w:rsidR="00E67628">
              <w:t>;</w:t>
            </w:r>
          </w:p>
        </w:tc>
      </w:tr>
      <w:tr w:rsidR="007D673A" w14:paraId="727DDF82" w14:textId="77777777" w:rsidTr="00003C8F">
        <w:tc>
          <w:tcPr>
            <w:tcW w:w="0" w:type="auto"/>
          </w:tcPr>
          <w:p w14:paraId="7CA9A85E" w14:textId="6E976DED" w:rsidR="007D673A" w:rsidRDefault="007D673A" w:rsidP="007D673A">
            <w:r>
              <w:t>LDRW</w:t>
            </w:r>
            <w:r w:rsidRPr="00126584">
              <w:rPr>
                <w:vertAlign w:val="subscript"/>
              </w:rPr>
              <w:t>t</w:t>
            </w:r>
          </w:p>
        </w:tc>
        <w:tc>
          <w:tcPr>
            <w:tcW w:w="0" w:type="auto"/>
          </w:tcPr>
          <w:p w14:paraId="13AD17FC" w14:textId="17B73B0F" w:rsidR="007D673A" w:rsidRDefault="007D673A" w:rsidP="007D673A">
            <w:r>
              <w:t xml:space="preserve">is derived in accordance with Special Condition </w:t>
            </w:r>
            <w:r w:rsidR="00D73263">
              <w:t>7.7</w:t>
            </w:r>
            <w:r w:rsidR="00FA2E29">
              <w:t xml:space="preserve"> (Close out </w:t>
            </w:r>
            <w:r w:rsidR="00D15613">
              <w:t>of the RIIO-GD1</w:t>
            </w:r>
            <w:r w:rsidR="004125ED">
              <w:t xml:space="preserve"> Discretionary Reward Scheme)</w:t>
            </w:r>
            <w:r w:rsidR="00D73263">
              <w:t>;</w:t>
            </w:r>
          </w:p>
        </w:tc>
      </w:tr>
      <w:tr w:rsidR="007D673A" w14:paraId="66BABC66" w14:textId="77777777" w:rsidTr="00003C8F">
        <w:tc>
          <w:tcPr>
            <w:tcW w:w="0" w:type="auto"/>
          </w:tcPr>
          <w:p w14:paraId="7B368CCC" w14:textId="4AA9706D" w:rsidR="007D673A" w:rsidRDefault="007D673A" w:rsidP="007D673A">
            <w:r>
              <w:t>LSE</w:t>
            </w:r>
            <w:r w:rsidRPr="00126584">
              <w:rPr>
                <w:vertAlign w:val="subscript"/>
              </w:rPr>
              <w:t>t</w:t>
            </w:r>
          </w:p>
        </w:tc>
        <w:tc>
          <w:tcPr>
            <w:tcW w:w="0" w:type="auto"/>
          </w:tcPr>
          <w:p w14:paraId="76C46099" w14:textId="413DFE0B" w:rsidR="007D673A" w:rsidRDefault="007D673A" w:rsidP="007D673A">
            <w:r>
              <w:t xml:space="preserve">is derived in accordance with Special Condition </w:t>
            </w:r>
            <w:r w:rsidR="00D73263">
              <w:t>7.8</w:t>
            </w:r>
            <w:r w:rsidR="004125ED">
              <w:t xml:space="preserve"> (Close out of the RIIO-GD1</w:t>
            </w:r>
            <w:r w:rsidR="00603402">
              <w:t xml:space="preserve"> Stakeholder Engagement Incentive)</w:t>
            </w:r>
          </w:p>
        </w:tc>
      </w:tr>
      <w:tr w:rsidR="007D673A" w14:paraId="0AA48ED2" w14:textId="77777777" w:rsidTr="00003C8F">
        <w:tc>
          <w:tcPr>
            <w:tcW w:w="0" w:type="auto"/>
          </w:tcPr>
          <w:p w14:paraId="3CDBAFD0" w14:textId="5947E645" w:rsidR="007D673A" w:rsidRDefault="007D673A" w:rsidP="007D673A">
            <w:r>
              <w:t>LCSO</w:t>
            </w:r>
            <w:r w:rsidRPr="00126584">
              <w:rPr>
                <w:vertAlign w:val="subscript"/>
              </w:rPr>
              <w:t>t</w:t>
            </w:r>
          </w:p>
        </w:tc>
        <w:tc>
          <w:tcPr>
            <w:tcW w:w="0" w:type="auto"/>
          </w:tcPr>
          <w:p w14:paraId="52F48BD0" w14:textId="255C5905" w:rsidR="007D673A" w:rsidRDefault="007D673A" w:rsidP="007D673A">
            <w:r>
              <w:t xml:space="preserve">is derived in accordance with Special Condition </w:t>
            </w:r>
            <w:r w:rsidR="00F9588A">
              <w:t>7.9</w:t>
            </w:r>
            <w:r w:rsidR="00603402">
              <w:t xml:space="preserve"> (Close out of the RIIO-GD1 Customer Satisfaction Survey Incentive)</w:t>
            </w:r>
            <w:r w:rsidR="00F9588A">
              <w:t>;</w:t>
            </w:r>
          </w:p>
        </w:tc>
      </w:tr>
      <w:tr w:rsidR="007D673A" w14:paraId="7FA1D71B" w14:textId="77777777" w:rsidTr="00003C8F">
        <w:tc>
          <w:tcPr>
            <w:tcW w:w="0" w:type="auto"/>
          </w:tcPr>
          <w:p w14:paraId="0C39FA38" w14:textId="4EC6A9A3" w:rsidR="007D673A" w:rsidRDefault="007D673A" w:rsidP="007D673A">
            <w:r>
              <w:t>LCM</w:t>
            </w:r>
            <w:r w:rsidRPr="00126584">
              <w:rPr>
                <w:vertAlign w:val="subscript"/>
              </w:rPr>
              <w:t>t</w:t>
            </w:r>
          </w:p>
        </w:tc>
        <w:tc>
          <w:tcPr>
            <w:tcW w:w="0" w:type="auto"/>
          </w:tcPr>
          <w:p w14:paraId="2740E51A" w14:textId="3CF1F983" w:rsidR="007D673A" w:rsidRDefault="007D673A" w:rsidP="007D673A">
            <w:r>
              <w:t xml:space="preserve">is derived in accordance with Special Condition </w:t>
            </w:r>
            <w:r w:rsidR="00F9588A">
              <w:t>7.10</w:t>
            </w:r>
            <w:r w:rsidR="00603402">
              <w:t xml:space="preserve"> (Close out of the RIIO-GD1 </w:t>
            </w:r>
            <w:r w:rsidR="007B24B1">
              <w:t>Complaints Metric Incentive</w:t>
            </w:r>
            <w:r w:rsidR="00603402">
              <w:t>)</w:t>
            </w:r>
            <w:r w:rsidR="00F9588A">
              <w:t>;</w:t>
            </w:r>
          </w:p>
        </w:tc>
      </w:tr>
      <w:tr w:rsidR="007D673A" w14:paraId="3C023E78" w14:textId="77777777" w:rsidTr="00003C8F">
        <w:tc>
          <w:tcPr>
            <w:tcW w:w="0" w:type="auto"/>
          </w:tcPr>
          <w:p w14:paraId="7C1770B6" w14:textId="5AF4883D" w:rsidR="007D673A" w:rsidRDefault="007D673A" w:rsidP="007D673A">
            <w:r>
              <w:t>LFPI</w:t>
            </w:r>
            <w:r w:rsidRPr="00126584">
              <w:rPr>
                <w:vertAlign w:val="subscript"/>
              </w:rPr>
              <w:t>t</w:t>
            </w:r>
          </w:p>
        </w:tc>
        <w:tc>
          <w:tcPr>
            <w:tcW w:w="0" w:type="auto"/>
          </w:tcPr>
          <w:p w14:paraId="2A4BE0F7" w14:textId="32A3A3A5" w:rsidR="007D673A" w:rsidRDefault="007D673A" w:rsidP="007D673A">
            <w:r>
              <w:t xml:space="preserve">is derived in accordance with Special Condition </w:t>
            </w:r>
            <w:r w:rsidR="00F9588A">
              <w:t>7.11</w:t>
            </w:r>
            <w:r w:rsidR="00603402">
              <w:t xml:space="preserve"> (Close out of the </w:t>
            </w:r>
            <w:r w:rsidR="007B24B1">
              <w:t>RIIO-GD1 Fuel Poor Network Extension Scheme Incentive Mechanism)</w:t>
            </w:r>
            <w:r w:rsidR="00F9588A">
              <w:t>; and</w:t>
            </w:r>
          </w:p>
        </w:tc>
      </w:tr>
      <w:tr w:rsidR="007D673A" w14:paraId="60AD500C" w14:textId="77777777" w:rsidTr="00003C8F">
        <w:tc>
          <w:tcPr>
            <w:tcW w:w="0" w:type="auto"/>
          </w:tcPr>
          <w:p w14:paraId="013C41E4" w14:textId="721B80E5" w:rsidR="007D673A" w:rsidRDefault="007D673A" w:rsidP="007D673A">
            <w:r>
              <w:t>LExO</w:t>
            </w:r>
            <w:r w:rsidRPr="00126584">
              <w:rPr>
                <w:vertAlign w:val="subscript"/>
              </w:rPr>
              <w:t>t</w:t>
            </w:r>
          </w:p>
        </w:tc>
        <w:tc>
          <w:tcPr>
            <w:tcW w:w="0" w:type="auto"/>
          </w:tcPr>
          <w:p w14:paraId="7FB86951" w14:textId="4CFC06B1" w:rsidR="007D673A" w:rsidRDefault="007D673A" w:rsidP="007D673A">
            <w:r>
              <w:t xml:space="preserve">is derived in accordance with Special Condition </w:t>
            </w:r>
            <w:r w:rsidR="00851969">
              <w:t>7.12</w:t>
            </w:r>
            <w:r w:rsidR="00975154">
              <w:t xml:space="preserve"> (Close out of the RIIO-GD1 Exit Capacity Cost Adjustment)</w:t>
            </w:r>
            <w:r w:rsidR="00851969">
              <w:t>.</w:t>
            </w:r>
          </w:p>
        </w:tc>
      </w:tr>
    </w:tbl>
    <w:p w14:paraId="762361D6" w14:textId="77777777" w:rsidR="0093623A" w:rsidRDefault="0093623A" w:rsidP="0093623A">
      <w:bookmarkStart w:id="150" w:name="_Toc51783683"/>
      <w:bookmarkStart w:id="151" w:name="_Hlk51798021"/>
    </w:p>
    <w:p w14:paraId="27CDE506" w14:textId="09ACFBC5" w:rsidR="00AE2689" w:rsidRDefault="00AE2689" w:rsidP="00AE2689">
      <w:pPr>
        <w:pStyle w:val="Heading2"/>
      </w:pPr>
      <w:bookmarkStart w:id="152" w:name="_Toc52364579"/>
      <w:bookmarkEnd w:id="150"/>
      <w:r>
        <w:lastRenderedPageBreak/>
        <w:t xml:space="preserve">Legacy </w:t>
      </w:r>
      <w:r w:rsidR="009A50DA">
        <w:t>p</w:t>
      </w:r>
      <w:r>
        <w:t>ass-through (LPT</w:t>
      </w:r>
      <w:r w:rsidRPr="00AE2689">
        <w:rPr>
          <w:vertAlign w:val="subscript"/>
        </w:rPr>
        <w:t>t</w:t>
      </w:r>
      <w:r>
        <w:t>)</w:t>
      </w:r>
      <w:bookmarkEnd w:id="152"/>
    </w:p>
    <w:p w14:paraId="6D71D7BC" w14:textId="77777777" w:rsidR="00021FFB" w:rsidRPr="0057526A" w:rsidRDefault="00021FFB" w:rsidP="00021FFB">
      <w:pPr>
        <w:pStyle w:val="Heading3nonumbering"/>
      </w:pPr>
      <w:r w:rsidRPr="0057526A">
        <w:t xml:space="preserve">Introduction </w:t>
      </w:r>
    </w:p>
    <w:p w14:paraId="436E4015" w14:textId="4BF16019" w:rsidR="00021FFB" w:rsidRPr="00946DAA" w:rsidRDefault="00021FFB" w:rsidP="00021FFB">
      <w:pPr>
        <w:pStyle w:val="NumberedNormal"/>
      </w:pPr>
      <w:r>
        <w:t>The purpose of this condition is to calculate the term LPT</w:t>
      </w:r>
      <w:r w:rsidRPr="00AC5DAC">
        <w:rPr>
          <w:vertAlign w:val="subscript"/>
        </w:rPr>
        <w:t>t</w:t>
      </w:r>
      <w:r>
        <w:t xml:space="preserve"> (the </w:t>
      </w:r>
      <w:r w:rsidR="00F3084A">
        <w:t xml:space="preserve">legacy </w:t>
      </w:r>
      <w:r w:rsidR="00EE1ECC">
        <w:t>pass</w:t>
      </w:r>
      <w:r w:rsidR="00267E14">
        <w:t>-</w:t>
      </w:r>
      <w:r w:rsidR="00EE1ECC">
        <w:t>through</w:t>
      </w:r>
      <w:r>
        <w:t xml:space="preserve"> term). This contributes to the calculation of the </w:t>
      </w:r>
      <w:r w:rsidR="001548FE">
        <w:t>term</w:t>
      </w:r>
      <w:r>
        <w:t xml:space="preserve"> LAR</w:t>
      </w:r>
      <w:r w:rsidRPr="00AC5DAC">
        <w:rPr>
          <w:vertAlign w:val="subscript"/>
        </w:rPr>
        <w:t>t</w:t>
      </w:r>
      <w:r>
        <w:t xml:space="preserve"> (the legacy adjustments term), which in turn feeds into the Calculated Revenue in Special Condition 2.1 (Revenue Restriction).</w:t>
      </w:r>
    </w:p>
    <w:p w14:paraId="779D37F9" w14:textId="17F3CD6D" w:rsidR="00021FFB" w:rsidRPr="00946DAA" w:rsidRDefault="00021FFB" w:rsidP="00021FFB">
      <w:pPr>
        <w:pStyle w:val="NumberedNormal"/>
      </w:pPr>
      <w:r>
        <w:t xml:space="preserve">The effect of this condition is to close out the RIIO-1 pass-through term such that revenue in the Regulatory Years commencing on 1 April 2021 and 1 April 2022 reflect pass-through </w:t>
      </w:r>
      <w:r w:rsidR="00B77F93">
        <w:t>item</w:t>
      </w:r>
      <w:r>
        <w:t xml:space="preserve"> adjustments relating to Regulatory Years commencing on 1 April 2019 and 1 April 2020 respectively.</w:t>
      </w:r>
    </w:p>
    <w:p w14:paraId="65793D32" w14:textId="757C6E08" w:rsidR="00021FFB" w:rsidRPr="00AE57AC" w:rsidRDefault="00021FFB" w:rsidP="00021FFB">
      <w:pPr>
        <w:pStyle w:val="Heading3"/>
      </w:pPr>
      <w:r>
        <w:t xml:space="preserve">Formula for calculating the </w:t>
      </w:r>
      <w:r w:rsidR="00267E14">
        <w:t>legacy pass-through</w:t>
      </w:r>
      <w:r>
        <w:t xml:space="preserve"> term (LPT</w:t>
      </w:r>
      <w:r w:rsidRPr="00367735">
        <w:rPr>
          <w:vertAlign w:val="subscript"/>
        </w:rPr>
        <w:t>t</w:t>
      </w:r>
      <w:r>
        <w:t>)</w:t>
      </w:r>
    </w:p>
    <w:p w14:paraId="772D9D2C" w14:textId="03BAC501" w:rsidR="00021FFB" w:rsidRPr="00946DAA" w:rsidRDefault="00021FFB" w:rsidP="00021FFB">
      <w:pPr>
        <w:pStyle w:val="NumberedNormal"/>
      </w:pPr>
      <w:r>
        <w:t>For the Regulatory Years commencing on 1 April 2021 and 1 April 2022, the value of L</w:t>
      </w:r>
      <w:r w:rsidR="00EE5963">
        <w:t>PT</w:t>
      </w:r>
      <w:r>
        <w:t xml:space="preserve"> </w:t>
      </w:r>
      <w:r w:rsidR="00543F6E">
        <w:t>has the value of PT as</w:t>
      </w:r>
      <w:r>
        <w:t xml:space="preserve"> determined in accordance with Special Condition 1</w:t>
      </w:r>
      <w:r w:rsidR="00B42BE6">
        <w:t>C</w:t>
      </w:r>
      <w:r>
        <w:t xml:space="preserve"> (</w:t>
      </w:r>
      <w:r w:rsidR="001E567D" w:rsidRPr="001E567D">
        <w:t>Distribution Network allowed pass-through items</w:t>
      </w:r>
      <w:r>
        <w:t>) of this licence as in force on 31 March 2021.</w:t>
      </w:r>
    </w:p>
    <w:p w14:paraId="5B8674DF" w14:textId="0C450018" w:rsidR="00EF04BE" w:rsidRPr="00EF04BE" w:rsidRDefault="00EE5963" w:rsidP="00EF04BE">
      <w:pPr>
        <w:pStyle w:val="NumberedNormal"/>
      </w:pPr>
      <w:r>
        <w:t>The value of LPT</w:t>
      </w:r>
      <w:r w:rsidRPr="00EE5963">
        <w:rPr>
          <w:vertAlign w:val="subscript"/>
        </w:rPr>
        <w:t>t</w:t>
      </w:r>
      <w:r>
        <w:rPr>
          <w:vertAlign w:val="subscript"/>
        </w:rPr>
        <w:t xml:space="preserve"> </w:t>
      </w:r>
      <w:r w:rsidR="001E567D">
        <w:t>for Regulatory Years</w:t>
      </w:r>
      <w:r w:rsidR="00021FFB">
        <w:t xml:space="preserve"> </w:t>
      </w:r>
      <w:r w:rsidR="001E567D">
        <w:t xml:space="preserve">commencing on or after 1 April 2023 </w:t>
      </w:r>
      <w:r w:rsidR="003436D4">
        <w:t>is</w:t>
      </w:r>
      <w:r w:rsidR="001E567D">
        <w:t xml:space="preserve"> zero.</w:t>
      </w:r>
    </w:p>
    <w:p w14:paraId="09E3A197" w14:textId="1273A608" w:rsidR="00D809A0" w:rsidRDefault="00D809A0" w:rsidP="00D51F4A">
      <w:pPr>
        <w:pStyle w:val="Heading2"/>
        <w:numPr>
          <w:ilvl w:val="1"/>
          <w:numId w:val="7"/>
        </w:numPr>
      </w:pPr>
      <w:bookmarkStart w:id="153" w:name="_Toc51783686"/>
      <w:bookmarkStart w:id="154" w:name="_Toc52364580"/>
      <w:r>
        <w:t>Legacy MOD (LMOD</w:t>
      </w:r>
      <w:r w:rsidRPr="000157F3">
        <w:rPr>
          <w:vertAlign w:val="subscript"/>
        </w:rPr>
        <w:t>t</w:t>
      </w:r>
      <w:r>
        <w:t>)</w:t>
      </w:r>
      <w:bookmarkEnd w:id="153"/>
      <w:bookmarkEnd w:id="154"/>
    </w:p>
    <w:p w14:paraId="7CBAE21D" w14:textId="77777777" w:rsidR="00D809A0" w:rsidRDefault="00D809A0" w:rsidP="004709E6">
      <w:pPr>
        <w:pStyle w:val="Heading3nonumbering"/>
      </w:pPr>
      <w:r>
        <w:t>Introduction</w:t>
      </w:r>
    </w:p>
    <w:p w14:paraId="3193E929" w14:textId="2404BE4D" w:rsidR="00F74746" w:rsidRDefault="006A2046" w:rsidP="00F74746">
      <w:pPr>
        <w:pStyle w:val="NumberedNormal"/>
      </w:pPr>
      <w:r>
        <w:t>This condition explains the process the Authority will follow when</w:t>
      </w:r>
      <w:r w:rsidRPr="00645878">
        <w:t xml:space="preserve"> </w:t>
      </w:r>
      <w:r w:rsidR="00E97CDC" w:rsidRPr="00645878">
        <w:t>directing values</w:t>
      </w:r>
      <w:r w:rsidRPr="00645878">
        <w:t xml:space="preserve"> for </w:t>
      </w:r>
      <w:r w:rsidR="006F0DE1">
        <w:t xml:space="preserve">the term </w:t>
      </w:r>
      <w:r>
        <w:t>LMOD</w:t>
      </w:r>
      <w:r w:rsidRPr="006A2046">
        <w:rPr>
          <w:vertAlign w:val="subscript"/>
        </w:rPr>
        <w:t>t</w:t>
      </w:r>
      <w:r w:rsidR="006F0DE1">
        <w:t xml:space="preserve"> (the legacy MOD term).</w:t>
      </w:r>
      <w:r w:rsidR="00F74746">
        <w:t xml:space="preserve"> This contributes to the calculation of the </w:t>
      </w:r>
      <w:r w:rsidR="001548FE">
        <w:t>term</w:t>
      </w:r>
      <w:r w:rsidR="00F74746">
        <w:t xml:space="preserve"> LAR</w:t>
      </w:r>
      <w:r w:rsidR="00F74746" w:rsidRPr="00AC5DAC">
        <w:rPr>
          <w:vertAlign w:val="subscript"/>
        </w:rPr>
        <w:t>t</w:t>
      </w:r>
      <w:r w:rsidR="00F74746">
        <w:rPr>
          <w:vertAlign w:val="subscript"/>
        </w:rPr>
        <w:t xml:space="preserve"> </w:t>
      </w:r>
      <w:r w:rsidR="00F74746">
        <w:t>(the legacy adjustments term), which in turn feeds into the Calculated Revenue in Special Condition 2.1 (Revenue Restriction).</w:t>
      </w:r>
    </w:p>
    <w:p w14:paraId="27EC3D67" w14:textId="1AEBA5ED" w:rsidR="00446C0D" w:rsidRPr="00946DAA" w:rsidRDefault="00446C0D" w:rsidP="00F74746">
      <w:pPr>
        <w:pStyle w:val="NumberedNormal"/>
      </w:pPr>
      <w:r>
        <w:t>The effect is to reflect the close out of the RIIO-1 P</w:t>
      </w:r>
      <w:r w:rsidR="00A754F7">
        <w:t xml:space="preserve">rice </w:t>
      </w:r>
      <w:r>
        <w:t>C</w:t>
      </w:r>
      <w:r w:rsidR="00A754F7">
        <w:t xml:space="preserve">ontrol </w:t>
      </w:r>
      <w:r>
        <w:t>F</w:t>
      </w:r>
      <w:r w:rsidR="00A754F7">
        <w:t xml:space="preserve">inancial </w:t>
      </w:r>
      <w:r>
        <w:t>M</w:t>
      </w:r>
      <w:r w:rsidR="00A754F7">
        <w:t>odel</w:t>
      </w:r>
      <w:r>
        <w:t>.</w:t>
      </w:r>
    </w:p>
    <w:p w14:paraId="1207C640" w14:textId="77777777" w:rsidR="00446C0D" w:rsidRPr="00645878" w:rsidRDefault="00446C0D" w:rsidP="00446C0D">
      <w:pPr>
        <w:pStyle w:val="Heading3"/>
        <w:numPr>
          <w:ilvl w:val="5"/>
          <w:numId w:val="7"/>
        </w:numPr>
      </w:pPr>
      <w:r>
        <w:t>Authority Assessment and direction</w:t>
      </w:r>
    </w:p>
    <w:p w14:paraId="043421E4" w14:textId="4425189C" w:rsidR="00446C0D" w:rsidRDefault="00446C0D" w:rsidP="00446C0D">
      <w:pPr>
        <w:pStyle w:val="NumberedNormal"/>
        <w:numPr>
          <w:ilvl w:val="2"/>
          <w:numId w:val="7"/>
        </w:numPr>
      </w:pPr>
      <w:r>
        <w:t>The Authority will direct revisions to LMOD</w:t>
      </w:r>
      <w:r w:rsidR="00B56C00" w:rsidRPr="00B56C00">
        <w:rPr>
          <w:vertAlign w:val="subscript"/>
        </w:rPr>
        <w:t>t</w:t>
      </w:r>
      <w:r w:rsidR="00745C50">
        <w:rPr>
          <w:vertAlign w:val="subscript"/>
        </w:rPr>
        <w:t>,</w:t>
      </w:r>
      <w:r w:rsidR="00094A05">
        <w:t xml:space="preserve"> </w:t>
      </w:r>
      <w:r w:rsidR="00434375">
        <w:t>coinciding with the Annual Iteration Process</w:t>
      </w:r>
      <w:r>
        <w:t>.</w:t>
      </w:r>
    </w:p>
    <w:p w14:paraId="5F04DD8D" w14:textId="65D16463" w:rsidR="00446C0D" w:rsidRPr="00645878" w:rsidRDefault="00446C0D" w:rsidP="00446C0D">
      <w:pPr>
        <w:pStyle w:val="NumberedNormal"/>
        <w:numPr>
          <w:ilvl w:val="2"/>
          <w:numId w:val="7"/>
        </w:numPr>
      </w:pPr>
      <w:r>
        <w:t xml:space="preserve">Before making a direction under paragraph </w:t>
      </w:r>
      <w:r w:rsidR="00464D9C">
        <w:t>7.</w:t>
      </w:r>
      <w:r>
        <w:t>3.</w:t>
      </w:r>
      <w:r w:rsidR="00464D9C">
        <w:t>3</w:t>
      </w:r>
      <w:r>
        <w:t xml:space="preserve"> the Authority will publish on the Authority's Website:</w:t>
      </w:r>
    </w:p>
    <w:p w14:paraId="58B44D20" w14:textId="77777777" w:rsidR="00446C0D" w:rsidRPr="00645878" w:rsidRDefault="00446C0D" w:rsidP="00446C0D">
      <w:pPr>
        <w:pStyle w:val="ListNormal"/>
        <w:numPr>
          <w:ilvl w:val="3"/>
          <w:numId w:val="7"/>
        </w:numPr>
      </w:pPr>
      <w:r>
        <w:t>the text of the proposed direction;</w:t>
      </w:r>
    </w:p>
    <w:p w14:paraId="17FFBBD7" w14:textId="77777777" w:rsidR="00446C0D" w:rsidRPr="00645878" w:rsidRDefault="00446C0D" w:rsidP="00446C0D">
      <w:pPr>
        <w:pStyle w:val="ListNormal"/>
        <w:numPr>
          <w:ilvl w:val="3"/>
          <w:numId w:val="7"/>
        </w:numPr>
      </w:pPr>
      <w:r>
        <w:t>the reasons for the proposed direction; and</w:t>
      </w:r>
    </w:p>
    <w:p w14:paraId="06165146" w14:textId="1D9EFF01" w:rsidR="00D809A0" w:rsidRDefault="00446C0D" w:rsidP="000E3CD5">
      <w:pPr>
        <w:pStyle w:val="ListNormal"/>
      </w:pPr>
      <w:r>
        <w:t>a period during which representations may be made on the proposed direction, which will not be less than 28 days.</w:t>
      </w:r>
    </w:p>
    <w:p w14:paraId="2138A76C" w14:textId="79B543F7" w:rsidR="00D809A0" w:rsidRDefault="00D809A0" w:rsidP="00D51F4A">
      <w:pPr>
        <w:pStyle w:val="Heading2"/>
        <w:numPr>
          <w:ilvl w:val="1"/>
          <w:numId w:val="7"/>
        </w:numPr>
      </w:pPr>
      <w:bookmarkStart w:id="155" w:name="_Toc51783687"/>
      <w:bookmarkStart w:id="156" w:name="_Toc52364581"/>
      <w:r>
        <w:lastRenderedPageBreak/>
        <w:t>Legacy K Correction (LK</w:t>
      </w:r>
      <w:r w:rsidRPr="000157F3">
        <w:rPr>
          <w:vertAlign w:val="subscript"/>
        </w:rPr>
        <w:t>t</w:t>
      </w:r>
      <w:r>
        <w:t>)</w:t>
      </w:r>
      <w:bookmarkEnd w:id="155"/>
      <w:bookmarkEnd w:id="156"/>
    </w:p>
    <w:p w14:paraId="3D38B785" w14:textId="77777777" w:rsidR="00B77F93" w:rsidRPr="0057526A" w:rsidRDefault="00B77F93" w:rsidP="00B77F93">
      <w:pPr>
        <w:pStyle w:val="Heading3nonumbering"/>
      </w:pPr>
      <w:r w:rsidRPr="0057526A">
        <w:t xml:space="preserve">Introduction </w:t>
      </w:r>
    </w:p>
    <w:p w14:paraId="43E52C01" w14:textId="33C759D7" w:rsidR="00B77F93" w:rsidRPr="00946DAA" w:rsidRDefault="00B77F93" w:rsidP="00B77F93">
      <w:pPr>
        <w:pStyle w:val="NumberedNormal"/>
      </w:pPr>
      <w:r>
        <w:t>The purpose of this condition is to calculate the term LK</w:t>
      </w:r>
      <w:r w:rsidRPr="00AC5DAC">
        <w:rPr>
          <w:vertAlign w:val="subscript"/>
        </w:rPr>
        <w:t>t</w:t>
      </w:r>
      <w:r>
        <w:t xml:space="preserve"> (the </w:t>
      </w:r>
      <w:r w:rsidR="00101697">
        <w:t>legacy correction term</w:t>
      </w:r>
      <w:r>
        <w:t xml:space="preserve">). This contributes to the calculation of the </w:t>
      </w:r>
      <w:r w:rsidR="00D148F6">
        <w:t xml:space="preserve">term </w:t>
      </w:r>
      <w:r>
        <w:t>LAR</w:t>
      </w:r>
      <w:r w:rsidRPr="00AC5DAC">
        <w:rPr>
          <w:vertAlign w:val="subscript"/>
        </w:rPr>
        <w:t>t</w:t>
      </w:r>
      <w:r>
        <w:t xml:space="preserve"> (the legacy adjustments term), which in turn feeds into the Calculated Revenue in Special Condition 2.1 (Revenue Restriction).</w:t>
      </w:r>
    </w:p>
    <w:p w14:paraId="49D5EF2A" w14:textId="10D700E9" w:rsidR="00B77F93" w:rsidRPr="00946DAA" w:rsidRDefault="00B77F93" w:rsidP="00B77F93">
      <w:pPr>
        <w:pStyle w:val="NumberedNormal"/>
      </w:pPr>
      <w:r>
        <w:t xml:space="preserve">The effect of this condition is to close out the RIIO-1 correction term such that revenue in the Regulatory Years commencing on 1 April 2021 and 1 April 2022 reflect </w:t>
      </w:r>
      <w:r w:rsidR="00BF40E4">
        <w:t xml:space="preserve">correction </w:t>
      </w:r>
      <w:r w:rsidR="0026516D">
        <w:t>values</w:t>
      </w:r>
      <w:r>
        <w:t xml:space="preserve"> relating to Regulatory Years commencing on 1 April 2019 and 1 April 2020 respectively.</w:t>
      </w:r>
    </w:p>
    <w:p w14:paraId="2F44FF11" w14:textId="6008DE6E" w:rsidR="00B77F93" w:rsidRPr="00AE57AC" w:rsidRDefault="00B77F93" w:rsidP="00B77F93">
      <w:pPr>
        <w:pStyle w:val="Heading3"/>
      </w:pPr>
      <w:r>
        <w:t xml:space="preserve">Formula for calculating the </w:t>
      </w:r>
      <w:r w:rsidR="0071526C">
        <w:t>legacy correction</w:t>
      </w:r>
      <w:r>
        <w:t xml:space="preserve"> term (L</w:t>
      </w:r>
      <w:r w:rsidR="007F3BD1">
        <w:t>K</w:t>
      </w:r>
      <w:r w:rsidRPr="00367735">
        <w:rPr>
          <w:vertAlign w:val="subscript"/>
        </w:rPr>
        <w:t>t</w:t>
      </w:r>
      <w:r>
        <w:t>)</w:t>
      </w:r>
    </w:p>
    <w:p w14:paraId="04F9FCBB" w14:textId="1DF16891" w:rsidR="00B77F93" w:rsidRPr="00946DAA" w:rsidRDefault="00B77F93" w:rsidP="00B77F93">
      <w:pPr>
        <w:pStyle w:val="NumberedNormal"/>
      </w:pPr>
      <w:r>
        <w:t xml:space="preserve">For the Regulatory Years commencing on 1 April 2021 and 1 April 2022, the value of </w:t>
      </w:r>
      <w:r w:rsidR="006A49D9">
        <w:t>LK</w:t>
      </w:r>
      <w:r>
        <w:t xml:space="preserve"> </w:t>
      </w:r>
      <w:r w:rsidR="007C4A57">
        <w:t>has the value of</w:t>
      </w:r>
      <w:r w:rsidR="00E271AC">
        <w:t xml:space="preserve"> K as</w:t>
      </w:r>
      <w:r>
        <w:t xml:space="preserve"> determined in accordance with </w:t>
      </w:r>
      <w:r w:rsidR="005B7568">
        <w:t xml:space="preserve">Part D of </w:t>
      </w:r>
      <w:r>
        <w:t>Special Condition 1</w:t>
      </w:r>
      <w:r w:rsidR="005B7568">
        <w:t>B</w:t>
      </w:r>
      <w:r>
        <w:t xml:space="preserve"> </w:t>
      </w:r>
      <w:r w:rsidR="005B7568">
        <w:t>(</w:t>
      </w:r>
      <w:r w:rsidR="005B7568" w:rsidRPr="00D23D4E">
        <w:t>Restriction of revenue in respect of the Distribution Network Transportation Activity</w:t>
      </w:r>
      <w:r w:rsidR="005B7568">
        <w:t>)</w:t>
      </w:r>
      <w:r w:rsidR="002D6EB6">
        <w:t xml:space="preserve"> </w:t>
      </w:r>
      <w:r>
        <w:t>of this licence as in force on 31 March 2021.</w:t>
      </w:r>
    </w:p>
    <w:p w14:paraId="598422D2" w14:textId="404A9D31" w:rsidR="00B77F93" w:rsidRPr="00B77F93" w:rsidRDefault="00B77F93" w:rsidP="00E271AC">
      <w:pPr>
        <w:pStyle w:val="NumberedNormal"/>
      </w:pPr>
      <w:r>
        <w:t>The value of L</w:t>
      </w:r>
      <w:r w:rsidR="007F3BD1">
        <w:t>K</w:t>
      </w:r>
      <w:r w:rsidRPr="00EE5963">
        <w:rPr>
          <w:vertAlign w:val="subscript"/>
        </w:rPr>
        <w:t>t</w:t>
      </w:r>
      <w:r>
        <w:rPr>
          <w:vertAlign w:val="subscript"/>
        </w:rPr>
        <w:t xml:space="preserve"> </w:t>
      </w:r>
      <w:r>
        <w:t xml:space="preserve">for Regulatory Years commencing on or after 1 April 2023 </w:t>
      </w:r>
      <w:r w:rsidR="00F144C6">
        <w:t>is</w:t>
      </w:r>
      <w:r>
        <w:t xml:space="preserve"> zero.</w:t>
      </w:r>
    </w:p>
    <w:p w14:paraId="44E35825" w14:textId="0641C4F0" w:rsidR="00D809A0" w:rsidRDefault="00D809A0" w:rsidP="00D51F4A">
      <w:pPr>
        <w:pStyle w:val="Heading2"/>
        <w:numPr>
          <w:ilvl w:val="1"/>
          <w:numId w:val="7"/>
        </w:numPr>
      </w:pPr>
      <w:bookmarkStart w:id="157" w:name="_Toc51783688"/>
      <w:bookmarkStart w:id="158" w:name="_Toc52364582"/>
      <w:r>
        <w:t>Legacy TRU Term (LTRU</w:t>
      </w:r>
      <w:r w:rsidRPr="000157F3">
        <w:rPr>
          <w:vertAlign w:val="subscript"/>
        </w:rPr>
        <w:t>t</w:t>
      </w:r>
      <w:r>
        <w:t>)</w:t>
      </w:r>
      <w:bookmarkEnd w:id="157"/>
      <w:bookmarkEnd w:id="158"/>
    </w:p>
    <w:p w14:paraId="3DB62B1A" w14:textId="77777777" w:rsidR="00BF40E4" w:rsidRPr="0057526A" w:rsidRDefault="00BF40E4" w:rsidP="00BF40E4">
      <w:pPr>
        <w:pStyle w:val="Heading3nonumbering"/>
      </w:pPr>
      <w:r w:rsidRPr="0057526A">
        <w:t xml:space="preserve">Introduction </w:t>
      </w:r>
    </w:p>
    <w:p w14:paraId="10A04E67" w14:textId="617F51F4" w:rsidR="00BF40E4" w:rsidRPr="00946DAA" w:rsidRDefault="00BF40E4" w:rsidP="00BF40E4">
      <w:pPr>
        <w:pStyle w:val="NumberedNormal"/>
      </w:pPr>
      <w:r>
        <w:t>The purpose of this condition is to calculate the term LTRU</w:t>
      </w:r>
      <w:r w:rsidRPr="00AC5DAC">
        <w:rPr>
          <w:vertAlign w:val="subscript"/>
        </w:rPr>
        <w:t>t</w:t>
      </w:r>
      <w:r>
        <w:t xml:space="preserve"> (the legacy TRU term). This contributes to the calculation of the </w:t>
      </w:r>
      <w:r w:rsidR="000F1238">
        <w:t>term</w:t>
      </w:r>
      <w:r>
        <w:t xml:space="preserve"> LAR</w:t>
      </w:r>
      <w:r w:rsidRPr="00AC5DAC">
        <w:rPr>
          <w:vertAlign w:val="subscript"/>
        </w:rPr>
        <w:t>t</w:t>
      </w:r>
      <w:r>
        <w:t xml:space="preserve"> (the legacy adjustments term), which in turn feeds into the Calculated Revenue in Special Condition 2.1 (Revenue Restriction).</w:t>
      </w:r>
    </w:p>
    <w:p w14:paraId="70EC839B" w14:textId="3252C1FE" w:rsidR="00BF40E4" w:rsidRPr="00946DAA" w:rsidRDefault="00BF40E4" w:rsidP="00BF40E4">
      <w:pPr>
        <w:pStyle w:val="NumberedNormal"/>
      </w:pPr>
      <w:r>
        <w:t xml:space="preserve">The effect of this condition is to close out the RIIO-1 TRU term such that revenue in the Regulatory Years commencing on 1 April 2021 and 1 April 2022 reflect </w:t>
      </w:r>
      <w:r w:rsidR="00A13C57">
        <w:t>TRU</w:t>
      </w:r>
      <w:r>
        <w:t xml:space="preserve"> adjustments relating to Regulatory Years commencing on 1 April 2019 and 1 April 2020 respectively.</w:t>
      </w:r>
    </w:p>
    <w:p w14:paraId="3C81C85F" w14:textId="08F240D5" w:rsidR="00BF40E4" w:rsidRPr="00AE57AC" w:rsidRDefault="00BF40E4" w:rsidP="00BF40E4">
      <w:pPr>
        <w:pStyle w:val="Heading3"/>
      </w:pPr>
      <w:r>
        <w:t xml:space="preserve">Formula for calculating the legacy </w:t>
      </w:r>
      <w:r w:rsidR="002B1912">
        <w:t>TRU</w:t>
      </w:r>
      <w:r>
        <w:t xml:space="preserve"> term (L</w:t>
      </w:r>
      <w:r w:rsidR="002B1912">
        <w:t>TRU</w:t>
      </w:r>
      <w:r w:rsidRPr="00367735">
        <w:rPr>
          <w:vertAlign w:val="subscript"/>
        </w:rPr>
        <w:t>t</w:t>
      </w:r>
      <w:r>
        <w:t>)</w:t>
      </w:r>
    </w:p>
    <w:p w14:paraId="59F0B01D" w14:textId="1E2F521A" w:rsidR="00BF40E4" w:rsidRPr="00946DAA" w:rsidRDefault="00BF40E4" w:rsidP="00BF40E4">
      <w:pPr>
        <w:pStyle w:val="NumberedNormal"/>
      </w:pPr>
      <w:r>
        <w:t>For the Regulatory Years commencing on 1 April 2021 and 1 April 2022, the value of L</w:t>
      </w:r>
      <w:r w:rsidR="00132444">
        <w:t>TRU</w:t>
      </w:r>
      <w:r w:rsidR="00034169" w:rsidRPr="00034169">
        <w:rPr>
          <w:vertAlign w:val="subscript"/>
        </w:rPr>
        <w:t>t</w:t>
      </w:r>
      <w:r>
        <w:t xml:space="preserve"> </w:t>
      </w:r>
      <w:r w:rsidR="00A32E07">
        <w:t>is equivalent to</w:t>
      </w:r>
      <w:r>
        <w:t xml:space="preserve"> </w:t>
      </w:r>
      <w:r w:rsidR="00132444">
        <w:t>TRU</w:t>
      </w:r>
      <w:r w:rsidR="00034169" w:rsidRPr="00576FE2">
        <w:rPr>
          <w:vertAlign w:val="subscript"/>
        </w:rPr>
        <w:t>t</w:t>
      </w:r>
      <w:r>
        <w:t xml:space="preserve"> as determined in accordance with Part </w:t>
      </w:r>
      <w:r w:rsidR="00132444">
        <w:t>C</w:t>
      </w:r>
      <w:r>
        <w:t xml:space="preserve"> of Special Condition 1B (</w:t>
      </w:r>
      <w:r w:rsidRPr="00D23D4E">
        <w:t>Restriction of revenue in respect of the Distribution Network Transportation Activity</w:t>
      </w:r>
      <w:r>
        <w:t>) of this licence as in force on 31 March 2021.</w:t>
      </w:r>
    </w:p>
    <w:p w14:paraId="01A12CF1" w14:textId="5DA31FEF" w:rsidR="00BF40E4" w:rsidRPr="00B77F93" w:rsidRDefault="00BF40E4" w:rsidP="00BF40E4">
      <w:pPr>
        <w:pStyle w:val="NumberedNormal"/>
      </w:pPr>
      <w:r>
        <w:t>The value of L</w:t>
      </w:r>
      <w:r w:rsidR="00F7667F">
        <w:t>TRU</w:t>
      </w:r>
      <w:r w:rsidRPr="00EE5963">
        <w:rPr>
          <w:vertAlign w:val="subscript"/>
        </w:rPr>
        <w:t>t</w:t>
      </w:r>
      <w:r>
        <w:rPr>
          <w:vertAlign w:val="subscript"/>
        </w:rPr>
        <w:t xml:space="preserve"> </w:t>
      </w:r>
      <w:r>
        <w:t xml:space="preserve">for Regulatory Years commencing on or after 1 April 2023 </w:t>
      </w:r>
      <w:r w:rsidR="006A0C6A">
        <w:t>is</w:t>
      </w:r>
      <w:r>
        <w:t xml:space="preserve"> zero.</w:t>
      </w:r>
    </w:p>
    <w:p w14:paraId="141129FA" w14:textId="33378196" w:rsidR="0093623A" w:rsidRDefault="0093623A" w:rsidP="0093623A">
      <w:pPr>
        <w:pStyle w:val="Heading2"/>
        <w:numPr>
          <w:ilvl w:val="1"/>
          <w:numId w:val="7"/>
        </w:numPr>
      </w:pPr>
      <w:bookmarkStart w:id="159" w:name="_Toc51783689"/>
      <w:bookmarkStart w:id="160" w:name="_Toc52364583"/>
      <w:bookmarkEnd w:id="151"/>
      <w:r>
        <w:lastRenderedPageBreak/>
        <w:t>Close out of the RIIO-1 Network Outputs (NO</w:t>
      </w:r>
      <w:r w:rsidR="00317D3B">
        <w:t>CO</w:t>
      </w:r>
      <w:r w:rsidRPr="0039702C">
        <w:rPr>
          <w:vertAlign w:val="subscript"/>
        </w:rPr>
        <w:t>t</w:t>
      </w:r>
      <w:r>
        <w:t>)</w:t>
      </w:r>
      <w:bookmarkEnd w:id="160"/>
    </w:p>
    <w:p w14:paraId="71840D92" w14:textId="77777777" w:rsidR="0093623A" w:rsidRPr="00B37816" w:rsidRDefault="0093623A" w:rsidP="0093623A">
      <w:pPr>
        <w:pStyle w:val="Heading3nonumbering"/>
      </w:pPr>
      <w:r w:rsidRPr="00B37816">
        <w:t xml:space="preserve">Introduction </w:t>
      </w:r>
    </w:p>
    <w:p w14:paraId="72098B41" w14:textId="5777A6E0" w:rsidR="0093623A" w:rsidRPr="00B37816" w:rsidRDefault="0093623A" w:rsidP="0093623A">
      <w:pPr>
        <w:pStyle w:val="NumberedNormal"/>
        <w:numPr>
          <w:ilvl w:val="2"/>
          <w:numId w:val="7"/>
        </w:numPr>
      </w:pPr>
      <w:r>
        <w:t>The purpose of this condition is to set out the process for deciding the term NO</w:t>
      </w:r>
      <w:r w:rsidR="00317D3B">
        <w:t>CO</w:t>
      </w:r>
      <w:r w:rsidRPr="0039702C">
        <w:rPr>
          <w:vertAlign w:val="subscript"/>
        </w:rPr>
        <w:t>t</w:t>
      </w:r>
      <w:r>
        <w:t xml:space="preserve"> (the RIIO-1 Network Outputs close out term).  This contributes to the calculation of the LAR</w:t>
      </w:r>
      <w:r w:rsidRPr="00CE618F">
        <w:rPr>
          <w:vertAlign w:val="subscript"/>
        </w:rPr>
        <w:t>t</w:t>
      </w:r>
      <w:r>
        <w:t xml:space="preserve"> term (the legacy adjustment term), which in turn feeds into Calculated Revenue in Special Condition 2.1 (Revenue Restriction). </w:t>
      </w:r>
    </w:p>
    <w:p w14:paraId="73302822" w14:textId="77777777" w:rsidR="0093623A" w:rsidRPr="00B37816" w:rsidRDefault="0093623A" w:rsidP="0093623A">
      <w:pPr>
        <w:pStyle w:val="NumberedNormal"/>
        <w:numPr>
          <w:ilvl w:val="2"/>
          <w:numId w:val="7"/>
        </w:numPr>
      </w:pPr>
      <w:r>
        <w:t xml:space="preserve">The effect of this condition is to adjust the licensee's revenue to reflect its RIIO-1 Network Outputs delivery.  </w:t>
      </w:r>
    </w:p>
    <w:p w14:paraId="1980935F" w14:textId="77777777" w:rsidR="0093623A" w:rsidRPr="00B37816" w:rsidRDefault="0093623A" w:rsidP="0093623A">
      <w:pPr>
        <w:pStyle w:val="Heading3"/>
        <w:numPr>
          <w:ilvl w:val="5"/>
          <w:numId w:val="7"/>
        </w:numPr>
      </w:pPr>
      <w:r>
        <w:t xml:space="preserve">RIIO-1 Network Outputs information to be provided by the licensee </w:t>
      </w:r>
    </w:p>
    <w:p w14:paraId="74A25017" w14:textId="77777777" w:rsidR="0093623A" w:rsidRPr="00B37816" w:rsidRDefault="0093623A" w:rsidP="0093623A">
      <w:pPr>
        <w:pStyle w:val="NumberedNormal"/>
        <w:numPr>
          <w:ilvl w:val="2"/>
          <w:numId w:val="7"/>
        </w:numPr>
      </w:pPr>
      <w:r>
        <w:t>By 31 July 2021, the licensee must provide to the Authority a report consistent with the requirements of the NOMs Incentive Methodology which sets out why it considers that it has delivered:</w:t>
      </w:r>
    </w:p>
    <w:p w14:paraId="11E7857C" w14:textId="77777777" w:rsidR="0093623A" w:rsidRPr="00B37816" w:rsidRDefault="0093623A" w:rsidP="0093623A">
      <w:pPr>
        <w:pStyle w:val="ListNormal"/>
        <w:numPr>
          <w:ilvl w:val="3"/>
          <w:numId w:val="7"/>
        </w:numPr>
      </w:pPr>
      <w:r>
        <w:t>any RIIO-1 Network Output in accordance with the relevant specifications; and</w:t>
      </w:r>
    </w:p>
    <w:p w14:paraId="79F894B9" w14:textId="77777777" w:rsidR="0093623A" w:rsidRPr="00B37816" w:rsidRDefault="0093623A" w:rsidP="0093623A">
      <w:pPr>
        <w:pStyle w:val="ListNormal"/>
        <w:numPr>
          <w:ilvl w:val="3"/>
          <w:numId w:val="7"/>
        </w:numPr>
      </w:pPr>
      <w:r>
        <w:t>any RIIO-1 Materially Equivalent Outputs; and</w:t>
      </w:r>
    </w:p>
    <w:p w14:paraId="506E83A1" w14:textId="77777777" w:rsidR="0093623A" w:rsidRPr="00B37816" w:rsidRDefault="0093623A" w:rsidP="0093623A">
      <w:pPr>
        <w:pStyle w:val="ListNormal"/>
        <w:numPr>
          <w:ilvl w:val="3"/>
          <w:numId w:val="7"/>
        </w:numPr>
      </w:pPr>
      <w:r>
        <w:t>any RIIO-1 Justified Material Over-delivery; or</w:t>
      </w:r>
    </w:p>
    <w:p w14:paraId="3ABC8C3C" w14:textId="77777777" w:rsidR="0093623A" w:rsidRPr="00B37816" w:rsidRDefault="0093623A" w:rsidP="0093623A">
      <w:pPr>
        <w:pStyle w:val="ListNormal"/>
        <w:numPr>
          <w:ilvl w:val="3"/>
          <w:numId w:val="7"/>
        </w:numPr>
      </w:pPr>
      <w:r>
        <w:t>any RIIO-1 Justified Material Under-delivery.</w:t>
      </w:r>
    </w:p>
    <w:p w14:paraId="6E5C9DFB" w14:textId="418420DB" w:rsidR="0093623A" w:rsidRPr="00B37816" w:rsidRDefault="0093623A" w:rsidP="0093623A">
      <w:pPr>
        <w:pStyle w:val="Heading3"/>
        <w:numPr>
          <w:ilvl w:val="5"/>
          <w:numId w:val="7"/>
        </w:numPr>
      </w:pPr>
      <w:r>
        <w:t xml:space="preserve">Process for directing the </w:t>
      </w:r>
      <w:r w:rsidR="00CE618F">
        <w:t>RIIO-1 Network Outputs close out</w:t>
      </w:r>
      <w:r>
        <w:t xml:space="preserve"> term</w:t>
      </w:r>
      <w:r w:rsidR="00CE618F">
        <w:t xml:space="preserve"> (NO</w:t>
      </w:r>
      <w:r w:rsidR="00317D3B">
        <w:t>CO</w:t>
      </w:r>
      <w:r w:rsidR="00CE618F" w:rsidRPr="00CE618F">
        <w:rPr>
          <w:vertAlign w:val="subscript"/>
        </w:rPr>
        <w:t>t</w:t>
      </w:r>
      <w:r w:rsidR="00CE618F">
        <w:t>)</w:t>
      </w:r>
    </w:p>
    <w:p w14:paraId="72258B42" w14:textId="77777777" w:rsidR="0093623A" w:rsidRPr="00B37816" w:rsidRDefault="0093623A" w:rsidP="0093623A">
      <w:pPr>
        <w:pStyle w:val="NumberedNormal"/>
        <w:numPr>
          <w:ilvl w:val="2"/>
          <w:numId w:val="7"/>
        </w:numPr>
      </w:pPr>
      <w:r>
        <w:t>The Authority will assess the licensee's RIIO-1 Network Outputs delivery in accordance with the principles in Appendix 1, which are further clarified and supplemented by the NOMs Incentive Methodology.</w:t>
      </w:r>
    </w:p>
    <w:p w14:paraId="255C6488" w14:textId="069CDE8E" w:rsidR="0093623A" w:rsidRPr="00B37816" w:rsidRDefault="0093623A" w:rsidP="0093623A">
      <w:pPr>
        <w:pStyle w:val="NumberedNormal"/>
        <w:numPr>
          <w:ilvl w:val="2"/>
          <w:numId w:val="7"/>
        </w:numPr>
      </w:pPr>
      <w:r>
        <w:t xml:space="preserve">Before directing the value of LNO, the Authority will publish on </w:t>
      </w:r>
      <w:r w:rsidR="00F21777">
        <w:t>the Authority’s Website</w:t>
      </w:r>
      <w:r>
        <w:t xml:space="preserve">:  </w:t>
      </w:r>
    </w:p>
    <w:p w14:paraId="64896B21" w14:textId="77777777" w:rsidR="0093623A" w:rsidRPr="00B37816" w:rsidRDefault="0093623A" w:rsidP="0093623A">
      <w:pPr>
        <w:pStyle w:val="ListNormal"/>
        <w:numPr>
          <w:ilvl w:val="3"/>
          <w:numId w:val="7"/>
        </w:numPr>
      </w:pPr>
      <w:r>
        <w:t>the text of the proposed direction;</w:t>
      </w:r>
    </w:p>
    <w:p w14:paraId="06DFB3E6" w14:textId="77777777" w:rsidR="0093623A" w:rsidRPr="00B37816" w:rsidRDefault="0093623A" w:rsidP="0093623A">
      <w:pPr>
        <w:pStyle w:val="ListNormal"/>
        <w:numPr>
          <w:ilvl w:val="3"/>
          <w:numId w:val="7"/>
        </w:numPr>
      </w:pPr>
      <w:r>
        <w:t>the reasons why it proposes to issue the direction; and</w:t>
      </w:r>
    </w:p>
    <w:p w14:paraId="4F05290A" w14:textId="77777777" w:rsidR="0093623A" w:rsidRPr="00B37816" w:rsidRDefault="0093623A" w:rsidP="0093623A">
      <w:pPr>
        <w:pStyle w:val="ListNormal"/>
        <w:numPr>
          <w:ilvl w:val="3"/>
          <w:numId w:val="7"/>
        </w:numPr>
      </w:pPr>
      <w:r>
        <w:t>a period during which representations may be made on the proposed direction, which will not be less than 28 days.</w:t>
      </w:r>
    </w:p>
    <w:p w14:paraId="14043E1A" w14:textId="3D482F19" w:rsidR="0093623A" w:rsidRPr="000157F3" w:rsidRDefault="0093623A" w:rsidP="0093623A">
      <w:pPr>
        <w:pStyle w:val="AppendixHeading"/>
      </w:pPr>
    </w:p>
    <w:p w14:paraId="01CF1A48" w14:textId="77777777" w:rsidR="0093623A" w:rsidRDefault="0093623A" w:rsidP="0093623A">
      <w:pPr>
        <w:pStyle w:val="Caption"/>
      </w:pPr>
      <w:r w:rsidRPr="000157F3">
        <w:t>Treatment of under-delivery and over-delivery of RIIO-1 Network Outputs</w:t>
      </w:r>
    </w:p>
    <w:tbl>
      <w:tblPr>
        <w:tblStyle w:val="AppendixTable"/>
        <w:tblW w:w="8897" w:type="dxa"/>
        <w:tblLayout w:type="fixed"/>
        <w:tblLook w:val="0020" w:firstRow="1" w:lastRow="0" w:firstColumn="0" w:lastColumn="0" w:noHBand="0" w:noVBand="0"/>
      </w:tblPr>
      <w:tblGrid>
        <w:gridCol w:w="2802"/>
        <w:gridCol w:w="3118"/>
        <w:gridCol w:w="2977"/>
      </w:tblGrid>
      <w:tr w:rsidR="0093623A" w:rsidRPr="00774853" w14:paraId="4BDB9748" w14:textId="77777777" w:rsidTr="00B03F42">
        <w:trPr>
          <w:cnfStyle w:val="100000000000" w:firstRow="1" w:lastRow="0" w:firstColumn="0" w:lastColumn="0" w:oddVBand="0" w:evenVBand="0" w:oddHBand="0" w:evenHBand="0" w:firstRowFirstColumn="0" w:firstRowLastColumn="0" w:lastRowFirstColumn="0" w:lastRowLastColumn="0"/>
          <w:trHeight w:val="87"/>
          <w:tblHeader/>
        </w:trPr>
        <w:tc>
          <w:tcPr>
            <w:tcW w:w="2802" w:type="dxa"/>
          </w:tcPr>
          <w:p w14:paraId="012FDD6E" w14:textId="77777777" w:rsidR="0093623A" w:rsidRPr="00B37816" w:rsidRDefault="0093623A" w:rsidP="00B03F42">
            <w:r w:rsidRPr="00B37816">
              <w:t xml:space="preserve">Incentives </w:t>
            </w:r>
          </w:p>
        </w:tc>
        <w:tc>
          <w:tcPr>
            <w:tcW w:w="3118" w:type="dxa"/>
          </w:tcPr>
          <w:p w14:paraId="244E6AF4" w14:textId="77777777" w:rsidR="0093623A" w:rsidRPr="00B37816" w:rsidRDefault="0093623A" w:rsidP="00B03F42">
            <w:r w:rsidRPr="00B37816">
              <w:t xml:space="preserve">Justified </w:t>
            </w:r>
          </w:p>
        </w:tc>
        <w:tc>
          <w:tcPr>
            <w:tcW w:w="2977" w:type="dxa"/>
          </w:tcPr>
          <w:p w14:paraId="6F69E0A2" w14:textId="77777777" w:rsidR="0093623A" w:rsidRPr="00B37816" w:rsidRDefault="0093623A" w:rsidP="00B03F42">
            <w:r w:rsidRPr="00B37816">
              <w:t xml:space="preserve">Unjustified </w:t>
            </w:r>
          </w:p>
        </w:tc>
      </w:tr>
      <w:tr w:rsidR="0093623A" w:rsidRPr="00774853" w14:paraId="60C08358" w14:textId="77777777" w:rsidTr="00B03F42">
        <w:trPr>
          <w:trHeight w:val="204"/>
        </w:trPr>
        <w:tc>
          <w:tcPr>
            <w:tcW w:w="2802" w:type="dxa"/>
          </w:tcPr>
          <w:p w14:paraId="42478118" w14:textId="77777777" w:rsidR="0093623A" w:rsidRPr="00B37816" w:rsidRDefault="0093623A" w:rsidP="00B03F42">
            <w:r w:rsidRPr="00B37816">
              <w:t xml:space="preserve">Over-delivery </w:t>
            </w:r>
          </w:p>
        </w:tc>
        <w:tc>
          <w:tcPr>
            <w:tcW w:w="3118" w:type="dxa"/>
          </w:tcPr>
          <w:p w14:paraId="4C304AB0" w14:textId="77777777" w:rsidR="0093623A" w:rsidRPr="00B37816" w:rsidRDefault="0093623A" w:rsidP="00B03F42">
            <w:r w:rsidRPr="00B37816">
              <w:t>Cost of over-delivery will be included in the licensee's revenue.</w:t>
            </w:r>
          </w:p>
          <w:p w14:paraId="73AE1B06" w14:textId="77777777" w:rsidR="0093623A" w:rsidRPr="00B37816" w:rsidRDefault="0093623A" w:rsidP="00B03F42">
            <w:r w:rsidRPr="00B37816">
              <w:lastRenderedPageBreak/>
              <w:t>The financing cost incurred by the licensee in advancing investment will be reimbursed.</w:t>
            </w:r>
          </w:p>
          <w:p w14:paraId="794FB441" w14:textId="77777777" w:rsidR="0093623A" w:rsidRPr="00B37816" w:rsidRDefault="0093623A" w:rsidP="00B03F42">
            <w:r w:rsidRPr="00B37816">
              <w:t>Reward of 2.5 per cent of the additional costs associated with the material over-delivery.</w:t>
            </w:r>
          </w:p>
        </w:tc>
        <w:tc>
          <w:tcPr>
            <w:tcW w:w="2977" w:type="dxa"/>
          </w:tcPr>
          <w:p w14:paraId="01C32438" w14:textId="77777777" w:rsidR="0093623A" w:rsidRPr="00B37816" w:rsidRDefault="0093623A" w:rsidP="00B03F42">
            <w:r w:rsidRPr="00B37816">
              <w:lastRenderedPageBreak/>
              <w:t>Cost of over-delivery will be included in the licensee's revenue.</w:t>
            </w:r>
          </w:p>
          <w:p w14:paraId="36511C89" w14:textId="77777777" w:rsidR="0093623A" w:rsidRPr="00B37816" w:rsidRDefault="0093623A" w:rsidP="00B03F42">
            <w:r w:rsidRPr="00B37816">
              <w:lastRenderedPageBreak/>
              <w:t xml:space="preserve">The licensee will incur the financing cost of earlier investment. </w:t>
            </w:r>
          </w:p>
        </w:tc>
      </w:tr>
      <w:tr w:rsidR="0093623A" w:rsidRPr="00774853" w14:paraId="6DEDD427" w14:textId="77777777" w:rsidTr="00B03F42">
        <w:trPr>
          <w:trHeight w:val="1072"/>
        </w:trPr>
        <w:tc>
          <w:tcPr>
            <w:tcW w:w="2802" w:type="dxa"/>
          </w:tcPr>
          <w:p w14:paraId="547BB410" w14:textId="77777777" w:rsidR="0093623A" w:rsidRPr="00B37816" w:rsidRDefault="0093623A" w:rsidP="00B03F42">
            <w:pPr>
              <w:keepNext/>
            </w:pPr>
            <w:r w:rsidRPr="00B37816">
              <w:lastRenderedPageBreak/>
              <w:t xml:space="preserve">Under-delivery </w:t>
            </w:r>
          </w:p>
        </w:tc>
        <w:tc>
          <w:tcPr>
            <w:tcW w:w="3118" w:type="dxa"/>
          </w:tcPr>
          <w:p w14:paraId="28B7B5A3" w14:textId="77777777" w:rsidR="0093623A" w:rsidRPr="00B37816" w:rsidRDefault="0093623A" w:rsidP="00B03F42">
            <w:pPr>
              <w:keepNext/>
            </w:pPr>
            <w:r w:rsidRPr="00B37816">
              <w:t>Cost of under-delivery will be excluded from the licensee's revenue.</w:t>
            </w:r>
          </w:p>
          <w:p w14:paraId="2ABFF04E" w14:textId="77777777" w:rsidR="0093623A" w:rsidRPr="00B37816" w:rsidRDefault="0093623A" w:rsidP="00B03F42">
            <w:pPr>
              <w:keepNext/>
            </w:pPr>
            <w:r w:rsidRPr="00B37816">
              <w:t>The licensee will benefit from the financing cost of delayed investment.</w:t>
            </w:r>
          </w:p>
        </w:tc>
        <w:tc>
          <w:tcPr>
            <w:tcW w:w="2977" w:type="dxa"/>
          </w:tcPr>
          <w:p w14:paraId="20729BC2" w14:textId="77777777" w:rsidR="0093623A" w:rsidRPr="00B37816" w:rsidRDefault="0093623A" w:rsidP="00B03F42">
            <w:pPr>
              <w:keepNext/>
            </w:pPr>
            <w:r w:rsidRPr="00B37816">
              <w:t>Cost of under-delivery will be excluded from the licensee's revenue.</w:t>
            </w:r>
          </w:p>
          <w:p w14:paraId="67CE1686" w14:textId="77777777" w:rsidR="0093623A" w:rsidRPr="00B37816" w:rsidRDefault="0093623A" w:rsidP="00B03F42">
            <w:pPr>
              <w:keepNext/>
            </w:pPr>
            <w:r w:rsidRPr="00B37816">
              <w:t>The benefit arising to the licensee from the financing cost of delayed investment will be clawed back.</w:t>
            </w:r>
          </w:p>
          <w:p w14:paraId="68430398" w14:textId="77777777" w:rsidR="0093623A" w:rsidRPr="00B37816" w:rsidRDefault="0093623A" w:rsidP="00B03F42">
            <w:pPr>
              <w:keepNext/>
            </w:pPr>
            <w:r w:rsidRPr="00B37816">
              <w:t>Penalty of 2.5 per cent of the avoided costs associated with the material under-delivery.</w:t>
            </w:r>
          </w:p>
        </w:tc>
      </w:tr>
    </w:tbl>
    <w:p w14:paraId="57F0D89F" w14:textId="77777777" w:rsidR="0093623A" w:rsidRDefault="0093623A" w:rsidP="0093623A"/>
    <w:p w14:paraId="60B95AE2" w14:textId="514F1AE8" w:rsidR="00D809A0" w:rsidRPr="008F371F" w:rsidRDefault="00D809A0" w:rsidP="00D51F4A">
      <w:pPr>
        <w:pStyle w:val="Heading2"/>
        <w:numPr>
          <w:ilvl w:val="1"/>
          <w:numId w:val="7"/>
        </w:numPr>
      </w:pPr>
      <w:bookmarkStart w:id="161" w:name="_Toc52364584"/>
      <w:r w:rsidRPr="008F371F">
        <w:t xml:space="preserve">Close out of the RIIO-GD1 Discretionary Reward Scheme </w:t>
      </w:r>
      <w:r>
        <w:t>(</w:t>
      </w:r>
      <w:r w:rsidR="000F160B">
        <w:t>L</w:t>
      </w:r>
      <w:r>
        <w:t>DRW</w:t>
      </w:r>
      <w:r w:rsidRPr="000157F3">
        <w:rPr>
          <w:vertAlign w:val="subscript"/>
        </w:rPr>
        <w:t>t</w:t>
      </w:r>
      <w:r>
        <w:t>)</w:t>
      </w:r>
      <w:bookmarkEnd w:id="159"/>
      <w:bookmarkEnd w:id="161"/>
    </w:p>
    <w:p w14:paraId="41E068F7" w14:textId="77777777" w:rsidR="00D809A0" w:rsidRPr="008F371F" w:rsidRDefault="00D809A0" w:rsidP="00D809A0">
      <w:pPr>
        <w:pStyle w:val="Heading3nonumbering"/>
      </w:pPr>
      <w:r w:rsidRPr="008F371F">
        <w:t>Introduction</w:t>
      </w:r>
    </w:p>
    <w:p w14:paraId="5927B5E7" w14:textId="62C81E48" w:rsidR="00D809A0" w:rsidRPr="008F371F" w:rsidRDefault="00D809A0" w:rsidP="00D51F4A">
      <w:pPr>
        <w:pStyle w:val="NumberedNormal"/>
        <w:numPr>
          <w:ilvl w:val="2"/>
          <w:numId w:val="7"/>
        </w:numPr>
      </w:pPr>
      <w:r>
        <w:t xml:space="preserve">The purpose of this condition is to calculate the term </w:t>
      </w:r>
      <w:r w:rsidR="000F160B">
        <w:t>L</w:t>
      </w:r>
      <w:r>
        <w:t>DRW</w:t>
      </w:r>
      <w:r w:rsidRPr="000157F3">
        <w:rPr>
          <w:vertAlign w:val="subscript"/>
        </w:rPr>
        <w:t>t</w:t>
      </w:r>
      <w:r>
        <w:t xml:space="preserve"> (the Discretionary Reward Scheme close out term). This contributes to the calculation of the LAR</w:t>
      </w:r>
      <w:r w:rsidRPr="00AC5DAC">
        <w:rPr>
          <w:vertAlign w:val="subscript"/>
        </w:rPr>
        <w:t>t</w:t>
      </w:r>
      <w:r>
        <w:t xml:space="preserve"> term (the legacy adjustments term), which in turn feeds into Calculated Revenue in Special Condition 2.1 (Revenue Restriction).</w:t>
      </w:r>
    </w:p>
    <w:p w14:paraId="637A4784" w14:textId="77777777" w:rsidR="00D809A0" w:rsidRPr="008F371F" w:rsidRDefault="00D809A0" w:rsidP="00D51F4A">
      <w:pPr>
        <w:pStyle w:val="NumberedNormal"/>
        <w:numPr>
          <w:ilvl w:val="2"/>
          <w:numId w:val="7"/>
        </w:numPr>
      </w:pPr>
      <w:r>
        <w:t>The effect of this condition is to close out the RIIO-GD1 Discretionary Reward Scheme, which rewarded the licensee for delivering additional environmental, safety and social outputs not otherwise required by the special conditions.</w:t>
      </w:r>
    </w:p>
    <w:p w14:paraId="651682AB" w14:textId="110AD9F2" w:rsidR="00D809A0" w:rsidRPr="008F371F" w:rsidRDefault="00283BC8" w:rsidP="00D51F4A">
      <w:pPr>
        <w:pStyle w:val="Heading3"/>
        <w:numPr>
          <w:ilvl w:val="5"/>
          <w:numId w:val="7"/>
        </w:numPr>
      </w:pPr>
      <w:r>
        <w:t xml:space="preserve">Formula for calculating </w:t>
      </w:r>
      <w:r w:rsidR="00D809A0">
        <w:t xml:space="preserve">the Discretionary Reward Scheme close out term </w:t>
      </w:r>
      <w:r w:rsidR="00AC5DAC">
        <w:t>(LDRW</w:t>
      </w:r>
      <w:r w:rsidR="00AC5DAC" w:rsidRPr="00AC5DAC">
        <w:rPr>
          <w:vertAlign w:val="subscript"/>
        </w:rPr>
        <w:t>t</w:t>
      </w:r>
      <w:r w:rsidR="00AC5DAC">
        <w:t>)</w:t>
      </w:r>
    </w:p>
    <w:p w14:paraId="2B9FD3A8" w14:textId="3D91FA87" w:rsidR="00D809A0" w:rsidRPr="008F371F" w:rsidRDefault="00D809A0" w:rsidP="00D51F4A">
      <w:pPr>
        <w:pStyle w:val="NumberedNormal"/>
        <w:numPr>
          <w:ilvl w:val="2"/>
          <w:numId w:val="7"/>
        </w:numPr>
      </w:pPr>
      <w:r>
        <w:t xml:space="preserve">The value of the </w:t>
      </w:r>
      <w:r w:rsidR="000F160B">
        <w:t>L</w:t>
      </w:r>
      <w:r>
        <w:t>DR</w:t>
      </w:r>
      <w:r w:rsidR="000F160B">
        <w:t>W</w:t>
      </w:r>
      <w:r w:rsidRPr="4A26DA62">
        <w:rPr>
          <w:vertAlign w:val="subscript"/>
        </w:rPr>
        <w:t>t</w:t>
      </w:r>
      <w:r>
        <w:t xml:space="preserve"> term is derived in accordance with the following formula:   </w:t>
      </w:r>
    </w:p>
    <w:p w14:paraId="2D879F56" w14:textId="2444F1C0" w:rsidR="00D809A0" w:rsidRPr="008F371F" w:rsidRDefault="008C7681" w:rsidP="00D809A0">
      <w:pPr>
        <w:pStyle w:val="Equation"/>
      </w:pPr>
      <m:oMathPara>
        <m:oMath>
          <m:sSub>
            <m:sSubPr>
              <m:ctrlPr>
                <w:rPr>
                  <w:rFonts w:ascii="Cambria Math" w:hAnsi="Cambria Math"/>
                </w:rPr>
              </m:ctrlPr>
            </m:sSubPr>
            <m:e>
              <m:r>
                <w:rPr>
                  <w:rFonts w:ascii="Cambria Math" w:hAnsi="Cambria Math"/>
                </w:rPr>
                <m:t>LDRW</m:t>
              </m:r>
            </m:e>
            <m:sub>
              <m:r>
                <w:rPr>
                  <w:rFonts w:ascii="Cambria Math" w:hAnsi="Cambria Math"/>
                </w:rPr>
                <m:t>2022/23</m:t>
              </m:r>
            </m:sub>
          </m:sSub>
          <m:r>
            <w:rPr>
              <w:rFonts w:ascii="Cambria Math" w:hAnsi="Cambria Math"/>
            </w:rPr>
            <m:t>=DRWX∙DRWSF</m:t>
          </m:r>
        </m:oMath>
      </m:oMathPara>
    </w:p>
    <w:p w14:paraId="46F86EC6" w14:textId="77777777" w:rsidR="00D809A0" w:rsidRPr="008F371F" w:rsidRDefault="00D809A0" w:rsidP="00D809A0">
      <w:r w:rsidRPr="008F371F">
        <w:t>where:</w:t>
      </w:r>
    </w:p>
    <w:tbl>
      <w:tblPr>
        <w:tblW w:w="0" w:type="auto"/>
        <w:tblInd w:w="817" w:type="dxa"/>
        <w:tblLayout w:type="fixed"/>
        <w:tblLook w:val="04A0" w:firstRow="1" w:lastRow="0" w:firstColumn="1" w:lastColumn="0" w:noHBand="0" w:noVBand="1"/>
      </w:tblPr>
      <w:tblGrid>
        <w:gridCol w:w="1418"/>
        <w:gridCol w:w="6804"/>
      </w:tblGrid>
      <w:tr w:rsidR="00D809A0" w:rsidRPr="00161DA4" w14:paraId="708AC52B" w14:textId="77777777" w:rsidTr="00D809A0">
        <w:trPr>
          <w:trHeight w:val="567"/>
        </w:trPr>
        <w:tc>
          <w:tcPr>
            <w:tcW w:w="1418" w:type="dxa"/>
          </w:tcPr>
          <w:p w14:paraId="43BE752D" w14:textId="77777777" w:rsidR="00D809A0" w:rsidRPr="008F371F" w:rsidRDefault="00D809A0" w:rsidP="00D809A0">
            <w:r w:rsidRPr="008F371F">
              <w:t>DRWX</w:t>
            </w:r>
          </w:p>
        </w:tc>
        <w:tc>
          <w:tcPr>
            <w:tcW w:w="6804" w:type="dxa"/>
          </w:tcPr>
          <w:p w14:paraId="7CA2119E" w14:textId="77777777" w:rsidR="00D809A0" w:rsidRPr="008F371F" w:rsidRDefault="00D809A0" w:rsidP="00D809A0">
            <w:r w:rsidRPr="008F371F">
              <w:t xml:space="preserve">means the positive amount (if any) as may be determined by the Authority in respect of the licensee’s performance under the </w:t>
            </w:r>
            <w:r w:rsidRPr="008F371F">
              <w:lastRenderedPageBreak/>
              <w:t>Discretionary Reward Scheme in relation to each of the Regulatory Years 2018/19, 2019/20 and 2020/21;</w:t>
            </w:r>
            <w:r>
              <w:t xml:space="preserve"> and</w:t>
            </w:r>
          </w:p>
        </w:tc>
      </w:tr>
      <w:tr w:rsidR="00D809A0" w:rsidRPr="00161DA4" w14:paraId="27A18061" w14:textId="77777777" w:rsidTr="00D809A0">
        <w:trPr>
          <w:trHeight w:val="567"/>
        </w:trPr>
        <w:tc>
          <w:tcPr>
            <w:tcW w:w="1418" w:type="dxa"/>
          </w:tcPr>
          <w:p w14:paraId="16BAFCAF" w14:textId="77777777" w:rsidR="00D809A0" w:rsidRPr="008F371F" w:rsidRDefault="00D809A0" w:rsidP="00D809A0">
            <w:r w:rsidRPr="008F371F">
              <w:lastRenderedPageBreak/>
              <w:t>DRWSF</w:t>
            </w:r>
          </w:p>
        </w:tc>
        <w:tc>
          <w:tcPr>
            <w:tcW w:w="6804" w:type="dxa"/>
          </w:tcPr>
          <w:p w14:paraId="1E7C7502" w14:textId="77777777" w:rsidR="00D809A0" w:rsidRPr="008F371F" w:rsidRDefault="00D809A0" w:rsidP="00D809A0">
            <w:r w:rsidRPr="008F371F">
              <w:t>means the scaling factor applied to DRWXt on the basis of the proportion of the licensee’s meter points in Regulatory Year 2020/21 that are located in the relevant Distribution Network.</w:t>
            </w:r>
          </w:p>
        </w:tc>
      </w:tr>
    </w:tbl>
    <w:p w14:paraId="79C6DAFB" w14:textId="6529BDB2" w:rsidR="00D809A0" w:rsidRPr="008F371F" w:rsidRDefault="00D809A0" w:rsidP="00D51F4A">
      <w:pPr>
        <w:pStyle w:val="NumberedNormal"/>
        <w:numPr>
          <w:ilvl w:val="2"/>
          <w:numId w:val="7"/>
        </w:numPr>
      </w:pPr>
      <w:r>
        <w:t xml:space="preserve">This condition will cease to have effect on 1 April 2022. </w:t>
      </w:r>
    </w:p>
    <w:p w14:paraId="12D9EF8A" w14:textId="03FB0B06" w:rsidR="00D809A0" w:rsidRPr="0057526A" w:rsidRDefault="00D809A0" w:rsidP="00D51F4A">
      <w:pPr>
        <w:pStyle w:val="Heading2"/>
        <w:numPr>
          <w:ilvl w:val="1"/>
          <w:numId w:val="7"/>
        </w:numPr>
      </w:pPr>
      <w:bookmarkStart w:id="162" w:name="_Toc51783690"/>
      <w:bookmarkStart w:id="163" w:name="_Toc52364585"/>
      <w:r>
        <w:t>Close out of the RIIO-GD1 Stakeholder Engagement Incentive (</w:t>
      </w:r>
      <w:r w:rsidR="000F160B">
        <w:t>L</w:t>
      </w:r>
      <w:r>
        <w:t>SE</w:t>
      </w:r>
      <w:r w:rsidRPr="00AC5DAC">
        <w:rPr>
          <w:vertAlign w:val="subscript"/>
        </w:rPr>
        <w:t>t</w:t>
      </w:r>
      <w:r>
        <w:t>)</w:t>
      </w:r>
      <w:bookmarkEnd w:id="162"/>
      <w:bookmarkEnd w:id="163"/>
    </w:p>
    <w:p w14:paraId="4DC734D5" w14:textId="77777777" w:rsidR="00D809A0" w:rsidRPr="0057526A" w:rsidRDefault="00D809A0" w:rsidP="00D809A0">
      <w:pPr>
        <w:pStyle w:val="Heading3nonumbering"/>
      </w:pPr>
      <w:r w:rsidRPr="0057526A">
        <w:t xml:space="preserve">Introduction </w:t>
      </w:r>
    </w:p>
    <w:p w14:paraId="6E42B5F4" w14:textId="50E2A877" w:rsidR="00D809A0" w:rsidRPr="001C1E91" w:rsidRDefault="00D809A0" w:rsidP="00D51F4A">
      <w:pPr>
        <w:pStyle w:val="NumberedNormal"/>
        <w:numPr>
          <w:ilvl w:val="2"/>
          <w:numId w:val="7"/>
        </w:numPr>
      </w:pPr>
      <w:r>
        <w:t xml:space="preserve">The purpose of this condition is to direct the term </w:t>
      </w:r>
      <w:r w:rsidR="000F160B">
        <w:t>L</w:t>
      </w:r>
      <w:r>
        <w:t>SE</w:t>
      </w:r>
      <w:r w:rsidRPr="00AC5DAC">
        <w:rPr>
          <w:vertAlign w:val="subscript"/>
        </w:rPr>
        <w:t>t</w:t>
      </w:r>
      <w:r>
        <w:t xml:space="preserve"> (the RIIO-GD1 Stakeholder Engagement Incentive term). This contributes to the calculation of the LAR</w:t>
      </w:r>
      <w:r w:rsidRPr="00AC5DAC">
        <w:rPr>
          <w:vertAlign w:val="subscript"/>
        </w:rPr>
        <w:t>t</w:t>
      </w:r>
      <w:r>
        <w:t xml:space="preserve"> term (the legacy adjustments term), which in turn feeds into Calculated Revenue in Special Condition 2.1 (Revenue Restriction).</w:t>
      </w:r>
    </w:p>
    <w:p w14:paraId="104B4509" w14:textId="77777777" w:rsidR="00D809A0" w:rsidRPr="001C1E91" w:rsidRDefault="00D809A0" w:rsidP="00D51F4A">
      <w:pPr>
        <w:pStyle w:val="NumberedNormal"/>
        <w:numPr>
          <w:ilvl w:val="2"/>
          <w:numId w:val="7"/>
        </w:numPr>
      </w:pPr>
      <w:r>
        <w:t>The effect of this condition is to close out the RIIO-GD1 Stakeholder Engagement Incentive.</w:t>
      </w:r>
    </w:p>
    <w:p w14:paraId="32A41342" w14:textId="77777777" w:rsidR="00D809A0" w:rsidRPr="001C1E91" w:rsidRDefault="00D809A0" w:rsidP="00D51F4A">
      <w:pPr>
        <w:pStyle w:val="NumberedNormal"/>
        <w:numPr>
          <w:ilvl w:val="2"/>
          <w:numId w:val="7"/>
        </w:numPr>
      </w:pPr>
      <w:r>
        <w:t>This condition also sets out the process the Authority will follow when amending the Stakeholder Engagement Incentive Guidance.</w:t>
      </w:r>
    </w:p>
    <w:p w14:paraId="5B838C2A" w14:textId="2DEC50FB" w:rsidR="00D809A0" w:rsidRPr="00E01A52" w:rsidRDefault="00D809A0" w:rsidP="00D51F4A">
      <w:pPr>
        <w:pStyle w:val="Heading3"/>
        <w:numPr>
          <w:ilvl w:val="5"/>
          <w:numId w:val="7"/>
        </w:numPr>
      </w:pPr>
      <w:r>
        <w:t>Direction of the</w:t>
      </w:r>
      <w:r w:rsidR="00AC5DAC">
        <w:t xml:space="preserve"> RIIO-GD1 Stakeholder Engagement Incentive </w:t>
      </w:r>
      <w:r>
        <w:t>term</w:t>
      </w:r>
      <w:r w:rsidR="00AC5DAC">
        <w:t xml:space="preserve"> (LSE</w:t>
      </w:r>
      <w:r w:rsidR="00AC5DAC" w:rsidRPr="00AC5DAC">
        <w:rPr>
          <w:vertAlign w:val="subscript"/>
        </w:rPr>
        <w:t>t</w:t>
      </w:r>
      <w:r w:rsidR="00AC5DAC">
        <w:t>)</w:t>
      </w:r>
    </w:p>
    <w:p w14:paraId="60A50225" w14:textId="5DEB7F4E" w:rsidR="00D809A0" w:rsidRPr="001C1E91" w:rsidRDefault="00D809A0" w:rsidP="00D51F4A">
      <w:pPr>
        <w:pStyle w:val="NumberedNormal"/>
        <w:numPr>
          <w:ilvl w:val="2"/>
          <w:numId w:val="7"/>
        </w:numPr>
      </w:pPr>
      <w:r>
        <w:t xml:space="preserve">The licensee may apply to the Authority for a direction adjusting the value of the </w:t>
      </w:r>
      <w:r w:rsidR="00AC5DAC">
        <w:t>L</w:t>
      </w:r>
      <w:r>
        <w:t>SE</w:t>
      </w:r>
      <w:r w:rsidRPr="00AC5DAC">
        <w:rPr>
          <w:vertAlign w:val="subscript"/>
        </w:rPr>
        <w:t>t</w:t>
      </w:r>
      <w:r>
        <w:t xml:space="preserve"> term in accordance with the Stakeholder Engagement Incentive Guidance published on the Authority’s Website.</w:t>
      </w:r>
    </w:p>
    <w:p w14:paraId="35502BF2" w14:textId="2E7FB02C" w:rsidR="00D809A0" w:rsidRPr="001C1E91" w:rsidRDefault="00D809A0" w:rsidP="00D51F4A">
      <w:pPr>
        <w:pStyle w:val="NumberedNormal"/>
        <w:numPr>
          <w:ilvl w:val="2"/>
          <w:numId w:val="7"/>
        </w:numPr>
      </w:pPr>
      <w:r>
        <w:t xml:space="preserve">The maximum value of </w:t>
      </w:r>
      <w:r w:rsidR="00AC5DAC">
        <w:t>L</w:t>
      </w:r>
      <w:r>
        <w:t>SE</w:t>
      </w:r>
      <w:r w:rsidRPr="00AC5DAC">
        <w:rPr>
          <w:vertAlign w:val="subscript"/>
        </w:rPr>
        <w:t>t</w:t>
      </w:r>
      <w:r>
        <w:t xml:space="preserve"> that the Authority will direct is equal to 0.5 per cent of  [Base Distribution Network Transportation Activity Revenue] in Regulatory Year 2020/21 as calculated in accordance with Part C of Special Condition 1B (Restriction of revenue in respect of the Distribution Network Transportation Activity) of this licence as in force on 31 March 2021. </w:t>
      </w:r>
    </w:p>
    <w:p w14:paraId="5FB2A8F8" w14:textId="0D5F3ECB" w:rsidR="00D809A0" w:rsidRPr="001C1E91" w:rsidRDefault="00D809A0" w:rsidP="00D51F4A">
      <w:pPr>
        <w:pStyle w:val="NumberedNormal"/>
        <w:numPr>
          <w:ilvl w:val="2"/>
          <w:numId w:val="7"/>
        </w:numPr>
      </w:pPr>
      <w:r>
        <w:t>This condition will cease to have effect on 1 April 2022.</w:t>
      </w:r>
    </w:p>
    <w:p w14:paraId="64092BED" w14:textId="77777777" w:rsidR="00D809A0" w:rsidRDefault="00D809A0" w:rsidP="00D51F4A">
      <w:pPr>
        <w:pStyle w:val="Heading3"/>
        <w:numPr>
          <w:ilvl w:val="5"/>
          <w:numId w:val="7"/>
        </w:numPr>
      </w:pPr>
      <w:r>
        <w:t>Amendments to the Stakeholder Engagement Incentive Guidance</w:t>
      </w:r>
    </w:p>
    <w:p w14:paraId="4EE70A46" w14:textId="77777777" w:rsidR="00D809A0" w:rsidRPr="001C1E91" w:rsidRDefault="00D809A0" w:rsidP="00D51F4A">
      <w:pPr>
        <w:pStyle w:val="NumberedNormal"/>
        <w:numPr>
          <w:ilvl w:val="2"/>
          <w:numId w:val="7"/>
        </w:numPr>
      </w:pPr>
      <w:r>
        <w:t xml:space="preserve">The Authority will amend the Stakeholder Engagement Incentive Guidance by direction. </w:t>
      </w:r>
    </w:p>
    <w:p w14:paraId="1081FDD8" w14:textId="44A2EF63" w:rsidR="00D809A0" w:rsidRPr="001C1E91" w:rsidRDefault="00D809A0" w:rsidP="00D51F4A">
      <w:pPr>
        <w:pStyle w:val="NumberedNormal"/>
        <w:numPr>
          <w:ilvl w:val="2"/>
          <w:numId w:val="7"/>
        </w:numPr>
      </w:pPr>
      <w:r>
        <w:t xml:space="preserve">Before amending the Stakeholder Engagement Incentive Guidance by direction the Authority will publish on </w:t>
      </w:r>
      <w:r w:rsidR="00F21777">
        <w:t>the Authority’s Website</w:t>
      </w:r>
      <w:r>
        <w:t>:</w:t>
      </w:r>
    </w:p>
    <w:p w14:paraId="65F3F5D9" w14:textId="77777777" w:rsidR="00D809A0" w:rsidRPr="001C1E91" w:rsidRDefault="00D809A0" w:rsidP="00D51F4A">
      <w:pPr>
        <w:pStyle w:val="ListNormal"/>
        <w:numPr>
          <w:ilvl w:val="3"/>
          <w:numId w:val="7"/>
        </w:numPr>
      </w:pPr>
      <w:r>
        <w:t>the text of the amended Stakeholder Engagement Incentive Guidance;</w:t>
      </w:r>
    </w:p>
    <w:p w14:paraId="5B2B7061" w14:textId="77777777" w:rsidR="00D809A0" w:rsidRPr="001C1E91" w:rsidRDefault="00D809A0" w:rsidP="00D51F4A">
      <w:pPr>
        <w:pStyle w:val="ListNormal"/>
        <w:numPr>
          <w:ilvl w:val="3"/>
          <w:numId w:val="7"/>
        </w:numPr>
      </w:pPr>
      <w:r>
        <w:t>the date on which the Authority intends the amended Stakeholder Engagement Incentive Guidance to come into effect;</w:t>
      </w:r>
    </w:p>
    <w:p w14:paraId="2C831E51" w14:textId="77777777" w:rsidR="00D809A0" w:rsidRPr="001C1E91" w:rsidRDefault="00D809A0" w:rsidP="00D51F4A">
      <w:pPr>
        <w:pStyle w:val="ListNormal"/>
        <w:numPr>
          <w:ilvl w:val="3"/>
          <w:numId w:val="7"/>
        </w:numPr>
      </w:pPr>
      <w:r>
        <w:lastRenderedPageBreak/>
        <w:t>the reasons for the amendments to the Stakeholder Engagement Incentive Guidance; and</w:t>
      </w:r>
    </w:p>
    <w:p w14:paraId="3D2EE48A" w14:textId="39CA451B" w:rsidR="00D809A0" w:rsidRPr="001C1E91" w:rsidRDefault="00D809A0" w:rsidP="00D51F4A">
      <w:pPr>
        <w:pStyle w:val="ListNormal"/>
        <w:numPr>
          <w:ilvl w:val="3"/>
          <w:numId w:val="7"/>
        </w:numPr>
      </w:pPr>
      <w:r>
        <w:t xml:space="preserve">a period during which representations may be made on the amendments to the Stakeholder Engagement Incentive Guidance, which </w:t>
      </w:r>
      <w:r w:rsidR="00D05DF5">
        <w:t>will</w:t>
      </w:r>
      <w:r>
        <w:t xml:space="preserve"> not be less than 28 days.</w:t>
      </w:r>
    </w:p>
    <w:p w14:paraId="4B02572D" w14:textId="33D3B7B6" w:rsidR="00D809A0" w:rsidRPr="0057526A" w:rsidRDefault="00D809A0" w:rsidP="00D51F4A">
      <w:pPr>
        <w:pStyle w:val="Heading2"/>
        <w:numPr>
          <w:ilvl w:val="1"/>
          <w:numId w:val="7"/>
        </w:numPr>
      </w:pPr>
      <w:bookmarkStart w:id="164" w:name="_Toc51783691"/>
      <w:bookmarkStart w:id="165" w:name="_Toc52364586"/>
      <w:r>
        <w:t>Close out of the RIIO-GD1 Customer Satisfaction Survey Incentive (</w:t>
      </w:r>
      <w:r w:rsidR="000F160B">
        <w:t>L</w:t>
      </w:r>
      <w:r>
        <w:t>CSO</w:t>
      </w:r>
      <w:r w:rsidRPr="00AC5DAC">
        <w:rPr>
          <w:vertAlign w:val="subscript"/>
        </w:rPr>
        <w:t>t</w:t>
      </w:r>
      <w:r>
        <w:t>)</w:t>
      </w:r>
      <w:bookmarkEnd w:id="164"/>
      <w:bookmarkEnd w:id="165"/>
    </w:p>
    <w:p w14:paraId="33D73968" w14:textId="77777777" w:rsidR="00D809A0" w:rsidRPr="0057526A" w:rsidRDefault="00D809A0" w:rsidP="00D809A0">
      <w:pPr>
        <w:pStyle w:val="Heading3nonumbering"/>
      </w:pPr>
      <w:r w:rsidRPr="0057526A">
        <w:t xml:space="preserve">Introduction </w:t>
      </w:r>
    </w:p>
    <w:p w14:paraId="62C21F60" w14:textId="7900ECB6" w:rsidR="00D809A0" w:rsidRPr="00E469A0" w:rsidRDefault="00D809A0" w:rsidP="00D51F4A">
      <w:pPr>
        <w:pStyle w:val="NumberedNormal"/>
        <w:numPr>
          <w:ilvl w:val="2"/>
          <w:numId w:val="7"/>
        </w:numPr>
      </w:pPr>
      <w:r>
        <w:t xml:space="preserve">The purpose of this condition is to direct the </w:t>
      </w:r>
      <w:r w:rsidR="00AC5DAC">
        <w:t>L</w:t>
      </w:r>
      <w:r>
        <w:t>CSO</w:t>
      </w:r>
      <w:r w:rsidRPr="00AC5DAC">
        <w:rPr>
          <w:vertAlign w:val="subscript"/>
        </w:rPr>
        <w:t>t</w:t>
      </w:r>
      <w:r>
        <w:t xml:space="preserve"> term (the RIIO-GD1 Customer Satisfaction Survey Incentive close out term). This contributes to the calculation of the LAR</w:t>
      </w:r>
      <w:r w:rsidRPr="00AC5DAC">
        <w:rPr>
          <w:vertAlign w:val="subscript"/>
        </w:rPr>
        <w:t>t</w:t>
      </w:r>
      <w:r>
        <w:t xml:space="preserve"> term (the legacy adjustments term), which in turn feeds into Calculated Revenue in Special Condition </w:t>
      </w:r>
      <w:r w:rsidR="00AC5DAC">
        <w:t>2.1</w:t>
      </w:r>
      <w:r>
        <w:t xml:space="preserve"> (</w:t>
      </w:r>
      <w:r w:rsidR="00AC5DAC">
        <w:t xml:space="preserve">Revenue </w:t>
      </w:r>
      <w:r>
        <w:t>Restriction).</w:t>
      </w:r>
    </w:p>
    <w:p w14:paraId="4C3A827C" w14:textId="77777777" w:rsidR="00D809A0" w:rsidRPr="00E469A0" w:rsidRDefault="00D809A0" w:rsidP="00D51F4A">
      <w:pPr>
        <w:pStyle w:val="NumberedNormal"/>
        <w:numPr>
          <w:ilvl w:val="2"/>
          <w:numId w:val="7"/>
        </w:numPr>
      </w:pPr>
      <w:r>
        <w:t>The effect of this condition is to close out the RIIO-GD1 Customer Satisfaction Survey Output Delivery Incentive.</w:t>
      </w:r>
    </w:p>
    <w:p w14:paraId="7BACBC5D" w14:textId="2EF207E2" w:rsidR="00D809A0" w:rsidRDefault="00D809A0" w:rsidP="00D51F4A">
      <w:pPr>
        <w:pStyle w:val="Heading3"/>
        <w:numPr>
          <w:ilvl w:val="5"/>
          <w:numId w:val="7"/>
        </w:numPr>
      </w:pPr>
      <w:r>
        <w:t>Direction of the</w:t>
      </w:r>
      <w:r w:rsidR="00AC5DAC">
        <w:t xml:space="preserve"> RIIO-GD1 Customer Satisfaction Survey Incentive close out </w:t>
      </w:r>
      <w:r>
        <w:t xml:space="preserve">term </w:t>
      </w:r>
      <w:r w:rsidR="00AC5DAC">
        <w:t>(LCSO</w:t>
      </w:r>
      <w:r w:rsidR="00AC5DAC" w:rsidRPr="00AC5DAC">
        <w:rPr>
          <w:vertAlign w:val="subscript"/>
        </w:rPr>
        <w:t>t</w:t>
      </w:r>
      <w:r w:rsidR="00AC5DAC">
        <w:t>)</w:t>
      </w:r>
    </w:p>
    <w:p w14:paraId="2CC33C83" w14:textId="74500AB6" w:rsidR="00D809A0" w:rsidRPr="003B46E9" w:rsidRDefault="00D809A0" w:rsidP="00D51F4A">
      <w:pPr>
        <w:pStyle w:val="NumberedNormal"/>
        <w:numPr>
          <w:ilvl w:val="2"/>
          <w:numId w:val="7"/>
        </w:numPr>
      </w:pPr>
      <w:r>
        <w:t xml:space="preserve">The value </w:t>
      </w:r>
      <w:r w:rsidR="000F160B">
        <w:t>L</w:t>
      </w:r>
      <w:r>
        <w:t>CSO</w:t>
      </w:r>
      <w:r w:rsidRPr="000157F3">
        <w:rPr>
          <w:vertAlign w:val="subscript"/>
        </w:rPr>
        <w:t>t</w:t>
      </w:r>
      <w:r>
        <w:t xml:space="preserve"> will be determined in accordance with Part A of Special Condition 1E (Incentive adjustment in respect of the Broad Measure of Customer Satisfaction) of this licence as in force on 31 March 2021. </w:t>
      </w:r>
    </w:p>
    <w:p w14:paraId="551E147E" w14:textId="77777777" w:rsidR="00D809A0" w:rsidRPr="00E469A0" w:rsidRDefault="00D809A0" w:rsidP="00D51F4A">
      <w:pPr>
        <w:pStyle w:val="NumberedNormal"/>
        <w:numPr>
          <w:ilvl w:val="2"/>
          <w:numId w:val="7"/>
        </w:numPr>
      </w:pPr>
      <w:r>
        <w:t xml:space="preserve">This condition will cease to have effect on 1 April 2022. </w:t>
      </w:r>
    </w:p>
    <w:p w14:paraId="7E0514BD" w14:textId="77777777" w:rsidR="00D809A0" w:rsidRPr="0057526A" w:rsidRDefault="00D809A0" w:rsidP="00D51F4A">
      <w:pPr>
        <w:pStyle w:val="Heading2"/>
        <w:numPr>
          <w:ilvl w:val="1"/>
          <w:numId w:val="7"/>
        </w:numPr>
      </w:pPr>
      <w:bookmarkStart w:id="166" w:name="_Toc51783692"/>
      <w:bookmarkStart w:id="167" w:name="_Toc52364587"/>
      <w:r>
        <w:t>Close out of the RIIO-GD1 Complaints Metric Incentive (LCM</w:t>
      </w:r>
      <w:r w:rsidRPr="00AC5DAC">
        <w:rPr>
          <w:vertAlign w:val="subscript"/>
        </w:rPr>
        <w:t>t</w:t>
      </w:r>
      <w:r>
        <w:t>)</w:t>
      </w:r>
      <w:bookmarkEnd w:id="166"/>
      <w:bookmarkEnd w:id="167"/>
    </w:p>
    <w:p w14:paraId="23F9973D" w14:textId="77777777" w:rsidR="00D809A0" w:rsidRPr="0057526A" w:rsidRDefault="00D809A0" w:rsidP="00D809A0">
      <w:pPr>
        <w:pStyle w:val="Heading3nonumbering"/>
      </w:pPr>
      <w:r w:rsidRPr="0057526A">
        <w:t xml:space="preserve">Introduction </w:t>
      </w:r>
    </w:p>
    <w:p w14:paraId="392BCD50" w14:textId="4E14CE2E" w:rsidR="00D809A0" w:rsidRPr="00946DAA" w:rsidRDefault="00D809A0" w:rsidP="00D51F4A">
      <w:pPr>
        <w:pStyle w:val="NumberedNormal"/>
        <w:numPr>
          <w:ilvl w:val="2"/>
          <w:numId w:val="7"/>
        </w:numPr>
      </w:pPr>
      <w:r>
        <w:t>The purpose of this condition is to calculate the term LCM</w:t>
      </w:r>
      <w:r w:rsidRPr="00AC5DAC">
        <w:rPr>
          <w:vertAlign w:val="subscript"/>
        </w:rPr>
        <w:t>t</w:t>
      </w:r>
      <w:r>
        <w:t xml:space="preserve"> (the RIIO-GD1 Complaints Metric Incentive close out term). This contributes to the calculation of the LAR</w:t>
      </w:r>
      <w:r w:rsidRPr="00AC5DAC">
        <w:rPr>
          <w:vertAlign w:val="subscript"/>
        </w:rPr>
        <w:t>t</w:t>
      </w:r>
      <w:r>
        <w:t xml:space="preserve"> (the legacy adjustments term), which in turn feeds into the Calculated Revenue in Special Condition 2.1 (Revenue Restriction).</w:t>
      </w:r>
    </w:p>
    <w:p w14:paraId="60703AD8" w14:textId="77777777" w:rsidR="00D809A0" w:rsidRPr="00946DAA" w:rsidRDefault="00D809A0" w:rsidP="00D51F4A">
      <w:pPr>
        <w:pStyle w:val="NumberedNormal"/>
        <w:numPr>
          <w:ilvl w:val="2"/>
          <w:numId w:val="7"/>
        </w:numPr>
      </w:pPr>
      <w:r>
        <w:t>The effect of this condition is to close out the RIIO-GD1 Complaints Metric Incentive such that revenue in the Regulatory Years commencing on 1 April 2021 and 1 April 2022 reflect performance in relation to customer satisfaction in Regulatory Years commencing on 1 April 2019 and 1 April 2020 respectively.</w:t>
      </w:r>
    </w:p>
    <w:p w14:paraId="4C8E66EE" w14:textId="098B5E0D" w:rsidR="00D809A0" w:rsidRPr="00AE57AC" w:rsidRDefault="00283BC8" w:rsidP="00D51F4A">
      <w:pPr>
        <w:pStyle w:val="Heading3"/>
        <w:numPr>
          <w:ilvl w:val="5"/>
          <w:numId w:val="7"/>
        </w:numPr>
      </w:pPr>
      <w:r>
        <w:t xml:space="preserve">Formula for calculating </w:t>
      </w:r>
      <w:r w:rsidR="00D809A0">
        <w:t>the Complaints Metric Incentive close out term (LCM</w:t>
      </w:r>
      <w:r w:rsidR="00D809A0" w:rsidRPr="00367735">
        <w:rPr>
          <w:vertAlign w:val="subscript"/>
        </w:rPr>
        <w:t>t</w:t>
      </w:r>
      <w:r w:rsidR="00D809A0">
        <w:t>)</w:t>
      </w:r>
    </w:p>
    <w:p w14:paraId="0E0F98F9" w14:textId="0F369A8C" w:rsidR="00D809A0" w:rsidRPr="00946DAA" w:rsidRDefault="00D809A0" w:rsidP="00D51F4A">
      <w:pPr>
        <w:pStyle w:val="NumberedNormal"/>
        <w:numPr>
          <w:ilvl w:val="2"/>
          <w:numId w:val="7"/>
        </w:numPr>
      </w:pPr>
      <w:r>
        <w:t>For the Regulatory Years commencing on 1 April 2021 and 1 April 2022, the value of LCM</w:t>
      </w:r>
      <w:r w:rsidRPr="0039702C">
        <w:rPr>
          <w:vertAlign w:val="subscript"/>
        </w:rPr>
        <w:t>t</w:t>
      </w:r>
      <w:r>
        <w:t xml:space="preserve"> is determined in accordance with Part B of Special Condition 1E (Incentive adjustment in respect of the Broad Measure of Customer Satisfaction) of this licence as in force on 31 March 2021.</w:t>
      </w:r>
    </w:p>
    <w:p w14:paraId="59FF2109" w14:textId="77777777" w:rsidR="00A2394D" w:rsidRPr="00E469A0" w:rsidRDefault="00A2394D" w:rsidP="00A2394D">
      <w:pPr>
        <w:pStyle w:val="NumberedNormal"/>
        <w:numPr>
          <w:ilvl w:val="2"/>
          <w:numId w:val="7"/>
        </w:numPr>
      </w:pPr>
      <w:bookmarkStart w:id="168" w:name="_Toc51783693"/>
      <w:r>
        <w:lastRenderedPageBreak/>
        <w:t xml:space="preserve">This condition will cease to have effect on 1 April 2022. </w:t>
      </w:r>
    </w:p>
    <w:p w14:paraId="5DFF1499" w14:textId="37DA1809" w:rsidR="00D809A0" w:rsidRPr="00F1382B" w:rsidRDefault="00D809A0" w:rsidP="00D51F4A">
      <w:pPr>
        <w:pStyle w:val="Heading2"/>
        <w:numPr>
          <w:ilvl w:val="1"/>
          <w:numId w:val="7"/>
        </w:numPr>
      </w:pPr>
      <w:bookmarkStart w:id="169" w:name="_Toc52364588"/>
      <w:r w:rsidRPr="00F1382B">
        <w:t xml:space="preserve">Close out of the RIIO-GD1 Fuel Poor Network Extension Scheme Incentive Mechanism </w:t>
      </w:r>
      <w:r>
        <w:t>(</w:t>
      </w:r>
      <w:r w:rsidR="00592D12">
        <w:t>L</w:t>
      </w:r>
      <w:r>
        <w:t>FPI</w:t>
      </w:r>
      <w:r w:rsidRPr="0039702C">
        <w:rPr>
          <w:vertAlign w:val="subscript"/>
        </w:rPr>
        <w:t>t</w:t>
      </w:r>
      <w:r>
        <w:t>)</w:t>
      </w:r>
      <w:bookmarkEnd w:id="168"/>
      <w:bookmarkEnd w:id="169"/>
    </w:p>
    <w:p w14:paraId="1DC62127" w14:textId="77777777" w:rsidR="00D809A0" w:rsidRPr="00F1382B" w:rsidRDefault="00D809A0" w:rsidP="00D809A0">
      <w:pPr>
        <w:pStyle w:val="Heading3nonumbering"/>
      </w:pPr>
      <w:r w:rsidRPr="00F1382B">
        <w:t xml:space="preserve">Introduction </w:t>
      </w:r>
    </w:p>
    <w:p w14:paraId="54F29A67" w14:textId="44D8E710" w:rsidR="00D809A0" w:rsidRPr="00F1382B" w:rsidRDefault="00D809A0" w:rsidP="00D51F4A">
      <w:pPr>
        <w:pStyle w:val="NumberedNormal"/>
        <w:numPr>
          <w:ilvl w:val="2"/>
          <w:numId w:val="7"/>
        </w:numPr>
      </w:pPr>
      <w:r>
        <w:t xml:space="preserve">The purpose of this condition is to calculate the term </w:t>
      </w:r>
      <w:r w:rsidR="00592D12">
        <w:t>L</w:t>
      </w:r>
      <w:r>
        <w:t>FPI</w:t>
      </w:r>
      <w:r w:rsidRPr="0039702C">
        <w:rPr>
          <w:vertAlign w:val="subscript"/>
        </w:rPr>
        <w:t>t</w:t>
      </w:r>
      <w:r>
        <w:t xml:space="preserve"> (the Fuel Poor Network Extension Scheme Incentive close out term). This contributes to the calculation of the LAR</w:t>
      </w:r>
      <w:r w:rsidRPr="0039702C">
        <w:rPr>
          <w:vertAlign w:val="subscript"/>
        </w:rPr>
        <w:t>t</w:t>
      </w:r>
      <w:r>
        <w:t xml:space="preserve"> term (the legacy adjustments term), which in turn feeds into Calculated Revenue in Special Condition 2.1 (Revenue Restriction).</w:t>
      </w:r>
    </w:p>
    <w:p w14:paraId="7A1A34F6" w14:textId="77777777" w:rsidR="00D809A0" w:rsidRPr="00F1382B" w:rsidRDefault="00D809A0" w:rsidP="00D51F4A">
      <w:pPr>
        <w:pStyle w:val="NumberedNormal"/>
        <w:numPr>
          <w:ilvl w:val="2"/>
          <w:numId w:val="7"/>
        </w:numPr>
      </w:pPr>
      <w:r>
        <w:t xml:space="preserve">The effect of this condition is to close out the RIIO-GD1 Fuel Poor Network Extension Scheme Incentive, which provided a reward or penalty associated with over or under delivery of the RIIO-GD1 FPNES Connection Targets. </w:t>
      </w:r>
    </w:p>
    <w:p w14:paraId="5A6EAF83" w14:textId="02B46AAC" w:rsidR="00D809A0" w:rsidRPr="00F1382B" w:rsidRDefault="00310B62" w:rsidP="00D51F4A">
      <w:pPr>
        <w:pStyle w:val="Heading3"/>
        <w:numPr>
          <w:ilvl w:val="5"/>
          <w:numId w:val="7"/>
        </w:numPr>
      </w:pPr>
      <w:r>
        <w:t xml:space="preserve">Formula for calculating </w:t>
      </w:r>
      <w:r w:rsidR="00D809A0">
        <w:t>the Fuel Poor Network Extension Scheme Incentive close out term</w:t>
      </w:r>
      <w:r w:rsidR="00AC5DAC">
        <w:t xml:space="preserve"> (LFPI</w:t>
      </w:r>
      <w:r w:rsidR="00AC5DAC" w:rsidRPr="00AC5DAC">
        <w:rPr>
          <w:vertAlign w:val="subscript"/>
        </w:rPr>
        <w:t>t</w:t>
      </w:r>
      <w:r w:rsidR="00AC5DAC">
        <w:t>)</w:t>
      </w:r>
    </w:p>
    <w:p w14:paraId="63500F07" w14:textId="502529D4" w:rsidR="00D809A0" w:rsidRPr="00F1382B" w:rsidRDefault="00D809A0" w:rsidP="00D51F4A">
      <w:pPr>
        <w:pStyle w:val="NumberedNormal"/>
        <w:numPr>
          <w:ilvl w:val="2"/>
          <w:numId w:val="7"/>
        </w:numPr>
      </w:pPr>
      <w:r>
        <w:t xml:space="preserve"> The value of </w:t>
      </w:r>
      <w:r w:rsidR="00592D12">
        <w:t>L</w:t>
      </w:r>
      <w:r>
        <w:t>FPI</w:t>
      </w:r>
      <w:r w:rsidRPr="00AC5DAC">
        <w:rPr>
          <w:vertAlign w:val="subscript"/>
        </w:rPr>
        <w:t>t</w:t>
      </w:r>
      <w:r>
        <w:t xml:space="preserve"> is derived in accordance with the following formula, but only applies where the Authority so directs:</w:t>
      </w:r>
    </w:p>
    <w:p w14:paraId="115D629A" w14:textId="3CC27BC3" w:rsidR="00D809A0" w:rsidRPr="00F1382B" w:rsidRDefault="008C7681" w:rsidP="00D809A0">
      <w:pPr>
        <w:pStyle w:val="Equation"/>
      </w:pPr>
      <m:oMathPara>
        <m:oMath>
          <m:sSub>
            <m:sSubPr>
              <m:ctrlPr>
                <w:rPr>
                  <w:rFonts w:ascii="Cambria Math" w:hAnsi="Cambria Math"/>
                </w:rPr>
              </m:ctrlPr>
            </m:sSubPr>
            <m:e>
              <m:r>
                <w:rPr>
                  <w:rFonts w:ascii="Cambria Math" w:hAnsi="Cambria Math"/>
                </w:rPr>
                <m:t>LFPI</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FPO</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FPU</m:t>
              </m:r>
            </m:e>
            <m:sub>
              <m:r>
                <w:rPr>
                  <w:rFonts w:ascii="Cambria Math" w:hAnsi="Cambria Math"/>
                </w:rPr>
                <m:t>t</m:t>
              </m:r>
            </m:sub>
          </m:sSub>
        </m:oMath>
      </m:oMathPara>
    </w:p>
    <w:p w14:paraId="469C665E" w14:textId="77777777" w:rsidR="00D809A0" w:rsidRPr="00F1382B" w:rsidRDefault="00D809A0" w:rsidP="00D809A0">
      <w:r w:rsidRPr="00F1382B">
        <w:t xml:space="preserve">where: </w:t>
      </w:r>
    </w:p>
    <w:tbl>
      <w:tblPr>
        <w:tblStyle w:val="TableGrid"/>
        <w:tblW w:w="8613" w:type="dxa"/>
        <w:tblInd w:w="67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097"/>
        <w:gridCol w:w="7516"/>
      </w:tblGrid>
      <w:tr w:rsidR="00D809A0" w:rsidRPr="00AE57AC" w14:paraId="1908302B" w14:textId="77777777" w:rsidTr="00D809A0">
        <w:trPr>
          <w:cnfStyle w:val="100000000000" w:firstRow="1" w:lastRow="0" w:firstColumn="0" w:lastColumn="0" w:oddVBand="0" w:evenVBand="0" w:oddHBand="0" w:evenHBand="0" w:firstRowFirstColumn="0" w:firstRowLastColumn="0" w:lastRowFirstColumn="0" w:lastRowLastColumn="0"/>
          <w:trHeight w:val="454"/>
        </w:trPr>
        <w:tc>
          <w:tcPr>
            <w:tcW w:w="1097" w:type="dxa"/>
          </w:tcPr>
          <w:p w14:paraId="790FF55E" w14:textId="77777777" w:rsidR="00D809A0" w:rsidRPr="00F1382B" w:rsidRDefault="00D809A0" w:rsidP="00D809A0">
            <w:r w:rsidRPr="00F1382B">
              <w:t>FPOt</w:t>
            </w:r>
          </w:p>
        </w:tc>
        <w:tc>
          <w:tcPr>
            <w:tcW w:w="7516" w:type="dxa"/>
          </w:tcPr>
          <w:p w14:paraId="74451374" w14:textId="77777777" w:rsidR="00D809A0" w:rsidRPr="00F1382B" w:rsidRDefault="00D809A0" w:rsidP="00D809A0">
            <w:r w:rsidRPr="00F1382B">
              <w:t>means the positive adjustment equal to 2.5 per cent of the additional efficient costs associated with the justified over-delivery of the RIIO-GD1 FPNES Connection Targets set out in Appendix 1; and</w:t>
            </w:r>
          </w:p>
        </w:tc>
      </w:tr>
      <w:tr w:rsidR="00D809A0" w:rsidRPr="00AE57AC" w14:paraId="7A489014" w14:textId="77777777" w:rsidTr="00D809A0">
        <w:trPr>
          <w:trHeight w:val="454"/>
        </w:trPr>
        <w:tc>
          <w:tcPr>
            <w:tcW w:w="1097" w:type="dxa"/>
          </w:tcPr>
          <w:p w14:paraId="6A2CB22B" w14:textId="77777777" w:rsidR="00D809A0" w:rsidRPr="00F1382B" w:rsidRDefault="00D809A0" w:rsidP="00D809A0">
            <w:r w:rsidRPr="00F1382B">
              <w:t>FPUt</w:t>
            </w:r>
          </w:p>
        </w:tc>
        <w:tc>
          <w:tcPr>
            <w:tcW w:w="7516" w:type="dxa"/>
          </w:tcPr>
          <w:p w14:paraId="4FBBFF93" w14:textId="77777777" w:rsidR="00D809A0" w:rsidRPr="00F1382B" w:rsidRDefault="00D809A0" w:rsidP="00D809A0">
            <w:r w:rsidRPr="00F1382B">
              <w:t>means the negative adjustment equal to 2.5 per cent of the avoided efficient costs associated with the unjustified under-delivery of the RIIO-GD1 FPNES Connection Targets set out in Appendix 1.</w:t>
            </w:r>
          </w:p>
        </w:tc>
      </w:tr>
      <w:tr w:rsidR="00D809A0" w:rsidRPr="00AE57AC" w14:paraId="511BC0D9" w14:textId="77777777" w:rsidTr="00D809A0">
        <w:trPr>
          <w:trHeight w:val="454"/>
        </w:trPr>
        <w:tc>
          <w:tcPr>
            <w:tcW w:w="1097" w:type="dxa"/>
          </w:tcPr>
          <w:p w14:paraId="4CCC3BC3" w14:textId="77777777" w:rsidR="00D809A0" w:rsidRPr="00F1382B" w:rsidRDefault="00D809A0" w:rsidP="00D809A0"/>
        </w:tc>
        <w:tc>
          <w:tcPr>
            <w:tcW w:w="7516" w:type="dxa"/>
          </w:tcPr>
          <w:p w14:paraId="521D8247" w14:textId="77777777" w:rsidR="00D809A0" w:rsidRPr="00F1382B" w:rsidRDefault="00D809A0" w:rsidP="00D809A0"/>
        </w:tc>
      </w:tr>
    </w:tbl>
    <w:p w14:paraId="30C2239E" w14:textId="77777777" w:rsidR="00D809A0" w:rsidRPr="00F1382B" w:rsidRDefault="00D809A0" w:rsidP="00D51F4A">
      <w:pPr>
        <w:pStyle w:val="Heading3"/>
        <w:numPr>
          <w:ilvl w:val="5"/>
          <w:numId w:val="7"/>
        </w:numPr>
      </w:pPr>
      <w:r>
        <w:t xml:space="preserve">Requirement to report on RIIO1-GD1 FPNES Connection Targets </w:t>
      </w:r>
    </w:p>
    <w:p w14:paraId="22DD359F" w14:textId="77777777" w:rsidR="00D809A0" w:rsidRPr="00F1382B" w:rsidRDefault="00D809A0" w:rsidP="00D51F4A">
      <w:pPr>
        <w:pStyle w:val="NumberedNormal"/>
        <w:numPr>
          <w:ilvl w:val="2"/>
          <w:numId w:val="7"/>
        </w:numPr>
      </w:pPr>
      <w:r>
        <w:t>By 31 July 2021, the licensee must provide a report to the Authority setting out the extent to which it has achieved the RIIO-GD1 FPNES Connection Targets set out in Appendix 1 and provide details of its performance.</w:t>
      </w:r>
    </w:p>
    <w:p w14:paraId="1B5EEAB5" w14:textId="57BDF0E9" w:rsidR="00D809A0" w:rsidRPr="00F1382B" w:rsidRDefault="00D809A0" w:rsidP="00D51F4A">
      <w:pPr>
        <w:pStyle w:val="NumberedNormal"/>
        <w:numPr>
          <w:ilvl w:val="2"/>
          <w:numId w:val="7"/>
        </w:numPr>
      </w:pPr>
      <w:r>
        <w:t>The licensee’s report must include detailed explanations together with detailed supporting evidence as to why the licensee reasonably considers that it has achieved Between 1 April 2013 and 31 March 2021:</w:t>
      </w:r>
    </w:p>
    <w:p w14:paraId="235EE258" w14:textId="2CCFFC94" w:rsidR="00D809A0" w:rsidRPr="00F1382B" w:rsidRDefault="00D809A0" w:rsidP="00D51F4A">
      <w:pPr>
        <w:pStyle w:val="ListNormal"/>
        <w:numPr>
          <w:ilvl w:val="3"/>
          <w:numId w:val="7"/>
        </w:numPr>
      </w:pPr>
      <w:r>
        <w:t>the RIIO-GD1 FPNES Connection Targets set out in Appendix 1; and</w:t>
      </w:r>
    </w:p>
    <w:p w14:paraId="0A1E137A" w14:textId="42197CC0" w:rsidR="00D809A0" w:rsidRPr="00F1382B" w:rsidRDefault="00D809A0" w:rsidP="00D51F4A">
      <w:pPr>
        <w:pStyle w:val="ListNormal"/>
        <w:numPr>
          <w:ilvl w:val="3"/>
          <w:numId w:val="7"/>
        </w:numPr>
      </w:pPr>
      <w:r>
        <w:t>any justified over delivery, or under delivery, in accordance with the RIIO Principles.</w:t>
      </w:r>
    </w:p>
    <w:p w14:paraId="6269513C" w14:textId="58A53C62" w:rsidR="00D809A0" w:rsidRPr="00F1382B" w:rsidRDefault="00D809A0" w:rsidP="00D51F4A">
      <w:pPr>
        <w:pStyle w:val="Heading3"/>
        <w:numPr>
          <w:ilvl w:val="5"/>
          <w:numId w:val="7"/>
        </w:numPr>
      </w:pPr>
      <w:r>
        <w:lastRenderedPageBreak/>
        <w:t xml:space="preserve">Process for directing the application of </w:t>
      </w:r>
      <w:r w:rsidR="00AC5DAC">
        <w:t>the Fuel Poor Network Extension Scheme Incentive close out term</w:t>
      </w:r>
    </w:p>
    <w:p w14:paraId="7D5E5A70" w14:textId="43F3B909" w:rsidR="00D809A0" w:rsidRPr="00F1382B" w:rsidRDefault="00D809A0" w:rsidP="00D51F4A">
      <w:pPr>
        <w:pStyle w:val="NumberedNormal"/>
        <w:numPr>
          <w:ilvl w:val="2"/>
          <w:numId w:val="7"/>
        </w:numPr>
      </w:pPr>
      <w:r>
        <w:t>Before issuing a direction under paragraph 7.11.3 the Authority will publish on the Authority's Website:</w:t>
      </w:r>
    </w:p>
    <w:p w14:paraId="27C06D41" w14:textId="77777777" w:rsidR="00D809A0" w:rsidRDefault="00D809A0" w:rsidP="00D51F4A">
      <w:pPr>
        <w:pStyle w:val="ListNormal"/>
        <w:numPr>
          <w:ilvl w:val="3"/>
          <w:numId w:val="7"/>
        </w:numPr>
      </w:pPr>
      <w:r>
        <w:t>the text of the proposed direction;</w:t>
      </w:r>
    </w:p>
    <w:p w14:paraId="1C2C261D" w14:textId="77777777" w:rsidR="00D809A0" w:rsidRDefault="00D809A0" w:rsidP="00D51F4A">
      <w:pPr>
        <w:pStyle w:val="ListNormal"/>
        <w:numPr>
          <w:ilvl w:val="3"/>
          <w:numId w:val="7"/>
        </w:numPr>
      </w:pPr>
      <w:r>
        <w:t>the reasons for the proposed direction; and</w:t>
      </w:r>
    </w:p>
    <w:p w14:paraId="64BEF5A8" w14:textId="7CB408F5" w:rsidR="00D809A0" w:rsidRDefault="00D809A0" w:rsidP="00D51F4A">
      <w:pPr>
        <w:pStyle w:val="ListNormal"/>
        <w:numPr>
          <w:ilvl w:val="3"/>
          <w:numId w:val="7"/>
        </w:numPr>
      </w:pPr>
      <w:r>
        <w:t xml:space="preserve">a period during which representations may be made on the proposed direction, which </w:t>
      </w:r>
      <w:r w:rsidR="00D05DF5">
        <w:t>will</w:t>
      </w:r>
      <w:r>
        <w:t xml:space="preserve"> not be less than 28 days.</w:t>
      </w:r>
    </w:p>
    <w:p w14:paraId="0CE3270B" w14:textId="479716A2" w:rsidR="00D809A0" w:rsidRDefault="00D809A0" w:rsidP="00D51F4A">
      <w:pPr>
        <w:pStyle w:val="NumberedNormal"/>
        <w:numPr>
          <w:ilvl w:val="2"/>
          <w:numId w:val="7"/>
        </w:numPr>
      </w:pPr>
      <w:r>
        <w:t xml:space="preserve">The direction will set out the value of the </w:t>
      </w:r>
      <w:r w:rsidR="00592D12">
        <w:t>L</w:t>
      </w:r>
      <w:r>
        <w:t>FPI</w:t>
      </w:r>
      <w:r w:rsidRPr="0039702C">
        <w:rPr>
          <w:vertAlign w:val="subscript"/>
        </w:rPr>
        <w:t>t</w:t>
      </w:r>
      <w:r>
        <w:t xml:space="preserve"> term and the Regulatory Years to which those values relate.</w:t>
      </w:r>
    </w:p>
    <w:p w14:paraId="015D91E3" w14:textId="251F2B83" w:rsidR="00D809A0" w:rsidRPr="00F1382B" w:rsidRDefault="00D809A0" w:rsidP="00D51F4A">
      <w:pPr>
        <w:pStyle w:val="AppendixHeading"/>
      </w:pPr>
      <w:r w:rsidRPr="00F1382B">
        <w:t xml:space="preserve"> </w:t>
      </w:r>
    </w:p>
    <w:p w14:paraId="7DB2707A" w14:textId="77777777" w:rsidR="00D809A0" w:rsidRPr="00367735" w:rsidRDefault="00D809A0" w:rsidP="0021049C">
      <w:pPr>
        <w:pStyle w:val="Caption"/>
      </w:pPr>
      <w:r w:rsidRPr="00367735">
        <w:t>RIIO-GD1 FPNES Connection Targets</w:t>
      </w:r>
    </w:p>
    <w:tbl>
      <w:tblPr>
        <w:tblStyle w:val="AppendixTable"/>
        <w:tblW w:w="5000" w:type="pct"/>
        <w:tblLook w:val="04A0" w:firstRow="1" w:lastRow="0" w:firstColumn="1" w:lastColumn="0" w:noHBand="0" w:noVBand="1"/>
      </w:tblPr>
      <w:tblGrid>
        <w:gridCol w:w="2276"/>
        <w:gridCol w:w="6750"/>
      </w:tblGrid>
      <w:tr w:rsidR="00D809A0" w:rsidRPr="00D5104D" w14:paraId="25CB679E" w14:textId="77777777" w:rsidTr="00993E13">
        <w:trPr>
          <w:cnfStyle w:val="100000000000" w:firstRow="1" w:lastRow="0" w:firstColumn="0" w:lastColumn="0" w:oddVBand="0" w:evenVBand="0" w:oddHBand="0" w:evenHBand="0" w:firstRowFirstColumn="0" w:firstRowLastColumn="0" w:lastRowFirstColumn="0" w:lastRowLastColumn="0"/>
          <w:trHeight w:val="321"/>
        </w:trPr>
        <w:tc>
          <w:tcPr>
            <w:tcW w:w="1261" w:type="pct"/>
          </w:tcPr>
          <w:p w14:paraId="4191EF4F" w14:textId="77777777" w:rsidR="00D809A0" w:rsidRPr="00F1382B" w:rsidRDefault="00D809A0" w:rsidP="00D809A0">
            <w:r w:rsidRPr="00F1382B">
              <w:t>Licensee</w:t>
            </w:r>
          </w:p>
        </w:tc>
        <w:tc>
          <w:tcPr>
            <w:tcW w:w="3739" w:type="pct"/>
          </w:tcPr>
          <w:p w14:paraId="169679CD" w14:textId="77777777" w:rsidR="00D809A0" w:rsidRPr="00F1382B" w:rsidRDefault="00D809A0" w:rsidP="00D809A0">
            <w:r w:rsidRPr="00F1382B">
              <w:t>Scheme Connection Targets from 1 April 2013 to 31 March 2021</w:t>
            </w:r>
          </w:p>
        </w:tc>
      </w:tr>
      <w:tr w:rsidR="00D809A0" w:rsidRPr="00D5104D" w14:paraId="68B4DA64" w14:textId="77777777" w:rsidTr="00993E13">
        <w:trPr>
          <w:trHeight w:val="321"/>
        </w:trPr>
        <w:tc>
          <w:tcPr>
            <w:tcW w:w="1261" w:type="pct"/>
          </w:tcPr>
          <w:p w14:paraId="0752F071" w14:textId="77777777" w:rsidR="00D809A0" w:rsidRPr="00F1382B" w:rsidRDefault="00D809A0" w:rsidP="00D809A0">
            <w:r w:rsidRPr="00F1382B">
              <w:t>EOE</w:t>
            </w:r>
          </w:p>
        </w:tc>
        <w:tc>
          <w:tcPr>
            <w:tcW w:w="3739" w:type="pct"/>
          </w:tcPr>
          <w:p w14:paraId="13DEE2F0" w14:textId="77777777" w:rsidR="00D809A0" w:rsidRPr="00F1382B" w:rsidRDefault="00D809A0" w:rsidP="00D809A0">
            <w:r w:rsidRPr="00F1382B">
              <w:t>12,046</w:t>
            </w:r>
          </w:p>
        </w:tc>
      </w:tr>
      <w:tr w:rsidR="00D809A0" w:rsidRPr="00D5104D" w14:paraId="67EABDCC" w14:textId="77777777" w:rsidTr="00993E13">
        <w:trPr>
          <w:trHeight w:val="321"/>
        </w:trPr>
        <w:tc>
          <w:tcPr>
            <w:tcW w:w="1261" w:type="pct"/>
          </w:tcPr>
          <w:p w14:paraId="7D2B19EC" w14:textId="77777777" w:rsidR="00D809A0" w:rsidRPr="00F1382B" w:rsidRDefault="00D809A0" w:rsidP="00D809A0">
            <w:r w:rsidRPr="00F1382B">
              <w:t>Lon</w:t>
            </w:r>
          </w:p>
        </w:tc>
        <w:tc>
          <w:tcPr>
            <w:tcW w:w="3739" w:type="pct"/>
          </w:tcPr>
          <w:p w14:paraId="798E6CA4" w14:textId="77777777" w:rsidR="00D809A0" w:rsidRPr="00F1382B" w:rsidRDefault="00D809A0" w:rsidP="00D809A0">
            <w:r w:rsidRPr="00F1382B">
              <w:t>2,880</w:t>
            </w:r>
          </w:p>
        </w:tc>
      </w:tr>
      <w:tr w:rsidR="00D809A0" w:rsidRPr="00D5104D" w14:paraId="48AAC3BC" w14:textId="77777777" w:rsidTr="00993E13">
        <w:trPr>
          <w:trHeight w:val="315"/>
        </w:trPr>
        <w:tc>
          <w:tcPr>
            <w:tcW w:w="1261" w:type="pct"/>
          </w:tcPr>
          <w:p w14:paraId="33801C71" w14:textId="77777777" w:rsidR="00D809A0" w:rsidRPr="00F1382B" w:rsidRDefault="00D809A0" w:rsidP="00D809A0">
            <w:r w:rsidRPr="00F1382B">
              <w:t>NW</w:t>
            </w:r>
          </w:p>
        </w:tc>
        <w:tc>
          <w:tcPr>
            <w:tcW w:w="3739" w:type="pct"/>
          </w:tcPr>
          <w:p w14:paraId="54CFF304" w14:textId="77777777" w:rsidR="00D809A0" w:rsidRPr="00F1382B" w:rsidRDefault="00D809A0" w:rsidP="00D809A0">
            <w:r w:rsidRPr="00F1382B">
              <w:t>13,330</w:t>
            </w:r>
          </w:p>
        </w:tc>
      </w:tr>
      <w:tr w:rsidR="00D809A0" w:rsidRPr="00B43143" w14:paraId="526DF09D" w14:textId="77777777" w:rsidTr="00993E13">
        <w:trPr>
          <w:trHeight w:val="349"/>
        </w:trPr>
        <w:tc>
          <w:tcPr>
            <w:tcW w:w="1261" w:type="pct"/>
          </w:tcPr>
          <w:p w14:paraId="5A23D09F" w14:textId="77777777" w:rsidR="00D809A0" w:rsidRPr="00F1382B" w:rsidRDefault="00D809A0" w:rsidP="00D809A0">
            <w:r w:rsidRPr="00F1382B">
              <w:t>WM</w:t>
            </w:r>
          </w:p>
        </w:tc>
        <w:tc>
          <w:tcPr>
            <w:tcW w:w="3739" w:type="pct"/>
          </w:tcPr>
          <w:p w14:paraId="2B074EFC" w14:textId="77777777" w:rsidR="00D809A0" w:rsidRPr="00F1382B" w:rsidRDefault="00D809A0" w:rsidP="00D809A0">
            <w:r w:rsidRPr="00F1382B">
              <w:t>8,360</w:t>
            </w:r>
          </w:p>
        </w:tc>
      </w:tr>
      <w:tr w:rsidR="00D809A0" w:rsidRPr="00B43143" w14:paraId="1D09BD09" w14:textId="77777777" w:rsidTr="00993E13">
        <w:trPr>
          <w:trHeight w:val="228"/>
        </w:trPr>
        <w:tc>
          <w:tcPr>
            <w:tcW w:w="1261" w:type="pct"/>
          </w:tcPr>
          <w:p w14:paraId="5EB4936C" w14:textId="77777777" w:rsidR="00D809A0" w:rsidRPr="00F1382B" w:rsidRDefault="00D809A0" w:rsidP="00D809A0">
            <w:r w:rsidRPr="00F1382B">
              <w:t>Northern Gas Networks Ltd</w:t>
            </w:r>
          </w:p>
        </w:tc>
        <w:tc>
          <w:tcPr>
            <w:tcW w:w="3739" w:type="pct"/>
          </w:tcPr>
          <w:p w14:paraId="50886EA6" w14:textId="77777777" w:rsidR="00D809A0" w:rsidRPr="00F1382B" w:rsidRDefault="00D809A0" w:rsidP="00D809A0">
            <w:r w:rsidRPr="00F1382B">
              <w:t>14,500</w:t>
            </w:r>
          </w:p>
        </w:tc>
      </w:tr>
      <w:tr w:rsidR="00D809A0" w:rsidRPr="00B43143" w14:paraId="1ABF7734" w14:textId="77777777" w:rsidTr="00993E13">
        <w:trPr>
          <w:trHeight w:val="233"/>
        </w:trPr>
        <w:tc>
          <w:tcPr>
            <w:tcW w:w="1261" w:type="pct"/>
          </w:tcPr>
          <w:p w14:paraId="19A5B6DF" w14:textId="77777777" w:rsidR="00D809A0" w:rsidRPr="00F1382B" w:rsidRDefault="00D809A0" w:rsidP="00D809A0">
            <w:r w:rsidRPr="00F1382B">
              <w:t>Scotland Gas Networks plc</w:t>
            </w:r>
          </w:p>
        </w:tc>
        <w:tc>
          <w:tcPr>
            <w:tcW w:w="3739" w:type="pct"/>
          </w:tcPr>
          <w:p w14:paraId="0565501F" w14:textId="77777777" w:rsidR="00D809A0" w:rsidRPr="00F1382B" w:rsidRDefault="00D809A0" w:rsidP="00D809A0">
            <w:r w:rsidRPr="00F1382B">
              <w:t>17.130</w:t>
            </w:r>
          </w:p>
        </w:tc>
      </w:tr>
      <w:tr w:rsidR="00D809A0" w:rsidRPr="00B43143" w14:paraId="120D666E" w14:textId="77777777" w:rsidTr="00993E13">
        <w:trPr>
          <w:trHeight w:val="395"/>
        </w:trPr>
        <w:tc>
          <w:tcPr>
            <w:tcW w:w="1261" w:type="pct"/>
          </w:tcPr>
          <w:p w14:paraId="3E4CB35F" w14:textId="77777777" w:rsidR="00D809A0" w:rsidRPr="00F1382B" w:rsidRDefault="00D809A0" w:rsidP="00D809A0">
            <w:r w:rsidRPr="00F1382B">
              <w:t>Southern Gas Networks plc</w:t>
            </w:r>
          </w:p>
        </w:tc>
        <w:tc>
          <w:tcPr>
            <w:tcW w:w="3739" w:type="pct"/>
          </w:tcPr>
          <w:p w14:paraId="1F8A272B" w14:textId="77777777" w:rsidR="00D809A0" w:rsidRPr="00F1382B" w:rsidRDefault="00D809A0" w:rsidP="00D809A0">
            <w:r w:rsidRPr="00F1382B">
              <w:t>10,367</w:t>
            </w:r>
          </w:p>
        </w:tc>
      </w:tr>
      <w:tr w:rsidR="00D809A0" w:rsidRPr="00B43143" w14:paraId="1E73B084" w14:textId="77777777" w:rsidTr="00993E13">
        <w:trPr>
          <w:trHeight w:val="273"/>
        </w:trPr>
        <w:tc>
          <w:tcPr>
            <w:tcW w:w="1261" w:type="pct"/>
          </w:tcPr>
          <w:p w14:paraId="271F3A37" w14:textId="77777777" w:rsidR="00D809A0" w:rsidRPr="00F1382B" w:rsidRDefault="00D809A0" w:rsidP="00D809A0">
            <w:r w:rsidRPr="00F1382B">
              <w:t>Wales &amp; West Utilities Ltd</w:t>
            </w:r>
          </w:p>
        </w:tc>
        <w:tc>
          <w:tcPr>
            <w:tcW w:w="3739" w:type="pct"/>
          </w:tcPr>
          <w:p w14:paraId="740928EB" w14:textId="77777777" w:rsidR="00D809A0" w:rsidRPr="00F1382B" w:rsidRDefault="00D809A0" w:rsidP="00D809A0">
            <w:r w:rsidRPr="00F1382B">
              <w:t>12,590</w:t>
            </w:r>
          </w:p>
        </w:tc>
      </w:tr>
    </w:tbl>
    <w:p w14:paraId="6B8F1A02" w14:textId="77777777" w:rsidR="00D809A0" w:rsidRDefault="00D809A0" w:rsidP="00D809A0"/>
    <w:p w14:paraId="6BE5AC7F" w14:textId="0A4C10FB" w:rsidR="00D809A0" w:rsidRPr="0057526A" w:rsidRDefault="00D809A0" w:rsidP="00D51F4A">
      <w:pPr>
        <w:pStyle w:val="Heading2"/>
        <w:numPr>
          <w:ilvl w:val="1"/>
          <w:numId w:val="7"/>
        </w:numPr>
      </w:pPr>
      <w:bookmarkStart w:id="170" w:name="_Toc51783695"/>
      <w:bookmarkStart w:id="171" w:name="_Toc52364589"/>
      <w:r>
        <w:t>Close out of the RIIO-GD1 Exit Capacity Cost Adjustment (</w:t>
      </w:r>
      <w:r w:rsidR="00592D12">
        <w:t>L</w:t>
      </w:r>
      <w:r>
        <w:t>ExO</w:t>
      </w:r>
      <w:r w:rsidRPr="00367735">
        <w:rPr>
          <w:vertAlign w:val="subscript"/>
        </w:rPr>
        <w:t>t</w:t>
      </w:r>
      <w:r>
        <w:t>)</w:t>
      </w:r>
      <w:bookmarkEnd w:id="170"/>
      <w:bookmarkEnd w:id="171"/>
    </w:p>
    <w:p w14:paraId="65176205" w14:textId="77777777" w:rsidR="00D809A0" w:rsidRPr="0057526A" w:rsidRDefault="00D809A0" w:rsidP="00D809A0">
      <w:pPr>
        <w:pStyle w:val="Heading3nonumbering"/>
      </w:pPr>
      <w:r w:rsidRPr="0057526A">
        <w:t xml:space="preserve">Introduction </w:t>
      </w:r>
    </w:p>
    <w:p w14:paraId="4D184A95" w14:textId="233435A4" w:rsidR="00D809A0" w:rsidRPr="002C3A71" w:rsidRDefault="00D809A0" w:rsidP="00D51F4A">
      <w:pPr>
        <w:pStyle w:val="NumberedNormal"/>
        <w:numPr>
          <w:ilvl w:val="2"/>
          <w:numId w:val="7"/>
        </w:numPr>
      </w:pPr>
      <w:r>
        <w:t xml:space="preserve">The purpose of this condition is to calculate the </w:t>
      </w:r>
      <w:r w:rsidR="00592D12">
        <w:t>L</w:t>
      </w:r>
      <w:r>
        <w:t>ExO</w:t>
      </w:r>
      <w:r w:rsidRPr="00367735">
        <w:rPr>
          <w:vertAlign w:val="subscript"/>
        </w:rPr>
        <w:t>t</w:t>
      </w:r>
      <w:r>
        <w:t xml:space="preserve"> term (the RIIO-GD1 Exit Capacity Cost Adjustment close out term).  This contributes to the calculation of the LARt term (the legacy adjustments term), which in turn feeds into Calculated Revenue in Special Condition 2.1 (Revenue Restriction).</w:t>
      </w:r>
    </w:p>
    <w:p w14:paraId="37F21E21" w14:textId="77777777" w:rsidR="00D809A0" w:rsidRPr="002C3A71" w:rsidRDefault="00D809A0" w:rsidP="00D51F4A">
      <w:pPr>
        <w:pStyle w:val="NumberedNormal"/>
        <w:numPr>
          <w:ilvl w:val="2"/>
          <w:numId w:val="7"/>
        </w:numPr>
      </w:pPr>
      <w:r>
        <w:t>The effect of this condition is to close out the RIIO-GD1 Exit Capacity Cost Adjustment.</w:t>
      </w:r>
    </w:p>
    <w:p w14:paraId="5E7AB652" w14:textId="16BD1607" w:rsidR="00D809A0" w:rsidRDefault="00310B62" w:rsidP="00D51F4A">
      <w:pPr>
        <w:pStyle w:val="Heading3"/>
        <w:numPr>
          <w:ilvl w:val="5"/>
          <w:numId w:val="7"/>
        </w:numPr>
      </w:pPr>
      <w:r>
        <w:lastRenderedPageBreak/>
        <w:t xml:space="preserve">Formula for calculating </w:t>
      </w:r>
      <w:r w:rsidR="00D809A0">
        <w:t>the</w:t>
      </w:r>
      <w:r w:rsidR="00AC5DAC">
        <w:t xml:space="preserve"> RIIO-GD1 Exit Capacity Cost Adjustment close out term</w:t>
      </w:r>
      <w:r w:rsidR="00D809A0">
        <w:t xml:space="preserve"> </w:t>
      </w:r>
      <w:r w:rsidR="00AC5DAC">
        <w:t>(</w:t>
      </w:r>
      <w:r w:rsidR="00592D12">
        <w:t>L</w:t>
      </w:r>
      <w:r w:rsidR="00D809A0">
        <w:t>ExO</w:t>
      </w:r>
      <w:r w:rsidR="00D809A0" w:rsidRPr="0039702C">
        <w:rPr>
          <w:vertAlign w:val="subscript"/>
        </w:rPr>
        <w:t>t</w:t>
      </w:r>
      <w:r w:rsidR="00AC5DAC">
        <w:t>)</w:t>
      </w:r>
      <w:r w:rsidR="00D809A0">
        <w:t xml:space="preserve"> </w:t>
      </w:r>
    </w:p>
    <w:p w14:paraId="24B15BEE" w14:textId="3DF9C7F4" w:rsidR="00D809A0" w:rsidRDefault="00D809A0" w:rsidP="00D51F4A">
      <w:pPr>
        <w:pStyle w:val="NumberedNormal"/>
        <w:numPr>
          <w:ilvl w:val="2"/>
          <w:numId w:val="7"/>
        </w:numPr>
      </w:pPr>
      <w:r>
        <w:t xml:space="preserve">The value of </w:t>
      </w:r>
      <w:r w:rsidR="00592D12">
        <w:t>L</w:t>
      </w:r>
      <w:r>
        <w:t>ExO</w:t>
      </w:r>
      <w:r w:rsidRPr="0039702C">
        <w:rPr>
          <w:vertAlign w:val="subscript"/>
        </w:rPr>
        <w:t>t</w:t>
      </w:r>
      <w:r>
        <w:t xml:space="preserve"> will be calculated in accordance with Parts A, B and C of Special Condition 1D (</w:t>
      </w:r>
      <w:r w:rsidR="00367735">
        <w:t xml:space="preserve">NTS </w:t>
      </w:r>
      <w:r>
        <w:t xml:space="preserve">Exit Capacity Cost Adjustment) of this licence as in force on 31 March 2021. </w:t>
      </w:r>
    </w:p>
    <w:p w14:paraId="432081C4" w14:textId="77777777" w:rsidR="00D809A0" w:rsidRPr="002C3A71" w:rsidRDefault="00D809A0" w:rsidP="00D51F4A">
      <w:pPr>
        <w:pStyle w:val="NumberedNormal"/>
        <w:numPr>
          <w:ilvl w:val="2"/>
          <w:numId w:val="7"/>
        </w:numPr>
      </w:pPr>
      <w:r>
        <w:t xml:space="preserve">This condition will cease to have effect on 1 April 2022. </w:t>
      </w:r>
    </w:p>
    <w:p w14:paraId="07DC636D" w14:textId="77777777" w:rsidR="00E67628" w:rsidRDefault="00E67628" w:rsidP="00E67628">
      <w:pPr>
        <w:pStyle w:val="Heading2"/>
        <w:numPr>
          <w:ilvl w:val="1"/>
          <w:numId w:val="7"/>
        </w:numPr>
      </w:pPr>
      <w:bookmarkStart w:id="172" w:name="_Toc51783685"/>
      <w:bookmarkStart w:id="173" w:name="_Toc51783696"/>
      <w:bookmarkStart w:id="174" w:name="_Toc52364590"/>
      <w:r>
        <w:t>The Network Innovation Competition</w:t>
      </w:r>
      <w:bookmarkEnd w:id="172"/>
      <w:bookmarkEnd w:id="174"/>
    </w:p>
    <w:p w14:paraId="2CDF107C" w14:textId="77777777" w:rsidR="00E67628" w:rsidRPr="00BF36D8" w:rsidRDefault="00E67628" w:rsidP="00E67628">
      <w:pPr>
        <w:pStyle w:val="Heading3nonumbering"/>
      </w:pPr>
      <w:r w:rsidRPr="00BF36D8">
        <w:t xml:space="preserve">Introduction </w:t>
      </w:r>
    </w:p>
    <w:p w14:paraId="04882E41" w14:textId="77777777" w:rsidR="00E67628" w:rsidRPr="00BF36D8" w:rsidRDefault="00E67628" w:rsidP="00E67628">
      <w:pPr>
        <w:pStyle w:val="NumberedNormal"/>
        <w:numPr>
          <w:ilvl w:val="2"/>
          <w:numId w:val="7"/>
        </w:numPr>
      </w:pPr>
      <w:r>
        <w:t>The Network Innovation Competition ran during the RIIO-1 price control period to fund innovative low carbon or environmental projects. Although it will no longer run for the licensee from 1 April 2021, this condition makes provision for arrangements relating to the regulation, administration and governance of NIC Funding transferred before 1 April 2021.</w:t>
      </w:r>
    </w:p>
    <w:p w14:paraId="776338D8" w14:textId="77777777" w:rsidR="00E67628" w:rsidRPr="00BF36D8" w:rsidRDefault="00E67628" w:rsidP="00E67628">
      <w:pPr>
        <w:pStyle w:val="Heading3"/>
        <w:numPr>
          <w:ilvl w:val="5"/>
          <w:numId w:val="7"/>
        </w:numPr>
      </w:pPr>
      <w:r>
        <w:t>The Funding Return Mechanism</w:t>
      </w:r>
    </w:p>
    <w:p w14:paraId="3488B061" w14:textId="77777777" w:rsidR="00E67628" w:rsidRPr="00BF36D8" w:rsidRDefault="00E67628" w:rsidP="00E67628">
      <w:pPr>
        <w:pStyle w:val="NumberedNormal"/>
        <w:numPr>
          <w:ilvl w:val="2"/>
          <w:numId w:val="7"/>
        </w:numPr>
      </w:pPr>
      <w:r>
        <w:t xml:space="preserve">The Authority may direct how Returned Project Revenues should be paid to customers through the Funding Return Mechanism, or where the Authority considers it to be appropriate, how they should be retained by the licensee. </w:t>
      </w:r>
    </w:p>
    <w:p w14:paraId="7AE34117" w14:textId="77777777" w:rsidR="00E67628" w:rsidRPr="00BF36D8" w:rsidRDefault="00E67628" w:rsidP="00E67628">
      <w:pPr>
        <w:pStyle w:val="NumberedNormal"/>
        <w:numPr>
          <w:ilvl w:val="2"/>
          <w:numId w:val="7"/>
        </w:numPr>
      </w:pPr>
      <w:r>
        <w:t>In each Regulatory Year, in accordance with the appropriate provisions of the NIC Governance Document, the Authority will calculate and then, by direction given to the licensee, specify:</w:t>
      </w:r>
    </w:p>
    <w:p w14:paraId="7B4516F9" w14:textId="77777777" w:rsidR="00E67628" w:rsidRPr="00BF36D8" w:rsidRDefault="00E67628" w:rsidP="00E67628">
      <w:pPr>
        <w:pStyle w:val="ListNormal"/>
        <w:numPr>
          <w:ilvl w:val="3"/>
          <w:numId w:val="7"/>
        </w:numPr>
      </w:pPr>
      <w:r>
        <w:t>the amount of any Funding Return that the licensee must pay to the NTS Operator; and</w:t>
      </w:r>
    </w:p>
    <w:p w14:paraId="248F45F8" w14:textId="77777777" w:rsidR="00E67628" w:rsidRPr="00BF36D8" w:rsidRDefault="00E67628" w:rsidP="00E67628">
      <w:pPr>
        <w:pStyle w:val="ListNormal"/>
        <w:numPr>
          <w:ilvl w:val="3"/>
          <w:numId w:val="7"/>
        </w:numPr>
      </w:pPr>
      <w:r>
        <w:t xml:space="preserve">the manner in which and the timescale over which the licensee must pay that amount. </w:t>
      </w:r>
    </w:p>
    <w:p w14:paraId="277C0A25" w14:textId="77777777" w:rsidR="00E67628" w:rsidRPr="00BF36D8" w:rsidRDefault="00E67628" w:rsidP="00E67628">
      <w:pPr>
        <w:pStyle w:val="Heading3"/>
        <w:numPr>
          <w:ilvl w:val="5"/>
          <w:numId w:val="7"/>
        </w:numPr>
      </w:pPr>
      <w:r>
        <w:t>The NIC Governance Document</w:t>
      </w:r>
    </w:p>
    <w:p w14:paraId="5C9DF91E" w14:textId="77777777" w:rsidR="00E67628" w:rsidRDefault="00E67628" w:rsidP="00E67628">
      <w:pPr>
        <w:pStyle w:val="NumberedNormal"/>
        <w:numPr>
          <w:ilvl w:val="2"/>
          <w:numId w:val="7"/>
        </w:numPr>
      </w:pPr>
      <w:r>
        <w:t xml:space="preserve">The licensee must comply with the NIC Governance Document. </w:t>
      </w:r>
    </w:p>
    <w:p w14:paraId="336ADF46" w14:textId="77777777" w:rsidR="00E67628" w:rsidRPr="00BF36D8" w:rsidRDefault="00E67628" w:rsidP="00E67628">
      <w:pPr>
        <w:pStyle w:val="NumberedNormal"/>
        <w:numPr>
          <w:ilvl w:val="2"/>
          <w:numId w:val="7"/>
        </w:numPr>
      </w:pPr>
      <w:r>
        <w:t xml:space="preserve">The Authority will amend the NIC Governance Document by direction. </w:t>
      </w:r>
    </w:p>
    <w:p w14:paraId="26043F12" w14:textId="77777777" w:rsidR="00E67628" w:rsidRPr="00BF36D8" w:rsidRDefault="00E67628" w:rsidP="00E67628">
      <w:pPr>
        <w:pStyle w:val="NumberedNormal"/>
        <w:numPr>
          <w:ilvl w:val="2"/>
          <w:numId w:val="7"/>
        </w:numPr>
      </w:pPr>
      <w:r>
        <w:t xml:space="preserve">The Authority will publish the NIC Governance Document on the Authority's Website. </w:t>
      </w:r>
    </w:p>
    <w:p w14:paraId="0BF469B0" w14:textId="77777777" w:rsidR="00E67628" w:rsidRPr="00BF36D8" w:rsidRDefault="00E67628" w:rsidP="00E67628">
      <w:pPr>
        <w:pStyle w:val="NumberedNormal"/>
        <w:numPr>
          <w:ilvl w:val="2"/>
          <w:numId w:val="7"/>
        </w:numPr>
      </w:pPr>
      <w:r>
        <w:t>The NIC Governance Document makes and will continue to make provision about:</w:t>
      </w:r>
    </w:p>
    <w:p w14:paraId="3A8737BD" w14:textId="77777777" w:rsidR="00E67628" w:rsidRPr="00BF36D8" w:rsidRDefault="00E67628" w:rsidP="00E67628">
      <w:pPr>
        <w:pStyle w:val="ListNormal"/>
        <w:numPr>
          <w:ilvl w:val="3"/>
          <w:numId w:val="7"/>
        </w:numPr>
      </w:pPr>
      <w:r>
        <w:t>the process and procedures that will be in place for the assessment, approval, and financing of project funding (where necessary);</w:t>
      </w:r>
    </w:p>
    <w:p w14:paraId="70722D57" w14:textId="7067B9FD" w:rsidR="00E67628" w:rsidRPr="00BF36D8" w:rsidRDefault="00E67628" w:rsidP="00E67628">
      <w:pPr>
        <w:pStyle w:val="ListNormal"/>
        <w:numPr>
          <w:ilvl w:val="3"/>
          <w:numId w:val="7"/>
        </w:numPr>
      </w:pPr>
      <w:r>
        <w:t xml:space="preserve">arrangements to ensure that relevant matters the licensee learned from the implementation of Eligible NIC Projects can be captured and disseminated by the licensee to other Gas Transporter </w:t>
      </w:r>
      <w:r w:rsidR="001450C0">
        <w:t>l</w:t>
      </w:r>
      <w:r>
        <w:t>icensees;</w:t>
      </w:r>
    </w:p>
    <w:p w14:paraId="67426115" w14:textId="77777777" w:rsidR="00E67628" w:rsidRPr="00BF36D8" w:rsidRDefault="00E67628" w:rsidP="00E67628">
      <w:pPr>
        <w:pStyle w:val="ListNormal"/>
        <w:numPr>
          <w:ilvl w:val="3"/>
          <w:numId w:val="7"/>
        </w:numPr>
      </w:pPr>
      <w:r>
        <w:lastRenderedPageBreak/>
        <w:t>the nature of the reporting obligations in respect of such projects (which may include reporting in respect of the funding and the completion of such projects, as well as reporting on compliance with this condition and the provisions of the NIC Governance Document);</w:t>
      </w:r>
    </w:p>
    <w:p w14:paraId="789353D8" w14:textId="77777777" w:rsidR="00E67628" w:rsidRPr="00BF36D8" w:rsidRDefault="00E67628" w:rsidP="00E67628">
      <w:pPr>
        <w:pStyle w:val="ListNormal"/>
        <w:numPr>
          <w:ilvl w:val="3"/>
          <w:numId w:val="7"/>
        </w:numPr>
      </w:pPr>
      <w:r>
        <w:t>arrangements relating to the treatment of intellectual property rights including Returned Royalty Income in respect of Eligible NIC Projects; and</w:t>
      </w:r>
    </w:p>
    <w:p w14:paraId="470470EA" w14:textId="77777777" w:rsidR="00E67628" w:rsidRPr="00BF36D8" w:rsidRDefault="00E67628" w:rsidP="00E67628">
      <w:pPr>
        <w:pStyle w:val="ListNormal"/>
        <w:numPr>
          <w:ilvl w:val="3"/>
          <w:numId w:val="7"/>
        </w:numPr>
      </w:pPr>
      <w:r>
        <w:t xml:space="preserve">any other matters relating to the governance of the NIC.  </w:t>
      </w:r>
    </w:p>
    <w:p w14:paraId="106CAD22" w14:textId="77777777" w:rsidR="00E67628" w:rsidRPr="00BF36D8" w:rsidRDefault="00E67628" w:rsidP="00E67628">
      <w:pPr>
        <w:pStyle w:val="Heading3"/>
        <w:numPr>
          <w:ilvl w:val="5"/>
          <w:numId w:val="7"/>
        </w:numPr>
      </w:pPr>
      <w:r>
        <w:t>Procedure for amending the NIC Governance Document</w:t>
      </w:r>
    </w:p>
    <w:p w14:paraId="343AA8F3" w14:textId="77777777" w:rsidR="00E67628" w:rsidRPr="00BF36D8" w:rsidRDefault="00E67628" w:rsidP="00E67628">
      <w:pPr>
        <w:pStyle w:val="NumberedNormal"/>
        <w:numPr>
          <w:ilvl w:val="2"/>
          <w:numId w:val="7"/>
        </w:numPr>
      </w:pPr>
      <w:r>
        <w:t>Before amending the NIC Governance Document by direction, the Authority will publish on the Authority's Website:</w:t>
      </w:r>
    </w:p>
    <w:p w14:paraId="49704393" w14:textId="77777777" w:rsidR="00E67628" w:rsidRPr="00BF36D8" w:rsidRDefault="00E67628" w:rsidP="00E67628">
      <w:pPr>
        <w:pStyle w:val="ListNormal"/>
        <w:numPr>
          <w:ilvl w:val="3"/>
          <w:numId w:val="7"/>
        </w:numPr>
      </w:pPr>
      <w:r>
        <w:t xml:space="preserve">the text of the amended NIC Governance Document; </w:t>
      </w:r>
    </w:p>
    <w:p w14:paraId="72DD3B50" w14:textId="77777777" w:rsidR="00E67628" w:rsidRPr="00BF36D8" w:rsidRDefault="00E67628" w:rsidP="00E67628">
      <w:pPr>
        <w:pStyle w:val="ListNormal"/>
        <w:numPr>
          <w:ilvl w:val="3"/>
          <w:numId w:val="7"/>
        </w:numPr>
      </w:pPr>
      <w:r>
        <w:t xml:space="preserve">the date on which the Authority intends the amended NIC Governance Document to come into effect; </w:t>
      </w:r>
    </w:p>
    <w:p w14:paraId="2C394EE5" w14:textId="77777777" w:rsidR="00E67628" w:rsidRPr="00BF36D8" w:rsidRDefault="00E67628" w:rsidP="00E67628">
      <w:pPr>
        <w:pStyle w:val="ListNormal"/>
        <w:numPr>
          <w:ilvl w:val="3"/>
          <w:numId w:val="7"/>
        </w:numPr>
      </w:pPr>
      <w:r>
        <w:t>the reasons for the amendments to the NIC Governance Document; and</w:t>
      </w:r>
    </w:p>
    <w:p w14:paraId="2D947126" w14:textId="77777777" w:rsidR="00E67628" w:rsidRPr="00BF36D8" w:rsidRDefault="00E67628" w:rsidP="00E67628">
      <w:pPr>
        <w:pStyle w:val="ListNormal"/>
        <w:numPr>
          <w:ilvl w:val="3"/>
          <w:numId w:val="7"/>
        </w:numPr>
      </w:pPr>
      <w:r>
        <w:t xml:space="preserve">a period during which representations may be made on the amendments to the NIC Governance Document, which will not be less than 28 days. </w:t>
      </w:r>
    </w:p>
    <w:p w14:paraId="32C57CFF" w14:textId="77777777" w:rsidR="00E67628" w:rsidRPr="00936433" w:rsidRDefault="00E67628" w:rsidP="00E67628">
      <w:pPr>
        <w:pStyle w:val="NumberedNormal"/>
        <w:numPr>
          <w:ilvl w:val="0"/>
          <w:numId w:val="0"/>
        </w:numPr>
        <w:ind w:left="879"/>
      </w:pPr>
    </w:p>
    <w:p w14:paraId="323E42EB" w14:textId="3241D23D" w:rsidR="00D809A0" w:rsidRDefault="00D809A0" w:rsidP="00D51F4A">
      <w:pPr>
        <w:pStyle w:val="Heading1"/>
        <w:numPr>
          <w:ilvl w:val="0"/>
          <w:numId w:val="7"/>
        </w:numPr>
      </w:pPr>
      <w:bookmarkStart w:id="175" w:name="_Toc52364591"/>
      <w:bookmarkEnd w:id="173"/>
      <w:r>
        <w:lastRenderedPageBreak/>
        <w:t>Governance</w:t>
      </w:r>
      <w:bookmarkEnd w:id="175"/>
    </w:p>
    <w:p w14:paraId="1999F4A9" w14:textId="77777777" w:rsidR="00D809A0" w:rsidRDefault="00D809A0" w:rsidP="00D51F4A">
      <w:pPr>
        <w:pStyle w:val="Heading2"/>
        <w:numPr>
          <w:ilvl w:val="1"/>
          <w:numId w:val="7"/>
        </w:numPr>
      </w:pPr>
      <w:bookmarkStart w:id="176" w:name="_Toc51783697"/>
      <w:bookmarkStart w:id="177" w:name="_Toc52364592"/>
      <w:r>
        <w:t>Governance of the GD2 Price Control Financial Instruments</w:t>
      </w:r>
      <w:bookmarkEnd w:id="176"/>
      <w:bookmarkEnd w:id="177"/>
    </w:p>
    <w:p w14:paraId="424BAF37" w14:textId="77777777" w:rsidR="00D809A0" w:rsidRPr="0057526A" w:rsidRDefault="00D809A0" w:rsidP="00D809A0">
      <w:pPr>
        <w:pStyle w:val="Heading3nonumbering"/>
      </w:pPr>
      <w:r w:rsidRPr="0057526A">
        <w:t xml:space="preserve">Introduction </w:t>
      </w:r>
    </w:p>
    <w:p w14:paraId="6C8DB72E" w14:textId="222B47B4" w:rsidR="00D809A0" w:rsidRPr="00B54FBE" w:rsidRDefault="00D809A0" w:rsidP="00D51F4A">
      <w:pPr>
        <w:pStyle w:val="NumberedNormal"/>
        <w:numPr>
          <w:ilvl w:val="2"/>
          <w:numId w:val="7"/>
        </w:numPr>
      </w:pPr>
      <w:r>
        <w:t xml:space="preserve">The purpose of this condition is to establish a robust and transparent change control framework for each of the following GD2 Price Control Financial Instruments: </w:t>
      </w:r>
    </w:p>
    <w:p w14:paraId="13B956A0" w14:textId="716A7A30" w:rsidR="00D809A0" w:rsidRPr="00B54FBE" w:rsidRDefault="00D809A0" w:rsidP="00D51F4A">
      <w:pPr>
        <w:pStyle w:val="ListNormal"/>
        <w:numPr>
          <w:ilvl w:val="3"/>
          <w:numId w:val="7"/>
        </w:numPr>
      </w:pPr>
      <w:r>
        <w:t xml:space="preserve">the GD2 Price Control Financial Handbook; and </w:t>
      </w:r>
    </w:p>
    <w:p w14:paraId="483CF5CA" w14:textId="1CDE6D50" w:rsidR="00D809A0" w:rsidRPr="00B54FBE" w:rsidRDefault="00D809A0" w:rsidP="00D51F4A">
      <w:pPr>
        <w:pStyle w:val="ListNormal"/>
        <w:numPr>
          <w:ilvl w:val="3"/>
          <w:numId w:val="7"/>
        </w:numPr>
      </w:pPr>
      <w:r>
        <w:t xml:space="preserve">the GD2 Price Control Financial Model. </w:t>
      </w:r>
    </w:p>
    <w:p w14:paraId="65AE3307" w14:textId="77777777" w:rsidR="00D809A0" w:rsidRPr="00AE57AC" w:rsidRDefault="00D809A0" w:rsidP="00D809A0">
      <w:pPr>
        <w:pStyle w:val="Heading3nonumbering"/>
      </w:pPr>
      <w:r w:rsidRPr="00AE57AC">
        <w:t xml:space="preserve">Part A: </w:t>
      </w:r>
      <w:r>
        <w:t>Assessment of the likely impact of an intended modification</w:t>
      </w:r>
    </w:p>
    <w:p w14:paraId="66E87BEB" w14:textId="77777777" w:rsidR="00D809A0" w:rsidRPr="00B54FBE" w:rsidRDefault="00D809A0" w:rsidP="00D51F4A">
      <w:pPr>
        <w:pStyle w:val="NumberedNormal"/>
        <w:numPr>
          <w:ilvl w:val="2"/>
          <w:numId w:val="7"/>
        </w:numPr>
      </w:pPr>
      <w:r>
        <w:t xml:space="preserve">Before initiating any modification of a GD2 Price Control Financial Instrument, the Authority will assess whether that modification would be likely to have a significant impact on any of the following persons: </w:t>
      </w:r>
    </w:p>
    <w:p w14:paraId="7FE6C12E" w14:textId="7FE70D48" w:rsidR="00D809A0" w:rsidRPr="00B54FBE" w:rsidRDefault="00F71E7B" w:rsidP="00D51F4A">
      <w:pPr>
        <w:pStyle w:val="ListNormal"/>
        <w:numPr>
          <w:ilvl w:val="3"/>
          <w:numId w:val="7"/>
        </w:numPr>
      </w:pPr>
      <w:r>
        <w:t xml:space="preserve">other Gas Transporter </w:t>
      </w:r>
      <w:r w:rsidR="00F759D6">
        <w:t>l</w:t>
      </w:r>
      <w:r>
        <w:t xml:space="preserve">icensee in whose licence a condition equivalent to this one has effect </w:t>
      </w:r>
      <w:r w:rsidR="00D809A0">
        <w:t xml:space="preserve">the licensee; </w:t>
      </w:r>
    </w:p>
    <w:p w14:paraId="528E079B" w14:textId="7DF75823" w:rsidR="00D809A0" w:rsidRPr="00B54FBE" w:rsidRDefault="00D809A0" w:rsidP="00D51F4A">
      <w:pPr>
        <w:pStyle w:val="ListNormal"/>
        <w:numPr>
          <w:ilvl w:val="3"/>
          <w:numId w:val="7"/>
        </w:numPr>
      </w:pPr>
      <w:r>
        <w:t xml:space="preserve">any; </w:t>
      </w:r>
    </w:p>
    <w:p w14:paraId="2DC6B5ED" w14:textId="77777777" w:rsidR="00D809A0" w:rsidRPr="00B54FBE" w:rsidRDefault="00D809A0" w:rsidP="00D51F4A">
      <w:pPr>
        <w:pStyle w:val="ListNormal"/>
        <w:numPr>
          <w:ilvl w:val="3"/>
          <w:numId w:val="7"/>
        </w:numPr>
      </w:pPr>
      <w:r>
        <w:t xml:space="preserve">any person engaged in the shipping, transportation, or supply of gas conveyed through pipes or in the generation, transmission, distribution, or supply of electricity; and </w:t>
      </w:r>
    </w:p>
    <w:p w14:paraId="3B3E1F29" w14:textId="28182B89" w:rsidR="00D809A0" w:rsidRPr="00B54FBE" w:rsidRDefault="00D809A0" w:rsidP="00D51F4A">
      <w:pPr>
        <w:pStyle w:val="ListNormal"/>
        <w:numPr>
          <w:ilvl w:val="3"/>
          <w:numId w:val="7"/>
        </w:numPr>
      </w:pPr>
      <w:r>
        <w:t>energy consumers (whether considered individually, as a whole, or by reference to any class</w:t>
      </w:r>
      <w:r w:rsidR="00FB0E81">
        <w:t xml:space="preserve"> or category of them</w:t>
      </w:r>
      <w:r>
        <w:t>) in Great Britain.</w:t>
      </w:r>
    </w:p>
    <w:p w14:paraId="593E4E78" w14:textId="77777777" w:rsidR="00D809A0" w:rsidRPr="00B54FBE" w:rsidRDefault="00D809A0" w:rsidP="00D51F4A">
      <w:pPr>
        <w:pStyle w:val="NumberedNormal"/>
        <w:numPr>
          <w:ilvl w:val="2"/>
          <w:numId w:val="7"/>
        </w:numPr>
      </w:pPr>
      <w:r>
        <w:t xml:space="preserve">In making the assessment required by paragraph 8.1.2, the Authority will have regard to all relevant factors including: </w:t>
      </w:r>
    </w:p>
    <w:p w14:paraId="465544FC" w14:textId="77777777" w:rsidR="00D809A0" w:rsidRPr="00B54FBE" w:rsidRDefault="00D809A0" w:rsidP="00D51F4A">
      <w:pPr>
        <w:pStyle w:val="ListNormal"/>
        <w:numPr>
          <w:ilvl w:val="3"/>
          <w:numId w:val="7"/>
        </w:numPr>
      </w:pPr>
      <w:r>
        <w:t xml:space="preserve">any impact which an intended modification would be likely to have on any component of the licensee’s Allowed Revenue or on any value, rate, time period, or calculation used in the determination of Allowed Revenues; and </w:t>
      </w:r>
    </w:p>
    <w:p w14:paraId="504446E5" w14:textId="77777777" w:rsidR="00D809A0" w:rsidRPr="00B54FBE" w:rsidRDefault="00D809A0" w:rsidP="00D51F4A">
      <w:pPr>
        <w:pStyle w:val="ListNormal"/>
        <w:numPr>
          <w:ilvl w:val="3"/>
          <w:numId w:val="7"/>
        </w:numPr>
      </w:pPr>
      <w:r>
        <w:t>in respect of modifications to the GD2 Price Control Financial Model, any views expressed by the GD2 Price Control Financial Model Working Group.</w:t>
      </w:r>
    </w:p>
    <w:p w14:paraId="6660A6BE" w14:textId="424AEBE4" w:rsidR="00D809A0" w:rsidRPr="00B54FBE" w:rsidRDefault="00D809A0" w:rsidP="00D51F4A">
      <w:pPr>
        <w:pStyle w:val="NumberedNormal"/>
        <w:numPr>
          <w:ilvl w:val="2"/>
          <w:numId w:val="7"/>
        </w:numPr>
      </w:pPr>
      <w:r>
        <w:t>For the purposes of paragraph 8.1.2, it is to be presumed that a modification which serves to correct a manifest error contained in a GD2 Price Control Financial Instrument will not have a significant impact on any of the persons mentioned in that paragraph.</w:t>
      </w:r>
    </w:p>
    <w:p w14:paraId="24E9A1EA" w14:textId="77777777" w:rsidR="00D809A0" w:rsidRDefault="00D809A0" w:rsidP="00D809A0">
      <w:pPr>
        <w:pStyle w:val="Heading3nonumbering"/>
      </w:pPr>
      <w:r w:rsidRPr="00AE57AC">
        <w:t>Part B</w:t>
      </w:r>
      <w:r>
        <w:t>: Circumstances in which a modification may be made</w:t>
      </w:r>
    </w:p>
    <w:p w14:paraId="31F54E26" w14:textId="5557671B" w:rsidR="00D809A0" w:rsidRPr="00B54FBE" w:rsidRDefault="00D809A0" w:rsidP="00D51F4A">
      <w:pPr>
        <w:pStyle w:val="NumberedNormal"/>
        <w:numPr>
          <w:ilvl w:val="2"/>
          <w:numId w:val="7"/>
        </w:numPr>
      </w:pPr>
      <w:r>
        <w:t xml:space="preserve">If, having carried out the required assessment under Part A, the Authority considers that an intended modification of a GD2 Price Control Financial Instrument would not be likely to have a significant impact on any of the </w:t>
      </w:r>
      <w:r>
        <w:lastRenderedPageBreak/>
        <w:t>persons mentioned in paragraph 8.1.2, it may modify that instrument by direction. Otherwise any modification will be made under section 23 of the Act.</w:t>
      </w:r>
    </w:p>
    <w:p w14:paraId="2AC3CDDD" w14:textId="77777777" w:rsidR="00D809A0" w:rsidRPr="00B54FBE" w:rsidRDefault="00D809A0" w:rsidP="00D51F4A">
      <w:pPr>
        <w:pStyle w:val="NumberedNormal"/>
        <w:numPr>
          <w:ilvl w:val="2"/>
          <w:numId w:val="7"/>
        </w:numPr>
      </w:pPr>
      <w:r>
        <w:t>Before making a direction under paragraph 8.1.5, the Authority will publish on the Authority's Website:</w:t>
      </w:r>
    </w:p>
    <w:p w14:paraId="34BD6AC2" w14:textId="77777777" w:rsidR="00D809A0" w:rsidRDefault="00D809A0" w:rsidP="00D51F4A">
      <w:pPr>
        <w:pStyle w:val="ListNormal"/>
        <w:numPr>
          <w:ilvl w:val="3"/>
          <w:numId w:val="7"/>
        </w:numPr>
      </w:pPr>
      <w:r>
        <w:t>the text of the proposed direction;</w:t>
      </w:r>
    </w:p>
    <w:p w14:paraId="61B5554A" w14:textId="7415335B" w:rsidR="00D809A0" w:rsidRPr="00154370" w:rsidRDefault="00D809A0" w:rsidP="00D51F4A">
      <w:pPr>
        <w:pStyle w:val="ListNormal"/>
        <w:numPr>
          <w:ilvl w:val="3"/>
          <w:numId w:val="7"/>
        </w:numPr>
      </w:pPr>
      <w:r>
        <w:t xml:space="preserve">the reasons for the proposed direction, including why the Authority believes that the modification would not be likely to have a significant impact on any of the persons mentioned in paragraph 8.1.2; and </w:t>
      </w:r>
    </w:p>
    <w:p w14:paraId="0495D64C" w14:textId="2410AE85" w:rsidR="00D809A0" w:rsidRPr="008B29BC" w:rsidRDefault="00D809A0" w:rsidP="00D51F4A">
      <w:pPr>
        <w:pStyle w:val="ListNormal"/>
        <w:numPr>
          <w:ilvl w:val="3"/>
          <w:numId w:val="7"/>
        </w:numPr>
      </w:pPr>
      <w:r>
        <w:t xml:space="preserve">a period during which representations may be made on the proposed direction, which </w:t>
      </w:r>
      <w:r w:rsidR="00D05DF5">
        <w:t>will</w:t>
      </w:r>
      <w:r>
        <w:t xml:space="preserve"> not be less than 28 days.</w:t>
      </w:r>
    </w:p>
    <w:p w14:paraId="034ACFFE" w14:textId="77777777" w:rsidR="00D809A0" w:rsidRPr="00771539" w:rsidRDefault="00D809A0" w:rsidP="00D51F4A">
      <w:pPr>
        <w:pStyle w:val="NumberedNormal"/>
        <w:numPr>
          <w:ilvl w:val="2"/>
          <w:numId w:val="7"/>
        </w:numPr>
      </w:pPr>
      <w:r>
        <w:t>A direction under paragraph 8.1.5 will set out:</w:t>
      </w:r>
    </w:p>
    <w:p w14:paraId="681A0775" w14:textId="1C1462DE" w:rsidR="00D809A0" w:rsidRPr="00B12514" w:rsidRDefault="00D809A0" w:rsidP="00D51F4A">
      <w:pPr>
        <w:pStyle w:val="ListNormal"/>
        <w:numPr>
          <w:ilvl w:val="3"/>
          <w:numId w:val="7"/>
        </w:numPr>
      </w:pPr>
      <w:r>
        <w:t xml:space="preserve">the modifications to the Price Control Finance Instruments; and </w:t>
      </w:r>
    </w:p>
    <w:p w14:paraId="499CF896" w14:textId="77777777" w:rsidR="00D809A0" w:rsidRPr="00B12514" w:rsidRDefault="00D809A0" w:rsidP="00D51F4A">
      <w:pPr>
        <w:pStyle w:val="ListNormal"/>
        <w:numPr>
          <w:ilvl w:val="3"/>
          <w:numId w:val="7"/>
        </w:numPr>
      </w:pPr>
      <w:r>
        <w:t>the date from which it is to have effect or the mechanism by which that date is to be determined.</w:t>
      </w:r>
    </w:p>
    <w:p w14:paraId="25F95E3F" w14:textId="77777777" w:rsidR="00D809A0" w:rsidRPr="00E46EBA" w:rsidRDefault="00D809A0" w:rsidP="00D809A0">
      <w:pPr>
        <w:pStyle w:val="Heading3nonumbering"/>
      </w:pPr>
      <w:r>
        <w:t>Part C: Availability and updating of GD2 Price Control Financial Instruments</w:t>
      </w:r>
    </w:p>
    <w:p w14:paraId="6AA162DD" w14:textId="09FDFEDC" w:rsidR="00D809A0" w:rsidRPr="00B54FBE" w:rsidRDefault="00D809A0" w:rsidP="00D51F4A">
      <w:pPr>
        <w:pStyle w:val="NumberedNormal"/>
        <w:numPr>
          <w:ilvl w:val="2"/>
          <w:numId w:val="7"/>
        </w:numPr>
      </w:pPr>
      <w:r>
        <w:t>This Part has effect in relation to the publication and availability of the GD2 Price Control Financial Handbook, and the GD2 Price Control Financial Model.</w:t>
      </w:r>
    </w:p>
    <w:p w14:paraId="4C5A992B" w14:textId="151B4EA1" w:rsidR="00D809A0" w:rsidRPr="00B54FBE" w:rsidRDefault="00D809A0" w:rsidP="00D51F4A">
      <w:pPr>
        <w:pStyle w:val="NumberedNormal"/>
        <w:numPr>
          <w:ilvl w:val="2"/>
          <w:numId w:val="7"/>
        </w:numPr>
      </w:pPr>
      <w:r>
        <w:t>The Authority will ensure that any modifications of the GD2 Price Control Financial Handbook, whether under Part B or otherwise, are promptly incorporated into a consolidated version of the GD2 Price Control Financial Handbook maintained on the Authority’s Website.</w:t>
      </w:r>
    </w:p>
    <w:p w14:paraId="4AB2DB24" w14:textId="53A42578" w:rsidR="00D809A0" w:rsidRPr="00B54FBE" w:rsidRDefault="00D809A0" w:rsidP="00D51F4A">
      <w:pPr>
        <w:pStyle w:val="NumberedNormal"/>
        <w:numPr>
          <w:ilvl w:val="2"/>
          <w:numId w:val="7"/>
        </w:numPr>
      </w:pPr>
      <w:r>
        <w:t>The Authority will ensure that any modifications of the GD2 Price Control Financial Model, whether under Part B or otherwise, are promptly incorporated into a consolidated version of the GD2 Price Control Financial Model maintained on the Authority’s Website.</w:t>
      </w:r>
    </w:p>
    <w:p w14:paraId="4A8DC9B9" w14:textId="2814F99D" w:rsidR="00D809A0" w:rsidRPr="00B54FBE" w:rsidRDefault="00D809A0" w:rsidP="00D51F4A">
      <w:pPr>
        <w:pStyle w:val="NumberedNormal"/>
        <w:numPr>
          <w:ilvl w:val="2"/>
          <w:numId w:val="7"/>
        </w:numPr>
      </w:pPr>
      <w:r>
        <w:t>Without limiting the general effect of paragraph 8.10, the Authority will by no later than 30 November in each Regulatory Year:</w:t>
      </w:r>
    </w:p>
    <w:p w14:paraId="3C808949" w14:textId="6CA6B63D" w:rsidR="00D809A0" w:rsidRPr="00B54FBE" w:rsidRDefault="00D809A0" w:rsidP="00D51F4A">
      <w:pPr>
        <w:pStyle w:val="ListNormal"/>
        <w:numPr>
          <w:ilvl w:val="3"/>
          <w:numId w:val="7"/>
        </w:numPr>
      </w:pPr>
      <w:r>
        <w:t>publish on the Authority’s Website, in Microsoft Excel ® format, the version of the GD2 Price Control Financial Model that will be used to determine the value of the term AR</w:t>
      </w:r>
      <w:r w:rsidRPr="00FB0E81">
        <w:rPr>
          <w:vertAlign w:val="subscript"/>
        </w:rPr>
        <w:t>t</w:t>
      </w:r>
      <w:r>
        <w:t xml:space="preserve"> for the purposes of Part C of Special Condition 2.1 (Revenue Restriction); </w:t>
      </w:r>
    </w:p>
    <w:p w14:paraId="2A1F8F83" w14:textId="77777777" w:rsidR="00D809A0" w:rsidRPr="00B54FBE" w:rsidRDefault="00D809A0" w:rsidP="00D51F4A">
      <w:pPr>
        <w:pStyle w:val="ListNormal"/>
        <w:numPr>
          <w:ilvl w:val="3"/>
          <w:numId w:val="7"/>
        </w:numPr>
      </w:pPr>
      <w:r>
        <w:t xml:space="preserve">ensure that the electronic name of the file is “GD2 PCFM” followed by “November 20XX” where 20XX represents the calendar year containing the month of November prior to the Regulatory Year t; </w:t>
      </w:r>
    </w:p>
    <w:p w14:paraId="17D14DD6" w14:textId="77777777" w:rsidR="00D809A0" w:rsidRPr="00B54FBE" w:rsidRDefault="00D809A0" w:rsidP="00D51F4A">
      <w:pPr>
        <w:pStyle w:val="ListNormal"/>
        <w:numPr>
          <w:ilvl w:val="3"/>
          <w:numId w:val="7"/>
        </w:numPr>
      </w:pPr>
      <w:r>
        <w:t xml:space="preserve">ensure that the words “GD2 Price Control Financial Model for the Annual Iteration Process that will take place by 30 November” followed by the preceding Regulatory Year expressed in the format 20XX/XX are included as text within the file itself; and  </w:t>
      </w:r>
    </w:p>
    <w:p w14:paraId="53A3DBE3" w14:textId="5B3E4229" w:rsidR="00D809A0" w:rsidRPr="00B54FBE" w:rsidRDefault="00D809A0" w:rsidP="00D51F4A">
      <w:pPr>
        <w:pStyle w:val="ListNormal"/>
        <w:numPr>
          <w:ilvl w:val="3"/>
          <w:numId w:val="7"/>
        </w:numPr>
      </w:pPr>
      <w:r>
        <w:lastRenderedPageBreak/>
        <w:t>publish an up-to-date schedule of any modifications that have been made to the GD2 Price Control Financial Model, whether under Part B or otherwise, up to and including the date of such publication.</w:t>
      </w:r>
    </w:p>
    <w:p w14:paraId="503788CD" w14:textId="77777777" w:rsidR="00D809A0" w:rsidRPr="00B54FBE" w:rsidRDefault="00D809A0" w:rsidP="00D51F4A">
      <w:pPr>
        <w:pStyle w:val="NumberedNormal"/>
        <w:numPr>
          <w:ilvl w:val="2"/>
          <w:numId w:val="7"/>
        </w:numPr>
      </w:pPr>
      <w:r>
        <w:t>The first Regulatory Year in which the Authority will publish a version of the GD2 Price Control Financial Model on the Authority’s Website for the purposes of paragraph 8.1.11 will be Regulatory Year 2021/22 and the last Regulatory Year will be 2024/25.</w:t>
      </w:r>
    </w:p>
    <w:p w14:paraId="7D880B8B" w14:textId="77777777" w:rsidR="00D809A0" w:rsidRDefault="00D809A0" w:rsidP="00D51F4A">
      <w:pPr>
        <w:pStyle w:val="Heading2"/>
        <w:numPr>
          <w:ilvl w:val="1"/>
          <w:numId w:val="7"/>
        </w:numPr>
      </w:pPr>
      <w:bookmarkStart w:id="178" w:name="_Toc51783698"/>
      <w:bookmarkStart w:id="179" w:name="_Toc52364593"/>
      <w:r>
        <w:t>Annual Iteration Process for the GD2 Price Control Financial Model</w:t>
      </w:r>
      <w:bookmarkEnd w:id="178"/>
      <w:bookmarkEnd w:id="179"/>
    </w:p>
    <w:p w14:paraId="672FC2FD" w14:textId="77777777" w:rsidR="00D809A0" w:rsidRPr="0057526A" w:rsidRDefault="00D809A0" w:rsidP="00D51F4A">
      <w:pPr>
        <w:pStyle w:val="Heading3"/>
        <w:numPr>
          <w:ilvl w:val="5"/>
          <w:numId w:val="7"/>
        </w:numPr>
      </w:pPr>
      <w:r>
        <w:t xml:space="preserve">Introduction </w:t>
      </w:r>
    </w:p>
    <w:p w14:paraId="2E58488A" w14:textId="5B265DC5" w:rsidR="00D809A0" w:rsidRDefault="00D809A0" w:rsidP="00D51F4A">
      <w:pPr>
        <w:pStyle w:val="NumberedNormal"/>
        <w:numPr>
          <w:ilvl w:val="2"/>
          <w:numId w:val="7"/>
        </w:numPr>
      </w:pPr>
      <w:r w:rsidRPr="0048464C">
        <w:t xml:space="preserve">The purpose of this condition is to set out the steps of the Annual Iteration Process that </w:t>
      </w:r>
      <w:r w:rsidRPr="005C514F">
        <w:t xml:space="preserve">will be carried out by the </w:t>
      </w:r>
      <w:r>
        <w:t>l</w:t>
      </w:r>
      <w:r w:rsidRPr="005C514F">
        <w:t>icensee and the Authority each year in relation to the GD2 Price Control Financial Model, in order to determine the value of the term AR</w:t>
      </w:r>
      <w:r w:rsidRPr="00FB0E81">
        <w:rPr>
          <w:vertAlign w:val="subscript"/>
        </w:rPr>
        <w:t>t</w:t>
      </w:r>
      <w:r w:rsidRPr="005C514F">
        <w:t xml:space="preserve"> for the purposes of Special Condition </w:t>
      </w:r>
      <w:r>
        <w:t>2.1</w:t>
      </w:r>
      <w:r w:rsidRPr="005C514F">
        <w:t xml:space="preserve"> (R</w:t>
      </w:r>
      <w:r>
        <w:t xml:space="preserve">evenue </w:t>
      </w:r>
      <w:r w:rsidRPr="005C514F">
        <w:t xml:space="preserve">Restriction). </w:t>
      </w:r>
    </w:p>
    <w:p w14:paraId="0BE3ADCD" w14:textId="77777777" w:rsidR="00D809A0" w:rsidRDefault="00D809A0" w:rsidP="00D51F4A">
      <w:pPr>
        <w:pStyle w:val="NumberedNormal"/>
        <w:numPr>
          <w:ilvl w:val="2"/>
          <w:numId w:val="7"/>
        </w:numPr>
      </w:pPr>
      <w:r>
        <w:t>This condition also explains the process the Authority will follow in issuing and amending the PCFM Guidance.</w:t>
      </w:r>
    </w:p>
    <w:p w14:paraId="388F58E1" w14:textId="77777777" w:rsidR="00D809A0" w:rsidRDefault="00D809A0" w:rsidP="00D809A0">
      <w:pPr>
        <w:pStyle w:val="Heading3nonumbering"/>
      </w:pPr>
      <w:r w:rsidRPr="0048464C">
        <w:t>Part A: Steps comprising the Annual Iteration Process</w:t>
      </w:r>
    </w:p>
    <w:p w14:paraId="6E518D8C" w14:textId="77777777" w:rsidR="00D809A0" w:rsidRPr="005C514F" w:rsidRDefault="00D809A0" w:rsidP="00D51F4A">
      <w:pPr>
        <w:pStyle w:val="NumberedNormal"/>
        <w:numPr>
          <w:ilvl w:val="2"/>
          <w:numId w:val="7"/>
        </w:numPr>
      </w:pPr>
      <w:r>
        <w:t>The paragraphs in this Part set out the steps that comprise the Annual Iteration Process.</w:t>
      </w:r>
    </w:p>
    <w:p w14:paraId="49B01D95" w14:textId="77777777" w:rsidR="00D809A0" w:rsidRPr="005C514F" w:rsidRDefault="00D809A0" w:rsidP="00D51F4A">
      <w:pPr>
        <w:pStyle w:val="NumberedNormal"/>
        <w:numPr>
          <w:ilvl w:val="2"/>
          <w:numId w:val="7"/>
        </w:numPr>
      </w:pPr>
      <w:r>
        <w:t>Step 1: The licensee must, by 31 July prior to each Regulatory Year:</w:t>
      </w:r>
    </w:p>
    <w:p w14:paraId="046BC25C" w14:textId="77777777" w:rsidR="00D809A0" w:rsidRPr="005C514F" w:rsidRDefault="00D809A0" w:rsidP="00D51F4A">
      <w:pPr>
        <w:pStyle w:val="ListNormal"/>
        <w:numPr>
          <w:ilvl w:val="3"/>
          <w:numId w:val="7"/>
        </w:numPr>
      </w:pPr>
      <w:r>
        <w:t>complete the PCFM Variable Values Table with the PCFM Variable Values in accordance with the PCFM Guidance;</w:t>
      </w:r>
    </w:p>
    <w:p w14:paraId="350C061C" w14:textId="77777777" w:rsidR="00D809A0" w:rsidRPr="005C514F" w:rsidRDefault="00D809A0" w:rsidP="00D51F4A">
      <w:pPr>
        <w:pStyle w:val="ListNormal"/>
        <w:numPr>
          <w:ilvl w:val="3"/>
          <w:numId w:val="7"/>
        </w:numPr>
      </w:pPr>
      <w:r>
        <w:t>run the GD2 Price Control Financial Model to calculate the term AR</w:t>
      </w:r>
      <w:r w:rsidRPr="4A26DA62">
        <w:rPr>
          <w:vertAlign w:val="subscript"/>
        </w:rPr>
        <w:t>t</w:t>
      </w:r>
      <w:r>
        <w:t>;</w:t>
      </w:r>
    </w:p>
    <w:p w14:paraId="29532CFA" w14:textId="77777777" w:rsidR="00D809A0" w:rsidRPr="005C514F" w:rsidRDefault="00D809A0" w:rsidP="00D51F4A">
      <w:pPr>
        <w:pStyle w:val="ListNormal"/>
        <w:numPr>
          <w:ilvl w:val="3"/>
          <w:numId w:val="7"/>
        </w:numPr>
      </w:pPr>
      <w:r>
        <w:t>save the GD2 Price Control Financial Model;</w:t>
      </w:r>
    </w:p>
    <w:p w14:paraId="76F12D43" w14:textId="77777777" w:rsidR="00D809A0" w:rsidRPr="005C514F" w:rsidRDefault="00D809A0" w:rsidP="00D51F4A">
      <w:pPr>
        <w:pStyle w:val="ListNormal"/>
        <w:numPr>
          <w:ilvl w:val="3"/>
          <w:numId w:val="7"/>
        </w:numPr>
      </w:pPr>
      <w:r>
        <w:t>submit the GD2 Price Control Financial Model to the Authority.</w:t>
      </w:r>
    </w:p>
    <w:p w14:paraId="1D625742" w14:textId="5173995D" w:rsidR="00D809A0" w:rsidRPr="005C514F" w:rsidRDefault="00D809A0" w:rsidP="00D51F4A">
      <w:pPr>
        <w:pStyle w:val="NumberedNormal"/>
        <w:numPr>
          <w:ilvl w:val="2"/>
          <w:numId w:val="7"/>
        </w:numPr>
      </w:pPr>
      <w:r>
        <w:t xml:space="preserve">Step 2: The Authority will, taking into account any decisions made by it in relation to PCFM Variable Values under Chapters </w:t>
      </w:r>
      <w:r w:rsidR="005E57F8">
        <w:t>2</w:t>
      </w:r>
      <w:r>
        <w:t xml:space="preserve"> to </w:t>
      </w:r>
      <w:r w:rsidR="005E57F8">
        <w:t>7</w:t>
      </w:r>
      <w:r>
        <w:t>:</w:t>
      </w:r>
    </w:p>
    <w:p w14:paraId="60BA3273" w14:textId="77777777" w:rsidR="00D809A0" w:rsidRPr="005C514F" w:rsidRDefault="00D809A0" w:rsidP="00D51F4A">
      <w:pPr>
        <w:pStyle w:val="ListNormal"/>
        <w:numPr>
          <w:ilvl w:val="3"/>
          <w:numId w:val="7"/>
        </w:numPr>
      </w:pPr>
      <w:r>
        <w:t>review the GD2 Price Control Financial Model submitted by the licensee and confirm or amend any PCFM Variable Values; or</w:t>
      </w:r>
    </w:p>
    <w:p w14:paraId="622E5DD0" w14:textId="18E89195" w:rsidR="00D809A0" w:rsidRPr="005C514F" w:rsidRDefault="00D809A0" w:rsidP="00D51F4A">
      <w:pPr>
        <w:pStyle w:val="ListNormal"/>
        <w:numPr>
          <w:ilvl w:val="3"/>
          <w:numId w:val="7"/>
        </w:numPr>
      </w:pPr>
      <w:r>
        <w:t>where the licensee has not complied with Step 1, complete the PCFM Variable Values Table.</w:t>
      </w:r>
    </w:p>
    <w:p w14:paraId="27D1CDF4" w14:textId="77777777" w:rsidR="00D809A0" w:rsidRPr="005C514F" w:rsidRDefault="00D809A0" w:rsidP="00D51F4A">
      <w:pPr>
        <w:pStyle w:val="NumberedNormal"/>
        <w:numPr>
          <w:ilvl w:val="2"/>
          <w:numId w:val="7"/>
        </w:numPr>
      </w:pPr>
      <w:r>
        <w:t>Step 3: The Authority will run the GD2 Price Control Financial Model to calculate the term AR</w:t>
      </w:r>
      <w:r w:rsidRPr="4A26DA62">
        <w:rPr>
          <w:vertAlign w:val="subscript"/>
        </w:rPr>
        <w:t>t</w:t>
      </w:r>
      <w:r>
        <w:t xml:space="preserve">. </w:t>
      </w:r>
    </w:p>
    <w:p w14:paraId="36D6D7DE" w14:textId="0C32D9BB" w:rsidR="00D809A0" w:rsidRPr="005C514F" w:rsidRDefault="00D809A0" w:rsidP="00D51F4A">
      <w:pPr>
        <w:pStyle w:val="NumberedNormal"/>
        <w:numPr>
          <w:ilvl w:val="2"/>
          <w:numId w:val="7"/>
        </w:numPr>
      </w:pPr>
      <w:r>
        <w:t>Step 4: The Authority will publish the value of the term AR</w:t>
      </w:r>
      <w:r w:rsidRPr="4A26DA62">
        <w:rPr>
          <w:vertAlign w:val="subscript"/>
        </w:rPr>
        <w:t>t</w:t>
      </w:r>
      <w:r>
        <w:t xml:space="preserve"> on </w:t>
      </w:r>
      <w:r w:rsidR="00D213CC">
        <w:t>the Authority’s Website</w:t>
      </w:r>
      <w:r>
        <w:t xml:space="preserve"> in accordance with Part B.</w:t>
      </w:r>
    </w:p>
    <w:p w14:paraId="6B242B66" w14:textId="15D78B6A" w:rsidR="00D809A0" w:rsidRDefault="00D809A0" w:rsidP="00D51F4A">
      <w:pPr>
        <w:pStyle w:val="NumberedNormal"/>
        <w:numPr>
          <w:ilvl w:val="2"/>
          <w:numId w:val="7"/>
        </w:numPr>
      </w:pPr>
      <w:r>
        <w:lastRenderedPageBreak/>
        <w:t>In relation to Step 1 in paragraph 10B.3:</w:t>
      </w:r>
    </w:p>
    <w:p w14:paraId="65A1DA65" w14:textId="77777777" w:rsidR="00D809A0" w:rsidRDefault="00D809A0" w:rsidP="00D51F4A">
      <w:pPr>
        <w:pStyle w:val="ListNormal"/>
        <w:numPr>
          <w:ilvl w:val="3"/>
          <w:numId w:val="7"/>
        </w:numPr>
      </w:pPr>
      <w:r>
        <w:t>where a PCFM Variable Value is not known at the time of submission, the licensee must calculate that value in accordance with the GD2 Price Control Financial Handbook or the PCFM Guidance, as applicable and otherwise provide its best estimate using the information available at the time; and</w:t>
      </w:r>
    </w:p>
    <w:p w14:paraId="0D4435BA" w14:textId="77777777" w:rsidR="00D809A0" w:rsidRDefault="00D809A0" w:rsidP="00D51F4A">
      <w:pPr>
        <w:pStyle w:val="ListNormal"/>
        <w:numPr>
          <w:ilvl w:val="3"/>
          <w:numId w:val="7"/>
        </w:numPr>
      </w:pPr>
      <w:r>
        <w:t>where any PCFM Variable Value relies on a third-party publication that ceases to be published or no longer contains the value required, the value from the most recent publication that did contain the value must be used.</w:t>
      </w:r>
    </w:p>
    <w:p w14:paraId="0CCDDCAB" w14:textId="646E5CC5" w:rsidR="00D809A0" w:rsidRDefault="00D809A0" w:rsidP="00D809A0">
      <w:pPr>
        <w:pStyle w:val="Heading3nonumbering"/>
      </w:pPr>
      <w:r w:rsidRPr="00AE57AC">
        <w:t>Part B</w:t>
      </w:r>
      <w:r>
        <w:t>: Publication</w:t>
      </w:r>
      <w:r w:rsidRPr="00E06243">
        <w:t xml:space="preserve"> of the value of </w:t>
      </w:r>
      <w:r>
        <w:t>the term AR</w:t>
      </w:r>
      <w:r w:rsidRPr="00FB0E81">
        <w:rPr>
          <w:vertAlign w:val="subscript"/>
        </w:rPr>
        <w:t>t</w:t>
      </w:r>
    </w:p>
    <w:p w14:paraId="50973328" w14:textId="6C50C5A6" w:rsidR="00D809A0" w:rsidRPr="005C514F" w:rsidRDefault="00D809A0" w:rsidP="00D51F4A">
      <w:pPr>
        <w:pStyle w:val="NumberedNormal"/>
        <w:numPr>
          <w:ilvl w:val="2"/>
          <w:numId w:val="7"/>
        </w:numPr>
      </w:pPr>
      <w:r>
        <w:t>The value of the term AR</w:t>
      </w:r>
      <w:r w:rsidRPr="00FB0E81">
        <w:rPr>
          <w:vertAlign w:val="subscript"/>
        </w:rPr>
        <w:t>t</w:t>
      </w:r>
      <w:r>
        <w:t xml:space="preserve"> will be published by the Authority no later than 30 November prior to each Regulatory Year.</w:t>
      </w:r>
    </w:p>
    <w:p w14:paraId="539277B9" w14:textId="77777777" w:rsidR="00D809A0" w:rsidRPr="005C514F" w:rsidRDefault="00D809A0" w:rsidP="00D51F4A">
      <w:pPr>
        <w:pStyle w:val="NumberedNormal"/>
        <w:numPr>
          <w:ilvl w:val="2"/>
          <w:numId w:val="7"/>
        </w:numPr>
      </w:pPr>
      <w:r>
        <w:t>Before publishing the value of the term AR</w:t>
      </w:r>
      <w:r w:rsidRPr="00FB0E81">
        <w:rPr>
          <w:vertAlign w:val="subscript"/>
        </w:rPr>
        <w:t>t</w:t>
      </w:r>
      <w:r>
        <w:t>, the Authority will:</w:t>
      </w:r>
    </w:p>
    <w:p w14:paraId="3507C727" w14:textId="77777777" w:rsidR="00D809A0" w:rsidRPr="005C514F" w:rsidRDefault="00D809A0" w:rsidP="00D51F4A">
      <w:pPr>
        <w:pStyle w:val="ListNormal"/>
        <w:numPr>
          <w:ilvl w:val="3"/>
          <w:numId w:val="7"/>
        </w:numPr>
      </w:pPr>
      <w:r>
        <w:t xml:space="preserve">send to the licensee: </w:t>
      </w:r>
    </w:p>
    <w:p w14:paraId="066FFFEF" w14:textId="77777777" w:rsidR="00D809A0" w:rsidRPr="005C514F" w:rsidRDefault="00D809A0" w:rsidP="00D809A0">
      <w:pPr>
        <w:pStyle w:val="ListNormal"/>
        <w:numPr>
          <w:ilvl w:val="4"/>
          <w:numId w:val="1"/>
        </w:numPr>
      </w:pPr>
      <w:r>
        <w:t xml:space="preserve">a notice </w:t>
      </w:r>
      <w:r w:rsidRPr="005C514F">
        <w:t>stating the value for AR</w:t>
      </w:r>
      <w:r w:rsidRPr="00FB0E81">
        <w:rPr>
          <w:vertAlign w:val="subscript"/>
        </w:rPr>
        <w:t>t</w:t>
      </w:r>
      <w:r w:rsidRPr="005C514F">
        <w:t xml:space="preserve"> that it proposes to publish;</w:t>
      </w:r>
    </w:p>
    <w:p w14:paraId="11BA225C" w14:textId="77777777" w:rsidR="00D809A0" w:rsidRPr="005C514F" w:rsidRDefault="00D809A0" w:rsidP="00D809A0">
      <w:pPr>
        <w:pStyle w:val="ListNormal"/>
        <w:numPr>
          <w:ilvl w:val="4"/>
          <w:numId w:val="1"/>
        </w:numPr>
      </w:pPr>
      <w:r>
        <w:t xml:space="preserve">a copy of the GD2 Price Control Financial Model, </w:t>
      </w:r>
      <w:r w:rsidRPr="005C514F">
        <w:t>which will contain the data used to calculate the value proposed for ARt; and</w:t>
      </w:r>
    </w:p>
    <w:p w14:paraId="2CC4CF2E" w14:textId="754E1D72" w:rsidR="00D809A0" w:rsidRPr="005C514F" w:rsidRDefault="00D809A0" w:rsidP="00D51F4A">
      <w:pPr>
        <w:pStyle w:val="ListNormal"/>
        <w:numPr>
          <w:ilvl w:val="3"/>
          <w:numId w:val="7"/>
        </w:numPr>
      </w:pPr>
      <w:r>
        <w:t>specify a period during which representations may be made on the value of AR</w:t>
      </w:r>
      <w:r w:rsidRPr="0039702C">
        <w:rPr>
          <w:vertAlign w:val="subscript"/>
        </w:rPr>
        <w:t>t</w:t>
      </w:r>
      <w:r>
        <w:t xml:space="preserve">, which </w:t>
      </w:r>
      <w:r w:rsidR="00D05DF5">
        <w:t>will</w:t>
      </w:r>
      <w:r>
        <w:t xml:space="preserve"> not be less than 14 days.</w:t>
      </w:r>
    </w:p>
    <w:p w14:paraId="154CF48D" w14:textId="77777777" w:rsidR="00D809A0" w:rsidRDefault="00D809A0" w:rsidP="00D809A0">
      <w:pPr>
        <w:pStyle w:val="Heading3nonumbering"/>
      </w:pPr>
      <w:r>
        <w:t xml:space="preserve">Part C: What if the Annual Iteration Process is not completed by 30 November?   </w:t>
      </w:r>
    </w:p>
    <w:p w14:paraId="444E7AB9" w14:textId="7E7D095D" w:rsidR="00D809A0" w:rsidRPr="005C514F" w:rsidRDefault="00D809A0" w:rsidP="00D51F4A">
      <w:pPr>
        <w:pStyle w:val="NumberedNormal"/>
        <w:numPr>
          <w:ilvl w:val="2"/>
          <w:numId w:val="7"/>
        </w:numPr>
      </w:pPr>
      <w:r>
        <w:t>If the Authority does not publish a value for AR</w:t>
      </w:r>
      <w:r w:rsidRPr="0039702C">
        <w:rPr>
          <w:vertAlign w:val="subscript"/>
        </w:rPr>
        <w:t>t</w:t>
      </w:r>
      <w:r>
        <w:t xml:space="preserve"> by 30 November prior to any Regulatory Year, then the Annual Iteration Process will not have been completed and the provisions set out in paragraphs </w:t>
      </w:r>
      <w:r w:rsidR="00D213CC">
        <w:t>8.2.13 and 8.2.14</w:t>
      </w:r>
      <w:r>
        <w:t xml:space="preserve"> will apply. </w:t>
      </w:r>
    </w:p>
    <w:p w14:paraId="11C6D936" w14:textId="35313E66" w:rsidR="00D809A0" w:rsidRPr="005C514F" w:rsidRDefault="00D809A0" w:rsidP="00D51F4A">
      <w:pPr>
        <w:pStyle w:val="NumberedNormal"/>
        <w:numPr>
          <w:ilvl w:val="2"/>
          <w:numId w:val="7"/>
        </w:numPr>
      </w:pPr>
      <w:r>
        <w:t>The Authority will complete the Annual Iteration Process as soon as is practicable after 30 November by publishing a value for AR</w:t>
      </w:r>
      <w:r w:rsidRPr="0039702C">
        <w:rPr>
          <w:vertAlign w:val="subscript"/>
        </w:rPr>
        <w:t>t</w:t>
      </w:r>
      <w:r>
        <w:t xml:space="preserve">. </w:t>
      </w:r>
    </w:p>
    <w:p w14:paraId="1487A378" w14:textId="1DDD3943" w:rsidR="00D809A0" w:rsidRPr="005C514F" w:rsidRDefault="00D809A0" w:rsidP="00D51F4A">
      <w:pPr>
        <w:pStyle w:val="NumberedNormal"/>
        <w:numPr>
          <w:ilvl w:val="2"/>
          <w:numId w:val="7"/>
        </w:numPr>
      </w:pPr>
      <w:r>
        <w:t xml:space="preserve">In the intervening period (between the 30 November and the date on which the value of ARt is published under paragraph </w:t>
      </w:r>
      <w:r w:rsidR="00D213CC">
        <w:t>8.2.13</w:t>
      </w:r>
      <w:r>
        <w:t>), the value of AR</w:t>
      </w:r>
      <w:r w:rsidRPr="0039702C">
        <w:rPr>
          <w:vertAlign w:val="subscript"/>
        </w:rPr>
        <w:t>t</w:t>
      </w:r>
      <w:r>
        <w:t xml:space="preserve"> will be held to be equal to a value ascertained by: </w:t>
      </w:r>
    </w:p>
    <w:p w14:paraId="3296E492" w14:textId="77777777" w:rsidR="00D809A0" w:rsidRPr="005C514F" w:rsidRDefault="00D809A0" w:rsidP="00D51F4A">
      <w:pPr>
        <w:pStyle w:val="ListNormal"/>
        <w:numPr>
          <w:ilvl w:val="3"/>
          <w:numId w:val="7"/>
        </w:numPr>
      </w:pPr>
      <w:r>
        <w:t xml:space="preserve">taking a copy of the GD2 Price Control Financial Model in its state following the last completed Annual Iteration Process which, for the avoidance of doubt, will exclude the effect of any functional modifications under Special Condition 8.1 (Governance of GD2 Price Control Financial Instruments) made after the completion of that Annual Iteration Process; </w:t>
      </w:r>
    </w:p>
    <w:p w14:paraId="61CB94CC" w14:textId="77777777" w:rsidR="00D809A0" w:rsidRPr="005C514F" w:rsidRDefault="00D809A0" w:rsidP="00D51F4A">
      <w:pPr>
        <w:pStyle w:val="ListNormal"/>
        <w:numPr>
          <w:ilvl w:val="3"/>
          <w:numId w:val="7"/>
        </w:numPr>
      </w:pPr>
      <w:r>
        <w:t xml:space="preserve">using the selection facilities on the user interface sheet contained in that copy to select: </w:t>
      </w:r>
    </w:p>
    <w:p w14:paraId="5A183531" w14:textId="77777777" w:rsidR="00D809A0" w:rsidRPr="005C514F" w:rsidRDefault="00D809A0" w:rsidP="00D51F4A">
      <w:pPr>
        <w:pStyle w:val="ListNormal"/>
        <w:numPr>
          <w:ilvl w:val="4"/>
          <w:numId w:val="3"/>
        </w:numPr>
      </w:pPr>
      <w:r w:rsidRPr="00E06243">
        <w:t xml:space="preserve">the name of the </w:t>
      </w:r>
      <w:r>
        <w:t>l</w:t>
      </w:r>
      <w:r w:rsidRPr="00E06243">
        <w:t xml:space="preserve">icensee; and </w:t>
      </w:r>
    </w:p>
    <w:p w14:paraId="6DBD85E5" w14:textId="77777777" w:rsidR="00D809A0" w:rsidRPr="005C514F" w:rsidRDefault="00D809A0" w:rsidP="00D51F4A">
      <w:pPr>
        <w:pStyle w:val="ListNormal"/>
        <w:numPr>
          <w:ilvl w:val="4"/>
          <w:numId w:val="3"/>
        </w:numPr>
      </w:pPr>
      <w:r w:rsidRPr="00E06243">
        <w:t xml:space="preserve">the </w:t>
      </w:r>
      <w:r w:rsidRPr="005C514F">
        <w:t xml:space="preserve">Regulatory Year equating to the Regulatory Year t; and </w:t>
      </w:r>
    </w:p>
    <w:p w14:paraId="1AC68E04" w14:textId="2D84EC81" w:rsidR="00D809A0" w:rsidRPr="005C514F" w:rsidRDefault="00D809A0" w:rsidP="00D51F4A">
      <w:pPr>
        <w:pStyle w:val="ListNormal"/>
        <w:numPr>
          <w:ilvl w:val="3"/>
          <w:numId w:val="7"/>
        </w:numPr>
      </w:pPr>
      <w:r>
        <w:lastRenderedPageBreak/>
        <w:t>recording the value of the term AR</w:t>
      </w:r>
      <w:r w:rsidRPr="0039702C">
        <w:rPr>
          <w:vertAlign w:val="subscript"/>
        </w:rPr>
        <w:t>t</w:t>
      </w:r>
      <w:r>
        <w:t xml:space="preserve"> for the licensee that is shown as an output value. </w:t>
      </w:r>
    </w:p>
    <w:p w14:paraId="4E42F19D" w14:textId="77777777" w:rsidR="00D809A0" w:rsidRDefault="00D809A0" w:rsidP="00D809A0"/>
    <w:p w14:paraId="793BFCC8" w14:textId="77777777" w:rsidR="00D809A0" w:rsidRDefault="00D809A0" w:rsidP="00D809A0">
      <w:pPr>
        <w:pStyle w:val="Heading3nonumbering"/>
      </w:pPr>
      <w:r>
        <w:t>Part D The final year of the GD2 Annual Iteration Process and other clarifications</w:t>
      </w:r>
    </w:p>
    <w:p w14:paraId="0D5D8250" w14:textId="345CD0AE" w:rsidR="00D809A0" w:rsidRPr="005C514F" w:rsidRDefault="00D809A0" w:rsidP="00D51F4A">
      <w:pPr>
        <w:pStyle w:val="NumberedNormal"/>
        <w:numPr>
          <w:ilvl w:val="2"/>
          <w:numId w:val="7"/>
        </w:numPr>
      </w:pPr>
      <w:r>
        <w:t>The last Regulatory Year in which there will be an Annual Iteration Process for the GD2 Price Control Financial Model is 2024/2025 for the purpose of determining the value of the term AR</w:t>
      </w:r>
      <w:r w:rsidRPr="0039702C">
        <w:rPr>
          <w:vertAlign w:val="subscript"/>
        </w:rPr>
        <w:t>t</w:t>
      </w:r>
      <w:r>
        <w:t xml:space="preserve"> for Regulatory Year 2025/26.</w:t>
      </w:r>
    </w:p>
    <w:p w14:paraId="575D0211" w14:textId="77777777" w:rsidR="00D809A0" w:rsidRPr="005C514F" w:rsidRDefault="00D809A0" w:rsidP="00D51F4A">
      <w:pPr>
        <w:pStyle w:val="NumberedNormal"/>
        <w:numPr>
          <w:ilvl w:val="2"/>
          <w:numId w:val="7"/>
        </w:numPr>
      </w:pPr>
      <w:r>
        <w:t xml:space="preserve">For the avoidance of doubt, neither: </w:t>
      </w:r>
    </w:p>
    <w:p w14:paraId="26251933" w14:textId="4AEA7836" w:rsidR="00D809A0" w:rsidRPr="005C514F" w:rsidRDefault="00D809A0" w:rsidP="00D51F4A">
      <w:pPr>
        <w:pStyle w:val="ListNormal"/>
        <w:numPr>
          <w:ilvl w:val="3"/>
          <w:numId w:val="7"/>
        </w:numPr>
      </w:pPr>
      <w:r>
        <w:t xml:space="preserve">an Annual Iteration Process for the GD2 Price Control Financial Model carried out in accordance with this condition, including in particular the steps set out in Part A; nor </w:t>
      </w:r>
    </w:p>
    <w:p w14:paraId="784476E4" w14:textId="77777777" w:rsidR="00D809A0" w:rsidRPr="005C514F" w:rsidRDefault="00D809A0" w:rsidP="00D51F4A">
      <w:pPr>
        <w:pStyle w:val="ListNormal"/>
        <w:numPr>
          <w:ilvl w:val="3"/>
          <w:numId w:val="7"/>
        </w:numPr>
      </w:pPr>
      <w:r>
        <w:t xml:space="preserve">a change to the Regulatory Year included in the name of and text within the GD2 Price Control Financial Model (as referred to at paragraphs 8.1.11(b) and (c)) of Special Condition 8.1 (Governance of GD2 Price Control Financial Instruments), </w:t>
      </w:r>
    </w:p>
    <w:p w14:paraId="7591FFF6" w14:textId="77777777" w:rsidR="00D809A0" w:rsidRPr="005C514F" w:rsidRDefault="00D809A0" w:rsidP="00D809A0">
      <w:r w:rsidRPr="00E06243">
        <w:t xml:space="preserve">will constitute a modification of the </w:t>
      </w:r>
      <w:r w:rsidRPr="005C514F">
        <w:t xml:space="preserve">GD2 Price Control Financial Model within the meaning of Part B of Special Condition </w:t>
      </w:r>
      <w:r>
        <w:t>8.1</w:t>
      </w:r>
      <w:r w:rsidRPr="005C514F">
        <w:t xml:space="preserve">. </w:t>
      </w:r>
    </w:p>
    <w:p w14:paraId="7D15795F" w14:textId="2B7659B9" w:rsidR="00D809A0" w:rsidRPr="005C514F" w:rsidRDefault="00D809A0" w:rsidP="00D51F4A">
      <w:pPr>
        <w:pStyle w:val="NumberedNormal"/>
        <w:numPr>
          <w:ilvl w:val="2"/>
          <w:numId w:val="7"/>
        </w:numPr>
      </w:pPr>
      <w:r>
        <w:t>Where any PCFM Variable Values are revised for years earlier than Regulatory Year t, the effect of using those revised values in the Annual Iteration Process will, subject to a Time Value of Money Adjustment, be reflected in the calculation of the term AR</w:t>
      </w:r>
      <w:r w:rsidRPr="0039702C">
        <w:rPr>
          <w:vertAlign w:val="subscript"/>
        </w:rPr>
        <w:t>t</w:t>
      </w:r>
      <w:r>
        <w:t xml:space="preserve"> for Regulatory Year t and, for the avoidance of doubt, it will not have any retrospective effect on a previously published value of the term AR</w:t>
      </w:r>
      <w:r w:rsidRPr="0039702C">
        <w:rPr>
          <w:vertAlign w:val="subscript"/>
        </w:rPr>
        <w:t>t</w:t>
      </w:r>
      <w:r>
        <w:t>.</w:t>
      </w:r>
    </w:p>
    <w:p w14:paraId="3BDE3F34" w14:textId="77777777" w:rsidR="00D809A0" w:rsidRDefault="00D809A0" w:rsidP="00D809A0">
      <w:pPr>
        <w:pStyle w:val="Heading3nonumbering"/>
      </w:pPr>
      <w:r>
        <w:t>Part E The PCFM Guidance</w:t>
      </w:r>
    </w:p>
    <w:p w14:paraId="582B73F3" w14:textId="77777777" w:rsidR="00D809A0" w:rsidRDefault="00D809A0" w:rsidP="00D51F4A">
      <w:pPr>
        <w:pStyle w:val="NumberedNormal"/>
        <w:numPr>
          <w:ilvl w:val="2"/>
          <w:numId w:val="7"/>
        </w:numPr>
      </w:pPr>
      <w:r>
        <w:t>The licensee must comply with the PCFM Guidance when completing the Annual Iteration Process.</w:t>
      </w:r>
    </w:p>
    <w:p w14:paraId="160C04C0" w14:textId="77777777" w:rsidR="00D809A0" w:rsidRDefault="00D809A0" w:rsidP="00D51F4A">
      <w:pPr>
        <w:pStyle w:val="NumberedNormal"/>
        <w:numPr>
          <w:ilvl w:val="2"/>
          <w:numId w:val="7"/>
        </w:numPr>
      </w:pPr>
      <w:r>
        <w:t>The Authority will issue and amend PCFM Guidance by direction.</w:t>
      </w:r>
    </w:p>
    <w:p w14:paraId="661EFA90" w14:textId="77777777" w:rsidR="00D809A0" w:rsidRDefault="00D809A0" w:rsidP="00D51F4A">
      <w:pPr>
        <w:pStyle w:val="NumberedNormal"/>
        <w:numPr>
          <w:ilvl w:val="2"/>
          <w:numId w:val="7"/>
        </w:numPr>
      </w:pPr>
      <w:r>
        <w:t>The Authority will publish the PCFM Guidance on the Authority's Website.</w:t>
      </w:r>
    </w:p>
    <w:p w14:paraId="4D7F44B9" w14:textId="77777777" w:rsidR="00D809A0" w:rsidRPr="003932D9" w:rsidRDefault="00D809A0" w:rsidP="00D51F4A">
      <w:pPr>
        <w:pStyle w:val="NumberedNormal"/>
        <w:numPr>
          <w:ilvl w:val="2"/>
          <w:numId w:val="7"/>
        </w:numPr>
      </w:pPr>
      <w:r>
        <w:t>The PCFM Guidance will make provision about:</w:t>
      </w:r>
    </w:p>
    <w:p w14:paraId="267C41F4" w14:textId="77777777" w:rsidR="00D809A0" w:rsidRDefault="00D809A0" w:rsidP="00D51F4A">
      <w:pPr>
        <w:pStyle w:val="ListNormal"/>
        <w:numPr>
          <w:ilvl w:val="3"/>
          <w:numId w:val="7"/>
        </w:numPr>
      </w:pPr>
      <w:r>
        <w:t>instructions and guidance on how to populate the PCFM Variable Values for submission for an Annual Iteration Process;</w:t>
      </w:r>
    </w:p>
    <w:p w14:paraId="07FAF1D4" w14:textId="77777777" w:rsidR="00D809A0" w:rsidRDefault="00D809A0" w:rsidP="00D51F4A">
      <w:pPr>
        <w:pStyle w:val="ListNormal"/>
        <w:numPr>
          <w:ilvl w:val="3"/>
          <w:numId w:val="7"/>
        </w:numPr>
      </w:pPr>
      <w:r>
        <w:t>instructions and guidance on the process and timeframe for reporting and submitting the required data; and</w:t>
      </w:r>
    </w:p>
    <w:p w14:paraId="411C10BB" w14:textId="77777777" w:rsidR="00D809A0" w:rsidRDefault="00D809A0" w:rsidP="00D51F4A">
      <w:pPr>
        <w:pStyle w:val="ListNormal"/>
        <w:numPr>
          <w:ilvl w:val="3"/>
          <w:numId w:val="7"/>
        </w:numPr>
      </w:pPr>
      <w:r>
        <w:t>any requirements for supporting information, documentation or commentary that are to be submitted.</w:t>
      </w:r>
    </w:p>
    <w:p w14:paraId="6CBAB10B" w14:textId="77777777" w:rsidR="00D809A0" w:rsidRPr="003932D9" w:rsidRDefault="00D809A0" w:rsidP="00D51F4A">
      <w:pPr>
        <w:pStyle w:val="NumberedNormal"/>
        <w:numPr>
          <w:ilvl w:val="2"/>
          <w:numId w:val="7"/>
        </w:numPr>
      </w:pPr>
      <w:r>
        <w:t>Before directing that the PCFM Guidance comes into effect, the Authority will publish on the Authority's Website:</w:t>
      </w:r>
    </w:p>
    <w:p w14:paraId="5126EE67" w14:textId="77777777" w:rsidR="00D809A0" w:rsidRPr="006B59FD" w:rsidRDefault="00D809A0" w:rsidP="00D51F4A">
      <w:pPr>
        <w:pStyle w:val="ListNormal"/>
        <w:numPr>
          <w:ilvl w:val="3"/>
          <w:numId w:val="7"/>
        </w:numPr>
      </w:pPr>
      <w:r>
        <w:lastRenderedPageBreak/>
        <w:t>the text of the proposed PCFM Guidance;</w:t>
      </w:r>
    </w:p>
    <w:p w14:paraId="5D94C58D" w14:textId="765CD22A" w:rsidR="00D809A0" w:rsidRPr="006B59FD" w:rsidRDefault="00D809A0" w:rsidP="00D51F4A">
      <w:pPr>
        <w:pStyle w:val="ListNormal"/>
        <w:numPr>
          <w:ilvl w:val="3"/>
          <w:numId w:val="7"/>
        </w:numPr>
      </w:pPr>
      <w:r>
        <w:t>the date on which the Authority intends the PCFM Guidance to come into effect; and</w:t>
      </w:r>
    </w:p>
    <w:p w14:paraId="2F6B8DC9" w14:textId="6009CE82" w:rsidR="00D809A0" w:rsidRPr="006B59FD" w:rsidRDefault="00D809A0" w:rsidP="00D51F4A">
      <w:pPr>
        <w:pStyle w:val="ListNormal"/>
        <w:numPr>
          <w:ilvl w:val="3"/>
          <w:numId w:val="7"/>
        </w:numPr>
      </w:pPr>
      <w:r>
        <w:t>a period during which representations may be made on the content of the PCFM Guidance</w:t>
      </w:r>
      <w:r w:rsidR="00E72ACC">
        <w:t>,</w:t>
      </w:r>
      <w:r>
        <w:t xml:space="preserve"> which </w:t>
      </w:r>
      <w:r w:rsidR="00D05DF5">
        <w:t xml:space="preserve">will </w:t>
      </w:r>
      <w:r>
        <w:t>not be less than 28 days.</w:t>
      </w:r>
    </w:p>
    <w:p w14:paraId="4C2B3082" w14:textId="77777777" w:rsidR="00D809A0" w:rsidRPr="003932D9" w:rsidRDefault="00D809A0" w:rsidP="00D51F4A">
      <w:pPr>
        <w:pStyle w:val="NumberedNormal"/>
        <w:numPr>
          <w:ilvl w:val="2"/>
          <w:numId w:val="7"/>
        </w:numPr>
      </w:pPr>
      <w:r>
        <w:t>Before directing an amendment to the PCFM Guidance, the Authority will publish on the Authority's Website:</w:t>
      </w:r>
    </w:p>
    <w:p w14:paraId="2FF0D8EC" w14:textId="77777777" w:rsidR="00D809A0" w:rsidRDefault="00D809A0" w:rsidP="00D51F4A">
      <w:pPr>
        <w:pStyle w:val="ListNormal"/>
        <w:numPr>
          <w:ilvl w:val="3"/>
          <w:numId w:val="7"/>
        </w:numPr>
      </w:pPr>
      <w:r>
        <w:t>the text of the proposed amended PCFM Guidance;</w:t>
      </w:r>
    </w:p>
    <w:p w14:paraId="45BEAC94" w14:textId="77777777" w:rsidR="00D809A0" w:rsidRDefault="00D809A0" w:rsidP="00D51F4A">
      <w:pPr>
        <w:pStyle w:val="ListNormal"/>
        <w:numPr>
          <w:ilvl w:val="3"/>
          <w:numId w:val="7"/>
        </w:numPr>
      </w:pPr>
      <w:r>
        <w:t>the date on which the Authority intends the amended PCFM Guidance to come into effect;</w:t>
      </w:r>
    </w:p>
    <w:p w14:paraId="3EEF713F" w14:textId="77777777" w:rsidR="00D809A0" w:rsidRDefault="00D809A0" w:rsidP="00D51F4A">
      <w:pPr>
        <w:pStyle w:val="ListNormal"/>
        <w:numPr>
          <w:ilvl w:val="3"/>
          <w:numId w:val="7"/>
        </w:numPr>
      </w:pPr>
      <w:r>
        <w:t>the reasons for the amendments to the PCFM Guidance; and</w:t>
      </w:r>
    </w:p>
    <w:p w14:paraId="02D862AB" w14:textId="73442C90" w:rsidR="00D809A0" w:rsidRDefault="00D809A0" w:rsidP="00D51F4A">
      <w:pPr>
        <w:pStyle w:val="ListNormal"/>
        <w:numPr>
          <w:ilvl w:val="3"/>
          <w:numId w:val="7"/>
        </w:numPr>
      </w:pPr>
      <w:r>
        <w:t>a period during which representations may be made on the amendments to the PCFM Guidance</w:t>
      </w:r>
      <w:r w:rsidR="00E72ACC">
        <w:t>,</w:t>
      </w:r>
      <w:r>
        <w:t xml:space="preserve"> which </w:t>
      </w:r>
      <w:r w:rsidR="00D05DF5">
        <w:t xml:space="preserve">will </w:t>
      </w:r>
      <w:r>
        <w:t>not be less than 28 days.</w:t>
      </w:r>
    </w:p>
    <w:p w14:paraId="424DF95C" w14:textId="77777777" w:rsidR="00D809A0" w:rsidRPr="00B54FBE" w:rsidRDefault="00D809A0" w:rsidP="00D809A0">
      <w:pPr>
        <w:pStyle w:val="ListNormal"/>
        <w:numPr>
          <w:ilvl w:val="0"/>
          <w:numId w:val="0"/>
        </w:numPr>
      </w:pPr>
    </w:p>
    <w:p w14:paraId="446423F4" w14:textId="77777777" w:rsidR="00D809A0" w:rsidRDefault="00D809A0" w:rsidP="00D51F4A">
      <w:pPr>
        <w:pStyle w:val="Heading1"/>
        <w:numPr>
          <w:ilvl w:val="0"/>
          <w:numId w:val="7"/>
        </w:numPr>
      </w:pPr>
      <w:bookmarkStart w:id="180" w:name="_Toc51783699"/>
      <w:bookmarkStart w:id="181" w:name="_Toc52364594"/>
      <w:r>
        <w:lastRenderedPageBreak/>
        <w:t>General Obligations</w:t>
      </w:r>
      <w:bookmarkEnd w:id="180"/>
      <w:bookmarkEnd w:id="181"/>
    </w:p>
    <w:p w14:paraId="50C416D7" w14:textId="77777777" w:rsidR="00D809A0" w:rsidRDefault="00D809A0" w:rsidP="00D51F4A">
      <w:pPr>
        <w:pStyle w:val="Heading2"/>
        <w:numPr>
          <w:ilvl w:val="1"/>
          <w:numId w:val="7"/>
        </w:numPr>
      </w:pPr>
      <w:bookmarkStart w:id="182" w:name="_Toc51783700"/>
      <w:bookmarkStart w:id="183" w:name="_Toc52364595"/>
      <w:r>
        <w:t>Annual Environmental Report</w:t>
      </w:r>
      <w:bookmarkEnd w:id="182"/>
      <w:bookmarkEnd w:id="183"/>
    </w:p>
    <w:p w14:paraId="0DAD0FB9" w14:textId="77777777" w:rsidR="00D809A0" w:rsidRPr="000E1F02" w:rsidRDefault="00D809A0" w:rsidP="00D809A0">
      <w:pPr>
        <w:pStyle w:val="Heading3nonumbering"/>
      </w:pPr>
      <w:r w:rsidRPr="000E1F02">
        <w:t xml:space="preserve">Introduction </w:t>
      </w:r>
    </w:p>
    <w:p w14:paraId="4340E8F9" w14:textId="77777777" w:rsidR="00D809A0" w:rsidRPr="000E1F02" w:rsidRDefault="00D809A0" w:rsidP="00D51F4A">
      <w:pPr>
        <w:pStyle w:val="NumberedNormal"/>
        <w:numPr>
          <w:ilvl w:val="2"/>
          <w:numId w:val="7"/>
        </w:numPr>
      </w:pPr>
      <w:r>
        <w:t>This condition requires the licensee to prepare and publish an Annual Environmental Report.</w:t>
      </w:r>
    </w:p>
    <w:p w14:paraId="2C367E36" w14:textId="77777777" w:rsidR="00D809A0" w:rsidRPr="000E1F02" w:rsidRDefault="00D809A0" w:rsidP="00D51F4A">
      <w:pPr>
        <w:pStyle w:val="NumberedNormal"/>
        <w:numPr>
          <w:ilvl w:val="2"/>
          <w:numId w:val="7"/>
        </w:numPr>
      </w:pPr>
      <w:r>
        <w:t xml:space="preserve">The purpose of an Annual Environmental Report is to increase the public transparency and accountability of the licensee in relation to the impacts of its business and network activities on the environment, and the licensee's progress against its Environmental Action Plan commitments. </w:t>
      </w:r>
    </w:p>
    <w:p w14:paraId="4194AAB8" w14:textId="77777777" w:rsidR="00D809A0" w:rsidRPr="000E1F02" w:rsidRDefault="00D809A0" w:rsidP="00D51F4A">
      <w:pPr>
        <w:pStyle w:val="NumberedNormal"/>
        <w:numPr>
          <w:ilvl w:val="2"/>
          <w:numId w:val="7"/>
        </w:numPr>
      </w:pPr>
      <w:r>
        <w:t>This condition also explains the process the Authority will follow in issuing and amending Environmental Reporting Guidance, which the licensee must comply with when preparing its Annual Environmental Report.</w:t>
      </w:r>
    </w:p>
    <w:p w14:paraId="7F662B28" w14:textId="77777777" w:rsidR="00D809A0" w:rsidRPr="000E1F02" w:rsidRDefault="00D809A0" w:rsidP="00D51F4A">
      <w:pPr>
        <w:pStyle w:val="Heading3"/>
        <w:numPr>
          <w:ilvl w:val="5"/>
          <w:numId w:val="7"/>
        </w:numPr>
      </w:pPr>
      <w:r>
        <w:t>Requirement to prepare and publish an Annual Environmental Report</w:t>
      </w:r>
    </w:p>
    <w:p w14:paraId="0D92A754" w14:textId="77777777" w:rsidR="00D809A0" w:rsidRPr="000E1F02" w:rsidRDefault="00D809A0" w:rsidP="00D51F4A">
      <w:pPr>
        <w:pStyle w:val="NumberedNormal"/>
        <w:numPr>
          <w:ilvl w:val="2"/>
          <w:numId w:val="7"/>
        </w:numPr>
      </w:pPr>
      <w:r>
        <w:t>The licensee must prepare an Annual Environmental Report in accordance with the Environmental Reporting Guidance (as amended from time to time).</w:t>
      </w:r>
    </w:p>
    <w:p w14:paraId="4E29F67D" w14:textId="5F93B33C" w:rsidR="00D809A0" w:rsidRPr="000E1F02" w:rsidRDefault="00D809A0" w:rsidP="00D51F4A">
      <w:pPr>
        <w:pStyle w:val="NumberedNormal"/>
        <w:numPr>
          <w:ilvl w:val="2"/>
          <w:numId w:val="7"/>
        </w:numPr>
      </w:pPr>
      <w:r>
        <w:t>The licensee must publish an Annual Environmental Report for the preceding Regulatory Year on or before the date specified in the Environmental Reporting Guidance.</w:t>
      </w:r>
    </w:p>
    <w:p w14:paraId="3AE2035C" w14:textId="77777777" w:rsidR="00D809A0" w:rsidRPr="000E1F02" w:rsidRDefault="00D809A0" w:rsidP="00D51F4A">
      <w:pPr>
        <w:pStyle w:val="NumberedNormal"/>
        <w:numPr>
          <w:ilvl w:val="2"/>
          <w:numId w:val="7"/>
        </w:numPr>
      </w:pPr>
      <w:r>
        <w:t>The licensee must ensure its Annual Environmental Report is readily accessible to the public from the licensee’s website.</w:t>
      </w:r>
    </w:p>
    <w:p w14:paraId="0BA7B41F" w14:textId="77777777" w:rsidR="00D809A0" w:rsidRPr="000E1F02" w:rsidRDefault="00D809A0" w:rsidP="00D51F4A">
      <w:pPr>
        <w:pStyle w:val="Heading3"/>
        <w:numPr>
          <w:ilvl w:val="5"/>
          <w:numId w:val="7"/>
        </w:numPr>
      </w:pPr>
      <w:r>
        <w:t>Environmental Reporting Guidance</w:t>
      </w:r>
    </w:p>
    <w:p w14:paraId="3BB5B89E" w14:textId="77777777" w:rsidR="00D809A0" w:rsidRPr="000E1F02" w:rsidRDefault="00D809A0" w:rsidP="00D51F4A">
      <w:pPr>
        <w:pStyle w:val="NumberedNormal"/>
        <w:numPr>
          <w:ilvl w:val="2"/>
          <w:numId w:val="7"/>
        </w:numPr>
      </w:pPr>
      <w:r>
        <w:t xml:space="preserve">The Authority will issue and amend Environmental Reporting Guidance by direction. </w:t>
      </w:r>
    </w:p>
    <w:p w14:paraId="45785772" w14:textId="77777777" w:rsidR="00D809A0" w:rsidRPr="000E1F02" w:rsidRDefault="00D809A0" w:rsidP="00D51F4A">
      <w:pPr>
        <w:pStyle w:val="NumberedNormal"/>
        <w:numPr>
          <w:ilvl w:val="2"/>
          <w:numId w:val="7"/>
        </w:numPr>
      </w:pPr>
      <w:r>
        <w:t>The Authority will publish Environmental Reporting Guidance on the Authority's Website.</w:t>
      </w:r>
    </w:p>
    <w:p w14:paraId="34BF8648" w14:textId="77777777" w:rsidR="00D809A0" w:rsidRPr="000E1F02" w:rsidRDefault="00D809A0" w:rsidP="00D51F4A">
      <w:pPr>
        <w:pStyle w:val="NumberedNormal"/>
        <w:numPr>
          <w:ilvl w:val="2"/>
          <w:numId w:val="7"/>
        </w:numPr>
      </w:pPr>
      <w:r>
        <w:t>The Environmental Reporting Guidance will set out how the licensee must prepare its Annual Environmental Report, including the following:</w:t>
      </w:r>
    </w:p>
    <w:p w14:paraId="328F5824" w14:textId="77777777" w:rsidR="00D809A0" w:rsidRPr="000E1F02" w:rsidRDefault="00D809A0" w:rsidP="00D51F4A">
      <w:pPr>
        <w:pStyle w:val="ListNormal"/>
        <w:numPr>
          <w:ilvl w:val="3"/>
          <w:numId w:val="7"/>
        </w:numPr>
      </w:pPr>
      <w:r>
        <w:t>the engagement the licensee is required to undertake with stakeholders to help inform the development of its Annual Environmental Report;</w:t>
      </w:r>
    </w:p>
    <w:p w14:paraId="40352AB4" w14:textId="77777777" w:rsidR="00D809A0" w:rsidRPr="000E1F02" w:rsidRDefault="00D809A0" w:rsidP="00D51F4A">
      <w:pPr>
        <w:pStyle w:val="ListNormal"/>
        <w:numPr>
          <w:ilvl w:val="3"/>
          <w:numId w:val="7"/>
        </w:numPr>
      </w:pPr>
      <w:r>
        <w:t>the requirements for the structure and level of detail to be included in the Annual Environmental Report, including some of the data metrics to be used, as well as expectations about the level of explanatory text to be included; and</w:t>
      </w:r>
    </w:p>
    <w:p w14:paraId="52B41C1F" w14:textId="77777777" w:rsidR="00D809A0" w:rsidRPr="000E1F02" w:rsidRDefault="00D809A0" w:rsidP="00D51F4A">
      <w:pPr>
        <w:pStyle w:val="ListNormal"/>
        <w:numPr>
          <w:ilvl w:val="3"/>
          <w:numId w:val="7"/>
        </w:numPr>
      </w:pPr>
      <w:r>
        <w:t xml:space="preserve">the environmental impacts, relevant Environmental Action Plan Commitments, business practices, existing obligations and activities that must be covered in the Annual Environmental Report. </w:t>
      </w:r>
    </w:p>
    <w:p w14:paraId="62A7BE35" w14:textId="77777777" w:rsidR="00D809A0" w:rsidRPr="000E1F02" w:rsidRDefault="00D809A0" w:rsidP="00D51F4A">
      <w:pPr>
        <w:pStyle w:val="NumberedNormal"/>
        <w:numPr>
          <w:ilvl w:val="2"/>
          <w:numId w:val="7"/>
        </w:numPr>
      </w:pPr>
      <w:r>
        <w:lastRenderedPageBreak/>
        <w:t>Before issuing the Environmental Reporting Guidance by direction, the Authority will publish on the Authority's Website:</w:t>
      </w:r>
    </w:p>
    <w:p w14:paraId="5838D523" w14:textId="77777777" w:rsidR="00D809A0" w:rsidRPr="000E1F02" w:rsidRDefault="00D809A0" w:rsidP="00D51F4A">
      <w:pPr>
        <w:pStyle w:val="ListNormal"/>
        <w:numPr>
          <w:ilvl w:val="3"/>
          <w:numId w:val="7"/>
        </w:numPr>
      </w:pPr>
      <w:r>
        <w:t>the text of the proposed Environmental Reporting Guidance;</w:t>
      </w:r>
    </w:p>
    <w:p w14:paraId="17559069" w14:textId="77777777" w:rsidR="00D809A0" w:rsidRPr="000E1F02" w:rsidRDefault="00D809A0" w:rsidP="00D51F4A">
      <w:pPr>
        <w:pStyle w:val="ListNormal"/>
        <w:numPr>
          <w:ilvl w:val="3"/>
          <w:numId w:val="7"/>
        </w:numPr>
      </w:pPr>
      <w:r>
        <w:t>the date on which the Authority intends the Environmental Reporting Guidance to come into effect; and</w:t>
      </w:r>
    </w:p>
    <w:p w14:paraId="4891C6D0" w14:textId="48F80147" w:rsidR="00D809A0" w:rsidRPr="000E1F02" w:rsidRDefault="00D809A0" w:rsidP="00D51F4A">
      <w:pPr>
        <w:pStyle w:val="ListNormal"/>
        <w:numPr>
          <w:ilvl w:val="3"/>
          <w:numId w:val="7"/>
        </w:numPr>
      </w:pPr>
      <w:r>
        <w:t xml:space="preserve">a period during which representations may be made on the content of the Environmental Reporting Guidance, which will not be less than 28 days. </w:t>
      </w:r>
    </w:p>
    <w:p w14:paraId="1B84FC05" w14:textId="77777777" w:rsidR="00D809A0" w:rsidRPr="000E1F02" w:rsidRDefault="00D809A0" w:rsidP="00D51F4A">
      <w:pPr>
        <w:pStyle w:val="NumberedNormal"/>
        <w:numPr>
          <w:ilvl w:val="2"/>
          <w:numId w:val="7"/>
        </w:numPr>
      </w:pPr>
      <w:r>
        <w:t>Before amending the Environmental Reporting Guidance by direction, the Authority will publish on the Authority's Website:</w:t>
      </w:r>
    </w:p>
    <w:p w14:paraId="57C51937" w14:textId="77777777" w:rsidR="00D809A0" w:rsidRPr="000E1F02" w:rsidRDefault="00D809A0" w:rsidP="00D51F4A">
      <w:pPr>
        <w:pStyle w:val="ListNormal"/>
        <w:numPr>
          <w:ilvl w:val="3"/>
          <w:numId w:val="7"/>
        </w:numPr>
      </w:pPr>
      <w:r>
        <w:t>the text of the amended Environmental Reporting Guidance;</w:t>
      </w:r>
    </w:p>
    <w:p w14:paraId="3F65452C" w14:textId="77777777" w:rsidR="00D809A0" w:rsidRPr="000E1F02" w:rsidRDefault="00D809A0" w:rsidP="00D51F4A">
      <w:pPr>
        <w:pStyle w:val="ListNormal"/>
        <w:numPr>
          <w:ilvl w:val="3"/>
          <w:numId w:val="7"/>
        </w:numPr>
      </w:pPr>
      <w:r>
        <w:t>the date on which the Authority intends the amended Environmental Reporting Guidance to come into effect;</w:t>
      </w:r>
    </w:p>
    <w:p w14:paraId="2B1B7BEE" w14:textId="77777777" w:rsidR="00D809A0" w:rsidRPr="000E1F02" w:rsidRDefault="00D809A0" w:rsidP="00D51F4A">
      <w:pPr>
        <w:pStyle w:val="ListNormal"/>
        <w:numPr>
          <w:ilvl w:val="3"/>
          <w:numId w:val="7"/>
        </w:numPr>
      </w:pPr>
      <w:r>
        <w:t>the reasons for the amendments to the Environmental Reporting Guidance; and</w:t>
      </w:r>
    </w:p>
    <w:p w14:paraId="586E3639" w14:textId="6D55E186" w:rsidR="00D809A0" w:rsidRPr="000E1F02" w:rsidRDefault="00D809A0" w:rsidP="00D51F4A">
      <w:pPr>
        <w:pStyle w:val="ListNormal"/>
        <w:numPr>
          <w:ilvl w:val="3"/>
          <w:numId w:val="7"/>
        </w:numPr>
      </w:pPr>
      <w:r>
        <w:t>a period during which representations may be made on the amendments to the Environmental Reporting Guidance, which will not be less than 28 days.</w:t>
      </w:r>
    </w:p>
    <w:p w14:paraId="1722FD9B" w14:textId="77777777" w:rsidR="00D809A0" w:rsidRPr="003C5BB2" w:rsidRDefault="00D809A0" w:rsidP="00D809A0">
      <w:pPr>
        <w:pStyle w:val="NumberedNormal"/>
        <w:numPr>
          <w:ilvl w:val="0"/>
          <w:numId w:val="0"/>
        </w:numPr>
        <w:ind w:left="879"/>
      </w:pPr>
    </w:p>
    <w:p w14:paraId="3467CF11" w14:textId="77777777" w:rsidR="00D809A0" w:rsidRDefault="00D809A0" w:rsidP="00D51F4A">
      <w:pPr>
        <w:pStyle w:val="Heading2"/>
        <w:numPr>
          <w:ilvl w:val="1"/>
          <w:numId w:val="7"/>
        </w:numPr>
      </w:pPr>
      <w:bookmarkStart w:id="184" w:name="_Toc51783701"/>
      <w:bookmarkStart w:id="185" w:name="_Toc52364596"/>
      <w:r>
        <w:t>Network Asset Risk Metric Methodology</w:t>
      </w:r>
      <w:bookmarkEnd w:id="184"/>
      <w:bookmarkEnd w:id="185"/>
    </w:p>
    <w:p w14:paraId="0D7F9C04" w14:textId="77777777" w:rsidR="00D809A0" w:rsidRPr="004A18EE" w:rsidRDefault="00D809A0" w:rsidP="00D809A0">
      <w:pPr>
        <w:pStyle w:val="Heading3nonumbering"/>
      </w:pPr>
      <w:r w:rsidRPr="004A18EE">
        <w:t xml:space="preserve">Introduction </w:t>
      </w:r>
    </w:p>
    <w:p w14:paraId="7390FAF3" w14:textId="77777777" w:rsidR="00D809A0" w:rsidRPr="004A18EE" w:rsidRDefault="00D809A0" w:rsidP="00D51F4A">
      <w:pPr>
        <w:pStyle w:val="NumberedNormal"/>
        <w:numPr>
          <w:ilvl w:val="2"/>
          <w:numId w:val="7"/>
        </w:numPr>
      </w:pPr>
      <w:r>
        <w:t>The purpose of this condition is to set out the requirements on the licensee in respect of the NARM Methodology. </w:t>
      </w:r>
    </w:p>
    <w:p w14:paraId="1BF830A5" w14:textId="77777777" w:rsidR="00D809A0" w:rsidRPr="004A18EE" w:rsidRDefault="00D809A0" w:rsidP="00D51F4A">
      <w:pPr>
        <w:pStyle w:val="NumberedNormal"/>
        <w:numPr>
          <w:ilvl w:val="2"/>
          <w:numId w:val="7"/>
        </w:numPr>
      </w:pPr>
      <w:r>
        <w:t>It also sets out the process for modifying the NARM Methodology.</w:t>
      </w:r>
    </w:p>
    <w:p w14:paraId="1B6EE0DE" w14:textId="77777777" w:rsidR="00D809A0" w:rsidRPr="004A18EE" w:rsidRDefault="00D809A0" w:rsidP="00D51F4A">
      <w:pPr>
        <w:pStyle w:val="Heading3"/>
        <w:numPr>
          <w:ilvl w:val="5"/>
          <w:numId w:val="7"/>
        </w:numPr>
      </w:pPr>
      <w:r>
        <w:t>Part A: Requirement to have a NARM Methodology</w:t>
      </w:r>
    </w:p>
    <w:p w14:paraId="07B55D99" w14:textId="543BEF03" w:rsidR="00D809A0" w:rsidRPr="004A18EE" w:rsidRDefault="00D809A0" w:rsidP="00D51F4A">
      <w:pPr>
        <w:pStyle w:val="NumberedNormal"/>
        <w:numPr>
          <w:ilvl w:val="2"/>
          <w:numId w:val="7"/>
        </w:numPr>
      </w:pPr>
      <w:r>
        <w:t xml:space="preserve">The licensee must have in place and act in accordance with a NARM Methodology that facilitates the achievement of the NARM Objectives. </w:t>
      </w:r>
    </w:p>
    <w:p w14:paraId="53D46BDB" w14:textId="77777777" w:rsidR="00D809A0" w:rsidRPr="004A18EE" w:rsidRDefault="00D809A0" w:rsidP="00D51F4A">
      <w:pPr>
        <w:pStyle w:val="Heading3"/>
        <w:numPr>
          <w:ilvl w:val="5"/>
          <w:numId w:val="7"/>
        </w:numPr>
      </w:pPr>
      <w:r>
        <w:t>Part B: The NARM Objectives</w:t>
      </w:r>
    </w:p>
    <w:p w14:paraId="173A9005" w14:textId="77777777" w:rsidR="00D809A0" w:rsidRPr="004A18EE" w:rsidRDefault="00D809A0" w:rsidP="00D51F4A">
      <w:pPr>
        <w:pStyle w:val="NumberedNormal"/>
        <w:numPr>
          <w:ilvl w:val="2"/>
          <w:numId w:val="7"/>
        </w:numPr>
      </w:pPr>
      <w:r>
        <w:t>The NARM Objectives are:</w:t>
      </w:r>
    </w:p>
    <w:p w14:paraId="3CB3D307" w14:textId="77777777" w:rsidR="00D809A0" w:rsidRPr="004A18EE" w:rsidRDefault="00D809A0" w:rsidP="00D51F4A">
      <w:pPr>
        <w:pStyle w:val="ListNormal"/>
        <w:numPr>
          <w:ilvl w:val="3"/>
          <w:numId w:val="7"/>
        </w:numPr>
      </w:pPr>
      <w:r>
        <w:t xml:space="preserve">to provide transparent and logical links between: </w:t>
      </w:r>
    </w:p>
    <w:p w14:paraId="59B38AC2" w14:textId="77777777" w:rsidR="00D809A0" w:rsidRPr="004A18EE" w:rsidRDefault="00D809A0" w:rsidP="00D51F4A">
      <w:pPr>
        <w:pStyle w:val="ListNormal"/>
        <w:numPr>
          <w:ilvl w:val="4"/>
          <w:numId w:val="5"/>
        </w:numPr>
      </w:pPr>
      <w:r w:rsidRPr="004A18EE">
        <w:t>the Asset Data that the licensee collects through inspections, maintenance, and other asset management activities;</w:t>
      </w:r>
    </w:p>
    <w:p w14:paraId="57DF1ECC" w14:textId="77777777" w:rsidR="00D809A0" w:rsidRPr="004A18EE" w:rsidRDefault="00D809A0" w:rsidP="00D51F4A">
      <w:pPr>
        <w:pStyle w:val="ListNormal"/>
        <w:numPr>
          <w:ilvl w:val="4"/>
          <w:numId w:val="5"/>
        </w:numPr>
      </w:pPr>
      <w:r w:rsidRPr="004A18EE">
        <w:t>the data that the licensee inputs into its Asset Management Systems;</w:t>
      </w:r>
    </w:p>
    <w:p w14:paraId="25AD6EA6" w14:textId="77777777" w:rsidR="00D809A0" w:rsidRPr="004A18EE" w:rsidRDefault="00D809A0" w:rsidP="00D51F4A">
      <w:pPr>
        <w:pStyle w:val="ListNormal"/>
        <w:numPr>
          <w:ilvl w:val="4"/>
          <w:numId w:val="5"/>
        </w:numPr>
      </w:pPr>
      <w:r w:rsidRPr="004A18EE">
        <w:t>the licensee's asset management decisions; and</w:t>
      </w:r>
    </w:p>
    <w:p w14:paraId="097A976C" w14:textId="77777777" w:rsidR="00D809A0" w:rsidRPr="004A18EE" w:rsidRDefault="00D809A0" w:rsidP="00D51F4A">
      <w:pPr>
        <w:pStyle w:val="ListNormal"/>
        <w:numPr>
          <w:ilvl w:val="4"/>
          <w:numId w:val="5"/>
        </w:numPr>
      </w:pPr>
      <w:r w:rsidRPr="004A18EE">
        <w:t xml:space="preserve">where relevant, the licensee's </w:t>
      </w:r>
      <w:r>
        <w:t>w</w:t>
      </w:r>
      <w:r w:rsidRPr="004A18EE">
        <w:t xml:space="preserve">hole </w:t>
      </w:r>
      <w:r>
        <w:t>s</w:t>
      </w:r>
      <w:r w:rsidRPr="004A18EE">
        <w:t xml:space="preserve">ystem investment decisions;  </w:t>
      </w:r>
    </w:p>
    <w:p w14:paraId="3F0FB7CB" w14:textId="77777777" w:rsidR="00D809A0" w:rsidRPr="004A18EE" w:rsidRDefault="00D809A0" w:rsidP="00D51F4A">
      <w:pPr>
        <w:pStyle w:val="ListNormal"/>
        <w:numPr>
          <w:ilvl w:val="3"/>
          <w:numId w:val="7"/>
        </w:numPr>
      </w:pPr>
      <w:r>
        <w:lastRenderedPageBreak/>
        <w:t>to enable the Authority to establish the licensee's Baseline Network Risk Outputs and to undertake an objective assessment of the licensee's Baseline Network Risk Output delivery;</w:t>
      </w:r>
    </w:p>
    <w:p w14:paraId="590AAB01" w14:textId="77777777" w:rsidR="00D809A0" w:rsidRPr="004A18EE" w:rsidRDefault="00D809A0" w:rsidP="00D51F4A">
      <w:pPr>
        <w:pStyle w:val="ListNormal"/>
        <w:numPr>
          <w:ilvl w:val="3"/>
          <w:numId w:val="7"/>
        </w:numPr>
      </w:pPr>
      <w:r>
        <w:t xml:space="preserve">to enable the robust estimation of Current, Forecast, Single-year, and Long-term Monetised Risk of asset failure for: </w:t>
      </w:r>
    </w:p>
    <w:p w14:paraId="094F316A" w14:textId="77777777" w:rsidR="00D809A0" w:rsidRPr="004A18EE" w:rsidRDefault="00D809A0" w:rsidP="00D51F4A">
      <w:pPr>
        <w:pStyle w:val="ListNormal"/>
        <w:numPr>
          <w:ilvl w:val="4"/>
          <w:numId w:val="5"/>
        </w:numPr>
      </w:pPr>
      <w:r w:rsidRPr="004A18EE">
        <w:t>each NARM Asset Category;</w:t>
      </w:r>
    </w:p>
    <w:p w14:paraId="3E276023" w14:textId="77777777" w:rsidR="00D809A0" w:rsidRPr="004A18EE" w:rsidRDefault="00D809A0" w:rsidP="00D51F4A">
      <w:pPr>
        <w:pStyle w:val="ListNormal"/>
        <w:numPr>
          <w:ilvl w:val="4"/>
          <w:numId w:val="5"/>
        </w:numPr>
      </w:pPr>
      <w:r w:rsidRPr="004A18EE">
        <w:t>individual NARM Assets within each NARM Asset Category; and</w:t>
      </w:r>
    </w:p>
    <w:p w14:paraId="079FF423" w14:textId="2017CCFD" w:rsidR="00D809A0" w:rsidRPr="004A18EE" w:rsidRDefault="00D809A0" w:rsidP="00D51F4A">
      <w:pPr>
        <w:pStyle w:val="ListNormal"/>
        <w:numPr>
          <w:ilvl w:val="4"/>
          <w:numId w:val="5"/>
        </w:numPr>
      </w:pPr>
      <w:r w:rsidRPr="004A18EE">
        <w:t xml:space="preserve">the licensee's </w:t>
      </w:r>
      <w:r w:rsidR="00306070">
        <w:t>Distribution Network</w:t>
      </w:r>
      <w:r w:rsidRPr="004A18EE">
        <w:t>;</w:t>
      </w:r>
    </w:p>
    <w:p w14:paraId="1E6598E4" w14:textId="77777777" w:rsidR="00D809A0" w:rsidRPr="004A18EE" w:rsidRDefault="00D809A0" w:rsidP="00D51F4A">
      <w:pPr>
        <w:pStyle w:val="ListNormal"/>
        <w:numPr>
          <w:ilvl w:val="3"/>
          <w:numId w:val="7"/>
        </w:numPr>
      </w:pPr>
      <w:r>
        <w:t xml:space="preserve">to enable the robust estimation of the Current and Long-term Monetised Risk Benefits delivered, or expected to be delivered, through interventions on specific assets and/or groups of assets; </w:t>
      </w:r>
    </w:p>
    <w:p w14:paraId="3AA722D1" w14:textId="77777777" w:rsidR="00D809A0" w:rsidRPr="004A18EE" w:rsidRDefault="00D809A0" w:rsidP="00D51F4A">
      <w:pPr>
        <w:pStyle w:val="ListNormal"/>
        <w:numPr>
          <w:ilvl w:val="3"/>
          <w:numId w:val="7"/>
        </w:numPr>
      </w:pPr>
      <w:r>
        <w:t xml:space="preserve">to explain and justify, through Cost-Benefit Analysis: </w:t>
      </w:r>
    </w:p>
    <w:p w14:paraId="38EF8A69" w14:textId="77777777" w:rsidR="00D809A0" w:rsidRPr="004A18EE" w:rsidRDefault="00D809A0" w:rsidP="00D51F4A">
      <w:pPr>
        <w:pStyle w:val="ListNormal"/>
        <w:numPr>
          <w:ilvl w:val="4"/>
          <w:numId w:val="5"/>
        </w:numPr>
      </w:pPr>
      <w:r w:rsidRPr="004A18EE">
        <w:t>the licensee's investment plans for managing and renewing its NARM Assets; and</w:t>
      </w:r>
    </w:p>
    <w:p w14:paraId="589DB9DB" w14:textId="77777777" w:rsidR="00D809A0" w:rsidRPr="004A18EE" w:rsidRDefault="00D809A0" w:rsidP="00D51F4A">
      <w:pPr>
        <w:pStyle w:val="ListNormal"/>
        <w:numPr>
          <w:ilvl w:val="4"/>
          <w:numId w:val="5"/>
        </w:numPr>
      </w:pPr>
      <w:r w:rsidRPr="004A18EE">
        <w:t xml:space="preserve">the licensee's outturn delivery of investment options; </w:t>
      </w:r>
    </w:p>
    <w:p w14:paraId="35EFECFD" w14:textId="77777777" w:rsidR="00D809A0" w:rsidRPr="004A18EE" w:rsidRDefault="00D809A0" w:rsidP="00D51F4A">
      <w:pPr>
        <w:pStyle w:val="ListNormal"/>
        <w:numPr>
          <w:ilvl w:val="3"/>
          <w:numId w:val="7"/>
        </w:numPr>
      </w:pPr>
      <w:r>
        <w:t>to enable the identification and quantification of drivers leading to changes in Monetised Risk over time;</w:t>
      </w:r>
    </w:p>
    <w:p w14:paraId="50636500" w14:textId="77777777" w:rsidR="00D809A0" w:rsidRPr="004A18EE" w:rsidRDefault="00D809A0" w:rsidP="00D51F4A">
      <w:pPr>
        <w:pStyle w:val="ListNormal"/>
        <w:numPr>
          <w:ilvl w:val="3"/>
          <w:numId w:val="7"/>
        </w:numPr>
      </w:pPr>
      <w:bookmarkStart w:id="186" w:name="_Hlk52280256"/>
      <w:r>
        <w:t>to enable the comparative analysis of Monetised Risk between:</w:t>
      </w:r>
    </w:p>
    <w:bookmarkEnd w:id="186"/>
    <w:p w14:paraId="10268898" w14:textId="4C1FCE5E" w:rsidR="00D809A0" w:rsidRPr="004A18EE" w:rsidRDefault="00D809A0" w:rsidP="00D51F4A">
      <w:pPr>
        <w:pStyle w:val="ListNormal"/>
        <w:numPr>
          <w:ilvl w:val="4"/>
          <w:numId w:val="5"/>
        </w:numPr>
      </w:pPr>
      <w:r w:rsidRPr="004A18EE">
        <w:t xml:space="preserve">different NARM Asset Categories and between individual NARM Assets on the licensee's </w:t>
      </w:r>
      <w:r w:rsidR="00306070">
        <w:t>Distribution Network</w:t>
      </w:r>
      <w:r w:rsidRPr="004A18EE">
        <w:t>;</w:t>
      </w:r>
    </w:p>
    <w:p w14:paraId="3152EFA9" w14:textId="7B3CB86C" w:rsidR="00D809A0" w:rsidRPr="004A18EE" w:rsidRDefault="00D809A0" w:rsidP="00D51F4A">
      <w:pPr>
        <w:pStyle w:val="ListNormal"/>
        <w:numPr>
          <w:ilvl w:val="4"/>
          <w:numId w:val="5"/>
        </w:numPr>
      </w:pPr>
      <w:r w:rsidRPr="004A18EE">
        <w:t xml:space="preserve">geographic areas of, and NARM Assets within, the licensee’s </w:t>
      </w:r>
      <w:r w:rsidR="00306070">
        <w:t>Distribution Network</w:t>
      </w:r>
      <w:r w:rsidRPr="004A18EE">
        <w:t>;</w:t>
      </w:r>
    </w:p>
    <w:p w14:paraId="55C0E1F6" w14:textId="637C03FD" w:rsidR="00D809A0" w:rsidRPr="004A18EE" w:rsidRDefault="00D809A0" w:rsidP="00D51F4A">
      <w:pPr>
        <w:pStyle w:val="ListNormal"/>
        <w:numPr>
          <w:ilvl w:val="4"/>
          <w:numId w:val="5"/>
        </w:numPr>
      </w:pPr>
      <w:r w:rsidRPr="004A18EE">
        <w:t xml:space="preserve">the licensee’s </w:t>
      </w:r>
      <w:r w:rsidR="00306070">
        <w:t>Distribution Network</w:t>
      </w:r>
      <w:r w:rsidRPr="004A18EE">
        <w:t xml:space="preserve"> and other networks within the same sector;</w:t>
      </w:r>
    </w:p>
    <w:p w14:paraId="63A983B7" w14:textId="27B1EB63" w:rsidR="00D809A0" w:rsidRPr="004A18EE" w:rsidRDefault="00D809A0" w:rsidP="00D51F4A">
      <w:pPr>
        <w:pStyle w:val="ListNormal"/>
        <w:numPr>
          <w:ilvl w:val="4"/>
          <w:numId w:val="5"/>
        </w:numPr>
      </w:pPr>
      <w:r w:rsidRPr="004A18EE">
        <w:t xml:space="preserve">the licensee's </w:t>
      </w:r>
      <w:r w:rsidR="00306070">
        <w:t>Distribution Network</w:t>
      </w:r>
      <w:r w:rsidRPr="004A18EE">
        <w:t xml:space="preserve"> and networks outside Great Britain with similar assets should similar approaches as set out in the NARM Methodology be applied to estimate Monetised Risk for those networks; and </w:t>
      </w:r>
    </w:p>
    <w:p w14:paraId="792EEC27" w14:textId="68A1BE8B" w:rsidR="00D809A0" w:rsidRPr="004A18EE" w:rsidRDefault="00D809A0" w:rsidP="00D51F4A">
      <w:pPr>
        <w:pStyle w:val="ListNormal"/>
        <w:numPr>
          <w:ilvl w:val="4"/>
          <w:numId w:val="5"/>
        </w:numPr>
      </w:pPr>
      <w:bookmarkStart w:id="187" w:name="_Hlk52280287"/>
      <w:r w:rsidRPr="004A18EE">
        <w:t xml:space="preserve">the </w:t>
      </w:r>
      <w:r w:rsidR="0064168F">
        <w:t>NTS</w:t>
      </w:r>
      <w:r w:rsidRPr="004A18EE">
        <w:t xml:space="preserve"> and Distribution </w:t>
      </w:r>
      <w:r w:rsidR="000A18FD">
        <w:t>Networks</w:t>
      </w:r>
      <w:r w:rsidR="000A18FD" w:rsidRPr="004A18EE">
        <w:t xml:space="preserve"> </w:t>
      </w:r>
      <w:r w:rsidRPr="004A18EE">
        <w:t>within Great Britain; and</w:t>
      </w:r>
    </w:p>
    <w:bookmarkEnd w:id="187"/>
    <w:p w14:paraId="18268ADB" w14:textId="6F9FECB5" w:rsidR="00D809A0" w:rsidRPr="004A18EE" w:rsidRDefault="00D809A0" w:rsidP="00D51F4A">
      <w:pPr>
        <w:pStyle w:val="ListNormal"/>
        <w:numPr>
          <w:ilvl w:val="3"/>
          <w:numId w:val="7"/>
        </w:numPr>
      </w:pPr>
      <w:r>
        <w:t xml:space="preserve">to enable the communication to the Authority and other interested parties of relevant information about the licensee’s </w:t>
      </w:r>
      <w:r w:rsidR="00306070">
        <w:t>Distribution Network</w:t>
      </w:r>
      <w:r>
        <w:t xml:space="preserve"> in an accessible and transparent manner. </w:t>
      </w:r>
    </w:p>
    <w:p w14:paraId="19A9C29C" w14:textId="77777777" w:rsidR="00D809A0" w:rsidRPr="004A18EE" w:rsidRDefault="00D809A0" w:rsidP="00D51F4A">
      <w:pPr>
        <w:pStyle w:val="Heading3"/>
        <w:numPr>
          <w:ilvl w:val="5"/>
          <w:numId w:val="7"/>
        </w:numPr>
      </w:pPr>
      <w:r>
        <w:t xml:space="preserve">Part C: Modification of the NARM Methodology </w:t>
      </w:r>
    </w:p>
    <w:p w14:paraId="209BA65A" w14:textId="77777777" w:rsidR="00D809A0" w:rsidRPr="004A18EE" w:rsidRDefault="00D809A0" w:rsidP="00D51F4A">
      <w:pPr>
        <w:pStyle w:val="NumberedNormal"/>
        <w:numPr>
          <w:ilvl w:val="2"/>
          <w:numId w:val="7"/>
        </w:numPr>
      </w:pPr>
      <w:r>
        <w:t>The licensee must, at least once every year, review the NARM Methodology to identify scope for modifications that would better facilitate the achievement of the NARM Objectives.</w:t>
      </w:r>
    </w:p>
    <w:p w14:paraId="0E498FB5" w14:textId="09FC84FF" w:rsidR="00D809A0" w:rsidRPr="004A18EE" w:rsidRDefault="00D809A0" w:rsidP="00D51F4A">
      <w:pPr>
        <w:pStyle w:val="NumberedNormal"/>
        <w:numPr>
          <w:ilvl w:val="2"/>
          <w:numId w:val="7"/>
        </w:numPr>
      </w:pPr>
      <w:r>
        <w:t xml:space="preserve">Where the licensee has identified scope for modifications that </w:t>
      </w:r>
      <w:r w:rsidR="000B07EF">
        <w:t xml:space="preserve">would </w:t>
      </w:r>
      <w:r>
        <w:t xml:space="preserve">better facilitate the achievement of the NARM Objectives, it must notify the Authority of the timeframes within which it will propose the relevant modifications to the NARM Methodology. </w:t>
      </w:r>
    </w:p>
    <w:p w14:paraId="371AD165" w14:textId="77777777" w:rsidR="00D809A0" w:rsidRPr="004A18EE" w:rsidRDefault="00D809A0" w:rsidP="00D51F4A">
      <w:pPr>
        <w:pStyle w:val="NumberedNormal"/>
        <w:numPr>
          <w:ilvl w:val="2"/>
          <w:numId w:val="7"/>
        </w:numPr>
      </w:pPr>
      <w:r>
        <w:lastRenderedPageBreak/>
        <w:t xml:space="preserve">Where the licensee proposes a modification to the NARM Methodology, it must:  </w:t>
      </w:r>
    </w:p>
    <w:p w14:paraId="1ADFE3D7" w14:textId="3343B32B" w:rsidR="00D809A0" w:rsidRPr="004A18EE" w:rsidRDefault="00D809A0" w:rsidP="00D51F4A">
      <w:pPr>
        <w:pStyle w:val="ListNormal"/>
        <w:numPr>
          <w:ilvl w:val="3"/>
          <w:numId w:val="7"/>
        </w:numPr>
      </w:pPr>
      <w:r>
        <w:t>consult with other licensees to which a condition of equivalent effect to this condition applies and with any other interested parties, allowing them a period of at least 28 days within which to make any representations on the proposed modification; and</w:t>
      </w:r>
    </w:p>
    <w:p w14:paraId="1A3461E9" w14:textId="77777777" w:rsidR="00D809A0" w:rsidRPr="004A18EE" w:rsidRDefault="00D809A0" w:rsidP="00D51F4A">
      <w:pPr>
        <w:pStyle w:val="ListNormal"/>
        <w:numPr>
          <w:ilvl w:val="3"/>
          <w:numId w:val="7"/>
        </w:numPr>
      </w:pPr>
      <w:r>
        <w:t xml:space="preserve">submit to the Authority a report containing: </w:t>
      </w:r>
    </w:p>
    <w:p w14:paraId="669CE0F6" w14:textId="77777777" w:rsidR="00D809A0" w:rsidRPr="004A18EE" w:rsidRDefault="00D809A0" w:rsidP="00D51F4A">
      <w:pPr>
        <w:pStyle w:val="ListNormal"/>
        <w:numPr>
          <w:ilvl w:val="4"/>
          <w:numId w:val="5"/>
        </w:numPr>
      </w:pPr>
      <w:r w:rsidRPr="004A18EE">
        <w:t>a statement explaining the proposed modification to the NARM Methodology;</w:t>
      </w:r>
      <w:r>
        <w:t xml:space="preserve"> and</w:t>
      </w:r>
    </w:p>
    <w:p w14:paraId="2B6F3BD9" w14:textId="77777777" w:rsidR="00D809A0" w:rsidRPr="004A18EE" w:rsidRDefault="00D809A0" w:rsidP="00D51F4A">
      <w:pPr>
        <w:pStyle w:val="ListNormal"/>
        <w:numPr>
          <w:ilvl w:val="4"/>
          <w:numId w:val="5"/>
        </w:numPr>
      </w:pPr>
      <w:r w:rsidRPr="004A18EE">
        <w:t xml:space="preserve">an explanation of how, in the licensee’s opinion, the proposed modification, if made, would better facilitate the achievement of the NARM Objectives;  </w:t>
      </w:r>
    </w:p>
    <w:p w14:paraId="6557BEAF" w14:textId="77777777" w:rsidR="00D809A0" w:rsidRPr="004A18EE" w:rsidRDefault="00D809A0" w:rsidP="00D51F4A">
      <w:pPr>
        <w:pStyle w:val="ListNormal"/>
        <w:numPr>
          <w:ilvl w:val="3"/>
          <w:numId w:val="7"/>
        </w:numPr>
      </w:pPr>
      <w:r>
        <w:t>a draft NARM Methodology that incorporates the proposed modification;</w:t>
      </w:r>
    </w:p>
    <w:p w14:paraId="723B2B05" w14:textId="77777777" w:rsidR="00D809A0" w:rsidRPr="004A18EE" w:rsidRDefault="00D809A0" w:rsidP="00D51F4A">
      <w:pPr>
        <w:pStyle w:val="ListNormal"/>
        <w:numPr>
          <w:ilvl w:val="3"/>
          <w:numId w:val="7"/>
        </w:numPr>
      </w:pPr>
      <w:r>
        <w:t>any relevant subsidiary or supporting documents, data files, or quantitative models;</w:t>
      </w:r>
    </w:p>
    <w:p w14:paraId="62EE4AC9" w14:textId="5796B240" w:rsidR="00D809A0" w:rsidRPr="004A18EE" w:rsidRDefault="00D809A0" w:rsidP="00D51F4A">
      <w:pPr>
        <w:pStyle w:val="ListNormal"/>
        <w:numPr>
          <w:ilvl w:val="3"/>
          <w:numId w:val="7"/>
        </w:numPr>
      </w:pPr>
      <w:r>
        <w:t xml:space="preserve">a full and fair summary of any representations that were made to the licensee pursuant to paragraph </w:t>
      </w:r>
      <w:r w:rsidR="000B07EF">
        <w:t>9.2.7</w:t>
      </w:r>
      <w:r>
        <w:t>(a) and not withdrawn;</w:t>
      </w:r>
    </w:p>
    <w:p w14:paraId="6AB7F77B" w14:textId="77777777" w:rsidR="00D809A0" w:rsidRPr="004A18EE" w:rsidRDefault="00D809A0" w:rsidP="00D51F4A">
      <w:pPr>
        <w:pStyle w:val="ListNormal"/>
        <w:numPr>
          <w:ilvl w:val="3"/>
          <w:numId w:val="7"/>
        </w:numPr>
      </w:pPr>
      <w:r>
        <w:t xml:space="preserve">an explanation of any changes to the modification proposal that the licensee has made as a consequence of the representations received; </w:t>
      </w:r>
    </w:p>
    <w:p w14:paraId="2E9E0A31" w14:textId="77777777" w:rsidR="00D809A0" w:rsidRPr="004A18EE" w:rsidRDefault="00D809A0" w:rsidP="00D51F4A">
      <w:pPr>
        <w:pStyle w:val="ListNormal"/>
        <w:numPr>
          <w:ilvl w:val="3"/>
          <w:numId w:val="7"/>
        </w:numPr>
      </w:pPr>
      <w:r>
        <w:t>a presentation of the data and any other relevant information (including historical data, which should be provided, where reasonably practicable and relevant, for a period of at least ten years prior to the date of the modification proposal) the licensee has used for the purpose of developing the proposed modification;</w:t>
      </w:r>
    </w:p>
    <w:p w14:paraId="7FF9D1D7" w14:textId="77777777" w:rsidR="00D809A0" w:rsidRPr="004A18EE" w:rsidRDefault="00D809A0" w:rsidP="00D51F4A">
      <w:pPr>
        <w:pStyle w:val="ListNormal"/>
        <w:numPr>
          <w:ilvl w:val="3"/>
          <w:numId w:val="7"/>
        </w:numPr>
      </w:pPr>
      <w:r>
        <w:t>a plan setting out how the licensee intends to Rebase its Baseline Network Risk Outputs, if Rebasing is a necessary consequence of implementing the proposed modification; and</w:t>
      </w:r>
    </w:p>
    <w:p w14:paraId="2DF40F5B" w14:textId="77777777" w:rsidR="00D809A0" w:rsidRPr="004A18EE" w:rsidRDefault="00D809A0" w:rsidP="00D51F4A">
      <w:pPr>
        <w:pStyle w:val="ListNormal"/>
        <w:numPr>
          <w:ilvl w:val="3"/>
          <w:numId w:val="7"/>
        </w:numPr>
      </w:pPr>
      <w:r>
        <w:t>a timetable for the implementation of the proposed modification, including a date for submission of Rebased Baseline Network Risk Outputs, if necessary.</w:t>
      </w:r>
    </w:p>
    <w:p w14:paraId="06FDDF6B" w14:textId="256B8E5F" w:rsidR="00D809A0" w:rsidRPr="004A18EE" w:rsidRDefault="00D809A0" w:rsidP="00D51F4A">
      <w:pPr>
        <w:pStyle w:val="NumberedNormal"/>
        <w:numPr>
          <w:ilvl w:val="2"/>
          <w:numId w:val="7"/>
        </w:numPr>
      </w:pPr>
      <w:r>
        <w:t>The Authority will by direction:</w:t>
      </w:r>
    </w:p>
    <w:p w14:paraId="5470B8AD" w14:textId="25A9818B" w:rsidR="00D809A0" w:rsidRPr="004A18EE" w:rsidRDefault="00D809A0" w:rsidP="00D51F4A">
      <w:pPr>
        <w:pStyle w:val="ListNormal"/>
        <w:numPr>
          <w:ilvl w:val="3"/>
          <w:numId w:val="7"/>
        </w:numPr>
      </w:pPr>
      <w:r>
        <w:t xml:space="preserve">approve the proposed modification; </w:t>
      </w:r>
    </w:p>
    <w:p w14:paraId="0369B685" w14:textId="72DB7D3F" w:rsidR="00D809A0" w:rsidRPr="004A18EE" w:rsidRDefault="00D809A0" w:rsidP="00D51F4A">
      <w:pPr>
        <w:pStyle w:val="ListNormal"/>
        <w:numPr>
          <w:ilvl w:val="3"/>
          <w:numId w:val="7"/>
        </w:numPr>
      </w:pPr>
      <w:r>
        <w:t>approve the proposed modification with amendments; or</w:t>
      </w:r>
    </w:p>
    <w:p w14:paraId="098BAE7D" w14:textId="0D2EFDE8" w:rsidR="00D809A0" w:rsidRPr="004A18EE" w:rsidRDefault="00D809A0" w:rsidP="00D51F4A">
      <w:pPr>
        <w:pStyle w:val="ListNormal"/>
        <w:numPr>
          <w:ilvl w:val="3"/>
          <w:numId w:val="7"/>
        </w:numPr>
      </w:pPr>
      <w:r>
        <w:t>reject the proposed modification.</w:t>
      </w:r>
    </w:p>
    <w:p w14:paraId="4EB19E4B" w14:textId="01F39E24" w:rsidR="00D809A0" w:rsidRPr="004A18EE" w:rsidRDefault="00D809A0" w:rsidP="00D51F4A">
      <w:pPr>
        <w:pStyle w:val="NumberedNormal"/>
        <w:numPr>
          <w:ilvl w:val="2"/>
          <w:numId w:val="7"/>
        </w:numPr>
      </w:pPr>
      <w:r>
        <w:t xml:space="preserve">In the case of paragraph 9.2.8(a) or (b) the Authority may also direct the date by which the licensee must submit Rebased Baseline Network Risk Outputs in accordance with [SpC Baseline Network Risk Output].   </w:t>
      </w:r>
    </w:p>
    <w:p w14:paraId="0F127585" w14:textId="7A06818C" w:rsidR="00D809A0" w:rsidRPr="004A18EE" w:rsidRDefault="00D809A0" w:rsidP="00D51F4A">
      <w:pPr>
        <w:pStyle w:val="NumberedNormal"/>
        <w:numPr>
          <w:ilvl w:val="2"/>
          <w:numId w:val="7"/>
        </w:numPr>
      </w:pPr>
      <w:r>
        <w:t xml:space="preserve">The licensee must implement the modification directed under paragraph 9.2.8(a) or (b) by such date as may be set out in that direction.  </w:t>
      </w:r>
    </w:p>
    <w:p w14:paraId="523333BA" w14:textId="4FBE277F" w:rsidR="00D809A0" w:rsidRPr="004A18EE" w:rsidRDefault="00D809A0" w:rsidP="00D51F4A">
      <w:pPr>
        <w:pStyle w:val="NumberedNormal"/>
        <w:numPr>
          <w:ilvl w:val="2"/>
          <w:numId w:val="7"/>
        </w:numPr>
      </w:pPr>
      <w:r>
        <w:t xml:space="preserve">Before issuing a direction under paragraph 9.2.8, the Authority will publish on </w:t>
      </w:r>
      <w:r w:rsidR="00F21777">
        <w:t>the Authority’s Website</w:t>
      </w:r>
      <w:r>
        <w:t>:</w:t>
      </w:r>
    </w:p>
    <w:p w14:paraId="11543A32" w14:textId="77777777" w:rsidR="00D809A0" w:rsidRPr="004A18EE" w:rsidRDefault="00D809A0" w:rsidP="00D51F4A">
      <w:pPr>
        <w:pStyle w:val="ListNormal"/>
        <w:numPr>
          <w:ilvl w:val="3"/>
          <w:numId w:val="7"/>
        </w:numPr>
      </w:pPr>
      <w:r>
        <w:lastRenderedPageBreak/>
        <w:t>the text of the proposed direction;</w:t>
      </w:r>
    </w:p>
    <w:p w14:paraId="6749388C" w14:textId="77777777" w:rsidR="00D809A0" w:rsidRPr="004A18EE" w:rsidRDefault="00D809A0" w:rsidP="00D51F4A">
      <w:pPr>
        <w:pStyle w:val="ListNormal"/>
        <w:numPr>
          <w:ilvl w:val="3"/>
          <w:numId w:val="7"/>
        </w:numPr>
      </w:pPr>
      <w:r>
        <w:t>the reasons why is proposes to issue the direction; and</w:t>
      </w:r>
    </w:p>
    <w:p w14:paraId="7F0B4F63" w14:textId="63F774C4" w:rsidR="00D809A0" w:rsidRPr="004A18EE" w:rsidRDefault="00D809A0" w:rsidP="00D51F4A">
      <w:pPr>
        <w:pStyle w:val="ListNormal"/>
        <w:numPr>
          <w:ilvl w:val="3"/>
          <w:numId w:val="7"/>
        </w:numPr>
      </w:pPr>
      <w:r>
        <w:t>a period during which representations may be made on the proposed direction, which will not be less than 28 days.</w:t>
      </w:r>
    </w:p>
    <w:p w14:paraId="6FF184D2" w14:textId="77777777" w:rsidR="00D809A0" w:rsidRPr="003C5BB2" w:rsidRDefault="00D809A0" w:rsidP="00D809A0">
      <w:pPr>
        <w:pStyle w:val="NumberedNormal"/>
        <w:numPr>
          <w:ilvl w:val="0"/>
          <w:numId w:val="0"/>
        </w:numPr>
        <w:ind w:left="879"/>
      </w:pPr>
    </w:p>
    <w:p w14:paraId="1F814FDF" w14:textId="78C90991" w:rsidR="00D809A0" w:rsidRDefault="00D809A0" w:rsidP="00D51F4A">
      <w:pPr>
        <w:pStyle w:val="Heading2"/>
        <w:numPr>
          <w:ilvl w:val="1"/>
          <w:numId w:val="7"/>
        </w:numPr>
      </w:pPr>
      <w:bookmarkStart w:id="188" w:name="_Toc51783702"/>
      <w:bookmarkStart w:id="189" w:name="_Toc52364597"/>
      <w:r>
        <w:t xml:space="preserve">Price Control Deliverable Reporting Requirements and Methodology </w:t>
      </w:r>
      <w:bookmarkEnd w:id="188"/>
      <w:r w:rsidR="00F40677">
        <w:t>Document</w:t>
      </w:r>
      <w:bookmarkEnd w:id="189"/>
    </w:p>
    <w:p w14:paraId="3EE1E0EC" w14:textId="77777777" w:rsidR="00D809A0" w:rsidRPr="002E4290" w:rsidRDefault="00D809A0" w:rsidP="00D809A0">
      <w:pPr>
        <w:pStyle w:val="Heading3nonumbering"/>
      </w:pPr>
      <w:r w:rsidRPr="002E4290">
        <w:t xml:space="preserve">Introduction </w:t>
      </w:r>
    </w:p>
    <w:p w14:paraId="56C152CB" w14:textId="77777777" w:rsidR="000B07EF" w:rsidRPr="005D22B7" w:rsidRDefault="000B07EF" w:rsidP="000B07EF">
      <w:pPr>
        <w:pStyle w:val="NumberedNormal"/>
      </w:pPr>
      <w:r w:rsidRPr="005D22B7">
        <w:t>Th</w:t>
      </w:r>
      <w:r>
        <w:t xml:space="preserve">e purpose of this </w:t>
      </w:r>
      <w:r w:rsidRPr="005D22B7">
        <w:t xml:space="preserve"> condition</w:t>
      </w:r>
      <w:r>
        <w:t xml:space="preserve"> is to</w:t>
      </w:r>
      <w:r w:rsidRPr="005D22B7">
        <w:t xml:space="preserve"> require the licensee to report to the Authority on the delivery of its </w:t>
      </w:r>
      <w:r>
        <w:t>Evaluative PCDs</w:t>
      </w:r>
      <w:r w:rsidRPr="005D22B7">
        <w:t xml:space="preserve"> in each Regulatory Year.</w:t>
      </w:r>
    </w:p>
    <w:p w14:paraId="51920C24" w14:textId="77777777" w:rsidR="000B07EF" w:rsidRDefault="000B07EF" w:rsidP="000B07EF">
      <w:pPr>
        <w:pStyle w:val="NumberedNormal"/>
      </w:pPr>
      <w:r w:rsidRPr="005D22B7">
        <w:t>This condition also provides for</w:t>
      </w:r>
      <w:r>
        <w:t>:</w:t>
      </w:r>
    </w:p>
    <w:p w14:paraId="78B9F8F8" w14:textId="4AD487B1" w:rsidR="000B07EF" w:rsidRPr="005D22B7" w:rsidRDefault="000B07EF" w:rsidP="00AA0D0C">
      <w:pPr>
        <w:pStyle w:val="ListNormal"/>
      </w:pPr>
      <w:r w:rsidRPr="005D22B7">
        <w:t>the issuing and amending of the PCD Reporting Requirements and Methodology Document, which</w:t>
      </w:r>
      <w:r>
        <w:t xml:space="preserve"> </w:t>
      </w:r>
      <w:r w:rsidRPr="005D22B7">
        <w:t>the licensee needs to comply with when preparing its annual Price Control Deliverable reports; and</w:t>
      </w:r>
    </w:p>
    <w:p w14:paraId="11914CCA" w14:textId="566680DE" w:rsidR="000B07EF" w:rsidRPr="005D22B7" w:rsidRDefault="000B07EF" w:rsidP="000B07EF">
      <w:pPr>
        <w:pStyle w:val="ListNormal"/>
      </w:pPr>
      <w:r>
        <w:t xml:space="preserve">this condition </w:t>
      </w:r>
      <w:r w:rsidRPr="005D22B7">
        <w:t>sets out how the Authority will assess the delivery of Price Control Deliverables.</w:t>
      </w:r>
    </w:p>
    <w:p w14:paraId="3AC8F258" w14:textId="77777777" w:rsidR="00D809A0" w:rsidRPr="002E4290" w:rsidRDefault="00D809A0" w:rsidP="00D51F4A">
      <w:pPr>
        <w:pStyle w:val="Heading3"/>
        <w:numPr>
          <w:ilvl w:val="5"/>
          <w:numId w:val="7"/>
        </w:numPr>
      </w:pPr>
      <w:r>
        <w:t>Reporting requirement</w:t>
      </w:r>
    </w:p>
    <w:p w14:paraId="4A05FD79" w14:textId="77777777" w:rsidR="00D809A0" w:rsidRPr="002E4290" w:rsidRDefault="00D809A0" w:rsidP="00D51F4A">
      <w:pPr>
        <w:pStyle w:val="NumberedNormal"/>
        <w:numPr>
          <w:ilvl w:val="2"/>
          <w:numId w:val="7"/>
        </w:numPr>
      </w:pPr>
      <w:r>
        <w:t>The licensee must by 31 July of each Regulatory Year, or such other later date directed by the Authority, send to the Authority a report on each Evaluative PCD output for which the delivery date specified in the relevant licence condition was in the previous Regulatory Year.</w:t>
      </w:r>
    </w:p>
    <w:p w14:paraId="62D9ED30" w14:textId="77777777" w:rsidR="00D809A0" w:rsidRPr="002E4290" w:rsidRDefault="00D809A0" w:rsidP="00D51F4A">
      <w:pPr>
        <w:pStyle w:val="Heading3"/>
        <w:numPr>
          <w:ilvl w:val="5"/>
          <w:numId w:val="7"/>
        </w:numPr>
      </w:pPr>
      <w:r>
        <w:t>PCD Reporting Requirements and Methodology Document</w:t>
      </w:r>
    </w:p>
    <w:p w14:paraId="5D6D294C" w14:textId="77777777" w:rsidR="00D809A0" w:rsidRPr="002E4290" w:rsidRDefault="00D809A0" w:rsidP="00D51F4A">
      <w:pPr>
        <w:pStyle w:val="NumberedNormal"/>
        <w:numPr>
          <w:ilvl w:val="2"/>
          <w:numId w:val="7"/>
        </w:numPr>
      </w:pPr>
      <w:r>
        <w:t>The licensee must comply with the PCD Reporting Requirements and Methodology Document when preparing a report required by paragraph XX.3.</w:t>
      </w:r>
    </w:p>
    <w:p w14:paraId="3FD620CD" w14:textId="77777777" w:rsidR="00D809A0" w:rsidRPr="002E4290" w:rsidRDefault="00D809A0" w:rsidP="00D51F4A">
      <w:pPr>
        <w:pStyle w:val="NumberedNormal"/>
        <w:numPr>
          <w:ilvl w:val="2"/>
          <w:numId w:val="7"/>
        </w:numPr>
      </w:pPr>
      <w:r>
        <w:t xml:space="preserve">The Authority will issue and amend PCD Reporting Requirements and Methodology Document by direction. </w:t>
      </w:r>
    </w:p>
    <w:p w14:paraId="14B52A4C" w14:textId="77777777" w:rsidR="00D809A0" w:rsidRPr="002E4290" w:rsidRDefault="00D809A0" w:rsidP="00D51F4A">
      <w:pPr>
        <w:pStyle w:val="NumberedNormal"/>
        <w:numPr>
          <w:ilvl w:val="2"/>
          <w:numId w:val="7"/>
        </w:numPr>
      </w:pPr>
      <w:r>
        <w:t>The Authority will publish PCD Reporting Requirements and Methodology Document on the Authority's Website.</w:t>
      </w:r>
    </w:p>
    <w:p w14:paraId="05246693" w14:textId="77777777" w:rsidR="00D809A0" w:rsidRPr="002E4290" w:rsidRDefault="00D809A0" w:rsidP="00D51F4A">
      <w:pPr>
        <w:pStyle w:val="NumberedNormal"/>
        <w:numPr>
          <w:ilvl w:val="2"/>
          <w:numId w:val="7"/>
        </w:numPr>
      </w:pPr>
      <w:r>
        <w:t>The PCD Reporting Requirements and Methodology Document will set out:</w:t>
      </w:r>
    </w:p>
    <w:p w14:paraId="607FDB62" w14:textId="77777777" w:rsidR="00D809A0" w:rsidRPr="002E4290" w:rsidRDefault="00D809A0" w:rsidP="00D51F4A">
      <w:pPr>
        <w:pStyle w:val="ListNormal"/>
        <w:numPr>
          <w:ilvl w:val="3"/>
          <w:numId w:val="7"/>
        </w:numPr>
      </w:pPr>
      <w:r>
        <w:t>how the licensee must prepare the reports required by paragraph XX.3;</w:t>
      </w:r>
    </w:p>
    <w:p w14:paraId="24103178" w14:textId="77777777" w:rsidR="00D809A0" w:rsidRDefault="00D809A0" w:rsidP="00D51F4A">
      <w:pPr>
        <w:pStyle w:val="ListNormal"/>
        <w:numPr>
          <w:ilvl w:val="3"/>
          <w:numId w:val="7"/>
        </w:numPr>
      </w:pPr>
      <w:r>
        <w:t>the methodology the Authority will use when deciding:</w:t>
      </w:r>
    </w:p>
    <w:p w14:paraId="1C468D88" w14:textId="73B75DC1" w:rsidR="00D809A0" w:rsidRDefault="00D809A0" w:rsidP="00AF4CAD">
      <w:pPr>
        <w:pStyle w:val="ListNormal"/>
        <w:numPr>
          <w:ilvl w:val="4"/>
          <w:numId w:val="7"/>
        </w:numPr>
      </w:pPr>
      <w:r w:rsidRPr="002E4290">
        <w:t>whether to direct a value to reduce allowances for Price Control Deliverables that have not been Fully Delivered</w:t>
      </w:r>
      <w:r>
        <w:t>;</w:t>
      </w:r>
      <w:r w:rsidRPr="002E4290">
        <w:t xml:space="preserve"> and </w:t>
      </w:r>
    </w:p>
    <w:p w14:paraId="59B05214" w14:textId="3D379CB0" w:rsidR="00D809A0" w:rsidRPr="002E4290" w:rsidRDefault="00D809A0" w:rsidP="00AF4CAD">
      <w:pPr>
        <w:pStyle w:val="ListNormal"/>
        <w:numPr>
          <w:ilvl w:val="4"/>
          <w:numId w:val="7"/>
        </w:numPr>
      </w:pPr>
      <w:r>
        <w:t>the value to direct.</w:t>
      </w:r>
    </w:p>
    <w:p w14:paraId="5C49A188" w14:textId="77777777" w:rsidR="00D809A0" w:rsidRPr="002E4290" w:rsidRDefault="00D809A0" w:rsidP="00D51F4A">
      <w:pPr>
        <w:pStyle w:val="NumberedNormal"/>
        <w:numPr>
          <w:ilvl w:val="2"/>
          <w:numId w:val="7"/>
        </w:numPr>
      </w:pPr>
      <w:r>
        <w:lastRenderedPageBreak/>
        <w:t>Before issuing the PCD Reporting Requirements and Methodology Document by direction, the Authority will publish on the Authority's Website:</w:t>
      </w:r>
    </w:p>
    <w:p w14:paraId="0FC6B733" w14:textId="77777777" w:rsidR="00D809A0" w:rsidRPr="002E4290" w:rsidRDefault="00D809A0" w:rsidP="00D51F4A">
      <w:pPr>
        <w:pStyle w:val="ListNormal"/>
        <w:numPr>
          <w:ilvl w:val="3"/>
          <w:numId w:val="7"/>
        </w:numPr>
      </w:pPr>
      <w:r>
        <w:t>the text of the proposed PCD Reporting Requirements and Methodology Document ;</w:t>
      </w:r>
    </w:p>
    <w:p w14:paraId="556EDC5E" w14:textId="77777777" w:rsidR="00D809A0" w:rsidRPr="002E4290" w:rsidRDefault="00D809A0" w:rsidP="00D51F4A">
      <w:pPr>
        <w:pStyle w:val="ListNormal"/>
        <w:numPr>
          <w:ilvl w:val="3"/>
          <w:numId w:val="7"/>
        </w:numPr>
      </w:pPr>
      <w:r>
        <w:t>the date on which the Authority intends the PCD Reporting Requirements and Methodology Document to come into effect; and</w:t>
      </w:r>
    </w:p>
    <w:p w14:paraId="1908EEDF" w14:textId="7A27CD2F" w:rsidR="00D809A0" w:rsidRPr="002E4290" w:rsidRDefault="00D809A0" w:rsidP="00D51F4A">
      <w:pPr>
        <w:pStyle w:val="ListNormal"/>
        <w:numPr>
          <w:ilvl w:val="3"/>
          <w:numId w:val="7"/>
        </w:numPr>
      </w:pPr>
      <w:r>
        <w:t xml:space="preserve">a period during which representations may be made on the content of the PCD Reporting Requirements and Methodology Document, which will not be less than 28 days. </w:t>
      </w:r>
    </w:p>
    <w:p w14:paraId="06C0A9FF" w14:textId="77777777" w:rsidR="00D809A0" w:rsidRPr="002E4290" w:rsidRDefault="00D809A0" w:rsidP="00D51F4A">
      <w:pPr>
        <w:pStyle w:val="NumberedNormal"/>
        <w:numPr>
          <w:ilvl w:val="2"/>
          <w:numId w:val="7"/>
        </w:numPr>
      </w:pPr>
      <w:r>
        <w:t>Before amending the PCD Reporting Requirements and Methodology Document by direction, the Authority will publish on the Authority's Website:</w:t>
      </w:r>
    </w:p>
    <w:p w14:paraId="28464BF8" w14:textId="77777777" w:rsidR="00D809A0" w:rsidRPr="002E4290" w:rsidRDefault="00D809A0" w:rsidP="00D51F4A">
      <w:pPr>
        <w:pStyle w:val="ListNormal"/>
        <w:numPr>
          <w:ilvl w:val="3"/>
          <w:numId w:val="7"/>
        </w:numPr>
      </w:pPr>
      <w:r>
        <w:t xml:space="preserve">the text of the amended PCD Reporting Requirements and Methodology Document; </w:t>
      </w:r>
    </w:p>
    <w:p w14:paraId="2BDD22A4" w14:textId="77777777" w:rsidR="00D809A0" w:rsidRPr="002E4290" w:rsidRDefault="00D809A0" w:rsidP="00D51F4A">
      <w:pPr>
        <w:pStyle w:val="ListNormal"/>
        <w:numPr>
          <w:ilvl w:val="3"/>
          <w:numId w:val="7"/>
        </w:numPr>
      </w:pPr>
      <w:r>
        <w:t>the date on which the Authority intends the amended PCD Reporting Requirements and Methodology Document to come into effect;</w:t>
      </w:r>
    </w:p>
    <w:p w14:paraId="5D86B43C" w14:textId="77777777" w:rsidR="00D809A0" w:rsidRPr="002E4290" w:rsidRDefault="00D809A0" w:rsidP="00D51F4A">
      <w:pPr>
        <w:pStyle w:val="ListNormal"/>
        <w:numPr>
          <w:ilvl w:val="3"/>
          <w:numId w:val="7"/>
        </w:numPr>
      </w:pPr>
      <w:r>
        <w:t>the reasons for the amendments to the PCD Reporting Requirements and Methodology Document; and</w:t>
      </w:r>
    </w:p>
    <w:p w14:paraId="13BD46A7" w14:textId="0F097DB2" w:rsidR="00D809A0" w:rsidRPr="002E4290" w:rsidRDefault="00D809A0" w:rsidP="00D51F4A">
      <w:pPr>
        <w:pStyle w:val="ListNormal"/>
        <w:numPr>
          <w:ilvl w:val="3"/>
          <w:numId w:val="7"/>
        </w:numPr>
      </w:pPr>
      <w:r>
        <w:t>a period during which representations may be made on the amendments to the PCD Reporting Requirements and Methodology Document, which will not be less than 28 days.</w:t>
      </w:r>
    </w:p>
    <w:p w14:paraId="5F4C3AE0" w14:textId="77777777" w:rsidR="00D809A0" w:rsidRPr="003C5BB2" w:rsidRDefault="00D809A0" w:rsidP="00D809A0">
      <w:pPr>
        <w:pStyle w:val="NumberedNormal"/>
        <w:numPr>
          <w:ilvl w:val="0"/>
          <w:numId w:val="0"/>
        </w:numPr>
        <w:ind w:left="879"/>
      </w:pPr>
    </w:p>
    <w:p w14:paraId="0A7B84C9" w14:textId="77777777" w:rsidR="00D809A0" w:rsidRDefault="00D809A0" w:rsidP="00D51F4A">
      <w:pPr>
        <w:pStyle w:val="Heading2"/>
        <w:numPr>
          <w:ilvl w:val="1"/>
          <w:numId w:val="7"/>
        </w:numPr>
      </w:pPr>
      <w:bookmarkStart w:id="190" w:name="_Toc51783703"/>
      <w:bookmarkStart w:id="191" w:name="_Toc52364598"/>
      <w:r>
        <w:t>Re-opener Guidance and Application Requirements Document</w:t>
      </w:r>
      <w:bookmarkEnd w:id="190"/>
      <w:bookmarkEnd w:id="191"/>
    </w:p>
    <w:p w14:paraId="3FA1CB97" w14:textId="77777777" w:rsidR="00D809A0" w:rsidRPr="001557A6" w:rsidRDefault="00D809A0" w:rsidP="00D809A0">
      <w:pPr>
        <w:pStyle w:val="Heading3nonumbering"/>
      </w:pPr>
      <w:r w:rsidRPr="001557A6">
        <w:t xml:space="preserve">Introduction </w:t>
      </w:r>
    </w:p>
    <w:p w14:paraId="3D0C3F04" w14:textId="77777777" w:rsidR="00D809A0" w:rsidRPr="001557A6" w:rsidRDefault="00D809A0" w:rsidP="00D51F4A">
      <w:pPr>
        <w:pStyle w:val="NumberedNormal"/>
        <w:numPr>
          <w:ilvl w:val="2"/>
          <w:numId w:val="7"/>
        </w:numPr>
      </w:pPr>
      <w:r>
        <w:t>This condition requires the licensee to prepare applications for Re-openers in accordance with the Re-opener Guidance and Application Requirements Document.</w:t>
      </w:r>
    </w:p>
    <w:p w14:paraId="19DA4A28" w14:textId="77777777" w:rsidR="00D809A0" w:rsidRPr="001557A6" w:rsidRDefault="00D809A0" w:rsidP="00D51F4A">
      <w:pPr>
        <w:pStyle w:val="NumberedNormal"/>
        <w:numPr>
          <w:ilvl w:val="2"/>
          <w:numId w:val="7"/>
        </w:numPr>
      </w:pPr>
      <w:r>
        <w:t>This condition also explains the process the Authority will follow in issuing and amending the Re-opener Guidance and Application Requirements Document.</w:t>
      </w:r>
    </w:p>
    <w:p w14:paraId="665BA1DE" w14:textId="77777777" w:rsidR="00D809A0" w:rsidRPr="001557A6" w:rsidRDefault="00D809A0" w:rsidP="00D51F4A">
      <w:pPr>
        <w:pStyle w:val="Heading3"/>
        <w:numPr>
          <w:ilvl w:val="5"/>
          <w:numId w:val="7"/>
        </w:numPr>
      </w:pPr>
      <w:r>
        <w:t>Requirement to comply with the Re-opener Guidance and Application Requirements Document</w:t>
      </w:r>
    </w:p>
    <w:p w14:paraId="645DAA79" w14:textId="77777777" w:rsidR="00D809A0" w:rsidRPr="001557A6" w:rsidRDefault="00D809A0" w:rsidP="00D51F4A">
      <w:pPr>
        <w:pStyle w:val="NumberedNormal"/>
        <w:numPr>
          <w:ilvl w:val="2"/>
          <w:numId w:val="7"/>
        </w:numPr>
      </w:pPr>
      <w:r>
        <w:t>The licensee must prepare any applications for Re-openers in accordance with the Re-opener Guidance and Application Requirements Document.</w:t>
      </w:r>
    </w:p>
    <w:p w14:paraId="7861C237" w14:textId="77777777" w:rsidR="00D809A0" w:rsidRPr="001557A6" w:rsidRDefault="00D809A0" w:rsidP="00D51F4A">
      <w:pPr>
        <w:pStyle w:val="Heading3"/>
        <w:numPr>
          <w:ilvl w:val="5"/>
          <w:numId w:val="7"/>
        </w:numPr>
      </w:pPr>
      <w:r>
        <w:t>Re-opener Guidance and Application Requirements Document</w:t>
      </w:r>
    </w:p>
    <w:p w14:paraId="5964A526" w14:textId="77777777" w:rsidR="00D809A0" w:rsidRPr="001557A6" w:rsidRDefault="00D809A0" w:rsidP="00D51F4A">
      <w:pPr>
        <w:pStyle w:val="NumberedNormal"/>
        <w:numPr>
          <w:ilvl w:val="2"/>
          <w:numId w:val="7"/>
        </w:numPr>
      </w:pPr>
      <w:r>
        <w:t xml:space="preserve">The Authority will issue and amend the Re-opener Guidance and Application Requirements Document by direction. </w:t>
      </w:r>
    </w:p>
    <w:p w14:paraId="052095AC" w14:textId="77777777" w:rsidR="00D809A0" w:rsidRPr="001557A6" w:rsidRDefault="00D809A0" w:rsidP="00D51F4A">
      <w:pPr>
        <w:pStyle w:val="NumberedNormal"/>
        <w:numPr>
          <w:ilvl w:val="2"/>
          <w:numId w:val="7"/>
        </w:numPr>
      </w:pPr>
      <w:r>
        <w:lastRenderedPageBreak/>
        <w:t>The Authority will publish the Re-opener Guidance and Application Requirements Document on the Authority's Website.</w:t>
      </w:r>
    </w:p>
    <w:p w14:paraId="4E1AAC6B" w14:textId="77777777" w:rsidR="00D809A0" w:rsidRPr="001557A6" w:rsidRDefault="00D809A0" w:rsidP="00D51F4A">
      <w:pPr>
        <w:pStyle w:val="NumberedNormal"/>
        <w:numPr>
          <w:ilvl w:val="2"/>
          <w:numId w:val="7"/>
        </w:numPr>
      </w:pPr>
      <w:r>
        <w:t>The Re-opener Guidance and Application Requirements Document will set out how the licensee must prepare its applications for Re-openers, including the following:</w:t>
      </w:r>
    </w:p>
    <w:p w14:paraId="705562E7" w14:textId="77777777" w:rsidR="00D809A0" w:rsidRPr="001557A6" w:rsidRDefault="00D809A0" w:rsidP="00D51F4A">
      <w:pPr>
        <w:pStyle w:val="ListNormal"/>
        <w:numPr>
          <w:ilvl w:val="3"/>
          <w:numId w:val="7"/>
        </w:numPr>
      </w:pPr>
      <w:r>
        <w:t>the level of detail required in the application;</w:t>
      </w:r>
    </w:p>
    <w:p w14:paraId="16C0368D" w14:textId="77777777" w:rsidR="00D809A0" w:rsidRPr="001557A6" w:rsidRDefault="00D809A0" w:rsidP="00D51F4A">
      <w:pPr>
        <w:pStyle w:val="ListNormal"/>
        <w:numPr>
          <w:ilvl w:val="3"/>
          <w:numId w:val="7"/>
        </w:numPr>
      </w:pPr>
      <w:r>
        <w:t>any requirement to publish the application;</w:t>
      </w:r>
    </w:p>
    <w:p w14:paraId="66F971CC" w14:textId="77777777" w:rsidR="00D809A0" w:rsidRPr="001557A6" w:rsidRDefault="00D809A0" w:rsidP="00D51F4A">
      <w:pPr>
        <w:pStyle w:val="ListNormal"/>
        <w:numPr>
          <w:ilvl w:val="3"/>
          <w:numId w:val="7"/>
        </w:numPr>
      </w:pPr>
      <w:r>
        <w:t>when it is appropriate to make redactions in published applications; and</w:t>
      </w:r>
    </w:p>
    <w:p w14:paraId="0A8F9041" w14:textId="77777777" w:rsidR="00D809A0" w:rsidRPr="001557A6" w:rsidRDefault="00D809A0" w:rsidP="00D51F4A">
      <w:pPr>
        <w:pStyle w:val="ListNormal"/>
        <w:numPr>
          <w:ilvl w:val="3"/>
          <w:numId w:val="7"/>
        </w:numPr>
      </w:pPr>
      <w:r>
        <w:t xml:space="preserve">any requirement for assurance. </w:t>
      </w:r>
    </w:p>
    <w:p w14:paraId="409DCBBB" w14:textId="77777777" w:rsidR="00D809A0" w:rsidRPr="001557A6" w:rsidRDefault="00D809A0" w:rsidP="00D51F4A">
      <w:pPr>
        <w:pStyle w:val="NumberedNormal"/>
        <w:numPr>
          <w:ilvl w:val="2"/>
          <w:numId w:val="7"/>
        </w:numPr>
      </w:pPr>
      <w:r>
        <w:t>Before issuing the Re-opener Guidance and Application Requirements Document by direction, the Authority will publish on the Authority's Website:</w:t>
      </w:r>
    </w:p>
    <w:p w14:paraId="009D8EAB" w14:textId="77777777" w:rsidR="00D809A0" w:rsidRPr="001557A6" w:rsidRDefault="00D809A0" w:rsidP="00D51F4A">
      <w:pPr>
        <w:pStyle w:val="ListNormal"/>
        <w:numPr>
          <w:ilvl w:val="3"/>
          <w:numId w:val="7"/>
        </w:numPr>
      </w:pPr>
      <w:r>
        <w:t>the text of the proposed the Re-opener Guidance and Application Requirements Document;</w:t>
      </w:r>
    </w:p>
    <w:p w14:paraId="3776DF68" w14:textId="77777777" w:rsidR="00D809A0" w:rsidRPr="001557A6" w:rsidRDefault="00D809A0" w:rsidP="00D51F4A">
      <w:pPr>
        <w:pStyle w:val="ListNormal"/>
        <w:numPr>
          <w:ilvl w:val="3"/>
          <w:numId w:val="7"/>
        </w:numPr>
      </w:pPr>
      <w:r>
        <w:t>the date on which the Authority intends the Re-opener Guidance and Application Requirements Document to come into effect; and</w:t>
      </w:r>
    </w:p>
    <w:p w14:paraId="666575D7" w14:textId="2E8A69CC" w:rsidR="00D809A0" w:rsidRPr="001557A6" w:rsidRDefault="00D809A0" w:rsidP="00D51F4A">
      <w:pPr>
        <w:pStyle w:val="ListNormal"/>
        <w:numPr>
          <w:ilvl w:val="3"/>
          <w:numId w:val="7"/>
        </w:numPr>
      </w:pPr>
      <w:r>
        <w:t xml:space="preserve">a period during which representations may be made on the content of the Re-opener Guidance and Application Requirements Document, which will not be less than 28 days. </w:t>
      </w:r>
    </w:p>
    <w:p w14:paraId="5D66B556" w14:textId="77777777" w:rsidR="00D809A0" w:rsidRPr="001557A6" w:rsidRDefault="00D809A0" w:rsidP="00D51F4A">
      <w:pPr>
        <w:pStyle w:val="NumberedNormal"/>
        <w:numPr>
          <w:ilvl w:val="2"/>
          <w:numId w:val="7"/>
        </w:numPr>
      </w:pPr>
      <w:r>
        <w:t>Before amending the Re-opener Guidance and Application Requirements Document by direction, the Authority will publish on the Authority's Website:</w:t>
      </w:r>
    </w:p>
    <w:p w14:paraId="4847843A" w14:textId="77777777" w:rsidR="00D809A0" w:rsidRPr="001557A6" w:rsidRDefault="00D809A0" w:rsidP="00D51F4A">
      <w:pPr>
        <w:pStyle w:val="ListNormal"/>
        <w:numPr>
          <w:ilvl w:val="3"/>
          <w:numId w:val="7"/>
        </w:numPr>
      </w:pPr>
      <w:r>
        <w:t>the text of the amended the Re-opener Guidance and Application Requirements Document;</w:t>
      </w:r>
    </w:p>
    <w:p w14:paraId="7AA872B1" w14:textId="77777777" w:rsidR="00D809A0" w:rsidRPr="001557A6" w:rsidRDefault="00D809A0" w:rsidP="00D51F4A">
      <w:pPr>
        <w:pStyle w:val="ListNormal"/>
        <w:numPr>
          <w:ilvl w:val="3"/>
          <w:numId w:val="7"/>
        </w:numPr>
      </w:pPr>
      <w:r>
        <w:t>the date on which the Authority intends the amended Re-opener Guidance and Application Requirements Document to come into effect;</w:t>
      </w:r>
    </w:p>
    <w:p w14:paraId="2B44F766" w14:textId="77777777" w:rsidR="00D809A0" w:rsidRPr="001557A6" w:rsidRDefault="00D809A0" w:rsidP="00D51F4A">
      <w:pPr>
        <w:pStyle w:val="ListNormal"/>
        <w:numPr>
          <w:ilvl w:val="3"/>
          <w:numId w:val="7"/>
        </w:numPr>
      </w:pPr>
      <w:r>
        <w:t>the reasons for the amendments to the Re-opener Guidance and Application Requirements Document; and,</w:t>
      </w:r>
    </w:p>
    <w:p w14:paraId="0FD3CAB7" w14:textId="2D86FC51" w:rsidR="00D809A0" w:rsidRPr="001557A6" w:rsidRDefault="00D809A0" w:rsidP="00D51F4A">
      <w:pPr>
        <w:pStyle w:val="ListNormal"/>
        <w:numPr>
          <w:ilvl w:val="3"/>
          <w:numId w:val="7"/>
        </w:numPr>
      </w:pPr>
      <w:r>
        <w:t>a period during which representations may be made on the amendments to the Re-opener Guidance and Application Requirements Document, which will not be less than 28 days.</w:t>
      </w:r>
    </w:p>
    <w:p w14:paraId="6E70F2AA" w14:textId="77777777" w:rsidR="00D809A0" w:rsidRDefault="00D809A0" w:rsidP="00D51F4A">
      <w:pPr>
        <w:pStyle w:val="Heading2"/>
        <w:numPr>
          <w:ilvl w:val="1"/>
          <w:numId w:val="7"/>
        </w:numPr>
      </w:pPr>
      <w:bookmarkStart w:id="192" w:name="_Toc51783704"/>
      <w:bookmarkStart w:id="193" w:name="_Toc52364599"/>
      <w:r>
        <w:t>Digitalisation</w:t>
      </w:r>
      <w:bookmarkEnd w:id="192"/>
      <w:bookmarkEnd w:id="193"/>
    </w:p>
    <w:p w14:paraId="7E1A4529" w14:textId="77777777" w:rsidR="00D809A0" w:rsidRPr="002053FC" w:rsidRDefault="00D809A0" w:rsidP="00D809A0">
      <w:pPr>
        <w:pStyle w:val="Heading3nonumbering"/>
      </w:pPr>
      <w:r w:rsidRPr="002053FC">
        <w:t xml:space="preserve">Introduction </w:t>
      </w:r>
    </w:p>
    <w:p w14:paraId="50DC3B31" w14:textId="77777777" w:rsidR="00D809A0" w:rsidRPr="002053FC" w:rsidRDefault="00D809A0" w:rsidP="00D51F4A">
      <w:pPr>
        <w:pStyle w:val="NumberedNormal"/>
        <w:numPr>
          <w:ilvl w:val="2"/>
          <w:numId w:val="7"/>
        </w:numPr>
      </w:pPr>
      <w:r>
        <w:t>The purpose of this condition is to set out the licensee's obligations to:</w:t>
      </w:r>
    </w:p>
    <w:p w14:paraId="2BD7A609" w14:textId="77777777" w:rsidR="00D809A0" w:rsidRPr="002053FC" w:rsidRDefault="00D809A0" w:rsidP="00D51F4A">
      <w:pPr>
        <w:pStyle w:val="ListNormal"/>
        <w:numPr>
          <w:ilvl w:val="3"/>
          <w:numId w:val="7"/>
        </w:numPr>
      </w:pPr>
      <w:r>
        <w:t>have a Digitalisation Strategy;</w:t>
      </w:r>
    </w:p>
    <w:p w14:paraId="0B097BF1" w14:textId="6CE0F6CA" w:rsidR="00D809A0" w:rsidRPr="002053FC" w:rsidRDefault="00D809A0" w:rsidP="00D51F4A">
      <w:pPr>
        <w:pStyle w:val="ListNormal"/>
        <w:numPr>
          <w:ilvl w:val="3"/>
          <w:numId w:val="7"/>
        </w:numPr>
      </w:pPr>
      <w:r>
        <w:t>have a Digitalisation Action Plan;</w:t>
      </w:r>
    </w:p>
    <w:p w14:paraId="05E489C5" w14:textId="77777777" w:rsidR="00D809A0" w:rsidRDefault="00D809A0" w:rsidP="00D51F4A">
      <w:pPr>
        <w:pStyle w:val="ListNormal"/>
        <w:numPr>
          <w:ilvl w:val="3"/>
          <w:numId w:val="7"/>
        </w:numPr>
      </w:pPr>
      <w:r>
        <w:t xml:space="preserve">update its Digitalisation Strategy and its Digitalisation Action Plan; and </w:t>
      </w:r>
    </w:p>
    <w:p w14:paraId="2B860D67" w14:textId="77777777" w:rsidR="00D809A0" w:rsidRPr="002053FC" w:rsidRDefault="00D809A0" w:rsidP="00D51F4A">
      <w:pPr>
        <w:pStyle w:val="ListNormal"/>
        <w:numPr>
          <w:ilvl w:val="3"/>
          <w:numId w:val="7"/>
        </w:numPr>
      </w:pPr>
      <w:r>
        <w:t xml:space="preserve">take account of Data Best Practice Guidance. </w:t>
      </w:r>
    </w:p>
    <w:p w14:paraId="50BD0328" w14:textId="77777777" w:rsidR="00D809A0" w:rsidRPr="002053FC" w:rsidRDefault="00D809A0" w:rsidP="00D51F4A">
      <w:pPr>
        <w:pStyle w:val="NumberedNormal"/>
        <w:numPr>
          <w:ilvl w:val="2"/>
          <w:numId w:val="7"/>
        </w:numPr>
      </w:pPr>
      <w:r>
        <w:lastRenderedPageBreak/>
        <w:t>This condition also sets out the process the Authority will follow when issuing and amending DSAP Guidance and Data Best Practice Guidance.</w:t>
      </w:r>
    </w:p>
    <w:p w14:paraId="7E2EEE18" w14:textId="77777777" w:rsidR="00D809A0" w:rsidRPr="002053FC" w:rsidRDefault="00D809A0" w:rsidP="00D51F4A">
      <w:pPr>
        <w:pStyle w:val="Heading3"/>
        <w:numPr>
          <w:ilvl w:val="5"/>
          <w:numId w:val="7"/>
        </w:numPr>
      </w:pPr>
      <w:r>
        <w:t xml:space="preserve">Requirements of the Digitalisation Strategy </w:t>
      </w:r>
    </w:p>
    <w:p w14:paraId="69710361" w14:textId="77777777" w:rsidR="00D809A0" w:rsidRPr="002053FC" w:rsidRDefault="00D809A0" w:rsidP="00D51F4A">
      <w:pPr>
        <w:pStyle w:val="NumberedNormal"/>
        <w:numPr>
          <w:ilvl w:val="2"/>
          <w:numId w:val="7"/>
        </w:numPr>
      </w:pPr>
      <w:r>
        <w:t>The licensee must publish its Digitalisation Strategy on, or before, XXXX.</w:t>
      </w:r>
    </w:p>
    <w:p w14:paraId="2F9B9966" w14:textId="77777777" w:rsidR="00D809A0" w:rsidRPr="002053FC" w:rsidRDefault="00D809A0" w:rsidP="00D51F4A">
      <w:pPr>
        <w:pStyle w:val="NumberedNormal"/>
        <w:numPr>
          <w:ilvl w:val="2"/>
          <w:numId w:val="7"/>
        </w:numPr>
      </w:pPr>
      <w:r>
        <w:t xml:space="preserve">The licensee must review the progress it has made against its Digitalisation Strategy, and update its Digitalisation Strategy, at intervals specified in the DSAP Guidance. </w:t>
      </w:r>
    </w:p>
    <w:p w14:paraId="7F58ACE0" w14:textId="77777777" w:rsidR="00D809A0" w:rsidRPr="002053FC" w:rsidRDefault="00D809A0" w:rsidP="00D51F4A">
      <w:pPr>
        <w:pStyle w:val="NumberedNormal"/>
        <w:numPr>
          <w:ilvl w:val="2"/>
          <w:numId w:val="7"/>
        </w:numPr>
      </w:pPr>
      <w:r>
        <w:t>The licensee must:</w:t>
      </w:r>
    </w:p>
    <w:p w14:paraId="07ED10E1" w14:textId="147B0C78" w:rsidR="00D809A0" w:rsidRPr="002053FC" w:rsidRDefault="00D809A0" w:rsidP="00D51F4A">
      <w:pPr>
        <w:pStyle w:val="ListNormal"/>
        <w:numPr>
          <w:ilvl w:val="3"/>
          <w:numId w:val="7"/>
        </w:numPr>
      </w:pPr>
      <w:r>
        <w:t>publish its Digitalisation Strategy, and updates to its Digitalisation Strategy, on the licensee's website where they are readily accessible to the public;</w:t>
      </w:r>
    </w:p>
    <w:p w14:paraId="2CAD32D3" w14:textId="77777777" w:rsidR="00D809A0" w:rsidRPr="002053FC" w:rsidRDefault="00D809A0" w:rsidP="00D51F4A">
      <w:pPr>
        <w:pStyle w:val="ListNormal"/>
        <w:numPr>
          <w:ilvl w:val="3"/>
          <w:numId w:val="7"/>
        </w:numPr>
      </w:pPr>
      <w:r>
        <w:t xml:space="preserve">maintain an archive of all published versions of its Digitalisation Strategy on the licensee's website where they are readily accessible to the public; and </w:t>
      </w:r>
    </w:p>
    <w:p w14:paraId="0B838D24" w14:textId="37378F4B" w:rsidR="00D809A0" w:rsidRPr="002053FC" w:rsidRDefault="00D809A0" w:rsidP="00D51F4A">
      <w:pPr>
        <w:pStyle w:val="ListNormal"/>
        <w:numPr>
          <w:ilvl w:val="3"/>
          <w:numId w:val="7"/>
        </w:numPr>
      </w:pPr>
      <w:r>
        <w:t xml:space="preserve">notify the Authority of </w:t>
      </w:r>
      <w:r w:rsidR="001A05FA">
        <w:t xml:space="preserve">any </w:t>
      </w:r>
      <w:r>
        <w:t>update</w:t>
      </w:r>
      <w:r w:rsidR="001A05FA">
        <w:t>s</w:t>
      </w:r>
      <w:r>
        <w:t xml:space="preserve"> to the Digitalisation Strategy.</w:t>
      </w:r>
    </w:p>
    <w:p w14:paraId="50CA524D" w14:textId="77777777" w:rsidR="00D809A0" w:rsidRPr="002053FC" w:rsidRDefault="00D809A0" w:rsidP="00D51F4A">
      <w:pPr>
        <w:pStyle w:val="Heading3"/>
        <w:numPr>
          <w:ilvl w:val="5"/>
          <w:numId w:val="7"/>
        </w:numPr>
      </w:pPr>
      <w:r>
        <w:t>Requirements of the Digitalisation Action Plan</w:t>
      </w:r>
    </w:p>
    <w:p w14:paraId="7CC444F6" w14:textId="77777777" w:rsidR="00D809A0" w:rsidRPr="002053FC" w:rsidRDefault="00D809A0" w:rsidP="00D51F4A">
      <w:pPr>
        <w:pStyle w:val="NumberedNormal"/>
        <w:numPr>
          <w:ilvl w:val="2"/>
          <w:numId w:val="7"/>
        </w:numPr>
      </w:pPr>
      <w:r>
        <w:t>The licensee must publish its Digitalisation Action Plan on, or before, XXXX.</w:t>
      </w:r>
    </w:p>
    <w:p w14:paraId="7ADCE579" w14:textId="77777777" w:rsidR="00D809A0" w:rsidRDefault="00D809A0" w:rsidP="00D51F4A">
      <w:pPr>
        <w:pStyle w:val="NumberedNormal"/>
        <w:numPr>
          <w:ilvl w:val="2"/>
          <w:numId w:val="7"/>
        </w:numPr>
      </w:pPr>
      <w:r>
        <w:t xml:space="preserve">The licensee must review the progress it has made against and update its Digitalisation Action Plan at the intervals specified in the DSAP Guidance. </w:t>
      </w:r>
    </w:p>
    <w:p w14:paraId="075C4F31" w14:textId="77777777" w:rsidR="00D809A0" w:rsidRPr="002053FC" w:rsidRDefault="00D809A0" w:rsidP="00D51F4A">
      <w:pPr>
        <w:pStyle w:val="NumberedNormal"/>
        <w:numPr>
          <w:ilvl w:val="2"/>
          <w:numId w:val="7"/>
        </w:numPr>
      </w:pPr>
      <w:r>
        <w:t>The licensee must:</w:t>
      </w:r>
    </w:p>
    <w:p w14:paraId="7B56C491" w14:textId="7B49214C" w:rsidR="00D809A0" w:rsidRPr="002053FC" w:rsidRDefault="00D809A0" w:rsidP="00D51F4A">
      <w:pPr>
        <w:pStyle w:val="ListNormal"/>
        <w:numPr>
          <w:ilvl w:val="3"/>
          <w:numId w:val="7"/>
        </w:numPr>
      </w:pPr>
      <w:r>
        <w:t>publish its Digitalisation Action Plan, and updates to its Digitalisation Action Plan, on the licensee's website where they are readily accessible to the public;</w:t>
      </w:r>
    </w:p>
    <w:p w14:paraId="4ABFF09A" w14:textId="77777777" w:rsidR="00D809A0" w:rsidRPr="002053FC" w:rsidRDefault="00D809A0" w:rsidP="00D51F4A">
      <w:pPr>
        <w:pStyle w:val="ListNormal"/>
        <w:numPr>
          <w:ilvl w:val="3"/>
          <w:numId w:val="7"/>
        </w:numPr>
      </w:pPr>
      <w:r>
        <w:t>maintain an archive of all published versions of its Digitalisation Action Plan on the licensee's website where they are readily accessible to the public; and</w:t>
      </w:r>
    </w:p>
    <w:p w14:paraId="407E1C96" w14:textId="4D300DED" w:rsidR="00D809A0" w:rsidRPr="002053FC" w:rsidRDefault="00D809A0" w:rsidP="00D51F4A">
      <w:pPr>
        <w:pStyle w:val="ListNormal"/>
        <w:numPr>
          <w:ilvl w:val="3"/>
          <w:numId w:val="7"/>
        </w:numPr>
      </w:pPr>
      <w:r>
        <w:t xml:space="preserve">notify the Authority of </w:t>
      </w:r>
      <w:r w:rsidR="001A05FA">
        <w:t xml:space="preserve">any </w:t>
      </w:r>
      <w:r>
        <w:t>update</w:t>
      </w:r>
      <w:r w:rsidR="001A05FA">
        <w:t>s</w:t>
      </w:r>
      <w:r>
        <w:t xml:space="preserve"> to the Digitalisation Action Plan.</w:t>
      </w:r>
    </w:p>
    <w:p w14:paraId="411B7BC3" w14:textId="77777777" w:rsidR="00D809A0" w:rsidRPr="002053FC" w:rsidRDefault="00D809A0" w:rsidP="00D51F4A">
      <w:pPr>
        <w:pStyle w:val="Heading3"/>
        <w:numPr>
          <w:ilvl w:val="5"/>
          <w:numId w:val="7"/>
        </w:numPr>
      </w:pPr>
      <w:r>
        <w:t>DSAP Guidance.</w:t>
      </w:r>
    </w:p>
    <w:p w14:paraId="5667B670" w14:textId="77777777" w:rsidR="00D809A0" w:rsidRPr="002053FC" w:rsidRDefault="00D809A0" w:rsidP="00D51F4A">
      <w:pPr>
        <w:pStyle w:val="NumberedNormal"/>
        <w:numPr>
          <w:ilvl w:val="2"/>
          <w:numId w:val="7"/>
        </w:numPr>
      </w:pPr>
      <w:r>
        <w:t>The licensee must comply with the DSAP Guidance when:</w:t>
      </w:r>
    </w:p>
    <w:p w14:paraId="63CED548" w14:textId="77777777" w:rsidR="00D809A0" w:rsidRPr="002053FC" w:rsidRDefault="00D809A0" w:rsidP="00D51F4A">
      <w:pPr>
        <w:pStyle w:val="ListNormal"/>
        <w:numPr>
          <w:ilvl w:val="3"/>
          <w:numId w:val="7"/>
        </w:numPr>
      </w:pPr>
      <w:r>
        <w:t>preparing and updating its Digitalisation Strategy; and</w:t>
      </w:r>
    </w:p>
    <w:p w14:paraId="10D908E5" w14:textId="77777777" w:rsidR="00D809A0" w:rsidRPr="002053FC" w:rsidRDefault="00D809A0" w:rsidP="00D51F4A">
      <w:pPr>
        <w:pStyle w:val="ListNormal"/>
        <w:numPr>
          <w:ilvl w:val="3"/>
          <w:numId w:val="7"/>
        </w:numPr>
      </w:pPr>
      <w:r>
        <w:t>preparing and updating its Digitalisation Action Plan.</w:t>
      </w:r>
    </w:p>
    <w:p w14:paraId="7136F595" w14:textId="77777777" w:rsidR="00D809A0" w:rsidRPr="002053FC" w:rsidRDefault="00D809A0" w:rsidP="00D51F4A">
      <w:pPr>
        <w:pStyle w:val="NumberedNormal"/>
        <w:numPr>
          <w:ilvl w:val="2"/>
          <w:numId w:val="7"/>
        </w:numPr>
      </w:pPr>
      <w:r>
        <w:t xml:space="preserve">The Authority will issue and amend DSAP Guidance by direction. </w:t>
      </w:r>
    </w:p>
    <w:p w14:paraId="64783E67" w14:textId="7322ACFE" w:rsidR="00D809A0" w:rsidRPr="002053FC" w:rsidRDefault="00D809A0" w:rsidP="00D51F4A">
      <w:pPr>
        <w:pStyle w:val="NumberedNormal"/>
        <w:numPr>
          <w:ilvl w:val="2"/>
          <w:numId w:val="7"/>
        </w:numPr>
      </w:pPr>
      <w:r>
        <w:t xml:space="preserve">The Authority will publish DSAP Guidance on the Authority's </w:t>
      </w:r>
      <w:r w:rsidR="001A05FA">
        <w:t>W</w:t>
      </w:r>
      <w:r>
        <w:t xml:space="preserve">ebsite. </w:t>
      </w:r>
    </w:p>
    <w:p w14:paraId="73FED732" w14:textId="77777777" w:rsidR="00D809A0" w:rsidRPr="002053FC" w:rsidRDefault="00D809A0" w:rsidP="00D51F4A">
      <w:pPr>
        <w:pStyle w:val="NumberedNormal"/>
        <w:numPr>
          <w:ilvl w:val="2"/>
          <w:numId w:val="7"/>
        </w:numPr>
      </w:pPr>
      <w:r>
        <w:t>The DSAP Guidance will make provision about:</w:t>
      </w:r>
    </w:p>
    <w:p w14:paraId="34BF66FA" w14:textId="77777777" w:rsidR="001A05FA" w:rsidRDefault="00D809A0" w:rsidP="00D51F4A">
      <w:pPr>
        <w:pStyle w:val="ListNormal"/>
        <w:numPr>
          <w:ilvl w:val="3"/>
          <w:numId w:val="7"/>
        </w:numPr>
      </w:pPr>
      <w:r>
        <w:t>how licensee should work towards Digitalisation</w:t>
      </w:r>
      <w:r w:rsidR="001A05FA">
        <w:t>;</w:t>
      </w:r>
    </w:p>
    <w:p w14:paraId="45A0598D" w14:textId="77777777" w:rsidR="001A05FA" w:rsidRPr="00982834" w:rsidRDefault="001A05FA" w:rsidP="001A05FA">
      <w:pPr>
        <w:pStyle w:val="ListNormal"/>
      </w:pPr>
      <w:r w:rsidRPr="00B317CF">
        <w:t xml:space="preserve">how the licensee </w:t>
      </w:r>
      <w:r>
        <w:t>should</w:t>
      </w:r>
      <w:r w:rsidRPr="00B317CF">
        <w:t xml:space="preserve"> set out in its</w:t>
      </w:r>
      <w:r w:rsidRPr="00982834">
        <w:t xml:space="preserve"> Digitalisation Strategy and Action Plan </w:t>
      </w:r>
      <w:r w:rsidRPr="00B317CF">
        <w:t xml:space="preserve">how it </w:t>
      </w:r>
      <w:r w:rsidRPr="00982834">
        <w:t xml:space="preserve">intends to use Energy System Data to generate </w:t>
      </w:r>
      <w:r>
        <w:t>benefits</w:t>
      </w:r>
      <w:r w:rsidRPr="00982834">
        <w:t xml:space="preserve"> for </w:t>
      </w:r>
      <w:r w:rsidRPr="00B317CF">
        <w:t>consumer</w:t>
      </w:r>
      <w:r>
        <w:t>s</w:t>
      </w:r>
      <w:r w:rsidRPr="00982834">
        <w:t xml:space="preserve"> and stakeholders and the specific actions it will take to achieve that outcome</w:t>
      </w:r>
      <w:r>
        <w:t>;</w:t>
      </w:r>
    </w:p>
    <w:p w14:paraId="1D4EDA1B" w14:textId="77777777" w:rsidR="00D809A0" w:rsidRPr="002053FC" w:rsidRDefault="00D809A0" w:rsidP="00D51F4A">
      <w:pPr>
        <w:pStyle w:val="ListNormal"/>
        <w:numPr>
          <w:ilvl w:val="3"/>
          <w:numId w:val="7"/>
        </w:numPr>
      </w:pPr>
      <w:r>
        <w:lastRenderedPageBreak/>
        <w:t>the form of the Digitalisation Strategy and the Digitalisation Action Plan, including:</w:t>
      </w:r>
    </w:p>
    <w:p w14:paraId="75120D61" w14:textId="77777777" w:rsidR="00D809A0" w:rsidRPr="002053FC" w:rsidRDefault="00D809A0" w:rsidP="00D51F4A">
      <w:pPr>
        <w:pStyle w:val="ListNormal"/>
        <w:numPr>
          <w:ilvl w:val="4"/>
          <w:numId w:val="7"/>
        </w:numPr>
      </w:pPr>
      <w:r>
        <w:t>the structure, content and level of detail of each;</w:t>
      </w:r>
    </w:p>
    <w:p w14:paraId="50983EB2" w14:textId="77777777" w:rsidR="00D809A0" w:rsidRPr="002053FC" w:rsidRDefault="00D809A0" w:rsidP="00D51F4A">
      <w:pPr>
        <w:pStyle w:val="ListNormal"/>
        <w:numPr>
          <w:ilvl w:val="4"/>
          <w:numId w:val="7"/>
        </w:numPr>
      </w:pPr>
      <w:r>
        <w:t>the types of activities that should be covered in each; and</w:t>
      </w:r>
    </w:p>
    <w:p w14:paraId="7BAA0143" w14:textId="77777777" w:rsidR="00D809A0" w:rsidRPr="002053FC" w:rsidRDefault="00D809A0" w:rsidP="00D51F4A">
      <w:pPr>
        <w:pStyle w:val="ListNormal"/>
        <w:numPr>
          <w:ilvl w:val="4"/>
          <w:numId w:val="7"/>
        </w:numPr>
      </w:pPr>
      <w:r>
        <w:t>any required information associated with those activities; and</w:t>
      </w:r>
    </w:p>
    <w:p w14:paraId="43FF55EF" w14:textId="77777777" w:rsidR="00D809A0" w:rsidRPr="002053FC" w:rsidRDefault="00D809A0" w:rsidP="00D51F4A">
      <w:pPr>
        <w:pStyle w:val="ListNormal"/>
        <w:numPr>
          <w:ilvl w:val="3"/>
          <w:numId w:val="7"/>
        </w:numPr>
      </w:pPr>
      <w:r>
        <w:t>the engagement the licensee is required to undertake with stakeholders to help inform the development of its Digitalisation Strategy and its Digitalisation Action Plan.</w:t>
      </w:r>
    </w:p>
    <w:p w14:paraId="35908F8F" w14:textId="77777777" w:rsidR="00D809A0" w:rsidRPr="002053FC" w:rsidRDefault="00D809A0" w:rsidP="00D51F4A">
      <w:pPr>
        <w:pStyle w:val="Heading3"/>
        <w:numPr>
          <w:ilvl w:val="5"/>
          <w:numId w:val="7"/>
        </w:numPr>
      </w:pPr>
      <w:r>
        <w:t xml:space="preserve">Requirement to employ Data Best Practice </w:t>
      </w:r>
    </w:p>
    <w:p w14:paraId="099B8B4D" w14:textId="1C661649" w:rsidR="001A05FA" w:rsidRPr="00982834" w:rsidRDefault="001A05FA" w:rsidP="001A05FA">
      <w:pPr>
        <w:pStyle w:val="NumberedNormal"/>
      </w:pPr>
      <w:r>
        <w:t>The licensee must, when conducting work that involves working with or making decisions about the use of</w:t>
      </w:r>
      <w:r w:rsidRPr="00982834">
        <w:t xml:space="preserve"> Energy System Data</w:t>
      </w:r>
      <w:r>
        <w:t xml:space="preserve">, </w:t>
      </w:r>
      <w:r w:rsidRPr="009427C0">
        <w:t>must</w:t>
      </w:r>
      <w:r w:rsidRPr="00982834">
        <w:t xml:space="preserve"> </w:t>
      </w:r>
      <w:r w:rsidR="002468F0">
        <w:t xml:space="preserve">use </w:t>
      </w:r>
      <w:r>
        <w:t>its</w:t>
      </w:r>
      <w:r w:rsidRPr="00982834">
        <w:t xml:space="preserve"> best endeavours to act in </w:t>
      </w:r>
      <w:r w:rsidRPr="00A50444">
        <w:t>accordance</w:t>
      </w:r>
      <w:r w:rsidRPr="00982834">
        <w:t xml:space="preserve"> with Data Best Practice Guidance. </w:t>
      </w:r>
    </w:p>
    <w:p w14:paraId="079239AB" w14:textId="77777777" w:rsidR="00D809A0" w:rsidRPr="002053FC" w:rsidRDefault="00D809A0" w:rsidP="00D51F4A">
      <w:pPr>
        <w:pStyle w:val="NumberedNormal"/>
        <w:numPr>
          <w:ilvl w:val="2"/>
          <w:numId w:val="7"/>
        </w:numPr>
      </w:pPr>
      <w:r>
        <w:t xml:space="preserve">The Authority will issue and amend Data Best Practice Guidance by direction. </w:t>
      </w:r>
    </w:p>
    <w:p w14:paraId="0FBB1078" w14:textId="4BF3A595" w:rsidR="00D809A0" w:rsidRPr="002053FC" w:rsidRDefault="00D809A0" w:rsidP="00D51F4A">
      <w:pPr>
        <w:pStyle w:val="NumberedNormal"/>
        <w:numPr>
          <w:ilvl w:val="2"/>
          <w:numId w:val="7"/>
        </w:numPr>
      </w:pPr>
      <w:r>
        <w:t xml:space="preserve">The Authority will publish Data Best Practice Guidance on the Authority's </w:t>
      </w:r>
      <w:r w:rsidR="00F21777">
        <w:t>W</w:t>
      </w:r>
      <w:r>
        <w:t>ebsite.</w:t>
      </w:r>
    </w:p>
    <w:p w14:paraId="1237DB69" w14:textId="77777777" w:rsidR="001A05FA" w:rsidRPr="00982834" w:rsidRDefault="001A05FA" w:rsidP="001A05FA">
      <w:pPr>
        <w:pStyle w:val="NumberedNormal"/>
      </w:pPr>
      <w:r w:rsidRPr="00982834">
        <w:t xml:space="preserve">The Data Best Practice Guidance will make provision about how the Authority expects the licensee to </w:t>
      </w:r>
      <w:r>
        <w:t>comply with</w:t>
      </w:r>
      <w:r w:rsidRPr="00982834">
        <w:t xml:space="preserve"> Data Best Practice </w:t>
      </w:r>
      <w:r>
        <w:t>to</w:t>
      </w:r>
      <w:r w:rsidRPr="00982834">
        <w:t xml:space="preserve"> generate </w:t>
      </w:r>
      <w:r>
        <w:t>benefits</w:t>
      </w:r>
      <w:r w:rsidRPr="00982834">
        <w:t xml:space="preserve"> for consumers and stakeholders, including but not limited to ensuring services </w:t>
      </w:r>
      <w:r>
        <w:t xml:space="preserve">that involve Energy System Data </w:t>
      </w:r>
      <w:r w:rsidRPr="00982834">
        <w:t xml:space="preserve">are designed to meet the needs of </w:t>
      </w:r>
      <w:r>
        <w:t xml:space="preserve">consumers and those who directly use </w:t>
      </w:r>
      <w:r w:rsidRPr="00982834">
        <w:t>the service</w:t>
      </w:r>
      <w:r>
        <w:t>s</w:t>
      </w:r>
      <w:r w:rsidRPr="00982834">
        <w:t>.</w:t>
      </w:r>
    </w:p>
    <w:p w14:paraId="670FB085" w14:textId="77777777" w:rsidR="00D809A0" w:rsidRPr="002053FC" w:rsidRDefault="00D809A0" w:rsidP="00D51F4A">
      <w:pPr>
        <w:pStyle w:val="Heading3"/>
        <w:numPr>
          <w:ilvl w:val="5"/>
          <w:numId w:val="7"/>
        </w:numPr>
      </w:pPr>
      <w:r>
        <w:t xml:space="preserve">Process for issuing and amending guidance </w:t>
      </w:r>
    </w:p>
    <w:p w14:paraId="5FF3D3E1" w14:textId="77777777" w:rsidR="00D809A0" w:rsidRPr="002053FC" w:rsidRDefault="00D809A0" w:rsidP="00D51F4A">
      <w:pPr>
        <w:pStyle w:val="NumberedNormal"/>
        <w:numPr>
          <w:ilvl w:val="2"/>
          <w:numId w:val="7"/>
        </w:numPr>
      </w:pPr>
      <w:r>
        <w:t>Before issuing DSAP Guidance or Data Best Practice Guidance by direction, the Authority will publish on the Authority's Website:</w:t>
      </w:r>
    </w:p>
    <w:p w14:paraId="2814385B" w14:textId="77777777" w:rsidR="00D809A0" w:rsidRPr="002053FC" w:rsidRDefault="00D809A0" w:rsidP="00D51F4A">
      <w:pPr>
        <w:pStyle w:val="ListNormal"/>
        <w:numPr>
          <w:ilvl w:val="3"/>
          <w:numId w:val="7"/>
        </w:numPr>
      </w:pPr>
      <w:r>
        <w:t>the text of the proposed guidance;</w:t>
      </w:r>
    </w:p>
    <w:p w14:paraId="2AC2B7D4" w14:textId="77777777" w:rsidR="00D809A0" w:rsidRPr="002053FC" w:rsidRDefault="00D809A0" w:rsidP="00D51F4A">
      <w:pPr>
        <w:pStyle w:val="ListNormal"/>
        <w:numPr>
          <w:ilvl w:val="3"/>
          <w:numId w:val="7"/>
        </w:numPr>
      </w:pPr>
      <w:r>
        <w:t>the date on which the Authority intends the guidance to come into effect; and</w:t>
      </w:r>
    </w:p>
    <w:p w14:paraId="0B12FF69" w14:textId="12BD153D" w:rsidR="00D809A0" w:rsidRPr="002053FC" w:rsidRDefault="00D809A0" w:rsidP="00D51F4A">
      <w:pPr>
        <w:pStyle w:val="ListNormal"/>
        <w:numPr>
          <w:ilvl w:val="3"/>
          <w:numId w:val="7"/>
        </w:numPr>
      </w:pPr>
      <w:r>
        <w:t xml:space="preserve">a period during which representations may be made on the content of the guidance, which will not be less than 28 days. </w:t>
      </w:r>
    </w:p>
    <w:p w14:paraId="72DD05E1" w14:textId="77777777" w:rsidR="00D809A0" w:rsidRPr="002053FC" w:rsidRDefault="00D809A0" w:rsidP="00D51F4A">
      <w:pPr>
        <w:pStyle w:val="NumberedNormal"/>
        <w:numPr>
          <w:ilvl w:val="2"/>
          <w:numId w:val="7"/>
        </w:numPr>
      </w:pPr>
      <w:r>
        <w:t>Before amending DSAP Guidance or Data Best Practice Guidance by direction, the Authority will publish on the Authority's Website:</w:t>
      </w:r>
    </w:p>
    <w:p w14:paraId="2437856C" w14:textId="77777777" w:rsidR="00D809A0" w:rsidRPr="002053FC" w:rsidRDefault="00D809A0" w:rsidP="00D51F4A">
      <w:pPr>
        <w:pStyle w:val="ListNormal"/>
        <w:numPr>
          <w:ilvl w:val="3"/>
          <w:numId w:val="7"/>
        </w:numPr>
      </w:pPr>
      <w:r>
        <w:t>the text of the amended guidance;</w:t>
      </w:r>
    </w:p>
    <w:p w14:paraId="01063D4E" w14:textId="77777777" w:rsidR="00D809A0" w:rsidRPr="002053FC" w:rsidRDefault="00D809A0" w:rsidP="00D51F4A">
      <w:pPr>
        <w:pStyle w:val="ListNormal"/>
        <w:numPr>
          <w:ilvl w:val="3"/>
          <w:numId w:val="7"/>
        </w:numPr>
      </w:pPr>
      <w:r>
        <w:t>the date on which the Authority intends the amended guidance to come into effect;</w:t>
      </w:r>
    </w:p>
    <w:p w14:paraId="676A8E3C" w14:textId="77777777" w:rsidR="00D809A0" w:rsidRPr="002053FC" w:rsidRDefault="00D809A0" w:rsidP="00D51F4A">
      <w:pPr>
        <w:pStyle w:val="ListNormal"/>
        <w:numPr>
          <w:ilvl w:val="3"/>
          <w:numId w:val="7"/>
        </w:numPr>
      </w:pPr>
      <w:r>
        <w:t>the reasons for the amendments to the guidance; and</w:t>
      </w:r>
    </w:p>
    <w:p w14:paraId="7DDF76C6" w14:textId="01FD34D7" w:rsidR="00D809A0" w:rsidRPr="002053FC" w:rsidRDefault="00D809A0" w:rsidP="00D51F4A">
      <w:pPr>
        <w:pStyle w:val="ListNormal"/>
        <w:numPr>
          <w:ilvl w:val="3"/>
          <w:numId w:val="7"/>
        </w:numPr>
      </w:pPr>
      <w:r>
        <w:t>a period during which representations may be made on the amendments to the guidance, which will not be less than 28 days.</w:t>
      </w:r>
    </w:p>
    <w:p w14:paraId="00DC9394" w14:textId="77777777" w:rsidR="00D809A0" w:rsidRPr="003C5BB2" w:rsidRDefault="00D809A0" w:rsidP="009977D5"/>
    <w:p w14:paraId="29163BCE" w14:textId="77777777" w:rsidR="00D809A0" w:rsidRDefault="00D809A0" w:rsidP="00D51F4A">
      <w:pPr>
        <w:pStyle w:val="Heading2"/>
        <w:numPr>
          <w:ilvl w:val="1"/>
          <w:numId w:val="7"/>
        </w:numPr>
      </w:pPr>
      <w:bookmarkStart w:id="194" w:name="_Toc51783705"/>
      <w:bookmarkStart w:id="195" w:name="_Toc52364600"/>
      <w:r w:rsidRPr="003C5BB2">
        <w:lastRenderedPageBreak/>
        <w:t>Disapplication of Relevant Special Conditions</w:t>
      </w:r>
      <w:bookmarkEnd w:id="194"/>
      <w:bookmarkEnd w:id="195"/>
    </w:p>
    <w:p w14:paraId="50793DE0" w14:textId="77777777" w:rsidR="001A05FA" w:rsidRPr="00A50444" w:rsidRDefault="001A05FA" w:rsidP="001A05FA">
      <w:pPr>
        <w:pStyle w:val="NumberedNormal"/>
      </w:pPr>
      <w:bookmarkStart w:id="196" w:name="_Toc51783706"/>
      <w:r>
        <w:t>This condition is not being included as part of this consultation</w:t>
      </w:r>
    </w:p>
    <w:p w14:paraId="26426D35" w14:textId="77777777" w:rsidR="00D809A0" w:rsidRDefault="00D809A0" w:rsidP="00D51F4A">
      <w:pPr>
        <w:pStyle w:val="Heading2"/>
        <w:numPr>
          <w:ilvl w:val="1"/>
          <w:numId w:val="7"/>
        </w:numPr>
      </w:pPr>
      <w:bookmarkStart w:id="197" w:name="_Toc52364601"/>
      <w:r w:rsidRPr="003C5BB2">
        <w:t>Directly Remunerated Services</w:t>
      </w:r>
      <w:bookmarkEnd w:id="196"/>
      <w:bookmarkEnd w:id="197"/>
    </w:p>
    <w:p w14:paraId="5D644F56" w14:textId="77777777" w:rsidR="00D809A0" w:rsidRDefault="00D809A0" w:rsidP="00D809A0">
      <w:pPr>
        <w:pStyle w:val="Heading3"/>
        <w:numPr>
          <w:ilvl w:val="0"/>
          <w:numId w:val="0"/>
        </w:numPr>
      </w:pPr>
      <w:r>
        <w:t xml:space="preserve">Introduction  </w:t>
      </w:r>
    </w:p>
    <w:p w14:paraId="6C448236" w14:textId="77777777" w:rsidR="00D809A0" w:rsidRDefault="00D809A0" w:rsidP="00D51F4A">
      <w:pPr>
        <w:pStyle w:val="NumberedNormal"/>
        <w:numPr>
          <w:ilvl w:val="2"/>
          <w:numId w:val="7"/>
        </w:numPr>
      </w:pPr>
      <w:r>
        <w:t>The purpose of this condition is to set out the basis on which services provided by the licensee will be treated as Directly Remunerated Services under the Special Conditions.</w:t>
      </w:r>
    </w:p>
    <w:p w14:paraId="1B444802" w14:textId="083EDA4A" w:rsidR="00D809A0" w:rsidRDefault="00D809A0" w:rsidP="00D51F4A">
      <w:pPr>
        <w:pStyle w:val="NumberedNormal"/>
        <w:numPr>
          <w:ilvl w:val="2"/>
          <w:numId w:val="7"/>
        </w:numPr>
      </w:pPr>
      <w:r>
        <w:t xml:space="preserve">The effect of this condition is that revenue derived by the licensee from the provision of Directly Remunerated Services is excluded from the calculation of the </w:t>
      </w:r>
      <w:r w:rsidR="00EA694D">
        <w:t>Cal</w:t>
      </w:r>
      <w:r w:rsidR="003D12B6">
        <w:t>c</w:t>
      </w:r>
      <w:r w:rsidR="00EA694D">
        <w:t>ulated</w:t>
      </w:r>
      <w:r>
        <w:t xml:space="preserve"> Revenue formula</w:t>
      </w:r>
    </w:p>
    <w:p w14:paraId="258B27E8" w14:textId="69E0C085" w:rsidR="00D809A0" w:rsidRDefault="00D809A0" w:rsidP="00D51F4A">
      <w:pPr>
        <w:pStyle w:val="NumberedNormal"/>
        <w:numPr>
          <w:ilvl w:val="2"/>
          <w:numId w:val="7"/>
        </w:numPr>
      </w:pPr>
      <w:r>
        <w:t>This condition also explains the process that the Authority will follow when directing that services provided by the licensee should be treated, or should not be treated, as Directly Remunerated Service</w:t>
      </w:r>
    </w:p>
    <w:p w14:paraId="6686A514" w14:textId="77777777" w:rsidR="00D809A0" w:rsidRDefault="00D809A0" w:rsidP="00D51F4A">
      <w:pPr>
        <w:pStyle w:val="Heading3"/>
        <w:numPr>
          <w:ilvl w:val="5"/>
          <w:numId w:val="7"/>
        </w:numPr>
      </w:pPr>
      <w:r>
        <w:t>Licensee's obligation to exclude Directly Remunerated Services</w:t>
      </w:r>
    </w:p>
    <w:p w14:paraId="1C718579" w14:textId="514205BE" w:rsidR="00EA6712" w:rsidRDefault="00D809A0" w:rsidP="00D51F4A">
      <w:pPr>
        <w:pStyle w:val="NumberedNormal"/>
        <w:numPr>
          <w:ilvl w:val="2"/>
          <w:numId w:val="7"/>
        </w:numPr>
      </w:pPr>
      <w:r>
        <w:t xml:space="preserve">The licensee must exclude revenue derived from Directly Remunerated Services from </w:t>
      </w:r>
      <w:r w:rsidR="00EA694D">
        <w:t>Calculated</w:t>
      </w:r>
      <w:r>
        <w:t xml:space="preserve"> Revenue.</w:t>
      </w:r>
    </w:p>
    <w:p w14:paraId="5677DA23" w14:textId="3B9BC6BD" w:rsidR="00D809A0" w:rsidRDefault="00D809A0" w:rsidP="00D51F4A">
      <w:pPr>
        <w:pStyle w:val="NumberedNormal"/>
        <w:numPr>
          <w:ilvl w:val="2"/>
          <w:numId w:val="7"/>
        </w:numPr>
      </w:pPr>
      <w:r>
        <w:t xml:space="preserve">Directly Remunerated Services are:  </w:t>
      </w:r>
    </w:p>
    <w:p w14:paraId="4EF863CE" w14:textId="77777777" w:rsidR="00D809A0" w:rsidRDefault="00D809A0" w:rsidP="00D51F4A">
      <w:pPr>
        <w:pStyle w:val="ListNormal"/>
        <w:numPr>
          <w:ilvl w:val="3"/>
          <w:numId w:val="7"/>
        </w:numPr>
      </w:pPr>
      <w:r>
        <w:t xml:space="preserve">services that comply with the general principle set out in Part B; </w:t>
      </w:r>
    </w:p>
    <w:p w14:paraId="2A19AFAD" w14:textId="77777777" w:rsidR="00D809A0" w:rsidRDefault="00D809A0" w:rsidP="00D51F4A">
      <w:pPr>
        <w:pStyle w:val="ListNormal"/>
        <w:numPr>
          <w:ilvl w:val="3"/>
          <w:numId w:val="7"/>
        </w:numPr>
      </w:pPr>
      <w:r>
        <w:t xml:space="preserve">the services listed in Part C to the extent that they comply with the general principle in Part B; </w:t>
      </w:r>
    </w:p>
    <w:p w14:paraId="62567E53" w14:textId="77777777" w:rsidR="000B07EF" w:rsidRDefault="00D809A0" w:rsidP="00D51F4A">
      <w:pPr>
        <w:pStyle w:val="ListNormal"/>
        <w:numPr>
          <w:ilvl w:val="3"/>
          <w:numId w:val="7"/>
        </w:numPr>
      </w:pPr>
      <w:r>
        <w:t>services that the Authority directs are to be treated as Directly Remunerated Services</w:t>
      </w:r>
    </w:p>
    <w:p w14:paraId="4DC534B5" w14:textId="48E1459F" w:rsidR="00D809A0" w:rsidRDefault="000B07EF" w:rsidP="000B07EF">
      <w:pPr>
        <w:pStyle w:val="NumberedNormal"/>
      </w:pPr>
      <w:r w:rsidRPr="000B07EF">
        <w:t>Services</w:t>
      </w:r>
      <w:r>
        <w:t xml:space="preserve"> are not to be treated as Directly Remunerated Services if the Authority so directs.</w:t>
      </w:r>
      <w:r w:rsidR="00D809A0">
        <w:t xml:space="preserve"> </w:t>
      </w:r>
    </w:p>
    <w:p w14:paraId="2183D1FB" w14:textId="77777777" w:rsidR="00D809A0" w:rsidRDefault="00D809A0" w:rsidP="00D51F4A">
      <w:pPr>
        <w:pStyle w:val="Heading3"/>
        <w:numPr>
          <w:ilvl w:val="5"/>
          <w:numId w:val="7"/>
        </w:numPr>
      </w:pPr>
      <w:r>
        <w:t>Part B: Statement of General Principle</w:t>
      </w:r>
    </w:p>
    <w:p w14:paraId="591B55EF" w14:textId="7E1FE014" w:rsidR="00D809A0" w:rsidRDefault="00D809A0" w:rsidP="00D51F4A">
      <w:pPr>
        <w:pStyle w:val="NumberedNormal"/>
        <w:numPr>
          <w:ilvl w:val="2"/>
          <w:numId w:val="7"/>
        </w:numPr>
      </w:pPr>
      <w:r>
        <w:t xml:space="preserve">The General Principle is that a service provided by the licensee as part of its </w:t>
      </w:r>
      <w:r w:rsidR="004936AD">
        <w:t>Licensed</w:t>
      </w:r>
      <w:r>
        <w:t xml:space="preserve"> Activity is to be treated as a Directly Remunerated Service if and to the extent that the service is not already remunerated under any of the charges listed in paragraph 9.7.</w:t>
      </w:r>
      <w:r w:rsidR="000B07EF">
        <w:t>8</w:t>
      </w:r>
      <w:r>
        <w:t xml:space="preserve">. </w:t>
      </w:r>
    </w:p>
    <w:p w14:paraId="08BCA42B" w14:textId="7765DB71" w:rsidR="00D809A0" w:rsidRDefault="00D809A0" w:rsidP="00D51F4A">
      <w:pPr>
        <w:pStyle w:val="NumberedNormal"/>
        <w:numPr>
          <w:ilvl w:val="2"/>
          <w:numId w:val="7"/>
        </w:numPr>
      </w:pPr>
      <w:r>
        <w:t>The charges referred to in paragraph 9.7.</w:t>
      </w:r>
      <w:r w:rsidR="00D122F9">
        <w:t>7</w:t>
      </w:r>
      <w:r>
        <w:t xml:space="preserve"> are: </w:t>
      </w:r>
    </w:p>
    <w:p w14:paraId="47F2C024" w14:textId="24B92CF7" w:rsidR="00D809A0" w:rsidRDefault="00D809A0" w:rsidP="00D51F4A">
      <w:pPr>
        <w:pStyle w:val="ListNormal"/>
        <w:numPr>
          <w:ilvl w:val="3"/>
          <w:numId w:val="7"/>
        </w:numPr>
      </w:pPr>
      <w:r>
        <w:t xml:space="preserve">Network Charges, under the provisions of Special Condition 1B (Restriction of revenue in respect of the </w:t>
      </w:r>
      <w:r w:rsidR="004936AD">
        <w:t>Licensed</w:t>
      </w:r>
      <w:r>
        <w:t xml:space="preserve"> Activity); and </w:t>
      </w:r>
    </w:p>
    <w:p w14:paraId="46C1F999" w14:textId="77777777" w:rsidR="00D809A0" w:rsidRDefault="00D809A0" w:rsidP="00D51F4A">
      <w:pPr>
        <w:pStyle w:val="ListNormal"/>
        <w:numPr>
          <w:ilvl w:val="3"/>
          <w:numId w:val="7"/>
        </w:numPr>
      </w:pPr>
      <w:r>
        <w:t xml:space="preserve">Charges arising from any activity carried out under the provisions of Special Condition XX (Network Innovation Competition/SIF) which results in Returned Royalty Income for the licensee as defined in that condition. </w:t>
      </w:r>
    </w:p>
    <w:p w14:paraId="1A91383A" w14:textId="77777777" w:rsidR="00D809A0" w:rsidRDefault="00D809A0" w:rsidP="00D51F4A">
      <w:pPr>
        <w:pStyle w:val="Heading3"/>
        <w:numPr>
          <w:ilvl w:val="5"/>
          <w:numId w:val="7"/>
        </w:numPr>
      </w:pPr>
      <w:r>
        <w:lastRenderedPageBreak/>
        <w:t>Categories of Directly Remunerated Service</w:t>
      </w:r>
    </w:p>
    <w:p w14:paraId="5026D426" w14:textId="2A76403D" w:rsidR="00D809A0" w:rsidRDefault="00D809A0" w:rsidP="00D51F4A">
      <w:pPr>
        <w:pStyle w:val="NumberedNormal"/>
        <w:numPr>
          <w:ilvl w:val="2"/>
          <w:numId w:val="7"/>
        </w:numPr>
      </w:pPr>
      <w:r>
        <w:t>The descriptions of categories of Directly Remunerated Services set out at paragraph 9.7.</w:t>
      </w:r>
      <w:r w:rsidR="000B07EF">
        <w:t>10</w:t>
      </w:r>
      <w:r>
        <w:t xml:space="preserve"> are to be read and given effect subject to any further explanation or elaboration of any of those descriptions that might be set out in the RIGs issued by the Authority under Standard </w:t>
      </w:r>
      <w:r w:rsidR="0050000F">
        <w:t xml:space="preserve">Special </w:t>
      </w:r>
      <w:r>
        <w:t xml:space="preserve">Condition </w:t>
      </w:r>
      <w:r w:rsidR="0050000F">
        <w:t>A40</w:t>
      </w:r>
      <w:r>
        <w:t xml:space="preserve"> (Regulatory Instructions and Guidance) of this licence.  </w:t>
      </w:r>
    </w:p>
    <w:p w14:paraId="7CA58FCA" w14:textId="77777777" w:rsidR="00D809A0" w:rsidRDefault="00D809A0" w:rsidP="00D51F4A">
      <w:pPr>
        <w:pStyle w:val="NumberedNormal"/>
        <w:numPr>
          <w:ilvl w:val="2"/>
          <w:numId w:val="7"/>
        </w:numPr>
      </w:pPr>
      <w:r>
        <w:t xml:space="preserve">Directly Remunerated Services will include the following services:  </w:t>
      </w:r>
    </w:p>
    <w:p w14:paraId="768A3E5A" w14:textId="23AE62E6" w:rsidR="00D809A0" w:rsidRDefault="00D809A0" w:rsidP="00D809A0">
      <w:pPr>
        <w:pStyle w:val="NumberedNormal"/>
        <w:numPr>
          <w:ilvl w:val="0"/>
          <w:numId w:val="0"/>
        </w:numPr>
        <w:ind w:left="879"/>
      </w:pPr>
      <w:r>
        <w:t xml:space="preserve">DRS1. Connection services: This category consists of the carrying out of </w:t>
      </w:r>
      <w:r w:rsidR="00CD7272" w:rsidRPr="00CD7272">
        <w:t xml:space="preserve">entry and exit connection </w:t>
      </w:r>
      <w:r>
        <w:t xml:space="preserve">works (including any necessary reinforcement works or diversionary works) to install, operate, repair, or maintain </w:t>
      </w:r>
      <w:r w:rsidR="00CD7272" w:rsidRPr="00CD7272">
        <w:t>gas pipes,</w:t>
      </w:r>
      <w:r>
        <w:t xml:space="preserve"> plant, </w:t>
      </w:r>
      <w:r w:rsidR="00CD7272" w:rsidRPr="00CD7272">
        <w:t xml:space="preserve">meters </w:t>
      </w:r>
      <w:r>
        <w:t xml:space="preserve">or </w:t>
      </w:r>
      <w:r w:rsidR="00CD7272" w:rsidRPr="00CD7272">
        <w:t>other equipment</w:t>
      </w:r>
      <w:r>
        <w:t xml:space="preserve"> necessary to provide any new connection or modify any existing connection to the </w:t>
      </w:r>
      <w:r w:rsidR="00CD7272" w:rsidRPr="00CD7272">
        <w:t>pipeline system to which this licence relates</w:t>
      </w:r>
      <w:r>
        <w:t>, (but only to the extent that the service is not already remunerated under one of the charges set out at paragraph 9.7.</w:t>
      </w:r>
      <w:r w:rsidR="000B07EF">
        <w:t>8</w:t>
      </w:r>
      <w:r>
        <w:t xml:space="preserve">).  </w:t>
      </w:r>
    </w:p>
    <w:p w14:paraId="3086FA35" w14:textId="7466B1D7" w:rsidR="00D809A0" w:rsidRDefault="00D809A0" w:rsidP="00D809A0">
      <w:pPr>
        <w:pStyle w:val="NumberedNormal"/>
        <w:numPr>
          <w:ilvl w:val="0"/>
          <w:numId w:val="0"/>
        </w:numPr>
        <w:ind w:left="879"/>
      </w:pPr>
      <w:r>
        <w:t xml:space="preserve">DRS2. Diversionary works under an obligation: This category consists of the relocating of any </w:t>
      </w:r>
      <w:r w:rsidR="00691E85" w:rsidRPr="00691E85">
        <w:t>gas pipes or</w:t>
      </w:r>
      <w:r>
        <w:t xml:space="preserve"> plant (including the carrying out of any associated works) pursuant to any statutory obligation other than one imposed on the </w:t>
      </w:r>
      <w:r w:rsidR="00691E85" w:rsidRPr="00691E85">
        <w:t>Licensee</w:t>
      </w:r>
      <w:r>
        <w:t xml:space="preserve"> under section 9</w:t>
      </w:r>
      <w:r w:rsidR="00691E85" w:rsidRPr="00691E85">
        <w:t xml:space="preserve"> (Powers and duties of gas transporters) of the Act</w:t>
      </w:r>
      <w:r>
        <w:t xml:space="preserve">.  </w:t>
      </w:r>
    </w:p>
    <w:p w14:paraId="4539924E" w14:textId="77777777" w:rsidR="00D809A0" w:rsidRDefault="00D809A0" w:rsidP="00D809A0">
      <w:pPr>
        <w:pStyle w:val="NumberedNormal"/>
        <w:numPr>
          <w:ilvl w:val="0"/>
          <w:numId w:val="0"/>
        </w:numPr>
        <w:ind w:left="879"/>
      </w:pPr>
      <w:r>
        <w:t xml:space="preserve">DRS3. Works required by any alteration of premises: This category consists of the moving of any electric line or electrical plant that forms part of the licensee’s Transmission System to accommodate the extension, redesign, or redevelopment of any premises on which the asset in question is located or to which it is connected.  </w:t>
      </w:r>
    </w:p>
    <w:p w14:paraId="4CAE8603" w14:textId="77777777" w:rsidR="00D809A0" w:rsidRDefault="00D809A0" w:rsidP="00D809A0">
      <w:pPr>
        <w:pStyle w:val="NumberedNormal"/>
        <w:numPr>
          <w:ilvl w:val="0"/>
          <w:numId w:val="0"/>
        </w:numPr>
        <w:ind w:left="879"/>
      </w:pPr>
      <w:r>
        <w:t xml:space="preserve">DRS4. Telecommunications and information technology infrastructure services: (Not applicable to Gas Distribution) </w:t>
      </w:r>
    </w:p>
    <w:p w14:paraId="5E580C76" w14:textId="77777777" w:rsidR="00D809A0" w:rsidRDefault="00D809A0" w:rsidP="00D809A0">
      <w:pPr>
        <w:pStyle w:val="NumberedNormal"/>
        <w:numPr>
          <w:ilvl w:val="0"/>
          <w:numId w:val="0"/>
        </w:numPr>
        <w:ind w:left="879"/>
      </w:pPr>
      <w:r>
        <w:t xml:space="preserve">DRS5. Outage Changes: (Not applicable to Gas Distribution) </w:t>
      </w:r>
    </w:p>
    <w:p w14:paraId="72E2EFDE" w14:textId="77777777" w:rsidR="00D809A0" w:rsidRDefault="00D809A0" w:rsidP="00D809A0">
      <w:pPr>
        <w:pStyle w:val="NumberedNormal"/>
        <w:numPr>
          <w:ilvl w:val="0"/>
          <w:numId w:val="0"/>
        </w:numPr>
        <w:ind w:left="879"/>
      </w:pPr>
      <w:r>
        <w:t xml:space="preserve">DRS6. Emergency Services: This category consists of the provision of emergency services under contracts entered into pursuant to the provisions of Standard Special Condition A41 (Emergency Services to or on Behalf of Another Gas Transporter) of this licence.  </w:t>
      </w:r>
    </w:p>
    <w:p w14:paraId="67DA61C5" w14:textId="408B0666" w:rsidR="00D809A0" w:rsidRDefault="00640ABE" w:rsidP="00D809A0">
      <w:pPr>
        <w:pStyle w:val="NumberedNormal"/>
        <w:numPr>
          <w:ilvl w:val="0"/>
          <w:numId w:val="0"/>
        </w:numPr>
        <w:ind w:left="879"/>
      </w:pPr>
      <w:r>
        <w:t>DRS7</w:t>
      </w:r>
      <w:r w:rsidR="00D809A0">
        <w:t xml:space="preserve">. PARCA Activities: (Not applicable to Gas Distribution) </w:t>
      </w:r>
    </w:p>
    <w:p w14:paraId="10C1FBCE" w14:textId="77777777" w:rsidR="00640ABE" w:rsidRDefault="00640ABE" w:rsidP="00D809A0">
      <w:pPr>
        <w:pStyle w:val="NumberedNormal"/>
        <w:numPr>
          <w:ilvl w:val="0"/>
          <w:numId w:val="0"/>
        </w:numPr>
        <w:ind w:left="879"/>
      </w:pPr>
      <w:r>
        <w:t>DRS8</w:t>
      </w:r>
      <w:r w:rsidR="00D809A0">
        <w:t xml:space="preserve">. Independent System Operation: This category consists of the operation of Independent Systems, within the meaning of Special Condition 4I (Gas conveyed to Independent Systems), of the licence applicable to the NTS Operator, on behalf of the NTS Operator. </w:t>
      </w:r>
    </w:p>
    <w:p w14:paraId="3FE5A938" w14:textId="2D79ADA9" w:rsidR="00D809A0" w:rsidRDefault="00640ABE" w:rsidP="00D809A0">
      <w:pPr>
        <w:pStyle w:val="NumberedNormal"/>
        <w:numPr>
          <w:ilvl w:val="0"/>
          <w:numId w:val="0"/>
        </w:numPr>
        <w:ind w:left="879"/>
      </w:pPr>
      <w:r>
        <w:t>DRS9</w:t>
      </w:r>
      <w:r w:rsidR="00D809A0">
        <w:t>. Network Innovation Funding: NIC/SIF payments made by the System Operator to the licensee in respect of NIC funding in accordance with Special Condition XX (</w:t>
      </w:r>
      <w:r w:rsidR="00F7578C">
        <w:t xml:space="preserve">Close-out of </w:t>
      </w:r>
      <w:r w:rsidR="00306986">
        <w:t>RIIO</w:t>
      </w:r>
      <w:r w:rsidR="00F7578C">
        <w:t xml:space="preserve">-1 </w:t>
      </w:r>
      <w:r w:rsidR="00D809A0">
        <w:t>The Network Innovation Competition</w:t>
      </w:r>
      <w:r w:rsidR="00306986">
        <w:t>)</w:t>
      </w:r>
      <w:r w:rsidR="00F7578C">
        <w:t xml:space="preserve"> and Special Condition XX (</w:t>
      </w:r>
      <w:r w:rsidR="00D809A0">
        <w:t xml:space="preserve">Strategic Innovation Funding). </w:t>
      </w:r>
    </w:p>
    <w:p w14:paraId="68999D56" w14:textId="4B021258" w:rsidR="00D809A0" w:rsidRDefault="00D809A0" w:rsidP="00D809A0">
      <w:pPr>
        <w:pStyle w:val="NumberedNormal"/>
        <w:numPr>
          <w:ilvl w:val="0"/>
          <w:numId w:val="0"/>
        </w:numPr>
        <w:ind w:left="879"/>
      </w:pPr>
      <w:r>
        <w:lastRenderedPageBreak/>
        <w:t>DRS1</w:t>
      </w:r>
      <w:r w:rsidR="00640ABE">
        <w:t>0</w:t>
      </w:r>
      <w:r>
        <w:t xml:space="preserve">. Value Added Services: (Not applicable to Gas Distribution)  </w:t>
      </w:r>
    </w:p>
    <w:p w14:paraId="6835DDD5" w14:textId="495C6417" w:rsidR="00D809A0" w:rsidRDefault="00640ABE" w:rsidP="00D809A0">
      <w:pPr>
        <w:pStyle w:val="NumberedNormal"/>
        <w:numPr>
          <w:ilvl w:val="0"/>
          <w:numId w:val="0"/>
        </w:numPr>
        <w:ind w:left="879"/>
      </w:pPr>
      <w:r>
        <w:t>DRS11</w:t>
      </w:r>
      <w:r w:rsidR="00D809A0">
        <w:t xml:space="preserve">. Top-up, standby, and enhanced system security: (Not applicable to Gas Distribution)  </w:t>
      </w:r>
    </w:p>
    <w:p w14:paraId="758C1C4D" w14:textId="0DFBF299" w:rsidR="00D809A0" w:rsidRDefault="00640ABE" w:rsidP="00D809A0">
      <w:pPr>
        <w:pStyle w:val="NumberedNormal"/>
        <w:numPr>
          <w:ilvl w:val="0"/>
          <w:numId w:val="0"/>
        </w:numPr>
        <w:ind w:left="879"/>
      </w:pPr>
      <w:r>
        <w:t>DRS12</w:t>
      </w:r>
      <w:r w:rsidR="00D809A0">
        <w:t xml:space="preserve">. Revenue protection services: (Not applicable to Gas Distribution)  </w:t>
      </w:r>
    </w:p>
    <w:p w14:paraId="1B26B3B4" w14:textId="34027763" w:rsidR="00D809A0" w:rsidRDefault="00640ABE" w:rsidP="00D809A0">
      <w:pPr>
        <w:pStyle w:val="NumberedNormal"/>
        <w:numPr>
          <w:ilvl w:val="0"/>
          <w:numId w:val="0"/>
        </w:numPr>
        <w:ind w:left="879"/>
      </w:pPr>
      <w:r>
        <w:t>DRS13</w:t>
      </w:r>
      <w:r w:rsidR="00D809A0">
        <w:t xml:space="preserve">. Metering Services: (Not applicable to Gas Distribution)  </w:t>
      </w:r>
    </w:p>
    <w:p w14:paraId="36C8D270" w14:textId="290F2D3B" w:rsidR="00D809A0" w:rsidRDefault="00640ABE" w:rsidP="00D809A0">
      <w:pPr>
        <w:pStyle w:val="NumberedNormal"/>
        <w:numPr>
          <w:ilvl w:val="0"/>
          <w:numId w:val="0"/>
        </w:numPr>
        <w:ind w:left="879"/>
      </w:pPr>
      <w:r>
        <w:t>DRS14</w:t>
      </w:r>
      <w:r w:rsidR="00D809A0">
        <w:t xml:space="preserve">. Smart Meter Roll-out rechargeable services: (Not applicable to Gas Distribution)  </w:t>
      </w:r>
    </w:p>
    <w:p w14:paraId="513DE88E" w14:textId="3D77D9CE" w:rsidR="00D809A0" w:rsidRDefault="00640ABE" w:rsidP="00D809A0">
      <w:pPr>
        <w:pStyle w:val="NumberedNormal"/>
        <w:numPr>
          <w:ilvl w:val="0"/>
          <w:numId w:val="0"/>
        </w:numPr>
        <w:ind w:left="879"/>
      </w:pPr>
      <w:r>
        <w:t>DRS15</w:t>
      </w:r>
      <w:r w:rsidR="00D809A0">
        <w:t xml:space="preserve">. Miscellaneous: This category consists of the provision of any other service (including the provision of gas pipes or plant) that:  </w:t>
      </w:r>
    </w:p>
    <w:p w14:paraId="4F0F6F92" w14:textId="77777777" w:rsidR="00D809A0" w:rsidRDefault="00D809A0" w:rsidP="00D51F4A">
      <w:pPr>
        <w:pStyle w:val="ListNormal"/>
        <w:numPr>
          <w:ilvl w:val="3"/>
          <w:numId w:val="7"/>
        </w:numPr>
      </w:pPr>
      <w:r>
        <w:t xml:space="preserve">is for the specific benefit of any third party who requests it;  </w:t>
      </w:r>
    </w:p>
    <w:p w14:paraId="1E3801AB" w14:textId="5C973E12" w:rsidR="00D809A0" w:rsidRDefault="00D809A0" w:rsidP="00D51F4A">
      <w:pPr>
        <w:pStyle w:val="ListNormal"/>
        <w:numPr>
          <w:ilvl w:val="3"/>
          <w:numId w:val="7"/>
        </w:numPr>
      </w:pPr>
      <w:r>
        <w:t xml:space="preserve">is not made available by the </w:t>
      </w:r>
      <w:r w:rsidR="007A08B9">
        <w:t>l</w:t>
      </w:r>
      <w:r>
        <w:t xml:space="preserve">icensee as a normal part of the activities of its Distribution Network Transportation Activity and Metering Business. </w:t>
      </w:r>
    </w:p>
    <w:p w14:paraId="65A4B77D" w14:textId="77777777" w:rsidR="00D809A0" w:rsidRDefault="00D809A0" w:rsidP="00D51F4A">
      <w:pPr>
        <w:pStyle w:val="Heading3"/>
        <w:numPr>
          <w:ilvl w:val="5"/>
          <w:numId w:val="7"/>
        </w:numPr>
      </w:pPr>
      <w:r>
        <w:t xml:space="preserve">Procedure for issuing directions </w:t>
      </w:r>
    </w:p>
    <w:p w14:paraId="7B20235A" w14:textId="598CC07E" w:rsidR="00D809A0" w:rsidRDefault="00D809A0" w:rsidP="00D51F4A">
      <w:pPr>
        <w:pStyle w:val="NumberedNormal"/>
        <w:numPr>
          <w:ilvl w:val="2"/>
          <w:numId w:val="7"/>
        </w:numPr>
      </w:pPr>
      <w:r>
        <w:t xml:space="preserve">Before issuing a direction under </w:t>
      </w:r>
      <w:r w:rsidR="000B07EF">
        <w:t>Part A</w:t>
      </w:r>
      <w:r>
        <w:t xml:space="preserve"> the Authority will consider the General Principle in Part B. </w:t>
      </w:r>
    </w:p>
    <w:p w14:paraId="1AF937F2" w14:textId="42C90957" w:rsidR="00D809A0" w:rsidRPr="003C5BB2" w:rsidRDefault="00D809A0" w:rsidP="00D51F4A">
      <w:pPr>
        <w:pStyle w:val="NumberedNormal"/>
        <w:numPr>
          <w:ilvl w:val="2"/>
          <w:numId w:val="7"/>
        </w:numPr>
      </w:pPr>
      <w:r>
        <w:t xml:space="preserve">Any direction that the Authority issues under </w:t>
      </w:r>
      <w:r w:rsidR="000B07EF">
        <w:t>Part A</w:t>
      </w:r>
      <w:r>
        <w:t xml:space="preserve"> will set out the date on which the licensee must start or cease treating services as Directly Remunerated Services.</w:t>
      </w:r>
      <w:r w:rsidR="00EB25AD">
        <w:t xml:space="preserve"> </w:t>
      </w:r>
    </w:p>
    <w:p w14:paraId="65E40951" w14:textId="77777777" w:rsidR="00D809A0" w:rsidRPr="00107E2D" w:rsidRDefault="00D809A0" w:rsidP="00D51F4A">
      <w:pPr>
        <w:pStyle w:val="Heading2"/>
        <w:numPr>
          <w:ilvl w:val="1"/>
          <w:numId w:val="7"/>
        </w:numPr>
      </w:pPr>
      <w:bookmarkStart w:id="198" w:name="_Toc51783707"/>
      <w:bookmarkStart w:id="199" w:name="_Toc52364602"/>
      <w:r w:rsidRPr="00107E2D">
        <w:t>Restriction of prices in respect of Tariff Capped Metering Activities</w:t>
      </w:r>
      <w:bookmarkEnd w:id="198"/>
      <w:bookmarkEnd w:id="199"/>
    </w:p>
    <w:p w14:paraId="7846506C" w14:textId="77777777" w:rsidR="00D809A0" w:rsidRPr="00107E2D" w:rsidRDefault="00D809A0" w:rsidP="00D809A0">
      <w:pPr>
        <w:pStyle w:val="Heading3nonumbering"/>
      </w:pPr>
      <w:r w:rsidRPr="00107E2D">
        <w:t xml:space="preserve">Introduction </w:t>
      </w:r>
    </w:p>
    <w:p w14:paraId="3C8843EF" w14:textId="77777777" w:rsidR="00D809A0" w:rsidRPr="00107E2D" w:rsidRDefault="00D809A0" w:rsidP="00D51F4A">
      <w:pPr>
        <w:pStyle w:val="NumberedNormal"/>
        <w:numPr>
          <w:ilvl w:val="2"/>
          <w:numId w:val="7"/>
        </w:numPr>
      </w:pPr>
      <w:r>
        <w:t>The purpose of this condition is to set out the tariff caps on certain metering activities.</w:t>
      </w:r>
    </w:p>
    <w:p w14:paraId="52A2F5AD" w14:textId="77777777" w:rsidR="00D809A0" w:rsidRPr="00107E2D" w:rsidRDefault="00D809A0" w:rsidP="00D51F4A">
      <w:pPr>
        <w:pStyle w:val="Heading3"/>
        <w:numPr>
          <w:ilvl w:val="5"/>
          <w:numId w:val="7"/>
        </w:numPr>
      </w:pPr>
      <w:r>
        <w:t>Principle restriction</w:t>
      </w:r>
    </w:p>
    <w:p w14:paraId="50B7BD1F" w14:textId="77777777" w:rsidR="00D809A0" w:rsidRPr="00107E2D" w:rsidRDefault="00D809A0" w:rsidP="00D51F4A">
      <w:pPr>
        <w:pStyle w:val="NumberedNormal"/>
        <w:numPr>
          <w:ilvl w:val="2"/>
          <w:numId w:val="7"/>
        </w:numPr>
      </w:pPr>
      <w:r w:rsidRPr="00107E2D">
        <w:t xml:space="preserve">The licensee in setting its charges for each of its Tariff-Capped Metering Activities in any Regulatory Year must not exceed the maximum tariff cap </w:t>
      </w:r>
      <m:oMath>
        <m:sSubSup>
          <m:sSubSupPr>
            <m:ctrlPr>
              <w:rPr>
                <w:rFonts w:ascii="Cambria Math" w:hAnsi="Cambria Math"/>
              </w:rPr>
            </m:ctrlPr>
          </m:sSubSupPr>
          <m:e>
            <m:r>
              <m:rPr>
                <m:sty m:val="p"/>
              </m:rPr>
              <w:rPr>
                <w:rFonts w:ascii="Cambria Math" w:hAnsi="Cambria Math"/>
              </w:rPr>
              <m:t>M</m:t>
            </m:r>
          </m:e>
          <m:sub>
            <m:r>
              <m:rPr>
                <m:sty m:val="p"/>
              </m:rPr>
              <w:rPr>
                <w:rFonts w:ascii="Cambria Math" w:hAnsi="Cambria Math"/>
              </w:rPr>
              <m:t>t</m:t>
            </m:r>
          </m:sub>
          <m:sup>
            <m:r>
              <m:rPr>
                <m:sty m:val="p"/>
              </m:rPr>
              <w:rPr>
                <w:rFonts w:ascii="Cambria Math" w:hAnsi="Cambria Math"/>
              </w:rPr>
              <m:t>A</m:t>
            </m:r>
          </m:sup>
        </m:sSubSup>
      </m:oMath>
      <w:r w:rsidRPr="00107E2D">
        <w:t xml:space="preserve"> in respect of that metering activity in that Regulatory Year.</w:t>
      </w:r>
    </w:p>
    <w:p w14:paraId="33DF2ED8" w14:textId="77777777" w:rsidR="00D809A0" w:rsidRPr="00107E2D" w:rsidRDefault="00D809A0" w:rsidP="00D51F4A">
      <w:pPr>
        <w:pStyle w:val="Heading3"/>
        <w:numPr>
          <w:ilvl w:val="5"/>
          <w:numId w:val="7"/>
        </w:numPr>
      </w:pPr>
      <w:r w:rsidRPr="00107E2D">
        <w:t>Maximum tariff caps (</w:t>
      </w:r>
      <m:oMath>
        <m:sSubSup>
          <m:sSubSupPr>
            <m:ctrlPr>
              <w:rPr>
                <w:rFonts w:ascii="Cambria Math" w:hAnsi="Cambria Math"/>
              </w:rPr>
            </m:ctrlPr>
          </m:sSubSupPr>
          <m:e>
            <m:r>
              <m:rPr>
                <m:sty m:val="b"/>
              </m:rPr>
              <w:rPr>
                <w:rFonts w:ascii="Cambria Math" w:hAnsi="Cambria Math"/>
              </w:rPr>
              <m:t>M</m:t>
            </m:r>
          </m:e>
          <m:sub>
            <m:r>
              <m:rPr>
                <m:sty m:val="b"/>
              </m:rPr>
              <w:rPr>
                <w:rFonts w:ascii="Cambria Math" w:hAnsi="Cambria Math"/>
              </w:rPr>
              <m:t>t</m:t>
            </m:r>
          </m:sub>
          <m:sup>
            <m:r>
              <m:rPr>
                <m:sty m:val="b"/>
              </m:rPr>
              <w:rPr>
                <w:rFonts w:ascii="Cambria Math" w:hAnsi="Cambria Math"/>
              </w:rPr>
              <m:t>A</m:t>
            </m:r>
          </m:sup>
        </m:sSubSup>
      </m:oMath>
      <w:r w:rsidRPr="00107E2D">
        <w:t>)</w:t>
      </w:r>
    </w:p>
    <w:p w14:paraId="1414F37B" w14:textId="77777777" w:rsidR="00D809A0" w:rsidRPr="00107E2D" w:rsidRDefault="00D809A0" w:rsidP="00D51F4A">
      <w:pPr>
        <w:pStyle w:val="NumberedNormal"/>
        <w:numPr>
          <w:ilvl w:val="2"/>
          <w:numId w:val="7"/>
        </w:numPr>
      </w:pPr>
      <w:r>
        <w:t>The maximum tariff cap for each of the Tariff-Capped Metering Activities is derived in the following manner:</w:t>
      </w:r>
    </w:p>
    <w:p w14:paraId="02CD7574" w14:textId="23010A8D" w:rsidR="00D809A0" w:rsidRPr="008A05DA" w:rsidRDefault="008C7681" w:rsidP="00D809A0">
      <w:pPr>
        <w:pStyle w:val="Equation"/>
      </w:pPr>
      <m:oMathPara>
        <m:oMathParaPr>
          <m:jc m:val="center"/>
        </m:oMathParaPr>
        <m:oMath>
          <m:sSubSup>
            <m:sSubSupPr>
              <m:ctrlPr>
                <w:rPr>
                  <w:rFonts w:ascii="Cambria Math" w:hAnsi="Cambria Math"/>
                </w:rPr>
              </m:ctrlPr>
            </m:sSubSupPr>
            <m:e>
              <m:r>
                <m:rPr>
                  <m:sty m:val="p"/>
                </m:rPr>
                <w:rPr>
                  <w:rFonts w:ascii="Cambria Math" w:hAnsi="Cambria Math"/>
                </w:rPr>
                <m:t>M</m:t>
              </m:r>
            </m:e>
            <m:sub>
              <m:r>
                <m:rPr>
                  <m:sty m:val="p"/>
                </m:rPr>
                <w:rPr>
                  <w:rFonts w:ascii="Cambria Math" w:hAnsi="Cambria Math"/>
                </w:rPr>
                <m:t>t</m:t>
              </m:r>
            </m:sub>
            <m:sup>
              <m:r>
                <m:rPr>
                  <m:sty m:val="p"/>
                </m:rPr>
                <w:rPr>
                  <w:rFonts w:ascii="Cambria Math" w:hAnsi="Cambria Math"/>
                </w:rPr>
                <m:t>A</m:t>
              </m:r>
            </m:sup>
          </m:sSubSup>
          <m:r>
            <m:rPr>
              <m:sty m:val="p"/>
            </m:rPr>
            <w:rPr>
              <w:rFonts w:ascii="Cambria Math" w:hAnsi="Cambria Math"/>
            </w:rPr>
            <m:t>=</m:t>
          </m:r>
          <m:sSup>
            <m:sSupPr>
              <m:ctrlPr>
                <w:rPr>
                  <w:rFonts w:ascii="Cambria Math" w:hAnsi="Cambria Math"/>
                </w:rPr>
              </m:ctrlPr>
            </m:sSupPr>
            <m:e>
              <m:r>
                <m:rPr>
                  <m:sty m:val="p"/>
                </m:rPr>
                <w:rPr>
                  <w:rFonts w:ascii="Cambria Math" w:hAnsi="Cambria Math"/>
                </w:rPr>
                <m:t>M</m:t>
              </m:r>
            </m:e>
            <m:sup>
              <m:r>
                <m:rPr>
                  <m:sty m:val="p"/>
                </m:rPr>
                <w:rPr>
                  <w:rFonts w:ascii="Cambria Math" w:hAnsi="Cambria Math"/>
                </w:rPr>
                <m:t>A</m:t>
              </m:r>
            </m:sup>
          </m:sSup>
          <m:f>
            <m:fPr>
              <m:ctrlPr>
                <w:rPr>
                  <w:rFonts w:ascii="Cambria Math" w:hAnsi="Cambria Math"/>
                  <w:i/>
                </w:rPr>
              </m:ctrlPr>
            </m:fPr>
            <m:num>
              <m:sSub>
                <m:sSubPr>
                  <m:ctrlPr>
                    <w:rPr>
                      <w:rFonts w:ascii="Cambria Math" w:hAnsi="Cambria Math"/>
                      <w:i/>
                    </w:rPr>
                  </m:ctrlPr>
                </m:sSubPr>
                <m:e>
                  <m:r>
                    <w:rPr>
                      <w:rFonts w:ascii="Cambria Math" w:hAnsi="Cambria Math"/>
                    </w:rPr>
                    <m:t>PI</m:t>
                  </m:r>
                </m:e>
                <m:sub>
                  <m:r>
                    <w:rPr>
                      <w:rFonts w:ascii="Cambria Math" w:hAnsi="Cambria Math"/>
                    </w:rPr>
                    <m:t>t</m:t>
                  </m:r>
                </m:sub>
              </m:sSub>
            </m:num>
            <m:den>
              <m:sSub>
                <m:sSubPr>
                  <m:ctrlPr>
                    <w:rPr>
                      <w:rFonts w:ascii="Cambria Math" w:hAnsi="Cambria Math"/>
                      <w:i/>
                    </w:rPr>
                  </m:ctrlPr>
                </m:sSubPr>
                <m:e>
                  <m:r>
                    <w:rPr>
                      <w:rFonts w:ascii="Cambria Math" w:hAnsi="Cambria Math"/>
                    </w:rPr>
                    <m:t>PI</m:t>
                  </m:r>
                </m:e>
                <m:sub>
                  <m:r>
                    <w:rPr>
                      <w:rFonts w:ascii="Cambria Math" w:hAnsi="Cambria Math"/>
                    </w:rPr>
                    <m:t>2018/19</m:t>
                  </m:r>
                </m:sub>
              </m:sSub>
            </m:den>
          </m:f>
        </m:oMath>
      </m:oMathPara>
    </w:p>
    <w:p w14:paraId="1F1F865C" w14:textId="58D1BFB2" w:rsidR="00D809A0" w:rsidRPr="00107E2D" w:rsidRDefault="00B65CEC" w:rsidP="00D809A0">
      <w:r>
        <w:tab/>
      </w:r>
      <w:r w:rsidR="00D809A0" w:rsidRPr="00107E2D">
        <w:t>where:</w:t>
      </w:r>
    </w:p>
    <w:tbl>
      <w:tblPr>
        <w:tblStyle w:val="TableGridLight"/>
        <w:tblW w:w="0" w:type="auto"/>
        <w:tblLook w:val="0000" w:firstRow="0" w:lastRow="0" w:firstColumn="0" w:lastColumn="0" w:noHBand="0" w:noVBand="0"/>
      </w:tblPr>
      <w:tblGrid>
        <w:gridCol w:w="992"/>
        <w:gridCol w:w="5543"/>
        <w:gridCol w:w="1811"/>
      </w:tblGrid>
      <w:tr w:rsidR="00D809A0" w:rsidRPr="00DE046A" w14:paraId="5192450D" w14:textId="77777777" w:rsidTr="00B65CEC">
        <w:tc>
          <w:tcPr>
            <w:tcW w:w="0" w:type="auto"/>
          </w:tcPr>
          <w:p w14:paraId="17723924" w14:textId="77777777" w:rsidR="00D809A0" w:rsidRPr="00107E2D" w:rsidRDefault="00D809A0" w:rsidP="00D809A0">
            <w:r w:rsidRPr="00107E2D">
              <w:lastRenderedPageBreak/>
              <w:t>Activity</w:t>
            </w:r>
          </w:p>
        </w:tc>
        <w:tc>
          <w:tcPr>
            <w:tcW w:w="0" w:type="auto"/>
          </w:tcPr>
          <w:p w14:paraId="1406C9A9" w14:textId="77777777" w:rsidR="00D809A0" w:rsidRPr="00107E2D" w:rsidRDefault="00D809A0" w:rsidP="00D809A0">
            <w:r w:rsidRPr="00107E2D">
              <w:t>Description</w:t>
            </w:r>
          </w:p>
        </w:tc>
        <w:tc>
          <w:tcPr>
            <w:tcW w:w="0" w:type="auto"/>
          </w:tcPr>
          <w:p w14:paraId="637318FB" w14:textId="77777777" w:rsidR="00D809A0" w:rsidRPr="00107E2D" w:rsidRDefault="00D809A0" w:rsidP="00D809A0">
            <w:r w:rsidRPr="00107E2D">
              <w:t>Maximum tariff caps (</w:t>
            </w:r>
            <m:oMath>
              <m:sSubSup>
                <m:sSubSupPr>
                  <m:ctrlPr>
                    <w:rPr>
                      <w:rFonts w:ascii="Cambria Math" w:hAnsi="Cambria Math"/>
                    </w:rPr>
                  </m:ctrlPr>
                </m:sSubSupPr>
                <m:e>
                  <m:r>
                    <m:rPr>
                      <m:sty m:val="p"/>
                    </m:rPr>
                    <w:rPr>
                      <w:rFonts w:ascii="Cambria Math" w:hAnsi="Cambria Math"/>
                    </w:rPr>
                    <m:t>M</m:t>
                  </m:r>
                </m:e>
                <m:sub>
                  <m:r>
                    <m:rPr>
                      <m:sty m:val="p"/>
                    </m:rPr>
                    <w:rPr>
                      <w:rFonts w:ascii="Cambria Math" w:hAnsi="Cambria Math"/>
                    </w:rPr>
                    <m:t>t</m:t>
                  </m:r>
                </m:sub>
                <m:sup>
                  <m:r>
                    <m:rPr>
                      <m:sty m:val="p"/>
                    </m:rPr>
                    <w:rPr>
                      <w:rFonts w:ascii="Cambria Math" w:hAnsi="Cambria Math"/>
                    </w:rPr>
                    <m:t>A</m:t>
                  </m:r>
                </m:sup>
              </m:sSubSup>
            </m:oMath>
            <w:r w:rsidRPr="00107E2D">
              <w:t>)</w:t>
            </w:r>
          </w:p>
        </w:tc>
      </w:tr>
      <w:tr w:rsidR="00D809A0" w:rsidRPr="00DE046A" w14:paraId="1A1252F4" w14:textId="77777777" w:rsidTr="00B65CEC">
        <w:tc>
          <w:tcPr>
            <w:tcW w:w="0" w:type="auto"/>
          </w:tcPr>
          <w:p w14:paraId="736FE4D4" w14:textId="77777777" w:rsidR="00D809A0" w:rsidRPr="00107E2D" w:rsidRDefault="008C7681" w:rsidP="00D809A0">
            <w:pPr>
              <w:pStyle w:val="Equation"/>
            </w:pPr>
            <m:oMathPara>
              <m:oMathParaPr>
                <m:jc m:val="left"/>
              </m:oMathParaPr>
              <m:oMath>
                <m:sSup>
                  <m:sSupPr>
                    <m:ctrlPr>
                      <w:rPr>
                        <w:rFonts w:ascii="Cambria Math" w:hAnsi="Cambria Math"/>
                      </w:rPr>
                    </m:ctrlPr>
                  </m:sSupPr>
                  <m:e>
                    <m:r>
                      <m:rPr>
                        <m:sty m:val="p"/>
                      </m:rPr>
                      <w:rPr>
                        <w:rFonts w:ascii="Cambria Math" w:hAnsi="Cambria Math"/>
                      </w:rPr>
                      <m:t>M</m:t>
                    </m:r>
                  </m:e>
                  <m:sup>
                    <m:r>
                      <m:rPr>
                        <m:sty m:val="p"/>
                      </m:rPr>
                      <w:rPr>
                        <w:rFonts w:ascii="Cambria Math" w:hAnsi="Cambria Math"/>
                      </w:rPr>
                      <m:t>A=1</m:t>
                    </m:r>
                  </m:sup>
                </m:sSup>
              </m:oMath>
            </m:oMathPara>
          </w:p>
        </w:tc>
        <w:tc>
          <w:tcPr>
            <w:tcW w:w="0" w:type="auto"/>
          </w:tcPr>
          <w:p w14:paraId="26AA8271" w14:textId="77777777" w:rsidR="00D809A0" w:rsidRPr="00107E2D" w:rsidRDefault="00D809A0" w:rsidP="00D809A0">
            <w:pPr>
              <w:pStyle w:val="Equation"/>
            </w:pPr>
            <w:r w:rsidRPr="00107E2D">
              <w:t>Annual charge for providing and maintaining the assets that form a Domestic Credit Meter Installation, per meter per annum</w:t>
            </w:r>
          </w:p>
        </w:tc>
        <w:tc>
          <w:tcPr>
            <w:tcW w:w="0" w:type="auto"/>
          </w:tcPr>
          <w:p w14:paraId="765AF267" w14:textId="77777777" w:rsidR="00D809A0" w:rsidRPr="00107E2D" w:rsidRDefault="00D809A0" w:rsidP="00D809A0">
            <w:r w:rsidRPr="00107E2D">
              <w:t>£14.68</w:t>
            </w:r>
          </w:p>
        </w:tc>
      </w:tr>
      <w:tr w:rsidR="00D809A0" w:rsidRPr="00DE046A" w14:paraId="6F6C3325" w14:textId="77777777" w:rsidTr="00B65CEC">
        <w:tc>
          <w:tcPr>
            <w:tcW w:w="0" w:type="auto"/>
          </w:tcPr>
          <w:p w14:paraId="4C052618" w14:textId="77777777" w:rsidR="00D809A0" w:rsidRPr="00107E2D" w:rsidRDefault="008C7681" w:rsidP="00D809A0">
            <w:pPr>
              <w:pStyle w:val="Equation"/>
            </w:pPr>
            <m:oMathPara>
              <m:oMathParaPr>
                <m:jc m:val="left"/>
              </m:oMathParaPr>
              <m:oMath>
                <m:sSup>
                  <m:sSupPr>
                    <m:ctrlPr>
                      <w:rPr>
                        <w:rFonts w:ascii="Cambria Math" w:hAnsi="Cambria Math"/>
                      </w:rPr>
                    </m:ctrlPr>
                  </m:sSupPr>
                  <m:e>
                    <m:r>
                      <m:rPr>
                        <m:sty m:val="p"/>
                      </m:rPr>
                      <w:rPr>
                        <w:rFonts w:ascii="Cambria Math" w:hAnsi="Cambria Math"/>
                      </w:rPr>
                      <m:t>M</m:t>
                    </m:r>
                  </m:e>
                  <m:sup>
                    <m:r>
                      <m:rPr>
                        <m:sty m:val="p"/>
                      </m:rPr>
                      <w:rPr>
                        <w:rFonts w:ascii="Cambria Math" w:hAnsi="Cambria Math"/>
                      </w:rPr>
                      <m:t>A=2</m:t>
                    </m:r>
                  </m:sup>
                </m:sSup>
              </m:oMath>
            </m:oMathPara>
          </w:p>
        </w:tc>
        <w:tc>
          <w:tcPr>
            <w:tcW w:w="0" w:type="auto"/>
          </w:tcPr>
          <w:p w14:paraId="7C933D2F" w14:textId="77777777" w:rsidR="00D809A0" w:rsidRPr="00107E2D" w:rsidRDefault="00D809A0" w:rsidP="00D809A0">
            <w:pPr>
              <w:pStyle w:val="Equation"/>
            </w:pPr>
            <w:r w:rsidRPr="00107E2D">
              <w:t>Annual charge for providing and maintaining the assets that form a Prepayment Meter Installation, per meter per annum</w:t>
            </w:r>
          </w:p>
        </w:tc>
        <w:tc>
          <w:tcPr>
            <w:tcW w:w="0" w:type="auto"/>
          </w:tcPr>
          <w:p w14:paraId="379F2571" w14:textId="77777777" w:rsidR="00D809A0" w:rsidRPr="00107E2D" w:rsidRDefault="00D809A0" w:rsidP="00D809A0">
            <w:r w:rsidRPr="00107E2D">
              <w:t>£36.73</w:t>
            </w:r>
          </w:p>
        </w:tc>
      </w:tr>
      <w:tr w:rsidR="00D809A0" w:rsidRPr="00DE046A" w14:paraId="5CEE96A1" w14:textId="77777777" w:rsidTr="00B65CEC">
        <w:tc>
          <w:tcPr>
            <w:tcW w:w="0" w:type="auto"/>
          </w:tcPr>
          <w:p w14:paraId="24F2FD24" w14:textId="77777777" w:rsidR="00D809A0" w:rsidRPr="00107E2D" w:rsidRDefault="008C7681" w:rsidP="00D809A0">
            <w:pPr>
              <w:pStyle w:val="Equation"/>
            </w:pPr>
            <m:oMathPara>
              <m:oMathParaPr>
                <m:jc m:val="left"/>
              </m:oMathParaPr>
              <m:oMath>
                <m:sSup>
                  <m:sSupPr>
                    <m:ctrlPr>
                      <w:rPr>
                        <w:rFonts w:ascii="Cambria Math" w:hAnsi="Cambria Math"/>
                      </w:rPr>
                    </m:ctrlPr>
                  </m:sSupPr>
                  <m:e>
                    <m:r>
                      <m:rPr>
                        <m:sty m:val="p"/>
                      </m:rPr>
                      <w:rPr>
                        <w:rFonts w:ascii="Cambria Math" w:hAnsi="Cambria Math"/>
                      </w:rPr>
                      <m:t>M</m:t>
                    </m:r>
                  </m:e>
                  <m:sup>
                    <m:r>
                      <m:rPr>
                        <m:sty m:val="p"/>
                      </m:rPr>
                      <w:rPr>
                        <w:rFonts w:ascii="Cambria Math" w:hAnsi="Cambria Math"/>
                      </w:rPr>
                      <m:t>A=3</m:t>
                    </m:r>
                  </m:sup>
                </m:sSup>
              </m:oMath>
            </m:oMathPara>
          </w:p>
        </w:tc>
        <w:tc>
          <w:tcPr>
            <w:tcW w:w="0" w:type="auto"/>
          </w:tcPr>
          <w:p w14:paraId="18E61ABC" w14:textId="77777777" w:rsidR="00D809A0" w:rsidRPr="00107E2D" w:rsidRDefault="00D809A0" w:rsidP="00D809A0">
            <w:pPr>
              <w:pStyle w:val="Equation"/>
            </w:pPr>
            <w:r w:rsidRPr="00107E2D">
              <w:t>Annual charge for providing a daily meter reading for Daily Metered Supply Meter Points, per supply meter point per annum</w:t>
            </w:r>
          </w:p>
        </w:tc>
        <w:tc>
          <w:tcPr>
            <w:tcW w:w="0" w:type="auto"/>
          </w:tcPr>
          <w:p w14:paraId="4E9C4ACE" w14:textId="77777777" w:rsidR="00D809A0" w:rsidRPr="00107E2D" w:rsidRDefault="00D809A0" w:rsidP="00D809A0">
            <w:r w:rsidRPr="00107E2D">
              <w:t>£500.10</w:t>
            </w:r>
          </w:p>
        </w:tc>
      </w:tr>
      <w:tr w:rsidR="00D809A0" w:rsidRPr="00DE046A" w14:paraId="7D8EC328" w14:textId="77777777" w:rsidTr="00B65CEC">
        <w:tc>
          <w:tcPr>
            <w:tcW w:w="0" w:type="auto"/>
          </w:tcPr>
          <w:p w14:paraId="48157781" w14:textId="77777777" w:rsidR="00D809A0" w:rsidRPr="00107E2D" w:rsidRDefault="008C7681" w:rsidP="00D809A0">
            <w:pPr>
              <w:pStyle w:val="Equation"/>
            </w:pPr>
            <m:oMathPara>
              <m:oMathParaPr>
                <m:jc m:val="left"/>
              </m:oMathParaPr>
              <m:oMath>
                <m:sSup>
                  <m:sSupPr>
                    <m:ctrlPr>
                      <w:rPr>
                        <w:rFonts w:ascii="Cambria Math" w:hAnsi="Cambria Math"/>
                      </w:rPr>
                    </m:ctrlPr>
                  </m:sSupPr>
                  <m:e>
                    <m:r>
                      <m:rPr>
                        <m:sty m:val="p"/>
                      </m:rPr>
                      <w:rPr>
                        <w:rFonts w:ascii="Cambria Math" w:hAnsi="Cambria Math"/>
                      </w:rPr>
                      <m:t>M</m:t>
                    </m:r>
                  </m:e>
                  <m:sup>
                    <m:r>
                      <m:rPr>
                        <m:sty m:val="p"/>
                      </m:rPr>
                      <w:rPr>
                        <w:rFonts w:ascii="Cambria Math" w:hAnsi="Cambria Math"/>
                      </w:rPr>
                      <m:t>A=4</m:t>
                    </m:r>
                  </m:sup>
                </m:sSup>
              </m:oMath>
            </m:oMathPara>
          </w:p>
        </w:tc>
        <w:tc>
          <w:tcPr>
            <w:tcW w:w="0" w:type="auto"/>
          </w:tcPr>
          <w:p w14:paraId="7A96619B" w14:textId="77777777" w:rsidR="00D809A0" w:rsidRPr="00107E2D" w:rsidRDefault="00D809A0" w:rsidP="00D809A0">
            <w:pPr>
              <w:pStyle w:val="Equation"/>
            </w:pPr>
            <w:r w:rsidRPr="00107E2D">
              <w:t>Carrying out work to replace a Domestic Credit Meter with a Prepayment Meter , per job undertaken</w:t>
            </w:r>
          </w:p>
        </w:tc>
        <w:tc>
          <w:tcPr>
            <w:tcW w:w="0" w:type="auto"/>
          </w:tcPr>
          <w:p w14:paraId="762B7E07" w14:textId="77777777" w:rsidR="00D809A0" w:rsidRPr="00107E2D" w:rsidRDefault="00D809A0" w:rsidP="00D809A0">
            <w:r w:rsidRPr="00107E2D">
              <w:t>£78.67</w:t>
            </w:r>
          </w:p>
        </w:tc>
      </w:tr>
      <w:tr w:rsidR="00D809A0" w:rsidRPr="00DE046A" w14:paraId="46FCF2F9" w14:textId="77777777" w:rsidTr="00B65CEC">
        <w:tc>
          <w:tcPr>
            <w:tcW w:w="0" w:type="auto"/>
          </w:tcPr>
          <w:p w14:paraId="68E1D608" w14:textId="77777777" w:rsidR="00D809A0" w:rsidRPr="00107E2D" w:rsidRDefault="00D809A0" w:rsidP="00D809A0">
            <w:r>
              <w:t>PI</w:t>
            </w:r>
            <w:r w:rsidRPr="00107E2D">
              <w:t>t</w:t>
            </w:r>
          </w:p>
        </w:tc>
        <w:tc>
          <w:tcPr>
            <w:tcW w:w="0" w:type="auto"/>
          </w:tcPr>
          <w:p w14:paraId="3ADCDE87" w14:textId="2E0C8C65" w:rsidR="00D809A0" w:rsidRPr="00107E2D" w:rsidRDefault="00B65CEC" w:rsidP="00D809A0">
            <w:r w:rsidRPr="00B65CEC">
              <w:t>is the price index calculated in</w:t>
            </w:r>
            <w:r>
              <w:t xml:space="preserve"> </w:t>
            </w:r>
            <w:r w:rsidRPr="00B65CEC">
              <w:t>accordance with Part D</w:t>
            </w:r>
            <w:r>
              <w:t xml:space="preserve"> of Special Condition 2.1</w:t>
            </w:r>
          </w:p>
        </w:tc>
        <w:tc>
          <w:tcPr>
            <w:tcW w:w="0" w:type="auto"/>
          </w:tcPr>
          <w:p w14:paraId="4651B0EB" w14:textId="77777777" w:rsidR="00D809A0" w:rsidRPr="00107E2D" w:rsidRDefault="00D809A0" w:rsidP="00D809A0"/>
        </w:tc>
      </w:tr>
    </w:tbl>
    <w:p w14:paraId="71021EDC" w14:textId="77777777" w:rsidR="00D809A0" w:rsidRPr="00107E2D" w:rsidRDefault="00D809A0" w:rsidP="00D809A0"/>
    <w:p w14:paraId="7966C70B" w14:textId="77777777" w:rsidR="00D809A0" w:rsidRPr="00107E2D" w:rsidRDefault="00D809A0" w:rsidP="00D51F4A">
      <w:pPr>
        <w:pStyle w:val="Heading3"/>
        <w:numPr>
          <w:ilvl w:val="5"/>
          <w:numId w:val="7"/>
        </w:numPr>
      </w:pPr>
      <w:r>
        <w:t>Departure from published statements of charges in respect of Tariff-Capped Metering Activities</w:t>
      </w:r>
    </w:p>
    <w:p w14:paraId="76EEEB33" w14:textId="522E5048" w:rsidR="00D809A0" w:rsidRPr="00107E2D" w:rsidRDefault="00D809A0" w:rsidP="00D51F4A">
      <w:pPr>
        <w:pStyle w:val="NumberedNormal"/>
        <w:numPr>
          <w:ilvl w:val="2"/>
          <w:numId w:val="7"/>
        </w:numPr>
      </w:pPr>
      <w:r>
        <w:t>Where the licensee wishes to depart from its published statement of charges prepared in accordance with Standard Special Condition D18 (Provision of Metering and Metering Reading Services) in respect of the provision of Tariff Capped Metering Activities by increasing its charges to a supplier to a level which would in any given Regulatory Year result in a breach of its obligations under paragraph 2:</w:t>
      </w:r>
    </w:p>
    <w:p w14:paraId="46C20D9F" w14:textId="77777777" w:rsidR="00D809A0" w:rsidRPr="00107E2D" w:rsidRDefault="00D809A0" w:rsidP="00D51F4A">
      <w:pPr>
        <w:pStyle w:val="ListNormal"/>
        <w:numPr>
          <w:ilvl w:val="3"/>
          <w:numId w:val="7"/>
        </w:numPr>
      </w:pPr>
      <w:r>
        <w:t>in consequence of that supplier having wholly or partly disposed of its meters; or</w:t>
      </w:r>
    </w:p>
    <w:p w14:paraId="1D915D9D" w14:textId="77777777" w:rsidR="00D809A0" w:rsidRPr="00107E2D" w:rsidRDefault="00D809A0" w:rsidP="00D51F4A">
      <w:pPr>
        <w:pStyle w:val="ListNormal"/>
        <w:numPr>
          <w:ilvl w:val="3"/>
          <w:numId w:val="7"/>
        </w:numPr>
      </w:pPr>
      <w:r>
        <w:t>where it reasonably considers that the departure is necessary to comply with its duty in paragraph 1A of Standard Special Condition D18,</w:t>
      </w:r>
    </w:p>
    <w:p w14:paraId="6CC10322" w14:textId="77777777" w:rsidR="00D809A0" w:rsidRDefault="00D809A0" w:rsidP="00D809A0">
      <w:pPr>
        <w:pStyle w:val="ListNormal"/>
        <w:numPr>
          <w:ilvl w:val="0"/>
          <w:numId w:val="0"/>
        </w:numPr>
        <w:ind w:left="879"/>
      </w:pPr>
      <w:r w:rsidRPr="00107E2D">
        <w:t>the licensee must make a written application to the Authority</w:t>
      </w:r>
      <w:r>
        <w:t>.</w:t>
      </w:r>
    </w:p>
    <w:p w14:paraId="43A22AE9" w14:textId="39EB7B51" w:rsidR="00D809A0" w:rsidRDefault="00D809A0" w:rsidP="00D51F4A">
      <w:pPr>
        <w:pStyle w:val="NumberedNormal"/>
        <w:numPr>
          <w:ilvl w:val="2"/>
          <w:numId w:val="7"/>
        </w:numPr>
      </w:pPr>
      <w:r>
        <w:t>The application must—</w:t>
      </w:r>
    </w:p>
    <w:p w14:paraId="3F54F45A" w14:textId="77777777" w:rsidR="00D809A0" w:rsidRDefault="00D809A0" w:rsidP="00D51F4A">
      <w:pPr>
        <w:pStyle w:val="ListNormal"/>
        <w:numPr>
          <w:ilvl w:val="3"/>
          <w:numId w:val="7"/>
        </w:numPr>
      </w:pPr>
      <w:r w:rsidRPr="00107E2D">
        <w:t xml:space="preserve">specifying why the change is requested, </w:t>
      </w:r>
    </w:p>
    <w:p w14:paraId="392EF404" w14:textId="3804664D" w:rsidR="00D809A0" w:rsidRDefault="00D809A0" w:rsidP="00D51F4A">
      <w:pPr>
        <w:pStyle w:val="ListNormal"/>
        <w:numPr>
          <w:ilvl w:val="3"/>
          <w:numId w:val="7"/>
        </w:numPr>
      </w:pPr>
      <w:r w:rsidRPr="00107E2D">
        <w:t>specif</w:t>
      </w:r>
      <w:r>
        <w:t xml:space="preserve">y </w:t>
      </w:r>
      <w:r w:rsidRPr="00107E2D">
        <w:t xml:space="preserve">the metering activities to be provided to that supplier, </w:t>
      </w:r>
    </w:p>
    <w:p w14:paraId="595416B1" w14:textId="77777777" w:rsidR="00D809A0" w:rsidRDefault="00D809A0" w:rsidP="00D51F4A">
      <w:pPr>
        <w:pStyle w:val="ListNormal"/>
        <w:numPr>
          <w:ilvl w:val="3"/>
          <w:numId w:val="7"/>
        </w:numPr>
      </w:pPr>
      <w:r>
        <w:t xml:space="preserve">specify </w:t>
      </w:r>
      <w:r w:rsidRPr="00107E2D">
        <w:t>the proposed level of charges broken down between the different types of metering activities to be provided to that supplier</w:t>
      </w:r>
      <w:r>
        <w:t>, and</w:t>
      </w:r>
    </w:p>
    <w:p w14:paraId="09F76AF5" w14:textId="2289A71C" w:rsidR="00D809A0" w:rsidRPr="00107E2D" w:rsidRDefault="00D809A0" w:rsidP="00D51F4A">
      <w:pPr>
        <w:pStyle w:val="ListNormal"/>
        <w:numPr>
          <w:ilvl w:val="3"/>
          <w:numId w:val="7"/>
        </w:numPr>
      </w:pPr>
      <w:r>
        <w:t xml:space="preserve">provide </w:t>
      </w:r>
      <w:r w:rsidRPr="00107E2D">
        <w:t xml:space="preserve">such other information to support </w:t>
      </w:r>
      <w:r>
        <w:t xml:space="preserve">the </w:t>
      </w:r>
      <w:r w:rsidRPr="00107E2D">
        <w:t xml:space="preserve">application as the Authority may reasonably </w:t>
      </w:r>
      <w:r w:rsidR="001B60A1">
        <w:t>direct</w:t>
      </w:r>
      <w:r w:rsidRPr="00107E2D">
        <w:t>.</w:t>
      </w:r>
    </w:p>
    <w:p w14:paraId="73CEE6A2" w14:textId="77777777" w:rsidR="00D809A0" w:rsidRPr="00107E2D" w:rsidRDefault="00D809A0" w:rsidP="00D51F4A">
      <w:pPr>
        <w:pStyle w:val="NumberedNormal"/>
        <w:numPr>
          <w:ilvl w:val="2"/>
          <w:numId w:val="7"/>
        </w:numPr>
      </w:pPr>
      <w:r>
        <w:t>The licensee may, with effect from the date of the application, levy the charges specified in that application in respect of that supplier if:</w:t>
      </w:r>
    </w:p>
    <w:p w14:paraId="6372C671" w14:textId="4AC854EA" w:rsidR="00D809A0" w:rsidRPr="00107E2D" w:rsidRDefault="00D809A0" w:rsidP="00D51F4A">
      <w:pPr>
        <w:pStyle w:val="ListNormal"/>
        <w:numPr>
          <w:ilvl w:val="3"/>
          <w:numId w:val="7"/>
        </w:numPr>
      </w:pPr>
      <w:r>
        <w:t>the Authority consents to such charges with or without amendment; or</w:t>
      </w:r>
    </w:p>
    <w:p w14:paraId="4533C4FA" w14:textId="007AB171" w:rsidR="00D809A0" w:rsidRPr="00107E2D" w:rsidRDefault="00D809A0" w:rsidP="00D51F4A">
      <w:pPr>
        <w:pStyle w:val="ListNormal"/>
        <w:numPr>
          <w:ilvl w:val="3"/>
          <w:numId w:val="7"/>
        </w:numPr>
      </w:pPr>
      <w:r>
        <w:lastRenderedPageBreak/>
        <w:t>the Authority has not issued a direction to the licensee requiring the licensee not to exceed the maximum tariff cap within 90 days after receipt of the application.</w:t>
      </w:r>
    </w:p>
    <w:p w14:paraId="6E18822F" w14:textId="77777777" w:rsidR="00D809A0" w:rsidRPr="00107E2D" w:rsidRDefault="00D809A0" w:rsidP="00D51F4A">
      <w:pPr>
        <w:pStyle w:val="NumberedNormal"/>
        <w:numPr>
          <w:ilvl w:val="2"/>
          <w:numId w:val="7"/>
        </w:numPr>
      </w:pPr>
      <w:r>
        <w:t>Subject to any direction given by the Authority, this condition shall cease to have effect on 31 December 2024.</w:t>
      </w:r>
    </w:p>
    <w:p w14:paraId="247A85EA" w14:textId="77777777" w:rsidR="00D809A0" w:rsidRPr="001741AC" w:rsidRDefault="00D809A0" w:rsidP="00D51F4A">
      <w:pPr>
        <w:pStyle w:val="Heading2"/>
        <w:numPr>
          <w:ilvl w:val="1"/>
          <w:numId w:val="7"/>
        </w:numPr>
      </w:pPr>
      <w:bookmarkStart w:id="200" w:name="_Toc51783709"/>
      <w:bookmarkStart w:id="201" w:name="_Toc52364603"/>
      <w:r w:rsidRPr="001741AC">
        <w:t>Tax Reconciliation Assurance Statement</w:t>
      </w:r>
      <w:bookmarkEnd w:id="200"/>
      <w:bookmarkEnd w:id="201"/>
    </w:p>
    <w:p w14:paraId="677BF621" w14:textId="77777777" w:rsidR="00D809A0" w:rsidRPr="001741AC" w:rsidRDefault="00D809A0" w:rsidP="00D809A0">
      <w:pPr>
        <w:pStyle w:val="Heading3"/>
        <w:numPr>
          <w:ilvl w:val="0"/>
          <w:numId w:val="0"/>
        </w:numPr>
        <w:ind w:left="357" w:hanging="357"/>
      </w:pPr>
      <w:r w:rsidRPr="001741AC">
        <w:t xml:space="preserve">Introduction </w:t>
      </w:r>
    </w:p>
    <w:p w14:paraId="199E385E" w14:textId="77777777" w:rsidR="00D809A0" w:rsidRPr="001741AC" w:rsidRDefault="00D809A0" w:rsidP="00D51F4A">
      <w:pPr>
        <w:pStyle w:val="NumberedNormal"/>
        <w:numPr>
          <w:ilvl w:val="2"/>
          <w:numId w:val="7"/>
        </w:numPr>
      </w:pPr>
      <w:r>
        <w:t>This condition requires the licensee to submit to the Authority an annual assurance statement in relation to the Tax Reconciliation template and sets out the form of that statement.</w:t>
      </w:r>
    </w:p>
    <w:p w14:paraId="65E52299" w14:textId="77777777" w:rsidR="00D809A0" w:rsidRPr="001741AC" w:rsidRDefault="00D809A0" w:rsidP="00D51F4A">
      <w:pPr>
        <w:pStyle w:val="Heading3"/>
        <w:numPr>
          <w:ilvl w:val="5"/>
          <w:numId w:val="7"/>
        </w:numPr>
      </w:pPr>
      <w:r>
        <w:t xml:space="preserve"> Assurance Statement</w:t>
      </w:r>
    </w:p>
    <w:p w14:paraId="226D271E" w14:textId="77777777" w:rsidR="00D809A0" w:rsidRPr="001741AC" w:rsidRDefault="00D809A0" w:rsidP="00D51F4A">
      <w:pPr>
        <w:pStyle w:val="NumberedNormal"/>
        <w:numPr>
          <w:ilvl w:val="2"/>
          <w:numId w:val="7"/>
        </w:numPr>
      </w:pPr>
      <w:r>
        <w:t xml:space="preserve">The licensee must by 31 July of each Regulatory Year submit to the Authority an assurance statement that: </w:t>
      </w:r>
    </w:p>
    <w:p w14:paraId="50827414" w14:textId="77777777" w:rsidR="00D809A0" w:rsidRPr="001741AC" w:rsidRDefault="00D809A0" w:rsidP="00D51F4A">
      <w:pPr>
        <w:pStyle w:val="ListNormal"/>
        <w:numPr>
          <w:ilvl w:val="3"/>
          <w:numId w:val="7"/>
        </w:numPr>
      </w:pPr>
      <w:r>
        <w:t>has been approved by a resolution of the licensee’s board of directors;</w:t>
      </w:r>
    </w:p>
    <w:p w14:paraId="37ABF65D" w14:textId="77777777" w:rsidR="00D809A0" w:rsidRPr="001741AC" w:rsidRDefault="00D809A0" w:rsidP="00D51F4A">
      <w:pPr>
        <w:pStyle w:val="ListNormal"/>
        <w:numPr>
          <w:ilvl w:val="3"/>
          <w:numId w:val="7"/>
        </w:numPr>
      </w:pPr>
      <w:r>
        <w:t xml:space="preserve">is signed by a director of the licensee pursuant to the resolution in sub-paragraph (a); and </w:t>
      </w:r>
    </w:p>
    <w:p w14:paraId="5B17121E" w14:textId="77777777" w:rsidR="00D809A0" w:rsidRPr="001741AC" w:rsidRDefault="00D809A0" w:rsidP="00D51F4A">
      <w:pPr>
        <w:pStyle w:val="ListNormal"/>
        <w:numPr>
          <w:ilvl w:val="3"/>
          <w:numId w:val="7"/>
        </w:numPr>
      </w:pPr>
      <w:r>
        <w:t>is set out in the form prescribed in paragraph 9.10.3 or where paragraph 9.10.4 applies in the form prescribed in paragraph 9.10.5.</w:t>
      </w:r>
    </w:p>
    <w:p w14:paraId="1F1EFBEA" w14:textId="77777777" w:rsidR="00D809A0" w:rsidRPr="001741AC" w:rsidRDefault="00D809A0" w:rsidP="00D51F4A">
      <w:pPr>
        <w:pStyle w:val="NumberedNormal"/>
        <w:numPr>
          <w:ilvl w:val="2"/>
          <w:numId w:val="7"/>
        </w:numPr>
      </w:pPr>
      <w:r>
        <w:t>The prescribed form for the assurance statement is as follows:</w:t>
      </w:r>
    </w:p>
    <w:p w14:paraId="02B312E2" w14:textId="77777777" w:rsidR="00D809A0" w:rsidRPr="001741AC" w:rsidRDefault="00D809A0" w:rsidP="00D809A0">
      <w:r w:rsidRPr="001741AC">
        <w:t xml:space="preserve">"In accordance with the requirements of paragraph </w:t>
      </w:r>
      <w:r>
        <w:t>9.10</w:t>
      </w:r>
      <w:r w:rsidRPr="001741AC">
        <w:t xml:space="preserve">.2 of Special Condition </w:t>
      </w:r>
      <w:r>
        <w:t>9.10</w:t>
      </w:r>
      <w:r w:rsidRPr="001741AC">
        <w:t xml:space="preserve"> (Tax Reconciliation Assurance Statement), the Directors of [licensee] (‘the Licensee”) hereby certify that for the preceding Regulatory Year, in their opinion: </w:t>
      </w:r>
    </w:p>
    <w:p w14:paraId="2AE81788" w14:textId="77777777" w:rsidR="00D809A0" w:rsidRPr="001741AC" w:rsidRDefault="00D809A0" w:rsidP="00D51F4A">
      <w:pPr>
        <w:pStyle w:val="ListNormal"/>
        <w:numPr>
          <w:ilvl w:val="3"/>
          <w:numId w:val="7"/>
        </w:numPr>
      </w:pPr>
      <w:r>
        <w:t xml:space="preserve">The adjusted notional tax allowance as shown in the Tax Reconciliation template represents a fair interpretation of the licensee’s adjusted actual tax liability as shown in the licensee’s Company Tax Return (CT600). </w:t>
      </w:r>
    </w:p>
    <w:p w14:paraId="24DB956D" w14:textId="77777777" w:rsidR="00D809A0" w:rsidRPr="001741AC" w:rsidRDefault="00D809A0" w:rsidP="00D51F4A">
      <w:pPr>
        <w:pStyle w:val="ListNormal"/>
        <w:numPr>
          <w:ilvl w:val="3"/>
          <w:numId w:val="7"/>
        </w:numPr>
      </w:pPr>
      <w:r>
        <w:t>The Tax Reconciliation has been submitted to Ofgem along with a copy of:</w:t>
      </w:r>
    </w:p>
    <w:p w14:paraId="170038FD" w14:textId="77777777" w:rsidR="00D809A0" w:rsidRPr="001741AC" w:rsidRDefault="00D809A0" w:rsidP="00D51F4A">
      <w:pPr>
        <w:pStyle w:val="ListNormal"/>
        <w:numPr>
          <w:ilvl w:val="4"/>
          <w:numId w:val="5"/>
        </w:numPr>
      </w:pPr>
      <w:r w:rsidRPr="001741AC">
        <w:t>the licensee's most recent CT600 as submitted to Her Majesty's Revenue and Customs;</w:t>
      </w:r>
    </w:p>
    <w:p w14:paraId="7E96F2D6" w14:textId="77777777" w:rsidR="00D809A0" w:rsidRPr="001741AC" w:rsidRDefault="00D809A0" w:rsidP="00D51F4A">
      <w:pPr>
        <w:pStyle w:val="ListNormal"/>
        <w:numPr>
          <w:ilvl w:val="4"/>
          <w:numId w:val="5"/>
        </w:numPr>
      </w:pPr>
      <w:r w:rsidRPr="001741AC">
        <w:t>Senior Accounting Officer (SAO2) certifications; and</w:t>
      </w:r>
    </w:p>
    <w:p w14:paraId="7FEEED08" w14:textId="77777777" w:rsidR="00D809A0" w:rsidRPr="001741AC" w:rsidRDefault="00D809A0" w:rsidP="00D51F4A">
      <w:pPr>
        <w:pStyle w:val="ListNormal"/>
        <w:numPr>
          <w:ilvl w:val="4"/>
          <w:numId w:val="5"/>
        </w:numPr>
      </w:pPr>
      <w:r w:rsidRPr="001741AC">
        <w:t>The licensee’s published Tax Strategy.</w:t>
      </w:r>
    </w:p>
    <w:p w14:paraId="0C083E53" w14:textId="38713310" w:rsidR="00D809A0" w:rsidRPr="001741AC" w:rsidRDefault="00D809A0" w:rsidP="00D51F4A">
      <w:pPr>
        <w:pStyle w:val="ListNormal"/>
        <w:numPr>
          <w:ilvl w:val="3"/>
          <w:numId w:val="7"/>
        </w:numPr>
      </w:pPr>
      <w:r>
        <w:t xml:space="preserve">Where appropriate, further information has also been provided to support and explain reconciling items in accordance with paragraph </w:t>
      </w:r>
      <w:r w:rsidR="00612B66">
        <w:t>[</w:t>
      </w:r>
      <w:r>
        <w:t>X</w:t>
      </w:r>
      <w:r w:rsidR="00612B66">
        <w:t>]</w:t>
      </w:r>
      <w:r>
        <w:t xml:space="preserve"> of the </w:t>
      </w:r>
      <w:r w:rsidR="00D6593B">
        <w:t>Price Controls Financial Model Guidance</w:t>
      </w:r>
      <w:r>
        <w:t>.</w:t>
      </w:r>
    </w:p>
    <w:p w14:paraId="334BB7B7" w14:textId="77777777" w:rsidR="00D809A0" w:rsidRPr="001741AC" w:rsidRDefault="00D809A0" w:rsidP="00D51F4A">
      <w:pPr>
        <w:pStyle w:val="ListNormal"/>
        <w:numPr>
          <w:ilvl w:val="3"/>
          <w:numId w:val="7"/>
        </w:numPr>
      </w:pPr>
      <w:r>
        <w:t>All adjustments made have been appropriately explained in the Tax Reconciliation supporting commentary. Reconciling differences have been appropriately explained and any remaining, unexplained difference is considered immaterial, in aggregate."</w:t>
      </w:r>
    </w:p>
    <w:p w14:paraId="7AD3BED8" w14:textId="77777777" w:rsidR="00D809A0" w:rsidRPr="001741AC" w:rsidRDefault="00D809A0" w:rsidP="00D51F4A">
      <w:pPr>
        <w:pStyle w:val="NumberedNormal"/>
        <w:numPr>
          <w:ilvl w:val="2"/>
          <w:numId w:val="7"/>
        </w:numPr>
      </w:pPr>
      <w:r>
        <w:lastRenderedPageBreak/>
        <w:t>Where the licensee anticipates a material, unexplained variance to arise in the Tax Reconciliation as described in Chapter 6 of the GD2 Price Control Financial Handbook, the prescribed form for the assurance statement is set out in paragraph 9.10.5.</w:t>
      </w:r>
    </w:p>
    <w:p w14:paraId="284D5CBB" w14:textId="77777777" w:rsidR="00D809A0" w:rsidRPr="001741AC" w:rsidRDefault="00D809A0" w:rsidP="00D51F4A">
      <w:pPr>
        <w:pStyle w:val="NumberedNormal"/>
        <w:numPr>
          <w:ilvl w:val="2"/>
          <w:numId w:val="7"/>
        </w:numPr>
      </w:pPr>
      <w:r>
        <w:t xml:space="preserve">"In accordance with the requirements of paragraph 9.10.2 of Special Condition 9.10 (Tax Reconciliation Assurance Statement), the Directors of [licensee] (‘the Licensee”) hereby certify that for the preceding Regulatory Year, in their opinion: </w:t>
      </w:r>
    </w:p>
    <w:p w14:paraId="3AEB39F1" w14:textId="77777777" w:rsidR="00D809A0" w:rsidRPr="001741AC" w:rsidRDefault="00D809A0" w:rsidP="00D51F4A">
      <w:pPr>
        <w:pStyle w:val="ListNormal"/>
        <w:numPr>
          <w:ilvl w:val="3"/>
          <w:numId w:val="7"/>
        </w:numPr>
      </w:pPr>
      <w:r>
        <w:t xml:space="preserve">The adjusted notional tax allowance as shown in the Tax Reconciliation template does not represent a fair interpretation of the licensee’s adjusted actual tax liability as shown in the licensee’s Company Tax Return (CT600). </w:t>
      </w:r>
    </w:p>
    <w:p w14:paraId="6D1A9B61" w14:textId="77777777" w:rsidR="00D809A0" w:rsidRPr="001741AC" w:rsidRDefault="00D809A0" w:rsidP="00D51F4A">
      <w:pPr>
        <w:pStyle w:val="ListNormal"/>
        <w:numPr>
          <w:ilvl w:val="3"/>
          <w:numId w:val="7"/>
        </w:numPr>
      </w:pPr>
      <w:r>
        <w:t>The Tax Reconciliation has been submitted to Ofgem along with a copy of:</w:t>
      </w:r>
    </w:p>
    <w:p w14:paraId="30C7C75C" w14:textId="77777777" w:rsidR="00D809A0" w:rsidRPr="001741AC" w:rsidRDefault="00D809A0" w:rsidP="00D51F4A">
      <w:pPr>
        <w:pStyle w:val="ListNormal"/>
        <w:numPr>
          <w:ilvl w:val="4"/>
          <w:numId w:val="5"/>
        </w:numPr>
      </w:pPr>
      <w:r w:rsidRPr="001741AC">
        <w:t>the licensee's most recent CT600 as submitted to Her Majesty's Revenue and Customs;</w:t>
      </w:r>
    </w:p>
    <w:p w14:paraId="7B37D648" w14:textId="77777777" w:rsidR="00D809A0" w:rsidRPr="001741AC" w:rsidRDefault="00D809A0" w:rsidP="00D51F4A">
      <w:pPr>
        <w:pStyle w:val="ListNormal"/>
        <w:numPr>
          <w:ilvl w:val="4"/>
          <w:numId w:val="5"/>
        </w:numPr>
      </w:pPr>
      <w:r w:rsidRPr="001741AC">
        <w:t>Senior Accounting Officer (SAO2) certifications; and,</w:t>
      </w:r>
    </w:p>
    <w:p w14:paraId="28247B66" w14:textId="77777777" w:rsidR="00D809A0" w:rsidRPr="001741AC" w:rsidRDefault="00D809A0" w:rsidP="00D51F4A">
      <w:pPr>
        <w:pStyle w:val="ListNormal"/>
        <w:numPr>
          <w:ilvl w:val="4"/>
          <w:numId w:val="5"/>
        </w:numPr>
      </w:pPr>
      <w:r w:rsidRPr="001741AC">
        <w:t>the licensee’s published Tax Strategy.</w:t>
      </w:r>
    </w:p>
    <w:p w14:paraId="1A9EB99F" w14:textId="77777777" w:rsidR="00D809A0" w:rsidRPr="001741AC" w:rsidRDefault="00D809A0" w:rsidP="00D51F4A">
      <w:pPr>
        <w:pStyle w:val="ListNormal"/>
        <w:numPr>
          <w:ilvl w:val="3"/>
          <w:numId w:val="7"/>
        </w:numPr>
      </w:pPr>
      <w:r>
        <w:t>Where appropriate, further information has also been provided to support and explain reconciling items in accordance with [paragraph XX of the PCFM Guidance].</w:t>
      </w:r>
    </w:p>
    <w:p w14:paraId="5643B9C4" w14:textId="77777777" w:rsidR="00D809A0" w:rsidRPr="001741AC" w:rsidRDefault="00D809A0" w:rsidP="00D51F4A">
      <w:pPr>
        <w:pStyle w:val="ListNormal"/>
        <w:numPr>
          <w:ilvl w:val="3"/>
          <w:numId w:val="7"/>
        </w:numPr>
      </w:pPr>
      <w:r>
        <w:t>All adjustments made have been appropriately explained in the Tax Reconciliation supporting commentary. Reconciling differences have been appropriately explained, where possible. The remaining, unexplained difference is considered material, in aggregate.</w:t>
      </w:r>
    </w:p>
    <w:p w14:paraId="7F3A6619" w14:textId="77777777" w:rsidR="00D809A0" w:rsidRDefault="00D809A0" w:rsidP="00D51F4A">
      <w:pPr>
        <w:pStyle w:val="ListNormal"/>
        <w:numPr>
          <w:ilvl w:val="3"/>
          <w:numId w:val="7"/>
        </w:numPr>
      </w:pPr>
      <w:r>
        <w:t>A notification has been made in writing to the Authority under Chapter 6 of the GD2 Price Control Financial Handbook."</w:t>
      </w:r>
    </w:p>
    <w:p w14:paraId="7E6BBB5F" w14:textId="77777777" w:rsidR="00D809A0" w:rsidRPr="009376E2" w:rsidRDefault="00D809A0" w:rsidP="00D51F4A">
      <w:pPr>
        <w:pStyle w:val="Heading2"/>
        <w:numPr>
          <w:ilvl w:val="1"/>
          <w:numId w:val="7"/>
        </w:numPr>
      </w:pPr>
      <w:bookmarkStart w:id="202" w:name="_Toc51783710"/>
      <w:bookmarkStart w:id="203" w:name="_Toc52364604"/>
      <w:r w:rsidRPr="009376E2">
        <w:t>Allocation of revenues and costs for calculations under the price control in respect of the Distribution Network</w:t>
      </w:r>
      <w:bookmarkEnd w:id="202"/>
      <w:bookmarkEnd w:id="203"/>
    </w:p>
    <w:p w14:paraId="06003A1B" w14:textId="77777777" w:rsidR="00D809A0" w:rsidRPr="009376E2" w:rsidRDefault="00D809A0" w:rsidP="00D809A0">
      <w:pPr>
        <w:pStyle w:val="Heading3"/>
        <w:numPr>
          <w:ilvl w:val="0"/>
          <w:numId w:val="0"/>
        </w:numPr>
      </w:pPr>
      <w:r w:rsidRPr="009376E2">
        <w:t>Introduction</w:t>
      </w:r>
    </w:p>
    <w:p w14:paraId="608131B2" w14:textId="77777777" w:rsidR="007A08B9" w:rsidRDefault="00D809A0" w:rsidP="00D51F4A">
      <w:pPr>
        <w:pStyle w:val="NumberedNormal"/>
        <w:numPr>
          <w:ilvl w:val="2"/>
          <w:numId w:val="7"/>
        </w:numPr>
      </w:pPr>
      <w:r>
        <w:t xml:space="preserve">This condition sets out how the licensee must allocate revenues and costs for the purposes of calculating its Allowed Revenue in respect of each relevant Distribution Network in accordance with the provisions set out in Special Condition 2.1 (Revenue Restriction). </w:t>
      </w:r>
    </w:p>
    <w:p w14:paraId="51C1C465" w14:textId="3135300D" w:rsidR="00D809A0" w:rsidRPr="009376E2" w:rsidRDefault="00D809A0" w:rsidP="00D51F4A">
      <w:pPr>
        <w:pStyle w:val="NumberedNormal"/>
        <w:numPr>
          <w:ilvl w:val="2"/>
          <w:numId w:val="7"/>
        </w:numPr>
      </w:pPr>
      <w:r>
        <w:t>The condition also requires the licensee to:</w:t>
      </w:r>
    </w:p>
    <w:p w14:paraId="11984570" w14:textId="77777777" w:rsidR="00D809A0" w:rsidRPr="009376E2" w:rsidRDefault="00D809A0" w:rsidP="00D51F4A">
      <w:pPr>
        <w:pStyle w:val="ListNormal"/>
        <w:numPr>
          <w:ilvl w:val="3"/>
          <w:numId w:val="7"/>
        </w:numPr>
      </w:pPr>
      <w:r>
        <w:t>have in place a methods statement that sets out the methods that the licensee will use in the allocation and attribution of revenues and costs; and</w:t>
      </w:r>
    </w:p>
    <w:p w14:paraId="19AC9F00" w14:textId="77777777" w:rsidR="00D809A0" w:rsidRPr="009376E2" w:rsidRDefault="00D809A0" w:rsidP="00D51F4A">
      <w:pPr>
        <w:pStyle w:val="ListNormal"/>
        <w:numPr>
          <w:ilvl w:val="3"/>
          <w:numId w:val="7"/>
        </w:numPr>
      </w:pPr>
      <w:r>
        <w:t>prepare and submit to the Authority a methods report, which describes the manner in which, and the extent to which the licensee has complied with the provisions of the methods statement.</w:t>
      </w:r>
    </w:p>
    <w:p w14:paraId="0E5C7727" w14:textId="77777777" w:rsidR="00D809A0" w:rsidRPr="009376E2" w:rsidRDefault="00D809A0" w:rsidP="00D51F4A">
      <w:pPr>
        <w:pStyle w:val="Heading3"/>
        <w:numPr>
          <w:ilvl w:val="5"/>
          <w:numId w:val="7"/>
        </w:numPr>
      </w:pPr>
      <w:r>
        <w:lastRenderedPageBreak/>
        <w:t>General principles of allocation and attribution</w:t>
      </w:r>
    </w:p>
    <w:p w14:paraId="0C53D6D5" w14:textId="1A4D21A8" w:rsidR="00D809A0" w:rsidRPr="009376E2" w:rsidRDefault="00D809A0" w:rsidP="00D51F4A">
      <w:pPr>
        <w:pStyle w:val="NumberedNormal"/>
        <w:numPr>
          <w:ilvl w:val="2"/>
          <w:numId w:val="7"/>
        </w:numPr>
      </w:pPr>
      <w:r>
        <w:t>Unless the Authority otherwise directs, any allocation or attribution of revenues, costs, assets, and liabilities performed by the licensee in order to calculate any of the values referred to in the Allowed Revenue in Special Condition 2.1 (Revenue Restriction) must conform to the principles set out in paragraphs 9.11.</w:t>
      </w:r>
      <w:r w:rsidR="007A08B9">
        <w:t>4</w:t>
      </w:r>
      <w:r>
        <w:t>, 9.11.</w:t>
      </w:r>
      <w:r w:rsidR="007A08B9">
        <w:t>5</w:t>
      </w:r>
      <w:r>
        <w:t>, and 9.11.</w:t>
      </w:r>
      <w:r w:rsidR="007A08B9">
        <w:t>6</w:t>
      </w:r>
      <w:r>
        <w:t>.</w:t>
      </w:r>
    </w:p>
    <w:p w14:paraId="07655DAF" w14:textId="77777777" w:rsidR="00D809A0" w:rsidRPr="009376E2" w:rsidRDefault="00D809A0" w:rsidP="00D51F4A">
      <w:pPr>
        <w:pStyle w:val="NumberedNormal"/>
        <w:numPr>
          <w:ilvl w:val="2"/>
          <w:numId w:val="7"/>
        </w:numPr>
      </w:pPr>
      <w:r>
        <w:t xml:space="preserve">Principle 1 is that the licensee must, so far as is reasonably practicable, allocate or attribute revenues, costs, assets, and liabilities in accordance with the activities which cause the revenues to be earned, the costs to be incurred, the assets to be acquired, or the liabilities to be incurred.  </w:t>
      </w:r>
    </w:p>
    <w:p w14:paraId="56C7ADCF" w14:textId="77777777" w:rsidR="00D809A0" w:rsidRPr="009376E2" w:rsidRDefault="00D809A0" w:rsidP="00D51F4A">
      <w:pPr>
        <w:pStyle w:val="NumberedNormal"/>
        <w:numPr>
          <w:ilvl w:val="2"/>
          <w:numId w:val="7"/>
        </w:numPr>
      </w:pPr>
      <w:r>
        <w:t xml:space="preserve">Principle 2 is that the licensee must perform its allocations and attributions on an objective basis and in a manner calculated not to unduly benefit: </w:t>
      </w:r>
    </w:p>
    <w:p w14:paraId="4563B09F" w14:textId="77777777" w:rsidR="00D809A0" w:rsidRPr="009376E2" w:rsidRDefault="00D809A0" w:rsidP="00D51F4A">
      <w:pPr>
        <w:pStyle w:val="ListNormal"/>
        <w:numPr>
          <w:ilvl w:val="3"/>
          <w:numId w:val="5"/>
        </w:numPr>
      </w:pPr>
      <w:r w:rsidRPr="009376E2">
        <w:t xml:space="preserve">itself; </w:t>
      </w:r>
    </w:p>
    <w:p w14:paraId="1C7B961C" w14:textId="77777777" w:rsidR="00D809A0" w:rsidRPr="009376E2" w:rsidRDefault="00D809A0" w:rsidP="00D51F4A">
      <w:pPr>
        <w:pStyle w:val="ListNormal"/>
        <w:numPr>
          <w:ilvl w:val="3"/>
          <w:numId w:val="7"/>
        </w:numPr>
      </w:pPr>
      <w:r>
        <w:t xml:space="preserve">any other business carried on by the licensee or by any Affiliate or Related Undertaking of the licensee under a separate licence (whether or not that licence is held within the same legal entity that holds this licence); </w:t>
      </w:r>
    </w:p>
    <w:p w14:paraId="4C3A7B8D" w14:textId="77777777" w:rsidR="00D809A0" w:rsidRPr="009376E2" w:rsidRDefault="00D809A0" w:rsidP="00D51F4A">
      <w:pPr>
        <w:pStyle w:val="ListNormal"/>
        <w:numPr>
          <w:ilvl w:val="3"/>
          <w:numId w:val="7"/>
        </w:numPr>
      </w:pPr>
      <w:r>
        <w:t>the business of any individual Distribution Network; or</w:t>
      </w:r>
    </w:p>
    <w:p w14:paraId="7AA29FB8" w14:textId="77777777" w:rsidR="00D809A0" w:rsidRPr="009376E2" w:rsidRDefault="00D809A0" w:rsidP="00D51F4A">
      <w:pPr>
        <w:pStyle w:val="ListNormal"/>
        <w:numPr>
          <w:ilvl w:val="3"/>
          <w:numId w:val="7"/>
        </w:numPr>
      </w:pPr>
      <w:r>
        <w:t>any other company or organisation.</w:t>
      </w:r>
    </w:p>
    <w:p w14:paraId="4BD64B55" w14:textId="77777777" w:rsidR="00D809A0" w:rsidRPr="009376E2" w:rsidRDefault="00D809A0" w:rsidP="00D51F4A">
      <w:pPr>
        <w:pStyle w:val="NumberedNormal"/>
        <w:numPr>
          <w:ilvl w:val="2"/>
          <w:numId w:val="7"/>
        </w:numPr>
      </w:pPr>
      <w:r>
        <w:t>Principle 3 is that, wherever practicable, the licensee must perform all allocations and attributions on a consistent basis from one Regulatory Year to the next.</w:t>
      </w:r>
    </w:p>
    <w:p w14:paraId="7714CE86" w14:textId="77777777" w:rsidR="00D809A0" w:rsidRPr="009376E2" w:rsidRDefault="00D809A0" w:rsidP="00D51F4A">
      <w:pPr>
        <w:pStyle w:val="Heading3"/>
        <w:numPr>
          <w:ilvl w:val="5"/>
          <w:numId w:val="7"/>
        </w:numPr>
      </w:pPr>
      <w:r>
        <w:t xml:space="preserve">Allocation and attribution as between principal activities </w:t>
      </w:r>
    </w:p>
    <w:p w14:paraId="7443D1EE" w14:textId="77777777" w:rsidR="00D809A0" w:rsidRPr="009376E2" w:rsidRDefault="00D809A0" w:rsidP="00D51F4A">
      <w:pPr>
        <w:pStyle w:val="NumberedNormal"/>
        <w:numPr>
          <w:ilvl w:val="2"/>
          <w:numId w:val="7"/>
        </w:numPr>
      </w:pPr>
      <w:r>
        <w:t>To the extent relevant to its activities, the licensee must in so far as is reasonably practicable allocate or attribute all revenues earned and costs incurred by the Transportation Business and Metering Business to the following activities:</w:t>
      </w:r>
    </w:p>
    <w:p w14:paraId="68D97CFD" w14:textId="77777777" w:rsidR="00D809A0" w:rsidRPr="009376E2" w:rsidRDefault="00D809A0" w:rsidP="00D51F4A">
      <w:pPr>
        <w:pStyle w:val="ListNormal"/>
        <w:numPr>
          <w:ilvl w:val="3"/>
          <w:numId w:val="5"/>
        </w:numPr>
      </w:pPr>
      <w:r w:rsidRPr="009376E2">
        <w:t xml:space="preserve">the Distribution Network Transportation Activity; </w:t>
      </w:r>
    </w:p>
    <w:p w14:paraId="7A9CD48B" w14:textId="77777777" w:rsidR="00D809A0" w:rsidRPr="009376E2" w:rsidRDefault="00D809A0" w:rsidP="00D51F4A">
      <w:pPr>
        <w:pStyle w:val="ListNormal"/>
        <w:numPr>
          <w:ilvl w:val="3"/>
          <w:numId w:val="7"/>
        </w:numPr>
      </w:pPr>
      <w:r>
        <w:t>the Liquefied Natural Gas Import or Export Facility activity;</w:t>
      </w:r>
    </w:p>
    <w:p w14:paraId="6D92C224" w14:textId="77777777" w:rsidR="00D809A0" w:rsidRPr="009376E2" w:rsidRDefault="00D809A0" w:rsidP="00D51F4A">
      <w:pPr>
        <w:pStyle w:val="ListNormal"/>
        <w:numPr>
          <w:ilvl w:val="3"/>
          <w:numId w:val="7"/>
        </w:numPr>
      </w:pPr>
      <w:r>
        <w:t>the Metering Business and Meter Reading Business; and</w:t>
      </w:r>
    </w:p>
    <w:p w14:paraId="322EE3C7" w14:textId="77777777" w:rsidR="00D809A0" w:rsidRPr="009376E2" w:rsidRDefault="00D809A0" w:rsidP="00D51F4A">
      <w:pPr>
        <w:pStyle w:val="ListNormal"/>
        <w:numPr>
          <w:ilvl w:val="3"/>
          <w:numId w:val="7"/>
        </w:numPr>
      </w:pPr>
      <w:r>
        <w:t>any services provided in accordance with the principles set out in Special Condition XX (Directly Remunerated Services).</w:t>
      </w:r>
    </w:p>
    <w:p w14:paraId="4BE51725" w14:textId="77777777" w:rsidR="00D809A0" w:rsidRPr="009376E2" w:rsidRDefault="00D809A0" w:rsidP="00D51F4A">
      <w:pPr>
        <w:pStyle w:val="Heading3"/>
        <w:numPr>
          <w:ilvl w:val="5"/>
          <w:numId w:val="7"/>
        </w:numPr>
      </w:pPr>
      <w:r>
        <w:t xml:space="preserve">Statement of the methods to be used by the licensee </w:t>
      </w:r>
    </w:p>
    <w:p w14:paraId="2EB5B5B8" w14:textId="77777777" w:rsidR="00D809A0" w:rsidRPr="009376E2" w:rsidRDefault="00D809A0" w:rsidP="00D51F4A">
      <w:pPr>
        <w:pStyle w:val="NumberedNormal"/>
        <w:numPr>
          <w:ilvl w:val="2"/>
          <w:numId w:val="7"/>
        </w:numPr>
      </w:pPr>
      <w:r>
        <w:t>Unless the Authority otherwise directs, the licensee must, by no later than 31 July in each Regulatory Year, prepare and submit to the Authority a statement  in a form approved by the Authority that sets out the methods that the licensee intends to use in the allocation and attribution of revenues and costs.</w:t>
      </w:r>
    </w:p>
    <w:p w14:paraId="0C090E11" w14:textId="30382430" w:rsidR="00D809A0" w:rsidRPr="009376E2" w:rsidRDefault="00D809A0" w:rsidP="00D51F4A">
      <w:pPr>
        <w:pStyle w:val="NumberedNormal"/>
        <w:numPr>
          <w:ilvl w:val="2"/>
          <w:numId w:val="7"/>
        </w:numPr>
      </w:pPr>
      <w:r>
        <w:lastRenderedPageBreak/>
        <w:t>The methods statement must, as a minimum, clearly distinguish between the allocation or attribution of revenues, costs, assets, and liabilities to each of the activities specified in Part B.</w:t>
      </w:r>
    </w:p>
    <w:p w14:paraId="526D5AD2" w14:textId="77777777" w:rsidR="00D809A0" w:rsidRPr="009376E2" w:rsidRDefault="00D809A0" w:rsidP="00D51F4A">
      <w:pPr>
        <w:pStyle w:val="NumberedNormal"/>
        <w:numPr>
          <w:ilvl w:val="2"/>
          <w:numId w:val="7"/>
        </w:numPr>
      </w:pPr>
      <w:r>
        <w:t>Where the basis of such allocations or attributions has changed from one year to the next, the methods statement must also indicate and explain how and why that basis has been changed.</w:t>
      </w:r>
    </w:p>
    <w:p w14:paraId="4842106B" w14:textId="77777777" w:rsidR="00D809A0" w:rsidRPr="009376E2" w:rsidRDefault="00D809A0" w:rsidP="00D51F4A">
      <w:pPr>
        <w:pStyle w:val="NumberedNormal"/>
        <w:numPr>
          <w:ilvl w:val="2"/>
          <w:numId w:val="7"/>
        </w:numPr>
      </w:pPr>
      <w:r>
        <w:t xml:space="preserve">The licensee must use reasonable endeavours to comply with the methods statement for the time being in force under this condition. </w:t>
      </w:r>
    </w:p>
    <w:p w14:paraId="0D9E8B1E" w14:textId="77777777" w:rsidR="007A08B9" w:rsidRPr="008B7594" w:rsidRDefault="007A08B9" w:rsidP="007A08B9">
      <w:pPr>
        <w:pStyle w:val="Heading3"/>
      </w:pPr>
      <w:r>
        <w:t>Direction to</w:t>
      </w:r>
      <w:r w:rsidRPr="008B7594">
        <w:t xml:space="preserve"> re-allocat</w:t>
      </w:r>
      <w:r>
        <w:t>e</w:t>
      </w:r>
      <w:r w:rsidRPr="008B7594">
        <w:t xml:space="preserve"> and re-attribut</w:t>
      </w:r>
      <w:r>
        <w:t>e</w:t>
      </w:r>
    </w:p>
    <w:p w14:paraId="164BB6A0" w14:textId="77777777" w:rsidR="007A08B9" w:rsidRPr="008B7594" w:rsidRDefault="007A08B9" w:rsidP="007A08B9">
      <w:pPr>
        <w:pStyle w:val="NumberedNormal"/>
      </w:pPr>
      <w:r>
        <w:t>The l</w:t>
      </w:r>
      <w:r w:rsidRPr="008B7594">
        <w:t xml:space="preserve">icensee must re-allocate revenues earned by </w:t>
      </w:r>
      <w:r>
        <w:t>the licensee</w:t>
      </w:r>
      <w:r w:rsidRPr="008B7594">
        <w:t xml:space="preserve"> or re-attribute costs incurred by </w:t>
      </w:r>
      <w:r>
        <w:t>the licensee</w:t>
      </w:r>
      <w:r w:rsidRPr="008B7594">
        <w:t xml:space="preserve"> to the activities specified in Part B</w:t>
      </w:r>
      <w:r>
        <w:t xml:space="preserve"> </w:t>
      </w:r>
      <w:r w:rsidRPr="008B7594">
        <w:t xml:space="preserve">in accordance with any direction made by the Authority </w:t>
      </w:r>
      <w:r>
        <w:t>following</w:t>
      </w:r>
      <w:r w:rsidRPr="008B7594">
        <w:t xml:space="preserve"> receipt of the methods statement, so that the licensee’s allocations or attributions (as the case may be) comply with the principles set out in Part A. </w:t>
      </w:r>
    </w:p>
    <w:p w14:paraId="62C7797F" w14:textId="77777777" w:rsidR="00D809A0" w:rsidRPr="009376E2" w:rsidRDefault="00D809A0" w:rsidP="00D51F4A">
      <w:pPr>
        <w:pStyle w:val="Heading3"/>
        <w:numPr>
          <w:ilvl w:val="5"/>
          <w:numId w:val="7"/>
        </w:numPr>
      </w:pPr>
      <w:r>
        <w:t xml:space="preserve">Preparation and submission of the methods report </w:t>
      </w:r>
    </w:p>
    <w:p w14:paraId="198CED28" w14:textId="77777777" w:rsidR="00D809A0" w:rsidRPr="009376E2" w:rsidRDefault="00D809A0" w:rsidP="00D51F4A">
      <w:pPr>
        <w:pStyle w:val="NumberedNormal"/>
        <w:numPr>
          <w:ilvl w:val="2"/>
          <w:numId w:val="7"/>
        </w:numPr>
      </w:pPr>
      <w:r>
        <w:t>Unless the Authority otherwise consents, the licensee must, by no later than four months after the end of each Regulatory Year, prepare and submit to the Authority a report that:</w:t>
      </w:r>
    </w:p>
    <w:p w14:paraId="4E72E036" w14:textId="55CAB4E5" w:rsidR="00D809A0" w:rsidRPr="009376E2" w:rsidRDefault="00D809A0" w:rsidP="00D51F4A">
      <w:pPr>
        <w:pStyle w:val="ListNormal"/>
        <w:numPr>
          <w:ilvl w:val="3"/>
          <w:numId w:val="5"/>
        </w:numPr>
      </w:pPr>
      <w:r w:rsidRPr="009376E2">
        <w:t>describes the manner in which and the extent to which the licensee complied with the provisions of the methods statement and any direction made by the Authority under Part D in respect of that year; and</w:t>
      </w:r>
    </w:p>
    <w:p w14:paraId="281058CD" w14:textId="77777777" w:rsidR="00D809A0" w:rsidRPr="009376E2" w:rsidRDefault="00D809A0" w:rsidP="00D51F4A">
      <w:pPr>
        <w:pStyle w:val="ListNormal"/>
        <w:numPr>
          <w:ilvl w:val="3"/>
          <w:numId w:val="7"/>
        </w:numPr>
      </w:pPr>
      <w:r>
        <w:t>states whether any modification should be made to the methods statement to reflect more closely the practice of the licensee.</w:t>
      </w:r>
    </w:p>
    <w:p w14:paraId="162B7A81" w14:textId="77777777" w:rsidR="00D809A0" w:rsidRPr="009376E2" w:rsidRDefault="00D809A0" w:rsidP="00D51F4A">
      <w:pPr>
        <w:pStyle w:val="NumberedNormal"/>
        <w:numPr>
          <w:ilvl w:val="2"/>
          <w:numId w:val="7"/>
        </w:numPr>
      </w:pPr>
      <w:r>
        <w:t xml:space="preserve">The methods report must be accompanied by a report from an Appropriate Auditor that:  </w:t>
      </w:r>
    </w:p>
    <w:p w14:paraId="1D076C06" w14:textId="5C8A9938" w:rsidR="00D809A0" w:rsidRPr="009376E2" w:rsidRDefault="00D809A0" w:rsidP="00D51F4A">
      <w:pPr>
        <w:pStyle w:val="ListNormal"/>
        <w:numPr>
          <w:ilvl w:val="3"/>
          <w:numId w:val="5"/>
        </w:numPr>
      </w:pPr>
      <w:r w:rsidRPr="009376E2">
        <w:t>sets out the procedures (which must have been approved by the Authority) that they have carried out for the purposes of demonstrating the extent to which the licensee has properly prepared the methods report in accordance with the methods statement and any direction made under Part D; and</w:t>
      </w:r>
    </w:p>
    <w:p w14:paraId="40C7EEC2" w14:textId="77777777" w:rsidR="00D809A0" w:rsidRPr="009376E2" w:rsidRDefault="00D809A0" w:rsidP="00D51F4A">
      <w:pPr>
        <w:pStyle w:val="ListNormal"/>
        <w:numPr>
          <w:ilvl w:val="3"/>
          <w:numId w:val="5"/>
        </w:numPr>
      </w:pPr>
      <w:r w:rsidRPr="009376E2">
        <w:t>gives an opinion as to the extent to which the licensee has properly prepared the methods report.</w:t>
      </w:r>
    </w:p>
    <w:p w14:paraId="511F5461" w14:textId="65E84B01" w:rsidR="00D809A0" w:rsidRPr="009376E2" w:rsidRDefault="00D809A0" w:rsidP="00D51F4A">
      <w:pPr>
        <w:pStyle w:val="NumberedNormal"/>
        <w:numPr>
          <w:ilvl w:val="2"/>
          <w:numId w:val="7"/>
        </w:numPr>
      </w:pPr>
      <w:r>
        <w:t>To the extent that the licensee earns revenues or incurs costs in the undertaking of De Minimis Business under Standard Special Condition A36 (Restriction on Activity and Financial Ring-Fencing), the licensee must report on those revenues and costs in accordance with this condition.</w:t>
      </w:r>
    </w:p>
    <w:p w14:paraId="31BC20E9" w14:textId="77777777" w:rsidR="00DA4085" w:rsidRDefault="00DA4085" w:rsidP="00DA4085">
      <w:pPr>
        <w:pStyle w:val="Heading2"/>
        <w:numPr>
          <w:ilvl w:val="1"/>
          <w:numId w:val="7"/>
        </w:numPr>
      </w:pPr>
      <w:bookmarkStart w:id="204" w:name="_Toc51783708"/>
      <w:bookmarkStart w:id="205" w:name="_Toc52364605"/>
      <w:bookmarkEnd w:id="50"/>
      <w:bookmarkEnd w:id="51"/>
      <w:r w:rsidRPr="001A4964">
        <w:lastRenderedPageBreak/>
        <w:t xml:space="preserve">Gas conveyed to Independent Systems </w:t>
      </w:r>
      <w:r>
        <w:t>[SGN Scotland only]</w:t>
      </w:r>
      <w:bookmarkEnd w:id="204"/>
      <w:bookmarkEnd w:id="205"/>
    </w:p>
    <w:p w14:paraId="1947514E" w14:textId="77777777" w:rsidR="00DA4085" w:rsidRPr="001A4964" w:rsidRDefault="00DA4085" w:rsidP="00DA4085">
      <w:pPr>
        <w:pStyle w:val="Heading3nonumbering"/>
      </w:pPr>
      <w:r w:rsidRPr="001A4964">
        <w:t>Introduction</w:t>
      </w:r>
    </w:p>
    <w:p w14:paraId="6006DBD3" w14:textId="77777777" w:rsidR="00DA4085" w:rsidRPr="002B4663" w:rsidRDefault="00DA4085" w:rsidP="00DA4085">
      <w:pPr>
        <w:pStyle w:val="NumberedNormal"/>
        <w:numPr>
          <w:ilvl w:val="2"/>
          <w:numId w:val="7"/>
        </w:numPr>
      </w:pPr>
      <w:r>
        <w:t>The purpose of this condition is to provide for the continuation of the cross-subsidy arrangements with respect to Independent Systems that ensure that transportation charges for customers supplied by these systems do not exceed those for similar customers in the rest of the UK.</w:t>
      </w:r>
    </w:p>
    <w:p w14:paraId="022C1A3A" w14:textId="13D2A3EB" w:rsidR="00DA4085" w:rsidRPr="002B4663" w:rsidRDefault="00DA4085" w:rsidP="00DA4085">
      <w:pPr>
        <w:pStyle w:val="NumberedNormal"/>
        <w:numPr>
          <w:ilvl w:val="2"/>
          <w:numId w:val="7"/>
        </w:numPr>
      </w:pPr>
      <w:r>
        <w:t xml:space="preserve">The relevant values and calculations for these subsidy arrangements are set out in Special Condition [xx] (Gas Conveyed to Independent Systems) of the NTS Operator’s </w:t>
      </w:r>
      <w:r w:rsidR="00F71E7B">
        <w:t>Gas T</w:t>
      </w:r>
      <w:r>
        <w:t>ransporter licence.</w:t>
      </w:r>
    </w:p>
    <w:p w14:paraId="70F6DE1C" w14:textId="77777777" w:rsidR="00DA4085" w:rsidRPr="001A4964" w:rsidRDefault="00DA4085" w:rsidP="00DA4085">
      <w:pPr>
        <w:pStyle w:val="Heading3"/>
        <w:numPr>
          <w:ilvl w:val="5"/>
          <w:numId w:val="7"/>
        </w:numPr>
      </w:pPr>
      <w:r>
        <w:t>Obligations in Respect of Independent Systems</w:t>
      </w:r>
    </w:p>
    <w:p w14:paraId="49B3DD79" w14:textId="77777777" w:rsidR="00DA4085" w:rsidRPr="002B4663" w:rsidRDefault="00DA4085" w:rsidP="00DA4085">
      <w:pPr>
        <w:pStyle w:val="NumberedNormal"/>
        <w:numPr>
          <w:ilvl w:val="2"/>
          <w:numId w:val="7"/>
        </w:numPr>
      </w:pPr>
      <w:r>
        <w:t>This condition applies to the conveyance of gas to Relevant Premises.</w:t>
      </w:r>
    </w:p>
    <w:p w14:paraId="14443AC2" w14:textId="77777777" w:rsidR="00DA4085" w:rsidRPr="002B4663" w:rsidRDefault="00DA4085" w:rsidP="00DA4085">
      <w:pPr>
        <w:pStyle w:val="NumberedNormal"/>
        <w:numPr>
          <w:ilvl w:val="2"/>
          <w:numId w:val="7"/>
        </w:numPr>
      </w:pPr>
      <w:r>
        <w:t>The licensee must not, in respect of any Independent System to which this licence condition relates, change the fuel type conveyed to such Independent System from methane to propane or butane or a combustible mixture of propane and butane with air.</w:t>
      </w:r>
    </w:p>
    <w:p w14:paraId="188EE91D" w14:textId="77777777" w:rsidR="00DA4085" w:rsidRPr="002B4663" w:rsidRDefault="00DA4085" w:rsidP="00DA4085">
      <w:pPr>
        <w:pStyle w:val="NumberedNormal"/>
        <w:numPr>
          <w:ilvl w:val="2"/>
          <w:numId w:val="7"/>
        </w:numPr>
      </w:pPr>
      <w:r>
        <w:t>The licensee must, in respect of each Independent System to which this licence condition relates, set its gas transportation charges in line with the relevant Charging Methodology set out in the Uniform Network Code Transportation Principal Document Section Y (Charging Methodologies) to ensure that such charges to customers connected to the Independent System are calculated in line with Equivalent Customers in the rest of the licence area.</w:t>
      </w:r>
    </w:p>
    <w:p w14:paraId="3D91BFB3" w14:textId="77777777" w:rsidR="00DA4085" w:rsidRPr="001A4964" w:rsidRDefault="00DA4085" w:rsidP="00DA4085">
      <w:pPr>
        <w:pStyle w:val="Heading3"/>
        <w:numPr>
          <w:ilvl w:val="5"/>
          <w:numId w:val="7"/>
        </w:numPr>
      </w:pPr>
      <w:r>
        <w:t xml:space="preserve">Liquefied Petroleum Gas systems </w:t>
      </w:r>
    </w:p>
    <w:p w14:paraId="1B73F86B" w14:textId="77777777" w:rsidR="00DA4085" w:rsidRPr="002B4663" w:rsidRDefault="00DA4085" w:rsidP="00DA4085">
      <w:pPr>
        <w:pStyle w:val="NumberedNormal"/>
        <w:numPr>
          <w:ilvl w:val="2"/>
          <w:numId w:val="7"/>
        </w:numPr>
      </w:pPr>
      <w:r>
        <w:t>The licensee must use reasonable endeavours to ensure the continuation of appropriate terms with a Relevant Shipper for the transportation of Liquefied Petroleum Gas from any Bulk Supply Point (notified to the Authority and approved by it) to the Relevant Premises to which this licence condition relates.</w:t>
      </w:r>
    </w:p>
    <w:p w14:paraId="4B0DD1CD" w14:textId="776D9DE3" w:rsidR="00DA4085" w:rsidRPr="002B4663" w:rsidRDefault="00DA4085" w:rsidP="00DA4085">
      <w:pPr>
        <w:pStyle w:val="NumberedNormal"/>
        <w:numPr>
          <w:ilvl w:val="2"/>
          <w:numId w:val="7"/>
        </w:numPr>
      </w:pPr>
      <w:r>
        <w:t xml:space="preserve">The licensee must provide to the NTS Operator such information as the NTS Operator may reasonably require regarding the gas conveyed in respect of any Independent System to which this licence relates to enable the NTS Operator to calculate the Bulk Price Differential payments made pursuant to Special Condition [XX] (Gas Conveyed to Independent </w:t>
      </w:r>
      <w:r w:rsidR="00F71E7B">
        <w:t>Systems) of the NTS Operator’s Gas T</w:t>
      </w:r>
      <w:r>
        <w:t>ransporter licence.</w:t>
      </w:r>
    </w:p>
    <w:p w14:paraId="682EAB72" w14:textId="77777777" w:rsidR="00DA4085" w:rsidRDefault="00DA4085">
      <w:pPr>
        <w:tabs>
          <w:tab w:val="clear" w:pos="879"/>
        </w:tabs>
        <w:rPr>
          <w:rFonts w:ascii="Verdana" w:hAnsi="Verdana"/>
          <w:sz w:val="20"/>
        </w:rPr>
      </w:pPr>
    </w:p>
    <w:sectPr w:rsidR="00DA4085" w:rsidSect="008B4E6F">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EF3835" w14:textId="77777777" w:rsidR="000552A3" w:rsidRDefault="000552A3" w:rsidP="006B6BC9">
      <w:pPr>
        <w:spacing w:after="0" w:line="240" w:lineRule="auto"/>
      </w:pPr>
      <w:r>
        <w:separator/>
      </w:r>
    </w:p>
  </w:endnote>
  <w:endnote w:type="continuationSeparator" w:id="0">
    <w:p w14:paraId="54A29695" w14:textId="77777777" w:rsidR="000552A3" w:rsidRDefault="000552A3" w:rsidP="006B6BC9">
      <w:pPr>
        <w:spacing w:after="0" w:line="240" w:lineRule="auto"/>
      </w:pPr>
      <w:r>
        <w:continuationSeparator/>
      </w:r>
    </w:p>
  </w:endnote>
  <w:endnote w:type="continuationNotice" w:id="1">
    <w:p w14:paraId="18885E30" w14:textId="77777777" w:rsidR="000552A3" w:rsidRDefault="000552A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DF8C82" w14:textId="77777777" w:rsidR="008C7681" w:rsidRDefault="008C76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79797B" w14:textId="77777777" w:rsidR="008C7681" w:rsidRDefault="008C76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06F6A0" w14:textId="77777777" w:rsidR="008C7681" w:rsidRDefault="008C76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E84693" w14:textId="77777777" w:rsidR="000552A3" w:rsidRDefault="000552A3" w:rsidP="006B6BC9">
      <w:pPr>
        <w:spacing w:after="0" w:line="240" w:lineRule="auto"/>
      </w:pPr>
      <w:r>
        <w:separator/>
      </w:r>
    </w:p>
  </w:footnote>
  <w:footnote w:type="continuationSeparator" w:id="0">
    <w:p w14:paraId="04142BB6" w14:textId="77777777" w:rsidR="000552A3" w:rsidRDefault="000552A3" w:rsidP="006B6BC9">
      <w:pPr>
        <w:spacing w:after="0" w:line="240" w:lineRule="auto"/>
      </w:pPr>
      <w:r>
        <w:continuationSeparator/>
      </w:r>
    </w:p>
  </w:footnote>
  <w:footnote w:type="continuationNotice" w:id="1">
    <w:p w14:paraId="152DE5A4" w14:textId="77777777" w:rsidR="000552A3" w:rsidRDefault="000552A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26D959" w14:textId="77777777" w:rsidR="008C7681" w:rsidRDefault="008C76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E57A23" w14:textId="1B0C6169" w:rsidR="000C7EAC" w:rsidRPr="0062223B" w:rsidRDefault="008C7681" w:rsidP="0062223B">
    <w:pPr>
      <w:pStyle w:val="Header"/>
      <w:pBdr>
        <w:bottom w:val="none" w:sz="0" w:space="0" w:color="auto"/>
      </w:pBdr>
    </w:pPr>
    <w:sdt>
      <w:sdtPr>
        <w:rPr>
          <w:highlight w:val="yellow"/>
        </w:rPr>
        <w:id w:val="-1979524052"/>
        <w:docPartObj>
          <w:docPartGallery w:val="Watermarks"/>
          <w:docPartUnique/>
        </w:docPartObj>
      </w:sdtPr>
      <w:sdtContent>
        <w:r w:rsidRPr="008C7681">
          <w:rPr>
            <w:noProof/>
            <w:highlight w:val="yellow"/>
          </w:rPr>
          <w:pict w14:anchorId="363045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097"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C7EAC" w:rsidRPr="003D7112">
      <w:rPr>
        <w:highlight w:val="yellow"/>
      </w:rPr>
      <w:t>DRAFT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DDFDA7" w14:textId="77777777" w:rsidR="008C7681" w:rsidRDefault="008C7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72B5B"/>
    <w:multiLevelType w:val="multilevel"/>
    <w:tmpl w:val="0809001F"/>
    <w:name w:val="Numbered Paragraphs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6323A6"/>
    <w:multiLevelType w:val="multilevel"/>
    <w:tmpl w:val="1C44D1BE"/>
    <w:name w:val="Appendix Heading"/>
    <w:lvl w:ilvl="0">
      <w:start w:val="1"/>
      <w:numFmt w:val="decimal"/>
      <w:lvlText w:val="Appendix %1"/>
      <w:lvlJc w:val="left"/>
      <w:pPr>
        <w:ind w:left="0" w:firstLine="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 w15:restartNumberingAfterBreak="0">
    <w:nsid w:val="09D722D4"/>
    <w:multiLevelType w:val="multilevel"/>
    <w:tmpl w:val="2722A5B0"/>
    <w:styleLink w:val="Bullets"/>
    <w:lvl w:ilvl="0">
      <w:start w:val="1"/>
      <w:numFmt w:val="bullet"/>
      <w:lvlText w:val=""/>
      <w:lvlJc w:val="left"/>
      <w:pPr>
        <w:tabs>
          <w:tab w:val="num" w:pos="726"/>
        </w:tabs>
        <w:ind w:left="1077" w:hanging="357"/>
      </w:pPr>
      <w:rPr>
        <w:rFonts w:ascii="Symbol" w:hAnsi="Symbol" w:hint="default"/>
      </w:rPr>
    </w:lvl>
    <w:lvl w:ilvl="1">
      <w:start w:val="1"/>
      <w:numFmt w:val="none"/>
      <w:lvlText w:val="○"/>
      <w:lvlJc w:val="left"/>
      <w:pPr>
        <w:tabs>
          <w:tab w:val="num" w:pos="1077"/>
        </w:tabs>
        <w:ind w:left="1435" w:hanging="358"/>
      </w:pPr>
      <w:rPr>
        <w:rFonts w:hint="default"/>
      </w:rPr>
    </w:lvl>
    <w:lvl w:ilvl="2">
      <w:start w:val="1"/>
      <w:numFmt w:val="bullet"/>
      <w:lvlText w:val="▪"/>
      <w:lvlJc w:val="left"/>
      <w:pPr>
        <w:tabs>
          <w:tab w:val="num" w:pos="1435"/>
        </w:tabs>
        <w:ind w:left="1792" w:hanging="357"/>
      </w:pPr>
      <w:rPr>
        <w:rFonts w:ascii="Verdana" w:hAnsi="Verdana"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 w15:restartNumberingAfterBreak="0">
    <w:nsid w:val="19FA3419"/>
    <w:multiLevelType w:val="multilevel"/>
    <w:tmpl w:val="721AE38A"/>
    <w:styleLink w:val="LicenceNumbering"/>
    <w:lvl w:ilvl="0">
      <w:start w:val="1"/>
      <w:numFmt w:val="decimal"/>
      <w:pStyle w:val="Heading1"/>
      <w:suff w:val="space"/>
      <w:lvlText w:val="Chapter %1:"/>
      <w:lvlJc w:val="left"/>
      <w:pPr>
        <w:ind w:left="360" w:hanging="360"/>
      </w:pPr>
      <w:rPr>
        <w:rFonts w:hint="default"/>
      </w:rPr>
    </w:lvl>
    <w:lvl w:ilvl="1">
      <w:start w:val="1"/>
      <w:numFmt w:val="decimal"/>
      <w:pStyle w:val="Heading2"/>
      <w:suff w:val="space"/>
      <w:lvlText w:val="Special Condition %1.%2"/>
      <w:lvlJc w:val="left"/>
      <w:pPr>
        <w:ind w:left="0" w:firstLine="0"/>
      </w:pPr>
      <w:rPr>
        <w:rFonts w:hint="default"/>
      </w:rPr>
    </w:lvl>
    <w:lvl w:ilvl="2">
      <w:start w:val="1"/>
      <w:numFmt w:val="decimal"/>
      <w:pStyle w:val="NumberedNormal"/>
      <w:lvlText w:val="%1.%2.%3"/>
      <w:lvlJc w:val="left"/>
      <w:pPr>
        <w:ind w:left="879" w:hanging="879"/>
      </w:pPr>
      <w:rPr>
        <w:rFonts w:hint="default"/>
      </w:rPr>
    </w:lvl>
    <w:lvl w:ilvl="3">
      <w:start w:val="1"/>
      <w:numFmt w:val="lowerLetter"/>
      <w:pStyle w:val="ListNormal"/>
      <w:lvlText w:val="(%4)"/>
      <w:lvlJc w:val="left"/>
      <w:pPr>
        <w:tabs>
          <w:tab w:val="num" w:pos="879"/>
        </w:tabs>
        <w:ind w:left="1236" w:hanging="357"/>
      </w:pPr>
      <w:rPr>
        <w:rFonts w:hint="default"/>
      </w:rPr>
    </w:lvl>
    <w:lvl w:ilvl="4">
      <w:start w:val="1"/>
      <w:numFmt w:val="lowerRoman"/>
      <w:lvlText w:val="%5."/>
      <w:lvlJc w:val="left"/>
      <w:pPr>
        <w:ind w:left="1701" w:hanging="465"/>
      </w:pPr>
      <w:rPr>
        <w:rFonts w:hint="default"/>
      </w:rPr>
    </w:lvl>
    <w:lvl w:ilvl="5">
      <w:start w:val="1"/>
      <w:numFmt w:val="upperLetter"/>
      <w:lvlRestart w:val="2"/>
      <w:pStyle w:val="Heading3"/>
      <w:suff w:val="space"/>
      <w:lvlText w:val="Part %6:"/>
      <w:lvlJc w:val="left"/>
      <w:pPr>
        <w:ind w:left="0" w:firstLine="0"/>
      </w:pPr>
      <w:rPr>
        <w:rFonts w:hint="default"/>
      </w:rPr>
    </w:lvl>
    <w:lvl w:ilvl="6">
      <w:start w:val="1"/>
      <w:numFmt w:val="decimal"/>
      <w:lvlRestart w:val="2"/>
      <w:pStyle w:val="AppendixHeading"/>
      <w:suff w:val="nothing"/>
      <w:lvlText w:val="Appendix %7"/>
      <w:lvlJc w:val="left"/>
      <w:pPr>
        <w:ind w:left="357" w:hanging="35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ED16F2F"/>
    <w:multiLevelType w:val="multilevel"/>
    <w:tmpl w:val="7CD0A8C0"/>
    <w:name w:val="Heading Level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9303FCF"/>
    <w:multiLevelType w:val="multilevel"/>
    <w:tmpl w:val="3A309C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B14688E"/>
    <w:multiLevelType w:val="multilevel"/>
    <w:tmpl w:val="74DA4210"/>
    <w:styleLink w:val="AppendixNumbering"/>
    <w:lvl w:ilvl="0">
      <w:start w:val="1"/>
      <w:numFmt w:val="decimal"/>
      <w:suff w:val="space"/>
      <w:lvlText w:val="Appendix %1"/>
      <w:lvlJc w:val="left"/>
      <w:pPr>
        <w:ind w:left="360" w:hanging="360"/>
      </w:pPr>
      <w:rPr>
        <w:rFonts w:hint="default"/>
      </w:rPr>
    </w:lvl>
    <w:lvl w:ilvl="1">
      <w:start w:val="1"/>
      <w:numFmt w:val="decimal"/>
      <w:lvlText w:val="A%1.%2"/>
      <w:lvlJc w:val="left"/>
      <w:pPr>
        <w:tabs>
          <w:tab w:val="num" w:pos="1701"/>
        </w:tabs>
        <w:ind w:left="879" w:hanging="879"/>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0CE1606"/>
    <w:multiLevelType w:val="multilevel"/>
    <w:tmpl w:val="0809001D"/>
    <w:name w:val="Numbered Paragraphs3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2FD6197"/>
    <w:multiLevelType w:val="hybridMultilevel"/>
    <w:tmpl w:val="4F7CD4DC"/>
    <w:name w:val="Numbered Paragraphs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6C3151A"/>
    <w:multiLevelType w:val="multilevel"/>
    <w:tmpl w:val="A72CE614"/>
    <w:name w:val="Numbered Paragraphs322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435853AA"/>
    <w:multiLevelType w:val="multilevel"/>
    <w:tmpl w:val="26E0D906"/>
    <w:styleLink w:val="LettersList"/>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none"/>
      <w:lvlText w:val="%3"/>
      <w:lvlJc w:val="right"/>
      <w:pPr>
        <w:ind w:left="2160" w:hanging="180"/>
      </w:pPr>
      <w:rPr>
        <w:rFonts w:hint="default"/>
      </w:rPr>
    </w:lvl>
    <w:lvl w:ilvl="3">
      <w:start w:val="1"/>
      <w:numFmt w:val="none"/>
      <w:lvlText w:val="%4"/>
      <w:lvlJc w:val="left"/>
      <w:pPr>
        <w:ind w:left="2880" w:hanging="360"/>
      </w:pPr>
      <w:rPr>
        <w:rFonts w:hint="default"/>
      </w:rPr>
    </w:lvl>
    <w:lvl w:ilvl="4">
      <w:start w:val="1"/>
      <w:numFmt w:val="none"/>
      <w:lvlText w:val="%5"/>
      <w:lvlJc w:val="left"/>
      <w:pPr>
        <w:ind w:left="3600" w:hanging="360"/>
      </w:pPr>
      <w:rPr>
        <w:rFonts w:hint="default"/>
      </w:rPr>
    </w:lvl>
    <w:lvl w:ilvl="5">
      <w:start w:val="1"/>
      <w:numFmt w:val="none"/>
      <w:lvlText w:val="%6"/>
      <w:lvlJc w:val="right"/>
      <w:pPr>
        <w:ind w:left="4320" w:hanging="180"/>
      </w:pPr>
      <w:rPr>
        <w:rFonts w:hint="default"/>
      </w:rPr>
    </w:lvl>
    <w:lvl w:ilvl="6">
      <w:start w:val="1"/>
      <w:numFmt w:val="none"/>
      <w:lvlText w:val="%7"/>
      <w:lvlJc w:val="left"/>
      <w:pPr>
        <w:ind w:left="5040" w:hanging="360"/>
      </w:pPr>
      <w:rPr>
        <w:rFonts w:hint="default"/>
      </w:rPr>
    </w:lvl>
    <w:lvl w:ilvl="7">
      <w:start w:val="1"/>
      <w:numFmt w:val="none"/>
      <w:lvlText w:val="%8"/>
      <w:lvlJc w:val="left"/>
      <w:pPr>
        <w:ind w:left="5760" w:hanging="360"/>
      </w:pPr>
      <w:rPr>
        <w:rFonts w:hint="default"/>
      </w:rPr>
    </w:lvl>
    <w:lvl w:ilvl="8">
      <w:start w:val="1"/>
      <w:numFmt w:val="none"/>
      <w:lvlText w:val=""/>
      <w:lvlJc w:val="right"/>
      <w:pPr>
        <w:ind w:left="6480" w:hanging="180"/>
      </w:pPr>
      <w:rPr>
        <w:rFonts w:hint="default"/>
      </w:rPr>
    </w:lvl>
  </w:abstractNum>
  <w:abstractNum w:abstractNumId="11" w15:restartNumberingAfterBreak="0">
    <w:nsid w:val="451A375E"/>
    <w:multiLevelType w:val="multilevel"/>
    <w:tmpl w:val="7A92D20E"/>
    <w:lvl w:ilvl="0">
      <w:start w:val="1"/>
      <w:numFmt w:val="decimal"/>
      <w:suff w:val="space"/>
      <w:lvlText w:val="Chapter %1:"/>
      <w:lvlJc w:val="left"/>
      <w:pPr>
        <w:ind w:left="360" w:hanging="360"/>
      </w:pPr>
      <w:rPr>
        <w:rFonts w:hint="default"/>
      </w:rPr>
    </w:lvl>
    <w:lvl w:ilvl="1">
      <w:start w:val="1"/>
      <w:numFmt w:val="upperLetter"/>
      <w:suff w:val="space"/>
      <w:lvlText w:val="Special Condition %1%2."/>
      <w:lvlJc w:val="left"/>
      <w:pPr>
        <w:ind w:left="357" w:hanging="357"/>
      </w:pPr>
      <w:rPr>
        <w:rFonts w:hint="default"/>
      </w:rPr>
    </w:lvl>
    <w:lvl w:ilvl="2">
      <w:start w:val="1"/>
      <w:numFmt w:val="decimal"/>
      <w:lvlText w:val="%1%2.%3"/>
      <w:lvlJc w:val="left"/>
      <w:pPr>
        <w:ind w:left="879" w:hanging="879"/>
      </w:pPr>
      <w:rPr>
        <w:rFonts w:hint="default"/>
      </w:rPr>
    </w:lvl>
    <w:lvl w:ilvl="3">
      <w:start w:val="1"/>
      <w:numFmt w:val="lowerLetter"/>
      <w:lvlText w:val="(%4)"/>
      <w:lvlJc w:val="left"/>
      <w:pPr>
        <w:tabs>
          <w:tab w:val="num" w:pos="879"/>
        </w:tabs>
        <w:ind w:left="1236" w:hanging="357"/>
      </w:pPr>
      <w:rPr>
        <w:rFonts w:hint="default"/>
      </w:rPr>
    </w:lvl>
    <w:lvl w:ilvl="4">
      <w:start w:val="1"/>
      <w:numFmt w:val="lowerRoman"/>
      <w:lvlText w:val="(%5)"/>
      <w:lvlJc w:val="left"/>
      <w:pPr>
        <w:ind w:left="1593" w:hanging="357"/>
      </w:pPr>
      <w:rPr>
        <w:rFonts w:hint="default"/>
      </w:rPr>
    </w:lvl>
    <w:lvl w:ilvl="5">
      <w:start w:val="1"/>
      <w:numFmt w:val="upperLetter"/>
      <w:lvlRestart w:val="2"/>
      <w:suff w:val="space"/>
      <w:lvlText w:val="Part %6:"/>
      <w:lvlJc w:val="left"/>
      <w:pPr>
        <w:ind w:left="357" w:hanging="357"/>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C4D6029"/>
    <w:multiLevelType w:val="multilevel"/>
    <w:tmpl w:val="0BF6160E"/>
    <w:styleLink w:val="1ai"/>
    <w:lvl w:ilvl="0">
      <w:start w:val="1"/>
      <w:numFmt w:val="decimal"/>
      <w:lvlText w:val="%1)"/>
      <w:lvlJc w:val="left"/>
      <w:pPr>
        <w:ind w:left="624" w:hanging="62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05F20C6"/>
    <w:multiLevelType w:val="multilevel"/>
    <w:tmpl w:val="0809001F"/>
    <w:name w:val="Numbered Paragraphs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70B11DD"/>
    <w:multiLevelType w:val="multilevel"/>
    <w:tmpl w:val="A370979C"/>
    <w:name w:val="Appendix Levels"/>
    <w:lvl w:ilvl="0">
      <w:start w:val="1"/>
      <w:numFmt w:val="none"/>
      <w:suff w:val="space"/>
      <w:lvlText w:val=""/>
      <w:lvlJc w:val="left"/>
      <w:pPr>
        <w:ind w:left="360" w:hanging="360"/>
      </w:pPr>
      <w:rPr>
        <w:rFonts w:hint="default"/>
      </w:rPr>
    </w:lvl>
    <w:lvl w:ilvl="1">
      <w:start w:val="1"/>
      <w:numFmt w:val="decimal"/>
      <w:suff w:val="space"/>
      <w:lvlText w:val="%11.%2."/>
      <w:lvlJc w:val="left"/>
      <w:pPr>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5CCB3475"/>
    <w:multiLevelType w:val="hybridMultilevel"/>
    <w:tmpl w:val="0809001D"/>
    <w:name w:val="Numbered Paragraphs"/>
    <w:lvl w:ilvl="0" w:tplc="5B78A22A">
      <w:start w:val="1"/>
      <w:numFmt w:val="decimal"/>
      <w:lvlText w:val="%1)"/>
      <w:lvlJc w:val="left"/>
      <w:pPr>
        <w:ind w:left="360" w:hanging="360"/>
      </w:pPr>
    </w:lvl>
    <w:lvl w:ilvl="1" w:tplc="A864B61E">
      <w:start w:val="1"/>
      <w:numFmt w:val="lowerLetter"/>
      <w:lvlText w:val="%2)"/>
      <w:lvlJc w:val="left"/>
      <w:pPr>
        <w:ind w:left="720" w:hanging="360"/>
      </w:pPr>
    </w:lvl>
    <w:lvl w:ilvl="2" w:tplc="3DC28504">
      <w:start w:val="1"/>
      <w:numFmt w:val="lowerRoman"/>
      <w:lvlText w:val="%3)"/>
      <w:lvlJc w:val="left"/>
      <w:pPr>
        <w:ind w:left="1080" w:hanging="360"/>
      </w:pPr>
    </w:lvl>
    <w:lvl w:ilvl="3" w:tplc="72FCC22C">
      <w:start w:val="1"/>
      <w:numFmt w:val="decimal"/>
      <w:lvlText w:val="(%4)"/>
      <w:lvlJc w:val="left"/>
      <w:pPr>
        <w:ind w:left="1440" w:hanging="360"/>
      </w:pPr>
    </w:lvl>
    <w:lvl w:ilvl="4" w:tplc="8BF81A26">
      <w:start w:val="1"/>
      <w:numFmt w:val="lowerLetter"/>
      <w:lvlText w:val="(%5)"/>
      <w:lvlJc w:val="left"/>
      <w:pPr>
        <w:ind w:left="1800" w:hanging="360"/>
      </w:pPr>
    </w:lvl>
    <w:lvl w:ilvl="5" w:tplc="6C30F738">
      <w:start w:val="1"/>
      <w:numFmt w:val="lowerRoman"/>
      <w:lvlText w:val="(%6)"/>
      <w:lvlJc w:val="left"/>
      <w:pPr>
        <w:ind w:left="2160" w:hanging="360"/>
      </w:pPr>
    </w:lvl>
    <w:lvl w:ilvl="6" w:tplc="DDB63182">
      <w:start w:val="1"/>
      <w:numFmt w:val="decimal"/>
      <w:lvlText w:val="%7."/>
      <w:lvlJc w:val="left"/>
      <w:pPr>
        <w:ind w:left="2520" w:hanging="360"/>
      </w:pPr>
    </w:lvl>
    <w:lvl w:ilvl="7" w:tplc="CA6E7DEE">
      <w:start w:val="1"/>
      <w:numFmt w:val="lowerLetter"/>
      <w:lvlText w:val="%8."/>
      <w:lvlJc w:val="left"/>
      <w:pPr>
        <w:ind w:left="2880" w:hanging="360"/>
      </w:pPr>
    </w:lvl>
    <w:lvl w:ilvl="8" w:tplc="AE208572">
      <w:start w:val="1"/>
      <w:numFmt w:val="lowerRoman"/>
      <w:lvlText w:val="%9."/>
      <w:lvlJc w:val="left"/>
      <w:pPr>
        <w:ind w:left="3240" w:hanging="360"/>
      </w:pPr>
    </w:lvl>
  </w:abstractNum>
  <w:abstractNum w:abstractNumId="16" w15:restartNumberingAfterBreak="0">
    <w:nsid w:val="5E2E5646"/>
    <w:multiLevelType w:val="multilevel"/>
    <w:tmpl w:val="3CF87A30"/>
    <w:name w:val="Numbered Paragraphs322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08447AA"/>
    <w:multiLevelType w:val="multilevel"/>
    <w:tmpl w:val="0809001D"/>
    <w:name w:val="Numbered Paragraphs3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0E675E5"/>
    <w:multiLevelType w:val="multilevel"/>
    <w:tmpl w:val="0809001D"/>
    <w:name w:val="Numbered Paragraphs3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73F76A0"/>
    <w:multiLevelType w:val="hybridMultilevel"/>
    <w:tmpl w:val="A3C8E14C"/>
    <w:lvl w:ilvl="0" w:tplc="CCFA270E">
      <w:start w:val="1"/>
      <w:numFmt w:val="lowerLetter"/>
      <w:lvlText w:val="(%1)"/>
      <w:lvlJc w:val="left"/>
      <w:pPr>
        <w:ind w:left="1440" w:hanging="720"/>
      </w:pPr>
      <w:rPr>
        <w:rFonts w:hint="default"/>
      </w:rPr>
    </w:lvl>
    <w:lvl w:ilvl="1" w:tplc="C284C254">
      <w:start w:val="1"/>
      <w:numFmt w:val="lowerLetter"/>
      <w:lvlText w:val="%2."/>
      <w:lvlJc w:val="left"/>
      <w:pPr>
        <w:ind w:left="1800" w:hanging="360"/>
      </w:pPr>
    </w:lvl>
    <w:lvl w:ilvl="2" w:tplc="842AE3E2" w:tentative="1">
      <w:start w:val="1"/>
      <w:numFmt w:val="lowerRoman"/>
      <w:lvlText w:val="%3."/>
      <w:lvlJc w:val="right"/>
      <w:pPr>
        <w:ind w:left="2520" w:hanging="180"/>
      </w:pPr>
    </w:lvl>
    <w:lvl w:ilvl="3" w:tplc="06C0377E" w:tentative="1">
      <w:start w:val="1"/>
      <w:numFmt w:val="decimal"/>
      <w:lvlText w:val="%4."/>
      <w:lvlJc w:val="left"/>
      <w:pPr>
        <w:ind w:left="3240" w:hanging="360"/>
      </w:pPr>
    </w:lvl>
    <w:lvl w:ilvl="4" w:tplc="62C80092" w:tentative="1">
      <w:start w:val="1"/>
      <w:numFmt w:val="lowerLetter"/>
      <w:lvlText w:val="%5."/>
      <w:lvlJc w:val="left"/>
      <w:pPr>
        <w:ind w:left="3960" w:hanging="360"/>
      </w:pPr>
    </w:lvl>
    <w:lvl w:ilvl="5" w:tplc="1750A8E4" w:tentative="1">
      <w:start w:val="1"/>
      <w:numFmt w:val="lowerRoman"/>
      <w:lvlText w:val="%6."/>
      <w:lvlJc w:val="right"/>
      <w:pPr>
        <w:ind w:left="4680" w:hanging="180"/>
      </w:pPr>
    </w:lvl>
    <w:lvl w:ilvl="6" w:tplc="AF18D1DE" w:tentative="1">
      <w:start w:val="1"/>
      <w:numFmt w:val="decimal"/>
      <w:lvlText w:val="%7."/>
      <w:lvlJc w:val="left"/>
      <w:pPr>
        <w:ind w:left="5400" w:hanging="360"/>
      </w:pPr>
    </w:lvl>
    <w:lvl w:ilvl="7" w:tplc="C3541CAA" w:tentative="1">
      <w:start w:val="1"/>
      <w:numFmt w:val="lowerLetter"/>
      <w:lvlText w:val="%8."/>
      <w:lvlJc w:val="left"/>
      <w:pPr>
        <w:ind w:left="6120" w:hanging="360"/>
      </w:pPr>
    </w:lvl>
    <w:lvl w:ilvl="8" w:tplc="0D8C30D2" w:tentative="1">
      <w:start w:val="1"/>
      <w:numFmt w:val="lowerRoman"/>
      <w:lvlText w:val="%9."/>
      <w:lvlJc w:val="right"/>
      <w:pPr>
        <w:ind w:left="6840" w:hanging="180"/>
      </w:pPr>
    </w:lvl>
  </w:abstractNum>
  <w:abstractNum w:abstractNumId="20" w15:restartNumberingAfterBreak="0">
    <w:nsid w:val="7C243DEB"/>
    <w:multiLevelType w:val="multilevel"/>
    <w:tmpl w:val="FC086886"/>
    <w:name w:val="Numbered Paragraphs3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lvlOverride w:ilvl="0">
      <w:lvl w:ilvl="0">
        <w:start w:val="1"/>
        <w:numFmt w:val="decimal"/>
        <w:pStyle w:val="Heading1"/>
        <w:suff w:val="space"/>
        <w:lvlText w:val="Chapter %1:"/>
        <w:lvlJc w:val="left"/>
        <w:pPr>
          <w:ind w:left="360" w:hanging="360"/>
        </w:pPr>
        <w:rPr>
          <w:rFonts w:hint="default"/>
        </w:rPr>
      </w:lvl>
    </w:lvlOverride>
    <w:lvlOverride w:ilvl="1">
      <w:lvl w:ilvl="1">
        <w:start w:val="1"/>
        <w:numFmt w:val="upperLetter"/>
        <w:pStyle w:val="Heading2"/>
        <w:suff w:val="space"/>
        <w:lvlText w:val="Special Condition %1%2."/>
        <w:lvlJc w:val="left"/>
        <w:pPr>
          <w:ind w:left="357" w:hanging="357"/>
        </w:pPr>
        <w:rPr>
          <w:rFonts w:hint="default"/>
        </w:rPr>
      </w:lvl>
    </w:lvlOverride>
    <w:lvlOverride w:ilvl="2">
      <w:lvl w:ilvl="2">
        <w:start w:val="1"/>
        <w:numFmt w:val="decimal"/>
        <w:pStyle w:val="NumberedNormal"/>
        <w:lvlText w:val="%1%2.%3"/>
        <w:lvlJc w:val="left"/>
        <w:pPr>
          <w:ind w:left="879" w:hanging="879"/>
        </w:pPr>
        <w:rPr>
          <w:rFonts w:hint="default"/>
        </w:rPr>
      </w:lvl>
    </w:lvlOverride>
    <w:lvlOverride w:ilvl="5">
      <w:lvl w:ilvl="5">
        <w:start w:val="1"/>
        <w:numFmt w:val="upperLetter"/>
        <w:lvlRestart w:val="2"/>
        <w:pStyle w:val="Heading3"/>
        <w:suff w:val="space"/>
        <w:lvlText w:val="Part %6:"/>
        <w:lvlJc w:val="left"/>
        <w:pPr>
          <w:ind w:left="357" w:hanging="357"/>
        </w:pPr>
        <w:rPr>
          <w:rFonts w:hint="default"/>
        </w:rPr>
      </w:lvl>
    </w:lvlOverride>
  </w:num>
  <w:num w:numId="2">
    <w:abstractNumId w:val="3"/>
  </w:num>
  <w:num w:numId="3">
    <w:abstractNumId w:val="11"/>
  </w:num>
  <w:num w:numId="4">
    <w:abstractNumId w:val="6"/>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 w:ilvl="0">
        <w:start w:val="1"/>
        <w:numFmt w:val="decimal"/>
        <w:pStyle w:val="Heading1"/>
        <w:suff w:val="space"/>
        <w:lvlText w:val="Chapter %1:"/>
        <w:lvlJc w:val="left"/>
        <w:pPr>
          <w:ind w:left="360" w:hanging="360"/>
        </w:pPr>
      </w:lvl>
    </w:lvlOverride>
    <w:lvlOverride w:ilvl="1">
      <w:lvl w:ilvl="1">
        <w:start w:val="1"/>
        <w:numFmt w:val="decimal"/>
        <w:pStyle w:val="Heading2"/>
        <w:suff w:val="space"/>
        <w:lvlText w:val="Special Condition %1.%2"/>
        <w:lvlJc w:val="left"/>
        <w:pPr>
          <w:ind w:left="357" w:hanging="357"/>
        </w:pPr>
      </w:lvl>
    </w:lvlOverride>
    <w:lvlOverride w:ilvl="2">
      <w:lvl w:ilvl="2">
        <w:start w:val="1"/>
        <w:numFmt w:val="decimal"/>
        <w:pStyle w:val="NumberedNormal"/>
        <w:lvlText w:val="%1.%2.%3"/>
        <w:lvlJc w:val="left"/>
        <w:pPr>
          <w:ind w:left="879" w:hanging="879"/>
        </w:pPr>
      </w:lvl>
    </w:lvlOverride>
    <w:lvlOverride w:ilvl="3">
      <w:lvl w:ilvl="3">
        <w:start w:val="1"/>
        <w:numFmt w:val="lowerLetter"/>
        <w:pStyle w:val="ListNormal"/>
        <w:lvlText w:val="(%4)"/>
        <w:lvlJc w:val="left"/>
        <w:pPr>
          <w:tabs>
            <w:tab w:val="num" w:pos="879"/>
          </w:tabs>
          <w:ind w:left="1236" w:hanging="357"/>
        </w:pPr>
      </w:lvl>
    </w:lvlOverride>
    <w:lvlOverride w:ilvl="4">
      <w:lvl w:ilvl="4">
        <w:start w:val="1"/>
        <w:numFmt w:val="lowerRoman"/>
        <w:lvlText w:val="(%5)"/>
        <w:lvlJc w:val="left"/>
        <w:pPr>
          <w:ind w:left="1593" w:hanging="357"/>
        </w:pPr>
      </w:lvl>
    </w:lvlOverride>
    <w:lvlOverride w:ilvl="5">
      <w:lvl w:ilvl="5">
        <w:start w:val="1"/>
        <w:numFmt w:val="upperLetter"/>
        <w:lvlRestart w:val="2"/>
        <w:pStyle w:val="Heading3"/>
        <w:suff w:val="space"/>
        <w:lvlText w:val="Part %6:"/>
        <w:lvlJc w:val="left"/>
        <w:pPr>
          <w:ind w:left="357" w:hanging="357"/>
        </w:pPr>
      </w:lvl>
    </w:lvlOverride>
    <w:lvlOverride w:ilvl="6">
      <w:lvl w:ilvl="6">
        <w:start w:val="1"/>
        <w:numFmt w:val="decimal"/>
        <w:pStyle w:val="AppendixHeading"/>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7">
    <w:abstractNumId w:val="3"/>
    <w:lvlOverride w:ilvl="0">
      <w:lvl w:ilvl="0">
        <w:start w:val="1"/>
        <w:numFmt w:val="decimal"/>
        <w:pStyle w:val="Heading1"/>
        <w:suff w:val="space"/>
        <w:lvlText w:val="Chapter %1:"/>
        <w:lvlJc w:val="left"/>
        <w:pPr>
          <w:ind w:left="360" w:hanging="360"/>
        </w:pPr>
        <w:rPr>
          <w:rFonts w:hint="default"/>
        </w:rPr>
      </w:lvl>
    </w:lvlOverride>
    <w:lvlOverride w:ilvl="1">
      <w:lvl w:ilvl="1">
        <w:start w:val="1"/>
        <w:numFmt w:val="decimal"/>
        <w:pStyle w:val="Heading2"/>
        <w:suff w:val="space"/>
        <w:lvlText w:val="Special Condition %1.%2"/>
        <w:lvlJc w:val="left"/>
        <w:pPr>
          <w:ind w:left="0" w:firstLine="0"/>
        </w:pPr>
        <w:rPr>
          <w:rFonts w:hint="default"/>
        </w:rPr>
      </w:lvl>
    </w:lvlOverride>
    <w:lvlOverride w:ilvl="2">
      <w:lvl w:ilvl="2">
        <w:start w:val="1"/>
        <w:numFmt w:val="decimal"/>
        <w:pStyle w:val="NumberedNormal"/>
        <w:lvlText w:val="%1.%2.%3"/>
        <w:lvlJc w:val="left"/>
        <w:pPr>
          <w:ind w:left="879" w:hanging="879"/>
        </w:pPr>
        <w:rPr>
          <w:rFonts w:hint="default"/>
        </w:rPr>
      </w:lvl>
    </w:lvlOverride>
    <w:lvlOverride w:ilvl="3">
      <w:lvl w:ilvl="3">
        <w:start w:val="1"/>
        <w:numFmt w:val="lowerLetter"/>
        <w:pStyle w:val="ListNormal"/>
        <w:lvlText w:val="(%4)"/>
        <w:lvlJc w:val="left"/>
        <w:pPr>
          <w:tabs>
            <w:tab w:val="num" w:pos="710"/>
          </w:tabs>
          <w:ind w:left="1067" w:hanging="357"/>
        </w:pPr>
        <w:rPr>
          <w:rFonts w:hint="default"/>
        </w:rPr>
      </w:lvl>
    </w:lvlOverride>
    <w:lvlOverride w:ilvl="4">
      <w:lvl w:ilvl="4">
        <w:start w:val="1"/>
        <w:numFmt w:val="lowerRoman"/>
        <w:lvlText w:val="%5."/>
        <w:lvlJc w:val="left"/>
        <w:pPr>
          <w:ind w:left="1701" w:hanging="465"/>
        </w:pPr>
        <w:rPr>
          <w:rFonts w:hint="default"/>
        </w:rPr>
      </w:lvl>
    </w:lvlOverride>
    <w:lvlOverride w:ilvl="5">
      <w:lvl w:ilvl="5">
        <w:start w:val="1"/>
        <w:numFmt w:val="upperLetter"/>
        <w:lvlRestart w:val="2"/>
        <w:pStyle w:val="Heading3"/>
        <w:suff w:val="space"/>
        <w:lvlText w:val="Part %6:"/>
        <w:lvlJc w:val="left"/>
        <w:pPr>
          <w:ind w:left="0" w:firstLine="0"/>
        </w:pPr>
        <w:rPr>
          <w:rFonts w:hint="default"/>
        </w:rPr>
      </w:lvl>
    </w:lvlOverride>
    <w:lvlOverride w:ilvl="6">
      <w:lvl w:ilvl="6">
        <w:start w:val="1"/>
        <w:numFmt w:val="decimal"/>
        <w:lvlRestart w:val="2"/>
        <w:pStyle w:val="AppendixHeading"/>
        <w:suff w:val="nothing"/>
        <w:lvlText w:val="Appendix %7"/>
        <w:lvlJc w:val="left"/>
        <w:pPr>
          <w:ind w:left="357" w:hanging="357"/>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8">
    <w:abstractNumId w:val="12"/>
  </w:num>
  <w:num w:numId="9">
    <w:abstractNumId w:val="2"/>
  </w:num>
  <w:num w:numId="10">
    <w:abstractNumId w:val="10"/>
  </w:num>
  <w:num w:numId="11">
    <w:abstractNumId w:val="3"/>
  </w:num>
  <w:num w:numId="12">
    <w:abstractNumId w:val="3"/>
    <w:lvlOverride w:ilvl="1">
      <w:lvl w:ilvl="1">
        <w:start w:val="1"/>
        <w:numFmt w:val="decimal"/>
        <w:pStyle w:val="Heading2"/>
        <w:suff w:val="space"/>
        <w:lvlText w:val="Special Condition %1.%2"/>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NumberedNormal"/>
        <w:lvlText w:val="%1.%2.%3"/>
        <w:lvlJc w:val="left"/>
        <w:pPr>
          <w:ind w:left="879" w:hanging="87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lowerLetter"/>
        <w:pStyle w:val="ListNormal"/>
        <w:lvlText w:val="(%4)"/>
        <w:lvlJc w:val="left"/>
        <w:pPr>
          <w:tabs>
            <w:tab w:val="num" w:pos="879"/>
          </w:tabs>
          <w:ind w:left="1236" w:hanging="35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6">
      <w:lvl w:ilvl="6">
        <w:start w:val="1"/>
        <w:numFmt w:val="decimal"/>
        <w:lvlRestart w:val="2"/>
        <w:pStyle w:val="AppendixHeading"/>
        <w:suff w:val="nothing"/>
        <w:lvlText w:val="Appendix %7"/>
        <w:lvlJc w:val="left"/>
        <w:pPr>
          <w:ind w:left="357" w:hanging="357"/>
        </w:pPr>
        <w:rPr>
          <w:rFonts w:hint="default"/>
        </w:rPr>
      </w:lvl>
    </w:lvlOverride>
  </w:num>
  <w:num w:numId="13">
    <w:abstractNumId w:val="3"/>
    <w:lvlOverride w:ilvl="6">
      <w:lvl w:ilvl="6">
        <w:start w:val="1"/>
        <w:numFmt w:val="decimal"/>
        <w:lvlRestart w:val="2"/>
        <w:pStyle w:val="AppendixHeading"/>
        <w:suff w:val="nothing"/>
        <w:lvlText w:val="Appendix %7"/>
        <w:lvlJc w:val="left"/>
        <w:pPr>
          <w:ind w:left="357" w:hanging="357"/>
        </w:pPr>
        <w:rPr>
          <w:rFonts w:hint="default"/>
        </w:rPr>
      </w:lvl>
    </w:lvlOverride>
  </w:num>
  <w:num w:numId="14">
    <w:abstractNumId w:val="3"/>
    <w:lvlOverride w:ilvl="0">
      <w:startOverride w:val="1"/>
      <w:lvl w:ilvl="0">
        <w:start w:val="1"/>
        <w:numFmt w:val="decimal"/>
        <w:pStyle w:val="Heading1"/>
        <w:lvlText w:val=""/>
        <w:lvlJc w:val="left"/>
      </w:lvl>
    </w:lvlOverride>
    <w:lvlOverride w:ilvl="1">
      <w:startOverride w:val="1"/>
      <w:lvl w:ilvl="1">
        <w:start w:val="1"/>
        <w:numFmt w:val="decimal"/>
        <w:pStyle w:val="Heading2"/>
        <w:lvlText w:val=""/>
        <w:lvlJc w:val="left"/>
      </w:lvl>
    </w:lvlOverride>
    <w:lvlOverride w:ilvl="2">
      <w:startOverride w:val="1"/>
      <w:lvl w:ilvl="2">
        <w:start w:val="1"/>
        <w:numFmt w:val="decimal"/>
        <w:pStyle w:val="NumberedNormal"/>
        <w:lvlText w:val=""/>
        <w:lvlJc w:val="left"/>
      </w:lvl>
    </w:lvlOverride>
    <w:lvlOverride w:ilvl="3">
      <w:startOverride w:val="1"/>
      <w:lvl w:ilvl="3">
        <w:start w:val="1"/>
        <w:numFmt w:val="decimal"/>
        <w:pStyle w:val="ListNormal"/>
        <w:lvlText w:val=""/>
        <w:lvlJc w:val="left"/>
      </w:lvl>
    </w:lvlOverride>
    <w:lvlOverride w:ilvl="4">
      <w:startOverride w:val="1"/>
      <w:lvl w:ilvl="4">
        <w:start w:val="1"/>
        <w:numFmt w:val="decimal"/>
        <w:lvlText w:val=""/>
        <w:lvlJc w:val="left"/>
      </w:lvl>
    </w:lvlOverride>
    <w:lvlOverride w:ilvl="5">
      <w:startOverride w:val="1"/>
      <w:lvl w:ilvl="5">
        <w:start w:val="1"/>
        <w:numFmt w:val="upperLetter"/>
        <w:lvlRestart w:val="2"/>
        <w:pStyle w:val="Heading3"/>
        <w:suff w:val="space"/>
        <w:lvlText w:val="Part %6:"/>
        <w:lvlJc w:val="left"/>
        <w:pPr>
          <w:ind w:left="357" w:hanging="357"/>
        </w:pPr>
        <w:rPr>
          <w:rFonts w:hint="default"/>
        </w:rPr>
      </w:lvl>
    </w:lvlOverride>
  </w:num>
  <w:num w:numId="15">
    <w:abstractNumId w:val="19"/>
    <w:lvlOverride w:ilvl="0">
      <w:startOverride w:val="1"/>
    </w:lvlOverride>
  </w:num>
  <w:num w:numId="16">
    <w:abstractNumId w:val="3"/>
    <w:lvlOverride w:ilvl="0">
      <w:startOverride w:val="1"/>
      <w:lvl w:ilvl="0">
        <w:start w:val="1"/>
        <w:numFmt w:val="decimal"/>
        <w:pStyle w:val="Heading1"/>
        <w:lvlText w:val=""/>
        <w:lvlJc w:val="left"/>
      </w:lvl>
    </w:lvlOverride>
    <w:lvlOverride w:ilvl="1">
      <w:startOverride w:val="1"/>
      <w:lvl w:ilvl="1">
        <w:start w:val="1"/>
        <w:numFmt w:val="decimal"/>
        <w:pStyle w:val="Heading2"/>
        <w:lvlText w:val=""/>
        <w:lvlJc w:val="left"/>
      </w:lvl>
    </w:lvlOverride>
    <w:lvlOverride w:ilvl="2">
      <w:startOverride w:val="1"/>
      <w:lvl w:ilvl="2">
        <w:start w:val="1"/>
        <w:numFmt w:val="decimal"/>
        <w:pStyle w:val="NumberedNormal"/>
        <w:lvlText w:val=""/>
        <w:lvlJc w:val="left"/>
      </w:lvl>
    </w:lvlOverride>
    <w:lvlOverride w:ilvl="3">
      <w:startOverride w:val="1"/>
      <w:lvl w:ilvl="3">
        <w:start w:val="1"/>
        <w:numFmt w:val="decimal"/>
        <w:pStyle w:val="ListNormal"/>
        <w:lvlText w:val=""/>
        <w:lvlJc w:val="left"/>
      </w:lvl>
    </w:lvlOverride>
    <w:lvlOverride w:ilvl="4">
      <w:startOverride w:val="1"/>
      <w:lvl w:ilvl="4">
        <w:start w:val="1"/>
        <w:numFmt w:val="decimal"/>
        <w:lvlText w:val=""/>
        <w:lvlJc w:val="left"/>
      </w:lvl>
    </w:lvlOverride>
    <w:lvlOverride w:ilvl="5">
      <w:startOverride w:val="1"/>
      <w:lvl w:ilvl="5">
        <w:start w:val="1"/>
        <w:numFmt w:val="upperLetter"/>
        <w:lvlRestart w:val="2"/>
        <w:pStyle w:val="Heading3"/>
        <w:suff w:val="space"/>
        <w:lvlText w:val="Part %6:"/>
        <w:lvlJc w:val="left"/>
        <w:pPr>
          <w:ind w:left="4610" w:hanging="357"/>
        </w:pPr>
        <w:rPr>
          <w:rFonts w:hint="default"/>
        </w:rPr>
      </w:lvl>
    </w:lvlOverride>
  </w:num>
  <w:num w:numId="17">
    <w:abstractNumId w:val="3"/>
  </w:num>
  <w:num w:numId="18">
    <w:abstractNumId w:val="3"/>
    <w:lvlOverride w:ilvl="0">
      <w:lvl w:ilvl="0">
        <w:start w:val="1"/>
        <w:numFmt w:val="decimal"/>
        <w:pStyle w:val="Heading1"/>
        <w:suff w:val="space"/>
        <w:lvlText w:val="Chapter %1:"/>
        <w:lvlJc w:val="left"/>
        <w:pPr>
          <w:ind w:left="360" w:hanging="360"/>
        </w:pPr>
        <w:rPr>
          <w:rFonts w:hint="default"/>
        </w:rPr>
      </w:lvl>
    </w:lvlOverride>
    <w:lvlOverride w:ilvl="1">
      <w:lvl w:ilvl="1">
        <w:start w:val="1"/>
        <w:numFmt w:val="decimal"/>
        <w:pStyle w:val="Heading2"/>
        <w:suff w:val="space"/>
        <w:lvlText w:val="Special Condition %1.%2"/>
        <w:lvlJc w:val="left"/>
        <w:pPr>
          <w:ind w:left="0" w:firstLine="0"/>
        </w:pPr>
        <w:rPr>
          <w:rFonts w:hint="default"/>
        </w:rPr>
      </w:lvl>
    </w:lvlOverride>
    <w:lvlOverride w:ilvl="2">
      <w:lvl w:ilvl="2">
        <w:start w:val="1"/>
        <w:numFmt w:val="decimal"/>
        <w:pStyle w:val="NumberedNormal"/>
        <w:lvlText w:val="%1.%2.%3"/>
        <w:lvlJc w:val="left"/>
        <w:pPr>
          <w:ind w:left="879" w:hanging="879"/>
        </w:pPr>
        <w:rPr>
          <w:rFonts w:hint="default"/>
        </w:rPr>
      </w:lvl>
    </w:lvlOverride>
    <w:lvlOverride w:ilvl="3">
      <w:lvl w:ilvl="3">
        <w:start w:val="1"/>
        <w:numFmt w:val="lowerLetter"/>
        <w:pStyle w:val="ListNormal"/>
        <w:lvlText w:val="(%4)"/>
        <w:lvlJc w:val="left"/>
        <w:pPr>
          <w:tabs>
            <w:tab w:val="num" w:pos="879"/>
          </w:tabs>
          <w:ind w:left="1236" w:hanging="357"/>
        </w:pPr>
        <w:rPr>
          <w:rFonts w:hint="default"/>
        </w:rPr>
      </w:lvl>
    </w:lvlOverride>
    <w:lvlOverride w:ilvl="4">
      <w:lvl w:ilvl="4">
        <w:start w:val="1"/>
        <w:numFmt w:val="lowerRoman"/>
        <w:lvlText w:val="%5."/>
        <w:lvlJc w:val="left"/>
        <w:pPr>
          <w:ind w:left="1701" w:hanging="465"/>
        </w:pPr>
        <w:rPr>
          <w:rFonts w:hint="default"/>
        </w:rPr>
      </w:lvl>
    </w:lvlOverride>
    <w:lvlOverride w:ilvl="5">
      <w:lvl w:ilvl="5">
        <w:start w:val="1"/>
        <w:numFmt w:val="upperLetter"/>
        <w:lvlRestart w:val="2"/>
        <w:pStyle w:val="Heading3"/>
        <w:suff w:val="space"/>
        <w:lvlText w:val="Part %6:"/>
        <w:lvlJc w:val="left"/>
        <w:pPr>
          <w:ind w:left="0" w:firstLine="0"/>
        </w:pPr>
        <w:rPr>
          <w:rFonts w:hint="default"/>
        </w:rPr>
      </w:lvl>
    </w:lvlOverride>
    <w:lvlOverride w:ilvl="6">
      <w:lvl w:ilvl="6">
        <w:start w:val="1"/>
        <w:numFmt w:val="decimal"/>
        <w:lvlRestart w:val="2"/>
        <w:pStyle w:val="AppendixHeading"/>
        <w:suff w:val="nothing"/>
        <w:lvlText w:val="Appendix %7"/>
        <w:lvlJc w:val="left"/>
        <w:pPr>
          <w:ind w:left="357" w:hanging="357"/>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3"/>
    <w:lvlOverride w:ilvl="0">
      <w:startOverride w:val="1"/>
      <w:lvl w:ilvl="0">
        <w:start w:val="1"/>
        <w:numFmt w:val="decimal"/>
        <w:pStyle w:val="Heading1"/>
        <w:suff w:val="space"/>
        <w:lvlText w:val="Chapter %1:"/>
        <w:lvlJc w:val="left"/>
        <w:pPr>
          <w:ind w:left="360" w:hanging="360"/>
        </w:pPr>
        <w:rPr>
          <w:rFonts w:hint="default"/>
        </w:rPr>
      </w:lvl>
    </w:lvlOverride>
    <w:lvlOverride w:ilvl="1">
      <w:startOverride w:val="1"/>
      <w:lvl w:ilvl="1">
        <w:start w:val="1"/>
        <w:numFmt w:val="decimal"/>
        <w:pStyle w:val="Heading2"/>
        <w:suff w:val="space"/>
        <w:lvlText w:val="Special Condition %1.%2"/>
        <w:lvlJc w:val="left"/>
        <w:pPr>
          <w:ind w:left="0" w:firstLine="0"/>
        </w:pPr>
        <w:rPr>
          <w:rFonts w:hint="default"/>
        </w:rPr>
      </w:lvl>
    </w:lvlOverride>
    <w:lvlOverride w:ilvl="2">
      <w:startOverride w:val="1"/>
      <w:lvl w:ilvl="2">
        <w:start w:val="1"/>
        <w:numFmt w:val="decimal"/>
        <w:pStyle w:val="NumberedNormal"/>
        <w:lvlText w:val="%1.%2.%3"/>
        <w:lvlJc w:val="left"/>
        <w:pPr>
          <w:ind w:left="879" w:hanging="879"/>
        </w:pPr>
        <w:rPr>
          <w:rFonts w:hint="default"/>
        </w:rPr>
      </w:lvl>
    </w:lvlOverride>
    <w:lvlOverride w:ilvl="3">
      <w:startOverride w:val="1"/>
      <w:lvl w:ilvl="3">
        <w:start w:val="1"/>
        <w:numFmt w:val="lowerLetter"/>
        <w:pStyle w:val="ListNormal"/>
        <w:lvlText w:val="(%4)"/>
        <w:lvlJc w:val="left"/>
        <w:pPr>
          <w:tabs>
            <w:tab w:val="num" w:pos="879"/>
          </w:tabs>
          <w:ind w:left="1236" w:hanging="357"/>
        </w:pPr>
        <w:rPr>
          <w:rFonts w:hint="default"/>
        </w:rPr>
      </w:lvl>
    </w:lvlOverride>
    <w:lvlOverride w:ilvl="4">
      <w:startOverride w:val="1"/>
      <w:lvl w:ilvl="4">
        <w:start w:val="1"/>
        <w:numFmt w:val="lowerRoman"/>
        <w:lvlText w:val="%5."/>
        <w:lvlJc w:val="left"/>
        <w:pPr>
          <w:ind w:left="1701" w:hanging="465"/>
        </w:pPr>
        <w:rPr>
          <w:rFonts w:hint="default"/>
        </w:rPr>
      </w:lvl>
    </w:lvlOverride>
    <w:lvlOverride w:ilvl="5">
      <w:startOverride w:val="1"/>
      <w:lvl w:ilvl="5">
        <w:start w:val="1"/>
        <w:numFmt w:val="upperLetter"/>
        <w:lvlRestart w:val="2"/>
        <w:pStyle w:val="Heading3"/>
        <w:suff w:val="space"/>
        <w:lvlText w:val="Part %6:"/>
        <w:lvlJc w:val="left"/>
        <w:pPr>
          <w:ind w:left="0" w:firstLine="0"/>
        </w:pPr>
        <w:rPr>
          <w:rFonts w:hint="default"/>
        </w:rPr>
      </w:lvl>
    </w:lvlOverride>
    <w:lvlOverride w:ilvl="6">
      <w:startOverride w:val="1"/>
      <w:lvl w:ilvl="6">
        <w:start w:val="1"/>
        <w:numFmt w:val="decimal"/>
        <w:lvlRestart w:val="2"/>
        <w:pStyle w:val="AppendixHeading"/>
        <w:suff w:val="nothing"/>
        <w:lvlText w:val="Appendix %7"/>
        <w:lvlJc w:val="left"/>
        <w:pPr>
          <w:ind w:left="357" w:hanging="357"/>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0">
    <w:abstractNumId w:val="12"/>
  </w:num>
  <w:num w:numId="21">
    <w:abstractNumId w:val="3"/>
  </w:num>
  <w:num w:numId="22">
    <w:abstractNumId w:val="2"/>
  </w:num>
  <w:num w:numId="23">
    <w:abstractNumId w:val="3"/>
  </w:num>
  <w:num w:numId="24">
    <w:abstractNumId w:val="3"/>
  </w:num>
  <w:num w:numId="25">
    <w:abstractNumId w:val="3"/>
  </w:num>
  <w:num w:numId="26">
    <w:abstractNumId w:val="10"/>
  </w:num>
  <w:num w:numId="27">
    <w:abstractNumId w:val="3"/>
  </w:num>
  <w:num w:numId="28">
    <w:abstractNumId w:val="3"/>
  </w:num>
  <w:num w:numId="29">
    <w:abstractNumId w:val="3"/>
  </w:num>
  <w:num w:numId="30">
    <w:abstractNumId w:val="5"/>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styleLockTheme/>
  <w:styleLockQFSet/>
  <w:defaultTabStop w:val="720"/>
  <w:characterSpacingControl w:val="doNotCompress"/>
  <w:hdrShapeDefaults>
    <o:shapedefaults v:ext="edit" spidmax="4098"/>
    <o:shapelayout v:ext="edit">
      <o:idmap v:ext="edit" data="4"/>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2AF2"/>
    <w:rsid w:val="00000D51"/>
    <w:rsid w:val="000019C6"/>
    <w:rsid w:val="00001CA9"/>
    <w:rsid w:val="00002530"/>
    <w:rsid w:val="0000304F"/>
    <w:rsid w:val="00003B6B"/>
    <w:rsid w:val="00003C8F"/>
    <w:rsid w:val="00004082"/>
    <w:rsid w:val="000047FD"/>
    <w:rsid w:val="0000491C"/>
    <w:rsid w:val="00005552"/>
    <w:rsid w:val="000056CB"/>
    <w:rsid w:val="000056E3"/>
    <w:rsid w:val="0000590F"/>
    <w:rsid w:val="00006132"/>
    <w:rsid w:val="00006A01"/>
    <w:rsid w:val="00006CD4"/>
    <w:rsid w:val="00007451"/>
    <w:rsid w:val="00007A4C"/>
    <w:rsid w:val="00007E0B"/>
    <w:rsid w:val="00010B21"/>
    <w:rsid w:val="0001179F"/>
    <w:rsid w:val="000130B5"/>
    <w:rsid w:val="00014D88"/>
    <w:rsid w:val="000157F3"/>
    <w:rsid w:val="00016676"/>
    <w:rsid w:val="0001739C"/>
    <w:rsid w:val="000173D7"/>
    <w:rsid w:val="00017E2D"/>
    <w:rsid w:val="00020AFE"/>
    <w:rsid w:val="00020BE1"/>
    <w:rsid w:val="000216B9"/>
    <w:rsid w:val="000216DB"/>
    <w:rsid w:val="00021C75"/>
    <w:rsid w:val="00021FFB"/>
    <w:rsid w:val="00022372"/>
    <w:rsid w:val="000228DD"/>
    <w:rsid w:val="00022B5D"/>
    <w:rsid w:val="00022C11"/>
    <w:rsid w:val="00023573"/>
    <w:rsid w:val="0002374D"/>
    <w:rsid w:val="00023BE8"/>
    <w:rsid w:val="00023DF6"/>
    <w:rsid w:val="00023FA4"/>
    <w:rsid w:val="00024F0A"/>
    <w:rsid w:val="00025D2C"/>
    <w:rsid w:val="000265CD"/>
    <w:rsid w:val="00027096"/>
    <w:rsid w:val="00027635"/>
    <w:rsid w:val="000277A1"/>
    <w:rsid w:val="0002795B"/>
    <w:rsid w:val="00027E83"/>
    <w:rsid w:val="00030087"/>
    <w:rsid w:val="00031254"/>
    <w:rsid w:val="0003167E"/>
    <w:rsid w:val="00032448"/>
    <w:rsid w:val="000327B4"/>
    <w:rsid w:val="000329AB"/>
    <w:rsid w:val="00032BA6"/>
    <w:rsid w:val="00032C5C"/>
    <w:rsid w:val="000338A4"/>
    <w:rsid w:val="00033F9B"/>
    <w:rsid w:val="000340D3"/>
    <w:rsid w:val="00034169"/>
    <w:rsid w:val="00034B37"/>
    <w:rsid w:val="00036EC7"/>
    <w:rsid w:val="000370A0"/>
    <w:rsid w:val="000401B0"/>
    <w:rsid w:val="00040883"/>
    <w:rsid w:val="00040C35"/>
    <w:rsid w:val="00041527"/>
    <w:rsid w:val="000416D3"/>
    <w:rsid w:val="00041DF6"/>
    <w:rsid w:val="000421E8"/>
    <w:rsid w:val="0004251A"/>
    <w:rsid w:val="0004281F"/>
    <w:rsid w:val="000433F8"/>
    <w:rsid w:val="00043D5D"/>
    <w:rsid w:val="0004458A"/>
    <w:rsid w:val="000446C8"/>
    <w:rsid w:val="000466E3"/>
    <w:rsid w:val="00046D23"/>
    <w:rsid w:val="00046E59"/>
    <w:rsid w:val="00046F07"/>
    <w:rsid w:val="00050876"/>
    <w:rsid w:val="0005244C"/>
    <w:rsid w:val="00052494"/>
    <w:rsid w:val="00052CB6"/>
    <w:rsid w:val="00052E82"/>
    <w:rsid w:val="00054528"/>
    <w:rsid w:val="00054A64"/>
    <w:rsid w:val="00054ACA"/>
    <w:rsid w:val="000552A3"/>
    <w:rsid w:val="00055852"/>
    <w:rsid w:val="000559B0"/>
    <w:rsid w:val="00056370"/>
    <w:rsid w:val="0005655A"/>
    <w:rsid w:val="000568F2"/>
    <w:rsid w:val="000575F7"/>
    <w:rsid w:val="00057B4A"/>
    <w:rsid w:val="00057C32"/>
    <w:rsid w:val="00057D21"/>
    <w:rsid w:val="00057E59"/>
    <w:rsid w:val="00060207"/>
    <w:rsid w:val="00060A32"/>
    <w:rsid w:val="000619E9"/>
    <w:rsid w:val="000630C4"/>
    <w:rsid w:val="00063127"/>
    <w:rsid w:val="000631C1"/>
    <w:rsid w:val="00064A09"/>
    <w:rsid w:val="0006701E"/>
    <w:rsid w:val="00067202"/>
    <w:rsid w:val="00067A0C"/>
    <w:rsid w:val="00070650"/>
    <w:rsid w:val="00070C4A"/>
    <w:rsid w:val="00070DE0"/>
    <w:rsid w:val="000713E8"/>
    <w:rsid w:val="00071C0A"/>
    <w:rsid w:val="00072CE9"/>
    <w:rsid w:val="00074468"/>
    <w:rsid w:val="00074B43"/>
    <w:rsid w:val="000755BC"/>
    <w:rsid w:val="000775F4"/>
    <w:rsid w:val="000776CA"/>
    <w:rsid w:val="000811C3"/>
    <w:rsid w:val="00081253"/>
    <w:rsid w:val="0008184E"/>
    <w:rsid w:val="00081AA3"/>
    <w:rsid w:val="00083801"/>
    <w:rsid w:val="00083B7A"/>
    <w:rsid w:val="00083BC7"/>
    <w:rsid w:val="00083EFE"/>
    <w:rsid w:val="00083FC0"/>
    <w:rsid w:val="00084216"/>
    <w:rsid w:val="000845C7"/>
    <w:rsid w:val="0008486F"/>
    <w:rsid w:val="00084B78"/>
    <w:rsid w:val="00084F38"/>
    <w:rsid w:val="00085115"/>
    <w:rsid w:val="000867B5"/>
    <w:rsid w:val="000872CE"/>
    <w:rsid w:val="00087514"/>
    <w:rsid w:val="00087E5F"/>
    <w:rsid w:val="000904E4"/>
    <w:rsid w:val="00090713"/>
    <w:rsid w:val="00090720"/>
    <w:rsid w:val="00090D85"/>
    <w:rsid w:val="00092871"/>
    <w:rsid w:val="00092D65"/>
    <w:rsid w:val="00092D87"/>
    <w:rsid w:val="0009422E"/>
    <w:rsid w:val="00094A05"/>
    <w:rsid w:val="00095133"/>
    <w:rsid w:val="00095457"/>
    <w:rsid w:val="00095673"/>
    <w:rsid w:val="000959E7"/>
    <w:rsid w:val="00095FFE"/>
    <w:rsid w:val="000963C6"/>
    <w:rsid w:val="000966D0"/>
    <w:rsid w:val="0009677E"/>
    <w:rsid w:val="00096A49"/>
    <w:rsid w:val="00096B3C"/>
    <w:rsid w:val="000970A8"/>
    <w:rsid w:val="0009710E"/>
    <w:rsid w:val="000971DC"/>
    <w:rsid w:val="000972A7"/>
    <w:rsid w:val="00097559"/>
    <w:rsid w:val="000A00BA"/>
    <w:rsid w:val="000A026C"/>
    <w:rsid w:val="000A02D3"/>
    <w:rsid w:val="000A04EF"/>
    <w:rsid w:val="000A18FB"/>
    <w:rsid w:val="000A18FD"/>
    <w:rsid w:val="000A1EB9"/>
    <w:rsid w:val="000A226C"/>
    <w:rsid w:val="000A26FA"/>
    <w:rsid w:val="000A28F9"/>
    <w:rsid w:val="000A4B25"/>
    <w:rsid w:val="000A4B8E"/>
    <w:rsid w:val="000A502A"/>
    <w:rsid w:val="000A66A8"/>
    <w:rsid w:val="000A7229"/>
    <w:rsid w:val="000A7EB7"/>
    <w:rsid w:val="000B047A"/>
    <w:rsid w:val="000B07EF"/>
    <w:rsid w:val="000B12CB"/>
    <w:rsid w:val="000B148F"/>
    <w:rsid w:val="000B1582"/>
    <w:rsid w:val="000B227A"/>
    <w:rsid w:val="000B249D"/>
    <w:rsid w:val="000B25CB"/>
    <w:rsid w:val="000B36AC"/>
    <w:rsid w:val="000B37AC"/>
    <w:rsid w:val="000B389E"/>
    <w:rsid w:val="000B3D53"/>
    <w:rsid w:val="000B3ECB"/>
    <w:rsid w:val="000B3FC1"/>
    <w:rsid w:val="000B43B0"/>
    <w:rsid w:val="000B4521"/>
    <w:rsid w:val="000B4712"/>
    <w:rsid w:val="000B4D9C"/>
    <w:rsid w:val="000B563E"/>
    <w:rsid w:val="000B5D96"/>
    <w:rsid w:val="000B61B4"/>
    <w:rsid w:val="000B61F6"/>
    <w:rsid w:val="000B6314"/>
    <w:rsid w:val="000B758B"/>
    <w:rsid w:val="000B776E"/>
    <w:rsid w:val="000B79C7"/>
    <w:rsid w:val="000C0786"/>
    <w:rsid w:val="000C09FB"/>
    <w:rsid w:val="000C1142"/>
    <w:rsid w:val="000C1ABF"/>
    <w:rsid w:val="000C2149"/>
    <w:rsid w:val="000C2207"/>
    <w:rsid w:val="000C2C48"/>
    <w:rsid w:val="000C2DC2"/>
    <w:rsid w:val="000C2F06"/>
    <w:rsid w:val="000C3D6F"/>
    <w:rsid w:val="000C4094"/>
    <w:rsid w:val="000C431B"/>
    <w:rsid w:val="000C4CF3"/>
    <w:rsid w:val="000C5C6F"/>
    <w:rsid w:val="000C64BA"/>
    <w:rsid w:val="000C65D3"/>
    <w:rsid w:val="000C73FB"/>
    <w:rsid w:val="000C7EAC"/>
    <w:rsid w:val="000D04F0"/>
    <w:rsid w:val="000D1035"/>
    <w:rsid w:val="000D11F5"/>
    <w:rsid w:val="000D126F"/>
    <w:rsid w:val="000D1A91"/>
    <w:rsid w:val="000D1D06"/>
    <w:rsid w:val="000D2270"/>
    <w:rsid w:val="000D271D"/>
    <w:rsid w:val="000D2A64"/>
    <w:rsid w:val="000D2F22"/>
    <w:rsid w:val="000D2F23"/>
    <w:rsid w:val="000D3833"/>
    <w:rsid w:val="000D5523"/>
    <w:rsid w:val="000D5A2B"/>
    <w:rsid w:val="000D5B49"/>
    <w:rsid w:val="000D5F8C"/>
    <w:rsid w:val="000D78A4"/>
    <w:rsid w:val="000D7FF4"/>
    <w:rsid w:val="000E072A"/>
    <w:rsid w:val="000E0F40"/>
    <w:rsid w:val="000E15C0"/>
    <w:rsid w:val="000E1605"/>
    <w:rsid w:val="000E1A90"/>
    <w:rsid w:val="000E1F02"/>
    <w:rsid w:val="000E280F"/>
    <w:rsid w:val="000E29D6"/>
    <w:rsid w:val="000E3C9B"/>
    <w:rsid w:val="000E3CD5"/>
    <w:rsid w:val="000E481C"/>
    <w:rsid w:val="000E4A1C"/>
    <w:rsid w:val="000E4B86"/>
    <w:rsid w:val="000E5B31"/>
    <w:rsid w:val="000E67F5"/>
    <w:rsid w:val="000E680A"/>
    <w:rsid w:val="000E68CD"/>
    <w:rsid w:val="000E6B16"/>
    <w:rsid w:val="000E781A"/>
    <w:rsid w:val="000E79E2"/>
    <w:rsid w:val="000F0AB6"/>
    <w:rsid w:val="000F118A"/>
    <w:rsid w:val="000F1238"/>
    <w:rsid w:val="000F160B"/>
    <w:rsid w:val="000F1914"/>
    <w:rsid w:val="000F251C"/>
    <w:rsid w:val="000F2A82"/>
    <w:rsid w:val="000F2EAB"/>
    <w:rsid w:val="000F333C"/>
    <w:rsid w:val="000F3CB3"/>
    <w:rsid w:val="000F3D21"/>
    <w:rsid w:val="000F4902"/>
    <w:rsid w:val="000F5669"/>
    <w:rsid w:val="000F5A06"/>
    <w:rsid w:val="000F5A8B"/>
    <w:rsid w:val="000F5CD4"/>
    <w:rsid w:val="000F5D72"/>
    <w:rsid w:val="000F5D8C"/>
    <w:rsid w:val="000F5E91"/>
    <w:rsid w:val="000F5F55"/>
    <w:rsid w:val="000F5F7C"/>
    <w:rsid w:val="000F6710"/>
    <w:rsid w:val="000F6889"/>
    <w:rsid w:val="000F7791"/>
    <w:rsid w:val="000F7977"/>
    <w:rsid w:val="000F79D2"/>
    <w:rsid w:val="000F7F74"/>
    <w:rsid w:val="0010005A"/>
    <w:rsid w:val="00100617"/>
    <w:rsid w:val="00101697"/>
    <w:rsid w:val="00101A71"/>
    <w:rsid w:val="00101F40"/>
    <w:rsid w:val="0010264D"/>
    <w:rsid w:val="00102722"/>
    <w:rsid w:val="0010324E"/>
    <w:rsid w:val="001032D4"/>
    <w:rsid w:val="001038EB"/>
    <w:rsid w:val="00103AE3"/>
    <w:rsid w:val="00103CE7"/>
    <w:rsid w:val="00103F07"/>
    <w:rsid w:val="00104479"/>
    <w:rsid w:val="001052DD"/>
    <w:rsid w:val="00105851"/>
    <w:rsid w:val="001064C2"/>
    <w:rsid w:val="001065CB"/>
    <w:rsid w:val="00106B0A"/>
    <w:rsid w:val="00106B64"/>
    <w:rsid w:val="00106E17"/>
    <w:rsid w:val="00106F5F"/>
    <w:rsid w:val="00107203"/>
    <w:rsid w:val="00107890"/>
    <w:rsid w:val="00107E2D"/>
    <w:rsid w:val="0011100E"/>
    <w:rsid w:val="001118D3"/>
    <w:rsid w:val="001121CD"/>
    <w:rsid w:val="00112C5C"/>
    <w:rsid w:val="001132E9"/>
    <w:rsid w:val="00113B04"/>
    <w:rsid w:val="00114840"/>
    <w:rsid w:val="001148A9"/>
    <w:rsid w:val="00114B35"/>
    <w:rsid w:val="00114C01"/>
    <w:rsid w:val="00114CF3"/>
    <w:rsid w:val="00114E07"/>
    <w:rsid w:val="0011505B"/>
    <w:rsid w:val="00116D78"/>
    <w:rsid w:val="001171C8"/>
    <w:rsid w:val="00120CA8"/>
    <w:rsid w:val="00120E72"/>
    <w:rsid w:val="001220AD"/>
    <w:rsid w:val="0012304C"/>
    <w:rsid w:val="00123350"/>
    <w:rsid w:val="00123DD0"/>
    <w:rsid w:val="00123DDD"/>
    <w:rsid w:val="00124EDE"/>
    <w:rsid w:val="00125275"/>
    <w:rsid w:val="00126374"/>
    <w:rsid w:val="00126584"/>
    <w:rsid w:val="00126A52"/>
    <w:rsid w:val="00126F7A"/>
    <w:rsid w:val="0012763A"/>
    <w:rsid w:val="00127D0C"/>
    <w:rsid w:val="00127E17"/>
    <w:rsid w:val="00130B34"/>
    <w:rsid w:val="00130E28"/>
    <w:rsid w:val="00130E8F"/>
    <w:rsid w:val="00130F14"/>
    <w:rsid w:val="0013243D"/>
    <w:rsid w:val="00132444"/>
    <w:rsid w:val="00132864"/>
    <w:rsid w:val="00132A13"/>
    <w:rsid w:val="00132B34"/>
    <w:rsid w:val="001332E8"/>
    <w:rsid w:val="00134E5E"/>
    <w:rsid w:val="00135163"/>
    <w:rsid w:val="001356A4"/>
    <w:rsid w:val="00135990"/>
    <w:rsid w:val="00135A44"/>
    <w:rsid w:val="00135BBD"/>
    <w:rsid w:val="00136614"/>
    <w:rsid w:val="00136DF3"/>
    <w:rsid w:val="00137A83"/>
    <w:rsid w:val="00137E4E"/>
    <w:rsid w:val="0014058C"/>
    <w:rsid w:val="00140769"/>
    <w:rsid w:val="00140E32"/>
    <w:rsid w:val="001418FD"/>
    <w:rsid w:val="001419C7"/>
    <w:rsid w:val="0014293F"/>
    <w:rsid w:val="00143577"/>
    <w:rsid w:val="0014363F"/>
    <w:rsid w:val="0014455E"/>
    <w:rsid w:val="001448A5"/>
    <w:rsid w:val="001450C0"/>
    <w:rsid w:val="00145912"/>
    <w:rsid w:val="00146330"/>
    <w:rsid w:val="00146411"/>
    <w:rsid w:val="001466FE"/>
    <w:rsid w:val="0014694A"/>
    <w:rsid w:val="00146B90"/>
    <w:rsid w:val="001470A7"/>
    <w:rsid w:val="001471BE"/>
    <w:rsid w:val="001478B0"/>
    <w:rsid w:val="001478D9"/>
    <w:rsid w:val="001501AE"/>
    <w:rsid w:val="00150373"/>
    <w:rsid w:val="0015054F"/>
    <w:rsid w:val="00150E67"/>
    <w:rsid w:val="0015133E"/>
    <w:rsid w:val="00152660"/>
    <w:rsid w:val="00154370"/>
    <w:rsid w:val="001547F4"/>
    <w:rsid w:val="001548FE"/>
    <w:rsid w:val="001557A6"/>
    <w:rsid w:val="00156316"/>
    <w:rsid w:val="00157091"/>
    <w:rsid w:val="001578A8"/>
    <w:rsid w:val="00160989"/>
    <w:rsid w:val="00160A85"/>
    <w:rsid w:val="00160AF9"/>
    <w:rsid w:val="00161062"/>
    <w:rsid w:val="001615A8"/>
    <w:rsid w:val="00161778"/>
    <w:rsid w:val="00161DA9"/>
    <w:rsid w:val="00162062"/>
    <w:rsid w:val="00162284"/>
    <w:rsid w:val="00163097"/>
    <w:rsid w:val="001630A8"/>
    <w:rsid w:val="00163BB1"/>
    <w:rsid w:val="001644D6"/>
    <w:rsid w:val="001652A2"/>
    <w:rsid w:val="001659E0"/>
    <w:rsid w:val="00166263"/>
    <w:rsid w:val="00166978"/>
    <w:rsid w:val="001669B4"/>
    <w:rsid w:val="0016761D"/>
    <w:rsid w:val="00170775"/>
    <w:rsid w:val="00170855"/>
    <w:rsid w:val="00172394"/>
    <w:rsid w:val="001726C6"/>
    <w:rsid w:val="0017316B"/>
    <w:rsid w:val="001738C6"/>
    <w:rsid w:val="00173A9D"/>
    <w:rsid w:val="001741AC"/>
    <w:rsid w:val="00174223"/>
    <w:rsid w:val="001745A8"/>
    <w:rsid w:val="00175444"/>
    <w:rsid w:val="00175886"/>
    <w:rsid w:val="0017679E"/>
    <w:rsid w:val="001767DD"/>
    <w:rsid w:val="00176E51"/>
    <w:rsid w:val="001772AD"/>
    <w:rsid w:val="00177DFD"/>
    <w:rsid w:val="00180146"/>
    <w:rsid w:val="001808A6"/>
    <w:rsid w:val="00181037"/>
    <w:rsid w:val="00181165"/>
    <w:rsid w:val="001811AC"/>
    <w:rsid w:val="0018162A"/>
    <w:rsid w:val="00182DC3"/>
    <w:rsid w:val="001830F6"/>
    <w:rsid w:val="0018464E"/>
    <w:rsid w:val="001853E4"/>
    <w:rsid w:val="00186EF2"/>
    <w:rsid w:val="0018713F"/>
    <w:rsid w:val="00187646"/>
    <w:rsid w:val="00187A8D"/>
    <w:rsid w:val="00187D1C"/>
    <w:rsid w:val="00190611"/>
    <w:rsid w:val="00190EB2"/>
    <w:rsid w:val="00191B99"/>
    <w:rsid w:val="00191C8E"/>
    <w:rsid w:val="00191CA6"/>
    <w:rsid w:val="00191E9E"/>
    <w:rsid w:val="001924BE"/>
    <w:rsid w:val="0019269D"/>
    <w:rsid w:val="00193DD8"/>
    <w:rsid w:val="0019480A"/>
    <w:rsid w:val="00194BB3"/>
    <w:rsid w:val="00195650"/>
    <w:rsid w:val="00195F63"/>
    <w:rsid w:val="001A0446"/>
    <w:rsid w:val="001A05FA"/>
    <w:rsid w:val="001A1B54"/>
    <w:rsid w:val="001A2F72"/>
    <w:rsid w:val="001A3587"/>
    <w:rsid w:val="001A36EC"/>
    <w:rsid w:val="001A3918"/>
    <w:rsid w:val="001A4430"/>
    <w:rsid w:val="001A45A9"/>
    <w:rsid w:val="001A5253"/>
    <w:rsid w:val="001A5790"/>
    <w:rsid w:val="001A5BB7"/>
    <w:rsid w:val="001A6033"/>
    <w:rsid w:val="001A6B7F"/>
    <w:rsid w:val="001A7160"/>
    <w:rsid w:val="001A7394"/>
    <w:rsid w:val="001A74F8"/>
    <w:rsid w:val="001A7CFC"/>
    <w:rsid w:val="001B0068"/>
    <w:rsid w:val="001B067A"/>
    <w:rsid w:val="001B06AF"/>
    <w:rsid w:val="001B0A7D"/>
    <w:rsid w:val="001B0D0D"/>
    <w:rsid w:val="001B2361"/>
    <w:rsid w:val="001B241E"/>
    <w:rsid w:val="001B24BE"/>
    <w:rsid w:val="001B2DC3"/>
    <w:rsid w:val="001B38F2"/>
    <w:rsid w:val="001B4DF6"/>
    <w:rsid w:val="001B508C"/>
    <w:rsid w:val="001B5635"/>
    <w:rsid w:val="001B5944"/>
    <w:rsid w:val="001B60A1"/>
    <w:rsid w:val="001C045F"/>
    <w:rsid w:val="001C0EA3"/>
    <w:rsid w:val="001C1B3E"/>
    <w:rsid w:val="001C1E91"/>
    <w:rsid w:val="001C284D"/>
    <w:rsid w:val="001C2ADA"/>
    <w:rsid w:val="001C2D9E"/>
    <w:rsid w:val="001C2F71"/>
    <w:rsid w:val="001C31AE"/>
    <w:rsid w:val="001C3324"/>
    <w:rsid w:val="001C4F16"/>
    <w:rsid w:val="001C4FD1"/>
    <w:rsid w:val="001C592A"/>
    <w:rsid w:val="001C595A"/>
    <w:rsid w:val="001C68D2"/>
    <w:rsid w:val="001C7725"/>
    <w:rsid w:val="001C7A79"/>
    <w:rsid w:val="001D0345"/>
    <w:rsid w:val="001D0D0D"/>
    <w:rsid w:val="001D1794"/>
    <w:rsid w:val="001D22EE"/>
    <w:rsid w:val="001D36EE"/>
    <w:rsid w:val="001D4149"/>
    <w:rsid w:val="001D4BE2"/>
    <w:rsid w:val="001D5B3A"/>
    <w:rsid w:val="001D62EF"/>
    <w:rsid w:val="001D642E"/>
    <w:rsid w:val="001D66A7"/>
    <w:rsid w:val="001D6EC0"/>
    <w:rsid w:val="001D72BF"/>
    <w:rsid w:val="001D7BB5"/>
    <w:rsid w:val="001E0012"/>
    <w:rsid w:val="001E04EC"/>
    <w:rsid w:val="001E19C5"/>
    <w:rsid w:val="001E1BC1"/>
    <w:rsid w:val="001E1DD2"/>
    <w:rsid w:val="001E1EAB"/>
    <w:rsid w:val="001E20AA"/>
    <w:rsid w:val="001E269D"/>
    <w:rsid w:val="001E2D91"/>
    <w:rsid w:val="001E36CC"/>
    <w:rsid w:val="001E3D23"/>
    <w:rsid w:val="001E45A5"/>
    <w:rsid w:val="001E48A7"/>
    <w:rsid w:val="001E4F4F"/>
    <w:rsid w:val="001E567D"/>
    <w:rsid w:val="001E5915"/>
    <w:rsid w:val="001E6139"/>
    <w:rsid w:val="001E68CD"/>
    <w:rsid w:val="001E6F0B"/>
    <w:rsid w:val="001E7989"/>
    <w:rsid w:val="001E7C29"/>
    <w:rsid w:val="001F01C7"/>
    <w:rsid w:val="001F0294"/>
    <w:rsid w:val="001F0316"/>
    <w:rsid w:val="001F0398"/>
    <w:rsid w:val="001F060F"/>
    <w:rsid w:val="001F1819"/>
    <w:rsid w:val="001F2BAE"/>
    <w:rsid w:val="001F308C"/>
    <w:rsid w:val="001F339D"/>
    <w:rsid w:val="001F3F62"/>
    <w:rsid w:val="001F44D7"/>
    <w:rsid w:val="001F54AA"/>
    <w:rsid w:val="001F553F"/>
    <w:rsid w:val="001F55B0"/>
    <w:rsid w:val="001F58B0"/>
    <w:rsid w:val="001F5DA9"/>
    <w:rsid w:val="001F634D"/>
    <w:rsid w:val="001F650A"/>
    <w:rsid w:val="001F65B4"/>
    <w:rsid w:val="001F6BA6"/>
    <w:rsid w:val="001F7285"/>
    <w:rsid w:val="001F7462"/>
    <w:rsid w:val="001F7C9F"/>
    <w:rsid w:val="001F7EBC"/>
    <w:rsid w:val="002010AB"/>
    <w:rsid w:val="002014E7"/>
    <w:rsid w:val="0020161E"/>
    <w:rsid w:val="00201C9F"/>
    <w:rsid w:val="00201F8F"/>
    <w:rsid w:val="00202272"/>
    <w:rsid w:val="00203858"/>
    <w:rsid w:val="0020408B"/>
    <w:rsid w:val="00204540"/>
    <w:rsid w:val="00204715"/>
    <w:rsid w:val="00204D6D"/>
    <w:rsid w:val="002053FC"/>
    <w:rsid w:val="00205409"/>
    <w:rsid w:val="002054DF"/>
    <w:rsid w:val="00205671"/>
    <w:rsid w:val="0020688C"/>
    <w:rsid w:val="00206B19"/>
    <w:rsid w:val="00206D3B"/>
    <w:rsid w:val="002076BB"/>
    <w:rsid w:val="00207737"/>
    <w:rsid w:val="002078B8"/>
    <w:rsid w:val="0021018E"/>
    <w:rsid w:val="002101CB"/>
    <w:rsid w:val="002102DF"/>
    <w:rsid w:val="0021049C"/>
    <w:rsid w:val="0021050A"/>
    <w:rsid w:val="002107EA"/>
    <w:rsid w:val="002109B6"/>
    <w:rsid w:val="00210A6B"/>
    <w:rsid w:val="00211754"/>
    <w:rsid w:val="002117D5"/>
    <w:rsid w:val="002117DE"/>
    <w:rsid w:val="00211DA6"/>
    <w:rsid w:val="002127FF"/>
    <w:rsid w:val="00213CBA"/>
    <w:rsid w:val="002143ED"/>
    <w:rsid w:val="002143F0"/>
    <w:rsid w:val="00214C8A"/>
    <w:rsid w:val="0021571A"/>
    <w:rsid w:val="002162D5"/>
    <w:rsid w:val="00216F59"/>
    <w:rsid w:val="0021712E"/>
    <w:rsid w:val="00217DA9"/>
    <w:rsid w:val="00217F96"/>
    <w:rsid w:val="00220AEF"/>
    <w:rsid w:val="00220CCD"/>
    <w:rsid w:val="0022136D"/>
    <w:rsid w:val="00221777"/>
    <w:rsid w:val="00221BA9"/>
    <w:rsid w:val="00221CF5"/>
    <w:rsid w:val="00221DFF"/>
    <w:rsid w:val="0022207D"/>
    <w:rsid w:val="00222A0F"/>
    <w:rsid w:val="00222BE7"/>
    <w:rsid w:val="00222FBD"/>
    <w:rsid w:val="00222FD9"/>
    <w:rsid w:val="002230D4"/>
    <w:rsid w:val="0022381F"/>
    <w:rsid w:val="00224963"/>
    <w:rsid w:val="002252A7"/>
    <w:rsid w:val="00225634"/>
    <w:rsid w:val="00225D1F"/>
    <w:rsid w:val="002276B6"/>
    <w:rsid w:val="00227E20"/>
    <w:rsid w:val="00230458"/>
    <w:rsid w:val="002308A9"/>
    <w:rsid w:val="00230981"/>
    <w:rsid w:val="0023131D"/>
    <w:rsid w:val="00231564"/>
    <w:rsid w:val="002323CD"/>
    <w:rsid w:val="002323E0"/>
    <w:rsid w:val="002325F1"/>
    <w:rsid w:val="002326D3"/>
    <w:rsid w:val="0023354C"/>
    <w:rsid w:val="002339CD"/>
    <w:rsid w:val="00233B1C"/>
    <w:rsid w:val="00234CB1"/>
    <w:rsid w:val="002354A9"/>
    <w:rsid w:val="00235DAD"/>
    <w:rsid w:val="00236BC8"/>
    <w:rsid w:val="00236E9D"/>
    <w:rsid w:val="002372FB"/>
    <w:rsid w:val="00237484"/>
    <w:rsid w:val="00237572"/>
    <w:rsid w:val="00237969"/>
    <w:rsid w:val="00237C2D"/>
    <w:rsid w:val="00237E31"/>
    <w:rsid w:val="00237E48"/>
    <w:rsid w:val="002400EA"/>
    <w:rsid w:val="0024079D"/>
    <w:rsid w:val="002414AC"/>
    <w:rsid w:val="002416A3"/>
    <w:rsid w:val="00241B79"/>
    <w:rsid w:val="00241E46"/>
    <w:rsid w:val="00241F13"/>
    <w:rsid w:val="00242187"/>
    <w:rsid w:val="00242716"/>
    <w:rsid w:val="00242CDF"/>
    <w:rsid w:val="0024334A"/>
    <w:rsid w:val="00243AB9"/>
    <w:rsid w:val="00244EF3"/>
    <w:rsid w:val="00244F1C"/>
    <w:rsid w:val="00245CAA"/>
    <w:rsid w:val="002468F0"/>
    <w:rsid w:val="00246AB2"/>
    <w:rsid w:val="002514DC"/>
    <w:rsid w:val="00251A76"/>
    <w:rsid w:val="00251EBC"/>
    <w:rsid w:val="00252044"/>
    <w:rsid w:val="00252385"/>
    <w:rsid w:val="002523CF"/>
    <w:rsid w:val="00252A84"/>
    <w:rsid w:val="00252D0D"/>
    <w:rsid w:val="00252F9E"/>
    <w:rsid w:val="0025336C"/>
    <w:rsid w:val="002534DD"/>
    <w:rsid w:val="00253FA2"/>
    <w:rsid w:val="00254248"/>
    <w:rsid w:val="00255186"/>
    <w:rsid w:val="002559FF"/>
    <w:rsid w:val="00255B3A"/>
    <w:rsid w:val="002571CC"/>
    <w:rsid w:val="00257824"/>
    <w:rsid w:val="002578E0"/>
    <w:rsid w:val="00261616"/>
    <w:rsid w:val="00261D0B"/>
    <w:rsid w:val="00262180"/>
    <w:rsid w:val="00262C75"/>
    <w:rsid w:val="00264671"/>
    <w:rsid w:val="00264779"/>
    <w:rsid w:val="0026513F"/>
    <w:rsid w:val="0026516D"/>
    <w:rsid w:val="00265730"/>
    <w:rsid w:val="00265C42"/>
    <w:rsid w:val="00266497"/>
    <w:rsid w:val="00267320"/>
    <w:rsid w:val="00267B13"/>
    <w:rsid w:val="00267DFD"/>
    <w:rsid w:val="00267E14"/>
    <w:rsid w:val="002700DD"/>
    <w:rsid w:val="002702C2"/>
    <w:rsid w:val="00270345"/>
    <w:rsid w:val="00270907"/>
    <w:rsid w:val="00270BA8"/>
    <w:rsid w:val="00270C46"/>
    <w:rsid w:val="00271E6C"/>
    <w:rsid w:val="00272090"/>
    <w:rsid w:val="0027225C"/>
    <w:rsid w:val="00272BDB"/>
    <w:rsid w:val="00273F53"/>
    <w:rsid w:val="00274195"/>
    <w:rsid w:val="00274B9D"/>
    <w:rsid w:val="00274D60"/>
    <w:rsid w:val="00275453"/>
    <w:rsid w:val="00276747"/>
    <w:rsid w:val="002769B6"/>
    <w:rsid w:val="00276C00"/>
    <w:rsid w:val="00277640"/>
    <w:rsid w:val="00277790"/>
    <w:rsid w:val="002778DB"/>
    <w:rsid w:val="00277F87"/>
    <w:rsid w:val="00280E4C"/>
    <w:rsid w:val="00281962"/>
    <w:rsid w:val="00282788"/>
    <w:rsid w:val="00282A6D"/>
    <w:rsid w:val="0028320F"/>
    <w:rsid w:val="00283398"/>
    <w:rsid w:val="00283BC8"/>
    <w:rsid w:val="00284C53"/>
    <w:rsid w:val="002850AD"/>
    <w:rsid w:val="00290369"/>
    <w:rsid w:val="002905AC"/>
    <w:rsid w:val="002905EB"/>
    <w:rsid w:val="002915E8"/>
    <w:rsid w:val="0029169F"/>
    <w:rsid w:val="0029177B"/>
    <w:rsid w:val="00291891"/>
    <w:rsid w:val="00291EF5"/>
    <w:rsid w:val="00293665"/>
    <w:rsid w:val="002936FF"/>
    <w:rsid w:val="002939B5"/>
    <w:rsid w:val="002939F3"/>
    <w:rsid w:val="00293B83"/>
    <w:rsid w:val="00294041"/>
    <w:rsid w:val="00294A60"/>
    <w:rsid w:val="00294BB8"/>
    <w:rsid w:val="00295967"/>
    <w:rsid w:val="0029669C"/>
    <w:rsid w:val="00297571"/>
    <w:rsid w:val="002A1376"/>
    <w:rsid w:val="002A16E7"/>
    <w:rsid w:val="002A1741"/>
    <w:rsid w:val="002A1C79"/>
    <w:rsid w:val="002A2F5F"/>
    <w:rsid w:val="002A42D7"/>
    <w:rsid w:val="002A4A80"/>
    <w:rsid w:val="002A5B5E"/>
    <w:rsid w:val="002A5C22"/>
    <w:rsid w:val="002A5DE3"/>
    <w:rsid w:val="002A634A"/>
    <w:rsid w:val="002A6F13"/>
    <w:rsid w:val="002A7915"/>
    <w:rsid w:val="002A7FA2"/>
    <w:rsid w:val="002B0498"/>
    <w:rsid w:val="002B0B14"/>
    <w:rsid w:val="002B0F9B"/>
    <w:rsid w:val="002B141A"/>
    <w:rsid w:val="002B1912"/>
    <w:rsid w:val="002B3950"/>
    <w:rsid w:val="002B3D7E"/>
    <w:rsid w:val="002B3F47"/>
    <w:rsid w:val="002B4198"/>
    <w:rsid w:val="002B4663"/>
    <w:rsid w:val="002B5097"/>
    <w:rsid w:val="002B5863"/>
    <w:rsid w:val="002B5D1F"/>
    <w:rsid w:val="002B6235"/>
    <w:rsid w:val="002B6C94"/>
    <w:rsid w:val="002B6CA6"/>
    <w:rsid w:val="002B7506"/>
    <w:rsid w:val="002B7B1B"/>
    <w:rsid w:val="002B7E5D"/>
    <w:rsid w:val="002C2698"/>
    <w:rsid w:val="002C3A71"/>
    <w:rsid w:val="002C3AA1"/>
    <w:rsid w:val="002C4614"/>
    <w:rsid w:val="002C49ED"/>
    <w:rsid w:val="002C4A00"/>
    <w:rsid w:val="002C4C91"/>
    <w:rsid w:val="002C4F3D"/>
    <w:rsid w:val="002C5A9D"/>
    <w:rsid w:val="002C6248"/>
    <w:rsid w:val="002C63B4"/>
    <w:rsid w:val="002C6999"/>
    <w:rsid w:val="002C6EDE"/>
    <w:rsid w:val="002D0DD8"/>
    <w:rsid w:val="002D1742"/>
    <w:rsid w:val="002D22EB"/>
    <w:rsid w:val="002D275A"/>
    <w:rsid w:val="002D2F36"/>
    <w:rsid w:val="002D337E"/>
    <w:rsid w:val="002D36A6"/>
    <w:rsid w:val="002D4245"/>
    <w:rsid w:val="002D42FC"/>
    <w:rsid w:val="002D49FC"/>
    <w:rsid w:val="002D4A8C"/>
    <w:rsid w:val="002D4E50"/>
    <w:rsid w:val="002D5314"/>
    <w:rsid w:val="002D618B"/>
    <w:rsid w:val="002D6D65"/>
    <w:rsid w:val="002D6EB6"/>
    <w:rsid w:val="002D71FE"/>
    <w:rsid w:val="002D7B68"/>
    <w:rsid w:val="002D7B96"/>
    <w:rsid w:val="002E07C6"/>
    <w:rsid w:val="002E07C8"/>
    <w:rsid w:val="002E083F"/>
    <w:rsid w:val="002E0933"/>
    <w:rsid w:val="002E0F20"/>
    <w:rsid w:val="002E146D"/>
    <w:rsid w:val="002E16C9"/>
    <w:rsid w:val="002E1707"/>
    <w:rsid w:val="002E1816"/>
    <w:rsid w:val="002E2188"/>
    <w:rsid w:val="002E2318"/>
    <w:rsid w:val="002E2521"/>
    <w:rsid w:val="002E25E3"/>
    <w:rsid w:val="002E2743"/>
    <w:rsid w:val="002E394D"/>
    <w:rsid w:val="002E3CC6"/>
    <w:rsid w:val="002E4238"/>
    <w:rsid w:val="002E4290"/>
    <w:rsid w:val="002E430F"/>
    <w:rsid w:val="002E46CE"/>
    <w:rsid w:val="002E483D"/>
    <w:rsid w:val="002E496F"/>
    <w:rsid w:val="002E4DAC"/>
    <w:rsid w:val="002E5335"/>
    <w:rsid w:val="002E549D"/>
    <w:rsid w:val="002E5F43"/>
    <w:rsid w:val="002E6098"/>
    <w:rsid w:val="002E6974"/>
    <w:rsid w:val="002E7A86"/>
    <w:rsid w:val="002E7D0F"/>
    <w:rsid w:val="002E7DE7"/>
    <w:rsid w:val="002F0042"/>
    <w:rsid w:val="002F0215"/>
    <w:rsid w:val="002F02F6"/>
    <w:rsid w:val="002F0432"/>
    <w:rsid w:val="002F116E"/>
    <w:rsid w:val="002F21E8"/>
    <w:rsid w:val="002F2BF3"/>
    <w:rsid w:val="002F2C18"/>
    <w:rsid w:val="002F3029"/>
    <w:rsid w:val="002F306E"/>
    <w:rsid w:val="002F3985"/>
    <w:rsid w:val="002F3D9B"/>
    <w:rsid w:val="002F4A53"/>
    <w:rsid w:val="002F5338"/>
    <w:rsid w:val="002F57C2"/>
    <w:rsid w:val="002F6910"/>
    <w:rsid w:val="002F6CBA"/>
    <w:rsid w:val="002F7993"/>
    <w:rsid w:val="002F7DFA"/>
    <w:rsid w:val="0030062C"/>
    <w:rsid w:val="00300998"/>
    <w:rsid w:val="003009F9"/>
    <w:rsid w:val="00301715"/>
    <w:rsid w:val="0030181E"/>
    <w:rsid w:val="00301942"/>
    <w:rsid w:val="003027E3"/>
    <w:rsid w:val="00302B93"/>
    <w:rsid w:val="00303931"/>
    <w:rsid w:val="003042BD"/>
    <w:rsid w:val="0030468C"/>
    <w:rsid w:val="00304F9B"/>
    <w:rsid w:val="00306070"/>
    <w:rsid w:val="00306986"/>
    <w:rsid w:val="00307141"/>
    <w:rsid w:val="003077E9"/>
    <w:rsid w:val="00307B8E"/>
    <w:rsid w:val="00310149"/>
    <w:rsid w:val="003105A1"/>
    <w:rsid w:val="00310B62"/>
    <w:rsid w:val="00310CB2"/>
    <w:rsid w:val="00310E98"/>
    <w:rsid w:val="00311215"/>
    <w:rsid w:val="00311803"/>
    <w:rsid w:val="003126BC"/>
    <w:rsid w:val="00312F57"/>
    <w:rsid w:val="003132A0"/>
    <w:rsid w:val="0031495A"/>
    <w:rsid w:val="00314AB1"/>
    <w:rsid w:val="0031512F"/>
    <w:rsid w:val="003153D0"/>
    <w:rsid w:val="003154EC"/>
    <w:rsid w:val="00315D25"/>
    <w:rsid w:val="003161C6"/>
    <w:rsid w:val="00316AA6"/>
    <w:rsid w:val="00316DE2"/>
    <w:rsid w:val="00317467"/>
    <w:rsid w:val="003175EF"/>
    <w:rsid w:val="0031766A"/>
    <w:rsid w:val="003176F9"/>
    <w:rsid w:val="00317916"/>
    <w:rsid w:val="00317D3B"/>
    <w:rsid w:val="00317D90"/>
    <w:rsid w:val="003201C2"/>
    <w:rsid w:val="00320BC6"/>
    <w:rsid w:val="00321073"/>
    <w:rsid w:val="003225E3"/>
    <w:rsid w:val="00322B7B"/>
    <w:rsid w:val="00323912"/>
    <w:rsid w:val="0032472A"/>
    <w:rsid w:val="00324900"/>
    <w:rsid w:val="00324B5C"/>
    <w:rsid w:val="00326A85"/>
    <w:rsid w:val="00327BD8"/>
    <w:rsid w:val="0033075D"/>
    <w:rsid w:val="0033150E"/>
    <w:rsid w:val="00331E15"/>
    <w:rsid w:val="003326B3"/>
    <w:rsid w:val="0033380D"/>
    <w:rsid w:val="00333E10"/>
    <w:rsid w:val="00334036"/>
    <w:rsid w:val="003344BF"/>
    <w:rsid w:val="00334538"/>
    <w:rsid w:val="00334631"/>
    <w:rsid w:val="0033485F"/>
    <w:rsid w:val="00334B3D"/>
    <w:rsid w:val="00334EC2"/>
    <w:rsid w:val="003357DF"/>
    <w:rsid w:val="00336BE5"/>
    <w:rsid w:val="00336D1A"/>
    <w:rsid w:val="003372A1"/>
    <w:rsid w:val="003402B7"/>
    <w:rsid w:val="003403A2"/>
    <w:rsid w:val="00340B89"/>
    <w:rsid w:val="00340C9E"/>
    <w:rsid w:val="00340E66"/>
    <w:rsid w:val="00341467"/>
    <w:rsid w:val="003415F1"/>
    <w:rsid w:val="00341639"/>
    <w:rsid w:val="00341B04"/>
    <w:rsid w:val="00341DB4"/>
    <w:rsid w:val="003421C4"/>
    <w:rsid w:val="00343609"/>
    <w:rsid w:val="003436D4"/>
    <w:rsid w:val="00344196"/>
    <w:rsid w:val="00344286"/>
    <w:rsid w:val="003448D7"/>
    <w:rsid w:val="00344957"/>
    <w:rsid w:val="00344E3E"/>
    <w:rsid w:val="0034759E"/>
    <w:rsid w:val="00347868"/>
    <w:rsid w:val="00350927"/>
    <w:rsid w:val="00350D4C"/>
    <w:rsid w:val="00350DDB"/>
    <w:rsid w:val="0035116B"/>
    <w:rsid w:val="00351CCF"/>
    <w:rsid w:val="00351EA5"/>
    <w:rsid w:val="00352195"/>
    <w:rsid w:val="00352329"/>
    <w:rsid w:val="00352353"/>
    <w:rsid w:val="0035376B"/>
    <w:rsid w:val="00354241"/>
    <w:rsid w:val="00354BE2"/>
    <w:rsid w:val="0035536D"/>
    <w:rsid w:val="00355752"/>
    <w:rsid w:val="00356A73"/>
    <w:rsid w:val="00356C99"/>
    <w:rsid w:val="0035709F"/>
    <w:rsid w:val="00357253"/>
    <w:rsid w:val="00357DAE"/>
    <w:rsid w:val="0036066F"/>
    <w:rsid w:val="00360ABA"/>
    <w:rsid w:val="00360D9E"/>
    <w:rsid w:val="00360F90"/>
    <w:rsid w:val="00361987"/>
    <w:rsid w:val="003627FE"/>
    <w:rsid w:val="00362A0A"/>
    <w:rsid w:val="00362C1D"/>
    <w:rsid w:val="00363132"/>
    <w:rsid w:val="00363A23"/>
    <w:rsid w:val="0036572D"/>
    <w:rsid w:val="003657D4"/>
    <w:rsid w:val="00365B70"/>
    <w:rsid w:val="00366413"/>
    <w:rsid w:val="00366551"/>
    <w:rsid w:val="003670A5"/>
    <w:rsid w:val="00367172"/>
    <w:rsid w:val="00367735"/>
    <w:rsid w:val="00367BCB"/>
    <w:rsid w:val="003703EB"/>
    <w:rsid w:val="003705A3"/>
    <w:rsid w:val="00370656"/>
    <w:rsid w:val="0037115D"/>
    <w:rsid w:val="003715D3"/>
    <w:rsid w:val="00371DFE"/>
    <w:rsid w:val="00373368"/>
    <w:rsid w:val="00373DCE"/>
    <w:rsid w:val="00373DD2"/>
    <w:rsid w:val="00373F18"/>
    <w:rsid w:val="003746CB"/>
    <w:rsid w:val="00375196"/>
    <w:rsid w:val="0037541D"/>
    <w:rsid w:val="00375996"/>
    <w:rsid w:val="00376262"/>
    <w:rsid w:val="00376904"/>
    <w:rsid w:val="00377234"/>
    <w:rsid w:val="00377ED6"/>
    <w:rsid w:val="0038009D"/>
    <w:rsid w:val="00380904"/>
    <w:rsid w:val="00380A01"/>
    <w:rsid w:val="00380CD4"/>
    <w:rsid w:val="00380DC7"/>
    <w:rsid w:val="00380F5C"/>
    <w:rsid w:val="0038101A"/>
    <w:rsid w:val="0038117A"/>
    <w:rsid w:val="00381221"/>
    <w:rsid w:val="0038236E"/>
    <w:rsid w:val="00382AA4"/>
    <w:rsid w:val="00383139"/>
    <w:rsid w:val="00383514"/>
    <w:rsid w:val="003836CF"/>
    <w:rsid w:val="00384245"/>
    <w:rsid w:val="00384EC3"/>
    <w:rsid w:val="00384F82"/>
    <w:rsid w:val="00385393"/>
    <w:rsid w:val="00385B47"/>
    <w:rsid w:val="00385B63"/>
    <w:rsid w:val="00386833"/>
    <w:rsid w:val="00386E3F"/>
    <w:rsid w:val="00387499"/>
    <w:rsid w:val="00387BBB"/>
    <w:rsid w:val="00390182"/>
    <w:rsid w:val="00390D10"/>
    <w:rsid w:val="0039187B"/>
    <w:rsid w:val="00391EA4"/>
    <w:rsid w:val="00392901"/>
    <w:rsid w:val="00392CC5"/>
    <w:rsid w:val="00392FFE"/>
    <w:rsid w:val="0039309A"/>
    <w:rsid w:val="003932D9"/>
    <w:rsid w:val="003939A7"/>
    <w:rsid w:val="00393D2B"/>
    <w:rsid w:val="00394F0F"/>
    <w:rsid w:val="0039591B"/>
    <w:rsid w:val="00395CA5"/>
    <w:rsid w:val="00396AAC"/>
    <w:rsid w:val="00397189"/>
    <w:rsid w:val="003979AC"/>
    <w:rsid w:val="00397E5D"/>
    <w:rsid w:val="003A09A0"/>
    <w:rsid w:val="003A123B"/>
    <w:rsid w:val="003A1BA1"/>
    <w:rsid w:val="003A1BF5"/>
    <w:rsid w:val="003A22AE"/>
    <w:rsid w:val="003A26DF"/>
    <w:rsid w:val="003A2C34"/>
    <w:rsid w:val="003A2FEC"/>
    <w:rsid w:val="003A34A2"/>
    <w:rsid w:val="003A362C"/>
    <w:rsid w:val="003A3799"/>
    <w:rsid w:val="003A3E6B"/>
    <w:rsid w:val="003A4215"/>
    <w:rsid w:val="003A4B8E"/>
    <w:rsid w:val="003A4F0A"/>
    <w:rsid w:val="003A4FC1"/>
    <w:rsid w:val="003A60A3"/>
    <w:rsid w:val="003A62A3"/>
    <w:rsid w:val="003A6357"/>
    <w:rsid w:val="003A75AE"/>
    <w:rsid w:val="003A7EC1"/>
    <w:rsid w:val="003B19CA"/>
    <w:rsid w:val="003B24D1"/>
    <w:rsid w:val="003B299A"/>
    <w:rsid w:val="003B3F91"/>
    <w:rsid w:val="003B5AB1"/>
    <w:rsid w:val="003B5CBD"/>
    <w:rsid w:val="003B6051"/>
    <w:rsid w:val="003B6097"/>
    <w:rsid w:val="003B6135"/>
    <w:rsid w:val="003B686C"/>
    <w:rsid w:val="003B6F0F"/>
    <w:rsid w:val="003B71A6"/>
    <w:rsid w:val="003B7966"/>
    <w:rsid w:val="003C05E5"/>
    <w:rsid w:val="003C099D"/>
    <w:rsid w:val="003C09E1"/>
    <w:rsid w:val="003C0D68"/>
    <w:rsid w:val="003C1015"/>
    <w:rsid w:val="003C1A6C"/>
    <w:rsid w:val="003C1C80"/>
    <w:rsid w:val="003C1FA0"/>
    <w:rsid w:val="003C2729"/>
    <w:rsid w:val="003C27A8"/>
    <w:rsid w:val="003C282C"/>
    <w:rsid w:val="003C371A"/>
    <w:rsid w:val="003C39D9"/>
    <w:rsid w:val="003C4246"/>
    <w:rsid w:val="003C4965"/>
    <w:rsid w:val="003C5BB2"/>
    <w:rsid w:val="003C5BF5"/>
    <w:rsid w:val="003C6379"/>
    <w:rsid w:val="003C6525"/>
    <w:rsid w:val="003C6730"/>
    <w:rsid w:val="003C68B5"/>
    <w:rsid w:val="003C6C34"/>
    <w:rsid w:val="003C6CD0"/>
    <w:rsid w:val="003D00CB"/>
    <w:rsid w:val="003D12B6"/>
    <w:rsid w:val="003D21BD"/>
    <w:rsid w:val="003D298D"/>
    <w:rsid w:val="003D3B8A"/>
    <w:rsid w:val="003D3E2A"/>
    <w:rsid w:val="003D43AF"/>
    <w:rsid w:val="003D455C"/>
    <w:rsid w:val="003D484A"/>
    <w:rsid w:val="003D5825"/>
    <w:rsid w:val="003D5C76"/>
    <w:rsid w:val="003D6072"/>
    <w:rsid w:val="003D6B37"/>
    <w:rsid w:val="003D6BB1"/>
    <w:rsid w:val="003D70A0"/>
    <w:rsid w:val="003D7112"/>
    <w:rsid w:val="003D72D9"/>
    <w:rsid w:val="003E006E"/>
    <w:rsid w:val="003E3E27"/>
    <w:rsid w:val="003E4066"/>
    <w:rsid w:val="003E419F"/>
    <w:rsid w:val="003E53B0"/>
    <w:rsid w:val="003E581E"/>
    <w:rsid w:val="003E5CDF"/>
    <w:rsid w:val="003E6205"/>
    <w:rsid w:val="003E639C"/>
    <w:rsid w:val="003E6B75"/>
    <w:rsid w:val="003E738D"/>
    <w:rsid w:val="003E7C29"/>
    <w:rsid w:val="003F00C4"/>
    <w:rsid w:val="003F0177"/>
    <w:rsid w:val="003F0A31"/>
    <w:rsid w:val="003F16E7"/>
    <w:rsid w:val="003F1E24"/>
    <w:rsid w:val="003F1EDB"/>
    <w:rsid w:val="003F2A20"/>
    <w:rsid w:val="003F2F75"/>
    <w:rsid w:val="003F475D"/>
    <w:rsid w:val="003F56F2"/>
    <w:rsid w:val="003F5BAB"/>
    <w:rsid w:val="003F5F53"/>
    <w:rsid w:val="003F62C1"/>
    <w:rsid w:val="003F663E"/>
    <w:rsid w:val="003F6713"/>
    <w:rsid w:val="003F7DA7"/>
    <w:rsid w:val="003F7DB0"/>
    <w:rsid w:val="00400258"/>
    <w:rsid w:val="00400AE0"/>
    <w:rsid w:val="00401077"/>
    <w:rsid w:val="00401205"/>
    <w:rsid w:val="004013A5"/>
    <w:rsid w:val="004014BF"/>
    <w:rsid w:val="00401635"/>
    <w:rsid w:val="00401858"/>
    <w:rsid w:val="00401B82"/>
    <w:rsid w:val="00402C75"/>
    <w:rsid w:val="00402FD8"/>
    <w:rsid w:val="0040351F"/>
    <w:rsid w:val="00403FB7"/>
    <w:rsid w:val="00403FD3"/>
    <w:rsid w:val="004044B4"/>
    <w:rsid w:val="00405912"/>
    <w:rsid w:val="00405A31"/>
    <w:rsid w:val="00405E99"/>
    <w:rsid w:val="00405F9E"/>
    <w:rsid w:val="004061D0"/>
    <w:rsid w:val="0040623A"/>
    <w:rsid w:val="004067BF"/>
    <w:rsid w:val="00406858"/>
    <w:rsid w:val="00407253"/>
    <w:rsid w:val="00407595"/>
    <w:rsid w:val="004076D0"/>
    <w:rsid w:val="0041008A"/>
    <w:rsid w:val="00410477"/>
    <w:rsid w:val="004125ED"/>
    <w:rsid w:val="00413513"/>
    <w:rsid w:val="00413E57"/>
    <w:rsid w:val="004145A3"/>
    <w:rsid w:val="00414DB0"/>
    <w:rsid w:val="00415A3D"/>
    <w:rsid w:val="00415FEF"/>
    <w:rsid w:val="004170EA"/>
    <w:rsid w:val="004204A9"/>
    <w:rsid w:val="004208C0"/>
    <w:rsid w:val="00420C63"/>
    <w:rsid w:val="004218D5"/>
    <w:rsid w:val="004219F9"/>
    <w:rsid w:val="00422F07"/>
    <w:rsid w:val="00424EBC"/>
    <w:rsid w:val="00425371"/>
    <w:rsid w:val="00426706"/>
    <w:rsid w:val="00426CED"/>
    <w:rsid w:val="0042744B"/>
    <w:rsid w:val="00430488"/>
    <w:rsid w:val="00431430"/>
    <w:rsid w:val="00432AAB"/>
    <w:rsid w:val="004339E6"/>
    <w:rsid w:val="00434375"/>
    <w:rsid w:val="00434D20"/>
    <w:rsid w:val="0043591B"/>
    <w:rsid w:val="004412F6"/>
    <w:rsid w:val="00441393"/>
    <w:rsid w:val="0044177E"/>
    <w:rsid w:val="00441AB6"/>
    <w:rsid w:val="00442123"/>
    <w:rsid w:val="00442E7B"/>
    <w:rsid w:val="004435FB"/>
    <w:rsid w:val="00444383"/>
    <w:rsid w:val="00444547"/>
    <w:rsid w:val="004446AB"/>
    <w:rsid w:val="00444938"/>
    <w:rsid w:val="00445A68"/>
    <w:rsid w:val="00445B0B"/>
    <w:rsid w:val="00446C0D"/>
    <w:rsid w:val="00446CE5"/>
    <w:rsid w:val="00446F5B"/>
    <w:rsid w:val="00450AE9"/>
    <w:rsid w:val="0045182C"/>
    <w:rsid w:val="00451F14"/>
    <w:rsid w:val="004523C1"/>
    <w:rsid w:val="00452BF0"/>
    <w:rsid w:val="004531C7"/>
    <w:rsid w:val="004532E1"/>
    <w:rsid w:val="00453E16"/>
    <w:rsid w:val="00455453"/>
    <w:rsid w:val="004556FF"/>
    <w:rsid w:val="00456CA6"/>
    <w:rsid w:val="004570A6"/>
    <w:rsid w:val="004601CA"/>
    <w:rsid w:val="004617CA"/>
    <w:rsid w:val="004620F0"/>
    <w:rsid w:val="004634CA"/>
    <w:rsid w:val="00464119"/>
    <w:rsid w:val="00464372"/>
    <w:rsid w:val="00464891"/>
    <w:rsid w:val="00464D9C"/>
    <w:rsid w:val="00465351"/>
    <w:rsid w:val="00465C5B"/>
    <w:rsid w:val="00465D32"/>
    <w:rsid w:val="00465DFF"/>
    <w:rsid w:val="00465FD8"/>
    <w:rsid w:val="0046611A"/>
    <w:rsid w:val="004661C7"/>
    <w:rsid w:val="004663CB"/>
    <w:rsid w:val="0046679A"/>
    <w:rsid w:val="00466A4E"/>
    <w:rsid w:val="004672F0"/>
    <w:rsid w:val="00467B06"/>
    <w:rsid w:val="00467CDF"/>
    <w:rsid w:val="004709E6"/>
    <w:rsid w:val="004712B9"/>
    <w:rsid w:val="004718BA"/>
    <w:rsid w:val="00472495"/>
    <w:rsid w:val="0047254A"/>
    <w:rsid w:val="004728C9"/>
    <w:rsid w:val="00472E36"/>
    <w:rsid w:val="0047328B"/>
    <w:rsid w:val="00474D7A"/>
    <w:rsid w:val="00475474"/>
    <w:rsid w:val="00475909"/>
    <w:rsid w:val="0047683C"/>
    <w:rsid w:val="00476A9B"/>
    <w:rsid w:val="004770D7"/>
    <w:rsid w:val="00480E02"/>
    <w:rsid w:val="0048103A"/>
    <w:rsid w:val="00481581"/>
    <w:rsid w:val="004817F8"/>
    <w:rsid w:val="0048181B"/>
    <w:rsid w:val="004818ED"/>
    <w:rsid w:val="004820F1"/>
    <w:rsid w:val="00482337"/>
    <w:rsid w:val="0048323F"/>
    <w:rsid w:val="00483AED"/>
    <w:rsid w:val="00485CD3"/>
    <w:rsid w:val="004866F0"/>
    <w:rsid w:val="00486C9D"/>
    <w:rsid w:val="00486F87"/>
    <w:rsid w:val="004873E2"/>
    <w:rsid w:val="00487484"/>
    <w:rsid w:val="00487BAF"/>
    <w:rsid w:val="00490583"/>
    <w:rsid w:val="00491141"/>
    <w:rsid w:val="0049179D"/>
    <w:rsid w:val="00491819"/>
    <w:rsid w:val="004936AD"/>
    <w:rsid w:val="00493917"/>
    <w:rsid w:val="0049399A"/>
    <w:rsid w:val="0049443D"/>
    <w:rsid w:val="004948FF"/>
    <w:rsid w:val="00494BE2"/>
    <w:rsid w:val="00494CF1"/>
    <w:rsid w:val="00494D3D"/>
    <w:rsid w:val="0049607E"/>
    <w:rsid w:val="00496834"/>
    <w:rsid w:val="00497E8E"/>
    <w:rsid w:val="004A00DB"/>
    <w:rsid w:val="004A1008"/>
    <w:rsid w:val="004A18EE"/>
    <w:rsid w:val="004A285F"/>
    <w:rsid w:val="004A3090"/>
    <w:rsid w:val="004A4862"/>
    <w:rsid w:val="004A4A9A"/>
    <w:rsid w:val="004A4B0A"/>
    <w:rsid w:val="004A4BC8"/>
    <w:rsid w:val="004A4CA1"/>
    <w:rsid w:val="004A4DC4"/>
    <w:rsid w:val="004A52DB"/>
    <w:rsid w:val="004A640F"/>
    <w:rsid w:val="004A65D1"/>
    <w:rsid w:val="004A6978"/>
    <w:rsid w:val="004A70D2"/>
    <w:rsid w:val="004A76D8"/>
    <w:rsid w:val="004A7953"/>
    <w:rsid w:val="004A7DCB"/>
    <w:rsid w:val="004B1D1F"/>
    <w:rsid w:val="004B1DB2"/>
    <w:rsid w:val="004B22E5"/>
    <w:rsid w:val="004B27C0"/>
    <w:rsid w:val="004B2C64"/>
    <w:rsid w:val="004B2E40"/>
    <w:rsid w:val="004B3665"/>
    <w:rsid w:val="004B3AFE"/>
    <w:rsid w:val="004B47AC"/>
    <w:rsid w:val="004B487B"/>
    <w:rsid w:val="004B52CE"/>
    <w:rsid w:val="004B5C33"/>
    <w:rsid w:val="004B6576"/>
    <w:rsid w:val="004B7767"/>
    <w:rsid w:val="004B7C73"/>
    <w:rsid w:val="004C0946"/>
    <w:rsid w:val="004C1506"/>
    <w:rsid w:val="004C1A71"/>
    <w:rsid w:val="004C242E"/>
    <w:rsid w:val="004C3611"/>
    <w:rsid w:val="004C3F80"/>
    <w:rsid w:val="004C3FD4"/>
    <w:rsid w:val="004C42CE"/>
    <w:rsid w:val="004C4874"/>
    <w:rsid w:val="004C4A5D"/>
    <w:rsid w:val="004C4BF0"/>
    <w:rsid w:val="004C5E34"/>
    <w:rsid w:val="004C658D"/>
    <w:rsid w:val="004C6B93"/>
    <w:rsid w:val="004C6E48"/>
    <w:rsid w:val="004C774E"/>
    <w:rsid w:val="004C7EC3"/>
    <w:rsid w:val="004D05CC"/>
    <w:rsid w:val="004D0BDD"/>
    <w:rsid w:val="004D0E75"/>
    <w:rsid w:val="004D1204"/>
    <w:rsid w:val="004D17F4"/>
    <w:rsid w:val="004D1871"/>
    <w:rsid w:val="004D2AF2"/>
    <w:rsid w:val="004D4620"/>
    <w:rsid w:val="004D5A88"/>
    <w:rsid w:val="004D69DC"/>
    <w:rsid w:val="004D6E01"/>
    <w:rsid w:val="004E0C8D"/>
    <w:rsid w:val="004E0EE5"/>
    <w:rsid w:val="004E0FFA"/>
    <w:rsid w:val="004E10E3"/>
    <w:rsid w:val="004E146C"/>
    <w:rsid w:val="004E15A6"/>
    <w:rsid w:val="004E1B03"/>
    <w:rsid w:val="004E1E8E"/>
    <w:rsid w:val="004E296A"/>
    <w:rsid w:val="004E2F80"/>
    <w:rsid w:val="004E37D0"/>
    <w:rsid w:val="004E456E"/>
    <w:rsid w:val="004E4E0C"/>
    <w:rsid w:val="004E574A"/>
    <w:rsid w:val="004E5A5B"/>
    <w:rsid w:val="004E7761"/>
    <w:rsid w:val="004E7C60"/>
    <w:rsid w:val="004F0251"/>
    <w:rsid w:val="004F075B"/>
    <w:rsid w:val="004F0BB3"/>
    <w:rsid w:val="004F0C5F"/>
    <w:rsid w:val="004F0C7E"/>
    <w:rsid w:val="004F1670"/>
    <w:rsid w:val="004F2900"/>
    <w:rsid w:val="004F2B1A"/>
    <w:rsid w:val="004F3676"/>
    <w:rsid w:val="004F4281"/>
    <w:rsid w:val="004F49EE"/>
    <w:rsid w:val="004F4F5E"/>
    <w:rsid w:val="004F5553"/>
    <w:rsid w:val="004F603A"/>
    <w:rsid w:val="004F61A7"/>
    <w:rsid w:val="004F6525"/>
    <w:rsid w:val="004F68A1"/>
    <w:rsid w:val="004F7678"/>
    <w:rsid w:val="004F784F"/>
    <w:rsid w:val="0050000F"/>
    <w:rsid w:val="00500341"/>
    <w:rsid w:val="00500640"/>
    <w:rsid w:val="00500F82"/>
    <w:rsid w:val="005011C8"/>
    <w:rsid w:val="00501B00"/>
    <w:rsid w:val="005022A6"/>
    <w:rsid w:val="00502A3D"/>
    <w:rsid w:val="00502CE2"/>
    <w:rsid w:val="00502D78"/>
    <w:rsid w:val="00504DB7"/>
    <w:rsid w:val="005051DF"/>
    <w:rsid w:val="0050588B"/>
    <w:rsid w:val="00505E4B"/>
    <w:rsid w:val="005065DA"/>
    <w:rsid w:val="00506B25"/>
    <w:rsid w:val="00507E0C"/>
    <w:rsid w:val="00510F86"/>
    <w:rsid w:val="00511179"/>
    <w:rsid w:val="00511BBA"/>
    <w:rsid w:val="00512AC3"/>
    <w:rsid w:val="00512D03"/>
    <w:rsid w:val="00513767"/>
    <w:rsid w:val="005138F2"/>
    <w:rsid w:val="00513E77"/>
    <w:rsid w:val="00514978"/>
    <w:rsid w:val="00514F4D"/>
    <w:rsid w:val="00515A1B"/>
    <w:rsid w:val="00516096"/>
    <w:rsid w:val="005169E9"/>
    <w:rsid w:val="005173BA"/>
    <w:rsid w:val="00517873"/>
    <w:rsid w:val="00517C05"/>
    <w:rsid w:val="00520166"/>
    <w:rsid w:val="00520B78"/>
    <w:rsid w:val="00521B86"/>
    <w:rsid w:val="00521D44"/>
    <w:rsid w:val="00523280"/>
    <w:rsid w:val="00523675"/>
    <w:rsid w:val="0052397C"/>
    <w:rsid w:val="0052430B"/>
    <w:rsid w:val="00524670"/>
    <w:rsid w:val="005249FD"/>
    <w:rsid w:val="00524F27"/>
    <w:rsid w:val="0052552E"/>
    <w:rsid w:val="00525797"/>
    <w:rsid w:val="005262E2"/>
    <w:rsid w:val="005266E0"/>
    <w:rsid w:val="0052680D"/>
    <w:rsid w:val="00526D31"/>
    <w:rsid w:val="00526E9A"/>
    <w:rsid w:val="0052735E"/>
    <w:rsid w:val="0053051D"/>
    <w:rsid w:val="00531248"/>
    <w:rsid w:val="00531559"/>
    <w:rsid w:val="0053182D"/>
    <w:rsid w:val="0053199D"/>
    <w:rsid w:val="00531E11"/>
    <w:rsid w:val="00532C20"/>
    <w:rsid w:val="00532E14"/>
    <w:rsid w:val="005330C6"/>
    <w:rsid w:val="005345A7"/>
    <w:rsid w:val="00534CF2"/>
    <w:rsid w:val="005353F7"/>
    <w:rsid w:val="00535C3A"/>
    <w:rsid w:val="00536191"/>
    <w:rsid w:val="005364AD"/>
    <w:rsid w:val="005364F8"/>
    <w:rsid w:val="00536B82"/>
    <w:rsid w:val="00536CEA"/>
    <w:rsid w:val="00537B3E"/>
    <w:rsid w:val="00537B9A"/>
    <w:rsid w:val="00537DC9"/>
    <w:rsid w:val="00540321"/>
    <w:rsid w:val="005405CD"/>
    <w:rsid w:val="00540900"/>
    <w:rsid w:val="00541E0E"/>
    <w:rsid w:val="00541EBD"/>
    <w:rsid w:val="00543E1B"/>
    <w:rsid w:val="00543F6E"/>
    <w:rsid w:val="00544983"/>
    <w:rsid w:val="0054528C"/>
    <w:rsid w:val="005461F7"/>
    <w:rsid w:val="0054636D"/>
    <w:rsid w:val="0054691F"/>
    <w:rsid w:val="0055075B"/>
    <w:rsid w:val="00551F44"/>
    <w:rsid w:val="0055277B"/>
    <w:rsid w:val="00552FF9"/>
    <w:rsid w:val="00553104"/>
    <w:rsid w:val="00553A2C"/>
    <w:rsid w:val="00553D5F"/>
    <w:rsid w:val="00554262"/>
    <w:rsid w:val="0055515A"/>
    <w:rsid w:val="00555EF8"/>
    <w:rsid w:val="00556673"/>
    <w:rsid w:val="00556C9A"/>
    <w:rsid w:val="00557C06"/>
    <w:rsid w:val="00557E9F"/>
    <w:rsid w:val="00560A79"/>
    <w:rsid w:val="005614FD"/>
    <w:rsid w:val="005632B3"/>
    <w:rsid w:val="00563B38"/>
    <w:rsid w:val="00563B5D"/>
    <w:rsid w:val="00563D0F"/>
    <w:rsid w:val="00564779"/>
    <w:rsid w:val="00564ECB"/>
    <w:rsid w:val="005650CF"/>
    <w:rsid w:val="00565F71"/>
    <w:rsid w:val="00566308"/>
    <w:rsid w:val="005667D4"/>
    <w:rsid w:val="00566D1D"/>
    <w:rsid w:val="00566D76"/>
    <w:rsid w:val="00567D33"/>
    <w:rsid w:val="00567FC5"/>
    <w:rsid w:val="00570272"/>
    <w:rsid w:val="0057158A"/>
    <w:rsid w:val="00571B16"/>
    <w:rsid w:val="00571C7E"/>
    <w:rsid w:val="00572881"/>
    <w:rsid w:val="00572FC9"/>
    <w:rsid w:val="00573552"/>
    <w:rsid w:val="00573C52"/>
    <w:rsid w:val="00573CAE"/>
    <w:rsid w:val="005742A6"/>
    <w:rsid w:val="00574533"/>
    <w:rsid w:val="00574A18"/>
    <w:rsid w:val="00574C20"/>
    <w:rsid w:val="00574CD4"/>
    <w:rsid w:val="005753D3"/>
    <w:rsid w:val="005759E4"/>
    <w:rsid w:val="005765C6"/>
    <w:rsid w:val="00576BDD"/>
    <w:rsid w:val="00576FE2"/>
    <w:rsid w:val="005773A3"/>
    <w:rsid w:val="00577C06"/>
    <w:rsid w:val="00577CD5"/>
    <w:rsid w:val="00577E56"/>
    <w:rsid w:val="005806D6"/>
    <w:rsid w:val="0058201A"/>
    <w:rsid w:val="0058259B"/>
    <w:rsid w:val="00583221"/>
    <w:rsid w:val="00583A7E"/>
    <w:rsid w:val="00584464"/>
    <w:rsid w:val="00584FCD"/>
    <w:rsid w:val="00585203"/>
    <w:rsid w:val="00585D3D"/>
    <w:rsid w:val="00586003"/>
    <w:rsid w:val="00586778"/>
    <w:rsid w:val="00586DCC"/>
    <w:rsid w:val="005872C8"/>
    <w:rsid w:val="00587767"/>
    <w:rsid w:val="00587933"/>
    <w:rsid w:val="005879AD"/>
    <w:rsid w:val="00587A4C"/>
    <w:rsid w:val="005903D3"/>
    <w:rsid w:val="005907E3"/>
    <w:rsid w:val="005916C8"/>
    <w:rsid w:val="00592D12"/>
    <w:rsid w:val="0059360A"/>
    <w:rsid w:val="00593D2B"/>
    <w:rsid w:val="00593E40"/>
    <w:rsid w:val="00594628"/>
    <w:rsid w:val="00594FC2"/>
    <w:rsid w:val="00595927"/>
    <w:rsid w:val="00595F95"/>
    <w:rsid w:val="00597074"/>
    <w:rsid w:val="005A05C9"/>
    <w:rsid w:val="005A0BB1"/>
    <w:rsid w:val="005A1008"/>
    <w:rsid w:val="005A18A5"/>
    <w:rsid w:val="005A1ED8"/>
    <w:rsid w:val="005A24EF"/>
    <w:rsid w:val="005A28DA"/>
    <w:rsid w:val="005A3C98"/>
    <w:rsid w:val="005A4021"/>
    <w:rsid w:val="005A4A9E"/>
    <w:rsid w:val="005A65CB"/>
    <w:rsid w:val="005A6845"/>
    <w:rsid w:val="005A6BAB"/>
    <w:rsid w:val="005A6CBF"/>
    <w:rsid w:val="005A77E2"/>
    <w:rsid w:val="005A7D60"/>
    <w:rsid w:val="005B0A52"/>
    <w:rsid w:val="005B10D9"/>
    <w:rsid w:val="005B1D29"/>
    <w:rsid w:val="005B2E90"/>
    <w:rsid w:val="005B30DF"/>
    <w:rsid w:val="005B33B0"/>
    <w:rsid w:val="005B3F63"/>
    <w:rsid w:val="005B4B41"/>
    <w:rsid w:val="005B5BC8"/>
    <w:rsid w:val="005B5C37"/>
    <w:rsid w:val="005B6A8C"/>
    <w:rsid w:val="005B7568"/>
    <w:rsid w:val="005C015D"/>
    <w:rsid w:val="005C02DB"/>
    <w:rsid w:val="005C07FC"/>
    <w:rsid w:val="005C11C2"/>
    <w:rsid w:val="005C1BC4"/>
    <w:rsid w:val="005C2883"/>
    <w:rsid w:val="005C320F"/>
    <w:rsid w:val="005C3742"/>
    <w:rsid w:val="005C4FBE"/>
    <w:rsid w:val="005C514F"/>
    <w:rsid w:val="005C59D5"/>
    <w:rsid w:val="005C68CB"/>
    <w:rsid w:val="005C69BD"/>
    <w:rsid w:val="005C754F"/>
    <w:rsid w:val="005C7F5E"/>
    <w:rsid w:val="005D00AD"/>
    <w:rsid w:val="005D0C6A"/>
    <w:rsid w:val="005D0C9B"/>
    <w:rsid w:val="005D0D4E"/>
    <w:rsid w:val="005D0E16"/>
    <w:rsid w:val="005D1701"/>
    <w:rsid w:val="005D19E2"/>
    <w:rsid w:val="005D1E9C"/>
    <w:rsid w:val="005D2534"/>
    <w:rsid w:val="005D3C46"/>
    <w:rsid w:val="005D40D8"/>
    <w:rsid w:val="005D4B26"/>
    <w:rsid w:val="005D4D68"/>
    <w:rsid w:val="005D4FD3"/>
    <w:rsid w:val="005D5E13"/>
    <w:rsid w:val="005D73B2"/>
    <w:rsid w:val="005D791F"/>
    <w:rsid w:val="005D79C3"/>
    <w:rsid w:val="005E04E5"/>
    <w:rsid w:val="005E0B3F"/>
    <w:rsid w:val="005E0CB8"/>
    <w:rsid w:val="005E0E68"/>
    <w:rsid w:val="005E214B"/>
    <w:rsid w:val="005E22DA"/>
    <w:rsid w:val="005E2324"/>
    <w:rsid w:val="005E2494"/>
    <w:rsid w:val="005E26ED"/>
    <w:rsid w:val="005E2F52"/>
    <w:rsid w:val="005E40CD"/>
    <w:rsid w:val="005E46FD"/>
    <w:rsid w:val="005E4FAF"/>
    <w:rsid w:val="005E57F8"/>
    <w:rsid w:val="005E5C38"/>
    <w:rsid w:val="005E5FAA"/>
    <w:rsid w:val="005E71A6"/>
    <w:rsid w:val="005E79EE"/>
    <w:rsid w:val="005F017B"/>
    <w:rsid w:val="005F0E34"/>
    <w:rsid w:val="005F1069"/>
    <w:rsid w:val="005F13D8"/>
    <w:rsid w:val="005F329C"/>
    <w:rsid w:val="005F32C5"/>
    <w:rsid w:val="005F3652"/>
    <w:rsid w:val="005F3EE5"/>
    <w:rsid w:val="005F4133"/>
    <w:rsid w:val="005F47FC"/>
    <w:rsid w:val="005F4858"/>
    <w:rsid w:val="005F48A8"/>
    <w:rsid w:val="005F49AA"/>
    <w:rsid w:val="005F4B36"/>
    <w:rsid w:val="005F53FC"/>
    <w:rsid w:val="005F5B04"/>
    <w:rsid w:val="005F6780"/>
    <w:rsid w:val="005F6BAE"/>
    <w:rsid w:val="005F6E2C"/>
    <w:rsid w:val="005F792A"/>
    <w:rsid w:val="0060078E"/>
    <w:rsid w:val="006008EC"/>
    <w:rsid w:val="006019AE"/>
    <w:rsid w:val="0060276C"/>
    <w:rsid w:val="00602A49"/>
    <w:rsid w:val="00603402"/>
    <w:rsid w:val="00603E4F"/>
    <w:rsid w:val="006045EA"/>
    <w:rsid w:val="00604CA4"/>
    <w:rsid w:val="00604CE8"/>
    <w:rsid w:val="00605862"/>
    <w:rsid w:val="00605E9A"/>
    <w:rsid w:val="00606186"/>
    <w:rsid w:val="00606793"/>
    <w:rsid w:val="00607895"/>
    <w:rsid w:val="00607ED2"/>
    <w:rsid w:val="0061025A"/>
    <w:rsid w:val="006109AB"/>
    <w:rsid w:val="00610E99"/>
    <w:rsid w:val="00611B32"/>
    <w:rsid w:val="00611BE1"/>
    <w:rsid w:val="006124E4"/>
    <w:rsid w:val="00612B66"/>
    <w:rsid w:val="00613051"/>
    <w:rsid w:val="006133FC"/>
    <w:rsid w:val="00613846"/>
    <w:rsid w:val="00613D48"/>
    <w:rsid w:val="00614181"/>
    <w:rsid w:val="00614693"/>
    <w:rsid w:val="0061496E"/>
    <w:rsid w:val="00614C21"/>
    <w:rsid w:val="00614D98"/>
    <w:rsid w:val="00616189"/>
    <w:rsid w:val="006166BF"/>
    <w:rsid w:val="00616718"/>
    <w:rsid w:val="00616EE5"/>
    <w:rsid w:val="00617969"/>
    <w:rsid w:val="006179D3"/>
    <w:rsid w:val="00617B99"/>
    <w:rsid w:val="00617BB2"/>
    <w:rsid w:val="0062136A"/>
    <w:rsid w:val="006214B9"/>
    <w:rsid w:val="00621B66"/>
    <w:rsid w:val="00621EF5"/>
    <w:rsid w:val="0062223B"/>
    <w:rsid w:val="00623443"/>
    <w:rsid w:val="00623A90"/>
    <w:rsid w:val="00624DDF"/>
    <w:rsid w:val="00625900"/>
    <w:rsid w:val="0062612D"/>
    <w:rsid w:val="0062614F"/>
    <w:rsid w:val="006272A7"/>
    <w:rsid w:val="00627CC4"/>
    <w:rsid w:val="0063026F"/>
    <w:rsid w:val="00630465"/>
    <w:rsid w:val="00631A6F"/>
    <w:rsid w:val="00632CAA"/>
    <w:rsid w:val="00632FB7"/>
    <w:rsid w:val="006331D6"/>
    <w:rsid w:val="00633E97"/>
    <w:rsid w:val="0063462F"/>
    <w:rsid w:val="0063481A"/>
    <w:rsid w:val="006348D1"/>
    <w:rsid w:val="00634BA0"/>
    <w:rsid w:val="00634F26"/>
    <w:rsid w:val="006351A4"/>
    <w:rsid w:val="0063570B"/>
    <w:rsid w:val="0063587F"/>
    <w:rsid w:val="00636D68"/>
    <w:rsid w:val="006371C8"/>
    <w:rsid w:val="00637402"/>
    <w:rsid w:val="0063788E"/>
    <w:rsid w:val="00637BCE"/>
    <w:rsid w:val="00637E93"/>
    <w:rsid w:val="006400E1"/>
    <w:rsid w:val="00640ABE"/>
    <w:rsid w:val="0064168F"/>
    <w:rsid w:val="00641970"/>
    <w:rsid w:val="006419A4"/>
    <w:rsid w:val="00642B30"/>
    <w:rsid w:val="00642E6C"/>
    <w:rsid w:val="00643992"/>
    <w:rsid w:val="0064544B"/>
    <w:rsid w:val="00645547"/>
    <w:rsid w:val="00645845"/>
    <w:rsid w:val="00645878"/>
    <w:rsid w:val="00645AE7"/>
    <w:rsid w:val="00645EDE"/>
    <w:rsid w:val="00645EFB"/>
    <w:rsid w:val="0064625F"/>
    <w:rsid w:val="00646B53"/>
    <w:rsid w:val="00646BA3"/>
    <w:rsid w:val="00646F6C"/>
    <w:rsid w:val="0064740F"/>
    <w:rsid w:val="006503A0"/>
    <w:rsid w:val="00650A85"/>
    <w:rsid w:val="00651E93"/>
    <w:rsid w:val="00652066"/>
    <w:rsid w:val="00652D06"/>
    <w:rsid w:val="00654306"/>
    <w:rsid w:val="00654540"/>
    <w:rsid w:val="00654A30"/>
    <w:rsid w:val="00654B2C"/>
    <w:rsid w:val="00654DBE"/>
    <w:rsid w:val="00655299"/>
    <w:rsid w:val="00655F76"/>
    <w:rsid w:val="00656572"/>
    <w:rsid w:val="00656AE6"/>
    <w:rsid w:val="00660186"/>
    <w:rsid w:val="0066112C"/>
    <w:rsid w:val="00661B07"/>
    <w:rsid w:val="00662060"/>
    <w:rsid w:val="00664494"/>
    <w:rsid w:val="006646BA"/>
    <w:rsid w:val="00665D7A"/>
    <w:rsid w:val="006672FE"/>
    <w:rsid w:val="00667837"/>
    <w:rsid w:val="00667CC5"/>
    <w:rsid w:val="00667D72"/>
    <w:rsid w:val="006702C9"/>
    <w:rsid w:val="006703A0"/>
    <w:rsid w:val="006706DF"/>
    <w:rsid w:val="006708B6"/>
    <w:rsid w:val="00670C50"/>
    <w:rsid w:val="00670E46"/>
    <w:rsid w:val="00670EDE"/>
    <w:rsid w:val="00670F24"/>
    <w:rsid w:val="00671A30"/>
    <w:rsid w:val="006725A4"/>
    <w:rsid w:val="00672C5C"/>
    <w:rsid w:val="00672F31"/>
    <w:rsid w:val="006733B8"/>
    <w:rsid w:val="00673F79"/>
    <w:rsid w:val="0067475A"/>
    <w:rsid w:val="00674E75"/>
    <w:rsid w:val="006751CB"/>
    <w:rsid w:val="0067583E"/>
    <w:rsid w:val="006762B1"/>
    <w:rsid w:val="0067676B"/>
    <w:rsid w:val="00676DF0"/>
    <w:rsid w:val="00677AFF"/>
    <w:rsid w:val="0068093C"/>
    <w:rsid w:val="00680B78"/>
    <w:rsid w:val="00681262"/>
    <w:rsid w:val="0068184E"/>
    <w:rsid w:val="00681AB7"/>
    <w:rsid w:val="00681D7E"/>
    <w:rsid w:val="00681EA7"/>
    <w:rsid w:val="006821AB"/>
    <w:rsid w:val="006823AB"/>
    <w:rsid w:val="00682AB2"/>
    <w:rsid w:val="00683003"/>
    <w:rsid w:val="00683C61"/>
    <w:rsid w:val="00683DDE"/>
    <w:rsid w:val="00683DFD"/>
    <w:rsid w:val="006841DE"/>
    <w:rsid w:val="0068479E"/>
    <w:rsid w:val="00684A28"/>
    <w:rsid w:val="00685345"/>
    <w:rsid w:val="00685618"/>
    <w:rsid w:val="00685EBE"/>
    <w:rsid w:val="00686195"/>
    <w:rsid w:val="00686467"/>
    <w:rsid w:val="006865B3"/>
    <w:rsid w:val="00687418"/>
    <w:rsid w:val="00687AF8"/>
    <w:rsid w:val="00690026"/>
    <w:rsid w:val="006901C8"/>
    <w:rsid w:val="006913D0"/>
    <w:rsid w:val="0069167E"/>
    <w:rsid w:val="00691B85"/>
    <w:rsid w:val="00691E85"/>
    <w:rsid w:val="00692011"/>
    <w:rsid w:val="00692107"/>
    <w:rsid w:val="006933E1"/>
    <w:rsid w:val="00693D0D"/>
    <w:rsid w:val="00694427"/>
    <w:rsid w:val="0069455C"/>
    <w:rsid w:val="0069491B"/>
    <w:rsid w:val="00694AE9"/>
    <w:rsid w:val="00695A63"/>
    <w:rsid w:val="00695B19"/>
    <w:rsid w:val="00695CF6"/>
    <w:rsid w:val="00695F82"/>
    <w:rsid w:val="00697163"/>
    <w:rsid w:val="00697249"/>
    <w:rsid w:val="00697D26"/>
    <w:rsid w:val="00697FD1"/>
    <w:rsid w:val="006A0383"/>
    <w:rsid w:val="006A06BC"/>
    <w:rsid w:val="006A0C61"/>
    <w:rsid w:val="006A0C6A"/>
    <w:rsid w:val="006A10DD"/>
    <w:rsid w:val="006A1BE4"/>
    <w:rsid w:val="006A2046"/>
    <w:rsid w:val="006A2FC2"/>
    <w:rsid w:val="006A453C"/>
    <w:rsid w:val="006A47B1"/>
    <w:rsid w:val="006A49D9"/>
    <w:rsid w:val="006A5037"/>
    <w:rsid w:val="006A59D6"/>
    <w:rsid w:val="006A7642"/>
    <w:rsid w:val="006A7ADA"/>
    <w:rsid w:val="006B00BD"/>
    <w:rsid w:val="006B064F"/>
    <w:rsid w:val="006B0B29"/>
    <w:rsid w:val="006B0B9C"/>
    <w:rsid w:val="006B0D90"/>
    <w:rsid w:val="006B0DB5"/>
    <w:rsid w:val="006B0FCC"/>
    <w:rsid w:val="006B1AA6"/>
    <w:rsid w:val="006B1AF8"/>
    <w:rsid w:val="006B45E3"/>
    <w:rsid w:val="006B4C7F"/>
    <w:rsid w:val="006B5532"/>
    <w:rsid w:val="006B57B0"/>
    <w:rsid w:val="006B5A9D"/>
    <w:rsid w:val="006B5AFC"/>
    <w:rsid w:val="006B602F"/>
    <w:rsid w:val="006B62C4"/>
    <w:rsid w:val="006B6986"/>
    <w:rsid w:val="006B6A38"/>
    <w:rsid w:val="006B6BC9"/>
    <w:rsid w:val="006B7595"/>
    <w:rsid w:val="006B7794"/>
    <w:rsid w:val="006C08A5"/>
    <w:rsid w:val="006C1739"/>
    <w:rsid w:val="006C173D"/>
    <w:rsid w:val="006C1D1C"/>
    <w:rsid w:val="006C1F8D"/>
    <w:rsid w:val="006C23DD"/>
    <w:rsid w:val="006C2ADD"/>
    <w:rsid w:val="006C30B3"/>
    <w:rsid w:val="006C39A2"/>
    <w:rsid w:val="006C3BEE"/>
    <w:rsid w:val="006C416E"/>
    <w:rsid w:val="006C53F3"/>
    <w:rsid w:val="006C5D34"/>
    <w:rsid w:val="006C655C"/>
    <w:rsid w:val="006C686D"/>
    <w:rsid w:val="006C6A1E"/>
    <w:rsid w:val="006C77F2"/>
    <w:rsid w:val="006C7DCC"/>
    <w:rsid w:val="006D01AE"/>
    <w:rsid w:val="006D03EE"/>
    <w:rsid w:val="006D0959"/>
    <w:rsid w:val="006D09AB"/>
    <w:rsid w:val="006D0BEF"/>
    <w:rsid w:val="006D0FAC"/>
    <w:rsid w:val="006D2443"/>
    <w:rsid w:val="006D272A"/>
    <w:rsid w:val="006D2B7D"/>
    <w:rsid w:val="006D2C0D"/>
    <w:rsid w:val="006D2F7B"/>
    <w:rsid w:val="006D4DA5"/>
    <w:rsid w:val="006D533F"/>
    <w:rsid w:val="006D6936"/>
    <w:rsid w:val="006D6A54"/>
    <w:rsid w:val="006D7AAF"/>
    <w:rsid w:val="006D7C42"/>
    <w:rsid w:val="006E0410"/>
    <w:rsid w:val="006E0791"/>
    <w:rsid w:val="006E283A"/>
    <w:rsid w:val="006E3789"/>
    <w:rsid w:val="006E3ABE"/>
    <w:rsid w:val="006E3F7B"/>
    <w:rsid w:val="006E4500"/>
    <w:rsid w:val="006E4B1F"/>
    <w:rsid w:val="006E5227"/>
    <w:rsid w:val="006E57B4"/>
    <w:rsid w:val="006E5A89"/>
    <w:rsid w:val="006E6663"/>
    <w:rsid w:val="006E6B9F"/>
    <w:rsid w:val="006E75C8"/>
    <w:rsid w:val="006F055D"/>
    <w:rsid w:val="006F0DE1"/>
    <w:rsid w:val="006F29D1"/>
    <w:rsid w:val="006F436B"/>
    <w:rsid w:val="006F59C0"/>
    <w:rsid w:val="006F6B93"/>
    <w:rsid w:val="006F70A6"/>
    <w:rsid w:val="006F7482"/>
    <w:rsid w:val="007013B5"/>
    <w:rsid w:val="0070157D"/>
    <w:rsid w:val="00702E36"/>
    <w:rsid w:val="0070369E"/>
    <w:rsid w:val="00704978"/>
    <w:rsid w:val="00704AF1"/>
    <w:rsid w:val="0070505D"/>
    <w:rsid w:val="007058A3"/>
    <w:rsid w:val="00705EDE"/>
    <w:rsid w:val="007063F9"/>
    <w:rsid w:val="007069A7"/>
    <w:rsid w:val="0070769E"/>
    <w:rsid w:val="00707CB6"/>
    <w:rsid w:val="00710411"/>
    <w:rsid w:val="0071092D"/>
    <w:rsid w:val="00712095"/>
    <w:rsid w:val="00712145"/>
    <w:rsid w:val="007123F0"/>
    <w:rsid w:val="0071250C"/>
    <w:rsid w:val="007128F0"/>
    <w:rsid w:val="0071296F"/>
    <w:rsid w:val="00713375"/>
    <w:rsid w:val="007137E4"/>
    <w:rsid w:val="0071385C"/>
    <w:rsid w:val="00713A77"/>
    <w:rsid w:val="00713C50"/>
    <w:rsid w:val="00714479"/>
    <w:rsid w:val="0071526C"/>
    <w:rsid w:val="00715669"/>
    <w:rsid w:val="00715752"/>
    <w:rsid w:val="00715792"/>
    <w:rsid w:val="00715EF4"/>
    <w:rsid w:val="00716A73"/>
    <w:rsid w:val="00716F7E"/>
    <w:rsid w:val="007170F7"/>
    <w:rsid w:val="007172AC"/>
    <w:rsid w:val="007206E6"/>
    <w:rsid w:val="007209A2"/>
    <w:rsid w:val="007212B2"/>
    <w:rsid w:val="00723406"/>
    <w:rsid w:val="00723A80"/>
    <w:rsid w:val="00723C2F"/>
    <w:rsid w:val="00724612"/>
    <w:rsid w:val="00724F77"/>
    <w:rsid w:val="00726C7B"/>
    <w:rsid w:val="00726EDD"/>
    <w:rsid w:val="007304A0"/>
    <w:rsid w:val="00731E9F"/>
    <w:rsid w:val="007324CD"/>
    <w:rsid w:val="00733662"/>
    <w:rsid w:val="00734568"/>
    <w:rsid w:val="00734832"/>
    <w:rsid w:val="00734C6D"/>
    <w:rsid w:val="00735A6E"/>
    <w:rsid w:val="00735FD6"/>
    <w:rsid w:val="00736A7F"/>
    <w:rsid w:val="00736C12"/>
    <w:rsid w:val="007371C1"/>
    <w:rsid w:val="00737256"/>
    <w:rsid w:val="00737683"/>
    <w:rsid w:val="00737EA4"/>
    <w:rsid w:val="007403D5"/>
    <w:rsid w:val="00741E22"/>
    <w:rsid w:val="00742763"/>
    <w:rsid w:val="00742A8A"/>
    <w:rsid w:val="00742F56"/>
    <w:rsid w:val="0074394D"/>
    <w:rsid w:val="00743F47"/>
    <w:rsid w:val="0074492F"/>
    <w:rsid w:val="00744A28"/>
    <w:rsid w:val="00745C50"/>
    <w:rsid w:val="00745D5A"/>
    <w:rsid w:val="00747159"/>
    <w:rsid w:val="007478C9"/>
    <w:rsid w:val="00747BF5"/>
    <w:rsid w:val="0075005D"/>
    <w:rsid w:val="007500EC"/>
    <w:rsid w:val="0075018A"/>
    <w:rsid w:val="00750571"/>
    <w:rsid w:val="00750649"/>
    <w:rsid w:val="00750741"/>
    <w:rsid w:val="00750EEC"/>
    <w:rsid w:val="007525AC"/>
    <w:rsid w:val="007526FB"/>
    <w:rsid w:val="007527E0"/>
    <w:rsid w:val="0075294E"/>
    <w:rsid w:val="00753683"/>
    <w:rsid w:val="00754F81"/>
    <w:rsid w:val="00755548"/>
    <w:rsid w:val="00755582"/>
    <w:rsid w:val="00755E07"/>
    <w:rsid w:val="00756614"/>
    <w:rsid w:val="00757A93"/>
    <w:rsid w:val="00757CB2"/>
    <w:rsid w:val="0076108D"/>
    <w:rsid w:val="00761186"/>
    <w:rsid w:val="0076135D"/>
    <w:rsid w:val="0076196B"/>
    <w:rsid w:val="00761A2F"/>
    <w:rsid w:val="00761CF4"/>
    <w:rsid w:val="00762C27"/>
    <w:rsid w:val="00763B9B"/>
    <w:rsid w:val="00763D4E"/>
    <w:rsid w:val="00764C66"/>
    <w:rsid w:val="00765061"/>
    <w:rsid w:val="00765157"/>
    <w:rsid w:val="00765D93"/>
    <w:rsid w:val="00765EA7"/>
    <w:rsid w:val="007662F8"/>
    <w:rsid w:val="00766420"/>
    <w:rsid w:val="00766F83"/>
    <w:rsid w:val="0076718D"/>
    <w:rsid w:val="00767810"/>
    <w:rsid w:val="00767A6B"/>
    <w:rsid w:val="00767E82"/>
    <w:rsid w:val="007706B5"/>
    <w:rsid w:val="00771539"/>
    <w:rsid w:val="0077262B"/>
    <w:rsid w:val="007729D8"/>
    <w:rsid w:val="0077382F"/>
    <w:rsid w:val="00773DBC"/>
    <w:rsid w:val="00774EC4"/>
    <w:rsid w:val="00775168"/>
    <w:rsid w:val="00775AE9"/>
    <w:rsid w:val="00775B4F"/>
    <w:rsid w:val="007765E9"/>
    <w:rsid w:val="00776643"/>
    <w:rsid w:val="0077798E"/>
    <w:rsid w:val="00781341"/>
    <w:rsid w:val="0078142B"/>
    <w:rsid w:val="0078246C"/>
    <w:rsid w:val="0078301F"/>
    <w:rsid w:val="00783E57"/>
    <w:rsid w:val="00783EAE"/>
    <w:rsid w:val="00784380"/>
    <w:rsid w:val="00785868"/>
    <w:rsid w:val="007863DA"/>
    <w:rsid w:val="00786899"/>
    <w:rsid w:val="00786BB3"/>
    <w:rsid w:val="00790529"/>
    <w:rsid w:val="00790754"/>
    <w:rsid w:val="007917AC"/>
    <w:rsid w:val="007918C8"/>
    <w:rsid w:val="00791A42"/>
    <w:rsid w:val="00791D39"/>
    <w:rsid w:val="00791FB5"/>
    <w:rsid w:val="007926F3"/>
    <w:rsid w:val="007928D8"/>
    <w:rsid w:val="00792A1A"/>
    <w:rsid w:val="00792BA7"/>
    <w:rsid w:val="007936C8"/>
    <w:rsid w:val="007938B7"/>
    <w:rsid w:val="00793A44"/>
    <w:rsid w:val="00793E62"/>
    <w:rsid w:val="00793EF3"/>
    <w:rsid w:val="00795010"/>
    <w:rsid w:val="007965C7"/>
    <w:rsid w:val="00796EB7"/>
    <w:rsid w:val="00796FF8"/>
    <w:rsid w:val="00797272"/>
    <w:rsid w:val="00797278"/>
    <w:rsid w:val="007A032D"/>
    <w:rsid w:val="007A0340"/>
    <w:rsid w:val="007A08B9"/>
    <w:rsid w:val="007A0BE4"/>
    <w:rsid w:val="007A0C1E"/>
    <w:rsid w:val="007A2478"/>
    <w:rsid w:val="007A2688"/>
    <w:rsid w:val="007A283F"/>
    <w:rsid w:val="007A3156"/>
    <w:rsid w:val="007A3B73"/>
    <w:rsid w:val="007A43A5"/>
    <w:rsid w:val="007A58D1"/>
    <w:rsid w:val="007A6C4E"/>
    <w:rsid w:val="007A7326"/>
    <w:rsid w:val="007A7599"/>
    <w:rsid w:val="007A75F4"/>
    <w:rsid w:val="007A77F2"/>
    <w:rsid w:val="007A7F7B"/>
    <w:rsid w:val="007B0227"/>
    <w:rsid w:val="007B24B1"/>
    <w:rsid w:val="007B27CF"/>
    <w:rsid w:val="007B311D"/>
    <w:rsid w:val="007B340D"/>
    <w:rsid w:val="007B3908"/>
    <w:rsid w:val="007B3F11"/>
    <w:rsid w:val="007B40DF"/>
    <w:rsid w:val="007B461B"/>
    <w:rsid w:val="007B4F30"/>
    <w:rsid w:val="007B517F"/>
    <w:rsid w:val="007B7438"/>
    <w:rsid w:val="007C04E1"/>
    <w:rsid w:val="007C1338"/>
    <w:rsid w:val="007C15D2"/>
    <w:rsid w:val="007C1F3D"/>
    <w:rsid w:val="007C287B"/>
    <w:rsid w:val="007C2A6E"/>
    <w:rsid w:val="007C2C4F"/>
    <w:rsid w:val="007C2E89"/>
    <w:rsid w:val="007C3563"/>
    <w:rsid w:val="007C499B"/>
    <w:rsid w:val="007C4A0A"/>
    <w:rsid w:val="007C4A57"/>
    <w:rsid w:val="007C50FF"/>
    <w:rsid w:val="007C531E"/>
    <w:rsid w:val="007C6464"/>
    <w:rsid w:val="007C64ED"/>
    <w:rsid w:val="007C6F46"/>
    <w:rsid w:val="007C76E5"/>
    <w:rsid w:val="007C7A7D"/>
    <w:rsid w:val="007C7B93"/>
    <w:rsid w:val="007D0565"/>
    <w:rsid w:val="007D11F9"/>
    <w:rsid w:val="007D207C"/>
    <w:rsid w:val="007D2CC8"/>
    <w:rsid w:val="007D2FC9"/>
    <w:rsid w:val="007D37A4"/>
    <w:rsid w:val="007D410C"/>
    <w:rsid w:val="007D4476"/>
    <w:rsid w:val="007D45E7"/>
    <w:rsid w:val="007D567B"/>
    <w:rsid w:val="007D5834"/>
    <w:rsid w:val="007D5A27"/>
    <w:rsid w:val="007D5B59"/>
    <w:rsid w:val="007D5C49"/>
    <w:rsid w:val="007D653E"/>
    <w:rsid w:val="007D673A"/>
    <w:rsid w:val="007D68AC"/>
    <w:rsid w:val="007D6B68"/>
    <w:rsid w:val="007D78C6"/>
    <w:rsid w:val="007D796A"/>
    <w:rsid w:val="007D79C7"/>
    <w:rsid w:val="007E0133"/>
    <w:rsid w:val="007E090F"/>
    <w:rsid w:val="007E0A18"/>
    <w:rsid w:val="007E0BC2"/>
    <w:rsid w:val="007E1F70"/>
    <w:rsid w:val="007E27EF"/>
    <w:rsid w:val="007E44E7"/>
    <w:rsid w:val="007E513B"/>
    <w:rsid w:val="007E54E3"/>
    <w:rsid w:val="007E5D54"/>
    <w:rsid w:val="007E6039"/>
    <w:rsid w:val="007E66BE"/>
    <w:rsid w:val="007E6EAF"/>
    <w:rsid w:val="007E72D2"/>
    <w:rsid w:val="007F097F"/>
    <w:rsid w:val="007F0B11"/>
    <w:rsid w:val="007F0C05"/>
    <w:rsid w:val="007F2FA3"/>
    <w:rsid w:val="007F3333"/>
    <w:rsid w:val="007F3638"/>
    <w:rsid w:val="007F3BD1"/>
    <w:rsid w:val="007F3DF1"/>
    <w:rsid w:val="007F4F06"/>
    <w:rsid w:val="007F5513"/>
    <w:rsid w:val="007F5742"/>
    <w:rsid w:val="007F6068"/>
    <w:rsid w:val="007F60D2"/>
    <w:rsid w:val="007F6168"/>
    <w:rsid w:val="007F729E"/>
    <w:rsid w:val="007F76CE"/>
    <w:rsid w:val="00800394"/>
    <w:rsid w:val="008005D9"/>
    <w:rsid w:val="0080089B"/>
    <w:rsid w:val="00800D94"/>
    <w:rsid w:val="00801489"/>
    <w:rsid w:val="008015A4"/>
    <w:rsid w:val="008015DD"/>
    <w:rsid w:val="00801804"/>
    <w:rsid w:val="008019B3"/>
    <w:rsid w:val="008020BF"/>
    <w:rsid w:val="008046E7"/>
    <w:rsid w:val="00804C98"/>
    <w:rsid w:val="00804DEF"/>
    <w:rsid w:val="00804E0A"/>
    <w:rsid w:val="00805A77"/>
    <w:rsid w:val="00806057"/>
    <w:rsid w:val="00806310"/>
    <w:rsid w:val="0080659F"/>
    <w:rsid w:val="008069FD"/>
    <w:rsid w:val="00806A3A"/>
    <w:rsid w:val="0080723B"/>
    <w:rsid w:val="008077D7"/>
    <w:rsid w:val="008078FA"/>
    <w:rsid w:val="00807F70"/>
    <w:rsid w:val="0081030A"/>
    <w:rsid w:val="008103A8"/>
    <w:rsid w:val="00810CAB"/>
    <w:rsid w:val="00810CE7"/>
    <w:rsid w:val="00810F87"/>
    <w:rsid w:val="008113B8"/>
    <w:rsid w:val="00811656"/>
    <w:rsid w:val="008116EF"/>
    <w:rsid w:val="0081357F"/>
    <w:rsid w:val="008135A4"/>
    <w:rsid w:val="0081497C"/>
    <w:rsid w:val="00814F50"/>
    <w:rsid w:val="00815207"/>
    <w:rsid w:val="0081552D"/>
    <w:rsid w:val="008164D4"/>
    <w:rsid w:val="0081691A"/>
    <w:rsid w:val="00816B19"/>
    <w:rsid w:val="008174E0"/>
    <w:rsid w:val="00817B39"/>
    <w:rsid w:val="00817D2A"/>
    <w:rsid w:val="00821641"/>
    <w:rsid w:val="00821C23"/>
    <w:rsid w:val="0082227C"/>
    <w:rsid w:val="00822404"/>
    <w:rsid w:val="00822DC4"/>
    <w:rsid w:val="00822F91"/>
    <w:rsid w:val="0082303C"/>
    <w:rsid w:val="00823F0D"/>
    <w:rsid w:val="008255CB"/>
    <w:rsid w:val="00825B24"/>
    <w:rsid w:val="00825B91"/>
    <w:rsid w:val="00826476"/>
    <w:rsid w:val="00826564"/>
    <w:rsid w:val="008300E4"/>
    <w:rsid w:val="00831B6D"/>
    <w:rsid w:val="00832C10"/>
    <w:rsid w:val="0083312C"/>
    <w:rsid w:val="0083329B"/>
    <w:rsid w:val="00833418"/>
    <w:rsid w:val="00833FDE"/>
    <w:rsid w:val="0083418D"/>
    <w:rsid w:val="00835D80"/>
    <w:rsid w:val="0083689B"/>
    <w:rsid w:val="00837DFB"/>
    <w:rsid w:val="00840642"/>
    <w:rsid w:val="00840F12"/>
    <w:rsid w:val="008416EB"/>
    <w:rsid w:val="00842424"/>
    <w:rsid w:val="0084256F"/>
    <w:rsid w:val="00842C10"/>
    <w:rsid w:val="00842DD8"/>
    <w:rsid w:val="00843778"/>
    <w:rsid w:val="008437E0"/>
    <w:rsid w:val="00843928"/>
    <w:rsid w:val="00843A68"/>
    <w:rsid w:val="00843EB3"/>
    <w:rsid w:val="00844053"/>
    <w:rsid w:val="008441F9"/>
    <w:rsid w:val="008446C3"/>
    <w:rsid w:val="00844864"/>
    <w:rsid w:val="00844C73"/>
    <w:rsid w:val="00844CB7"/>
    <w:rsid w:val="00844CFB"/>
    <w:rsid w:val="00845434"/>
    <w:rsid w:val="0084698B"/>
    <w:rsid w:val="00846F80"/>
    <w:rsid w:val="0084755A"/>
    <w:rsid w:val="00847DB6"/>
    <w:rsid w:val="0085048F"/>
    <w:rsid w:val="00851969"/>
    <w:rsid w:val="0085322A"/>
    <w:rsid w:val="00853879"/>
    <w:rsid w:val="00853EE8"/>
    <w:rsid w:val="00854542"/>
    <w:rsid w:val="008545CF"/>
    <w:rsid w:val="00855460"/>
    <w:rsid w:val="00855C4F"/>
    <w:rsid w:val="00857E6B"/>
    <w:rsid w:val="00860381"/>
    <w:rsid w:val="00860E49"/>
    <w:rsid w:val="008620B3"/>
    <w:rsid w:val="00862B2D"/>
    <w:rsid w:val="00864122"/>
    <w:rsid w:val="00864859"/>
    <w:rsid w:val="008651A9"/>
    <w:rsid w:val="008654B8"/>
    <w:rsid w:val="00865653"/>
    <w:rsid w:val="008667A1"/>
    <w:rsid w:val="00866913"/>
    <w:rsid w:val="00866AE6"/>
    <w:rsid w:val="00866EC2"/>
    <w:rsid w:val="00866FC6"/>
    <w:rsid w:val="00866FE1"/>
    <w:rsid w:val="00867542"/>
    <w:rsid w:val="00867967"/>
    <w:rsid w:val="00867A55"/>
    <w:rsid w:val="00871437"/>
    <w:rsid w:val="0087276A"/>
    <w:rsid w:val="00873257"/>
    <w:rsid w:val="00874110"/>
    <w:rsid w:val="00874318"/>
    <w:rsid w:val="0087436D"/>
    <w:rsid w:val="00874A85"/>
    <w:rsid w:val="00874AA9"/>
    <w:rsid w:val="00874D4C"/>
    <w:rsid w:val="0087532F"/>
    <w:rsid w:val="008753C1"/>
    <w:rsid w:val="00875547"/>
    <w:rsid w:val="00876039"/>
    <w:rsid w:val="00876186"/>
    <w:rsid w:val="0087696B"/>
    <w:rsid w:val="0087701D"/>
    <w:rsid w:val="00880BF3"/>
    <w:rsid w:val="0088231B"/>
    <w:rsid w:val="00882325"/>
    <w:rsid w:val="00883461"/>
    <w:rsid w:val="00884073"/>
    <w:rsid w:val="008850FC"/>
    <w:rsid w:val="00885D50"/>
    <w:rsid w:val="00886126"/>
    <w:rsid w:val="00886515"/>
    <w:rsid w:val="00886977"/>
    <w:rsid w:val="00886B21"/>
    <w:rsid w:val="00886FF1"/>
    <w:rsid w:val="00887DAF"/>
    <w:rsid w:val="00890291"/>
    <w:rsid w:val="00890411"/>
    <w:rsid w:val="00890C3E"/>
    <w:rsid w:val="00890D58"/>
    <w:rsid w:val="00890F0A"/>
    <w:rsid w:val="00890F41"/>
    <w:rsid w:val="00891255"/>
    <w:rsid w:val="00891ECF"/>
    <w:rsid w:val="00892CB5"/>
    <w:rsid w:val="00893633"/>
    <w:rsid w:val="00893C3E"/>
    <w:rsid w:val="008961CE"/>
    <w:rsid w:val="00896CE7"/>
    <w:rsid w:val="008972F9"/>
    <w:rsid w:val="008A00FF"/>
    <w:rsid w:val="008A05DA"/>
    <w:rsid w:val="008A1725"/>
    <w:rsid w:val="008A2A3F"/>
    <w:rsid w:val="008A2C99"/>
    <w:rsid w:val="008A3724"/>
    <w:rsid w:val="008A4899"/>
    <w:rsid w:val="008A4B89"/>
    <w:rsid w:val="008A4ED3"/>
    <w:rsid w:val="008A6152"/>
    <w:rsid w:val="008A68D2"/>
    <w:rsid w:val="008A7F63"/>
    <w:rsid w:val="008B01CA"/>
    <w:rsid w:val="008B03FD"/>
    <w:rsid w:val="008B0BFA"/>
    <w:rsid w:val="008B0D93"/>
    <w:rsid w:val="008B0ED0"/>
    <w:rsid w:val="008B1570"/>
    <w:rsid w:val="008B262C"/>
    <w:rsid w:val="008B29BC"/>
    <w:rsid w:val="008B2A83"/>
    <w:rsid w:val="008B2AFB"/>
    <w:rsid w:val="008B370A"/>
    <w:rsid w:val="008B3DA4"/>
    <w:rsid w:val="008B3E45"/>
    <w:rsid w:val="008B4075"/>
    <w:rsid w:val="008B4AED"/>
    <w:rsid w:val="008B4E6F"/>
    <w:rsid w:val="008B6378"/>
    <w:rsid w:val="008B6E8D"/>
    <w:rsid w:val="008B6EAD"/>
    <w:rsid w:val="008B70DC"/>
    <w:rsid w:val="008B7CC9"/>
    <w:rsid w:val="008B7E57"/>
    <w:rsid w:val="008B7FF7"/>
    <w:rsid w:val="008C1149"/>
    <w:rsid w:val="008C29FB"/>
    <w:rsid w:val="008C3565"/>
    <w:rsid w:val="008C4059"/>
    <w:rsid w:val="008C4495"/>
    <w:rsid w:val="008C4870"/>
    <w:rsid w:val="008C4C29"/>
    <w:rsid w:val="008C501D"/>
    <w:rsid w:val="008C6889"/>
    <w:rsid w:val="008C6DB1"/>
    <w:rsid w:val="008C700E"/>
    <w:rsid w:val="008C701D"/>
    <w:rsid w:val="008C7681"/>
    <w:rsid w:val="008D002A"/>
    <w:rsid w:val="008D04FE"/>
    <w:rsid w:val="008D07D8"/>
    <w:rsid w:val="008D0C56"/>
    <w:rsid w:val="008D0CE3"/>
    <w:rsid w:val="008D1753"/>
    <w:rsid w:val="008D1B93"/>
    <w:rsid w:val="008D272A"/>
    <w:rsid w:val="008D2D2A"/>
    <w:rsid w:val="008D2D39"/>
    <w:rsid w:val="008D2F5C"/>
    <w:rsid w:val="008D3341"/>
    <w:rsid w:val="008D351C"/>
    <w:rsid w:val="008D6875"/>
    <w:rsid w:val="008D6E48"/>
    <w:rsid w:val="008D70E9"/>
    <w:rsid w:val="008D71CE"/>
    <w:rsid w:val="008D7FF8"/>
    <w:rsid w:val="008E0281"/>
    <w:rsid w:val="008E0567"/>
    <w:rsid w:val="008E068A"/>
    <w:rsid w:val="008E0CC5"/>
    <w:rsid w:val="008E22BC"/>
    <w:rsid w:val="008E271A"/>
    <w:rsid w:val="008E2C17"/>
    <w:rsid w:val="008E455C"/>
    <w:rsid w:val="008E47B6"/>
    <w:rsid w:val="008E48D1"/>
    <w:rsid w:val="008E4EEB"/>
    <w:rsid w:val="008E5080"/>
    <w:rsid w:val="008E5623"/>
    <w:rsid w:val="008E582E"/>
    <w:rsid w:val="008E5C96"/>
    <w:rsid w:val="008E6641"/>
    <w:rsid w:val="008E7081"/>
    <w:rsid w:val="008E7156"/>
    <w:rsid w:val="008F0D2B"/>
    <w:rsid w:val="008F1F17"/>
    <w:rsid w:val="008F24A2"/>
    <w:rsid w:val="008F3301"/>
    <w:rsid w:val="008F371F"/>
    <w:rsid w:val="008F392C"/>
    <w:rsid w:val="008F3BE0"/>
    <w:rsid w:val="008F5407"/>
    <w:rsid w:val="008F5493"/>
    <w:rsid w:val="008F6310"/>
    <w:rsid w:val="008F6798"/>
    <w:rsid w:val="008F6954"/>
    <w:rsid w:val="008F73DE"/>
    <w:rsid w:val="008F7837"/>
    <w:rsid w:val="008F7913"/>
    <w:rsid w:val="0090047E"/>
    <w:rsid w:val="009012FE"/>
    <w:rsid w:val="00901B60"/>
    <w:rsid w:val="009021A6"/>
    <w:rsid w:val="00902441"/>
    <w:rsid w:val="00902930"/>
    <w:rsid w:val="009041F9"/>
    <w:rsid w:val="00904793"/>
    <w:rsid w:val="00904A06"/>
    <w:rsid w:val="00904CBF"/>
    <w:rsid w:val="00904E0D"/>
    <w:rsid w:val="0090517D"/>
    <w:rsid w:val="0090611D"/>
    <w:rsid w:val="009064D0"/>
    <w:rsid w:val="0090679A"/>
    <w:rsid w:val="0090697F"/>
    <w:rsid w:val="00906BAC"/>
    <w:rsid w:val="00906D44"/>
    <w:rsid w:val="00907181"/>
    <w:rsid w:val="009073C1"/>
    <w:rsid w:val="00907859"/>
    <w:rsid w:val="0090790F"/>
    <w:rsid w:val="00907940"/>
    <w:rsid w:val="00910476"/>
    <w:rsid w:val="00910F2A"/>
    <w:rsid w:val="00911AE3"/>
    <w:rsid w:val="00912001"/>
    <w:rsid w:val="0091225D"/>
    <w:rsid w:val="009122E4"/>
    <w:rsid w:val="00912C60"/>
    <w:rsid w:val="00913357"/>
    <w:rsid w:val="009133C1"/>
    <w:rsid w:val="009143E9"/>
    <w:rsid w:val="00914421"/>
    <w:rsid w:val="00914A58"/>
    <w:rsid w:val="00915F74"/>
    <w:rsid w:val="00916F32"/>
    <w:rsid w:val="00917371"/>
    <w:rsid w:val="00917C70"/>
    <w:rsid w:val="00917C80"/>
    <w:rsid w:val="00920A63"/>
    <w:rsid w:val="00920D74"/>
    <w:rsid w:val="009210E5"/>
    <w:rsid w:val="00921104"/>
    <w:rsid w:val="00921120"/>
    <w:rsid w:val="00921141"/>
    <w:rsid w:val="009218C0"/>
    <w:rsid w:val="00922FED"/>
    <w:rsid w:val="00923043"/>
    <w:rsid w:val="00923E5A"/>
    <w:rsid w:val="009241FE"/>
    <w:rsid w:val="0092429C"/>
    <w:rsid w:val="00924AA1"/>
    <w:rsid w:val="00924CFD"/>
    <w:rsid w:val="00924F21"/>
    <w:rsid w:val="009251D2"/>
    <w:rsid w:val="009252F7"/>
    <w:rsid w:val="00925CAE"/>
    <w:rsid w:val="00925DAF"/>
    <w:rsid w:val="00926524"/>
    <w:rsid w:val="009267EB"/>
    <w:rsid w:val="00926BAB"/>
    <w:rsid w:val="00926DCB"/>
    <w:rsid w:val="00927027"/>
    <w:rsid w:val="0092789F"/>
    <w:rsid w:val="00927C47"/>
    <w:rsid w:val="00930224"/>
    <w:rsid w:val="00930BC3"/>
    <w:rsid w:val="009311A4"/>
    <w:rsid w:val="009313C4"/>
    <w:rsid w:val="0093167B"/>
    <w:rsid w:val="009317B7"/>
    <w:rsid w:val="00931938"/>
    <w:rsid w:val="00932A97"/>
    <w:rsid w:val="00932C9D"/>
    <w:rsid w:val="009339B6"/>
    <w:rsid w:val="009339E7"/>
    <w:rsid w:val="00933D8C"/>
    <w:rsid w:val="00934105"/>
    <w:rsid w:val="00934D01"/>
    <w:rsid w:val="00934E55"/>
    <w:rsid w:val="00935941"/>
    <w:rsid w:val="0093596E"/>
    <w:rsid w:val="00935D1D"/>
    <w:rsid w:val="0093623A"/>
    <w:rsid w:val="00936433"/>
    <w:rsid w:val="00936B15"/>
    <w:rsid w:val="0093738E"/>
    <w:rsid w:val="009375DF"/>
    <w:rsid w:val="009376E2"/>
    <w:rsid w:val="00937AB0"/>
    <w:rsid w:val="0094066A"/>
    <w:rsid w:val="00940AC4"/>
    <w:rsid w:val="00940E12"/>
    <w:rsid w:val="00941549"/>
    <w:rsid w:val="00941BAC"/>
    <w:rsid w:val="00941D4C"/>
    <w:rsid w:val="0094253C"/>
    <w:rsid w:val="00942575"/>
    <w:rsid w:val="00942F49"/>
    <w:rsid w:val="00943AEE"/>
    <w:rsid w:val="00943B25"/>
    <w:rsid w:val="00944662"/>
    <w:rsid w:val="0094483B"/>
    <w:rsid w:val="0094496F"/>
    <w:rsid w:val="0094642E"/>
    <w:rsid w:val="0094680A"/>
    <w:rsid w:val="00946A9E"/>
    <w:rsid w:val="00946DAA"/>
    <w:rsid w:val="009471C0"/>
    <w:rsid w:val="00947F6E"/>
    <w:rsid w:val="00950627"/>
    <w:rsid w:val="009506E5"/>
    <w:rsid w:val="00950F45"/>
    <w:rsid w:val="00952594"/>
    <w:rsid w:val="00953675"/>
    <w:rsid w:val="00953FDE"/>
    <w:rsid w:val="009542E2"/>
    <w:rsid w:val="00954C77"/>
    <w:rsid w:val="009557E0"/>
    <w:rsid w:val="00955B4D"/>
    <w:rsid w:val="00955C98"/>
    <w:rsid w:val="00955DE5"/>
    <w:rsid w:val="009565C7"/>
    <w:rsid w:val="00956DBE"/>
    <w:rsid w:val="00956F5C"/>
    <w:rsid w:val="009570A2"/>
    <w:rsid w:val="00957E21"/>
    <w:rsid w:val="00957E34"/>
    <w:rsid w:val="009606C7"/>
    <w:rsid w:val="009607E4"/>
    <w:rsid w:val="009609F8"/>
    <w:rsid w:val="00960C8B"/>
    <w:rsid w:val="00960F61"/>
    <w:rsid w:val="00961118"/>
    <w:rsid w:val="0096154D"/>
    <w:rsid w:val="009621C8"/>
    <w:rsid w:val="009628FF"/>
    <w:rsid w:val="00962DA6"/>
    <w:rsid w:val="0096407B"/>
    <w:rsid w:val="009643B5"/>
    <w:rsid w:val="00965D11"/>
    <w:rsid w:val="009665D9"/>
    <w:rsid w:val="00966B6C"/>
    <w:rsid w:val="0096708C"/>
    <w:rsid w:val="009678ED"/>
    <w:rsid w:val="00967983"/>
    <w:rsid w:val="00970687"/>
    <w:rsid w:val="00970B4D"/>
    <w:rsid w:val="0097165A"/>
    <w:rsid w:val="0097174D"/>
    <w:rsid w:val="00972B68"/>
    <w:rsid w:val="00972E7A"/>
    <w:rsid w:val="00973582"/>
    <w:rsid w:val="009735D8"/>
    <w:rsid w:val="00973689"/>
    <w:rsid w:val="00973913"/>
    <w:rsid w:val="00973CB9"/>
    <w:rsid w:val="009744BA"/>
    <w:rsid w:val="009749AA"/>
    <w:rsid w:val="00975108"/>
    <w:rsid w:val="00975154"/>
    <w:rsid w:val="009759F2"/>
    <w:rsid w:val="00976AF2"/>
    <w:rsid w:val="00976E5A"/>
    <w:rsid w:val="009800BC"/>
    <w:rsid w:val="0098097D"/>
    <w:rsid w:val="009813A3"/>
    <w:rsid w:val="00981525"/>
    <w:rsid w:val="00981638"/>
    <w:rsid w:val="009828A9"/>
    <w:rsid w:val="00982CA5"/>
    <w:rsid w:val="009833E5"/>
    <w:rsid w:val="00983D1C"/>
    <w:rsid w:val="009848DB"/>
    <w:rsid w:val="00984CCD"/>
    <w:rsid w:val="0098586B"/>
    <w:rsid w:val="00985D0B"/>
    <w:rsid w:val="00985F61"/>
    <w:rsid w:val="00985FC2"/>
    <w:rsid w:val="009860EC"/>
    <w:rsid w:val="0098651D"/>
    <w:rsid w:val="0098712D"/>
    <w:rsid w:val="00987237"/>
    <w:rsid w:val="00987A47"/>
    <w:rsid w:val="00987BC5"/>
    <w:rsid w:val="00987E6E"/>
    <w:rsid w:val="00990A4F"/>
    <w:rsid w:val="009917FB"/>
    <w:rsid w:val="00991A2B"/>
    <w:rsid w:val="00992561"/>
    <w:rsid w:val="00992B69"/>
    <w:rsid w:val="00993140"/>
    <w:rsid w:val="00993297"/>
    <w:rsid w:val="00993E13"/>
    <w:rsid w:val="00994F1E"/>
    <w:rsid w:val="00995122"/>
    <w:rsid w:val="009951AA"/>
    <w:rsid w:val="009952DF"/>
    <w:rsid w:val="009953C4"/>
    <w:rsid w:val="009957F6"/>
    <w:rsid w:val="009963BE"/>
    <w:rsid w:val="009965B9"/>
    <w:rsid w:val="009970C7"/>
    <w:rsid w:val="00997393"/>
    <w:rsid w:val="0099777B"/>
    <w:rsid w:val="009977D5"/>
    <w:rsid w:val="00997A4A"/>
    <w:rsid w:val="00997EB1"/>
    <w:rsid w:val="009A07E2"/>
    <w:rsid w:val="009A0CA1"/>
    <w:rsid w:val="009A0E77"/>
    <w:rsid w:val="009A147F"/>
    <w:rsid w:val="009A2AF2"/>
    <w:rsid w:val="009A30F7"/>
    <w:rsid w:val="009A31DF"/>
    <w:rsid w:val="009A341A"/>
    <w:rsid w:val="009A360C"/>
    <w:rsid w:val="009A37B7"/>
    <w:rsid w:val="009A3B71"/>
    <w:rsid w:val="009A3FB8"/>
    <w:rsid w:val="009A4681"/>
    <w:rsid w:val="009A4B79"/>
    <w:rsid w:val="009A50DA"/>
    <w:rsid w:val="009A5A15"/>
    <w:rsid w:val="009A5BEB"/>
    <w:rsid w:val="009A5C65"/>
    <w:rsid w:val="009A6941"/>
    <w:rsid w:val="009A6948"/>
    <w:rsid w:val="009A6CD7"/>
    <w:rsid w:val="009A7836"/>
    <w:rsid w:val="009B03A3"/>
    <w:rsid w:val="009B0408"/>
    <w:rsid w:val="009B0E86"/>
    <w:rsid w:val="009B1B51"/>
    <w:rsid w:val="009B1EBD"/>
    <w:rsid w:val="009B2202"/>
    <w:rsid w:val="009B24CE"/>
    <w:rsid w:val="009B4111"/>
    <w:rsid w:val="009B421F"/>
    <w:rsid w:val="009B44B7"/>
    <w:rsid w:val="009B52EA"/>
    <w:rsid w:val="009B55D6"/>
    <w:rsid w:val="009B5765"/>
    <w:rsid w:val="009B63C6"/>
    <w:rsid w:val="009B754E"/>
    <w:rsid w:val="009C01FF"/>
    <w:rsid w:val="009C07F8"/>
    <w:rsid w:val="009C1875"/>
    <w:rsid w:val="009C1D63"/>
    <w:rsid w:val="009C2092"/>
    <w:rsid w:val="009C2591"/>
    <w:rsid w:val="009C26DA"/>
    <w:rsid w:val="009C2EBB"/>
    <w:rsid w:val="009C2F11"/>
    <w:rsid w:val="009C2F9E"/>
    <w:rsid w:val="009C3B8B"/>
    <w:rsid w:val="009C3DD3"/>
    <w:rsid w:val="009C3F5D"/>
    <w:rsid w:val="009C4170"/>
    <w:rsid w:val="009C439E"/>
    <w:rsid w:val="009C44D1"/>
    <w:rsid w:val="009C4908"/>
    <w:rsid w:val="009C4DB6"/>
    <w:rsid w:val="009C4E9D"/>
    <w:rsid w:val="009C534A"/>
    <w:rsid w:val="009C5778"/>
    <w:rsid w:val="009C64E0"/>
    <w:rsid w:val="009C6717"/>
    <w:rsid w:val="009C6B4A"/>
    <w:rsid w:val="009C7513"/>
    <w:rsid w:val="009C78D4"/>
    <w:rsid w:val="009C7D08"/>
    <w:rsid w:val="009D073B"/>
    <w:rsid w:val="009D082D"/>
    <w:rsid w:val="009D1C7C"/>
    <w:rsid w:val="009D223B"/>
    <w:rsid w:val="009D263E"/>
    <w:rsid w:val="009D44D3"/>
    <w:rsid w:val="009D5439"/>
    <w:rsid w:val="009D5686"/>
    <w:rsid w:val="009D5E3C"/>
    <w:rsid w:val="009D65EA"/>
    <w:rsid w:val="009D6AA8"/>
    <w:rsid w:val="009D70B2"/>
    <w:rsid w:val="009E08F4"/>
    <w:rsid w:val="009E0D2F"/>
    <w:rsid w:val="009E1258"/>
    <w:rsid w:val="009E12A8"/>
    <w:rsid w:val="009E1D15"/>
    <w:rsid w:val="009E201E"/>
    <w:rsid w:val="009E238C"/>
    <w:rsid w:val="009E23CB"/>
    <w:rsid w:val="009E3D6B"/>
    <w:rsid w:val="009E3F8A"/>
    <w:rsid w:val="009E3FB5"/>
    <w:rsid w:val="009E479D"/>
    <w:rsid w:val="009E4C5E"/>
    <w:rsid w:val="009E55C9"/>
    <w:rsid w:val="009E5684"/>
    <w:rsid w:val="009E5B77"/>
    <w:rsid w:val="009E7237"/>
    <w:rsid w:val="009E73F6"/>
    <w:rsid w:val="009E7AA0"/>
    <w:rsid w:val="009F0B9E"/>
    <w:rsid w:val="009F1F4E"/>
    <w:rsid w:val="009F2749"/>
    <w:rsid w:val="009F27F3"/>
    <w:rsid w:val="009F28E5"/>
    <w:rsid w:val="009F3DB7"/>
    <w:rsid w:val="009F42A2"/>
    <w:rsid w:val="009F4727"/>
    <w:rsid w:val="009F4A4B"/>
    <w:rsid w:val="009F5F24"/>
    <w:rsid w:val="009F606B"/>
    <w:rsid w:val="009F6104"/>
    <w:rsid w:val="009F644D"/>
    <w:rsid w:val="009F7027"/>
    <w:rsid w:val="009F7074"/>
    <w:rsid w:val="009F72A1"/>
    <w:rsid w:val="009F774A"/>
    <w:rsid w:val="009F790B"/>
    <w:rsid w:val="009F7F4A"/>
    <w:rsid w:val="00A0044B"/>
    <w:rsid w:val="00A00885"/>
    <w:rsid w:val="00A00DAF"/>
    <w:rsid w:val="00A0127A"/>
    <w:rsid w:val="00A01283"/>
    <w:rsid w:val="00A022B8"/>
    <w:rsid w:val="00A02932"/>
    <w:rsid w:val="00A02EBE"/>
    <w:rsid w:val="00A02F2C"/>
    <w:rsid w:val="00A03851"/>
    <w:rsid w:val="00A03F1D"/>
    <w:rsid w:val="00A04FC1"/>
    <w:rsid w:val="00A04FD3"/>
    <w:rsid w:val="00A054F6"/>
    <w:rsid w:val="00A056B5"/>
    <w:rsid w:val="00A05E62"/>
    <w:rsid w:val="00A05E89"/>
    <w:rsid w:val="00A06667"/>
    <w:rsid w:val="00A069EA"/>
    <w:rsid w:val="00A06A67"/>
    <w:rsid w:val="00A101B0"/>
    <w:rsid w:val="00A105ED"/>
    <w:rsid w:val="00A11589"/>
    <w:rsid w:val="00A115C2"/>
    <w:rsid w:val="00A1166E"/>
    <w:rsid w:val="00A11DF3"/>
    <w:rsid w:val="00A11F27"/>
    <w:rsid w:val="00A12AB2"/>
    <w:rsid w:val="00A12C4D"/>
    <w:rsid w:val="00A13073"/>
    <w:rsid w:val="00A1314F"/>
    <w:rsid w:val="00A134BC"/>
    <w:rsid w:val="00A13631"/>
    <w:rsid w:val="00A13C57"/>
    <w:rsid w:val="00A13E3B"/>
    <w:rsid w:val="00A13FEF"/>
    <w:rsid w:val="00A1458A"/>
    <w:rsid w:val="00A146F3"/>
    <w:rsid w:val="00A14AD5"/>
    <w:rsid w:val="00A14D8B"/>
    <w:rsid w:val="00A17B42"/>
    <w:rsid w:val="00A17ECC"/>
    <w:rsid w:val="00A20199"/>
    <w:rsid w:val="00A209F1"/>
    <w:rsid w:val="00A21160"/>
    <w:rsid w:val="00A21265"/>
    <w:rsid w:val="00A22078"/>
    <w:rsid w:val="00A22294"/>
    <w:rsid w:val="00A228A6"/>
    <w:rsid w:val="00A22CB0"/>
    <w:rsid w:val="00A235A6"/>
    <w:rsid w:val="00A23691"/>
    <w:rsid w:val="00A2394D"/>
    <w:rsid w:val="00A251DB"/>
    <w:rsid w:val="00A253FB"/>
    <w:rsid w:val="00A25B85"/>
    <w:rsid w:val="00A25BD0"/>
    <w:rsid w:val="00A26C64"/>
    <w:rsid w:val="00A276AD"/>
    <w:rsid w:val="00A27B67"/>
    <w:rsid w:val="00A302E2"/>
    <w:rsid w:val="00A30FE1"/>
    <w:rsid w:val="00A3149B"/>
    <w:rsid w:val="00A31906"/>
    <w:rsid w:val="00A319E4"/>
    <w:rsid w:val="00A319F9"/>
    <w:rsid w:val="00A31DE1"/>
    <w:rsid w:val="00A32E07"/>
    <w:rsid w:val="00A33F1C"/>
    <w:rsid w:val="00A34B56"/>
    <w:rsid w:val="00A35020"/>
    <w:rsid w:val="00A350D1"/>
    <w:rsid w:val="00A35654"/>
    <w:rsid w:val="00A35D89"/>
    <w:rsid w:val="00A36E80"/>
    <w:rsid w:val="00A370ED"/>
    <w:rsid w:val="00A37921"/>
    <w:rsid w:val="00A37D9B"/>
    <w:rsid w:val="00A37E6D"/>
    <w:rsid w:val="00A41E2F"/>
    <w:rsid w:val="00A41F13"/>
    <w:rsid w:val="00A41FC5"/>
    <w:rsid w:val="00A42382"/>
    <w:rsid w:val="00A4248A"/>
    <w:rsid w:val="00A424A3"/>
    <w:rsid w:val="00A426AB"/>
    <w:rsid w:val="00A42AF3"/>
    <w:rsid w:val="00A42CD3"/>
    <w:rsid w:val="00A43BD6"/>
    <w:rsid w:val="00A442C1"/>
    <w:rsid w:val="00A443D0"/>
    <w:rsid w:val="00A4463F"/>
    <w:rsid w:val="00A448BF"/>
    <w:rsid w:val="00A453DE"/>
    <w:rsid w:val="00A45501"/>
    <w:rsid w:val="00A45AB2"/>
    <w:rsid w:val="00A46B6C"/>
    <w:rsid w:val="00A47EF7"/>
    <w:rsid w:val="00A50503"/>
    <w:rsid w:val="00A50570"/>
    <w:rsid w:val="00A50F47"/>
    <w:rsid w:val="00A51825"/>
    <w:rsid w:val="00A519F0"/>
    <w:rsid w:val="00A51B5C"/>
    <w:rsid w:val="00A523BF"/>
    <w:rsid w:val="00A524CA"/>
    <w:rsid w:val="00A529A4"/>
    <w:rsid w:val="00A53204"/>
    <w:rsid w:val="00A54048"/>
    <w:rsid w:val="00A5410E"/>
    <w:rsid w:val="00A54669"/>
    <w:rsid w:val="00A55D77"/>
    <w:rsid w:val="00A56E47"/>
    <w:rsid w:val="00A60DE0"/>
    <w:rsid w:val="00A61653"/>
    <w:rsid w:val="00A6253C"/>
    <w:rsid w:val="00A62C2F"/>
    <w:rsid w:val="00A62C36"/>
    <w:rsid w:val="00A6334A"/>
    <w:rsid w:val="00A63556"/>
    <w:rsid w:val="00A637A4"/>
    <w:rsid w:val="00A638BE"/>
    <w:rsid w:val="00A63B37"/>
    <w:rsid w:val="00A63E5A"/>
    <w:rsid w:val="00A641A1"/>
    <w:rsid w:val="00A642FE"/>
    <w:rsid w:val="00A6499D"/>
    <w:rsid w:val="00A6522B"/>
    <w:rsid w:val="00A6665F"/>
    <w:rsid w:val="00A6710E"/>
    <w:rsid w:val="00A678A6"/>
    <w:rsid w:val="00A70002"/>
    <w:rsid w:val="00A705E9"/>
    <w:rsid w:val="00A70F8A"/>
    <w:rsid w:val="00A714F0"/>
    <w:rsid w:val="00A71AAC"/>
    <w:rsid w:val="00A731CE"/>
    <w:rsid w:val="00A73A98"/>
    <w:rsid w:val="00A740D7"/>
    <w:rsid w:val="00A745F2"/>
    <w:rsid w:val="00A74C00"/>
    <w:rsid w:val="00A754F7"/>
    <w:rsid w:val="00A7560E"/>
    <w:rsid w:val="00A75C7D"/>
    <w:rsid w:val="00A76459"/>
    <w:rsid w:val="00A775B0"/>
    <w:rsid w:val="00A77B3D"/>
    <w:rsid w:val="00A804C3"/>
    <w:rsid w:val="00A81968"/>
    <w:rsid w:val="00A81B2B"/>
    <w:rsid w:val="00A81D03"/>
    <w:rsid w:val="00A82046"/>
    <w:rsid w:val="00A824ED"/>
    <w:rsid w:val="00A82D19"/>
    <w:rsid w:val="00A83006"/>
    <w:rsid w:val="00A83ECF"/>
    <w:rsid w:val="00A840C3"/>
    <w:rsid w:val="00A84887"/>
    <w:rsid w:val="00A84C20"/>
    <w:rsid w:val="00A853C5"/>
    <w:rsid w:val="00A8597B"/>
    <w:rsid w:val="00A85D35"/>
    <w:rsid w:val="00A86835"/>
    <w:rsid w:val="00A86D81"/>
    <w:rsid w:val="00A8700C"/>
    <w:rsid w:val="00A871BA"/>
    <w:rsid w:val="00A914F9"/>
    <w:rsid w:val="00A92516"/>
    <w:rsid w:val="00A92E6E"/>
    <w:rsid w:val="00A93888"/>
    <w:rsid w:val="00A938BF"/>
    <w:rsid w:val="00A93AB8"/>
    <w:rsid w:val="00A94965"/>
    <w:rsid w:val="00A9554A"/>
    <w:rsid w:val="00A963DE"/>
    <w:rsid w:val="00AA0300"/>
    <w:rsid w:val="00AA0D0C"/>
    <w:rsid w:val="00AA1F98"/>
    <w:rsid w:val="00AA29CD"/>
    <w:rsid w:val="00AA2C77"/>
    <w:rsid w:val="00AA2D8E"/>
    <w:rsid w:val="00AA31D1"/>
    <w:rsid w:val="00AA3642"/>
    <w:rsid w:val="00AA4337"/>
    <w:rsid w:val="00AA5265"/>
    <w:rsid w:val="00AA5CAC"/>
    <w:rsid w:val="00AA60D5"/>
    <w:rsid w:val="00AA64CB"/>
    <w:rsid w:val="00AA71E0"/>
    <w:rsid w:val="00AA7BF8"/>
    <w:rsid w:val="00AB00E9"/>
    <w:rsid w:val="00AB025E"/>
    <w:rsid w:val="00AB0951"/>
    <w:rsid w:val="00AB0B4D"/>
    <w:rsid w:val="00AB0E88"/>
    <w:rsid w:val="00AB234D"/>
    <w:rsid w:val="00AB3885"/>
    <w:rsid w:val="00AB4DE0"/>
    <w:rsid w:val="00AB5789"/>
    <w:rsid w:val="00AB6212"/>
    <w:rsid w:val="00AB6365"/>
    <w:rsid w:val="00AB67CE"/>
    <w:rsid w:val="00AB69E4"/>
    <w:rsid w:val="00AB7124"/>
    <w:rsid w:val="00AB740C"/>
    <w:rsid w:val="00AB7635"/>
    <w:rsid w:val="00AB7886"/>
    <w:rsid w:val="00AB7C7C"/>
    <w:rsid w:val="00AC00FE"/>
    <w:rsid w:val="00AC0AEF"/>
    <w:rsid w:val="00AC0EB5"/>
    <w:rsid w:val="00AC178D"/>
    <w:rsid w:val="00AC2672"/>
    <w:rsid w:val="00AC2B9C"/>
    <w:rsid w:val="00AC376E"/>
    <w:rsid w:val="00AC3B9B"/>
    <w:rsid w:val="00AC3BEC"/>
    <w:rsid w:val="00AC3C5D"/>
    <w:rsid w:val="00AC4931"/>
    <w:rsid w:val="00AC51CF"/>
    <w:rsid w:val="00AC5DAC"/>
    <w:rsid w:val="00AC64D9"/>
    <w:rsid w:val="00AC6E15"/>
    <w:rsid w:val="00AC7B9F"/>
    <w:rsid w:val="00AD0DDD"/>
    <w:rsid w:val="00AD125C"/>
    <w:rsid w:val="00AD13DA"/>
    <w:rsid w:val="00AD148A"/>
    <w:rsid w:val="00AD1EAE"/>
    <w:rsid w:val="00AD1F8E"/>
    <w:rsid w:val="00AD257D"/>
    <w:rsid w:val="00AD2657"/>
    <w:rsid w:val="00AD35F5"/>
    <w:rsid w:val="00AD3681"/>
    <w:rsid w:val="00AD48E6"/>
    <w:rsid w:val="00AD49E1"/>
    <w:rsid w:val="00AD557A"/>
    <w:rsid w:val="00AD55BF"/>
    <w:rsid w:val="00AD56C9"/>
    <w:rsid w:val="00AD56EC"/>
    <w:rsid w:val="00AD59E1"/>
    <w:rsid w:val="00AD5C7C"/>
    <w:rsid w:val="00AD692C"/>
    <w:rsid w:val="00AD69A6"/>
    <w:rsid w:val="00AD6DA4"/>
    <w:rsid w:val="00AD6F4D"/>
    <w:rsid w:val="00AE0F88"/>
    <w:rsid w:val="00AE17D1"/>
    <w:rsid w:val="00AE196C"/>
    <w:rsid w:val="00AE1C89"/>
    <w:rsid w:val="00AE25DE"/>
    <w:rsid w:val="00AE2689"/>
    <w:rsid w:val="00AE4C4B"/>
    <w:rsid w:val="00AE4F59"/>
    <w:rsid w:val="00AE50A2"/>
    <w:rsid w:val="00AE5581"/>
    <w:rsid w:val="00AE5587"/>
    <w:rsid w:val="00AE5A43"/>
    <w:rsid w:val="00AF0E73"/>
    <w:rsid w:val="00AF11A5"/>
    <w:rsid w:val="00AF1408"/>
    <w:rsid w:val="00AF1449"/>
    <w:rsid w:val="00AF1F8F"/>
    <w:rsid w:val="00AF242B"/>
    <w:rsid w:val="00AF2DD8"/>
    <w:rsid w:val="00AF3C37"/>
    <w:rsid w:val="00AF4CAD"/>
    <w:rsid w:val="00AF4D57"/>
    <w:rsid w:val="00AF5401"/>
    <w:rsid w:val="00AF546F"/>
    <w:rsid w:val="00AF65C8"/>
    <w:rsid w:val="00AF68CF"/>
    <w:rsid w:val="00AF6B74"/>
    <w:rsid w:val="00AF6D0E"/>
    <w:rsid w:val="00AF7313"/>
    <w:rsid w:val="00AF731D"/>
    <w:rsid w:val="00AF79E9"/>
    <w:rsid w:val="00AF7CDE"/>
    <w:rsid w:val="00B00DE9"/>
    <w:rsid w:val="00B00F8F"/>
    <w:rsid w:val="00B0111C"/>
    <w:rsid w:val="00B017D5"/>
    <w:rsid w:val="00B03280"/>
    <w:rsid w:val="00B03F42"/>
    <w:rsid w:val="00B047BF"/>
    <w:rsid w:val="00B04977"/>
    <w:rsid w:val="00B04D55"/>
    <w:rsid w:val="00B04D90"/>
    <w:rsid w:val="00B04F25"/>
    <w:rsid w:val="00B05659"/>
    <w:rsid w:val="00B05DC1"/>
    <w:rsid w:val="00B06F47"/>
    <w:rsid w:val="00B073DF"/>
    <w:rsid w:val="00B07A47"/>
    <w:rsid w:val="00B07FC8"/>
    <w:rsid w:val="00B10531"/>
    <w:rsid w:val="00B10C18"/>
    <w:rsid w:val="00B113B5"/>
    <w:rsid w:val="00B114C5"/>
    <w:rsid w:val="00B116B0"/>
    <w:rsid w:val="00B119CC"/>
    <w:rsid w:val="00B1218B"/>
    <w:rsid w:val="00B124D4"/>
    <w:rsid w:val="00B12514"/>
    <w:rsid w:val="00B134C3"/>
    <w:rsid w:val="00B13B78"/>
    <w:rsid w:val="00B14031"/>
    <w:rsid w:val="00B142F9"/>
    <w:rsid w:val="00B147C6"/>
    <w:rsid w:val="00B160F7"/>
    <w:rsid w:val="00B16119"/>
    <w:rsid w:val="00B168CE"/>
    <w:rsid w:val="00B17457"/>
    <w:rsid w:val="00B200C6"/>
    <w:rsid w:val="00B2016C"/>
    <w:rsid w:val="00B20396"/>
    <w:rsid w:val="00B2137E"/>
    <w:rsid w:val="00B21447"/>
    <w:rsid w:val="00B21F0F"/>
    <w:rsid w:val="00B22713"/>
    <w:rsid w:val="00B22DAD"/>
    <w:rsid w:val="00B24000"/>
    <w:rsid w:val="00B268E6"/>
    <w:rsid w:val="00B26A11"/>
    <w:rsid w:val="00B2761C"/>
    <w:rsid w:val="00B30097"/>
    <w:rsid w:val="00B3051A"/>
    <w:rsid w:val="00B30601"/>
    <w:rsid w:val="00B31340"/>
    <w:rsid w:val="00B313AE"/>
    <w:rsid w:val="00B31667"/>
    <w:rsid w:val="00B31B5A"/>
    <w:rsid w:val="00B32255"/>
    <w:rsid w:val="00B32559"/>
    <w:rsid w:val="00B32567"/>
    <w:rsid w:val="00B32BF4"/>
    <w:rsid w:val="00B332F9"/>
    <w:rsid w:val="00B337F3"/>
    <w:rsid w:val="00B3422B"/>
    <w:rsid w:val="00B3432B"/>
    <w:rsid w:val="00B34E57"/>
    <w:rsid w:val="00B351D3"/>
    <w:rsid w:val="00B35DBD"/>
    <w:rsid w:val="00B35EBC"/>
    <w:rsid w:val="00B3650F"/>
    <w:rsid w:val="00B3684E"/>
    <w:rsid w:val="00B37816"/>
    <w:rsid w:val="00B3795B"/>
    <w:rsid w:val="00B40118"/>
    <w:rsid w:val="00B40370"/>
    <w:rsid w:val="00B416D6"/>
    <w:rsid w:val="00B419F8"/>
    <w:rsid w:val="00B42353"/>
    <w:rsid w:val="00B425C1"/>
    <w:rsid w:val="00B42984"/>
    <w:rsid w:val="00B42BE6"/>
    <w:rsid w:val="00B4493F"/>
    <w:rsid w:val="00B44C27"/>
    <w:rsid w:val="00B45D31"/>
    <w:rsid w:val="00B46931"/>
    <w:rsid w:val="00B46DB0"/>
    <w:rsid w:val="00B46F11"/>
    <w:rsid w:val="00B46F82"/>
    <w:rsid w:val="00B47484"/>
    <w:rsid w:val="00B4788F"/>
    <w:rsid w:val="00B5038A"/>
    <w:rsid w:val="00B5093F"/>
    <w:rsid w:val="00B50F9D"/>
    <w:rsid w:val="00B511E1"/>
    <w:rsid w:val="00B51687"/>
    <w:rsid w:val="00B5183F"/>
    <w:rsid w:val="00B51EB3"/>
    <w:rsid w:val="00B52153"/>
    <w:rsid w:val="00B524CC"/>
    <w:rsid w:val="00B52C06"/>
    <w:rsid w:val="00B52F6C"/>
    <w:rsid w:val="00B530C7"/>
    <w:rsid w:val="00B531BD"/>
    <w:rsid w:val="00B533EE"/>
    <w:rsid w:val="00B53557"/>
    <w:rsid w:val="00B544CC"/>
    <w:rsid w:val="00B545A3"/>
    <w:rsid w:val="00B54FBE"/>
    <w:rsid w:val="00B55AFA"/>
    <w:rsid w:val="00B55F42"/>
    <w:rsid w:val="00B56101"/>
    <w:rsid w:val="00B568CD"/>
    <w:rsid w:val="00B56C00"/>
    <w:rsid w:val="00B60ADC"/>
    <w:rsid w:val="00B61019"/>
    <w:rsid w:val="00B617D5"/>
    <w:rsid w:val="00B61D42"/>
    <w:rsid w:val="00B61D95"/>
    <w:rsid w:val="00B62EF0"/>
    <w:rsid w:val="00B63B63"/>
    <w:rsid w:val="00B64435"/>
    <w:rsid w:val="00B6534A"/>
    <w:rsid w:val="00B65708"/>
    <w:rsid w:val="00B65CEC"/>
    <w:rsid w:val="00B65F1E"/>
    <w:rsid w:val="00B66AE1"/>
    <w:rsid w:val="00B675BA"/>
    <w:rsid w:val="00B67861"/>
    <w:rsid w:val="00B67F39"/>
    <w:rsid w:val="00B701D8"/>
    <w:rsid w:val="00B70C67"/>
    <w:rsid w:val="00B719D9"/>
    <w:rsid w:val="00B72271"/>
    <w:rsid w:val="00B7249F"/>
    <w:rsid w:val="00B72808"/>
    <w:rsid w:val="00B7344B"/>
    <w:rsid w:val="00B73906"/>
    <w:rsid w:val="00B743C0"/>
    <w:rsid w:val="00B744DE"/>
    <w:rsid w:val="00B749D0"/>
    <w:rsid w:val="00B7586C"/>
    <w:rsid w:val="00B76113"/>
    <w:rsid w:val="00B76193"/>
    <w:rsid w:val="00B76273"/>
    <w:rsid w:val="00B763DE"/>
    <w:rsid w:val="00B764B0"/>
    <w:rsid w:val="00B77F93"/>
    <w:rsid w:val="00B8033B"/>
    <w:rsid w:val="00B803B8"/>
    <w:rsid w:val="00B80883"/>
    <w:rsid w:val="00B808B8"/>
    <w:rsid w:val="00B80ADE"/>
    <w:rsid w:val="00B819CB"/>
    <w:rsid w:val="00B824B0"/>
    <w:rsid w:val="00B824B9"/>
    <w:rsid w:val="00B82C26"/>
    <w:rsid w:val="00B83AEA"/>
    <w:rsid w:val="00B83FB8"/>
    <w:rsid w:val="00B84241"/>
    <w:rsid w:val="00B84A9F"/>
    <w:rsid w:val="00B84AC4"/>
    <w:rsid w:val="00B84EB1"/>
    <w:rsid w:val="00B85283"/>
    <w:rsid w:val="00B853B3"/>
    <w:rsid w:val="00B8540E"/>
    <w:rsid w:val="00B85735"/>
    <w:rsid w:val="00B85A31"/>
    <w:rsid w:val="00B85DFF"/>
    <w:rsid w:val="00B8729C"/>
    <w:rsid w:val="00B873A7"/>
    <w:rsid w:val="00B87465"/>
    <w:rsid w:val="00B90291"/>
    <w:rsid w:val="00B907B6"/>
    <w:rsid w:val="00B92373"/>
    <w:rsid w:val="00B92D9D"/>
    <w:rsid w:val="00B92E02"/>
    <w:rsid w:val="00B93B4D"/>
    <w:rsid w:val="00B93E70"/>
    <w:rsid w:val="00B94D80"/>
    <w:rsid w:val="00B94FE9"/>
    <w:rsid w:val="00B9534A"/>
    <w:rsid w:val="00B957D8"/>
    <w:rsid w:val="00B962B7"/>
    <w:rsid w:val="00B962D3"/>
    <w:rsid w:val="00B963A2"/>
    <w:rsid w:val="00B966A8"/>
    <w:rsid w:val="00B96EB8"/>
    <w:rsid w:val="00B96F8A"/>
    <w:rsid w:val="00BA00AB"/>
    <w:rsid w:val="00BA1B91"/>
    <w:rsid w:val="00BA2877"/>
    <w:rsid w:val="00BA2C05"/>
    <w:rsid w:val="00BA3379"/>
    <w:rsid w:val="00BA33E7"/>
    <w:rsid w:val="00BA3804"/>
    <w:rsid w:val="00BA39F6"/>
    <w:rsid w:val="00BA3DEA"/>
    <w:rsid w:val="00BA5829"/>
    <w:rsid w:val="00BA58F5"/>
    <w:rsid w:val="00BA6707"/>
    <w:rsid w:val="00BA6B9B"/>
    <w:rsid w:val="00BA7F07"/>
    <w:rsid w:val="00BB0FE7"/>
    <w:rsid w:val="00BB1324"/>
    <w:rsid w:val="00BB1EE0"/>
    <w:rsid w:val="00BB21A5"/>
    <w:rsid w:val="00BB25E8"/>
    <w:rsid w:val="00BB2FF0"/>
    <w:rsid w:val="00BB4960"/>
    <w:rsid w:val="00BB4AB3"/>
    <w:rsid w:val="00BB5B62"/>
    <w:rsid w:val="00BB5E73"/>
    <w:rsid w:val="00BB7121"/>
    <w:rsid w:val="00BB797C"/>
    <w:rsid w:val="00BC0182"/>
    <w:rsid w:val="00BC09EA"/>
    <w:rsid w:val="00BC0DE7"/>
    <w:rsid w:val="00BC10CE"/>
    <w:rsid w:val="00BC1222"/>
    <w:rsid w:val="00BC13FF"/>
    <w:rsid w:val="00BC2B28"/>
    <w:rsid w:val="00BC321A"/>
    <w:rsid w:val="00BC3947"/>
    <w:rsid w:val="00BC3D24"/>
    <w:rsid w:val="00BC3F32"/>
    <w:rsid w:val="00BC4065"/>
    <w:rsid w:val="00BC4D03"/>
    <w:rsid w:val="00BC62CC"/>
    <w:rsid w:val="00BC646F"/>
    <w:rsid w:val="00BC67B9"/>
    <w:rsid w:val="00BC69AD"/>
    <w:rsid w:val="00BC6AB7"/>
    <w:rsid w:val="00BC6FAB"/>
    <w:rsid w:val="00BC7A2B"/>
    <w:rsid w:val="00BC7C65"/>
    <w:rsid w:val="00BC7F2C"/>
    <w:rsid w:val="00BD02A4"/>
    <w:rsid w:val="00BD0E93"/>
    <w:rsid w:val="00BD17E2"/>
    <w:rsid w:val="00BD1959"/>
    <w:rsid w:val="00BD246F"/>
    <w:rsid w:val="00BD24DD"/>
    <w:rsid w:val="00BD2B68"/>
    <w:rsid w:val="00BD3940"/>
    <w:rsid w:val="00BD457E"/>
    <w:rsid w:val="00BD5283"/>
    <w:rsid w:val="00BD5F00"/>
    <w:rsid w:val="00BD5FE8"/>
    <w:rsid w:val="00BD6406"/>
    <w:rsid w:val="00BD65E1"/>
    <w:rsid w:val="00BD71B2"/>
    <w:rsid w:val="00BD7932"/>
    <w:rsid w:val="00BD7941"/>
    <w:rsid w:val="00BD7D50"/>
    <w:rsid w:val="00BD7FC7"/>
    <w:rsid w:val="00BE05D5"/>
    <w:rsid w:val="00BE06E6"/>
    <w:rsid w:val="00BE088D"/>
    <w:rsid w:val="00BE0A8E"/>
    <w:rsid w:val="00BE0B62"/>
    <w:rsid w:val="00BE1229"/>
    <w:rsid w:val="00BE1FCF"/>
    <w:rsid w:val="00BE2802"/>
    <w:rsid w:val="00BE2B67"/>
    <w:rsid w:val="00BE2F89"/>
    <w:rsid w:val="00BE3998"/>
    <w:rsid w:val="00BE459F"/>
    <w:rsid w:val="00BE470C"/>
    <w:rsid w:val="00BE51F7"/>
    <w:rsid w:val="00BE648C"/>
    <w:rsid w:val="00BE6A8A"/>
    <w:rsid w:val="00BE6CFD"/>
    <w:rsid w:val="00BF129C"/>
    <w:rsid w:val="00BF1D1B"/>
    <w:rsid w:val="00BF2015"/>
    <w:rsid w:val="00BF207B"/>
    <w:rsid w:val="00BF20C6"/>
    <w:rsid w:val="00BF2D02"/>
    <w:rsid w:val="00BF302A"/>
    <w:rsid w:val="00BF32EC"/>
    <w:rsid w:val="00BF36D8"/>
    <w:rsid w:val="00BF40E4"/>
    <w:rsid w:val="00BF4835"/>
    <w:rsid w:val="00BF5212"/>
    <w:rsid w:val="00BF52B4"/>
    <w:rsid w:val="00BF5773"/>
    <w:rsid w:val="00BF577F"/>
    <w:rsid w:val="00BF5981"/>
    <w:rsid w:val="00BF60FC"/>
    <w:rsid w:val="00BF71EF"/>
    <w:rsid w:val="00BF7609"/>
    <w:rsid w:val="00BF7778"/>
    <w:rsid w:val="00BF7A0B"/>
    <w:rsid w:val="00BF7AFF"/>
    <w:rsid w:val="00BF7E31"/>
    <w:rsid w:val="00C00905"/>
    <w:rsid w:val="00C01270"/>
    <w:rsid w:val="00C0201E"/>
    <w:rsid w:val="00C0220E"/>
    <w:rsid w:val="00C02F98"/>
    <w:rsid w:val="00C041C1"/>
    <w:rsid w:val="00C04D94"/>
    <w:rsid w:val="00C051DA"/>
    <w:rsid w:val="00C053E7"/>
    <w:rsid w:val="00C0591E"/>
    <w:rsid w:val="00C059CF"/>
    <w:rsid w:val="00C05A85"/>
    <w:rsid w:val="00C05FFA"/>
    <w:rsid w:val="00C06003"/>
    <w:rsid w:val="00C06859"/>
    <w:rsid w:val="00C0726D"/>
    <w:rsid w:val="00C0744E"/>
    <w:rsid w:val="00C077D4"/>
    <w:rsid w:val="00C103E9"/>
    <w:rsid w:val="00C108A8"/>
    <w:rsid w:val="00C109D9"/>
    <w:rsid w:val="00C116FB"/>
    <w:rsid w:val="00C11956"/>
    <w:rsid w:val="00C145B4"/>
    <w:rsid w:val="00C14A1B"/>
    <w:rsid w:val="00C14A95"/>
    <w:rsid w:val="00C14FCF"/>
    <w:rsid w:val="00C1546F"/>
    <w:rsid w:val="00C1625A"/>
    <w:rsid w:val="00C167D6"/>
    <w:rsid w:val="00C17368"/>
    <w:rsid w:val="00C17C9A"/>
    <w:rsid w:val="00C17D69"/>
    <w:rsid w:val="00C20188"/>
    <w:rsid w:val="00C20759"/>
    <w:rsid w:val="00C21061"/>
    <w:rsid w:val="00C2175D"/>
    <w:rsid w:val="00C22268"/>
    <w:rsid w:val="00C2229C"/>
    <w:rsid w:val="00C22F77"/>
    <w:rsid w:val="00C23DD8"/>
    <w:rsid w:val="00C249D3"/>
    <w:rsid w:val="00C24B3D"/>
    <w:rsid w:val="00C24D6B"/>
    <w:rsid w:val="00C26403"/>
    <w:rsid w:val="00C2645D"/>
    <w:rsid w:val="00C275C5"/>
    <w:rsid w:val="00C27C56"/>
    <w:rsid w:val="00C30175"/>
    <w:rsid w:val="00C315BE"/>
    <w:rsid w:val="00C31FF5"/>
    <w:rsid w:val="00C33199"/>
    <w:rsid w:val="00C331A9"/>
    <w:rsid w:val="00C334EA"/>
    <w:rsid w:val="00C3354E"/>
    <w:rsid w:val="00C341F3"/>
    <w:rsid w:val="00C344F8"/>
    <w:rsid w:val="00C34E2A"/>
    <w:rsid w:val="00C35496"/>
    <w:rsid w:val="00C35DEC"/>
    <w:rsid w:val="00C36BF5"/>
    <w:rsid w:val="00C37A2D"/>
    <w:rsid w:val="00C37C42"/>
    <w:rsid w:val="00C37E23"/>
    <w:rsid w:val="00C402DA"/>
    <w:rsid w:val="00C413EA"/>
    <w:rsid w:val="00C41CCB"/>
    <w:rsid w:val="00C4306B"/>
    <w:rsid w:val="00C43E90"/>
    <w:rsid w:val="00C43F0F"/>
    <w:rsid w:val="00C44BE7"/>
    <w:rsid w:val="00C45029"/>
    <w:rsid w:val="00C46405"/>
    <w:rsid w:val="00C465C7"/>
    <w:rsid w:val="00C46D51"/>
    <w:rsid w:val="00C46EE1"/>
    <w:rsid w:val="00C46FB1"/>
    <w:rsid w:val="00C471FC"/>
    <w:rsid w:val="00C47411"/>
    <w:rsid w:val="00C50DCF"/>
    <w:rsid w:val="00C51129"/>
    <w:rsid w:val="00C51338"/>
    <w:rsid w:val="00C51CC1"/>
    <w:rsid w:val="00C528C6"/>
    <w:rsid w:val="00C52B62"/>
    <w:rsid w:val="00C52F9E"/>
    <w:rsid w:val="00C53854"/>
    <w:rsid w:val="00C53F67"/>
    <w:rsid w:val="00C547EF"/>
    <w:rsid w:val="00C54A5F"/>
    <w:rsid w:val="00C54BC6"/>
    <w:rsid w:val="00C54C73"/>
    <w:rsid w:val="00C55E77"/>
    <w:rsid w:val="00C568EF"/>
    <w:rsid w:val="00C575D8"/>
    <w:rsid w:val="00C577F3"/>
    <w:rsid w:val="00C57FE8"/>
    <w:rsid w:val="00C60DD4"/>
    <w:rsid w:val="00C60ED4"/>
    <w:rsid w:val="00C60FCF"/>
    <w:rsid w:val="00C617C8"/>
    <w:rsid w:val="00C61B03"/>
    <w:rsid w:val="00C61E1D"/>
    <w:rsid w:val="00C61EF2"/>
    <w:rsid w:val="00C61F95"/>
    <w:rsid w:val="00C62521"/>
    <w:rsid w:val="00C62540"/>
    <w:rsid w:val="00C63560"/>
    <w:rsid w:val="00C63EB1"/>
    <w:rsid w:val="00C65B36"/>
    <w:rsid w:val="00C672E2"/>
    <w:rsid w:val="00C7057C"/>
    <w:rsid w:val="00C70AB7"/>
    <w:rsid w:val="00C70CA8"/>
    <w:rsid w:val="00C71703"/>
    <w:rsid w:val="00C71CE4"/>
    <w:rsid w:val="00C725B2"/>
    <w:rsid w:val="00C73302"/>
    <w:rsid w:val="00C73AD0"/>
    <w:rsid w:val="00C73C6C"/>
    <w:rsid w:val="00C73FD5"/>
    <w:rsid w:val="00C745C4"/>
    <w:rsid w:val="00C74677"/>
    <w:rsid w:val="00C74D86"/>
    <w:rsid w:val="00C75D48"/>
    <w:rsid w:val="00C75DE8"/>
    <w:rsid w:val="00C76090"/>
    <w:rsid w:val="00C7710E"/>
    <w:rsid w:val="00C77CB3"/>
    <w:rsid w:val="00C8001A"/>
    <w:rsid w:val="00C80989"/>
    <w:rsid w:val="00C811DF"/>
    <w:rsid w:val="00C8163B"/>
    <w:rsid w:val="00C816DA"/>
    <w:rsid w:val="00C81F16"/>
    <w:rsid w:val="00C8374B"/>
    <w:rsid w:val="00C84531"/>
    <w:rsid w:val="00C84D32"/>
    <w:rsid w:val="00C85017"/>
    <w:rsid w:val="00C85CE3"/>
    <w:rsid w:val="00C862B2"/>
    <w:rsid w:val="00C8661E"/>
    <w:rsid w:val="00C86B10"/>
    <w:rsid w:val="00C903D7"/>
    <w:rsid w:val="00C90ECF"/>
    <w:rsid w:val="00C9164A"/>
    <w:rsid w:val="00C916CD"/>
    <w:rsid w:val="00C91737"/>
    <w:rsid w:val="00C92095"/>
    <w:rsid w:val="00C93A89"/>
    <w:rsid w:val="00C93B2C"/>
    <w:rsid w:val="00C94A14"/>
    <w:rsid w:val="00C9576A"/>
    <w:rsid w:val="00C95DF0"/>
    <w:rsid w:val="00C97A3E"/>
    <w:rsid w:val="00C97E3E"/>
    <w:rsid w:val="00CA0118"/>
    <w:rsid w:val="00CA01CD"/>
    <w:rsid w:val="00CA0ABB"/>
    <w:rsid w:val="00CA0B0F"/>
    <w:rsid w:val="00CA0B94"/>
    <w:rsid w:val="00CA2656"/>
    <w:rsid w:val="00CA271E"/>
    <w:rsid w:val="00CA324D"/>
    <w:rsid w:val="00CA3C82"/>
    <w:rsid w:val="00CA3DA8"/>
    <w:rsid w:val="00CA3E2E"/>
    <w:rsid w:val="00CA469D"/>
    <w:rsid w:val="00CA4BB0"/>
    <w:rsid w:val="00CA6518"/>
    <w:rsid w:val="00CA7327"/>
    <w:rsid w:val="00CA7B5C"/>
    <w:rsid w:val="00CA7CEA"/>
    <w:rsid w:val="00CB0609"/>
    <w:rsid w:val="00CB0785"/>
    <w:rsid w:val="00CB07F1"/>
    <w:rsid w:val="00CB0F64"/>
    <w:rsid w:val="00CB141F"/>
    <w:rsid w:val="00CB1B56"/>
    <w:rsid w:val="00CB1C35"/>
    <w:rsid w:val="00CB1D99"/>
    <w:rsid w:val="00CB34BE"/>
    <w:rsid w:val="00CB4001"/>
    <w:rsid w:val="00CB4407"/>
    <w:rsid w:val="00CB45EA"/>
    <w:rsid w:val="00CB4A70"/>
    <w:rsid w:val="00CB4AAF"/>
    <w:rsid w:val="00CB5656"/>
    <w:rsid w:val="00CB690C"/>
    <w:rsid w:val="00CB7569"/>
    <w:rsid w:val="00CB7795"/>
    <w:rsid w:val="00CC0139"/>
    <w:rsid w:val="00CC01B8"/>
    <w:rsid w:val="00CC12F5"/>
    <w:rsid w:val="00CC1A32"/>
    <w:rsid w:val="00CC2783"/>
    <w:rsid w:val="00CC3ABF"/>
    <w:rsid w:val="00CC3B45"/>
    <w:rsid w:val="00CC3C09"/>
    <w:rsid w:val="00CC517B"/>
    <w:rsid w:val="00CC5570"/>
    <w:rsid w:val="00CC559E"/>
    <w:rsid w:val="00CC5FB7"/>
    <w:rsid w:val="00CC626D"/>
    <w:rsid w:val="00CC6B5B"/>
    <w:rsid w:val="00CC79F3"/>
    <w:rsid w:val="00CC7D3E"/>
    <w:rsid w:val="00CD03FD"/>
    <w:rsid w:val="00CD06F1"/>
    <w:rsid w:val="00CD0E2E"/>
    <w:rsid w:val="00CD17E5"/>
    <w:rsid w:val="00CD1DCE"/>
    <w:rsid w:val="00CD3B58"/>
    <w:rsid w:val="00CD49D9"/>
    <w:rsid w:val="00CD50E1"/>
    <w:rsid w:val="00CD5218"/>
    <w:rsid w:val="00CD68D5"/>
    <w:rsid w:val="00CD7272"/>
    <w:rsid w:val="00CD740D"/>
    <w:rsid w:val="00CD759D"/>
    <w:rsid w:val="00CD7D0A"/>
    <w:rsid w:val="00CD7D71"/>
    <w:rsid w:val="00CE0947"/>
    <w:rsid w:val="00CE2363"/>
    <w:rsid w:val="00CE2C0B"/>
    <w:rsid w:val="00CE3113"/>
    <w:rsid w:val="00CE3697"/>
    <w:rsid w:val="00CE38F8"/>
    <w:rsid w:val="00CE3B3C"/>
    <w:rsid w:val="00CE5E1E"/>
    <w:rsid w:val="00CE5E5D"/>
    <w:rsid w:val="00CE618F"/>
    <w:rsid w:val="00CE65A3"/>
    <w:rsid w:val="00CE6749"/>
    <w:rsid w:val="00CE67EF"/>
    <w:rsid w:val="00CE7459"/>
    <w:rsid w:val="00CE7BB5"/>
    <w:rsid w:val="00CE7F68"/>
    <w:rsid w:val="00CF0528"/>
    <w:rsid w:val="00CF0BCC"/>
    <w:rsid w:val="00CF16EA"/>
    <w:rsid w:val="00CF1882"/>
    <w:rsid w:val="00CF261A"/>
    <w:rsid w:val="00CF27F2"/>
    <w:rsid w:val="00CF394B"/>
    <w:rsid w:val="00CF4440"/>
    <w:rsid w:val="00CF4477"/>
    <w:rsid w:val="00CF487E"/>
    <w:rsid w:val="00CF498D"/>
    <w:rsid w:val="00CF4C9E"/>
    <w:rsid w:val="00CF51A3"/>
    <w:rsid w:val="00CF5388"/>
    <w:rsid w:val="00CF56F8"/>
    <w:rsid w:val="00CF579B"/>
    <w:rsid w:val="00CF618F"/>
    <w:rsid w:val="00CF639A"/>
    <w:rsid w:val="00CF67D1"/>
    <w:rsid w:val="00CF78FC"/>
    <w:rsid w:val="00CF793C"/>
    <w:rsid w:val="00D001B4"/>
    <w:rsid w:val="00D001C3"/>
    <w:rsid w:val="00D00251"/>
    <w:rsid w:val="00D00B0A"/>
    <w:rsid w:val="00D00F69"/>
    <w:rsid w:val="00D01649"/>
    <w:rsid w:val="00D02055"/>
    <w:rsid w:val="00D02655"/>
    <w:rsid w:val="00D02E4F"/>
    <w:rsid w:val="00D03DE4"/>
    <w:rsid w:val="00D0443A"/>
    <w:rsid w:val="00D046C8"/>
    <w:rsid w:val="00D04A6F"/>
    <w:rsid w:val="00D04B1E"/>
    <w:rsid w:val="00D04E28"/>
    <w:rsid w:val="00D04F63"/>
    <w:rsid w:val="00D0555E"/>
    <w:rsid w:val="00D05566"/>
    <w:rsid w:val="00D05982"/>
    <w:rsid w:val="00D05A31"/>
    <w:rsid w:val="00D05D0D"/>
    <w:rsid w:val="00D05DF5"/>
    <w:rsid w:val="00D07339"/>
    <w:rsid w:val="00D10A3A"/>
    <w:rsid w:val="00D119A4"/>
    <w:rsid w:val="00D11A27"/>
    <w:rsid w:val="00D122F9"/>
    <w:rsid w:val="00D123C8"/>
    <w:rsid w:val="00D12FB8"/>
    <w:rsid w:val="00D12FE1"/>
    <w:rsid w:val="00D132DD"/>
    <w:rsid w:val="00D135CC"/>
    <w:rsid w:val="00D136FE"/>
    <w:rsid w:val="00D13F94"/>
    <w:rsid w:val="00D1404E"/>
    <w:rsid w:val="00D14623"/>
    <w:rsid w:val="00D148F6"/>
    <w:rsid w:val="00D14F03"/>
    <w:rsid w:val="00D15613"/>
    <w:rsid w:val="00D156CF"/>
    <w:rsid w:val="00D1627F"/>
    <w:rsid w:val="00D16774"/>
    <w:rsid w:val="00D174DA"/>
    <w:rsid w:val="00D1751B"/>
    <w:rsid w:val="00D1783C"/>
    <w:rsid w:val="00D20106"/>
    <w:rsid w:val="00D20406"/>
    <w:rsid w:val="00D2081A"/>
    <w:rsid w:val="00D20F46"/>
    <w:rsid w:val="00D213CC"/>
    <w:rsid w:val="00D217EE"/>
    <w:rsid w:val="00D23A2B"/>
    <w:rsid w:val="00D23D4E"/>
    <w:rsid w:val="00D23D8D"/>
    <w:rsid w:val="00D24244"/>
    <w:rsid w:val="00D25834"/>
    <w:rsid w:val="00D25B43"/>
    <w:rsid w:val="00D25F29"/>
    <w:rsid w:val="00D25FD9"/>
    <w:rsid w:val="00D26023"/>
    <w:rsid w:val="00D26046"/>
    <w:rsid w:val="00D26229"/>
    <w:rsid w:val="00D2696E"/>
    <w:rsid w:val="00D277B8"/>
    <w:rsid w:val="00D27B8D"/>
    <w:rsid w:val="00D30786"/>
    <w:rsid w:val="00D30D74"/>
    <w:rsid w:val="00D30F93"/>
    <w:rsid w:val="00D3149B"/>
    <w:rsid w:val="00D32B52"/>
    <w:rsid w:val="00D32DB4"/>
    <w:rsid w:val="00D33451"/>
    <w:rsid w:val="00D341DE"/>
    <w:rsid w:val="00D34349"/>
    <w:rsid w:val="00D34752"/>
    <w:rsid w:val="00D34AF4"/>
    <w:rsid w:val="00D34ECC"/>
    <w:rsid w:val="00D354AE"/>
    <w:rsid w:val="00D35BC9"/>
    <w:rsid w:val="00D36787"/>
    <w:rsid w:val="00D36D82"/>
    <w:rsid w:val="00D3701B"/>
    <w:rsid w:val="00D3765B"/>
    <w:rsid w:val="00D37A01"/>
    <w:rsid w:val="00D37D73"/>
    <w:rsid w:val="00D400F2"/>
    <w:rsid w:val="00D40638"/>
    <w:rsid w:val="00D4125E"/>
    <w:rsid w:val="00D41DF8"/>
    <w:rsid w:val="00D41F62"/>
    <w:rsid w:val="00D42E40"/>
    <w:rsid w:val="00D43A54"/>
    <w:rsid w:val="00D44A31"/>
    <w:rsid w:val="00D44ABE"/>
    <w:rsid w:val="00D44B18"/>
    <w:rsid w:val="00D44BBE"/>
    <w:rsid w:val="00D4556C"/>
    <w:rsid w:val="00D459A5"/>
    <w:rsid w:val="00D461BE"/>
    <w:rsid w:val="00D46A41"/>
    <w:rsid w:val="00D46EDE"/>
    <w:rsid w:val="00D473CE"/>
    <w:rsid w:val="00D47923"/>
    <w:rsid w:val="00D503FA"/>
    <w:rsid w:val="00D5084A"/>
    <w:rsid w:val="00D512E1"/>
    <w:rsid w:val="00D51F4A"/>
    <w:rsid w:val="00D51FEA"/>
    <w:rsid w:val="00D52710"/>
    <w:rsid w:val="00D53484"/>
    <w:rsid w:val="00D53806"/>
    <w:rsid w:val="00D53A23"/>
    <w:rsid w:val="00D53C0D"/>
    <w:rsid w:val="00D53E18"/>
    <w:rsid w:val="00D5457E"/>
    <w:rsid w:val="00D551B7"/>
    <w:rsid w:val="00D55B6D"/>
    <w:rsid w:val="00D55D8C"/>
    <w:rsid w:val="00D571B8"/>
    <w:rsid w:val="00D575B9"/>
    <w:rsid w:val="00D6003E"/>
    <w:rsid w:val="00D61648"/>
    <w:rsid w:val="00D618C7"/>
    <w:rsid w:val="00D6197E"/>
    <w:rsid w:val="00D61AEC"/>
    <w:rsid w:val="00D63560"/>
    <w:rsid w:val="00D63AF1"/>
    <w:rsid w:val="00D63B3D"/>
    <w:rsid w:val="00D642BE"/>
    <w:rsid w:val="00D644CF"/>
    <w:rsid w:val="00D64641"/>
    <w:rsid w:val="00D64E80"/>
    <w:rsid w:val="00D64EE6"/>
    <w:rsid w:val="00D6527B"/>
    <w:rsid w:val="00D6593B"/>
    <w:rsid w:val="00D65A03"/>
    <w:rsid w:val="00D66C41"/>
    <w:rsid w:val="00D67B08"/>
    <w:rsid w:val="00D70040"/>
    <w:rsid w:val="00D7215B"/>
    <w:rsid w:val="00D72F40"/>
    <w:rsid w:val="00D73032"/>
    <w:rsid w:val="00D73263"/>
    <w:rsid w:val="00D741C5"/>
    <w:rsid w:val="00D74459"/>
    <w:rsid w:val="00D747F0"/>
    <w:rsid w:val="00D74D1C"/>
    <w:rsid w:val="00D74E25"/>
    <w:rsid w:val="00D74E41"/>
    <w:rsid w:val="00D766A8"/>
    <w:rsid w:val="00D7786D"/>
    <w:rsid w:val="00D807E2"/>
    <w:rsid w:val="00D809A0"/>
    <w:rsid w:val="00D8106D"/>
    <w:rsid w:val="00D81218"/>
    <w:rsid w:val="00D81367"/>
    <w:rsid w:val="00D81C7C"/>
    <w:rsid w:val="00D830A4"/>
    <w:rsid w:val="00D831B1"/>
    <w:rsid w:val="00D839B5"/>
    <w:rsid w:val="00D84002"/>
    <w:rsid w:val="00D848C5"/>
    <w:rsid w:val="00D851D9"/>
    <w:rsid w:val="00D853FD"/>
    <w:rsid w:val="00D85A49"/>
    <w:rsid w:val="00D87A30"/>
    <w:rsid w:val="00D87BEB"/>
    <w:rsid w:val="00D87C08"/>
    <w:rsid w:val="00D900D4"/>
    <w:rsid w:val="00D906A9"/>
    <w:rsid w:val="00D907E5"/>
    <w:rsid w:val="00D910B0"/>
    <w:rsid w:val="00D91387"/>
    <w:rsid w:val="00D9140A"/>
    <w:rsid w:val="00D9350D"/>
    <w:rsid w:val="00D94FFF"/>
    <w:rsid w:val="00D95910"/>
    <w:rsid w:val="00D95E3A"/>
    <w:rsid w:val="00D96535"/>
    <w:rsid w:val="00DA00B5"/>
    <w:rsid w:val="00DA0EB4"/>
    <w:rsid w:val="00DA1DFF"/>
    <w:rsid w:val="00DA236D"/>
    <w:rsid w:val="00DA2937"/>
    <w:rsid w:val="00DA2A30"/>
    <w:rsid w:val="00DA350E"/>
    <w:rsid w:val="00DA3550"/>
    <w:rsid w:val="00DA3710"/>
    <w:rsid w:val="00DA37E5"/>
    <w:rsid w:val="00DA4085"/>
    <w:rsid w:val="00DA4CCB"/>
    <w:rsid w:val="00DA578A"/>
    <w:rsid w:val="00DA5BD4"/>
    <w:rsid w:val="00DA5DFE"/>
    <w:rsid w:val="00DA628E"/>
    <w:rsid w:val="00DA68D5"/>
    <w:rsid w:val="00DA7129"/>
    <w:rsid w:val="00DA71E9"/>
    <w:rsid w:val="00DA7326"/>
    <w:rsid w:val="00DA7B00"/>
    <w:rsid w:val="00DB0403"/>
    <w:rsid w:val="00DB0884"/>
    <w:rsid w:val="00DB0C67"/>
    <w:rsid w:val="00DB11F9"/>
    <w:rsid w:val="00DB16D4"/>
    <w:rsid w:val="00DB187F"/>
    <w:rsid w:val="00DB207C"/>
    <w:rsid w:val="00DB3F47"/>
    <w:rsid w:val="00DB406C"/>
    <w:rsid w:val="00DB40EA"/>
    <w:rsid w:val="00DB42B2"/>
    <w:rsid w:val="00DB4C14"/>
    <w:rsid w:val="00DB4FFF"/>
    <w:rsid w:val="00DB56DD"/>
    <w:rsid w:val="00DB5A86"/>
    <w:rsid w:val="00DB5CAF"/>
    <w:rsid w:val="00DB62BD"/>
    <w:rsid w:val="00DB6A85"/>
    <w:rsid w:val="00DB758F"/>
    <w:rsid w:val="00DC0339"/>
    <w:rsid w:val="00DC0788"/>
    <w:rsid w:val="00DC1653"/>
    <w:rsid w:val="00DC1BAF"/>
    <w:rsid w:val="00DC1C2C"/>
    <w:rsid w:val="00DC2366"/>
    <w:rsid w:val="00DC2F85"/>
    <w:rsid w:val="00DC338B"/>
    <w:rsid w:val="00DC3C80"/>
    <w:rsid w:val="00DC3DB7"/>
    <w:rsid w:val="00DC3FDD"/>
    <w:rsid w:val="00DC41C6"/>
    <w:rsid w:val="00DC4451"/>
    <w:rsid w:val="00DC44C6"/>
    <w:rsid w:val="00DC4D7B"/>
    <w:rsid w:val="00DC5435"/>
    <w:rsid w:val="00DC7287"/>
    <w:rsid w:val="00DC7FC0"/>
    <w:rsid w:val="00DD0455"/>
    <w:rsid w:val="00DD07BD"/>
    <w:rsid w:val="00DD0C38"/>
    <w:rsid w:val="00DD0FFF"/>
    <w:rsid w:val="00DD1AFC"/>
    <w:rsid w:val="00DD1DB3"/>
    <w:rsid w:val="00DD1F12"/>
    <w:rsid w:val="00DD1FBE"/>
    <w:rsid w:val="00DD3936"/>
    <w:rsid w:val="00DD3C9A"/>
    <w:rsid w:val="00DD3E92"/>
    <w:rsid w:val="00DD426A"/>
    <w:rsid w:val="00DD46E5"/>
    <w:rsid w:val="00DD47EA"/>
    <w:rsid w:val="00DD4996"/>
    <w:rsid w:val="00DD4CF6"/>
    <w:rsid w:val="00DD4F46"/>
    <w:rsid w:val="00DD5526"/>
    <w:rsid w:val="00DD58CA"/>
    <w:rsid w:val="00DD6849"/>
    <w:rsid w:val="00DD694A"/>
    <w:rsid w:val="00DD7261"/>
    <w:rsid w:val="00DD7C5D"/>
    <w:rsid w:val="00DD7FA8"/>
    <w:rsid w:val="00DE0385"/>
    <w:rsid w:val="00DE0C05"/>
    <w:rsid w:val="00DE17F2"/>
    <w:rsid w:val="00DE19A1"/>
    <w:rsid w:val="00DE1B73"/>
    <w:rsid w:val="00DE207A"/>
    <w:rsid w:val="00DE2965"/>
    <w:rsid w:val="00DE314C"/>
    <w:rsid w:val="00DE329B"/>
    <w:rsid w:val="00DE338D"/>
    <w:rsid w:val="00DE3E60"/>
    <w:rsid w:val="00DE3FD8"/>
    <w:rsid w:val="00DE4038"/>
    <w:rsid w:val="00DE415E"/>
    <w:rsid w:val="00DE44A3"/>
    <w:rsid w:val="00DE47F5"/>
    <w:rsid w:val="00DE608B"/>
    <w:rsid w:val="00DE62DD"/>
    <w:rsid w:val="00DE63B4"/>
    <w:rsid w:val="00DE7605"/>
    <w:rsid w:val="00DE7906"/>
    <w:rsid w:val="00DE7B44"/>
    <w:rsid w:val="00DE7E8E"/>
    <w:rsid w:val="00DE7F66"/>
    <w:rsid w:val="00DF002A"/>
    <w:rsid w:val="00DF04F2"/>
    <w:rsid w:val="00DF0BF0"/>
    <w:rsid w:val="00DF14C2"/>
    <w:rsid w:val="00DF1707"/>
    <w:rsid w:val="00DF1832"/>
    <w:rsid w:val="00DF20A2"/>
    <w:rsid w:val="00DF214F"/>
    <w:rsid w:val="00DF227E"/>
    <w:rsid w:val="00DF2493"/>
    <w:rsid w:val="00DF261C"/>
    <w:rsid w:val="00DF27BB"/>
    <w:rsid w:val="00DF28FD"/>
    <w:rsid w:val="00DF344E"/>
    <w:rsid w:val="00DF3E85"/>
    <w:rsid w:val="00DF4560"/>
    <w:rsid w:val="00DF468B"/>
    <w:rsid w:val="00DF4870"/>
    <w:rsid w:val="00DF4F65"/>
    <w:rsid w:val="00DF5401"/>
    <w:rsid w:val="00DF5441"/>
    <w:rsid w:val="00DF663E"/>
    <w:rsid w:val="00DF6720"/>
    <w:rsid w:val="00DF6D7F"/>
    <w:rsid w:val="00DF7D6D"/>
    <w:rsid w:val="00DF7EDB"/>
    <w:rsid w:val="00DF7FAA"/>
    <w:rsid w:val="00E00650"/>
    <w:rsid w:val="00E00871"/>
    <w:rsid w:val="00E00974"/>
    <w:rsid w:val="00E00CFB"/>
    <w:rsid w:val="00E0133E"/>
    <w:rsid w:val="00E01CE2"/>
    <w:rsid w:val="00E023EF"/>
    <w:rsid w:val="00E02703"/>
    <w:rsid w:val="00E0353B"/>
    <w:rsid w:val="00E03E4D"/>
    <w:rsid w:val="00E051FB"/>
    <w:rsid w:val="00E05988"/>
    <w:rsid w:val="00E06EBE"/>
    <w:rsid w:val="00E07212"/>
    <w:rsid w:val="00E07689"/>
    <w:rsid w:val="00E10321"/>
    <w:rsid w:val="00E111AD"/>
    <w:rsid w:val="00E115E1"/>
    <w:rsid w:val="00E11B94"/>
    <w:rsid w:val="00E12938"/>
    <w:rsid w:val="00E12F9B"/>
    <w:rsid w:val="00E1305B"/>
    <w:rsid w:val="00E13073"/>
    <w:rsid w:val="00E1330D"/>
    <w:rsid w:val="00E137F0"/>
    <w:rsid w:val="00E13A0F"/>
    <w:rsid w:val="00E13DDE"/>
    <w:rsid w:val="00E13F12"/>
    <w:rsid w:val="00E1450A"/>
    <w:rsid w:val="00E14DE1"/>
    <w:rsid w:val="00E14ED2"/>
    <w:rsid w:val="00E1526E"/>
    <w:rsid w:val="00E15885"/>
    <w:rsid w:val="00E15F05"/>
    <w:rsid w:val="00E163AC"/>
    <w:rsid w:val="00E16459"/>
    <w:rsid w:val="00E16462"/>
    <w:rsid w:val="00E16F2D"/>
    <w:rsid w:val="00E1725D"/>
    <w:rsid w:val="00E17CB4"/>
    <w:rsid w:val="00E20AB9"/>
    <w:rsid w:val="00E20F1B"/>
    <w:rsid w:val="00E21AEA"/>
    <w:rsid w:val="00E21D50"/>
    <w:rsid w:val="00E21F40"/>
    <w:rsid w:val="00E22557"/>
    <w:rsid w:val="00E22D49"/>
    <w:rsid w:val="00E24561"/>
    <w:rsid w:val="00E245D5"/>
    <w:rsid w:val="00E247C2"/>
    <w:rsid w:val="00E2497B"/>
    <w:rsid w:val="00E25545"/>
    <w:rsid w:val="00E25ABA"/>
    <w:rsid w:val="00E269F5"/>
    <w:rsid w:val="00E271AC"/>
    <w:rsid w:val="00E27AF0"/>
    <w:rsid w:val="00E27CDF"/>
    <w:rsid w:val="00E27E82"/>
    <w:rsid w:val="00E30B46"/>
    <w:rsid w:val="00E30E68"/>
    <w:rsid w:val="00E30FA2"/>
    <w:rsid w:val="00E311C7"/>
    <w:rsid w:val="00E31216"/>
    <w:rsid w:val="00E319A7"/>
    <w:rsid w:val="00E328FE"/>
    <w:rsid w:val="00E32BE1"/>
    <w:rsid w:val="00E32D00"/>
    <w:rsid w:val="00E3315B"/>
    <w:rsid w:val="00E3319A"/>
    <w:rsid w:val="00E33773"/>
    <w:rsid w:val="00E3430B"/>
    <w:rsid w:val="00E34A52"/>
    <w:rsid w:val="00E351BA"/>
    <w:rsid w:val="00E353FD"/>
    <w:rsid w:val="00E35F08"/>
    <w:rsid w:val="00E36369"/>
    <w:rsid w:val="00E36C22"/>
    <w:rsid w:val="00E37197"/>
    <w:rsid w:val="00E3734D"/>
    <w:rsid w:val="00E37785"/>
    <w:rsid w:val="00E37A36"/>
    <w:rsid w:val="00E37B94"/>
    <w:rsid w:val="00E401CB"/>
    <w:rsid w:val="00E406E2"/>
    <w:rsid w:val="00E40A34"/>
    <w:rsid w:val="00E40EA9"/>
    <w:rsid w:val="00E423E9"/>
    <w:rsid w:val="00E42883"/>
    <w:rsid w:val="00E43397"/>
    <w:rsid w:val="00E4368A"/>
    <w:rsid w:val="00E43D09"/>
    <w:rsid w:val="00E43E01"/>
    <w:rsid w:val="00E4444D"/>
    <w:rsid w:val="00E44472"/>
    <w:rsid w:val="00E44500"/>
    <w:rsid w:val="00E44965"/>
    <w:rsid w:val="00E44B97"/>
    <w:rsid w:val="00E44DE6"/>
    <w:rsid w:val="00E4610B"/>
    <w:rsid w:val="00E469A0"/>
    <w:rsid w:val="00E46A8B"/>
    <w:rsid w:val="00E47541"/>
    <w:rsid w:val="00E4755C"/>
    <w:rsid w:val="00E475AE"/>
    <w:rsid w:val="00E475F3"/>
    <w:rsid w:val="00E478A9"/>
    <w:rsid w:val="00E479C6"/>
    <w:rsid w:val="00E50082"/>
    <w:rsid w:val="00E50307"/>
    <w:rsid w:val="00E52994"/>
    <w:rsid w:val="00E53C69"/>
    <w:rsid w:val="00E53F40"/>
    <w:rsid w:val="00E54011"/>
    <w:rsid w:val="00E54BB4"/>
    <w:rsid w:val="00E55A1B"/>
    <w:rsid w:val="00E55BCF"/>
    <w:rsid w:val="00E55F06"/>
    <w:rsid w:val="00E562CE"/>
    <w:rsid w:val="00E56959"/>
    <w:rsid w:val="00E576F6"/>
    <w:rsid w:val="00E611B5"/>
    <w:rsid w:val="00E6162A"/>
    <w:rsid w:val="00E6225C"/>
    <w:rsid w:val="00E62383"/>
    <w:rsid w:val="00E626E1"/>
    <w:rsid w:val="00E63752"/>
    <w:rsid w:val="00E637E0"/>
    <w:rsid w:val="00E63DCA"/>
    <w:rsid w:val="00E63E3E"/>
    <w:rsid w:val="00E63EFE"/>
    <w:rsid w:val="00E642CD"/>
    <w:rsid w:val="00E64595"/>
    <w:rsid w:val="00E64EF3"/>
    <w:rsid w:val="00E65189"/>
    <w:rsid w:val="00E6610F"/>
    <w:rsid w:val="00E66322"/>
    <w:rsid w:val="00E667E6"/>
    <w:rsid w:val="00E671AF"/>
    <w:rsid w:val="00E67628"/>
    <w:rsid w:val="00E70DA2"/>
    <w:rsid w:val="00E7137D"/>
    <w:rsid w:val="00E71676"/>
    <w:rsid w:val="00E71684"/>
    <w:rsid w:val="00E71ABF"/>
    <w:rsid w:val="00E72067"/>
    <w:rsid w:val="00E7212B"/>
    <w:rsid w:val="00E7220A"/>
    <w:rsid w:val="00E72853"/>
    <w:rsid w:val="00E72ACC"/>
    <w:rsid w:val="00E72DA3"/>
    <w:rsid w:val="00E72DE7"/>
    <w:rsid w:val="00E73309"/>
    <w:rsid w:val="00E740F8"/>
    <w:rsid w:val="00E7419C"/>
    <w:rsid w:val="00E74592"/>
    <w:rsid w:val="00E74AA9"/>
    <w:rsid w:val="00E74F8E"/>
    <w:rsid w:val="00E75406"/>
    <w:rsid w:val="00E75481"/>
    <w:rsid w:val="00E757F6"/>
    <w:rsid w:val="00E75E29"/>
    <w:rsid w:val="00E7600A"/>
    <w:rsid w:val="00E765DD"/>
    <w:rsid w:val="00E76721"/>
    <w:rsid w:val="00E76E39"/>
    <w:rsid w:val="00E76F57"/>
    <w:rsid w:val="00E76FBC"/>
    <w:rsid w:val="00E77032"/>
    <w:rsid w:val="00E774FF"/>
    <w:rsid w:val="00E7767D"/>
    <w:rsid w:val="00E7797C"/>
    <w:rsid w:val="00E77FA2"/>
    <w:rsid w:val="00E802EB"/>
    <w:rsid w:val="00E805B2"/>
    <w:rsid w:val="00E816F4"/>
    <w:rsid w:val="00E81D05"/>
    <w:rsid w:val="00E81D17"/>
    <w:rsid w:val="00E8317F"/>
    <w:rsid w:val="00E83462"/>
    <w:rsid w:val="00E83C40"/>
    <w:rsid w:val="00E84108"/>
    <w:rsid w:val="00E84174"/>
    <w:rsid w:val="00E841B9"/>
    <w:rsid w:val="00E84228"/>
    <w:rsid w:val="00E84F02"/>
    <w:rsid w:val="00E8512B"/>
    <w:rsid w:val="00E85C09"/>
    <w:rsid w:val="00E85D57"/>
    <w:rsid w:val="00E85EC6"/>
    <w:rsid w:val="00E86052"/>
    <w:rsid w:val="00E86611"/>
    <w:rsid w:val="00E87210"/>
    <w:rsid w:val="00E90898"/>
    <w:rsid w:val="00E91B15"/>
    <w:rsid w:val="00E9226B"/>
    <w:rsid w:val="00E92AAF"/>
    <w:rsid w:val="00E93408"/>
    <w:rsid w:val="00E934F9"/>
    <w:rsid w:val="00E93CDC"/>
    <w:rsid w:val="00E93EEE"/>
    <w:rsid w:val="00E95569"/>
    <w:rsid w:val="00E95C24"/>
    <w:rsid w:val="00E95D3B"/>
    <w:rsid w:val="00E966B6"/>
    <w:rsid w:val="00E96C7B"/>
    <w:rsid w:val="00E96F8C"/>
    <w:rsid w:val="00E96FB4"/>
    <w:rsid w:val="00E97228"/>
    <w:rsid w:val="00E97CDC"/>
    <w:rsid w:val="00E97FA8"/>
    <w:rsid w:val="00EA1287"/>
    <w:rsid w:val="00EA1923"/>
    <w:rsid w:val="00EA1D05"/>
    <w:rsid w:val="00EA22A8"/>
    <w:rsid w:val="00EA3390"/>
    <w:rsid w:val="00EA35CF"/>
    <w:rsid w:val="00EA3DFD"/>
    <w:rsid w:val="00EA48DF"/>
    <w:rsid w:val="00EA5229"/>
    <w:rsid w:val="00EA59BB"/>
    <w:rsid w:val="00EA6712"/>
    <w:rsid w:val="00EA694D"/>
    <w:rsid w:val="00EA6A63"/>
    <w:rsid w:val="00EA756A"/>
    <w:rsid w:val="00EB02DE"/>
    <w:rsid w:val="00EB248A"/>
    <w:rsid w:val="00EB25AD"/>
    <w:rsid w:val="00EB2766"/>
    <w:rsid w:val="00EB33AF"/>
    <w:rsid w:val="00EB4473"/>
    <w:rsid w:val="00EB5677"/>
    <w:rsid w:val="00EB5C99"/>
    <w:rsid w:val="00EB722D"/>
    <w:rsid w:val="00EC005F"/>
    <w:rsid w:val="00EC03A4"/>
    <w:rsid w:val="00EC18DF"/>
    <w:rsid w:val="00EC295B"/>
    <w:rsid w:val="00EC328D"/>
    <w:rsid w:val="00EC375C"/>
    <w:rsid w:val="00EC40D3"/>
    <w:rsid w:val="00EC445C"/>
    <w:rsid w:val="00EC45C0"/>
    <w:rsid w:val="00EC4989"/>
    <w:rsid w:val="00EC4AB4"/>
    <w:rsid w:val="00EC556C"/>
    <w:rsid w:val="00EC5DEC"/>
    <w:rsid w:val="00EC6F93"/>
    <w:rsid w:val="00EC6FEF"/>
    <w:rsid w:val="00EC750E"/>
    <w:rsid w:val="00EC78BC"/>
    <w:rsid w:val="00ED047C"/>
    <w:rsid w:val="00ED0588"/>
    <w:rsid w:val="00ED0BE1"/>
    <w:rsid w:val="00ED1BC6"/>
    <w:rsid w:val="00ED1E17"/>
    <w:rsid w:val="00ED24EA"/>
    <w:rsid w:val="00ED28E6"/>
    <w:rsid w:val="00ED2F55"/>
    <w:rsid w:val="00ED3342"/>
    <w:rsid w:val="00ED33A8"/>
    <w:rsid w:val="00ED3673"/>
    <w:rsid w:val="00ED371B"/>
    <w:rsid w:val="00ED3B0C"/>
    <w:rsid w:val="00ED3DEB"/>
    <w:rsid w:val="00ED4885"/>
    <w:rsid w:val="00ED5242"/>
    <w:rsid w:val="00ED5575"/>
    <w:rsid w:val="00ED73CF"/>
    <w:rsid w:val="00EE12A2"/>
    <w:rsid w:val="00EE19C8"/>
    <w:rsid w:val="00EE1AB0"/>
    <w:rsid w:val="00EE1ECC"/>
    <w:rsid w:val="00EE20BF"/>
    <w:rsid w:val="00EE2A79"/>
    <w:rsid w:val="00EE3D7F"/>
    <w:rsid w:val="00EE5963"/>
    <w:rsid w:val="00EE5F56"/>
    <w:rsid w:val="00EE6391"/>
    <w:rsid w:val="00EE6935"/>
    <w:rsid w:val="00EE70FB"/>
    <w:rsid w:val="00EE7D14"/>
    <w:rsid w:val="00EE7FC8"/>
    <w:rsid w:val="00EF0005"/>
    <w:rsid w:val="00EF03E1"/>
    <w:rsid w:val="00EF04BE"/>
    <w:rsid w:val="00EF0947"/>
    <w:rsid w:val="00EF1434"/>
    <w:rsid w:val="00EF194F"/>
    <w:rsid w:val="00EF1D51"/>
    <w:rsid w:val="00EF3DDB"/>
    <w:rsid w:val="00EF4358"/>
    <w:rsid w:val="00EF446E"/>
    <w:rsid w:val="00EF556B"/>
    <w:rsid w:val="00EF6466"/>
    <w:rsid w:val="00EF6A36"/>
    <w:rsid w:val="00EF6F00"/>
    <w:rsid w:val="00F010E0"/>
    <w:rsid w:val="00F01529"/>
    <w:rsid w:val="00F017DC"/>
    <w:rsid w:val="00F01D89"/>
    <w:rsid w:val="00F02AA0"/>
    <w:rsid w:val="00F02C39"/>
    <w:rsid w:val="00F03515"/>
    <w:rsid w:val="00F03AF1"/>
    <w:rsid w:val="00F03C8E"/>
    <w:rsid w:val="00F03E4F"/>
    <w:rsid w:val="00F047A3"/>
    <w:rsid w:val="00F04880"/>
    <w:rsid w:val="00F05491"/>
    <w:rsid w:val="00F05F68"/>
    <w:rsid w:val="00F0621C"/>
    <w:rsid w:val="00F06A6F"/>
    <w:rsid w:val="00F0706C"/>
    <w:rsid w:val="00F074C9"/>
    <w:rsid w:val="00F07ABC"/>
    <w:rsid w:val="00F104F1"/>
    <w:rsid w:val="00F10B62"/>
    <w:rsid w:val="00F10D80"/>
    <w:rsid w:val="00F114B7"/>
    <w:rsid w:val="00F1226C"/>
    <w:rsid w:val="00F12A23"/>
    <w:rsid w:val="00F12B9A"/>
    <w:rsid w:val="00F1382B"/>
    <w:rsid w:val="00F14252"/>
    <w:rsid w:val="00F144C6"/>
    <w:rsid w:val="00F14E41"/>
    <w:rsid w:val="00F159C7"/>
    <w:rsid w:val="00F160B5"/>
    <w:rsid w:val="00F167C2"/>
    <w:rsid w:val="00F168FE"/>
    <w:rsid w:val="00F1746E"/>
    <w:rsid w:val="00F210A6"/>
    <w:rsid w:val="00F21777"/>
    <w:rsid w:val="00F2240D"/>
    <w:rsid w:val="00F235CA"/>
    <w:rsid w:val="00F2442D"/>
    <w:rsid w:val="00F24AB7"/>
    <w:rsid w:val="00F24D57"/>
    <w:rsid w:val="00F251AD"/>
    <w:rsid w:val="00F252E6"/>
    <w:rsid w:val="00F25D65"/>
    <w:rsid w:val="00F25F2B"/>
    <w:rsid w:val="00F277FD"/>
    <w:rsid w:val="00F27907"/>
    <w:rsid w:val="00F30415"/>
    <w:rsid w:val="00F3084A"/>
    <w:rsid w:val="00F3128B"/>
    <w:rsid w:val="00F31479"/>
    <w:rsid w:val="00F31501"/>
    <w:rsid w:val="00F31769"/>
    <w:rsid w:val="00F31B2F"/>
    <w:rsid w:val="00F3356B"/>
    <w:rsid w:val="00F340B8"/>
    <w:rsid w:val="00F34287"/>
    <w:rsid w:val="00F34293"/>
    <w:rsid w:val="00F34337"/>
    <w:rsid w:val="00F3436B"/>
    <w:rsid w:val="00F345F8"/>
    <w:rsid w:val="00F3489B"/>
    <w:rsid w:val="00F34DD3"/>
    <w:rsid w:val="00F350AE"/>
    <w:rsid w:val="00F350E6"/>
    <w:rsid w:val="00F356E9"/>
    <w:rsid w:val="00F35F52"/>
    <w:rsid w:val="00F361B5"/>
    <w:rsid w:val="00F3683F"/>
    <w:rsid w:val="00F36977"/>
    <w:rsid w:val="00F37ECA"/>
    <w:rsid w:val="00F400F7"/>
    <w:rsid w:val="00F40677"/>
    <w:rsid w:val="00F414AE"/>
    <w:rsid w:val="00F41533"/>
    <w:rsid w:val="00F418A5"/>
    <w:rsid w:val="00F41B4B"/>
    <w:rsid w:val="00F41B6B"/>
    <w:rsid w:val="00F424A8"/>
    <w:rsid w:val="00F4262C"/>
    <w:rsid w:val="00F426CF"/>
    <w:rsid w:val="00F42A08"/>
    <w:rsid w:val="00F434A0"/>
    <w:rsid w:val="00F43F3B"/>
    <w:rsid w:val="00F440FE"/>
    <w:rsid w:val="00F44114"/>
    <w:rsid w:val="00F44F9D"/>
    <w:rsid w:val="00F44FC5"/>
    <w:rsid w:val="00F4669E"/>
    <w:rsid w:val="00F46750"/>
    <w:rsid w:val="00F468F4"/>
    <w:rsid w:val="00F46E85"/>
    <w:rsid w:val="00F4700B"/>
    <w:rsid w:val="00F4728E"/>
    <w:rsid w:val="00F47B81"/>
    <w:rsid w:val="00F47EC5"/>
    <w:rsid w:val="00F501C9"/>
    <w:rsid w:val="00F514FC"/>
    <w:rsid w:val="00F51FEF"/>
    <w:rsid w:val="00F52665"/>
    <w:rsid w:val="00F52FAE"/>
    <w:rsid w:val="00F532AC"/>
    <w:rsid w:val="00F53B1A"/>
    <w:rsid w:val="00F542E3"/>
    <w:rsid w:val="00F543B6"/>
    <w:rsid w:val="00F551DC"/>
    <w:rsid w:val="00F553AA"/>
    <w:rsid w:val="00F55DEE"/>
    <w:rsid w:val="00F562D9"/>
    <w:rsid w:val="00F56AF5"/>
    <w:rsid w:val="00F5797E"/>
    <w:rsid w:val="00F57A66"/>
    <w:rsid w:val="00F60D10"/>
    <w:rsid w:val="00F61135"/>
    <w:rsid w:val="00F6151D"/>
    <w:rsid w:val="00F615A0"/>
    <w:rsid w:val="00F6174D"/>
    <w:rsid w:val="00F617E2"/>
    <w:rsid w:val="00F61AD9"/>
    <w:rsid w:val="00F62904"/>
    <w:rsid w:val="00F6365C"/>
    <w:rsid w:val="00F63FFB"/>
    <w:rsid w:val="00F640FB"/>
    <w:rsid w:val="00F6491F"/>
    <w:rsid w:val="00F655BA"/>
    <w:rsid w:val="00F658A3"/>
    <w:rsid w:val="00F658BE"/>
    <w:rsid w:val="00F658F1"/>
    <w:rsid w:val="00F65C64"/>
    <w:rsid w:val="00F65D54"/>
    <w:rsid w:val="00F66037"/>
    <w:rsid w:val="00F6756A"/>
    <w:rsid w:val="00F67B7D"/>
    <w:rsid w:val="00F67C21"/>
    <w:rsid w:val="00F7001F"/>
    <w:rsid w:val="00F70036"/>
    <w:rsid w:val="00F7049F"/>
    <w:rsid w:val="00F70C52"/>
    <w:rsid w:val="00F712EA"/>
    <w:rsid w:val="00F7141F"/>
    <w:rsid w:val="00F715ED"/>
    <w:rsid w:val="00F71E7B"/>
    <w:rsid w:val="00F723C8"/>
    <w:rsid w:val="00F7244E"/>
    <w:rsid w:val="00F72D37"/>
    <w:rsid w:val="00F73C0C"/>
    <w:rsid w:val="00F73F6F"/>
    <w:rsid w:val="00F742DD"/>
    <w:rsid w:val="00F7450A"/>
    <w:rsid w:val="00F74746"/>
    <w:rsid w:val="00F74BA7"/>
    <w:rsid w:val="00F7578C"/>
    <w:rsid w:val="00F759D6"/>
    <w:rsid w:val="00F76430"/>
    <w:rsid w:val="00F7667F"/>
    <w:rsid w:val="00F76BF9"/>
    <w:rsid w:val="00F77761"/>
    <w:rsid w:val="00F77BB7"/>
    <w:rsid w:val="00F77F60"/>
    <w:rsid w:val="00F80A2F"/>
    <w:rsid w:val="00F80C0C"/>
    <w:rsid w:val="00F810B8"/>
    <w:rsid w:val="00F82DD9"/>
    <w:rsid w:val="00F83688"/>
    <w:rsid w:val="00F83779"/>
    <w:rsid w:val="00F83A01"/>
    <w:rsid w:val="00F84A1B"/>
    <w:rsid w:val="00F84E23"/>
    <w:rsid w:val="00F84EBA"/>
    <w:rsid w:val="00F8571B"/>
    <w:rsid w:val="00F85846"/>
    <w:rsid w:val="00F85CDE"/>
    <w:rsid w:val="00F8612F"/>
    <w:rsid w:val="00F8614D"/>
    <w:rsid w:val="00F86D60"/>
    <w:rsid w:val="00F871B6"/>
    <w:rsid w:val="00F87212"/>
    <w:rsid w:val="00F8741C"/>
    <w:rsid w:val="00F87766"/>
    <w:rsid w:val="00F9013E"/>
    <w:rsid w:val="00F909C0"/>
    <w:rsid w:val="00F909E8"/>
    <w:rsid w:val="00F90F63"/>
    <w:rsid w:val="00F91954"/>
    <w:rsid w:val="00F91B05"/>
    <w:rsid w:val="00F91CB9"/>
    <w:rsid w:val="00F9208A"/>
    <w:rsid w:val="00F924ED"/>
    <w:rsid w:val="00F935A5"/>
    <w:rsid w:val="00F9371A"/>
    <w:rsid w:val="00F937F8"/>
    <w:rsid w:val="00F93EA4"/>
    <w:rsid w:val="00F9464F"/>
    <w:rsid w:val="00F94C31"/>
    <w:rsid w:val="00F955D5"/>
    <w:rsid w:val="00F9588A"/>
    <w:rsid w:val="00F95A8F"/>
    <w:rsid w:val="00F95E77"/>
    <w:rsid w:val="00F96139"/>
    <w:rsid w:val="00F96930"/>
    <w:rsid w:val="00F97236"/>
    <w:rsid w:val="00FA004C"/>
    <w:rsid w:val="00FA1086"/>
    <w:rsid w:val="00FA109F"/>
    <w:rsid w:val="00FA16CE"/>
    <w:rsid w:val="00FA2C0A"/>
    <w:rsid w:val="00FA2E07"/>
    <w:rsid w:val="00FA2E29"/>
    <w:rsid w:val="00FA355F"/>
    <w:rsid w:val="00FA498F"/>
    <w:rsid w:val="00FA4AD7"/>
    <w:rsid w:val="00FA505F"/>
    <w:rsid w:val="00FA5807"/>
    <w:rsid w:val="00FA746C"/>
    <w:rsid w:val="00FB06E6"/>
    <w:rsid w:val="00FB0E81"/>
    <w:rsid w:val="00FB11F9"/>
    <w:rsid w:val="00FB1A55"/>
    <w:rsid w:val="00FB2316"/>
    <w:rsid w:val="00FB2C85"/>
    <w:rsid w:val="00FB2DB1"/>
    <w:rsid w:val="00FB416F"/>
    <w:rsid w:val="00FB41DB"/>
    <w:rsid w:val="00FB4782"/>
    <w:rsid w:val="00FB4E7E"/>
    <w:rsid w:val="00FB54F1"/>
    <w:rsid w:val="00FB55F6"/>
    <w:rsid w:val="00FB68AC"/>
    <w:rsid w:val="00FB6CBA"/>
    <w:rsid w:val="00FB70F5"/>
    <w:rsid w:val="00FB7135"/>
    <w:rsid w:val="00FB749B"/>
    <w:rsid w:val="00FC0B1E"/>
    <w:rsid w:val="00FC1C04"/>
    <w:rsid w:val="00FC1F3D"/>
    <w:rsid w:val="00FC2000"/>
    <w:rsid w:val="00FC2331"/>
    <w:rsid w:val="00FC2933"/>
    <w:rsid w:val="00FC3639"/>
    <w:rsid w:val="00FC4469"/>
    <w:rsid w:val="00FC4BF3"/>
    <w:rsid w:val="00FC4FDD"/>
    <w:rsid w:val="00FC5903"/>
    <w:rsid w:val="00FC5FC4"/>
    <w:rsid w:val="00FC6041"/>
    <w:rsid w:val="00FC626F"/>
    <w:rsid w:val="00FC711C"/>
    <w:rsid w:val="00FC75A1"/>
    <w:rsid w:val="00FC7B2F"/>
    <w:rsid w:val="00FD0079"/>
    <w:rsid w:val="00FD00A6"/>
    <w:rsid w:val="00FD1224"/>
    <w:rsid w:val="00FD15D3"/>
    <w:rsid w:val="00FD15F0"/>
    <w:rsid w:val="00FD16EA"/>
    <w:rsid w:val="00FD1C58"/>
    <w:rsid w:val="00FD1F71"/>
    <w:rsid w:val="00FD2336"/>
    <w:rsid w:val="00FD2B6E"/>
    <w:rsid w:val="00FD2BAF"/>
    <w:rsid w:val="00FD316A"/>
    <w:rsid w:val="00FD32A8"/>
    <w:rsid w:val="00FD48DD"/>
    <w:rsid w:val="00FD5C35"/>
    <w:rsid w:val="00FD5D15"/>
    <w:rsid w:val="00FD5D52"/>
    <w:rsid w:val="00FD68D1"/>
    <w:rsid w:val="00FD7607"/>
    <w:rsid w:val="00FE09D4"/>
    <w:rsid w:val="00FE1138"/>
    <w:rsid w:val="00FE1D4D"/>
    <w:rsid w:val="00FE3EF2"/>
    <w:rsid w:val="00FE474D"/>
    <w:rsid w:val="00FE4840"/>
    <w:rsid w:val="00FE4BE3"/>
    <w:rsid w:val="00FE4DE7"/>
    <w:rsid w:val="00FE5188"/>
    <w:rsid w:val="00FE5E1B"/>
    <w:rsid w:val="00FE5EB0"/>
    <w:rsid w:val="00FE6E9F"/>
    <w:rsid w:val="00FE76F6"/>
    <w:rsid w:val="00FE7EA9"/>
    <w:rsid w:val="00FF00C9"/>
    <w:rsid w:val="00FF0378"/>
    <w:rsid w:val="00FF1975"/>
    <w:rsid w:val="00FF1E72"/>
    <w:rsid w:val="00FF1F1D"/>
    <w:rsid w:val="00FF2313"/>
    <w:rsid w:val="00FF26EF"/>
    <w:rsid w:val="00FF2754"/>
    <w:rsid w:val="00FF2E41"/>
    <w:rsid w:val="00FF3846"/>
    <w:rsid w:val="00FF3B1F"/>
    <w:rsid w:val="00FF4125"/>
    <w:rsid w:val="00FF41BF"/>
    <w:rsid w:val="00FF479E"/>
    <w:rsid w:val="00FF4A69"/>
    <w:rsid w:val="00FF58B7"/>
    <w:rsid w:val="00FF59B4"/>
    <w:rsid w:val="00FF5BDA"/>
    <w:rsid w:val="00FF5CF6"/>
    <w:rsid w:val="00FF5F5A"/>
    <w:rsid w:val="00FF6B6F"/>
    <w:rsid w:val="00FF6DB1"/>
    <w:rsid w:val="00FF7A6D"/>
    <w:rsid w:val="00FF7B3E"/>
    <w:rsid w:val="01ACB35F"/>
    <w:rsid w:val="01F4F19C"/>
    <w:rsid w:val="02568CB1"/>
    <w:rsid w:val="02952349"/>
    <w:rsid w:val="0301C1BC"/>
    <w:rsid w:val="05421603"/>
    <w:rsid w:val="0559559A"/>
    <w:rsid w:val="057FC828"/>
    <w:rsid w:val="07CDC566"/>
    <w:rsid w:val="0A08A6BA"/>
    <w:rsid w:val="0B0AB614"/>
    <w:rsid w:val="0E9AAC1E"/>
    <w:rsid w:val="0EEE1E8A"/>
    <w:rsid w:val="0F5B0446"/>
    <w:rsid w:val="1151681E"/>
    <w:rsid w:val="11B7240B"/>
    <w:rsid w:val="11D59841"/>
    <w:rsid w:val="15455423"/>
    <w:rsid w:val="15D8667B"/>
    <w:rsid w:val="16D97EBE"/>
    <w:rsid w:val="1780F095"/>
    <w:rsid w:val="1808972A"/>
    <w:rsid w:val="195E9BD5"/>
    <w:rsid w:val="19DE6163"/>
    <w:rsid w:val="1A87AA15"/>
    <w:rsid w:val="1B1A0C50"/>
    <w:rsid w:val="1C81382D"/>
    <w:rsid w:val="1E81FB15"/>
    <w:rsid w:val="1FF86D9B"/>
    <w:rsid w:val="21412F75"/>
    <w:rsid w:val="21BBDDAE"/>
    <w:rsid w:val="22D6724B"/>
    <w:rsid w:val="23A3E4F7"/>
    <w:rsid w:val="2434635E"/>
    <w:rsid w:val="24AB98EF"/>
    <w:rsid w:val="25A71C17"/>
    <w:rsid w:val="2E3CB0F4"/>
    <w:rsid w:val="2F11FE65"/>
    <w:rsid w:val="306C4551"/>
    <w:rsid w:val="30DF3179"/>
    <w:rsid w:val="3465326C"/>
    <w:rsid w:val="349506F2"/>
    <w:rsid w:val="34A75257"/>
    <w:rsid w:val="36045195"/>
    <w:rsid w:val="36BD1651"/>
    <w:rsid w:val="36FCE23F"/>
    <w:rsid w:val="388C5222"/>
    <w:rsid w:val="3A50B097"/>
    <w:rsid w:val="3A8B63DF"/>
    <w:rsid w:val="3BBB056D"/>
    <w:rsid w:val="3DEE03E4"/>
    <w:rsid w:val="3F0CF1B8"/>
    <w:rsid w:val="3F44A020"/>
    <w:rsid w:val="3F89ED74"/>
    <w:rsid w:val="3FA216AF"/>
    <w:rsid w:val="411DCD36"/>
    <w:rsid w:val="4215AE55"/>
    <w:rsid w:val="45F1CC94"/>
    <w:rsid w:val="4605500F"/>
    <w:rsid w:val="462BE35E"/>
    <w:rsid w:val="4696DEE0"/>
    <w:rsid w:val="4862F08B"/>
    <w:rsid w:val="4A26DA62"/>
    <w:rsid w:val="4C312A1E"/>
    <w:rsid w:val="4FCDF065"/>
    <w:rsid w:val="513125DA"/>
    <w:rsid w:val="5246E159"/>
    <w:rsid w:val="53BBE56D"/>
    <w:rsid w:val="54A88BA6"/>
    <w:rsid w:val="57AE1363"/>
    <w:rsid w:val="58300C21"/>
    <w:rsid w:val="58475D31"/>
    <w:rsid w:val="587C1C6A"/>
    <w:rsid w:val="5916490E"/>
    <w:rsid w:val="591D4094"/>
    <w:rsid w:val="59DBDE7D"/>
    <w:rsid w:val="5B6820AD"/>
    <w:rsid w:val="5C63F535"/>
    <w:rsid w:val="5DDFFA31"/>
    <w:rsid w:val="5E3F749C"/>
    <w:rsid w:val="600115D8"/>
    <w:rsid w:val="62CF814E"/>
    <w:rsid w:val="649B17CE"/>
    <w:rsid w:val="6733A5A8"/>
    <w:rsid w:val="688F0E0A"/>
    <w:rsid w:val="68BC8DEB"/>
    <w:rsid w:val="68E21EA2"/>
    <w:rsid w:val="69AF5E48"/>
    <w:rsid w:val="6A07CDFB"/>
    <w:rsid w:val="6AC2DF54"/>
    <w:rsid w:val="6B41075E"/>
    <w:rsid w:val="6BB2C081"/>
    <w:rsid w:val="6C4AFBDA"/>
    <w:rsid w:val="6E060014"/>
    <w:rsid w:val="6E9D0CAD"/>
    <w:rsid w:val="70249F01"/>
    <w:rsid w:val="704A0444"/>
    <w:rsid w:val="707B4536"/>
    <w:rsid w:val="70D1B065"/>
    <w:rsid w:val="71B8D5A0"/>
    <w:rsid w:val="7304AFB4"/>
    <w:rsid w:val="7318858E"/>
    <w:rsid w:val="74D3A60F"/>
    <w:rsid w:val="766C6DC7"/>
    <w:rsid w:val="775AB1A8"/>
    <w:rsid w:val="775CAB6A"/>
    <w:rsid w:val="7760AFA0"/>
    <w:rsid w:val="777ADB97"/>
    <w:rsid w:val="783AF80C"/>
    <w:rsid w:val="792228BE"/>
    <w:rsid w:val="7960E08F"/>
    <w:rsid w:val="7D60EB80"/>
    <w:rsid w:val="7EA47666"/>
    <w:rsid w:val="7FECD68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19C0123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Theme="minorHAnsi" w:hAnsi="Verdana" w:cstheme="minorBidi"/>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8" w:qFormat="1"/>
    <w:lsdException w:name="heading 2" w:semiHidden="1" w:uiPriority="9" w:unhideWhenUsed="1" w:qFormat="1"/>
    <w:lsdException w:name="heading 3" w:uiPriority="9"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1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semiHidden="1" w:uiPriority="31" w:unhideWhenUsed="1" w:qFormat="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4620F0"/>
    <w:pPr>
      <w:tabs>
        <w:tab w:val="left" w:pos="879"/>
      </w:tabs>
    </w:pPr>
    <w:rPr>
      <w:rFonts w:ascii="Cambria" w:hAnsi="Cambria"/>
      <w:sz w:val="24"/>
    </w:rPr>
  </w:style>
  <w:style w:type="paragraph" w:styleId="Heading1">
    <w:name w:val="heading 1"/>
    <w:next w:val="Heading2"/>
    <w:link w:val="Heading1Char"/>
    <w:uiPriority w:val="8"/>
    <w:qFormat/>
    <w:rsid w:val="004620F0"/>
    <w:pPr>
      <w:keepNext/>
      <w:keepLines/>
      <w:pageBreakBefore/>
      <w:numPr>
        <w:numId w:val="2"/>
      </w:numPr>
      <w:spacing w:before="240" w:after="240"/>
      <w:outlineLvl w:val="0"/>
    </w:pPr>
    <w:rPr>
      <w:rFonts w:ascii="Arial" w:eastAsiaTheme="majorEastAsia" w:hAnsi="Arial" w:cstheme="majorBidi"/>
      <w:b/>
      <w:sz w:val="36"/>
      <w:szCs w:val="32"/>
    </w:rPr>
  </w:style>
  <w:style w:type="paragraph" w:styleId="Heading2">
    <w:name w:val="heading 2"/>
    <w:next w:val="NumberedNormal"/>
    <w:link w:val="Heading2Char"/>
    <w:uiPriority w:val="9"/>
    <w:qFormat/>
    <w:rsid w:val="004620F0"/>
    <w:pPr>
      <w:keepNext/>
      <w:keepLines/>
      <w:numPr>
        <w:ilvl w:val="1"/>
        <w:numId w:val="2"/>
      </w:numPr>
      <w:spacing w:before="240" w:after="240"/>
      <w:outlineLvl w:val="1"/>
    </w:pPr>
    <w:rPr>
      <w:rFonts w:ascii="Arial" w:eastAsiaTheme="majorEastAsia" w:hAnsi="Arial" w:cstheme="majorBidi"/>
      <w:b/>
      <w:sz w:val="28"/>
      <w:szCs w:val="26"/>
    </w:rPr>
  </w:style>
  <w:style w:type="paragraph" w:styleId="Heading3">
    <w:name w:val="heading 3"/>
    <w:next w:val="NumberedNormal"/>
    <w:link w:val="Heading3Char"/>
    <w:uiPriority w:val="9"/>
    <w:qFormat/>
    <w:rsid w:val="004620F0"/>
    <w:pPr>
      <w:keepNext/>
      <w:keepLines/>
      <w:numPr>
        <w:ilvl w:val="5"/>
        <w:numId w:val="2"/>
      </w:numPr>
      <w:spacing w:before="160"/>
      <w:outlineLvl w:val="2"/>
    </w:pPr>
    <w:rPr>
      <w:rFonts w:ascii="Arial" w:eastAsiaTheme="majorEastAsia" w:hAnsi="Arial" w:cstheme="majorBidi"/>
      <w:b/>
      <w:sz w:val="24"/>
      <w:szCs w:val="24"/>
    </w:rPr>
  </w:style>
  <w:style w:type="paragraph" w:styleId="Heading4">
    <w:name w:val="heading 4"/>
    <w:basedOn w:val="Normal"/>
    <w:next w:val="Normal"/>
    <w:link w:val="Heading4Char"/>
    <w:uiPriority w:val="9"/>
    <w:unhideWhenUsed/>
    <w:rsid w:val="004620F0"/>
    <w:pPr>
      <w:keepNext/>
      <w:keepLines/>
      <w:spacing w:before="40" w:after="120"/>
      <w:outlineLvl w:val="3"/>
    </w:pPr>
    <w:rPr>
      <w:rFonts w:eastAsiaTheme="majorEastAsia" w:cstheme="majorBidi"/>
      <w:iCs/>
      <w:u w:val="single"/>
    </w:rPr>
  </w:style>
  <w:style w:type="paragraph" w:styleId="Heading5">
    <w:name w:val="heading 5"/>
    <w:basedOn w:val="Normal"/>
    <w:next w:val="Normal"/>
    <w:link w:val="Heading5Char"/>
    <w:uiPriority w:val="9"/>
    <w:unhideWhenUsed/>
    <w:rsid w:val="004620F0"/>
    <w:pPr>
      <w:keepNext/>
      <w:keepLines/>
      <w:spacing w:before="40" w:after="120"/>
      <w:outlineLvl w:val="4"/>
    </w:pPr>
    <w:rPr>
      <w:rFonts w:eastAsiaTheme="majorEastAsia" w:cstheme="majorBidi"/>
      <w:i/>
    </w:rPr>
  </w:style>
  <w:style w:type="paragraph" w:styleId="Heading6">
    <w:name w:val="heading 6"/>
    <w:basedOn w:val="Normal"/>
    <w:next w:val="Normal"/>
    <w:link w:val="Heading6Char"/>
    <w:uiPriority w:val="9"/>
    <w:semiHidden/>
    <w:qFormat/>
    <w:rsid w:val="004620F0"/>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qFormat/>
    <w:rsid w:val="004620F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qFormat/>
    <w:rsid w:val="004620F0"/>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qFormat/>
    <w:rsid w:val="004620F0"/>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8"/>
    <w:rsid w:val="004620F0"/>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4620F0"/>
    <w:rPr>
      <w:rFonts w:ascii="Arial" w:eastAsiaTheme="majorEastAsia" w:hAnsi="Arial" w:cstheme="majorBidi"/>
      <w:b/>
      <w:sz w:val="28"/>
      <w:szCs w:val="26"/>
    </w:rPr>
  </w:style>
  <w:style w:type="paragraph" w:styleId="Title">
    <w:name w:val="Title"/>
    <w:basedOn w:val="Normal"/>
    <w:link w:val="TitleChar"/>
    <w:uiPriority w:val="11"/>
    <w:rsid w:val="004620F0"/>
    <w:pPr>
      <w:spacing w:after="0" w:line="480" w:lineRule="auto"/>
      <w:contextualSpacing/>
    </w:pPr>
    <w:rPr>
      <w:rFonts w:ascii="Arial" w:eastAsiaTheme="majorEastAsia" w:hAnsi="Arial" w:cstheme="majorBidi"/>
      <w:b/>
      <w:spacing w:val="-10"/>
      <w:kern w:val="28"/>
      <w:sz w:val="36"/>
      <w:szCs w:val="56"/>
    </w:rPr>
  </w:style>
  <w:style w:type="character" w:customStyle="1" w:styleId="TitleChar">
    <w:name w:val="Title Char"/>
    <w:basedOn w:val="DefaultParagraphFont"/>
    <w:link w:val="Title"/>
    <w:uiPriority w:val="11"/>
    <w:rsid w:val="004620F0"/>
    <w:rPr>
      <w:rFonts w:ascii="Arial" w:eastAsiaTheme="majorEastAsia" w:hAnsi="Arial" w:cstheme="majorBidi"/>
      <w:b/>
      <w:spacing w:val="-10"/>
      <w:kern w:val="28"/>
      <w:sz w:val="36"/>
      <w:szCs w:val="56"/>
    </w:rPr>
  </w:style>
  <w:style w:type="character" w:customStyle="1" w:styleId="Heading3Char">
    <w:name w:val="Heading 3 Char"/>
    <w:basedOn w:val="DefaultParagraphFont"/>
    <w:link w:val="Heading3"/>
    <w:uiPriority w:val="9"/>
    <w:rsid w:val="004620F0"/>
    <w:rPr>
      <w:rFonts w:ascii="Arial" w:eastAsiaTheme="majorEastAsia" w:hAnsi="Arial" w:cstheme="majorBidi"/>
      <w:b/>
      <w:sz w:val="24"/>
      <w:szCs w:val="24"/>
    </w:rPr>
  </w:style>
  <w:style w:type="paragraph" w:styleId="Subtitle">
    <w:name w:val="Subtitle"/>
    <w:basedOn w:val="Normal"/>
    <w:next w:val="Normal"/>
    <w:link w:val="SubtitleChar"/>
    <w:uiPriority w:val="11"/>
    <w:rsid w:val="004620F0"/>
    <w:pPr>
      <w:numPr>
        <w:ilvl w:val="1"/>
      </w:numPr>
    </w:pPr>
    <w:rPr>
      <w:rFonts w:eastAsiaTheme="minorEastAsia"/>
      <w:b/>
      <w:spacing w:val="15"/>
    </w:rPr>
  </w:style>
  <w:style w:type="character" w:customStyle="1" w:styleId="SubtitleChar">
    <w:name w:val="Subtitle Char"/>
    <w:basedOn w:val="DefaultParagraphFont"/>
    <w:link w:val="Subtitle"/>
    <w:uiPriority w:val="11"/>
    <w:rsid w:val="004620F0"/>
    <w:rPr>
      <w:rFonts w:ascii="Cambria" w:eastAsiaTheme="minorEastAsia" w:hAnsi="Cambria"/>
      <w:b/>
      <w:spacing w:val="15"/>
      <w:sz w:val="24"/>
    </w:rPr>
  </w:style>
  <w:style w:type="character" w:styleId="SubtleEmphasis">
    <w:name w:val="Subtle Emphasis"/>
    <w:basedOn w:val="DefaultParagraphFont"/>
    <w:uiPriority w:val="19"/>
    <w:semiHidden/>
    <w:rsid w:val="004620F0"/>
    <w:rPr>
      <w:i/>
      <w:iCs/>
      <w:color w:val="404040" w:themeColor="text1" w:themeTint="BF"/>
    </w:rPr>
  </w:style>
  <w:style w:type="paragraph" w:styleId="NoSpacing">
    <w:name w:val="No Spacing"/>
    <w:basedOn w:val="Normal"/>
    <w:uiPriority w:val="1"/>
    <w:semiHidden/>
    <w:qFormat/>
    <w:rsid w:val="004620F0"/>
    <w:pPr>
      <w:spacing w:after="0"/>
    </w:pPr>
  </w:style>
  <w:style w:type="character" w:styleId="Emphasis">
    <w:name w:val="Emphasis"/>
    <w:basedOn w:val="DefaultParagraphFont"/>
    <w:uiPriority w:val="20"/>
    <w:rsid w:val="004620F0"/>
    <w:rPr>
      <w:i/>
      <w:iCs/>
    </w:rPr>
  </w:style>
  <w:style w:type="character" w:customStyle="1" w:styleId="Heading4Char">
    <w:name w:val="Heading 4 Char"/>
    <w:basedOn w:val="DefaultParagraphFont"/>
    <w:link w:val="Heading4"/>
    <w:uiPriority w:val="9"/>
    <w:rsid w:val="004620F0"/>
    <w:rPr>
      <w:rFonts w:ascii="Cambria" w:eastAsiaTheme="majorEastAsia" w:hAnsi="Cambria" w:cstheme="majorBidi"/>
      <w:iCs/>
      <w:sz w:val="24"/>
      <w:u w:val="single"/>
    </w:rPr>
  </w:style>
  <w:style w:type="character" w:customStyle="1" w:styleId="Heading5Char">
    <w:name w:val="Heading 5 Char"/>
    <w:basedOn w:val="DefaultParagraphFont"/>
    <w:link w:val="Heading5"/>
    <w:uiPriority w:val="9"/>
    <w:rsid w:val="004620F0"/>
    <w:rPr>
      <w:rFonts w:ascii="Cambria" w:eastAsiaTheme="majorEastAsia" w:hAnsi="Cambria" w:cstheme="majorBidi"/>
      <w:i/>
      <w:sz w:val="24"/>
    </w:rPr>
  </w:style>
  <w:style w:type="paragraph" w:styleId="IntenseQuote">
    <w:name w:val="Intense Quote"/>
    <w:basedOn w:val="Normal"/>
    <w:next w:val="Normal"/>
    <w:link w:val="IntenseQuoteChar"/>
    <w:uiPriority w:val="30"/>
    <w:semiHidden/>
    <w:qFormat/>
    <w:rsid w:val="004620F0"/>
    <w:pPr>
      <w:spacing w:before="360" w:after="360"/>
      <w:ind w:left="864" w:right="864"/>
    </w:pPr>
    <w:rPr>
      <w:b/>
      <w:iCs/>
    </w:rPr>
  </w:style>
  <w:style w:type="character" w:customStyle="1" w:styleId="IntenseQuoteChar">
    <w:name w:val="Intense Quote Char"/>
    <w:basedOn w:val="DefaultParagraphFont"/>
    <w:link w:val="IntenseQuote"/>
    <w:uiPriority w:val="30"/>
    <w:semiHidden/>
    <w:rsid w:val="004620F0"/>
    <w:rPr>
      <w:rFonts w:ascii="Cambria" w:hAnsi="Cambria"/>
      <w:b/>
      <w:iCs/>
      <w:sz w:val="24"/>
    </w:rPr>
  </w:style>
  <w:style w:type="character" w:styleId="IntenseEmphasis">
    <w:name w:val="Intense Emphasis"/>
    <w:basedOn w:val="DefaultParagraphFont"/>
    <w:uiPriority w:val="21"/>
    <w:semiHidden/>
    <w:rsid w:val="004620F0"/>
    <w:rPr>
      <w:i/>
      <w:iCs/>
      <w:color w:val="auto"/>
    </w:rPr>
  </w:style>
  <w:style w:type="paragraph" w:styleId="Quote">
    <w:name w:val="Quote"/>
    <w:basedOn w:val="Normal"/>
    <w:next w:val="Normal"/>
    <w:link w:val="QuoteChar"/>
    <w:uiPriority w:val="29"/>
    <w:qFormat/>
    <w:rsid w:val="004620F0"/>
    <w:pPr>
      <w:spacing w:before="200"/>
      <w:ind w:left="862" w:right="862"/>
    </w:pPr>
    <w:rPr>
      <w:iCs/>
    </w:rPr>
  </w:style>
  <w:style w:type="character" w:customStyle="1" w:styleId="QuoteChar">
    <w:name w:val="Quote Char"/>
    <w:basedOn w:val="DefaultParagraphFont"/>
    <w:link w:val="Quote"/>
    <w:uiPriority w:val="29"/>
    <w:rsid w:val="004620F0"/>
    <w:rPr>
      <w:rFonts w:ascii="Cambria" w:hAnsi="Cambria"/>
      <w:iCs/>
      <w:sz w:val="24"/>
    </w:rPr>
  </w:style>
  <w:style w:type="character" w:styleId="IntenseReference">
    <w:name w:val="Intense Reference"/>
    <w:basedOn w:val="DefaultParagraphFont"/>
    <w:uiPriority w:val="32"/>
    <w:semiHidden/>
    <w:rsid w:val="004620F0"/>
    <w:rPr>
      <w:rFonts w:ascii="Verdana" w:hAnsi="Verdana"/>
      <w:b/>
      <w:bCs/>
      <w:smallCaps/>
      <w:color w:val="auto"/>
      <w:spacing w:val="5"/>
    </w:rPr>
  </w:style>
  <w:style w:type="character" w:styleId="BookTitle">
    <w:name w:val="Book Title"/>
    <w:basedOn w:val="DefaultParagraphFont"/>
    <w:uiPriority w:val="33"/>
    <w:semiHidden/>
    <w:qFormat/>
    <w:rsid w:val="004620F0"/>
    <w:rPr>
      <w:b/>
      <w:bCs/>
      <w:i/>
      <w:iCs/>
      <w:spacing w:val="5"/>
    </w:rPr>
  </w:style>
  <w:style w:type="table" w:styleId="TableGrid">
    <w:name w:val="Table Grid"/>
    <w:uiPriority w:val="39"/>
    <w:rsid w:val="004620F0"/>
    <w:pPr>
      <w:spacing w:after="0" w:line="240" w:lineRule="auto"/>
    </w:pPr>
    <w:rPr>
      <w:rFonts w:ascii="Times New Roman" w:hAnsi="Times New Roman"/>
      <w:sz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auto"/>
      <w:vAlign w:val="center"/>
    </w:tcPr>
    <w:tblStylePr w:type="firstRow">
      <w:rPr>
        <w:rFonts w:ascii="Times New Roman" w:hAnsi="Times New Roman"/>
        <w:b w:val="0"/>
        <w:color w:val="auto"/>
        <w:sz w:val="24"/>
      </w:rPr>
    </w:tblStylePr>
  </w:style>
  <w:style w:type="paragraph" w:styleId="Header">
    <w:name w:val="header"/>
    <w:basedOn w:val="Normal"/>
    <w:link w:val="HeaderChar"/>
    <w:uiPriority w:val="99"/>
    <w:unhideWhenUsed/>
    <w:rsid w:val="004620F0"/>
    <w:pPr>
      <w:pBdr>
        <w:bottom w:val="single" w:sz="4" w:space="1" w:color="F68220"/>
      </w:pBdr>
      <w:tabs>
        <w:tab w:val="center" w:pos="4513"/>
        <w:tab w:val="right" w:pos="9026"/>
      </w:tabs>
      <w:spacing w:after="0" w:line="240" w:lineRule="auto"/>
    </w:pPr>
    <w:rPr>
      <w:color w:val="54616C"/>
    </w:rPr>
  </w:style>
  <w:style w:type="character" w:customStyle="1" w:styleId="HeaderChar">
    <w:name w:val="Header Char"/>
    <w:basedOn w:val="DefaultParagraphFont"/>
    <w:link w:val="Header"/>
    <w:uiPriority w:val="99"/>
    <w:rsid w:val="004620F0"/>
    <w:rPr>
      <w:rFonts w:ascii="Cambria" w:hAnsi="Cambria"/>
      <w:color w:val="54616C"/>
      <w:sz w:val="24"/>
    </w:rPr>
  </w:style>
  <w:style w:type="paragraph" w:styleId="Footer">
    <w:name w:val="footer"/>
    <w:basedOn w:val="Normal"/>
    <w:link w:val="FooterChar"/>
    <w:uiPriority w:val="99"/>
    <w:unhideWhenUsed/>
    <w:rsid w:val="004620F0"/>
    <w:pPr>
      <w:tabs>
        <w:tab w:val="center" w:pos="4513"/>
        <w:tab w:val="right" w:pos="9026"/>
      </w:tabs>
      <w:spacing w:after="0" w:line="240" w:lineRule="auto"/>
    </w:pPr>
    <w:rPr>
      <w:color w:val="54616C"/>
      <w:sz w:val="16"/>
    </w:rPr>
  </w:style>
  <w:style w:type="character" w:customStyle="1" w:styleId="FooterChar">
    <w:name w:val="Footer Char"/>
    <w:basedOn w:val="DefaultParagraphFont"/>
    <w:link w:val="Footer"/>
    <w:uiPriority w:val="99"/>
    <w:rsid w:val="004620F0"/>
    <w:rPr>
      <w:rFonts w:ascii="Cambria" w:hAnsi="Cambria"/>
      <w:color w:val="54616C"/>
      <w:sz w:val="16"/>
    </w:rPr>
  </w:style>
  <w:style w:type="table" w:styleId="TableGridLight">
    <w:name w:val="Grid Table Light"/>
    <w:basedOn w:val="TableNormal"/>
    <w:uiPriority w:val="40"/>
    <w:rsid w:val="004620F0"/>
    <w:pPr>
      <w:spacing w:after="0" w:line="240" w:lineRule="auto"/>
    </w:pPr>
    <w:rPr>
      <w:rFonts w:ascii="Times New Roman" w:hAnsi="Times New Roman"/>
      <w:sz w:val="24"/>
    </w:rPr>
    <w:tblPr>
      <w:tblInd w:w="680" w:type="dxa"/>
      <w:tblCellMar>
        <w:left w:w="198" w:type="dxa"/>
        <w:bottom w:w="85" w:type="dxa"/>
        <w:right w:w="0" w:type="dxa"/>
      </w:tblCellMar>
    </w:tblPr>
  </w:style>
  <w:style w:type="character" w:styleId="PlaceholderText">
    <w:name w:val="Placeholder Text"/>
    <w:basedOn w:val="DefaultParagraphFont"/>
    <w:uiPriority w:val="99"/>
    <w:semiHidden/>
    <w:rsid w:val="004620F0"/>
    <w:rPr>
      <w:color w:val="808080"/>
    </w:rPr>
  </w:style>
  <w:style w:type="character" w:styleId="Hyperlink">
    <w:name w:val="Hyperlink"/>
    <w:basedOn w:val="DefaultParagraphFont"/>
    <w:uiPriority w:val="99"/>
    <w:unhideWhenUsed/>
    <w:rsid w:val="004620F0"/>
    <w:rPr>
      <w:color w:val="191C9D"/>
      <w:u w:val="single"/>
    </w:rPr>
  </w:style>
  <w:style w:type="paragraph" w:styleId="TOCHeading">
    <w:name w:val="TOC Heading"/>
    <w:next w:val="Normal"/>
    <w:uiPriority w:val="39"/>
    <w:unhideWhenUsed/>
    <w:rsid w:val="004620F0"/>
    <w:pPr>
      <w:spacing w:before="40"/>
      <w:outlineLvl w:val="0"/>
    </w:pPr>
    <w:rPr>
      <w:rFonts w:ascii="Arial" w:eastAsiaTheme="majorEastAsia" w:hAnsi="Arial" w:cstheme="majorBidi"/>
      <w:b/>
      <w:sz w:val="36"/>
      <w:szCs w:val="32"/>
    </w:rPr>
  </w:style>
  <w:style w:type="paragraph" w:styleId="TOC1">
    <w:name w:val="toc 1"/>
    <w:basedOn w:val="Normal"/>
    <w:next w:val="Normal"/>
    <w:autoRedefine/>
    <w:uiPriority w:val="39"/>
    <w:unhideWhenUsed/>
    <w:rsid w:val="004620F0"/>
    <w:pPr>
      <w:tabs>
        <w:tab w:val="clear" w:pos="879"/>
        <w:tab w:val="right" w:pos="9015"/>
      </w:tabs>
      <w:spacing w:before="40" w:after="40"/>
      <w:ind w:left="680" w:right="567" w:hanging="680"/>
    </w:pPr>
    <w:rPr>
      <w:b/>
      <w:noProof/>
    </w:rPr>
  </w:style>
  <w:style w:type="paragraph" w:customStyle="1" w:styleId="Heading3nonumbering">
    <w:name w:val="Heading 3 (no numbering)"/>
    <w:next w:val="NumberedNormal"/>
    <w:uiPriority w:val="9"/>
    <w:qFormat/>
    <w:rsid w:val="004620F0"/>
    <w:pPr>
      <w:keepNext/>
      <w:keepLines/>
      <w:spacing w:before="160"/>
      <w:outlineLvl w:val="2"/>
    </w:pPr>
    <w:rPr>
      <w:rFonts w:ascii="Arial" w:eastAsiaTheme="majorEastAsia" w:hAnsi="Arial" w:cstheme="majorBidi"/>
      <w:b/>
      <w:sz w:val="24"/>
      <w:szCs w:val="26"/>
    </w:rPr>
  </w:style>
  <w:style w:type="paragraph" w:styleId="Caption">
    <w:name w:val="caption"/>
    <w:basedOn w:val="Normal"/>
    <w:next w:val="Normal"/>
    <w:uiPriority w:val="10"/>
    <w:qFormat/>
    <w:rsid w:val="004620F0"/>
    <w:pPr>
      <w:keepNext/>
      <w:spacing w:before="200" w:after="200" w:line="240" w:lineRule="auto"/>
      <w:jc w:val="center"/>
    </w:pPr>
    <w:rPr>
      <w:b/>
      <w:iCs/>
      <w:szCs w:val="18"/>
    </w:rPr>
  </w:style>
  <w:style w:type="paragraph" w:styleId="TOC2">
    <w:name w:val="toc 2"/>
    <w:basedOn w:val="Normal"/>
    <w:next w:val="Normal"/>
    <w:autoRedefine/>
    <w:uiPriority w:val="39"/>
    <w:unhideWhenUsed/>
    <w:rsid w:val="004620F0"/>
    <w:pPr>
      <w:tabs>
        <w:tab w:val="clear" w:pos="879"/>
      </w:tabs>
      <w:spacing w:after="40"/>
      <w:ind w:left="255" w:right="567" w:hanging="57"/>
    </w:pPr>
  </w:style>
  <w:style w:type="paragraph" w:styleId="TOC3">
    <w:name w:val="toc 3"/>
    <w:basedOn w:val="Normal"/>
    <w:next w:val="Normal"/>
    <w:autoRedefine/>
    <w:uiPriority w:val="39"/>
    <w:unhideWhenUsed/>
    <w:rsid w:val="004620F0"/>
    <w:pPr>
      <w:spacing w:after="40"/>
      <w:ind w:left="460" w:right="567" w:hanging="57"/>
    </w:pPr>
  </w:style>
  <w:style w:type="paragraph" w:styleId="ListParagraph">
    <w:name w:val="List Paragraph"/>
    <w:basedOn w:val="Normal"/>
    <w:uiPriority w:val="34"/>
    <w:rsid w:val="004620F0"/>
    <w:pPr>
      <w:spacing w:after="120"/>
    </w:pPr>
  </w:style>
  <w:style w:type="paragraph" w:customStyle="1" w:styleId="AppendixHeading">
    <w:name w:val="Appendix Heading"/>
    <w:basedOn w:val="Heading3nonumbering"/>
    <w:next w:val="Normal"/>
    <w:uiPriority w:val="10"/>
    <w:qFormat/>
    <w:rsid w:val="004620F0"/>
    <w:pPr>
      <w:numPr>
        <w:ilvl w:val="6"/>
        <w:numId w:val="2"/>
      </w:numPr>
      <w:spacing w:before="240"/>
      <w:jc w:val="center"/>
    </w:pPr>
  </w:style>
  <w:style w:type="paragraph" w:styleId="FootnoteText">
    <w:name w:val="footnote text"/>
    <w:basedOn w:val="Normal"/>
    <w:link w:val="FootnoteTextChar"/>
    <w:uiPriority w:val="99"/>
    <w:rsid w:val="004620F0"/>
    <w:pPr>
      <w:spacing w:after="0" w:line="240" w:lineRule="auto"/>
    </w:pPr>
    <w:rPr>
      <w:sz w:val="16"/>
    </w:rPr>
  </w:style>
  <w:style w:type="character" w:customStyle="1" w:styleId="FootnoteTextChar">
    <w:name w:val="Footnote Text Char"/>
    <w:basedOn w:val="DefaultParagraphFont"/>
    <w:link w:val="FootnoteText"/>
    <w:uiPriority w:val="99"/>
    <w:rsid w:val="004620F0"/>
    <w:rPr>
      <w:rFonts w:ascii="Cambria" w:hAnsi="Cambria"/>
      <w:sz w:val="16"/>
    </w:rPr>
  </w:style>
  <w:style w:type="character" w:styleId="FootnoteReference">
    <w:name w:val="footnote reference"/>
    <w:basedOn w:val="DefaultParagraphFont"/>
    <w:uiPriority w:val="99"/>
    <w:semiHidden/>
    <w:unhideWhenUsed/>
    <w:rsid w:val="004620F0"/>
    <w:rPr>
      <w:vertAlign w:val="superscript"/>
    </w:rPr>
  </w:style>
  <w:style w:type="paragraph" w:customStyle="1" w:styleId="NumberedNormal">
    <w:name w:val="Numbered Normal"/>
    <w:basedOn w:val="Normal"/>
    <w:qFormat/>
    <w:rsid w:val="004620F0"/>
    <w:pPr>
      <w:numPr>
        <w:ilvl w:val="2"/>
        <w:numId w:val="2"/>
      </w:numPr>
      <w:spacing w:before="160"/>
    </w:pPr>
  </w:style>
  <w:style w:type="character" w:customStyle="1" w:styleId="Heading6Char">
    <w:name w:val="Heading 6 Char"/>
    <w:basedOn w:val="DefaultParagraphFont"/>
    <w:link w:val="Heading6"/>
    <w:uiPriority w:val="9"/>
    <w:semiHidden/>
    <w:rsid w:val="004620F0"/>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4620F0"/>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4620F0"/>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20F0"/>
    <w:rPr>
      <w:rFonts w:asciiTheme="majorHAnsi" w:eastAsiaTheme="majorEastAsia" w:hAnsiTheme="majorHAnsi" w:cstheme="majorBidi"/>
      <w:i/>
      <w:iCs/>
      <w:color w:val="272727" w:themeColor="text1" w:themeTint="D8"/>
      <w:sz w:val="21"/>
      <w:szCs w:val="21"/>
    </w:rPr>
  </w:style>
  <w:style w:type="paragraph" w:styleId="TOC4">
    <w:name w:val="toc 4"/>
    <w:basedOn w:val="Normal"/>
    <w:next w:val="Normal"/>
    <w:autoRedefine/>
    <w:uiPriority w:val="39"/>
    <w:semiHidden/>
    <w:unhideWhenUsed/>
    <w:rsid w:val="004620F0"/>
    <w:pPr>
      <w:spacing w:after="100"/>
      <w:ind w:left="600"/>
    </w:pPr>
  </w:style>
  <w:style w:type="numbering" w:customStyle="1" w:styleId="AppendixNumbering">
    <w:name w:val="AppendixNumbering"/>
    <w:basedOn w:val="NoList"/>
    <w:uiPriority w:val="99"/>
    <w:rsid w:val="00CB1B56"/>
    <w:pPr>
      <w:numPr>
        <w:numId w:val="4"/>
      </w:numPr>
    </w:pPr>
  </w:style>
  <w:style w:type="table" w:customStyle="1" w:styleId="OfgemHighlight">
    <w:name w:val="OfgemHighlight"/>
    <w:basedOn w:val="TableNormal"/>
    <w:uiPriority w:val="99"/>
    <w:rsid w:val="004620F0"/>
    <w:pPr>
      <w:spacing w:line="240" w:lineRule="auto"/>
    </w:pPr>
    <w:tblPr>
      <w:tblCellMar>
        <w:top w:w="85" w:type="dxa"/>
        <w:left w:w="0" w:type="dxa"/>
        <w:right w:w="0" w:type="dxa"/>
      </w:tblCellMar>
    </w:tblPr>
    <w:tcPr>
      <w:shd w:val="clear" w:color="auto" w:fill="EFF0F2"/>
    </w:tcPr>
  </w:style>
  <w:style w:type="numbering" w:styleId="1ai">
    <w:name w:val="Outline List 1"/>
    <w:basedOn w:val="NoList"/>
    <w:uiPriority w:val="99"/>
    <w:semiHidden/>
    <w:unhideWhenUsed/>
    <w:rsid w:val="004620F0"/>
    <w:pPr>
      <w:numPr>
        <w:numId w:val="8"/>
      </w:numPr>
    </w:pPr>
  </w:style>
  <w:style w:type="numbering" w:customStyle="1" w:styleId="Bullets">
    <w:name w:val="Bullets"/>
    <w:basedOn w:val="NoList"/>
    <w:uiPriority w:val="99"/>
    <w:rsid w:val="004620F0"/>
    <w:pPr>
      <w:numPr>
        <w:numId w:val="9"/>
      </w:numPr>
    </w:pPr>
  </w:style>
  <w:style w:type="character" w:customStyle="1" w:styleId="GreenHighlight">
    <w:name w:val="Green Highlight"/>
    <w:basedOn w:val="DefaultParagraphFont"/>
    <w:uiPriority w:val="24"/>
    <w:qFormat/>
    <w:rsid w:val="004620F0"/>
    <w:rPr>
      <w:bdr w:val="none" w:sz="0" w:space="0" w:color="auto"/>
      <w:shd w:val="clear" w:color="auto" w:fill="00FF00"/>
    </w:rPr>
  </w:style>
  <w:style w:type="character" w:customStyle="1" w:styleId="YellowHighlight">
    <w:name w:val="Yellow Highlight"/>
    <w:basedOn w:val="DefaultParagraphFont"/>
    <w:uiPriority w:val="23"/>
    <w:qFormat/>
    <w:rsid w:val="004620F0"/>
    <w:rPr>
      <w:bdr w:val="none" w:sz="0" w:space="0" w:color="auto"/>
      <w:shd w:val="clear" w:color="auto" w:fill="FFFF00"/>
    </w:rPr>
  </w:style>
  <w:style w:type="character" w:customStyle="1" w:styleId="Subscript">
    <w:name w:val="Subscript"/>
    <w:basedOn w:val="DefaultParagraphFont"/>
    <w:uiPriority w:val="25"/>
    <w:qFormat/>
    <w:rsid w:val="004620F0"/>
    <w:rPr>
      <w:vertAlign w:val="subscript"/>
    </w:rPr>
  </w:style>
  <w:style w:type="numbering" w:customStyle="1" w:styleId="LettersList">
    <w:name w:val="Letters List"/>
    <w:basedOn w:val="NoList"/>
    <w:uiPriority w:val="99"/>
    <w:rsid w:val="004620F0"/>
    <w:pPr>
      <w:numPr>
        <w:numId w:val="10"/>
      </w:numPr>
    </w:pPr>
  </w:style>
  <w:style w:type="numbering" w:customStyle="1" w:styleId="LicenceNumbering">
    <w:name w:val="Licence Numbering"/>
    <w:basedOn w:val="NoList"/>
    <w:uiPriority w:val="99"/>
    <w:rsid w:val="004620F0"/>
    <w:pPr>
      <w:numPr>
        <w:numId w:val="2"/>
      </w:numPr>
    </w:pPr>
  </w:style>
  <w:style w:type="paragraph" w:customStyle="1" w:styleId="ListNormal">
    <w:name w:val="List Normal"/>
    <w:basedOn w:val="Normal"/>
    <w:uiPriority w:val="1"/>
    <w:qFormat/>
    <w:rsid w:val="004620F0"/>
    <w:pPr>
      <w:numPr>
        <w:ilvl w:val="3"/>
        <w:numId w:val="2"/>
      </w:numPr>
      <w:tabs>
        <w:tab w:val="clear" w:pos="879"/>
      </w:tabs>
      <w:spacing w:after="80"/>
    </w:pPr>
  </w:style>
  <w:style w:type="character" w:styleId="CommentReference">
    <w:name w:val="annotation reference"/>
    <w:basedOn w:val="DefaultParagraphFont"/>
    <w:uiPriority w:val="99"/>
    <w:rsid w:val="00EC45C0"/>
    <w:rPr>
      <w:sz w:val="16"/>
      <w:szCs w:val="16"/>
    </w:rPr>
  </w:style>
  <w:style w:type="paragraph" w:styleId="CommentText">
    <w:name w:val="annotation text"/>
    <w:basedOn w:val="Normal"/>
    <w:link w:val="CommentTextChar"/>
    <w:uiPriority w:val="99"/>
    <w:rsid w:val="00EC45C0"/>
    <w:pPr>
      <w:spacing w:after="80" w:line="240" w:lineRule="auto"/>
    </w:pPr>
    <w:rPr>
      <w:rFonts w:cs="Times New Roman"/>
      <w:sz w:val="20"/>
    </w:rPr>
  </w:style>
  <w:style w:type="character" w:customStyle="1" w:styleId="CommentTextChar">
    <w:name w:val="Comment Text Char"/>
    <w:basedOn w:val="DefaultParagraphFont"/>
    <w:link w:val="CommentText"/>
    <w:uiPriority w:val="99"/>
    <w:rsid w:val="00EC45C0"/>
    <w:rPr>
      <w:rFonts w:ascii="Times New Roman" w:hAnsi="Times New Roman" w:cs="Times New Roman"/>
    </w:rPr>
  </w:style>
  <w:style w:type="paragraph" w:styleId="BalloonText">
    <w:name w:val="Balloon Text"/>
    <w:basedOn w:val="Normal"/>
    <w:link w:val="BalloonTextChar"/>
    <w:uiPriority w:val="99"/>
    <w:semiHidden/>
    <w:unhideWhenUsed/>
    <w:rsid w:val="004620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20F0"/>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EC45C0"/>
    <w:pPr>
      <w:spacing w:after="160"/>
    </w:pPr>
    <w:rPr>
      <w:b/>
      <w:bCs/>
    </w:rPr>
  </w:style>
  <w:style w:type="character" w:customStyle="1" w:styleId="CommentSubjectChar">
    <w:name w:val="Comment Subject Char"/>
    <w:basedOn w:val="CommentTextChar"/>
    <w:link w:val="CommentSubject"/>
    <w:uiPriority w:val="99"/>
    <w:semiHidden/>
    <w:rsid w:val="00EC45C0"/>
    <w:rPr>
      <w:rFonts w:ascii="Times New Roman" w:hAnsi="Times New Roman" w:cs="Times New Roman"/>
      <w:b/>
      <w:bCs/>
    </w:rPr>
  </w:style>
  <w:style w:type="paragraph" w:styleId="Revision">
    <w:name w:val="Revision"/>
    <w:hidden/>
    <w:uiPriority w:val="99"/>
    <w:semiHidden/>
    <w:rsid w:val="00BC7A2B"/>
    <w:pPr>
      <w:spacing w:after="0" w:line="240" w:lineRule="auto"/>
    </w:pPr>
    <w:rPr>
      <w:rFonts w:ascii="Times New Roman" w:hAnsi="Times New Roman"/>
      <w:sz w:val="24"/>
    </w:rPr>
  </w:style>
  <w:style w:type="paragraph" w:customStyle="1" w:styleId="Equation">
    <w:name w:val="Equation"/>
    <w:basedOn w:val="Normal"/>
    <w:next w:val="Normal"/>
    <w:uiPriority w:val="2"/>
    <w:qFormat/>
    <w:rsid w:val="004620F0"/>
    <w:rPr>
      <w:rFonts w:eastAsiaTheme="minorEastAsia"/>
    </w:rPr>
  </w:style>
  <w:style w:type="table" w:styleId="GridTable1Light">
    <w:name w:val="Grid Table 1 Light"/>
    <w:basedOn w:val="TableNormal"/>
    <w:uiPriority w:val="46"/>
    <w:rsid w:val="00EC45C0"/>
    <w:pPr>
      <w:spacing w:after="0" w:line="240" w:lineRule="auto"/>
    </w:pPr>
    <w:rPr>
      <w:rFonts w:ascii="Times New Roman" w:hAnsi="Times New Roman"/>
      <w:sz w:val="24"/>
      <w:szCs w:val="24"/>
    </w:r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2">
    <w:name w:val="Plain Table 2"/>
    <w:basedOn w:val="TableNormal"/>
    <w:uiPriority w:val="42"/>
    <w:rsid w:val="00EC45C0"/>
    <w:pPr>
      <w:spacing w:after="0" w:line="240" w:lineRule="auto"/>
    </w:pPr>
    <w:rPr>
      <w:rFonts w:ascii="Times New Roman" w:hAnsi="Times New Roman"/>
      <w:sz w:val="24"/>
      <w:szCs w:val="24"/>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AppendixTitle">
    <w:name w:val="Appendix Title"/>
    <w:basedOn w:val="Heading2"/>
    <w:link w:val="AppendixTitleChar"/>
    <w:uiPriority w:val="4"/>
    <w:qFormat/>
    <w:rsid w:val="00C341F3"/>
    <w:pPr>
      <w:keepNext w:val="0"/>
      <w:numPr>
        <w:ilvl w:val="0"/>
        <w:numId w:val="0"/>
      </w:numPr>
      <w:spacing w:before="0" w:after="80" w:line="276" w:lineRule="auto"/>
      <w:jc w:val="center"/>
    </w:pPr>
    <w:rPr>
      <w:rFonts w:eastAsiaTheme="minorHAnsi" w:cs="Arial"/>
      <w:szCs w:val="28"/>
    </w:rPr>
  </w:style>
  <w:style w:type="character" w:customStyle="1" w:styleId="AppendixTitleChar">
    <w:name w:val="Appendix Title Char"/>
    <w:basedOn w:val="DefaultParagraphFont"/>
    <w:link w:val="AppendixTitle"/>
    <w:uiPriority w:val="4"/>
    <w:rsid w:val="00C341F3"/>
    <w:rPr>
      <w:rFonts w:ascii="Arial" w:hAnsi="Arial" w:cs="Arial"/>
      <w:b/>
      <w:sz w:val="28"/>
      <w:szCs w:val="28"/>
    </w:rPr>
  </w:style>
  <w:style w:type="character" w:styleId="FollowedHyperlink">
    <w:name w:val="FollowedHyperlink"/>
    <w:basedOn w:val="DefaultParagraphFont"/>
    <w:uiPriority w:val="99"/>
    <w:semiHidden/>
    <w:unhideWhenUsed/>
    <w:rsid w:val="002F2BF3"/>
    <w:rPr>
      <w:color w:val="954F72" w:themeColor="followedHyperlink"/>
      <w:u w:val="single"/>
    </w:rPr>
  </w:style>
  <w:style w:type="table" w:customStyle="1" w:styleId="AppendixTable">
    <w:name w:val="AppendixTable"/>
    <w:basedOn w:val="TableNormal"/>
    <w:uiPriority w:val="99"/>
    <w:rsid w:val="004620F0"/>
    <w:pPr>
      <w:spacing w:after="0" w:line="240" w:lineRule="auto"/>
    </w:pPr>
    <w:tblPr>
      <w:tblBorders>
        <w:top w:val="single" w:sz="12" w:space="0" w:color="auto"/>
        <w:bottom w:val="single" w:sz="12" w:space="0" w:color="auto"/>
      </w:tblBorders>
      <w:tblCellMar>
        <w:top w:w="28" w:type="dxa"/>
        <w:left w:w="28" w:type="dxa"/>
        <w:bottom w:w="57" w:type="dxa"/>
        <w:right w:w="28" w:type="dxa"/>
      </w:tblCellMar>
    </w:tblPr>
    <w:tcPr>
      <w:vAlign w:val="center"/>
    </w:tcPr>
    <w:tblStylePr w:type="firstRow">
      <w:pPr>
        <w:keepNext/>
        <w:keepLines/>
        <w:wordWrap/>
      </w:pPr>
      <w:rPr>
        <w:b/>
      </w:rPr>
      <w:tblPr/>
      <w:tcPr>
        <w:tcBorders>
          <w:top w:val="single" w:sz="12" w:space="0" w:color="auto"/>
          <w:left w:val="nil"/>
          <w:bottom w:val="single" w:sz="4" w:space="0" w:color="auto"/>
          <w:right w:val="nil"/>
          <w:insideH w:val="nil"/>
          <w:insideV w:val="nil"/>
          <w:tl2br w:val="nil"/>
          <w:tr2bl w:val="nil"/>
        </w:tcBorders>
      </w:tcPr>
    </w:tblStylePr>
    <w:tblStylePr w:type="lastRow">
      <w:rPr>
        <w:b/>
      </w:rPr>
      <w:tblPr/>
      <w:tcPr>
        <w:tcBorders>
          <w:top w:val="single" w:sz="4" w:space="0" w:color="auto"/>
          <w:left w:val="nil"/>
          <w:bottom w:val="single" w:sz="12" w:space="0" w:color="auto"/>
          <w:right w:val="nil"/>
          <w:insideH w:val="nil"/>
          <w:insideV w:val="nil"/>
          <w:tl2br w:val="nil"/>
          <w:tr2bl w:val="nil"/>
        </w:tcBorders>
      </w:tcPr>
    </w:tblStylePr>
  </w:style>
  <w:style w:type="table" w:styleId="PlainTable1">
    <w:name w:val="Plain Table 1"/>
    <w:basedOn w:val="TableNormal"/>
    <w:uiPriority w:val="41"/>
    <w:rsid w:val="004620F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ppendixText">
    <w:name w:val="Appendix Text"/>
    <w:basedOn w:val="Normal"/>
    <w:uiPriority w:val="10"/>
    <w:qFormat/>
    <w:rsid w:val="00083B7A"/>
    <w:pPr>
      <w:tabs>
        <w:tab w:val="clear" w:pos="879"/>
        <w:tab w:val="num" w:pos="1701"/>
      </w:tabs>
      <w:ind w:left="879" w:hanging="879"/>
    </w:pPr>
    <w:rPr>
      <w:rFonts w:ascii="Times New Roman" w:hAnsi="Times New Roman"/>
    </w:rPr>
  </w:style>
  <w:style w:type="character" w:styleId="UnresolvedMention">
    <w:name w:val="Unresolved Mention"/>
    <w:basedOn w:val="DefaultParagraphFont"/>
    <w:uiPriority w:val="99"/>
    <w:unhideWhenUsed/>
    <w:rsid w:val="00C65B36"/>
    <w:rPr>
      <w:color w:val="605E5C"/>
      <w:shd w:val="clear" w:color="auto" w:fill="E1DFDD"/>
    </w:rPr>
  </w:style>
  <w:style w:type="character" w:styleId="Mention">
    <w:name w:val="Mention"/>
    <w:basedOn w:val="DefaultParagraphFont"/>
    <w:uiPriority w:val="99"/>
    <w:unhideWhenUsed/>
    <w:rsid w:val="00C65B3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08410">
      <w:bodyDiv w:val="1"/>
      <w:marLeft w:val="0"/>
      <w:marRight w:val="0"/>
      <w:marTop w:val="0"/>
      <w:marBottom w:val="0"/>
      <w:divBdr>
        <w:top w:val="none" w:sz="0" w:space="0" w:color="auto"/>
        <w:left w:val="none" w:sz="0" w:space="0" w:color="auto"/>
        <w:bottom w:val="none" w:sz="0" w:space="0" w:color="auto"/>
        <w:right w:val="none" w:sz="0" w:space="0" w:color="auto"/>
      </w:divBdr>
    </w:div>
    <w:div w:id="206110999">
      <w:bodyDiv w:val="1"/>
      <w:marLeft w:val="0"/>
      <w:marRight w:val="0"/>
      <w:marTop w:val="0"/>
      <w:marBottom w:val="0"/>
      <w:divBdr>
        <w:top w:val="none" w:sz="0" w:space="0" w:color="auto"/>
        <w:left w:val="none" w:sz="0" w:space="0" w:color="auto"/>
        <w:bottom w:val="none" w:sz="0" w:space="0" w:color="auto"/>
        <w:right w:val="none" w:sz="0" w:space="0" w:color="auto"/>
      </w:divBdr>
    </w:div>
    <w:div w:id="305360366">
      <w:bodyDiv w:val="1"/>
      <w:marLeft w:val="0"/>
      <w:marRight w:val="0"/>
      <w:marTop w:val="0"/>
      <w:marBottom w:val="0"/>
      <w:divBdr>
        <w:top w:val="none" w:sz="0" w:space="0" w:color="auto"/>
        <w:left w:val="none" w:sz="0" w:space="0" w:color="auto"/>
        <w:bottom w:val="none" w:sz="0" w:space="0" w:color="auto"/>
        <w:right w:val="none" w:sz="0" w:space="0" w:color="auto"/>
      </w:divBdr>
    </w:div>
    <w:div w:id="306905789">
      <w:bodyDiv w:val="1"/>
      <w:marLeft w:val="0"/>
      <w:marRight w:val="0"/>
      <w:marTop w:val="0"/>
      <w:marBottom w:val="0"/>
      <w:divBdr>
        <w:top w:val="none" w:sz="0" w:space="0" w:color="auto"/>
        <w:left w:val="none" w:sz="0" w:space="0" w:color="auto"/>
        <w:bottom w:val="none" w:sz="0" w:space="0" w:color="auto"/>
        <w:right w:val="none" w:sz="0" w:space="0" w:color="auto"/>
      </w:divBdr>
    </w:div>
    <w:div w:id="361589423">
      <w:bodyDiv w:val="1"/>
      <w:marLeft w:val="0"/>
      <w:marRight w:val="0"/>
      <w:marTop w:val="0"/>
      <w:marBottom w:val="0"/>
      <w:divBdr>
        <w:top w:val="none" w:sz="0" w:space="0" w:color="auto"/>
        <w:left w:val="none" w:sz="0" w:space="0" w:color="auto"/>
        <w:bottom w:val="none" w:sz="0" w:space="0" w:color="auto"/>
        <w:right w:val="none" w:sz="0" w:space="0" w:color="auto"/>
      </w:divBdr>
    </w:div>
    <w:div w:id="397634833">
      <w:bodyDiv w:val="1"/>
      <w:marLeft w:val="0"/>
      <w:marRight w:val="0"/>
      <w:marTop w:val="0"/>
      <w:marBottom w:val="0"/>
      <w:divBdr>
        <w:top w:val="none" w:sz="0" w:space="0" w:color="auto"/>
        <w:left w:val="none" w:sz="0" w:space="0" w:color="auto"/>
        <w:bottom w:val="none" w:sz="0" w:space="0" w:color="auto"/>
        <w:right w:val="none" w:sz="0" w:space="0" w:color="auto"/>
      </w:divBdr>
    </w:div>
    <w:div w:id="434206817">
      <w:bodyDiv w:val="1"/>
      <w:marLeft w:val="0"/>
      <w:marRight w:val="0"/>
      <w:marTop w:val="0"/>
      <w:marBottom w:val="0"/>
      <w:divBdr>
        <w:top w:val="none" w:sz="0" w:space="0" w:color="auto"/>
        <w:left w:val="none" w:sz="0" w:space="0" w:color="auto"/>
        <w:bottom w:val="none" w:sz="0" w:space="0" w:color="auto"/>
        <w:right w:val="none" w:sz="0" w:space="0" w:color="auto"/>
      </w:divBdr>
    </w:div>
    <w:div w:id="569197145">
      <w:bodyDiv w:val="1"/>
      <w:marLeft w:val="0"/>
      <w:marRight w:val="0"/>
      <w:marTop w:val="0"/>
      <w:marBottom w:val="0"/>
      <w:divBdr>
        <w:top w:val="none" w:sz="0" w:space="0" w:color="auto"/>
        <w:left w:val="none" w:sz="0" w:space="0" w:color="auto"/>
        <w:bottom w:val="none" w:sz="0" w:space="0" w:color="auto"/>
        <w:right w:val="none" w:sz="0" w:space="0" w:color="auto"/>
      </w:divBdr>
    </w:div>
    <w:div w:id="571308811">
      <w:bodyDiv w:val="1"/>
      <w:marLeft w:val="0"/>
      <w:marRight w:val="0"/>
      <w:marTop w:val="0"/>
      <w:marBottom w:val="0"/>
      <w:divBdr>
        <w:top w:val="none" w:sz="0" w:space="0" w:color="auto"/>
        <w:left w:val="none" w:sz="0" w:space="0" w:color="auto"/>
        <w:bottom w:val="none" w:sz="0" w:space="0" w:color="auto"/>
        <w:right w:val="none" w:sz="0" w:space="0" w:color="auto"/>
      </w:divBdr>
    </w:div>
    <w:div w:id="640581118">
      <w:bodyDiv w:val="1"/>
      <w:marLeft w:val="0"/>
      <w:marRight w:val="0"/>
      <w:marTop w:val="0"/>
      <w:marBottom w:val="0"/>
      <w:divBdr>
        <w:top w:val="none" w:sz="0" w:space="0" w:color="auto"/>
        <w:left w:val="none" w:sz="0" w:space="0" w:color="auto"/>
        <w:bottom w:val="none" w:sz="0" w:space="0" w:color="auto"/>
        <w:right w:val="none" w:sz="0" w:space="0" w:color="auto"/>
      </w:divBdr>
    </w:div>
    <w:div w:id="977415018">
      <w:bodyDiv w:val="1"/>
      <w:marLeft w:val="0"/>
      <w:marRight w:val="0"/>
      <w:marTop w:val="0"/>
      <w:marBottom w:val="0"/>
      <w:divBdr>
        <w:top w:val="none" w:sz="0" w:space="0" w:color="auto"/>
        <w:left w:val="none" w:sz="0" w:space="0" w:color="auto"/>
        <w:bottom w:val="none" w:sz="0" w:space="0" w:color="auto"/>
        <w:right w:val="none" w:sz="0" w:space="0" w:color="auto"/>
      </w:divBdr>
    </w:div>
    <w:div w:id="1174685908">
      <w:bodyDiv w:val="1"/>
      <w:marLeft w:val="0"/>
      <w:marRight w:val="0"/>
      <w:marTop w:val="0"/>
      <w:marBottom w:val="0"/>
      <w:divBdr>
        <w:top w:val="none" w:sz="0" w:space="0" w:color="auto"/>
        <w:left w:val="none" w:sz="0" w:space="0" w:color="auto"/>
        <w:bottom w:val="none" w:sz="0" w:space="0" w:color="auto"/>
        <w:right w:val="none" w:sz="0" w:space="0" w:color="auto"/>
      </w:divBdr>
    </w:div>
    <w:div w:id="1308508340">
      <w:bodyDiv w:val="1"/>
      <w:marLeft w:val="0"/>
      <w:marRight w:val="0"/>
      <w:marTop w:val="0"/>
      <w:marBottom w:val="0"/>
      <w:divBdr>
        <w:top w:val="none" w:sz="0" w:space="0" w:color="auto"/>
        <w:left w:val="none" w:sz="0" w:space="0" w:color="auto"/>
        <w:bottom w:val="none" w:sz="0" w:space="0" w:color="auto"/>
        <w:right w:val="none" w:sz="0" w:space="0" w:color="auto"/>
      </w:divBdr>
    </w:div>
    <w:div w:id="1332216722">
      <w:bodyDiv w:val="1"/>
      <w:marLeft w:val="0"/>
      <w:marRight w:val="0"/>
      <w:marTop w:val="0"/>
      <w:marBottom w:val="0"/>
      <w:divBdr>
        <w:top w:val="none" w:sz="0" w:space="0" w:color="auto"/>
        <w:left w:val="none" w:sz="0" w:space="0" w:color="auto"/>
        <w:bottom w:val="none" w:sz="0" w:space="0" w:color="auto"/>
        <w:right w:val="none" w:sz="0" w:space="0" w:color="auto"/>
      </w:divBdr>
    </w:div>
    <w:div w:id="1557081304">
      <w:bodyDiv w:val="1"/>
      <w:marLeft w:val="0"/>
      <w:marRight w:val="0"/>
      <w:marTop w:val="0"/>
      <w:marBottom w:val="0"/>
      <w:divBdr>
        <w:top w:val="none" w:sz="0" w:space="0" w:color="auto"/>
        <w:left w:val="none" w:sz="0" w:space="0" w:color="auto"/>
        <w:bottom w:val="none" w:sz="0" w:space="0" w:color="auto"/>
        <w:right w:val="none" w:sz="0" w:space="0" w:color="auto"/>
      </w:divBdr>
    </w:div>
    <w:div w:id="1699623028">
      <w:bodyDiv w:val="1"/>
      <w:marLeft w:val="0"/>
      <w:marRight w:val="0"/>
      <w:marTop w:val="0"/>
      <w:marBottom w:val="0"/>
      <w:divBdr>
        <w:top w:val="none" w:sz="0" w:space="0" w:color="auto"/>
        <w:left w:val="none" w:sz="0" w:space="0" w:color="auto"/>
        <w:bottom w:val="none" w:sz="0" w:space="0" w:color="auto"/>
        <w:right w:val="none" w:sz="0" w:space="0" w:color="auto"/>
      </w:divBdr>
    </w:div>
    <w:div w:id="1732345460">
      <w:bodyDiv w:val="1"/>
      <w:marLeft w:val="0"/>
      <w:marRight w:val="0"/>
      <w:marTop w:val="0"/>
      <w:marBottom w:val="0"/>
      <w:divBdr>
        <w:top w:val="none" w:sz="0" w:space="0" w:color="auto"/>
        <w:left w:val="none" w:sz="0" w:space="0" w:color="auto"/>
        <w:bottom w:val="none" w:sz="0" w:space="0" w:color="auto"/>
        <w:right w:val="none" w:sz="0" w:space="0" w:color="auto"/>
      </w:divBdr>
    </w:div>
    <w:div w:id="1768235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EDF1F3"/>
        </a:solidFill>
        <a:ln w="9525">
          <a:no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0" ma:contentTypeDescription="Create a new document." ma:contentTypeScope="" ma:versionID="73f783b29a1a71d4ecbfbac99e1d7ede">
  <xsd:schema xmlns:xsd="http://www.w3.org/2001/XMLSchema" xmlns:xs="http://www.w3.org/2001/XMLSchema" xmlns:p="http://schemas.microsoft.com/office/2006/metadata/properties" xmlns:ns2="978a1c12-3ab7-471e-b134-e7ba3975f64f" xmlns:ns3="f35b5cbd-7b0b-4440-92cd-b510cab4ec67" targetNamespace="http://schemas.microsoft.com/office/2006/metadata/properties" ma:root="true" ma:fieldsID="a928bd24ae3d8e620454dfa0ea4cdc5a" ns2:_="" ns3:_="">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sisl xmlns:xsd="http://www.w3.org/2001/XMLSchema" xmlns:xsi="http://www.w3.org/2001/XMLSchema-instance" xmlns="http://www.boldonjames.com/2008/01/sie/internal/label" sislVersion="0" policy="973096ae-7329-4b3b-9368-47aeba6959e1" origin="userSelected">
  <element uid="id_classification_nonbusiness" value=""/>
</sisl>
</file>

<file path=customXml/itemProps1.xml><?xml version="1.0" encoding="utf-8"?>
<ds:datastoreItem xmlns:ds="http://schemas.openxmlformats.org/officeDocument/2006/customXml" ds:itemID="{B924AB3D-5450-4510-A4B9-5CD6D2DBFEAC}">
  <ds:schemaRefs>
    <ds:schemaRef ds:uri="http://schemas.microsoft.com/office/2006/documentManagement/types"/>
    <ds:schemaRef ds:uri="http://purl.org/dc/dcmitype/"/>
    <ds:schemaRef ds:uri="http://purl.org/dc/elements/1.1/"/>
    <ds:schemaRef ds:uri="http://schemas.openxmlformats.org/package/2006/metadata/core-properties"/>
    <ds:schemaRef ds:uri="http://schemas.microsoft.com/office/2006/metadata/properties"/>
    <ds:schemaRef ds:uri="http://purl.org/dc/terms/"/>
    <ds:schemaRef ds:uri="http://schemas.microsoft.com/office/infopath/2007/PartnerControls"/>
    <ds:schemaRef ds:uri="234c8f48-594a-4a21-8bf9-69583f09c42b"/>
    <ds:schemaRef ds:uri="http://www.w3.org/XML/1998/namespace"/>
  </ds:schemaRefs>
</ds:datastoreItem>
</file>

<file path=customXml/itemProps2.xml><?xml version="1.0" encoding="utf-8"?>
<ds:datastoreItem xmlns:ds="http://schemas.openxmlformats.org/officeDocument/2006/customXml" ds:itemID="{892382DC-17BB-4315-B3B9-9B552D116345}">
  <ds:schemaRefs>
    <ds:schemaRef ds:uri="http://schemas.microsoft.com/sharepoint/v3/contenttype/forms"/>
  </ds:schemaRefs>
</ds:datastoreItem>
</file>

<file path=customXml/itemProps3.xml><?xml version="1.0" encoding="utf-8"?>
<ds:datastoreItem xmlns:ds="http://schemas.openxmlformats.org/officeDocument/2006/customXml" ds:itemID="{46F8F78D-C69C-487D-ACC2-3AF2826989CB}"/>
</file>

<file path=customXml/itemProps4.xml><?xml version="1.0" encoding="utf-8"?>
<ds:datastoreItem xmlns:ds="http://schemas.openxmlformats.org/officeDocument/2006/customXml" ds:itemID="{F132DFDF-1E75-494C-936C-A4DDE46D5D82}">
  <ds:schemaRefs>
    <ds:schemaRef ds:uri="http://schemas.openxmlformats.org/officeDocument/2006/bibliography"/>
  </ds:schemaRefs>
</ds:datastoreItem>
</file>

<file path=customXml/itemProps5.xml><?xml version="1.0" encoding="utf-8"?>
<ds:datastoreItem xmlns:ds="http://schemas.openxmlformats.org/officeDocument/2006/customXml" ds:itemID="{756537A5-5A7A-46E6-A819-5547B47EA9FE}">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134</Pages>
  <Words>34171</Words>
  <Characters>194780</Characters>
  <Application>Microsoft Office Word</Application>
  <DocSecurity>0</DocSecurity>
  <Lines>1623</Lines>
  <Paragraphs>456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228495</CharactersWithSpaces>
  <SharedDoc>false</SharedDoc>
  <HLinks>
    <vt:vector size="474" baseType="variant">
      <vt:variant>
        <vt:i4>1507381</vt:i4>
      </vt:variant>
      <vt:variant>
        <vt:i4>470</vt:i4>
      </vt:variant>
      <vt:variant>
        <vt:i4>0</vt:i4>
      </vt:variant>
      <vt:variant>
        <vt:i4>5</vt:i4>
      </vt:variant>
      <vt:variant>
        <vt:lpwstr/>
      </vt:variant>
      <vt:variant>
        <vt:lpwstr>_Toc52315360</vt:lpwstr>
      </vt:variant>
      <vt:variant>
        <vt:i4>1966134</vt:i4>
      </vt:variant>
      <vt:variant>
        <vt:i4>464</vt:i4>
      </vt:variant>
      <vt:variant>
        <vt:i4>0</vt:i4>
      </vt:variant>
      <vt:variant>
        <vt:i4>5</vt:i4>
      </vt:variant>
      <vt:variant>
        <vt:lpwstr/>
      </vt:variant>
      <vt:variant>
        <vt:lpwstr>_Toc52315359</vt:lpwstr>
      </vt:variant>
      <vt:variant>
        <vt:i4>2031670</vt:i4>
      </vt:variant>
      <vt:variant>
        <vt:i4>458</vt:i4>
      </vt:variant>
      <vt:variant>
        <vt:i4>0</vt:i4>
      </vt:variant>
      <vt:variant>
        <vt:i4>5</vt:i4>
      </vt:variant>
      <vt:variant>
        <vt:lpwstr/>
      </vt:variant>
      <vt:variant>
        <vt:lpwstr>_Toc52315358</vt:lpwstr>
      </vt:variant>
      <vt:variant>
        <vt:i4>1048630</vt:i4>
      </vt:variant>
      <vt:variant>
        <vt:i4>452</vt:i4>
      </vt:variant>
      <vt:variant>
        <vt:i4>0</vt:i4>
      </vt:variant>
      <vt:variant>
        <vt:i4>5</vt:i4>
      </vt:variant>
      <vt:variant>
        <vt:lpwstr/>
      </vt:variant>
      <vt:variant>
        <vt:lpwstr>_Toc52315357</vt:lpwstr>
      </vt:variant>
      <vt:variant>
        <vt:i4>1114166</vt:i4>
      </vt:variant>
      <vt:variant>
        <vt:i4>446</vt:i4>
      </vt:variant>
      <vt:variant>
        <vt:i4>0</vt:i4>
      </vt:variant>
      <vt:variant>
        <vt:i4>5</vt:i4>
      </vt:variant>
      <vt:variant>
        <vt:lpwstr/>
      </vt:variant>
      <vt:variant>
        <vt:lpwstr>_Toc52315356</vt:lpwstr>
      </vt:variant>
      <vt:variant>
        <vt:i4>1179702</vt:i4>
      </vt:variant>
      <vt:variant>
        <vt:i4>440</vt:i4>
      </vt:variant>
      <vt:variant>
        <vt:i4>0</vt:i4>
      </vt:variant>
      <vt:variant>
        <vt:i4>5</vt:i4>
      </vt:variant>
      <vt:variant>
        <vt:lpwstr/>
      </vt:variant>
      <vt:variant>
        <vt:lpwstr>_Toc52315355</vt:lpwstr>
      </vt:variant>
      <vt:variant>
        <vt:i4>1245238</vt:i4>
      </vt:variant>
      <vt:variant>
        <vt:i4>434</vt:i4>
      </vt:variant>
      <vt:variant>
        <vt:i4>0</vt:i4>
      </vt:variant>
      <vt:variant>
        <vt:i4>5</vt:i4>
      </vt:variant>
      <vt:variant>
        <vt:lpwstr/>
      </vt:variant>
      <vt:variant>
        <vt:lpwstr>_Toc52315354</vt:lpwstr>
      </vt:variant>
      <vt:variant>
        <vt:i4>1310774</vt:i4>
      </vt:variant>
      <vt:variant>
        <vt:i4>428</vt:i4>
      </vt:variant>
      <vt:variant>
        <vt:i4>0</vt:i4>
      </vt:variant>
      <vt:variant>
        <vt:i4>5</vt:i4>
      </vt:variant>
      <vt:variant>
        <vt:lpwstr/>
      </vt:variant>
      <vt:variant>
        <vt:lpwstr>_Toc52315353</vt:lpwstr>
      </vt:variant>
      <vt:variant>
        <vt:i4>1376310</vt:i4>
      </vt:variant>
      <vt:variant>
        <vt:i4>422</vt:i4>
      </vt:variant>
      <vt:variant>
        <vt:i4>0</vt:i4>
      </vt:variant>
      <vt:variant>
        <vt:i4>5</vt:i4>
      </vt:variant>
      <vt:variant>
        <vt:lpwstr/>
      </vt:variant>
      <vt:variant>
        <vt:lpwstr>_Toc52315352</vt:lpwstr>
      </vt:variant>
      <vt:variant>
        <vt:i4>1441846</vt:i4>
      </vt:variant>
      <vt:variant>
        <vt:i4>416</vt:i4>
      </vt:variant>
      <vt:variant>
        <vt:i4>0</vt:i4>
      </vt:variant>
      <vt:variant>
        <vt:i4>5</vt:i4>
      </vt:variant>
      <vt:variant>
        <vt:lpwstr/>
      </vt:variant>
      <vt:variant>
        <vt:lpwstr>_Toc52315351</vt:lpwstr>
      </vt:variant>
      <vt:variant>
        <vt:i4>1507382</vt:i4>
      </vt:variant>
      <vt:variant>
        <vt:i4>410</vt:i4>
      </vt:variant>
      <vt:variant>
        <vt:i4>0</vt:i4>
      </vt:variant>
      <vt:variant>
        <vt:i4>5</vt:i4>
      </vt:variant>
      <vt:variant>
        <vt:lpwstr/>
      </vt:variant>
      <vt:variant>
        <vt:lpwstr>_Toc52315350</vt:lpwstr>
      </vt:variant>
      <vt:variant>
        <vt:i4>1966135</vt:i4>
      </vt:variant>
      <vt:variant>
        <vt:i4>404</vt:i4>
      </vt:variant>
      <vt:variant>
        <vt:i4>0</vt:i4>
      </vt:variant>
      <vt:variant>
        <vt:i4>5</vt:i4>
      </vt:variant>
      <vt:variant>
        <vt:lpwstr/>
      </vt:variant>
      <vt:variant>
        <vt:lpwstr>_Toc52315349</vt:lpwstr>
      </vt:variant>
      <vt:variant>
        <vt:i4>2031671</vt:i4>
      </vt:variant>
      <vt:variant>
        <vt:i4>398</vt:i4>
      </vt:variant>
      <vt:variant>
        <vt:i4>0</vt:i4>
      </vt:variant>
      <vt:variant>
        <vt:i4>5</vt:i4>
      </vt:variant>
      <vt:variant>
        <vt:lpwstr/>
      </vt:variant>
      <vt:variant>
        <vt:lpwstr>_Toc52315348</vt:lpwstr>
      </vt:variant>
      <vt:variant>
        <vt:i4>1048631</vt:i4>
      </vt:variant>
      <vt:variant>
        <vt:i4>392</vt:i4>
      </vt:variant>
      <vt:variant>
        <vt:i4>0</vt:i4>
      </vt:variant>
      <vt:variant>
        <vt:i4>5</vt:i4>
      </vt:variant>
      <vt:variant>
        <vt:lpwstr/>
      </vt:variant>
      <vt:variant>
        <vt:lpwstr>_Toc52315347</vt:lpwstr>
      </vt:variant>
      <vt:variant>
        <vt:i4>1114167</vt:i4>
      </vt:variant>
      <vt:variant>
        <vt:i4>386</vt:i4>
      </vt:variant>
      <vt:variant>
        <vt:i4>0</vt:i4>
      </vt:variant>
      <vt:variant>
        <vt:i4>5</vt:i4>
      </vt:variant>
      <vt:variant>
        <vt:lpwstr/>
      </vt:variant>
      <vt:variant>
        <vt:lpwstr>_Toc52315346</vt:lpwstr>
      </vt:variant>
      <vt:variant>
        <vt:i4>1179703</vt:i4>
      </vt:variant>
      <vt:variant>
        <vt:i4>380</vt:i4>
      </vt:variant>
      <vt:variant>
        <vt:i4>0</vt:i4>
      </vt:variant>
      <vt:variant>
        <vt:i4>5</vt:i4>
      </vt:variant>
      <vt:variant>
        <vt:lpwstr/>
      </vt:variant>
      <vt:variant>
        <vt:lpwstr>_Toc52315345</vt:lpwstr>
      </vt:variant>
      <vt:variant>
        <vt:i4>1245239</vt:i4>
      </vt:variant>
      <vt:variant>
        <vt:i4>374</vt:i4>
      </vt:variant>
      <vt:variant>
        <vt:i4>0</vt:i4>
      </vt:variant>
      <vt:variant>
        <vt:i4>5</vt:i4>
      </vt:variant>
      <vt:variant>
        <vt:lpwstr/>
      </vt:variant>
      <vt:variant>
        <vt:lpwstr>_Toc52315344</vt:lpwstr>
      </vt:variant>
      <vt:variant>
        <vt:i4>1310775</vt:i4>
      </vt:variant>
      <vt:variant>
        <vt:i4>368</vt:i4>
      </vt:variant>
      <vt:variant>
        <vt:i4>0</vt:i4>
      </vt:variant>
      <vt:variant>
        <vt:i4>5</vt:i4>
      </vt:variant>
      <vt:variant>
        <vt:lpwstr/>
      </vt:variant>
      <vt:variant>
        <vt:lpwstr>_Toc52315343</vt:lpwstr>
      </vt:variant>
      <vt:variant>
        <vt:i4>1376311</vt:i4>
      </vt:variant>
      <vt:variant>
        <vt:i4>362</vt:i4>
      </vt:variant>
      <vt:variant>
        <vt:i4>0</vt:i4>
      </vt:variant>
      <vt:variant>
        <vt:i4>5</vt:i4>
      </vt:variant>
      <vt:variant>
        <vt:lpwstr/>
      </vt:variant>
      <vt:variant>
        <vt:lpwstr>_Toc52315342</vt:lpwstr>
      </vt:variant>
      <vt:variant>
        <vt:i4>1441847</vt:i4>
      </vt:variant>
      <vt:variant>
        <vt:i4>356</vt:i4>
      </vt:variant>
      <vt:variant>
        <vt:i4>0</vt:i4>
      </vt:variant>
      <vt:variant>
        <vt:i4>5</vt:i4>
      </vt:variant>
      <vt:variant>
        <vt:lpwstr/>
      </vt:variant>
      <vt:variant>
        <vt:lpwstr>_Toc52315341</vt:lpwstr>
      </vt:variant>
      <vt:variant>
        <vt:i4>1507383</vt:i4>
      </vt:variant>
      <vt:variant>
        <vt:i4>350</vt:i4>
      </vt:variant>
      <vt:variant>
        <vt:i4>0</vt:i4>
      </vt:variant>
      <vt:variant>
        <vt:i4>5</vt:i4>
      </vt:variant>
      <vt:variant>
        <vt:lpwstr/>
      </vt:variant>
      <vt:variant>
        <vt:lpwstr>_Toc52315340</vt:lpwstr>
      </vt:variant>
      <vt:variant>
        <vt:i4>1966128</vt:i4>
      </vt:variant>
      <vt:variant>
        <vt:i4>344</vt:i4>
      </vt:variant>
      <vt:variant>
        <vt:i4>0</vt:i4>
      </vt:variant>
      <vt:variant>
        <vt:i4>5</vt:i4>
      </vt:variant>
      <vt:variant>
        <vt:lpwstr/>
      </vt:variant>
      <vt:variant>
        <vt:lpwstr>_Toc52315339</vt:lpwstr>
      </vt:variant>
      <vt:variant>
        <vt:i4>2031664</vt:i4>
      </vt:variant>
      <vt:variant>
        <vt:i4>338</vt:i4>
      </vt:variant>
      <vt:variant>
        <vt:i4>0</vt:i4>
      </vt:variant>
      <vt:variant>
        <vt:i4>5</vt:i4>
      </vt:variant>
      <vt:variant>
        <vt:lpwstr/>
      </vt:variant>
      <vt:variant>
        <vt:lpwstr>_Toc52315338</vt:lpwstr>
      </vt:variant>
      <vt:variant>
        <vt:i4>1048624</vt:i4>
      </vt:variant>
      <vt:variant>
        <vt:i4>332</vt:i4>
      </vt:variant>
      <vt:variant>
        <vt:i4>0</vt:i4>
      </vt:variant>
      <vt:variant>
        <vt:i4>5</vt:i4>
      </vt:variant>
      <vt:variant>
        <vt:lpwstr/>
      </vt:variant>
      <vt:variant>
        <vt:lpwstr>_Toc52315337</vt:lpwstr>
      </vt:variant>
      <vt:variant>
        <vt:i4>1114160</vt:i4>
      </vt:variant>
      <vt:variant>
        <vt:i4>326</vt:i4>
      </vt:variant>
      <vt:variant>
        <vt:i4>0</vt:i4>
      </vt:variant>
      <vt:variant>
        <vt:i4>5</vt:i4>
      </vt:variant>
      <vt:variant>
        <vt:lpwstr/>
      </vt:variant>
      <vt:variant>
        <vt:lpwstr>_Toc52315336</vt:lpwstr>
      </vt:variant>
      <vt:variant>
        <vt:i4>1179696</vt:i4>
      </vt:variant>
      <vt:variant>
        <vt:i4>320</vt:i4>
      </vt:variant>
      <vt:variant>
        <vt:i4>0</vt:i4>
      </vt:variant>
      <vt:variant>
        <vt:i4>5</vt:i4>
      </vt:variant>
      <vt:variant>
        <vt:lpwstr/>
      </vt:variant>
      <vt:variant>
        <vt:lpwstr>_Toc52315335</vt:lpwstr>
      </vt:variant>
      <vt:variant>
        <vt:i4>1245232</vt:i4>
      </vt:variant>
      <vt:variant>
        <vt:i4>314</vt:i4>
      </vt:variant>
      <vt:variant>
        <vt:i4>0</vt:i4>
      </vt:variant>
      <vt:variant>
        <vt:i4>5</vt:i4>
      </vt:variant>
      <vt:variant>
        <vt:lpwstr/>
      </vt:variant>
      <vt:variant>
        <vt:lpwstr>_Toc52315334</vt:lpwstr>
      </vt:variant>
      <vt:variant>
        <vt:i4>1310768</vt:i4>
      </vt:variant>
      <vt:variant>
        <vt:i4>308</vt:i4>
      </vt:variant>
      <vt:variant>
        <vt:i4>0</vt:i4>
      </vt:variant>
      <vt:variant>
        <vt:i4>5</vt:i4>
      </vt:variant>
      <vt:variant>
        <vt:lpwstr/>
      </vt:variant>
      <vt:variant>
        <vt:lpwstr>_Toc52315333</vt:lpwstr>
      </vt:variant>
      <vt:variant>
        <vt:i4>1376304</vt:i4>
      </vt:variant>
      <vt:variant>
        <vt:i4>302</vt:i4>
      </vt:variant>
      <vt:variant>
        <vt:i4>0</vt:i4>
      </vt:variant>
      <vt:variant>
        <vt:i4>5</vt:i4>
      </vt:variant>
      <vt:variant>
        <vt:lpwstr/>
      </vt:variant>
      <vt:variant>
        <vt:lpwstr>_Toc52315332</vt:lpwstr>
      </vt:variant>
      <vt:variant>
        <vt:i4>1441840</vt:i4>
      </vt:variant>
      <vt:variant>
        <vt:i4>296</vt:i4>
      </vt:variant>
      <vt:variant>
        <vt:i4>0</vt:i4>
      </vt:variant>
      <vt:variant>
        <vt:i4>5</vt:i4>
      </vt:variant>
      <vt:variant>
        <vt:lpwstr/>
      </vt:variant>
      <vt:variant>
        <vt:lpwstr>_Toc52315331</vt:lpwstr>
      </vt:variant>
      <vt:variant>
        <vt:i4>1507376</vt:i4>
      </vt:variant>
      <vt:variant>
        <vt:i4>290</vt:i4>
      </vt:variant>
      <vt:variant>
        <vt:i4>0</vt:i4>
      </vt:variant>
      <vt:variant>
        <vt:i4>5</vt:i4>
      </vt:variant>
      <vt:variant>
        <vt:lpwstr/>
      </vt:variant>
      <vt:variant>
        <vt:lpwstr>_Toc52315330</vt:lpwstr>
      </vt:variant>
      <vt:variant>
        <vt:i4>1966129</vt:i4>
      </vt:variant>
      <vt:variant>
        <vt:i4>284</vt:i4>
      </vt:variant>
      <vt:variant>
        <vt:i4>0</vt:i4>
      </vt:variant>
      <vt:variant>
        <vt:i4>5</vt:i4>
      </vt:variant>
      <vt:variant>
        <vt:lpwstr/>
      </vt:variant>
      <vt:variant>
        <vt:lpwstr>_Toc52315329</vt:lpwstr>
      </vt:variant>
      <vt:variant>
        <vt:i4>2031665</vt:i4>
      </vt:variant>
      <vt:variant>
        <vt:i4>278</vt:i4>
      </vt:variant>
      <vt:variant>
        <vt:i4>0</vt:i4>
      </vt:variant>
      <vt:variant>
        <vt:i4>5</vt:i4>
      </vt:variant>
      <vt:variant>
        <vt:lpwstr/>
      </vt:variant>
      <vt:variant>
        <vt:lpwstr>_Toc52315328</vt:lpwstr>
      </vt:variant>
      <vt:variant>
        <vt:i4>1048625</vt:i4>
      </vt:variant>
      <vt:variant>
        <vt:i4>272</vt:i4>
      </vt:variant>
      <vt:variant>
        <vt:i4>0</vt:i4>
      </vt:variant>
      <vt:variant>
        <vt:i4>5</vt:i4>
      </vt:variant>
      <vt:variant>
        <vt:lpwstr/>
      </vt:variant>
      <vt:variant>
        <vt:lpwstr>_Toc52315327</vt:lpwstr>
      </vt:variant>
      <vt:variant>
        <vt:i4>1114161</vt:i4>
      </vt:variant>
      <vt:variant>
        <vt:i4>266</vt:i4>
      </vt:variant>
      <vt:variant>
        <vt:i4>0</vt:i4>
      </vt:variant>
      <vt:variant>
        <vt:i4>5</vt:i4>
      </vt:variant>
      <vt:variant>
        <vt:lpwstr/>
      </vt:variant>
      <vt:variant>
        <vt:lpwstr>_Toc52315326</vt:lpwstr>
      </vt:variant>
      <vt:variant>
        <vt:i4>1179697</vt:i4>
      </vt:variant>
      <vt:variant>
        <vt:i4>260</vt:i4>
      </vt:variant>
      <vt:variant>
        <vt:i4>0</vt:i4>
      </vt:variant>
      <vt:variant>
        <vt:i4>5</vt:i4>
      </vt:variant>
      <vt:variant>
        <vt:lpwstr/>
      </vt:variant>
      <vt:variant>
        <vt:lpwstr>_Toc52315325</vt:lpwstr>
      </vt:variant>
      <vt:variant>
        <vt:i4>1245233</vt:i4>
      </vt:variant>
      <vt:variant>
        <vt:i4>254</vt:i4>
      </vt:variant>
      <vt:variant>
        <vt:i4>0</vt:i4>
      </vt:variant>
      <vt:variant>
        <vt:i4>5</vt:i4>
      </vt:variant>
      <vt:variant>
        <vt:lpwstr/>
      </vt:variant>
      <vt:variant>
        <vt:lpwstr>_Toc52315324</vt:lpwstr>
      </vt:variant>
      <vt:variant>
        <vt:i4>1310769</vt:i4>
      </vt:variant>
      <vt:variant>
        <vt:i4>248</vt:i4>
      </vt:variant>
      <vt:variant>
        <vt:i4>0</vt:i4>
      </vt:variant>
      <vt:variant>
        <vt:i4>5</vt:i4>
      </vt:variant>
      <vt:variant>
        <vt:lpwstr/>
      </vt:variant>
      <vt:variant>
        <vt:lpwstr>_Toc52315323</vt:lpwstr>
      </vt:variant>
      <vt:variant>
        <vt:i4>1376305</vt:i4>
      </vt:variant>
      <vt:variant>
        <vt:i4>242</vt:i4>
      </vt:variant>
      <vt:variant>
        <vt:i4>0</vt:i4>
      </vt:variant>
      <vt:variant>
        <vt:i4>5</vt:i4>
      </vt:variant>
      <vt:variant>
        <vt:lpwstr/>
      </vt:variant>
      <vt:variant>
        <vt:lpwstr>_Toc52315322</vt:lpwstr>
      </vt:variant>
      <vt:variant>
        <vt:i4>1441841</vt:i4>
      </vt:variant>
      <vt:variant>
        <vt:i4>236</vt:i4>
      </vt:variant>
      <vt:variant>
        <vt:i4>0</vt:i4>
      </vt:variant>
      <vt:variant>
        <vt:i4>5</vt:i4>
      </vt:variant>
      <vt:variant>
        <vt:lpwstr/>
      </vt:variant>
      <vt:variant>
        <vt:lpwstr>_Toc52315321</vt:lpwstr>
      </vt:variant>
      <vt:variant>
        <vt:i4>1507377</vt:i4>
      </vt:variant>
      <vt:variant>
        <vt:i4>230</vt:i4>
      </vt:variant>
      <vt:variant>
        <vt:i4>0</vt:i4>
      </vt:variant>
      <vt:variant>
        <vt:i4>5</vt:i4>
      </vt:variant>
      <vt:variant>
        <vt:lpwstr/>
      </vt:variant>
      <vt:variant>
        <vt:lpwstr>_Toc52315320</vt:lpwstr>
      </vt:variant>
      <vt:variant>
        <vt:i4>1966130</vt:i4>
      </vt:variant>
      <vt:variant>
        <vt:i4>224</vt:i4>
      </vt:variant>
      <vt:variant>
        <vt:i4>0</vt:i4>
      </vt:variant>
      <vt:variant>
        <vt:i4>5</vt:i4>
      </vt:variant>
      <vt:variant>
        <vt:lpwstr/>
      </vt:variant>
      <vt:variant>
        <vt:lpwstr>_Toc52315319</vt:lpwstr>
      </vt:variant>
      <vt:variant>
        <vt:i4>2031666</vt:i4>
      </vt:variant>
      <vt:variant>
        <vt:i4>218</vt:i4>
      </vt:variant>
      <vt:variant>
        <vt:i4>0</vt:i4>
      </vt:variant>
      <vt:variant>
        <vt:i4>5</vt:i4>
      </vt:variant>
      <vt:variant>
        <vt:lpwstr/>
      </vt:variant>
      <vt:variant>
        <vt:lpwstr>_Toc52315318</vt:lpwstr>
      </vt:variant>
      <vt:variant>
        <vt:i4>1048626</vt:i4>
      </vt:variant>
      <vt:variant>
        <vt:i4>212</vt:i4>
      </vt:variant>
      <vt:variant>
        <vt:i4>0</vt:i4>
      </vt:variant>
      <vt:variant>
        <vt:i4>5</vt:i4>
      </vt:variant>
      <vt:variant>
        <vt:lpwstr/>
      </vt:variant>
      <vt:variant>
        <vt:lpwstr>_Toc52315317</vt:lpwstr>
      </vt:variant>
      <vt:variant>
        <vt:i4>1114162</vt:i4>
      </vt:variant>
      <vt:variant>
        <vt:i4>206</vt:i4>
      </vt:variant>
      <vt:variant>
        <vt:i4>0</vt:i4>
      </vt:variant>
      <vt:variant>
        <vt:i4>5</vt:i4>
      </vt:variant>
      <vt:variant>
        <vt:lpwstr/>
      </vt:variant>
      <vt:variant>
        <vt:lpwstr>_Toc52315316</vt:lpwstr>
      </vt:variant>
      <vt:variant>
        <vt:i4>1179698</vt:i4>
      </vt:variant>
      <vt:variant>
        <vt:i4>200</vt:i4>
      </vt:variant>
      <vt:variant>
        <vt:i4>0</vt:i4>
      </vt:variant>
      <vt:variant>
        <vt:i4>5</vt:i4>
      </vt:variant>
      <vt:variant>
        <vt:lpwstr/>
      </vt:variant>
      <vt:variant>
        <vt:lpwstr>_Toc52315315</vt:lpwstr>
      </vt:variant>
      <vt:variant>
        <vt:i4>1245234</vt:i4>
      </vt:variant>
      <vt:variant>
        <vt:i4>194</vt:i4>
      </vt:variant>
      <vt:variant>
        <vt:i4>0</vt:i4>
      </vt:variant>
      <vt:variant>
        <vt:i4>5</vt:i4>
      </vt:variant>
      <vt:variant>
        <vt:lpwstr/>
      </vt:variant>
      <vt:variant>
        <vt:lpwstr>_Toc52315314</vt:lpwstr>
      </vt:variant>
      <vt:variant>
        <vt:i4>1310770</vt:i4>
      </vt:variant>
      <vt:variant>
        <vt:i4>188</vt:i4>
      </vt:variant>
      <vt:variant>
        <vt:i4>0</vt:i4>
      </vt:variant>
      <vt:variant>
        <vt:i4>5</vt:i4>
      </vt:variant>
      <vt:variant>
        <vt:lpwstr/>
      </vt:variant>
      <vt:variant>
        <vt:lpwstr>_Toc52315313</vt:lpwstr>
      </vt:variant>
      <vt:variant>
        <vt:i4>1376306</vt:i4>
      </vt:variant>
      <vt:variant>
        <vt:i4>182</vt:i4>
      </vt:variant>
      <vt:variant>
        <vt:i4>0</vt:i4>
      </vt:variant>
      <vt:variant>
        <vt:i4>5</vt:i4>
      </vt:variant>
      <vt:variant>
        <vt:lpwstr/>
      </vt:variant>
      <vt:variant>
        <vt:lpwstr>_Toc52315312</vt:lpwstr>
      </vt:variant>
      <vt:variant>
        <vt:i4>1441842</vt:i4>
      </vt:variant>
      <vt:variant>
        <vt:i4>176</vt:i4>
      </vt:variant>
      <vt:variant>
        <vt:i4>0</vt:i4>
      </vt:variant>
      <vt:variant>
        <vt:i4>5</vt:i4>
      </vt:variant>
      <vt:variant>
        <vt:lpwstr/>
      </vt:variant>
      <vt:variant>
        <vt:lpwstr>_Toc52315311</vt:lpwstr>
      </vt:variant>
      <vt:variant>
        <vt:i4>1507378</vt:i4>
      </vt:variant>
      <vt:variant>
        <vt:i4>170</vt:i4>
      </vt:variant>
      <vt:variant>
        <vt:i4>0</vt:i4>
      </vt:variant>
      <vt:variant>
        <vt:i4>5</vt:i4>
      </vt:variant>
      <vt:variant>
        <vt:lpwstr/>
      </vt:variant>
      <vt:variant>
        <vt:lpwstr>_Toc52315310</vt:lpwstr>
      </vt:variant>
      <vt:variant>
        <vt:i4>1966131</vt:i4>
      </vt:variant>
      <vt:variant>
        <vt:i4>164</vt:i4>
      </vt:variant>
      <vt:variant>
        <vt:i4>0</vt:i4>
      </vt:variant>
      <vt:variant>
        <vt:i4>5</vt:i4>
      </vt:variant>
      <vt:variant>
        <vt:lpwstr/>
      </vt:variant>
      <vt:variant>
        <vt:lpwstr>_Toc52315309</vt:lpwstr>
      </vt:variant>
      <vt:variant>
        <vt:i4>2031667</vt:i4>
      </vt:variant>
      <vt:variant>
        <vt:i4>158</vt:i4>
      </vt:variant>
      <vt:variant>
        <vt:i4>0</vt:i4>
      </vt:variant>
      <vt:variant>
        <vt:i4>5</vt:i4>
      </vt:variant>
      <vt:variant>
        <vt:lpwstr/>
      </vt:variant>
      <vt:variant>
        <vt:lpwstr>_Toc52315308</vt:lpwstr>
      </vt:variant>
      <vt:variant>
        <vt:i4>1048627</vt:i4>
      </vt:variant>
      <vt:variant>
        <vt:i4>152</vt:i4>
      </vt:variant>
      <vt:variant>
        <vt:i4>0</vt:i4>
      </vt:variant>
      <vt:variant>
        <vt:i4>5</vt:i4>
      </vt:variant>
      <vt:variant>
        <vt:lpwstr/>
      </vt:variant>
      <vt:variant>
        <vt:lpwstr>_Toc52315307</vt:lpwstr>
      </vt:variant>
      <vt:variant>
        <vt:i4>1114163</vt:i4>
      </vt:variant>
      <vt:variant>
        <vt:i4>146</vt:i4>
      </vt:variant>
      <vt:variant>
        <vt:i4>0</vt:i4>
      </vt:variant>
      <vt:variant>
        <vt:i4>5</vt:i4>
      </vt:variant>
      <vt:variant>
        <vt:lpwstr/>
      </vt:variant>
      <vt:variant>
        <vt:lpwstr>_Toc52315306</vt:lpwstr>
      </vt:variant>
      <vt:variant>
        <vt:i4>1179699</vt:i4>
      </vt:variant>
      <vt:variant>
        <vt:i4>140</vt:i4>
      </vt:variant>
      <vt:variant>
        <vt:i4>0</vt:i4>
      </vt:variant>
      <vt:variant>
        <vt:i4>5</vt:i4>
      </vt:variant>
      <vt:variant>
        <vt:lpwstr/>
      </vt:variant>
      <vt:variant>
        <vt:lpwstr>_Toc52315305</vt:lpwstr>
      </vt:variant>
      <vt:variant>
        <vt:i4>1245235</vt:i4>
      </vt:variant>
      <vt:variant>
        <vt:i4>134</vt:i4>
      </vt:variant>
      <vt:variant>
        <vt:i4>0</vt:i4>
      </vt:variant>
      <vt:variant>
        <vt:i4>5</vt:i4>
      </vt:variant>
      <vt:variant>
        <vt:lpwstr/>
      </vt:variant>
      <vt:variant>
        <vt:lpwstr>_Toc52315304</vt:lpwstr>
      </vt:variant>
      <vt:variant>
        <vt:i4>1310771</vt:i4>
      </vt:variant>
      <vt:variant>
        <vt:i4>128</vt:i4>
      </vt:variant>
      <vt:variant>
        <vt:i4>0</vt:i4>
      </vt:variant>
      <vt:variant>
        <vt:i4>5</vt:i4>
      </vt:variant>
      <vt:variant>
        <vt:lpwstr/>
      </vt:variant>
      <vt:variant>
        <vt:lpwstr>_Toc52315303</vt:lpwstr>
      </vt:variant>
      <vt:variant>
        <vt:i4>1376307</vt:i4>
      </vt:variant>
      <vt:variant>
        <vt:i4>122</vt:i4>
      </vt:variant>
      <vt:variant>
        <vt:i4>0</vt:i4>
      </vt:variant>
      <vt:variant>
        <vt:i4>5</vt:i4>
      </vt:variant>
      <vt:variant>
        <vt:lpwstr/>
      </vt:variant>
      <vt:variant>
        <vt:lpwstr>_Toc52315302</vt:lpwstr>
      </vt:variant>
      <vt:variant>
        <vt:i4>1441843</vt:i4>
      </vt:variant>
      <vt:variant>
        <vt:i4>116</vt:i4>
      </vt:variant>
      <vt:variant>
        <vt:i4>0</vt:i4>
      </vt:variant>
      <vt:variant>
        <vt:i4>5</vt:i4>
      </vt:variant>
      <vt:variant>
        <vt:lpwstr/>
      </vt:variant>
      <vt:variant>
        <vt:lpwstr>_Toc52315301</vt:lpwstr>
      </vt:variant>
      <vt:variant>
        <vt:i4>1507379</vt:i4>
      </vt:variant>
      <vt:variant>
        <vt:i4>110</vt:i4>
      </vt:variant>
      <vt:variant>
        <vt:i4>0</vt:i4>
      </vt:variant>
      <vt:variant>
        <vt:i4>5</vt:i4>
      </vt:variant>
      <vt:variant>
        <vt:lpwstr/>
      </vt:variant>
      <vt:variant>
        <vt:lpwstr>_Toc52315300</vt:lpwstr>
      </vt:variant>
      <vt:variant>
        <vt:i4>2031674</vt:i4>
      </vt:variant>
      <vt:variant>
        <vt:i4>104</vt:i4>
      </vt:variant>
      <vt:variant>
        <vt:i4>0</vt:i4>
      </vt:variant>
      <vt:variant>
        <vt:i4>5</vt:i4>
      </vt:variant>
      <vt:variant>
        <vt:lpwstr/>
      </vt:variant>
      <vt:variant>
        <vt:lpwstr>_Toc52315299</vt:lpwstr>
      </vt:variant>
      <vt:variant>
        <vt:i4>1966138</vt:i4>
      </vt:variant>
      <vt:variant>
        <vt:i4>98</vt:i4>
      </vt:variant>
      <vt:variant>
        <vt:i4>0</vt:i4>
      </vt:variant>
      <vt:variant>
        <vt:i4>5</vt:i4>
      </vt:variant>
      <vt:variant>
        <vt:lpwstr/>
      </vt:variant>
      <vt:variant>
        <vt:lpwstr>_Toc52315298</vt:lpwstr>
      </vt:variant>
      <vt:variant>
        <vt:i4>1114170</vt:i4>
      </vt:variant>
      <vt:variant>
        <vt:i4>92</vt:i4>
      </vt:variant>
      <vt:variant>
        <vt:i4>0</vt:i4>
      </vt:variant>
      <vt:variant>
        <vt:i4>5</vt:i4>
      </vt:variant>
      <vt:variant>
        <vt:lpwstr/>
      </vt:variant>
      <vt:variant>
        <vt:lpwstr>_Toc52315297</vt:lpwstr>
      </vt:variant>
      <vt:variant>
        <vt:i4>1048634</vt:i4>
      </vt:variant>
      <vt:variant>
        <vt:i4>86</vt:i4>
      </vt:variant>
      <vt:variant>
        <vt:i4>0</vt:i4>
      </vt:variant>
      <vt:variant>
        <vt:i4>5</vt:i4>
      </vt:variant>
      <vt:variant>
        <vt:lpwstr/>
      </vt:variant>
      <vt:variant>
        <vt:lpwstr>_Toc52315296</vt:lpwstr>
      </vt:variant>
      <vt:variant>
        <vt:i4>1245242</vt:i4>
      </vt:variant>
      <vt:variant>
        <vt:i4>80</vt:i4>
      </vt:variant>
      <vt:variant>
        <vt:i4>0</vt:i4>
      </vt:variant>
      <vt:variant>
        <vt:i4>5</vt:i4>
      </vt:variant>
      <vt:variant>
        <vt:lpwstr/>
      </vt:variant>
      <vt:variant>
        <vt:lpwstr>_Toc52315295</vt:lpwstr>
      </vt:variant>
      <vt:variant>
        <vt:i4>1179706</vt:i4>
      </vt:variant>
      <vt:variant>
        <vt:i4>74</vt:i4>
      </vt:variant>
      <vt:variant>
        <vt:i4>0</vt:i4>
      </vt:variant>
      <vt:variant>
        <vt:i4>5</vt:i4>
      </vt:variant>
      <vt:variant>
        <vt:lpwstr/>
      </vt:variant>
      <vt:variant>
        <vt:lpwstr>_Toc52315294</vt:lpwstr>
      </vt:variant>
      <vt:variant>
        <vt:i4>1376314</vt:i4>
      </vt:variant>
      <vt:variant>
        <vt:i4>68</vt:i4>
      </vt:variant>
      <vt:variant>
        <vt:i4>0</vt:i4>
      </vt:variant>
      <vt:variant>
        <vt:i4>5</vt:i4>
      </vt:variant>
      <vt:variant>
        <vt:lpwstr/>
      </vt:variant>
      <vt:variant>
        <vt:lpwstr>_Toc52315293</vt:lpwstr>
      </vt:variant>
      <vt:variant>
        <vt:i4>1310778</vt:i4>
      </vt:variant>
      <vt:variant>
        <vt:i4>62</vt:i4>
      </vt:variant>
      <vt:variant>
        <vt:i4>0</vt:i4>
      </vt:variant>
      <vt:variant>
        <vt:i4>5</vt:i4>
      </vt:variant>
      <vt:variant>
        <vt:lpwstr/>
      </vt:variant>
      <vt:variant>
        <vt:lpwstr>_Toc52315292</vt:lpwstr>
      </vt:variant>
      <vt:variant>
        <vt:i4>1507386</vt:i4>
      </vt:variant>
      <vt:variant>
        <vt:i4>56</vt:i4>
      </vt:variant>
      <vt:variant>
        <vt:i4>0</vt:i4>
      </vt:variant>
      <vt:variant>
        <vt:i4>5</vt:i4>
      </vt:variant>
      <vt:variant>
        <vt:lpwstr/>
      </vt:variant>
      <vt:variant>
        <vt:lpwstr>_Toc52315291</vt:lpwstr>
      </vt:variant>
      <vt:variant>
        <vt:i4>1441850</vt:i4>
      </vt:variant>
      <vt:variant>
        <vt:i4>50</vt:i4>
      </vt:variant>
      <vt:variant>
        <vt:i4>0</vt:i4>
      </vt:variant>
      <vt:variant>
        <vt:i4>5</vt:i4>
      </vt:variant>
      <vt:variant>
        <vt:lpwstr/>
      </vt:variant>
      <vt:variant>
        <vt:lpwstr>_Toc52315290</vt:lpwstr>
      </vt:variant>
      <vt:variant>
        <vt:i4>2031675</vt:i4>
      </vt:variant>
      <vt:variant>
        <vt:i4>44</vt:i4>
      </vt:variant>
      <vt:variant>
        <vt:i4>0</vt:i4>
      </vt:variant>
      <vt:variant>
        <vt:i4>5</vt:i4>
      </vt:variant>
      <vt:variant>
        <vt:lpwstr/>
      </vt:variant>
      <vt:variant>
        <vt:lpwstr>_Toc52315289</vt:lpwstr>
      </vt:variant>
      <vt:variant>
        <vt:i4>1966139</vt:i4>
      </vt:variant>
      <vt:variant>
        <vt:i4>38</vt:i4>
      </vt:variant>
      <vt:variant>
        <vt:i4>0</vt:i4>
      </vt:variant>
      <vt:variant>
        <vt:i4>5</vt:i4>
      </vt:variant>
      <vt:variant>
        <vt:lpwstr/>
      </vt:variant>
      <vt:variant>
        <vt:lpwstr>_Toc52315288</vt:lpwstr>
      </vt:variant>
      <vt:variant>
        <vt:i4>1048635</vt:i4>
      </vt:variant>
      <vt:variant>
        <vt:i4>32</vt:i4>
      </vt:variant>
      <vt:variant>
        <vt:i4>0</vt:i4>
      </vt:variant>
      <vt:variant>
        <vt:i4>5</vt:i4>
      </vt:variant>
      <vt:variant>
        <vt:lpwstr/>
      </vt:variant>
      <vt:variant>
        <vt:lpwstr>_Toc52315286</vt:lpwstr>
      </vt:variant>
      <vt:variant>
        <vt:i4>1179707</vt:i4>
      </vt:variant>
      <vt:variant>
        <vt:i4>26</vt:i4>
      </vt:variant>
      <vt:variant>
        <vt:i4>0</vt:i4>
      </vt:variant>
      <vt:variant>
        <vt:i4>5</vt:i4>
      </vt:variant>
      <vt:variant>
        <vt:lpwstr/>
      </vt:variant>
      <vt:variant>
        <vt:lpwstr>_Toc52315284</vt:lpwstr>
      </vt:variant>
      <vt:variant>
        <vt:i4>1376315</vt:i4>
      </vt:variant>
      <vt:variant>
        <vt:i4>20</vt:i4>
      </vt:variant>
      <vt:variant>
        <vt:i4>0</vt:i4>
      </vt:variant>
      <vt:variant>
        <vt:i4>5</vt:i4>
      </vt:variant>
      <vt:variant>
        <vt:lpwstr/>
      </vt:variant>
      <vt:variant>
        <vt:lpwstr>_Toc52315283</vt:lpwstr>
      </vt:variant>
      <vt:variant>
        <vt:i4>1310779</vt:i4>
      </vt:variant>
      <vt:variant>
        <vt:i4>14</vt:i4>
      </vt:variant>
      <vt:variant>
        <vt:i4>0</vt:i4>
      </vt:variant>
      <vt:variant>
        <vt:i4>5</vt:i4>
      </vt:variant>
      <vt:variant>
        <vt:lpwstr/>
      </vt:variant>
      <vt:variant>
        <vt:lpwstr>_Toc52315282</vt:lpwstr>
      </vt:variant>
      <vt:variant>
        <vt:i4>1507387</vt:i4>
      </vt:variant>
      <vt:variant>
        <vt:i4>8</vt:i4>
      </vt:variant>
      <vt:variant>
        <vt:i4>0</vt:i4>
      </vt:variant>
      <vt:variant>
        <vt:i4>5</vt:i4>
      </vt:variant>
      <vt:variant>
        <vt:lpwstr/>
      </vt:variant>
      <vt:variant>
        <vt:lpwstr>_Toc52315281</vt:lpwstr>
      </vt:variant>
      <vt:variant>
        <vt:i4>1441851</vt:i4>
      </vt:variant>
      <vt:variant>
        <vt:i4>2</vt:i4>
      </vt:variant>
      <vt:variant>
        <vt:i4>0</vt:i4>
      </vt:variant>
      <vt:variant>
        <vt:i4>5</vt:i4>
      </vt:variant>
      <vt:variant>
        <vt:lpwstr/>
      </vt:variant>
      <vt:variant>
        <vt:lpwstr>_Toc52315280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2020-09-30T12:05:00Z</dcterms:created>
  <dcterms:modified xsi:type="dcterms:W3CDTF">2020-09-30T12:22:00Z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b028c33a-17de-441d-821c-4067ddb19dab</vt:lpwstr>
  </property>
  <property fmtid="{D5CDD505-2E9C-101B-9397-08002B2CF9AE}" pid="3" name="bjDocumentLabelXML">
    <vt:lpwstr>&lt;?xml version="1.0" encoding="us-ascii"?&gt;&lt;sisl xmlns:xsd="http://www.w3.org/2001/XMLSchema" xmlns:xsi="http://www.w3.org/2001/XMLSchema-instance" sislVersion="0" policy="973096ae-7329-4b3b-9368-47aeba6959e1" origin="userSelected" xmlns="http://www.boldonj</vt:lpwstr>
  </property>
  <property fmtid="{D5CDD505-2E9C-101B-9397-08002B2CF9AE}" pid="4" name="bjDocumentLabelXML-0">
    <vt:lpwstr>ames.com/2008/01/sie/internal/label"&gt;&lt;element uid="id_classification_nonbusiness" value="" /&gt;&lt;/sisl&gt;</vt:lpwstr>
  </property>
  <property fmtid="{D5CDD505-2E9C-101B-9397-08002B2CF9AE}" pid="5" name="bjDocumentSecurityLabel">
    <vt:lpwstr>OFFICIAL</vt:lpwstr>
  </property>
  <property fmtid="{D5CDD505-2E9C-101B-9397-08002B2CF9AE}" pid="6" name="bjClsUserRVM">
    <vt:lpwstr>[]</vt:lpwstr>
  </property>
  <property fmtid="{D5CDD505-2E9C-101B-9397-08002B2CF9AE}" pid="7" name="ContentTypeId">
    <vt:lpwstr>0x0101003D6E278D99252B4B99C7589ABDD35CB5</vt:lpwstr>
  </property>
  <property fmtid="{D5CDD505-2E9C-101B-9397-08002B2CF9AE}" pid="8" name="bjSaver">
    <vt:lpwstr>fy3C6PQSr9fejUEq730YDHmlOKXSVOmV</vt:lpwstr>
  </property>
</Properties>
</file>