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61D14054" w:rsidR="0005473C" w:rsidRPr="00876240" w:rsidRDefault="00D34957" w:rsidP="00504295">
            <w:pPr>
              <w:rPr>
                <w:rFonts w:ascii="Arial" w:hAnsi="Arial" w:cs="Arial"/>
                <w:sz w:val="24"/>
                <w:szCs w:val="24"/>
              </w:rPr>
            </w:pPr>
            <w:r>
              <w:rPr>
                <w:rFonts w:ascii="Arial" w:hAnsi="Arial" w:cs="Arial"/>
                <w:sz w:val="24"/>
                <w:szCs w:val="24"/>
              </w:rPr>
              <w:t>NGN</w:t>
            </w:r>
            <w:r w:rsidR="006279ED" w:rsidRPr="006279ED">
              <w:rPr>
                <w:rFonts w:ascii="Arial" w:hAnsi="Arial" w:cs="Arial"/>
                <w:sz w:val="24"/>
                <w:szCs w:val="24"/>
              </w:rPr>
              <w:t>_</w:t>
            </w:r>
            <w:r w:rsidR="006B18F6">
              <w:rPr>
                <w:rFonts w:ascii="Arial" w:hAnsi="Arial" w:cs="Arial"/>
                <w:sz w:val="24"/>
                <w:szCs w:val="24"/>
              </w:rPr>
              <w:t>DDQ_</w:t>
            </w:r>
            <w:r w:rsidR="00100476">
              <w:rPr>
                <w:rFonts w:ascii="Arial" w:hAnsi="Arial" w:cs="Arial"/>
                <w:sz w:val="24"/>
                <w:szCs w:val="24"/>
              </w:rPr>
              <w:t>5</w:t>
            </w:r>
            <w:r>
              <w:rPr>
                <w:rFonts w:ascii="Arial" w:hAnsi="Arial" w:cs="Arial"/>
                <w:sz w:val="24"/>
                <w:szCs w:val="24"/>
              </w:rPr>
              <w:t>_R</w:t>
            </w:r>
            <w:r w:rsidR="00EB0BAC">
              <w:rPr>
                <w:rFonts w:ascii="Arial" w:hAnsi="Arial" w:cs="Arial"/>
                <w:sz w:val="24"/>
                <w:szCs w:val="24"/>
              </w:rPr>
              <w:t>epex</w:t>
            </w:r>
            <w:r w:rsidR="0005473C">
              <w:rPr>
                <w:rFonts w:ascii="Arial" w:hAnsi="Arial" w:cs="Arial"/>
                <w:sz w:val="24"/>
                <w:szCs w:val="24"/>
              </w:rPr>
              <w:t xml:space="preserve"> </w:t>
            </w:r>
            <w:r w:rsidR="00100476">
              <w:rPr>
                <w:rFonts w:ascii="Arial" w:hAnsi="Arial" w:cs="Arial"/>
                <w:sz w:val="24"/>
                <w:szCs w:val="24"/>
              </w:rPr>
              <w:t>Steel</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106EDD59" w:rsidR="00A06191" w:rsidRPr="00876240" w:rsidRDefault="003A6D87" w:rsidP="00A0584E">
            <w:pPr>
              <w:rPr>
                <w:rFonts w:ascii="Arial" w:hAnsi="Arial" w:cs="Arial"/>
                <w:sz w:val="24"/>
                <w:szCs w:val="24"/>
              </w:rPr>
            </w:pPr>
            <w:r>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0A182CB0" w:rsidR="00A06191" w:rsidRPr="00876240" w:rsidRDefault="00100476" w:rsidP="0060723D">
            <w:pPr>
              <w:rPr>
                <w:rFonts w:ascii="Arial" w:hAnsi="Arial" w:cs="Arial"/>
                <w:sz w:val="24"/>
                <w:szCs w:val="24"/>
              </w:rPr>
            </w:pPr>
            <w:r>
              <w:rPr>
                <w:rFonts w:ascii="Arial" w:hAnsi="Arial" w:cs="Arial"/>
                <w:sz w:val="24"/>
                <w:szCs w:val="24"/>
              </w:rPr>
              <w:t>Steel mains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7D663128" w:rsidR="00504295" w:rsidRPr="00876240" w:rsidRDefault="00100476" w:rsidP="003F22F3">
            <w:pPr>
              <w:rPr>
                <w:rFonts w:ascii="Arial" w:hAnsi="Arial" w:cs="Arial"/>
                <w:sz w:val="24"/>
                <w:szCs w:val="24"/>
              </w:rPr>
            </w:pPr>
            <w:r w:rsidRPr="00100476">
              <w:rPr>
                <w:rFonts w:ascii="Arial" w:hAnsi="Arial" w:cs="Arial"/>
                <w:sz w:val="24"/>
                <w:szCs w:val="24"/>
              </w:rPr>
              <w:t>Our proposals for Steel Mains &gt;2" have been disallowed in full.  In the NGN Annex section 3.23 you have stated that this is because "NGN did not present detailed sensitivity analysis of assumptions underpinning the the needs case.  We did not think there was sufficient clarity on how different elements of the proposed workloads contribute to the aggregate-level benefits presented in the CBAs".  Please could you provide further details of your expectations in these areas and advise where our proposal was considered deficient compared with WWU's submission, which was allowed in full in this area.</w:t>
            </w:r>
          </w:p>
        </w:tc>
      </w:tr>
      <w:tr w:rsidR="00947682" w:rsidRPr="00876240" w14:paraId="3683392D" w14:textId="77777777" w:rsidTr="00AC6418">
        <w:trPr>
          <w:trHeight w:val="127"/>
        </w:trPr>
        <w:tc>
          <w:tcPr>
            <w:tcW w:w="2283" w:type="dxa"/>
            <w:shd w:val="clear" w:color="auto" w:fill="auto"/>
            <w:vAlign w:val="center"/>
          </w:tcPr>
          <w:p w14:paraId="22B19954" w14:textId="50EF7764" w:rsidR="00947682" w:rsidRDefault="00947682" w:rsidP="00947682">
            <w:pPr>
              <w:rPr>
                <w:rFonts w:ascii="Arial" w:hAnsi="Arial" w:cs="Arial"/>
                <w:b/>
                <w:bCs/>
              </w:rPr>
            </w:pPr>
            <w:r>
              <w:rPr>
                <w:rFonts w:ascii="Arial" w:hAnsi="Arial" w:cs="Arial"/>
                <w:b/>
                <w:bCs/>
              </w:rPr>
              <w:t>DDQ raised by</w:t>
            </w:r>
          </w:p>
        </w:tc>
        <w:tc>
          <w:tcPr>
            <w:tcW w:w="7391" w:type="dxa"/>
            <w:shd w:val="clear" w:color="auto" w:fill="auto"/>
            <w:vAlign w:val="center"/>
          </w:tcPr>
          <w:p w14:paraId="1253DE48" w14:textId="3FDEC3FE" w:rsidR="00947682" w:rsidRDefault="00F2526F" w:rsidP="00947682">
            <w:pPr>
              <w:rPr>
                <w:rFonts w:ascii="Arial" w:hAnsi="Arial" w:cs="Arial"/>
                <w:sz w:val="24"/>
                <w:szCs w:val="24"/>
              </w:rPr>
            </w:pPr>
            <w:r>
              <w:rPr>
                <w:rFonts w:ascii="Arial" w:hAnsi="Arial" w:cs="Arial"/>
                <w:sz w:val="24"/>
                <w:szCs w:val="24"/>
              </w:rPr>
              <w:t>Tony</w:t>
            </w:r>
            <w:r w:rsidR="003A6D87">
              <w:rPr>
                <w:rFonts w:ascii="Arial" w:hAnsi="Arial" w:cs="Arial"/>
                <w:sz w:val="24"/>
                <w:szCs w:val="24"/>
              </w:rPr>
              <w:t xml:space="preserve"> Pearson</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5FB966EF" w:rsidR="00F82AB4" w:rsidRPr="00876240" w:rsidRDefault="000C7D85" w:rsidP="00504295">
            <w:pPr>
              <w:rPr>
                <w:rFonts w:ascii="Arial" w:hAnsi="Arial" w:cs="Arial"/>
                <w:sz w:val="24"/>
                <w:szCs w:val="24"/>
              </w:rPr>
            </w:pPr>
            <w:r>
              <w:rPr>
                <w:rFonts w:ascii="Arial" w:hAnsi="Arial" w:cs="Arial"/>
                <w:sz w:val="24"/>
                <w:szCs w:val="24"/>
              </w:rPr>
              <w:t>23</w:t>
            </w:r>
            <w:r w:rsidR="00CF22EF">
              <w:rPr>
                <w:rFonts w:ascii="Arial" w:hAnsi="Arial" w:cs="Arial"/>
                <w:sz w:val="24"/>
                <w:szCs w:val="24"/>
              </w:rPr>
              <w:t>/0</w:t>
            </w:r>
            <w:r>
              <w:rPr>
                <w:rFonts w:ascii="Arial" w:hAnsi="Arial" w:cs="Arial"/>
                <w:sz w:val="24"/>
                <w:szCs w:val="24"/>
              </w:rPr>
              <w:t>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03625C24" w:rsidR="00F24B54" w:rsidRDefault="000C7D85" w:rsidP="00F24B54">
            <w:pPr>
              <w:rPr>
                <w:rFonts w:ascii="Arial" w:hAnsi="Arial" w:cs="Arial"/>
                <w:sz w:val="24"/>
                <w:szCs w:val="24"/>
              </w:rPr>
            </w:pPr>
            <w:r>
              <w:rPr>
                <w:rFonts w:ascii="Arial" w:hAnsi="Arial" w:cs="Arial"/>
                <w:sz w:val="24"/>
                <w:szCs w:val="24"/>
              </w:rPr>
              <w:t>29</w:t>
            </w:r>
            <w:r w:rsidR="00F24B54">
              <w:rPr>
                <w:rFonts w:ascii="Arial" w:hAnsi="Arial" w:cs="Arial"/>
                <w:sz w:val="24"/>
                <w:szCs w:val="24"/>
              </w:rPr>
              <w:t>/0</w:t>
            </w:r>
            <w:r>
              <w:rPr>
                <w:rFonts w:ascii="Arial" w:hAnsi="Arial" w:cs="Arial"/>
                <w:sz w:val="24"/>
                <w:szCs w:val="24"/>
              </w:rPr>
              <w:t>7</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7AA08231" w:rsidR="00F24B54" w:rsidRPr="002707B1" w:rsidRDefault="0039466F" w:rsidP="00F24B54">
            <w:pPr>
              <w:rPr>
                <w:rFonts w:ascii="Arial" w:hAnsi="Arial" w:cs="Arial"/>
                <w:b/>
                <w:bCs/>
                <w:sz w:val="24"/>
                <w:szCs w:val="24"/>
              </w:rPr>
            </w:pPr>
            <w:r w:rsidRPr="0039466F">
              <w:rPr>
                <w:rFonts w:ascii="Arial" w:hAnsi="Arial" w:cs="Arial"/>
              </w:rPr>
              <w:t>As discussed in the engineering bilateral meetings a number of the CBAs included information at an aggregate level for programme of works and this made comprehensive assessment of the underlying workloads challenging.</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5473C"/>
    <w:rsid w:val="00090251"/>
    <w:rsid w:val="000C3A79"/>
    <w:rsid w:val="000C7D85"/>
    <w:rsid w:val="000F1652"/>
    <w:rsid w:val="00100476"/>
    <w:rsid w:val="0010126C"/>
    <w:rsid w:val="00107296"/>
    <w:rsid w:val="00133BD9"/>
    <w:rsid w:val="00133CFC"/>
    <w:rsid w:val="00137DC1"/>
    <w:rsid w:val="0017016C"/>
    <w:rsid w:val="00172809"/>
    <w:rsid w:val="001C1DA6"/>
    <w:rsid w:val="001D5F88"/>
    <w:rsid w:val="001E129D"/>
    <w:rsid w:val="00206D5F"/>
    <w:rsid w:val="00231D67"/>
    <w:rsid w:val="00257F3E"/>
    <w:rsid w:val="002707B1"/>
    <w:rsid w:val="00291D51"/>
    <w:rsid w:val="002A4AD8"/>
    <w:rsid w:val="002B4955"/>
    <w:rsid w:val="002E30FE"/>
    <w:rsid w:val="003043A4"/>
    <w:rsid w:val="003452B0"/>
    <w:rsid w:val="00345FDD"/>
    <w:rsid w:val="00360385"/>
    <w:rsid w:val="00372D1E"/>
    <w:rsid w:val="003820EF"/>
    <w:rsid w:val="0039466F"/>
    <w:rsid w:val="003A3A42"/>
    <w:rsid w:val="003A6D87"/>
    <w:rsid w:val="003B3576"/>
    <w:rsid w:val="003D598D"/>
    <w:rsid w:val="003E53F4"/>
    <w:rsid w:val="003F22F3"/>
    <w:rsid w:val="004145D1"/>
    <w:rsid w:val="004302F8"/>
    <w:rsid w:val="00457286"/>
    <w:rsid w:val="00471BC8"/>
    <w:rsid w:val="00490A0A"/>
    <w:rsid w:val="00503895"/>
    <w:rsid w:val="00504295"/>
    <w:rsid w:val="00507163"/>
    <w:rsid w:val="00526623"/>
    <w:rsid w:val="00526A8E"/>
    <w:rsid w:val="00534E92"/>
    <w:rsid w:val="00584F30"/>
    <w:rsid w:val="005A506C"/>
    <w:rsid w:val="005A74DE"/>
    <w:rsid w:val="005E2894"/>
    <w:rsid w:val="0060723D"/>
    <w:rsid w:val="006279ED"/>
    <w:rsid w:val="006847DA"/>
    <w:rsid w:val="006B18F6"/>
    <w:rsid w:val="006D7256"/>
    <w:rsid w:val="00716508"/>
    <w:rsid w:val="007400B7"/>
    <w:rsid w:val="00753976"/>
    <w:rsid w:val="007649AC"/>
    <w:rsid w:val="00796C90"/>
    <w:rsid w:val="007974DA"/>
    <w:rsid w:val="007B29A9"/>
    <w:rsid w:val="007B4F5B"/>
    <w:rsid w:val="007D7648"/>
    <w:rsid w:val="007E53E6"/>
    <w:rsid w:val="0080354E"/>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71151"/>
    <w:rsid w:val="00A922CF"/>
    <w:rsid w:val="00AC6418"/>
    <w:rsid w:val="00B82400"/>
    <w:rsid w:val="00B86DDF"/>
    <w:rsid w:val="00BA4154"/>
    <w:rsid w:val="00BB682C"/>
    <w:rsid w:val="00C462FB"/>
    <w:rsid w:val="00C57345"/>
    <w:rsid w:val="00C657A4"/>
    <w:rsid w:val="00C814D0"/>
    <w:rsid w:val="00C919C3"/>
    <w:rsid w:val="00CA4297"/>
    <w:rsid w:val="00CC7214"/>
    <w:rsid w:val="00CE4B79"/>
    <w:rsid w:val="00CF22EF"/>
    <w:rsid w:val="00D34957"/>
    <w:rsid w:val="00D50036"/>
    <w:rsid w:val="00DF385B"/>
    <w:rsid w:val="00E040EA"/>
    <w:rsid w:val="00E525E0"/>
    <w:rsid w:val="00E60E79"/>
    <w:rsid w:val="00EA1134"/>
    <w:rsid w:val="00EB0BAC"/>
    <w:rsid w:val="00EB179A"/>
    <w:rsid w:val="00EB2613"/>
    <w:rsid w:val="00F00954"/>
    <w:rsid w:val="00F129C1"/>
    <w:rsid w:val="00F23B18"/>
    <w:rsid w:val="00F24B54"/>
    <w:rsid w:val="00F2526F"/>
    <w:rsid w:val="00F678C1"/>
    <w:rsid w:val="00F82AB4"/>
    <w:rsid w:val="00F85DA3"/>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Meeting_x0020_Date xmlns="631298fc-6a88-4548-b7d9-3b164918c4a3">2014-03-30T23:00:00+00:00</Meeting_x0020_Date>
    <Descriptor xmlns="631298fc-6a88-4548-b7d9-3b164918c4a3">Commercial</Descriptor>
    <Classification xmlns="631298fc-6a88-4548-b7d9-3b164918c4a3">Protect</Classification>
    <Recipient xmlns="631298fc-6a88-4548-b7d9-3b164918c4a3" xsi:nil="true"/>
    <Organisation xmlns="631298fc-6a88-4548-b7d9-3b164918c4a3">Electricity North West</Organisation>
    <Publication_x0020_Date_x003a_ xmlns="631298fc-6a88-4548-b7d9-3b164918c4a3">2015-07-28T10:49:18+00:00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Presentation" ma:contentTypeID="0x010100FAFD54A5D6473B468DE06B48FEFEE6D9009943231374BD884FAE92144762767041" ma:contentTypeVersion="14" ma:contentTypeDescription="This should be used for producing PowerPoint presentations" ma:contentTypeScope="" ma:versionID="4dabb13b2dbb9960c76eef71339fa94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b7ac0143d54fce015501648e22d72dfe"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3:Organisation" minOccurs="0"/>
                <xsd:element ref="ns3:Meeting_x0020_Date" minOccurs="0"/>
                <xsd:element ref="ns2:_Status" minOccurs="0"/>
                <xsd:element ref="ns3:Publication_x0020_Date_x003a_"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2"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Organisation" ma:index="10"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Meeting_x0020_Date" ma:index="11" nillable="true" ma:displayName="Meeting Date" ma:description="Enter the date as DD/MM/YYYY" ma:format="DateOnly" ma:internalName="Meeting_x0020_Date">
      <xsd:simpleType>
        <xsd:restriction base="dms:DateTime"/>
      </xsd:simpleType>
    </xsd:element>
    <xsd:element name="Publication_x0020_Date_x003a_" ma:index="13" nillable="true" ma:displayName="Publication Date:" ma:default="[today]" ma:description="The Publication Date" ma:format="DateOnly" ma:internalName="Publication_x0020_Date_x003A_">
      <xsd:simpleType>
        <xsd:restriction base="dms:DateTime"/>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FAFD54A5D6473B468DE06B48FEFEE6D9"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terms/"/>
    <ds:schemaRef ds:uri="http://schemas.microsoft.com/office/2006/metadata/properties"/>
    <ds:schemaRef ds:uri="http://www.w3.org/XML/1998/namespace"/>
    <ds:schemaRef ds:uri="http://schemas.microsoft.com/sharepoint/v3/fields"/>
    <ds:schemaRef ds:uri="http://schemas.openxmlformats.org/package/2006/metadata/core-properties"/>
    <ds:schemaRef ds:uri="http://schemas.microsoft.com/office/2006/documentManagement/types"/>
    <ds:schemaRef ds:uri="http://purl.org/dc/elements/1.1/"/>
    <ds:schemaRef ds:uri="http://purl.org/dc/dcmitype/"/>
    <ds:schemaRef ds:uri="631298fc-6a88-4548-b7d9-3b164918c4a3"/>
    <ds:schemaRef ds:uri="http://schemas.microsoft.com/office/infopath/2007/PartnerControls"/>
  </ds:schemaRefs>
</ds:datastoreItem>
</file>

<file path=customXml/itemProps2.xml><?xml version="1.0" encoding="utf-8"?>
<ds:datastoreItem xmlns:ds="http://schemas.openxmlformats.org/officeDocument/2006/customXml" ds:itemID="{CD45F4B2-CF07-4A27-8786-012C932911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B84D027F-4604-42FA-A083-6647D8FF181C}">
  <ds:schemaRefs>
    <ds:schemaRef ds:uri="Microsoft.SharePoint.Taxonomy.ContentTypeSync"/>
  </ds:schemaRefs>
</ds:datastoreItem>
</file>

<file path=customXml/itemProps5.xml><?xml version="1.0" encoding="utf-8"?>
<ds:datastoreItem xmlns:ds="http://schemas.openxmlformats.org/officeDocument/2006/customXml" ds:itemID="{6BDAD663-F626-451C-A310-044FFD6CAF1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4</cp:revision>
  <dcterms:created xsi:type="dcterms:W3CDTF">2020-07-23T10:24:00Z</dcterms:created>
  <dcterms:modified xsi:type="dcterms:W3CDTF">2020-08-21T16:29:00Z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0x010100FAFD54A5D6473B468DE06B48FEFEE6D9009943231374BD884FAE92144762767041</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7275d178-3de8-4af3-bf44-5e4cb684b8e9</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