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3902FC49" w:rsidR="00133BD9" w:rsidRPr="00876240" w:rsidRDefault="00524E22" w:rsidP="00524E22">
            <w:pPr>
              <w:rPr>
                <w:rFonts w:ascii="Arial" w:hAnsi="Arial" w:cs="Arial"/>
                <w:sz w:val="24"/>
                <w:szCs w:val="24"/>
              </w:rPr>
            </w:pPr>
            <w:r>
              <w:rPr>
                <w:rFonts w:ascii="Arial" w:hAnsi="Arial" w:cs="Arial"/>
                <w:sz w:val="24"/>
                <w:szCs w:val="24"/>
              </w:rPr>
              <w:t>CADENT</w:t>
            </w:r>
            <w:r w:rsidR="006279ED" w:rsidRPr="006279ED">
              <w:rPr>
                <w:rFonts w:ascii="Arial" w:hAnsi="Arial" w:cs="Arial"/>
                <w:sz w:val="24"/>
                <w:szCs w:val="24"/>
              </w:rPr>
              <w:t>_</w:t>
            </w:r>
            <w:r w:rsidR="006B18F6">
              <w:rPr>
                <w:rFonts w:ascii="Arial" w:hAnsi="Arial" w:cs="Arial"/>
                <w:sz w:val="24"/>
                <w:szCs w:val="24"/>
              </w:rPr>
              <w:t>DDQ_</w:t>
            </w:r>
            <w:r>
              <w:rPr>
                <w:rFonts w:ascii="Arial" w:hAnsi="Arial" w:cs="Arial"/>
                <w:sz w:val="24"/>
                <w:szCs w:val="24"/>
              </w:rPr>
              <w:t>5</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4E08DB3B" w:rsidR="00A06191" w:rsidRPr="00876240" w:rsidRDefault="00524E22" w:rsidP="00A0584E">
            <w:pPr>
              <w:rPr>
                <w:rFonts w:ascii="Arial" w:hAnsi="Arial" w:cs="Arial"/>
                <w:sz w:val="24"/>
                <w:szCs w:val="24"/>
              </w:rPr>
            </w:pPr>
            <w:r>
              <w:rPr>
                <w:rFonts w:ascii="Arial" w:hAnsi="Arial" w:cs="Arial"/>
                <w:sz w:val="24"/>
                <w:szCs w:val="24"/>
              </w:rPr>
              <w:t>Cadent</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52E34800" w:rsidR="00A06191" w:rsidRPr="00876240" w:rsidRDefault="00524E22" w:rsidP="0060723D">
            <w:pPr>
              <w:rPr>
                <w:rFonts w:ascii="Arial" w:hAnsi="Arial" w:cs="Arial"/>
                <w:sz w:val="24"/>
                <w:szCs w:val="24"/>
              </w:rPr>
            </w:pPr>
            <w:r>
              <w:rPr>
                <w:rFonts w:ascii="Arial" w:hAnsi="Arial" w:cs="Arial"/>
                <w:sz w:val="24"/>
                <w:szCs w:val="24"/>
              </w:rPr>
              <w:t>IMRRP</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BD384AD" w14:textId="46EF8B8C" w:rsidR="00524E22" w:rsidRPr="00524E22" w:rsidRDefault="00524E22" w:rsidP="00524E22">
            <w:pPr>
              <w:rPr>
                <w:rFonts w:ascii="Arial" w:hAnsi="Arial" w:cs="Arial"/>
                <w:sz w:val="24"/>
                <w:szCs w:val="24"/>
              </w:rPr>
            </w:pPr>
            <w:r w:rsidRPr="00524E22">
              <w:rPr>
                <w:rFonts w:ascii="Arial" w:hAnsi="Arial" w:cs="Arial"/>
                <w:sz w:val="24"/>
                <w:szCs w:val="24"/>
              </w:rPr>
              <w:t>Paragraph 3.21 (second bullet point):  “We are concerned that Cadent's PAST proposal is inconsistent with the existing structure of the IMRRP ....”</w:t>
            </w:r>
          </w:p>
          <w:p w14:paraId="3C95B67E" w14:textId="77777777" w:rsidR="00524E22" w:rsidRPr="00524E22" w:rsidRDefault="00524E22" w:rsidP="00524E22">
            <w:pPr>
              <w:rPr>
                <w:rFonts w:ascii="Arial" w:hAnsi="Arial" w:cs="Arial"/>
                <w:sz w:val="24"/>
                <w:szCs w:val="24"/>
              </w:rPr>
            </w:pPr>
          </w:p>
          <w:p w14:paraId="373E21D8" w14:textId="5ED89881" w:rsidR="00504295" w:rsidRPr="00876240" w:rsidRDefault="00524E22" w:rsidP="00524E22">
            <w:pPr>
              <w:rPr>
                <w:rFonts w:ascii="Arial" w:hAnsi="Arial" w:cs="Arial"/>
                <w:sz w:val="24"/>
                <w:szCs w:val="24"/>
              </w:rPr>
            </w:pPr>
            <w:r w:rsidRPr="00524E22">
              <w:rPr>
                <w:rFonts w:ascii="Arial" w:hAnsi="Arial" w:cs="Arial"/>
                <w:sz w:val="24"/>
                <w:szCs w:val="24"/>
              </w:rPr>
              <w:t>To help us better respond to the draft determination can you please expand on the concerns raised on the inconsistency between our proposed PAST approach and the IMRRP?  Which aspects of the structure are inconsistent?</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70FA5CA" w:rsidR="00947682" w:rsidRDefault="00947682" w:rsidP="00947682">
            <w:pPr>
              <w:rPr>
                <w:rFonts w:ascii="Arial" w:hAnsi="Arial" w:cs="Arial"/>
                <w:sz w:val="24"/>
                <w:szCs w:val="24"/>
              </w:rPr>
            </w:pPr>
            <w:r>
              <w:rPr>
                <w:rFonts w:ascii="Arial" w:hAnsi="Arial" w:cs="Arial"/>
                <w:sz w:val="24"/>
                <w:szCs w:val="24"/>
              </w:rPr>
              <w:t xml:space="preserve"> </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7B0F6C96" w:rsidR="00F82AB4" w:rsidRPr="00876240" w:rsidRDefault="00524E22" w:rsidP="00524E22">
            <w:pPr>
              <w:rPr>
                <w:rFonts w:ascii="Arial" w:hAnsi="Arial" w:cs="Arial"/>
                <w:sz w:val="24"/>
                <w:szCs w:val="24"/>
              </w:rPr>
            </w:pPr>
            <w:r>
              <w:rPr>
                <w:rFonts w:ascii="Arial" w:hAnsi="Arial" w:cs="Arial"/>
                <w:sz w:val="24"/>
                <w:szCs w:val="24"/>
              </w:rPr>
              <w:t>14</w:t>
            </w:r>
            <w:r w:rsidR="00CF22EF">
              <w:rPr>
                <w:rFonts w:ascii="Arial" w:hAnsi="Arial" w:cs="Arial"/>
                <w:sz w:val="24"/>
                <w:szCs w:val="24"/>
              </w:rPr>
              <w:t>/0</w:t>
            </w:r>
            <w:r>
              <w:rPr>
                <w:rFonts w:ascii="Arial" w:hAnsi="Arial" w:cs="Arial"/>
                <w:sz w:val="24"/>
                <w:szCs w:val="24"/>
              </w:rPr>
              <w:t>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19C5B280" w:rsidR="00F24B54" w:rsidRDefault="00F24B54" w:rsidP="00F24B54">
            <w:pPr>
              <w:rPr>
                <w:rFonts w:ascii="Arial" w:hAnsi="Arial" w:cs="Arial"/>
                <w:sz w:val="24"/>
                <w:szCs w:val="24"/>
              </w:rPr>
            </w:pPr>
          </w:p>
        </w:tc>
      </w:tr>
      <w:tr w:rsidR="00F24B54" w:rsidRPr="00876240" w14:paraId="373E21F0" w14:textId="77777777" w:rsidTr="00A0584E">
        <w:trPr>
          <w:trHeight w:val="1978"/>
        </w:trPr>
        <w:tc>
          <w:tcPr>
            <w:tcW w:w="9674" w:type="dxa"/>
            <w:gridSpan w:val="2"/>
            <w:shd w:val="clear" w:color="auto" w:fill="auto"/>
            <w:vAlign w:val="center"/>
            <w:hideMark/>
          </w:tcPr>
          <w:p w14:paraId="322CDEC5" w14:textId="24D6CE10" w:rsidR="00524E22" w:rsidRDefault="00F24B54" w:rsidP="00524E22">
            <w:pPr>
              <w:pStyle w:val="NormalWeb"/>
              <w:spacing w:before="0" w:beforeAutospacing="0" w:after="0" w:afterAutospacing="0"/>
            </w:pPr>
            <w:r>
              <w:rPr>
                <w:rFonts w:ascii="Arial" w:hAnsi="Arial" w:cs="Arial"/>
                <w:b/>
                <w:bCs/>
              </w:rPr>
              <w:t xml:space="preserve">Ofgem </w:t>
            </w:r>
            <w:r w:rsidRPr="00B006FC">
              <w:rPr>
                <w:rFonts w:ascii="Arial" w:hAnsi="Arial" w:cs="Arial"/>
                <w:b/>
                <w:bCs/>
              </w:rPr>
              <w:t>Response:</w:t>
            </w:r>
            <w:r w:rsidR="00524E22">
              <w:rPr>
                <w:rFonts w:ascii="Arial" w:hAnsi="Arial" w:cs="Arial"/>
                <w:b/>
                <w:bCs/>
              </w:rPr>
              <w:t xml:space="preserve"> </w:t>
            </w:r>
            <w:r w:rsidR="00524E22">
              <w:rPr>
                <w:rFonts w:ascii="Calibri" w:hAnsi="Calibri" w:cs="Calibri"/>
                <w:i/>
                <w:iCs/>
                <w:sz w:val="22"/>
                <w:szCs w:val="22"/>
              </w:rPr>
              <w:t xml:space="preserve">The </w:t>
            </w:r>
            <w:r w:rsidR="00524E22">
              <w:rPr>
                <w:rFonts w:ascii="Calibri" w:hAnsi="Calibri" w:cs="Calibri"/>
                <w:i/>
                <w:iCs/>
                <w:sz w:val="22"/>
                <w:szCs w:val="22"/>
              </w:rPr>
              <w:t xml:space="preserve">PAST proposal </w:t>
            </w:r>
            <w:r w:rsidR="00524E22">
              <w:rPr>
                <w:rFonts w:ascii="Calibri" w:hAnsi="Calibri" w:cs="Calibri"/>
                <w:i/>
                <w:iCs/>
                <w:sz w:val="22"/>
                <w:szCs w:val="22"/>
              </w:rPr>
              <w:t xml:space="preserve">seeks </w:t>
            </w:r>
            <w:r w:rsidR="00524E22">
              <w:rPr>
                <w:rFonts w:ascii="Calibri" w:hAnsi="Calibri" w:cs="Calibri"/>
                <w:i/>
                <w:iCs/>
                <w:sz w:val="22"/>
                <w:szCs w:val="22"/>
              </w:rPr>
              <w:t xml:space="preserve">to apply a mechanistic safety threshold across all of your asset management (non-mandatory) mains population. In doing so, this would effectively apply the system currently used to distinguish between Tier 2a and Tier 2b pipes in the IMRRP to all pipe categories. </w:t>
            </w:r>
          </w:p>
          <w:p w14:paraId="7E6AFAD6" w14:textId="77777777" w:rsidR="00524E22" w:rsidRDefault="00524E22" w:rsidP="00524E22">
            <w:pPr>
              <w:pStyle w:val="NormalWeb"/>
              <w:spacing w:before="0" w:beforeAutospacing="0" w:after="0" w:afterAutospacing="0"/>
            </w:pPr>
            <w:r>
              <w:rPr>
                <w:rFonts w:ascii="Calibri" w:hAnsi="Calibri" w:cs="Calibri"/>
                <w:i/>
                <w:iCs/>
                <w:sz w:val="22"/>
                <w:szCs w:val="22"/>
              </w:rPr>
              <w:t> </w:t>
            </w:r>
          </w:p>
          <w:p w14:paraId="6925EAB0" w14:textId="5FAC0D08" w:rsidR="00524E22" w:rsidRDefault="00524E22" w:rsidP="00524E22">
            <w:pPr>
              <w:pStyle w:val="NormalWeb"/>
              <w:spacing w:before="0" w:beforeAutospacing="0" w:after="0" w:afterAutospacing="0"/>
              <w:rPr>
                <w:rFonts w:ascii="Calibri" w:hAnsi="Calibri" w:cs="Calibri"/>
                <w:i/>
                <w:iCs/>
                <w:sz w:val="22"/>
                <w:szCs w:val="22"/>
              </w:rPr>
            </w:pPr>
            <w:r>
              <w:rPr>
                <w:rFonts w:ascii="Calibri" w:hAnsi="Calibri" w:cs="Calibri"/>
                <w:i/>
                <w:iCs/>
                <w:sz w:val="22"/>
                <w:szCs w:val="22"/>
              </w:rPr>
              <w:t xml:space="preserve">When the IMRRP was introduced, different options for managing risk on different assets were considered, and the three tier approach was decided on.  In the case of Tier 3 mains, it was decided that "Tier 3 pipes may still be subject to decommissioning where a cost benefit analysis agreed with Ofgem is justified", but it was decided that the application of a risk threshold approach was not required (in contrast to Tier 2 mains). Hence, we think that you proposal to apply a risk threshold (PAST) approach to Tier 3 mains is inconsistent with existing 3 tier structure of the IMRRP, which has already determined that such a mechanistic approach is not required. </w:t>
            </w:r>
          </w:p>
          <w:p w14:paraId="667CE836" w14:textId="60E54691" w:rsidR="00524E22" w:rsidRDefault="00524E22" w:rsidP="00524E22">
            <w:pPr>
              <w:pStyle w:val="NormalWeb"/>
              <w:spacing w:before="0" w:beforeAutospacing="0" w:after="0" w:afterAutospacing="0"/>
              <w:rPr>
                <w:rFonts w:ascii="Calibri" w:hAnsi="Calibri" w:cs="Calibri"/>
                <w:i/>
                <w:iCs/>
                <w:sz w:val="22"/>
                <w:szCs w:val="22"/>
              </w:rPr>
            </w:pPr>
          </w:p>
          <w:p w14:paraId="373E21EF" w14:textId="072CC83E" w:rsidR="00F24B54" w:rsidRPr="002707B1" w:rsidRDefault="00F24B54" w:rsidP="00F24B54">
            <w:pPr>
              <w:rPr>
                <w:rFonts w:ascii="Arial" w:hAnsi="Arial" w:cs="Arial"/>
                <w:b/>
                <w:bCs/>
                <w:sz w:val="24"/>
                <w:szCs w:val="24"/>
              </w:rPr>
            </w:pPr>
            <w:bookmarkStart w:id="0" w:name="_GoBack"/>
            <w:bookmarkEnd w:id="0"/>
            <w:r>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A6701"/>
    <w:rsid w:val="003B3576"/>
    <w:rsid w:val="003E53F4"/>
    <w:rsid w:val="003F22F3"/>
    <w:rsid w:val="004145D1"/>
    <w:rsid w:val="004302F8"/>
    <w:rsid w:val="00471BC8"/>
    <w:rsid w:val="00503895"/>
    <w:rsid w:val="00504295"/>
    <w:rsid w:val="00507163"/>
    <w:rsid w:val="00524E22"/>
    <w:rsid w:val="00526623"/>
    <w:rsid w:val="00526A8E"/>
    <w:rsid w:val="00534E92"/>
    <w:rsid w:val="00584F30"/>
    <w:rsid w:val="005A506C"/>
    <w:rsid w:val="005A74DE"/>
    <w:rsid w:val="005E2894"/>
    <w:rsid w:val="0060723D"/>
    <w:rsid w:val="006279ED"/>
    <w:rsid w:val="006847DA"/>
    <w:rsid w:val="006B18F6"/>
    <w:rsid w:val="00716508"/>
    <w:rsid w:val="007400B7"/>
    <w:rsid w:val="00753976"/>
    <w:rsid w:val="007649AC"/>
    <w:rsid w:val="00796C90"/>
    <w:rsid w:val="007974DA"/>
    <w:rsid w:val="007B29A9"/>
    <w:rsid w:val="007B4F5B"/>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71151"/>
    <w:rsid w:val="00A922CF"/>
    <w:rsid w:val="00AC6418"/>
    <w:rsid w:val="00B82400"/>
    <w:rsid w:val="00B86DDF"/>
    <w:rsid w:val="00BA4154"/>
    <w:rsid w:val="00BB682C"/>
    <w:rsid w:val="00C57345"/>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524E22"/>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11689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schemas.microsoft.com/office/2006/documentManagement/types"/>
    <ds:schemaRef ds:uri="http://schemas.openxmlformats.org/package/2006/metadata/core-properties"/>
    <ds:schemaRef ds:uri="http://purl.org/dc/dcmitype/"/>
    <ds:schemaRef ds:uri="http://purl.org/dc/elements/1.1/"/>
    <ds:schemaRef ds:uri="631298fc-6a88-4548-b7d9-3b164918c4a3"/>
    <ds:schemaRef ds:uri="http://purl.org/dc/terms/"/>
    <ds:schemaRef ds:uri="http://schemas.microsoft.com/sharepoint/v3/fields"/>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FCCC4E91-3C1F-44D7-9197-42AD4B206CA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2020-07-22T15:07:00Z</dcterms:created>
  <dcterms:modified xsi:type="dcterms:W3CDTF">2020-07-22T15:11:00Z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49180f88-d602-45d9-9f81-5a6d2cc69aaa</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