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8"/>
        <w:gridCol w:w="7646"/>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0563D23A"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D32EE4">
              <w:rPr>
                <w:rFonts w:ascii="Arial" w:hAnsi="Arial" w:cs="Arial"/>
                <w:sz w:val="24"/>
                <w:szCs w:val="24"/>
              </w:rPr>
              <w:t>67</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0BC25F6A" w:rsidR="00A06191" w:rsidRPr="00876240" w:rsidRDefault="00A06191" w:rsidP="00A0584E">
            <w:pPr>
              <w:rPr>
                <w:rFonts w:ascii="Arial" w:hAnsi="Arial" w:cs="Arial"/>
                <w:sz w:val="24"/>
                <w:szCs w:val="24"/>
              </w:rPr>
            </w:pP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0F273207" w14:textId="77777777" w:rsidR="00D32EE4" w:rsidRPr="00D32EE4" w:rsidRDefault="00D32EE4" w:rsidP="00D32EE4">
            <w:pPr>
              <w:rPr>
                <w:rFonts w:ascii="Arial" w:hAnsi="Arial" w:cs="Arial"/>
                <w:sz w:val="24"/>
                <w:szCs w:val="24"/>
              </w:rPr>
            </w:pPr>
            <w:r w:rsidRPr="00D32EE4">
              <w:rPr>
                <w:rFonts w:ascii="Arial" w:hAnsi="Arial" w:cs="Arial"/>
                <w:sz w:val="24"/>
                <w:szCs w:val="24"/>
              </w:rPr>
              <w:t xml:space="preserve">NARM Output Model </w:t>
            </w:r>
          </w:p>
          <w:p w14:paraId="6DB6F5A1" w14:textId="77777777" w:rsidR="00D32EE4" w:rsidRPr="00D32EE4" w:rsidRDefault="00D32EE4" w:rsidP="00D32EE4">
            <w:pPr>
              <w:rPr>
                <w:rFonts w:ascii="Arial" w:hAnsi="Arial" w:cs="Arial"/>
                <w:sz w:val="24"/>
                <w:szCs w:val="24"/>
              </w:rPr>
            </w:pPr>
            <w:r w:rsidRPr="00D32EE4">
              <w:rPr>
                <w:rFonts w:ascii="Arial" w:hAnsi="Arial" w:cs="Arial"/>
                <w:sz w:val="24"/>
                <w:szCs w:val="24"/>
              </w:rPr>
              <w:t>•</w:t>
            </w:r>
            <w:r w:rsidRPr="00D32EE4">
              <w:rPr>
                <w:rFonts w:ascii="Arial" w:hAnsi="Arial" w:cs="Arial"/>
                <w:sz w:val="24"/>
                <w:szCs w:val="24"/>
              </w:rPr>
              <w:tab/>
              <w:t>MR2.1.2_Funding_Category.xlsm</w:t>
            </w:r>
          </w:p>
          <w:p w14:paraId="1EFA1F72" w14:textId="77777777" w:rsidR="00D32EE4" w:rsidRPr="00D32EE4" w:rsidRDefault="00D32EE4" w:rsidP="00D32EE4">
            <w:pPr>
              <w:rPr>
                <w:rFonts w:ascii="Arial" w:hAnsi="Arial" w:cs="Arial"/>
                <w:sz w:val="24"/>
                <w:szCs w:val="24"/>
              </w:rPr>
            </w:pPr>
            <w:r w:rsidRPr="00D32EE4">
              <w:rPr>
                <w:rFonts w:ascii="Arial" w:hAnsi="Arial" w:cs="Arial"/>
                <w:sz w:val="24"/>
                <w:szCs w:val="24"/>
              </w:rPr>
              <w:t>•</w:t>
            </w:r>
            <w:r w:rsidRPr="00D32EE4">
              <w:rPr>
                <w:rFonts w:ascii="Arial" w:hAnsi="Arial" w:cs="Arial"/>
                <w:sz w:val="24"/>
                <w:szCs w:val="24"/>
              </w:rPr>
              <w:tab/>
              <w:t>MR2.1_MR_Output_Calc.xlsb</w:t>
            </w:r>
          </w:p>
          <w:p w14:paraId="7C9518ED" w14:textId="77777777" w:rsidR="00D32EE4" w:rsidRPr="00D32EE4" w:rsidRDefault="00D32EE4" w:rsidP="00D32EE4">
            <w:pPr>
              <w:rPr>
                <w:rFonts w:ascii="Arial" w:hAnsi="Arial" w:cs="Arial"/>
                <w:sz w:val="24"/>
                <w:szCs w:val="24"/>
              </w:rPr>
            </w:pPr>
            <w:r w:rsidRPr="00D32EE4">
              <w:rPr>
                <w:rFonts w:ascii="Arial" w:hAnsi="Arial" w:cs="Arial"/>
                <w:sz w:val="24"/>
                <w:szCs w:val="24"/>
              </w:rPr>
              <w:t>•</w:t>
            </w:r>
            <w:r w:rsidRPr="00D32EE4">
              <w:rPr>
                <w:rFonts w:ascii="Arial" w:hAnsi="Arial" w:cs="Arial"/>
                <w:sz w:val="24"/>
                <w:szCs w:val="24"/>
              </w:rPr>
              <w:tab/>
              <w:t>MR3.1.2_GD_Specific_Data_Cleanse.xlsb</w:t>
            </w:r>
          </w:p>
          <w:p w14:paraId="7EEA24FE" w14:textId="77777777" w:rsidR="00D32EE4" w:rsidRPr="00D32EE4" w:rsidRDefault="00D32EE4" w:rsidP="00D32EE4">
            <w:pPr>
              <w:rPr>
                <w:rFonts w:ascii="Arial" w:hAnsi="Arial" w:cs="Arial"/>
                <w:sz w:val="24"/>
                <w:szCs w:val="24"/>
              </w:rPr>
            </w:pPr>
            <w:r w:rsidRPr="00D32EE4">
              <w:rPr>
                <w:rFonts w:ascii="Arial" w:hAnsi="Arial" w:cs="Arial"/>
                <w:sz w:val="24"/>
                <w:szCs w:val="24"/>
              </w:rPr>
              <w:t>•</w:t>
            </w:r>
            <w:r w:rsidRPr="00D32EE4">
              <w:rPr>
                <w:rFonts w:ascii="Arial" w:hAnsi="Arial" w:cs="Arial"/>
                <w:sz w:val="24"/>
                <w:szCs w:val="24"/>
              </w:rPr>
              <w:tab/>
              <w:t>MR1.1_NARM_Presentation_File.xlsb</w:t>
            </w:r>
          </w:p>
          <w:p w14:paraId="373E21D5" w14:textId="779A2FDD" w:rsidR="00A06191" w:rsidRPr="00876240" w:rsidRDefault="00D32EE4" w:rsidP="00D32EE4">
            <w:pPr>
              <w:rPr>
                <w:rFonts w:ascii="Arial" w:hAnsi="Arial" w:cs="Arial"/>
                <w:sz w:val="24"/>
                <w:szCs w:val="24"/>
              </w:rPr>
            </w:pPr>
            <w:r w:rsidRPr="00D32EE4">
              <w:rPr>
                <w:rFonts w:ascii="Arial" w:hAnsi="Arial" w:cs="Arial"/>
                <w:sz w:val="24"/>
                <w:szCs w:val="24"/>
              </w:rPr>
              <w:t>•</w:t>
            </w:r>
            <w:r w:rsidRPr="00D32EE4">
              <w:rPr>
                <w:rFonts w:ascii="Arial" w:hAnsi="Arial" w:cs="Arial"/>
                <w:sz w:val="24"/>
                <w:szCs w:val="24"/>
              </w:rPr>
              <w:tab/>
              <w:t>MR2.1_Volume_Scaling.xlsb</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0804A211" w14:textId="77777777" w:rsidR="00D32EE4" w:rsidRPr="00D32EE4" w:rsidRDefault="00504295" w:rsidP="00D32EE4">
            <w:pPr>
              <w:rPr>
                <w:rFonts w:ascii="Arial" w:hAnsi="Arial" w:cs="Arial"/>
                <w:szCs w:val="20"/>
              </w:rPr>
            </w:pPr>
            <w:r w:rsidRPr="00D32EE4">
              <w:rPr>
                <w:rFonts w:ascii="Arial" w:hAnsi="Arial" w:cs="Arial"/>
                <w:szCs w:val="20"/>
              </w:rPr>
              <w:t xml:space="preserve"> </w:t>
            </w:r>
            <w:r w:rsidR="00D32EE4" w:rsidRPr="00D32EE4">
              <w:rPr>
                <w:rFonts w:ascii="Arial" w:hAnsi="Arial" w:cs="Arial"/>
                <w:szCs w:val="20"/>
              </w:rPr>
              <w:t>1)</w:t>
            </w:r>
            <w:r w:rsidR="00D32EE4" w:rsidRPr="00D32EE4">
              <w:rPr>
                <w:rFonts w:ascii="Arial" w:hAnsi="Arial" w:cs="Arial"/>
                <w:szCs w:val="20"/>
              </w:rPr>
              <w:tab/>
              <w:t>URP calculation (MR2.1_MR_Output_Calc.xlsb - 2.1_MR_Output_Table)</w:t>
            </w:r>
          </w:p>
          <w:p w14:paraId="34CA1CA6" w14:textId="77777777" w:rsidR="00D32EE4" w:rsidRPr="00D32EE4" w:rsidRDefault="00D32EE4" w:rsidP="00D32EE4">
            <w:pPr>
              <w:rPr>
                <w:rFonts w:ascii="Arial" w:hAnsi="Arial" w:cs="Arial"/>
                <w:szCs w:val="20"/>
              </w:rPr>
            </w:pPr>
            <w:r w:rsidRPr="00D32EE4">
              <w:rPr>
                <w:rFonts w:ascii="Arial" w:hAnsi="Arial" w:cs="Arial"/>
                <w:szCs w:val="20"/>
              </w:rPr>
              <w:t>NARMs addition and disposal Volumes (columns H and I) have been scaled to match CV document. However, the volumes have been scaled to the commission volumes as opposed to decommission volumes.</w:t>
            </w:r>
          </w:p>
          <w:p w14:paraId="48B9E82B" w14:textId="77777777" w:rsidR="00D32EE4" w:rsidRPr="00D32EE4" w:rsidRDefault="00D32EE4" w:rsidP="00D32EE4">
            <w:pPr>
              <w:rPr>
                <w:rFonts w:ascii="Arial" w:hAnsi="Arial" w:cs="Arial"/>
                <w:szCs w:val="20"/>
              </w:rPr>
            </w:pPr>
            <w:r w:rsidRPr="00D32EE4">
              <w:rPr>
                <w:rFonts w:ascii="Arial" w:hAnsi="Arial" w:cs="Arial"/>
                <w:szCs w:val="20"/>
              </w:rPr>
              <w:t>For example, NW has 2,059km commissioned lengths in the CV doc (when excluding diversions) and 2,070km in decommissioned. The URP has been calculated based on a length of 2,059km i.e. the commissioned lengths as opposed to decommissioned.</w:t>
            </w:r>
          </w:p>
          <w:p w14:paraId="1F0C87A0" w14:textId="77777777" w:rsidR="00D32EE4" w:rsidRPr="00D32EE4" w:rsidRDefault="00D32EE4" w:rsidP="00D32EE4">
            <w:pPr>
              <w:rPr>
                <w:rFonts w:ascii="Arial" w:hAnsi="Arial" w:cs="Arial"/>
                <w:szCs w:val="20"/>
              </w:rPr>
            </w:pPr>
            <w:r w:rsidRPr="00D32EE4">
              <w:rPr>
                <w:rFonts w:ascii="Arial" w:hAnsi="Arial" w:cs="Arial"/>
                <w:szCs w:val="20"/>
              </w:rPr>
              <w:t xml:space="preserve">When reporting monetised risk removed for mains we believe the target should be modelled on the decommissioned lengths as risk in not removed by commissioning PE alone. Can OFGEM confirm that using the commissioned lengths to calculate the NARM target is an error?  </w:t>
            </w:r>
          </w:p>
          <w:p w14:paraId="3EBBBBF9" w14:textId="77777777" w:rsidR="00D32EE4" w:rsidRPr="00D32EE4" w:rsidRDefault="00D32EE4" w:rsidP="00D32EE4">
            <w:pPr>
              <w:rPr>
                <w:rFonts w:ascii="Arial" w:hAnsi="Arial" w:cs="Arial"/>
                <w:szCs w:val="20"/>
              </w:rPr>
            </w:pPr>
            <w:r w:rsidRPr="00D32EE4">
              <w:rPr>
                <w:rFonts w:ascii="Arial" w:hAnsi="Arial" w:cs="Arial"/>
                <w:szCs w:val="20"/>
              </w:rPr>
              <w:t>2)</w:t>
            </w:r>
            <w:r w:rsidRPr="00D32EE4">
              <w:rPr>
                <w:rFonts w:ascii="Arial" w:hAnsi="Arial" w:cs="Arial"/>
                <w:szCs w:val="20"/>
              </w:rPr>
              <w:tab/>
              <w:t>Treatment of London Medium Pressure (LMP) (LMP – (MR2.1_MR_Output_Calc.xlsb &amp; MR2.1.1_Volume_Scaling.xlsb)</w:t>
            </w:r>
          </w:p>
          <w:p w14:paraId="432717CC" w14:textId="77777777" w:rsidR="00D32EE4" w:rsidRPr="00D32EE4" w:rsidRDefault="00D32EE4" w:rsidP="00D32EE4">
            <w:pPr>
              <w:rPr>
                <w:rFonts w:ascii="Arial" w:hAnsi="Arial" w:cs="Arial"/>
                <w:szCs w:val="20"/>
              </w:rPr>
            </w:pPr>
            <w:r w:rsidRPr="00D32EE4">
              <w:rPr>
                <w:rFonts w:ascii="Arial" w:hAnsi="Arial" w:cs="Arial"/>
                <w:szCs w:val="20"/>
              </w:rPr>
              <w:t xml:space="preserve">Project mapping seems to have aligned LMP to a line labelled 4.01 Repex Mains Tier 1_London, when this volume is incorporated within the T3 workload in the CV document. Also, this has not been scaled correctly, the DD sheet refers to a submission of 12,962km of pipe in this section, as opposed to the 12.962km modelled creating a incredibly low URP. We believe this discrepency has been caused when converting workloads from meters to KM. Ofgem have then reduced the volume of work on this line to 0.39km which will obviously result in an insignificant risk reduction target for this work. </w:t>
            </w:r>
          </w:p>
          <w:p w14:paraId="4DC8CCDE" w14:textId="77777777" w:rsidR="00D32EE4" w:rsidRPr="00D32EE4" w:rsidRDefault="00D32EE4" w:rsidP="00D32EE4">
            <w:pPr>
              <w:rPr>
                <w:rFonts w:ascii="Arial" w:hAnsi="Arial" w:cs="Arial"/>
                <w:szCs w:val="20"/>
              </w:rPr>
            </w:pPr>
            <w:r w:rsidRPr="00D32EE4">
              <w:rPr>
                <w:rFonts w:ascii="Arial" w:hAnsi="Arial" w:cs="Arial"/>
                <w:szCs w:val="20"/>
              </w:rPr>
              <w:t xml:space="preserve">The effect of this means that the NARM target for mains replacement is still including the risk reduction that would have been achieved by decommissioning the mains in scope of LMP, can Ofgem confirm that the intent was to strip out the monetised risk reduction associated with LMP and its inclusion is an error? </w:t>
            </w:r>
          </w:p>
          <w:p w14:paraId="2B683FBC" w14:textId="77777777" w:rsidR="00D32EE4" w:rsidRPr="00D32EE4" w:rsidRDefault="00D32EE4" w:rsidP="00D32EE4">
            <w:pPr>
              <w:rPr>
                <w:rFonts w:ascii="Arial" w:hAnsi="Arial" w:cs="Arial"/>
                <w:szCs w:val="20"/>
              </w:rPr>
            </w:pPr>
            <w:r w:rsidRPr="00D32EE4">
              <w:rPr>
                <w:rFonts w:ascii="Arial" w:hAnsi="Arial" w:cs="Arial"/>
                <w:szCs w:val="20"/>
              </w:rPr>
              <w:lastRenderedPageBreak/>
              <w:t xml:space="preserve">Can Ofgem clarify what is meant by the label “Repex Mains Tier 1_London” we believe this is referring to LMP but this for decommission of Tier 3 mains, is this an error? </w:t>
            </w:r>
          </w:p>
          <w:p w14:paraId="5961D607" w14:textId="77777777" w:rsidR="00D32EE4" w:rsidRPr="00D32EE4" w:rsidRDefault="00D32EE4" w:rsidP="00D32EE4">
            <w:pPr>
              <w:rPr>
                <w:rFonts w:ascii="Arial" w:hAnsi="Arial" w:cs="Arial"/>
                <w:szCs w:val="20"/>
              </w:rPr>
            </w:pPr>
            <w:r w:rsidRPr="00D32EE4">
              <w:rPr>
                <w:rFonts w:ascii="Arial" w:hAnsi="Arial" w:cs="Arial"/>
                <w:szCs w:val="20"/>
              </w:rPr>
              <w:t>3)</w:t>
            </w:r>
            <w:r w:rsidRPr="00D32EE4">
              <w:rPr>
                <w:rFonts w:ascii="Arial" w:hAnsi="Arial" w:cs="Arial"/>
                <w:szCs w:val="20"/>
              </w:rPr>
              <w:tab/>
              <w:t>Volume scaling (MR2.1_MR_Output_Calc.xlsb - 2.1_MR_Output_Table)</w:t>
            </w:r>
          </w:p>
          <w:p w14:paraId="195CB65E" w14:textId="77777777" w:rsidR="00D32EE4" w:rsidRPr="00D32EE4" w:rsidRDefault="00D32EE4" w:rsidP="00D32EE4">
            <w:pPr>
              <w:rPr>
                <w:rFonts w:ascii="Arial" w:hAnsi="Arial" w:cs="Arial"/>
                <w:szCs w:val="20"/>
              </w:rPr>
            </w:pPr>
            <w:r w:rsidRPr="00D32EE4">
              <w:rPr>
                <w:rFonts w:ascii="Arial" w:hAnsi="Arial" w:cs="Arial"/>
                <w:szCs w:val="20"/>
              </w:rPr>
              <w:t xml:space="preserve">When scaling workload volumes between NARMs and CV we have observed that risk removed target has not been scaled proportionally to lengths. For example, </w:t>
            </w:r>
          </w:p>
          <w:p w14:paraId="14CCF63D" w14:textId="77777777" w:rsidR="00D32EE4" w:rsidRPr="00D32EE4" w:rsidRDefault="00D32EE4" w:rsidP="00D32EE4">
            <w:pPr>
              <w:rPr>
                <w:rFonts w:ascii="Arial" w:hAnsi="Arial" w:cs="Arial"/>
                <w:szCs w:val="20"/>
              </w:rPr>
            </w:pPr>
            <w:r w:rsidRPr="00D32EE4">
              <w:rPr>
                <w:rFonts w:ascii="Arial" w:hAnsi="Arial" w:cs="Arial"/>
                <w:szCs w:val="20"/>
              </w:rPr>
              <w:t xml:space="preserve">For NL Tier 1 disposal scaling factor the value of 0.000997555 has been used. We submitted that through decommissioning Tier 1 iron mains we would achieve a monetised risk reduction of  7.17216725. However using Ofgem proposed scaler we believe this number should be: 7.15463018. As can be observed the scaler used by Ofgem results in a disproportionatly high monetised risk removed target for the proposed workload volumes. Can Ofgem confirm there is an error in the scaling factors that has resulted from aligning CV and NARM volumes?  </w:t>
            </w:r>
          </w:p>
          <w:p w14:paraId="160F3D95" w14:textId="77777777" w:rsidR="00D32EE4" w:rsidRPr="00D32EE4" w:rsidRDefault="00D32EE4" w:rsidP="00D32EE4">
            <w:pPr>
              <w:rPr>
                <w:rFonts w:ascii="Arial" w:hAnsi="Arial" w:cs="Arial"/>
                <w:szCs w:val="20"/>
              </w:rPr>
            </w:pPr>
            <w:r w:rsidRPr="00D32EE4">
              <w:rPr>
                <w:rFonts w:ascii="Arial" w:hAnsi="Arial" w:cs="Arial"/>
                <w:szCs w:val="20"/>
              </w:rPr>
              <w:t>4)</w:t>
            </w:r>
            <w:r w:rsidRPr="00D32EE4">
              <w:rPr>
                <w:rFonts w:ascii="Arial" w:hAnsi="Arial" w:cs="Arial"/>
                <w:szCs w:val="20"/>
              </w:rPr>
              <w:tab/>
              <w:t>Service volumes (MR2.1.1_Volume_Scaling.xlsb - 4.2_CV_BPDT_Vols)</w:t>
            </w:r>
          </w:p>
          <w:p w14:paraId="61BA322D" w14:textId="77777777" w:rsidR="00D32EE4" w:rsidRPr="00D32EE4" w:rsidRDefault="00D32EE4" w:rsidP="00D32EE4">
            <w:pPr>
              <w:rPr>
                <w:rFonts w:ascii="Arial" w:hAnsi="Arial" w:cs="Arial"/>
                <w:szCs w:val="20"/>
              </w:rPr>
            </w:pPr>
            <w:r w:rsidRPr="00D32EE4">
              <w:rPr>
                <w:rFonts w:ascii="Arial" w:hAnsi="Arial" w:cs="Arial"/>
                <w:szCs w:val="20"/>
              </w:rPr>
              <w:t xml:space="preserve">Diversions have been duplicated in the total volumes. Our service volumes stated in the CV already included diversions. </w:t>
            </w:r>
          </w:p>
          <w:p w14:paraId="3F23D944" w14:textId="77777777" w:rsidR="00D32EE4" w:rsidRPr="00D32EE4" w:rsidRDefault="00D32EE4" w:rsidP="00D32EE4">
            <w:pPr>
              <w:rPr>
                <w:rFonts w:ascii="Arial" w:hAnsi="Arial" w:cs="Arial"/>
                <w:szCs w:val="20"/>
              </w:rPr>
            </w:pPr>
            <w:r w:rsidRPr="00D32EE4">
              <w:rPr>
                <w:rFonts w:ascii="Arial" w:hAnsi="Arial" w:cs="Arial"/>
                <w:szCs w:val="20"/>
              </w:rPr>
              <w:t xml:space="preserve">The total service volumes to be relayed listed in the CV for North West 183,827. This includes relaying services associated with all mains replacement, diversions and non-related mains replacement relays. Diversions account for 495 of service relays these appear to have been re-added to the total despite already being included. This issue is affecting all networks. The effect of this is that the risk removed target for services is too high for all Cadent networks, can Ofgem confirm this is an error? </w:t>
            </w:r>
          </w:p>
          <w:p w14:paraId="5D52D547" w14:textId="77777777" w:rsidR="00D32EE4" w:rsidRPr="00D32EE4" w:rsidRDefault="00D32EE4" w:rsidP="00D32EE4">
            <w:pPr>
              <w:rPr>
                <w:rFonts w:ascii="Arial" w:hAnsi="Arial" w:cs="Arial"/>
                <w:szCs w:val="20"/>
              </w:rPr>
            </w:pPr>
            <w:r w:rsidRPr="00D32EE4">
              <w:rPr>
                <w:rFonts w:ascii="Arial" w:hAnsi="Arial" w:cs="Arial"/>
                <w:szCs w:val="20"/>
              </w:rPr>
              <w:t>5)</w:t>
            </w:r>
            <w:r w:rsidRPr="00D32EE4">
              <w:rPr>
                <w:rFonts w:ascii="Arial" w:hAnsi="Arial" w:cs="Arial"/>
                <w:szCs w:val="20"/>
              </w:rPr>
              <w:tab/>
              <w:t xml:space="preserve">Service volums and risk removed target  </w:t>
            </w:r>
          </w:p>
          <w:p w14:paraId="4DCCDAE3" w14:textId="77777777" w:rsidR="00D32EE4" w:rsidRPr="00D32EE4" w:rsidRDefault="00D32EE4" w:rsidP="00D32EE4">
            <w:pPr>
              <w:rPr>
                <w:rFonts w:ascii="Arial" w:hAnsi="Arial" w:cs="Arial"/>
                <w:szCs w:val="20"/>
              </w:rPr>
            </w:pPr>
            <w:r w:rsidRPr="00D32EE4">
              <w:rPr>
                <w:rFonts w:ascii="Arial" w:hAnsi="Arial" w:cs="Arial"/>
                <w:szCs w:val="20"/>
              </w:rPr>
              <w:t xml:space="preserve">When we submitted the NARM 1.3 for the business plan, service renewals associated with PAST pipes both iron and steel were captured in category - “Services associated with Tier 1/Tier 2A” iron mains activity”.  We have observed Ofgem have taken services captured within this group have been transferred into “Services associated with other Mains replacement activity”, however the risk has not been transferred. Transfering the volumes does not align with Ofgem’s determination to remove steel PAST pipes from the business plan. The risk associated with relaying these services is too low. Can Ofgem confirm this needs reassing? </w:t>
            </w:r>
          </w:p>
          <w:p w14:paraId="46F604FD" w14:textId="77777777" w:rsidR="00D32EE4" w:rsidRPr="00D32EE4" w:rsidRDefault="00D32EE4" w:rsidP="00D32EE4">
            <w:pPr>
              <w:rPr>
                <w:rFonts w:ascii="Arial" w:hAnsi="Arial" w:cs="Arial"/>
                <w:szCs w:val="20"/>
              </w:rPr>
            </w:pPr>
          </w:p>
          <w:p w14:paraId="672A4589" w14:textId="77777777" w:rsidR="00D32EE4" w:rsidRPr="00D32EE4" w:rsidRDefault="00D32EE4" w:rsidP="00D32EE4">
            <w:pPr>
              <w:rPr>
                <w:rFonts w:ascii="Arial" w:hAnsi="Arial" w:cs="Arial"/>
                <w:szCs w:val="20"/>
              </w:rPr>
            </w:pPr>
            <w:r w:rsidRPr="00D32EE4">
              <w:rPr>
                <w:rFonts w:ascii="Arial" w:hAnsi="Arial" w:cs="Arial"/>
                <w:szCs w:val="20"/>
              </w:rPr>
              <w:t>6)</w:t>
            </w:r>
            <w:r w:rsidRPr="00D32EE4">
              <w:rPr>
                <w:rFonts w:ascii="Arial" w:hAnsi="Arial" w:cs="Arial"/>
                <w:szCs w:val="20"/>
              </w:rPr>
              <w:tab/>
              <w:t xml:space="preserve">District and ICS Governors </w:t>
            </w:r>
          </w:p>
          <w:p w14:paraId="5BBA7AA0" w14:textId="77777777" w:rsidR="00D32EE4" w:rsidRPr="00D32EE4" w:rsidRDefault="00D32EE4" w:rsidP="00D32EE4">
            <w:pPr>
              <w:rPr>
                <w:rFonts w:ascii="Arial" w:hAnsi="Arial" w:cs="Arial"/>
                <w:szCs w:val="20"/>
              </w:rPr>
            </w:pPr>
            <w:r w:rsidRPr="00D32EE4">
              <w:rPr>
                <w:rFonts w:ascii="Arial" w:hAnsi="Arial" w:cs="Arial"/>
                <w:szCs w:val="20"/>
              </w:rPr>
              <w:t xml:space="preserve">Interventions for district and industrial and commercial (I&amp;C) governors have been combined resulting in a risk reduction target that is not representative of the different asset categories. It is our view this will become problematic when aligning allowances for these interventions with risk removed target to establish the unit cost of risk benefit. Can Ofgem clarify the rationale for grouping these and confirm this treatment has been consistent across GDN companies? </w:t>
            </w:r>
          </w:p>
          <w:p w14:paraId="1BFF2E82" w14:textId="77777777" w:rsidR="00D32EE4" w:rsidRPr="00D32EE4" w:rsidRDefault="00D32EE4" w:rsidP="00D32EE4">
            <w:pPr>
              <w:rPr>
                <w:rFonts w:ascii="Arial" w:hAnsi="Arial" w:cs="Arial"/>
                <w:szCs w:val="20"/>
              </w:rPr>
            </w:pPr>
          </w:p>
          <w:p w14:paraId="27A7F7A9" w14:textId="77777777" w:rsidR="00D32EE4" w:rsidRPr="00D32EE4" w:rsidRDefault="00D32EE4" w:rsidP="00D32EE4">
            <w:pPr>
              <w:rPr>
                <w:rFonts w:ascii="Arial" w:hAnsi="Arial" w:cs="Arial"/>
                <w:szCs w:val="20"/>
              </w:rPr>
            </w:pPr>
            <w:r w:rsidRPr="00D32EE4">
              <w:rPr>
                <w:rFonts w:ascii="Arial" w:hAnsi="Arial" w:cs="Arial"/>
                <w:szCs w:val="20"/>
              </w:rPr>
              <w:lastRenderedPageBreak/>
              <w:t>7)</w:t>
            </w:r>
            <w:r w:rsidRPr="00D32EE4">
              <w:rPr>
                <w:rFonts w:ascii="Arial" w:hAnsi="Arial" w:cs="Arial"/>
                <w:szCs w:val="20"/>
              </w:rPr>
              <w:tab/>
              <w:t xml:space="preserve">LTS (non-piggable) </w:t>
            </w:r>
          </w:p>
          <w:p w14:paraId="71D4DE57" w14:textId="77777777" w:rsidR="00D32EE4" w:rsidRPr="00D32EE4" w:rsidRDefault="00D32EE4" w:rsidP="00D32EE4">
            <w:pPr>
              <w:rPr>
                <w:rFonts w:ascii="Arial" w:hAnsi="Arial" w:cs="Arial"/>
                <w:szCs w:val="20"/>
              </w:rPr>
            </w:pPr>
            <w:r w:rsidRPr="00D32EE4">
              <w:rPr>
                <w:rFonts w:ascii="Arial" w:hAnsi="Arial" w:cs="Arial"/>
                <w:szCs w:val="20"/>
              </w:rPr>
              <w:t xml:space="preserve">We believe we have observed a rounding error when Ofgem have scaled volumes from CV to 1.3 for LTS (non-piggable). The R£ has then been scaled to account for the rounding leading to a discrepancy between modelled R£/km and the table R£/km. Could Ofgem confirm this is a rounding error or explain the rationale in LTS volumes? </w:t>
            </w:r>
          </w:p>
          <w:p w14:paraId="0E62A88B" w14:textId="77777777" w:rsidR="00D32EE4" w:rsidRPr="00D32EE4" w:rsidRDefault="00D32EE4" w:rsidP="00D32EE4">
            <w:pPr>
              <w:rPr>
                <w:rFonts w:ascii="Arial" w:hAnsi="Arial" w:cs="Arial"/>
                <w:szCs w:val="20"/>
              </w:rPr>
            </w:pPr>
            <w:r w:rsidRPr="00D32EE4">
              <w:rPr>
                <w:rFonts w:ascii="Arial" w:hAnsi="Arial" w:cs="Arial"/>
                <w:szCs w:val="20"/>
              </w:rPr>
              <w:t>8)</w:t>
            </w:r>
            <w:r w:rsidRPr="00D32EE4">
              <w:rPr>
                <w:rFonts w:ascii="Arial" w:hAnsi="Arial" w:cs="Arial"/>
                <w:szCs w:val="20"/>
              </w:rPr>
              <w:tab/>
              <w:t>Risers - 3.4_Allowed_Vols_AC_Mapping</w:t>
            </w:r>
          </w:p>
          <w:p w14:paraId="4F043343" w14:textId="79E89690" w:rsidR="00A0584E" w:rsidRPr="00D32EE4" w:rsidRDefault="00D32EE4" w:rsidP="00D32EE4">
            <w:pPr>
              <w:rPr>
                <w:rFonts w:ascii="Arial" w:hAnsi="Arial" w:cs="Arial"/>
                <w:szCs w:val="20"/>
              </w:rPr>
            </w:pPr>
            <w:r w:rsidRPr="00D32EE4">
              <w:rPr>
                <w:rFonts w:ascii="Arial" w:hAnsi="Arial" w:cs="Arial"/>
                <w:szCs w:val="20"/>
              </w:rPr>
              <w:t>Tab 3.4_Allowed_Vols_AC_Mapping contains allowed volumes of workload for risers, the volumes in this tab are higher than the volumes which were submitted as part of the business plan – N1.3.  This is summarised in the table. N1.3 matches the volumes in tab 2.1_MR_Output_Table but does not match 3.4_Allowed_Vols_AC_Mapping.</w:t>
            </w:r>
          </w:p>
          <w:tbl>
            <w:tblPr>
              <w:tblW w:w="7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65"/>
              <w:gridCol w:w="1080"/>
              <w:gridCol w:w="1080"/>
              <w:gridCol w:w="1080"/>
              <w:gridCol w:w="815"/>
            </w:tblGrid>
            <w:tr w:rsidR="00D32EE4" w:rsidRPr="00D32EE4" w14:paraId="0547560D" w14:textId="77777777" w:rsidTr="00833995">
              <w:trPr>
                <w:trHeight w:val="255"/>
              </w:trPr>
              <w:tc>
                <w:tcPr>
                  <w:tcW w:w="3365" w:type="dxa"/>
                  <w:noWrap/>
                  <w:tcMar>
                    <w:top w:w="0" w:type="dxa"/>
                    <w:left w:w="108" w:type="dxa"/>
                    <w:bottom w:w="0" w:type="dxa"/>
                    <w:right w:w="108" w:type="dxa"/>
                  </w:tcMar>
                  <w:vAlign w:val="bottom"/>
                  <w:hideMark/>
                </w:tcPr>
                <w:p w14:paraId="65BD13D5" w14:textId="77777777" w:rsidR="00D32EE4" w:rsidRPr="00D32EE4" w:rsidRDefault="00D32EE4" w:rsidP="00D32EE4">
                  <w:pPr>
                    <w:rPr>
                      <w:color w:val="000000"/>
                      <w:szCs w:val="20"/>
                      <w:lang w:eastAsia="en-GB"/>
                    </w:rPr>
                  </w:pPr>
                  <w:r w:rsidRPr="00D32EE4">
                    <w:rPr>
                      <w:color w:val="000000"/>
                      <w:szCs w:val="20"/>
                      <w:lang w:eastAsia="en-GB"/>
                    </w:rPr>
                    <w:t>project_scheme</w:t>
                  </w:r>
                </w:p>
              </w:tc>
              <w:tc>
                <w:tcPr>
                  <w:tcW w:w="1080" w:type="dxa"/>
                  <w:noWrap/>
                  <w:tcMar>
                    <w:top w:w="0" w:type="dxa"/>
                    <w:left w:w="108" w:type="dxa"/>
                    <w:bottom w:w="0" w:type="dxa"/>
                    <w:right w:w="108" w:type="dxa"/>
                  </w:tcMar>
                  <w:vAlign w:val="bottom"/>
                  <w:hideMark/>
                </w:tcPr>
                <w:p w14:paraId="21AED282" w14:textId="77777777" w:rsidR="00D32EE4" w:rsidRPr="00D32EE4" w:rsidRDefault="00D32EE4" w:rsidP="00D32EE4">
                  <w:pPr>
                    <w:rPr>
                      <w:color w:val="000000"/>
                      <w:szCs w:val="20"/>
                      <w:lang w:eastAsia="en-GB"/>
                    </w:rPr>
                  </w:pPr>
                  <w:r w:rsidRPr="00D32EE4">
                    <w:rPr>
                      <w:color w:val="000000"/>
                      <w:szCs w:val="20"/>
                      <w:lang w:eastAsia="en-GB"/>
                    </w:rPr>
                    <w:t>EoE</w:t>
                  </w:r>
                </w:p>
              </w:tc>
              <w:tc>
                <w:tcPr>
                  <w:tcW w:w="1080" w:type="dxa"/>
                  <w:noWrap/>
                  <w:tcMar>
                    <w:top w:w="0" w:type="dxa"/>
                    <w:left w:w="108" w:type="dxa"/>
                    <w:bottom w:w="0" w:type="dxa"/>
                    <w:right w:w="108" w:type="dxa"/>
                  </w:tcMar>
                  <w:vAlign w:val="bottom"/>
                  <w:hideMark/>
                </w:tcPr>
                <w:p w14:paraId="4ACE8FEE" w14:textId="77777777" w:rsidR="00D32EE4" w:rsidRPr="00D32EE4" w:rsidRDefault="00D32EE4" w:rsidP="00D32EE4">
                  <w:pPr>
                    <w:rPr>
                      <w:color w:val="000000"/>
                      <w:szCs w:val="20"/>
                      <w:lang w:eastAsia="en-GB"/>
                    </w:rPr>
                  </w:pPr>
                  <w:r w:rsidRPr="00D32EE4">
                    <w:rPr>
                      <w:color w:val="000000"/>
                      <w:szCs w:val="20"/>
                      <w:lang w:eastAsia="en-GB"/>
                    </w:rPr>
                    <w:t>Lon</w:t>
                  </w:r>
                </w:p>
              </w:tc>
              <w:tc>
                <w:tcPr>
                  <w:tcW w:w="1080" w:type="dxa"/>
                  <w:noWrap/>
                  <w:tcMar>
                    <w:top w:w="0" w:type="dxa"/>
                    <w:left w:w="108" w:type="dxa"/>
                    <w:bottom w:w="0" w:type="dxa"/>
                    <w:right w:w="108" w:type="dxa"/>
                  </w:tcMar>
                  <w:vAlign w:val="bottom"/>
                  <w:hideMark/>
                </w:tcPr>
                <w:p w14:paraId="71747AF8" w14:textId="77777777" w:rsidR="00D32EE4" w:rsidRPr="00D32EE4" w:rsidRDefault="00D32EE4" w:rsidP="00D32EE4">
                  <w:pPr>
                    <w:rPr>
                      <w:color w:val="000000"/>
                      <w:szCs w:val="20"/>
                      <w:lang w:eastAsia="en-GB"/>
                    </w:rPr>
                  </w:pPr>
                  <w:r w:rsidRPr="00D32EE4">
                    <w:rPr>
                      <w:color w:val="000000"/>
                      <w:szCs w:val="20"/>
                      <w:lang w:eastAsia="en-GB"/>
                    </w:rPr>
                    <w:t>NW</w:t>
                  </w:r>
                </w:p>
              </w:tc>
              <w:tc>
                <w:tcPr>
                  <w:tcW w:w="815" w:type="dxa"/>
                  <w:noWrap/>
                  <w:tcMar>
                    <w:top w:w="0" w:type="dxa"/>
                    <w:left w:w="108" w:type="dxa"/>
                    <w:bottom w:w="0" w:type="dxa"/>
                    <w:right w:w="108" w:type="dxa"/>
                  </w:tcMar>
                  <w:vAlign w:val="bottom"/>
                  <w:hideMark/>
                </w:tcPr>
                <w:p w14:paraId="1C9E704F" w14:textId="77777777" w:rsidR="00D32EE4" w:rsidRPr="00D32EE4" w:rsidRDefault="00D32EE4" w:rsidP="00D32EE4">
                  <w:pPr>
                    <w:rPr>
                      <w:color w:val="000000"/>
                      <w:szCs w:val="20"/>
                      <w:lang w:eastAsia="en-GB"/>
                    </w:rPr>
                  </w:pPr>
                  <w:r w:rsidRPr="00D32EE4">
                    <w:rPr>
                      <w:color w:val="000000"/>
                      <w:szCs w:val="20"/>
                      <w:lang w:eastAsia="en-GB"/>
                    </w:rPr>
                    <w:t>WM</w:t>
                  </w:r>
                </w:p>
              </w:tc>
            </w:tr>
            <w:tr w:rsidR="00D32EE4" w:rsidRPr="00D32EE4" w14:paraId="7E975FF7" w14:textId="77777777" w:rsidTr="00833995">
              <w:trPr>
                <w:trHeight w:val="255"/>
              </w:trPr>
              <w:tc>
                <w:tcPr>
                  <w:tcW w:w="3365" w:type="dxa"/>
                  <w:noWrap/>
                  <w:tcMar>
                    <w:top w:w="0" w:type="dxa"/>
                    <w:left w:w="108" w:type="dxa"/>
                    <w:bottom w:w="0" w:type="dxa"/>
                    <w:right w:w="108" w:type="dxa"/>
                  </w:tcMar>
                  <w:vAlign w:val="bottom"/>
                  <w:hideMark/>
                </w:tcPr>
                <w:p w14:paraId="1CBCF1EA" w14:textId="77777777" w:rsidR="00D32EE4" w:rsidRPr="00D32EE4" w:rsidRDefault="00D32EE4" w:rsidP="00D32EE4">
                  <w:pPr>
                    <w:rPr>
                      <w:color w:val="000000"/>
                      <w:szCs w:val="20"/>
                      <w:lang w:eastAsia="en-GB"/>
                    </w:rPr>
                  </w:pPr>
                  <w:r w:rsidRPr="00D32EE4">
                    <w:rPr>
                      <w:color w:val="000000"/>
                      <w:szCs w:val="20"/>
                      <w:lang w:eastAsia="en-GB"/>
                    </w:rPr>
                    <w:t>2.1_MR_Output_Table</w:t>
                  </w:r>
                </w:p>
              </w:tc>
              <w:tc>
                <w:tcPr>
                  <w:tcW w:w="1080" w:type="dxa"/>
                  <w:noWrap/>
                  <w:tcMar>
                    <w:top w:w="0" w:type="dxa"/>
                    <w:left w:w="108" w:type="dxa"/>
                    <w:bottom w:w="0" w:type="dxa"/>
                    <w:right w:w="108" w:type="dxa"/>
                  </w:tcMar>
                  <w:vAlign w:val="bottom"/>
                  <w:hideMark/>
                </w:tcPr>
                <w:p w14:paraId="17995289" w14:textId="77777777" w:rsidR="00D32EE4" w:rsidRPr="00D32EE4" w:rsidRDefault="00D32EE4" w:rsidP="00D32EE4">
                  <w:pPr>
                    <w:jc w:val="right"/>
                    <w:rPr>
                      <w:color w:val="000000"/>
                      <w:szCs w:val="20"/>
                      <w:lang w:eastAsia="en-GB"/>
                    </w:rPr>
                  </w:pPr>
                  <w:r w:rsidRPr="00D32EE4">
                    <w:rPr>
                      <w:color w:val="000000"/>
                      <w:szCs w:val="20"/>
                      <w:lang w:eastAsia="en-GB"/>
                    </w:rPr>
                    <w:t>1128</w:t>
                  </w:r>
                </w:p>
              </w:tc>
              <w:tc>
                <w:tcPr>
                  <w:tcW w:w="1080" w:type="dxa"/>
                  <w:noWrap/>
                  <w:tcMar>
                    <w:top w:w="0" w:type="dxa"/>
                    <w:left w:w="108" w:type="dxa"/>
                    <w:bottom w:w="0" w:type="dxa"/>
                    <w:right w:w="108" w:type="dxa"/>
                  </w:tcMar>
                  <w:vAlign w:val="bottom"/>
                  <w:hideMark/>
                </w:tcPr>
                <w:p w14:paraId="700011E8" w14:textId="77777777" w:rsidR="00D32EE4" w:rsidRPr="00D32EE4" w:rsidRDefault="00D32EE4" w:rsidP="00D32EE4">
                  <w:pPr>
                    <w:jc w:val="right"/>
                    <w:rPr>
                      <w:color w:val="000000"/>
                      <w:szCs w:val="20"/>
                      <w:lang w:eastAsia="en-GB"/>
                    </w:rPr>
                  </w:pPr>
                  <w:r w:rsidRPr="00D32EE4">
                    <w:rPr>
                      <w:color w:val="000000"/>
                      <w:szCs w:val="20"/>
                      <w:lang w:eastAsia="en-GB"/>
                    </w:rPr>
                    <w:t>4833</w:t>
                  </w:r>
                </w:p>
              </w:tc>
              <w:tc>
                <w:tcPr>
                  <w:tcW w:w="1080" w:type="dxa"/>
                  <w:noWrap/>
                  <w:tcMar>
                    <w:top w:w="0" w:type="dxa"/>
                    <w:left w:w="108" w:type="dxa"/>
                    <w:bottom w:w="0" w:type="dxa"/>
                    <w:right w:w="108" w:type="dxa"/>
                  </w:tcMar>
                  <w:vAlign w:val="bottom"/>
                  <w:hideMark/>
                </w:tcPr>
                <w:p w14:paraId="4DBBDDB4" w14:textId="77777777" w:rsidR="00D32EE4" w:rsidRPr="00D32EE4" w:rsidRDefault="00D32EE4" w:rsidP="00D32EE4">
                  <w:pPr>
                    <w:jc w:val="right"/>
                    <w:rPr>
                      <w:color w:val="000000"/>
                      <w:szCs w:val="20"/>
                      <w:lang w:eastAsia="en-GB"/>
                    </w:rPr>
                  </w:pPr>
                  <w:r w:rsidRPr="00D32EE4">
                    <w:rPr>
                      <w:color w:val="000000"/>
                      <w:szCs w:val="20"/>
                      <w:lang w:eastAsia="en-GB"/>
                    </w:rPr>
                    <w:t>1530</w:t>
                  </w:r>
                </w:p>
              </w:tc>
              <w:tc>
                <w:tcPr>
                  <w:tcW w:w="815" w:type="dxa"/>
                  <w:noWrap/>
                  <w:tcMar>
                    <w:top w:w="0" w:type="dxa"/>
                    <w:left w:w="108" w:type="dxa"/>
                    <w:bottom w:w="0" w:type="dxa"/>
                    <w:right w:w="108" w:type="dxa"/>
                  </w:tcMar>
                  <w:vAlign w:val="bottom"/>
                  <w:hideMark/>
                </w:tcPr>
                <w:p w14:paraId="3B3515F0" w14:textId="77777777" w:rsidR="00D32EE4" w:rsidRPr="00D32EE4" w:rsidRDefault="00D32EE4" w:rsidP="00D32EE4">
                  <w:pPr>
                    <w:jc w:val="right"/>
                    <w:rPr>
                      <w:color w:val="000000"/>
                      <w:szCs w:val="20"/>
                      <w:lang w:eastAsia="en-GB"/>
                    </w:rPr>
                  </w:pPr>
                  <w:r w:rsidRPr="00D32EE4">
                    <w:rPr>
                      <w:color w:val="000000"/>
                      <w:szCs w:val="20"/>
                      <w:lang w:eastAsia="en-GB"/>
                    </w:rPr>
                    <w:t>1418</w:t>
                  </w:r>
                </w:p>
              </w:tc>
            </w:tr>
            <w:tr w:rsidR="00D32EE4" w:rsidRPr="00D32EE4" w14:paraId="0EFDCD14" w14:textId="77777777" w:rsidTr="00833995">
              <w:trPr>
                <w:trHeight w:val="255"/>
              </w:trPr>
              <w:tc>
                <w:tcPr>
                  <w:tcW w:w="3365" w:type="dxa"/>
                  <w:noWrap/>
                  <w:tcMar>
                    <w:top w:w="0" w:type="dxa"/>
                    <w:left w:w="108" w:type="dxa"/>
                    <w:bottom w:w="0" w:type="dxa"/>
                    <w:right w:w="108" w:type="dxa"/>
                  </w:tcMar>
                  <w:vAlign w:val="bottom"/>
                  <w:hideMark/>
                </w:tcPr>
                <w:p w14:paraId="10498763" w14:textId="77777777" w:rsidR="00D32EE4" w:rsidRPr="00D32EE4" w:rsidRDefault="00D32EE4" w:rsidP="00D32EE4">
                  <w:pPr>
                    <w:rPr>
                      <w:color w:val="000000"/>
                      <w:szCs w:val="20"/>
                      <w:lang w:eastAsia="en-GB"/>
                    </w:rPr>
                  </w:pPr>
                  <w:r w:rsidRPr="00D32EE4">
                    <w:rPr>
                      <w:color w:val="000000"/>
                      <w:szCs w:val="20"/>
                      <w:lang w:eastAsia="en-GB"/>
                    </w:rPr>
                    <w:t>3.4_Allowed_Vols_AC_Mapping</w:t>
                  </w:r>
                </w:p>
              </w:tc>
              <w:tc>
                <w:tcPr>
                  <w:tcW w:w="1080" w:type="dxa"/>
                  <w:noWrap/>
                  <w:tcMar>
                    <w:top w:w="0" w:type="dxa"/>
                    <w:left w:w="108" w:type="dxa"/>
                    <w:bottom w:w="0" w:type="dxa"/>
                    <w:right w:w="108" w:type="dxa"/>
                  </w:tcMar>
                  <w:vAlign w:val="bottom"/>
                  <w:hideMark/>
                </w:tcPr>
                <w:p w14:paraId="6FDB8FCB" w14:textId="77777777" w:rsidR="00D32EE4" w:rsidRPr="00D32EE4" w:rsidRDefault="00D32EE4" w:rsidP="00D32EE4">
                  <w:pPr>
                    <w:jc w:val="right"/>
                    <w:rPr>
                      <w:color w:val="000000"/>
                      <w:szCs w:val="20"/>
                      <w:lang w:eastAsia="en-GB"/>
                    </w:rPr>
                  </w:pPr>
                  <w:r w:rsidRPr="00D32EE4">
                    <w:rPr>
                      <w:color w:val="000000"/>
                      <w:szCs w:val="20"/>
                      <w:lang w:eastAsia="en-GB"/>
                    </w:rPr>
                    <w:t>1144</w:t>
                  </w:r>
                </w:p>
              </w:tc>
              <w:tc>
                <w:tcPr>
                  <w:tcW w:w="1080" w:type="dxa"/>
                  <w:noWrap/>
                  <w:tcMar>
                    <w:top w:w="0" w:type="dxa"/>
                    <w:left w:w="108" w:type="dxa"/>
                    <w:bottom w:w="0" w:type="dxa"/>
                    <w:right w:w="108" w:type="dxa"/>
                  </w:tcMar>
                  <w:vAlign w:val="bottom"/>
                  <w:hideMark/>
                </w:tcPr>
                <w:p w14:paraId="55284CBD" w14:textId="77777777" w:rsidR="00D32EE4" w:rsidRPr="00D32EE4" w:rsidRDefault="00D32EE4" w:rsidP="00D32EE4">
                  <w:pPr>
                    <w:jc w:val="right"/>
                    <w:rPr>
                      <w:color w:val="000000"/>
                      <w:szCs w:val="20"/>
                      <w:lang w:eastAsia="en-GB"/>
                    </w:rPr>
                  </w:pPr>
                  <w:r w:rsidRPr="00D32EE4">
                    <w:rPr>
                      <w:color w:val="000000"/>
                      <w:szCs w:val="20"/>
                      <w:lang w:eastAsia="en-GB"/>
                    </w:rPr>
                    <w:t>4893</w:t>
                  </w:r>
                </w:p>
              </w:tc>
              <w:tc>
                <w:tcPr>
                  <w:tcW w:w="1080" w:type="dxa"/>
                  <w:noWrap/>
                  <w:tcMar>
                    <w:top w:w="0" w:type="dxa"/>
                    <w:left w:w="108" w:type="dxa"/>
                    <w:bottom w:w="0" w:type="dxa"/>
                    <w:right w:w="108" w:type="dxa"/>
                  </w:tcMar>
                  <w:vAlign w:val="bottom"/>
                  <w:hideMark/>
                </w:tcPr>
                <w:p w14:paraId="0614E161" w14:textId="77777777" w:rsidR="00D32EE4" w:rsidRPr="00D32EE4" w:rsidRDefault="00D32EE4" w:rsidP="00D32EE4">
                  <w:pPr>
                    <w:jc w:val="right"/>
                    <w:rPr>
                      <w:color w:val="000000"/>
                      <w:szCs w:val="20"/>
                      <w:lang w:eastAsia="en-GB"/>
                    </w:rPr>
                  </w:pPr>
                  <w:r w:rsidRPr="00D32EE4">
                    <w:rPr>
                      <w:color w:val="000000"/>
                      <w:szCs w:val="20"/>
                      <w:lang w:eastAsia="en-GB"/>
                    </w:rPr>
                    <w:t>1544</w:t>
                  </w:r>
                </w:p>
              </w:tc>
              <w:tc>
                <w:tcPr>
                  <w:tcW w:w="815" w:type="dxa"/>
                  <w:noWrap/>
                  <w:tcMar>
                    <w:top w:w="0" w:type="dxa"/>
                    <w:left w:w="108" w:type="dxa"/>
                    <w:bottom w:w="0" w:type="dxa"/>
                    <w:right w:w="108" w:type="dxa"/>
                  </w:tcMar>
                  <w:vAlign w:val="bottom"/>
                  <w:hideMark/>
                </w:tcPr>
                <w:p w14:paraId="6A16FD3C" w14:textId="77777777" w:rsidR="00D32EE4" w:rsidRPr="00D32EE4" w:rsidRDefault="00D32EE4" w:rsidP="00D32EE4">
                  <w:pPr>
                    <w:jc w:val="right"/>
                    <w:rPr>
                      <w:color w:val="000000"/>
                      <w:szCs w:val="20"/>
                      <w:lang w:eastAsia="en-GB"/>
                    </w:rPr>
                  </w:pPr>
                  <w:r w:rsidRPr="00D32EE4">
                    <w:rPr>
                      <w:color w:val="000000"/>
                      <w:szCs w:val="20"/>
                      <w:lang w:eastAsia="en-GB"/>
                    </w:rPr>
                    <w:t>1428</w:t>
                  </w:r>
                </w:p>
              </w:tc>
            </w:tr>
            <w:tr w:rsidR="00D32EE4" w:rsidRPr="00D32EE4" w14:paraId="1745C1C0" w14:textId="77777777" w:rsidTr="00833995">
              <w:trPr>
                <w:trHeight w:val="255"/>
              </w:trPr>
              <w:tc>
                <w:tcPr>
                  <w:tcW w:w="3365" w:type="dxa"/>
                  <w:noWrap/>
                  <w:tcMar>
                    <w:top w:w="0" w:type="dxa"/>
                    <w:left w:w="108" w:type="dxa"/>
                    <w:bottom w:w="0" w:type="dxa"/>
                    <w:right w:w="108" w:type="dxa"/>
                  </w:tcMar>
                  <w:vAlign w:val="bottom"/>
                  <w:hideMark/>
                </w:tcPr>
                <w:p w14:paraId="39B1296B" w14:textId="77777777" w:rsidR="00D32EE4" w:rsidRPr="00D32EE4" w:rsidRDefault="00D32EE4" w:rsidP="00D32EE4">
                  <w:pPr>
                    <w:rPr>
                      <w:color w:val="000000"/>
                      <w:szCs w:val="20"/>
                      <w:lang w:eastAsia="en-GB"/>
                    </w:rPr>
                  </w:pPr>
                  <w:r w:rsidRPr="00D32EE4">
                    <w:rPr>
                      <w:color w:val="000000"/>
                      <w:szCs w:val="20"/>
                      <w:lang w:eastAsia="en-GB"/>
                    </w:rPr>
                    <w:t>Variance</w:t>
                  </w:r>
                </w:p>
              </w:tc>
              <w:tc>
                <w:tcPr>
                  <w:tcW w:w="1080" w:type="dxa"/>
                  <w:noWrap/>
                  <w:tcMar>
                    <w:top w:w="0" w:type="dxa"/>
                    <w:left w:w="108" w:type="dxa"/>
                    <w:bottom w:w="0" w:type="dxa"/>
                    <w:right w:w="108" w:type="dxa"/>
                  </w:tcMar>
                  <w:vAlign w:val="bottom"/>
                  <w:hideMark/>
                </w:tcPr>
                <w:p w14:paraId="5C8ECDB4" w14:textId="77777777" w:rsidR="00D32EE4" w:rsidRPr="00D32EE4" w:rsidRDefault="00D32EE4" w:rsidP="00D32EE4">
                  <w:pPr>
                    <w:jc w:val="right"/>
                    <w:rPr>
                      <w:color w:val="000000"/>
                      <w:szCs w:val="20"/>
                      <w:lang w:eastAsia="en-GB"/>
                    </w:rPr>
                  </w:pPr>
                  <w:r w:rsidRPr="00D32EE4">
                    <w:rPr>
                      <w:color w:val="000000"/>
                      <w:szCs w:val="20"/>
                      <w:lang w:eastAsia="en-GB"/>
                    </w:rPr>
                    <w:t>16</w:t>
                  </w:r>
                </w:p>
              </w:tc>
              <w:tc>
                <w:tcPr>
                  <w:tcW w:w="1080" w:type="dxa"/>
                  <w:noWrap/>
                  <w:tcMar>
                    <w:top w:w="0" w:type="dxa"/>
                    <w:left w:w="108" w:type="dxa"/>
                    <w:bottom w:w="0" w:type="dxa"/>
                    <w:right w:w="108" w:type="dxa"/>
                  </w:tcMar>
                  <w:vAlign w:val="bottom"/>
                  <w:hideMark/>
                </w:tcPr>
                <w:p w14:paraId="6D765871" w14:textId="77777777" w:rsidR="00D32EE4" w:rsidRPr="00D32EE4" w:rsidRDefault="00D32EE4" w:rsidP="00D32EE4">
                  <w:pPr>
                    <w:jc w:val="right"/>
                    <w:rPr>
                      <w:color w:val="000000"/>
                      <w:szCs w:val="20"/>
                      <w:lang w:eastAsia="en-GB"/>
                    </w:rPr>
                  </w:pPr>
                  <w:r w:rsidRPr="00D32EE4">
                    <w:rPr>
                      <w:color w:val="000000"/>
                      <w:szCs w:val="20"/>
                      <w:lang w:eastAsia="en-GB"/>
                    </w:rPr>
                    <w:t>60</w:t>
                  </w:r>
                </w:p>
              </w:tc>
              <w:tc>
                <w:tcPr>
                  <w:tcW w:w="1080" w:type="dxa"/>
                  <w:noWrap/>
                  <w:tcMar>
                    <w:top w:w="0" w:type="dxa"/>
                    <w:left w:w="108" w:type="dxa"/>
                    <w:bottom w:w="0" w:type="dxa"/>
                    <w:right w:w="108" w:type="dxa"/>
                  </w:tcMar>
                  <w:vAlign w:val="bottom"/>
                  <w:hideMark/>
                </w:tcPr>
                <w:p w14:paraId="702BD006" w14:textId="77777777" w:rsidR="00D32EE4" w:rsidRPr="00D32EE4" w:rsidRDefault="00D32EE4" w:rsidP="00D32EE4">
                  <w:pPr>
                    <w:jc w:val="right"/>
                    <w:rPr>
                      <w:color w:val="000000"/>
                      <w:szCs w:val="20"/>
                      <w:lang w:eastAsia="en-GB"/>
                    </w:rPr>
                  </w:pPr>
                  <w:r w:rsidRPr="00D32EE4">
                    <w:rPr>
                      <w:color w:val="000000"/>
                      <w:szCs w:val="20"/>
                      <w:lang w:eastAsia="en-GB"/>
                    </w:rPr>
                    <w:t>14</w:t>
                  </w:r>
                </w:p>
              </w:tc>
              <w:tc>
                <w:tcPr>
                  <w:tcW w:w="815" w:type="dxa"/>
                  <w:noWrap/>
                  <w:tcMar>
                    <w:top w:w="0" w:type="dxa"/>
                    <w:left w:w="108" w:type="dxa"/>
                    <w:bottom w:w="0" w:type="dxa"/>
                    <w:right w:w="108" w:type="dxa"/>
                  </w:tcMar>
                  <w:vAlign w:val="bottom"/>
                  <w:hideMark/>
                </w:tcPr>
                <w:p w14:paraId="5BD86273" w14:textId="77777777" w:rsidR="00D32EE4" w:rsidRPr="00D32EE4" w:rsidRDefault="00D32EE4" w:rsidP="00D32EE4">
                  <w:pPr>
                    <w:jc w:val="right"/>
                    <w:rPr>
                      <w:color w:val="000000"/>
                      <w:szCs w:val="20"/>
                      <w:lang w:eastAsia="en-GB"/>
                    </w:rPr>
                  </w:pPr>
                  <w:r w:rsidRPr="00D32EE4">
                    <w:rPr>
                      <w:color w:val="000000"/>
                      <w:szCs w:val="20"/>
                      <w:lang w:eastAsia="en-GB"/>
                    </w:rPr>
                    <w:t>10</w:t>
                  </w:r>
                </w:p>
              </w:tc>
            </w:tr>
          </w:tbl>
          <w:p w14:paraId="08551F37" w14:textId="77777777" w:rsidR="00504295" w:rsidRPr="00D32EE4" w:rsidRDefault="00504295" w:rsidP="003F22F3">
            <w:pPr>
              <w:rPr>
                <w:rFonts w:ascii="Arial" w:hAnsi="Arial" w:cs="Arial"/>
                <w:szCs w:val="20"/>
              </w:rPr>
            </w:pPr>
          </w:p>
          <w:p w14:paraId="121E33D5" w14:textId="0F053F8E" w:rsidR="00504295" w:rsidRPr="00D32EE4" w:rsidRDefault="00D32EE4" w:rsidP="003F22F3">
            <w:pPr>
              <w:rPr>
                <w:rFonts w:ascii="Arial" w:hAnsi="Arial" w:cs="Arial"/>
                <w:szCs w:val="20"/>
              </w:rPr>
            </w:pPr>
            <w:r>
              <w:rPr>
                <w:rFonts w:ascii="Arial" w:hAnsi="Arial" w:cs="Arial"/>
                <w:b/>
                <w:szCs w:val="20"/>
              </w:rPr>
              <w:t xml:space="preserve">Can Ofgem confirm which values are the allowed volumes for risers for setting monetised risk reduction target and for assessing allowed costs?  </w:t>
            </w:r>
          </w:p>
          <w:p w14:paraId="2E78BA1C" w14:textId="77777777" w:rsidR="00504295" w:rsidRPr="00D32EE4" w:rsidRDefault="00504295" w:rsidP="003F22F3">
            <w:pPr>
              <w:rPr>
                <w:rFonts w:ascii="Arial" w:hAnsi="Arial" w:cs="Arial"/>
                <w:szCs w:val="20"/>
              </w:rPr>
            </w:pPr>
          </w:p>
          <w:p w14:paraId="373E21D8" w14:textId="2BB734FE" w:rsidR="00504295" w:rsidRPr="00D32EE4" w:rsidRDefault="00504295" w:rsidP="003F22F3">
            <w:pPr>
              <w:rPr>
                <w:rFonts w:ascii="Arial" w:hAnsi="Arial" w:cs="Arial"/>
                <w:szCs w:val="20"/>
              </w:rPr>
            </w:pPr>
          </w:p>
        </w:tc>
      </w:tr>
      <w:tr w:rsidR="007D4FD3" w:rsidRPr="00876240" w14:paraId="5F8D3819" w14:textId="77777777" w:rsidTr="00AC6418">
        <w:trPr>
          <w:trHeight w:val="127"/>
        </w:trPr>
        <w:tc>
          <w:tcPr>
            <w:tcW w:w="2283" w:type="dxa"/>
            <w:shd w:val="clear" w:color="auto" w:fill="auto"/>
            <w:vAlign w:val="center"/>
          </w:tcPr>
          <w:p w14:paraId="0A404F89" w14:textId="41C82A79" w:rsidR="007D4FD3" w:rsidRDefault="007D4FD3" w:rsidP="00945C7C">
            <w:pPr>
              <w:rPr>
                <w:rFonts w:ascii="Arial" w:hAnsi="Arial" w:cs="Arial"/>
                <w:b/>
                <w:bCs/>
              </w:rPr>
            </w:pPr>
            <w:r>
              <w:rPr>
                <w:rFonts w:ascii="Arial" w:hAnsi="Arial" w:cs="Arial"/>
                <w:b/>
                <w:bCs/>
              </w:rPr>
              <w:lastRenderedPageBreak/>
              <w:t>Confidential</w:t>
            </w:r>
          </w:p>
        </w:tc>
        <w:tc>
          <w:tcPr>
            <w:tcW w:w="7391" w:type="dxa"/>
            <w:shd w:val="clear" w:color="auto" w:fill="auto"/>
            <w:vAlign w:val="center"/>
          </w:tcPr>
          <w:p w14:paraId="6038010D" w14:textId="74F21D17" w:rsidR="007D4FD3" w:rsidRDefault="007D4FD3" w:rsidP="007D4FD3">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32A273E8" w:rsidR="00947682" w:rsidRDefault="00947682" w:rsidP="00947682">
            <w:pPr>
              <w:rPr>
                <w:rFonts w:ascii="Arial" w:hAnsi="Arial" w:cs="Arial"/>
                <w:sz w:val="24"/>
                <w:szCs w:val="24"/>
              </w:rPr>
            </w:pPr>
            <w:r>
              <w:rPr>
                <w:rFonts w:ascii="Arial" w:hAnsi="Arial" w:cs="Arial"/>
                <w:sz w:val="24"/>
                <w:szCs w:val="24"/>
              </w:rPr>
              <w:t xml:space="preserve"> </w:t>
            </w:r>
            <w:r w:rsidR="00D32EE4" w:rsidRPr="00D32EE4">
              <w:rPr>
                <w:rFonts w:ascii="Arial" w:hAnsi="Arial" w:cs="Arial"/>
                <w:sz w:val="24"/>
                <w:szCs w:val="24"/>
              </w:rPr>
              <w:t>Joshkun Bagdatlioglu</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05037146" w:rsidR="00F82AB4" w:rsidRPr="00876240" w:rsidRDefault="00D32EE4" w:rsidP="00504295">
            <w:pPr>
              <w:rPr>
                <w:rFonts w:ascii="Arial" w:hAnsi="Arial" w:cs="Arial"/>
                <w:sz w:val="24"/>
                <w:szCs w:val="24"/>
              </w:rPr>
            </w:pPr>
            <w:r>
              <w:rPr>
                <w:rFonts w:ascii="Arial" w:hAnsi="Arial" w:cs="Arial"/>
                <w:sz w:val="24"/>
                <w:szCs w:val="24"/>
              </w:rPr>
              <w:t>31/07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6D8214F3" w:rsidR="00F24B54" w:rsidRDefault="00D32EE4" w:rsidP="00F24B54">
            <w:pPr>
              <w:rPr>
                <w:rFonts w:ascii="Arial" w:hAnsi="Arial" w:cs="Arial"/>
                <w:sz w:val="24"/>
                <w:szCs w:val="24"/>
              </w:rPr>
            </w:pPr>
            <w:r>
              <w:rPr>
                <w:rFonts w:ascii="Arial" w:hAnsi="Arial" w:cs="Arial"/>
                <w:sz w:val="24"/>
                <w:szCs w:val="24"/>
              </w:rPr>
              <w:t>06/08/2020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73E21EF" w14:textId="45CF7BC7" w:rsidR="00F24B54" w:rsidRPr="002707B1" w:rsidRDefault="00F24B54" w:rsidP="00A62467">
            <w:pPr>
              <w:rPr>
                <w:rFonts w:ascii="Arial" w:hAnsi="Arial" w:cs="Arial"/>
                <w:b/>
                <w:bCs/>
                <w:sz w:val="24"/>
                <w:szCs w:val="24"/>
              </w:rPr>
            </w:pPr>
            <w:r>
              <w:rPr>
                <w:rFonts w:ascii="Arial" w:hAnsi="Arial" w:cs="Arial"/>
              </w:rPr>
              <w:t xml:space="preserve"> </w:t>
            </w:r>
            <w:r w:rsidR="00A62467">
              <w:rPr>
                <w:rFonts w:ascii="Arial" w:hAnsi="Arial" w:cs="Arial"/>
              </w:rPr>
              <w:t>The</w:t>
            </w:r>
            <w:r w:rsidR="006B1E5B">
              <w:rPr>
                <w:rFonts w:ascii="Arial" w:hAnsi="Arial" w:cs="Arial"/>
              </w:rPr>
              <w:t xml:space="preserve"> instances</w:t>
            </w:r>
            <w:r w:rsidR="00A62467">
              <w:rPr>
                <w:rFonts w:ascii="Arial" w:hAnsi="Arial" w:cs="Arial"/>
              </w:rPr>
              <w:t xml:space="preserve"> raised</w:t>
            </w:r>
            <w:r w:rsidR="006B1E5B">
              <w:rPr>
                <w:rFonts w:ascii="Arial" w:hAnsi="Arial" w:cs="Arial"/>
              </w:rPr>
              <w:t xml:space="preserve"> are related to Ofgem’s ability to </w:t>
            </w:r>
            <w:r w:rsidR="00077CA7">
              <w:rPr>
                <w:rFonts w:ascii="Arial" w:hAnsi="Arial" w:cs="Arial"/>
              </w:rPr>
              <w:t xml:space="preserve">correctly map </w:t>
            </w:r>
            <w:r w:rsidR="006B1E5B">
              <w:rPr>
                <w:rFonts w:ascii="Arial" w:hAnsi="Arial" w:cs="Arial"/>
              </w:rPr>
              <w:t>NARM</w:t>
            </w:r>
            <w:r w:rsidR="00077CA7">
              <w:rPr>
                <w:rFonts w:ascii="Arial" w:hAnsi="Arial" w:cs="Arial"/>
              </w:rPr>
              <w:t xml:space="preserve"> data</w:t>
            </w:r>
            <w:r w:rsidR="006B1E5B">
              <w:rPr>
                <w:rFonts w:ascii="Arial" w:hAnsi="Arial" w:cs="Arial"/>
              </w:rPr>
              <w:t xml:space="preserve"> to CV</w:t>
            </w:r>
            <w:r w:rsidR="00077CA7">
              <w:rPr>
                <w:rFonts w:ascii="Arial" w:hAnsi="Arial" w:cs="Arial"/>
              </w:rPr>
              <w:t xml:space="preserve"> data</w:t>
            </w:r>
            <w:r w:rsidR="006B1E5B">
              <w:rPr>
                <w:rFonts w:ascii="Arial" w:hAnsi="Arial" w:cs="Arial"/>
              </w:rPr>
              <w:t xml:space="preserve">. Discussions have been had on alignment of data at </w:t>
            </w:r>
            <w:r w:rsidR="00077CA7">
              <w:rPr>
                <w:rFonts w:ascii="Arial" w:hAnsi="Arial" w:cs="Arial"/>
              </w:rPr>
              <w:t xml:space="preserve">the </w:t>
            </w:r>
            <w:r w:rsidR="006B1E5B">
              <w:rPr>
                <w:rFonts w:ascii="Arial" w:hAnsi="Arial" w:cs="Arial"/>
              </w:rPr>
              <w:t>06/08/2020, 24/08/2020 and 27/08/2020 working groups. Ofgem ha</w:t>
            </w:r>
            <w:r w:rsidR="00A62467">
              <w:rPr>
                <w:rFonts w:ascii="Arial" w:hAnsi="Arial" w:cs="Arial"/>
              </w:rPr>
              <w:t>s</w:t>
            </w:r>
            <w:r w:rsidR="006B1E5B">
              <w:rPr>
                <w:rFonts w:ascii="Arial" w:hAnsi="Arial" w:cs="Arial"/>
              </w:rPr>
              <w:t xml:space="preserve"> issued data alignment templates so Cadent can provide more accurate alignment of NARM to CV. With the return of populated template, we will feed Cade</w:t>
            </w:r>
            <w:bookmarkStart w:id="0" w:name="_GoBack"/>
            <w:bookmarkEnd w:id="0"/>
            <w:r w:rsidR="006B1E5B">
              <w:rPr>
                <w:rFonts w:ascii="Arial" w:hAnsi="Arial" w:cs="Arial"/>
              </w:rPr>
              <w:t xml:space="preserve">nt’s view of data alignment (i.e. volumes, costs and MR) into the NARM model to accurately reflect the points raised.  </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C6D9D" w14:textId="77777777" w:rsidR="008E4519" w:rsidRDefault="008E4519" w:rsidP="00526623">
      <w:pPr>
        <w:spacing w:after="0" w:line="240" w:lineRule="auto"/>
      </w:pPr>
      <w:r>
        <w:separator/>
      </w:r>
    </w:p>
  </w:endnote>
  <w:endnote w:type="continuationSeparator" w:id="0">
    <w:p w14:paraId="74E723A0" w14:textId="77777777" w:rsidR="008E4519" w:rsidRDefault="008E451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8D7CE" w14:textId="77777777" w:rsidR="008E4519" w:rsidRDefault="008E4519" w:rsidP="00526623">
      <w:pPr>
        <w:spacing w:after="0" w:line="240" w:lineRule="auto"/>
      </w:pPr>
      <w:r>
        <w:separator/>
      </w:r>
    </w:p>
  </w:footnote>
  <w:footnote w:type="continuationSeparator" w:id="0">
    <w:p w14:paraId="74A8F256" w14:textId="77777777" w:rsidR="008E4519" w:rsidRDefault="008E451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77CA7"/>
    <w:rsid w:val="00090251"/>
    <w:rsid w:val="000C3A79"/>
    <w:rsid w:val="000F1652"/>
    <w:rsid w:val="0010126C"/>
    <w:rsid w:val="00107296"/>
    <w:rsid w:val="00133BD9"/>
    <w:rsid w:val="00133CFC"/>
    <w:rsid w:val="00137DC1"/>
    <w:rsid w:val="00172809"/>
    <w:rsid w:val="001B0622"/>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B3576"/>
    <w:rsid w:val="003E53F4"/>
    <w:rsid w:val="003F22F3"/>
    <w:rsid w:val="004145D1"/>
    <w:rsid w:val="004302F8"/>
    <w:rsid w:val="00471BC8"/>
    <w:rsid w:val="00503895"/>
    <w:rsid w:val="00504295"/>
    <w:rsid w:val="00507163"/>
    <w:rsid w:val="00526623"/>
    <w:rsid w:val="00526A8E"/>
    <w:rsid w:val="00534E92"/>
    <w:rsid w:val="00576577"/>
    <w:rsid w:val="00584F30"/>
    <w:rsid w:val="005A506C"/>
    <w:rsid w:val="005A74DE"/>
    <w:rsid w:val="005E2894"/>
    <w:rsid w:val="0060723D"/>
    <w:rsid w:val="00623F30"/>
    <w:rsid w:val="006279ED"/>
    <w:rsid w:val="006847DA"/>
    <w:rsid w:val="00685616"/>
    <w:rsid w:val="006B18F6"/>
    <w:rsid w:val="006B1E5B"/>
    <w:rsid w:val="00716508"/>
    <w:rsid w:val="007400B7"/>
    <w:rsid w:val="00753976"/>
    <w:rsid w:val="007649AC"/>
    <w:rsid w:val="00796C90"/>
    <w:rsid w:val="007974DA"/>
    <w:rsid w:val="007B29A9"/>
    <w:rsid w:val="007B4F5B"/>
    <w:rsid w:val="007D4FD3"/>
    <w:rsid w:val="007D7648"/>
    <w:rsid w:val="007E53E6"/>
    <w:rsid w:val="008170C7"/>
    <w:rsid w:val="0085400C"/>
    <w:rsid w:val="0089547E"/>
    <w:rsid w:val="008A37EF"/>
    <w:rsid w:val="008B3636"/>
    <w:rsid w:val="008C5A35"/>
    <w:rsid w:val="008D73D6"/>
    <w:rsid w:val="008E4519"/>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62467"/>
    <w:rsid w:val="00A71151"/>
    <w:rsid w:val="00A922CF"/>
    <w:rsid w:val="00AC6418"/>
    <w:rsid w:val="00B82400"/>
    <w:rsid w:val="00B86DDF"/>
    <w:rsid w:val="00BA4154"/>
    <w:rsid w:val="00BB682C"/>
    <w:rsid w:val="00C57345"/>
    <w:rsid w:val="00C657A4"/>
    <w:rsid w:val="00C814D0"/>
    <w:rsid w:val="00C919C3"/>
    <w:rsid w:val="00CA4297"/>
    <w:rsid w:val="00CC7214"/>
    <w:rsid w:val="00CE4B79"/>
    <w:rsid w:val="00CF22EF"/>
    <w:rsid w:val="00D32EE4"/>
    <w:rsid w:val="00D50036"/>
    <w:rsid w:val="00E040EA"/>
    <w:rsid w:val="00E525E0"/>
    <w:rsid w:val="00E60E79"/>
    <w:rsid w:val="00EB179A"/>
    <w:rsid w:val="00EB2613"/>
    <w:rsid w:val="00F00954"/>
    <w:rsid w:val="00F129C1"/>
    <w:rsid w:val="00F23B18"/>
    <w:rsid w:val="00F24B54"/>
    <w:rsid w:val="00F678C1"/>
    <w:rsid w:val="00F82AB4"/>
    <w:rsid w:val="00F920E2"/>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mso-contentType ?>
<SharedContentType xmlns="Microsoft.SharePoint.Taxonomy.ContentTypeSync" SourceId="ca9306fc-8436-45f0-b931-e34f519be3a3" ContentTypeId="0x010100CBFEBA86B6E0A2498471ADBC27C4F03E" PreviousValue="true"/>
</file>

<file path=customXml/itemProps1.xml><?xml version="1.0" encoding="utf-8"?>
<ds:datastoreItem xmlns:ds="http://schemas.openxmlformats.org/officeDocument/2006/customXml" ds:itemID="{29ADCE0F-4B57-43CC-B02B-7152FE918E02}"/>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
  </ds:schemaRefs>
</ds:datastoreItem>
</file>

<file path=customXml/itemProps4.xml><?xml version="1.0" encoding="utf-8"?>
<ds:datastoreItem xmlns:ds="http://schemas.openxmlformats.org/officeDocument/2006/customXml" ds:itemID="{2AAE75DD-7D2C-4766-8B70-3A832745FF6F}">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940FE505-9EC7-4482-8270-B4C703315B23}"/>
</file>

<file path=docProps/app.xml><?xml version="1.0" encoding="utf-8"?>
<Properties xmlns="http://schemas.openxmlformats.org/officeDocument/2006/extended-properties" xmlns:vt="http://schemas.openxmlformats.org/officeDocument/2006/docPropsVTypes">
  <Template>Normal</Template>
  <TotalTime>9</TotalTime>
  <Pages>4</Pages>
  <Words>977</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4</cp:revision>
  <dcterms:created xsi:type="dcterms:W3CDTF">2020-08-28T12:14:00Z</dcterms:created>
  <dcterms:modified xsi:type="dcterms:W3CDTF">2020-08-28T12:16:00Z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f2cb36ac-048c-443e-b5f0-9ac0b96f2590</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