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09485E" w:rsidRPr="002E3EFB" w14:paraId="33491B06" w14:textId="77777777" w:rsidTr="00E07F6C">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1A2C5F1A" w14:textId="77777777" w:rsidR="0009485E" w:rsidRPr="002E3EFB" w:rsidRDefault="0009485E" w:rsidP="00E07F6C">
            <w:pPr>
              <w:rPr>
                <w:rFonts w:ascii="Arial" w:hAnsi="Arial" w:cs="Arial"/>
                <w:b/>
                <w:bCs/>
                <w:sz w:val="32"/>
                <w:szCs w:val="32"/>
              </w:rPr>
            </w:pPr>
            <w:r>
              <w:rPr>
                <w:rFonts w:ascii="Arial" w:hAnsi="Arial" w:cs="Arial"/>
                <w:b/>
                <w:bCs/>
                <w:sz w:val="32"/>
                <w:szCs w:val="32"/>
              </w:rPr>
              <w:t xml:space="preserve">Cadent </w:t>
            </w:r>
            <w:r w:rsidRPr="002E3EFB">
              <w:rPr>
                <w:rFonts w:ascii="Arial" w:hAnsi="Arial" w:cs="Arial"/>
                <w:b/>
                <w:bCs/>
                <w:sz w:val="32"/>
                <w:szCs w:val="32"/>
              </w:rPr>
              <w:t xml:space="preserve">Draft Determination </w:t>
            </w:r>
          </w:p>
        </w:tc>
      </w:tr>
      <w:tr w:rsidR="0009485E" w:rsidRPr="00876240" w14:paraId="599FBE7B" w14:textId="77777777" w:rsidTr="00E07F6C">
        <w:trPr>
          <w:gridBefore w:val="1"/>
          <w:wBefore w:w="216" w:type="dxa"/>
          <w:trHeight w:val="315"/>
        </w:trPr>
        <w:tc>
          <w:tcPr>
            <w:tcW w:w="9674" w:type="dxa"/>
            <w:gridSpan w:val="3"/>
            <w:tcBorders>
              <w:top w:val="nil"/>
              <w:left w:val="nil"/>
              <w:right w:val="nil"/>
            </w:tcBorders>
            <w:shd w:val="clear" w:color="auto" w:fill="auto"/>
            <w:noWrap/>
            <w:vAlign w:val="center"/>
            <w:hideMark/>
          </w:tcPr>
          <w:p w14:paraId="169E7FF6" w14:textId="77777777" w:rsidR="0009485E" w:rsidRPr="00876240" w:rsidRDefault="0009485E" w:rsidP="00E07F6C">
            <w:pPr>
              <w:rPr>
                <w:rFonts w:ascii="Arial" w:hAnsi="Arial" w:cs="Arial"/>
                <w:b/>
                <w:bCs/>
                <w:sz w:val="24"/>
                <w:szCs w:val="24"/>
              </w:rPr>
            </w:pPr>
            <w:r>
              <w:rPr>
                <w:rFonts w:ascii="Arial" w:hAnsi="Arial" w:cs="Arial"/>
                <w:b/>
                <w:bCs/>
              </w:rPr>
              <w:t xml:space="preserve">DD Query </w:t>
            </w:r>
          </w:p>
        </w:tc>
      </w:tr>
      <w:tr w:rsidR="0009485E" w:rsidRPr="00876240" w14:paraId="0A28FB9E" w14:textId="77777777" w:rsidTr="00E07F6C">
        <w:trPr>
          <w:gridBefore w:val="1"/>
          <w:wBefore w:w="216" w:type="dxa"/>
          <w:trHeight w:val="614"/>
        </w:trPr>
        <w:tc>
          <w:tcPr>
            <w:tcW w:w="2283" w:type="dxa"/>
            <w:shd w:val="clear" w:color="auto" w:fill="auto"/>
            <w:vAlign w:val="center"/>
            <w:hideMark/>
          </w:tcPr>
          <w:p w14:paraId="605B64C6" w14:textId="77777777" w:rsidR="0009485E" w:rsidRPr="00876240" w:rsidRDefault="0009485E" w:rsidP="00E07F6C">
            <w:pPr>
              <w:rPr>
                <w:rFonts w:ascii="Arial" w:hAnsi="Arial" w:cs="Arial"/>
                <w:b/>
                <w:bCs/>
                <w:sz w:val="24"/>
                <w:szCs w:val="24"/>
              </w:rPr>
            </w:pPr>
            <w:r>
              <w:rPr>
                <w:rFonts w:ascii="Arial" w:hAnsi="Arial" w:cs="Arial"/>
                <w:b/>
                <w:bCs/>
              </w:rPr>
              <w:t xml:space="preserve">SQ </w:t>
            </w:r>
            <w:r w:rsidRPr="00876240">
              <w:rPr>
                <w:rFonts w:ascii="Arial" w:hAnsi="Arial" w:cs="Arial"/>
                <w:b/>
                <w:bCs/>
              </w:rPr>
              <w:t>Reference</w:t>
            </w:r>
            <w:r>
              <w:rPr>
                <w:rFonts w:ascii="Arial" w:hAnsi="Arial" w:cs="Arial"/>
                <w:b/>
                <w:bCs/>
              </w:rPr>
              <w:t xml:space="preserve"> number</w:t>
            </w:r>
          </w:p>
        </w:tc>
        <w:tc>
          <w:tcPr>
            <w:tcW w:w="7391" w:type="dxa"/>
            <w:gridSpan w:val="2"/>
            <w:shd w:val="clear" w:color="auto" w:fill="auto"/>
            <w:vAlign w:val="center"/>
          </w:tcPr>
          <w:p w14:paraId="2D35F5F1" w14:textId="52D00FFE" w:rsidR="0009485E" w:rsidRPr="00876240" w:rsidRDefault="0009485E" w:rsidP="00E07F6C">
            <w:pPr>
              <w:rPr>
                <w:rFonts w:ascii="Arial" w:hAnsi="Arial" w:cs="Arial"/>
                <w:sz w:val="24"/>
                <w:szCs w:val="24"/>
              </w:rPr>
            </w:pPr>
            <w:r w:rsidRPr="00C10D99">
              <w:rPr>
                <w:rFonts w:ascii="Arial" w:hAnsi="Arial" w:cs="Arial"/>
                <w:sz w:val="24"/>
                <w:szCs w:val="24"/>
              </w:rPr>
              <w:t>CADENT_</w:t>
            </w:r>
            <w:r>
              <w:rPr>
                <w:rFonts w:ascii="Arial" w:hAnsi="Arial" w:cs="Arial"/>
                <w:sz w:val="24"/>
                <w:szCs w:val="24"/>
              </w:rPr>
              <w:t>DDQ_</w:t>
            </w:r>
            <w:r w:rsidR="00451027">
              <w:rPr>
                <w:rFonts w:ascii="Arial" w:hAnsi="Arial" w:cs="Arial"/>
                <w:sz w:val="24"/>
                <w:szCs w:val="24"/>
              </w:rPr>
              <w:t>71</w:t>
            </w:r>
          </w:p>
        </w:tc>
      </w:tr>
      <w:tr w:rsidR="0009485E" w:rsidRPr="00876240" w14:paraId="5C14E7A8" w14:textId="77777777" w:rsidTr="00E07F6C">
        <w:trPr>
          <w:gridBefore w:val="1"/>
          <w:wBefore w:w="216" w:type="dxa"/>
          <w:trHeight w:val="127"/>
        </w:trPr>
        <w:tc>
          <w:tcPr>
            <w:tcW w:w="2283" w:type="dxa"/>
            <w:shd w:val="clear" w:color="auto" w:fill="auto"/>
            <w:vAlign w:val="center"/>
          </w:tcPr>
          <w:p w14:paraId="61498070" w14:textId="77777777" w:rsidR="0009485E" w:rsidRPr="00876240" w:rsidRDefault="0009485E" w:rsidP="00E07F6C">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5BD130B0" w14:textId="77777777" w:rsidR="0009485E" w:rsidRPr="00753B01" w:rsidRDefault="0009485E" w:rsidP="00E07F6C">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4858"/>
            </w:tblGrid>
            <w:tr w:rsidR="0009485E" w:rsidRPr="00753B01" w14:paraId="233B8135" w14:textId="77777777" w:rsidTr="00E07F6C">
              <w:trPr>
                <w:trHeight w:val="116"/>
              </w:trPr>
              <w:tc>
                <w:tcPr>
                  <w:tcW w:w="0" w:type="auto"/>
                </w:tcPr>
                <w:p w14:paraId="0345AE47" w14:textId="77777777" w:rsidR="0009485E" w:rsidRPr="00753B01" w:rsidRDefault="0009485E" w:rsidP="00E07F6C">
                  <w:pPr>
                    <w:pStyle w:val="Default"/>
                    <w:rPr>
                      <w:rFonts w:ascii="Arial" w:hAnsi="Arial" w:cs="Arial"/>
                    </w:rPr>
                  </w:pPr>
                  <w:r w:rsidRPr="00753B01">
                    <w:rPr>
                      <w:rFonts w:ascii="Arial" w:hAnsi="Arial" w:cs="Arial"/>
                      <w:bCs/>
                    </w:rPr>
                    <w:t xml:space="preserve">RIIO-2 Draft Determinations - NARM Annex </w:t>
                  </w:r>
                </w:p>
              </w:tc>
            </w:tr>
          </w:tbl>
          <w:p w14:paraId="3CD89690" w14:textId="77777777" w:rsidR="0009485E" w:rsidRPr="00876240" w:rsidRDefault="0009485E" w:rsidP="00E07F6C">
            <w:pPr>
              <w:rPr>
                <w:rFonts w:ascii="Arial" w:hAnsi="Arial" w:cs="Arial"/>
                <w:sz w:val="24"/>
                <w:szCs w:val="24"/>
              </w:rPr>
            </w:pPr>
          </w:p>
        </w:tc>
      </w:tr>
      <w:tr w:rsidR="0009485E" w:rsidRPr="00876240" w14:paraId="6BB18AB9" w14:textId="77777777" w:rsidTr="00E07F6C">
        <w:trPr>
          <w:gridBefore w:val="1"/>
          <w:wBefore w:w="216" w:type="dxa"/>
          <w:trHeight w:val="127"/>
        </w:trPr>
        <w:tc>
          <w:tcPr>
            <w:tcW w:w="2283" w:type="dxa"/>
            <w:shd w:val="clear" w:color="auto" w:fill="auto"/>
            <w:vAlign w:val="center"/>
          </w:tcPr>
          <w:p w14:paraId="2907ED9A" w14:textId="77777777" w:rsidR="0009485E" w:rsidRDefault="0009485E" w:rsidP="00E07F6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032F10E" w14:textId="77777777" w:rsidR="0009485E" w:rsidRDefault="0009485E" w:rsidP="00E07F6C">
            <w:pPr>
              <w:pStyle w:val="Default"/>
            </w:pPr>
          </w:p>
          <w:p w14:paraId="6B1A5165" w14:textId="5DCAF4F8" w:rsidR="0009485E" w:rsidRPr="0009485E" w:rsidRDefault="0009485E" w:rsidP="0009485E">
            <w:pPr>
              <w:rPr>
                <w:b/>
              </w:rPr>
            </w:pPr>
            <w:r w:rsidRPr="00651EC5">
              <w:rPr>
                <w:b/>
              </w:rPr>
              <w:t>NARMs Annex</w:t>
            </w:r>
            <w:r>
              <w:rPr>
                <w:b/>
              </w:rPr>
              <w:t xml:space="preserve"> </w:t>
            </w:r>
          </w:p>
        </w:tc>
      </w:tr>
      <w:tr w:rsidR="0009485E" w:rsidRPr="00364987" w14:paraId="77CD08BB" w14:textId="77777777" w:rsidTr="00E07F6C">
        <w:trPr>
          <w:gridBefore w:val="1"/>
          <w:wBefore w:w="216" w:type="dxa"/>
          <w:trHeight w:val="127"/>
        </w:trPr>
        <w:tc>
          <w:tcPr>
            <w:tcW w:w="2283" w:type="dxa"/>
            <w:shd w:val="clear" w:color="auto" w:fill="auto"/>
            <w:vAlign w:val="center"/>
          </w:tcPr>
          <w:p w14:paraId="1523BEF1" w14:textId="29EEF1C1" w:rsidR="0009485E" w:rsidRDefault="0009485E" w:rsidP="00E07F6C">
            <w:pPr>
              <w:rPr>
                <w:rFonts w:ascii="Arial" w:hAnsi="Arial" w:cs="Arial"/>
                <w:b/>
                <w:bCs/>
              </w:rPr>
            </w:pPr>
            <w:r>
              <w:rPr>
                <w:rFonts w:ascii="Arial" w:hAnsi="Arial" w:cs="Arial"/>
                <w:b/>
                <w:bCs/>
              </w:rPr>
              <w:t>Question</w:t>
            </w:r>
            <w:r w:rsidR="00BB11DE">
              <w:rPr>
                <w:rFonts w:ascii="Arial" w:hAnsi="Arial" w:cs="Arial"/>
                <w:b/>
                <w:bCs/>
              </w:rPr>
              <w:t>s</w:t>
            </w:r>
            <w:r>
              <w:rPr>
                <w:rFonts w:ascii="Arial" w:hAnsi="Arial" w:cs="Arial"/>
                <w:b/>
                <w:bCs/>
              </w:rPr>
              <w:t>:</w:t>
            </w:r>
          </w:p>
        </w:tc>
        <w:tc>
          <w:tcPr>
            <w:tcW w:w="7391" w:type="dxa"/>
            <w:gridSpan w:val="2"/>
            <w:shd w:val="clear" w:color="auto" w:fill="auto"/>
            <w:vAlign w:val="center"/>
          </w:tcPr>
          <w:p w14:paraId="642937DF" w14:textId="77777777" w:rsidR="0009485E" w:rsidRDefault="0009485E" w:rsidP="0009485E">
            <w:r>
              <w:t xml:space="preserve">Page 6 - Table 1 : section 1.11 </w:t>
            </w:r>
          </w:p>
          <w:p w14:paraId="1C515415" w14:textId="77777777" w:rsidR="0009485E" w:rsidRDefault="0009485E" w:rsidP="0009485E">
            <w:pPr>
              <w:pStyle w:val="Default"/>
              <w:rPr>
                <w:rFonts w:ascii="Calibri" w:hAnsi="Calibri"/>
                <w:b/>
                <w:bCs/>
                <w:sz w:val="22"/>
                <w:szCs w:val="22"/>
              </w:rPr>
            </w:pPr>
            <w:r>
              <w:rPr>
                <w:rFonts w:ascii="Calibri" w:hAnsi="Calibri"/>
                <w:b/>
                <w:bCs/>
                <w:sz w:val="22"/>
                <w:szCs w:val="22"/>
              </w:rPr>
              <w:t>Q] Can we please request a breakdown of the net effect column – what has gone up and what has come down. Similarly a breakdown for the volume disallowed.</w:t>
            </w:r>
          </w:p>
          <w:p w14:paraId="77137CF2" w14:textId="77777777" w:rsidR="0009485E" w:rsidRDefault="0009485E" w:rsidP="0009485E">
            <w:pPr>
              <w:pStyle w:val="Default"/>
              <w:rPr>
                <w:rFonts w:ascii="Calibri" w:hAnsi="Calibri"/>
                <w:b/>
                <w:bCs/>
                <w:sz w:val="22"/>
                <w:szCs w:val="22"/>
              </w:rPr>
            </w:pPr>
          </w:p>
          <w:p w14:paraId="30D061AE" w14:textId="77777777" w:rsidR="0009485E" w:rsidRDefault="0009485E" w:rsidP="0009485E">
            <w:r>
              <w:t>Page 9 - 2.6 : We have developed an Excel-based 'NARM Output Setting Model' (NARM Model) in order to set the Baseline Network Risk Outputs.</w:t>
            </w:r>
          </w:p>
          <w:p w14:paraId="45402B2D" w14:textId="77777777" w:rsidR="0009485E" w:rsidRDefault="0009485E" w:rsidP="0009485E">
            <w:pPr>
              <w:pStyle w:val="Default"/>
              <w:rPr>
                <w:rFonts w:ascii="Calibri" w:hAnsi="Calibri"/>
                <w:b/>
                <w:bCs/>
                <w:sz w:val="22"/>
                <w:szCs w:val="22"/>
              </w:rPr>
            </w:pPr>
            <w:r>
              <w:rPr>
                <w:rFonts w:ascii="Calibri" w:hAnsi="Calibri"/>
                <w:b/>
                <w:bCs/>
                <w:sz w:val="22"/>
                <w:szCs w:val="22"/>
              </w:rPr>
              <w:t>Q] Can we please have further rationale for using an Excel based model when network companies are using specific asset risk modelling tools.</w:t>
            </w:r>
          </w:p>
          <w:p w14:paraId="3EB1113C" w14:textId="77777777" w:rsidR="00BB11DE" w:rsidRDefault="00BB11DE" w:rsidP="0009485E">
            <w:pPr>
              <w:pStyle w:val="Default"/>
              <w:rPr>
                <w:sz w:val="22"/>
                <w:szCs w:val="22"/>
              </w:rPr>
            </w:pPr>
          </w:p>
          <w:p w14:paraId="4777E8E5" w14:textId="2A529F2B" w:rsidR="0009485E" w:rsidRDefault="0009485E" w:rsidP="0009485E">
            <w:pPr>
              <w:pStyle w:val="Default"/>
              <w:rPr>
                <w:rFonts w:ascii="Calibri" w:hAnsi="Calibri"/>
                <w:sz w:val="22"/>
                <w:szCs w:val="22"/>
              </w:rPr>
            </w:pPr>
            <w:r>
              <w:rPr>
                <w:rFonts w:ascii="Calibri" w:hAnsi="Calibri"/>
                <w:sz w:val="22"/>
                <w:szCs w:val="22"/>
              </w:rPr>
              <w:t>Page 9 - 2.10 : Where we could not achieve full alignment, we considered it necessary to apply reasonable assumptions.’</w:t>
            </w:r>
          </w:p>
          <w:p w14:paraId="5E2E7CD8" w14:textId="77777777" w:rsidR="0009485E" w:rsidRDefault="0009485E" w:rsidP="0009485E">
            <w:pPr>
              <w:rPr>
                <w:b/>
                <w:bCs/>
              </w:rPr>
            </w:pPr>
            <w:r>
              <w:rPr>
                <w:b/>
                <w:bCs/>
              </w:rPr>
              <w:t>Q] Please provide details of the adjustments made.</w:t>
            </w:r>
          </w:p>
          <w:p w14:paraId="5698C551" w14:textId="77777777" w:rsidR="0009485E" w:rsidRDefault="0009485E" w:rsidP="0009485E">
            <w:r>
              <w:t>Page 14 - Footnote 5 : We have assigned the projects to A3 where it has been possible to do so. However, in some cases it has not been possible with the available data to individually identify the equivalent project within the GDN’s NARM BPDT. In these cases the associated Network Risk Output is included in A1 for Draft Determinations. We will work with GDNs to ensure that the risk associated with all PCDs is allocated to the correct category ahead of Final Determinations.’</w:t>
            </w:r>
          </w:p>
          <w:p w14:paraId="3DD6A5A5" w14:textId="77777777" w:rsidR="0009485E" w:rsidRDefault="0009485E" w:rsidP="0009485E">
            <w:pPr>
              <w:rPr>
                <w:b/>
                <w:bCs/>
              </w:rPr>
            </w:pPr>
            <w:r>
              <w:rPr>
                <w:b/>
                <w:bCs/>
              </w:rPr>
              <w:t>Q] Are there a list of projects which Ofgem have not been able to assign to A3 which they are proposing should move out of A1.</w:t>
            </w:r>
          </w:p>
          <w:p w14:paraId="2190E245" w14:textId="77777777" w:rsidR="0009485E" w:rsidRDefault="0009485E" w:rsidP="0009485E">
            <w:pPr>
              <w:pStyle w:val="Default"/>
              <w:rPr>
                <w:rFonts w:ascii="Calibri" w:hAnsi="Calibri"/>
                <w:sz w:val="22"/>
                <w:szCs w:val="22"/>
              </w:rPr>
            </w:pPr>
            <w:r>
              <w:rPr>
                <w:rFonts w:ascii="Calibri" w:hAnsi="Calibri"/>
                <w:sz w:val="22"/>
                <w:szCs w:val="22"/>
              </w:rPr>
              <w:t>Page 15 - 3.18 : We propose that Baseline Network Risk Outputs are associated with full project costs including costs associated with interventions on secondary assets (i.e. non-NARM Assets) as well as indirect costs, such as project management. We have not yet aligned the proposed Baseline Network Risk Outputs with the associated baseline costs. We intend to set this out in our Final Determinations.’</w:t>
            </w:r>
          </w:p>
          <w:p w14:paraId="4E452B36" w14:textId="77777777" w:rsidR="0009485E" w:rsidRDefault="0009485E" w:rsidP="0009485E">
            <w:pPr>
              <w:pStyle w:val="Default"/>
              <w:rPr>
                <w:rFonts w:ascii="Calibri" w:hAnsi="Calibri"/>
                <w:b/>
                <w:bCs/>
                <w:sz w:val="22"/>
                <w:szCs w:val="22"/>
              </w:rPr>
            </w:pPr>
            <w:r>
              <w:rPr>
                <w:rFonts w:ascii="Calibri" w:hAnsi="Calibri"/>
                <w:b/>
                <w:bCs/>
                <w:sz w:val="22"/>
                <w:szCs w:val="22"/>
              </w:rPr>
              <w:t>Q] Can Ofgem please clarify exactly what this means and explain how they intend to do it ahead of FD.</w:t>
            </w:r>
          </w:p>
          <w:p w14:paraId="4E978EA8" w14:textId="77777777" w:rsidR="0009485E" w:rsidRDefault="0009485E" w:rsidP="0009485E">
            <w:r>
              <w:lastRenderedPageBreak/>
              <w:t>It is incredibly difficult for us to consult on NARM without knowing the allowances against each NARM category? How can we get sight of this before Final Proposals?</w:t>
            </w:r>
          </w:p>
          <w:p w14:paraId="2748AD48" w14:textId="77777777" w:rsidR="0009485E" w:rsidRDefault="0009485E" w:rsidP="0009485E">
            <w:pPr>
              <w:pStyle w:val="Default"/>
              <w:rPr>
                <w:rFonts w:ascii="Calibri" w:hAnsi="Calibri"/>
                <w:b/>
                <w:bCs/>
                <w:sz w:val="22"/>
                <w:szCs w:val="22"/>
              </w:rPr>
            </w:pPr>
          </w:p>
          <w:p w14:paraId="673C205C" w14:textId="77777777" w:rsidR="0009485E" w:rsidRDefault="0009485E" w:rsidP="0009485E">
            <w:pPr>
              <w:pStyle w:val="Default"/>
              <w:rPr>
                <w:rFonts w:ascii="Calibri" w:hAnsi="Calibri"/>
                <w:sz w:val="22"/>
                <w:szCs w:val="22"/>
              </w:rPr>
            </w:pPr>
            <w:r>
              <w:rPr>
                <w:rFonts w:ascii="Calibri" w:hAnsi="Calibri"/>
                <w:sz w:val="22"/>
                <w:szCs w:val="22"/>
              </w:rPr>
              <w:t xml:space="preserve">Page 17 - 4.4 : Where we can objectively identify factors that cause changes to network company NARM output delivery and these factors are unrelated to their asset intervention actions, our proposal is to exclude the impact of these factors from the network companies’ delivery before considering any funding adjustments. </w:t>
            </w:r>
          </w:p>
          <w:p w14:paraId="08B25792" w14:textId="77777777" w:rsidR="0009485E" w:rsidRDefault="0009485E" w:rsidP="0009485E">
            <w:pPr>
              <w:pStyle w:val="Default"/>
              <w:rPr>
                <w:rFonts w:ascii="Calibri" w:hAnsi="Calibri"/>
                <w:b/>
                <w:bCs/>
                <w:sz w:val="22"/>
                <w:szCs w:val="22"/>
              </w:rPr>
            </w:pPr>
            <w:r>
              <w:rPr>
                <w:rFonts w:ascii="Calibri" w:hAnsi="Calibri"/>
                <w:b/>
                <w:bCs/>
                <w:sz w:val="22"/>
                <w:szCs w:val="22"/>
              </w:rPr>
              <w:t>Q] Can Ofgem share factors which have been excluded/considered for exclusion.</w:t>
            </w:r>
          </w:p>
          <w:p w14:paraId="3CD62FF7" w14:textId="77777777" w:rsidR="0009485E" w:rsidRDefault="0009485E" w:rsidP="0009485E">
            <w:pPr>
              <w:pStyle w:val="Default"/>
              <w:rPr>
                <w:rFonts w:ascii="Calibri" w:hAnsi="Calibri"/>
                <w:sz w:val="22"/>
                <w:szCs w:val="22"/>
              </w:rPr>
            </w:pPr>
          </w:p>
          <w:p w14:paraId="5836CADB" w14:textId="77777777" w:rsidR="0009485E" w:rsidRDefault="0009485E" w:rsidP="0009485E">
            <w:pPr>
              <w:pStyle w:val="Default"/>
              <w:rPr>
                <w:rFonts w:ascii="Calibri" w:hAnsi="Calibri"/>
                <w:sz w:val="22"/>
                <w:szCs w:val="22"/>
              </w:rPr>
            </w:pPr>
            <w:r>
              <w:rPr>
                <w:rFonts w:ascii="Calibri" w:hAnsi="Calibri"/>
                <w:sz w:val="22"/>
                <w:szCs w:val="22"/>
              </w:rPr>
              <w:t>Page 17 - 4.5 : Our delivery scenario analysis has shown that, by re-planning their work to intervene on cheaper assets or choosing alternative interventions, network companies could achieve very large cost reductions for the same total Network Risk Output delivery.’</w:t>
            </w:r>
          </w:p>
          <w:p w14:paraId="49112A78" w14:textId="77777777" w:rsidR="0009485E" w:rsidRDefault="0009485E" w:rsidP="0009485E">
            <w:pPr>
              <w:pStyle w:val="Default"/>
              <w:rPr>
                <w:rFonts w:ascii="Calibri" w:hAnsi="Calibri"/>
                <w:b/>
                <w:bCs/>
                <w:sz w:val="22"/>
                <w:szCs w:val="22"/>
              </w:rPr>
            </w:pPr>
            <w:r>
              <w:rPr>
                <w:rFonts w:ascii="Calibri" w:hAnsi="Calibri"/>
                <w:b/>
                <w:bCs/>
                <w:sz w:val="22"/>
                <w:szCs w:val="22"/>
              </w:rPr>
              <w:t>Q] Can we please have a copy of this analysis for GD.</w:t>
            </w:r>
          </w:p>
          <w:p w14:paraId="3297218D" w14:textId="77777777" w:rsidR="0009485E" w:rsidRDefault="0009485E" w:rsidP="0009485E">
            <w:pPr>
              <w:pStyle w:val="Default"/>
              <w:rPr>
                <w:rFonts w:ascii="Calibri" w:hAnsi="Calibri"/>
                <w:b/>
                <w:bCs/>
                <w:sz w:val="22"/>
                <w:szCs w:val="22"/>
              </w:rPr>
            </w:pPr>
          </w:p>
          <w:p w14:paraId="6AEEDD89" w14:textId="77777777" w:rsidR="0009485E" w:rsidRDefault="0009485E" w:rsidP="0009485E">
            <w:pPr>
              <w:pStyle w:val="paragraph"/>
              <w:spacing w:before="0" w:beforeAutospacing="0" w:after="0" w:afterAutospacing="0"/>
              <w:textAlignment w:val="baseline"/>
              <w:rPr>
                <w:rStyle w:val="eop"/>
                <w:rFonts w:eastAsia="Times New Roman"/>
              </w:rPr>
            </w:pPr>
            <w:r>
              <w:rPr>
                <w:rStyle w:val="eop"/>
                <w:rFonts w:eastAsia="Times New Roman"/>
              </w:rPr>
              <w:t xml:space="preserve">Page 20 and 21 - Section 4.21 states that evidence of cost efficiencies will need to be provided. </w:t>
            </w:r>
          </w:p>
          <w:p w14:paraId="68B5BD43" w14:textId="77777777" w:rsidR="0009485E" w:rsidRPr="00A5280C" w:rsidRDefault="0009485E" w:rsidP="0009485E">
            <w:pPr>
              <w:pStyle w:val="paragraph"/>
              <w:spacing w:before="0" w:beforeAutospacing="0" w:after="0" w:afterAutospacing="0"/>
              <w:textAlignment w:val="baseline"/>
              <w:rPr>
                <w:rStyle w:val="eop"/>
                <w:b/>
              </w:rPr>
            </w:pPr>
            <w:r w:rsidRPr="00A5280C">
              <w:rPr>
                <w:b/>
                <w:bCs/>
              </w:rPr>
              <w:t>Q]</w:t>
            </w:r>
            <w:r w:rsidRPr="00A5280C">
              <w:rPr>
                <w:rStyle w:val="eop"/>
                <w:rFonts w:eastAsia="Times New Roman"/>
                <w:b/>
              </w:rPr>
              <w:t>Can you provide examples of the types of evidence you would expect to be provided here?</w:t>
            </w:r>
          </w:p>
          <w:p w14:paraId="1F2AB425" w14:textId="77777777" w:rsidR="0009485E" w:rsidRDefault="0009485E" w:rsidP="0009485E">
            <w:pPr>
              <w:pStyle w:val="Default"/>
              <w:rPr>
                <w:rFonts w:ascii="Calibri" w:hAnsi="Calibri"/>
                <w:b/>
                <w:bCs/>
                <w:sz w:val="22"/>
                <w:szCs w:val="22"/>
              </w:rPr>
            </w:pPr>
          </w:p>
          <w:p w14:paraId="72D17322" w14:textId="77777777" w:rsidR="0009485E" w:rsidRDefault="0009485E" w:rsidP="0009485E">
            <w:pPr>
              <w:pStyle w:val="Default"/>
              <w:rPr>
                <w:rFonts w:ascii="Calibri" w:hAnsi="Calibri"/>
                <w:sz w:val="22"/>
                <w:szCs w:val="22"/>
              </w:rPr>
            </w:pPr>
            <w:r>
              <w:rPr>
                <w:rFonts w:ascii="Calibri" w:hAnsi="Calibri"/>
                <w:sz w:val="22"/>
                <w:szCs w:val="22"/>
              </w:rPr>
              <w:t xml:space="preserve">Page 22 - 4.33 : Further explanation and rationale for the DAF is given in paragraphs 4.40 to </w:t>
            </w:r>
            <w:r>
              <w:rPr>
                <w:rFonts w:ascii="Calibri" w:hAnsi="Calibri"/>
                <w:b/>
                <w:bCs/>
                <w:sz w:val="22"/>
                <w:szCs w:val="22"/>
              </w:rPr>
              <w:t>Error! Reference source not found.</w:t>
            </w:r>
            <w:r>
              <w:rPr>
                <w:rFonts w:ascii="Calibri" w:hAnsi="Calibri"/>
                <w:sz w:val="22"/>
                <w:szCs w:val="22"/>
              </w:rPr>
              <w:t xml:space="preserve">. </w:t>
            </w:r>
          </w:p>
          <w:p w14:paraId="683AD6EF" w14:textId="77777777" w:rsidR="0009485E" w:rsidRDefault="0009485E" w:rsidP="0009485E">
            <w:pPr>
              <w:pStyle w:val="Default"/>
              <w:rPr>
                <w:rFonts w:ascii="Calibri" w:hAnsi="Calibri"/>
                <w:b/>
                <w:bCs/>
                <w:sz w:val="22"/>
                <w:szCs w:val="22"/>
              </w:rPr>
            </w:pPr>
            <w:r>
              <w:rPr>
                <w:rFonts w:ascii="Calibri" w:hAnsi="Calibri"/>
                <w:b/>
                <w:bCs/>
                <w:sz w:val="22"/>
                <w:szCs w:val="22"/>
              </w:rPr>
              <w:t>Q] Error in doc found – please update link reference.</w:t>
            </w:r>
          </w:p>
          <w:p w14:paraId="34548B22" w14:textId="77777777" w:rsidR="0009485E" w:rsidRDefault="0009485E" w:rsidP="0009485E">
            <w:pPr>
              <w:pStyle w:val="Default"/>
              <w:rPr>
                <w:rFonts w:ascii="Calibri" w:hAnsi="Calibri"/>
                <w:sz w:val="22"/>
                <w:szCs w:val="22"/>
              </w:rPr>
            </w:pPr>
          </w:p>
          <w:p w14:paraId="4CBC820E" w14:textId="77777777" w:rsidR="0009485E" w:rsidRDefault="0009485E" w:rsidP="0009485E">
            <w:pPr>
              <w:pStyle w:val="Default"/>
              <w:rPr>
                <w:rFonts w:ascii="Calibri" w:hAnsi="Calibri"/>
                <w:sz w:val="22"/>
                <w:szCs w:val="22"/>
              </w:rPr>
            </w:pPr>
            <w:r>
              <w:rPr>
                <w:rFonts w:ascii="Calibri" w:hAnsi="Calibri"/>
                <w:sz w:val="22"/>
                <w:szCs w:val="22"/>
              </w:rPr>
              <w:t xml:space="preserve">Page 24 - 4.42 : We do not consider it necessary to apply a dead band as the proposed funding adjustment will work proportionately to the scale of any deviations from target delivery. </w:t>
            </w:r>
          </w:p>
          <w:p w14:paraId="76D63431" w14:textId="77777777" w:rsidR="0009485E" w:rsidRDefault="0009485E" w:rsidP="0009485E">
            <w:pPr>
              <w:pStyle w:val="Default"/>
              <w:rPr>
                <w:rFonts w:ascii="Calibri" w:hAnsi="Calibri"/>
                <w:b/>
                <w:bCs/>
                <w:sz w:val="22"/>
                <w:szCs w:val="22"/>
              </w:rPr>
            </w:pPr>
            <w:r>
              <w:rPr>
                <w:rFonts w:ascii="Calibri" w:hAnsi="Calibri"/>
                <w:b/>
                <w:bCs/>
                <w:sz w:val="22"/>
                <w:szCs w:val="22"/>
              </w:rPr>
              <w:t>Q] Can we please have further rationale for this decision.</w:t>
            </w:r>
          </w:p>
          <w:p w14:paraId="129D253A" w14:textId="77777777" w:rsidR="0009485E" w:rsidRDefault="0009485E" w:rsidP="0009485E">
            <w:pPr>
              <w:pStyle w:val="Default"/>
              <w:rPr>
                <w:rFonts w:ascii="Calibri" w:hAnsi="Calibri"/>
                <w:b/>
                <w:bCs/>
                <w:sz w:val="22"/>
                <w:szCs w:val="22"/>
              </w:rPr>
            </w:pPr>
          </w:p>
          <w:p w14:paraId="31A9EB6D" w14:textId="77777777" w:rsidR="0009485E" w:rsidRDefault="0009485E" w:rsidP="0009485E">
            <w:pPr>
              <w:pStyle w:val="paragraph"/>
              <w:spacing w:before="0" w:beforeAutospacing="0" w:after="0" w:afterAutospacing="0"/>
              <w:textAlignment w:val="baseline"/>
              <w:rPr>
                <w:rStyle w:val="eop"/>
                <w:rFonts w:eastAsia="Times New Roman"/>
              </w:rPr>
            </w:pPr>
            <w:r>
              <w:rPr>
                <w:rStyle w:val="eop"/>
                <w:rFonts w:eastAsia="Times New Roman"/>
              </w:rPr>
              <w:t xml:space="preserve">Page 24 - Section 4.44 states that in the justification of under/over delivery, companies will need to demonstrate that they could not, without a significant dis-benefit, have traded risk against other work in order to deliver baseline outputs. </w:t>
            </w:r>
          </w:p>
          <w:p w14:paraId="5EB987C4" w14:textId="77777777" w:rsidR="0009485E" w:rsidRDefault="0009485E" w:rsidP="0009485E">
            <w:pPr>
              <w:pStyle w:val="paragraph"/>
              <w:spacing w:before="0" w:beforeAutospacing="0" w:after="0" w:afterAutospacing="0"/>
              <w:textAlignment w:val="baseline"/>
              <w:rPr>
                <w:rStyle w:val="eop"/>
              </w:rPr>
            </w:pPr>
            <w:r>
              <w:rPr>
                <w:b/>
                <w:bCs/>
              </w:rPr>
              <w:t>Q]</w:t>
            </w:r>
            <w:r w:rsidRPr="00E90586">
              <w:rPr>
                <w:rStyle w:val="eop"/>
                <w:rFonts w:eastAsia="Times New Roman"/>
                <w:b/>
              </w:rPr>
              <w:t>Can you provide examples of what you would see as evidence of justification?</w:t>
            </w:r>
          </w:p>
          <w:p w14:paraId="0E9A5BDF" w14:textId="77777777" w:rsidR="0009485E" w:rsidRDefault="0009485E" w:rsidP="0009485E">
            <w:pPr>
              <w:pStyle w:val="Default"/>
              <w:rPr>
                <w:rFonts w:ascii="Calibri" w:hAnsi="Calibri"/>
                <w:b/>
                <w:bCs/>
                <w:sz w:val="22"/>
                <w:szCs w:val="22"/>
              </w:rPr>
            </w:pPr>
          </w:p>
          <w:p w14:paraId="27DCA1BE" w14:textId="77777777" w:rsidR="0009485E" w:rsidRDefault="0009485E" w:rsidP="0009485E">
            <w:pPr>
              <w:pStyle w:val="Default"/>
              <w:rPr>
                <w:rFonts w:ascii="Calibri" w:hAnsi="Calibri"/>
                <w:sz w:val="22"/>
                <w:szCs w:val="22"/>
              </w:rPr>
            </w:pPr>
            <w:r>
              <w:rPr>
                <w:rFonts w:ascii="Calibri" w:hAnsi="Calibri"/>
                <w:sz w:val="22"/>
                <w:szCs w:val="22"/>
              </w:rPr>
              <w:t xml:space="preserve">Page 25 - 4.46 : Our current view is that the RIIO-1 NOMs Incentive Mechanism combined with our proposed RIIO-2 NARM Funding Adjustment and Penalty Mechanism (including the application of the above principles) will be sufficient to ensure that network companies are appropriately funded in the case of any justified workload shifts. Provided a network company can sufficiently evidence and quantify the impact of Covid-19 on its workload delivery, then we propose to consider it a justified contributory factor under both the RIIO-1 and RIIO-2 mechanisms. </w:t>
            </w:r>
          </w:p>
          <w:p w14:paraId="5635C84B" w14:textId="77777777" w:rsidR="0009485E" w:rsidRDefault="0009485E" w:rsidP="0009485E">
            <w:pPr>
              <w:pStyle w:val="Default"/>
              <w:rPr>
                <w:rFonts w:ascii="Calibri" w:hAnsi="Calibri"/>
                <w:b/>
                <w:bCs/>
                <w:sz w:val="22"/>
                <w:szCs w:val="22"/>
              </w:rPr>
            </w:pPr>
            <w:r>
              <w:rPr>
                <w:rFonts w:ascii="Calibri" w:hAnsi="Calibri"/>
                <w:b/>
                <w:bCs/>
                <w:sz w:val="22"/>
                <w:szCs w:val="22"/>
              </w:rPr>
              <w:t>Q] Can Ofgem please provide guidance on what constitutes as ‘sufficient evidence.’</w:t>
            </w:r>
          </w:p>
          <w:p w14:paraId="6851D004" w14:textId="77777777" w:rsidR="0009485E" w:rsidRDefault="0009485E" w:rsidP="0009485E">
            <w:pPr>
              <w:pStyle w:val="Default"/>
              <w:rPr>
                <w:rFonts w:ascii="Calibri" w:hAnsi="Calibri"/>
                <w:sz w:val="22"/>
                <w:szCs w:val="22"/>
              </w:rPr>
            </w:pPr>
          </w:p>
          <w:p w14:paraId="71AA4E6F" w14:textId="77777777" w:rsidR="0009485E" w:rsidRDefault="0009485E" w:rsidP="0009485E">
            <w:pPr>
              <w:pStyle w:val="Default"/>
              <w:rPr>
                <w:rFonts w:ascii="Calibri" w:hAnsi="Calibri"/>
                <w:sz w:val="22"/>
                <w:szCs w:val="22"/>
              </w:rPr>
            </w:pPr>
            <w:r>
              <w:rPr>
                <w:rFonts w:ascii="Calibri" w:hAnsi="Calibri"/>
                <w:sz w:val="22"/>
                <w:szCs w:val="22"/>
              </w:rPr>
              <w:lastRenderedPageBreak/>
              <w:t>Page 34 - Appx 3 : 6. The volume scaler adjusts the submitted NARM volumes to align with submitted CV intervention volumes. The scaled NARM volume is then used to calculate unit risk.</w:t>
            </w:r>
          </w:p>
          <w:p w14:paraId="2D8FF4DB" w14:textId="77777777" w:rsidR="0009485E" w:rsidRDefault="0009485E" w:rsidP="0009485E">
            <w:pPr>
              <w:pStyle w:val="Default"/>
              <w:rPr>
                <w:rFonts w:ascii="Calibri" w:hAnsi="Calibri"/>
                <w:sz w:val="22"/>
                <w:szCs w:val="22"/>
              </w:rPr>
            </w:pPr>
            <w:r>
              <w:rPr>
                <w:rFonts w:ascii="Calibri" w:hAnsi="Calibri"/>
                <w:b/>
                <w:bCs/>
                <w:sz w:val="22"/>
                <w:szCs w:val="22"/>
              </w:rPr>
              <w:t>Q] Can Ofgem please provide details of where volume scaler has been applied.</w:t>
            </w:r>
          </w:p>
          <w:p w14:paraId="06B14B35" w14:textId="77777777" w:rsidR="0009485E" w:rsidRDefault="0009485E" w:rsidP="0009485E">
            <w:pPr>
              <w:pStyle w:val="Default"/>
              <w:rPr>
                <w:rFonts w:ascii="Calibri" w:hAnsi="Calibri"/>
                <w:sz w:val="22"/>
                <w:szCs w:val="22"/>
              </w:rPr>
            </w:pPr>
          </w:p>
          <w:p w14:paraId="1A5D0816" w14:textId="77777777" w:rsidR="0009485E" w:rsidRDefault="0009485E" w:rsidP="0009485E">
            <w:pPr>
              <w:pStyle w:val="Default"/>
              <w:rPr>
                <w:rFonts w:ascii="Calibri" w:hAnsi="Calibri"/>
                <w:sz w:val="22"/>
                <w:szCs w:val="22"/>
              </w:rPr>
            </w:pPr>
            <w:r>
              <w:rPr>
                <w:rFonts w:ascii="Calibri" w:hAnsi="Calibri"/>
                <w:sz w:val="22"/>
                <w:szCs w:val="22"/>
              </w:rPr>
              <w:t xml:space="preserve">Page 34 - Appx 3 : a) Only replacement and refurbishment interventions are within scope. </w:t>
            </w:r>
          </w:p>
          <w:p w14:paraId="7E0BED3C" w14:textId="77777777" w:rsidR="0009485E" w:rsidRDefault="0009485E" w:rsidP="0009485E">
            <w:pPr>
              <w:rPr>
                <w:b/>
                <w:bCs/>
              </w:rPr>
            </w:pPr>
            <w:r>
              <w:rPr>
                <w:b/>
                <w:bCs/>
              </w:rPr>
              <w:t>Q] When will there be opportunities to add further interventions onto the approved NARMs intervention list.</w:t>
            </w:r>
          </w:p>
          <w:p w14:paraId="7F1D806D" w14:textId="77777777" w:rsidR="0009485E" w:rsidRDefault="0009485E" w:rsidP="0009485E">
            <w:pPr>
              <w:pStyle w:val="Default"/>
              <w:rPr>
                <w:rFonts w:ascii="Calibri" w:hAnsi="Calibri"/>
                <w:sz w:val="22"/>
                <w:szCs w:val="22"/>
              </w:rPr>
            </w:pPr>
            <w:r>
              <w:rPr>
                <w:rFonts w:ascii="Calibri" w:hAnsi="Calibri"/>
                <w:sz w:val="22"/>
                <w:szCs w:val="22"/>
              </w:rPr>
              <w:t xml:space="preserve">Page 35 - Appx 3 : a) Project Mapping: For all GDNs, the projects listed in the NARM BPDT do not fully align with the projects or activities listed in the CV BPDT. Where it has been possible to do so we have mapped NARM projects to corresponding CV projects. Where this has not been possible then we have assigned relevant volumes to generic proxy projects based on the asset and intervention category. </w:t>
            </w:r>
          </w:p>
          <w:p w14:paraId="29D4C0F9" w14:textId="77777777" w:rsidR="0009485E" w:rsidRDefault="0009485E" w:rsidP="0009485E">
            <w:pPr>
              <w:rPr>
                <w:b/>
                <w:bCs/>
              </w:rPr>
            </w:pPr>
            <w:r>
              <w:rPr>
                <w:b/>
                <w:bCs/>
              </w:rPr>
              <w:t>Q] Please provide details of volumes counted in generic proxy projects.</w:t>
            </w:r>
          </w:p>
          <w:p w14:paraId="1760CE0A" w14:textId="41729775" w:rsidR="0009485E" w:rsidRPr="00364987" w:rsidRDefault="0009485E" w:rsidP="00E07F6C">
            <w:pPr>
              <w:pStyle w:val="paragraph"/>
              <w:spacing w:before="0" w:beforeAutospacing="0" w:after="0" w:afterAutospacing="0"/>
              <w:ind w:left="720"/>
              <w:textAlignment w:val="baseline"/>
            </w:pPr>
          </w:p>
        </w:tc>
      </w:tr>
      <w:tr w:rsidR="0009485E" w14:paraId="1DE59802" w14:textId="77777777" w:rsidTr="00E07F6C">
        <w:trPr>
          <w:gridBefore w:val="1"/>
          <w:wBefore w:w="216" w:type="dxa"/>
          <w:trHeight w:val="127"/>
        </w:trPr>
        <w:tc>
          <w:tcPr>
            <w:tcW w:w="2283" w:type="dxa"/>
            <w:shd w:val="clear" w:color="auto" w:fill="auto"/>
            <w:vAlign w:val="center"/>
          </w:tcPr>
          <w:p w14:paraId="0FD4E97E" w14:textId="77777777" w:rsidR="0009485E" w:rsidRDefault="0009485E" w:rsidP="00E07F6C">
            <w:pPr>
              <w:rPr>
                <w:rFonts w:ascii="Arial" w:hAnsi="Arial" w:cs="Arial"/>
                <w:b/>
                <w:bCs/>
              </w:rPr>
            </w:pPr>
            <w:r>
              <w:rPr>
                <w:rFonts w:ascii="Arial" w:hAnsi="Arial" w:cs="Arial"/>
                <w:b/>
                <w:bCs/>
              </w:rPr>
              <w:lastRenderedPageBreak/>
              <w:t>Confidential</w:t>
            </w:r>
          </w:p>
        </w:tc>
        <w:tc>
          <w:tcPr>
            <w:tcW w:w="7391" w:type="dxa"/>
            <w:gridSpan w:val="2"/>
            <w:shd w:val="clear" w:color="auto" w:fill="auto"/>
            <w:vAlign w:val="center"/>
          </w:tcPr>
          <w:p w14:paraId="760E4E7A" w14:textId="77777777" w:rsidR="0009485E" w:rsidRDefault="0009485E" w:rsidP="00E07F6C">
            <w:pPr>
              <w:rPr>
                <w:rFonts w:ascii="Arial" w:hAnsi="Arial" w:cs="Arial"/>
                <w:sz w:val="24"/>
                <w:szCs w:val="24"/>
              </w:rPr>
            </w:pPr>
            <w:r>
              <w:rPr>
                <w:rFonts w:ascii="Arial" w:hAnsi="Arial" w:cs="Arial"/>
                <w:sz w:val="24"/>
                <w:szCs w:val="24"/>
              </w:rPr>
              <w:t xml:space="preserve">[Yes/No] </w:t>
            </w:r>
            <w:r>
              <w:rPr>
                <w:rFonts w:ascii="Arial" w:hAnsi="Arial" w:cs="Arial"/>
              </w:rPr>
              <w:t>NO</w:t>
            </w:r>
          </w:p>
        </w:tc>
      </w:tr>
      <w:tr w:rsidR="0009485E" w:rsidRPr="00876240" w14:paraId="2104C294" w14:textId="77777777" w:rsidTr="00E07F6C">
        <w:trPr>
          <w:gridBefore w:val="1"/>
          <w:wBefore w:w="216" w:type="dxa"/>
          <w:trHeight w:val="127"/>
        </w:trPr>
        <w:tc>
          <w:tcPr>
            <w:tcW w:w="2283" w:type="dxa"/>
            <w:shd w:val="clear" w:color="auto" w:fill="auto"/>
            <w:vAlign w:val="center"/>
          </w:tcPr>
          <w:p w14:paraId="0C05379B" w14:textId="77777777" w:rsidR="0009485E" w:rsidRDefault="0009485E" w:rsidP="00E07F6C">
            <w:pPr>
              <w:rPr>
                <w:rFonts w:ascii="Arial" w:hAnsi="Arial" w:cs="Arial"/>
                <w:b/>
                <w:bCs/>
              </w:rPr>
            </w:pPr>
            <w:r>
              <w:rPr>
                <w:rFonts w:ascii="Arial" w:hAnsi="Arial" w:cs="Arial"/>
                <w:b/>
                <w:bCs/>
              </w:rPr>
              <w:t xml:space="preserve">DDQ raised by </w:t>
            </w:r>
          </w:p>
        </w:tc>
        <w:tc>
          <w:tcPr>
            <w:tcW w:w="7391" w:type="dxa"/>
            <w:gridSpan w:val="2"/>
            <w:shd w:val="clear" w:color="auto" w:fill="auto"/>
            <w:vAlign w:val="center"/>
          </w:tcPr>
          <w:p w14:paraId="3F32F599" w14:textId="77777777" w:rsidR="0009485E" w:rsidRPr="00876240" w:rsidRDefault="0009485E" w:rsidP="00E07F6C">
            <w:pPr>
              <w:rPr>
                <w:rFonts w:ascii="Arial" w:hAnsi="Arial" w:cs="Arial"/>
                <w:sz w:val="24"/>
                <w:szCs w:val="24"/>
              </w:rPr>
            </w:pPr>
            <w:r>
              <w:rPr>
                <w:rFonts w:ascii="Arial" w:hAnsi="Arial" w:cs="Arial"/>
                <w:sz w:val="24"/>
                <w:szCs w:val="24"/>
              </w:rPr>
              <w:t>T</w:t>
            </w:r>
            <w:r>
              <w:rPr>
                <w:rFonts w:ascii="Arial" w:hAnsi="Arial" w:cs="Arial"/>
              </w:rPr>
              <w:t>homas Moore</w:t>
            </w:r>
          </w:p>
        </w:tc>
      </w:tr>
      <w:tr w:rsidR="0009485E" w:rsidRPr="00876240" w14:paraId="779D15E4" w14:textId="77777777" w:rsidTr="00E07F6C">
        <w:trPr>
          <w:gridBefore w:val="1"/>
          <w:wBefore w:w="216" w:type="dxa"/>
          <w:trHeight w:val="127"/>
        </w:trPr>
        <w:tc>
          <w:tcPr>
            <w:tcW w:w="2283" w:type="dxa"/>
            <w:shd w:val="clear" w:color="auto" w:fill="auto"/>
            <w:vAlign w:val="center"/>
          </w:tcPr>
          <w:p w14:paraId="4EA972FE" w14:textId="77777777" w:rsidR="0009485E" w:rsidRDefault="0009485E" w:rsidP="00E07F6C">
            <w:pPr>
              <w:rPr>
                <w:rFonts w:ascii="Arial" w:hAnsi="Arial" w:cs="Arial"/>
                <w:b/>
                <w:bCs/>
              </w:rPr>
            </w:pPr>
            <w:r>
              <w:rPr>
                <w:rFonts w:ascii="Arial" w:hAnsi="Arial" w:cs="Arial"/>
                <w:b/>
                <w:bCs/>
              </w:rPr>
              <w:t>Date Sent</w:t>
            </w:r>
          </w:p>
        </w:tc>
        <w:tc>
          <w:tcPr>
            <w:tcW w:w="7391" w:type="dxa"/>
            <w:gridSpan w:val="2"/>
            <w:shd w:val="clear" w:color="auto" w:fill="auto"/>
            <w:vAlign w:val="center"/>
          </w:tcPr>
          <w:p w14:paraId="55AD6233" w14:textId="77777777" w:rsidR="0009485E" w:rsidRPr="00876240" w:rsidRDefault="0009485E" w:rsidP="00E07F6C">
            <w:pPr>
              <w:rPr>
                <w:rFonts w:ascii="Arial" w:hAnsi="Arial" w:cs="Arial"/>
                <w:sz w:val="24"/>
                <w:szCs w:val="24"/>
              </w:rPr>
            </w:pPr>
            <w:r>
              <w:rPr>
                <w:rFonts w:ascii="Arial" w:hAnsi="Arial" w:cs="Arial"/>
                <w:sz w:val="24"/>
                <w:szCs w:val="24"/>
              </w:rPr>
              <w:t>0</w:t>
            </w:r>
            <w:r>
              <w:rPr>
                <w:rFonts w:ascii="Arial" w:hAnsi="Arial" w:cs="Arial"/>
              </w:rPr>
              <w:t>4/08</w:t>
            </w:r>
            <w:r>
              <w:rPr>
                <w:rFonts w:ascii="Arial" w:hAnsi="Arial" w:cs="Arial"/>
                <w:sz w:val="24"/>
                <w:szCs w:val="24"/>
              </w:rPr>
              <w:t>/2020</w:t>
            </w:r>
          </w:p>
        </w:tc>
      </w:tr>
      <w:tr w:rsidR="0009485E" w:rsidRPr="00876240" w14:paraId="77EEAE9D" w14:textId="77777777" w:rsidTr="00E07F6C">
        <w:trPr>
          <w:gridBefore w:val="1"/>
          <w:wBefore w:w="216" w:type="dxa"/>
          <w:trHeight w:val="127"/>
        </w:trPr>
        <w:tc>
          <w:tcPr>
            <w:tcW w:w="2283" w:type="dxa"/>
            <w:shd w:val="clear" w:color="auto" w:fill="auto"/>
            <w:vAlign w:val="center"/>
          </w:tcPr>
          <w:p w14:paraId="605DC416" w14:textId="77777777" w:rsidR="0009485E" w:rsidRDefault="0009485E" w:rsidP="00E07F6C">
            <w:pPr>
              <w:rPr>
                <w:rFonts w:ascii="Arial" w:hAnsi="Arial" w:cs="Arial"/>
                <w:b/>
                <w:bCs/>
              </w:rPr>
            </w:pPr>
            <w:r>
              <w:rPr>
                <w:rFonts w:ascii="Arial" w:hAnsi="Arial" w:cs="Arial"/>
                <w:b/>
                <w:bCs/>
              </w:rPr>
              <w:t>Response Due Date</w:t>
            </w:r>
          </w:p>
        </w:tc>
        <w:tc>
          <w:tcPr>
            <w:tcW w:w="7391" w:type="dxa"/>
            <w:gridSpan w:val="2"/>
            <w:shd w:val="clear" w:color="auto" w:fill="auto"/>
            <w:vAlign w:val="center"/>
          </w:tcPr>
          <w:p w14:paraId="08386E5E" w14:textId="5504CDAF" w:rsidR="0009485E" w:rsidRPr="00876240" w:rsidRDefault="00E72A95" w:rsidP="00E07F6C">
            <w:pPr>
              <w:rPr>
                <w:rFonts w:ascii="Arial" w:hAnsi="Arial" w:cs="Arial"/>
                <w:sz w:val="24"/>
                <w:szCs w:val="24"/>
              </w:rPr>
            </w:pPr>
            <w:r>
              <w:rPr>
                <w:rFonts w:ascii="Arial" w:hAnsi="Arial" w:cs="Arial"/>
                <w:sz w:val="24"/>
                <w:szCs w:val="24"/>
              </w:rPr>
              <w:t>10/08/2020</w:t>
            </w:r>
          </w:p>
        </w:tc>
      </w:tr>
      <w:tr w:rsidR="0009485E" w:rsidRPr="00876240" w14:paraId="37C3BB92" w14:textId="77777777" w:rsidTr="00E07F6C">
        <w:trPr>
          <w:gridBefore w:val="1"/>
          <w:wBefore w:w="216" w:type="dxa"/>
          <w:trHeight w:val="127"/>
        </w:trPr>
        <w:tc>
          <w:tcPr>
            <w:tcW w:w="2283" w:type="dxa"/>
            <w:shd w:val="clear" w:color="auto" w:fill="auto"/>
            <w:vAlign w:val="center"/>
          </w:tcPr>
          <w:p w14:paraId="1AADAC28" w14:textId="77777777" w:rsidR="0009485E" w:rsidRDefault="0009485E" w:rsidP="00E07F6C">
            <w:pPr>
              <w:rPr>
                <w:rFonts w:ascii="Arial" w:hAnsi="Arial" w:cs="Arial"/>
                <w:b/>
                <w:bCs/>
              </w:rPr>
            </w:pPr>
            <w:r>
              <w:rPr>
                <w:rFonts w:ascii="Arial" w:hAnsi="Arial" w:cs="Arial"/>
                <w:b/>
                <w:bCs/>
              </w:rPr>
              <w:t xml:space="preserve">Response Received </w:t>
            </w:r>
          </w:p>
        </w:tc>
        <w:tc>
          <w:tcPr>
            <w:tcW w:w="7391" w:type="dxa"/>
            <w:gridSpan w:val="2"/>
            <w:shd w:val="clear" w:color="auto" w:fill="auto"/>
            <w:vAlign w:val="center"/>
          </w:tcPr>
          <w:p w14:paraId="13B23C65" w14:textId="31FABD85" w:rsidR="0009485E" w:rsidRPr="00876240" w:rsidRDefault="0009485E" w:rsidP="00E07F6C">
            <w:pPr>
              <w:rPr>
                <w:rFonts w:ascii="Arial" w:hAnsi="Arial" w:cs="Arial"/>
                <w:sz w:val="24"/>
                <w:szCs w:val="24"/>
              </w:rPr>
            </w:pPr>
          </w:p>
        </w:tc>
      </w:tr>
      <w:tr w:rsidR="0009485E" w:rsidRPr="006B26DE" w14:paraId="697BD891" w14:textId="77777777" w:rsidTr="00E07F6C">
        <w:trPr>
          <w:gridBefore w:val="1"/>
          <w:wBefore w:w="216" w:type="dxa"/>
          <w:trHeight w:val="1978"/>
        </w:trPr>
        <w:tc>
          <w:tcPr>
            <w:tcW w:w="9674" w:type="dxa"/>
            <w:gridSpan w:val="3"/>
            <w:shd w:val="clear" w:color="auto" w:fill="auto"/>
            <w:vAlign w:val="center"/>
          </w:tcPr>
          <w:p w14:paraId="6AFF9173" w14:textId="1CE6D8BF" w:rsidR="0009485E" w:rsidRPr="006B26DE" w:rsidRDefault="0009485E" w:rsidP="00E07F6C">
            <w:pPr>
              <w:rPr>
                <w:rFonts w:ascii="Arial" w:hAnsi="Arial" w:cs="Arial"/>
                <w:bCs/>
                <w:sz w:val="24"/>
                <w:szCs w:val="24"/>
              </w:rPr>
            </w:pPr>
            <w:r>
              <w:rPr>
                <w:rFonts w:ascii="Arial" w:hAnsi="Arial" w:cs="Arial"/>
                <w:bCs/>
                <w:sz w:val="24"/>
                <w:szCs w:val="24"/>
              </w:rPr>
              <w:t xml:space="preserve"> </w:t>
            </w:r>
            <w:r w:rsidR="00FB50DA">
              <w:rPr>
                <w:rFonts w:ascii="Arial" w:hAnsi="Arial" w:cs="Arial"/>
                <w:bCs/>
                <w:sz w:val="24"/>
                <w:szCs w:val="24"/>
              </w:rPr>
              <w:t>Discussed at 06/08/2020 GD Specific Working Group</w:t>
            </w:r>
            <w:bookmarkStart w:id="0" w:name="_GoBack"/>
            <w:bookmarkEnd w:id="0"/>
          </w:p>
        </w:tc>
      </w:tr>
      <w:tr w:rsidR="0009485E" w:rsidRPr="006B26DE" w14:paraId="072832E6" w14:textId="77777777" w:rsidTr="00E07F6C">
        <w:trPr>
          <w:gridBefore w:val="1"/>
          <w:wBefore w:w="216" w:type="dxa"/>
          <w:trHeight w:val="2226"/>
        </w:trPr>
        <w:tc>
          <w:tcPr>
            <w:tcW w:w="9674" w:type="dxa"/>
            <w:gridSpan w:val="3"/>
            <w:shd w:val="clear" w:color="auto" w:fill="auto"/>
            <w:noWrap/>
            <w:vAlign w:val="center"/>
            <w:hideMark/>
          </w:tcPr>
          <w:p w14:paraId="4F30332D" w14:textId="77777777" w:rsidR="0009485E" w:rsidRPr="006B26DE" w:rsidRDefault="0009485E" w:rsidP="00E07F6C">
            <w:pPr>
              <w:rPr>
                <w:rFonts w:cs="Arial"/>
                <w:szCs w:val="20"/>
              </w:rPr>
            </w:pPr>
            <w:r w:rsidRPr="006B26DE">
              <w:rPr>
                <w:rFonts w:ascii="Arial" w:hAnsi="Arial" w:cs="Arial"/>
                <w:noProof/>
                <w:szCs w:val="20"/>
                <w:lang w:eastAsia="en-GB"/>
              </w:rPr>
              <w:t xml:space="preserve">Attachments: </w:t>
            </w:r>
          </w:p>
        </w:tc>
      </w:tr>
    </w:tbl>
    <w:p w14:paraId="72CA636A" w14:textId="77777777" w:rsidR="00EB103E" w:rsidRDefault="00FB50DA"/>
    <w:sectPr w:rsidR="00EB103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C49A4" w14:textId="77777777" w:rsidR="00BB11DE" w:rsidRDefault="00BB11DE" w:rsidP="00BB11DE">
      <w:pPr>
        <w:spacing w:after="0" w:line="240" w:lineRule="auto"/>
      </w:pPr>
      <w:r>
        <w:separator/>
      </w:r>
    </w:p>
  </w:endnote>
  <w:endnote w:type="continuationSeparator" w:id="0">
    <w:p w14:paraId="3182C204" w14:textId="77777777" w:rsidR="00BB11DE" w:rsidRDefault="00BB11DE" w:rsidP="00BB1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0C53E" w14:textId="77777777" w:rsidR="00BB11DE" w:rsidRDefault="00BB11DE" w:rsidP="00BB11DE">
      <w:pPr>
        <w:spacing w:after="0" w:line="240" w:lineRule="auto"/>
      </w:pPr>
      <w:r>
        <w:separator/>
      </w:r>
    </w:p>
  </w:footnote>
  <w:footnote w:type="continuationSeparator" w:id="0">
    <w:p w14:paraId="239B9D59" w14:textId="77777777" w:rsidR="00BB11DE" w:rsidRDefault="00BB11DE" w:rsidP="00BB11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5E"/>
    <w:rsid w:val="0009485E"/>
    <w:rsid w:val="00451027"/>
    <w:rsid w:val="00916DEF"/>
    <w:rsid w:val="00925831"/>
    <w:rsid w:val="00BB11DE"/>
    <w:rsid w:val="00E72A95"/>
    <w:rsid w:val="00FB5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1CF948"/>
  <w15:chartTrackingRefBased/>
  <w15:docId w15:val="{5B471884-688A-42DE-AF3A-1CFC05DC0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85E"/>
    <w:pPr>
      <w:spacing w:after="200" w:line="276" w:lineRule="auto"/>
    </w:pPr>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09485E"/>
    <w:pPr>
      <w:autoSpaceDE w:val="0"/>
      <w:autoSpaceDN w:val="0"/>
      <w:adjustRightInd w:val="0"/>
      <w:spacing w:after="0" w:line="240" w:lineRule="auto"/>
    </w:pPr>
    <w:rPr>
      <w:rFonts w:ascii="Verdana" w:hAnsi="Verdana" w:cs="Verdana"/>
      <w:color w:val="000000"/>
      <w:sz w:val="24"/>
      <w:szCs w:val="24"/>
    </w:rPr>
  </w:style>
  <w:style w:type="paragraph" w:customStyle="1" w:styleId="paragraph">
    <w:name w:val="paragraph"/>
    <w:basedOn w:val="Normal"/>
    <w:uiPriority w:val="99"/>
    <w:semiHidden/>
    <w:rsid w:val="0009485E"/>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09485E"/>
  </w:style>
  <w:style w:type="paragraph" w:styleId="Header">
    <w:name w:val="header"/>
    <w:basedOn w:val="Normal"/>
    <w:link w:val="HeaderChar"/>
    <w:uiPriority w:val="99"/>
    <w:unhideWhenUsed/>
    <w:rsid w:val="00FB50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50DA"/>
    <w:rPr>
      <w:rFonts w:ascii="Verdana" w:hAnsi="Verdana"/>
      <w:sz w:val="20"/>
    </w:rPr>
  </w:style>
  <w:style w:type="paragraph" w:styleId="Footer">
    <w:name w:val="footer"/>
    <w:basedOn w:val="Normal"/>
    <w:link w:val="FooterChar"/>
    <w:uiPriority w:val="99"/>
    <w:unhideWhenUsed/>
    <w:rsid w:val="00FB50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0DA"/>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Publication_x0020_Date_x003a_ xmlns="631298fc-6a88-4548-b7d9-3b164918c4a3">2020-08-04T10:16:18+00:00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21C5300-2863-418D-859D-19F72BEC82ED}">
  <ds:schemaRefs>
    <ds:schemaRef ds:uri="http://schemas.microsoft.com/office/2006/metadata/properties"/>
    <ds:schemaRef ds:uri="http://schemas.microsoft.com/sharepoint/v3/fields"/>
    <ds:schemaRef ds:uri="http://purl.org/dc/terms/"/>
    <ds:schemaRef ds:uri="http://purl.org/dc/dcmitype/"/>
    <ds:schemaRef ds:uri="http://purl.org/dc/elements/1.1/"/>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631298fc-6a88-4548-b7d9-3b164918c4a3"/>
  </ds:schemaRefs>
</ds:datastoreItem>
</file>

<file path=customXml/itemProps2.xml><?xml version="1.0" encoding="utf-8"?>
<ds:datastoreItem xmlns:ds="http://schemas.openxmlformats.org/officeDocument/2006/customXml" ds:itemID="{CD319097-4DB6-46EE-AE95-2B1EB32DF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B45AD-3DEC-45BC-BC34-CE0719BDB568}">
  <ds:schemaRefs>
    <ds:schemaRef ds:uri="http://schemas.microsoft.com/sharepoint/v3/contenttype/forms"/>
  </ds:schemaRefs>
</ds:datastoreItem>
</file>

<file path=customXml/itemProps4.xml><?xml version="1.0" encoding="utf-8"?>
<ds:datastoreItem xmlns:ds="http://schemas.openxmlformats.org/officeDocument/2006/customXml" ds:itemID="{675ADE8B-3EF5-40C5-ACDF-2D64816D749A}">
  <ds:schemaRefs>
    <ds:schemaRef ds:uri="Microsoft.SharePoint.Taxonomy.ContentTypeSync"/>
  </ds:schemaRefs>
</ds:datastoreItem>
</file>

<file path=customXml/itemProps5.xml><?xml version="1.0" encoding="utf-8"?>
<ds:datastoreItem xmlns:ds="http://schemas.openxmlformats.org/officeDocument/2006/customXml" ds:itemID="{B89CF02C-7504-4783-8CBA-CD59226C078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827</Words>
  <Characters>4717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Moore1, Thomas</dc:creator>
  <cp:keywords/>
  <dc:description/>
  <cp:lastModifiedBy>Thomas McLaren</cp:lastModifiedBy>
  <cp:revision>4</cp:revision>
  <dcterms:created xsi:type="dcterms:W3CDTF">2020-08-03T19:22:00Z</dcterms:created>
  <dcterms:modified xsi:type="dcterms:W3CDTF">2020-08-07T13:54:00Z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8ff59-1dd3-406f-be87-f82473b549be_Enabled">
    <vt:lpwstr>True</vt:lpwstr>
  </property>
  <property fmtid="{D5CDD505-2E9C-101B-9397-08002B2CF9AE}" pid="3" name="MSIP_Label_7a28ff59-1dd3-406f-be87-f82473b549be_SiteId">
    <vt:lpwstr>de0d74aa-9914-4bb9-9235-fbefe83b1769</vt:lpwstr>
  </property>
  <property fmtid="{D5CDD505-2E9C-101B-9397-08002B2CF9AE}" pid="4" name="MSIP_Label_7a28ff59-1dd3-406f-be87-f82473b549be_Owner">
    <vt:lpwstr>Thomas.Moore1@cadentgas.com</vt:lpwstr>
  </property>
  <property fmtid="{D5CDD505-2E9C-101B-9397-08002B2CF9AE}" pid="5" name="MSIP_Label_7a28ff59-1dd3-406f-be87-f82473b549be_SetDate">
    <vt:lpwstr>2020-08-03T18:59:08.3799010Z</vt:lpwstr>
  </property>
  <property fmtid="{D5CDD505-2E9C-101B-9397-08002B2CF9AE}" pid="6" name="MSIP_Label_7a28ff59-1dd3-406f-be87-f82473b549be_Name">
    <vt:lpwstr>Cadent - Official</vt:lpwstr>
  </property>
  <property fmtid="{D5CDD505-2E9C-101B-9397-08002B2CF9AE}" pid="7" name="MSIP_Label_7a28ff59-1dd3-406f-be87-f82473b549be_Application">
    <vt:lpwstr>Microsoft Azure Information Protection</vt:lpwstr>
  </property>
  <property fmtid="{D5CDD505-2E9C-101B-9397-08002B2CF9AE}" pid="8" name="MSIP_Label_7a28ff59-1dd3-406f-be87-f82473b549be_Extended_MSFT_Method">
    <vt:lpwstr>Automatic</vt:lpwstr>
  </property>
  <property fmtid="{D5CDD505-2E9C-101B-9397-08002B2CF9AE}" pid="9" name="Sensitivity">
    <vt:lpwstr>Cadent - Official</vt:lpwstr>
  </property>
  <property fmtid="{D5CDD505-2E9C-101B-9397-08002B2CF9AE}" pid="10" name="ContentTypeId">
    <vt:lpwstr>0x010100CBFEBA86B6E0A2498471ADBC27C4F03E003BA070C393D875468B13A97A8555307A</vt:lpwstr>
  </property>
  <property fmtid="{D5CDD505-2E9C-101B-9397-08002B2CF9AE}" pid="11" name="BJSCc5a055b0-1bed-4579_x">
    <vt:lpwstr/>
  </property>
  <property fmtid="{D5CDD505-2E9C-101B-9397-08002B2CF9AE}" pid="12" name="BJSCdd9eba61-d6b9-469b_x">
    <vt:lpwstr/>
  </property>
  <property fmtid="{D5CDD505-2E9C-101B-9397-08002B2CF9AE}" pid="13" name="BJSCSummaryMarking">
    <vt:lpwstr>This item has no classification</vt:lpwstr>
  </property>
  <property fmtid="{D5CDD505-2E9C-101B-9397-08002B2CF9AE}" pid="1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5" name="docIndexRef">
    <vt:lpwstr>20655f63-310d-4ad1-a3a5-0ee8852ae941</vt:lpwstr>
  </property>
  <property fmtid="{D5CDD505-2E9C-101B-9397-08002B2CF9AE}" pid="16" name="bjSaver">
    <vt:lpwstr>ebzqsk7BlFVPrG2mkqthtXTy38qz24CJ</vt:lpwstr>
  </property>
  <property fmtid="{D5CDD505-2E9C-101B-9397-08002B2CF9AE}" pid="17" name="bjDocumentSecurityLabel">
    <vt:lpwstr>This item has no classification</vt:lpwstr>
  </property>
</Properties>
</file>