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8436"/>
      </w:tblGrid>
      <w:tr w:rsidR="00133BD9" w:rsidRPr="00876240" w14:paraId="2E72CBDE" w14:textId="77777777" w:rsidTr="00A30037">
        <w:trPr>
          <w:trHeight w:val="315"/>
        </w:trPr>
        <w:tc>
          <w:tcPr>
            <w:tcW w:w="9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36EE9" w14:textId="77777777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7FED5ABC" w14:textId="77777777" w:rsidTr="00A30037">
        <w:trPr>
          <w:trHeight w:val="315"/>
        </w:trPr>
        <w:tc>
          <w:tcPr>
            <w:tcW w:w="92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3DACB" w14:textId="77777777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7E1E0355" w14:textId="77777777" w:rsidTr="00A30037">
        <w:trPr>
          <w:trHeight w:val="614"/>
        </w:trPr>
        <w:tc>
          <w:tcPr>
            <w:tcW w:w="2100" w:type="dxa"/>
            <w:shd w:val="clear" w:color="auto" w:fill="auto"/>
            <w:vAlign w:val="center"/>
            <w:hideMark/>
          </w:tcPr>
          <w:p w14:paraId="4FBED8F4" w14:textId="77777777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148" w:type="dxa"/>
            <w:shd w:val="clear" w:color="auto" w:fill="auto"/>
            <w:vAlign w:val="center"/>
          </w:tcPr>
          <w:p w14:paraId="6795EFD1" w14:textId="77777777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A30037">
              <w:rPr>
                <w:rFonts w:ascii="Arial" w:hAnsi="Arial" w:cs="Arial"/>
                <w:sz w:val="24"/>
                <w:szCs w:val="24"/>
              </w:rPr>
              <w:t>32</w:t>
            </w:r>
          </w:p>
        </w:tc>
      </w:tr>
      <w:tr w:rsidR="00A06191" w:rsidRPr="00876240" w14:paraId="308A51AB" w14:textId="77777777" w:rsidTr="00D86607">
        <w:trPr>
          <w:trHeight w:val="852"/>
        </w:trPr>
        <w:tc>
          <w:tcPr>
            <w:tcW w:w="2100" w:type="dxa"/>
            <w:shd w:val="clear" w:color="auto" w:fill="auto"/>
            <w:vAlign w:val="center"/>
          </w:tcPr>
          <w:p w14:paraId="6072CEFC" w14:textId="77777777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148" w:type="dxa"/>
            <w:shd w:val="clear" w:color="auto" w:fill="auto"/>
            <w:vAlign w:val="center"/>
          </w:tcPr>
          <w:p w14:paraId="2F7B842C" w14:textId="77777777" w:rsidR="00A06191" w:rsidRPr="00876240" w:rsidRDefault="00BD1E30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Gas Distribution Annex </w:t>
            </w:r>
          </w:p>
        </w:tc>
      </w:tr>
      <w:tr w:rsidR="00A06191" w:rsidRPr="00876240" w14:paraId="4226CA2D" w14:textId="77777777" w:rsidTr="00A30037">
        <w:trPr>
          <w:trHeight w:val="127"/>
        </w:trPr>
        <w:tc>
          <w:tcPr>
            <w:tcW w:w="2100" w:type="dxa"/>
            <w:shd w:val="clear" w:color="auto" w:fill="auto"/>
            <w:vAlign w:val="center"/>
          </w:tcPr>
          <w:p w14:paraId="456BE41D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148" w:type="dxa"/>
            <w:shd w:val="clear" w:color="auto" w:fill="auto"/>
            <w:vAlign w:val="center"/>
          </w:tcPr>
          <w:p w14:paraId="571B01F4" w14:textId="77777777" w:rsidR="00A06191" w:rsidRPr="00876240" w:rsidRDefault="00BD1E30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Cost Assessment </w:t>
            </w:r>
            <w:r w:rsidR="00D4032A"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z w:val="24"/>
                <w:szCs w:val="24"/>
              </w:rPr>
              <w:t>able 18</w:t>
            </w:r>
            <w:r w:rsidR="007E30C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06191" w:rsidRPr="00876240" w14:paraId="586C1387" w14:textId="77777777" w:rsidTr="00A30037">
        <w:trPr>
          <w:trHeight w:val="127"/>
        </w:trPr>
        <w:tc>
          <w:tcPr>
            <w:tcW w:w="2100" w:type="dxa"/>
            <w:shd w:val="clear" w:color="auto" w:fill="auto"/>
            <w:vAlign w:val="center"/>
          </w:tcPr>
          <w:p w14:paraId="652706B3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148" w:type="dxa"/>
            <w:shd w:val="clear" w:color="auto" w:fill="auto"/>
            <w:vAlign w:val="center"/>
          </w:tcPr>
          <w:p w14:paraId="2538DF84" w14:textId="77777777" w:rsidR="00BD1E30" w:rsidRDefault="00BD1E30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Please could you explain how the figures for “pre-model” and “technically assessed adjustments” </w:t>
            </w:r>
            <w:r w:rsidR="00943B47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="00943B47">
              <w:rPr>
                <w:rFonts w:ascii="Arial" w:hAnsi="Arial" w:cs="Arial"/>
                <w:sz w:val="24"/>
                <w:szCs w:val="24"/>
              </w:rPr>
              <w:t xml:space="preserve">table </w:t>
            </w:r>
            <w:r>
              <w:rPr>
                <w:rFonts w:ascii="Arial" w:hAnsi="Arial" w:cs="Arial"/>
                <w:sz w:val="24"/>
                <w:szCs w:val="24"/>
              </w:rPr>
              <w:t xml:space="preserve">18 reconcile to the Normalisation spreadsheet and Other spreadsheets. </w:t>
            </w:r>
          </w:p>
          <w:p w14:paraId="11E3804E" w14:textId="77777777" w:rsidR="00943B47" w:rsidRDefault="00943B47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5FBDF066" w14:textId="77777777" w:rsidR="00A0584E" w:rsidRDefault="00BD1E30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 example, for EoE the table shows Pre-model adjustments of £44m for GD2: however, the Exclusions in the Normalisation spreadsheet </w:t>
            </w:r>
            <w:r w:rsidR="00943B47">
              <w:rPr>
                <w:rFonts w:ascii="Arial" w:hAnsi="Arial" w:cs="Arial"/>
                <w:sz w:val="24"/>
                <w:szCs w:val="24"/>
              </w:rPr>
              <w:t xml:space="preserve">for Totex </w:t>
            </w:r>
            <w:r>
              <w:rPr>
                <w:rFonts w:ascii="Arial" w:hAnsi="Arial" w:cs="Arial"/>
                <w:sz w:val="24"/>
                <w:szCs w:val="24"/>
              </w:rPr>
              <w:t xml:space="preserve">total £58m. </w:t>
            </w:r>
          </w:p>
          <w:p w14:paraId="14BC5E83" w14:textId="77777777" w:rsidR="00943B47" w:rsidRDefault="00943B47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198278D2" w14:textId="77777777" w:rsidR="00943B47" w:rsidRDefault="00BD1E30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 addition, for EoE table </w:t>
            </w:r>
            <w:r w:rsidR="00B55222">
              <w:rPr>
                <w:rFonts w:ascii="Arial" w:hAnsi="Arial" w:cs="Arial"/>
                <w:sz w:val="24"/>
                <w:szCs w:val="24"/>
              </w:rPr>
              <w:t xml:space="preserve">18 </w:t>
            </w:r>
            <w:r>
              <w:rPr>
                <w:rFonts w:ascii="Arial" w:hAnsi="Arial" w:cs="Arial"/>
                <w:sz w:val="24"/>
                <w:szCs w:val="24"/>
              </w:rPr>
              <w:t xml:space="preserve">shows technically assessed adjustments of £45m.  However, the Technical Assessment spreadsheet shows a disallowance of </w:t>
            </w:r>
            <w:r w:rsidR="00943B47">
              <w:rPr>
                <w:rFonts w:ascii="Arial" w:hAnsi="Arial" w:cs="Arial"/>
                <w:sz w:val="24"/>
                <w:szCs w:val="24"/>
              </w:rPr>
              <w:t xml:space="preserve">only </w:t>
            </w:r>
            <w:r>
              <w:rPr>
                <w:rFonts w:ascii="Arial" w:hAnsi="Arial" w:cs="Arial"/>
                <w:sz w:val="24"/>
                <w:szCs w:val="24"/>
              </w:rPr>
              <w:t>£4.8m (£41.8m - £37.0m)</w:t>
            </w:r>
            <w:r w:rsidR="00943B47">
              <w:rPr>
                <w:rFonts w:ascii="Arial" w:hAnsi="Arial" w:cs="Arial"/>
                <w:sz w:val="24"/>
                <w:szCs w:val="24"/>
              </w:rPr>
              <w:t>, as shown below</w:t>
            </w:r>
          </w:p>
          <w:p w14:paraId="3D61D0BA" w14:textId="77777777" w:rsidR="00943B47" w:rsidRDefault="00943B47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42F39D19" wp14:editId="16DEA705">
                  <wp:extent cx="4761905" cy="1609524"/>
                  <wp:effectExtent l="0" t="0" r="63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1905" cy="160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915180" w14:textId="77777777" w:rsidR="00943B47" w:rsidRDefault="00943B47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1DF084DA" w14:textId="77777777" w:rsidR="00BD1E30" w:rsidRDefault="00BD1E30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Even adding in the results of the </w:t>
            </w:r>
            <w:r w:rsidR="00943B47"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on-</w:t>
            </w:r>
            <w:r w:rsidR="00943B47">
              <w:rPr>
                <w:rFonts w:ascii="Arial" w:hAnsi="Arial" w:cs="Arial"/>
                <w:sz w:val="24"/>
                <w:szCs w:val="24"/>
              </w:rPr>
              <w:t>Re</w:t>
            </w:r>
            <w:r>
              <w:rPr>
                <w:rFonts w:ascii="Arial" w:hAnsi="Arial" w:cs="Arial"/>
                <w:sz w:val="24"/>
                <w:szCs w:val="24"/>
              </w:rPr>
              <w:t xml:space="preserve">gression </w:t>
            </w:r>
            <w:r w:rsidR="00943B47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nalysis increases this by only £17.</w:t>
            </w:r>
            <w:r w:rsidR="00943B47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m, as shown below.</w:t>
            </w:r>
          </w:p>
          <w:p w14:paraId="2F2561A8" w14:textId="77777777" w:rsidR="00BD1E30" w:rsidRDefault="00943B47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76BA239C" wp14:editId="5DF50BBC">
                  <wp:extent cx="3866667" cy="2066667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6667" cy="206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20484A" w14:textId="77777777" w:rsidR="00BD1E30" w:rsidRDefault="00BD1E30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19822C0E" w14:textId="77777777" w:rsidR="00BD1E30" w:rsidRDefault="00943B47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Therefore, even combining the Technical Assessment and Non-Regression analysis together we only have £22.7m of disallowances, rather than the £45m shown in table 18. </w:t>
            </w:r>
          </w:p>
          <w:p w14:paraId="31E0E184" w14:textId="77777777" w:rsidR="00BD1E30" w:rsidRDefault="00BD1E30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3842EC" w14:textId="77777777" w:rsidR="00BD1E30" w:rsidRPr="00A56CF3" w:rsidRDefault="00BD1E30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2CA46A2A" w14:textId="77777777" w:rsidTr="00A30037">
        <w:trPr>
          <w:trHeight w:val="127"/>
        </w:trPr>
        <w:tc>
          <w:tcPr>
            <w:tcW w:w="2100" w:type="dxa"/>
            <w:shd w:val="clear" w:color="auto" w:fill="auto"/>
            <w:vAlign w:val="center"/>
          </w:tcPr>
          <w:p w14:paraId="4535F9EF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148" w:type="dxa"/>
            <w:shd w:val="clear" w:color="auto" w:fill="auto"/>
            <w:vAlign w:val="center"/>
          </w:tcPr>
          <w:p w14:paraId="42C22223" w14:textId="77777777" w:rsidR="00A06191" w:rsidRPr="00876240" w:rsidRDefault="00300FB4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Jeremy Thomson</w:t>
            </w:r>
          </w:p>
        </w:tc>
      </w:tr>
      <w:tr w:rsidR="00A06191" w:rsidRPr="00876240" w14:paraId="508951AA" w14:textId="77777777" w:rsidTr="00A30037">
        <w:trPr>
          <w:trHeight w:val="127"/>
        </w:trPr>
        <w:tc>
          <w:tcPr>
            <w:tcW w:w="2100" w:type="dxa"/>
            <w:shd w:val="clear" w:color="auto" w:fill="auto"/>
            <w:vAlign w:val="center"/>
          </w:tcPr>
          <w:p w14:paraId="3A8991BE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148" w:type="dxa"/>
            <w:shd w:val="clear" w:color="auto" w:fill="auto"/>
            <w:vAlign w:val="center"/>
          </w:tcPr>
          <w:p w14:paraId="4AA9009D" w14:textId="41ED70D6" w:rsidR="00F82AB4" w:rsidRPr="00876240" w:rsidRDefault="00AB3039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21/07/20</w:t>
            </w:r>
          </w:p>
        </w:tc>
      </w:tr>
      <w:tr w:rsidR="00A06191" w:rsidRPr="00876240" w14:paraId="77A786CF" w14:textId="77777777" w:rsidTr="00A30037">
        <w:trPr>
          <w:trHeight w:val="127"/>
        </w:trPr>
        <w:tc>
          <w:tcPr>
            <w:tcW w:w="2100" w:type="dxa"/>
            <w:shd w:val="clear" w:color="auto" w:fill="auto"/>
            <w:vAlign w:val="center"/>
          </w:tcPr>
          <w:p w14:paraId="3F0EBD4D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148" w:type="dxa"/>
            <w:shd w:val="clear" w:color="auto" w:fill="auto"/>
            <w:vAlign w:val="center"/>
          </w:tcPr>
          <w:p w14:paraId="338104F2" w14:textId="77777777" w:rsidR="00A06191" w:rsidRPr="00876240" w:rsidRDefault="00DA67E5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721734">
              <w:rPr>
                <w:rFonts w:ascii="Arial" w:hAnsi="Arial" w:cs="Arial"/>
                <w:sz w:val="24"/>
                <w:szCs w:val="24"/>
              </w:rPr>
              <w:t>4</w:t>
            </w:r>
            <w:r w:rsidR="00300FB4">
              <w:rPr>
                <w:rFonts w:ascii="Arial" w:hAnsi="Arial" w:cs="Arial"/>
                <w:sz w:val="24"/>
                <w:szCs w:val="24"/>
              </w:rPr>
              <w:t xml:space="preserve"> July 2020</w:t>
            </w:r>
          </w:p>
        </w:tc>
      </w:tr>
      <w:tr w:rsidR="00A06191" w:rsidRPr="00876240" w14:paraId="62DF1ED7" w14:textId="77777777" w:rsidTr="00A30037">
        <w:trPr>
          <w:trHeight w:val="127"/>
        </w:trPr>
        <w:tc>
          <w:tcPr>
            <w:tcW w:w="2100" w:type="dxa"/>
            <w:shd w:val="clear" w:color="auto" w:fill="auto"/>
            <w:vAlign w:val="center"/>
          </w:tcPr>
          <w:p w14:paraId="70EBBDAA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148" w:type="dxa"/>
            <w:shd w:val="clear" w:color="auto" w:fill="auto"/>
            <w:vAlign w:val="center"/>
          </w:tcPr>
          <w:p w14:paraId="1ED81660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68A9E23B" w14:textId="77777777" w:rsidTr="00A30037">
        <w:trPr>
          <w:trHeight w:val="1978"/>
        </w:trPr>
        <w:tc>
          <w:tcPr>
            <w:tcW w:w="9248" w:type="dxa"/>
            <w:gridSpan w:val="2"/>
            <w:shd w:val="clear" w:color="auto" w:fill="auto"/>
            <w:vAlign w:val="center"/>
          </w:tcPr>
          <w:p w14:paraId="6D517E69" w14:textId="77777777" w:rsidR="00D47ED6" w:rsidRDefault="00D47ED6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Ofgem response:</w:t>
            </w:r>
          </w:p>
          <w:p w14:paraId="771F99B8" w14:textId="3C1495F4" w:rsidR="00D77A5F" w:rsidRDefault="00D47ED6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The discrepancy between Table 18 pre-model adjustments and the Exclusions worksheet in the Normalisation file is due to Cyber (opex and capex). </w:t>
            </w:r>
            <w:r w:rsidR="00D77A5F">
              <w:rPr>
                <w:rFonts w:ascii="Arial" w:hAnsi="Arial" w:cs="Arial"/>
                <w:bCs/>
                <w:sz w:val="24"/>
                <w:szCs w:val="24"/>
              </w:rPr>
              <w:t>Table 18 assumes that, rather than being excluded (and moved into an uncertainty mechanism), these cyber costs are actually technically assessed.</w:t>
            </w:r>
            <w:r w:rsidR="001F2420">
              <w:rPr>
                <w:rFonts w:ascii="Arial" w:hAnsi="Arial" w:cs="Arial"/>
                <w:bCs/>
                <w:sz w:val="24"/>
                <w:szCs w:val="24"/>
              </w:rPr>
              <w:t xml:space="preserve"> The models assume (in error) that allowances for these costs are to be included in a UIOLI allowance.</w:t>
            </w:r>
          </w:p>
          <w:p w14:paraId="6D37DAB3" w14:textId="75EB0F44" w:rsidR="005A4AEA" w:rsidRDefault="00D77A5F" w:rsidP="005A4AEA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For the same reason, there is a discrepancy in the technically assessed costs adjustments (as cyber costs are not listed in the Technical Assessment spreadsheet). Using the EoE network as an example, </w:t>
            </w:r>
            <w:r w:rsidR="005A4AEA">
              <w:rPr>
                <w:rFonts w:ascii="Arial" w:hAnsi="Arial" w:cs="Arial"/>
                <w:bCs/>
                <w:sz w:val="24"/>
                <w:szCs w:val="24"/>
              </w:rPr>
              <w:t xml:space="preserve">the submitted value for our technically assessed costs (with cyber included) is £86.5m, and the allowance (pre OE) is £41.9m – a difference of </w:t>
            </w:r>
            <w:r w:rsidR="001F2420">
              <w:rPr>
                <w:rFonts w:ascii="Arial" w:hAnsi="Arial" w:cs="Arial"/>
                <w:bCs/>
                <w:sz w:val="24"/>
                <w:szCs w:val="24"/>
              </w:rPr>
              <w:t xml:space="preserve">approximately </w:t>
            </w:r>
            <w:bookmarkStart w:id="0" w:name="_GoBack"/>
            <w:bookmarkEnd w:id="0"/>
            <w:r w:rsidR="005A4AEA">
              <w:rPr>
                <w:rFonts w:ascii="Arial" w:hAnsi="Arial" w:cs="Arial"/>
                <w:bCs/>
                <w:sz w:val="24"/>
                <w:szCs w:val="24"/>
              </w:rPr>
              <w:t>£45m.</w:t>
            </w:r>
            <w:r w:rsidR="001F2420">
              <w:rPr>
                <w:rFonts w:ascii="Arial" w:hAnsi="Arial" w:cs="Arial"/>
                <w:bCs/>
                <w:sz w:val="24"/>
                <w:szCs w:val="24"/>
              </w:rPr>
              <w:t xml:space="preserve"> Note that the figures in Table 18 also include technically assessed bespoke outputs.</w:t>
            </w:r>
          </w:p>
          <w:p w14:paraId="24AF0043" w14:textId="7C24CF2C" w:rsidR="006224F4" w:rsidRPr="006B26DE" w:rsidRDefault="005A4AEA" w:rsidP="005A4AEA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 impact of the non-regression analysis is shown in the benchmark efficiency column (which captures both modelling and catch-up efficiency)</w:t>
            </w:r>
          </w:p>
        </w:tc>
      </w:tr>
      <w:tr w:rsidR="00133BD9" w:rsidRPr="00876240" w14:paraId="61D9E9D5" w14:textId="77777777" w:rsidTr="00A30037">
        <w:trPr>
          <w:trHeight w:val="2226"/>
        </w:trPr>
        <w:tc>
          <w:tcPr>
            <w:tcW w:w="9248" w:type="dxa"/>
            <w:gridSpan w:val="2"/>
            <w:shd w:val="clear" w:color="auto" w:fill="auto"/>
            <w:noWrap/>
            <w:vAlign w:val="center"/>
            <w:hideMark/>
          </w:tcPr>
          <w:p w14:paraId="5858CDBE" w14:textId="77777777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7FEC7B39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C36D0" w14:textId="77777777" w:rsidR="00EF1A55" w:rsidRDefault="00EF1A55" w:rsidP="00526623">
      <w:pPr>
        <w:spacing w:after="0" w:line="240" w:lineRule="auto"/>
      </w:pPr>
      <w:r>
        <w:separator/>
      </w:r>
    </w:p>
  </w:endnote>
  <w:endnote w:type="continuationSeparator" w:id="0">
    <w:p w14:paraId="71668896" w14:textId="77777777" w:rsidR="00EF1A55" w:rsidRDefault="00EF1A55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B5F6B" w14:textId="77777777" w:rsidR="00EF1A55" w:rsidRDefault="00EF1A55" w:rsidP="00526623">
      <w:pPr>
        <w:spacing w:after="0" w:line="240" w:lineRule="auto"/>
      </w:pPr>
      <w:r>
        <w:separator/>
      </w:r>
    </w:p>
  </w:footnote>
  <w:footnote w:type="continuationSeparator" w:id="0">
    <w:p w14:paraId="2C1B00D4" w14:textId="77777777" w:rsidR="00EF1A55" w:rsidRDefault="00EF1A55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025C"/>
    <w:rsid w:val="00041711"/>
    <w:rsid w:val="000436C2"/>
    <w:rsid w:val="000473D3"/>
    <w:rsid w:val="00050C54"/>
    <w:rsid w:val="000A1771"/>
    <w:rsid w:val="000B0536"/>
    <w:rsid w:val="0010126C"/>
    <w:rsid w:val="00107296"/>
    <w:rsid w:val="00133BD9"/>
    <w:rsid w:val="00133CFC"/>
    <w:rsid w:val="00172809"/>
    <w:rsid w:val="001F2420"/>
    <w:rsid w:val="00206D5F"/>
    <w:rsid w:val="002707B1"/>
    <w:rsid w:val="00291D51"/>
    <w:rsid w:val="00292A5E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85085"/>
    <w:rsid w:val="003B3576"/>
    <w:rsid w:val="00400822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A4AEA"/>
    <w:rsid w:val="005A506C"/>
    <w:rsid w:val="005A74DE"/>
    <w:rsid w:val="005E2894"/>
    <w:rsid w:val="0060723D"/>
    <w:rsid w:val="006224F4"/>
    <w:rsid w:val="006279ED"/>
    <w:rsid w:val="006847DA"/>
    <w:rsid w:val="006B26DE"/>
    <w:rsid w:val="00716508"/>
    <w:rsid w:val="00721734"/>
    <w:rsid w:val="007400B7"/>
    <w:rsid w:val="00753976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5400C"/>
    <w:rsid w:val="008A5062"/>
    <w:rsid w:val="008B3636"/>
    <w:rsid w:val="008B7043"/>
    <w:rsid w:val="008C5A35"/>
    <w:rsid w:val="00924DEC"/>
    <w:rsid w:val="00935000"/>
    <w:rsid w:val="00937BF5"/>
    <w:rsid w:val="00942721"/>
    <w:rsid w:val="00943B47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30037"/>
    <w:rsid w:val="00A56CF3"/>
    <w:rsid w:val="00A922CF"/>
    <w:rsid w:val="00AB3039"/>
    <w:rsid w:val="00AC6418"/>
    <w:rsid w:val="00AE2C71"/>
    <w:rsid w:val="00AF2854"/>
    <w:rsid w:val="00B24139"/>
    <w:rsid w:val="00B33BDA"/>
    <w:rsid w:val="00B35E40"/>
    <w:rsid w:val="00B378CC"/>
    <w:rsid w:val="00B41AEB"/>
    <w:rsid w:val="00B55222"/>
    <w:rsid w:val="00B82400"/>
    <w:rsid w:val="00B86DDF"/>
    <w:rsid w:val="00BA4154"/>
    <w:rsid w:val="00BA5A79"/>
    <w:rsid w:val="00BB4793"/>
    <w:rsid w:val="00BB56A8"/>
    <w:rsid w:val="00BB682C"/>
    <w:rsid w:val="00BD1E30"/>
    <w:rsid w:val="00BD48A8"/>
    <w:rsid w:val="00C10D99"/>
    <w:rsid w:val="00C57345"/>
    <w:rsid w:val="00C814D0"/>
    <w:rsid w:val="00C81B4C"/>
    <w:rsid w:val="00CA4297"/>
    <w:rsid w:val="00CC7214"/>
    <w:rsid w:val="00CF22EF"/>
    <w:rsid w:val="00D1736D"/>
    <w:rsid w:val="00D4032A"/>
    <w:rsid w:val="00D47ED6"/>
    <w:rsid w:val="00D50036"/>
    <w:rsid w:val="00D53135"/>
    <w:rsid w:val="00D77A5F"/>
    <w:rsid w:val="00D81399"/>
    <w:rsid w:val="00D86607"/>
    <w:rsid w:val="00DA4D94"/>
    <w:rsid w:val="00DA67E5"/>
    <w:rsid w:val="00E040EA"/>
    <w:rsid w:val="00E11C0E"/>
    <w:rsid w:val="00E525E0"/>
    <w:rsid w:val="00E55A7F"/>
    <w:rsid w:val="00E566F5"/>
    <w:rsid w:val="00EB123E"/>
    <w:rsid w:val="00EB179A"/>
    <w:rsid w:val="00EB2613"/>
    <w:rsid w:val="00EE1C79"/>
    <w:rsid w:val="00EF1A55"/>
    <w:rsid w:val="00F129C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9426125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Props1.xml><?xml version="1.0" encoding="utf-8"?>
<ds:datastoreItem xmlns:ds="http://schemas.openxmlformats.org/officeDocument/2006/customXml" ds:itemID="{E15CCEAE-D188-46C3-BA1D-7F8EA95489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B47999C-8D04-4C01-87B8-60D803E57CB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E264E8F-5E54-4984-B7F8-44720A08FB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Pat Devlin</cp:lastModifiedBy>
  <cp:revision>3</cp:revision>
  <dcterms:created xsi:type="dcterms:W3CDTF">2020-08-06T08:09:00Z</dcterms:created>
  <dcterms:modified xsi:type="dcterms:W3CDTF">2020-08-06T08:47:00Z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