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1AFA9F1" w:rsidR="00133BD9" w:rsidRPr="00876240" w:rsidRDefault="001D6793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F3401A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54BCC92D" w:rsidR="00A06191" w:rsidRPr="00876240" w:rsidRDefault="0012099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F7B7ADA" w:rsidR="00134C83" w:rsidRPr="00876240" w:rsidRDefault="0012099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 Efficiency Challenge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255F509" w14:textId="75AAF461" w:rsidR="00976F87" w:rsidRPr="009B1F17" w:rsidRDefault="00976F87" w:rsidP="009B1F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Re: </w:t>
            </w:r>
            <w:r w:rsidRPr="00490A0A">
              <w:rPr>
                <w:rFonts w:ascii="Arial" w:hAnsi="Arial" w:cs="Arial"/>
                <w:sz w:val="24"/>
                <w:szCs w:val="24"/>
              </w:rPr>
              <w:t xml:space="preserve">[10] </w:t>
            </w:r>
            <w:r>
              <w:rPr>
                <w:rFonts w:ascii="Arial" w:hAnsi="Arial" w:cs="Arial"/>
                <w:sz w:val="24"/>
                <w:szCs w:val="24"/>
              </w:rPr>
              <w:t>Ongoing Efficiency</w:t>
            </w:r>
            <w:r w:rsidRPr="00490A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spreadsheet provided in </w:t>
            </w:r>
            <w:r w:rsidRPr="00490A0A">
              <w:rPr>
                <w:rFonts w:ascii="Arial" w:hAnsi="Arial" w:cs="Arial"/>
                <w:sz w:val="24"/>
                <w:szCs w:val="24"/>
              </w:rPr>
              <w:t>riio_gd_model_suit_part_2</w:t>
            </w:r>
          </w:p>
          <w:p w14:paraId="027BEC06" w14:textId="77777777" w:rsidR="00765C7F" w:rsidRDefault="00F25926" w:rsidP="0076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are still awaiting responses to DD</w:t>
            </w:r>
            <w:r w:rsidR="00827199">
              <w:rPr>
                <w:rFonts w:ascii="Arial" w:hAnsi="Arial" w:cs="Arial"/>
                <w:sz w:val="24"/>
                <w:szCs w:val="24"/>
              </w:rPr>
              <w:t xml:space="preserve">Q 34 on ongoing efficiency sent 30/07/20. </w:t>
            </w:r>
          </w:p>
          <w:p w14:paraId="2E60E5F4" w14:textId="712A6545" w:rsidR="00761804" w:rsidRPr="00761804" w:rsidRDefault="00827199" w:rsidP="0076180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addition, </w:t>
            </w:r>
            <w:r w:rsidR="00A160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1804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761804" w:rsidRPr="00761804">
              <w:rPr>
                <w:rFonts w:ascii="Arial" w:hAnsi="Arial" w:cs="Arial"/>
                <w:sz w:val="24"/>
                <w:szCs w:val="24"/>
              </w:rPr>
              <w:t>Inp_NetworkOE_GD</w:t>
            </w:r>
            <w:r w:rsidR="00B462DA">
              <w:rPr>
                <w:rFonts w:ascii="Arial" w:hAnsi="Arial" w:cs="Arial"/>
                <w:sz w:val="24"/>
                <w:szCs w:val="24"/>
              </w:rPr>
              <w:t xml:space="preserve"> tab</w:t>
            </w:r>
            <w:r w:rsidR="0076180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6628AB2" w14:textId="35CB5D3E" w:rsidR="00761804" w:rsidRPr="00761804" w:rsidRDefault="00761804" w:rsidP="0076180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761804">
              <w:rPr>
                <w:rFonts w:ascii="Arial" w:hAnsi="Arial" w:cs="Arial"/>
                <w:sz w:val="24"/>
                <w:szCs w:val="24"/>
              </w:rPr>
              <w:t>NGN Values not compounded unlike the other GDNs</w:t>
            </w:r>
          </w:p>
          <w:p w14:paraId="4B39A01E" w14:textId="4C9D3E12" w:rsidR="00504295" w:rsidRDefault="00761804" w:rsidP="00761804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761804">
              <w:rPr>
                <w:rFonts w:ascii="Arial" w:hAnsi="Arial" w:cs="Arial"/>
                <w:sz w:val="24"/>
                <w:szCs w:val="24"/>
              </w:rPr>
              <w:t>CAGR values applied over 7 years but based on data from 5 years – should be consistent</w:t>
            </w:r>
          </w:p>
          <w:p w14:paraId="408A5985" w14:textId="26F51FF9" w:rsidR="00B462DA" w:rsidRDefault="00B462DA" w:rsidP="00B46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Pr="00B462DA">
              <w:rPr>
                <w:rFonts w:ascii="Arial" w:hAnsi="Arial" w:cs="Arial"/>
                <w:sz w:val="24"/>
                <w:szCs w:val="24"/>
              </w:rPr>
              <w:t>Cal options tab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B462DA">
              <w:rPr>
                <w:rFonts w:ascii="Arial" w:hAnsi="Arial" w:cs="Arial"/>
                <w:sz w:val="24"/>
                <w:szCs w:val="24"/>
              </w:rPr>
              <w:t xml:space="preserve"> - Weighted Average of All Industries</w:t>
            </w:r>
          </w:p>
          <w:p w14:paraId="47631D78" w14:textId="614F76B8" w:rsidR="00B462DA" w:rsidRPr="00B462DA" w:rsidRDefault="00B462DA" w:rsidP="00B462DA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462DA">
              <w:rPr>
                <w:rFonts w:ascii="Arial" w:hAnsi="Arial" w:cs="Arial"/>
                <w:sz w:val="24"/>
                <w:szCs w:val="24"/>
              </w:rPr>
              <w:t>VA weights used for both GO calculations and VA calculations, different weights should be use for GO calcs</w:t>
            </w:r>
          </w:p>
          <w:p w14:paraId="06B817FA" w14:textId="0F405BF5" w:rsidR="0001052B" w:rsidRDefault="00A87891" w:rsidP="000105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could you </w:t>
            </w:r>
            <w:r w:rsidR="0001052B">
              <w:rPr>
                <w:rFonts w:ascii="Arial" w:hAnsi="Arial" w:cs="Arial"/>
                <w:sz w:val="24"/>
                <w:szCs w:val="24"/>
              </w:rPr>
              <w:t xml:space="preserve">provide </w:t>
            </w:r>
            <w:r w:rsidR="0001052B" w:rsidRPr="0001052B">
              <w:rPr>
                <w:rFonts w:ascii="Arial" w:hAnsi="Arial" w:cs="Arial"/>
                <w:sz w:val="24"/>
                <w:szCs w:val="24"/>
              </w:rPr>
              <w:t>[Draft] EU KLEMS 2019.xlsx - Version 3 (27/05/20)</w:t>
            </w:r>
            <w:r w:rsidR="0001052B">
              <w:rPr>
                <w:rFonts w:ascii="Arial" w:hAnsi="Arial" w:cs="Arial"/>
                <w:sz w:val="24"/>
                <w:szCs w:val="24"/>
              </w:rPr>
              <w:t xml:space="preserve"> referenced in the EUKLEMS input tab?</w:t>
            </w:r>
          </w:p>
          <w:p w14:paraId="71A11226" w14:textId="1BACBB61" w:rsidR="00B462DA" w:rsidRPr="001B21DC" w:rsidRDefault="00374E60" w:rsidP="000105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could you confirm if labour productivity is on a per work or per hour basis</w:t>
            </w:r>
            <w:r w:rsidR="00B462DA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73E21D8" w14:textId="2F60E3CF" w:rsidR="00A87891" w:rsidRPr="001B21DC" w:rsidRDefault="00A87891" w:rsidP="001B21D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2F1E" w:rsidRPr="00876240" w14:paraId="129DADC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C0D3DB6" w14:textId="26178B6C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3056FC5" w14:textId="481E0952" w:rsidR="00702F1E" w:rsidRDefault="00702F1E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702F1E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5886E4D7" w:rsidR="00702F1E" w:rsidRDefault="00702F1E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Dean Pearson, Economic Evaluation Lead, NGN</w:t>
            </w:r>
          </w:p>
        </w:tc>
      </w:tr>
      <w:tr w:rsidR="00702F1E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558FF9CF" w:rsidR="00702F1E" w:rsidRPr="00876240" w:rsidRDefault="00F3401A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18/08</w:t>
            </w:r>
            <w:r w:rsidR="00702F1E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702F1E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4BDD37A" w:rsidR="00702F1E" w:rsidRDefault="00F3401A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702F1E">
              <w:rPr>
                <w:rFonts w:ascii="Arial" w:hAnsi="Arial" w:cs="Arial"/>
                <w:sz w:val="24"/>
                <w:szCs w:val="24"/>
              </w:rPr>
              <w:t>/08/2020</w:t>
            </w:r>
          </w:p>
        </w:tc>
      </w:tr>
      <w:tr w:rsidR="00702F1E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09233173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262CAF84" w14:textId="0D056E67" w:rsidR="006B6DCE" w:rsidRDefault="006B6DCE" w:rsidP="00702F1E">
            <w:pPr>
              <w:rPr>
                <w:rFonts w:ascii="Arial" w:hAnsi="Arial" w:cs="Arial"/>
                <w:b/>
                <w:bCs/>
              </w:rPr>
            </w:pPr>
          </w:p>
          <w:p w14:paraId="24692209" w14:textId="27C966AA" w:rsidR="006B6DCE" w:rsidRDefault="006B6DCE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With reference to </w:t>
            </w:r>
            <w:r w:rsidRPr="00761804">
              <w:rPr>
                <w:rFonts w:ascii="Arial" w:hAnsi="Arial" w:cs="Arial"/>
                <w:sz w:val="24"/>
                <w:szCs w:val="24"/>
              </w:rPr>
              <w:t>Inp_NetworkOE_GD</w:t>
            </w:r>
          </w:p>
          <w:p w14:paraId="747452D5" w14:textId="3AB63E6E" w:rsidR="006B6DCE" w:rsidRDefault="00416105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C42A0F7" w14:textId="77777777" w:rsidR="00765C7F" w:rsidRPr="00765C7F" w:rsidRDefault="00765C7F" w:rsidP="00765C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5C7F">
              <w:rPr>
                <w:rFonts w:ascii="Arial" w:hAnsi="Arial" w:cs="Arial"/>
                <w:b/>
                <w:sz w:val="24"/>
                <w:szCs w:val="24"/>
              </w:rPr>
              <w:t>NGN Values not compounded unlike the other GDNs</w:t>
            </w:r>
          </w:p>
          <w:p w14:paraId="5369A64B" w14:textId="5E673E0E" w:rsidR="00765C7F" w:rsidRDefault="00765C7F" w:rsidP="00765C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(as per Cadent_DDQ_92)</w:t>
            </w:r>
          </w:p>
          <w:p w14:paraId="57629494" w14:textId="1FC47DB6" w:rsidR="00765C7F" w:rsidRDefault="00765C7F" w:rsidP="00765C7F">
            <w:pPr>
              <w:rPr>
                <w:rFonts w:ascii="Arial" w:hAnsi="Arial" w:cs="Arial"/>
                <w:sz w:val="24"/>
                <w:szCs w:val="24"/>
              </w:rPr>
            </w:pPr>
            <w:r w:rsidRPr="00C345F8">
              <w:rPr>
                <w:rFonts w:ascii="Arial" w:hAnsi="Arial" w:cs="Arial"/>
                <w:bCs/>
                <w:sz w:val="24"/>
                <w:szCs w:val="24"/>
              </w:rPr>
              <w:t xml:space="preserve">We have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used data provided by NGN in the BPDT which we agree has not been compounded. </w:t>
            </w:r>
            <w:r>
              <w:rPr>
                <w:rFonts w:ascii="Arial" w:hAnsi="Arial" w:cs="Arial"/>
                <w:sz w:val="24"/>
                <w:szCs w:val="24"/>
              </w:rPr>
              <w:t>We note it is appropriate that updated values (compounded) should be used for the FD in this calculation for NGN.</w:t>
            </w:r>
          </w:p>
          <w:p w14:paraId="50177D7E" w14:textId="36BAC30F" w:rsidR="00765C7F" w:rsidRDefault="00765C7F" w:rsidP="00765C7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have noted this as a data error in the log.</w:t>
            </w:r>
          </w:p>
          <w:p w14:paraId="35D9DB9C" w14:textId="77777777" w:rsidR="00765C7F" w:rsidRDefault="00765C7F" w:rsidP="00765C7F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7DA899A" w14:textId="77777777" w:rsidR="00765C7F" w:rsidRPr="00765C7F" w:rsidRDefault="00765C7F" w:rsidP="00765C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65C7F">
              <w:rPr>
                <w:rFonts w:ascii="Arial" w:hAnsi="Arial" w:cs="Arial"/>
                <w:b/>
                <w:sz w:val="24"/>
                <w:szCs w:val="24"/>
              </w:rPr>
              <w:t>CAGR values applied over 7 years but based on data from 5 years – should be consistent</w:t>
            </w:r>
          </w:p>
          <w:p w14:paraId="53E4BEDD" w14:textId="4637AB55" w:rsidR="00765C7F" w:rsidRDefault="00765C7F" w:rsidP="00765C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(as per Cadent_DDQ_98)</w:t>
            </w:r>
          </w:p>
          <w:p w14:paraId="28EE9F21" w14:textId="0AF1D591" w:rsidR="00F63320" w:rsidRDefault="00F63320" w:rsidP="00F63320">
            <w:pPr>
              <w:rPr>
                <w:rFonts w:ascii="Arial" w:hAnsi="Arial" w:cs="Arial"/>
                <w:sz w:val="24"/>
                <w:szCs w:val="24"/>
              </w:rPr>
            </w:pPr>
            <w:r w:rsidRPr="00D05D1B">
              <w:rPr>
                <w:rFonts w:ascii="Arial" w:hAnsi="Arial" w:cs="Arial"/>
                <w:bCs/>
                <w:sz w:val="24"/>
                <w:szCs w:val="24"/>
              </w:rPr>
              <w:t xml:space="preserve">The current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proposed </w:t>
            </w:r>
            <w:r w:rsidRPr="00D05D1B">
              <w:rPr>
                <w:rFonts w:ascii="Arial" w:hAnsi="Arial" w:cs="Arial"/>
                <w:bCs/>
                <w:sz w:val="24"/>
                <w:szCs w:val="24"/>
              </w:rPr>
              <w:t xml:space="preserve">calculation for embedded ongoing efficiency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calculates the </w:t>
            </w:r>
            <w:r>
              <w:rPr>
                <w:rFonts w:ascii="Arial" w:hAnsi="Arial" w:cs="Arial"/>
                <w:sz w:val="24"/>
                <w:szCs w:val="24"/>
              </w:rPr>
              <w:t xml:space="preserve">CAGR over the RIIO2 period. To estimate the starting position, the reference year 2021 </w:t>
            </w:r>
            <w:r w:rsidR="006B6DCE">
              <w:rPr>
                <w:rFonts w:ascii="Arial" w:hAnsi="Arial" w:cs="Arial"/>
                <w:sz w:val="24"/>
                <w:szCs w:val="24"/>
              </w:rPr>
              <w:t xml:space="preserve">(from the model) </w:t>
            </w:r>
            <w:r>
              <w:rPr>
                <w:rFonts w:ascii="Arial" w:hAnsi="Arial" w:cs="Arial"/>
                <w:sz w:val="24"/>
                <w:szCs w:val="24"/>
              </w:rPr>
              <w:t xml:space="preserve">should have been used. </w:t>
            </w:r>
          </w:p>
          <w:p w14:paraId="655B7473" w14:textId="379ED7FA" w:rsidR="00F63320" w:rsidRDefault="00F63320" w:rsidP="00F633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did not include any potential “front loading”, involving higher productivity assumptions in the </w:t>
            </w:r>
            <w:r w:rsidR="006B6DCE">
              <w:rPr>
                <w:rFonts w:ascii="Arial" w:hAnsi="Arial" w:cs="Arial"/>
                <w:sz w:val="24"/>
                <w:szCs w:val="24"/>
              </w:rPr>
              <w:t>remaining years of RIIO1</w:t>
            </w:r>
            <w:r>
              <w:rPr>
                <w:rFonts w:ascii="Arial" w:hAnsi="Arial" w:cs="Arial"/>
                <w:sz w:val="24"/>
                <w:szCs w:val="24"/>
              </w:rPr>
              <w:t>, nor believe they should be included as they relate to expenditure in RIIO1 (this may contribute to reducing catch up inefficiencies / over performance associated with the RIIO1 price control).</w:t>
            </w:r>
          </w:p>
          <w:p w14:paraId="008F5A37" w14:textId="7A9AD01F" w:rsidR="00F63320" w:rsidRDefault="00F63320" w:rsidP="00F6332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have taken a longer-term view of the </w:t>
            </w:r>
            <w:r w:rsidR="006B6DCE">
              <w:rPr>
                <w:rFonts w:ascii="Arial" w:hAnsi="Arial" w:cs="Arial"/>
                <w:sz w:val="24"/>
                <w:szCs w:val="24"/>
              </w:rPr>
              <w:t xml:space="preserve">average </w:t>
            </w:r>
            <w:r>
              <w:rPr>
                <w:rFonts w:ascii="Arial" w:hAnsi="Arial" w:cs="Arial"/>
                <w:sz w:val="24"/>
                <w:szCs w:val="24"/>
              </w:rPr>
              <w:t>embedded productivity gains estimated from our calculation and applied these to all years for RIIO-GD2</w:t>
            </w:r>
            <w:r w:rsidR="006B6DCE">
              <w:rPr>
                <w:rFonts w:ascii="Arial" w:hAnsi="Arial" w:cs="Arial"/>
                <w:sz w:val="24"/>
                <w:szCs w:val="24"/>
              </w:rPr>
              <w:t xml:space="preserve"> calculation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8B141D" w14:textId="77777777" w:rsidR="00702F1E" w:rsidRDefault="00702F1E" w:rsidP="00702F1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C8F7C12" w14:textId="77777777" w:rsidR="00E5222B" w:rsidRPr="00E5222B" w:rsidRDefault="00E5222B" w:rsidP="00E5222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222B">
              <w:rPr>
                <w:rFonts w:ascii="Arial" w:hAnsi="Arial" w:cs="Arial"/>
                <w:b/>
                <w:sz w:val="24"/>
                <w:szCs w:val="24"/>
              </w:rPr>
              <w:t>In Cal options tabs - Weighted Average of All Industries</w:t>
            </w:r>
          </w:p>
          <w:p w14:paraId="05D6BE0E" w14:textId="50A63C1B" w:rsidR="00E5222B" w:rsidRDefault="00E5222B" w:rsidP="00702F1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E5222B">
              <w:rPr>
                <w:rFonts w:ascii="Arial" w:hAnsi="Arial" w:cs="Arial"/>
                <w:bCs/>
                <w:sz w:val="24"/>
                <w:szCs w:val="24"/>
              </w:rPr>
              <w:t>VA weights used for both GO calculations and VA calculations, different weig</w:t>
            </w:r>
            <w:r>
              <w:rPr>
                <w:rFonts w:ascii="Arial" w:hAnsi="Arial" w:cs="Arial"/>
                <w:bCs/>
                <w:sz w:val="24"/>
                <w:szCs w:val="24"/>
              </w:rPr>
              <w:t>hts should be use for GO calcs.</w:t>
            </w:r>
            <w:r w:rsidRPr="00E5222B">
              <w:rPr>
                <w:rFonts w:ascii="Arial" w:hAnsi="Arial" w:cs="Arial"/>
                <w:bCs/>
                <w:sz w:val="24"/>
                <w:szCs w:val="24"/>
              </w:rPr>
              <w:t xml:space="preserve"> The weightings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are set out in Annex A.2 of the CEPA Frontier Shift report. In addition, please see files provided as attachments to NGN_DDQ_34.</w:t>
            </w:r>
            <w:bookmarkStart w:id="0" w:name="_GoBack"/>
            <w:bookmarkEnd w:id="0"/>
          </w:p>
          <w:p w14:paraId="373E21EF" w14:textId="7B8470DF" w:rsidR="00E5222B" w:rsidRPr="00E5222B" w:rsidRDefault="00E5222B" w:rsidP="00E5222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Please note </w:t>
            </w:r>
            <w:r w:rsidRPr="00E5222B">
              <w:rPr>
                <w:rFonts w:ascii="Arial" w:hAnsi="Arial" w:cs="Arial"/>
                <w:bCs/>
                <w:sz w:val="24"/>
                <w:szCs w:val="24"/>
              </w:rPr>
              <w:t>labour productivity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has been defined</w:t>
            </w:r>
            <w:r w:rsidRPr="00E5222B">
              <w:rPr>
                <w:rFonts w:ascii="Arial" w:hAnsi="Arial" w:cs="Arial"/>
                <w:bCs/>
                <w:sz w:val="24"/>
                <w:szCs w:val="24"/>
              </w:rPr>
              <w:t xml:space="preserve"> at constant capita</w:t>
            </w:r>
            <w:r>
              <w:rPr>
                <w:rFonts w:ascii="Arial" w:hAnsi="Arial" w:cs="Arial"/>
                <w:bCs/>
                <w:sz w:val="24"/>
                <w:szCs w:val="24"/>
              </w:rPr>
              <w:t>l using a</w:t>
            </w:r>
            <w:r w:rsidRPr="00E5222B">
              <w:rPr>
                <w:rFonts w:ascii="Arial" w:hAnsi="Arial" w:cs="Arial"/>
                <w:bCs/>
                <w:sz w:val="24"/>
                <w:szCs w:val="24"/>
              </w:rPr>
              <w:t xml:space="preserve"> standard formula as gTFP(VA) / (1 – share of K in VA), where K is defined as capital compensation. As the gTFP(VA) is calculated using hours worked (adjusted for quality), labour productivity at constant capital is on per hour basis rather than per work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702F1E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702F1E" w:rsidRPr="00876240" w:rsidRDefault="00702F1E" w:rsidP="00702F1E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871BB" w14:textId="77777777" w:rsidR="00AE60DF" w:rsidRDefault="00AE60DF" w:rsidP="00526623">
      <w:pPr>
        <w:spacing w:after="0" w:line="240" w:lineRule="auto"/>
      </w:pPr>
      <w:r>
        <w:separator/>
      </w:r>
    </w:p>
  </w:endnote>
  <w:endnote w:type="continuationSeparator" w:id="0">
    <w:p w14:paraId="31946A66" w14:textId="77777777" w:rsidR="00AE60DF" w:rsidRDefault="00AE60D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436BC" w14:textId="77777777" w:rsidR="00E5222B" w:rsidRDefault="00E522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E802D" w14:textId="77777777" w:rsidR="00E5222B" w:rsidRDefault="00E522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4CB4A" w14:textId="77777777" w:rsidR="00E5222B" w:rsidRDefault="00E522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0ABDE" w14:textId="77777777" w:rsidR="00AE60DF" w:rsidRDefault="00AE60DF" w:rsidP="00526623">
      <w:pPr>
        <w:spacing w:after="0" w:line="240" w:lineRule="auto"/>
      </w:pPr>
      <w:r>
        <w:separator/>
      </w:r>
    </w:p>
  </w:footnote>
  <w:footnote w:type="continuationSeparator" w:id="0">
    <w:p w14:paraId="7D1C76BE" w14:textId="77777777" w:rsidR="00AE60DF" w:rsidRDefault="00AE60DF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CC5F6" w14:textId="77777777" w:rsidR="00E5222B" w:rsidRDefault="00E522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F78E5" w14:textId="77777777" w:rsidR="00E5222B" w:rsidRDefault="00E522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0810E" w14:textId="77777777" w:rsidR="00E5222B" w:rsidRDefault="00E522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80993"/>
    <w:multiLevelType w:val="hybridMultilevel"/>
    <w:tmpl w:val="E4F65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C3CC4"/>
    <w:multiLevelType w:val="hybridMultilevel"/>
    <w:tmpl w:val="B47C9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D4C3F"/>
    <w:multiLevelType w:val="hybridMultilevel"/>
    <w:tmpl w:val="7458F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E5CB9"/>
    <w:multiLevelType w:val="hybridMultilevel"/>
    <w:tmpl w:val="E514BA9E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052B"/>
    <w:rsid w:val="00037F44"/>
    <w:rsid w:val="000436C2"/>
    <w:rsid w:val="00090251"/>
    <w:rsid w:val="000C3A79"/>
    <w:rsid w:val="000E7F25"/>
    <w:rsid w:val="000F1652"/>
    <w:rsid w:val="0010126C"/>
    <w:rsid w:val="0010696E"/>
    <w:rsid w:val="00107296"/>
    <w:rsid w:val="0012099A"/>
    <w:rsid w:val="00133BD9"/>
    <w:rsid w:val="00133CFC"/>
    <w:rsid w:val="00134C83"/>
    <w:rsid w:val="00137DC1"/>
    <w:rsid w:val="0017016C"/>
    <w:rsid w:val="00172809"/>
    <w:rsid w:val="001B21DC"/>
    <w:rsid w:val="001C3B55"/>
    <w:rsid w:val="001D5C0B"/>
    <w:rsid w:val="001D5F88"/>
    <w:rsid w:val="001D6793"/>
    <w:rsid w:val="001E129D"/>
    <w:rsid w:val="00206D5F"/>
    <w:rsid w:val="002276B7"/>
    <w:rsid w:val="00231D67"/>
    <w:rsid w:val="0024566D"/>
    <w:rsid w:val="00257F3E"/>
    <w:rsid w:val="002707B1"/>
    <w:rsid w:val="00291D51"/>
    <w:rsid w:val="0029657B"/>
    <w:rsid w:val="002A4AD8"/>
    <w:rsid w:val="002B4206"/>
    <w:rsid w:val="002B4955"/>
    <w:rsid w:val="003043A4"/>
    <w:rsid w:val="003452B0"/>
    <w:rsid w:val="00360385"/>
    <w:rsid w:val="0036578E"/>
    <w:rsid w:val="00372D1E"/>
    <w:rsid w:val="00374E60"/>
    <w:rsid w:val="003820EF"/>
    <w:rsid w:val="003B3576"/>
    <w:rsid w:val="003B7FC7"/>
    <w:rsid w:val="003E53F4"/>
    <w:rsid w:val="003F22F3"/>
    <w:rsid w:val="004145D1"/>
    <w:rsid w:val="00416105"/>
    <w:rsid w:val="004302F8"/>
    <w:rsid w:val="00453990"/>
    <w:rsid w:val="00471BC8"/>
    <w:rsid w:val="00476047"/>
    <w:rsid w:val="00502D9A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5F4035"/>
    <w:rsid w:val="0060723D"/>
    <w:rsid w:val="006279ED"/>
    <w:rsid w:val="006847DA"/>
    <w:rsid w:val="006B18F6"/>
    <w:rsid w:val="006B6DCE"/>
    <w:rsid w:val="006D2813"/>
    <w:rsid w:val="00702F1E"/>
    <w:rsid w:val="00712486"/>
    <w:rsid w:val="00716508"/>
    <w:rsid w:val="007400B7"/>
    <w:rsid w:val="00753976"/>
    <w:rsid w:val="00761804"/>
    <w:rsid w:val="007649AC"/>
    <w:rsid w:val="00765C7F"/>
    <w:rsid w:val="00773A9E"/>
    <w:rsid w:val="00783213"/>
    <w:rsid w:val="00796C90"/>
    <w:rsid w:val="007974DA"/>
    <w:rsid w:val="007B29A9"/>
    <w:rsid w:val="007B4F5B"/>
    <w:rsid w:val="007D7648"/>
    <w:rsid w:val="007E53E6"/>
    <w:rsid w:val="008170C7"/>
    <w:rsid w:val="00827199"/>
    <w:rsid w:val="0085400C"/>
    <w:rsid w:val="00877FE4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76F87"/>
    <w:rsid w:val="009B1F17"/>
    <w:rsid w:val="00A054D1"/>
    <w:rsid w:val="00A0584E"/>
    <w:rsid w:val="00A06191"/>
    <w:rsid w:val="00A16021"/>
    <w:rsid w:val="00A21D26"/>
    <w:rsid w:val="00A27E92"/>
    <w:rsid w:val="00A71151"/>
    <w:rsid w:val="00A87891"/>
    <w:rsid w:val="00A922CF"/>
    <w:rsid w:val="00AC6418"/>
    <w:rsid w:val="00AE60DF"/>
    <w:rsid w:val="00B31DCF"/>
    <w:rsid w:val="00B462DA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06370"/>
    <w:rsid w:val="00D50036"/>
    <w:rsid w:val="00D64A1A"/>
    <w:rsid w:val="00DB5106"/>
    <w:rsid w:val="00E040EA"/>
    <w:rsid w:val="00E5222B"/>
    <w:rsid w:val="00E525E0"/>
    <w:rsid w:val="00E60E79"/>
    <w:rsid w:val="00EB179A"/>
    <w:rsid w:val="00EB2613"/>
    <w:rsid w:val="00F00954"/>
    <w:rsid w:val="00F129C1"/>
    <w:rsid w:val="00F23B18"/>
    <w:rsid w:val="00F24B54"/>
    <w:rsid w:val="00F25926"/>
    <w:rsid w:val="00F3401A"/>
    <w:rsid w:val="00F63320"/>
    <w:rsid w:val="00F678C1"/>
    <w:rsid w:val="00F82AB4"/>
    <w:rsid w:val="00F92A99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C91543B8-931E-4BDF-8AEA-CAAB4BECAD2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444E95C-F013-4953-A925-1C7EE0C41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631298fc-6a88-4548-b7d9-3b164918c4a3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3328788-663B-4430-90A9-6CAF3879B6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441</Words>
  <Characters>2400</Characters>
  <Application>Microsoft Office Word</Application>
  <DocSecurity>0</DocSecurity>
  <Lines>80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Emma Christie</cp:lastModifiedBy>
  <cp:revision>5</cp:revision>
  <dcterms:created xsi:type="dcterms:W3CDTF">2020-08-20T16:30:00Z</dcterms:created>
  <dcterms:modified xsi:type="dcterms:W3CDTF">2020-09-08T14:52:00Z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f14d649a-ca55-4bf7-ad9a-9158977fff97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bjDocumentSecurityLabel">
    <vt:lpwstr>This item has no classification</vt:lpwstr>
  </property>
</Properties>
</file>