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4"/>
        <w:gridCol w:w="8442"/>
      </w:tblGrid>
      <w:tr w:rsidR="00133BD9" w:rsidRPr="00876240" w14:paraId="4E71B4D8"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4BD8924F"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05E6758A" w14:textId="77777777" w:rsidTr="00AC6418">
        <w:trPr>
          <w:trHeight w:val="315"/>
        </w:trPr>
        <w:tc>
          <w:tcPr>
            <w:tcW w:w="9674" w:type="dxa"/>
            <w:gridSpan w:val="2"/>
            <w:tcBorders>
              <w:top w:val="nil"/>
              <w:left w:val="nil"/>
              <w:right w:val="nil"/>
            </w:tcBorders>
            <w:shd w:val="clear" w:color="auto" w:fill="auto"/>
            <w:noWrap/>
            <w:vAlign w:val="center"/>
            <w:hideMark/>
          </w:tcPr>
          <w:p w14:paraId="7B339BA1"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45598BC3" w14:textId="77777777" w:rsidTr="00A0584E">
        <w:trPr>
          <w:trHeight w:val="614"/>
        </w:trPr>
        <w:tc>
          <w:tcPr>
            <w:tcW w:w="2283" w:type="dxa"/>
            <w:shd w:val="clear" w:color="auto" w:fill="auto"/>
            <w:vAlign w:val="center"/>
            <w:hideMark/>
          </w:tcPr>
          <w:p w14:paraId="7537E0F5"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7BBE0F30" w14:textId="77777777" w:rsidR="00133BD9" w:rsidRPr="00876240" w:rsidRDefault="001B0622" w:rsidP="002A7071">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2A7071">
              <w:rPr>
                <w:rFonts w:ascii="Arial" w:hAnsi="Arial" w:cs="Arial"/>
                <w:sz w:val="24"/>
                <w:szCs w:val="24"/>
              </w:rPr>
              <w:t>98</w:t>
            </w:r>
          </w:p>
        </w:tc>
      </w:tr>
      <w:tr w:rsidR="00A06191" w:rsidRPr="00876240" w14:paraId="4407F960" w14:textId="77777777" w:rsidTr="00AC6418">
        <w:trPr>
          <w:trHeight w:val="127"/>
        </w:trPr>
        <w:tc>
          <w:tcPr>
            <w:tcW w:w="2283" w:type="dxa"/>
            <w:shd w:val="clear" w:color="auto" w:fill="auto"/>
            <w:vAlign w:val="center"/>
          </w:tcPr>
          <w:p w14:paraId="1753A444"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7ED171CE" w14:textId="77777777" w:rsidR="00A06191" w:rsidRPr="00876240" w:rsidRDefault="00173DDD" w:rsidP="00A0584E">
            <w:pPr>
              <w:rPr>
                <w:rFonts w:ascii="Arial" w:hAnsi="Arial" w:cs="Arial"/>
                <w:sz w:val="24"/>
                <w:szCs w:val="24"/>
              </w:rPr>
            </w:pPr>
            <w:r>
              <w:rPr>
                <w:rFonts w:ascii="Arial" w:hAnsi="Arial" w:cs="Arial"/>
                <w:sz w:val="24"/>
                <w:szCs w:val="24"/>
              </w:rPr>
              <w:t>CADENT</w:t>
            </w:r>
          </w:p>
        </w:tc>
      </w:tr>
      <w:tr w:rsidR="00A06191" w:rsidRPr="00876240" w14:paraId="1850D5C8" w14:textId="77777777" w:rsidTr="00AC6418">
        <w:trPr>
          <w:trHeight w:val="127"/>
        </w:trPr>
        <w:tc>
          <w:tcPr>
            <w:tcW w:w="2283" w:type="dxa"/>
            <w:shd w:val="clear" w:color="auto" w:fill="auto"/>
            <w:vAlign w:val="center"/>
          </w:tcPr>
          <w:p w14:paraId="00F6B65D"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13BEC323" w14:textId="77777777" w:rsidR="00A06191" w:rsidRPr="00876240" w:rsidRDefault="00AC33BB" w:rsidP="00173DDD">
            <w:pPr>
              <w:rPr>
                <w:rFonts w:ascii="Arial" w:hAnsi="Arial" w:cs="Arial"/>
                <w:sz w:val="24"/>
                <w:szCs w:val="24"/>
              </w:rPr>
            </w:pPr>
            <w:r>
              <w:rPr>
                <w:rFonts w:ascii="Arial" w:hAnsi="Arial" w:cs="Arial"/>
                <w:sz w:val="24"/>
                <w:szCs w:val="24"/>
              </w:rPr>
              <w:t>Ongoing Efficiency</w:t>
            </w:r>
            <w:r w:rsidR="007B157B">
              <w:rPr>
                <w:rFonts w:ascii="Arial" w:hAnsi="Arial" w:cs="Arial"/>
                <w:sz w:val="24"/>
                <w:szCs w:val="24"/>
              </w:rPr>
              <w:t xml:space="preserve"> </w:t>
            </w:r>
            <w:r w:rsidR="007B6A43">
              <w:rPr>
                <w:rFonts w:ascii="Arial" w:hAnsi="Arial" w:cs="Arial"/>
                <w:sz w:val="24"/>
                <w:szCs w:val="24"/>
              </w:rPr>
              <w:t>Formula Error 3</w:t>
            </w:r>
          </w:p>
        </w:tc>
      </w:tr>
      <w:tr w:rsidR="00A06191" w:rsidRPr="00876240" w14:paraId="68E22B0F" w14:textId="77777777" w:rsidTr="00AC6418">
        <w:trPr>
          <w:trHeight w:val="127"/>
        </w:trPr>
        <w:tc>
          <w:tcPr>
            <w:tcW w:w="2283" w:type="dxa"/>
            <w:shd w:val="clear" w:color="auto" w:fill="auto"/>
            <w:vAlign w:val="center"/>
          </w:tcPr>
          <w:p w14:paraId="7026243F"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02496B21" w14:textId="77777777" w:rsidR="00861F76" w:rsidRDefault="00861F76" w:rsidP="00A92B02">
            <w:pPr>
              <w:rPr>
                <w:rFonts w:ascii="Arial" w:hAnsi="Arial" w:cs="Arial"/>
                <w:sz w:val="24"/>
                <w:szCs w:val="24"/>
              </w:rPr>
            </w:pPr>
          </w:p>
          <w:p w14:paraId="559F91F3" w14:textId="77777777" w:rsidR="00EC2445" w:rsidRDefault="00861F76" w:rsidP="00A92B02">
            <w:pPr>
              <w:rPr>
                <w:rFonts w:ascii="Arial" w:hAnsi="Arial" w:cs="Arial"/>
                <w:sz w:val="24"/>
                <w:szCs w:val="24"/>
              </w:rPr>
            </w:pPr>
            <w:r>
              <w:rPr>
                <w:rFonts w:ascii="Arial" w:hAnsi="Arial" w:cs="Arial"/>
                <w:sz w:val="24"/>
                <w:szCs w:val="24"/>
              </w:rPr>
              <w:t xml:space="preserve">This DDQ </w:t>
            </w:r>
            <w:r w:rsidR="00EC2445">
              <w:rPr>
                <w:rFonts w:ascii="Arial" w:hAnsi="Arial" w:cs="Arial"/>
                <w:sz w:val="24"/>
                <w:szCs w:val="24"/>
              </w:rPr>
              <w:t xml:space="preserve">follows  on to earlier </w:t>
            </w:r>
            <w:r>
              <w:rPr>
                <w:rFonts w:ascii="Arial" w:hAnsi="Arial" w:cs="Arial"/>
                <w:sz w:val="24"/>
                <w:szCs w:val="24"/>
              </w:rPr>
              <w:t>question</w:t>
            </w:r>
            <w:r w:rsidR="00EC2445">
              <w:rPr>
                <w:rFonts w:ascii="Arial" w:hAnsi="Arial" w:cs="Arial"/>
                <w:sz w:val="24"/>
                <w:szCs w:val="24"/>
              </w:rPr>
              <w:t>s</w:t>
            </w:r>
            <w:r>
              <w:rPr>
                <w:rFonts w:ascii="Arial" w:hAnsi="Arial" w:cs="Arial"/>
                <w:sz w:val="24"/>
                <w:szCs w:val="24"/>
              </w:rPr>
              <w:t xml:space="preserve"> </w:t>
            </w:r>
            <w:r w:rsidR="00682446">
              <w:rPr>
                <w:rFonts w:ascii="Arial" w:hAnsi="Arial" w:cs="Arial"/>
                <w:sz w:val="24"/>
                <w:szCs w:val="24"/>
              </w:rPr>
              <w:t xml:space="preserve">CADENT </w:t>
            </w:r>
            <w:r w:rsidR="00682446" w:rsidRPr="006279ED">
              <w:rPr>
                <w:rFonts w:ascii="Arial" w:hAnsi="Arial" w:cs="Arial"/>
                <w:sz w:val="24"/>
                <w:szCs w:val="24"/>
              </w:rPr>
              <w:t>_</w:t>
            </w:r>
            <w:r w:rsidR="00682446">
              <w:rPr>
                <w:rFonts w:ascii="Arial" w:hAnsi="Arial" w:cs="Arial"/>
                <w:sz w:val="24"/>
                <w:szCs w:val="24"/>
              </w:rPr>
              <w:t>DDQ_91</w:t>
            </w:r>
            <w:r w:rsidR="00EC2445">
              <w:rPr>
                <w:rFonts w:ascii="Arial" w:hAnsi="Arial" w:cs="Arial"/>
                <w:sz w:val="24"/>
                <w:szCs w:val="24"/>
              </w:rPr>
              <w:t xml:space="preserve"> and</w:t>
            </w:r>
            <w:r w:rsidR="00682446">
              <w:rPr>
                <w:rFonts w:ascii="Arial" w:hAnsi="Arial" w:cs="Arial"/>
                <w:sz w:val="24"/>
                <w:szCs w:val="24"/>
              </w:rPr>
              <w:t xml:space="preserve">, </w:t>
            </w:r>
            <w:r w:rsidR="00EC2445">
              <w:rPr>
                <w:rFonts w:ascii="Arial" w:hAnsi="Arial" w:cs="Arial"/>
                <w:sz w:val="24"/>
                <w:szCs w:val="24"/>
              </w:rPr>
              <w:t xml:space="preserve">CADENT </w:t>
            </w:r>
            <w:r w:rsidR="00EC2445" w:rsidRPr="006279ED">
              <w:rPr>
                <w:rFonts w:ascii="Arial" w:hAnsi="Arial" w:cs="Arial"/>
                <w:sz w:val="24"/>
                <w:szCs w:val="24"/>
              </w:rPr>
              <w:t>_</w:t>
            </w:r>
            <w:r w:rsidR="00EC2445">
              <w:rPr>
                <w:rFonts w:ascii="Arial" w:hAnsi="Arial" w:cs="Arial"/>
                <w:sz w:val="24"/>
                <w:szCs w:val="24"/>
              </w:rPr>
              <w:t>DDQ_9</w:t>
            </w:r>
            <w:r w:rsidR="00C72F0C">
              <w:rPr>
                <w:rFonts w:ascii="Arial" w:hAnsi="Arial" w:cs="Arial"/>
                <w:sz w:val="24"/>
                <w:szCs w:val="24"/>
              </w:rPr>
              <w:t>2</w:t>
            </w:r>
            <w:r w:rsidR="00EC2445">
              <w:rPr>
                <w:rFonts w:ascii="Arial" w:hAnsi="Arial" w:cs="Arial"/>
                <w:sz w:val="24"/>
                <w:szCs w:val="24"/>
              </w:rPr>
              <w:t xml:space="preserve">.   </w:t>
            </w:r>
            <w:r w:rsidR="00517F2F">
              <w:rPr>
                <w:rFonts w:ascii="Arial" w:hAnsi="Arial" w:cs="Arial"/>
                <w:sz w:val="24"/>
                <w:szCs w:val="24"/>
              </w:rPr>
              <w:t>As well as the formulae</w:t>
            </w:r>
            <w:r w:rsidR="00EC2445">
              <w:rPr>
                <w:rFonts w:ascii="Arial" w:hAnsi="Arial" w:cs="Arial"/>
                <w:sz w:val="24"/>
                <w:szCs w:val="24"/>
              </w:rPr>
              <w:t xml:space="preserve"> and data errors identified in these two questions we add a further formulae error.</w:t>
            </w:r>
          </w:p>
          <w:p w14:paraId="65AF03A0" w14:textId="77777777" w:rsidR="00EC2445" w:rsidRDefault="00EC2445" w:rsidP="00A92B02">
            <w:pPr>
              <w:rPr>
                <w:rFonts w:ascii="Arial" w:hAnsi="Arial" w:cs="Arial"/>
                <w:sz w:val="24"/>
                <w:szCs w:val="24"/>
              </w:rPr>
            </w:pPr>
            <w:r>
              <w:rPr>
                <w:rFonts w:ascii="Arial" w:hAnsi="Arial" w:cs="Arial"/>
                <w:sz w:val="24"/>
                <w:szCs w:val="24"/>
              </w:rPr>
              <w:t xml:space="preserve">The formulae used </w:t>
            </w:r>
            <w:proofErr w:type="spellStart"/>
            <w:r>
              <w:rPr>
                <w:rFonts w:ascii="Arial" w:hAnsi="Arial" w:cs="Arial"/>
                <w:sz w:val="24"/>
                <w:szCs w:val="24"/>
              </w:rPr>
              <w:t>is</w:t>
            </w:r>
            <w:proofErr w:type="spellEnd"/>
            <w:r>
              <w:rPr>
                <w:rFonts w:ascii="Arial" w:hAnsi="Arial" w:cs="Arial"/>
                <w:sz w:val="24"/>
                <w:szCs w:val="24"/>
              </w:rPr>
              <w:t xml:space="preserve"> calculating the CAGR, however this is under-estimating the value of the embedded ongoing efficiency, especially associated with </w:t>
            </w:r>
            <w:proofErr w:type="spellStart"/>
            <w:r>
              <w:rPr>
                <w:rFonts w:ascii="Arial" w:hAnsi="Arial" w:cs="Arial"/>
                <w:sz w:val="24"/>
                <w:szCs w:val="24"/>
              </w:rPr>
              <w:t>Cadent’s</w:t>
            </w:r>
            <w:proofErr w:type="spellEnd"/>
            <w:r>
              <w:rPr>
                <w:rFonts w:ascii="Arial" w:hAnsi="Arial" w:cs="Arial"/>
                <w:sz w:val="24"/>
                <w:szCs w:val="24"/>
              </w:rPr>
              <w:t xml:space="preserve"> embedded cost efficiencies associated with our current transformation programme.</w:t>
            </w:r>
          </w:p>
          <w:p w14:paraId="062AF4A2" w14:textId="77777777" w:rsidR="00F13634" w:rsidRDefault="00F13634" w:rsidP="00A92B02">
            <w:pPr>
              <w:rPr>
                <w:rFonts w:ascii="Arial" w:hAnsi="Arial" w:cs="Arial"/>
                <w:sz w:val="24"/>
                <w:szCs w:val="24"/>
              </w:rPr>
            </w:pPr>
            <w:r>
              <w:rPr>
                <w:rFonts w:ascii="Arial" w:hAnsi="Arial" w:cs="Arial"/>
                <w:sz w:val="24"/>
                <w:szCs w:val="24"/>
              </w:rPr>
              <w:t>CAGR ignores the fact that overall Average Embedded Efficiencies are front loaded, i.e. higher productivity assumptions in years 2019/20 to 2021/22.</w:t>
            </w:r>
          </w:p>
          <w:p w14:paraId="38F7A6B8" w14:textId="77777777" w:rsidR="00F13634" w:rsidRDefault="00F13634" w:rsidP="00A92B02">
            <w:pPr>
              <w:rPr>
                <w:rFonts w:ascii="Arial" w:hAnsi="Arial" w:cs="Arial"/>
                <w:sz w:val="24"/>
                <w:szCs w:val="24"/>
              </w:rPr>
            </w:pPr>
            <w:r>
              <w:rPr>
                <w:rFonts w:ascii="Arial" w:hAnsi="Arial" w:cs="Arial"/>
                <w:sz w:val="24"/>
                <w:szCs w:val="24"/>
              </w:rPr>
              <w:t xml:space="preserve">The following graphic </w:t>
            </w:r>
            <w:r w:rsidR="00606E31">
              <w:rPr>
                <w:rFonts w:ascii="Arial" w:hAnsi="Arial" w:cs="Arial"/>
                <w:sz w:val="24"/>
                <w:szCs w:val="24"/>
              </w:rPr>
              <w:t xml:space="preserve">and table </w:t>
            </w:r>
            <w:r>
              <w:rPr>
                <w:rFonts w:ascii="Arial" w:hAnsi="Arial" w:cs="Arial"/>
                <w:sz w:val="24"/>
                <w:szCs w:val="24"/>
              </w:rPr>
              <w:t xml:space="preserve">for </w:t>
            </w:r>
            <w:r w:rsidR="004B6CEF">
              <w:rPr>
                <w:rFonts w:ascii="Arial" w:hAnsi="Arial" w:cs="Arial"/>
                <w:sz w:val="24"/>
                <w:szCs w:val="24"/>
              </w:rPr>
              <w:t>Opex-Direct illustrates this</w:t>
            </w:r>
            <w:r w:rsidR="00606E31">
              <w:rPr>
                <w:rFonts w:ascii="Arial" w:hAnsi="Arial" w:cs="Arial"/>
                <w:sz w:val="24"/>
                <w:szCs w:val="24"/>
              </w:rPr>
              <w:t>, with the under estimate amounting to 1.1%</w:t>
            </w:r>
            <w:r w:rsidR="004B6CEF">
              <w:rPr>
                <w:rFonts w:ascii="Arial" w:hAnsi="Arial" w:cs="Arial"/>
                <w:sz w:val="24"/>
                <w:szCs w:val="24"/>
              </w:rPr>
              <w:t xml:space="preserve">: </w:t>
            </w:r>
          </w:p>
          <w:p w14:paraId="0FC3BFB5" w14:textId="77777777" w:rsidR="004B6CEF" w:rsidRDefault="008153E7" w:rsidP="00606E31">
            <w:pPr>
              <w:jc w:val="center"/>
              <w:rPr>
                <w:rFonts w:ascii="Arial" w:hAnsi="Arial" w:cs="Arial"/>
                <w:sz w:val="24"/>
                <w:szCs w:val="24"/>
              </w:rPr>
            </w:pPr>
            <w:r>
              <w:rPr>
                <w:rFonts w:ascii="Arial" w:hAnsi="Arial" w:cs="Arial"/>
                <w:noProof/>
                <w:sz w:val="24"/>
                <w:szCs w:val="24"/>
                <w:lang w:eastAsia="en-GB"/>
              </w:rPr>
              <w:drawing>
                <wp:inline distT="0" distB="0" distL="0" distR="0" wp14:anchorId="6F6E685D" wp14:editId="79A6A2DB">
                  <wp:extent cx="4055713" cy="2300287"/>
                  <wp:effectExtent l="0" t="0" r="254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83873" cy="2316259"/>
                          </a:xfrm>
                          <a:prstGeom prst="rect">
                            <a:avLst/>
                          </a:prstGeom>
                          <a:noFill/>
                        </pic:spPr>
                      </pic:pic>
                    </a:graphicData>
                  </a:graphic>
                </wp:inline>
              </w:drawing>
            </w:r>
          </w:p>
          <w:p w14:paraId="639E3494" w14:textId="77777777" w:rsidR="00E772C8" w:rsidRDefault="00606E31" w:rsidP="000246EF">
            <w:pPr>
              <w:rPr>
                <w:rFonts w:ascii="Arial" w:hAnsi="Arial" w:cs="Arial"/>
                <w:b/>
                <w:sz w:val="24"/>
                <w:szCs w:val="24"/>
              </w:rPr>
            </w:pPr>
            <w:r>
              <w:rPr>
                <w:rFonts w:ascii="Arial" w:hAnsi="Arial" w:cs="Arial"/>
                <w:noProof/>
                <w:sz w:val="24"/>
                <w:szCs w:val="24"/>
                <w:lang w:eastAsia="en-GB"/>
              </w:rPr>
              <w:drawing>
                <wp:inline distT="0" distB="0" distL="0" distR="0" wp14:anchorId="08C29B21" wp14:editId="2CC6064C">
                  <wp:extent cx="5223828" cy="89942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98389" cy="912265"/>
                          </a:xfrm>
                          <a:prstGeom prst="rect">
                            <a:avLst/>
                          </a:prstGeom>
                          <a:noFill/>
                        </pic:spPr>
                      </pic:pic>
                    </a:graphicData>
                  </a:graphic>
                </wp:inline>
              </w:drawing>
            </w:r>
          </w:p>
          <w:p w14:paraId="475409F3" w14:textId="77777777" w:rsidR="00E772C8" w:rsidRDefault="00E772C8" w:rsidP="000246EF">
            <w:pPr>
              <w:rPr>
                <w:rFonts w:ascii="Arial" w:hAnsi="Arial" w:cs="Arial"/>
                <w:b/>
                <w:sz w:val="24"/>
                <w:szCs w:val="24"/>
              </w:rPr>
            </w:pPr>
          </w:p>
          <w:p w14:paraId="7E0E969A" w14:textId="77777777" w:rsidR="00E772C8" w:rsidRDefault="00E772C8" w:rsidP="000246EF">
            <w:pPr>
              <w:rPr>
                <w:rFonts w:ascii="Arial" w:hAnsi="Arial" w:cs="Arial"/>
                <w:sz w:val="24"/>
                <w:szCs w:val="24"/>
              </w:rPr>
            </w:pPr>
          </w:p>
          <w:p w14:paraId="10B47E4B" w14:textId="77777777" w:rsidR="00E772C8" w:rsidRDefault="00E772C8" w:rsidP="000246EF">
            <w:pPr>
              <w:rPr>
                <w:rFonts w:ascii="Arial" w:hAnsi="Arial" w:cs="Arial"/>
                <w:sz w:val="24"/>
                <w:szCs w:val="24"/>
              </w:rPr>
            </w:pPr>
            <w:r>
              <w:rPr>
                <w:rFonts w:ascii="Arial" w:hAnsi="Arial" w:cs="Arial"/>
                <w:sz w:val="24"/>
                <w:szCs w:val="24"/>
              </w:rPr>
              <w:t xml:space="preserve">Note on above – it takes the DD file data, </w:t>
            </w:r>
            <w:proofErr w:type="spellStart"/>
            <w:r>
              <w:rPr>
                <w:rFonts w:ascii="Arial" w:hAnsi="Arial" w:cs="Arial"/>
                <w:sz w:val="24"/>
                <w:szCs w:val="24"/>
              </w:rPr>
              <w:t>ie</w:t>
            </w:r>
            <w:proofErr w:type="spellEnd"/>
            <w:r>
              <w:rPr>
                <w:rFonts w:ascii="Arial" w:hAnsi="Arial" w:cs="Arial"/>
                <w:sz w:val="24"/>
                <w:szCs w:val="24"/>
              </w:rPr>
              <w:t xml:space="preserve"> the invalid NGN and Cadent figures, hence the spike up in 2019/20, correcting the data still gives the under-estimating.</w:t>
            </w:r>
          </w:p>
          <w:p w14:paraId="775DCFE5" w14:textId="77777777" w:rsidR="00E772C8" w:rsidRPr="00E772C8" w:rsidRDefault="00E772C8" w:rsidP="000246EF">
            <w:pPr>
              <w:rPr>
                <w:rFonts w:ascii="Arial" w:hAnsi="Arial" w:cs="Arial"/>
                <w:sz w:val="24"/>
                <w:szCs w:val="24"/>
              </w:rPr>
            </w:pPr>
            <w:r w:rsidRPr="00E772C8">
              <w:rPr>
                <w:rFonts w:ascii="Arial" w:hAnsi="Arial" w:cs="Arial"/>
                <w:sz w:val="24"/>
                <w:szCs w:val="24"/>
              </w:rPr>
              <w:t>In addition</w:t>
            </w:r>
            <w:r>
              <w:rPr>
                <w:rFonts w:ascii="Arial" w:hAnsi="Arial" w:cs="Arial"/>
                <w:sz w:val="24"/>
                <w:szCs w:val="24"/>
              </w:rPr>
              <w:t>,</w:t>
            </w:r>
            <w:r w:rsidRPr="00E772C8">
              <w:rPr>
                <w:rFonts w:ascii="Arial" w:hAnsi="Arial" w:cs="Arial"/>
                <w:sz w:val="24"/>
                <w:szCs w:val="24"/>
              </w:rPr>
              <w:t xml:space="preserve"> we would assert that a further adjustment should be taken into account to account for time value of money.</w:t>
            </w:r>
          </w:p>
          <w:p w14:paraId="64FD7D6C" w14:textId="77777777" w:rsidR="000246EF" w:rsidRPr="00606E31" w:rsidRDefault="00606E31" w:rsidP="000246EF">
            <w:pPr>
              <w:rPr>
                <w:rFonts w:ascii="Arial" w:hAnsi="Arial" w:cs="Arial"/>
                <w:sz w:val="24"/>
                <w:szCs w:val="24"/>
              </w:rPr>
            </w:pPr>
            <w:r>
              <w:rPr>
                <w:rFonts w:ascii="Arial" w:hAnsi="Arial" w:cs="Arial"/>
                <w:b/>
                <w:sz w:val="24"/>
                <w:szCs w:val="24"/>
              </w:rPr>
              <w:t>C</w:t>
            </w:r>
            <w:r w:rsidR="000246EF" w:rsidRPr="000246EF">
              <w:rPr>
                <w:rFonts w:ascii="Arial" w:hAnsi="Arial" w:cs="Arial"/>
                <w:b/>
                <w:sz w:val="24"/>
                <w:szCs w:val="24"/>
              </w:rPr>
              <w:t>an you please confirm th</w:t>
            </w:r>
            <w:r w:rsidR="006D612A">
              <w:rPr>
                <w:rFonts w:ascii="Arial" w:hAnsi="Arial" w:cs="Arial"/>
                <w:b/>
                <w:sz w:val="24"/>
                <w:szCs w:val="24"/>
              </w:rPr>
              <w:t>at this e</w:t>
            </w:r>
            <w:r w:rsidR="000246EF" w:rsidRPr="000246EF">
              <w:rPr>
                <w:rFonts w:ascii="Arial" w:hAnsi="Arial" w:cs="Arial"/>
                <w:b/>
                <w:sz w:val="24"/>
                <w:szCs w:val="24"/>
              </w:rPr>
              <w:t>rror</w:t>
            </w:r>
            <w:r w:rsidR="006D612A">
              <w:rPr>
                <w:rFonts w:ascii="Arial" w:hAnsi="Arial" w:cs="Arial"/>
                <w:b/>
                <w:sz w:val="24"/>
                <w:szCs w:val="24"/>
              </w:rPr>
              <w:t xml:space="preserve"> will be corrected</w:t>
            </w:r>
            <w:r w:rsidR="00E772C8">
              <w:rPr>
                <w:rFonts w:ascii="Arial" w:hAnsi="Arial" w:cs="Arial"/>
                <w:b/>
                <w:sz w:val="24"/>
                <w:szCs w:val="24"/>
              </w:rPr>
              <w:t xml:space="preserve"> and that time value of money should also be factored in.</w:t>
            </w:r>
          </w:p>
          <w:p w14:paraId="6BC1948A" w14:textId="77777777" w:rsidR="00517F2F" w:rsidRDefault="00517F2F" w:rsidP="00517F2F">
            <w:pPr>
              <w:ind w:left="337" w:hanging="283"/>
              <w:rPr>
                <w:rFonts w:ascii="Arial" w:hAnsi="Arial" w:cs="Arial"/>
                <w:sz w:val="24"/>
                <w:szCs w:val="24"/>
              </w:rPr>
            </w:pPr>
          </w:p>
          <w:p w14:paraId="7C6C5915" w14:textId="77777777" w:rsidR="006D612A" w:rsidRDefault="006D612A" w:rsidP="006D612A">
            <w:pPr>
              <w:jc w:val="right"/>
              <w:rPr>
                <w:rFonts w:ascii="Arial" w:hAnsi="Arial" w:cs="Arial"/>
                <w:b/>
                <w:sz w:val="24"/>
                <w:szCs w:val="24"/>
              </w:rPr>
            </w:pPr>
          </w:p>
          <w:p w14:paraId="63A26AA5" w14:textId="77777777" w:rsidR="00504295" w:rsidRPr="00876240" w:rsidRDefault="00504295" w:rsidP="00EC2445">
            <w:pPr>
              <w:rPr>
                <w:rFonts w:ascii="Arial" w:hAnsi="Arial" w:cs="Arial"/>
                <w:sz w:val="24"/>
                <w:szCs w:val="24"/>
              </w:rPr>
            </w:pPr>
          </w:p>
        </w:tc>
      </w:tr>
      <w:tr w:rsidR="007D4FD3" w:rsidRPr="00876240" w14:paraId="001CE219" w14:textId="77777777" w:rsidTr="00AC6418">
        <w:trPr>
          <w:trHeight w:val="127"/>
        </w:trPr>
        <w:tc>
          <w:tcPr>
            <w:tcW w:w="2283" w:type="dxa"/>
            <w:shd w:val="clear" w:color="auto" w:fill="auto"/>
            <w:vAlign w:val="center"/>
          </w:tcPr>
          <w:p w14:paraId="479AC699" w14:textId="77777777"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17C1C7DB" w14:textId="77777777" w:rsidR="007D4FD3" w:rsidRDefault="00173DDD" w:rsidP="00173DDD">
            <w:pPr>
              <w:rPr>
                <w:rFonts w:ascii="Arial" w:hAnsi="Arial" w:cs="Arial"/>
                <w:sz w:val="24"/>
                <w:szCs w:val="24"/>
              </w:rPr>
            </w:pPr>
            <w:r>
              <w:rPr>
                <w:rFonts w:ascii="Arial" w:hAnsi="Arial" w:cs="Arial"/>
                <w:sz w:val="24"/>
                <w:szCs w:val="24"/>
              </w:rPr>
              <w:t>No</w:t>
            </w:r>
          </w:p>
        </w:tc>
      </w:tr>
      <w:tr w:rsidR="00947682" w:rsidRPr="00876240" w14:paraId="5786E307" w14:textId="77777777" w:rsidTr="00AC6418">
        <w:trPr>
          <w:trHeight w:val="127"/>
        </w:trPr>
        <w:tc>
          <w:tcPr>
            <w:tcW w:w="2283" w:type="dxa"/>
            <w:shd w:val="clear" w:color="auto" w:fill="auto"/>
            <w:vAlign w:val="center"/>
          </w:tcPr>
          <w:p w14:paraId="6F1A7BC5" w14:textId="77777777" w:rsidR="00947682" w:rsidRDefault="00947682" w:rsidP="00947682">
            <w:pPr>
              <w:rPr>
                <w:rFonts w:ascii="Arial" w:hAnsi="Arial" w:cs="Arial"/>
                <w:b/>
                <w:bCs/>
              </w:rPr>
            </w:pPr>
            <w:r>
              <w:rPr>
                <w:rFonts w:ascii="Arial" w:hAnsi="Arial" w:cs="Arial"/>
                <w:b/>
                <w:bCs/>
              </w:rPr>
              <w:lastRenderedPageBreak/>
              <w:t xml:space="preserve">DDQ raised by </w:t>
            </w:r>
          </w:p>
        </w:tc>
        <w:tc>
          <w:tcPr>
            <w:tcW w:w="7391" w:type="dxa"/>
            <w:shd w:val="clear" w:color="auto" w:fill="auto"/>
            <w:vAlign w:val="center"/>
          </w:tcPr>
          <w:p w14:paraId="660B3897" w14:textId="77777777" w:rsidR="00947682" w:rsidRDefault="00835393" w:rsidP="00947682">
            <w:pPr>
              <w:rPr>
                <w:rFonts w:ascii="Arial" w:hAnsi="Arial" w:cs="Arial"/>
                <w:sz w:val="24"/>
                <w:szCs w:val="24"/>
              </w:rPr>
            </w:pPr>
            <w:r>
              <w:rPr>
                <w:rFonts w:ascii="Arial" w:hAnsi="Arial" w:cs="Arial"/>
                <w:sz w:val="24"/>
                <w:szCs w:val="24"/>
              </w:rPr>
              <w:t>Adrian Swift</w:t>
            </w:r>
          </w:p>
        </w:tc>
      </w:tr>
      <w:tr w:rsidR="00A06191" w:rsidRPr="00876240" w14:paraId="301CB55B" w14:textId="77777777" w:rsidTr="00AC6418">
        <w:trPr>
          <w:trHeight w:val="127"/>
        </w:trPr>
        <w:tc>
          <w:tcPr>
            <w:tcW w:w="2283" w:type="dxa"/>
            <w:shd w:val="clear" w:color="auto" w:fill="auto"/>
            <w:vAlign w:val="center"/>
          </w:tcPr>
          <w:p w14:paraId="6CC06C24"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2D0190CC" w14:textId="77777777" w:rsidR="00F82AB4" w:rsidRPr="00876240" w:rsidRDefault="004E0CD9" w:rsidP="00504295">
            <w:pPr>
              <w:rPr>
                <w:rFonts w:ascii="Arial" w:hAnsi="Arial" w:cs="Arial"/>
                <w:sz w:val="24"/>
                <w:szCs w:val="24"/>
              </w:rPr>
            </w:pPr>
            <w:r>
              <w:rPr>
                <w:rFonts w:ascii="Arial" w:hAnsi="Arial" w:cs="Arial"/>
                <w:sz w:val="24"/>
                <w:szCs w:val="24"/>
              </w:rPr>
              <w:t>1</w:t>
            </w:r>
            <w:r w:rsidR="00EC2445">
              <w:rPr>
                <w:rFonts w:ascii="Arial" w:hAnsi="Arial" w:cs="Arial"/>
                <w:sz w:val="24"/>
                <w:szCs w:val="24"/>
              </w:rPr>
              <w:t>4</w:t>
            </w:r>
            <w:r w:rsidR="00173DDD">
              <w:rPr>
                <w:rFonts w:ascii="Arial" w:hAnsi="Arial" w:cs="Arial"/>
                <w:sz w:val="24"/>
                <w:szCs w:val="24"/>
              </w:rPr>
              <w:t>/08</w:t>
            </w:r>
            <w:r w:rsidR="00CF22EF">
              <w:rPr>
                <w:rFonts w:ascii="Arial" w:hAnsi="Arial" w:cs="Arial"/>
                <w:sz w:val="24"/>
                <w:szCs w:val="24"/>
              </w:rPr>
              <w:t>/</w:t>
            </w:r>
            <w:r w:rsidR="00937BF5">
              <w:rPr>
                <w:rFonts w:ascii="Arial" w:hAnsi="Arial" w:cs="Arial"/>
                <w:sz w:val="24"/>
                <w:szCs w:val="24"/>
              </w:rPr>
              <w:t>2020</w:t>
            </w:r>
          </w:p>
        </w:tc>
      </w:tr>
      <w:tr w:rsidR="00F24B54" w:rsidRPr="00876240" w14:paraId="64A02D80" w14:textId="77777777" w:rsidTr="00AC6418">
        <w:trPr>
          <w:trHeight w:val="127"/>
        </w:trPr>
        <w:tc>
          <w:tcPr>
            <w:tcW w:w="2283" w:type="dxa"/>
            <w:shd w:val="clear" w:color="auto" w:fill="auto"/>
            <w:vAlign w:val="center"/>
          </w:tcPr>
          <w:p w14:paraId="58663654"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643F1F49" w14:textId="77777777" w:rsidR="00F24B54" w:rsidRDefault="00517F2F" w:rsidP="00F24B54">
            <w:pPr>
              <w:rPr>
                <w:rFonts w:ascii="Arial" w:hAnsi="Arial" w:cs="Arial"/>
                <w:sz w:val="24"/>
                <w:szCs w:val="24"/>
              </w:rPr>
            </w:pPr>
            <w:r>
              <w:rPr>
                <w:rFonts w:ascii="Arial" w:hAnsi="Arial" w:cs="Arial"/>
                <w:sz w:val="24"/>
                <w:szCs w:val="24"/>
              </w:rPr>
              <w:t>2</w:t>
            </w:r>
            <w:r w:rsidR="00EC2445">
              <w:rPr>
                <w:rFonts w:ascii="Arial" w:hAnsi="Arial" w:cs="Arial"/>
                <w:sz w:val="24"/>
                <w:szCs w:val="24"/>
              </w:rPr>
              <w:t>1</w:t>
            </w:r>
            <w:r w:rsidR="00173DDD">
              <w:rPr>
                <w:rFonts w:ascii="Arial" w:hAnsi="Arial" w:cs="Arial"/>
                <w:sz w:val="24"/>
                <w:szCs w:val="24"/>
              </w:rPr>
              <w:t>/08</w:t>
            </w:r>
            <w:r w:rsidR="00F24B54">
              <w:rPr>
                <w:rFonts w:ascii="Arial" w:hAnsi="Arial" w:cs="Arial"/>
                <w:sz w:val="24"/>
                <w:szCs w:val="24"/>
              </w:rPr>
              <w:t>/2020</w:t>
            </w:r>
          </w:p>
        </w:tc>
      </w:tr>
      <w:tr w:rsidR="00F24B54" w:rsidRPr="00876240" w14:paraId="3173C589" w14:textId="77777777" w:rsidTr="00A0584E">
        <w:trPr>
          <w:trHeight w:val="1978"/>
        </w:trPr>
        <w:tc>
          <w:tcPr>
            <w:tcW w:w="9674" w:type="dxa"/>
            <w:gridSpan w:val="2"/>
            <w:shd w:val="clear" w:color="auto" w:fill="auto"/>
            <w:vAlign w:val="center"/>
            <w:hideMark/>
          </w:tcPr>
          <w:p w14:paraId="6FFE7C9C"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46E69BA4" w14:textId="77777777" w:rsidR="00041EEC" w:rsidRDefault="00041EEC" w:rsidP="00041EEC">
            <w:pPr>
              <w:rPr>
                <w:rFonts w:ascii="Arial" w:hAnsi="Arial" w:cs="Arial"/>
                <w:sz w:val="24"/>
                <w:szCs w:val="24"/>
              </w:rPr>
            </w:pPr>
            <w:r w:rsidRPr="00D05D1B">
              <w:rPr>
                <w:rFonts w:ascii="Arial" w:hAnsi="Arial" w:cs="Arial"/>
                <w:bCs/>
                <w:sz w:val="24"/>
                <w:szCs w:val="24"/>
              </w:rPr>
              <w:t xml:space="preserve">The current </w:t>
            </w:r>
            <w:r>
              <w:rPr>
                <w:rFonts w:ascii="Arial" w:hAnsi="Arial" w:cs="Arial"/>
                <w:bCs/>
                <w:sz w:val="24"/>
                <w:szCs w:val="24"/>
              </w:rPr>
              <w:t xml:space="preserve">proposed </w:t>
            </w:r>
            <w:r w:rsidRPr="00D05D1B">
              <w:rPr>
                <w:rFonts w:ascii="Arial" w:hAnsi="Arial" w:cs="Arial"/>
                <w:bCs/>
                <w:sz w:val="24"/>
                <w:szCs w:val="24"/>
              </w:rPr>
              <w:t xml:space="preserve">calculation for embedded ongoing efficiency </w:t>
            </w:r>
            <w:r>
              <w:rPr>
                <w:rFonts w:ascii="Arial" w:hAnsi="Arial" w:cs="Arial"/>
                <w:bCs/>
                <w:sz w:val="24"/>
                <w:szCs w:val="24"/>
              </w:rPr>
              <w:t xml:space="preserve">calculates the </w:t>
            </w:r>
            <w:r>
              <w:rPr>
                <w:rFonts w:ascii="Arial" w:hAnsi="Arial" w:cs="Arial"/>
                <w:sz w:val="24"/>
                <w:szCs w:val="24"/>
              </w:rPr>
              <w:t xml:space="preserve">CAGR over the RIIO2 period. To estimate the starting position, the reference year 2021 (from the model) should have been used. </w:t>
            </w:r>
          </w:p>
          <w:p w14:paraId="17EDAD0F" w14:textId="77777777" w:rsidR="00041EEC" w:rsidRDefault="00041EEC" w:rsidP="00041EEC">
            <w:pPr>
              <w:rPr>
                <w:rFonts w:ascii="Arial" w:hAnsi="Arial" w:cs="Arial"/>
                <w:sz w:val="24"/>
                <w:szCs w:val="24"/>
              </w:rPr>
            </w:pPr>
            <w:r>
              <w:rPr>
                <w:rFonts w:ascii="Arial" w:hAnsi="Arial" w:cs="Arial"/>
                <w:sz w:val="24"/>
                <w:szCs w:val="24"/>
              </w:rPr>
              <w:t>We did not include any potential “front loading”, involving higher productivity assumptions in the remaining years of RIIO1, nor believe they should be included as they relate to expenditure in RIIO1 (this may contribute to reducing catch up inefficiencies / over performance associated with the RIIO1 price control).</w:t>
            </w:r>
          </w:p>
          <w:p w14:paraId="1414E10F" w14:textId="77777777" w:rsidR="00041EEC" w:rsidRDefault="00041EEC" w:rsidP="00041EEC">
            <w:pPr>
              <w:rPr>
                <w:rFonts w:ascii="Arial" w:hAnsi="Arial" w:cs="Arial"/>
                <w:sz w:val="24"/>
                <w:szCs w:val="24"/>
              </w:rPr>
            </w:pPr>
            <w:r>
              <w:rPr>
                <w:rFonts w:ascii="Arial" w:hAnsi="Arial" w:cs="Arial"/>
                <w:sz w:val="24"/>
                <w:szCs w:val="24"/>
              </w:rPr>
              <w:t>We have taken a longer-term view of the average embedded productivity gains estimated from our calculation and applied these to all years for RIIO-GD2 calculation.</w:t>
            </w:r>
          </w:p>
          <w:p w14:paraId="6297BF81" w14:textId="77777777" w:rsidR="00014D38" w:rsidRDefault="00014D38" w:rsidP="00D05D1B">
            <w:pPr>
              <w:rPr>
                <w:rFonts w:ascii="Arial" w:hAnsi="Arial" w:cs="Arial"/>
                <w:sz w:val="24"/>
                <w:szCs w:val="24"/>
              </w:rPr>
            </w:pPr>
            <w:bookmarkStart w:id="0" w:name="_GoBack"/>
            <w:bookmarkEnd w:id="0"/>
          </w:p>
          <w:p w14:paraId="10FF6935" w14:textId="569DB24D" w:rsidR="00F24B54" w:rsidRPr="00D05D1B" w:rsidRDefault="00F24B54" w:rsidP="00F24B54">
            <w:pPr>
              <w:rPr>
                <w:rFonts w:ascii="Arial" w:hAnsi="Arial" w:cs="Arial"/>
                <w:bCs/>
                <w:sz w:val="24"/>
                <w:szCs w:val="24"/>
              </w:rPr>
            </w:pPr>
          </w:p>
        </w:tc>
      </w:tr>
      <w:tr w:rsidR="00F24B54" w:rsidRPr="00876240" w14:paraId="2FCAD5D2" w14:textId="77777777" w:rsidTr="00A0584E">
        <w:trPr>
          <w:trHeight w:val="2226"/>
        </w:trPr>
        <w:tc>
          <w:tcPr>
            <w:tcW w:w="9674" w:type="dxa"/>
            <w:gridSpan w:val="2"/>
            <w:shd w:val="clear" w:color="auto" w:fill="auto"/>
            <w:noWrap/>
            <w:vAlign w:val="center"/>
            <w:hideMark/>
          </w:tcPr>
          <w:p w14:paraId="416DE3D9"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bookmarkStart w:id="1" w:name="_MON_1658662793"/>
            <w:bookmarkEnd w:id="1"/>
            <w:r w:rsidR="00ED5FAA">
              <w:rPr>
                <w:rFonts w:ascii="Arial" w:hAnsi="Arial" w:cs="Arial"/>
                <w:b/>
                <w:noProof/>
                <w:szCs w:val="20"/>
                <w:lang w:eastAsia="en-GB"/>
              </w:rPr>
              <w:object w:dxaOrig="1487" w:dyaOrig="993" w14:anchorId="43EC6C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05pt;height:50.15pt" o:ole="">
                  <v:imagedata r:id="rId14" o:title=""/>
                </v:shape>
                <o:OLEObject Type="Embed" ProgID="Word.Document.12" ShapeID="_x0000_i1025" DrawAspect="Icon" ObjectID="_1659452240" r:id="rId15">
                  <o:FieldCodes>\s</o:FieldCodes>
                </o:OLEObject>
              </w:object>
            </w:r>
          </w:p>
        </w:tc>
      </w:tr>
    </w:tbl>
    <w:p w14:paraId="1379B8E7" w14:textId="77777777" w:rsidR="00133BD9" w:rsidRDefault="00133BD9" w:rsidP="00133BD9"/>
    <w:p w14:paraId="3FB720B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1A012" w14:textId="77777777" w:rsidR="00351A65" w:rsidRDefault="00351A65" w:rsidP="00526623">
      <w:pPr>
        <w:spacing w:after="0" w:line="240" w:lineRule="auto"/>
      </w:pPr>
      <w:r>
        <w:separator/>
      </w:r>
    </w:p>
  </w:endnote>
  <w:endnote w:type="continuationSeparator" w:id="0">
    <w:p w14:paraId="227C193D" w14:textId="77777777" w:rsidR="00351A65" w:rsidRDefault="00351A65"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F8A30" w14:textId="77777777" w:rsidR="00351A65" w:rsidRDefault="00351A65" w:rsidP="00526623">
      <w:pPr>
        <w:spacing w:after="0" w:line="240" w:lineRule="auto"/>
      </w:pPr>
      <w:r>
        <w:separator/>
      </w:r>
    </w:p>
  </w:footnote>
  <w:footnote w:type="continuationSeparator" w:id="0">
    <w:p w14:paraId="5F1ADEE8" w14:textId="77777777" w:rsidR="00351A65" w:rsidRDefault="00351A65"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49B6"/>
    <w:multiLevelType w:val="hybridMultilevel"/>
    <w:tmpl w:val="A8E27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DB62AD2"/>
    <w:multiLevelType w:val="hybridMultilevel"/>
    <w:tmpl w:val="76727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8C66C1"/>
    <w:multiLevelType w:val="hybridMultilevel"/>
    <w:tmpl w:val="213691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15708C"/>
    <w:multiLevelType w:val="hybridMultilevel"/>
    <w:tmpl w:val="7ED2C95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7" w15:restartNumberingAfterBreak="0">
    <w:nsid w:val="6E3E0DFA"/>
    <w:multiLevelType w:val="hybridMultilevel"/>
    <w:tmpl w:val="2A2C26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2"/>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14D38"/>
    <w:rsid w:val="000246EF"/>
    <w:rsid w:val="00041EEC"/>
    <w:rsid w:val="000436C2"/>
    <w:rsid w:val="00087EC2"/>
    <w:rsid w:val="00090251"/>
    <w:rsid w:val="000C3A79"/>
    <w:rsid w:val="000F1652"/>
    <w:rsid w:val="0010126C"/>
    <w:rsid w:val="00107296"/>
    <w:rsid w:val="00133BD9"/>
    <w:rsid w:val="00133CFC"/>
    <w:rsid w:val="00137DC1"/>
    <w:rsid w:val="00172809"/>
    <w:rsid w:val="00173DDD"/>
    <w:rsid w:val="001B0622"/>
    <w:rsid w:val="001D5F88"/>
    <w:rsid w:val="001E129D"/>
    <w:rsid w:val="00206D5F"/>
    <w:rsid w:val="00231D67"/>
    <w:rsid w:val="00257F3E"/>
    <w:rsid w:val="002707B1"/>
    <w:rsid w:val="00291D51"/>
    <w:rsid w:val="002A4AD8"/>
    <w:rsid w:val="002A7071"/>
    <w:rsid w:val="002B341C"/>
    <w:rsid w:val="002B4955"/>
    <w:rsid w:val="003043A4"/>
    <w:rsid w:val="003452B0"/>
    <w:rsid w:val="00351A65"/>
    <w:rsid w:val="00360385"/>
    <w:rsid w:val="00372D1E"/>
    <w:rsid w:val="003820EF"/>
    <w:rsid w:val="003A6F4B"/>
    <w:rsid w:val="003B3576"/>
    <w:rsid w:val="003E53F4"/>
    <w:rsid w:val="003E5DC9"/>
    <w:rsid w:val="003F22F3"/>
    <w:rsid w:val="004145D1"/>
    <w:rsid w:val="004302F8"/>
    <w:rsid w:val="00471BC8"/>
    <w:rsid w:val="004B6CEF"/>
    <w:rsid w:val="004E0CD9"/>
    <w:rsid w:val="00503895"/>
    <w:rsid w:val="00504295"/>
    <w:rsid w:val="00507163"/>
    <w:rsid w:val="00517F2F"/>
    <w:rsid w:val="00526623"/>
    <w:rsid w:val="00526A8E"/>
    <w:rsid w:val="00534E92"/>
    <w:rsid w:val="00557286"/>
    <w:rsid w:val="00584F30"/>
    <w:rsid w:val="005A506C"/>
    <w:rsid w:val="005A5EC1"/>
    <w:rsid w:val="005A74DE"/>
    <w:rsid w:val="005E2894"/>
    <w:rsid w:val="00606E31"/>
    <w:rsid w:val="0060723D"/>
    <w:rsid w:val="00610810"/>
    <w:rsid w:val="0061367F"/>
    <w:rsid w:val="006279ED"/>
    <w:rsid w:val="00672F29"/>
    <w:rsid w:val="00682446"/>
    <w:rsid w:val="006847DA"/>
    <w:rsid w:val="006B18F6"/>
    <w:rsid w:val="006D612A"/>
    <w:rsid w:val="00716508"/>
    <w:rsid w:val="007400B7"/>
    <w:rsid w:val="00753976"/>
    <w:rsid w:val="007649AC"/>
    <w:rsid w:val="00796C90"/>
    <w:rsid w:val="007974DA"/>
    <w:rsid w:val="007B157B"/>
    <w:rsid w:val="007B29A9"/>
    <w:rsid w:val="007B4F5B"/>
    <w:rsid w:val="007B6A43"/>
    <w:rsid w:val="007D4FD3"/>
    <w:rsid w:val="007D6E02"/>
    <w:rsid w:val="007D7648"/>
    <w:rsid w:val="007E53E6"/>
    <w:rsid w:val="008153E7"/>
    <w:rsid w:val="008170C7"/>
    <w:rsid w:val="00835393"/>
    <w:rsid w:val="0085400C"/>
    <w:rsid w:val="00861F76"/>
    <w:rsid w:val="0089547E"/>
    <w:rsid w:val="008A37EF"/>
    <w:rsid w:val="008B3636"/>
    <w:rsid w:val="008C5A35"/>
    <w:rsid w:val="008D0B44"/>
    <w:rsid w:val="008D73D6"/>
    <w:rsid w:val="008E744C"/>
    <w:rsid w:val="008F59E6"/>
    <w:rsid w:val="009249AE"/>
    <w:rsid w:val="00924DEC"/>
    <w:rsid w:val="00933F83"/>
    <w:rsid w:val="00937BF5"/>
    <w:rsid w:val="00942721"/>
    <w:rsid w:val="00945C7C"/>
    <w:rsid w:val="00946125"/>
    <w:rsid w:val="00947682"/>
    <w:rsid w:val="00970B1C"/>
    <w:rsid w:val="00A054D1"/>
    <w:rsid w:val="00A0584E"/>
    <w:rsid w:val="00A06191"/>
    <w:rsid w:val="00A21D26"/>
    <w:rsid w:val="00A27E92"/>
    <w:rsid w:val="00A71151"/>
    <w:rsid w:val="00A922CF"/>
    <w:rsid w:val="00A92B02"/>
    <w:rsid w:val="00AA3581"/>
    <w:rsid w:val="00AC33BB"/>
    <w:rsid w:val="00AC6418"/>
    <w:rsid w:val="00B2166A"/>
    <w:rsid w:val="00B82400"/>
    <w:rsid w:val="00B86DDF"/>
    <w:rsid w:val="00BA4154"/>
    <w:rsid w:val="00BB682C"/>
    <w:rsid w:val="00C43D59"/>
    <w:rsid w:val="00C57345"/>
    <w:rsid w:val="00C644E9"/>
    <w:rsid w:val="00C657A4"/>
    <w:rsid w:val="00C72F0C"/>
    <w:rsid w:val="00C814D0"/>
    <w:rsid w:val="00C919C3"/>
    <w:rsid w:val="00CA4297"/>
    <w:rsid w:val="00CC7214"/>
    <w:rsid w:val="00CE4B79"/>
    <w:rsid w:val="00CF22EF"/>
    <w:rsid w:val="00D05D1B"/>
    <w:rsid w:val="00D50036"/>
    <w:rsid w:val="00D60B31"/>
    <w:rsid w:val="00D62192"/>
    <w:rsid w:val="00DA0D50"/>
    <w:rsid w:val="00E040EA"/>
    <w:rsid w:val="00E525E0"/>
    <w:rsid w:val="00E60E79"/>
    <w:rsid w:val="00E772C8"/>
    <w:rsid w:val="00EB179A"/>
    <w:rsid w:val="00EB2613"/>
    <w:rsid w:val="00EC2445"/>
    <w:rsid w:val="00ED5FAA"/>
    <w:rsid w:val="00F00954"/>
    <w:rsid w:val="00F129C1"/>
    <w:rsid w:val="00F13634"/>
    <w:rsid w:val="00F23B18"/>
    <w:rsid w:val="00F24B54"/>
    <w:rsid w:val="00F678C1"/>
    <w:rsid w:val="00F82AB4"/>
    <w:rsid w:val="00FB0EC9"/>
    <w:rsid w:val="00FB180D"/>
    <w:rsid w:val="00FB2947"/>
    <w:rsid w:val="00FD22F1"/>
    <w:rsid w:val="00FF59CE"/>
    <w:rsid w:val="00FF7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7E127E"/>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6EF"/>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BalloonText">
    <w:name w:val="Balloon Text"/>
    <w:basedOn w:val="Normal"/>
    <w:link w:val="BalloonTextChar"/>
    <w:uiPriority w:val="99"/>
    <w:semiHidden/>
    <w:unhideWhenUsed/>
    <w:rsid w:val="00B216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6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package" Target="embeddings/Microsoft_Word_Document.docx"/><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5256C030-F31D-4AA0-A09B-CC2AFC8EC9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ABED5A-8D65-427F-85B0-7206C3B42D55}">
  <ds:schemaRefs>
    <ds:schemaRef ds:uri="Microsoft.SharePoint.Taxonomy.ContentTypeSync"/>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sharepoint/v3/fields"/>
    <ds:schemaRef ds:uri="http://purl.org/dc/elements/1.1/"/>
    <ds:schemaRef ds:uri="http://purl.org/dc/dcmitype/"/>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631298fc-6a88-4548-b7d9-3b164918c4a3"/>
  </ds:schemaRefs>
</ds:datastoreItem>
</file>

<file path=customXml/itemProps5.xml><?xml version="1.0" encoding="utf-8"?>
<ds:datastoreItem xmlns:ds="http://schemas.openxmlformats.org/officeDocument/2006/customXml" ds:itemID="{5C7EF77F-226F-4D89-B470-BCEF06595F9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318</Words>
  <Characters>1817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Chris Brown</cp:lastModifiedBy>
  <cp:revision>6</cp:revision>
  <dcterms:created xsi:type="dcterms:W3CDTF">2020-08-18T12:21:00Z</dcterms:created>
  <dcterms:modified xsi:type="dcterms:W3CDTF">2020-08-20T17:11:00Z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30a3b39e-e998-4281-90ef-1082532e7de6</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