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DE6CD38"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40478">
              <w:rPr>
                <w:rFonts w:asciiTheme="minorHAnsi" w:hAnsiTheme="minorHAnsi" w:cs="Arial"/>
                <w:sz w:val="22"/>
              </w:rPr>
              <w:t>10</w:t>
            </w:r>
            <w:r w:rsidR="009074B6">
              <w:rPr>
                <w:rFonts w:asciiTheme="minorHAnsi" w:hAnsiTheme="minorHAnsi" w:cs="Arial"/>
                <w:sz w:val="22"/>
              </w:rPr>
              <w:t>4</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1837558C" w:rsidR="00A06191" w:rsidRPr="0037140B" w:rsidRDefault="009074B6" w:rsidP="00D37E67">
            <w:pPr>
              <w:rPr>
                <w:rFonts w:asciiTheme="minorHAnsi" w:hAnsiTheme="minorHAnsi" w:cs="Arial"/>
                <w:sz w:val="22"/>
              </w:rPr>
            </w:pPr>
            <w:proofErr w:type="spellStart"/>
            <w:r>
              <w:rPr>
                <w:rFonts w:asciiTheme="minorHAnsi" w:hAnsiTheme="minorHAnsi" w:cs="Arial"/>
                <w:sz w:val="22"/>
              </w:rPr>
              <w:t>LiMo</w:t>
            </w:r>
            <w:proofErr w:type="spellEnd"/>
            <w:r>
              <w:rPr>
                <w:rFonts w:asciiTheme="minorHAnsi" w:hAnsiTheme="minorHAnsi" w:cs="Arial"/>
                <w:sz w:val="22"/>
              </w:rPr>
              <w:t xml:space="preserve"> Errors</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1D015468" w14:textId="77777777" w:rsidR="00AF6BA0" w:rsidRDefault="00AF6BA0" w:rsidP="00AF6BA0">
            <w:pPr>
              <w:pStyle w:val="xmsonormal"/>
            </w:pPr>
            <w:r>
              <w:t xml:space="preserve">The following </w:t>
            </w:r>
            <w:proofErr w:type="spellStart"/>
            <w:r>
              <w:t>LiMo</w:t>
            </w:r>
            <w:proofErr w:type="spellEnd"/>
            <w:r>
              <w:t xml:space="preserve"> issues were flagged to Ofgem in our bilateral on 12 August:</w:t>
            </w:r>
          </w:p>
          <w:p w14:paraId="570FD666" w14:textId="77777777" w:rsidR="00AF6BA0" w:rsidRDefault="00AF6BA0" w:rsidP="00AF6BA0">
            <w:pPr>
              <w:pStyle w:val="xmsonormal"/>
            </w:pPr>
            <w:r>
              <w:t> </w:t>
            </w:r>
          </w:p>
          <w:p w14:paraId="15A0DEE0" w14:textId="77777777" w:rsidR="00AF6BA0" w:rsidRDefault="00AF6BA0" w:rsidP="003E7FA9">
            <w:pPr>
              <w:pStyle w:val="xmsolistparagraph"/>
              <w:numPr>
                <w:ilvl w:val="0"/>
                <w:numId w:val="12"/>
              </w:numPr>
              <w:rPr>
                <w:rFonts w:eastAsia="Times New Roman"/>
              </w:rPr>
            </w:pPr>
            <w:r>
              <w:rPr>
                <w:rFonts w:eastAsia="Times New Roman"/>
              </w:rPr>
              <w:t xml:space="preserve">Non controllable costs need to be updated, in particular the revised NTS Exit Capacity allowances need to be reflected given the significant impact of the recent Mod 678 on Scotland </w:t>
            </w:r>
          </w:p>
          <w:p w14:paraId="5792E65B" w14:textId="77777777" w:rsidR="00AF6BA0" w:rsidRDefault="00AF6BA0" w:rsidP="003E7FA9">
            <w:pPr>
              <w:pStyle w:val="xdefault"/>
              <w:numPr>
                <w:ilvl w:val="0"/>
                <w:numId w:val="12"/>
              </w:numPr>
              <w:spacing w:before="60" w:after="60"/>
              <w:rPr>
                <w:rFonts w:eastAsia="Times New Roman"/>
                <w:color w:val="auto"/>
              </w:rPr>
            </w:pPr>
            <w:r>
              <w:rPr>
                <w:rFonts w:eastAsia="Times New Roman"/>
                <w:color w:val="auto"/>
                <w:sz w:val="22"/>
                <w:szCs w:val="22"/>
              </w:rPr>
              <w:t xml:space="preserve">Totex: PCFM actual values should be used for 2018/19, PCFM actuals can be determined for 2019/20 and the latest post </w:t>
            </w:r>
            <w:proofErr w:type="spellStart"/>
            <w:r>
              <w:rPr>
                <w:rFonts w:eastAsia="Times New Roman"/>
                <w:color w:val="auto"/>
                <w:sz w:val="22"/>
                <w:szCs w:val="22"/>
              </w:rPr>
              <w:t>Covid</w:t>
            </w:r>
            <w:proofErr w:type="spellEnd"/>
            <w:r>
              <w:rPr>
                <w:rFonts w:eastAsia="Times New Roman"/>
                <w:color w:val="auto"/>
                <w:sz w:val="22"/>
                <w:szCs w:val="22"/>
              </w:rPr>
              <w:t xml:space="preserve"> forecast should be used for 2020/21. The GD1 RAV functionality needs to be changed to pick up the slow element for these values</w:t>
            </w:r>
          </w:p>
          <w:p w14:paraId="399C06A1" w14:textId="77777777" w:rsidR="00AF6BA0" w:rsidRDefault="00AF6BA0" w:rsidP="003E7FA9">
            <w:pPr>
              <w:pStyle w:val="xdefault"/>
              <w:numPr>
                <w:ilvl w:val="0"/>
                <w:numId w:val="12"/>
              </w:numPr>
              <w:spacing w:before="60" w:after="60"/>
              <w:rPr>
                <w:rFonts w:eastAsia="Times New Roman"/>
                <w:color w:val="auto"/>
              </w:rPr>
            </w:pPr>
            <w:r>
              <w:rPr>
                <w:rFonts w:eastAsia="Times New Roman"/>
                <w:color w:val="auto"/>
                <w:sz w:val="22"/>
                <w:szCs w:val="22"/>
              </w:rPr>
              <w:t>RPE indexation should start from 2019/20</w:t>
            </w:r>
          </w:p>
          <w:p w14:paraId="31B71299" w14:textId="77777777" w:rsidR="00AF6BA0" w:rsidRDefault="00AF6BA0" w:rsidP="003E7FA9">
            <w:pPr>
              <w:pStyle w:val="xdefault"/>
              <w:numPr>
                <w:ilvl w:val="0"/>
                <w:numId w:val="12"/>
              </w:numPr>
              <w:spacing w:before="60" w:after="60"/>
              <w:rPr>
                <w:rFonts w:eastAsia="Times New Roman"/>
                <w:color w:val="auto"/>
              </w:rPr>
            </w:pPr>
            <w:r>
              <w:rPr>
                <w:rFonts w:eastAsia="Times New Roman"/>
                <w:color w:val="auto"/>
                <w:sz w:val="22"/>
                <w:szCs w:val="22"/>
              </w:rPr>
              <w:t>RIIO-GD1 asset disposal not aligned with PCFM, i.e. not delayed to first year of GD2</w:t>
            </w:r>
          </w:p>
          <w:p w14:paraId="575155B1" w14:textId="77777777" w:rsidR="00AF6BA0" w:rsidRDefault="00AF6BA0" w:rsidP="003E7FA9">
            <w:pPr>
              <w:pStyle w:val="xdefault"/>
              <w:numPr>
                <w:ilvl w:val="0"/>
                <w:numId w:val="12"/>
              </w:numPr>
              <w:spacing w:before="60" w:after="60"/>
              <w:rPr>
                <w:rFonts w:eastAsia="Times New Roman"/>
                <w:color w:val="auto"/>
              </w:rPr>
            </w:pPr>
            <w:r>
              <w:rPr>
                <w:rFonts w:eastAsia="Times New Roman"/>
                <w:color w:val="auto"/>
                <w:sz w:val="22"/>
                <w:szCs w:val="22"/>
              </w:rPr>
              <w:t>No depreciation applied to GD1 lagged disposals</w:t>
            </w:r>
          </w:p>
          <w:p w14:paraId="373E21D8" w14:textId="5439AFE2" w:rsidR="00DA0018" w:rsidRPr="00AF6BA0" w:rsidRDefault="00AF6BA0" w:rsidP="003E7FA9">
            <w:pPr>
              <w:pStyle w:val="xdefault"/>
              <w:numPr>
                <w:ilvl w:val="0"/>
                <w:numId w:val="12"/>
              </w:numPr>
              <w:spacing w:before="60" w:after="60"/>
              <w:rPr>
                <w:rFonts w:eastAsia="Times New Roman"/>
                <w:color w:val="auto"/>
              </w:rPr>
            </w:pPr>
            <w:r>
              <w:rPr>
                <w:rFonts w:eastAsia="Times New Roman"/>
                <w:color w:val="auto"/>
                <w:sz w:val="22"/>
                <w:szCs w:val="22"/>
              </w:rPr>
              <w:t>Close out: Tax trigger for corporation tax does not take account of tax clawback</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proofErr w:type="spellStart"/>
            <w:r w:rsidR="00683F48">
              <w:rPr>
                <w:rFonts w:asciiTheme="minorHAnsi" w:hAnsiTheme="minorHAnsi" w:cs="Arial"/>
                <w:sz w:val="22"/>
              </w:rPr>
              <w:t>S</w:t>
            </w:r>
            <w:r>
              <w:rPr>
                <w:rFonts w:asciiTheme="minorHAnsi" w:hAnsiTheme="minorHAnsi" w:cs="Arial"/>
                <w:sz w:val="22"/>
              </w:rPr>
              <w:t>ymes</w:t>
            </w:r>
            <w:proofErr w:type="spellEnd"/>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5681B0F0" w:rsidR="00F82AB4" w:rsidRPr="0037140B" w:rsidRDefault="00876E53" w:rsidP="00504295">
            <w:pPr>
              <w:rPr>
                <w:rFonts w:asciiTheme="minorHAnsi" w:hAnsiTheme="minorHAnsi" w:cs="Arial"/>
                <w:sz w:val="22"/>
              </w:rPr>
            </w:pPr>
            <w:r>
              <w:rPr>
                <w:rFonts w:asciiTheme="minorHAnsi" w:hAnsiTheme="minorHAnsi" w:cs="Arial"/>
                <w:sz w:val="22"/>
              </w:rPr>
              <w:t>1</w:t>
            </w:r>
            <w:r w:rsidR="00307740">
              <w:rPr>
                <w:rFonts w:asciiTheme="minorHAnsi" w:hAnsiTheme="minorHAnsi" w:cs="Arial"/>
                <w:sz w:val="22"/>
              </w:rPr>
              <w:t>7</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9251217" w:rsidR="00F24B54" w:rsidRPr="0037140B" w:rsidRDefault="00876E53" w:rsidP="00F24B54">
            <w:pPr>
              <w:rPr>
                <w:rFonts w:asciiTheme="minorHAnsi" w:hAnsiTheme="minorHAnsi" w:cs="Arial"/>
                <w:sz w:val="22"/>
              </w:rPr>
            </w:pPr>
            <w:r>
              <w:rPr>
                <w:rFonts w:asciiTheme="minorHAnsi" w:hAnsiTheme="minorHAnsi" w:cs="Arial"/>
                <w:sz w:val="22"/>
              </w:rPr>
              <w:t>2</w:t>
            </w:r>
            <w:r w:rsidR="00307740">
              <w:rPr>
                <w:rFonts w:asciiTheme="minorHAnsi" w:hAnsiTheme="minorHAnsi" w:cs="Arial"/>
                <w:sz w:val="22"/>
              </w:rPr>
              <w:t>4</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5020065B" w:rsidR="00F24B54"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01960D0C" w14:textId="613C13CA" w:rsidR="003E7FA9" w:rsidRDefault="003E7FA9" w:rsidP="003E7FA9">
            <w:pPr>
              <w:pStyle w:val="xmsolistparagraph"/>
              <w:ind w:left="0"/>
            </w:pPr>
            <w:r>
              <w:t>Note: We have changed the bullets in your query to a numbered list for referencing.</w:t>
            </w:r>
          </w:p>
          <w:p w14:paraId="3BE7634E" w14:textId="2E60E332" w:rsidR="00A3679E" w:rsidRPr="003E7FA9" w:rsidRDefault="00A3679E" w:rsidP="003E7FA9">
            <w:pPr>
              <w:pStyle w:val="xdefault"/>
              <w:numPr>
                <w:ilvl w:val="0"/>
                <w:numId w:val="14"/>
              </w:numPr>
              <w:spacing w:before="60" w:after="60"/>
              <w:rPr>
                <w:color w:val="auto"/>
                <w:sz w:val="22"/>
                <w:szCs w:val="22"/>
              </w:rPr>
            </w:pPr>
            <w:r w:rsidRPr="003E7FA9">
              <w:rPr>
                <w:color w:val="auto"/>
                <w:sz w:val="22"/>
                <w:szCs w:val="22"/>
              </w:rPr>
              <w:t>We will be issuing a call for information to get refreshed data for non-controllable and pass through</w:t>
            </w:r>
            <w:r w:rsidR="0069539B">
              <w:rPr>
                <w:color w:val="auto"/>
                <w:sz w:val="22"/>
                <w:szCs w:val="22"/>
              </w:rPr>
              <w:t xml:space="preserve"> costs</w:t>
            </w:r>
            <w:r w:rsidRPr="003E7FA9">
              <w:rPr>
                <w:color w:val="auto"/>
                <w:sz w:val="22"/>
                <w:szCs w:val="22"/>
              </w:rPr>
              <w:t>.</w:t>
            </w:r>
          </w:p>
          <w:p w14:paraId="6D2AABBF" w14:textId="55F8BDFE" w:rsidR="00A3679E" w:rsidRPr="003E7FA9" w:rsidRDefault="003E7FA9" w:rsidP="003E7FA9">
            <w:pPr>
              <w:pStyle w:val="xdefault"/>
              <w:numPr>
                <w:ilvl w:val="0"/>
                <w:numId w:val="14"/>
              </w:numPr>
              <w:spacing w:before="60" w:after="60"/>
              <w:rPr>
                <w:color w:val="auto"/>
                <w:sz w:val="22"/>
                <w:szCs w:val="22"/>
              </w:rPr>
            </w:pPr>
            <w:r>
              <w:rPr>
                <w:color w:val="auto"/>
                <w:sz w:val="22"/>
                <w:szCs w:val="22"/>
              </w:rPr>
              <w:t>Y</w:t>
            </w:r>
            <w:r w:rsidR="00A3679E" w:rsidRPr="003E7FA9">
              <w:rPr>
                <w:color w:val="auto"/>
                <w:sz w:val="22"/>
                <w:szCs w:val="22"/>
              </w:rPr>
              <w:t>our comments are noted. We need to balance updating RAV additions from RIIO</w:t>
            </w:r>
            <w:r w:rsidR="0069539B">
              <w:rPr>
                <w:color w:val="auto"/>
                <w:sz w:val="22"/>
                <w:szCs w:val="22"/>
              </w:rPr>
              <w:t>-</w:t>
            </w:r>
            <w:r w:rsidR="00A3679E" w:rsidRPr="003E7FA9">
              <w:rPr>
                <w:color w:val="auto"/>
                <w:sz w:val="22"/>
                <w:szCs w:val="22"/>
              </w:rPr>
              <w:t xml:space="preserve">1 in a way that provides traceability to documents in existence and known issues with the data (more relevant to other sectors). </w:t>
            </w:r>
          </w:p>
          <w:p w14:paraId="1C7D2452" w14:textId="429DA864" w:rsidR="00A3679E" w:rsidRPr="003E7FA9" w:rsidRDefault="00A3679E" w:rsidP="003E7FA9">
            <w:pPr>
              <w:pStyle w:val="xdefault"/>
              <w:numPr>
                <w:ilvl w:val="0"/>
                <w:numId w:val="14"/>
              </w:numPr>
              <w:spacing w:before="60" w:after="60"/>
              <w:rPr>
                <w:color w:val="auto"/>
                <w:sz w:val="22"/>
                <w:szCs w:val="22"/>
              </w:rPr>
            </w:pPr>
            <w:r w:rsidRPr="003E7FA9">
              <w:rPr>
                <w:color w:val="auto"/>
                <w:sz w:val="22"/>
                <w:szCs w:val="22"/>
              </w:rPr>
              <w:t>Yes this is a known issue which we are working on with our cost team colleagues</w:t>
            </w:r>
            <w:r w:rsidR="0069539B">
              <w:rPr>
                <w:color w:val="auto"/>
                <w:sz w:val="22"/>
                <w:szCs w:val="22"/>
              </w:rPr>
              <w:t>.</w:t>
            </w:r>
          </w:p>
          <w:p w14:paraId="00A5ED77" w14:textId="31E25D1F" w:rsidR="00A3679E" w:rsidRDefault="00A3679E" w:rsidP="00AF436A">
            <w:pPr>
              <w:pStyle w:val="xdefault"/>
              <w:numPr>
                <w:ilvl w:val="0"/>
                <w:numId w:val="14"/>
              </w:numPr>
              <w:spacing w:before="60" w:after="60"/>
              <w:rPr>
                <w:color w:val="auto"/>
                <w:sz w:val="22"/>
                <w:szCs w:val="22"/>
              </w:rPr>
            </w:pPr>
            <w:r w:rsidRPr="003E7FA9">
              <w:rPr>
                <w:color w:val="auto"/>
                <w:sz w:val="22"/>
                <w:szCs w:val="22"/>
              </w:rPr>
              <w:t xml:space="preserve">This is part of close-out for GD1, </w:t>
            </w:r>
            <w:r w:rsidR="003E7FA9">
              <w:rPr>
                <w:color w:val="auto"/>
                <w:sz w:val="22"/>
                <w:szCs w:val="22"/>
              </w:rPr>
              <w:t xml:space="preserve">and is </w:t>
            </w:r>
            <w:r w:rsidRPr="003E7FA9">
              <w:rPr>
                <w:color w:val="auto"/>
                <w:sz w:val="22"/>
                <w:szCs w:val="22"/>
              </w:rPr>
              <w:t>not required for FD</w:t>
            </w:r>
            <w:r w:rsidR="003E7FA9">
              <w:rPr>
                <w:color w:val="auto"/>
                <w:sz w:val="22"/>
                <w:szCs w:val="22"/>
              </w:rPr>
              <w:t>.</w:t>
            </w:r>
          </w:p>
          <w:p w14:paraId="1D729A7E" w14:textId="3551EC7B" w:rsidR="00A3679E" w:rsidRPr="003E7FA9" w:rsidRDefault="00A3679E" w:rsidP="003E7FA9">
            <w:pPr>
              <w:pStyle w:val="xdefault"/>
              <w:numPr>
                <w:ilvl w:val="0"/>
                <w:numId w:val="14"/>
              </w:numPr>
              <w:spacing w:before="60" w:after="60"/>
              <w:rPr>
                <w:color w:val="auto"/>
                <w:sz w:val="22"/>
                <w:szCs w:val="22"/>
              </w:rPr>
            </w:pPr>
            <w:r w:rsidRPr="003E7FA9">
              <w:rPr>
                <w:color w:val="auto"/>
                <w:sz w:val="22"/>
                <w:szCs w:val="22"/>
              </w:rPr>
              <w:t xml:space="preserve">We understand the treatment of RIIO-1 disposals true-up in the </w:t>
            </w:r>
            <w:proofErr w:type="spellStart"/>
            <w:r w:rsidRPr="003E7FA9">
              <w:rPr>
                <w:color w:val="auto"/>
                <w:sz w:val="22"/>
                <w:szCs w:val="22"/>
              </w:rPr>
              <w:t>LiMo</w:t>
            </w:r>
            <w:proofErr w:type="spellEnd"/>
            <w:r w:rsidRPr="003E7FA9">
              <w:rPr>
                <w:color w:val="auto"/>
                <w:sz w:val="22"/>
                <w:szCs w:val="22"/>
              </w:rPr>
              <w:t xml:space="preserve"> was discussed at the ENA working group when developing the Business Plan model. At the time we maintained the position that RIIO-1 disposals true-up would have a 5 year lag, with no depreciation or NPV adjustment applied to the lagged value</w:t>
            </w:r>
            <w:r w:rsidR="0069539B">
              <w:rPr>
                <w:color w:val="auto"/>
                <w:sz w:val="22"/>
                <w:szCs w:val="22"/>
              </w:rPr>
              <w:t>.</w:t>
            </w:r>
            <w:r w:rsidRPr="003E7FA9">
              <w:rPr>
                <w:color w:val="auto"/>
                <w:sz w:val="22"/>
                <w:szCs w:val="22"/>
              </w:rPr>
              <w:t xml:space="preserve"> Therefore the current treatment in the model remains valid</w:t>
            </w:r>
            <w:r w:rsidR="003E7FA9">
              <w:rPr>
                <w:color w:val="auto"/>
                <w:sz w:val="22"/>
                <w:szCs w:val="22"/>
              </w:rPr>
              <w:t>.</w:t>
            </w:r>
          </w:p>
          <w:p w14:paraId="373E21EF" w14:textId="7FAB9885" w:rsidR="00514377" w:rsidRPr="003E7FA9" w:rsidRDefault="00A3679E" w:rsidP="00AD507E">
            <w:pPr>
              <w:pStyle w:val="xdefault"/>
              <w:numPr>
                <w:ilvl w:val="0"/>
                <w:numId w:val="14"/>
              </w:numPr>
              <w:spacing w:before="60" w:after="60"/>
              <w:rPr>
                <w:color w:val="auto"/>
                <w:sz w:val="22"/>
                <w:szCs w:val="22"/>
              </w:rPr>
            </w:pPr>
            <w:r w:rsidRPr="003E7FA9">
              <w:rPr>
                <w:color w:val="auto"/>
                <w:sz w:val="22"/>
                <w:szCs w:val="22"/>
              </w:rPr>
              <w:t>We will review and update the treatment of all tax adjustments in the model (i.e. TGIE, TTE, TAXA) as part of the Licence Drafting and PCFM2 development and reflect in the models our emerging position</w:t>
            </w:r>
            <w:r w:rsidR="003E7FA9">
              <w:rPr>
                <w:color w:val="auto"/>
                <w:sz w:val="22"/>
                <w:szCs w:val="22"/>
              </w:rPr>
              <w:t>.</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227F343E" w:rsidR="00F642A8" w:rsidRPr="00F642A8" w:rsidRDefault="00F24B54" w:rsidP="00F24B54">
            <w:pPr>
              <w:rPr>
                <w:rFonts w:asciiTheme="minorHAnsi" w:hAnsiTheme="minorHAnsi" w:cs="Arial"/>
                <w:b/>
                <w:noProof/>
                <w:sz w:val="22"/>
                <w:lang w:eastAsia="en-GB"/>
              </w:rPr>
            </w:pPr>
            <w:r w:rsidRPr="0037140B">
              <w:rPr>
                <w:rFonts w:asciiTheme="minorHAnsi" w:hAnsiTheme="minorHAnsi" w:cs="Arial"/>
                <w:b/>
                <w:noProof/>
                <w:sz w:val="22"/>
                <w:lang w:eastAsia="en-GB"/>
              </w:rPr>
              <w:lastRenderedPageBreak/>
              <w:t xml:space="preserve">Attachments: </w:t>
            </w:r>
            <w:bookmarkStart w:id="0" w:name="_GoBack"/>
            <w:bookmarkEnd w:id="0"/>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AA9A4" w14:textId="77777777" w:rsidR="00E33280" w:rsidRDefault="00E33280" w:rsidP="00526623">
      <w:pPr>
        <w:spacing w:after="0" w:line="240" w:lineRule="auto"/>
      </w:pPr>
      <w:r>
        <w:separator/>
      </w:r>
    </w:p>
  </w:endnote>
  <w:endnote w:type="continuationSeparator" w:id="0">
    <w:p w14:paraId="273598B4" w14:textId="77777777" w:rsidR="00E33280" w:rsidRDefault="00E33280"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2967D" w14:textId="77777777" w:rsidR="00307740" w:rsidRDefault="00307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C0FAB" w14:textId="77777777" w:rsidR="00307740" w:rsidRDefault="00307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EA0E39" w14:textId="77777777" w:rsidR="00E33280" w:rsidRDefault="00E33280" w:rsidP="00526623">
      <w:pPr>
        <w:spacing w:after="0" w:line="240" w:lineRule="auto"/>
      </w:pPr>
      <w:r>
        <w:separator/>
      </w:r>
    </w:p>
  </w:footnote>
  <w:footnote w:type="continuationSeparator" w:id="0">
    <w:p w14:paraId="0F7B42CD" w14:textId="77777777" w:rsidR="00E33280" w:rsidRDefault="00E33280"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9D313" w14:textId="77777777" w:rsidR="00307740" w:rsidRDefault="00307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02DA9" w14:textId="77777777" w:rsidR="00307740" w:rsidRDefault="003077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3C1E7" w14:textId="77777777" w:rsidR="00307740" w:rsidRDefault="003077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C2099C"/>
    <w:multiLevelType w:val="multilevel"/>
    <w:tmpl w:val="989E82F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606897"/>
    <w:multiLevelType w:val="multilevel"/>
    <w:tmpl w:val="989E82F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2" w15:restartNumberingAfterBreak="0">
    <w:nsid w:val="758D7F21"/>
    <w:multiLevelType w:val="multilevel"/>
    <w:tmpl w:val="989E82F4"/>
    <w:lvl w:ilvl="0">
      <w:start w:val="1"/>
      <w:numFmt w:val="decimal"/>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1"/>
  </w:num>
  <w:num w:numId="4">
    <w:abstractNumId w:val="9"/>
  </w:num>
  <w:num w:numId="5">
    <w:abstractNumId w:val="7"/>
  </w:num>
  <w:num w:numId="6">
    <w:abstractNumId w:val="4"/>
  </w:num>
  <w:num w:numId="7">
    <w:abstractNumId w:val="13"/>
  </w:num>
  <w:num w:numId="8">
    <w:abstractNumId w:val="3"/>
  </w:num>
  <w:num w:numId="9">
    <w:abstractNumId w:val="0"/>
  </w:num>
  <w:num w:numId="10">
    <w:abstractNumId w:val="1"/>
  </w:num>
  <w:num w:numId="11">
    <w:abstractNumId w:val="8"/>
  </w:num>
  <w:num w:numId="12">
    <w:abstractNumId w:val="12"/>
  </w:num>
  <w:num w:numId="13">
    <w:abstractNumId w:val="12"/>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62E55"/>
    <w:rsid w:val="00172809"/>
    <w:rsid w:val="001B5EEE"/>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07740"/>
    <w:rsid w:val="00314B19"/>
    <w:rsid w:val="003452B0"/>
    <w:rsid w:val="00355F21"/>
    <w:rsid w:val="00360257"/>
    <w:rsid w:val="00360385"/>
    <w:rsid w:val="0037140B"/>
    <w:rsid w:val="00371F0D"/>
    <w:rsid w:val="00372D1E"/>
    <w:rsid w:val="003820EF"/>
    <w:rsid w:val="003A04B4"/>
    <w:rsid w:val="003B3576"/>
    <w:rsid w:val="003B7E55"/>
    <w:rsid w:val="003E53F4"/>
    <w:rsid w:val="003E7FA9"/>
    <w:rsid w:val="003F22F3"/>
    <w:rsid w:val="004145D1"/>
    <w:rsid w:val="004302F8"/>
    <w:rsid w:val="00471BC8"/>
    <w:rsid w:val="00503895"/>
    <w:rsid w:val="00504295"/>
    <w:rsid w:val="00507163"/>
    <w:rsid w:val="00514377"/>
    <w:rsid w:val="00526623"/>
    <w:rsid w:val="00526A8E"/>
    <w:rsid w:val="00534E92"/>
    <w:rsid w:val="0054325E"/>
    <w:rsid w:val="00581CB1"/>
    <w:rsid w:val="00584F30"/>
    <w:rsid w:val="005A506C"/>
    <w:rsid w:val="005A74DE"/>
    <w:rsid w:val="005E2894"/>
    <w:rsid w:val="005E32AD"/>
    <w:rsid w:val="0060723D"/>
    <w:rsid w:val="006279ED"/>
    <w:rsid w:val="00646349"/>
    <w:rsid w:val="00683F48"/>
    <w:rsid w:val="006847DA"/>
    <w:rsid w:val="0069539B"/>
    <w:rsid w:val="006B18F6"/>
    <w:rsid w:val="006D1433"/>
    <w:rsid w:val="006D2D0A"/>
    <w:rsid w:val="006E3AE8"/>
    <w:rsid w:val="007055CE"/>
    <w:rsid w:val="00716508"/>
    <w:rsid w:val="007400B7"/>
    <w:rsid w:val="00740377"/>
    <w:rsid w:val="00740478"/>
    <w:rsid w:val="00753976"/>
    <w:rsid w:val="007649AC"/>
    <w:rsid w:val="00773BC6"/>
    <w:rsid w:val="007840D8"/>
    <w:rsid w:val="00796C90"/>
    <w:rsid w:val="007974DA"/>
    <w:rsid w:val="007B29A9"/>
    <w:rsid w:val="007B4F5B"/>
    <w:rsid w:val="007D7648"/>
    <w:rsid w:val="007E4B38"/>
    <w:rsid w:val="007E53E6"/>
    <w:rsid w:val="008170C7"/>
    <w:rsid w:val="0085400C"/>
    <w:rsid w:val="00876E53"/>
    <w:rsid w:val="00887390"/>
    <w:rsid w:val="0089547E"/>
    <w:rsid w:val="008A0DEA"/>
    <w:rsid w:val="008A37EF"/>
    <w:rsid w:val="008B3636"/>
    <w:rsid w:val="008C2259"/>
    <w:rsid w:val="008C5A35"/>
    <w:rsid w:val="008E744C"/>
    <w:rsid w:val="009016EB"/>
    <w:rsid w:val="00904FB4"/>
    <w:rsid w:val="009074B6"/>
    <w:rsid w:val="00907A21"/>
    <w:rsid w:val="00912B22"/>
    <w:rsid w:val="009249AE"/>
    <w:rsid w:val="00924DEC"/>
    <w:rsid w:val="009353F3"/>
    <w:rsid w:val="00937BF5"/>
    <w:rsid w:val="00942721"/>
    <w:rsid w:val="00945C7C"/>
    <w:rsid w:val="00946125"/>
    <w:rsid w:val="00947682"/>
    <w:rsid w:val="00964B3E"/>
    <w:rsid w:val="00970B1C"/>
    <w:rsid w:val="009B67E9"/>
    <w:rsid w:val="009E4551"/>
    <w:rsid w:val="009F7DBB"/>
    <w:rsid w:val="00A054D1"/>
    <w:rsid w:val="00A0584E"/>
    <w:rsid w:val="00A06191"/>
    <w:rsid w:val="00A21D26"/>
    <w:rsid w:val="00A27E92"/>
    <w:rsid w:val="00A3679E"/>
    <w:rsid w:val="00A37BA8"/>
    <w:rsid w:val="00A43B6A"/>
    <w:rsid w:val="00A71151"/>
    <w:rsid w:val="00A922CF"/>
    <w:rsid w:val="00A96EF9"/>
    <w:rsid w:val="00AA5D15"/>
    <w:rsid w:val="00AB2424"/>
    <w:rsid w:val="00AB2E81"/>
    <w:rsid w:val="00AB6C07"/>
    <w:rsid w:val="00AC6418"/>
    <w:rsid w:val="00AC7911"/>
    <w:rsid w:val="00AD507E"/>
    <w:rsid w:val="00AF6BA0"/>
    <w:rsid w:val="00B82400"/>
    <w:rsid w:val="00B86DDF"/>
    <w:rsid w:val="00B90CA4"/>
    <w:rsid w:val="00BA4154"/>
    <w:rsid w:val="00BB682C"/>
    <w:rsid w:val="00C17C74"/>
    <w:rsid w:val="00C57345"/>
    <w:rsid w:val="00C657A4"/>
    <w:rsid w:val="00C71B89"/>
    <w:rsid w:val="00C814D0"/>
    <w:rsid w:val="00C919C3"/>
    <w:rsid w:val="00CA4297"/>
    <w:rsid w:val="00CC7214"/>
    <w:rsid w:val="00CE4B79"/>
    <w:rsid w:val="00CE7D1A"/>
    <w:rsid w:val="00CF22EF"/>
    <w:rsid w:val="00D37E67"/>
    <w:rsid w:val="00D50036"/>
    <w:rsid w:val="00DA0018"/>
    <w:rsid w:val="00DB6611"/>
    <w:rsid w:val="00E040EA"/>
    <w:rsid w:val="00E33280"/>
    <w:rsid w:val="00E525E0"/>
    <w:rsid w:val="00E60E79"/>
    <w:rsid w:val="00EB179A"/>
    <w:rsid w:val="00EB2613"/>
    <w:rsid w:val="00EB7452"/>
    <w:rsid w:val="00EC3A72"/>
    <w:rsid w:val="00F00954"/>
    <w:rsid w:val="00F129C1"/>
    <w:rsid w:val="00F23B18"/>
    <w:rsid w:val="00F24367"/>
    <w:rsid w:val="00F24B54"/>
    <w:rsid w:val="00F642A8"/>
    <w:rsid w:val="00F678C1"/>
    <w:rsid w:val="00F71E1D"/>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 w:type="paragraph" w:customStyle="1" w:styleId="xmsonormal">
    <w:name w:val="x_msonormal"/>
    <w:basedOn w:val="Normal"/>
    <w:rsid w:val="009E4551"/>
    <w:pPr>
      <w:spacing w:after="0" w:line="240" w:lineRule="auto"/>
    </w:pPr>
    <w:rPr>
      <w:rFonts w:ascii="Calibri" w:hAnsi="Calibri" w:cs="Calibri"/>
      <w:sz w:val="22"/>
      <w:lang w:eastAsia="en-GB"/>
    </w:rPr>
  </w:style>
  <w:style w:type="paragraph" w:customStyle="1" w:styleId="xmsolistparagraph">
    <w:name w:val="x_msolistparagraph"/>
    <w:basedOn w:val="Normal"/>
    <w:rsid w:val="009E4551"/>
    <w:pPr>
      <w:spacing w:after="0" w:line="240" w:lineRule="auto"/>
      <w:ind w:left="720"/>
    </w:pPr>
    <w:rPr>
      <w:rFonts w:ascii="Calibri" w:hAnsi="Calibri" w:cs="Calibri"/>
      <w:sz w:val="22"/>
      <w:lang w:eastAsia="en-GB"/>
    </w:rPr>
  </w:style>
  <w:style w:type="paragraph" w:customStyle="1" w:styleId="xdefault">
    <w:name w:val="x_default"/>
    <w:basedOn w:val="Normal"/>
    <w:rsid w:val="009E4551"/>
    <w:pPr>
      <w:autoSpaceDE w:val="0"/>
      <w:autoSpaceDN w:val="0"/>
      <w:spacing w:after="0" w:line="240" w:lineRule="auto"/>
    </w:pPr>
    <w:rPr>
      <w:rFonts w:ascii="Calibri" w:hAnsi="Calibri"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152987717">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47714420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3003703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7DD8BD36-1E5F-45C1-A3C1-12674BAC2C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0AE972-3C34-4FE7-8A17-96DB923CA2BE}">
  <ds:schemaRefs>
    <ds:schemaRef ds:uri="Microsoft.SharePoint.Taxonomy.ContentTypeSync"/>
  </ds:schemaRefs>
</ds:datastoreItem>
</file>

<file path=customXml/itemProps4.xml><?xml version="1.0" encoding="utf-8"?>
<ds:datastoreItem xmlns:ds="http://schemas.openxmlformats.org/officeDocument/2006/customXml" ds:itemID="{DADD9686-A806-4D0B-BBC0-71266FA194C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62A228D3-3485-47A9-BD76-0E378525D45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365</Words>
  <Characters>1818</Characters>
  <Application>Microsoft Office Word</Application>
  <DocSecurity>0</DocSecurity>
  <Lines>49</Lines>
  <Paragraphs>38</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Sarah Dennis</cp:lastModifiedBy>
  <cp:revision>7</cp:revision>
  <dcterms:created xsi:type="dcterms:W3CDTF">2020-08-17T08:26:00Z</dcterms:created>
  <dcterms:modified xsi:type="dcterms:W3CDTF">2020-09-09T10:37:00Z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