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373E21CB" w14:textId="77777777" w:rsidTr="002E3EFB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29039AA5" w:rsidR="00133BD9" w:rsidRPr="002E3EFB" w:rsidRDefault="002E3EFB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E3EFB">
              <w:rPr>
                <w:rFonts w:ascii="Arial" w:hAnsi="Arial" w:cs="Arial"/>
                <w:b/>
                <w:bCs/>
                <w:sz w:val="32"/>
                <w:szCs w:val="32"/>
              </w:rPr>
              <w:t>Draft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150323">
              <w:rPr>
                <w:rFonts w:ascii="Arial" w:hAnsi="Arial" w:cs="Arial"/>
                <w:b/>
                <w:bCs/>
                <w:sz w:val="32"/>
                <w:szCs w:val="32"/>
              </w:rPr>
              <w:t>Publication</w:t>
            </w:r>
          </w:p>
        </w:tc>
      </w:tr>
      <w:tr w:rsidR="00133BD9" w:rsidRPr="00876240" w14:paraId="373E21CD" w14:textId="77777777" w:rsidTr="002E3EFB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6B6A727D" w:rsidR="00BB682C" w:rsidRPr="00876240" w:rsidRDefault="00150323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373E21D0" w14:textId="77777777" w:rsidTr="002E3EFB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480CF7AF" w:rsidR="00133BD9" w:rsidRPr="00876240" w:rsidRDefault="00150323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CF" w14:textId="7DCF75AF" w:rsidR="00133BD9" w:rsidRPr="00876240" w:rsidRDefault="00C10D99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10D99">
              <w:rPr>
                <w:rFonts w:ascii="Arial" w:hAnsi="Arial" w:cs="Arial"/>
                <w:sz w:val="24"/>
                <w:szCs w:val="24"/>
              </w:rPr>
              <w:t>CADENT_</w:t>
            </w:r>
            <w:r w:rsidR="00D81399">
              <w:rPr>
                <w:rFonts w:ascii="Arial" w:hAnsi="Arial" w:cs="Arial"/>
                <w:sz w:val="24"/>
                <w:szCs w:val="24"/>
              </w:rPr>
              <w:t>DD</w:t>
            </w:r>
            <w:r w:rsidR="00B378CC">
              <w:rPr>
                <w:rFonts w:ascii="Arial" w:hAnsi="Arial" w:cs="Arial"/>
                <w:sz w:val="24"/>
                <w:szCs w:val="24"/>
              </w:rPr>
              <w:t>Q_</w:t>
            </w:r>
            <w:r w:rsidR="006E7427">
              <w:rPr>
                <w:rFonts w:ascii="Arial" w:hAnsi="Arial" w:cs="Arial"/>
                <w:sz w:val="24"/>
                <w:szCs w:val="24"/>
              </w:rPr>
              <w:t>42</w:t>
            </w:r>
          </w:p>
        </w:tc>
      </w:tr>
      <w:tr w:rsidR="00A06191" w:rsidRPr="00876240" w14:paraId="373E21D3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4D5E2719" w:rsidR="00A06191" w:rsidRPr="00876240" w:rsidRDefault="00150323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2" w14:textId="4D6A7B41" w:rsidR="00A06191" w:rsidRPr="00876240" w:rsidRDefault="00A06191" w:rsidP="00A058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191" w:rsidRPr="00876240" w14:paraId="373E21D6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5" w14:textId="34ED5B47" w:rsidR="00A06191" w:rsidRPr="00876240" w:rsidRDefault="00F976B0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IMRRP Allowance</w:t>
            </w:r>
          </w:p>
        </w:tc>
      </w:tr>
      <w:tr w:rsidR="00A06191" w:rsidRPr="00876240" w14:paraId="373E21D9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1941C28E" w14:textId="77777777" w:rsidR="00F976B0" w:rsidRDefault="00F976B0" w:rsidP="00F976B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 thank Ofgem for the correction to the repex allowance in Table 17 of Cadent’s Annex as issued by Callum Mayfield on the 22/07/2020.We have started to analysis and understand the impact of this update on our plan. </w:t>
            </w:r>
          </w:p>
          <w:p w14:paraId="41C4610A" w14:textId="1AF05613" w:rsidR="00A0584E" w:rsidRDefault="00F976B0" w:rsidP="00F976B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 want to check that the NL allowance as per the update (£199.9m) and the baseline service allowance</w:t>
            </w:r>
            <w:r w:rsidR="0002695F">
              <w:rPr>
                <w:rFonts w:ascii="Arial" w:hAnsi="Arial" w:cs="Arial"/>
                <w:sz w:val="24"/>
                <w:szCs w:val="24"/>
              </w:rPr>
              <w:t xml:space="preserve"> (£113.9m) </w:t>
            </w:r>
            <w:r>
              <w:rPr>
                <w:rFonts w:ascii="Arial" w:hAnsi="Arial" w:cs="Arial"/>
                <w:sz w:val="24"/>
                <w:szCs w:val="24"/>
              </w:rPr>
              <w:t xml:space="preserve">as per the Cadent Appendix are correct. </w:t>
            </w:r>
          </w:p>
          <w:p w14:paraId="77CA3ECD" w14:textId="1E7CEFD9" w:rsidR="001143BF" w:rsidRDefault="00F976B0" w:rsidP="001143B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When we work these numbers into a unit cost we note the allowances as detailed above result in a tier 1 mains unit costs which is c.</w:t>
            </w:r>
            <w:r w:rsidR="0002695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20% lower than observed in GD1. This compares to an average c.</w:t>
            </w:r>
            <w:r w:rsidR="0002695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2%</w:t>
            </w:r>
            <w:r w:rsidR="001143BF">
              <w:rPr>
                <w:rFonts w:ascii="Arial" w:hAnsi="Arial" w:cs="Arial"/>
                <w:sz w:val="24"/>
                <w:szCs w:val="24"/>
              </w:rPr>
              <w:t xml:space="preserve"> reduction</w:t>
            </w:r>
            <w:r>
              <w:rPr>
                <w:rFonts w:ascii="Arial" w:hAnsi="Arial" w:cs="Arial"/>
                <w:sz w:val="24"/>
                <w:szCs w:val="24"/>
              </w:rPr>
              <w:t xml:space="preserve"> for the other networks</w:t>
            </w:r>
            <w:r w:rsidR="0002695F">
              <w:rPr>
                <w:rFonts w:ascii="Arial" w:hAnsi="Arial" w:cs="Arial"/>
                <w:sz w:val="24"/>
                <w:szCs w:val="24"/>
              </w:rPr>
              <w:t xml:space="preserve"> (we also note that the unit rate for North London would be less than that for Scotland)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8AADBEB" w14:textId="0FF5E231" w:rsidR="001143BF" w:rsidRDefault="00233064" w:rsidP="001143B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Specific Questions:</w:t>
            </w:r>
          </w:p>
          <w:p w14:paraId="506FD016" w14:textId="245BADF9" w:rsidR="001143BF" w:rsidRDefault="001143BF" w:rsidP="001143BF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Are the numbers stated above </w:t>
            </w:r>
            <w:r w:rsidR="0002695F">
              <w:rPr>
                <w:rFonts w:ascii="Arial" w:hAnsi="Arial" w:cs="Arial"/>
                <w:sz w:val="24"/>
                <w:szCs w:val="24"/>
              </w:rPr>
              <w:t xml:space="preserve">and for other networks </w:t>
            </w:r>
            <w:r>
              <w:rPr>
                <w:rFonts w:ascii="Arial" w:hAnsi="Arial" w:cs="Arial"/>
                <w:sz w:val="24"/>
                <w:szCs w:val="24"/>
              </w:rPr>
              <w:t>correct?</w:t>
            </w:r>
          </w:p>
          <w:p w14:paraId="373E21D8" w14:textId="37CD0CC6" w:rsidR="001143BF" w:rsidRPr="001143BF" w:rsidRDefault="001143BF" w:rsidP="001143BF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Have regional factors been applied to these costs?</w:t>
            </w:r>
          </w:p>
        </w:tc>
      </w:tr>
      <w:tr w:rsidR="00A06191" w:rsidRPr="00876240" w14:paraId="373E21DC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A" w14:textId="6DB72503" w:rsidR="00A06191" w:rsidRDefault="00F20F23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  <w:r w:rsidR="00150323">
              <w:rPr>
                <w:rFonts w:ascii="Arial" w:hAnsi="Arial" w:cs="Arial"/>
                <w:b/>
                <w:bCs/>
              </w:rPr>
              <w:t>ate query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50323">
              <w:rPr>
                <w:rFonts w:ascii="Arial" w:hAnsi="Arial" w:cs="Arial"/>
                <w:b/>
                <w:bCs/>
              </w:rPr>
              <w:t>r</w:t>
            </w:r>
            <w:r w:rsidR="00A0584E">
              <w:rPr>
                <w:rFonts w:ascii="Arial" w:hAnsi="Arial" w:cs="Arial"/>
                <w:b/>
                <w:bCs/>
              </w:rPr>
              <w:t xml:space="preserve">aised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B" w14:textId="1086E792" w:rsidR="00A06191" w:rsidRPr="00876240" w:rsidRDefault="00F976B0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23/07/2020</w:t>
            </w:r>
          </w:p>
        </w:tc>
      </w:tr>
      <w:tr w:rsidR="00A06191" w:rsidRPr="00876240" w14:paraId="373E21DF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43C86628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E" w14:textId="52A8673C" w:rsidR="00F82AB4" w:rsidRPr="00876240" w:rsidRDefault="00F82AB4" w:rsidP="00A058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191" w:rsidRPr="00876240" w14:paraId="373E21E2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E0" w14:textId="6E11B1C1" w:rsidR="00A06191" w:rsidRDefault="00150323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Expected </w:t>
            </w:r>
            <w:r w:rsidR="00A06191">
              <w:rPr>
                <w:rFonts w:ascii="Arial" w:hAnsi="Arial" w:cs="Arial"/>
                <w:b/>
                <w:bCs/>
              </w:rPr>
              <w:t xml:space="preserve">Response </w:t>
            </w:r>
            <w:r w:rsidR="00F20F23">
              <w:rPr>
                <w:rFonts w:ascii="Arial" w:hAnsi="Arial" w:cs="Arial"/>
                <w:b/>
                <w:bCs/>
              </w:rPr>
              <w:t>Date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E1" w14:textId="01E3D6FF" w:rsidR="00A06191" w:rsidRPr="00876240" w:rsidRDefault="001143BF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27/07/2020</w:t>
            </w:r>
          </w:p>
        </w:tc>
      </w:tr>
      <w:tr w:rsidR="00A06191" w:rsidRPr="00876240" w14:paraId="373E21E5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E3" w14:textId="2DA36D2F" w:rsidR="00A06191" w:rsidRDefault="00A0584E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Response </w:t>
            </w:r>
            <w:r w:rsidR="00F20F23">
              <w:rPr>
                <w:rFonts w:ascii="Arial" w:hAnsi="Arial" w:cs="Arial"/>
                <w:b/>
                <w:bCs/>
              </w:rPr>
              <w:t>Received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E4" w14:textId="05713955" w:rsidR="00A06191" w:rsidRPr="00876240" w:rsidRDefault="00A06191" w:rsidP="006072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BD9" w:rsidRPr="00876240" w14:paraId="373E21F0" w14:textId="77777777" w:rsidTr="002E3EFB">
        <w:trPr>
          <w:gridBefore w:val="1"/>
          <w:wBefore w:w="216" w:type="dxa"/>
          <w:trHeight w:val="1978"/>
        </w:trPr>
        <w:tc>
          <w:tcPr>
            <w:tcW w:w="9674" w:type="dxa"/>
            <w:gridSpan w:val="3"/>
            <w:shd w:val="clear" w:color="auto" w:fill="auto"/>
            <w:vAlign w:val="center"/>
          </w:tcPr>
          <w:p w14:paraId="43FEEC90" w14:textId="77777777" w:rsidR="006224F4" w:rsidRDefault="00150323" w:rsidP="002707B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50323">
              <w:rPr>
                <w:rFonts w:ascii="Arial" w:hAnsi="Arial" w:cs="Arial"/>
                <w:b/>
                <w:bCs/>
                <w:sz w:val="24"/>
                <w:szCs w:val="24"/>
              </w:rPr>
              <w:t>OfGEM Response:</w:t>
            </w:r>
          </w:p>
          <w:p w14:paraId="7A29819C" w14:textId="6959EC8A" w:rsidR="00073BA2" w:rsidRPr="00073BA2" w:rsidRDefault="00073BA2" w:rsidP="00073BA2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 w:rsidRPr="00073BA2">
              <w:rPr>
                <w:rFonts w:ascii="Arial" w:hAnsi="Arial" w:cs="Arial"/>
                <w:bCs/>
                <w:sz w:val="24"/>
                <w:szCs w:val="24"/>
              </w:rPr>
              <w:t xml:space="preserve">We confirm that the allowances quoted for NL and other networks are consistent with the output of our disaggregated allowance model, used to calculate these values. </w:t>
            </w:r>
          </w:p>
          <w:p w14:paraId="373E21EF" w14:textId="7383FBDF" w:rsidR="00073BA2" w:rsidRPr="00150323" w:rsidRDefault="00073BA2" w:rsidP="001E27BB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73BA2">
              <w:rPr>
                <w:rFonts w:ascii="Arial" w:hAnsi="Arial" w:cs="Arial"/>
                <w:bCs/>
                <w:sz w:val="24"/>
                <w:szCs w:val="24"/>
              </w:rPr>
              <w:t>Our approach to disaggregating totex allowances is outlined on p.117 and p.118 of the GD Annex in Draft Determinations.</w:t>
            </w:r>
            <w:r w:rsidR="00834B40">
              <w:rPr>
                <w:rFonts w:ascii="Arial" w:hAnsi="Arial" w:cs="Arial"/>
                <w:bCs/>
                <w:sz w:val="24"/>
                <w:szCs w:val="24"/>
              </w:rPr>
              <w:t xml:space="preserve"> Please also see the slides from the CAWG on Aug 14 2020.</w:t>
            </w:r>
            <w:bookmarkStart w:id="0" w:name="_GoBack"/>
            <w:bookmarkEnd w:id="0"/>
            <w:r w:rsidRPr="00073BA2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Activity level allowances (i.e. Tier 1 mains) are derived from disaggregating the overall efficient totex allowance. </w:t>
            </w:r>
            <w:r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Therefore, the allowances presented are inclusive of regional factors for each network.  </w:t>
            </w:r>
          </w:p>
        </w:tc>
      </w:tr>
      <w:tr w:rsidR="00133BD9" w:rsidRPr="00876240" w14:paraId="373E21F2" w14:textId="77777777" w:rsidTr="002E3EFB">
        <w:trPr>
          <w:gridBefore w:val="1"/>
          <w:wBefore w:w="216" w:type="dxa"/>
          <w:trHeight w:val="2226"/>
        </w:trPr>
        <w:tc>
          <w:tcPr>
            <w:tcW w:w="9674" w:type="dxa"/>
            <w:gridSpan w:val="3"/>
            <w:shd w:val="clear" w:color="auto" w:fill="auto"/>
            <w:noWrap/>
            <w:vAlign w:val="center"/>
            <w:hideMark/>
          </w:tcPr>
          <w:p w14:paraId="373E21F1" w14:textId="77777777" w:rsidR="00133BD9" w:rsidRPr="00150323" w:rsidRDefault="00AC6418" w:rsidP="00AC6418">
            <w:pPr>
              <w:rPr>
                <w:rFonts w:cs="Arial"/>
                <w:b/>
                <w:szCs w:val="20"/>
              </w:rPr>
            </w:pPr>
            <w:r w:rsidRPr="00150323">
              <w:rPr>
                <w:rFonts w:ascii="Arial" w:hAnsi="Arial" w:cs="Arial"/>
                <w:b/>
                <w:noProof/>
                <w:szCs w:val="20"/>
                <w:lang w:eastAsia="en-GB"/>
              </w:rPr>
              <w:lastRenderedPageBreak/>
              <w:t>A</w:t>
            </w:r>
            <w:r w:rsidR="00133BD9" w:rsidRPr="00150323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ttachments: </w:t>
            </w:r>
          </w:p>
        </w:tc>
      </w:tr>
    </w:tbl>
    <w:p w14:paraId="373E21F4" w14:textId="77777777" w:rsidR="00945C7C" w:rsidRDefault="00945C7C" w:rsidP="008A5062"/>
    <w:sectPr w:rsidR="00945C7C" w:rsidSect="008A506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3BC5BE" w14:textId="77777777" w:rsidR="00CB1AA2" w:rsidRDefault="00CB1AA2" w:rsidP="00526623">
      <w:pPr>
        <w:spacing w:after="0" w:line="240" w:lineRule="auto"/>
      </w:pPr>
      <w:r>
        <w:separator/>
      </w:r>
    </w:p>
  </w:endnote>
  <w:endnote w:type="continuationSeparator" w:id="0">
    <w:p w14:paraId="6E619CEC" w14:textId="77777777" w:rsidR="00CB1AA2" w:rsidRDefault="00CB1AA2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818B5" w14:textId="77777777" w:rsidR="00834B40" w:rsidRDefault="00834B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062444" w14:textId="77777777" w:rsidR="00834B40" w:rsidRDefault="00834B4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FE6E58" w14:textId="77777777" w:rsidR="00834B40" w:rsidRDefault="00834B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1B91FA" w14:textId="77777777" w:rsidR="00CB1AA2" w:rsidRDefault="00CB1AA2" w:rsidP="00526623">
      <w:pPr>
        <w:spacing w:after="0" w:line="240" w:lineRule="auto"/>
      </w:pPr>
      <w:r>
        <w:separator/>
      </w:r>
    </w:p>
  </w:footnote>
  <w:footnote w:type="continuationSeparator" w:id="0">
    <w:p w14:paraId="3B6BC69F" w14:textId="77777777" w:rsidR="00CB1AA2" w:rsidRDefault="00CB1AA2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5BC50" w14:textId="77777777" w:rsidR="00834B40" w:rsidRDefault="00834B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5AD0E4" w14:textId="77777777" w:rsidR="00834B40" w:rsidRDefault="00834B4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D5049E" w14:textId="77777777" w:rsidR="00834B40" w:rsidRDefault="00834B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E71B5"/>
    <w:multiLevelType w:val="hybridMultilevel"/>
    <w:tmpl w:val="D68A1C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71387"/>
    <w:multiLevelType w:val="hybridMultilevel"/>
    <w:tmpl w:val="D91A72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D32123"/>
    <w:multiLevelType w:val="hybridMultilevel"/>
    <w:tmpl w:val="95847244"/>
    <w:lvl w:ilvl="0" w:tplc="D64A70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5"/>
  </w:num>
  <w:num w:numId="5">
    <w:abstractNumId w:val="4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2695F"/>
    <w:rsid w:val="00041711"/>
    <w:rsid w:val="000436C2"/>
    <w:rsid w:val="000473D3"/>
    <w:rsid w:val="00050C54"/>
    <w:rsid w:val="00073BA2"/>
    <w:rsid w:val="000B0536"/>
    <w:rsid w:val="0010126C"/>
    <w:rsid w:val="00107296"/>
    <w:rsid w:val="001143BF"/>
    <w:rsid w:val="00133BD9"/>
    <w:rsid w:val="00133CFC"/>
    <w:rsid w:val="00150323"/>
    <w:rsid w:val="00172809"/>
    <w:rsid w:val="001E27BB"/>
    <w:rsid w:val="00206D5F"/>
    <w:rsid w:val="00233064"/>
    <w:rsid w:val="002707B1"/>
    <w:rsid w:val="00291D51"/>
    <w:rsid w:val="00293724"/>
    <w:rsid w:val="002A4AD8"/>
    <w:rsid w:val="002B4955"/>
    <w:rsid w:val="002E3EFB"/>
    <w:rsid w:val="003043A4"/>
    <w:rsid w:val="00342E6F"/>
    <w:rsid w:val="003452B0"/>
    <w:rsid w:val="00360385"/>
    <w:rsid w:val="00385085"/>
    <w:rsid w:val="003B3576"/>
    <w:rsid w:val="00400822"/>
    <w:rsid w:val="004C4D2B"/>
    <w:rsid w:val="00503895"/>
    <w:rsid w:val="00520274"/>
    <w:rsid w:val="00526623"/>
    <w:rsid w:val="00526A8E"/>
    <w:rsid w:val="00534E92"/>
    <w:rsid w:val="00536220"/>
    <w:rsid w:val="00584F30"/>
    <w:rsid w:val="005A506C"/>
    <w:rsid w:val="005A74DE"/>
    <w:rsid w:val="005E2894"/>
    <w:rsid w:val="0060723D"/>
    <w:rsid w:val="006224F4"/>
    <w:rsid w:val="006279ED"/>
    <w:rsid w:val="006847DA"/>
    <w:rsid w:val="006B26DE"/>
    <w:rsid w:val="006E7427"/>
    <w:rsid w:val="00716508"/>
    <w:rsid w:val="007400B7"/>
    <w:rsid w:val="00753976"/>
    <w:rsid w:val="007649AC"/>
    <w:rsid w:val="00772D1E"/>
    <w:rsid w:val="007974DA"/>
    <w:rsid w:val="007B29A9"/>
    <w:rsid w:val="007C2E37"/>
    <w:rsid w:val="007D7648"/>
    <w:rsid w:val="008170C7"/>
    <w:rsid w:val="00834B40"/>
    <w:rsid w:val="00845396"/>
    <w:rsid w:val="0085400C"/>
    <w:rsid w:val="008A5062"/>
    <w:rsid w:val="008B3636"/>
    <w:rsid w:val="008B7043"/>
    <w:rsid w:val="008C5A35"/>
    <w:rsid w:val="00924DEC"/>
    <w:rsid w:val="00937BF5"/>
    <w:rsid w:val="00942721"/>
    <w:rsid w:val="00945C7C"/>
    <w:rsid w:val="00946125"/>
    <w:rsid w:val="009845A8"/>
    <w:rsid w:val="009A5448"/>
    <w:rsid w:val="009B26A0"/>
    <w:rsid w:val="009B7577"/>
    <w:rsid w:val="009D4F56"/>
    <w:rsid w:val="00A054D1"/>
    <w:rsid w:val="00A0584E"/>
    <w:rsid w:val="00A06191"/>
    <w:rsid w:val="00A56CF3"/>
    <w:rsid w:val="00A922CF"/>
    <w:rsid w:val="00AC6418"/>
    <w:rsid w:val="00AE2C71"/>
    <w:rsid w:val="00AF2854"/>
    <w:rsid w:val="00B33BDA"/>
    <w:rsid w:val="00B378CC"/>
    <w:rsid w:val="00B41AEB"/>
    <w:rsid w:val="00B82400"/>
    <w:rsid w:val="00B867DB"/>
    <w:rsid w:val="00B86DDF"/>
    <w:rsid w:val="00BA4154"/>
    <w:rsid w:val="00BA5A79"/>
    <w:rsid w:val="00BB4793"/>
    <w:rsid w:val="00BB56A8"/>
    <w:rsid w:val="00BB682C"/>
    <w:rsid w:val="00BD48A8"/>
    <w:rsid w:val="00C10D99"/>
    <w:rsid w:val="00C57345"/>
    <w:rsid w:val="00C814D0"/>
    <w:rsid w:val="00CA4297"/>
    <w:rsid w:val="00CB1AA2"/>
    <w:rsid w:val="00CC7214"/>
    <w:rsid w:val="00CF22EF"/>
    <w:rsid w:val="00D1736D"/>
    <w:rsid w:val="00D50036"/>
    <w:rsid w:val="00D53135"/>
    <w:rsid w:val="00D81399"/>
    <w:rsid w:val="00DA4D94"/>
    <w:rsid w:val="00E040EA"/>
    <w:rsid w:val="00E525E0"/>
    <w:rsid w:val="00E55A7F"/>
    <w:rsid w:val="00E566F5"/>
    <w:rsid w:val="00EB123E"/>
    <w:rsid w:val="00EB179A"/>
    <w:rsid w:val="00EB2613"/>
    <w:rsid w:val="00EE1C79"/>
    <w:rsid w:val="00F129C1"/>
    <w:rsid w:val="00F20F23"/>
    <w:rsid w:val="00F23B18"/>
    <w:rsid w:val="00F31270"/>
    <w:rsid w:val="00F678C1"/>
    <w:rsid w:val="00F82AB4"/>
    <w:rsid w:val="00F976B0"/>
    <w:rsid w:val="00FB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631298fc-6a88-4548-b7d9-3b164918c4a3"/>
    <ds:schemaRef ds:uri="http://schemas.microsoft.com/office/2006/documentManagement/types"/>
    <ds:schemaRef ds:uri="http://www.w3.org/XML/1998/namespace"/>
    <ds:schemaRef ds:uri="http://schemas.microsoft.com/sharepoint/v3/fields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1DE2846D-B529-46CF-B508-FCE141C56619}"/>
</file>

<file path=customXml/itemProps4.xml><?xml version="1.0" encoding="utf-8"?>
<ds:datastoreItem xmlns:ds="http://schemas.openxmlformats.org/officeDocument/2006/customXml" ds:itemID="{23D45F32-9BFD-412E-A716-F257DC7C0BF6}"/>
</file>

<file path=customXml/itemProps5.xml><?xml version="1.0" encoding="utf-8"?>
<ds:datastoreItem xmlns:ds="http://schemas.openxmlformats.org/officeDocument/2006/customXml" ds:itemID="{ECE00CCA-AE20-40F6-B770-3C886C1F35F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Callum Mayfield</cp:lastModifiedBy>
  <cp:revision>4</cp:revision>
  <dcterms:created xsi:type="dcterms:W3CDTF">2020-08-11T10:29:00Z</dcterms:created>
  <dcterms:modified xsi:type="dcterms:W3CDTF">2020-08-14T13:23:00Z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