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3"/>
        <w:gridCol w:w="7391"/>
      </w:tblGrid>
      <w:tr w:rsidR="00133BD9" w:rsidRPr="00876240" w14:paraId="373E21CB" w14:textId="77777777" w:rsidTr="00AC6418">
        <w:trPr>
          <w:trHeight w:val="315"/>
        </w:trPr>
        <w:tc>
          <w:tcPr>
            <w:tcW w:w="9674" w:type="dxa"/>
            <w:gridSpan w:val="2"/>
            <w:tcBorders>
              <w:top w:val="nil"/>
              <w:left w:val="nil"/>
              <w:bottom w:val="nil"/>
              <w:right w:val="nil"/>
            </w:tcBorders>
            <w:shd w:val="clear" w:color="auto" w:fill="auto"/>
            <w:noWrap/>
            <w:vAlign w:val="center"/>
            <w:hideMark/>
          </w:tcPr>
          <w:p w14:paraId="373E21CA" w14:textId="68C85E52" w:rsidR="00133BD9" w:rsidRPr="00876240" w:rsidRDefault="00A27E92" w:rsidP="00A27E92">
            <w:pPr>
              <w:rPr>
                <w:rFonts w:ascii="Arial" w:hAnsi="Arial" w:cs="Arial"/>
                <w:b/>
                <w:bCs/>
                <w:sz w:val="24"/>
                <w:szCs w:val="24"/>
              </w:rPr>
            </w:pPr>
            <w:r>
              <w:rPr>
                <w:rFonts w:ascii="Arial" w:hAnsi="Arial" w:cs="Arial"/>
                <w:b/>
                <w:bCs/>
              </w:rPr>
              <w:t>Draft</w:t>
            </w:r>
            <w:r w:rsidR="00A0584E">
              <w:rPr>
                <w:rFonts w:ascii="Arial" w:hAnsi="Arial" w:cs="Arial"/>
                <w:b/>
                <w:bCs/>
              </w:rPr>
              <w:t xml:space="preserve"> </w:t>
            </w:r>
            <w:r>
              <w:rPr>
                <w:rFonts w:ascii="Arial" w:hAnsi="Arial" w:cs="Arial"/>
                <w:b/>
                <w:bCs/>
              </w:rPr>
              <w:t>Determination Publication</w:t>
            </w:r>
          </w:p>
        </w:tc>
      </w:tr>
      <w:tr w:rsidR="00133BD9" w:rsidRPr="00876240" w14:paraId="373E21CD" w14:textId="77777777" w:rsidTr="00AC6418">
        <w:trPr>
          <w:trHeight w:val="315"/>
        </w:trPr>
        <w:tc>
          <w:tcPr>
            <w:tcW w:w="9674" w:type="dxa"/>
            <w:gridSpan w:val="2"/>
            <w:tcBorders>
              <w:top w:val="nil"/>
              <w:left w:val="nil"/>
              <w:right w:val="nil"/>
            </w:tcBorders>
            <w:shd w:val="clear" w:color="auto" w:fill="auto"/>
            <w:noWrap/>
            <w:vAlign w:val="center"/>
            <w:hideMark/>
          </w:tcPr>
          <w:p w14:paraId="373E21CC" w14:textId="33A0B307" w:rsidR="00BB682C" w:rsidRPr="00876240" w:rsidRDefault="00A27E92" w:rsidP="00F24B54">
            <w:pPr>
              <w:rPr>
                <w:rFonts w:ascii="Arial" w:hAnsi="Arial" w:cs="Arial"/>
                <w:b/>
                <w:bCs/>
                <w:sz w:val="24"/>
                <w:szCs w:val="24"/>
              </w:rPr>
            </w:pPr>
            <w:r>
              <w:rPr>
                <w:rFonts w:ascii="Arial" w:hAnsi="Arial" w:cs="Arial"/>
                <w:b/>
                <w:bCs/>
              </w:rPr>
              <w:t xml:space="preserve">Network </w:t>
            </w:r>
            <w:r w:rsidR="00F24B54">
              <w:rPr>
                <w:rFonts w:ascii="Arial" w:hAnsi="Arial" w:cs="Arial"/>
                <w:b/>
                <w:bCs/>
              </w:rPr>
              <w:t>Queries</w:t>
            </w:r>
          </w:p>
        </w:tc>
      </w:tr>
      <w:tr w:rsidR="00133BD9" w:rsidRPr="00876240" w14:paraId="373E21D0" w14:textId="77777777" w:rsidTr="00A0584E">
        <w:trPr>
          <w:trHeight w:val="614"/>
        </w:trPr>
        <w:tc>
          <w:tcPr>
            <w:tcW w:w="2283" w:type="dxa"/>
            <w:shd w:val="clear" w:color="auto" w:fill="auto"/>
            <w:vAlign w:val="center"/>
            <w:hideMark/>
          </w:tcPr>
          <w:p w14:paraId="373E21CE" w14:textId="2E2FC708" w:rsidR="00133BD9" w:rsidRPr="00876240" w:rsidRDefault="00504295" w:rsidP="00A06191">
            <w:pPr>
              <w:rPr>
                <w:rFonts w:ascii="Arial" w:hAnsi="Arial" w:cs="Arial"/>
                <w:b/>
                <w:bCs/>
                <w:sz w:val="24"/>
                <w:szCs w:val="24"/>
              </w:rPr>
            </w:pPr>
            <w:r>
              <w:rPr>
                <w:rFonts w:ascii="Arial" w:hAnsi="Arial" w:cs="Arial"/>
                <w:b/>
                <w:bCs/>
              </w:rPr>
              <w:t>Network</w:t>
            </w:r>
            <w:r w:rsidR="00A0584E">
              <w:rPr>
                <w:rFonts w:ascii="Arial" w:hAnsi="Arial" w:cs="Arial"/>
                <w:b/>
                <w:bCs/>
              </w:rPr>
              <w:t xml:space="preserve"> </w:t>
            </w:r>
            <w:r w:rsidR="00133BD9" w:rsidRPr="00876240">
              <w:rPr>
                <w:rFonts w:ascii="Arial" w:hAnsi="Arial" w:cs="Arial"/>
                <w:b/>
                <w:bCs/>
              </w:rPr>
              <w:t>Reference</w:t>
            </w:r>
            <w:r w:rsidR="00A06191">
              <w:rPr>
                <w:rFonts w:ascii="Arial" w:hAnsi="Arial" w:cs="Arial"/>
                <w:b/>
                <w:bCs/>
              </w:rPr>
              <w:t xml:space="preserve"> number</w:t>
            </w:r>
          </w:p>
        </w:tc>
        <w:tc>
          <w:tcPr>
            <w:tcW w:w="7391" w:type="dxa"/>
            <w:shd w:val="clear" w:color="auto" w:fill="auto"/>
            <w:vAlign w:val="center"/>
          </w:tcPr>
          <w:p w14:paraId="373E21CF" w14:textId="6B31700D" w:rsidR="00133BD9" w:rsidRPr="00876240" w:rsidRDefault="001B0622" w:rsidP="00504295">
            <w:pPr>
              <w:rPr>
                <w:rFonts w:ascii="Arial" w:hAnsi="Arial" w:cs="Arial"/>
                <w:sz w:val="24"/>
                <w:szCs w:val="24"/>
              </w:rPr>
            </w:pPr>
            <w:r>
              <w:rPr>
                <w:rFonts w:ascii="Arial" w:hAnsi="Arial" w:cs="Arial"/>
                <w:sz w:val="24"/>
                <w:szCs w:val="24"/>
              </w:rPr>
              <w:t>CADENT</w:t>
            </w:r>
            <w:r w:rsidR="00504295">
              <w:rPr>
                <w:rFonts w:ascii="Arial" w:hAnsi="Arial" w:cs="Arial"/>
                <w:sz w:val="24"/>
                <w:szCs w:val="24"/>
              </w:rPr>
              <w:t xml:space="preserve"> </w:t>
            </w:r>
            <w:r w:rsidR="006279ED" w:rsidRPr="006279ED">
              <w:rPr>
                <w:rFonts w:ascii="Arial" w:hAnsi="Arial" w:cs="Arial"/>
                <w:sz w:val="24"/>
                <w:szCs w:val="24"/>
              </w:rPr>
              <w:t>_</w:t>
            </w:r>
            <w:r w:rsidR="006B18F6">
              <w:rPr>
                <w:rFonts w:ascii="Arial" w:hAnsi="Arial" w:cs="Arial"/>
                <w:sz w:val="24"/>
                <w:szCs w:val="24"/>
              </w:rPr>
              <w:t>DDQ_</w:t>
            </w:r>
            <w:r w:rsidR="005D5349">
              <w:rPr>
                <w:rFonts w:ascii="Arial" w:hAnsi="Arial" w:cs="Arial"/>
                <w:sz w:val="24"/>
                <w:szCs w:val="24"/>
              </w:rPr>
              <w:t>102</w:t>
            </w:r>
          </w:p>
        </w:tc>
      </w:tr>
      <w:tr w:rsidR="00A06191" w:rsidRPr="00876240" w14:paraId="373E21D3" w14:textId="77777777" w:rsidTr="00AC6418">
        <w:trPr>
          <w:trHeight w:val="127"/>
        </w:trPr>
        <w:tc>
          <w:tcPr>
            <w:tcW w:w="2283" w:type="dxa"/>
            <w:shd w:val="clear" w:color="auto" w:fill="auto"/>
            <w:vAlign w:val="center"/>
          </w:tcPr>
          <w:p w14:paraId="373E21D1" w14:textId="16AF9048" w:rsidR="00A06191" w:rsidRPr="00876240" w:rsidRDefault="00504295" w:rsidP="00A0584E">
            <w:pPr>
              <w:rPr>
                <w:rFonts w:ascii="Arial" w:hAnsi="Arial" w:cs="Arial"/>
                <w:b/>
                <w:bCs/>
              </w:rPr>
            </w:pPr>
            <w:r>
              <w:rPr>
                <w:rFonts w:ascii="Arial" w:hAnsi="Arial" w:cs="Arial"/>
                <w:b/>
                <w:bCs/>
              </w:rPr>
              <w:t>Licence</w:t>
            </w:r>
          </w:p>
        </w:tc>
        <w:tc>
          <w:tcPr>
            <w:tcW w:w="7391" w:type="dxa"/>
            <w:shd w:val="clear" w:color="auto" w:fill="auto"/>
            <w:vAlign w:val="center"/>
          </w:tcPr>
          <w:p w14:paraId="373E21D2" w14:textId="02CDDDAA" w:rsidR="00A06191" w:rsidRPr="00876240" w:rsidRDefault="00AF7AF0" w:rsidP="00A0584E">
            <w:pPr>
              <w:rPr>
                <w:rFonts w:ascii="Arial" w:hAnsi="Arial" w:cs="Arial"/>
                <w:sz w:val="24"/>
                <w:szCs w:val="24"/>
              </w:rPr>
            </w:pPr>
            <w:r>
              <w:rPr>
                <w:rFonts w:ascii="Arial" w:hAnsi="Arial" w:cs="Arial"/>
                <w:sz w:val="24"/>
                <w:szCs w:val="24"/>
              </w:rPr>
              <w:t>Cadent</w:t>
            </w:r>
          </w:p>
        </w:tc>
      </w:tr>
      <w:tr w:rsidR="00A06191" w:rsidRPr="00876240" w14:paraId="373E21D6" w14:textId="77777777" w:rsidTr="00AC6418">
        <w:trPr>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shd w:val="clear" w:color="auto" w:fill="auto"/>
            <w:vAlign w:val="center"/>
          </w:tcPr>
          <w:p w14:paraId="373E21D5" w14:textId="338AC333" w:rsidR="00A06191" w:rsidRPr="00876240" w:rsidRDefault="00AF7AF0" w:rsidP="0060723D">
            <w:pPr>
              <w:rPr>
                <w:rFonts w:ascii="Arial" w:hAnsi="Arial" w:cs="Arial"/>
                <w:sz w:val="24"/>
                <w:szCs w:val="24"/>
              </w:rPr>
            </w:pPr>
            <w:r>
              <w:rPr>
                <w:rFonts w:ascii="Arial" w:hAnsi="Arial" w:cs="Arial"/>
                <w:sz w:val="24"/>
                <w:szCs w:val="24"/>
              </w:rPr>
              <w:t>Disaggregation model</w:t>
            </w:r>
          </w:p>
        </w:tc>
      </w:tr>
      <w:tr w:rsidR="00A06191" w:rsidRPr="00876240" w14:paraId="373E21D9" w14:textId="77777777" w:rsidTr="00AC6418">
        <w:trPr>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shd w:val="clear" w:color="auto" w:fill="auto"/>
            <w:vAlign w:val="center"/>
          </w:tcPr>
          <w:p w14:paraId="69BFBFBA" w14:textId="77777777" w:rsidR="00DB3258" w:rsidRDefault="00AF7AF0" w:rsidP="003F22F3">
            <w:pPr>
              <w:rPr>
                <w:rFonts w:ascii="Arial" w:hAnsi="Arial" w:cs="Arial"/>
                <w:sz w:val="24"/>
                <w:szCs w:val="24"/>
              </w:rPr>
            </w:pPr>
            <w:r>
              <w:rPr>
                <w:rFonts w:ascii="Arial" w:hAnsi="Arial" w:cs="Arial"/>
                <w:sz w:val="24"/>
                <w:szCs w:val="24"/>
              </w:rPr>
              <w:t xml:space="preserve">Thank you for sharing the disaggregation model you are proposing to use for repex. </w:t>
            </w:r>
          </w:p>
          <w:p w14:paraId="36889B57" w14:textId="1B85473C" w:rsidR="00DB3258" w:rsidRDefault="00AF7AF0" w:rsidP="003F22F3">
            <w:pPr>
              <w:rPr>
                <w:rFonts w:ascii="Arial" w:hAnsi="Arial" w:cs="Arial"/>
                <w:sz w:val="24"/>
                <w:szCs w:val="24"/>
              </w:rPr>
            </w:pPr>
            <w:r>
              <w:rPr>
                <w:rFonts w:ascii="Arial" w:hAnsi="Arial" w:cs="Arial"/>
                <w:sz w:val="24"/>
                <w:szCs w:val="24"/>
              </w:rPr>
              <w:t>We are still reviewing the model</w:t>
            </w:r>
            <w:r w:rsidR="00DB3258">
              <w:rPr>
                <w:rFonts w:ascii="Arial" w:hAnsi="Arial" w:cs="Arial"/>
                <w:sz w:val="24"/>
                <w:szCs w:val="24"/>
              </w:rPr>
              <w:t>, and as we suspect there are errors in the model we want to our ensure our comprehension is correct, and therefore have following questions:</w:t>
            </w:r>
          </w:p>
          <w:p w14:paraId="7B1F6E12" w14:textId="34855243" w:rsidR="00AF7AF0" w:rsidRDefault="00AF7AF0" w:rsidP="00AF7AF0">
            <w:pPr>
              <w:pStyle w:val="ListParagraph"/>
              <w:numPr>
                <w:ilvl w:val="0"/>
                <w:numId w:val="4"/>
              </w:numPr>
              <w:rPr>
                <w:rFonts w:ascii="Arial" w:hAnsi="Arial" w:cs="Arial"/>
                <w:sz w:val="24"/>
                <w:szCs w:val="24"/>
              </w:rPr>
            </w:pPr>
            <w:r>
              <w:rPr>
                <w:rFonts w:ascii="Arial" w:hAnsi="Arial" w:cs="Arial"/>
                <w:sz w:val="24"/>
                <w:szCs w:val="24"/>
              </w:rPr>
              <w:t xml:space="preserve">The sheets in the model use various combinations of subtotals to show both submitted costs and allowed costs. These are not clearly labelled, so it is not clear whether there is double counting in the files, in addition it is not clear which lines you intend to use for setting PCDs. </w:t>
            </w:r>
          </w:p>
          <w:p w14:paraId="79B1AF00" w14:textId="5124CA93" w:rsidR="00AF7AF0" w:rsidRPr="00DB3258" w:rsidRDefault="00AF7AF0" w:rsidP="00AF7AF0">
            <w:pPr>
              <w:ind w:left="720"/>
              <w:rPr>
                <w:rFonts w:ascii="Arial" w:hAnsi="Arial" w:cs="Arial"/>
                <w:sz w:val="24"/>
                <w:szCs w:val="24"/>
                <w:u w:val="single"/>
              </w:rPr>
            </w:pPr>
            <w:r w:rsidRPr="00DB3258">
              <w:rPr>
                <w:rFonts w:ascii="Arial" w:hAnsi="Arial" w:cs="Arial"/>
                <w:sz w:val="24"/>
                <w:szCs w:val="24"/>
                <w:u w:val="single"/>
              </w:rPr>
              <w:t xml:space="preserve">Could you confirm which lines in the sheets “Cal_Submitted </w:t>
            </w:r>
            <w:r w:rsidR="00A04F0D" w:rsidRPr="00DB3258">
              <w:rPr>
                <w:rFonts w:ascii="Arial" w:hAnsi="Arial" w:cs="Arial"/>
                <w:sz w:val="24"/>
                <w:szCs w:val="24"/>
                <w:u w:val="single"/>
              </w:rPr>
              <w:t>Costs” and</w:t>
            </w:r>
            <w:r w:rsidRPr="00DB3258">
              <w:rPr>
                <w:rFonts w:ascii="Arial" w:hAnsi="Arial" w:cs="Arial"/>
                <w:sz w:val="24"/>
                <w:szCs w:val="24"/>
                <w:u w:val="single"/>
              </w:rPr>
              <w:t xml:space="preserve"> “Out_DisagAllow_Efficient” are intended to be sub-totals, and which lines in the “Out_DisagAllow_Efficient”</w:t>
            </w:r>
            <w:r w:rsidR="00A04F0D" w:rsidRPr="00DB3258">
              <w:rPr>
                <w:rFonts w:ascii="Arial" w:hAnsi="Arial" w:cs="Arial"/>
                <w:sz w:val="24"/>
                <w:szCs w:val="24"/>
                <w:u w:val="single"/>
              </w:rPr>
              <w:t xml:space="preserve"> </w:t>
            </w:r>
            <w:r w:rsidRPr="00DB3258">
              <w:rPr>
                <w:rFonts w:ascii="Arial" w:hAnsi="Arial" w:cs="Arial"/>
                <w:sz w:val="24"/>
                <w:szCs w:val="24"/>
                <w:u w:val="single"/>
              </w:rPr>
              <w:t xml:space="preserve">are intended to be used for setting </w:t>
            </w:r>
            <w:r w:rsidR="00A04F0D" w:rsidRPr="00DB3258">
              <w:rPr>
                <w:rFonts w:ascii="Arial" w:hAnsi="Arial" w:cs="Arial"/>
                <w:sz w:val="24"/>
                <w:szCs w:val="24"/>
                <w:u w:val="single"/>
              </w:rPr>
              <w:t>PCDs?</w:t>
            </w:r>
          </w:p>
          <w:p w14:paraId="43BDB250" w14:textId="77777777" w:rsidR="00AF7AF0" w:rsidRDefault="00AF7AF0" w:rsidP="00AF7AF0">
            <w:pPr>
              <w:pStyle w:val="ListParagraph"/>
              <w:rPr>
                <w:rFonts w:ascii="Arial" w:hAnsi="Arial" w:cs="Arial"/>
                <w:sz w:val="24"/>
                <w:szCs w:val="24"/>
              </w:rPr>
            </w:pPr>
          </w:p>
          <w:p w14:paraId="36D3D5C8" w14:textId="7D3903C9" w:rsidR="00AF7AF0" w:rsidRDefault="00AF7AF0" w:rsidP="00AF7AF0">
            <w:pPr>
              <w:pStyle w:val="ListParagraph"/>
              <w:numPr>
                <w:ilvl w:val="0"/>
                <w:numId w:val="4"/>
              </w:numPr>
              <w:rPr>
                <w:rFonts w:ascii="Arial" w:hAnsi="Arial" w:cs="Arial"/>
                <w:sz w:val="24"/>
                <w:szCs w:val="24"/>
              </w:rPr>
            </w:pPr>
            <w:r>
              <w:rPr>
                <w:rFonts w:ascii="Arial" w:hAnsi="Arial" w:cs="Arial"/>
                <w:sz w:val="24"/>
                <w:szCs w:val="24"/>
              </w:rPr>
              <w:t>Linked to the above question on sub-totals, we are concerned that some of the lines that appear to be sub-totals do not reconcile with the lines we would expect. For example</w:t>
            </w:r>
            <w:r w:rsidR="00A04F0D">
              <w:rPr>
                <w:rFonts w:ascii="Arial" w:hAnsi="Arial" w:cs="Arial"/>
                <w:sz w:val="24"/>
                <w:szCs w:val="24"/>
              </w:rPr>
              <w:t xml:space="preserve">, in the “OutDisagAllow_Efficient” sheet we would expect the total of line 79 (Total Tier 1 Mains) to reconcile to rows 73 and 74 (Tier 1 Mains CI &amp; SI and Tier 1 Mains SI) but it doesn’t. </w:t>
            </w:r>
            <w:r w:rsidR="00A04F0D" w:rsidRPr="00DB3258">
              <w:rPr>
                <w:rFonts w:ascii="Arial" w:hAnsi="Arial" w:cs="Arial"/>
                <w:sz w:val="24"/>
                <w:szCs w:val="24"/>
                <w:u w:val="single"/>
              </w:rPr>
              <w:t>Can you confirm whether this is an error, and if it is we recommend you review the other sub-totals.</w:t>
            </w:r>
          </w:p>
          <w:p w14:paraId="079D3213" w14:textId="77777777" w:rsidR="00AF7AF0" w:rsidRDefault="00AF7AF0" w:rsidP="00AF7AF0">
            <w:pPr>
              <w:pStyle w:val="ListParagraph"/>
              <w:rPr>
                <w:rFonts w:ascii="Arial" w:hAnsi="Arial" w:cs="Arial"/>
                <w:sz w:val="24"/>
                <w:szCs w:val="24"/>
              </w:rPr>
            </w:pPr>
          </w:p>
          <w:p w14:paraId="373E21D8" w14:textId="5ABB6C23" w:rsidR="00504295" w:rsidRPr="006167CD" w:rsidRDefault="00AF7AF0" w:rsidP="003F22F3">
            <w:pPr>
              <w:pStyle w:val="ListParagraph"/>
              <w:numPr>
                <w:ilvl w:val="0"/>
                <w:numId w:val="4"/>
              </w:numPr>
              <w:rPr>
                <w:rFonts w:ascii="Arial" w:hAnsi="Arial" w:cs="Arial"/>
                <w:sz w:val="24"/>
                <w:szCs w:val="24"/>
              </w:rPr>
            </w:pPr>
            <w:r>
              <w:rPr>
                <w:rFonts w:ascii="Arial" w:hAnsi="Arial" w:cs="Arial"/>
                <w:sz w:val="24"/>
                <w:szCs w:val="24"/>
              </w:rPr>
              <w:t xml:space="preserve">In the Cal_AdjCosts sheet and “Cal_Agg” sheet you appear to only be removing exclusions from our submitted costs but not adjusting for reclassifications. For example, for EoE the model removes £57m of repex costs but does not add back in £16.5m of costs for reclassification for reinforcement for </w:t>
            </w:r>
            <w:r>
              <w:rPr>
                <w:rFonts w:ascii="Arial" w:hAnsi="Arial" w:cs="Arial"/>
                <w:sz w:val="24"/>
                <w:szCs w:val="24"/>
              </w:rPr>
              <w:lastRenderedPageBreak/>
              <w:t>insertions.</w:t>
            </w:r>
            <w:r w:rsidRPr="00DB3258">
              <w:rPr>
                <w:rFonts w:ascii="Arial" w:hAnsi="Arial" w:cs="Arial"/>
                <w:sz w:val="24"/>
                <w:szCs w:val="24"/>
                <w:u w:val="single"/>
              </w:rPr>
              <w:t xml:space="preserve"> Could you confirm this is an error, and if not explain why the reclassifications to repex are not added in?</w:t>
            </w:r>
          </w:p>
        </w:tc>
      </w:tr>
      <w:tr w:rsidR="007D4FD3" w:rsidRPr="00876240" w14:paraId="5F8D3819" w14:textId="77777777" w:rsidTr="00AC6418">
        <w:trPr>
          <w:trHeight w:val="127"/>
        </w:trPr>
        <w:tc>
          <w:tcPr>
            <w:tcW w:w="2283" w:type="dxa"/>
            <w:shd w:val="clear" w:color="auto" w:fill="auto"/>
            <w:vAlign w:val="center"/>
          </w:tcPr>
          <w:p w14:paraId="0A404F89" w14:textId="31BC3C7C" w:rsidR="007D4FD3" w:rsidRDefault="007D4FD3" w:rsidP="00945C7C">
            <w:pPr>
              <w:rPr>
                <w:rFonts w:ascii="Arial" w:hAnsi="Arial" w:cs="Arial"/>
                <w:b/>
                <w:bCs/>
              </w:rPr>
            </w:pPr>
            <w:r>
              <w:rPr>
                <w:rFonts w:ascii="Arial" w:hAnsi="Arial" w:cs="Arial"/>
                <w:b/>
                <w:bCs/>
              </w:rPr>
              <w:lastRenderedPageBreak/>
              <w:t>Confidential</w:t>
            </w:r>
          </w:p>
        </w:tc>
        <w:tc>
          <w:tcPr>
            <w:tcW w:w="7391" w:type="dxa"/>
            <w:shd w:val="clear" w:color="auto" w:fill="auto"/>
            <w:vAlign w:val="center"/>
          </w:tcPr>
          <w:p w14:paraId="6038010D" w14:textId="08521E65" w:rsidR="007D4FD3" w:rsidRDefault="00A04F0D" w:rsidP="007D4FD3">
            <w:pPr>
              <w:rPr>
                <w:rFonts w:ascii="Arial" w:hAnsi="Arial" w:cs="Arial"/>
                <w:sz w:val="24"/>
                <w:szCs w:val="24"/>
              </w:rPr>
            </w:pPr>
            <w:r>
              <w:rPr>
                <w:rFonts w:ascii="Arial" w:hAnsi="Arial" w:cs="Arial"/>
                <w:sz w:val="24"/>
                <w:szCs w:val="24"/>
              </w:rPr>
              <w:t>No</w:t>
            </w:r>
          </w:p>
        </w:tc>
      </w:tr>
      <w:tr w:rsidR="00947682" w:rsidRPr="00876240" w14:paraId="3683392D" w14:textId="77777777" w:rsidTr="00AC6418">
        <w:trPr>
          <w:trHeight w:val="127"/>
        </w:trPr>
        <w:tc>
          <w:tcPr>
            <w:tcW w:w="2283" w:type="dxa"/>
            <w:shd w:val="clear" w:color="auto" w:fill="auto"/>
            <w:vAlign w:val="center"/>
          </w:tcPr>
          <w:p w14:paraId="22B19954" w14:textId="1C953726" w:rsidR="00947682" w:rsidRDefault="00947682" w:rsidP="00947682">
            <w:pPr>
              <w:rPr>
                <w:rFonts w:ascii="Arial" w:hAnsi="Arial" w:cs="Arial"/>
                <w:b/>
                <w:bCs/>
              </w:rPr>
            </w:pPr>
            <w:r>
              <w:rPr>
                <w:rFonts w:ascii="Arial" w:hAnsi="Arial" w:cs="Arial"/>
                <w:b/>
                <w:bCs/>
              </w:rPr>
              <w:t xml:space="preserve">DDQ raised by </w:t>
            </w:r>
          </w:p>
        </w:tc>
        <w:tc>
          <w:tcPr>
            <w:tcW w:w="7391" w:type="dxa"/>
            <w:shd w:val="clear" w:color="auto" w:fill="auto"/>
            <w:vAlign w:val="center"/>
          </w:tcPr>
          <w:p w14:paraId="1253DE48" w14:textId="598C2F15" w:rsidR="00947682" w:rsidRDefault="00A04F0D" w:rsidP="00947682">
            <w:pPr>
              <w:rPr>
                <w:rFonts w:ascii="Arial" w:hAnsi="Arial" w:cs="Arial"/>
                <w:sz w:val="24"/>
                <w:szCs w:val="24"/>
              </w:rPr>
            </w:pPr>
            <w:r>
              <w:rPr>
                <w:rFonts w:ascii="Arial" w:hAnsi="Arial" w:cs="Arial"/>
                <w:sz w:val="24"/>
                <w:szCs w:val="24"/>
              </w:rPr>
              <w:t>Kate Haycock</w:t>
            </w:r>
          </w:p>
        </w:tc>
      </w:tr>
      <w:tr w:rsidR="00A06191" w:rsidRPr="00876240" w14:paraId="373E21DF" w14:textId="77777777" w:rsidTr="00AC6418">
        <w:trPr>
          <w:trHeight w:val="127"/>
        </w:trPr>
        <w:tc>
          <w:tcPr>
            <w:tcW w:w="2283" w:type="dxa"/>
            <w:shd w:val="clear" w:color="auto" w:fill="auto"/>
            <w:vAlign w:val="center"/>
          </w:tcPr>
          <w:p w14:paraId="373E21DD" w14:textId="25DD465C" w:rsidR="00A06191" w:rsidRDefault="00A06191" w:rsidP="00504295">
            <w:pPr>
              <w:rPr>
                <w:rFonts w:ascii="Arial" w:hAnsi="Arial" w:cs="Arial"/>
                <w:b/>
                <w:bCs/>
              </w:rPr>
            </w:pPr>
            <w:r>
              <w:rPr>
                <w:rFonts w:ascii="Arial" w:hAnsi="Arial" w:cs="Arial"/>
                <w:b/>
                <w:bCs/>
              </w:rPr>
              <w:t xml:space="preserve">Date </w:t>
            </w:r>
            <w:r w:rsidR="001E129D">
              <w:rPr>
                <w:rFonts w:ascii="Arial" w:hAnsi="Arial" w:cs="Arial"/>
                <w:b/>
                <w:bCs/>
              </w:rPr>
              <w:t xml:space="preserve">query raised </w:t>
            </w:r>
          </w:p>
        </w:tc>
        <w:tc>
          <w:tcPr>
            <w:tcW w:w="7391" w:type="dxa"/>
            <w:shd w:val="clear" w:color="auto" w:fill="auto"/>
            <w:vAlign w:val="center"/>
          </w:tcPr>
          <w:p w14:paraId="373E21DE" w14:textId="28AAFB14" w:rsidR="00F82AB4" w:rsidRPr="00876240" w:rsidRDefault="00A04F0D" w:rsidP="00504295">
            <w:pPr>
              <w:rPr>
                <w:rFonts w:ascii="Arial" w:hAnsi="Arial" w:cs="Arial"/>
                <w:sz w:val="24"/>
                <w:szCs w:val="24"/>
              </w:rPr>
            </w:pPr>
            <w:r>
              <w:rPr>
                <w:rFonts w:ascii="Arial" w:hAnsi="Arial" w:cs="Arial"/>
                <w:sz w:val="24"/>
                <w:szCs w:val="24"/>
              </w:rPr>
              <w:t>25</w:t>
            </w:r>
            <w:r w:rsidR="00CF22EF">
              <w:rPr>
                <w:rFonts w:ascii="Arial" w:hAnsi="Arial" w:cs="Arial"/>
                <w:sz w:val="24"/>
                <w:szCs w:val="24"/>
              </w:rPr>
              <w:t>/0</w:t>
            </w:r>
            <w:r>
              <w:rPr>
                <w:rFonts w:ascii="Arial" w:hAnsi="Arial" w:cs="Arial"/>
                <w:sz w:val="24"/>
                <w:szCs w:val="24"/>
              </w:rPr>
              <w:t>8</w:t>
            </w:r>
            <w:r w:rsidR="00CF22EF">
              <w:rPr>
                <w:rFonts w:ascii="Arial" w:hAnsi="Arial" w:cs="Arial"/>
                <w:sz w:val="24"/>
                <w:szCs w:val="24"/>
              </w:rPr>
              <w:t>/</w:t>
            </w:r>
            <w:r w:rsidR="00937BF5">
              <w:rPr>
                <w:rFonts w:ascii="Arial" w:hAnsi="Arial" w:cs="Arial"/>
                <w:sz w:val="24"/>
                <w:szCs w:val="24"/>
              </w:rPr>
              <w:t>2020</w:t>
            </w:r>
          </w:p>
        </w:tc>
      </w:tr>
      <w:tr w:rsidR="00F24B54" w:rsidRPr="00876240" w14:paraId="503D9E6E" w14:textId="77777777" w:rsidTr="00AC6418">
        <w:trPr>
          <w:trHeight w:val="127"/>
        </w:trPr>
        <w:tc>
          <w:tcPr>
            <w:tcW w:w="2283" w:type="dxa"/>
            <w:shd w:val="clear" w:color="auto" w:fill="auto"/>
            <w:vAlign w:val="center"/>
          </w:tcPr>
          <w:p w14:paraId="35266493" w14:textId="4FD775E6" w:rsidR="00F24B54" w:rsidRDefault="00F24B54" w:rsidP="00F24B54">
            <w:pPr>
              <w:rPr>
                <w:rFonts w:ascii="Arial" w:hAnsi="Arial" w:cs="Arial"/>
                <w:b/>
                <w:bCs/>
              </w:rPr>
            </w:pPr>
            <w:r>
              <w:rPr>
                <w:rFonts w:ascii="Arial" w:hAnsi="Arial" w:cs="Arial"/>
                <w:b/>
                <w:bCs/>
              </w:rPr>
              <w:t>Expected response date</w:t>
            </w:r>
          </w:p>
        </w:tc>
        <w:tc>
          <w:tcPr>
            <w:tcW w:w="7391" w:type="dxa"/>
            <w:shd w:val="clear" w:color="auto" w:fill="auto"/>
            <w:vAlign w:val="center"/>
          </w:tcPr>
          <w:p w14:paraId="1CED21FD" w14:textId="3777526A" w:rsidR="00F24B54" w:rsidRDefault="00A04F0D" w:rsidP="00F24B54">
            <w:pPr>
              <w:rPr>
                <w:rFonts w:ascii="Arial" w:hAnsi="Arial" w:cs="Arial"/>
                <w:sz w:val="24"/>
                <w:szCs w:val="24"/>
              </w:rPr>
            </w:pPr>
            <w:r>
              <w:rPr>
                <w:rFonts w:ascii="Arial" w:hAnsi="Arial" w:cs="Arial"/>
                <w:sz w:val="24"/>
                <w:szCs w:val="24"/>
              </w:rPr>
              <w:t>01/09</w:t>
            </w:r>
            <w:r w:rsidR="00F24B54">
              <w:rPr>
                <w:rFonts w:ascii="Arial" w:hAnsi="Arial" w:cs="Arial"/>
                <w:sz w:val="24"/>
                <w:szCs w:val="24"/>
              </w:rPr>
              <w:t>/2020</w:t>
            </w:r>
          </w:p>
        </w:tc>
      </w:tr>
      <w:tr w:rsidR="00F24B54" w:rsidRPr="00876240" w14:paraId="373E21F0" w14:textId="77777777" w:rsidTr="00A0584E">
        <w:trPr>
          <w:trHeight w:val="1978"/>
        </w:trPr>
        <w:tc>
          <w:tcPr>
            <w:tcW w:w="9674" w:type="dxa"/>
            <w:gridSpan w:val="2"/>
            <w:shd w:val="clear" w:color="auto" w:fill="auto"/>
            <w:vAlign w:val="center"/>
            <w:hideMark/>
          </w:tcPr>
          <w:p w14:paraId="6004FDFE" w14:textId="4EEB047B" w:rsidR="00F24B54" w:rsidRPr="00B006FC" w:rsidRDefault="00F24B54" w:rsidP="00F24B54">
            <w:pPr>
              <w:rPr>
                <w:rFonts w:ascii="Arial" w:hAnsi="Arial" w:cs="Arial"/>
                <w:b/>
                <w:bCs/>
              </w:rPr>
            </w:pPr>
            <w:r>
              <w:rPr>
                <w:rFonts w:ascii="Arial" w:hAnsi="Arial" w:cs="Arial"/>
                <w:b/>
                <w:bCs/>
              </w:rPr>
              <w:t xml:space="preserve">Ofgem </w:t>
            </w:r>
            <w:r w:rsidRPr="00B006FC">
              <w:rPr>
                <w:rFonts w:ascii="Arial" w:hAnsi="Arial" w:cs="Arial"/>
                <w:b/>
                <w:bCs/>
              </w:rPr>
              <w:t>Response:</w:t>
            </w:r>
          </w:p>
          <w:p w14:paraId="5528F6F0" w14:textId="6E104F5C" w:rsidR="001801B1" w:rsidRDefault="001801B1" w:rsidP="00D14037">
            <w:pPr>
              <w:rPr>
                <w:rFonts w:ascii="Arial" w:hAnsi="Arial" w:cs="Arial"/>
              </w:rPr>
            </w:pPr>
            <w:r>
              <w:rPr>
                <w:rFonts w:ascii="Arial" w:hAnsi="Arial" w:cs="Arial"/>
              </w:rPr>
              <w:t>1&amp;2)</w:t>
            </w:r>
          </w:p>
          <w:p w14:paraId="75A80D7D" w14:textId="4C4A303A" w:rsidR="00F24B54" w:rsidRDefault="00D14037" w:rsidP="00D14037">
            <w:pPr>
              <w:rPr>
                <w:rFonts w:ascii="Arial" w:hAnsi="Arial" w:cs="Arial"/>
              </w:rPr>
            </w:pPr>
            <w:r>
              <w:rPr>
                <w:rFonts w:ascii="Arial" w:hAnsi="Arial" w:cs="Arial"/>
              </w:rPr>
              <w:t>Detailed description of rows provided for EoE as an example in sheet ‘</w:t>
            </w:r>
            <w:r w:rsidRPr="00D14037">
              <w:rPr>
                <w:rFonts w:ascii="Arial" w:hAnsi="Arial" w:cs="Arial"/>
              </w:rPr>
              <w:t>Cal_SubmittedCosts</w:t>
            </w:r>
            <w:r>
              <w:rPr>
                <w:rFonts w:ascii="Arial" w:hAnsi="Arial" w:cs="Arial"/>
              </w:rPr>
              <w:t>’. The same logic applies to other networks and sheet ‘</w:t>
            </w:r>
            <w:r w:rsidRPr="00D14037">
              <w:rPr>
                <w:rFonts w:ascii="Arial" w:hAnsi="Arial" w:cs="Arial"/>
              </w:rPr>
              <w:t>Out_DisagAllow_Efficient</w:t>
            </w:r>
            <w:r>
              <w:rPr>
                <w:rFonts w:ascii="Arial" w:hAnsi="Arial" w:cs="Arial"/>
              </w:rPr>
              <w:t>’.</w:t>
            </w:r>
          </w:p>
          <w:p w14:paraId="4B3260BA" w14:textId="77777777" w:rsidR="00D14037" w:rsidRDefault="00D14037" w:rsidP="00D14037">
            <w:pPr>
              <w:rPr>
                <w:rFonts w:ascii="Arial" w:hAnsi="Arial" w:cs="Arial"/>
              </w:rPr>
            </w:pPr>
            <w:r>
              <w:rPr>
                <w:rFonts w:ascii="Arial" w:hAnsi="Arial" w:cs="Arial"/>
              </w:rPr>
              <w:t>Rows 14-70: as described</w:t>
            </w:r>
          </w:p>
          <w:p w14:paraId="4BCBE95D" w14:textId="77777777" w:rsidR="00D14037" w:rsidRDefault="00D14037" w:rsidP="00D14037">
            <w:pPr>
              <w:rPr>
                <w:rFonts w:ascii="Arial" w:hAnsi="Arial" w:cs="Arial"/>
              </w:rPr>
            </w:pPr>
            <w:r>
              <w:rPr>
                <w:rFonts w:ascii="Arial" w:hAnsi="Arial" w:cs="Arial"/>
              </w:rPr>
              <w:t>Rows 73 and 74: subtotals of tier 1 ‘</w:t>
            </w:r>
            <w:r w:rsidRPr="00D14037">
              <w:rPr>
                <w:rFonts w:ascii="Arial" w:hAnsi="Arial" w:cs="Arial"/>
              </w:rPr>
              <w:t>Cast Iron &amp; Spun Iron</w:t>
            </w:r>
            <w:r>
              <w:rPr>
                <w:rFonts w:ascii="Arial" w:hAnsi="Arial" w:cs="Arial"/>
              </w:rPr>
              <w:t>’ and ‘</w:t>
            </w:r>
            <w:r w:rsidRPr="00D14037">
              <w:rPr>
                <w:rFonts w:ascii="Arial" w:hAnsi="Arial" w:cs="Arial"/>
              </w:rPr>
              <w:t>Ductile Iron: Low-Pressure</w:t>
            </w:r>
            <w:r>
              <w:rPr>
                <w:rFonts w:ascii="Arial" w:hAnsi="Arial" w:cs="Arial"/>
              </w:rPr>
              <w:t>’ respectively</w:t>
            </w:r>
          </w:p>
          <w:p w14:paraId="6729A97E" w14:textId="4CA9560C" w:rsidR="00D14037" w:rsidRDefault="00D14037" w:rsidP="00D14037">
            <w:pPr>
              <w:rPr>
                <w:rFonts w:ascii="Arial" w:hAnsi="Arial" w:cs="Arial"/>
              </w:rPr>
            </w:pPr>
            <w:r>
              <w:rPr>
                <w:rFonts w:ascii="Arial" w:hAnsi="Arial" w:cs="Arial"/>
              </w:rPr>
              <w:t>Rows 75, 76 &amp; 77: subtotals of tier 2A ‘</w:t>
            </w:r>
            <w:r w:rsidRPr="00D14037">
              <w:rPr>
                <w:rFonts w:ascii="Arial" w:hAnsi="Arial" w:cs="Arial"/>
              </w:rPr>
              <w:t>Cast Iron &amp; Spun Iron: Low-Pressure</w:t>
            </w:r>
            <w:r>
              <w:rPr>
                <w:rFonts w:ascii="Arial" w:hAnsi="Arial" w:cs="Arial"/>
              </w:rPr>
              <w:t xml:space="preserve">’, </w:t>
            </w:r>
            <w:r w:rsidRPr="00D14037">
              <w:rPr>
                <w:rFonts w:ascii="Arial" w:hAnsi="Arial" w:cs="Arial"/>
              </w:rPr>
              <w:t>Cast Iron &amp; Spun Iron: Medium-Pressure</w:t>
            </w:r>
            <w:r>
              <w:rPr>
                <w:rFonts w:ascii="Arial" w:hAnsi="Arial" w:cs="Arial"/>
              </w:rPr>
              <w:t>’ and ‘</w:t>
            </w:r>
            <w:r w:rsidRPr="00D14037">
              <w:rPr>
                <w:rFonts w:ascii="Arial" w:hAnsi="Arial" w:cs="Arial"/>
              </w:rPr>
              <w:t>Ductile Iron: Low-Pressure</w:t>
            </w:r>
            <w:r>
              <w:rPr>
                <w:rFonts w:ascii="Arial" w:hAnsi="Arial" w:cs="Arial"/>
              </w:rPr>
              <w:t>’ respectively</w:t>
            </w:r>
          </w:p>
          <w:p w14:paraId="27B2D686" w14:textId="34C14174" w:rsidR="00D14037" w:rsidRDefault="00D14037" w:rsidP="00D14037">
            <w:pPr>
              <w:rPr>
                <w:rFonts w:ascii="Arial" w:hAnsi="Arial" w:cs="Arial"/>
              </w:rPr>
            </w:pPr>
            <w:r>
              <w:rPr>
                <w:rFonts w:ascii="Arial" w:hAnsi="Arial" w:cs="Arial"/>
              </w:rPr>
              <w:t>Row 79: tier 1 including steel &lt;</w:t>
            </w:r>
            <w:r w:rsidR="00C86BAD">
              <w:rPr>
                <w:rFonts w:ascii="Arial" w:hAnsi="Arial" w:cs="Arial"/>
              </w:rPr>
              <w:t>=</w:t>
            </w:r>
            <w:r>
              <w:rPr>
                <w:rFonts w:ascii="Arial" w:hAnsi="Arial" w:cs="Arial"/>
              </w:rPr>
              <w:t>2” mains</w:t>
            </w:r>
          </w:p>
          <w:p w14:paraId="557E9AFA" w14:textId="77777777" w:rsidR="00D14037" w:rsidRDefault="00D14037" w:rsidP="00D14037">
            <w:pPr>
              <w:rPr>
                <w:rFonts w:ascii="Arial" w:hAnsi="Arial" w:cs="Arial"/>
              </w:rPr>
            </w:pPr>
            <w:r>
              <w:rPr>
                <w:rFonts w:ascii="Arial" w:hAnsi="Arial" w:cs="Arial"/>
              </w:rPr>
              <w:t>Row 80: tier 2A total mains</w:t>
            </w:r>
          </w:p>
          <w:p w14:paraId="5BD01E46" w14:textId="4770E16A" w:rsidR="00D14037" w:rsidRDefault="00D14037" w:rsidP="00D14037">
            <w:pPr>
              <w:rPr>
                <w:rFonts w:ascii="Arial" w:hAnsi="Arial" w:cs="Arial"/>
              </w:rPr>
            </w:pPr>
            <w:r>
              <w:rPr>
                <w:rFonts w:ascii="Arial" w:hAnsi="Arial" w:cs="Arial"/>
              </w:rPr>
              <w:t>Row 81: tier 2B total mains + diversions + capitalised replacement</w:t>
            </w:r>
          </w:p>
          <w:p w14:paraId="03AD41E2" w14:textId="2C87F180" w:rsidR="00D14037" w:rsidRDefault="00D14037" w:rsidP="00D14037">
            <w:pPr>
              <w:rPr>
                <w:rFonts w:ascii="Arial" w:hAnsi="Arial" w:cs="Arial"/>
              </w:rPr>
            </w:pPr>
            <w:r>
              <w:rPr>
                <w:rFonts w:ascii="Arial" w:hAnsi="Arial" w:cs="Arial"/>
              </w:rPr>
              <w:t>Row 82: tier 3 total mains + diversions + capitalised replacement</w:t>
            </w:r>
          </w:p>
          <w:p w14:paraId="76488168" w14:textId="1238B4F4" w:rsidR="00A42AC8" w:rsidRDefault="00A42AC8" w:rsidP="00D14037">
            <w:pPr>
              <w:rPr>
                <w:rFonts w:ascii="Arial" w:hAnsi="Arial" w:cs="Arial"/>
              </w:rPr>
            </w:pPr>
            <w:r>
              <w:rPr>
                <w:rFonts w:ascii="Arial" w:hAnsi="Arial" w:cs="Arial"/>
              </w:rPr>
              <w:t>Row 83: Does not illustrate steel &lt;2” mains. To obtain this value calculate difference between ‘row 79’ and sum of ‘rows 73 and 74’</w:t>
            </w:r>
          </w:p>
          <w:p w14:paraId="4BC97D44" w14:textId="040AC72E" w:rsidR="00A42AC8" w:rsidRDefault="00A42AC8" w:rsidP="00D14037">
            <w:pPr>
              <w:rPr>
                <w:rFonts w:ascii="Arial" w:hAnsi="Arial" w:cs="Arial"/>
              </w:rPr>
            </w:pPr>
            <w:r>
              <w:rPr>
                <w:rFonts w:ascii="Arial" w:hAnsi="Arial" w:cs="Arial"/>
              </w:rPr>
              <w:t>Row 84: Steel &gt;2” total mains</w:t>
            </w:r>
          </w:p>
          <w:p w14:paraId="0E57821B" w14:textId="77777777" w:rsidR="00D14037" w:rsidRDefault="00D14037" w:rsidP="00D14037">
            <w:pPr>
              <w:rPr>
                <w:rFonts w:ascii="Arial" w:hAnsi="Arial" w:cs="Arial"/>
              </w:rPr>
            </w:pPr>
            <w:r>
              <w:rPr>
                <w:rFonts w:ascii="Arial" w:hAnsi="Arial" w:cs="Arial"/>
              </w:rPr>
              <w:t xml:space="preserve">Row 85: Other Policy &amp; Condition </w:t>
            </w:r>
            <w:r w:rsidRPr="00D14037">
              <w:rPr>
                <w:rFonts w:ascii="Arial" w:hAnsi="Arial" w:cs="Arial"/>
              </w:rPr>
              <w:t>total mains + diversions + capitalised replacement</w:t>
            </w:r>
          </w:p>
          <w:p w14:paraId="23B359D0" w14:textId="77777777" w:rsidR="00D14037" w:rsidRDefault="00D14037" w:rsidP="00D14037">
            <w:pPr>
              <w:rPr>
                <w:rFonts w:ascii="Arial" w:hAnsi="Arial" w:cs="Arial"/>
              </w:rPr>
            </w:pPr>
            <w:r>
              <w:rPr>
                <w:rFonts w:ascii="Arial" w:hAnsi="Arial" w:cs="Arial"/>
              </w:rPr>
              <w:t>Row 86 Iron &gt;30m total mains + diversions + capitalised replacement</w:t>
            </w:r>
          </w:p>
          <w:p w14:paraId="52B2E714" w14:textId="77777777" w:rsidR="00D14037" w:rsidRDefault="00D14037" w:rsidP="00D14037">
            <w:pPr>
              <w:rPr>
                <w:rFonts w:ascii="Arial" w:hAnsi="Arial" w:cs="Arial"/>
              </w:rPr>
            </w:pPr>
            <w:r>
              <w:rPr>
                <w:rFonts w:ascii="Arial" w:hAnsi="Arial" w:cs="Arial"/>
              </w:rPr>
              <w:t>Row 88: tier 1 services domestic total</w:t>
            </w:r>
          </w:p>
          <w:p w14:paraId="270D5426" w14:textId="77777777" w:rsidR="00D14037" w:rsidRDefault="00D14037" w:rsidP="00D14037">
            <w:pPr>
              <w:rPr>
                <w:rFonts w:ascii="Arial" w:hAnsi="Arial" w:cs="Arial"/>
              </w:rPr>
            </w:pPr>
            <w:r>
              <w:rPr>
                <w:rFonts w:ascii="Arial" w:hAnsi="Arial" w:cs="Arial"/>
              </w:rPr>
              <w:t>Row 89: tier 1 services non-domestic total</w:t>
            </w:r>
          </w:p>
          <w:p w14:paraId="38B1D6FA" w14:textId="14D3F3EA" w:rsidR="00D14037" w:rsidRDefault="00D14037" w:rsidP="00D14037">
            <w:pPr>
              <w:rPr>
                <w:rFonts w:ascii="Arial" w:hAnsi="Arial" w:cs="Arial"/>
              </w:rPr>
            </w:pPr>
            <w:r>
              <w:rPr>
                <w:rFonts w:ascii="Arial" w:hAnsi="Arial" w:cs="Arial"/>
              </w:rPr>
              <w:t>Row 90: steel &lt;</w:t>
            </w:r>
            <w:r w:rsidR="00C86BAD">
              <w:rPr>
                <w:rFonts w:ascii="Arial" w:hAnsi="Arial" w:cs="Arial"/>
              </w:rPr>
              <w:t>=</w:t>
            </w:r>
            <w:r>
              <w:rPr>
                <w:rFonts w:ascii="Arial" w:hAnsi="Arial" w:cs="Arial"/>
              </w:rPr>
              <w:t>2” services domestic total</w:t>
            </w:r>
          </w:p>
          <w:p w14:paraId="1E5BB65B" w14:textId="22410DF5" w:rsidR="00D14037" w:rsidRDefault="00D14037" w:rsidP="00D14037">
            <w:pPr>
              <w:rPr>
                <w:rFonts w:ascii="Arial" w:hAnsi="Arial" w:cs="Arial"/>
              </w:rPr>
            </w:pPr>
            <w:r>
              <w:rPr>
                <w:rFonts w:ascii="Arial" w:hAnsi="Arial" w:cs="Arial"/>
              </w:rPr>
              <w:t xml:space="preserve">Row 91: </w:t>
            </w:r>
            <w:r w:rsidRPr="00D14037">
              <w:rPr>
                <w:rFonts w:ascii="Arial" w:hAnsi="Arial" w:cs="Arial"/>
              </w:rPr>
              <w:t>steel &lt;</w:t>
            </w:r>
            <w:r w:rsidR="00C86BAD">
              <w:rPr>
                <w:rFonts w:ascii="Arial" w:hAnsi="Arial" w:cs="Arial"/>
              </w:rPr>
              <w:t>=</w:t>
            </w:r>
            <w:r w:rsidRPr="00D14037">
              <w:rPr>
                <w:rFonts w:ascii="Arial" w:hAnsi="Arial" w:cs="Arial"/>
              </w:rPr>
              <w:t xml:space="preserve">2” services </w:t>
            </w:r>
            <w:r>
              <w:rPr>
                <w:rFonts w:ascii="Arial" w:hAnsi="Arial" w:cs="Arial"/>
              </w:rPr>
              <w:t>non-</w:t>
            </w:r>
            <w:r w:rsidRPr="00D14037">
              <w:rPr>
                <w:rFonts w:ascii="Arial" w:hAnsi="Arial" w:cs="Arial"/>
              </w:rPr>
              <w:t>domestic total</w:t>
            </w:r>
          </w:p>
          <w:p w14:paraId="45FEECA7" w14:textId="16A25725" w:rsidR="00D14037" w:rsidRDefault="00D14037" w:rsidP="00D14037">
            <w:pPr>
              <w:rPr>
                <w:rFonts w:ascii="Arial" w:hAnsi="Arial" w:cs="Arial"/>
              </w:rPr>
            </w:pPr>
            <w:r>
              <w:rPr>
                <w:rFonts w:ascii="Arial" w:hAnsi="Arial" w:cs="Arial"/>
              </w:rPr>
              <w:lastRenderedPageBreak/>
              <w:t xml:space="preserve">Row 92: tier 2A </w:t>
            </w:r>
            <w:r w:rsidR="009D616B">
              <w:rPr>
                <w:rFonts w:ascii="Arial" w:hAnsi="Arial" w:cs="Arial"/>
              </w:rPr>
              <w:t>services domestic total</w:t>
            </w:r>
          </w:p>
          <w:p w14:paraId="6CF5D6FE" w14:textId="3AA5BC05" w:rsidR="009D616B" w:rsidRDefault="009D616B" w:rsidP="00D14037">
            <w:pPr>
              <w:rPr>
                <w:rFonts w:ascii="Arial" w:hAnsi="Arial" w:cs="Arial"/>
              </w:rPr>
            </w:pPr>
            <w:r>
              <w:rPr>
                <w:rFonts w:ascii="Arial" w:hAnsi="Arial" w:cs="Arial"/>
              </w:rPr>
              <w:t>Row 93: tier 2A services non-domestic total</w:t>
            </w:r>
          </w:p>
          <w:p w14:paraId="654B1F0A" w14:textId="47CF4C29" w:rsidR="009D616B" w:rsidRDefault="009D616B" w:rsidP="00D14037">
            <w:pPr>
              <w:rPr>
                <w:rFonts w:ascii="Arial" w:hAnsi="Arial" w:cs="Arial"/>
              </w:rPr>
            </w:pPr>
            <w:r>
              <w:rPr>
                <w:rFonts w:ascii="Arial" w:hAnsi="Arial" w:cs="Arial"/>
              </w:rPr>
              <w:t>Row 95: tier1 services total</w:t>
            </w:r>
          </w:p>
          <w:p w14:paraId="76A9A97E" w14:textId="29C32AAE" w:rsidR="009D616B" w:rsidRDefault="009D616B" w:rsidP="00D14037">
            <w:pPr>
              <w:rPr>
                <w:rFonts w:ascii="Arial" w:hAnsi="Arial" w:cs="Arial"/>
              </w:rPr>
            </w:pPr>
            <w:r>
              <w:rPr>
                <w:rFonts w:ascii="Arial" w:hAnsi="Arial" w:cs="Arial"/>
              </w:rPr>
              <w:t xml:space="preserve">Row 96: steel &lt;2” </w:t>
            </w:r>
            <w:r w:rsidR="00C86BAD">
              <w:rPr>
                <w:rFonts w:ascii="Arial" w:hAnsi="Arial" w:cs="Arial"/>
              </w:rPr>
              <w:t>services total</w:t>
            </w:r>
          </w:p>
          <w:p w14:paraId="3F491EF1" w14:textId="27EE7CF6" w:rsidR="00C86BAD" w:rsidRDefault="00C86BAD" w:rsidP="00D14037">
            <w:pPr>
              <w:rPr>
                <w:rFonts w:ascii="Arial" w:hAnsi="Arial" w:cs="Arial"/>
              </w:rPr>
            </w:pPr>
            <w:r>
              <w:rPr>
                <w:rFonts w:ascii="Arial" w:hAnsi="Arial" w:cs="Arial"/>
              </w:rPr>
              <w:t>Row 97: tier 2A services total</w:t>
            </w:r>
          </w:p>
          <w:p w14:paraId="033C9FEB" w14:textId="1C537E6D" w:rsidR="00C86BAD" w:rsidRDefault="00C86BAD" w:rsidP="00D14037">
            <w:pPr>
              <w:rPr>
                <w:rFonts w:ascii="Arial" w:hAnsi="Arial" w:cs="Arial"/>
              </w:rPr>
            </w:pPr>
            <w:r>
              <w:rPr>
                <w:rFonts w:ascii="Arial" w:hAnsi="Arial" w:cs="Arial"/>
              </w:rPr>
              <w:t>Row 99: all repex services in relation to tier 1, tier 2A, tier 2B, tier 3, iron &gt;30m, steel &lt;=2”, steel &gt;2”, other policy &amp; condition, diversions, capitalised replacement and services not associated with mains.</w:t>
            </w:r>
          </w:p>
          <w:p w14:paraId="1824449A" w14:textId="77777777" w:rsidR="00D14037" w:rsidRDefault="00AE042A" w:rsidP="00D14037">
            <w:pPr>
              <w:rPr>
                <w:rFonts w:ascii="Arial" w:hAnsi="Arial" w:cs="Arial"/>
              </w:rPr>
            </w:pPr>
            <w:r>
              <w:rPr>
                <w:rFonts w:ascii="Arial" w:hAnsi="Arial" w:cs="Arial"/>
              </w:rPr>
              <w:t>Row 101: diversions rechargeable net (excluding contributions) total</w:t>
            </w:r>
          </w:p>
          <w:p w14:paraId="10F8DFDE" w14:textId="0E3A1165" w:rsidR="00AE042A" w:rsidRDefault="00AE042A" w:rsidP="00D14037">
            <w:pPr>
              <w:rPr>
                <w:rFonts w:ascii="Arial" w:hAnsi="Arial" w:cs="Arial"/>
              </w:rPr>
            </w:pPr>
            <w:r>
              <w:rPr>
                <w:rFonts w:ascii="Arial" w:hAnsi="Arial" w:cs="Arial"/>
              </w:rPr>
              <w:t>Row 102: diversions non rechargeable total</w:t>
            </w:r>
          </w:p>
          <w:p w14:paraId="64B9F767" w14:textId="06AED097" w:rsidR="00AE042A" w:rsidRDefault="00AE042A" w:rsidP="00D14037">
            <w:pPr>
              <w:rPr>
                <w:rFonts w:ascii="Arial" w:hAnsi="Arial" w:cs="Arial"/>
              </w:rPr>
            </w:pPr>
            <w:r>
              <w:rPr>
                <w:rFonts w:ascii="Arial" w:hAnsi="Arial" w:cs="Arial"/>
              </w:rPr>
              <w:t>Row 103: services diversions rechargeable total</w:t>
            </w:r>
          </w:p>
          <w:p w14:paraId="7B84D86A" w14:textId="77B5C6C2" w:rsidR="00AE042A" w:rsidRDefault="00AE042A" w:rsidP="00D14037">
            <w:pPr>
              <w:rPr>
                <w:rFonts w:ascii="Arial" w:hAnsi="Arial" w:cs="Arial"/>
              </w:rPr>
            </w:pPr>
            <w:r>
              <w:rPr>
                <w:rFonts w:ascii="Arial" w:hAnsi="Arial" w:cs="Arial"/>
              </w:rPr>
              <w:t>Row 104: services diversions non-rechargeable total</w:t>
            </w:r>
          </w:p>
          <w:p w14:paraId="1396F7FD" w14:textId="3BB3EC52" w:rsidR="00AE042A" w:rsidRDefault="00AE042A" w:rsidP="00D14037">
            <w:pPr>
              <w:rPr>
                <w:rFonts w:ascii="Arial" w:hAnsi="Arial" w:cs="Arial"/>
              </w:rPr>
            </w:pPr>
            <w:r>
              <w:rPr>
                <w:rFonts w:ascii="Arial" w:hAnsi="Arial" w:cs="Arial"/>
              </w:rPr>
              <w:t>Row 105: MOBs total</w:t>
            </w:r>
          </w:p>
          <w:p w14:paraId="007DE40E" w14:textId="4A76D806" w:rsidR="00C84361" w:rsidRDefault="00C84361" w:rsidP="00D14037">
            <w:pPr>
              <w:rPr>
                <w:rFonts w:ascii="Arial" w:hAnsi="Arial" w:cs="Arial"/>
              </w:rPr>
            </w:pPr>
            <w:r>
              <w:rPr>
                <w:rFonts w:ascii="Arial" w:hAnsi="Arial" w:cs="Arial"/>
              </w:rPr>
              <w:t xml:space="preserve">The above description of totals and subtotals explain the difference </w:t>
            </w:r>
            <w:r w:rsidR="00C05886">
              <w:rPr>
                <w:rFonts w:ascii="Arial" w:hAnsi="Arial" w:cs="Arial"/>
              </w:rPr>
              <w:t>identified in DDQ</w:t>
            </w:r>
            <w:r w:rsidR="001801B1">
              <w:rPr>
                <w:rFonts w:ascii="Arial" w:hAnsi="Arial" w:cs="Arial"/>
              </w:rPr>
              <w:t xml:space="preserve"> (sum of row 79 includes steel&lt;2” however the sum of row 73 and 74 does not).</w:t>
            </w:r>
          </w:p>
          <w:p w14:paraId="678A646F" w14:textId="77777777" w:rsidR="001801B1" w:rsidRDefault="00C84361" w:rsidP="001801B1">
            <w:pPr>
              <w:rPr>
                <w:rFonts w:ascii="Arial" w:hAnsi="Arial" w:cs="Arial"/>
              </w:rPr>
            </w:pPr>
            <w:r>
              <w:rPr>
                <w:rFonts w:ascii="Arial" w:hAnsi="Arial" w:cs="Arial"/>
              </w:rPr>
              <w:t>In sheet</w:t>
            </w:r>
            <w:r>
              <w:t xml:space="preserve"> ‘</w:t>
            </w:r>
            <w:r w:rsidRPr="00C84361">
              <w:rPr>
                <w:rFonts w:ascii="Arial" w:hAnsi="Arial" w:cs="Arial"/>
              </w:rPr>
              <w:t>Out_DisagAllow_Efficient</w:t>
            </w:r>
            <w:r>
              <w:rPr>
                <w:rFonts w:ascii="Arial" w:hAnsi="Arial" w:cs="Arial"/>
              </w:rPr>
              <w:t>’ for EoE as an example (same logic for other networks) rows 14-30 have been used to set the tier 1 mains PCD and rows 88 and 89 have been used to set the tier 1 services PCD.</w:t>
            </w:r>
          </w:p>
          <w:p w14:paraId="2E775F0B" w14:textId="77777777" w:rsidR="001801B1" w:rsidRDefault="001801B1" w:rsidP="001801B1">
            <w:pPr>
              <w:rPr>
                <w:rFonts w:ascii="Arial" w:hAnsi="Arial" w:cs="Arial"/>
              </w:rPr>
            </w:pPr>
            <w:r>
              <w:rPr>
                <w:rFonts w:ascii="Arial" w:hAnsi="Arial" w:cs="Arial"/>
              </w:rPr>
              <w:t>3)</w:t>
            </w:r>
          </w:p>
          <w:p w14:paraId="373E21EF" w14:textId="1FC8EB1F" w:rsidR="001801B1" w:rsidRPr="001801B1" w:rsidRDefault="001801B1" w:rsidP="00822744">
            <w:pPr>
              <w:rPr>
                <w:rFonts w:ascii="Arial" w:hAnsi="Arial" w:cs="Arial"/>
              </w:rPr>
            </w:pPr>
            <w:r>
              <w:rPr>
                <w:rFonts w:ascii="Arial" w:hAnsi="Arial" w:cs="Arial"/>
              </w:rPr>
              <w:t xml:space="preserve">You are correct the reclassification from capex to repex is not added to tier 3 costs. </w:t>
            </w:r>
            <w:r w:rsidR="00FB7BEC" w:rsidRPr="00B35197">
              <w:rPr>
                <w:rFonts w:ascii="Arial" w:hAnsi="Arial" w:cs="Arial"/>
              </w:rPr>
              <w:t>However</w:t>
            </w:r>
            <w:bookmarkStart w:id="0" w:name="_GoBack"/>
            <w:bookmarkEnd w:id="0"/>
            <w:r w:rsidR="00FB7BEC" w:rsidRPr="00B35197">
              <w:rPr>
                <w:rFonts w:ascii="Arial" w:hAnsi="Arial" w:cs="Arial"/>
              </w:rPr>
              <w:t>, please note the Tier 3 allowance, while included in this file, i</w:t>
            </w:r>
            <w:r w:rsidR="00B35197" w:rsidRPr="00B35197">
              <w:rPr>
                <w:rFonts w:ascii="Arial" w:hAnsi="Arial" w:cs="Arial"/>
              </w:rPr>
              <w:t>s indicative only and i</w:t>
            </w:r>
            <w:r w:rsidR="00FB7BEC" w:rsidRPr="00B35197">
              <w:rPr>
                <w:rFonts w:ascii="Arial" w:hAnsi="Arial" w:cs="Arial"/>
              </w:rPr>
              <w:t>s not defined elsewhere in the price control (ie. within the licence), in the way that the Tier 1 mains and Tier 1 services allowances are for the respective PCDs.</w:t>
            </w:r>
            <w:r w:rsidR="00FB7BEC">
              <w:rPr>
                <w:rFonts w:ascii="Arial" w:hAnsi="Arial" w:cs="Arial"/>
              </w:rPr>
              <w:t xml:space="preserve">  </w:t>
            </w:r>
            <w:r w:rsidR="00B35197">
              <w:rPr>
                <w:rFonts w:ascii="Arial" w:hAnsi="Arial" w:cs="Arial"/>
              </w:rPr>
            </w:r>
          </w:p>
        </w:tc>
      </w:tr>
      <w:tr w:rsidR="00F24B54" w:rsidRPr="00876240" w14:paraId="373E21F2" w14:textId="77777777" w:rsidTr="00A0584E">
        <w:trPr>
          <w:trHeight w:val="2226"/>
        </w:trPr>
        <w:tc>
          <w:tcPr>
            <w:tcW w:w="9674" w:type="dxa"/>
            <w:gridSpan w:val="2"/>
            <w:shd w:val="clear" w:color="auto" w:fill="auto"/>
            <w:noWrap/>
            <w:vAlign w:val="center"/>
            <w:hideMark/>
          </w:tcPr>
          <w:p w14:paraId="373E21F1" w14:textId="77777777" w:rsidR="00F24B54" w:rsidRPr="00876240" w:rsidRDefault="00F24B54" w:rsidP="00F24B54">
            <w:pPr>
              <w:rPr>
                <w:rFonts w:cs="Arial"/>
                <w:szCs w:val="20"/>
              </w:rPr>
            </w:pPr>
            <w:r>
              <w:rPr>
                <w:rFonts w:ascii="Arial" w:hAnsi="Arial" w:cs="Arial"/>
                <w:b/>
                <w:noProof/>
                <w:szCs w:val="20"/>
                <w:lang w:eastAsia="en-GB"/>
              </w:rPr>
              <w:lastRenderedPageBreak/>
              <w:t>Attach</w:t>
            </w:r>
            <w:r w:rsidRPr="00E912E8">
              <w:rPr>
                <w:rFonts w:ascii="Arial" w:hAnsi="Arial" w:cs="Arial"/>
                <w:b/>
                <w:noProof/>
                <w:szCs w:val="20"/>
                <w:lang w:eastAsia="en-GB"/>
              </w:rPr>
              <w:t xml:space="preserve">ments: </w:t>
            </w:r>
          </w:p>
        </w:tc>
      </w:tr>
    </w:tbl>
    <w:p w14:paraId="373E21F3" w14:textId="77777777" w:rsidR="00133BD9" w:rsidRDefault="00133BD9" w:rsidP="00133BD9"/>
    <w:p w14:paraId="373E21F4" w14:textId="77777777" w:rsidR="00945C7C" w:rsidRDefault="00945C7C"/>
    <w:sectPr w:rsidR="00945C7C" w:rsidSect="00945C7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6E522C" w14:textId="77777777" w:rsidR="00CD25ED" w:rsidRDefault="00CD25ED" w:rsidP="00526623">
      <w:pPr>
        <w:spacing w:after="0" w:line="240" w:lineRule="auto"/>
      </w:pPr>
      <w:r>
        <w:separator/>
      </w:r>
    </w:p>
  </w:endnote>
  <w:endnote w:type="continuationSeparator" w:id="0">
    <w:p w14:paraId="2DDA0BED" w14:textId="77777777" w:rsidR="00CD25ED" w:rsidRDefault="00CD25ED"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89EC9" w14:textId="77777777" w:rsidR="00CD25ED" w:rsidRDefault="00CD25ED" w:rsidP="00526623">
      <w:pPr>
        <w:spacing w:after="0" w:line="240" w:lineRule="auto"/>
      </w:pPr>
      <w:r>
        <w:separator/>
      </w:r>
    </w:p>
  </w:footnote>
  <w:footnote w:type="continuationSeparator" w:id="0">
    <w:p w14:paraId="21E3DACA" w14:textId="77777777" w:rsidR="00CD25ED" w:rsidRDefault="00CD25ED"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662EA"/>
    <w:multiLevelType w:val="hybridMultilevel"/>
    <w:tmpl w:val="D7E88D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0320716"/>
    <w:multiLevelType w:val="hybridMultilevel"/>
    <w:tmpl w:val="FE6AB2B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47B67D5"/>
    <w:multiLevelType w:val="hybridMultilevel"/>
    <w:tmpl w:val="421449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D27775"/>
    <w:multiLevelType w:val="hybridMultilevel"/>
    <w:tmpl w:val="08E0EDB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7AB6"/>
    <w:rsid w:val="000436C2"/>
    <w:rsid w:val="00090251"/>
    <w:rsid w:val="000C3A79"/>
    <w:rsid w:val="000F1652"/>
    <w:rsid w:val="0010126C"/>
    <w:rsid w:val="00107296"/>
    <w:rsid w:val="00133BD9"/>
    <w:rsid w:val="00133CFC"/>
    <w:rsid w:val="00137DC1"/>
    <w:rsid w:val="00172809"/>
    <w:rsid w:val="001801B1"/>
    <w:rsid w:val="001B0622"/>
    <w:rsid w:val="001D5F88"/>
    <w:rsid w:val="001E129D"/>
    <w:rsid w:val="00206D5F"/>
    <w:rsid w:val="00231D67"/>
    <w:rsid w:val="00257F3E"/>
    <w:rsid w:val="002707B1"/>
    <w:rsid w:val="00291D51"/>
    <w:rsid w:val="002A4AD8"/>
    <w:rsid w:val="002B4955"/>
    <w:rsid w:val="003043A4"/>
    <w:rsid w:val="003452B0"/>
    <w:rsid w:val="00360385"/>
    <w:rsid w:val="00372D1E"/>
    <w:rsid w:val="003820EF"/>
    <w:rsid w:val="003B3576"/>
    <w:rsid w:val="003E53F4"/>
    <w:rsid w:val="003F22F3"/>
    <w:rsid w:val="003F28F1"/>
    <w:rsid w:val="004145D1"/>
    <w:rsid w:val="004302F8"/>
    <w:rsid w:val="00471BC8"/>
    <w:rsid w:val="004D4B1C"/>
    <w:rsid w:val="00503895"/>
    <w:rsid w:val="00504295"/>
    <w:rsid w:val="00507163"/>
    <w:rsid w:val="00526623"/>
    <w:rsid w:val="00526A8E"/>
    <w:rsid w:val="00534E92"/>
    <w:rsid w:val="00584F30"/>
    <w:rsid w:val="005A506C"/>
    <w:rsid w:val="005A74DE"/>
    <w:rsid w:val="005D5349"/>
    <w:rsid w:val="005E2894"/>
    <w:rsid w:val="0060723D"/>
    <w:rsid w:val="006167CD"/>
    <w:rsid w:val="006279ED"/>
    <w:rsid w:val="006847DA"/>
    <w:rsid w:val="006B18F6"/>
    <w:rsid w:val="006D558C"/>
    <w:rsid w:val="00716508"/>
    <w:rsid w:val="007400B7"/>
    <w:rsid w:val="00753976"/>
    <w:rsid w:val="007649AC"/>
    <w:rsid w:val="00796C90"/>
    <w:rsid w:val="007974DA"/>
    <w:rsid w:val="007B29A9"/>
    <w:rsid w:val="007B4F5B"/>
    <w:rsid w:val="007D4FD3"/>
    <w:rsid w:val="007D7648"/>
    <w:rsid w:val="007E53E6"/>
    <w:rsid w:val="008170C7"/>
    <w:rsid w:val="00822744"/>
    <w:rsid w:val="0085400C"/>
    <w:rsid w:val="0089547E"/>
    <w:rsid w:val="008A37EF"/>
    <w:rsid w:val="008B3636"/>
    <w:rsid w:val="008C5A35"/>
    <w:rsid w:val="008D73D6"/>
    <w:rsid w:val="008E744C"/>
    <w:rsid w:val="009249AE"/>
    <w:rsid w:val="00924DEC"/>
    <w:rsid w:val="00937BF5"/>
    <w:rsid w:val="00942721"/>
    <w:rsid w:val="00945C7C"/>
    <w:rsid w:val="00946125"/>
    <w:rsid w:val="00947682"/>
    <w:rsid w:val="00970B1C"/>
    <w:rsid w:val="009D079F"/>
    <w:rsid w:val="009D616B"/>
    <w:rsid w:val="00A04F0D"/>
    <w:rsid w:val="00A054D1"/>
    <w:rsid w:val="00A0584E"/>
    <w:rsid w:val="00A06191"/>
    <w:rsid w:val="00A21D26"/>
    <w:rsid w:val="00A27E92"/>
    <w:rsid w:val="00A42AC8"/>
    <w:rsid w:val="00A71151"/>
    <w:rsid w:val="00A922CF"/>
    <w:rsid w:val="00AC6418"/>
    <w:rsid w:val="00AE042A"/>
    <w:rsid w:val="00AE41B5"/>
    <w:rsid w:val="00AF7AF0"/>
    <w:rsid w:val="00B35197"/>
    <w:rsid w:val="00B82400"/>
    <w:rsid w:val="00B86DDF"/>
    <w:rsid w:val="00BA228E"/>
    <w:rsid w:val="00BA4154"/>
    <w:rsid w:val="00BB682C"/>
    <w:rsid w:val="00C05886"/>
    <w:rsid w:val="00C57345"/>
    <w:rsid w:val="00C62789"/>
    <w:rsid w:val="00C657A4"/>
    <w:rsid w:val="00C814D0"/>
    <w:rsid w:val="00C84361"/>
    <w:rsid w:val="00C86BAD"/>
    <w:rsid w:val="00C919C3"/>
    <w:rsid w:val="00CA4297"/>
    <w:rsid w:val="00CC7214"/>
    <w:rsid w:val="00CD25ED"/>
    <w:rsid w:val="00CE4B79"/>
    <w:rsid w:val="00CF22EF"/>
    <w:rsid w:val="00D14037"/>
    <w:rsid w:val="00D50036"/>
    <w:rsid w:val="00DB3258"/>
    <w:rsid w:val="00E040EA"/>
    <w:rsid w:val="00E525E0"/>
    <w:rsid w:val="00E60E79"/>
    <w:rsid w:val="00EB179A"/>
    <w:rsid w:val="00EB2613"/>
    <w:rsid w:val="00F00954"/>
    <w:rsid w:val="00F129C1"/>
    <w:rsid w:val="00F165D0"/>
    <w:rsid w:val="00F23B18"/>
    <w:rsid w:val="00F24B54"/>
    <w:rsid w:val="00F678C1"/>
    <w:rsid w:val="00F82AB4"/>
    <w:rsid w:val="00FB0EC9"/>
    <w:rsid w:val="00FB7BEC"/>
    <w:rsid w:val="00FD2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character" w:styleId="CommentReference">
    <w:name w:val="annotation reference"/>
    <w:basedOn w:val="DefaultParagraphFont"/>
    <w:uiPriority w:val="99"/>
    <w:semiHidden/>
    <w:unhideWhenUsed/>
    <w:rsid w:val="001801B1"/>
    <w:rPr>
      <w:sz w:val="16"/>
      <w:szCs w:val="16"/>
    </w:rPr>
  </w:style>
  <w:style w:type="paragraph" w:styleId="CommentText">
    <w:name w:val="annotation text"/>
    <w:basedOn w:val="Normal"/>
    <w:link w:val="CommentTextChar"/>
    <w:uiPriority w:val="99"/>
    <w:semiHidden/>
    <w:unhideWhenUsed/>
    <w:rsid w:val="001801B1"/>
    <w:pPr>
      <w:spacing w:line="240" w:lineRule="auto"/>
    </w:pPr>
    <w:rPr>
      <w:szCs w:val="20"/>
    </w:rPr>
  </w:style>
  <w:style w:type="character" w:customStyle="1" w:styleId="CommentTextChar">
    <w:name w:val="Comment Text Char"/>
    <w:basedOn w:val="DefaultParagraphFont"/>
    <w:link w:val="CommentText"/>
    <w:uiPriority w:val="99"/>
    <w:semiHidden/>
    <w:rsid w:val="001801B1"/>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1801B1"/>
    <w:rPr>
      <w:b/>
      <w:bCs/>
    </w:rPr>
  </w:style>
  <w:style w:type="character" w:customStyle="1" w:styleId="CommentSubjectChar">
    <w:name w:val="Comment Subject Char"/>
    <w:basedOn w:val="CommentTextChar"/>
    <w:link w:val="CommentSubject"/>
    <w:uiPriority w:val="99"/>
    <w:semiHidden/>
    <w:rsid w:val="001801B1"/>
    <w:rPr>
      <w:rFonts w:ascii="Verdana" w:hAnsi="Verdana"/>
      <w:b/>
      <w:bCs/>
      <w:sz w:val="20"/>
      <w:szCs w:val="20"/>
    </w:rPr>
  </w:style>
  <w:style w:type="paragraph" w:styleId="BalloonText">
    <w:name w:val="Balloon Text"/>
    <w:basedOn w:val="Normal"/>
    <w:link w:val="BalloonTextChar"/>
    <w:uiPriority w:val="99"/>
    <w:semiHidden/>
    <w:unhideWhenUsed/>
    <w:rsid w:val="001801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01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549950280">
      <w:bodyDiv w:val="1"/>
      <w:marLeft w:val="0"/>
      <w:marRight w:val="0"/>
      <w:marTop w:val="0"/>
      <w:marBottom w:val="0"/>
      <w:divBdr>
        <w:top w:val="none" w:sz="0" w:space="0" w:color="auto"/>
        <w:left w:val="none" w:sz="0" w:space="0" w:color="auto"/>
        <w:bottom w:val="none" w:sz="0" w:space="0" w:color="auto"/>
        <w:right w:val="none" w:sz="0" w:space="0" w:color="auto"/>
      </w:divBdr>
    </w:div>
    <w:div w:id="1665010123">
      <w:bodyDiv w:val="1"/>
      <w:marLeft w:val="0"/>
      <w:marRight w:val="0"/>
      <w:marTop w:val="0"/>
      <w:marBottom w:val="0"/>
      <w:divBdr>
        <w:top w:val="none" w:sz="0" w:space="0" w:color="auto"/>
        <w:left w:val="none" w:sz="0" w:space="0" w:color="auto"/>
        <w:bottom w:val="none" w:sz="0" w:space="0" w:color="auto"/>
        <w:right w:val="none" w:sz="0" w:space="0" w:color="auto"/>
      </w:divBdr>
    </w:div>
    <w:div w:id="1671062653">
      <w:bodyDiv w:val="1"/>
      <w:marLeft w:val="0"/>
      <w:marRight w:val="0"/>
      <w:marTop w:val="0"/>
      <w:marBottom w:val="0"/>
      <w:divBdr>
        <w:top w:val="none" w:sz="0" w:space="0" w:color="auto"/>
        <w:left w:val="none" w:sz="0" w:space="0" w:color="auto"/>
        <w:bottom w:val="none" w:sz="0" w:space="0" w:color="auto"/>
        <w:right w:val="none" w:sz="0" w:space="0" w:color="auto"/>
      </w:divBdr>
    </w:div>
    <w:div w:id="1767572254">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Status xmlns="http://schemas.microsoft.com/sharepoint/v3/fields">Draft</_Status>
    <Descriptor xmlns="631298fc-6a88-4548-b7d9-3b164918c4a3" xsi:nil="true"/>
    <Classification xmlns="631298fc-6a88-4548-b7d9-3b164918c4a3">Unclassified</Classification>
    <Organisation xmlns="631298fc-6a88-4548-b7d9-3b164918c4a3">Choose an Organisation</Organisation>
    <_x003a_ xmlns="631298fc-6a88-4548-b7d9-3b164918c4a3" xsi:nil="true"/>
    <_x003a__x003a_ xmlns="631298fc-6a88-4548-b7d9-3b164918c4a3">-Main Document</_x003a__x003a_>
    <Publication_x0020_Date_x003a_ xmlns="631298fc-6a88-4548-b7d9-3b164918c4a3">2020-09-01T14:13:53+00:00</Publication_x0020_Date_x003a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isl xmlns:xsd="http://www.w3.org/2001/XMLSchema" xmlns:xsi="http://www.w3.org/2001/XMLSchema-instance" xmlns="http://www.boldonjames.com/2008/01/sie/internal/label" sislVersion="0" policy="973096ae-7329-4b3b-9368-47aeba6959e1" origin="userSelected"/>
</file>

<file path=customXml/item4.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ca9306fc-8436-45f0-b931-e34f519be3a3" ContentTypeId="0x010100CBFEBA86B6E0A2498471ADBC27C4F03E" PreviousValue="true"/>
</file>

<file path=customXml/itemProps1.xml><?xml version="1.0" encoding="utf-8"?>
<ds:datastoreItem xmlns:ds="http://schemas.openxmlformats.org/officeDocument/2006/customXml" ds:itemID="{DADD9686-A806-4D0B-BBC0-71266FA194C8}">
  <ds:schemaRefs>
    <ds:schemaRef ds:uri="http://purl.org/dc/dcmitype/"/>
    <ds:schemaRef ds:uri="631298fc-6a88-4548-b7d9-3b164918c4a3"/>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http://schemas.microsoft.com/sharepoint/v3/fields"/>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3.xml><?xml version="1.0" encoding="utf-8"?>
<ds:datastoreItem xmlns:ds="http://schemas.openxmlformats.org/officeDocument/2006/customXml" ds:itemID="{CB948C73-FFE7-4337-B9A8-1CCDE9EF98DA}">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8746D9AD-7CD8-4A98-835A-BF1D373287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8771418-1C5D-45E1-BA86-345BC76B13C9}">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665</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Callum Mayfield</cp:lastModifiedBy>
  <cp:revision>2</cp:revision>
  <dcterms:created xsi:type="dcterms:W3CDTF">2020-09-01T14:13:00Z</dcterms:created>
  <dcterms:modified xsi:type="dcterms:W3CDTF">2020-09-01T14:13:00Z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fe527f17-3839-44fd-a2ed-cf7c09b53db7</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