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6E94F7B3" w:rsidR="00133BD9" w:rsidRPr="00876240" w:rsidRDefault="00A13AC5" w:rsidP="00504295">
            <w:pPr>
              <w:rPr>
                <w:rFonts w:ascii="Arial" w:hAnsi="Arial" w:cs="Arial"/>
                <w:sz w:val="24"/>
                <w:szCs w:val="24"/>
              </w:rPr>
            </w:pPr>
            <w:r>
              <w:rPr>
                <w:rFonts w:ascii="Arial" w:hAnsi="Arial" w:cs="Arial"/>
                <w:sz w:val="24"/>
                <w:szCs w:val="24"/>
              </w:rPr>
              <w:t>N</w:t>
            </w:r>
            <w:r w:rsidR="008516F1">
              <w:rPr>
                <w:rFonts w:ascii="Arial" w:hAnsi="Arial" w:cs="Arial"/>
                <w:sz w:val="24"/>
                <w:szCs w:val="24"/>
              </w:rPr>
              <w:t>GN</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96575F">
              <w:rPr>
                <w:rFonts w:ascii="Arial" w:hAnsi="Arial" w:cs="Arial"/>
                <w:sz w:val="24"/>
                <w:szCs w:val="24"/>
              </w:rPr>
              <w:t>4</w:t>
            </w:r>
            <w:r w:rsidR="00700ED2">
              <w:rPr>
                <w:rFonts w:ascii="Arial" w:hAnsi="Arial" w:cs="Arial"/>
                <w:sz w:val="24"/>
                <w:szCs w:val="24"/>
              </w:rPr>
              <w:t>6_U</w:t>
            </w:r>
            <w:r w:rsidR="007D0E22">
              <w:rPr>
                <w:rFonts w:ascii="Arial" w:hAnsi="Arial" w:cs="Arial"/>
                <w:sz w:val="24"/>
                <w:szCs w:val="24"/>
              </w:rPr>
              <w:t>se it or lose it allowance</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44D53895" w:rsidR="00A06191" w:rsidRPr="00876240" w:rsidRDefault="007D0E22" w:rsidP="00A0584E">
            <w:pPr>
              <w:rPr>
                <w:rFonts w:ascii="Arial" w:hAnsi="Arial" w:cs="Arial"/>
                <w:sz w:val="24"/>
                <w:szCs w:val="24"/>
              </w:rPr>
            </w:pPr>
            <w:r>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0692B8F2" w:rsidR="00A06191" w:rsidRPr="00876240" w:rsidRDefault="007D0E22" w:rsidP="0060723D">
            <w:pPr>
              <w:rPr>
                <w:rFonts w:ascii="Arial" w:hAnsi="Arial" w:cs="Arial"/>
                <w:sz w:val="24"/>
                <w:szCs w:val="24"/>
              </w:rPr>
            </w:pPr>
            <w:r>
              <w:rPr>
                <w:rFonts w:ascii="Arial" w:hAnsi="Arial" w:cs="Arial"/>
                <w:sz w:val="24"/>
                <w:szCs w:val="24"/>
              </w:rPr>
              <w:t>Con</w:t>
            </w:r>
            <w:r w:rsidR="00B15064">
              <w:rPr>
                <w:rFonts w:ascii="Arial" w:hAnsi="Arial" w:cs="Arial"/>
                <w:sz w:val="24"/>
                <w:szCs w:val="24"/>
              </w:rPr>
              <w:t>sumer Vulnerability – Use it or lose is allowance</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720DCBE4" w14:textId="5AC79A61" w:rsidR="0096575F" w:rsidRDefault="00B15064" w:rsidP="0096575F">
            <w:pPr>
              <w:rPr>
                <w:rFonts w:ascii="Arial" w:hAnsi="Arial" w:cs="Arial"/>
                <w:sz w:val="24"/>
                <w:szCs w:val="24"/>
              </w:rPr>
            </w:pPr>
            <w:r>
              <w:rPr>
                <w:rFonts w:ascii="Arial" w:hAnsi="Arial" w:cs="Arial"/>
                <w:sz w:val="24"/>
                <w:szCs w:val="24"/>
              </w:rPr>
              <w:t xml:space="preserve">Many of the bespoke outputs that NGN submitting relating to vulnerability were rejected with the guidance </w:t>
            </w:r>
          </w:p>
          <w:p w14:paraId="1B7BE9B7" w14:textId="3522EF3A" w:rsidR="00D31F24" w:rsidRDefault="00D31F24" w:rsidP="00525507">
            <w:pPr>
              <w:pStyle w:val="Default"/>
              <w:rPr>
                <w:i/>
                <w:iCs/>
                <w:sz w:val="20"/>
                <w:szCs w:val="20"/>
              </w:rPr>
            </w:pPr>
            <w:r w:rsidRPr="00525507">
              <w:rPr>
                <w:i/>
                <w:iCs/>
                <w:sz w:val="20"/>
                <w:szCs w:val="20"/>
              </w:rPr>
              <w:t>‘</w:t>
            </w:r>
            <w:r w:rsidR="00B15064" w:rsidRPr="00525507">
              <w:rPr>
                <w:i/>
                <w:iCs/>
                <w:sz w:val="20"/>
                <w:szCs w:val="20"/>
              </w:rPr>
              <w:t>The consumer vulnerability and CO safety use-it-or-lose-it allowance provides funding for this type of activity and the consumer vulnerability reputational ODI provides NGN with the opportunity to highlight its performance</w:t>
            </w:r>
            <w:r w:rsidRPr="00525507">
              <w:rPr>
                <w:i/>
                <w:iCs/>
                <w:sz w:val="20"/>
                <w:szCs w:val="20"/>
              </w:rPr>
              <w:t>’</w:t>
            </w:r>
            <w:r w:rsidR="00B15064" w:rsidRPr="00525507">
              <w:rPr>
                <w:i/>
                <w:iCs/>
                <w:sz w:val="20"/>
                <w:szCs w:val="20"/>
              </w:rPr>
              <w:t xml:space="preserve"> </w:t>
            </w:r>
            <w:r w:rsidR="00525507">
              <w:rPr>
                <w:i/>
                <w:iCs/>
                <w:sz w:val="20"/>
                <w:szCs w:val="20"/>
              </w:rPr>
              <w:t xml:space="preserve"> (pgs</w:t>
            </w:r>
            <w:r w:rsidR="003B35B2">
              <w:rPr>
                <w:i/>
                <w:iCs/>
                <w:sz w:val="20"/>
                <w:szCs w:val="20"/>
              </w:rPr>
              <w:t xml:space="preserve"> 20-21 NGN Annex)</w:t>
            </w:r>
          </w:p>
          <w:p w14:paraId="183E91CD" w14:textId="77777777" w:rsidR="00525507" w:rsidRPr="00525507" w:rsidRDefault="00525507" w:rsidP="00525507">
            <w:pPr>
              <w:pStyle w:val="Default"/>
              <w:rPr>
                <w:i/>
                <w:iCs/>
                <w:szCs w:val="20"/>
              </w:rPr>
            </w:pPr>
          </w:p>
          <w:p w14:paraId="3BF7ED3A" w14:textId="5A94505F" w:rsidR="007B6A4B" w:rsidRPr="00525507" w:rsidRDefault="00D31F24" w:rsidP="003F22F3">
            <w:pPr>
              <w:rPr>
                <w:rFonts w:ascii="Arial" w:hAnsi="Arial" w:cs="Arial"/>
              </w:rPr>
            </w:pPr>
            <w:r w:rsidRPr="00525507">
              <w:rPr>
                <w:rFonts w:ascii="Arial" w:hAnsi="Arial" w:cs="Arial"/>
              </w:rPr>
              <w:t xml:space="preserve">Some of these rejected outputs will rely on </w:t>
            </w:r>
            <w:r w:rsidR="007B6A4B" w:rsidRPr="00525507">
              <w:rPr>
                <w:rFonts w:ascii="Arial" w:hAnsi="Arial" w:cs="Arial"/>
              </w:rPr>
              <w:t>direct OPEX cost</w:t>
            </w:r>
            <w:r w:rsidR="000F760A">
              <w:rPr>
                <w:rFonts w:ascii="Arial" w:hAnsi="Arial" w:cs="Arial"/>
              </w:rPr>
              <w:t>s</w:t>
            </w:r>
            <w:r w:rsidR="007B6A4B" w:rsidRPr="00525507">
              <w:rPr>
                <w:rFonts w:ascii="Arial" w:hAnsi="Arial" w:cs="Arial"/>
              </w:rPr>
              <w:t xml:space="preserve"> to manage the project and/or to deliver the activity</w:t>
            </w:r>
            <w:r w:rsidR="000F760A">
              <w:rPr>
                <w:rFonts w:ascii="Arial" w:hAnsi="Arial" w:cs="Arial"/>
              </w:rPr>
              <w:t>.</w:t>
            </w:r>
          </w:p>
          <w:p w14:paraId="373E21D8" w14:textId="2E9AAC1D" w:rsidR="00504295" w:rsidRPr="00795943" w:rsidRDefault="007B6A4B" w:rsidP="003F22F3">
            <w:r w:rsidRPr="00525507">
              <w:rPr>
                <w:rFonts w:ascii="Arial" w:hAnsi="Arial" w:cs="Arial"/>
              </w:rPr>
              <w:t>Please can you confirm that direct OPEX costs</w:t>
            </w:r>
            <w:r w:rsidR="00AE1682">
              <w:rPr>
                <w:rFonts w:ascii="Arial" w:hAnsi="Arial" w:cs="Arial"/>
              </w:rPr>
              <w:t>, associated with these specific outputs,</w:t>
            </w:r>
            <w:r w:rsidRPr="00525507">
              <w:rPr>
                <w:rFonts w:ascii="Arial" w:hAnsi="Arial" w:cs="Arial"/>
              </w:rPr>
              <w:t xml:space="preserve"> can be </w:t>
            </w:r>
            <w:r w:rsidR="00525507" w:rsidRPr="00525507">
              <w:rPr>
                <w:rFonts w:ascii="Arial" w:hAnsi="Arial" w:cs="Arial"/>
              </w:rPr>
              <w:t>put through the Use it or lose it allowance.</w:t>
            </w:r>
          </w:p>
        </w:tc>
      </w:tr>
      <w:tr w:rsidR="007D4FD3" w:rsidRPr="00876240" w14:paraId="5F8D3819" w14:textId="77777777" w:rsidTr="00AC6418">
        <w:trPr>
          <w:trHeight w:val="127"/>
        </w:trPr>
        <w:tc>
          <w:tcPr>
            <w:tcW w:w="2283" w:type="dxa"/>
            <w:shd w:val="clear" w:color="auto" w:fill="auto"/>
            <w:vAlign w:val="center"/>
          </w:tcPr>
          <w:p w14:paraId="0A404F89" w14:textId="41C82A79"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6038010D" w14:textId="153535CE" w:rsidR="007D4FD3" w:rsidRDefault="007D4FD3" w:rsidP="007D4FD3">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61695F84" w:rsidR="00947682" w:rsidRDefault="00947682" w:rsidP="00947682">
            <w:pPr>
              <w:rPr>
                <w:rFonts w:ascii="Arial" w:hAnsi="Arial" w:cs="Arial"/>
                <w:sz w:val="24"/>
                <w:szCs w:val="24"/>
              </w:rPr>
            </w:pPr>
            <w:r>
              <w:rPr>
                <w:rFonts w:ascii="Arial" w:hAnsi="Arial" w:cs="Arial"/>
                <w:sz w:val="24"/>
                <w:szCs w:val="24"/>
              </w:rPr>
              <w:t xml:space="preserve"> </w:t>
            </w:r>
            <w:r w:rsidR="003B35B2">
              <w:rPr>
                <w:rFonts w:ascii="Arial" w:hAnsi="Arial" w:cs="Arial"/>
                <w:sz w:val="24"/>
                <w:szCs w:val="24"/>
              </w:rPr>
              <w:t>Eileen Brown</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353E0276" w:rsidR="00F82AB4" w:rsidRPr="00876240" w:rsidRDefault="0096575F" w:rsidP="00504295">
            <w:pPr>
              <w:rPr>
                <w:rFonts w:ascii="Arial" w:hAnsi="Arial" w:cs="Arial"/>
                <w:sz w:val="24"/>
                <w:szCs w:val="24"/>
              </w:rPr>
            </w:pPr>
            <w:r>
              <w:rPr>
                <w:rFonts w:ascii="Arial" w:hAnsi="Arial" w:cs="Arial"/>
                <w:sz w:val="24"/>
                <w:szCs w:val="24"/>
              </w:rPr>
              <w:t>1</w:t>
            </w:r>
            <w:r w:rsidR="003B35B2">
              <w:rPr>
                <w:rFonts w:ascii="Arial" w:hAnsi="Arial" w:cs="Arial"/>
                <w:sz w:val="24"/>
                <w:szCs w:val="24"/>
              </w:rPr>
              <w:t>4/08/2020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6AA5CAE6" w:rsidR="00F24B54" w:rsidRDefault="000F760A" w:rsidP="00F24B54">
            <w:pPr>
              <w:rPr>
                <w:rFonts w:ascii="Arial" w:hAnsi="Arial" w:cs="Arial"/>
                <w:sz w:val="24"/>
                <w:szCs w:val="24"/>
              </w:rPr>
            </w:pPr>
            <w:r>
              <w:rPr>
                <w:rFonts w:ascii="Arial" w:hAnsi="Arial" w:cs="Arial"/>
                <w:sz w:val="24"/>
                <w:szCs w:val="24"/>
              </w:rPr>
              <w:t>21</w:t>
            </w:r>
            <w:r w:rsidR="00F24B54">
              <w:rPr>
                <w:rFonts w:ascii="Arial" w:hAnsi="Arial" w:cs="Arial"/>
                <w:sz w:val="24"/>
                <w:szCs w:val="24"/>
              </w:rPr>
              <w:t>/0</w:t>
            </w:r>
            <w:r w:rsidR="00795943">
              <w:rPr>
                <w:rFonts w:ascii="Arial" w:hAnsi="Arial" w:cs="Arial"/>
                <w:sz w:val="24"/>
                <w:szCs w:val="24"/>
              </w:rPr>
              <w:t>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412F9D6C" w14:textId="169A877D" w:rsidR="00F24B54" w:rsidRDefault="00F24B54" w:rsidP="00F24B54">
            <w:pPr>
              <w:rPr>
                <w:rFonts w:ascii="Arial" w:hAnsi="Arial" w:cs="Arial"/>
              </w:rPr>
            </w:pPr>
            <w:r>
              <w:rPr>
                <w:rFonts w:ascii="Arial" w:hAnsi="Arial" w:cs="Arial"/>
              </w:rPr>
              <w:t xml:space="preserve"> </w:t>
            </w:r>
            <w:r w:rsidRPr="00B006FC">
              <w:rPr>
                <w:rFonts w:ascii="Arial" w:hAnsi="Arial" w:cs="Arial"/>
              </w:rPr>
              <w:t xml:space="preserve"> </w:t>
            </w:r>
            <w:r w:rsidR="00DB017F">
              <w:rPr>
                <w:rFonts w:ascii="Arial" w:hAnsi="Arial" w:cs="Arial"/>
              </w:rPr>
              <w:t xml:space="preserve">GDNs will be able to utilise the vulnerability and carbon monoxide allowance to fund the operational costs of their eligible projects. </w:t>
            </w:r>
          </w:p>
          <w:p w14:paraId="414C95C2" w14:textId="63FD31AF" w:rsidR="00DB017F" w:rsidRDefault="00DB017F" w:rsidP="00F24B54">
            <w:pPr>
              <w:rPr>
                <w:rFonts w:ascii="Arial" w:hAnsi="Arial" w:cs="Arial"/>
              </w:rPr>
            </w:pPr>
            <w:r>
              <w:rPr>
                <w:rFonts w:ascii="Arial" w:hAnsi="Arial" w:cs="Arial"/>
              </w:rPr>
              <w:t>Within draft determinations we have not made any decisions in eligible projects for the VCMA allowance and will be working with stakeholders over the summer to develop the guidance that underpins the allowance.</w:t>
            </w:r>
            <w:bookmarkStart w:id="0" w:name="_GoBack"/>
            <w:bookmarkEnd w:id="0"/>
          </w:p>
          <w:p w14:paraId="373E21EF" w14:textId="3C5150EE" w:rsidR="00DB017F" w:rsidRPr="002707B1" w:rsidRDefault="00DB017F" w:rsidP="00F24B54">
            <w:pPr>
              <w:rPr>
                <w:rFonts w:ascii="Arial" w:hAnsi="Arial" w:cs="Arial"/>
                <w:b/>
                <w:bCs/>
                <w:sz w:val="24"/>
                <w:szCs w:val="24"/>
              </w:rPr>
            </w:pP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13E01" w14:textId="77777777" w:rsidR="00605CDD" w:rsidRDefault="00605CDD" w:rsidP="00526623">
      <w:pPr>
        <w:spacing w:after="0" w:line="240" w:lineRule="auto"/>
      </w:pPr>
      <w:r>
        <w:separator/>
      </w:r>
    </w:p>
  </w:endnote>
  <w:endnote w:type="continuationSeparator" w:id="0">
    <w:p w14:paraId="523743AA" w14:textId="77777777" w:rsidR="00605CDD" w:rsidRDefault="00605CDD" w:rsidP="00526623">
      <w:pPr>
        <w:spacing w:after="0" w:line="240" w:lineRule="auto"/>
      </w:pPr>
      <w:r>
        <w:continuationSeparator/>
      </w:r>
    </w:p>
  </w:endnote>
  <w:endnote w:type="continuationNotice" w:id="1">
    <w:p w14:paraId="02BA790A" w14:textId="77777777" w:rsidR="00605CDD" w:rsidRDefault="00605C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70DDB" w14:textId="77777777" w:rsidR="00DB017F" w:rsidRDefault="00DB01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EFAA0" w14:textId="77777777" w:rsidR="00DB017F" w:rsidRDefault="00DB01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6C40B" w14:textId="77777777" w:rsidR="00DB017F" w:rsidRDefault="00DB01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D7028" w14:textId="77777777" w:rsidR="00605CDD" w:rsidRDefault="00605CDD" w:rsidP="00526623">
      <w:pPr>
        <w:spacing w:after="0" w:line="240" w:lineRule="auto"/>
      </w:pPr>
      <w:r>
        <w:separator/>
      </w:r>
    </w:p>
  </w:footnote>
  <w:footnote w:type="continuationSeparator" w:id="0">
    <w:p w14:paraId="495C50F0" w14:textId="77777777" w:rsidR="00605CDD" w:rsidRDefault="00605CDD" w:rsidP="00526623">
      <w:pPr>
        <w:spacing w:after="0" w:line="240" w:lineRule="auto"/>
      </w:pPr>
      <w:r>
        <w:continuationSeparator/>
      </w:r>
    </w:p>
  </w:footnote>
  <w:footnote w:type="continuationNotice" w:id="1">
    <w:p w14:paraId="2BA557DB" w14:textId="77777777" w:rsidR="00605CDD" w:rsidRDefault="00605C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85596" w14:textId="77777777" w:rsidR="00DB017F" w:rsidRDefault="00DB01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D0FCF" w14:textId="77777777" w:rsidR="00DB017F" w:rsidRDefault="00DB01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0EF0" w14:textId="77777777" w:rsidR="00DB017F" w:rsidRDefault="00DB01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D6A15"/>
    <w:rsid w:val="000F1652"/>
    <w:rsid w:val="000F760A"/>
    <w:rsid w:val="0010126C"/>
    <w:rsid w:val="00107296"/>
    <w:rsid w:val="00133BD9"/>
    <w:rsid w:val="00133CFC"/>
    <w:rsid w:val="00137DC1"/>
    <w:rsid w:val="00172809"/>
    <w:rsid w:val="001B0622"/>
    <w:rsid w:val="001D5F88"/>
    <w:rsid w:val="001E129D"/>
    <w:rsid w:val="00206D5F"/>
    <w:rsid w:val="00231D67"/>
    <w:rsid w:val="00257F3E"/>
    <w:rsid w:val="002707B1"/>
    <w:rsid w:val="0027418E"/>
    <w:rsid w:val="00291D51"/>
    <w:rsid w:val="002A4AD8"/>
    <w:rsid w:val="002B4955"/>
    <w:rsid w:val="002F0C41"/>
    <w:rsid w:val="003043A4"/>
    <w:rsid w:val="003452B0"/>
    <w:rsid w:val="00360385"/>
    <w:rsid w:val="00372D1E"/>
    <w:rsid w:val="003820EF"/>
    <w:rsid w:val="003B3576"/>
    <w:rsid w:val="003B35B2"/>
    <w:rsid w:val="003E53F4"/>
    <w:rsid w:val="003F22F3"/>
    <w:rsid w:val="004145D1"/>
    <w:rsid w:val="004302F8"/>
    <w:rsid w:val="00471BC8"/>
    <w:rsid w:val="00503895"/>
    <w:rsid w:val="00504295"/>
    <w:rsid w:val="00507163"/>
    <w:rsid w:val="00525507"/>
    <w:rsid w:val="00526623"/>
    <w:rsid w:val="00526A8E"/>
    <w:rsid w:val="00534E92"/>
    <w:rsid w:val="00584F30"/>
    <w:rsid w:val="005A506C"/>
    <w:rsid w:val="005A74DE"/>
    <w:rsid w:val="005E2894"/>
    <w:rsid w:val="00605CDD"/>
    <w:rsid w:val="0060723D"/>
    <w:rsid w:val="006279ED"/>
    <w:rsid w:val="00660BBB"/>
    <w:rsid w:val="006847DA"/>
    <w:rsid w:val="006B18F6"/>
    <w:rsid w:val="00700ED2"/>
    <w:rsid w:val="00716508"/>
    <w:rsid w:val="007400B7"/>
    <w:rsid w:val="00753976"/>
    <w:rsid w:val="007649AC"/>
    <w:rsid w:val="00795943"/>
    <w:rsid w:val="00796C90"/>
    <w:rsid w:val="007974DA"/>
    <w:rsid w:val="007B29A9"/>
    <w:rsid w:val="007B4F5B"/>
    <w:rsid w:val="007B6A4B"/>
    <w:rsid w:val="007D0E22"/>
    <w:rsid w:val="007D4FD3"/>
    <w:rsid w:val="007D7648"/>
    <w:rsid w:val="007E53E6"/>
    <w:rsid w:val="008170C7"/>
    <w:rsid w:val="008516F1"/>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6575F"/>
    <w:rsid w:val="00970B1C"/>
    <w:rsid w:val="00A054D1"/>
    <w:rsid w:val="00A0584E"/>
    <w:rsid w:val="00A06191"/>
    <w:rsid w:val="00A13AC5"/>
    <w:rsid w:val="00A21D26"/>
    <w:rsid w:val="00A27E92"/>
    <w:rsid w:val="00A71151"/>
    <w:rsid w:val="00A922CF"/>
    <w:rsid w:val="00AC6418"/>
    <w:rsid w:val="00AE1682"/>
    <w:rsid w:val="00B15064"/>
    <w:rsid w:val="00B82400"/>
    <w:rsid w:val="00B86DDF"/>
    <w:rsid w:val="00BA4154"/>
    <w:rsid w:val="00BB682C"/>
    <w:rsid w:val="00C57345"/>
    <w:rsid w:val="00C657A4"/>
    <w:rsid w:val="00C814D0"/>
    <w:rsid w:val="00C919C3"/>
    <w:rsid w:val="00CA4297"/>
    <w:rsid w:val="00CC7214"/>
    <w:rsid w:val="00CE4B79"/>
    <w:rsid w:val="00CE77D0"/>
    <w:rsid w:val="00CF22EF"/>
    <w:rsid w:val="00D31F24"/>
    <w:rsid w:val="00D50036"/>
    <w:rsid w:val="00DB017F"/>
    <w:rsid w:val="00E040EA"/>
    <w:rsid w:val="00E525E0"/>
    <w:rsid w:val="00E60E79"/>
    <w:rsid w:val="00EB179A"/>
    <w:rsid w:val="00EB2613"/>
    <w:rsid w:val="00F00954"/>
    <w:rsid w:val="00F129C1"/>
    <w:rsid w:val="00F23B18"/>
    <w:rsid w:val="00F24B54"/>
    <w:rsid w:val="00F678C1"/>
    <w:rsid w:val="00F71252"/>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B1506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80218895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50DD776A-5ED3-4B07-880C-837C2B035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 ds:uri="http://purl.org/dc/terms/"/>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3723A530-B85E-401B-833D-DE4E942D0A93}">
  <ds:schemaRefs>
    <ds:schemaRef ds:uri="Microsoft.SharePoint.Taxonomy.ContentTypeSync"/>
  </ds:schemaRefs>
</ds:datastoreItem>
</file>

<file path=customXml/itemProps5.xml><?xml version="1.0" encoding="utf-8"?>
<ds:datastoreItem xmlns:ds="http://schemas.openxmlformats.org/officeDocument/2006/customXml" ds:itemID="{2B47688C-E2BA-4B01-B83B-B05A2D87A55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194</Words>
  <Characters>1137</Characters>
  <Application>Microsoft Office Word</Application>
  <DocSecurity>0</DocSecurity>
  <Lines>47</Lines>
  <Paragraphs>36</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Michael Barlow</cp:lastModifiedBy>
  <cp:revision>15</cp:revision>
  <dcterms:created xsi:type="dcterms:W3CDTF">2020-07-30T09:34:00Z</dcterms:created>
  <dcterms:modified xsi:type="dcterms:W3CDTF">2020-08-21T09:25:00Z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MSIP_Label_7a28ff59-1dd3-406f-be87-f82473b549be_Enabled">
    <vt:lpwstr>True</vt:lpwstr>
  </property>
  <property fmtid="{D5CDD505-2E9C-101B-9397-08002B2CF9AE}" pid="35" name="MSIP_Label_7a28ff59-1dd3-406f-be87-f82473b549be_SiteId">
    <vt:lpwstr>de0d74aa-9914-4bb9-9235-fbefe83b1769</vt:lpwstr>
  </property>
  <property fmtid="{D5CDD505-2E9C-101B-9397-08002B2CF9AE}" pid="36" name="MSIP_Label_7a28ff59-1dd3-406f-be87-f82473b549be_Owner">
    <vt:lpwstr>Yvonne.Reid-Healy@cadentgas.com</vt:lpwstr>
  </property>
  <property fmtid="{D5CDD505-2E9C-101B-9397-08002B2CF9AE}" pid="37" name="MSIP_Label_7a28ff59-1dd3-406f-be87-f82473b549be_SetDate">
    <vt:lpwstr>2020-01-24T13:37:08.5127760Z</vt:lpwstr>
  </property>
  <property fmtid="{D5CDD505-2E9C-101B-9397-08002B2CF9AE}" pid="38" name="MSIP_Label_7a28ff59-1dd3-406f-be87-f82473b549be_Name">
    <vt:lpwstr>Cadent - Official</vt:lpwstr>
  </property>
  <property fmtid="{D5CDD505-2E9C-101B-9397-08002B2CF9AE}" pid="39" name="MSIP_Label_7a28ff59-1dd3-406f-be87-f82473b549be_Application">
    <vt:lpwstr>Microsoft Azure Information Protection</vt:lpwstr>
  </property>
  <property fmtid="{D5CDD505-2E9C-101B-9397-08002B2CF9AE}" pid="40" name="MSIP_Label_7a28ff59-1dd3-406f-be87-f82473b549be_Extended_MSFT_Method">
    <vt:lpwstr>Automatic</vt:lpwstr>
  </property>
  <property fmtid="{D5CDD505-2E9C-101B-9397-08002B2CF9AE}" pid="41" name="Sensitivity">
    <vt:lpwstr>Cadent - Official</vt:lpwstr>
  </property>
  <property fmtid="{D5CDD505-2E9C-101B-9397-08002B2CF9AE}" pid="42" name="bjDocumentSecurityLabel">
    <vt:lpwstr>This item has no classification</vt:lpwstr>
  </property>
</Properties>
</file>