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921CA97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095C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DFE93C7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D739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0AABB016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6A780C9C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A88BC47" w14:textId="15AB2220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D50EA5">
              <w:rPr>
                <w:rFonts w:ascii="Arial" w:hAnsi="Arial" w:cs="Arial"/>
                <w:sz w:val="24"/>
                <w:szCs w:val="24"/>
              </w:rPr>
              <w:t>21</w:t>
            </w:r>
          </w:p>
        </w:tc>
      </w:tr>
      <w:tr w:rsidR="00A06191" w:rsidRPr="00876240" w14:paraId="24EDE69F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78EE99F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0A56A5A" w14:textId="77777777" w:rsidR="00A06191" w:rsidRPr="00876240" w:rsidRDefault="005309E6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</w:t>
            </w:r>
          </w:p>
        </w:tc>
      </w:tr>
      <w:tr w:rsidR="00A06191" w:rsidRPr="00876240" w14:paraId="045F5EE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5B53921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45D78E3" w14:textId="77777777" w:rsidR="004C16F5" w:rsidRDefault="005309E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Connections </w:t>
            </w:r>
            <w:r w:rsidR="00CE7DD2">
              <w:rPr>
                <w:rFonts w:ascii="Arial" w:hAnsi="Arial" w:cs="Arial"/>
                <w:sz w:val="24"/>
                <w:szCs w:val="24"/>
              </w:rPr>
              <w:t>unit Costs</w:t>
            </w:r>
            <w:r w:rsidR="008A3B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0F36466" w14:textId="77777777" w:rsidR="00A06191" w:rsidRPr="00876240" w:rsidRDefault="004C16F5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Cadent Annex - </w:t>
            </w:r>
            <w:r w:rsidR="000C7DCE">
              <w:rPr>
                <w:rFonts w:ascii="Arial" w:hAnsi="Arial" w:cs="Arial"/>
                <w:sz w:val="24"/>
                <w:szCs w:val="24"/>
              </w:rPr>
              <w:t>Tables 63 to 66</w:t>
            </w:r>
            <w:r w:rsidR="00F0596F">
              <w:rPr>
                <w:rFonts w:ascii="Arial" w:hAnsi="Arial" w:cs="Arial"/>
                <w:sz w:val="24"/>
                <w:szCs w:val="24"/>
              </w:rPr>
              <w:t xml:space="preserve"> (p72-75)</w:t>
            </w:r>
          </w:p>
        </w:tc>
      </w:tr>
      <w:tr w:rsidR="00A06191" w:rsidRPr="00876240" w14:paraId="79DF90F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9C92A3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5669AAA" w14:textId="77777777" w:rsidR="008A3B22" w:rsidRDefault="008A3B22" w:rsidP="006B03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Connections base costs in table 63 to 66 do</w:t>
            </w:r>
            <w:r w:rsidR="00E01520">
              <w:rPr>
                <w:rFonts w:ascii="Arial" w:hAnsi="Arial" w:cs="Arial"/>
                <w:sz w:val="24"/>
                <w:szCs w:val="24"/>
              </w:rPr>
              <w:t xml:space="preserve"> not</w:t>
            </w:r>
            <w:r>
              <w:rPr>
                <w:rFonts w:ascii="Arial" w:hAnsi="Arial" w:cs="Arial"/>
                <w:sz w:val="24"/>
                <w:szCs w:val="24"/>
              </w:rPr>
              <w:t xml:space="preserve"> reconcile to the BPDT’s submitted</w:t>
            </w:r>
            <w:r w:rsidR="009502A7">
              <w:rPr>
                <w:rFonts w:ascii="Arial" w:hAnsi="Arial" w:cs="Arial"/>
                <w:sz w:val="24"/>
                <w:szCs w:val="24"/>
              </w:rPr>
              <w:t xml:space="preserve"> (the cash values are higher in DD)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1C483531" w14:textId="77777777" w:rsidR="004C16F5" w:rsidRDefault="004C16F5" w:rsidP="006B03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And upon looking through the models we are unable to ascertain the unit costs that have been used to derive the </w:t>
            </w:r>
            <w:r w:rsidR="00F0596F">
              <w:rPr>
                <w:rFonts w:ascii="Arial" w:hAnsi="Arial" w:cs="Arial"/>
                <w:sz w:val="24"/>
                <w:szCs w:val="24"/>
              </w:rPr>
              <w:t xml:space="preserve">DD </w:t>
            </w:r>
            <w:r>
              <w:rPr>
                <w:rFonts w:ascii="Arial" w:hAnsi="Arial" w:cs="Arial"/>
                <w:sz w:val="24"/>
                <w:szCs w:val="24"/>
              </w:rPr>
              <w:t>connections base</w:t>
            </w:r>
            <w:r w:rsidR="00F0596F">
              <w:rPr>
                <w:rFonts w:ascii="Arial" w:hAnsi="Arial" w:cs="Arial"/>
                <w:sz w:val="24"/>
                <w:szCs w:val="24"/>
              </w:rPr>
              <w:t xml:space="preserve"> figures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2D4C94" w14:textId="77777777" w:rsidR="00CB3BB6" w:rsidRPr="004C16F5" w:rsidRDefault="004C16F5" w:rsidP="004C16F5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What are</w:t>
            </w:r>
            <w:r w:rsidR="008A3B22" w:rsidRPr="004C16F5"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="00F0596F">
              <w:rPr>
                <w:rFonts w:ascii="Arial" w:hAnsi="Arial" w:cs="Arial"/>
                <w:sz w:val="24"/>
                <w:szCs w:val="24"/>
              </w:rPr>
              <w:t xml:space="preserve">gross </w:t>
            </w:r>
            <w:r w:rsidR="008A3B22" w:rsidRPr="004C16F5">
              <w:rPr>
                <w:rFonts w:ascii="Arial" w:hAnsi="Arial" w:cs="Arial"/>
                <w:sz w:val="24"/>
                <w:szCs w:val="24"/>
              </w:rPr>
              <w:t>unit</w:t>
            </w:r>
            <w:r w:rsidR="00E01520" w:rsidRPr="004C16F5">
              <w:rPr>
                <w:rFonts w:ascii="Arial" w:hAnsi="Arial" w:cs="Arial"/>
                <w:sz w:val="24"/>
                <w:szCs w:val="24"/>
              </w:rPr>
              <w:t xml:space="preserve"> cost</w:t>
            </w:r>
            <w:r w:rsidR="00F0596F">
              <w:rPr>
                <w:rFonts w:ascii="Arial" w:hAnsi="Arial" w:cs="Arial"/>
                <w:sz w:val="24"/>
                <w:szCs w:val="24"/>
              </w:rPr>
              <w:t>s</w:t>
            </w:r>
            <w:r w:rsidR="00E01520" w:rsidRPr="004C16F5">
              <w:rPr>
                <w:rFonts w:ascii="Arial" w:hAnsi="Arial" w:cs="Arial"/>
                <w:sz w:val="24"/>
                <w:szCs w:val="24"/>
              </w:rPr>
              <w:t xml:space="preserve"> and contributions </w:t>
            </w:r>
            <w:r w:rsidR="008A3B22" w:rsidRPr="004C16F5">
              <w:rPr>
                <w:rFonts w:ascii="Arial" w:hAnsi="Arial" w:cs="Arial"/>
                <w:sz w:val="24"/>
                <w:szCs w:val="24"/>
              </w:rPr>
              <w:t xml:space="preserve">used for </w:t>
            </w:r>
            <w:r w:rsidRPr="004C16F5">
              <w:rPr>
                <w:rFonts w:ascii="Arial" w:hAnsi="Arial" w:cs="Arial"/>
                <w:sz w:val="24"/>
                <w:szCs w:val="24"/>
              </w:rPr>
              <w:t xml:space="preserve">services and mains in </w:t>
            </w:r>
            <w:r w:rsidR="008A3B22" w:rsidRPr="004C16F5">
              <w:rPr>
                <w:rFonts w:ascii="Arial" w:hAnsi="Arial" w:cs="Arial"/>
                <w:sz w:val="24"/>
                <w:szCs w:val="24"/>
              </w:rPr>
              <w:t>Domestic and Non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8A3B22" w:rsidRPr="004C16F5">
              <w:rPr>
                <w:rFonts w:ascii="Arial" w:hAnsi="Arial" w:cs="Arial"/>
                <w:sz w:val="24"/>
                <w:szCs w:val="24"/>
              </w:rPr>
              <w:t>Domestic Connections along with FPNE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946941" w:rsidRPr="00876240" w14:paraId="20216EA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529F094" w14:textId="6572EC38" w:rsidR="00946941" w:rsidRDefault="0094694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4FF45B2" w14:textId="33EFBA6D" w:rsidR="00946941" w:rsidRDefault="00946941" w:rsidP="006B03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[Yes/No]</w:t>
            </w:r>
          </w:p>
        </w:tc>
      </w:tr>
      <w:tr w:rsidR="00A06191" w:rsidRPr="00876240" w14:paraId="56E6630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0C88330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75D71DF" w14:textId="77777777" w:rsidR="00A06191" w:rsidRPr="00876240" w:rsidRDefault="00CB3BB6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James Millar</w:t>
            </w:r>
          </w:p>
        </w:tc>
      </w:tr>
      <w:tr w:rsidR="00A06191" w:rsidRPr="00876240" w14:paraId="1A90E34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F712C40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3BB7C01" w14:textId="77777777" w:rsidR="00F82AB4" w:rsidRPr="00876240" w:rsidRDefault="00CB3BB6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6C41EA">
              <w:rPr>
                <w:rFonts w:ascii="Arial" w:hAnsi="Arial" w:cs="Arial"/>
                <w:sz w:val="24"/>
                <w:szCs w:val="24"/>
              </w:rPr>
              <w:t>/07/2020</w:t>
            </w:r>
          </w:p>
        </w:tc>
      </w:tr>
      <w:tr w:rsidR="00A06191" w:rsidRPr="00876240" w14:paraId="22A409E8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36C7F2D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457AD67" w14:textId="77777777" w:rsidR="00A06191" w:rsidRPr="00876240" w:rsidRDefault="006C41E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B3BB6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/07/2020</w:t>
            </w:r>
          </w:p>
        </w:tc>
      </w:tr>
      <w:tr w:rsidR="00A06191" w:rsidRPr="00876240" w14:paraId="62A9A4FD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1CD9AF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FD7BE3B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Start w:id="0" w:name="_GoBack"/>
      <w:tr w:rsidR="00133BD9" w:rsidRPr="00876240" w14:paraId="19813384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318305F3" w14:textId="7874E925" w:rsidR="00237E05" w:rsidRDefault="00946941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Connections costs have been assessed within the proposed totex </w:t>
            </w:r>
            <w:r w:rsidR="00121895">
              <w:rPr>
                <w:rFonts w:ascii="Arial" w:hAnsi="Arial" w:cs="Arial"/>
                <w:bCs/>
                <w:sz w:val="24"/>
                <w:szCs w:val="24"/>
              </w:rPr>
              <w:t xml:space="preserve">regression </w:t>
            </w:r>
            <w:r>
              <w:rPr>
                <w:rFonts w:ascii="Arial" w:hAnsi="Arial" w:cs="Arial"/>
                <w:bCs/>
                <w:sz w:val="24"/>
                <w:szCs w:val="24"/>
              </w:rPr>
              <w:t>model</w:t>
            </w:r>
            <w:r w:rsidR="006D554D">
              <w:rPr>
                <w:rFonts w:ascii="Arial" w:hAnsi="Arial" w:cs="Arial"/>
                <w:bCs/>
                <w:sz w:val="24"/>
                <w:szCs w:val="24"/>
              </w:rPr>
              <w:t>. A synthetic cost driver for these costs was included in the totex composite scale variable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121895">
              <w:rPr>
                <w:rFonts w:ascii="Arial" w:hAnsi="Arial" w:cs="Arial"/>
                <w:bCs/>
                <w:sz w:val="24"/>
                <w:szCs w:val="24"/>
              </w:rPr>
              <w:t xml:space="preserve"> The model produces</w:t>
            </w:r>
            <w:r w:rsidR="00237E05">
              <w:rPr>
                <w:rFonts w:ascii="Arial" w:hAnsi="Arial" w:cs="Arial"/>
                <w:bCs/>
                <w:sz w:val="24"/>
                <w:szCs w:val="24"/>
              </w:rPr>
              <w:t xml:space="preserve"> a totex allowance, which is then apportioned to disaggregated activities based on GDNs’ forecast submissions</w:t>
            </w:r>
            <w:r w:rsidR="001A7DD9">
              <w:rPr>
                <w:rFonts w:ascii="Arial" w:hAnsi="Arial" w:cs="Arial"/>
                <w:bCs/>
                <w:sz w:val="24"/>
                <w:szCs w:val="24"/>
              </w:rPr>
              <w:t xml:space="preserve"> and an adjustment factor</w:t>
            </w:r>
            <w:r w:rsidR="00237E05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6F4296">
              <w:rPr>
                <w:rFonts w:ascii="Arial" w:hAnsi="Arial" w:cs="Arial"/>
                <w:bCs/>
                <w:sz w:val="24"/>
                <w:szCs w:val="24"/>
              </w:rPr>
              <w:t xml:space="preserve"> As such, the proposed connections allowances are not directly based on unit rates.</w:t>
            </w:r>
            <w:bookmarkEnd w:id="0"/>
          </w:p>
          <w:p w14:paraId="23C30F42" w14:textId="2AFFDDC1" w:rsidR="00237E05" w:rsidRDefault="00237E05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The figures in tables 63 to 66</w:t>
            </w:r>
            <w:r w:rsidR="006D554D">
              <w:rPr>
                <w:rFonts w:ascii="Arial" w:hAnsi="Arial" w:cs="Arial"/>
                <w:bCs/>
                <w:sz w:val="24"/>
                <w:szCs w:val="24"/>
              </w:rPr>
              <w:t xml:space="preserve"> reflect this apportionment and include ongoing efficiency. For connections, they correspond to cells AG-AK118 on sheet ‘Cal_[network]’ in the ‘Allowances’ file.</w:t>
            </w:r>
          </w:p>
          <w:p w14:paraId="212B69A9" w14:textId="68EF4B21" w:rsidR="006224F4" w:rsidRPr="006B26DE" w:rsidRDefault="001A7DD9" w:rsidP="001A7DD9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Net figures are obtained by applying a gross to net ratio computed in the Normalisation files from submitted costs.</w:t>
            </w:r>
          </w:p>
        </w:tc>
      </w:tr>
      <w:tr w:rsidR="00133BD9" w:rsidRPr="00876240" w14:paraId="4012D2D0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0CA20E7F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lastRenderedPageBreak/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2D2E43A4" w14:textId="77777777" w:rsidR="00945C7C" w:rsidRDefault="00945C7C" w:rsidP="008A5062"/>
    <w:sectPr w:rsidR="00945C7C" w:rsidSect="008A50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D2FB7" w14:textId="77777777" w:rsidR="00637CE2" w:rsidRDefault="00637CE2" w:rsidP="00526623">
      <w:pPr>
        <w:spacing w:after="0" w:line="240" w:lineRule="auto"/>
      </w:pPr>
      <w:r>
        <w:separator/>
      </w:r>
    </w:p>
  </w:endnote>
  <w:endnote w:type="continuationSeparator" w:id="0">
    <w:p w14:paraId="6633E490" w14:textId="77777777" w:rsidR="00637CE2" w:rsidRDefault="00637CE2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B035A" w14:textId="77777777" w:rsidR="006F4296" w:rsidRDefault="006F42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79850" w14:textId="77777777" w:rsidR="006F4296" w:rsidRDefault="006F42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32DD4" w14:textId="77777777" w:rsidR="006F4296" w:rsidRDefault="006F42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DA131" w14:textId="77777777" w:rsidR="00637CE2" w:rsidRDefault="00637CE2" w:rsidP="00526623">
      <w:pPr>
        <w:spacing w:after="0" w:line="240" w:lineRule="auto"/>
      </w:pPr>
      <w:r>
        <w:separator/>
      </w:r>
    </w:p>
  </w:footnote>
  <w:footnote w:type="continuationSeparator" w:id="0">
    <w:p w14:paraId="08C6A8B4" w14:textId="77777777" w:rsidR="00637CE2" w:rsidRDefault="00637CE2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EEFA7" w14:textId="77777777" w:rsidR="006F4296" w:rsidRDefault="006F42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C18C3" w14:textId="77777777" w:rsidR="006F4296" w:rsidRDefault="006F42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30B050" w14:textId="77777777" w:rsidR="006F4296" w:rsidRDefault="006F42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F34A5"/>
    <w:multiLevelType w:val="hybridMultilevel"/>
    <w:tmpl w:val="9F04FA5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96621"/>
    <w:multiLevelType w:val="hybridMultilevel"/>
    <w:tmpl w:val="FB687C0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23304"/>
    <w:rsid w:val="00041711"/>
    <w:rsid w:val="000436C2"/>
    <w:rsid w:val="000473D3"/>
    <w:rsid w:val="00050C54"/>
    <w:rsid w:val="000B0536"/>
    <w:rsid w:val="000C7DCE"/>
    <w:rsid w:val="000E46EE"/>
    <w:rsid w:val="0010126C"/>
    <w:rsid w:val="00107296"/>
    <w:rsid w:val="00121895"/>
    <w:rsid w:val="00133BD9"/>
    <w:rsid w:val="00133CFC"/>
    <w:rsid w:val="0014080B"/>
    <w:rsid w:val="00172809"/>
    <w:rsid w:val="001A7DD9"/>
    <w:rsid w:val="00206D5F"/>
    <w:rsid w:val="00237E05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B3576"/>
    <w:rsid w:val="003E0B6F"/>
    <w:rsid w:val="00400822"/>
    <w:rsid w:val="004C16F5"/>
    <w:rsid w:val="004C4D2B"/>
    <w:rsid w:val="00503895"/>
    <w:rsid w:val="00526623"/>
    <w:rsid w:val="00526A8E"/>
    <w:rsid w:val="005309E6"/>
    <w:rsid w:val="00534E92"/>
    <w:rsid w:val="00536220"/>
    <w:rsid w:val="00584F30"/>
    <w:rsid w:val="005A506C"/>
    <w:rsid w:val="005A74DE"/>
    <w:rsid w:val="005E2894"/>
    <w:rsid w:val="005F7CFF"/>
    <w:rsid w:val="0060723D"/>
    <w:rsid w:val="006224F4"/>
    <w:rsid w:val="006279ED"/>
    <w:rsid w:val="00637CE2"/>
    <w:rsid w:val="006847DA"/>
    <w:rsid w:val="006B0372"/>
    <w:rsid w:val="006B26DE"/>
    <w:rsid w:val="006B5C25"/>
    <w:rsid w:val="006C41EA"/>
    <w:rsid w:val="006D554D"/>
    <w:rsid w:val="006F4296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3B22"/>
    <w:rsid w:val="008A5062"/>
    <w:rsid w:val="008B3636"/>
    <w:rsid w:val="008B7043"/>
    <w:rsid w:val="008C5A35"/>
    <w:rsid w:val="00924DEC"/>
    <w:rsid w:val="009302BE"/>
    <w:rsid w:val="00937BF5"/>
    <w:rsid w:val="00942721"/>
    <w:rsid w:val="00945C7C"/>
    <w:rsid w:val="00946125"/>
    <w:rsid w:val="00946941"/>
    <w:rsid w:val="009502A7"/>
    <w:rsid w:val="009845A8"/>
    <w:rsid w:val="00997065"/>
    <w:rsid w:val="009B26A0"/>
    <w:rsid w:val="009B7577"/>
    <w:rsid w:val="009D4F56"/>
    <w:rsid w:val="009E238F"/>
    <w:rsid w:val="00A054D1"/>
    <w:rsid w:val="00A0584E"/>
    <w:rsid w:val="00A06191"/>
    <w:rsid w:val="00A56CF3"/>
    <w:rsid w:val="00A922CF"/>
    <w:rsid w:val="00AA6F36"/>
    <w:rsid w:val="00AC6418"/>
    <w:rsid w:val="00AE2C71"/>
    <w:rsid w:val="00AF2854"/>
    <w:rsid w:val="00B33BDA"/>
    <w:rsid w:val="00B378CC"/>
    <w:rsid w:val="00B41AEB"/>
    <w:rsid w:val="00B473B4"/>
    <w:rsid w:val="00B82400"/>
    <w:rsid w:val="00B86DDF"/>
    <w:rsid w:val="00BA4154"/>
    <w:rsid w:val="00BA5A79"/>
    <w:rsid w:val="00BB4793"/>
    <w:rsid w:val="00BB56A8"/>
    <w:rsid w:val="00BB682C"/>
    <w:rsid w:val="00BD48A8"/>
    <w:rsid w:val="00BD5468"/>
    <w:rsid w:val="00C10D99"/>
    <w:rsid w:val="00C57345"/>
    <w:rsid w:val="00C814D0"/>
    <w:rsid w:val="00C86877"/>
    <w:rsid w:val="00CA4297"/>
    <w:rsid w:val="00CB3BB6"/>
    <w:rsid w:val="00CC7214"/>
    <w:rsid w:val="00CE7DD2"/>
    <w:rsid w:val="00CF22EF"/>
    <w:rsid w:val="00D1736D"/>
    <w:rsid w:val="00D50036"/>
    <w:rsid w:val="00D50EA5"/>
    <w:rsid w:val="00D53135"/>
    <w:rsid w:val="00D81399"/>
    <w:rsid w:val="00DA4D94"/>
    <w:rsid w:val="00DA5489"/>
    <w:rsid w:val="00DD4A10"/>
    <w:rsid w:val="00E01520"/>
    <w:rsid w:val="00E040EA"/>
    <w:rsid w:val="00E525E0"/>
    <w:rsid w:val="00E55A7F"/>
    <w:rsid w:val="00E566F5"/>
    <w:rsid w:val="00EB123E"/>
    <w:rsid w:val="00EB179A"/>
    <w:rsid w:val="00EB2613"/>
    <w:rsid w:val="00EE1C79"/>
    <w:rsid w:val="00F0596F"/>
    <w:rsid w:val="00F129C1"/>
    <w:rsid w:val="00F20F23"/>
    <w:rsid w:val="00F23B18"/>
    <w:rsid w:val="00F31270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2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38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38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38F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3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3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4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D0D1D0D-DDAE-47AD-AE22-CB0CDF98B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7A9ACC-EC51-4C54-A20C-8BC14F5FB18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ADD9686-A806-4D0B-BBC0-71266FA194C8}">
  <ds:schemaRefs>
    <ds:schemaRef ds:uri="http://www.w3.org/XML/1998/namespace"/>
    <ds:schemaRef ds:uri="http://schemas.microsoft.com/sharepoint/v3/fields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31298fc-6a88-4548-b7d9-3b164918c4a3"/>
    <ds:schemaRef ds:uri="http://schemas.microsoft.com/office/2006/metadata/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1486E45-F40B-4423-A6D3-C256C7E0E5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5</cp:revision>
  <dcterms:created xsi:type="dcterms:W3CDTF">2020-07-31T08:53:00Z</dcterms:created>
  <dcterms:modified xsi:type="dcterms:W3CDTF">2020-07-31T14:30:00Z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