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90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"/>
        <w:gridCol w:w="2283"/>
        <w:gridCol w:w="7175"/>
        <w:gridCol w:w="216"/>
      </w:tblGrid>
      <w:tr w:rsidR="00133BD9" w:rsidRPr="00876240" w14:paraId="685068CA" w14:textId="77777777" w:rsidTr="00255447">
        <w:trPr>
          <w:gridAfter w:val="1"/>
          <w:wAfter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C66CC" w14:textId="77777777" w:rsidR="00133BD9" w:rsidRPr="002E3EFB" w:rsidRDefault="002E3EFB" w:rsidP="00B378C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2E3EFB">
              <w:rPr>
                <w:rFonts w:ascii="Arial" w:hAnsi="Arial" w:cs="Arial"/>
                <w:b/>
                <w:bCs/>
                <w:sz w:val="32"/>
                <w:szCs w:val="32"/>
              </w:rPr>
              <w:t>Draft Determination</w:t>
            </w:r>
            <w:r w:rsidR="00A0584E" w:rsidRPr="002E3EFB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r w:rsidR="00150323">
              <w:rPr>
                <w:rFonts w:ascii="Arial" w:hAnsi="Arial" w:cs="Arial"/>
                <w:b/>
                <w:bCs/>
                <w:sz w:val="32"/>
                <w:szCs w:val="32"/>
              </w:rPr>
              <w:t>Publication</w:t>
            </w:r>
          </w:p>
        </w:tc>
      </w:tr>
      <w:tr w:rsidR="00133BD9" w:rsidRPr="00876240" w14:paraId="3D5CFAB5" w14:textId="77777777" w:rsidTr="00255447">
        <w:trPr>
          <w:gridBefore w:val="1"/>
          <w:wBefore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0EE90" w14:textId="77777777" w:rsidR="00BB682C" w:rsidRPr="00876240" w:rsidRDefault="00150323" w:rsidP="002E3EF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Network</w:t>
            </w:r>
            <w:r w:rsidR="00D81399">
              <w:rPr>
                <w:rFonts w:ascii="Arial" w:hAnsi="Arial" w:cs="Arial"/>
                <w:b/>
                <w:bCs/>
              </w:rPr>
              <w:t xml:space="preserve"> Q</w:t>
            </w:r>
            <w:r w:rsidR="00133BD9">
              <w:rPr>
                <w:rFonts w:ascii="Arial" w:hAnsi="Arial" w:cs="Arial"/>
                <w:b/>
                <w:bCs/>
              </w:rPr>
              <w:t>u</w:t>
            </w:r>
            <w:r w:rsidR="00F20F23">
              <w:rPr>
                <w:rFonts w:ascii="Arial" w:hAnsi="Arial" w:cs="Arial"/>
                <w:b/>
                <w:bCs/>
              </w:rPr>
              <w:t>ery</w:t>
            </w:r>
            <w:r w:rsidR="00133BD9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133BD9" w:rsidRPr="00876240" w14:paraId="5C1B7565" w14:textId="77777777" w:rsidTr="00255447">
        <w:trPr>
          <w:gridBefore w:val="1"/>
          <w:wBefore w:w="216" w:type="dxa"/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330AB6EA" w14:textId="77777777" w:rsidR="00133BD9" w:rsidRPr="00876240" w:rsidRDefault="00150323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Network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D17FB96" w14:textId="77777777" w:rsidR="00133BD9" w:rsidRPr="00876240" w:rsidRDefault="00C10D99" w:rsidP="00A0584E">
            <w:pPr>
              <w:rPr>
                <w:rFonts w:ascii="Arial" w:hAnsi="Arial" w:cs="Arial"/>
                <w:sz w:val="24"/>
                <w:szCs w:val="24"/>
              </w:rPr>
            </w:pPr>
            <w:r w:rsidRPr="00C10D99">
              <w:rPr>
                <w:rFonts w:ascii="Arial" w:hAnsi="Arial" w:cs="Arial"/>
                <w:sz w:val="24"/>
                <w:szCs w:val="24"/>
              </w:rPr>
              <w:t>CADENT_</w:t>
            </w:r>
            <w:r w:rsidR="00D81399">
              <w:rPr>
                <w:rFonts w:ascii="Arial" w:hAnsi="Arial" w:cs="Arial"/>
                <w:sz w:val="24"/>
                <w:szCs w:val="24"/>
              </w:rPr>
              <w:t>DD</w:t>
            </w:r>
            <w:r w:rsidR="00B378CC">
              <w:rPr>
                <w:rFonts w:ascii="Arial" w:hAnsi="Arial" w:cs="Arial"/>
                <w:sz w:val="24"/>
                <w:szCs w:val="24"/>
              </w:rPr>
              <w:t>Q_</w:t>
            </w:r>
            <w:r w:rsidR="00D55DFB">
              <w:rPr>
                <w:rFonts w:ascii="Arial" w:hAnsi="Arial" w:cs="Arial"/>
                <w:sz w:val="24"/>
                <w:szCs w:val="24"/>
              </w:rPr>
              <w:t>50</w:t>
            </w:r>
          </w:p>
        </w:tc>
      </w:tr>
      <w:tr w:rsidR="00A06191" w:rsidRPr="00876240" w14:paraId="76EDEE8B" w14:textId="77777777" w:rsidTr="00255447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24737D9B" w14:textId="77777777" w:rsidR="00A06191" w:rsidRPr="00876240" w:rsidRDefault="00150323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Licence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7DA67BF2" w14:textId="77777777" w:rsidR="00A06191" w:rsidRPr="00876240" w:rsidRDefault="00A06191" w:rsidP="00A0584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6191" w:rsidRPr="00876240" w14:paraId="18B494FB" w14:textId="77777777" w:rsidTr="00255447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20E53F9C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15C619EB" w14:textId="77777777" w:rsidR="00A06191" w:rsidRDefault="00255447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Costs and Volumes breakdown</w:t>
            </w:r>
            <w:r w:rsidR="0031513C">
              <w:rPr>
                <w:rFonts w:ascii="Arial" w:hAnsi="Arial" w:cs="Arial"/>
                <w:sz w:val="24"/>
                <w:szCs w:val="24"/>
              </w:rPr>
              <w:t xml:space="preserve"> by BPDT line</w:t>
            </w:r>
          </w:p>
          <w:p w14:paraId="6BDD0278" w14:textId="77777777" w:rsidR="00255447" w:rsidRPr="00876240" w:rsidRDefault="00255447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Cadent ANNEX Tables 62 – 66 (ref)</w:t>
            </w:r>
          </w:p>
        </w:tc>
      </w:tr>
      <w:tr w:rsidR="00A06191" w:rsidRPr="00876240" w14:paraId="58BE5BE5" w14:textId="77777777" w:rsidTr="00255447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62C41D80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18AC99CF" w14:textId="77777777" w:rsidR="00557CFD" w:rsidRDefault="00255447" w:rsidP="00557CFD">
            <w:r>
              <w:t>As a reference, i</w:t>
            </w:r>
            <w:r w:rsidR="00557CFD">
              <w:t>n Table 62 to 66 of the Cadent ANNEX you have provided us with TOTEX numbers for all areas</w:t>
            </w:r>
            <w:r w:rsidR="00D90EA5">
              <w:t xml:space="preserve">. From this </w:t>
            </w:r>
            <w:proofErr w:type="gramStart"/>
            <w:r w:rsidR="00D90EA5">
              <w:t>high level</w:t>
            </w:r>
            <w:proofErr w:type="gramEnd"/>
            <w:r w:rsidR="00D90EA5">
              <w:t xml:space="preserve"> summary </w:t>
            </w:r>
            <w:r w:rsidR="00557CFD">
              <w:t xml:space="preserve">we </w:t>
            </w:r>
            <w:r w:rsidR="00D90EA5">
              <w:t xml:space="preserve">are </w:t>
            </w:r>
            <w:r w:rsidR="00557CFD">
              <w:t xml:space="preserve">unable to analyse the numbers in detail. </w:t>
            </w:r>
            <w:r w:rsidR="00D90EA5">
              <w:t>Specifically we cannot see,</w:t>
            </w:r>
          </w:p>
          <w:p w14:paraId="309559AA" w14:textId="77777777" w:rsidR="00255447" w:rsidRDefault="00255447" w:rsidP="00255447">
            <w:pPr>
              <w:pStyle w:val="ListParagraph"/>
              <w:numPr>
                <w:ilvl w:val="0"/>
                <w:numId w:val="6"/>
              </w:numPr>
            </w:pPr>
            <w:r>
              <w:t>Gross Costs</w:t>
            </w:r>
          </w:p>
          <w:p w14:paraId="6C9DA2D3" w14:textId="77777777" w:rsidR="00255447" w:rsidRDefault="00255447" w:rsidP="00255447">
            <w:pPr>
              <w:pStyle w:val="ListParagraph"/>
              <w:numPr>
                <w:ilvl w:val="0"/>
                <w:numId w:val="6"/>
              </w:numPr>
            </w:pPr>
            <w:r>
              <w:t>Contributions</w:t>
            </w:r>
          </w:p>
          <w:p w14:paraId="767C7135" w14:textId="77777777" w:rsidR="00255447" w:rsidRDefault="00255447" w:rsidP="00255447">
            <w:pPr>
              <w:pStyle w:val="ListParagraph"/>
              <w:numPr>
                <w:ilvl w:val="0"/>
                <w:numId w:val="6"/>
              </w:numPr>
            </w:pPr>
            <w:r>
              <w:t>Volumes etc</w:t>
            </w:r>
          </w:p>
          <w:p w14:paraId="1F100880" w14:textId="77777777" w:rsidR="00557CFD" w:rsidRDefault="00255447" w:rsidP="00557CFD">
            <w:r>
              <w:t xml:space="preserve">1) </w:t>
            </w:r>
            <w:r w:rsidR="00557CFD">
              <w:t xml:space="preserve">We require the areas </w:t>
            </w:r>
            <w:r>
              <w:t xml:space="preserve">in the table below </w:t>
            </w:r>
            <w:r w:rsidR="00557CFD">
              <w:t>broken</w:t>
            </w:r>
            <w:r>
              <w:t xml:space="preserve"> down into the following to aid our understanding and carry out detailed analysis.</w:t>
            </w:r>
          </w:p>
          <w:p w14:paraId="4522CEEC" w14:textId="77777777" w:rsidR="00255447" w:rsidRDefault="00255447" w:rsidP="00255447">
            <w:pPr>
              <w:pStyle w:val="ListParagraph"/>
              <w:numPr>
                <w:ilvl w:val="0"/>
                <w:numId w:val="7"/>
              </w:numPr>
            </w:pPr>
            <w:r>
              <w:t>Costs (Gross)</w:t>
            </w:r>
          </w:p>
          <w:p w14:paraId="636904F4" w14:textId="77777777" w:rsidR="00255447" w:rsidRDefault="00255447" w:rsidP="00255447">
            <w:pPr>
              <w:pStyle w:val="ListParagraph"/>
              <w:numPr>
                <w:ilvl w:val="0"/>
                <w:numId w:val="7"/>
              </w:numPr>
            </w:pPr>
            <w:r>
              <w:t>Contribution</w:t>
            </w:r>
          </w:p>
          <w:p w14:paraId="4EF000F2" w14:textId="77777777" w:rsidR="00255447" w:rsidRDefault="00255447" w:rsidP="00255447">
            <w:pPr>
              <w:pStyle w:val="ListParagraph"/>
              <w:numPr>
                <w:ilvl w:val="0"/>
                <w:numId w:val="7"/>
              </w:numPr>
            </w:pPr>
            <w:r>
              <w:t>Volumes</w:t>
            </w:r>
          </w:p>
          <w:p w14:paraId="68612ADD" w14:textId="77777777" w:rsidR="00255447" w:rsidRDefault="00255447" w:rsidP="00255447">
            <w:pPr>
              <w:pStyle w:val="ListParagraph"/>
              <w:numPr>
                <w:ilvl w:val="0"/>
                <w:numId w:val="7"/>
              </w:numPr>
            </w:pPr>
            <w:r>
              <w:t>Adjustments</w:t>
            </w:r>
          </w:p>
          <w:p w14:paraId="72B65026" w14:textId="77777777" w:rsidR="00255447" w:rsidRDefault="00255447" w:rsidP="00255447">
            <w:pPr>
              <w:pStyle w:val="ListParagraph"/>
              <w:numPr>
                <w:ilvl w:val="0"/>
                <w:numId w:val="7"/>
              </w:numPr>
            </w:pPr>
            <w:r>
              <w:t xml:space="preserve">Frontier </w:t>
            </w:r>
            <w:proofErr w:type="spellStart"/>
            <w:r>
              <w:t>Efficiences</w:t>
            </w:r>
            <w:proofErr w:type="spellEnd"/>
          </w:p>
          <w:tbl>
            <w:tblPr>
              <w:tblW w:w="6974" w:type="dxa"/>
              <w:tblLook w:val="04A0" w:firstRow="1" w:lastRow="0" w:firstColumn="1" w:lastColumn="0" w:noHBand="0" w:noVBand="1"/>
            </w:tblPr>
            <w:tblGrid>
              <w:gridCol w:w="2324"/>
              <w:gridCol w:w="2325"/>
              <w:gridCol w:w="2325"/>
            </w:tblGrid>
            <w:tr w:rsidR="0031513C" w:rsidRPr="00D84C23" w14:paraId="0933F950" w14:textId="77777777" w:rsidTr="0031513C">
              <w:trPr>
                <w:trHeight w:val="300"/>
              </w:trPr>
              <w:tc>
                <w:tcPr>
                  <w:tcW w:w="23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A4616"/>
                  <w:noWrap/>
                  <w:vAlign w:val="bottom"/>
                  <w:hideMark/>
                </w:tcPr>
                <w:p w14:paraId="572DC946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FFFFFF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b/>
                      <w:bCs/>
                      <w:color w:val="FFFFFF"/>
                      <w:sz w:val="16"/>
                      <w:lang w:eastAsia="en-GB"/>
                    </w:rPr>
                    <w:t>Main Area</w:t>
                  </w:r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A4616"/>
                  <w:noWrap/>
                  <w:vAlign w:val="bottom"/>
                  <w:hideMark/>
                </w:tcPr>
                <w:p w14:paraId="128F6BDB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FFFFFF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b/>
                      <w:bCs/>
                      <w:color w:val="FFFFFF"/>
                      <w:sz w:val="16"/>
                      <w:lang w:eastAsia="en-GB"/>
                    </w:rPr>
                    <w:t>Sub Area</w:t>
                  </w:r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A4616"/>
                  <w:noWrap/>
                  <w:vAlign w:val="bottom"/>
                  <w:hideMark/>
                </w:tcPr>
                <w:p w14:paraId="232979D7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FFFFFF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b/>
                      <w:bCs/>
                      <w:color w:val="FFFFFF"/>
                      <w:sz w:val="16"/>
                      <w:lang w:eastAsia="en-GB"/>
                    </w:rPr>
                    <w:t>Sub Component</w:t>
                  </w:r>
                </w:p>
              </w:tc>
            </w:tr>
            <w:tr w:rsidR="00557CFD" w:rsidRPr="00D84C23" w14:paraId="63803B42" w14:textId="77777777" w:rsidTr="0031513C">
              <w:trPr>
                <w:trHeight w:val="300"/>
              </w:trPr>
              <w:tc>
                <w:tcPr>
                  <w:tcW w:w="23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F01B20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LTS Storage &amp; Entry</w:t>
                  </w:r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4D62C7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Diversions</w:t>
                  </w:r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D3696C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Diversions Other</w:t>
                  </w:r>
                </w:p>
              </w:tc>
            </w:tr>
            <w:tr w:rsidR="00557CFD" w:rsidRPr="00D84C23" w14:paraId="10F7A228" w14:textId="77777777" w:rsidTr="0031513C">
              <w:trPr>
                <w:trHeight w:val="300"/>
              </w:trPr>
              <w:tc>
                <w:tcPr>
                  <w:tcW w:w="23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6E49D0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LTS Storage &amp; Entry</w:t>
                  </w:r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128D8D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Diversions</w:t>
                  </w:r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CD1DA9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HS2</w:t>
                  </w:r>
                </w:p>
              </w:tc>
            </w:tr>
            <w:tr w:rsidR="00557CFD" w:rsidRPr="00D84C23" w14:paraId="3A00C2CB" w14:textId="77777777" w:rsidTr="0031513C">
              <w:trPr>
                <w:trHeight w:val="300"/>
              </w:trPr>
              <w:tc>
                <w:tcPr>
                  <w:tcW w:w="23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149022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LTS Storage &amp; Entry</w:t>
                  </w:r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EA1349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Diversions</w:t>
                  </w:r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F2B46E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Major Projects</w:t>
                  </w:r>
                </w:p>
              </w:tc>
            </w:tr>
            <w:tr w:rsidR="00557CFD" w:rsidRPr="00D84C23" w14:paraId="39326E57" w14:textId="77777777" w:rsidTr="0031513C">
              <w:trPr>
                <w:trHeight w:val="300"/>
              </w:trPr>
              <w:tc>
                <w:tcPr>
                  <w:tcW w:w="23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3DAFA0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LTS Storage &amp; Entry</w:t>
                  </w:r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876AB6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Diversions</w:t>
                  </w:r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159CEF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Lower Thames Crossing</w:t>
                  </w:r>
                </w:p>
              </w:tc>
            </w:tr>
            <w:tr w:rsidR="00557CFD" w:rsidRPr="00D84C23" w14:paraId="5C154E17" w14:textId="77777777" w:rsidTr="0031513C">
              <w:trPr>
                <w:trHeight w:val="300"/>
              </w:trPr>
              <w:tc>
                <w:tcPr>
                  <w:tcW w:w="23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BFE090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LTS Storage &amp; Entry</w:t>
                  </w:r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16CFCE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Pipelines (Other Capex)</w:t>
                  </w:r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2EBCFF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Reduced Depth of Cover</w:t>
                  </w:r>
                </w:p>
              </w:tc>
            </w:tr>
            <w:tr w:rsidR="00557CFD" w:rsidRPr="00D84C23" w14:paraId="1E1C8BB4" w14:textId="77777777" w:rsidTr="0031513C">
              <w:trPr>
                <w:trHeight w:val="300"/>
              </w:trPr>
              <w:tc>
                <w:tcPr>
                  <w:tcW w:w="23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61B5D4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LTS Storage &amp; Entry</w:t>
                  </w:r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8947F5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Pipelines (Other Capex)</w:t>
                  </w:r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9A2F7D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Pipelines Other</w:t>
                  </w:r>
                </w:p>
              </w:tc>
            </w:tr>
            <w:tr w:rsidR="00557CFD" w:rsidRPr="00D84C23" w14:paraId="080AE35D" w14:textId="77777777" w:rsidTr="0031513C">
              <w:trPr>
                <w:trHeight w:val="300"/>
              </w:trPr>
              <w:tc>
                <w:tcPr>
                  <w:tcW w:w="23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284232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LTS Storage &amp; Entry</w:t>
                  </w:r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804EC8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Storage (non-LTS)</w:t>
                  </w:r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5B2799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proofErr w:type="spellStart"/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Holford</w:t>
                  </w:r>
                  <w:proofErr w:type="spellEnd"/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 xml:space="preserve"> Salt Cavity</w:t>
                  </w:r>
                </w:p>
              </w:tc>
            </w:tr>
            <w:tr w:rsidR="00557CFD" w:rsidRPr="00D84C23" w14:paraId="080493B5" w14:textId="77777777" w:rsidTr="0031513C">
              <w:trPr>
                <w:trHeight w:val="300"/>
              </w:trPr>
              <w:tc>
                <w:tcPr>
                  <w:tcW w:w="23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C124E7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LTS Storage &amp; Entry</w:t>
                  </w:r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B17BA6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PRS</w:t>
                  </w:r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E15EF4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Other</w:t>
                  </w:r>
                </w:p>
              </w:tc>
            </w:tr>
            <w:tr w:rsidR="00557CFD" w:rsidRPr="00D84C23" w14:paraId="7413ECFB" w14:textId="77777777" w:rsidTr="0031513C">
              <w:trPr>
                <w:trHeight w:val="300"/>
              </w:trPr>
              <w:tc>
                <w:tcPr>
                  <w:tcW w:w="23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A32ACC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LTS Storage &amp; Entry</w:t>
                  </w:r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AD95BF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PRS</w:t>
                  </w:r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569EB8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Filters</w:t>
                  </w:r>
                </w:p>
              </w:tc>
            </w:tr>
            <w:tr w:rsidR="00557CFD" w:rsidRPr="00D84C23" w14:paraId="7F0E0D61" w14:textId="77777777" w:rsidTr="0031513C">
              <w:trPr>
                <w:trHeight w:val="300"/>
              </w:trPr>
              <w:tc>
                <w:tcPr>
                  <w:tcW w:w="23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774801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LTS Storage &amp; Entry</w:t>
                  </w:r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121AB7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PRS</w:t>
                  </w:r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97BBD7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 xml:space="preserve">Regulators and </w:t>
                  </w:r>
                  <w:proofErr w:type="spellStart"/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Slamshuts</w:t>
                  </w:r>
                  <w:proofErr w:type="spellEnd"/>
                </w:p>
              </w:tc>
            </w:tr>
            <w:tr w:rsidR="00557CFD" w:rsidRPr="00D84C23" w14:paraId="10B01986" w14:textId="77777777" w:rsidTr="0031513C">
              <w:trPr>
                <w:trHeight w:val="300"/>
              </w:trPr>
              <w:tc>
                <w:tcPr>
                  <w:tcW w:w="23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24401E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LTS Storage &amp; Entry</w:t>
                  </w:r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BC9EBB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PRS</w:t>
                  </w:r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2251FD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Site Housing and Rebuilds</w:t>
                  </w:r>
                </w:p>
              </w:tc>
            </w:tr>
            <w:tr w:rsidR="00557CFD" w:rsidRPr="00D84C23" w14:paraId="15048F10" w14:textId="77777777" w:rsidTr="0031513C">
              <w:trPr>
                <w:trHeight w:val="300"/>
              </w:trPr>
              <w:tc>
                <w:tcPr>
                  <w:tcW w:w="23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CFEF83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LTS Storage &amp; Entry</w:t>
                  </w:r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245985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PRS</w:t>
                  </w:r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8B107D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Systems</w:t>
                  </w:r>
                </w:p>
              </w:tc>
            </w:tr>
            <w:tr w:rsidR="00557CFD" w:rsidRPr="00D84C23" w14:paraId="4B89780D" w14:textId="77777777" w:rsidTr="0031513C">
              <w:trPr>
                <w:trHeight w:val="300"/>
              </w:trPr>
              <w:tc>
                <w:tcPr>
                  <w:tcW w:w="23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F111D5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LTS Storage &amp; Entry</w:t>
                  </w:r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45FAFC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PRS</w:t>
                  </w:r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BA70E2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Local Gas Treatment</w:t>
                  </w:r>
                </w:p>
              </w:tc>
            </w:tr>
            <w:tr w:rsidR="00557CFD" w:rsidRPr="00D84C23" w14:paraId="340901DD" w14:textId="77777777" w:rsidTr="0031513C">
              <w:trPr>
                <w:trHeight w:val="300"/>
              </w:trPr>
              <w:tc>
                <w:tcPr>
                  <w:tcW w:w="23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CF5E6A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LTS Storage &amp; Entry</w:t>
                  </w:r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660496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PRS</w:t>
                  </w:r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CAE6E6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Heaters</w:t>
                  </w:r>
                </w:p>
              </w:tc>
            </w:tr>
            <w:tr w:rsidR="00557CFD" w:rsidRPr="00D84C23" w14:paraId="2D9750E5" w14:textId="77777777" w:rsidTr="0031513C">
              <w:trPr>
                <w:trHeight w:val="300"/>
              </w:trPr>
              <w:tc>
                <w:tcPr>
                  <w:tcW w:w="23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993BDF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LTS Storage &amp; Entry</w:t>
                  </w:r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9AC9E2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PRS</w:t>
                  </w:r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3F9DD9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Valves</w:t>
                  </w:r>
                </w:p>
              </w:tc>
            </w:tr>
            <w:tr w:rsidR="00557CFD" w:rsidRPr="00D84C23" w14:paraId="502665F2" w14:textId="77777777" w:rsidTr="0031513C">
              <w:trPr>
                <w:trHeight w:val="300"/>
              </w:trPr>
              <w:tc>
                <w:tcPr>
                  <w:tcW w:w="23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072A79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LTS Storage &amp; Entry</w:t>
                  </w:r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F53029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PRS</w:t>
                  </w:r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456452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Ultrasonic Metering</w:t>
                  </w:r>
                </w:p>
              </w:tc>
            </w:tr>
            <w:tr w:rsidR="00557CFD" w:rsidRPr="00D84C23" w14:paraId="4A3A14ED" w14:textId="77777777" w:rsidTr="0031513C">
              <w:trPr>
                <w:trHeight w:val="300"/>
              </w:trPr>
              <w:tc>
                <w:tcPr>
                  <w:tcW w:w="23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21CBAE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LTS Storage &amp; Entry</w:t>
                  </w:r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8FB916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PRS</w:t>
                  </w:r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BC69F8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Capacity Upgrades</w:t>
                  </w:r>
                </w:p>
              </w:tc>
            </w:tr>
            <w:tr w:rsidR="00557CFD" w:rsidRPr="00D84C23" w14:paraId="33E7434C" w14:textId="77777777" w:rsidTr="0031513C">
              <w:trPr>
                <w:trHeight w:val="300"/>
              </w:trPr>
              <w:tc>
                <w:tcPr>
                  <w:tcW w:w="23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41AD07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LTS Storage &amp; Entry</w:t>
                  </w:r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97B2B8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NTS Offtakes</w:t>
                  </w:r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B01A21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Filters</w:t>
                  </w:r>
                </w:p>
              </w:tc>
            </w:tr>
            <w:tr w:rsidR="00557CFD" w:rsidRPr="00D84C23" w14:paraId="725B7EB6" w14:textId="77777777" w:rsidTr="0031513C">
              <w:trPr>
                <w:trHeight w:val="300"/>
              </w:trPr>
              <w:tc>
                <w:tcPr>
                  <w:tcW w:w="23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0D963F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LTS Storage &amp; Entry</w:t>
                  </w:r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49CE59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NTS Offtakes</w:t>
                  </w:r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7DEF8B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Site Housing and Rebuilds</w:t>
                  </w:r>
                </w:p>
              </w:tc>
            </w:tr>
            <w:tr w:rsidR="00557CFD" w:rsidRPr="00D84C23" w14:paraId="3A1B77E3" w14:textId="77777777" w:rsidTr="0031513C">
              <w:trPr>
                <w:trHeight w:val="300"/>
              </w:trPr>
              <w:tc>
                <w:tcPr>
                  <w:tcW w:w="23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18F671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LTS Storage &amp; Entry</w:t>
                  </w:r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B31D4D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NTS Offtakes</w:t>
                  </w:r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77DB0E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Heaters</w:t>
                  </w:r>
                </w:p>
              </w:tc>
            </w:tr>
            <w:tr w:rsidR="00557CFD" w:rsidRPr="00D84C23" w14:paraId="15FF00BE" w14:textId="77777777" w:rsidTr="0031513C">
              <w:trPr>
                <w:trHeight w:val="300"/>
              </w:trPr>
              <w:tc>
                <w:tcPr>
                  <w:tcW w:w="23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D30419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LTS Storage &amp; Entry</w:t>
                  </w:r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511B9C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NTS Offtakes</w:t>
                  </w:r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9CF20E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Systems</w:t>
                  </w:r>
                </w:p>
              </w:tc>
            </w:tr>
            <w:tr w:rsidR="00557CFD" w:rsidRPr="00D84C23" w14:paraId="500879C5" w14:textId="77777777" w:rsidTr="0031513C">
              <w:trPr>
                <w:trHeight w:val="300"/>
              </w:trPr>
              <w:tc>
                <w:tcPr>
                  <w:tcW w:w="23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CC4406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LTS Storage &amp; Entry</w:t>
                  </w:r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5A9391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NTS Offtakes</w:t>
                  </w:r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DBDF0B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Other Metering</w:t>
                  </w:r>
                </w:p>
              </w:tc>
            </w:tr>
            <w:tr w:rsidR="00557CFD" w:rsidRPr="00D84C23" w14:paraId="17A56DC3" w14:textId="77777777" w:rsidTr="0031513C">
              <w:trPr>
                <w:trHeight w:val="300"/>
              </w:trPr>
              <w:tc>
                <w:tcPr>
                  <w:tcW w:w="23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344D0F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LTS Storage &amp; Entry</w:t>
                  </w:r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7D3821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NTS Offtakes</w:t>
                  </w:r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DF113E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 xml:space="preserve">Regulators and </w:t>
                  </w:r>
                  <w:proofErr w:type="spellStart"/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Slamshuts</w:t>
                  </w:r>
                  <w:proofErr w:type="spellEnd"/>
                </w:p>
              </w:tc>
            </w:tr>
            <w:tr w:rsidR="00557CFD" w:rsidRPr="00D84C23" w14:paraId="5446FF79" w14:textId="77777777" w:rsidTr="0031513C">
              <w:trPr>
                <w:trHeight w:val="300"/>
              </w:trPr>
              <w:tc>
                <w:tcPr>
                  <w:tcW w:w="23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709D71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LTS Storage &amp; Entry</w:t>
                  </w:r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54DC75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Embedded Gas Entry Points</w:t>
                  </w:r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9A3744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Embedded Entry Points</w:t>
                  </w:r>
                </w:p>
              </w:tc>
            </w:tr>
            <w:tr w:rsidR="00557CFD" w:rsidRPr="00D84C23" w14:paraId="67869D4A" w14:textId="77777777" w:rsidTr="0031513C">
              <w:trPr>
                <w:trHeight w:val="300"/>
              </w:trPr>
              <w:tc>
                <w:tcPr>
                  <w:tcW w:w="23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C3A1A5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Other CAPEX</w:t>
                  </w:r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1D04DD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Other Capex: Projects &lt;£0.5m Aggregated</w:t>
                  </w:r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508EE5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Land, Buildings, Furniture &amp; Fittings</w:t>
                  </w:r>
                </w:p>
              </w:tc>
            </w:tr>
            <w:tr w:rsidR="00557CFD" w:rsidRPr="00D84C23" w14:paraId="26C1CFA7" w14:textId="77777777" w:rsidTr="0031513C">
              <w:trPr>
                <w:trHeight w:val="300"/>
              </w:trPr>
              <w:tc>
                <w:tcPr>
                  <w:tcW w:w="23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4CFF45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Other CAPEX</w:t>
                  </w:r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E9CD50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Other Capex: Projects &lt;£0.5m Aggregated</w:t>
                  </w:r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764855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Security (Excl. PSUP)</w:t>
                  </w:r>
                </w:p>
              </w:tc>
            </w:tr>
            <w:tr w:rsidR="00557CFD" w:rsidRPr="00D84C23" w14:paraId="08877C84" w14:textId="77777777" w:rsidTr="0031513C">
              <w:trPr>
                <w:trHeight w:val="300"/>
              </w:trPr>
              <w:tc>
                <w:tcPr>
                  <w:tcW w:w="23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480D5C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Other CAPEX</w:t>
                  </w:r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357E82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Other Capex: Projects &lt;£0.5m Aggregated</w:t>
                  </w:r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42ECEA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Tools &amp; Equipment</w:t>
                  </w:r>
                </w:p>
              </w:tc>
            </w:tr>
            <w:tr w:rsidR="00557CFD" w:rsidRPr="00D84C23" w14:paraId="29D98161" w14:textId="77777777" w:rsidTr="0031513C">
              <w:trPr>
                <w:trHeight w:val="300"/>
              </w:trPr>
              <w:tc>
                <w:tcPr>
                  <w:tcW w:w="23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C08D93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Other CAPEX</w:t>
                  </w:r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040E08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Other Capex: Projects &lt;£0.5m Aggregated</w:t>
                  </w:r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9B0346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Other</w:t>
                  </w:r>
                </w:p>
              </w:tc>
            </w:tr>
            <w:tr w:rsidR="00557CFD" w:rsidRPr="00D84C23" w14:paraId="438B9F20" w14:textId="77777777" w:rsidTr="0031513C">
              <w:trPr>
                <w:trHeight w:val="300"/>
              </w:trPr>
              <w:tc>
                <w:tcPr>
                  <w:tcW w:w="23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451DC3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Other CAPEX</w:t>
                  </w:r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938C2C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Other Capex: Projects &lt;£0.5m Aggregated</w:t>
                  </w:r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752EA7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MP/IP Valves</w:t>
                  </w:r>
                </w:p>
              </w:tc>
            </w:tr>
            <w:tr w:rsidR="00557CFD" w:rsidRPr="00D84C23" w14:paraId="30F1DCAC" w14:textId="77777777" w:rsidTr="0031513C">
              <w:trPr>
                <w:trHeight w:val="300"/>
              </w:trPr>
              <w:tc>
                <w:tcPr>
                  <w:tcW w:w="23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645C2D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Other CAPEX</w:t>
                  </w:r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31041D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Systems Operations: Individual Projects ≥£0.5m</w:t>
                  </w:r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77973D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System Operations</w:t>
                  </w:r>
                </w:p>
              </w:tc>
            </w:tr>
            <w:tr w:rsidR="00557CFD" w:rsidRPr="00D84C23" w14:paraId="48DEB0C7" w14:textId="77777777" w:rsidTr="0031513C">
              <w:trPr>
                <w:trHeight w:val="300"/>
              </w:trPr>
              <w:tc>
                <w:tcPr>
                  <w:tcW w:w="23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AB8056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Other CAPEX</w:t>
                  </w:r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673284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IT &amp; Related Telecom: Individual Projects ≥£0.5m</w:t>
                  </w:r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09D289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IS Projects</w:t>
                  </w:r>
                </w:p>
              </w:tc>
            </w:tr>
            <w:tr w:rsidR="00557CFD" w:rsidRPr="00D84C23" w14:paraId="60043984" w14:textId="77777777" w:rsidTr="0031513C">
              <w:trPr>
                <w:trHeight w:val="300"/>
              </w:trPr>
              <w:tc>
                <w:tcPr>
                  <w:tcW w:w="23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30A86C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Other CAPEX</w:t>
                  </w:r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BA00D0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Other Capex: Individual Projects ≥£0.5m</w:t>
                  </w:r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BE13A3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PSUP</w:t>
                  </w:r>
                </w:p>
              </w:tc>
            </w:tr>
            <w:tr w:rsidR="00557CFD" w:rsidRPr="00D84C23" w14:paraId="41264196" w14:textId="77777777" w:rsidTr="0031513C">
              <w:trPr>
                <w:trHeight w:val="300"/>
              </w:trPr>
              <w:tc>
                <w:tcPr>
                  <w:tcW w:w="23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1F6CF9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Other CAPEX</w:t>
                  </w:r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A45523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Other Capex: Individual Projects ≥£0.5m</w:t>
                  </w:r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06300E6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Tinsley Viaduct</w:t>
                  </w:r>
                </w:p>
              </w:tc>
            </w:tr>
            <w:tr w:rsidR="00557CFD" w:rsidRPr="00D84C23" w14:paraId="1BF0A20A" w14:textId="77777777" w:rsidTr="0031513C">
              <w:trPr>
                <w:trHeight w:val="300"/>
              </w:trPr>
              <w:tc>
                <w:tcPr>
                  <w:tcW w:w="23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AEDCA6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lastRenderedPageBreak/>
                    <w:t>Other CAPEX</w:t>
                  </w:r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53BF3F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Other Capex: Individual Projects ≥£0.5m</w:t>
                  </w:r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DC9FF1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Corporate Property</w:t>
                  </w:r>
                </w:p>
              </w:tc>
            </w:tr>
            <w:tr w:rsidR="00557CFD" w:rsidRPr="00D84C23" w14:paraId="3F294B6A" w14:textId="77777777" w:rsidTr="0031513C">
              <w:trPr>
                <w:trHeight w:val="300"/>
              </w:trPr>
              <w:tc>
                <w:tcPr>
                  <w:tcW w:w="23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852A07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Other CAPEX</w:t>
                  </w:r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AA4AEE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Other Capex: Individual Projects ≥£0.5m</w:t>
                  </w:r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092DA8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Brunel Bridge</w:t>
                  </w:r>
                </w:p>
              </w:tc>
            </w:tr>
            <w:tr w:rsidR="00557CFD" w:rsidRPr="00D84C23" w14:paraId="1888A106" w14:textId="77777777" w:rsidTr="0031513C">
              <w:trPr>
                <w:trHeight w:val="300"/>
              </w:trPr>
              <w:tc>
                <w:tcPr>
                  <w:tcW w:w="23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3F02FE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Other CAPEX</w:t>
                  </w:r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6289D0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Other Capex: Individual Projects ≥£0.5m</w:t>
                  </w:r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4DCB99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London Medium Pressure</w:t>
                  </w:r>
                </w:p>
              </w:tc>
            </w:tr>
            <w:tr w:rsidR="00557CFD" w:rsidRPr="00D84C23" w14:paraId="6A6A28DC" w14:textId="77777777" w:rsidTr="0031513C">
              <w:trPr>
                <w:trHeight w:val="300"/>
              </w:trPr>
              <w:tc>
                <w:tcPr>
                  <w:tcW w:w="23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9620FF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Other CAPEX</w:t>
                  </w:r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7CAADB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Other Capex: Individual Projects ≥£0.5m</w:t>
                  </w:r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B373B1" w14:textId="77777777" w:rsidR="00557CFD" w:rsidRPr="00D84C23" w:rsidRDefault="00557CFD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D84C23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Mersey Tunnel</w:t>
                  </w:r>
                </w:p>
              </w:tc>
            </w:tr>
            <w:tr w:rsidR="0031513C" w:rsidRPr="00D84C23" w14:paraId="25B11894" w14:textId="77777777" w:rsidTr="0031513C">
              <w:trPr>
                <w:trHeight w:val="300"/>
              </w:trPr>
              <w:tc>
                <w:tcPr>
                  <w:tcW w:w="23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5AE7EC8" w14:textId="77777777" w:rsidR="0031513C" w:rsidRPr="00D84C23" w:rsidRDefault="0031513C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REPEX Mains Diversions</w:t>
                  </w:r>
                  <w:r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br/>
                  </w: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Chargable</w:t>
                  </w:r>
                  <w:proofErr w:type="spellEnd"/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2425FA1" w14:textId="77777777" w:rsidR="0031513C" w:rsidRPr="00D84C23" w:rsidRDefault="0031513C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31513C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Tier-1</w:t>
                  </w:r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75B53F8" w14:textId="77777777" w:rsidR="0031513C" w:rsidRPr="00D84C23" w:rsidRDefault="0031513C" w:rsidP="00557CFD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31513C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≤75mm</w:t>
                  </w:r>
                </w:p>
              </w:tc>
            </w:tr>
            <w:tr w:rsidR="0031513C" w:rsidRPr="00D84C23" w14:paraId="13B0676B" w14:textId="77777777" w:rsidTr="0031513C">
              <w:trPr>
                <w:trHeight w:val="300"/>
              </w:trPr>
              <w:tc>
                <w:tcPr>
                  <w:tcW w:w="23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608A42F" w14:textId="77777777" w:rsidR="0031513C" w:rsidRDefault="0031513C" w:rsidP="0031513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REPEX Mains Diversions</w:t>
                  </w:r>
                  <w:r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br/>
                  </w: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Chargable</w:t>
                  </w:r>
                  <w:proofErr w:type="spellEnd"/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48F5E50" w14:textId="77777777" w:rsidR="0031513C" w:rsidRPr="00D84C23" w:rsidRDefault="0031513C" w:rsidP="0031513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31513C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Tier-1</w:t>
                  </w:r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B220897" w14:textId="77777777" w:rsidR="0031513C" w:rsidRPr="00D84C23" w:rsidRDefault="0031513C" w:rsidP="0031513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31513C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&gt;75mm to 125mm</w:t>
                  </w:r>
                </w:p>
              </w:tc>
            </w:tr>
            <w:tr w:rsidR="0031513C" w:rsidRPr="00D84C23" w14:paraId="327DE06A" w14:textId="77777777" w:rsidTr="0031513C">
              <w:trPr>
                <w:trHeight w:val="300"/>
              </w:trPr>
              <w:tc>
                <w:tcPr>
                  <w:tcW w:w="23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17C3056" w14:textId="77777777" w:rsidR="0031513C" w:rsidRDefault="0031513C" w:rsidP="0031513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REPEX Mains Diversions</w:t>
                  </w:r>
                  <w:r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br/>
                  </w: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Chargable</w:t>
                  </w:r>
                  <w:proofErr w:type="spellEnd"/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457437C" w14:textId="77777777" w:rsidR="0031513C" w:rsidRPr="00D84C23" w:rsidRDefault="0031513C" w:rsidP="0031513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31513C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Tier-1</w:t>
                  </w:r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2C4C9C8" w14:textId="77777777" w:rsidR="0031513C" w:rsidRPr="00D84C23" w:rsidRDefault="0031513C" w:rsidP="0031513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31513C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&gt;125mm to 180mm</w:t>
                  </w:r>
                </w:p>
              </w:tc>
            </w:tr>
            <w:tr w:rsidR="0031513C" w:rsidRPr="00D84C23" w14:paraId="26E9734B" w14:textId="77777777" w:rsidTr="0031513C">
              <w:trPr>
                <w:trHeight w:val="300"/>
              </w:trPr>
              <w:tc>
                <w:tcPr>
                  <w:tcW w:w="23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217056C" w14:textId="77777777" w:rsidR="0031513C" w:rsidRDefault="0031513C" w:rsidP="0031513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REPEX Mains Diversions</w:t>
                  </w:r>
                  <w:r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br/>
                  </w: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Chargable</w:t>
                  </w:r>
                  <w:proofErr w:type="spellEnd"/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837BB93" w14:textId="77777777" w:rsidR="0031513C" w:rsidRPr="00D84C23" w:rsidRDefault="0031513C" w:rsidP="0031513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31513C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Tier-1</w:t>
                  </w:r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D23F136" w14:textId="77777777" w:rsidR="0031513C" w:rsidRPr="00D84C23" w:rsidRDefault="0031513C" w:rsidP="0031513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31513C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&gt;180mm to 250mm</w:t>
                  </w:r>
                </w:p>
              </w:tc>
            </w:tr>
            <w:tr w:rsidR="0031513C" w:rsidRPr="00D84C23" w14:paraId="7C58453C" w14:textId="77777777" w:rsidTr="0031513C">
              <w:trPr>
                <w:trHeight w:val="300"/>
              </w:trPr>
              <w:tc>
                <w:tcPr>
                  <w:tcW w:w="23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4F8D372" w14:textId="77777777" w:rsidR="0031513C" w:rsidRDefault="0031513C" w:rsidP="0031513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REPEX Mains Diversions</w:t>
                  </w:r>
                  <w:r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br/>
                  </w: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Chargable</w:t>
                  </w:r>
                  <w:proofErr w:type="spellEnd"/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8D49607" w14:textId="77777777" w:rsidR="0031513C" w:rsidRPr="00D84C23" w:rsidRDefault="0031513C" w:rsidP="0031513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31513C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Tier-1</w:t>
                  </w:r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E8C6DAC" w14:textId="77777777" w:rsidR="0031513C" w:rsidRPr="00D84C23" w:rsidRDefault="0031513C" w:rsidP="0031513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31513C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&gt;250mm to 355mm</w:t>
                  </w:r>
                </w:p>
              </w:tc>
            </w:tr>
            <w:tr w:rsidR="0031513C" w:rsidRPr="00D84C23" w14:paraId="4B77AE05" w14:textId="77777777" w:rsidTr="0031513C">
              <w:trPr>
                <w:trHeight w:val="300"/>
              </w:trPr>
              <w:tc>
                <w:tcPr>
                  <w:tcW w:w="23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1650242" w14:textId="77777777" w:rsidR="0031513C" w:rsidRDefault="0031513C" w:rsidP="0031513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REPEX Mains Diversions</w:t>
                  </w:r>
                  <w:r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br/>
                  </w: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Chargable</w:t>
                  </w:r>
                  <w:proofErr w:type="spellEnd"/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B149ABB" w14:textId="77777777" w:rsidR="0031513C" w:rsidRPr="00D84C23" w:rsidRDefault="0031513C" w:rsidP="0031513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31513C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Tier-1</w:t>
                  </w:r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080E255" w14:textId="77777777" w:rsidR="0031513C" w:rsidRPr="00D84C23" w:rsidRDefault="0031513C" w:rsidP="0031513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31513C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&gt;355mm to 500mm</w:t>
                  </w:r>
                </w:p>
              </w:tc>
            </w:tr>
            <w:tr w:rsidR="0031513C" w:rsidRPr="00D84C23" w14:paraId="298753A2" w14:textId="77777777" w:rsidTr="0031513C">
              <w:trPr>
                <w:trHeight w:val="300"/>
              </w:trPr>
              <w:tc>
                <w:tcPr>
                  <w:tcW w:w="23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95BD92C" w14:textId="77777777" w:rsidR="0031513C" w:rsidRDefault="0031513C" w:rsidP="0031513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REPEX Mains Diversions</w:t>
                  </w:r>
                  <w:r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br/>
                  </w: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Chargable</w:t>
                  </w:r>
                  <w:proofErr w:type="spellEnd"/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3A74147" w14:textId="77777777" w:rsidR="0031513C" w:rsidRPr="00D84C23" w:rsidRDefault="0031513C" w:rsidP="0031513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31513C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Tier-1</w:t>
                  </w:r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28027E5" w14:textId="77777777" w:rsidR="0031513C" w:rsidRPr="00D84C23" w:rsidRDefault="0031513C" w:rsidP="0031513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31513C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&gt;500mm to 630mm</w:t>
                  </w:r>
                </w:p>
              </w:tc>
            </w:tr>
            <w:tr w:rsidR="0031513C" w:rsidRPr="00D84C23" w14:paraId="2C53D76C" w14:textId="77777777" w:rsidTr="0031513C">
              <w:trPr>
                <w:trHeight w:val="300"/>
              </w:trPr>
              <w:tc>
                <w:tcPr>
                  <w:tcW w:w="23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7A046B7" w14:textId="77777777" w:rsidR="0031513C" w:rsidRDefault="0031513C" w:rsidP="0031513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REPEX Mains Diversions</w:t>
                  </w:r>
                  <w:r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br/>
                  </w: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Chargable</w:t>
                  </w:r>
                  <w:proofErr w:type="spellEnd"/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AC5C4A7" w14:textId="77777777" w:rsidR="0031513C" w:rsidRPr="00D84C23" w:rsidRDefault="0031513C" w:rsidP="0031513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31513C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Tier-1</w:t>
                  </w:r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0162345" w14:textId="77777777" w:rsidR="0031513C" w:rsidRPr="00D84C23" w:rsidRDefault="0031513C" w:rsidP="0031513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31513C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&gt;630mm</w:t>
                  </w:r>
                </w:p>
              </w:tc>
            </w:tr>
            <w:tr w:rsidR="0031513C" w:rsidRPr="00D84C23" w14:paraId="11E9E5EE" w14:textId="77777777" w:rsidTr="0031513C">
              <w:trPr>
                <w:trHeight w:val="300"/>
              </w:trPr>
              <w:tc>
                <w:tcPr>
                  <w:tcW w:w="23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77C1D68" w14:textId="77777777" w:rsidR="0031513C" w:rsidRDefault="0031513C" w:rsidP="0031513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REPEX Mains Diversions</w:t>
                  </w:r>
                  <w:r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br/>
                    <w:t>Non-</w:t>
                  </w: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Chargable</w:t>
                  </w:r>
                  <w:proofErr w:type="spellEnd"/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F80EA15" w14:textId="77777777" w:rsidR="0031513C" w:rsidRPr="0031513C" w:rsidRDefault="0031513C" w:rsidP="0031513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31513C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Tier-1</w:t>
                  </w:r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FA11685" w14:textId="77777777" w:rsidR="0031513C" w:rsidRPr="0031513C" w:rsidRDefault="0031513C" w:rsidP="0031513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31513C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≤75mm</w:t>
                  </w:r>
                </w:p>
              </w:tc>
            </w:tr>
            <w:tr w:rsidR="0031513C" w:rsidRPr="00D84C23" w14:paraId="659A3202" w14:textId="77777777" w:rsidTr="0031513C">
              <w:trPr>
                <w:trHeight w:val="300"/>
              </w:trPr>
              <w:tc>
                <w:tcPr>
                  <w:tcW w:w="23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5268771" w14:textId="77777777" w:rsidR="0031513C" w:rsidRDefault="0031513C" w:rsidP="0031513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REPEX Mains Diversions</w:t>
                  </w:r>
                  <w:r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br/>
                    <w:t>Non-</w:t>
                  </w: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Chargable</w:t>
                  </w:r>
                  <w:proofErr w:type="spellEnd"/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226EBCB" w14:textId="77777777" w:rsidR="0031513C" w:rsidRPr="0031513C" w:rsidRDefault="0031513C" w:rsidP="0031513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31513C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Tier-1</w:t>
                  </w:r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A309A3E" w14:textId="77777777" w:rsidR="0031513C" w:rsidRPr="0031513C" w:rsidRDefault="0031513C" w:rsidP="0031513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31513C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&gt;75mm to 125mm</w:t>
                  </w:r>
                </w:p>
              </w:tc>
            </w:tr>
            <w:tr w:rsidR="0031513C" w:rsidRPr="00D84C23" w14:paraId="52166AC8" w14:textId="77777777" w:rsidTr="0031513C">
              <w:trPr>
                <w:trHeight w:val="300"/>
              </w:trPr>
              <w:tc>
                <w:tcPr>
                  <w:tcW w:w="23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77D6FBC" w14:textId="77777777" w:rsidR="0031513C" w:rsidRDefault="0031513C" w:rsidP="0031513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REPEX Mains Diversions</w:t>
                  </w:r>
                  <w:r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br/>
                    <w:t>Non-</w:t>
                  </w: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Chargable</w:t>
                  </w:r>
                  <w:proofErr w:type="spellEnd"/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234668C" w14:textId="77777777" w:rsidR="0031513C" w:rsidRPr="0031513C" w:rsidRDefault="0031513C" w:rsidP="0031513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31513C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Tier-1</w:t>
                  </w:r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F4EEE3D" w14:textId="77777777" w:rsidR="0031513C" w:rsidRPr="0031513C" w:rsidRDefault="0031513C" w:rsidP="0031513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31513C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&gt;125mm to 180mm</w:t>
                  </w:r>
                </w:p>
              </w:tc>
            </w:tr>
            <w:tr w:rsidR="0031513C" w:rsidRPr="00D84C23" w14:paraId="7E0D8862" w14:textId="77777777" w:rsidTr="0031513C">
              <w:trPr>
                <w:trHeight w:val="300"/>
              </w:trPr>
              <w:tc>
                <w:tcPr>
                  <w:tcW w:w="23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10B6594" w14:textId="77777777" w:rsidR="0031513C" w:rsidRDefault="0031513C" w:rsidP="0031513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REPEX Mains Diversions</w:t>
                  </w:r>
                  <w:r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br/>
                    <w:t>Non-</w:t>
                  </w: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Chargable</w:t>
                  </w:r>
                  <w:proofErr w:type="spellEnd"/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D44C052" w14:textId="77777777" w:rsidR="0031513C" w:rsidRPr="0031513C" w:rsidRDefault="0031513C" w:rsidP="0031513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31513C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Tier-1</w:t>
                  </w:r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192F6AA" w14:textId="77777777" w:rsidR="0031513C" w:rsidRPr="0031513C" w:rsidRDefault="0031513C" w:rsidP="0031513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31513C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&gt;180mm to 250mm</w:t>
                  </w:r>
                </w:p>
              </w:tc>
            </w:tr>
            <w:tr w:rsidR="0031513C" w:rsidRPr="00D84C23" w14:paraId="7C63D9D2" w14:textId="77777777" w:rsidTr="0031513C">
              <w:trPr>
                <w:trHeight w:val="300"/>
              </w:trPr>
              <w:tc>
                <w:tcPr>
                  <w:tcW w:w="23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8361362" w14:textId="77777777" w:rsidR="0031513C" w:rsidRDefault="0031513C" w:rsidP="0031513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REPEX Mains Diversions</w:t>
                  </w:r>
                  <w:r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br/>
                    <w:t>Non-</w:t>
                  </w: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Chargable</w:t>
                  </w:r>
                  <w:proofErr w:type="spellEnd"/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D927EAC" w14:textId="77777777" w:rsidR="0031513C" w:rsidRPr="0031513C" w:rsidRDefault="0031513C" w:rsidP="0031513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31513C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Tier-1</w:t>
                  </w:r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8129826" w14:textId="77777777" w:rsidR="0031513C" w:rsidRPr="0031513C" w:rsidRDefault="0031513C" w:rsidP="0031513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31513C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&gt;250mm to 355mm</w:t>
                  </w:r>
                </w:p>
              </w:tc>
            </w:tr>
            <w:tr w:rsidR="0031513C" w:rsidRPr="00D84C23" w14:paraId="2C2A2AB9" w14:textId="77777777" w:rsidTr="0031513C">
              <w:trPr>
                <w:trHeight w:val="300"/>
              </w:trPr>
              <w:tc>
                <w:tcPr>
                  <w:tcW w:w="23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DA83C69" w14:textId="77777777" w:rsidR="0031513C" w:rsidRDefault="0031513C" w:rsidP="0031513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REPEX Mains Diversions</w:t>
                  </w:r>
                  <w:r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br/>
                    <w:t>Non-</w:t>
                  </w: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Chargable</w:t>
                  </w:r>
                  <w:proofErr w:type="spellEnd"/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A224A01" w14:textId="77777777" w:rsidR="0031513C" w:rsidRPr="0031513C" w:rsidRDefault="0031513C" w:rsidP="0031513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31513C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Tier-1</w:t>
                  </w:r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07DFB9A" w14:textId="77777777" w:rsidR="0031513C" w:rsidRPr="0031513C" w:rsidRDefault="0031513C" w:rsidP="0031513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31513C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&gt;355mm to 500mm</w:t>
                  </w:r>
                </w:p>
              </w:tc>
            </w:tr>
            <w:tr w:rsidR="0031513C" w:rsidRPr="00D84C23" w14:paraId="4A1378A2" w14:textId="77777777" w:rsidTr="0031513C">
              <w:trPr>
                <w:trHeight w:val="300"/>
              </w:trPr>
              <w:tc>
                <w:tcPr>
                  <w:tcW w:w="23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8B5C4B6" w14:textId="77777777" w:rsidR="0031513C" w:rsidRDefault="0031513C" w:rsidP="0031513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REPEX Mains Diversions</w:t>
                  </w:r>
                  <w:r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br/>
                    <w:t>Non-</w:t>
                  </w: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Chargable</w:t>
                  </w:r>
                  <w:proofErr w:type="spellEnd"/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0485B3A" w14:textId="77777777" w:rsidR="0031513C" w:rsidRPr="0031513C" w:rsidRDefault="0031513C" w:rsidP="0031513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31513C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Tier-1</w:t>
                  </w:r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2E08322" w14:textId="77777777" w:rsidR="0031513C" w:rsidRPr="0031513C" w:rsidRDefault="0031513C" w:rsidP="0031513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31513C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&gt;500mm to 630mm</w:t>
                  </w:r>
                </w:p>
              </w:tc>
            </w:tr>
            <w:tr w:rsidR="0031513C" w:rsidRPr="00D84C23" w14:paraId="14401A28" w14:textId="77777777" w:rsidTr="0031513C">
              <w:trPr>
                <w:trHeight w:val="300"/>
              </w:trPr>
              <w:tc>
                <w:tcPr>
                  <w:tcW w:w="23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807AB0D" w14:textId="77777777" w:rsidR="0031513C" w:rsidRDefault="0031513C" w:rsidP="0031513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REPEX Mains Diversions</w:t>
                  </w:r>
                  <w:r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br/>
                    <w:t>Non-</w:t>
                  </w: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Chargable</w:t>
                  </w:r>
                  <w:proofErr w:type="spellEnd"/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93A0783" w14:textId="77777777" w:rsidR="0031513C" w:rsidRPr="0031513C" w:rsidRDefault="0031513C" w:rsidP="0031513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31513C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Tier-1</w:t>
                  </w:r>
                </w:p>
              </w:tc>
              <w:tc>
                <w:tcPr>
                  <w:tcW w:w="23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23EF4C0" w14:textId="77777777" w:rsidR="0031513C" w:rsidRPr="0031513C" w:rsidRDefault="0031513C" w:rsidP="0031513C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</w:pPr>
                  <w:r w:rsidRPr="0031513C">
                    <w:rPr>
                      <w:rFonts w:ascii="Calibri" w:eastAsia="Times New Roman" w:hAnsi="Calibri" w:cs="Calibri"/>
                      <w:color w:val="000000"/>
                      <w:sz w:val="16"/>
                      <w:lang w:eastAsia="en-GB"/>
                    </w:rPr>
                    <w:t>&gt;630mm</w:t>
                  </w:r>
                </w:p>
              </w:tc>
            </w:tr>
          </w:tbl>
          <w:p w14:paraId="7A38310B" w14:textId="77777777" w:rsidR="00A0584E" w:rsidRPr="0031513C" w:rsidRDefault="00557CFD" w:rsidP="0031513C">
            <w:r>
              <w:br/>
            </w:r>
            <w:r>
              <w:br/>
            </w:r>
            <w:r w:rsidR="00255447">
              <w:t xml:space="preserve">Q2) And where applicable, where these </w:t>
            </w:r>
            <w:r w:rsidR="00D90EA5">
              <w:t xml:space="preserve">figures </w:t>
            </w:r>
            <w:r w:rsidR="00255447">
              <w:t>are either captured in the model or referenced.</w:t>
            </w:r>
          </w:p>
        </w:tc>
      </w:tr>
      <w:tr w:rsidR="00A06191" w:rsidRPr="00876240" w14:paraId="3138E489" w14:textId="77777777" w:rsidTr="00255447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19D8456C" w14:textId="77777777" w:rsidR="00A06191" w:rsidRDefault="00F20F23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D</w:t>
            </w:r>
            <w:r w:rsidR="00150323">
              <w:rPr>
                <w:rFonts w:ascii="Arial" w:hAnsi="Arial" w:cs="Arial"/>
                <w:b/>
                <w:bCs/>
              </w:rPr>
              <w:t>ate query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 w:rsidR="00150323">
              <w:rPr>
                <w:rFonts w:ascii="Arial" w:hAnsi="Arial" w:cs="Arial"/>
                <w:b/>
                <w:bCs/>
              </w:rPr>
              <w:t>r</w:t>
            </w:r>
            <w:r w:rsidR="00A0584E">
              <w:rPr>
                <w:rFonts w:ascii="Arial" w:hAnsi="Arial" w:cs="Arial"/>
                <w:b/>
                <w:bCs/>
              </w:rPr>
              <w:t xml:space="preserve">aised 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18EC02EC" w14:textId="77777777" w:rsidR="00A06191" w:rsidRPr="00876240" w:rsidRDefault="00255447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27/07/2020</w:t>
            </w:r>
          </w:p>
        </w:tc>
      </w:tr>
      <w:tr w:rsidR="00255447" w:rsidRPr="00876240" w14:paraId="0B4F4845" w14:textId="77777777" w:rsidTr="00255447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6EA43C93" w14:textId="77777777" w:rsidR="00255447" w:rsidRDefault="00255447" w:rsidP="0025544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Date Sent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2DB4C751" w14:textId="77777777" w:rsidR="00255447" w:rsidRPr="00876240" w:rsidRDefault="00255447" w:rsidP="0025544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27/07/2020</w:t>
            </w:r>
          </w:p>
        </w:tc>
      </w:tr>
      <w:tr w:rsidR="00255447" w:rsidRPr="00876240" w14:paraId="3F3AC501" w14:textId="77777777" w:rsidTr="00255447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7B942A5F" w14:textId="77777777" w:rsidR="00255447" w:rsidRDefault="00255447" w:rsidP="0025544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Expected Response Date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7E2A7E43" w14:textId="77777777" w:rsidR="00255447" w:rsidRPr="00876240" w:rsidRDefault="00255447" w:rsidP="00255447">
            <w:pPr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255447" w:rsidRPr="00876240" w14:paraId="5E2F10FA" w14:textId="77777777" w:rsidTr="00255447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4CA48A29" w14:textId="77777777" w:rsidR="00255447" w:rsidRDefault="00255447" w:rsidP="0025544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Response Received 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5F5515B8" w14:textId="77777777" w:rsidR="00255447" w:rsidRPr="00876240" w:rsidRDefault="00255447" w:rsidP="0025544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55447" w:rsidRPr="00876240" w14:paraId="1A8BB178" w14:textId="77777777" w:rsidTr="00255447">
        <w:trPr>
          <w:gridBefore w:val="1"/>
          <w:wBefore w:w="216" w:type="dxa"/>
          <w:trHeight w:val="1978"/>
        </w:trPr>
        <w:tc>
          <w:tcPr>
            <w:tcW w:w="9674" w:type="dxa"/>
            <w:gridSpan w:val="3"/>
            <w:shd w:val="clear" w:color="auto" w:fill="auto"/>
            <w:vAlign w:val="center"/>
          </w:tcPr>
          <w:p w14:paraId="1CC85D29" w14:textId="77777777" w:rsidR="00255447" w:rsidRDefault="00255447" w:rsidP="0025544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150323">
              <w:rPr>
                <w:rFonts w:ascii="Arial" w:hAnsi="Arial" w:cs="Arial"/>
                <w:b/>
                <w:bCs/>
                <w:sz w:val="24"/>
                <w:szCs w:val="24"/>
              </w:rPr>
              <w:t>OfGEM</w:t>
            </w:r>
            <w:proofErr w:type="spellEnd"/>
            <w:r w:rsidRPr="0015032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Response:</w:t>
            </w:r>
          </w:p>
          <w:p w14:paraId="5645360D" w14:textId="017B9869" w:rsidR="00D9593B" w:rsidRDefault="00D9593B" w:rsidP="00D9593B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Q1:</w:t>
            </w:r>
          </w:p>
          <w:p w14:paraId="2628A93F" w14:textId="78667914" w:rsidR="00D9593B" w:rsidRDefault="00D9593B" w:rsidP="00D9593B">
            <w:pPr>
              <w:pStyle w:val="ListParagraph"/>
              <w:numPr>
                <w:ilvl w:val="1"/>
                <w:numId w:val="8"/>
              </w:num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Where we have technically assessed individual projects, we have presented proposed allowances at the project level. We have also provided project assessment sheets (deep dive), which provide a granular breakdown of cost adjustments.</w:t>
            </w:r>
            <w:r w:rsidR="005C09D5">
              <w:rPr>
                <w:rFonts w:ascii="Arial" w:hAnsi="Arial" w:cs="Arial"/>
                <w:bCs/>
                <w:sz w:val="24"/>
                <w:szCs w:val="24"/>
              </w:rPr>
              <w:t xml:space="preserve"> Note, unless we have specified workload adjustments, outputs are as per the submitted EJPs.</w:t>
            </w:r>
          </w:p>
          <w:p w14:paraId="7C6690D6" w14:textId="613274A0" w:rsidR="00E841F5" w:rsidRDefault="00D9593B" w:rsidP="00D9593B">
            <w:pPr>
              <w:pStyle w:val="ListParagraph"/>
              <w:numPr>
                <w:ilvl w:val="1"/>
                <w:numId w:val="8"/>
              </w:num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Many of the projects listed above </w:t>
            </w:r>
            <w:proofErr w:type="gramStart"/>
            <w:r>
              <w:rPr>
                <w:rFonts w:ascii="Arial" w:hAnsi="Arial" w:cs="Arial"/>
                <w:bCs/>
                <w:sz w:val="24"/>
                <w:szCs w:val="24"/>
              </w:rPr>
              <w:t xml:space="preserve">have </w:t>
            </w:r>
            <w:r w:rsidR="00A47821">
              <w:rPr>
                <w:rFonts w:ascii="Arial" w:hAnsi="Arial" w:cs="Arial"/>
                <w:bCs/>
                <w:sz w:val="24"/>
                <w:szCs w:val="24"/>
              </w:rPr>
              <w:t xml:space="preserve">been </w:t>
            </w:r>
            <w:r>
              <w:rPr>
                <w:rFonts w:ascii="Arial" w:hAnsi="Arial" w:cs="Arial"/>
                <w:bCs/>
                <w:sz w:val="24"/>
                <w:szCs w:val="24"/>
              </w:rPr>
              <w:t>assessed</w:t>
            </w:r>
            <w:proofErr w:type="gramEnd"/>
            <w:r>
              <w:rPr>
                <w:rFonts w:ascii="Arial" w:hAnsi="Arial" w:cs="Arial"/>
                <w:bCs/>
                <w:sz w:val="24"/>
                <w:szCs w:val="24"/>
              </w:rPr>
              <w:t xml:space="preserve"> as part of our totex model, rather than through 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technical assessment. As explained in </w:t>
            </w:r>
            <w:r w:rsidR="005C09D5">
              <w:rPr>
                <w:rFonts w:ascii="Arial" w:hAnsi="Arial" w:cs="Arial"/>
                <w:bCs/>
                <w:sz w:val="24"/>
                <w:szCs w:val="24"/>
              </w:rPr>
              <w:t xml:space="preserve">the 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step-by-step guide to cost assessment, </w:t>
            </w:r>
            <w:r w:rsidR="002B7FEE">
              <w:rPr>
                <w:rFonts w:ascii="Arial" w:hAnsi="Arial" w:cs="Arial"/>
                <w:bCs/>
                <w:sz w:val="24"/>
                <w:szCs w:val="24"/>
              </w:rPr>
              <w:t xml:space="preserve">for modelled costs 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we have </w:t>
            </w:r>
            <w:r w:rsidR="002B7FEE">
              <w:rPr>
                <w:rFonts w:ascii="Arial" w:hAnsi="Arial" w:cs="Arial"/>
                <w:bCs/>
                <w:sz w:val="24"/>
                <w:szCs w:val="24"/>
              </w:rPr>
              <w:t xml:space="preserve">calculated and </w:t>
            </w:r>
            <w:r>
              <w:rPr>
                <w:rFonts w:ascii="Arial" w:hAnsi="Arial" w:cs="Arial"/>
                <w:bCs/>
                <w:sz w:val="24"/>
                <w:szCs w:val="24"/>
              </w:rPr>
              <w:t>applied a single aggregate gross</w:t>
            </w:r>
            <w:r w:rsidR="002B7FEE">
              <w:rPr>
                <w:rFonts w:ascii="Arial" w:hAnsi="Arial" w:cs="Arial"/>
                <w:bCs/>
                <w:sz w:val="24"/>
                <w:szCs w:val="24"/>
              </w:rPr>
              <w:t>-to-net ratio at the modelled totex level (</w:t>
            </w:r>
            <w:proofErr w:type="spellStart"/>
            <w:r w:rsidR="002B7FEE">
              <w:rPr>
                <w:rFonts w:ascii="Arial" w:hAnsi="Arial" w:cs="Arial"/>
                <w:bCs/>
                <w:sz w:val="24"/>
                <w:szCs w:val="24"/>
              </w:rPr>
              <w:t>ie</w:t>
            </w:r>
            <w:proofErr w:type="spellEnd"/>
            <w:r w:rsidR="002B7FEE">
              <w:rPr>
                <w:rFonts w:ascii="Arial" w:hAnsi="Arial" w:cs="Arial"/>
                <w:bCs/>
                <w:sz w:val="24"/>
                <w:szCs w:val="24"/>
              </w:rPr>
              <w:t xml:space="preserve"> not at the individual activity/project level).</w:t>
            </w:r>
          </w:p>
          <w:p w14:paraId="433ECE1F" w14:textId="1AA92AB8" w:rsidR="00D9593B" w:rsidRDefault="00E841F5" w:rsidP="00D9593B">
            <w:pPr>
              <w:pStyle w:val="ListParagraph"/>
              <w:numPr>
                <w:ilvl w:val="1"/>
                <w:numId w:val="8"/>
              </w:num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The effects on modelled costs of workload adjustments</w:t>
            </w:r>
            <w:r w:rsidR="009B75DF">
              <w:rPr>
                <w:rFonts w:ascii="Arial" w:hAnsi="Arial" w:cs="Arial"/>
                <w:bCs/>
                <w:sz w:val="24"/>
                <w:szCs w:val="24"/>
              </w:rPr>
              <w:t xml:space="preserve"> at the totex level </w:t>
            </w:r>
            <w:proofErr w:type="gramStart"/>
            <w:r w:rsidR="009B75DF">
              <w:rPr>
                <w:rFonts w:ascii="Arial" w:hAnsi="Arial" w:cs="Arial"/>
                <w:bCs/>
                <w:sz w:val="24"/>
                <w:szCs w:val="24"/>
              </w:rPr>
              <w:t>can be found</w:t>
            </w:r>
            <w:proofErr w:type="gramEnd"/>
            <w:r w:rsidR="009B75DF">
              <w:rPr>
                <w:rFonts w:ascii="Arial" w:hAnsi="Arial" w:cs="Arial"/>
                <w:bCs/>
                <w:sz w:val="24"/>
                <w:szCs w:val="24"/>
              </w:rPr>
              <w:t xml:space="preserve"> in the Cost Assessment and Post-Analysis files. Moreover, the Allowances file provides additional details on the steps to calculate the proposed allowances.</w:t>
            </w:r>
          </w:p>
          <w:p w14:paraId="5AD8C8EB" w14:textId="1D479B30" w:rsidR="00D9593B" w:rsidRDefault="00A47821" w:rsidP="00D9593B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Q2:</w:t>
            </w:r>
          </w:p>
          <w:p w14:paraId="5F193290" w14:textId="1188D805" w:rsidR="00A47821" w:rsidRDefault="00A47821" w:rsidP="00A47821">
            <w:pPr>
              <w:pStyle w:val="ListParagraph"/>
              <w:numPr>
                <w:ilvl w:val="1"/>
                <w:numId w:val="8"/>
              </w:numPr>
              <w:rPr>
                <w:rFonts w:ascii="Arial" w:hAnsi="Arial" w:cs="Arial"/>
                <w:bCs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Cs/>
                <w:sz w:val="24"/>
                <w:szCs w:val="24"/>
              </w:rPr>
              <w:t>As a result</w:t>
            </w:r>
            <w:proofErr w:type="gramEnd"/>
            <w:r>
              <w:rPr>
                <w:rFonts w:ascii="Arial" w:hAnsi="Arial" w:cs="Arial"/>
                <w:bCs/>
                <w:sz w:val="24"/>
                <w:szCs w:val="24"/>
              </w:rPr>
              <w:t xml:space="preserve"> of our top-down approach to modelling, the activity allowances provided at DD (Cadent annex Tables 63</w:t>
            </w:r>
            <w:r w:rsidRPr="00A47821">
              <w:rPr>
                <w:rFonts w:ascii="Arial" w:hAnsi="Arial" w:cs="Arial"/>
                <w:bCs/>
                <w:sz w:val="24"/>
                <w:szCs w:val="24"/>
              </w:rPr>
              <w:t xml:space="preserve"> – 66</w:t>
            </w:r>
            <w:r>
              <w:rPr>
                <w:rFonts w:ascii="Arial" w:hAnsi="Arial" w:cs="Arial"/>
                <w:bCs/>
                <w:sz w:val="24"/>
                <w:szCs w:val="24"/>
              </w:rPr>
              <w:t>) have been allocated from totex. We have not sought to disaggregate allowances bey</w:t>
            </w:r>
            <w:r w:rsidR="002B7FEE">
              <w:rPr>
                <w:rFonts w:ascii="Arial" w:hAnsi="Arial" w:cs="Arial"/>
                <w:bCs/>
                <w:sz w:val="24"/>
                <w:szCs w:val="24"/>
              </w:rPr>
              <w:t xml:space="preserve">ond the headline activity level, as this </w:t>
            </w:r>
            <w:proofErr w:type="gramStart"/>
            <w:r w:rsidR="002B7FEE">
              <w:rPr>
                <w:rFonts w:ascii="Arial" w:hAnsi="Arial" w:cs="Arial"/>
                <w:bCs/>
                <w:sz w:val="24"/>
                <w:szCs w:val="24"/>
              </w:rPr>
              <w:t>would be purely based</w:t>
            </w:r>
            <w:proofErr w:type="gramEnd"/>
            <w:r w:rsidR="002B7FEE">
              <w:rPr>
                <w:rFonts w:ascii="Arial" w:hAnsi="Arial" w:cs="Arial"/>
                <w:bCs/>
                <w:sz w:val="24"/>
                <w:szCs w:val="24"/>
              </w:rPr>
              <w:t xml:space="preserve"> on allocation.</w:t>
            </w:r>
          </w:p>
          <w:p w14:paraId="4EAB3E8E" w14:textId="3ECCE490" w:rsidR="00D9593B" w:rsidRPr="00D9593B" w:rsidRDefault="001D7E17" w:rsidP="00CD5551">
            <w:pPr>
              <w:pStyle w:val="ListParagraph"/>
              <w:numPr>
                <w:ilvl w:val="1"/>
                <w:numId w:val="8"/>
              </w:numPr>
              <w:rPr>
                <w:rFonts w:ascii="Arial" w:hAnsi="Arial" w:cs="Arial"/>
                <w:bCs/>
                <w:sz w:val="24"/>
                <w:szCs w:val="24"/>
              </w:rPr>
            </w:pPr>
            <w:r w:rsidRPr="002B7FEE">
              <w:rPr>
                <w:rFonts w:ascii="Arial" w:hAnsi="Arial" w:cs="Arial"/>
                <w:bCs/>
                <w:sz w:val="24"/>
                <w:szCs w:val="24"/>
              </w:rPr>
              <w:t xml:space="preserve">We have applied ongoing efficiency at the </w:t>
            </w:r>
            <w:proofErr w:type="spellStart"/>
            <w:r w:rsidRPr="002B7FEE">
              <w:rPr>
                <w:rFonts w:ascii="Arial" w:hAnsi="Arial" w:cs="Arial"/>
                <w:bCs/>
                <w:sz w:val="24"/>
                <w:szCs w:val="24"/>
              </w:rPr>
              <w:t>opex</w:t>
            </w:r>
            <w:proofErr w:type="spellEnd"/>
            <w:r w:rsidRPr="002B7FEE">
              <w:rPr>
                <w:rFonts w:ascii="Arial" w:hAnsi="Arial" w:cs="Arial"/>
                <w:bCs/>
                <w:sz w:val="24"/>
                <w:szCs w:val="24"/>
              </w:rPr>
              <w:t>/capex/repex level, rather than at the project level</w:t>
            </w:r>
            <w:r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</w:tr>
      <w:tr w:rsidR="00255447" w:rsidRPr="00876240" w14:paraId="0C44E7CF" w14:textId="77777777" w:rsidTr="00255447">
        <w:trPr>
          <w:gridBefore w:val="1"/>
          <w:wBefore w:w="216" w:type="dxa"/>
          <w:trHeight w:val="2226"/>
        </w:trPr>
        <w:tc>
          <w:tcPr>
            <w:tcW w:w="9674" w:type="dxa"/>
            <w:gridSpan w:val="3"/>
            <w:shd w:val="clear" w:color="auto" w:fill="auto"/>
            <w:noWrap/>
            <w:vAlign w:val="center"/>
            <w:hideMark/>
          </w:tcPr>
          <w:p w14:paraId="7C2400F0" w14:textId="77777777" w:rsidR="00255447" w:rsidRPr="00150323" w:rsidRDefault="00255447" w:rsidP="00255447">
            <w:pPr>
              <w:rPr>
                <w:rFonts w:cs="Arial"/>
                <w:b/>
                <w:szCs w:val="20"/>
              </w:rPr>
            </w:pPr>
            <w:r w:rsidRPr="00150323">
              <w:rPr>
                <w:rFonts w:ascii="Arial" w:hAnsi="Arial" w:cs="Arial"/>
                <w:b/>
                <w:noProof/>
                <w:szCs w:val="20"/>
                <w:lang w:eastAsia="en-GB"/>
              </w:rPr>
              <w:lastRenderedPageBreak/>
              <w:t xml:space="preserve">Attachments: </w:t>
            </w:r>
          </w:p>
        </w:tc>
      </w:tr>
    </w:tbl>
    <w:p w14:paraId="4A7DA3F9" w14:textId="77777777" w:rsidR="00945C7C" w:rsidRDefault="00945C7C" w:rsidP="008A5062"/>
    <w:sectPr w:rsidR="00945C7C" w:rsidSect="008A506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48ABC2" w14:textId="77777777" w:rsidR="001E3BB5" w:rsidRDefault="001E3BB5" w:rsidP="00526623">
      <w:pPr>
        <w:spacing w:after="0" w:line="240" w:lineRule="auto"/>
      </w:pPr>
      <w:r>
        <w:separator/>
      </w:r>
    </w:p>
  </w:endnote>
  <w:endnote w:type="continuationSeparator" w:id="0">
    <w:p w14:paraId="43323FDA" w14:textId="77777777" w:rsidR="001E3BB5" w:rsidRDefault="001E3BB5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DD5BD3" w14:textId="77777777" w:rsidR="009B75DF" w:rsidRDefault="009B75D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E8465" w14:textId="77777777" w:rsidR="009B75DF" w:rsidRDefault="009B75D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D5E708" w14:textId="77777777" w:rsidR="009B75DF" w:rsidRDefault="009B75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7D7045" w14:textId="77777777" w:rsidR="001E3BB5" w:rsidRDefault="001E3BB5" w:rsidP="00526623">
      <w:pPr>
        <w:spacing w:after="0" w:line="240" w:lineRule="auto"/>
      </w:pPr>
      <w:r>
        <w:separator/>
      </w:r>
    </w:p>
  </w:footnote>
  <w:footnote w:type="continuationSeparator" w:id="0">
    <w:p w14:paraId="1C64E76A" w14:textId="77777777" w:rsidR="001E3BB5" w:rsidRDefault="001E3BB5" w:rsidP="00526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8909AB" w14:textId="77777777" w:rsidR="009B75DF" w:rsidRDefault="009B75D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031033" w14:textId="77777777" w:rsidR="009B75DF" w:rsidRDefault="009B75D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A5E7BB" w14:textId="77777777" w:rsidR="009B75DF" w:rsidRDefault="009B75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D747A7"/>
    <w:multiLevelType w:val="hybridMultilevel"/>
    <w:tmpl w:val="04F465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E3153B"/>
    <w:multiLevelType w:val="hybridMultilevel"/>
    <w:tmpl w:val="F2A68EF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854A0A"/>
    <w:multiLevelType w:val="hybridMultilevel"/>
    <w:tmpl w:val="A5229796"/>
    <w:lvl w:ilvl="0" w:tplc="0809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3D702EC"/>
    <w:multiLevelType w:val="hybridMultilevel"/>
    <w:tmpl w:val="8C7270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4235F5"/>
    <w:multiLevelType w:val="hybridMultilevel"/>
    <w:tmpl w:val="568CB57A"/>
    <w:lvl w:ilvl="0" w:tplc="6F78D270">
      <w:numFmt w:val="bullet"/>
      <w:lvlText w:val=""/>
      <w:lvlJc w:val="left"/>
      <w:pPr>
        <w:ind w:left="72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6F33A86"/>
    <w:multiLevelType w:val="hybridMultilevel"/>
    <w:tmpl w:val="AA3647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7C2E3F"/>
    <w:multiLevelType w:val="hybridMultilevel"/>
    <w:tmpl w:val="C3D095F2"/>
    <w:lvl w:ilvl="0" w:tplc="6F78D270">
      <w:numFmt w:val="bullet"/>
      <w:lvlText w:val=""/>
      <w:lvlJc w:val="left"/>
      <w:pPr>
        <w:ind w:left="108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5"/>
  </w:num>
  <w:num w:numId="5">
    <w:abstractNumId w:val="3"/>
  </w:num>
  <w:num w:numId="6">
    <w:abstractNumId w:val="4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hideSpellingErrors/>
  <w:hideGrammaticalErrors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41711"/>
    <w:rsid w:val="000436C2"/>
    <w:rsid w:val="000473D3"/>
    <w:rsid w:val="00050C54"/>
    <w:rsid w:val="000B0536"/>
    <w:rsid w:val="0010126C"/>
    <w:rsid w:val="00107296"/>
    <w:rsid w:val="00133BD9"/>
    <w:rsid w:val="00133CFC"/>
    <w:rsid w:val="00150323"/>
    <w:rsid w:val="00172809"/>
    <w:rsid w:val="001D7E17"/>
    <w:rsid w:val="001E3BB5"/>
    <w:rsid w:val="00206D5F"/>
    <w:rsid w:val="0022469A"/>
    <w:rsid w:val="00255447"/>
    <w:rsid w:val="002707B1"/>
    <w:rsid w:val="00291D51"/>
    <w:rsid w:val="00293724"/>
    <w:rsid w:val="002A4AD8"/>
    <w:rsid w:val="002B4955"/>
    <w:rsid w:val="002B7FEE"/>
    <w:rsid w:val="002E3EFB"/>
    <w:rsid w:val="002F5FBF"/>
    <w:rsid w:val="003043A4"/>
    <w:rsid w:val="0031513C"/>
    <w:rsid w:val="00342E6F"/>
    <w:rsid w:val="003452B0"/>
    <w:rsid w:val="00360385"/>
    <w:rsid w:val="00385085"/>
    <w:rsid w:val="003A1830"/>
    <w:rsid w:val="003B3576"/>
    <w:rsid w:val="003B656A"/>
    <w:rsid w:val="00400822"/>
    <w:rsid w:val="004C4D2B"/>
    <w:rsid w:val="004F5AD9"/>
    <w:rsid w:val="00503895"/>
    <w:rsid w:val="00526623"/>
    <w:rsid w:val="00526A8E"/>
    <w:rsid w:val="00534E92"/>
    <w:rsid w:val="00536220"/>
    <w:rsid w:val="00557CFD"/>
    <w:rsid w:val="00584F30"/>
    <w:rsid w:val="005A506C"/>
    <w:rsid w:val="005A74DE"/>
    <w:rsid w:val="005C09D5"/>
    <w:rsid w:val="005D6CD9"/>
    <w:rsid w:val="005E2894"/>
    <w:rsid w:val="0060723D"/>
    <w:rsid w:val="006224F4"/>
    <w:rsid w:val="006279ED"/>
    <w:rsid w:val="006847DA"/>
    <w:rsid w:val="006B26DE"/>
    <w:rsid w:val="00716508"/>
    <w:rsid w:val="007400B7"/>
    <w:rsid w:val="00753976"/>
    <w:rsid w:val="007649AC"/>
    <w:rsid w:val="00772D1E"/>
    <w:rsid w:val="007974DA"/>
    <w:rsid w:val="007B29A9"/>
    <w:rsid w:val="007C2E37"/>
    <w:rsid w:val="007D7648"/>
    <w:rsid w:val="008170C7"/>
    <w:rsid w:val="00845396"/>
    <w:rsid w:val="0085400C"/>
    <w:rsid w:val="008A5062"/>
    <w:rsid w:val="008B3636"/>
    <w:rsid w:val="008B7043"/>
    <w:rsid w:val="008C5A35"/>
    <w:rsid w:val="00924DEC"/>
    <w:rsid w:val="009368EB"/>
    <w:rsid w:val="00937BF5"/>
    <w:rsid w:val="00942721"/>
    <w:rsid w:val="00945C7C"/>
    <w:rsid w:val="00946125"/>
    <w:rsid w:val="009845A8"/>
    <w:rsid w:val="009B26A0"/>
    <w:rsid w:val="009B7577"/>
    <w:rsid w:val="009B75DF"/>
    <w:rsid w:val="009D4F56"/>
    <w:rsid w:val="00A054D1"/>
    <w:rsid w:val="00A0584E"/>
    <w:rsid w:val="00A06191"/>
    <w:rsid w:val="00A47821"/>
    <w:rsid w:val="00A56CF3"/>
    <w:rsid w:val="00A922CF"/>
    <w:rsid w:val="00AC6418"/>
    <w:rsid w:val="00AE2C71"/>
    <w:rsid w:val="00AF2854"/>
    <w:rsid w:val="00B33BDA"/>
    <w:rsid w:val="00B378CC"/>
    <w:rsid w:val="00B41AEB"/>
    <w:rsid w:val="00B82400"/>
    <w:rsid w:val="00B86DDF"/>
    <w:rsid w:val="00BA4154"/>
    <w:rsid w:val="00BA5A79"/>
    <w:rsid w:val="00BB4793"/>
    <w:rsid w:val="00BB56A8"/>
    <w:rsid w:val="00BB682C"/>
    <w:rsid w:val="00BD48A8"/>
    <w:rsid w:val="00C10D99"/>
    <w:rsid w:val="00C57345"/>
    <w:rsid w:val="00C814D0"/>
    <w:rsid w:val="00CA4297"/>
    <w:rsid w:val="00CC7214"/>
    <w:rsid w:val="00CD5551"/>
    <w:rsid w:val="00CF22EF"/>
    <w:rsid w:val="00D1736D"/>
    <w:rsid w:val="00D40B7B"/>
    <w:rsid w:val="00D50036"/>
    <w:rsid w:val="00D53135"/>
    <w:rsid w:val="00D55DFB"/>
    <w:rsid w:val="00D81399"/>
    <w:rsid w:val="00D90EA5"/>
    <w:rsid w:val="00D9593B"/>
    <w:rsid w:val="00DA4D94"/>
    <w:rsid w:val="00E040EA"/>
    <w:rsid w:val="00E525E0"/>
    <w:rsid w:val="00E55A7F"/>
    <w:rsid w:val="00E566F5"/>
    <w:rsid w:val="00E841F5"/>
    <w:rsid w:val="00EB123E"/>
    <w:rsid w:val="00EB179A"/>
    <w:rsid w:val="00EB2613"/>
    <w:rsid w:val="00EE1C79"/>
    <w:rsid w:val="00F129C1"/>
    <w:rsid w:val="00F20F23"/>
    <w:rsid w:val="00F23B18"/>
    <w:rsid w:val="00F31270"/>
    <w:rsid w:val="00F678C1"/>
    <w:rsid w:val="00F82AB4"/>
    <w:rsid w:val="00FB0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45CDE158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3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defaultValu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ca9306fc-8436-45f0-b931-e34f519be3a3" ContentTypeId="0x01010032640DAD0EFF63499F40C6F300FF9AAD" PreviousValue="tru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Select Content Type" ma:contentTypeID="0x01010032640DAD0EFF63499F40C6F300FF9AAD00123D5A5992A1A14CBB089F7FB8774E59" ma:contentTypeVersion="10" ma:contentTypeDescription="Select Content Type from drop-down above" ma:contentTypeScope="" ma:versionID="a3cd2b5df241df84d381fa7c7cb0d9b3">
  <xsd:schema xmlns:xsd="http://www.w3.org/2001/XMLSchema" xmlns:xs="http://www.w3.org/2001/XMLSchema" xmlns:p="http://schemas.microsoft.com/office/2006/metadata/properties" xmlns:ns2="631298fc-6a88-4548-b7d9-3b164918c4a3" targetNamespace="http://schemas.microsoft.com/office/2006/metadata/properties" ma:root="true" ma:fieldsID="603670f83f03641ab2f338f54c6036db" ns2:_=""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2:Select_x0020_Content_x0020_Type_x0020_Above" minOccurs="0"/>
                <xsd:element ref="ns2:Classification" minOccurs="0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Select_x0020_Content_x0020_Type_x0020_Above" ma:index="1" nillable="true" ma:displayName="Select Content Type Above" ma:description="Ensure you select the correct Content Type" ma:hidden="true" ma:internalName="Select_x0020_Content_x0020_Type_x0020_Above" ma:readOnly="false">
      <xsd:simpleType>
        <xsd:restriction base="dms:Text">
          <xsd:maxLength value="1"/>
        </xsd:restriction>
      </xsd:simpleType>
    </xsd:element>
    <xsd:element name="Classification" ma:index="3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4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Select_x0020_Content_x0020_Type_x0020_Above xmlns="631298fc-6a88-4548-b7d9-3b164918c4a3" xsi:nil="true"/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8FF190-4196-4B30-BD3F-79F93EF9669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033260-B117-4C7A-B496-2BD9208FEF54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E17A90C6-8A9C-4416-B93A-027ED1E51F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ADD9686-A806-4D0B-BBC0-71266FA194C8}">
  <ds:schemaRefs>
    <ds:schemaRef ds:uri="631298fc-6a88-4548-b7d9-3b164918c4a3"/>
    <ds:schemaRef ds:uri="http://schemas.microsoft.com/office/infopath/2007/PartnerControls"/>
    <ds:schemaRef ds:uri="http://purl.org/dc/dcmitype/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metadata/properties"/>
    <ds:schemaRef ds:uri="http://schemas.microsoft.com/office/2006/documentManagement/types"/>
  </ds:schemaRefs>
</ds:datastoreItem>
</file>

<file path=customXml/itemProps6.xml><?xml version="1.0" encoding="utf-8"?>
<ds:datastoreItem xmlns:ds="http://schemas.openxmlformats.org/officeDocument/2006/customXml" ds:itemID="{A4B5CFA8-E41C-4F27-BF4A-FF522E20B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774</Words>
  <Characters>4414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5178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Jonathan Farrier</cp:lastModifiedBy>
  <cp:revision>5</cp:revision>
  <dcterms:created xsi:type="dcterms:W3CDTF">2020-07-28T09:59:00Z</dcterms:created>
  <dcterms:modified xsi:type="dcterms:W3CDTF">2020-08-25T16:00:00Z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0x01010032640DAD0EFF63499F40C6F300FF9AAD00123D5A5992A1A14CBB089F7FB8774E59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f6ca1dd2-719a-4b85-a410-f2067eacc0e5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</Properties>
</file>