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0D10931B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02462" w14:textId="77777777" w:rsidR="00133BD9" w:rsidRPr="002E3EFB" w:rsidRDefault="002E3EFB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  <w:sz w:val="32"/>
                <w:szCs w:val="32"/>
              </w:rPr>
              <w:t>Publication</w:t>
            </w:r>
          </w:p>
        </w:tc>
      </w:tr>
      <w:tr w:rsidR="00133BD9" w:rsidRPr="00876240" w14:paraId="167682B0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81B92" w14:textId="77777777" w:rsidR="00BB682C" w:rsidRPr="00876240" w:rsidRDefault="00150323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560AA187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5B805AD3" w14:textId="77777777" w:rsidR="00133BD9" w:rsidRPr="00876240" w:rsidRDefault="00150323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66293607" w14:textId="77777777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E53168"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A06191" w:rsidRPr="00876240" w14:paraId="738A408A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0E3A2F7" w14:textId="77777777" w:rsidR="00A06191" w:rsidRPr="00876240" w:rsidRDefault="001503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67EFBF49" w14:textId="77777777" w:rsidR="00A06191" w:rsidRPr="00876240" w:rsidRDefault="00746C3B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Cadent Networks</w:t>
            </w:r>
          </w:p>
        </w:tc>
      </w:tr>
      <w:tr w:rsidR="00A06191" w:rsidRPr="00876240" w14:paraId="0A79F20D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9DAD2FD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ADCFA44" w14:textId="77777777" w:rsidR="00A06191" w:rsidRPr="00876240" w:rsidRDefault="00746C3B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 Annex – Capital Project PCDs</w:t>
            </w:r>
            <w:r w:rsidR="00675DEC">
              <w:rPr>
                <w:rFonts w:ascii="Arial" w:hAnsi="Arial" w:cs="Arial"/>
                <w:sz w:val="24"/>
                <w:szCs w:val="24"/>
              </w:rPr>
              <w:t>, p19</w:t>
            </w:r>
          </w:p>
        </w:tc>
      </w:tr>
      <w:tr w:rsidR="00A06191" w:rsidRPr="00876240" w14:paraId="58A2706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3478D35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6B00CB5F" w14:textId="77777777" w:rsidR="003A2BE8" w:rsidRDefault="00746C3B" w:rsidP="00746C3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46C3B">
              <w:rPr>
                <w:rFonts w:ascii="Arial" w:hAnsi="Arial" w:cs="Arial"/>
                <w:sz w:val="24"/>
                <w:szCs w:val="24"/>
              </w:rPr>
              <w:t xml:space="preserve">We see </w:t>
            </w:r>
            <w:r w:rsidR="00675DEC">
              <w:rPr>
                <w:rFonts w:ascii="Arial" w:hAnsi="Arial" w:cs="Arial"/>
                <w:sz w:val="24"/>
                <w:szCs w:val="24"/>
              </w:rPr>
              <w:t xml:space="preserve">NTS 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746C3B">
              <w:rPr>
                <w:rFonts w:ascii="Arial" w:hAnsi="Arial" w:cs="Arial"/>
                <w:sz w:val="24"/>
                <w:szCs w:val="24"/>
              </w:rPr>
              <w:t>eter</w:t>
            </w:r>
            <w:r>
              <w:rPr>
                <w:rFonts w:ascii="Arial" w:hAnsi="Arial" w:cs="Arial"/>
                <w:sz w:val="24"/>
                <w:szCs w:val="24"/>
              </w:rPr>
              <w:t>ing has been included</w:t>
            </w:r>
            <w:r w:rsidR="003A2BE8">
              <w:rPr>
                <w:rFonts w:ascii="Arial" w:hAnsi="Arial" w:cs="Arial"/>
                <w:sz w:val="24"/>
                <w:szCs w:val="24"/>
              </w:rPr>
              <w:t xml:space="preserve"> as part of </w:t>
            </w:r>
            <w:r w:rsidR="00675DEC">
              <w:rPr>
                <w:rFonts w:ascii="Arial" w:hAnsi="Arial" w:cs="Arial"/>
                <w:sz w:val="24"/>
                <w:szCs w:val="24"/>
              </w:rPr>
              <w:t xml:space="preserve">the Capital projects </w:t>
            </w:r>
            <w:r w:rsidRPr="00746C3B">
              <w:rPr>
                <w:rFonts w:ascii="Arial" w:hAnsi="Arial" w:cs="Arial"/>
                <w:sz w:val="24"/>
                <w:szCs w:val="24"/>
              </w:rPr>
              <w:t xml:space="preserve">PCD. These assets are also recorded in </w:t>
            </w:r>
            <w:r w:rsidR="003A2BE8">
              <w:rPr>
                <w:rFonts w:ascii="Arial" w:hAnsi="Arial" w:cs="Arial"/>
                <w:sz w:val="24"/>
                <w:szCs w:val="24"/>
              </w:rPr>
              <w:t>NARMS</w:t>
            </w:r>
            <w:r w:rsidRPr="00746C3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886E04C" w14:textId="77777777" w:rsidR="003A2BE8" w:rsidRDefault="003A2BE8" w:rsidP="00746C3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0957737E" w14:textId="77777777" w:rsidR="00675DEC" w:rsidRDefault="00746C3B" w:rsidP="00675DEC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46C3B">
              <w:rPr>
                <w:rFonts w:ascii="Arial" w:hAnsi="Arial" w:cs="Arial"/>
                <w:sz w:val="24"/>
                <w:szCs w:val="24"/>
              </w:rPr>
              <w:t xml:space="preserve">Have the </w:t>
            </w:r>
            <w:r w:rsidR="00675DEC">
              <w:rPr>
                <w:rFonts w:ascii="Arial" w:hAnsi="Arial" w:cs="Arial"/>
                <w:sz w:val="24"/>
                <w:szCs w:val="24"/>
              </w:rPr>
              <w:t xml:space="preserve">NTS </w:t>
            </w:r>
            <w:r w:rsidR="003A2BE8">
              <w:rPr>
                <w:rFonts w:ascii="Arial" w:hAnsi="Arial" w:cs="Arial"/>
                <w:sz w:val="24"/>
                <w:szCs w:val="24"/>
              </w:rPr>
              <w:t>M</w:t>
            </w:r>
            <w:r w:rsidRPr="00746C3B">
              <w:rPr>
                <w:rFonts w:ascii="Arial" w:hAnsi="Arial" w:cs="Arial"/>
                <w:sz w:val="24"/>
                <w:szCs w:val="24"/>
              </w:rPr>
              <w:t xml:space="preserve">eters been included in the </w:t>
            </w:r>
            <w:r w:rsidR="00675DEC">
              <w:rPr>
                <w:rFonts w:ascii="Arial" w:hAnsi="Arial" w:cs="Arial"/>
                <w:sz w:val="24"/>
                <w:szCs w:val="24"/>
              </w:rPr>
              <w:t xml:space="preserve">Capital projects </w:t>
            </w:r>
            <w:r w:rsidRPr="00746C3B">
              <w:rPr>
                <w:rFonts w:ascii="Arial" w:hAnsi="Arial" w:cs="Arial"/>
                <w:sz w:val="24"/>
                <w:szCs w:val="24"/>
              </w:rPr>
              <w:t>PCD in error</w:t>
            </w:r>
            <w:r w:rsidR="00675DEC">
              <w:rPr>
                <w:rFonts w:ascii="Arial" w:hAnsi="Arial" w:cs="Arial"/>
                <w:sz w:val="24"/>
                <w:szCs w:val="24"/>
              </w:rPr>
              <w:t xml:space="preserve"> o</w:t>
            </w:r>
            <w:r w:rsidRPr="00746C3B">
              <w:rPr>
                <w:rFonts w:ascii="Arial" w:hAnsi="Arial" w:cs="Arial"/>
                <w:sz w:val="24"/>
                <w:szCs w:val="24"/>
              </w:rPr>
              <w:t>r is it Ofgem</w:t>
            </w:r>
            <w:r w:rsidR="003A2BE8">
              <w:rPr>
                <w:rFonts w:ascii="Arial" w:hAnsi="Arial" w:cs="Arial"/>
                <w:sz w:val="24"/>
                <w:szCs w:val="24"/>
              </w:rPr>
              <w:t>’</w:t>
            </w:r>
            <w:r w:rsidRPr="00746C3B">
              <w:rPr>
                <w:rFonts w:ascii="Arial" w:hAnsi="Arial" w:cs="Arial"/>
                <w:sz w:val="24"/>
                <w:szCs w:val="24"/>
              </w:rPr>
              <w:t>s intention to have two PCDs covering these assets</w:t>
            </w:r>
            <w:r w:rsidR="00675DEC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7AF65EDE" w14:textId="77777777" w:rsidR="00675DEC" w:rsidRPr="00A56CF3" w:rsidRDefault="00675DEC" w:rsidP="00675DEC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20D73AC1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ABEB55F" w14:textId="77777777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150323">
              <w:rPr>
                <w:rFonts w:ascii="Arial" w:hAnsi="Arial" w:cs="Arial"/>
                <w:b/>
                <w:bCs/>
              </w:rPr>
              <w:t>ate query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</w:rPr>
              <w:t>r</w:t>
            </w:r>
            <w:r w:rsidR="00A0584E">
              <w:rPr>
                <w:rFonts w:ascii="Arial" w:hAnsi="Arial" w:cs="Arial"/>
                <w:b/>
                <w:bCs/>
              </w:rPr>
              <w:t xml:space="preserve">aised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140DFD2" w14:textId="77777777" w:rsidR="00A06191" w:rsidRPr="00876240" w:rsidRDefault="003A2BE8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29/07/2020</w:t>
            </w:r>
          </w:p>
        </w:tc>
      </w:tr>
      <w:tr w:rsidR="00A06191" w:rsidRPr="00876240" w14:paraId="622865F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BF5D22E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08D2746" w14:textId="77777777" w:rsidR="00F82AB4" w:rsidRPr="00876240" w:rsidRDefault="00F82AB4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22EE424E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2DBD3A0" w14:textId="77777777" w:rsidR="00A06191" w:rsidRDefault="0015032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Expected </w:t>
            </w:r>
            <w:r w:rsidR="00A06191"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6526B62" w14:textId="77777777" w:rsidR="00A06191" w:rsidRPr="00876240" w:rsidRDefault="003A2BE8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05/08/2020</w:t>
            </w:r>
          </w:p>
        </w:tc>
      </w:tr>
      <w:tr w:rsidR="00A06191" w:rsidRPr="00876240" w14:paraId="18D5169A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9726A8D" w14:textId="77777777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56E7040" w14:textId="77777777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6069FCA9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41D0D322" w14:textId="77777777" w:rsidR="006224F4" w:rsidRDefault="00150323" w:rsidP="002707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t>OfGEM Response:</w:t>
            </w:r>
          </w:p>
          <w:p w14:paraId="03409A3E" w14:textId="77777777" w:rsidR="00F75D66" w:rsidRPr="00F75D66" w:rsidRDefault="00F75D66" w:rsidP="00F75D66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NTS Metering (also named NTS Other Metering) was included in the Capital Projects PCD intentionally at DD. However, it should have been excluded from NARMs as a result – but as you point out, it was not. We will review all DD responses on this topic in order to make a Final Determination, but to clarify, our Draft Determination position was for the Metering work to be included in the Capital Projects PCD rather than NARMs.</w:t>
            </w:r>
            <w:bookmarkStart w:id="0" w:name="_GoBack"/>
            <w:bookmarkEnd w:id="0"/>
          </w:p>
        </w:tc>
      </w:tr>
      <w:tr w:rsidR="00133BD9" w:rsidRPr="00876240" w14:paraId="1BADFB67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5D0ECBD1" w14:textId="77777777" w:rsidR="00133BD9" w:rsidRPr="00150323" w:rsidRDefault="00AC6418" w:rsidP="00AC6418">
            <w:pPr>
              <w:rPr>
                <w:rFonts w:cs="Arial"/>
                <w:b/>
                <w:szCs w:val="20"/>
              </w:rPr>
            </w:pPr>
            <w:r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>A</w:t>
            </w:r>
            <w:r w:rsidR="00133BD9"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7C925629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6D635" w14:textId="77777777" w:rsidR="00C90787" w:rsidRDefault="00C90787" w:rsidP="00526623">
      <w:pPr>
        <w:spacing w:after="0" w:line="240" w:lineRule="auto"/>
      </w:pPr>
      <w:r>
        <w:separator/>
      </w:r>
    </w:p>
  </w:endnote>
  <w:endnote w:type="continuationSeparator" w:id="0">
    <w:p w14:paraId="7656CAFE" w14:textId="77777777" w:rsidR="00C90787" w:rsidRDefault="00C90787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77D84" w14:textId="77777777" w:rsidR="00C90787" w:rsidRDefault="00C90787" w:rsidP="00526623">
      <w:pPr>
        <w:spacing w:after="0" w:line="240" w:lineRule="auto"/>
      </w:pPr>
      <w:r>
        <w:separator/>
      </w:r>
    </w:p>
  </w:footnote>
  <w:footnote w:type="continuationSeparator" w:id="0">
    <w:p w14:paraId="38018002" w14:textId="77777777" w:rsidR="00C90787" w:rsidRDefault="00C90787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10126C"/>
    <w:rsid w:val="00107296"/>
    <w:rsid w:val="00133BD9"/>
    <w:rsid w:val="00133CFC"/>
    <w:rsid w:val="00150323"/>
    <w:rsid w:val="00172809"/>
    <w:rsid w:val="00206D5F"/>
    <w:rsid w:val="002707B1"/>
    <w:rsid w:val="00291D51"/>
    <w:rsid w:val="00293724"/>
    <w:rsid w:val="002A4AD8"/>
    <w:rsid w:val="002B4955"/>
    <w:rsid w:val="002E3EFB"/>
    <w:rsid w:val="003043A4"/>
    <w:rsid w:val="00342E6F"/>
    <w:rsid w:val="003452B0"/>
    <w:rsid w:val="00360385"/>
    <w:rsid w:val="00385085"/>
    <w:rsid w:val="003A2BE8"/>
    <w:rsid w:val="003B3576"/>
    <w:rsid w:val="00400822"/>
    <w:rsid w:val="00460E9F"/>
    <w:rsid w:val="004C4D2B"/>
    <w:rsid w:val="00503895"/>
    <w:rsid w:val="00526623"/>
    <w:rsid w:val="00526A8E"/>
    <w:rsid w:val="00534E92"/>
    <w:rsid w:val="00536220"/>
    <w:rsid w:val="00584F30"/>
    <w:rsid w:val="005A506C"/>
    <w:rsid w:val="005A74DE"/>
    <w:rsid w:val="005E2894"/>
    <w:rsid w:val="0060723D"/>
    <w:rsid w:val="006224F4"/>
    <w:rsid w:val="006279ED"/>
    <w:rsid w:val="00675DEC"/>
    <w:rsid w:val="006847DA"/>
    <w:rsid w:val="006B26DE"/>
    <w:rsid w:val="00716508"/>
    <w:rsid w:val="007400B7"/>
    <w:rsid w:val="00746C3B"/>
    <w:rsid w:val="00753976"/>
    <w:rsid w:val="007649AC"/>
    <w:rsid w:val="00772D1E"/>
    <w:rsid w:val="007974DA"/>
    <w:rsid w:val="007B29A9"/>
    <w:rsid w:val="007C2E37"/>
    <w:rsid w:val="007D7648"/>
    <w:rsid w:val="008170C7"/>
    <w:rsid w:val="00845396"/>
    <w:rsid w:val="0085400C"/>
    <w:rsid w:val="008A5062"/>
    <w:rsid w:val="008B3636"/>
    <w:rsid w:val="008B7043"/>
    <w:rsid w:val="008C5A35"/>
    <w:rsid w:val="00924DEC"/>
    <w:rsid w:val="00937BF5"/>
    <w:rsid w:val="00942721"/>
    <w:rsid w:val="00945C7C"/>
    <w:rsid w:val="00946125"/>
    <w:rsid w:val="009845A8"/>
    <w:rsid w:val="009B26A0"/>
    <w:rsid w:val="009B7577"/>
    <w:rsid w:val="009D4F56"/>
    <w:rsid w:val="00A054D1"/>
    <w:rsid w:val="00A0584E"/>
    <w:rsid w:val="00A06191"/>
    <w:rsid w:val="00A56CF3"/>
    <w:rsid w:val="00A922CF"/>
    <w:rsid w:val="00AC6418"/>
    <w:rsid w:val="00AE2C71"/>
    <w:rsid w:val="00AF2854"/>
    <w:rsid w:val="00B33BDA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90787"/>
    <w:rsid w:val="00CA4297"/>
    <w:rsid w:val="00CC7214"/>
    <w:rsid w:val="00CF22EF"/>
    <w:rsid w:val="00D1736D"/>
    <w:rsid w:val="00D40B7B"/>
    <w:rsid w:val="00D50036"/>
    <w:rsid w:val="00D53135"/>
    <w:rsid w:val="00D81399"/>
    <w:rsid w:val="00DA4D94"/>
    <w:rsid w:val="00E040EA"/>
    <w:rsid w:val="00E525E0"/>
    <w:rsid w:val="00E53168"/>
    <w:rsid w:val="00E55A7F"/>
    <w:rsid w:val="00E566F5"/>
    <w:rsid w:val="00EB123E"/>
    <w:rsid w:val="00EB179A"/>
    <w:rsid w:val="00EB2613"/>
    <w:rsid w:val="00EE1C79"/>
    <w:rsid w:val="00EE6ED3"/>
    <w:rsid w:val="00F129C1"/>
    <w:rsid w:val="00F20F23"/>
    <w:rsid w:val="00F23B18"/>
    <w:rsid w:val="00F31270"/>
    <w:rsid w:val="00F678C1"/>
    <w:rsid w:val="00F75D66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88A52B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Props1.xml><?xml version="1.0" encoding="utf-8"?>
<ds:datastoreItem xmlns:ds="http://schemas.openxmlformats.org/officeDocument/2006/customXml" ds:itemID="{74865547-CD01-48F5-8345-5C1AC108ED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5CCEAE-D188-46C3-BA1D-7F8EA95489FC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A71AAB-262A-4A8A-BCE9-49E54829A23E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631298fc-6a88-4548-b7d9-3b164918c4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4</cp:revision>
  <dcterms:created xsi:type="dcterms:W3CDTF">2020-07-29T08:59:00Z</dcterms:created>
  <dcterms:modified xsi:type="dcterms:W3CDTF">2020-09-10T08:01:00Z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