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t>
            </w:r>
            <w:bookmarkStart w:id="0" w:name="_GoBack"/>
            <w:bookmarkEnd w:id="0"/>
            <w:r w:rsidRPr="0037140B">
              <w:rPr>
                <w:rFonts w:asciiTheme="minorHAnsi" w:hAnsiTheme="minorHAnsi" w:cs="Arial"/>
                <w:b/>
                <w:bCs/>
                <w:sz w:val="22"/>
              </w:rPr>
              <w: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4F402A2"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682AC4">
              <w:rPr>
                <w:rFonts w:asciiTheme="minorHAnsi" w:hAnsiTheme="minorHAnsi" w:cs="Arial"/>
                <w:sz w:val="22"/>
              </w:rPr>
              <w:t>8</w:t>
            </w:r>
            <w:r w:rsidR="00B674CC">
              <w:rPr>
                <w:rFonts w:asciiTheme="minorHAnsi" w:hAnsiTheme="minorHAnsi" w:cs="Arial"/>
                <w:sz w:val="22"/>
              </w:rPr>
              <w:t>3</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BDA456D" w:rsidR="00A06191" w:rsidRPr="0037140B" w:rsidRDefault="006F7CC4" w:rsidP="0037140B">
            <w:pPr>
              <w:rPr>
                <w:rFonts w:asciiTheme="minorHAnsi" w:hAnsiTheme="minorHAnsi" w:cs="Arial"/>
                <w:sz w:val="22"/>
              </w:rPr>
            </w:pPr>
            <w:r>
              <w:rPr>
                <w:rFonts w:asciiTheme="minorHAnsi" w:hAnsiTheme="minorHAnsi" w:cs="Arial"/>
                <w:sz w:val="22"/>
              </w:rPr>
              <w:t>Cost Assessment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AAEF713" w:rsidR="00A0584E" w:rsidRDefault="00504295" w:rsidP="003F22F3">
            <w:pPr>
              <w:rPr>
                <w:rFonts w:asciiTheme="minorHAnsi" w:hAnsiTheme="minorHAnsi" w:cs="Arial"/>
                <w:sz w:val="22"/>
              </w:rPr>
            </w:pPr>
            <w:r w:rsidRPr="0037140B">
              <w:rPr>
                <w:rFonts w:asciiTheme="minorHAnsi" w:hAnsiTheme="minorHAnsi" w:cs="Arial"/>
                <w:sz w:val="22"/>
              </w:rPr>
              <w:t xml:space="preserve"> </w:t>
            </w:r>
          </w:p>
          <w:p w14:paraId="06FB26B6" w14:textId="620C3B3A" w:rsidR="006F7CC4" w:rsidRDefault="00811E39" w:rsidP="003F22F3">
            <w:pPr>
              <w:rPr>
                <w:rFonts w:asciiTheme="minorHAnsi" w:hAnsiTheme="minorHAnsi" w:cs="Arial"/>
                <w:sz w:val="22"/>
              </w:rPr>
            </w:pPr>
            <w:r>
              <w:rPr>
                <w:rFonts w:asciiTheme="minorHAnsi" w:hAnsiTheme="minorHAnsi" w:cs="Arial"/>
                <w:sz w:val="22"/>
              </w:rPr>
              <w:t xml:space="preserve">Relating to </w:t>
            </w:r>
            <w:r w:rsidR="006F7CC4">
              <w:rPr>
                <w:rFonts w:asciiTheme="minorHAnsi" w:hAnsiTheme="minorHAnsi" w:cs="Arial"/>
                <w:sz w:val="22"/>
              </w:rPr>
              <w:t>model ‘(</w:t>
            </w:r>
            <w:r w:rsidR="00B674CC">
              <w:rPr>
                <w:rFonts w:asciiTheme="minorHAnsi" w:hAnsiTheme="minorHAnsi" w:cs="Arial"/>
                <w:sz w:val="22"/>
              </w:rPr>
              <w:t>7</w:t>
            </w:r>
            <w:r w:rsidR="006F7CC4">
              <w:rPr>
                <w:rFonts w:asciiTheme="minorHAnsi" w:hAnsiTheme="minorHAnsi" w:cs="Arial"/>
                <w:sz w:val="22"/>
              </w:rPr>
              <w:t xml:space="preserve">) </w:t>
            </w:r>
            <w:r w:rsidR="00B674CC">
              <w:rPr>
                <w:rFonts w:asciiTheme="minorHAnsi" w:hAnsiTheme="minorHAnsi" w:cs="Arial"/>
                <w:sz w:val="22"/>
              </w:rPr>
              <w:t>CostAssessment</w:t>
            </w:r>
            <w:r w:rsidR="00746D70">
              <w:rPr>
                <w:rFonts w:asciiTheme="minorHAnsi" w:hAnsiTheme="minorHAnsi" w:cs="Arial"/>
                <w:sz w:val="22"/>
              </w:rPr>
              <w:t>’</w:t>
            </w:r>
          </w:p>
          <w:p w14:paraId="5E42812E" w14:textId="77777777" w:rsidR="00B674CC" w:rsidRDefault="00B674CC" w:rsidP="003F22F3">
            <w:pPr>
              <w:rPr>
                <w:rFonts w:asciiTheme="minorHAnsi" w:hAnsiTheme="minorHAnsi" w:cs="Arial"/>
                <w:sz w:val="22"/>
              </w:rPr>
            </w:pPr>
            <w:r w:rsidRPr="00B674CC">
              <w:rPr>
                <w:rFonts w:asciiTheme="minorHAnsi" w:hAnsiTheme="minorHAnsi" w:cs="Arial"/>
                <w:sz w:val="22"/>
              </w:rPr>
              <w:t xml:space="preserve">The spreadsheet “[7] Cost Assessment”, tab “lnp_Correction Factor” contains correction factor inputs. These are hard-coded inputs which the spreadsheet notes have been “calculated outside of the model using regression analysis”. </w:t>
            </w:r>
          </w:p>
          <w:p w14:paraId="373E21D8" w14:textId="5862B83A" w:rsidR="00504295" w:rsidRPr="0037140B" w:rsidRDefault="00B674CC" w:rsidP="003F22F3">
            <w:pPr>
              <w:rPr>
                <w:rFonts w:asciiTheme="minorHAnsi" w:hAnsiTheme="minorHAnsi" w:cs="Arial"/>
                <w:sz w:val="22"/>
              </w:rPr>
            </w:pPr>
            <w:r w:rsidRPr="00B674CC">
              <w:rPr>
                <w:rFonts w:asciiTheme="minorHAnsi" w:hAnsiTheme="minorHAnsi" w:cs="Arial"/>
                <w:sz w:val="22"/>
              </w:rPr>
              <w:t>Could Ofgem please provide the underlying detail and calculations?</w:t>
            </w:r>
          </w:p>
        </w:tc>
      </w:tr>
      <w:tr w:rsidR="004E0EC4" w:rsidRPr="0037140B" w14:paraId="50076ED9" w14:textId="77777777" w:rsidTr="0037140B">
        <w:trPr>
          <w:trHeight w:val="127"/>
        </w:trPr>
        <w:tc>
          <w:tcPr>
            <w:tcW w:w="2817" w:type="dxa"/>
            <w:shd w:val="clear" w:color="auto" w:fill="auto"/>
            <w:vAlign w:val="center"/>
          </w:tcPr>
          <w:p w14:paraId="6A0BBF17" w14:textId="53B9D6BE" w:rsidR="004E0EC4" w:rsidRPr="0037140B" w:rsidRDefault="004E0EC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5FAECD50" w14:textId="35B3DAEA" w:rsidR="004E0EC4" w:rsidRPr="0037140B" w:rsidRDefault="004E0EC4" w:rsidP="003F22F3">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38D0D78" w:rsidR="00F82AB4" w:rsidRPr="0037140B" w:rsidRDefault="00A747A1" w:rsidP="00504295">
            <w:pPr>
              <w:rPr>
                <w:rFonts w:asciiTheme="minorHAnsi" w:hAnsiTheme="minorHAnsi" w:cs="Arial"/>
                <w:sz w:val="22"/>
              </w:rPr>
            </w:pPr>
            <w:r>
              <w:rPr>
                <w:rFonts w:asciiTheme="minorHAnsi" w:hAnsiTheme="minorHAnsi" w:cs="Arial"/>
                <w:sz w:val="22"/>
              </w:rPr>
              <w:t>30</w:t>
            </w:r>
            <w:r w:rsidR="00CF22EF" w:rsidRPr="0037140B">
              <w:rPr>
                <w:rFonts w:asciiTheme="minorHAnsi" w:hAnsiTheme="minorHAnsi" w:cs="Arial"/>
                <w:sz w:val="22"/>
              </w:rPr>
              <w:t>/0</w:t>
            </w:r>
            <w:r w:rsidR="0037140B">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1CF547D" w:rsidR="00F24B54" w:rsidRPr="0037140B" w:rsidRDefault="00811E39" w:rsidP="00F24B54">
            <w:pPr>
              <w:rPr>
                <w:rFonts w:asciiTheme="minorHAnsi" w:hAnsiTheme="minorHAnsi" w:cs="Arial"/>
                <w:sz w:val="22"/>
              </w:rPr>
            </w:pPr>
            <w:r>
              <w:rPr>
                <w:rFonts w:asciiTheme="minorHAnsi" w:hAnsiTheme="minorHAnsi" w:cs="Arial"/>
                <w:sz w:val="22"/>
              </w:rPr>
              <w:t>0</w:t>
            </w:r>
            <w:r w:rsidR="00A747A1">
              <w:rPr>
                <w:rFonts w:asciiTheme="minorHAnsi" w:hAnsiTheme="minorHAnsi" w:cs="Arial"/>
                <w:sz w:val="22"/>
              </w:rPr>
              <w:t>6</w:t>
            </w:r>
            <w:r w:rsidR="00F24B54" w:rsidRPr="0037140B">
              <w:rPr>
                <w:rFonts w:asciiTheme="minorHAnsi" w:hAnsiTheme="minorHAnsi" w:cs="Arial"/>
                <w:sz w:val="22"/>
              </w:rPr>
              <w:t>/0</w:t>
            </w:r>
            <w:r>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1BA0D3DA" w14:textId="20CF2CB0" w:rsidR="000A1D06" w:rsidRPr="000A1D06" w:rsidRDefault="00F24B54" w:rsidP="000A1D06">
            <w:pPr>
              <w:rPr>
                <w:rFonts w:asciiTheme="minorHAnsi" w:hAnsiTheme="minorHAnsi" w:cs="Arial"/>
                <w:sz w:val="22"/>
              </w:rPr>
            </w:pPr>
            <w:r w:rsidRPr="0037140B">
              <w:rPr>
                <w:rFonts w:asciiTheme="minorHAnsi" w:hAnsiTheme="minorHAnsi" w:cs="Arial"/>
                <w:sz w:val="22"/>
              </w:rPr>
              <w:t xml:space="preserve">  </w:t>
            </w:r>
            <w:r w:rsidR="00F91F64">
              <w:rPr>
                <w:rFonts w:asciiTheme="minorHAnsi" w:hAnsiTheme="minorHAnsi" w:cs="Arial"/>
                <w:sz w:val="22"/>
              </w:rPr>
              <w:t>Please refer to the technical annex ‘RIIO-GD2 Step-by-Step Guide to Cost Assessment’ for the calculation steps of the correction factor. On page 19, para 1.68, we state:</w:t>
            </w:r>
          </w:p>
          <w:p w14:paraId="373E21EF" w14:textId="6645B5CD" w:rsidR="00F91F64" w:rsidRPr="000A1D06" w:rsidRDefault="000A1D06" w:rsidP="00F24B54">
            <w:pPr>
              <w:rPr>
                <w:rFonts w:asciiTheme="minorHAnsi" w:hAnsiTheme="minorHAnsi" w:cs="Arial"/>
                <w:sz w:val="22"/>
              </w:rPr>
            </w:pPr>
            <w:r w:rsidRPr="000A1D06">
              <w:rPr>
                <w:rFonts w:asciiTheme="minorHAnsi" w:hAnsiTheme="minorHAnsi" w:cs="Arial"/>
                <w:sz w:val="22"/>
              </w:rPr>
              <w:t>“</w:t>
            </w:r>
            <w:r w:rsidRPr="000A1D06">
              <w:rPr>
                <w:rFonts w:asciiTheme="minorHAnsi" w:hAnsiTheme="minorHAnsi" w:cs="Arial"/>
                <w:sz w:val="22"/>
              </w:rPr>
              <w:t>Indeed, as we used a logarithmic transformation of the data for our totex regression, the exponential transformation into costs would tend to underestimate modelled costs. To resolve this, we followed the RIIO-GD1 approach and multiplied modelled costs with an estimate of the expected value of residuals (ie the above mentioned alpha correction factor). The alpha correction factor corresponds to the estimated coefficient from a linear regression of normalised adjusted totex on those predicted from the selected model without a constant. The computed alpha factor was 1.002 (equal for all GDNs due to homoscedasticity), implying that the adjustment to totex due to the logarithmic transformation was minimal.</w:t>
            </w:r>
            <w:r w:rsidRPr="000A1D06">
              <w:rPr>
                <w:rFonts w:asciiTheme="minorHAnsi" w:hAnsiTheme="minorHAnsi" w:cs="Arial"/>
                <w:sz w:val="22"/>
              </w:rPr>
              <w:t>”</w:t>
            </w:r>
            <w:r>
              <w:rPr>
                <w:rFonts w:asciiTheme="minorHAnsi" w:hAnsiTheme="minorHAnsi" w:cs="Arial"/>
                <w:sz w:val="22"/>
              </w:rPr>
              <w:t xml:space="preserve"> </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4" w14:textId="2AD55E08"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F34E4" w14:textId="77777777" w:rsidR="0033780A" w:rsidRDefault="0033780A" w:rsidP="00526623">
      <w:pPr>
        <w:spacing w:after="0" w:line="240" w:lineRule="auto"/>
      </w:pPr>
      <w:r>
        <w:separator/>
      </w:r>
    </w:p>
  </w:endnote>
  <w:endnote w:type="continuationSeparator" w:id="0">
    <w:p w14:paraId="15B83B3C" w14:textId="77777777" w:rsidR="0033780A" w:rsidRDefault="0033780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18961" w14:textId="77777777" w:rsidR="0033780A" w:rsidRDefault="0033780A" w:rsidP="00526623">
      <w:pPr>
        <w:spacing w:after="0" w:line="240" w:lineRule="auto"/>
      </w:pPr>
      <w:r>
        <w:separator/>
      </w:r>
    </w:p>
  </w:footnote>
  <w:footnote w:type="continuationSeparator" w:id="0">
    <w:p w14:paraId="4C629750" w14:textId="77777777" w:rsidR="0033780A" w:rsidRDefault="0033780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A1D06"/>
    <w:rsid w:val="000C3A79"/>
    <w:rsid w:val="000F1652"/>
    <w:rsid w:val="0010126C"/>
    <w:rsid w:val="00107296"/>
    <w:rsid w:val="00133BD9"/>
    <w:rsid w:val="00133CFC"/>
    <w:rsid w:val="00137DC1"/>
    <w:rsid w:val="00172809"/>
    <w:rsid w:val="001C3FDE"/>
    <w:rsid w:val="001D5F88"/>
    <w:rsid w:val="001E129D"/>
    <w:rsid w:val="00206D5F"/>
    <w:rsid w:val="00231D67"/>
    <w:rsid w:val="00257F3E"/>
    <w:rsid w:val="002707B1"/>
    <w:rsid w:val="00291D51"/>
    <w:rsid w:val="002A4AD8"/>
    <w:rsid w:val="002B4955"/>
    <w:rsid w:val="003043A4"/>
    <w:rsid w:val="0033780A"/>
    <w:rsid w:val="003452B0"/>
    <w:rsid w:val="00360385"/>
    <w:rsid w:val="0037140B"/>
    <w:rsid w:val="00372D1E"/>
    <w:rsid w:val="003820EF"/>
    <w:rsid w:val="003B3576"/>
    <w:rsid w:val="003E53F4"/>
    <w:rsid w:val="003F22F3"/>
    <w:rsid w:val="004145D1"/>
    <w:rsid w:val="004302F8"/>
    <w:rsid w:val="00471BC8"/>
    <w:rsid w:val="004E0EC4"/>
    <w:rsid w:val="00503895"/>
    <w:rsid w:val="00504295"/>
    <w:rsid w:val="00507163"/>
    <w:rsid w:val="00526623"/>
    <w:rsid w:val="00526A8E"/>
    <w:rsid w:val="00534E92"/>
    <w:rsid w:val="00584F30"/>
    <w:rsid w:val="005A506C"/>
    <w:rsid w:val="005A74DE"/>
    <w:rsid w:val="005E2894"/>
    <w:rsid w:val="0060723D"/>
    <w:rsid w:val="006279ED"/>
    <w:rsid w:val="00682AC4"/>
    <w:rsid w:val="00683F48"/>
    <w:rsid w:val="006847DA"/>
    <w:rsid w:val="006B18F6"/>
    <w:rsid w:val="006F7CC4"/>
    <w:rsid w:val="00716508"/>
    <w:rsid w:val="007400B7"/>
    <w:rsid w:val="00746D70"/>
    <w:rsid w:val="00753976"/>
    <w:rsid w:val="007649AC"/>
    <w:rsid w:val="00796C90"/>
    <w:rsid w:val="007974DA"/>
    <w:rsid w:val="007B29A9"/>
    <w:rsid w:val="007B4F5B"/>
    <w:rsid w:val="007D7648"/>
    <w:rsid w:val="007E53E6"/>
    <w:rsid w:val="00811E39"/>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9F5A11"/>
    <w:rsid w:val="00A054D1"/>
    <w:rsid w:val="00A0584E"/>
    <w:rsid w:val="00A06191"/>
    <w:rsid w:val="00A21D26"/>
    <w:rsid w:val="00A27E92"/>
    <w:rsid w:val="00A43B6A"/>
    <w:rsid w:val="00A71151"/>
    <w:rsid w:val="00A747A1"/>
    <w:rsid w:val="00A922CF"/>
    <w:rsid w:val="00AA5A4C"/>
    <w:rsid w:val="00AC6418"/>
    <w:rsid w:val="00B674CC"/>
    <w:rsid w:val="00B82400"/>
    <w:rsid w:val="00B86DDF"/>
    <w:rsid w:val="00BA4154"/>
    <w:rsid w:val="00BB682C"/>
    <w:rsid w:val="00C57345"/>
    <w:rsid w:val="00C657A4"/>
    <w:rsid w:val="00C814D0"/>
    <w:rsid w:val="00C919C3"/>
    <w:rsid w:val="00CA4297"/>
    <w:rsid w:val="00CC7214"/>
    <w:rsid w:val="00CE4B79"/>
    <w:rsid w:val="00CF22EF"/>
    <w:rsid w:val="00D50036"/>
    <w:rsid w:val="00DF06D0"/>
    <w:rsid w:val="00E040EA"/>
    <w:rsid w:val="00E525E0"/>
    <w:rsid w:val="00E60E79"/>
    <w:rsid w:val="00EB179A"/>
    <w:rsid w:val="00EB2613"/>
    <w:rsid w:val="00F00954"/>
    <w:rsid w:val="00F129C1"/>
    <w:rsid w:val="00F23B18"/>
    <w:rsid w:val="00F24B54"/>
    <w:rsid w:val="00F678C1"/>
    <w:rsid w:val="00F82AB4"/>
    <w:rsid w:val="00F91F6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0A1D06"/>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2020-08-06T15:52:32+00:00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http://www.w3.org/XML/1998/namespace"/>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631298fc-6a88-4548-b7d9-3b164918c4a3"/>
    <ds:schemaRef ds:uri="http://schemas.microsoft.com/sharepoint/v3/fields"/>
    <ds:schemaRef ds:uri="http://purl.org/dc/dcmitype/"/>
    <ds:schemaRef ds:uri="http://purl.org/dc/term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44B7ED4E-D1A8-4B26-A93D-77052E60A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D8F0FA-9789-43A9-B9F4-E4F6075E1DEA}">
  <ds:schemaRefs>
    <ds:schemaRef ds:uri="Microsoft.SharePoint.Taxonomy.ContentTypeSync"/>
  </ds:schemaRefs>
</ds:datastoreItem>
</file>

<file path=customXml/itemProps5.xml><?xml version="1.0" encoding="utf-8"?>
<ds:datastoreItem xmlns:ds="http://schemas.openxmlformats.org/officeDocument/2006/customXml" ds:itemID="{41F7CC5D-68C9-4B61-8A17-5B4290682C0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2020-08-06T15:52:00Z</dcterms:created>
  <dcterms:modified xsi:type="dcterms:W3CDTF">2020-08-06T16:03:00Z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a5391c87-a53a-49be-9dce-05f9ec2ce222</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