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8646"/>
      </w:tblGrid>
      <w:tr w:rsidR="00773D57" w:rsidRPr="00876240" w14:paraId="79CFF89F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38EE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773D57" w:rsidRPr="00876240" w14:paraId="221B98F3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D6D6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773D57" w:rsidRPr="00876240" w14:paraId="02D5668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17C76784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DAE022" w14:textId="77777777" w:rsidR="00133BD9" w:rsidRPr="00876240" w:rsidRDefault="00BE571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WWU_DDQ_</w:t>
            </w:r>
            <w:r w:rsidR="005715FA">
              <w:rPr>
                <w:rFonts w:ascii="Arial" w:hAnsi="Arial" w:cs="Arial"/>
                <w:sz w:val="24"/>
                <w:szCs w:val="24"/>
              </w:rPr>
              <w:t>58</w:t>
            </w:r>
          </w:p>
        </w:tc>
      </w:tr>
      <w:tr w:rsidR="00773D57" w:rsidRPr="00876240" w14:paraId="14BA1C8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FC9F06D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1195AB9" w14:textId="77777777" w:rsidR="00A06191" w:rsidRPr="00876240" w:rsidRDefault="00970C4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773D57" w:rsidRPr="00876240" w14:paraId="4460772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2E494FF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634D872" w14:textId="77777777" w:rsidR="00A06191" w:rsidRPr="00876240" w:rsidRDefault="00D471F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OFGEM REPEX Disaggregated Allowance Model</w:t>
            </w:r>
          </w:p>
        </w:tc>
      </w:tr>
      <w:tr w:rsidR="00773D57" w:rsidRPr="00876240" w14:paraId="05A6615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3C75EDE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28F4CBB" w14:textId="77777777" w:rsidR="0061545E" w:rsidRDefault="0061545E" w:rsidP="00DD5DAF">
            <w:pPr>
              <w:rPr>
                <w:rFonts w:ascii="Arial" w:hAnsi="Arial" w:cs="Arial"/>
                <w:sz w:val="24"/>
                <w:szCs w:val="24"/>
              </w:rPr>
            </w:pPr>
            <w:r w:rsidRPr="00217AEB">
              <w:rPr>
                <w:rFonts w:ascii="Arial" w:hAnsi="Arial" w:cs="Arial"/>
                <w:b/>
                <w:sz w:val="24"/>
                <w:szCs w:val="24"/>
              </w:rPr>
              <w:t>Please refer to DDQ_56 which was not answered fully.</w:t>
            </w:r>
            <w:r>
              <w:rPr>
                <w:rFonts w:ascii="Arial" w:hAnsi="Arial" w:cs="Arial"/>
                <w:sz w:val="24"/>
                <w:szCs w:val="24"/>
              </w:rPr>
              <w:t xml:space="preserve"> OFGEM have stated that &lt;=2” Steel mains allowances are within the Tier 1 allowances in the </w:t>
            </w:r>
            <w:r w:rsidRPr="00773D57">
              <w:rPr>
                <w:rFonts w:ascii="Arial" w:hAnsi="Arial" w:cs="Arial"/>
                <w:sz w:val="24"/>
                <w:szCs w:val="24"/>
              </w:rPr>
              <w:t>Out_DisagAllow_Efficient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E7F72DB" w14:textId="77777777" w:rsidR="0061545E" w:rsidRPr="0061545E" w:rsidRDefault="0061545E" w:rsidP="00DD5D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545E">
              <w:rPr>
                <w:rFonts w:ascii="Arial" w:hAnsi="Arial" w:cs="Arial"/>
                <w:b/>
                <w:sz w:val="24"/>
                <w:szCs w:val="24"/>
              </w:rPr>
              <w:t>Can you split out the &lt;=2” Steel allowance and provide this by year please?</w:t>
            </w:r>
          </w:p>
          <w:p w14:paraId="5A661BFD" w14:textId="77777777" w:rsidR="00504295" w:rsidRDefault="00D471F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found a number of areas where workload has been approved b</w:t>
            </w:r>
            <w:r w:rsidR="00773D57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 no allowance provided.</w:t>
            </w:r>
          </w:p>
          <w:p w14:paraId="1A4CB059" w14:textId="77777777" w:rsidR="00D471FC" w:rsidRDefault="00D471F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tables below demonstrate what we submitted, what was available to reconcile in the Draft Determination Document</w:t>
            </w:r>
            <w:r w:rsidR="0003271F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and what is missing from the </w:t>
            </w:r>
            <w:r w:rsidR="00773D57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llowances</w:t>
            </w:r>
            <w:r w:rsidR="00773D57">
              <w:rPr>
                <w:rFonts w:ascii="Arial" w:hAnsi="Arial" w:cs="Arial"/>
                <w:sz w:val="24"/>
                <w:szCs w:val="24"/>
              </w:rPr>
              <w:t xml:space="preserve"> as set out in file </w:t>
            </w:r>
            <w:r w:rsidR="00773D57" w:rsidRPr="00773D57">
              <w:rPr>
                <w:rFonts w:ascii="Arial" w:hAnsi="Arial" w:cs="Arial"/>
                <w:sz w:val="24"/>
                <w:szCs w:val="24"/>
              </w:rPr>
              <w:t>GD2_Disag_Allow_Model_(huddle upload).xlsx</w:t>
            </w:r>
            <w:r w:rsidR="00773D57">
              <w:rPr>
                <w:rFonts w:ascii="Arial" w:hAnsi="Arial" w:cs="Arial"/>
                <w:sz w:val="24"/>
                <w:szCs w:val="24"/>
              </w:rPr>
              <w:t xml:space="preserve"> tab</w:t>
            </w:r>
            <w:r w:rsidR="00192C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3D57">
              <w:rPr>
                <w:rFonts w:ascii="Arial" w:hAnsi="Arial" w:cs="Arial"/>
                <w:sz w:val="24"/>
                <w:szCs w:val="24"/>
              </w:rPr>
              <w:t>“</w:t>
            </w:r>
            <w:r w:rsidR="00773D57" w:rsidRPr="00773D57">
              <w:rPr>
                <w:rFonts w:ascii="Arial" w:hAnsi="Arial" w:cs="Arial"/>
                <w:sz w:val="24"/>
                <w:szCs w:val="24"/>
              </w:rPr>
              <w:t>Out_DisagAllow_Efficient</w:t>
            </w:r>
            <w:r w:rsidR="00773D57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0B160E57" w14:textId="77777777" w:rsidR="00D471FC" w:rsidRPr="0061545E" w:rsidRDefault="00D471FC" w:rsidP="00DD5D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1545E">
              <w:rPr>
                <w:rFonts w:ascii="Arial" w:hAnsi="Arial" w:cs="Arial"/>
                <w:b/>
                <w:sz w:val="24"/>
                <w:szCs w:val="24"/>
              </w:rPr>
              <w:t>Could you please provide the</w:t>
            </w:r>
            <w:r w:rsidR="00773D57" w:rsidRPr="0061545E">
              <w:rPr>
                <w:rFonts w:ascii="Arial" w:hAnsi="Arial" w:cs="Arial"/>
                <w:b/>
                <w:sz w:val="24"/>
                <w:szCs w:val="24"/>
              </w:rPr>
              <w:t>se</w:t>
            </w:r>
            <w:r w:rsidRPr="0061545E">
              <w:rPr>
                <w:rFonts w:ascii="Arial" w:hAnsi="Arial" w:cs="Arial"/>
                <w:b/>
                <w:sz w:val="24"/>
                <w:szCs w:val="24"/>
              </w:rPr>
              <w:t xml:space="preserve"> allowances on an annual basis.</w:t>
            </w:r>
            <w:r w:rsidR="0061545E" w:rsidRPr="0061545E">
              <w:rPr>
                <w:rFonts w:ascii="Arial" w:hAnsi="Arial" w:cs="Arial"/>
                <w:b/>
                <w:sz w:val="24"/>
                <w:szCs w:val="24"/>
              </w:rPr>
              <w:t xml:space="preserve"> They are not shown in the “Out_DisagAllow_Efficient” tab</w:t>
            </w:r>
          </w:p>
          <w:p w14:paraId="6830E86F" w14:textId="77777777" w:rsidR="0061545E" w:rsidRDefault="0061545E" w:rsidP="00DD5D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51D972" w14:textId="77777777" w:rsidR="00D471FC" w:rsidRDefault="00192C1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341FCC5" wp14:editId="758AFA03">
                  <wp:extent cx="5333487" cy="19145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7543" cy="193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0FAC33" w14:textId="77777777" w:rsidR="00317DAE" w:rsidRDefault="00317DAE" w:rsidP="00DD5DAF">
            <w:pPr>
              <w:rPr>
                <w:rFonts w:ascii="Arial" w:hAnsi="Arial" w:cs="Arial"/>
                <w:sz w:val="24"/>
                <w:szCs w:val="24"/>
              </w:rPr>
            </w:pPr>
            <w:r w:rsidRPr="0061545E">
              <w:rPr>
                <w:rFonts w:ascii="Arial" w:hAnsi="Arial" w:cs="Arial"/>
                <w:b/>
                <w:sz w:val="24"/>
                <w:szCs w:val="24"/>
              </w:rPr>
              <w:t>Could you please provide these allowances on an annual basis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for </w:t>
            </w:r>
            <w:r w:rsidR="007C6E17">
              <w:rPr>
                <w:rFonts w:ascii="Arial" w:hAnsi="Arial" w:cs="Arial"/>
                <w:b/>
                <w:sz w:val="24"/>
                <w:szCs w:val="24"/>
              </w:rPr>
              <w:t>Tier 3 Services</w:t>
            </w:r>
            <w:bookmarkStart w:id="0" w:name="_GoBack"/>
            <w:bookmarkEnd w:id="0"/>
            <w:r w:rsidR="007C6E1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264E0CCD" w14:textId="77777777" w:rsidR="00192C1C" w:rsidRDefault="00192C1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6FA64D3B" wp14:editId="59EDD248">
                  <wp:extent cx="5331460" cy="757249"/>
                  <wp:effectExtent l="0" t="0" r="254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916" cy="771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4DDA02" w14:textId="77777777" w:rsidR="007C6E17" w:rsidRDefault="007C6E17" w:rsidP="00DD5DAF">
            <w:pPr>
              <w:rPr>
                <w:rFonts w:ascii="Arial" w:hAnsi="Arial" w:cs="Arial"/>
                <w:sz w:val="24"/>
                <w:szCs w:val="24"/>
              </w:rPr>
            </w:pPr>
            <w:r w:rsidRPr="0061545E">
              <w:rPr>
                <w:rFonts w:ascii="Arial" w:hAnsi="Arial" w:cs="Arial"/>
                <w:b/>
                <w:sz w:val="24"/>
                <w:szCs w:val="24"/>
              </w:rPr>
              <w:t>Could you please provide these allowances on an annual basis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for &gt;2” Steel Services and Other Policy &amp; Condition Services</w:t>
            </w:r>
          </w:p>
          <w:p w14:paraId="14B147C9" w14:textId="77777777" w:rsidR="00773D57" w:rsidRDefault="00773D57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13A90C1F" wp14:editId="5742AD52">
                  <wp:extent cx="5331460" cy="1678707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987" cy="168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1BA150" w14:textId="77777777" w:rsidR="00773D57" w:rsidRDefault="00773D57" w:rsidP="00DD5D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087C36" w14:textId="77777777" w:rsidR="00AD681F" w:rsidRPr="00165ABE" w:rsidRDefault="00AD681F" w:rsidP="00DD5D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65ABE">
              <w:rPr>
                <w:rFonts w:ascii="Arial" w:hAnsi="Arial" w:cs="Arial"/>
                <w:b/>
                <w:sz w:val="24"/>
                <w:szCs w:val="24"/>
              </w:rPr>
              <w:t>Discrepancy between MOB allowance, can you confirm which is correct please</w:t>
            </w:r>
            <w:r w:rsidR="007C6E17">
              <w:rPr>
                <w:rFonts w:ascii="Arial" w:hAnsi="Arial" w:cs="Arial"/>
                <w:b/>
                <w:sz w:val="24"/>
                <w:szCs w:val="24"/>
              </w:rPr>
              <w:t xml:space="preserve"> and provide this on an annual basis.</w:t>
            </w:r>
          </w:p>
          <w:p w14:paraId="33921117" w14:textId="77777777" w:rsidR="00AD681F" w:rsidRPr="00876240" w:rsidRDefault="00AD681F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3FFF523" wp14:editId="7D6C0B17">
                  <wp:extent cx="5350510" cy="413174"/>
                  <wp:effectExtent l="0" t="0" r="254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5318" cy="432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71F" w:rsidRPr="00876240" w14:paraId="248709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AF22DF6" w14:textId="77777777" w:rsidR="00BE571F" w:rsidRDefault="00BE571F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Confidential: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7DA15E7" w14:textId="77777777" w:rsidR="00BE571F" w:rsidRDefault="00BE571F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773D57" w:rsidRPr="00876240" w14:paraId="66C0CD02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6B74D72D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C6FC40B" w14:textId="77777777" w:rsidR="00947682" w:rsidRDefault="00C8683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773D57" w:rsidRPr="00876240" w14:paraId="68419CC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D85BF0A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EFE9907" w14:textId="77777777" w:rsidR="00F82AB4" w:rsidRPr="00876240" w:rsidRDefault="005715FA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EC5660">
              <w:rPr>
                <w:rFonts w:ascii="Arial" w:hAnsi="Arial" w:cs="Arial"/>
                <w:sz w:val="24"/>
                <w:szCs w:val="24"/>
              </w:rPr>
              <w:t>/08/2020</w:t>
            </w:r>
          </w:p>
        </w:tc>
      </w:tr>
      <w:tr w:rsidR="00773D57" w:rsidRPr="00876240" w14:paraId="1092EEF4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8293698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2020420F" w14:textId="77777777" w:rsidR="00F24B54" w:rsidRDefault="007C6E17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EC5660">
              <w:rPr>
                <w:rFonts w:ascii="Arial" w:hAnsi="Arial" w:cs="Arial"/>
                <w:sz w:val="24"/>
                <w:szCs w:val="24"/>
              </w:rPr>
              <w:t>/08/2020</w:t>
            </w:r>
          </w:p>
        </w:tc>
      </w:tr>
      <w:tr w:rsidR="00773D57" w:rsidRPr="00876240" w14:paraId="595BB701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36A14679" w14:textId="77777777" w:rsidR="00F24B54" w:rsidRDefault="00F24B54" w:rsidP="00165AB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720ED1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6E39F99" w14:textId="1C5A6FEA" w:rsidR="00206C8C" w:rsidRDefault="00206C8C" w:rsidP="004D1AE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 workbook ‘GD2_Disag_Allow_Model_(huddle upload)’ in sheet ‘</w:t>
            </w:r>
            <w:r w:rsidRPr="00206C8C">
              <w:rPr>
                <w:rFonts w:ascii="Arial" w:hAnsi="Arial" w:cs="Arial"/>
                <w:bCs/>
              </w:rPr>
              <w:t>Out_DisagAllow_Efficient</w:t>
            </w:r>
            <w:r>
              <w:rPr>
                <w:rFonts w:ascii="Arial" w:hAnsi="Arial" w:cs="Arial"/>
                <w:bCs/>
              </w:rPr>
              <w:t xml:space="preserve">’ row </w:t>
            </w:r>
            <w:r w:rsidR="004D1AEA">
              <w:rPr>
                <w:rFonts w:ascii="Arial" w:hAnsi="Arial" w:cs="Arial"/>
                <w:bCs/>
              </w:rPr>
              <w:t>758</w:t>
            </w:r>
            <w:r>
              <w:rPr>
                <w:rFonts w:ascii="Arial" w:hAnsi="Arial" w:cs="Arial"/>
                <w:bCs/>
              </w:rPr>
              <w:t xml:space="preserve"> has tier 1 including steel &lt;=2”. The difference between th</w:t>
            </w:r>
            <w:r w:rsidR="004D1AEA">
              <w:rPr>
                <w:rFonts w:ascii="Arial" w:hAnsi="Arial" w:cs="Arial"/>
                <w:bCs/>
              </w:rPr>
              <w:t>is row and the sum of rows 752 and 753 provides</w:t>
            </w:r>
            <w:r w:rsidR="00FE204A">
              <w:rPr>
                <w:rFonts w:ascii="Arial" w:hAnsi="Arial" w:cs="Arial"/>
                <w:bCs/>
              </w:rPr>
              <w:t xml:space="preserve"> an implied allowance for</w:t>
            </w:r>
            <w:r w:rsidR="004D1AEA">
              <w:rPr>
                <w:rFonts w:ascii="Arial" w:hAnsi="Arial" w:cs="Arial"/>
                <w:bCs/>
              </w:rPr>
              <w:t xml:space="preserve"> steel &lt;=2” to</w:t>
            </w:r>
            <w:r w:rsidR="00FE204A">
              <w:rPr>
                <w:rFonts w:ascii="Arial" w:hAnsi="Arial" w:cs="Arial"/>
                <w:bCs/>
              </w:rPr>
              <w:t>t</w:t>
            </w:r>
            <w:r w:rsidR="004D1AEA">
              <w:rPr>
                <w:rFonts w:ascii="Arial" w:hAnsi="Arial" w:cs="Arial"/>
                <w:bCs/>
              </w:rPr>
              <w:t>al mains.</w:t>
            </w:r>
          </w:p>
          <w:p w14:paraId="6CF2A5C8" w14:textId="77777777" w:rsidR="009B3785" w:rsidRDefault="009B3785" w:rsidP="009B378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With reference to the discrepancy between MOBs allowance please refer to </w:t>
            </w:r>
            <w:r w:rsidRPr="009B3785">
              <w:rPr>
                <w:rFonts w:ascii="Arial" w:hAnsi="Arial" w:cs="Arial"/>
                <w:bCs/>
              </w:rPr>
              <w:t>section 3.28 in WWU DD annex and specifically “</w:t>
            </w:r>
            <w:r w:rsidRPr="009B3785">
              <w:rPr>
                <w:rFonts w:ascii="Arial" w:hAnsi="Arial" w:cs="Arial"/>
                <w:bCs/>
                <w:i/>
              </w:rPr>
              <w:t>Where we present modelled costs in the tables below, these are pre-application of benchmarking and ongoing efficiency adjustments</w:t>
            </w:r>
            <w:r>
              <w:rPr>
                <w:rFonts w:ascii="Arial" w:hAnsi="Arial" w:cs="Arial"/>
                <w:bCs/>
              </w:rPr>
              <w:t xml:space="preserve">.” </w:t>
            </w:r>
            <w:r w:rsidRPr="009B3785">
              <w:rPr>
                <w:rFonts w:ascii="Arial" w:hAnsi="Arial" w:cs="Arial"/>
                <w:bCs/>
              </w:rPr>
              <w:t>Referenced table is table 37</w:t>
            </w:r>
            <w:r>
              <w:rPr>
                <w:rFonts w:ascii="Arial" w:hAnsi="Arial" w:cs="Arial"/>
                <w:bCs/>
              </w:rPr>
              <w:t xml:space="preserve"> which includes the</w:t>
            </w:r>
            <w:r w:rsidRPr="009B3785">
              <w:rPr>
                <w:rFonts w:ascii="Arial" w:hAnsi="Arial" w:cs="Arial"/>
                <w:bCs/>
              </w:rPr>
              <w:t xml:space="preserve"> £2.7m </w:t>
            </w:r>
            <w:r>
              <w:rPr>
                <w:rFonts w:ascii="Arial" w:hAnsi="Arial" w:cs="Arial"/>
                <w:bCs/>
              </w:rPr>
              <w:t>value referenced which is</w:t>
            </w:r>
            <w:r w:rsidRPr="009B3785">
              <w:rPr>
                <w:rFonts w:ascii="Arial" w:hAnsi="Arial" w:cs="Arial"/>
                <w:bCs/>
              </w:rPr>
              <w:t xml:space="preserve"> pre benc</w:t>
            </w:r>
            <w:r>
              <w:rPr>
                <w:rFonts w:ascii="Arial" w:hAnsi="Arial" w:cs="Arial"/>
                <w:bCs/>
              </w:rPr>
              <w:t>hmarking and ongoing efficiency,</w:t>
            </w:r>
            <w:r w:rsidRPr="009B3785">
              <w:rPr>
                <w:rFonts w:ascii="Arial" w:hAnsi="Arial" w:cs="Arial"/>
                <w:bCs/>
              </w:rPr>
              <w:t xml:space="preserve"> £2.55m is post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9B3785">
              <w:rPr>
                <w:rFonts w:ascii="Arial" w:hAnsi="Arial" w:cs="Arial"/>
                <w:bCs/>
              </w:rPr>
              <w:t>benc</w:t>
            </w:r>
            <w:r>
              <w:rPr>
                <w:rFonts w:ascii="Arial" w:hAnsi="Arial" w:cs="Arial"/>
                <w:bCs/>
              </w:rPr>
              <w:t>hmarking and ongoing efficiency.</w:t>
            </w:r>
          </w:p>
          <w:p w14:paraId="6FE5AE46" w14:textId="4FBB95BF" w:rsidR="00FE204A" w:rsidRPr="00FE204A" w:rsidRDefault="00FE204A" w:rsidP="00AB58CB">
            <w:pPr>
              <w:rPr>
                <w:rFonts w:ascii="Arial" w:hAnsi="Arial" w:cs="Arial"/>
                <w:bCs/>
              </w:rPr>
            </w:pPr>
            <w:r w:rsidRPr="00F24A92">
              <w:rPr>
                <w:rFonts w:ascii="Arial" w:hAnsi="Arial" w:cs="Arial"/>
                <w:bCs/>
              </w:rPr>
              <w:t>In general, we have not sought to break out all repex categories into annual allowances at each stage of the modelling process. It should be noted that</w:t>
            </w:r>
            <w:r w:rsidR="00AB58CB" w:rsidRPr="00F24A92">
              <w:rPr>
                <w:rFonts w:ascii="Arial" w:hAnsi="Arial" w:cs="Arial"/>
                <w:bCs/>
              </w:rPr>
              <w:t xml:space="preserve"> this is indicative only because</w:t>
            </w:r>
            <w:r w:rsidRPr="00F24A92">
              <w:rPr>
                <w:rFonts w:ascii="Arial" w:hAnsi="Arial" w:cs="Arial"/>
                <w:bCs/>
              </w:rPr>
              <w:t>, other than the Tier 1 PCDs and Tier 2A,</w:t>
            </w:r>
            <w:r w:rsidR="00AB58CB" w:rsidRPr="00F24A92">
              <w:rPr>
                <w:rFonts w:ascii="Arial" w:hAnsi="Arial" w:cs="Arial"/>
                <w:bCs/>
              </w:rPr>
              <w:t xml:space="preserve"> repex</w:t>
            </w:r>
            <w:r w:rsidRPr="00F24A92">
              <w:rPr>
                <w:rFonts w:ascii="Arial" w:hAnsi="Arial" w:cs="Arial"/>
                <w:bCs/>
              </w:rPr>
              <w:t xml:space="preserve"> allowances are not defined explicitly elsewhere </w:t>
            </w:r>
            <w:r w:rsidRPr="00F24A92">
              <w:rPr>
                <w:rFonts w:ascii="Arial" w:hAnsi="Arial" w:cs="Arial"/>
              </w:rPr>
              <w:t>in the price control (ie. within the licence).</w:t>
            </w:r>
            <w:r>
              <w:rPr>
                <w:rFonts w:ascii="Arial" w:hAnsi="Arial" w:cs="Arial"/>
              </w:rPr>
              <w:t xml:space="preserve"> </w:t>
            </w:r>
            <w:r w:rsidR="00AB58CB">
              <w:rPr>
                <w:rFonts w:ascii="Arial" w:hAnsi="Arial" w:cs="Arial"/>
              </w:rPr>
            </w:r>
          </w:p>
        </w:tc>
      </w:tr>
      <w:tr w:rsidR="00773D57" w:rsidRPr="00876240" w14:paraId="44B1CE26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2E8879B5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743E66E3" w14:textId="77777777" w:rsidR="00133BD9" w:rsidRDefault="00133BD9" w:rsidP="00133BD9"/>
    <w:p w14:paraId="18FDFF90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9C08A" w14:textId="77777777" w:rsidR="00866D08" w:rsidRDefault="00866D08" w:rsidP="00526623">
      <w:pPr>
        <w:spacing w:after="0" w:line="240" w:lineRule="auto"/>
      </w:pPr>
      <w:r>
        <w:separator/>
      </w:r>
    </w:p>
  </w:endnote>
  <w:endnote w:type="continuationSeparator" w:id="0">
    <w:p w14:paraId="394C782E" w14:textId="77777777" w:rsidR="00866D08" w:rsidRDefault="00866D0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E9E8B" w14:textId="77777777" w:rsidR="00866D08" w:rsidRDefault="00866D08" w:rsidP="00526623">
      <w:pPr>
        <w:spacing w:after="0" w:line="240" w:lineRule="auto"/>
      </w:pPr>
      <w:r>
        <w:separator/>
      </w:r>
    </w:p>
  </w:footnote>
  <w:footnote w:type="continuationSeparator" w:id="0">
    <w:p w14:paraId="3BA1594D" w14:textId="77777777" w:rsidR="00866D08" w:rsidRDefault="00866D0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271F"/>
    <w:rsid w:val="00036745"/>
    <w:rsid w:val="000436C2"/>
    <w:rsid w:val="00090251"/>
    <w:rsid w:val="000C3A79"/>
    <w:rsid w:val="000D549D"/>
    <w:rsid w:val="000F1652"/>
    <w:rsid w:val="0010126C"/>
    <w:rsid w:val="00107296"/>
    <w:rsid w:val="00133BD9"/>
    <w:rsid w:val="00133CFC"/>
    <w:rsid w:val="00137DC1"/>
    <w:rsid w:val="001432CC"/>
    <w:rsid w:val="00145C9E"/>
    <w:rsid w:val="00155A03"/>
    <w:rsid w:val="00165ABE"/>
    <w:rsid w:val="00172809"/>
    <w:rsid w:val="00192C1C"/>
    <w:rsid w:val="001D5F88"/>
    <w:rsid w:val="001E129D"/>
    <w:rsid w:val="00206C8C"/>
    <w:rsid w:val="00206D5F"/>
    <w:rsid w:val="00217AEB"/>
    <w:rsid w:val="00231D67"/>
    <w:rsid w:val="00257F3E"/>
    <w:rsid w:val="002707B1"/>
    <w:rsid w:val="00285335"/>
    <w:rsid w:val="00291D51"/>
    <w:rsid w:val="002A4AD8"/>
    <w:rsid w:val="002B4955"/>
    <w:rsid w:val="002D38D8"/>
    <w:rsid w:val="002E5D6D"/>
    <w:rsid w:val="002F686E"/>
    <w:rsid w:val="003043A4"/>
    <w:rsid w:val="003148E3"/>
    <w:rsid w:val="00317DAE"/>
    <w:rsid w:val="003452B0"/>
    <w:rsid w:val="00360385"/>
    <w:rsid w:val="00363175"/>
    <w:rsid w:val="00372D1E"/>
    <w:rsid w:val="003820EF"/>
    <w:rsid w:val="003B2008"/>
    <w:rsid w:val="003B3576"/>
    <w:rsid w:val="003E53F4"/>
    <w:rsid w:val="003F22F3"/>
    <w:rsid w:val="003F562E"/>
    <w:rsid w:val="004145D1"/>
    <w:rsid w:val="004302F8"/>
    <w:rsid w:val="00471BC8"/>
    <w:rsid w:val="00494D65"/>
    <w:rsid w:val="004D1AEA"/>
    <w:rsid w:val="004F7CD6"/>
    <w:rsid w:val="00503895"/>
    <w:rsid w:val="00504295"/>
    <w:rsid w:val="00507163"/>
    <w:rsid w:val="0052432D"/>
    <w:rsid w:val="00526623"/>
    <w:rsid w:val="00526A8E"/>
    <w:rsid w:val="00534E92"/>
    <w:rsid w:val="005350E4"/>
    <w:rsid w:val="00567008"/>
    <w:rsid w:val="005715FA"/>
    <w:rsid w:val="00584F30"/>
    <w:rsid w:val="005A2440"/>
    <w:rsid w:val="005A4052"/>
    <w:rsid w:val="005A506C"/>
    <w:rsid w:val="005A74DE"/>
    <w:rsid w:val="005C3616"/>
    <w:rsid w:val="005E2894"/>
    <w:rsid w:val="0060723D"/>
    <w:rsid w:val="006122AC"/>
    <w:rsid w:val="0061545E"/>
    <w:rsid w:val="006279ED"/>
    <w:rsid w:val="00644BB9"/>
    <w:rsid w:val="006847DA"/>
    <w:rsid w:val="006B18F6"/>
    <w:rsid w:val="00712089"/>
    <w:rsid w:val="00716508"/>
    <w:rsid w:val="00720ED1"/>
    <w:rsid w:val="007400B7"/>
    <w:rsid w:val="00753976"/>
    <w:rsid w:val="007649AC"/>
    <w:rsid w:val="00773D57"/>
    <w:rsid w:val="00796C90"/>
    <w:rsid w:val="007974DA"/>
    <w:rsid w:val="007A6FF6"/>
    <w:rsid w:val="007B29A9"/>
    <w:rsid w:val="007B4F5B"/>
    <w:rsid w:val="007C6E17"/>
    <w:rsid w:val="007D4D1D"/>
    <w:rsid w:val="007D7648"/>
    <w:rsid w:val="007E53E6"/>
    <w:rsid w:val="007F44B6"/>
    <w:rsid w:val="008170C7"/>
    <w:rsid w:val="00843271"/>
    <w:rsid w:val="0085400C"/>
    <w:rsid w:val="00866D08"/>
    <w:rsid w:val="0087352D"/>
    <w:rsid w:val="00882EEE"/>
    <w:rsid w:val="0089547E"/>
    <w:rsid w:val="008A37EF"/>
    <w:rsid w:val="008A6B81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970C4A"/>
    <w:rsid w:val="0099709A"/>
    <w:rsid w:val="009B3785"/>
    <w:rsid w:val="00A054D1"/>
    <w:rsid w:val="00A0584E"/>
    <w:rsid w:val="00A06191"/>
    <w:rsid w:val="00A21D26"/>
    <w:rsid w:val="00A27E92"/>
    <w:rsid w:val="00A55735"/>
    <w:rsid w:val="00A71151"/>
    <w:rsid w:val="00A904E1"/>
    <w:rsid w:val="00A922CF"/>
    <w:rsid w:val="00AB58CB"/>
    <w:rsid w:val="00AC6418"/>
    <w:rsid w:val="00AD681F"/>
    <w:rsid w:val="00B82400"/>
    <w:rsid w:val="00B86DDF"/>
    <w:rsid w:val="00BA4154"/>
    <w:rsid w:val="00BB682C"/>
    <w:rsid w:val="00BE571F"/>
    <w:rsid w:val="00C54F3C"/>
    <w:rsid w:val="00C57345"/>
    <w:rsid w:val="00C657A4"/>
    <w:rsid w:val="00C814D0"/>
    <w:rsid w:val="00C86833"/>
    <w:rsid w:val="00C919C3"/>
    <w:rsid w:val="00CA4297"/>
    <w:rsid w:val="00CC7214"/>
    <w:rsid w:val="00CE2E6D"/>
    <w:rsid w:val="00CE4B79"/>
    <w:rsid w:val="00CF22EF"/>
    <w:rsid w:val="00D471FC"/>
    <w:rsid w:val="00D50036"/>
    <w:rsid w:val="00DD5DAF"/>
    <w:rsid w:val="00E040EA"/>
    <w:rsid w:val="00E0721B"/>
    <w:rsid w:val="00E35902"/>
    <w:rsid w:val="00E525E0"/>
    <w:rsid w:val="00E60E79"/>
    <w:rsid w:val="00E96CFF"/>
    <w:rsid w:val="00EB179A"/>
    <w:rsid w:val="00EB2613"/>
    <w:rsid w:val="00EC5660"/>
    <w:rsid w:val="00F00954"/>
    <w:rsid w:val="00F129C1"/>
    <w:rsid w:val="00F23B18"/>
    <w:rsid w:val="00F24A92"/>
    <w:rsid w:val="00F24B54"/>
    <w:rsid w:val="00F5621B"/>
    <w:rsid w:val="00F678C1"/>
    <w:rsid w:val="00F82AB4"/>
    <w:rsid w:val="00FB0EC9"/>
    <w:rsid w:val="00FD22F1"/>
    <w:rsid w:val="00FE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6BB7188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36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361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3616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6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616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3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2020-08-19T16:19:56+00:00</Publication_x0020_Date_x003a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A8900-2E3F-462A-9F3F-A81538579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898A78-250E-4BFE-B399-F8F12BFB238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631298fc-6a88-4548-b7d9-3b164918c4a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/field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3FA7923-85FD-4FD1-ACCD-7BBA453AA9B2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5685F88A-C06C-4F4C-81B5-E4E911899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2</cp:revision>
  <dcterms:created xsi:type="dcterms:W3CDTF">2020-09-01T14:12:00Z</dcterms:created>
  <dcterms:modified xsi:type="dcterms:W3CDTF">2020-09-01T14:12:00Z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