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423F5FEE"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084162">
              <w:rPr>
                <w:rFonts w:asciiTheme="minorHAnsi" w:hAnsiTheme="minorHAnsi" w:cs="Arial"/>
                <w:sz w:val="22"/>
              </w:rPr>
              <w:t>0</w:t>
            </w:r>
            <w:r w:rsidR="007E4B38">
              <w:rPr>
                <w:rFonts w:asciiTheme="minorHAnsi" w:hAnsiTheme="minorHAnsi" w:cs="Arial"/>
                <w:sz w:val="22"/>
              </w:rPr>
              <w:t>5</w:t>
            </w:r>
            <w:r w:rsidR="00683F48">
              <w:rPr>
                <w:rFonts w:asciiTheme="minorHAnsi" w:hAnsiTheme="minorHAnsi" w:cs="Arial"/>
                <w:sz w:val="22"/>
              </w:rPr>
              <w:t xml:space="preserve"> (</w:t>
            </w:r>
            <w:r w:rsidR="00084162">
              <w:rPr>
                <w:rFonts w:asciiTheme="minorHAnsi" w:hAnsiTheme="minorHAnsi" w:cs="Arial"/>
                <w:sz w:val="22"/>
              </w:rPr>
              <w:t>Medium</w:t>
            </w:r>
            <w:r w:rsidR="00683F48">
              <w:rPr>
                <w:rFonts w:asciiTheme="minorHAnsi" w:hAnsiTheme="minorHAnsi" w:cs="Arial"/>
                <w:sz w:val="22"/>
              </w:rPr>
              <w:t xml:space="preserve">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347339B7" w:rsidR="00A06191" w:rsidRPr="0037140B" w:rsidRDefault="00084162" w:rsidP="0037140B">
            <w:pPr>
              <w:rPr>
                <w:rFonts w:asciiTheme="minorHAnsi" w:hAnsiTheme="minorHAnsi" w:cs="Arial"/>
                <w:sz w:val="22"/>
              </w:rPr>
            </w:pPr>
            <w:r>
              <w:rPr>
                <w:rFonts w:asciiTheme="minorHAnsi" w:hAnsiTheme="minorHAnsi" w:cs="Arial"/>
                <w:sz w:val="22"/>
              </w:rPr>
              <w:t xml:space="preserve">Repex – Tier 1 Mains Replacement PCD (Scotland </w:t>
            </w:r>
            <w:r w:rsidR="003B7E55">
              <w:rPr>
                <w:rFonts w:asciiTheme="minorHAnsi" w:hAnsiTheme="minorHAnsi" w:cs="Arial"/>
                <w:sz w:val="22"/>
              </w:rPr>
              <w:t>&amp; southern)</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126C71A5" w:rsidR="00A0584E" w:rsidRPr="0037140B" w:rsidRDefault="00904FB4" w:rsidP="003B7E55">
            <w:pPr>
              <w:rPr>
                <w:rFonts w:asciiTheme="minorHAnsi" w:hAnsiTheme="minorHAnsi" w:cs="Arial"/>
                <w:sz w:val="22"/>
              </w:rPr>
            </w:pPr>
            <w:r>
              <w:rPr>
                <w:rFonts w:asciiTheme="minorHAnsi" w:hAnsiTheme="minorHAnsi" w:cs="Arial"/>
                <w:sz w:val="22"/>
              </w:rPr>
              <w:t xml:space="preserve">Relating to </w:t>
            </w:r>
            <w:r w:rsidR="003B7E55" w:rsidRPr="003B7E55">
              <w:rPr>
                <w:rFonts w:asciiTheme="minorHAnsi" w:hAnsiTheme="minorHAnsi" w:cs="Arial"/>
                <w:sz w:val="22"/>
              </w:rPr>
              <w:t>draft_determinations_-_sgn_annex.pdf</w:t>
            </w:r>
            <w:r w:rsidR="003B7E55">
              <w:rPr>
                <w:rFonts w:asciiTheme="minorHAnsi" w:hAnsiTheme="minorHAnsi" w:cs="Arial"/>
                <w:sz w:val="22"/>
              </w:rPr>
              <w:t xml:space="preserve"> </w:t>
            </w:r>
            <w:r w:rsidR="003B7E55" w:rsidRPr="003B7E55">
              <w:rPr>
                <w:rFonts w:asciiTheme="minorHAnsi" w:hAnsiTheme="minorHAnsi" w:cs="Arial"/>
                <w:sz w:val="22"/>
              </w:rPr>
              <w:t>Table 12 - pg14</w:t>
            </w:r>
            <w:r w:rsidR="003B7E55">
              <w:rPr>
                <w:rFonts w:asciiTheme="minorHAnsi" w:hAnsiTheme="minorHAnsi" w:cs="Arial"/>
                <w:sz w:val="22"/>
              </w:rPr>
              <w:t xml:space="preserve"> </w:t>
            </w:r>
            <w:r w:rsidR="003B7E55" w:rsidRPr="003B7E55">
              <w:rPr>
                <w:rFonts w:asciiTheme="minorHAnsi" w:hAnsiTheme="minorHAnsi" w:cs="Arial"/>
                <w:sz w:val="22"/>
              </w:rPr>
              <w:t>&amp; Table 13 - pg15</w:t>
            </w:r>
            <w:r w:rsidR="003B7E55">
              <w:rPr>
                <w:rFonts w:asciiTheme="minorHAnsi" w:hAnsiTheme="minorHAnsi" w:cs="Arial"/>
                <w:sz w:val="22"/>
              </w:rPr>
              <w:t>.</w:t>
            </w:r>
          </w:p>
          <w:p w14:paraId="07B80A17" w14:textId="77777777" w:rsidR="007E4B38" w:rsidRDefault="003B7E55" w:rsidP="00371F0D">
            <w:pPr>
              <w:rPr>
                <w:rFonts w:asciiTheme="minorHAnsi" w:hAnsiTheme="minorHAnsi" w:cs="Arial"/>
                <w:sz w:val="22"/>
              </w:rPr>
            </w:pPr>
            <w:r w:rsidRPr="003B7E55">
              <w:rPr>
                <w:rFonts w:asciiTheme="minorHAnsi" w:hAnsiTheme="minorHAnsi" w:cs="Arial"/>
                <w:sz w:val="22"/>
              </w:rPr>
              <w:t>Please can you confirm whether the decommissioning lengths shown in the PCD sheet include T1 iron diversions from sheet 4.05 (of the BPDT) and T1 iron capitalised replacement from sheet 4.06 (of the BPDT)?</w:t>
            </w:r>
          </w:p>
          <w:p w14:paraId="373E21D8" w14:textId="655086A1" w:rsidR="003B7E55" w:rsidRPr="0037140B" w:rsidRDefault="003B7E55" w:rsidP="00371F0D">
            <w:pPr>
              <w:rPr>
                <w:rFonts w:asciiTheme="minorHAnsi" w:hAnsiTheme="minorHAnsi" w:cs="Arial"/>
                <w:sz w:val="22"/>
              </w:rPr>
            </w:pPr>
            <w:r>
              <w:rPr>
                <w:rFonts w:asciiTheme="minorHAnsi" w:hAnsiTheme="minorHAnsi" w:cs="Arial"/>
                <w:sz w:val="22"/>
              </w:rPr>
              <w:t>A l</w:t>
            </w:r>
            <w:r w:rsidRPr="003B7E55">
              <w:rPr>
                <w:rFonts w:asciiTheme="minorHAnsi" w:hAnsiTheme="minorHAnsi" w:cs="Arial"/>
                <w:sz w:val="22"/>
              </w:rPr>
              <w:t>ack of clarity may lead to incorrect assessment of the appropriateness of the unit costs and incorrect assessment of risk associated the PCD.</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3CF9B2B1" w14:textId="77777777" w:rsidR="00DC1CB8" w:rsidRDefault="001666DC" w:rsidP="00F24B54">
            <w:pPr>
              <w:rPr>
                <w:rFonts w:asciiTheme="minorHAnsi" w:hAnsiTheme="minorHAnsi" w:cs="Arial"/>
                <w:b/>
                <w:bCs/>
                <w:sz w:val="22"/>
              </w:rPr>
            </w:pPr>
            <w:proofErr w:type="spellStart"/>
            <w:r>
              <w:rPr>
                <w:rFonts w:asciiTheme="minorHAnsi" w:hAnsiTheme="minorHAnsi" w:cs="Arial"/>
                <w:b/>
                <w:bCs/>
                <w:sz w:val="22"/>
              </w:rPr>
              <w:t>Ofgem</w:t>
            </w:r>
            <w:proofErr w:type="spellEnd"/>
            <w:r>
              <w:rPr>
                <w:rFonts w:asciiTheme="minorHAnsi" w:hAnsiTheme="minorHAnsi" w:cs="Arial"/>
                <w:b/>
                <w:bCs/>
                <w:sz w:val="22"/>
              </w:rPr>
              <w:t xml:space="preserve"> Response:</w:t>
            </w:r>
          </w:p>
          <w:p w14:paraId="373E21EF" w14:textId="5C7A1203" w:rsidR="00F24B54" w:rsidRPr="00DC1CB8" w:rsidRDefault="00DC1CB8" w:rsidP="00F24B54">
            <w:r>
              <w:t>The decommissioning workloads shown in these tables do not include workloads related to diversions (4.05) or capitalised replacement</w:t>
            </w:r>
            <w:r>
              <w:t xml:space="preserve"> (4.</w:t>
            </w:r>
            <w:bookmarkStart w:id="0" w:name="_GoBack"/>
            <w:bookmarkEnd w:id="0"/>
            <w:r>
              <w:t>06).</w:t>
            </w:r>
            <w:r w:rsidR="001666DC">
              <w:rPr>
                <w:rFonts w:asciiTheme="minorHAnsi" w:hAnsiTheme="minorHAnsi" w:cs="Arial"/>
                <w:b/>
                <w:bCs/>
                <w:sz w:val="22"/>
              </w:rPr>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666DC"/>
    <w:rsid w:val="00172809"/>
    <w:rsid w:val="001D5F88"/>
    <w:rsid w:val="001E129D"/>
    <w:rsid w:val="00206D5F"/>
    <w:rsid w:val="00231D67"/>
    <w:rsid w:val="00257F3E"/>
    <w:rsid w:val="002707B1"/>
    <w:rsid w:val="00291D51"/>
    <w:rsid w:val="002A4AD8"/>
    <w:rsid w:val="002B4955"/>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3F48"/>
    <w:rsid w:val="006847DA"/>
    <w:rsid w:val="006B18F6"/>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9547E"/>
    <w:rsid w:val="008A37EF"/>
    <w:rsid w:val="008B3636"/>
    <w:rsid w:val="008C5A35"/>
    <w:rsid w:val="008E744C"/>
    <w:rsid w:val="00904FB4"/>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43B6A"/>
    <w:rsid w:val="00A71151"/>
    <w:rsid w:val="00A922CF"/>
    <w:rsid w:val="00AB2E81"/>
    <w:rsid w:val="00AB6C07"/>
    <w:rsid w:val="00AC6418"/>
    <w:rsid w:val="00AC7911"/>
    <w:rsid w:val="00B82400"/>
    <w:rsid w:val="00B86DDF"/>
    <w:rsid w:val="00BA4154"/>
    <w:rsid w:val="00BB682C"/>
    <w:rsid w:val="00C4177C"/>
    <w:rsid w:val="00C57345"/>
    <w:rsid w:val="00C657A4"/>
    <w:rsid w:val="00C814D0"/>
    <w:rsid w:val="00C919C3"/>
    <w:rsid w:val="00CA4297"/>
    <w:rsid w:val="00CC7214"/>
    <w:rsid w:val="00CE4B79"/>
    <w:rsid w:val="00CF22EF"/>
    <w:rsid w:val="00D50036"/>
    <w:rsid w:val="00D766F0"/>
    <w:rsid w:val="00DC1CB8"/>
    <w:rsid w:val="00E040EA"/>
    <w:rsid w:val="00E525E0"/>
    <w:rsid w:val="00E60E79"/>
    <w:rsid w:val="00EB179A"/>
    <w:rsid w:val="00EB2613"/>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dcmitype/"/>
    <ds:schemaRef ds:uri="http://purl.org/dc/terms/"/>
    <ds:schemaRef ds:uri="http://schemas.microsoft.com/office/2006/metadata/properties"/>
    <ds:schemaRef ds:uri="http://schemas.microsoft.com/office/infopath/2007/PartnerControls"/>
    <ds:schemaRef ds:uri="631298fc-6a88-4548-b7d9-3b164918c4a3"/>
    <ds:schemaRef ds:uri="http://purl.org/dc/elements/1.1/"/>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3.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01B3AFDA-3208-41C6-B3A4-B5E69E9273A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3</cp:revision>
  <dcterms:created xsi:type="dcterms:W3CDTF">2020-07-24T17:10:00Z</dcterms:created>
  <dcterms:modified xsi:type="dcterms:W3CDTF">2020-07-24T17:10:00Z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