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5D3128AB" w:rsidR="0086307F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86307F">
              <w:rPr>
                <w:rFonts w:ascii="Arial" w:hAnsi="Arial" w:cs="Arial"/>
                <w:sz w:val="24"/>
                <w:szCs w:val="24"/>
              </w:rPr>
              <w:t>57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15A17EA5" w:rsidR="00A06191" w:rsidRPr="00876240" w:rsidRDefault="00533ED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F512655" w:rsidR="00533ED8" w:rsidRPr="00876240" w:rsidRDefault="00533ED8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Synthetic costs and totex regression model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66C45849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466224D" w14:textId="6010987F" w:rsidR="00533ED8" w:rsidRDefault="00533ED8" w:rsidP="00533E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With regard to repex workload adjustments could you please explain</w:t>
            </w:r>
            <w:r w:rsidR="007D32E5">
              <w:rPr>
                <w:rFonts w:ascii="Arial" w:hAnsi="Arial" w:cs="Arial"/>
                <w:sz w:val="24"/>
                <w:szCs w:val="24"/>
              </w:rPr>
              <w:t xml:space="preserve"> for our networks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E17FFB2" w14:textId="77777777" w:rsidR="00533ED8" w:rsidRDefault="00533ED8" w:rsidP="00533ED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How you have adjusted totex (both modelled and allowed totex) for the repex workload adjustments you have made – specifically, could you explain the calculations for the adjustments you have made with reference to unit costs and workload</w:t>
            </w:r>
            <w:r w:rsidR="00E2141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79818C2" w14:textId="77777777" w:rsidR="00E2141E" w:rsidRDefault="00E2141E" w:rsidP="00E2141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5FCC671C" w14:textId="77777777" w:rsidR="002B4C2D" w:rsidRDefault="00533ED8" w:rsidP="00533ED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the repex </w:t>
            </w:r>
            <w:r w:rsidR="00E2141E">
              <w:rPr>
                <w:rFonts w:ascii="Arial" w:hAnsi="Arial" w:cs="Arial"/>
                <w:sz w:val="24"/>
                <w:szCs w:val="24"/>
              </w:rPr>
              <w:t xml:space="preserve">mains and services </w:t>
            </w:r>
            <w:r>
              <w:rPr>
                <w:rFonts w:ascii="Arial" w:hAnsi="Arial" w:cs="Arial"/>
                <w:sz w:val="24"/>
                <w:szCs w:val="24"/>
              </w:rPr>
              <w:t xml:space="preserve">workloads used in the repex synthetic </w:t>
            </w:r>
            <w:r w:rsidR="00E2141E">
              <w:rPr>
                <w:rFonts w:ascii="Arial" w:hAnsi="Arial" w:cs="Arial"/>
                <w:sz w:val="24"/>
                <w:szCs w:val="24"/>
              </w:rPr>
              <w:t xml:space="preserve">costs reconcile to the </w:t>
            </w:r>
            <w:r w:rsidR="00F55AE5">
              <w:rPr>
                <w:rFonts w:ascii="Arial" w:hAnsi="Arial" w:cs="Arial"/>
                <w:sz w:val="24"/>
                <w:szCs w:val="24"/>
              </w:rPr>
              <w:t>numbers</w:t>
            </w:r>
            <w:r w:rsidR="00E2141E">
              <w:rPr>
                <w:rFonts w:ascii="Arial" w:hAnsi="Arial" w:cs="Arial"/>
                <w:sz w:val="24"/>
                <w:szCs w:val="24"/>
              </w:rPr>
              <w:t xml:space="preserve"> you report in tables 33-38 of the Cadent Annex as we are unable to reconcile all of the numbers</w:t>
            </w:r>
            <w:r w:rsidR="002B4C2D">
              <w:rPr>
                <w:rFonts w:ascii="Arial" w:hAnsi="Arial" w:cs="Arial"/>
                <w:sz w:val="24"/>
                <w:szCs w:val="24"/>
              </w:rPr>
              <w:t xml:space="preserve"> in those tables</w:t>
            </w:r>
            <w:r w:rsidR="00E2141E">
              <w:rPr>
                <w:rFonts w:ascii="Arial" w:hAnsi="Arial" w:cs="Arial"/>
                <w:sz w:val="24"/>
                <w:szCs w:val="24"/>
              </w:rPr>
              <w:t xml:space="preserve"> to the workloads used to calculate the synthetic costs.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4C2D">
              <w:rPr>
                <w:rFonts w:ascii="Arial" w:hAnsi="Arial" w:cs="Arial"/>
                <w:sz w:val="24"/>
                <w:szCs w:val="24"/>
              </w:rPr>
              <w:t>For example, for tier 1 mains in EoE:</w:t>
            </w:r>
          </w:p>
          <w:p w14:paraId="7320C225" w14:textId="77777777" w:rsidR="002B4C2D" w:rsidRPr="002B4C2D" w:rsidRDefault="002B4C2D" w:rsidP="002B4C2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101FCEA" w14:textId="00F858DB" w:rsidR="002B4C2D" w:rsidRDefault="002B4C2D" w:rsidP="002B4C2D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synthetic cost sheet shows submitted and adjusted lengths as 2,834 km and 2,790 km respectively (which are neither commissioned or decommissioned workloads); whereas</w:t>
            </w:r>
          </w:p>
          <w:p w14:paraId="369B08E1" w14:textId="77777777" w:rsidR="002B4C2D" w:rsidRDefault="002B4C2D" w:rsidP="002B4C2D">
            <w:pPr>
              <w:pStyle w:val="ListParagraph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14:paraId="1A8E1422" w14:textId="6065A5EB" w:rsidR="00533ED8" w:rsidRPr="00533ED8" w:rsidRDefault="002B4C2D" w:rsidP="002B4C2D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33 reports these values as 2,809km and 2,765km. </w:t>
            </w:r>
          </w:p>
          <w:p w14:paraId="373E21D8" w14:textId="7BF1B03A" w:rsidR="007D32E5" w:rsidRPr="007D32E5" w:rsidRDefault="007D32E5" w:rsidP="002B4C2D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74B077C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719F9922" w:rsidR="00A06191" w:rsidRPr="00876240" w:rsidRDefault="002B4C2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July 2020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52A8673C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218D3A52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70AABCB7" w14:textId="2E50D13E" w:rsidR="003D7768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7091CD2B" w14:textId="77777777" w:rsidR="003D7768" w:rsidRDefault="003D7768" w:rsidP="002707B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3D7768">
              <w:rPr>
                <w:rFonts w:ascii="Arial" w:hAnsi="Arial" w:cs="Arial"/>
                <w:i/>
                <w:sz w:val="24"/>
                <w:szCs w:val="24"/>
              </w:rPr>
              <w:t>How you have adjusted totex (both modelled and allowed totex) for the repex workload adjustments you have made – specifically, could you explain the calculations for the adjustments you have made with reference to unit costs and workload.</w:t>
            </w:r>
          </w:p>
          <w:p w14:paraId="450571F1" w14:textId="24F6DD7E" w:rsidR="003D7768" w:rsidRDefault="003D7768" w:rsidP="004251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refer to ‘</w:t>
            </w:r>
            <w:r w:rsidRPr="003D7768">
              <w:rPr>
                <w:rFonts w:ascii="Arial" w:hAnsi="Arial" w:cs="Arial"/>
                <w:sz w:val="24"/>
                <w:szCs w:val="24"/>
              </w:rPr>
              <w:t>[7] CostAssessment</w:t>
            </w:r>
            <w:r>
              <w:rPr>
                <w:rFonts w:ascii="Arial" w:hAnsi="Arial" w:cs="Arial"/>
                <w:sz w:val="24"/>
                <w:szCs w:val="24"/>
              </w:rPr>
              <w:t>’ shared model. When comparing the values between sheets ‘</w:t>
            </w:r>
            <w:r w:rsidRPr="003D7768">
              <w:rPr>
                <w:rFonts w:ascii="Arial" w:hAnsi="Arial" w:cs="Arial"/>
                <w:sz w:val="24"/>
                <w:szCs w:val="24"/>
              </w:rPr>
              <w:t>Cal_ModelledCosts</w:t>
            </w:r>
            <w:r>
              <w:rPr>
                <w:rFonts w:ascii="Arial" w:hAnsi="Arial" w:cs="Arial"/>
                <w:sz w:val="24"/>
                <w:szCs w:val="24"/>
              </w:rPr>
              <w:t>’</w:t>
            </w:r>
            <w:r w:rsidRPr="003D7768">
              <w:rPr>
                <w:rFonts w:ascii="Arial" w:hAnsi="Arial" w:cs="Arial"/>
                <w:sz w:val="24"/>
                <w:szCs w:val="24"/>
              </w:rPr>
              <w:t xml:space="preserve"> and </w:t>
            </w:r>
            <w:r>
              <w:rPr>
                <w:rFonts w:ascii="Arial" w:hAnsi="Arial" w:cs="Arial"/>
                <w:sz w:val="24"/>
                <w:szCs w:val="24"/>
              </w:rPr>
              <w:t>‘</w:t>
            </w:r>
            <w:r w:rsidRPr="003D7768">
              <w:rPr>
                <w:rFonts w:ascii="Arial" w:hAnsi="Arial" w:cs="Arial"/>
                <w:sz w:val="24"/>
                <w:szCs w:val="24"/>
              </w:rPr>
              <w:t>Cal_ModelledCostsAdj</w:t>
            </w:r>
            <w:r>
              <w:rPr>
                <w:rFonts w:ascii="Arial" w:hAnsi="Arial" w:cs="Arial"/>
                <w:sz w:val="24"/>
                <w:szCs w:val="24"/>
              </w:rPr>
              <w:t xml:space="preserve">’ you will be able to see the difference due to CSV </w:t>
            </w:r>
            <w:r w:rsidR="004251CD">
              <w:rPr>
                <w:rFonts w:ascii="Arial" w:hAnsi="Arial" w:cs="Arial"/>
                <w:sz w:val="24"/>
                <w:szCs w:val="24"/>
              </w:rPr>
              <w:t>adjustments. Additionally, from shared model ‘</w:t>
            </w:r>
            <w:r w:rsidR="004251CD" w:rsidRPr="004251CD">
              <w:rPr>
                <w:rFonts w:ascii="Arial" w:hAnsi="Arial" w:cs="Arial"/>
                <w:sz w:val="24"/>
                <w:szCs w:val="24"/>
              </w:rPr>
              <w:t>[9] Allowances</w:t>
            </w:r>
            <w:r w:rsidR="004251CD">
              <w:rPr>
                <w:rFonts w:ascii="Arial" w:hAnsi="Arial" w:cs="Arial"/>
                <w:sz w:val="24"/>
                <w:szCs w:val="24"/>
              </w:rPr>
              <w:t>’ you will be able to see how the totex allowance was disaggregated.</w:t>
            </w:r>
            <w:r w:rsidR="00D33A0C">
              <w:rPr>
                <w:rFonts w:ascii="Arial" w:hAnsi="Arial" w:cs="Arial"/>
                <w:sz w:val="24"/>
                <w:szCs w:val="24"/>
              </w:rPr>
              <w:t xml:space="preserve"> Please also refer to the slides for the CAWG working on 13 Aug, which outline our approach to disaggregating repex activity costs. </w:t>
            </w:r>
            <w:bookmarkStart w:id="0" w:name="_GoBack"/>
            <w:bookmarkEnd w:id="0"/>
          </w:p>
          <w:p w14:paraId="35CA156A" w14:textId="77777777" w:rsidR="001E7BC8" w:rsidRPr="001E7BC8" w:rsidRDefault="001E7BC8" w:rsidP="001E7BC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1E7BC8">
              <w:rPr>
                <w:rFonts w:ascii="Arial" w:hAnsi="Arial" w:cs="Arial"/>
                <w:i/>
                <w:sz w:val="24"/>
                <w:szCs w:val="24"/>
              </w:rPr>
              <w:t>How the repex mains and services workloads used in the repex synthetic costs reconcile to the numbers you report in tables 33-38 of the Cadent Annex as we are unable to reconcile all of the numbers in those tables to the workloads used to calculate the synthetic costs.  For example, for tier 1 mains in EoE:</w:t>
            </w:r>
          </w:p>
          <w:p w14:paraId="24A45628" w14:textId="77777777" w:rsidR="001E7BC8" w:rsidRPr="001E7BC8" w:rsidRDefault="001E7BC8" w:rsidP="001E7BC8">
            <w:pPr>
              <w:pStyle w:val="ListParagraph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4F89FD6B" w14:textId="77777777" w:rsidR="001E7BC8" w:rsidRPr="001E7BC8" w:rsidRDefault="001E7BC8" w:rsidP="001E7BC8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1E7BC8">
              <w:rPr>
                <w:rFonts w:ascii="Arial" w:hAnsi="Arial" w:cs="Arial"/>
                <w:i/>
                <w:sz w:val="24"/>
                <w:szCs w:val="24"/>
              </w:rPr>
              <w:t>the synthetic cost sheet shows submitted and adjusted lengths as 2,834 km and 2,790 km respectively (which are neither commissioned or decommissioned workloads); whereas</w:t>
            </w:r>
          </w:p>
          <w:p w14:paraId="7BCBD73F" w14:textId="77777777" w:rsidR="001E7BC8" w:rsidRPr="001E7BC8" w:rsidRDefault="001E7BC8" w:rsidP="001E7BC8">
            <w:pPr>
              <w:pStyle w:val="ListParagraph"/>
              <w:ind w:left="1440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60D82DF" w14:textId="77777777" w:rsidR="001E7BC8" w:rsidRPr="001E7BC8" w:rsidRDefault="001E7BC8" w:rsidP="001E7BC8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i/>
                <w:sz w:val="24"/>
                <w:szCs w:val="24"/>
              </w:rPr>
            </w:pPr>
            <w:r w:rsidRPr="001E7BC8">
              <w:rPr>
                <w:rFonts w:ascii="Arial" w:hAnsi="Arial" w:cs="Arial"/>
                <w:i/>
                <w:sz w:val="24"/>
                <w:szCs w:val="24"/>
              </w:rPr>
              <w:t xml:space="preserve">table 33 reports these values as 2,809km and 2,765km. </w:t>
            </w:r>
          </w:p>
          <w:p w14:paraId="373E21EF" w14:textId="54B0B011" w:rsidR="004251CD" w:rsidRPr="003D7768" w:rsidRDefault="00255C3C" w:rsidP="004251C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Thank you for pointing this out. We can confirm that this is due to the Tier 1&gt;250mm category not been included in the Synthetic Costs calculations at Draft Determinations. We will revise the model accordingly ahead of Final Determinations.</w:t>
            </w: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7777777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F48DD" w14:textId="77777777" w:rsidR="00C329BE" w:rsidRDefault="00C329BE" w:rsidP="00526623">
      <w:pPr>
        <w:spacing w:after="0" w:line="240" w:lineRule="auto"/>
      </w:pPr>
      <w:r>
        <w:separator/>
      </w:r>
    </w:p>
  </w:endnote>
  <w:endnote w:type="continuationSeparator" w:id="0">
    <w:p w14:paraId="0ABF5D7C" w14:textId="77777777" w:rsidR="00C329BE" w:rsidRDefault="00C329B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56706" w14:textId="77777777" w:rsidR="00D33A0C" w:rsidRDefault="00D33A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B1BBE" w14:textId="77777777" w:rsidR="00D33A0C" w:rsidRDefault="00D33A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93011" w14:textId="77777777" w:rsidR="00D33A0C" w:rsidRDefault="00D33A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976E3" w14:textId="77777777" w:rsidR="00C329BE" w:rsidRDefault="00C329BE" w:rsidP="00526623">
      <w:pPr>
        <w:spacing w:after="0" w:line="240" w:lineRule="auto"/>
      </w:pPr>
      <w:r>
        <w:separator/>
      </w:r>
    </w:p>
  </w:footnote>
  <w:footnote w:type="continuationSeparator" w:id="0">
    <w:p w14:paraId="2BF2ACCA" w14:textId="77777777" w:rsidR="00C329BE" w:rsidRDefault="00C329BE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28D6D" w14:textId="77777777" w:rsidR="00D33A0C" w:rsidRDefault="00D33A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FB75F" w14:textId="77777777" w:rsidR="00D33A0C" w:rsidRDefault="00D33A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FB90F" w14:textId="77777777" w:rsidR="00D33A0C" w:rsidRDefault="00D33A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D1AEC"/>
    <w:multiLevelType w:val="hybridMultilevel"/>
    <w:tmpl w:val="04A20B1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A63E95"/>
    <w:multiLevelType w:val="hybridMultilevel"/>
    <w:tmpl w:val="1EF4F03E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B6CCD"/>
    <w:multiLevelType w:val="hybridMultilevel"/>
    <w:tmpl w:val="64EC0C18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C0E30"/>
    <w:multiLevelType w:val="hybridMultilevel"/>
    <w:tmpl w:val="D8863706"/>
    <w:lvl w:ilvl="0" w:tplc="35AC957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50323"/>
    <w:rsid w:val="00172809"/>
    <w:rsid w:val="001E7BC8"/>
    <w:rsid w:val="00206D5F"/>
    <w:rsid w:val="00231ABC"/>
    <w:rsid w:val="00255C3C"/>
    <w:rsid w:val="002707B1"/>
    <w:rsid w:val="00291D51"/>
    <w:rsid w:val="00293724"/>
    <w:rsid w:val="002A4AD8"/>
    <w:rsid w:val="002B4955"/>
    <w:rsid w:val="002B4C2D"/>
    <w:rsid w:val="002E3EFB"/>
    <w:rsid w:val="003043A4"/>
    <w:rsid w:val="00342E6F"/>
    <w:rsid w:val="003452B0"/>
    <w:rsid w:val="00353EF3"/>
    <w:rsid w:val="00360385"/>
    <w:rsid w:val="00385085"/>
    <w:rsid w:val="003B3576"/>
    <w:rsid w:val="003D7768"/>
    <w:rsid w:val="00400822"/>
    <w:rsid w:val="004160B3"/>
    <w:rsid w:val="004251CD"/>
    <w:rsid w:val="004C4D2B"/>
    <w:rsid w:val="00503895"/>
    <w:rsid w:val="00526623"/>
    <w:rsid w:val="00526A8E"/>
    <w:rsid w:val="00533ED8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6D2E45"/>
    <w:rsid w:val="00716508"/>
    <w:rsid w:val="00720336"/>
    <w:rsid w:val="007400B7"/>
    <w:rsid w:val="00753976"/>
    <w:rsid w:val="007649AC"/>
    <w:rsid w:val="00772D1E"/>
    <w:rsid w:val="007974DA"/>
    <w:rsid w:val="007B29A9"/>
    <w:rsid w:val="007C2E37"/>
    <w:rsid w:val="007D32E5"/>
    <w:rsid w:val="007D7648"/>
    <w:rsid w:val="008170C7"/>
    <w:rsid w:val="00845396"/>
    <w:rsid w:val="00846349"/>
    <w:rsid w:val="0085400C"/>
    <w:rsid w:val="0086307F"/>
    <w:rsid w:val="008A5062"/>
    <w:rsid w:val="008B3636"/>
    <w:rsid w:val="008B7043"/>
    <w:rsid w:val="008C5A35"/>
    <w:rsid w:val="00923B62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329BE"/>
    <w:rsid w:val="00C57345"/>
    <w:rsid w:val="00C814D0"/>
    <w:rsid w:val="00CA4297"/>
    <w:rsid w:val="00CC7214"/>
    <w:rsid w:val="00CF22EF"/>
    <w:rsid w:val="00D1736D"/>
    <w:rsid w:val="00D33A0C"/>
    <w:rsid w:val="00D50036"/>
    <w:rsid w:val="00D53135"/>
    <w:rsid w:val="00D81399"/>
    <w:rsid w:val="00DA4D94"/>
    <w:rsid w:val="00E040EA"/>
    <w:rsid w:val="00E2141E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55AE5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3B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B6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B62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B62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EBB6F5-85E2-4997-93C1-54C414C0717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27DA55D-B7AF-4C3E-85FD-CD346A230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631298fc-6a88-4548-b7d9-3b164918c4a3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90B2096-79A9-4015-80DE-82CAF9B94A2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9</cp:revision>
  <dcterms:created xsi:type="dcterms:W3CDTF">2020-07-30T13:17:00Z</dcterms:created>
  <dcterms:modified xsi:type="dcterms:W3CDTF">2020-08-13T16:00:00Z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