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73E21C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373E21CD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373E21D0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2FC708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242B878B" w:rsidR="00133BD9" w:rsidRPr="00876240" w:rsidRDefault="00285335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WWU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B18F6">
              <w:rPr>
                <w:rFonts w:ascii="Arial" w:hAnsi="Arial" w:cs="Arial"/>
                <w:sz w:val="24"/>
                <w:szCs w:val="24"/>
              </w:rPr>
              <w:t>DDQ_</w:t>
            </w:r>
            <w:r w:rsidR="0021311D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A06191" w:rsidRPr="00876240" w14:paraId="373E21D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16AF9048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6F52AA94" w:rsidR="00A06191" w:rsidRPr="00876240" w:rsidRDefault="00D8430D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DN</w:t>
            </w:r>
          </w:p>
        </w:tc>
      </w:tr>
      <w:tr w:rsidR="00A06191" w:rsidRPr="00876240" w14:paraId="373E21D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6028F5D4" w:rsidR="00A06191" w:rsidRPr="0021311D" w:rsidRDefault="0021311D" w:rsidP="0060723D">
            <w:pPr>
              <w:rPr>
                <w:rFonts w:ascii="Arial" w:hAnsi="Arial" w:cs="Arial"/>
                <w:sz w:val="24"/>
                <w:szCs w:val="24"/>
              </w:rPr>
            </w:pPr>
            <w:r w:rsidRPr="0021311D">
              <w:rPr>
                <w:rFonts w:ascii="Arial" w:hAnsi="Arial" w:cs="Arial"/>
                <w:color w:val="262626" w:themeColor="text1" w:themeTint="D9"/>
                <w:sz w:val="24"/>
              </w:rPr>
              <w:t>Re-opener aggregation</w:t>
            </w:r>
          </w:p>
        </w:tc>
      </w:tr>
      <w:tr w:rsidR="00A06191" w:rsidRPr="00876240" w14:paraId="373E21D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83D2DC1" w14:textId="77777777" w:rsidR="0021311D" w:rsidRPr="0021311D" w:rsidRDefault="0021311D" w:rsidP="0021311D">
            <w:pPr>
              <w:contextualSpacing/>
              <w:rPr>
                <w:rFonts w:ascii="Arial" w:hAnsi="Arial" w:cs="Arial"/>
                <w:sz w:val="24"/>
              </w:rPr>
            </w:pPr>
            <w:r w:rsidRPr="0021311D">
              <w:rPr>
                <w:rFonts w:ascii="Arial" w:hAnsi="Arial" w:cs="Arial"/>
                <w:sz w:val="24"/>
              </w:rPr>
              <w:t>Core Document 7.34 page 64 states:</w:t>
            </w:r>
          </w:p>
          <w:p w14:paraId="7E110759" w14:textId="77777777" w:rsidR="0021311D" w:rsidRPr="0021311D" w:rsidRDefault="0021311D" w:rsidP="0021311D">
            <w:pPr>
              <w:contextualSpacing/>
              <w:rPr>
                <w:rFonts w:ascii="Arial" w:hAnsi="Arial" w:cs="Arial"/>
                <w:sz w:val="24"/>
              </w:rPr>
            </w:pPr>
          </w:p>
          <w:p w14:paraId="6E53D10C" w14:textId="77777777" w:rsidR="0021311D" w:rsidRPr="0021311D" w:rsidRDefault="0021311D" w:rsidP="0021311D">
            <w:pPr>
              <w:ind w:left="1080"/>
              <w:contextualSpacing/>
              <w:rPr>
                <w:rFonts w:ascii="Arial" w:hAnsi="Arial" w:cs="Arial"/>
                <w:i/>
                <w:iCs/>
                <w:sz w:val="24"/>
              </w:rPr>
            </w:pPr>
            <w:r w:rsidRPr="0021311D">
              <w:rPr>
                <w:rFonts w:ascii="Arial" w:hAnsi="Arial" w:cs="Arial"/>
                <w:i/>
                <w:iCs/>
                <w:sz w:val="24"/>
              </w:rPr>
              <w:t xml:space="preserve">We propose that a re-opener can be considered for an aggregation process if all of the following criteria are met: </w:t>
            </w:r>
          </w:p>
          <w:p w14:paraId="2087B2F8" w14:textId="77777777" w:rsidR="0021311D" w:rsidRPr="0021311D" w:rsidRDefault="0021311D" w:rsidP="0021311D">
            <w:pPr>
              <w:numPr>
                <w:ilvl w:val="0"/>
                <w:numId w:val="4"/>
              </w:numPr>
              <w:autoSpaceDE w:val="0"/>
              <w:autoSpaceDN w:val="0"/>
              <w:spacing w:after="138" w:line="240" w:lineRule="auto"/>
              <w:contextualSpacing/>
              <w:rPr>
                <w:rFonts w:ascii="Arial" w:eastAsia="Times New Roman" w:hAnsi="Arial" w:cs="Arial"/>
                <w:i/>
                <w:iCs/>
                <w:sz w:val="24"/>
              </w:rPr>
            </w:pPr>
            <w:r w:rsidRPr="0021311D">
              <w:rPr>
                <w:rFonts w:ascii="Arial" w:eastAsia="Times New Roman" w:hAnsi="Arial" w:cs="Arial"/>
                <w:i/>
                <w:iCs/>
                <w:sz w:val="24"/>
              </w:rPr>
              <w:t>each individual re-opener application must exceed a minimum individual materiality threshold, once the changes to allowances resulting from our assessment, are multiplied by the TIM incentive rate (</w:t>
            </w:r>
            <w:proofErr w:type="spellStart"/>
            <w:r w:rsidRPr="0021311D">
              <w:rPr>
                <w:rFonts w:ascii="Arial" w:eastAsia="Times New Roman" w:hAnsi="Arial" w:cs="Arial"/>
                <w:i/>
                <w:iCs/>
                <w:sz w:val="24"/>
              </w:rPr>
              <w:t>eg</w:t>
            </w:r>
            <w:proofErr w:type="spellEnd"/>
            <w:r w:rsidRPr="0021311D">
              <w:rPr>
                <w:rFonts w:ascii="Arial" w:eastAsia="Times New Roman" w:hAnsi="Arial" w:cs="Arial"/>
                <w:i/>
                <w:iCs/>
                <w:sz w:val="24"/>
              </w:rPr>
              <w:t xml:space="preserve"> 0.5% of annual average base revenue as set in Final Determinations) </w:t>
            </w:r>
          </w:p>
          <w:p w14:paraId="10E9A671" w14:textId="77777777" w:rsidR="0021311D" w:rsidRPr="0021311D" w:rsidRDefault="0021311D" w:rsidP="0021311D">
            <w:pPr>
              <w:numPr>
                <w:ilvl w:val="0"/>
                <w:numId w:val="4"/>
              </w:numPr>
              <w:autoSpaceDE w:val="0"/>
              <w:autoSpaceDN w:val="0"/>
              <w:spacing w:after="138" w:line="240" w:lineRule="auto"/>
              <w:contextualSpacing/>
              <w:rPr>
                <w:rFonts w:ascii="Arial" w:eastAsia="Times New Roman" w:hAnsi="Arial" w:cs="Arial"/>
                <w:i/>
                <w:iCs/>
                <w:sz w:val="24"/>
              </w:rPr>
            </w:pPr>
            <w:r w:rsidRPr="0021311D">
              <w:rPr>
                <w:rFonts w:ascii="Arial" w:eastAsia="Times New Roman" w:hAnsi="Arial" w:cs="Arial"/>
                <w:i/>
                <w:iCs/>
                <w:sz w:val="24"/>
              </w:rPr>
              <w:t>when re-opener applications are aggregated, the changes to allowances resulting from our assessment, multiplied by the TIM incentive rate exceeds a higher threshold (</w:t>
            </w:r>
            <w:proofErr w:type="spellStart"/>
            <w:r w:rsidRPr="0021311D">
              <w:rPr>
                <w:rFonts w:ascii="Arial" w:eastAsia="Times New Roman" w:hAnsi="Arial" w:cs="Arial"/>
                <w:i/>
                <w:iCs/>
                <w:sz w:val="24"/>
              </w:rPr>
              <w:t>eg</w:t>
            </w:r>
            <w:proofErr w:type="spellEnd"/>
            <w:r w:rsidRPr="0021311D">
              <w:rPr>
                <w:rFonts w:ascii="Arial" w:eastAsia="Times New Roman" w:hAnsi="Arial" w:cs="Arial"/>
                <w:i/>
                <w:iCs/>
                <w:sz w:val="24"/>
              </w:rPr>
              <w:t xml:space="preserve"> 3% annual average base revenue as set in Final Determinations) </w:t>
            </w:r>
          </w:p>
          <w:p w14:paraId="6EA3086D" w14:textId="77777777" w:rsidR="0021311D" w:rsidRPr="0021311D" w:rsidRDefault="0021311D" w:rsidP="0021311D">
            <w:pPr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contextualSpacing/>
              <w:rPr>
                <w:rFonts w:ascii="Arial" w:eastAsia="Times New Roman" w:hAnsi="Arial" w:cs="Arial"/>
                <w:i/>
                <w:iCs/>
                <w:sz w:val="24"/>
              </w:rPr>
            </w:pPr>
            <w:r w:rsidRPr="0021311D">
              <w:rPr>
                <w:rFonts w:ascii="Arial" w:eastAsia="Times New Roman" w:hAnsi="Arial" w:cs="Arial"/>
                <w:i/>
                <w:iCs/>
                <w:sz w:val="24"/>
              </w:rPr>
              <w:t xml:space="preserve">any re-opener that exceeds the proposed common materiality threshold for individual re-opener applications by itself, 59 is excluded from the aggregation process. </w:t>
            </w:r>
          </w:p>
          <w:p w14:paraId="7F873375" w14:textId="77777777" w:rsidR="0021311D" w:rsidRPr="0021311D" w:rsidRDefault="0021311D" w:rsidP="0021311D">
            <w:pPr>
              <w:pStyle w:val="ListParagraph"/>
              <w:autoSpaceDE w:val="0"/>
              <w:autoSpaceDN w:val="0"/>
              <w:spacing w:after="0" w:line="240" w:lineRule="auto"/>
              <w:ind w:left="1440"/>
              <w:rPr>
                <w:rFonts w:ascii="Arial" w:hAnsi="Arial" w:cs="Arial"/>
                <w:sz w:val="24"/>
                <w:szCs w:val="24"/>
              </w:rPr>
            </w:pPr>
          </w:p>
          <w:p w14:paraId="373E21D8" w14:textId="2F36A663" w:rsidR="00504295" w:rsidRPr="0021311D" w:rsidRDefault="0021311D" w:rsidP="003F22F3">
            <w:pPr>
              <w:rPr>
                <w:rFonts w:ascii="Arial" w:hAnsi="Arial" w:cs="Arial"/>
                <w:sz w:val="24"/>
              </w:rPr>
            </w:pPr>
            <w:r w:rsidRPr="0021311D">
              <w:rPr>
                <w:rFonts w:ascii="Arial" w:hAnsi="Arial" w:cs="Arial"/>
                <w:sz w:val="24"/>
              </w:rPr>
              <w:t>The aggregate re-opener bullet 1 in Core Document 7.34 page 64 refers to individual re-openers being included when they exceed a threshold above a minimum. The example given is that changes to allowance multiplied by TIM exceed 0.5% of annual average base. For some GD re-openers (for example Fuel Poor and Large Loads) the threshold for changes to allowance exceed 1% of annual average base revenues (no application of TIM). As TIM is about 50% this means for those re-openers they could never be included in the aggregate re-opener as they would reach the individual threshold at the same time as triggering the aggregate criteria. Is the individual re-opener application for the aggregate re-opener meant to be 50% of the level of the threshold for the individual re-opener?</w:t>
            </w:r>
          </w:p>
        </w:tc>
      </w:tr>
      <w:tr w:rsidR="00947682" w:rsidRPr="00876240" w14:paraId="3683392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2B19954" w14:textId="1C953726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72C1CDBA" w:rsidR="00947682" w:rsidRDefault="00D8430D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Wales &amp; West Utilities</w:t>
            </w:r>
          </w:p>
        </w:tc>
      </w:tr>
      <w:tr w:rsidR="00A06191" w:rsidRPr="00876240" w14:paraId="373E21D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25DD465C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21DBBEF2" w:rsidR="00F82AB4" w:rsidRPr="00876240" w:rsidRDefault="00D8430D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  <w:r w:rsidR="00CF22EF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503D9E6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5266493" w14:textId="4FD775E6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2FEC339F" w:rsidR="00F24B54" w:rsidRDefault="00D8430D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  <w:r w:rsidR="00F24B54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373E21F0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373E21EF" w14:textId="19B45FFD" w:rsidR="00F24B54" w:rsidRPr="002707B1" w:rsidRDefault="006E7F9C" w:rsidP="0085397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</w:rPr>
              <w:t>We have not yet made a final decision as to the rules which will govern aggregation and we are interest</w:t>
            </w:r>
            <w:r w:rsidR="002A073E">
              <w:rPr>
                <w:rFonts w:ascii="Arial" w:hAnsi="Arial" w:cs="Arial"/>
              </w:rPr>
              <w:t xml:space="preserve"> in stakeholder responses to th</w:t>
            </w:r>
            <w:r>
              <w:rPr>
                <w:rFonts w:ascii="Arial" w:hAnsi="Arial" w:cs="Arial"/>
              </w:rPr>
              <w:t xml:space="preserve">e potential principles we set out in the Draft Determination. We understand from your question that you have interpreted bullet point 3 such that TIM is not applied in the same </w:t>
            </w:r>
            <w:proofErr w:type="gramStart"/>
            <w:r>
              <w:rPr>
                <w:rFonts w:ascii="Arial" w:hAnsi="Arial" w:cs="Arial"/>
              </w:rPr>
              <w:t>way</w:t>
            </w:r>
            <w:proofErr w:type="gramEnd"/>
            <w:r>
              <w:rPr>
                <w:rFonts w:ascii="Arial" w:hAnsi="Arial" w:cs="Arial"/>
              </w:rPr>
              <w:t xml:space="preserve"> as it </w:t>
            </w:r>
            <w:r w:rsidR="002A073E">
              <w:rPr>
                <w:rFonts w:ascii="Arial" w:hAnsi="Arial" w:cs="Arial"/>
              </w:rPr>
              <w:t>is in bullet points 1 and 2. For</w:t>
            </w:r>
            <w:r>
              <w:rPr>
                <w:rFonts w:ascii="Arial" w:hAnsi="Arial" w:cs="Arial"/>
              </w:rPr>
              <w:t xml:space="preserve"> the avoidance of </w:t>
            </w:r>
            <w:r w:rsidR="002A073E">
              <w:rPr>
                <w:rFonts w:ascii="Arial" w:hAnsi="Arial" w:cs="Arial"/>
              </w:rPr>
              <w:t>doubt,</w:t>
            </w:r>
            <w:r>
              <w:rPr>
                <w:rFonts w:ascii="Arial" w:hAnsi="Arial" w:cs="Arial"/>
              </w:rPr>
              <w:t xml:space="preserve"> our draft proposals are that TIM would apply </w:t>
            </w:r>
            <w:r w:rsidR="00853979">
              <w:rPr>
                <w:rFonts w:ascii="Arial" w:hAnsi="Arial" w:cs="Arial"/>
              </w:rPr>
              <w:t>in the case of</w:t>
            </w:r>
            <w:r>
              <w:rPr>
                <w:rFonts w:ascii="Arial" w:hAnsi="Arial" w:cs="Arial"/>
              </w:rPr>
              <w:t xml:space="preserve"> all </w:t>
            </w:r>
            <w:proofErr w:type="gramStart"/>
            <w:r>
              <w:rPr>
                <w:rFonts w:ascii="Arial" w:hAnsi="Arial" w:cs="Arial"/>
              </w:rPr>
              <w:t>three bullet</w:t>
            </w:r>
            <w:proofErr w:type="gramEnd"/>
            <w:r>
              <w:rPr>
                <w:rFonts w:ascii="Arial" w:hAnsi="Arial" w:cs="Arial"/>
              </w:rPr>
              <w:t xml:space="preserve"> points in the same way</w:t>
            </w:r>
            <w:r w:rsidR="00853979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F24B54" w:rsidRPr="00876240" w14:paraId="373E21F2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CC0519" w14:textId="77777777" w:rsidR="005402DC" w:rsidRDefault="005402DC" w:rsidP="00526623">
      <w:pPr>
        <w:spacing w:after="0" w:line="240" w:lineRule="auto"/>
      </w:pPr>
      <w:r>
        <w:separator/>
      </w:r>
    </w:p>
  </w:endnote>
  <w:endnote w:type="continuationSeparator" w:id="0">
    <w:p w14:paraId="33C643AF" w14:textId="77777777" w:rsidR="005402DC" w:rsidRDefault="005402DC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E6E4B" w14:textId="77777777" w:rsidR="006E7F9C" w:rsidRDefault="006E7F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07B81" w14:textId="77777777" w:rsidR="006E7F9C" w:rsidRDefault="006E7F9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3869E" w14:textId="77777777" w:rsidR="006E7F9C" w:rsidRDefault="006E7F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838A21" w14:textId="77777777" w:rsidR="005402DC" w:rsidRDefault="005402DC" w:rsidP="00526623">
      <w:pPr>
        <w:spacing w:after="0" w:line="240" w:lineRule="auto"/>
      </w:pPr>
      <w:r>
        <w:separator/>
      </w:r>
    </w:p>
  </w:footnote>
  <w:footnote w:type="continuationSeparator" w:id="0">
    <w:p w14:paraId="5D7B4968" w14:textId="77777777" w:rsidR="005402DC" w:rsidRDefault="005402DC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F333C" w14:textId="77777777" w:rsidR="006E7F9C" w:rsidRDefault="006E7F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8E128" w14:textId="77777777" w:rsidR="006E7F9C" w:rsidRDefault="006E7F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A477AF" w14:textId="77777777" w:rsidR="006E7F9C" w:rsidRDefault="006E7F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E249A6"/>
    <w:multiLevelType w:val="hybridMultilevel"/>
    <w:tmpl w:val="571C47C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>
      <w:start w:val="1"/>
      <w:numFmt w:val="lowerRoman"/>
      <w:lvlText w:val="%3."/>
      <w:lvlJc w:val="right"/>
      <w:pPr>
        <w:ind w:left="2880" w:hanging="180"/>
      </w:pPr>
    </w:lvl>
    <w:lvl w:ilvl="3" w:tplc="0809000F">
      <w:start w:val="1"/>
      <w:numFmt w:val="decimal"/>
      <w:lvlText w:val="%4."/>
      <w:lvlJc w:val="left"/>
      <w:pPr>
        <w:ind w:left="3600" w:hanging="360"/>
      </w:pPr>
    </w:lvl>
    <w:lvl w:ilvl="4" w:tplc="08090019">
      <w:start w:val="1"/>
      <w:numFmt w:val="lowerLetter"/>
      <w:lvlText w:val="%5."/>
      <w:lvlJc w:val="left"/>
      <w:pPr>
        <w:ind w:left="4320" w:hanging="360"/>
      </w:pPr>
    </w:lvl>
    <w:lvl w:ilvl="5" w:tplc="0809001B">
      <w:start w:val="1"/>
      <w:numFmt w:val="lowerRoman"/>
      <w:lvlText w:val="%6."/>
      <w:lvlJc w:val="right"/>
      <w:pPr>
        <w:ind w:left="5040" w:hanging="180"/>
      </w:pPr>
    </w:lvl>
    <w:lvl w:ilvl="6" w:tplc="0809000F">
      <w:start w:val="1"/>
      <w:numFmt w:val="decimal"/>
      <w:lvlText w:val="%7."/>
      <w:lvlJc w:val="left"/>
      <w:pPr>
        <w:ind w:left="5760" w:hanging="360"/>
      </w:pPr>
    </w:lvl>
    <w:lvl w:ilvl="7" w:tplc="08090019">
      <w:start w:val="1"/>
      <w:numFmt w:val="lowerLetter"/>
      <w:lvlText w:val="%8."/>
      <w:lvlJc w:val="left"/>
      <w:pPr>
        <w:ind w:left="6480" w:hanging="360"/>
      </w:pPr>
    </w:lvl>
    <w:lvl w:ilvl="8" w:tplc="080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36745"/>
    <w:rsid w:val="000436C2"/>
    <w:rsid w:val="00090251"/>
    <w:rsid w:val="000C3A79"/>
    <w:rsid w:val="000F1652"/>
    <w:rsid w:val="0010126C"/>
    <w:rsid w:val="00107296"/>
    <w:rsid w:val="00133BD9"/>
    <w:rsid w:val="00133CFC"/>
    <w:rsid w:val="00137DC1"/>
    <w:rsid w:val="00145C9E"/>
    <w:rsid w:val="00172809"/>
    <w:rsid w:val="001D5F88"/>
    <w:rsid w:val="001E129D"/>
    <w:rsid w:val="00206D5F"/>
    <w:rsid w:val="0021311D"/>
    <w:rsid w:val="00231D67"/>
    <w:rsid w:val="00257F3E"/>
    <w:rsid w:val="002707B1"/>
    <w:rsid w:val="00285335"/>
    <w:rsid w:val="00291D51"/>
    <w:rsid w:val="002A073E"/>
    <w:rsid w:val="002A4AD8"/>
    <w:rsid w:val="002B4955"/>
    <w:rsid w:val="003043A4"/>
    <w:rsid w:val="003452B0"/>
    <w:rsid w:val="00360385"/>
    <w:rsid w:val="00372D1E"/>
    <w:rsid w:val="003820EF"/>
    <w:rsid w:val="003B3576"/>
    <w:rsid w:val="003E53F4"/>
    <w:rsid w:val="003F22F3"/>
    <w:rsid w:val="004145D1"/>
    <w:rsid w:val="004302F8"/>
    <w:rsid w:val="00471BC8"/>
    <w:rsid w:val="00494D65"/>
    <w:rsid w:val="004F7CD6"/>
    <w:rsid w:val="00503895"/>
    <w:rsid w:val="00504295"/>
    <w:rsid w:val="00507163"/>
    <w:rsid w:val="00526623"/>
    <w:rsid w:val="00526A8E"/>
    <w:rsid w:val="00534E92"/>
    <w:rsid w:val="005350E4"/>
    <w:rsid w:val="005402DC"/>
    <w:rsid w:val="00567008"/>
    <w:rsid w:val="00584F30"/>
    <w:rsid w:val="005A506C"/>
    <w:rsid w:val="005A74DE"/>
    <w:rsid w:val="005E2894"/>
    <w:rsid w:val="0060723D"/>
    <w:rsid w:val="006279ED"/>
    <w:rsid w:val="006847DA"/>
    <w:rsid w:val="006B18F6"/>
    <w:rsid w:val="006C2885"/>
    <w:rsid w:val="006E7F9C"/>
    <w:rsid w:val="00712089"/>
    <w:rsid w:val="00716508"/>
    <w:rsid w:val="007400B7"/>
    <w:rsid w:val="00753976"/>
    <w:rsid w:val="007649AC"/>
    <w:rsid w:val="00796C90"/>
    <w:rsid w:val="007974DA"/>
    <w:rsid w:val="007B29A9"/>
    <w:rsid w:val="007B4F5B"/>
    <w:rsid w:val="007D7648"/>
    <w:rsid w:val="007E53E6"/>
    <w:rsid w:val="008170C7"/>
    <w:rsid w:val="00853979"/>
    <w:rsid w:val="0085400C"/>
    <w:rsid w:val="0089547E"/>
    <w:rsid w:val="008A37EF"/>
    <w:rsid w:val="008B3636"/>
    <w:rsid w:val="008C5A35"/>
    <w:rsid w:val="008E744C"/>
    <w:rsid w:val="009249AE"/>
    <w:rsid w:val="00924DEC"/>
    <w:rsid w:val="00937BF5"/>
    <w:rsid w:val="00942721"/>
    <w:rsid w:val="00945C7C"/>
    <w:rsid w:val="00946125"/>
    <w:rsid w:val="00947682"/>
    <w:rsid w:val="009546FF"/>
    <w:rsid w:val="00970B1C"/>
    <w:rsid w:val="00A054D1"/>
    <w:rsid w:val="00A0584E"/>
    <w:rsid w:val="00A06191"/>
    <w:rsid w:val="00A21D26"/>
    <w:rsid w:val="00A27E92"/>
    <w:rsid w:val="00A71151"/>
    <w:rsid w:val="00A904E1"/>
    <w:rsid w:val="00A922CF"/>
    <w:rsid w:val="00AC6418"/>
    <w:rsid w:val="00B82400"/>
    <w:rsid w:val="00B86DDF"/>
    <w:rsid w:val="00BA4154"/>
    <w:rsid w:val="00BB682C"/>
    <w:rsid w:val="00C57345"/>
    <w:rsid w:val="00C657A4"/>
    <w:rsid w:val="00C814D0"/>
    <w:rsid w:val="00C919C3"/>
    <w:rsid w:val="00CA4297"/>
    <w:rsid w:val="00CC7214"/>
    <w:rsid w:val="00CE4B79"/>
    <w:rsid w:val="00CF22EF"/>
    <w:rsid w:val="00D50036"/>
    <w:rsid w:val="00D8430D"/>
    <w:rsid w:val="00E040EA"/>
    <w:rsid w:val="00E0721B"/>
    <w:rsid w:val="00E525E0"/>
    <w:rsid w:val="00E60E79"/>
    <w:rsid w:val="00EB179A"/>
    <w:rsid w:val="00EB2613"/>
    <w:rsid w:val="00F00954"/>
    <w:rsid w:val="00F129C1"/>
    <w:rsid w:val="00F23B18"/>
    <w:rsid w:val="00F24B54"/>
    <w:rsid w:val="00F678C1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Organisation xmlns="631298fc-6a88-4548-b7d9-3b164918c4a3">Electricity North West</Organisation>
    <Publication_x0020_Date_x003a_ xmlns="631298fc-6a88-4548-b7d9-3b164918c4a3">2015-07-27T23:00:00+00:00</Publication_x0020_Date_x003a_>
  </documentManagement>
</p:properties>
</file>

<file path=customXml/item3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schemas.microsoft.com/sharepoint/v3/fields"/>
    <ds:schemaRef ds:uri="http://schemas.microsoft.com/office/infopath/2007/PartnerControls"/>
    <ds:schemaRef ds:uri="http://purl.org/dc/terms/"/>
    <ds:schemaRef ds:uri="631298fc-6a88-4548-b7d9-3b164918c4a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E3109A9-3C3F-4850-871D-11C8D53ABEFC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7B5287EB-C1D9-4325-8F8F-1BFA629E8E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7A172A5-630E-4475-BB7A-F74A5E4AB86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Chris Brown</cp:lastModifiedBy>
  <cp:revision>3</cp:revision>
  <dcterms:created xsi:type="dcterms:W3CDTF">2020-07-29T14:09:00Z</dcterms:created>
  <dcterms:modified xsi:type="dcterms:W3CDTF">2020-07-30T12:02:00Z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MSIP_Label_7a28ff59-1dd3-406f-be87-f82473b549be_Enabled">
    <vt:lpwstr>True</vt:lpwstr>
  </property>
  <property fmtid="{D5CDD505-2E9C-101B-9397-08002B2CF9AE}" pid="36" name="MSIP_Label_7a28ff59-1dd3-406f-be87-f82473b549be_SiteId">
    <vt:lpwstr>de0d74aa-9914-4bb9-9235-fbefe83b1769</vt:lpwstr>
  </property>
  <property fmtid="{D5CDD505-2E9C-101B-9397-08002B2CF9AE}" pid="37" name="MSIP_Label_7a28ff59-1dd3-406f-be87-f82473b549be_Owner">
    <vt:lpwstr>Yvonne.Reid-Healy@cadentgas.com</vt:lpwstr>
  </property>
  <property fmtid="{D5CDD505-2E9C-101B-9397-08002B2CF9AE}" pid="38" name="MSIP_Label_7a28ff59-1dd3-406f-be87-f82473b549be_SetDate">
    <vt:lpwstr>2020-01-24T13:37:08.5127760Z</vt:lpwstr>
  </property>
  <property fmtid="{D5CDD505-2E9C-101B-9397-08002B2CF9AE}" pid="39" name="MSIP_Label_7a28ff59-1dd3-406f-be87-f82473b549be_Name">
    <vt:lpwstr>Cadent - Official</vt:lpwstr>
  </property>
  <property fmtid="{D5CDD505-2E9C-101B-9397-08002B2CF9AE}" pid="40" name="MSIP_Label_7a28ff59-1dd3-406f-be87-f82473b549be_Application">
    <vt:lpwstr>Microsoft Azure Information Protection</vt:lpwstr>
  </property>
  <property fmtid="{D5CDD505-2E9C-101B-9397-08002B2CF9AE}" pid="41" name="MSIP_Label_7a28ff59-1dd3-406f-be87-f82473b549be_Extended_MSFT_Method">
    <vt:lpwstr>Automatic</vt:lpwstr>
  </property>
  <property fmtid="{D5CDD505-2E9C-101B-9397-08002B2CF9AE}" pid="42" name="Sensitivity">
    <vt:lpwstr>Cadent - Official</vt:lpwstr>
  </property>
  <property fmtid="{D5CDD505-2E9C-101B-9397-08002B2CF9AE}" pid="43" name="bjDocumentSecurityLabel">
    <vt:lpwstr>This item has no classification</vt:lpwstr>
  </property>
</Properties>
</file>