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02E64" w14:textId="77777777" w:rsidR="00E02033" w:rsidRPr="00E80DD4" w:rsidRDefault="00E02033"/>
    <w:p w14:paraId="30302E65" w14:textId="77777777" w:rsidR="00D136BA" w:rsidRPr="00E80DD4" w:rsidRDefault="00D136BA" w:rsidP="009104CA"/>
    <w:p w14:paraId="30302E66" w14:textId="77777777" w:rsidR="00F63F1D" w:rsidRDefault="00F63F1D" w:rsidP="00F63F1D">
      <w:pPr>
        <w:ind w:left="-709"/>
      </w:pPr>
    </w:p>
    <w:p w14:paraId="30302E67" w14:textId="77777777" w:rsidR="00F63F1D" w:rsidRDefault="00F63F1D" w:rsidP="00F63F1D">
      <w:pPr>
        <w:ind w:left="-709"/>
      </w:pPr>
    </w:p>
    <w:p w14:paraId="30302E68" w14:textId="77777777" w:rsidR="003173DE" w:rsidRDefault="003173DE" w:rsidP="00F63F1D">
      <w:pPr>
        <w:ind w:left="-709"/>
        <w:rPr>
          <w:b/>
        </w:rPr>
      </w:pPr>
    </w:p>
    <w:p w14:paraId="30302E69" w14:textId="77777777" w:rsidR="003173DE" w:rsidRDefault="003173DE" w:rsidP="00F63F1D">
      <w:pPr>
        <w:ind w:left="-709"/>
        <w:rPr>
          <w:b/>
        </w:rPr>
      </w:pPr>
    </w:p>
    <w:p w14:paraId="30302E6A" w14:textId="77777777" w:rsidR="003173DE" w:rsidRDefault="003173DE" w:rsidP="00F63F1D">
      <w:pPr>
        <w:ind w:left="-709"/>
        <w:rPr>
          <w:b/>
        </w:rPr>
      </w:pPr>
    </w:p>
    <w:p w14:paraId="30302E6B" w14:textId="77777777" w:rsidR="003173DE" w:rsidRDefault="003173DE" w:rsidP="00F63F1D">
      <w:pPr>
        <w:ind w:left="-709"/>
        <w:rPr>
          <w:b/>
        </w:rPr>
      </w:pPr>
    </w:p>
    <w:p w14:paraId="30302E6C" w14:textId="77777777" w:rsidR="003173DE" w:rsidRDefault="003173DE" w:rsidP="00A514B4">
      <w:pPr>
        <w:rPr>
          <w:b/>
        </w:rPr>
      </w:pPr>
    </w:p>
    <w:tbl>
      <w:tblPr>
        <w:tblpPr w:leftFromText="181" w:rightFromText="181" w:vertAnchor="page" w:horzAnchor="margin" w:tblpY="3797"/>
        <w:tblW w:w="9635" w:type="dxa"/>
        <w:tblCellMar>
          <w:top w:w="72" w:type="dxa"/>
          <w:left w:w="144" w:type="dxa"/>
          <w:bottom w:w="72" w:type="dxa"/>
          <w:right w:w="115" w:type="dxa"/>
        </w:tblCellMar>
        <w:tblLook w:val="04A0" w:firstRow="1" w:lastRow="0" w:firstColumn="1" w:lastColumn="0" w:noHBand="0" w:noVBand="1"/>
      </w:tblPr>
      <w:tblGrid>
        <w:gridCol w:w="2410"/>
        <w:gridCol w:w="2083"/>
        <w:gridCol w:w="1270"/>
        <w:gridCol w:w="3872"/>
      </w:tblGrid>
      <w:tr w:rsidR="004303B7" w14:paraId="30302E6E" w14:textId="77777777" w:rsidTr="00115ACE">
        <w:trPr>
          <w:trHeight w:val="29"/>
        </w:trPr>
        <w:tc>
          <w:tcPr>
            <w:tcW w:w="9635" w:type="dxa"/>
            <w:gridSpan w:val="4"/>
            <w:tcBorders>
              <w:top w:val="nil"/>
              <w:left w:val="nil"/>
              <w:right w:val="nil"/>
            </w:tcBorders>
            <w:shd w:val="clear" w:color="auto" w:fill="F68220"/>
            <w:tcMar>
              <w:top w:w="0" w:type="dxa"/>
              <w:bottom w:w="0" w:type="dxa"/>
            </w:tcMar>
          </w:tcPr>
          <w:p w14:paraId="30302E6D" w14:textId="77777777" w:rsidR="004303B7" w:rsidRPr="00624BAF" w:rsidRDefault="004303B7" w:rsidP="004303B7">
            <w:pPr>
              <w:spacing w:line="276" w:lineRule="auto"/>
              <w:rPr>
                <w:color w:val="1D1D1B"/>
                <w:sz w:val="2"/>
                <w:szCs w:val="2"/>
              </w:rPr>
            </w:pPr>
          </w:p>
        </w:tc>
      </w:tr>
      <w:tr w:rsidR="004303B7" w14:paraId="30302E70" w14:textId="77777777" w:rsidTr="00115ACE">
        <w:trPr>
          <w:trHeight w:val="397"/>
        </w:trPr>
        <w:tc>
          <w:tcPr>
            <w:tcW w:w="9635" w:type="dxa"/>
            <w:gridSpan w:val="4"/>
            <w:tcBorders>
              <w:top w:val="nil"/>
              <w:left w:val="nil"/>
              <w:bottom w:val="dotted" w:sz="4" w:space="0" w:color="auto"/>
              <w:right w:val="nil"/>
            </w:tcBorders>
            <w:shd w:val="clear" w:color="auto" w:fill="EDF1F3"/>
            <w:tcMar>
              <w:top w:w="144" w:type="dxa"/>
              <w:left w:w="216" w:type="dxa"/>
              <w:bottom w:w="0" w:type="dxa"/>
            </w:tcMar>
          </w:tcPr>
          <w:p w14:paraId="30302E6F" w14:textId="63380C8F" w:rsidR="004303B7" w:rsidRPr="00DE4234" w:rsidRDefault="00F41C2F" w:rsidP="000512D6">
            <w:pPr>
              <w:rPr>
                <w:rStyle w:val="TitleStyle12ptBold"/>
              </w:rPr>
            </w:pPr>
            <w:r>
              <w:rPr>
                <w:rStyle w:val="TitleStyle12ptBold"/>
              </w:rPr>
              <w:t>GT2</w:t>
            </w:r>
            <w:r w:rsidR="00A514B4">
              <w:rPr>
                <w:rStyle w:val="TitleStyle12ptBold"/>
              </w:rPr>
              <w:t xml:space="preserve"> Price Control Financial Handbook</w:t>
            </w:r>
          </w:p>
        </w:tc>
      </w:tr>
      <w:tr w:rsidR="00A514B4" w14:paraId="74E094C3" w14:textId="77777777" w:rsidTr="00A514B4">
        <w:trPr>
          <w:trHeight w:val="666"/>
        </w:trPr>
        <w:tc>
          <w:tcPr>
            <w:tcW w:w="2410" w:type="dxa"/>
            <w:tcBorders>
              <w:top w:val="nil"/>
              <w:left w:val="nil"/>
              <w:bottom w:val="nil"/>
              <w:right w:val="nil"/>
            </w:tcBorders>
            <w:shd w:val="clear" w:color="auto" w:fill="EDF1F3"/>
            <w:tcMar>
              <w:top w:w="0" w:type="dxa"/>
              <w:left w:w="216" w:type="dxa"/>
              <w:bottom w:w="0" w:type="dxa"/>
            </w:tcMar>
          </w:tcPr>
          <w:p w14:paraId="42137A4E" w14:textId="0537CAF1" w:rsidR="00A514B4" w:rsidRPr="002F6657" w:rsidRDefault="00A514B4" w:rsidP="00A514B4">
            <w:pPr>
              <w:rPr>
                <w:b/>
                <w:color w:val="1D1D1B"/>
                <w:szCs w:val="20"/>
              </w:rPr>
            </w:pPr>
            <w:r>
              <w:rPr>
                <w:b/>
                <w:color w:val="1D1D1B"/>
                <w:szCs w:val="20"/>
              </w:rPr>
              <w:t>First p</w:t>
            </w:r>
            <w:r w:rsidRPr="002F6657">
              <w:rPr>
                <w:b/>
                <w:color w:val="1D1D1B"/>
                <w:szCs w:val="20"/>
              </w:rPr>
              <w:t>ublication</w:t>
            </w:r>
          </w:p>
        </w:tc>
        <w:tc>
          <w:tcPr>
            <w:tcW w:w="2083" w:type="dxa"/>
            <w:tcBorders>
              <w:top w:val="nil"/>
              <w:left w:val="nil"/>
              <w:bottom w:val="nil"/>
              <w:right w:val="dotted" w:sz="4" w:space="0" w:color="54616C"/>
            </w:tcBorders>
            <w:shd w:val="clear" w:color="auto" w:fill="EDF1F3"/>
            <w:tcMar>
              <w:top w:w="0" w:type="dxa"/>
              <w:left w:w="216" w:type="dxa"/>
              <w:bottom w:w="0" w:type="dxa"/>
            </w:tcMar>
          </w:tcPr>
          <w:p w14:paraId="0047E445" w14:textId="1095A802" w:rsidR="00A514B4" w:rsidRPr="002F6657" w:rsidRDefault="00A514B4" w:rsidP="00A514B4">
            <w:pPr>
              <w:rPr>
                <w:color w:val="1D1D1B"/>
                <w:szCs w:val="20"/>
              </w:rPr>
            </w:pPr>
            <w:r>
              <w:rPr>
                <w:color w:val="1D1D1B"/>
                <w:szCs w:val="20"/>
              </w:rPr>
              <w:t>[</w:t>
            </w:r>
            <w:r w:rsidRPr="004E576B">
              <w:rPr>
                <w:color w:val="1D1D1B"/>
                <w:szCs w:val="20"/>
              </w:rPr>
              <w:t>Insert date</w:t>
            </w:r>
            <w:r>
              <w:rPr>
                <w:color w:val="1D1D1B"/>
                <w:szCs w:val="20"/>
              </w:rPr>
              <w:t>]</w:t>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610CEE0D" w14:textId="4A41EE5E" w:rsidR="00A514B4" w:rsidRPr="00624BAF" w:rsidRDefault="00A514B4" w:rsidP="00A514B4">
            <w:pPr>
              <w:rPr>
                <w:b/>
                <w:color w:val="1D1D1B"/>
                <w:szCs w:val="20"/>
              </w:rPr>
            </w:pPr>
            <w:r w:rsidRPr="00624BAF">
              <w:rPr>
                <w:b/>
                <w:color w:val="1D1D1B"/>
                <w:szCs w:val="20"/>
              </w:rPr>
              <w:t>Team:</w:t>
            </w:r>
          </w:p>
        </w:tc>
        <w:tc>
          <w:tcPr>
            <w:tcW w:w="3872" w:type="dxa"/>
            <w:tcBorders>
              <w:top w:val="nil"/>
              <w:left w:val="nil"/>
              <w:bottom w:val="nil"/>
              <w:right w:val="nil"/>
            </w:tcBorders>
            <w:shd w:val="clear" w:color="auto" w:fill="EDF1F3"/>
            <w:tcMar>
              <w:top w:w="144" w:type="dxa"/>
              <w:left w:w="216" w:type="dxa"/>
              <w:bottom w:w="144" w:type="dxa"/>
            </w:tcMar>
          </w:tcPr>
          <w:p w14:paraId="48155166" w14:textId="5CE8E2DB" w:rsidR="00A514B4" w:rsidRPr="00624BAF" w:rsidRDefault="00B96975" w:rsidP="00A514B4">
            <w:pPr>
              <w:rPr>
                <w:color w:val="1D1D1B"/>
                <w:szCs w:val="20"/>
              </w:rPr>
            </w:pPr>
            <w:r>
              <w:rPr>
                <w:color w:val="1D1D1B"/>
                <w:szCs w:val="20"/>
              </w:rPr>
              <w:t>Regulatory Finance</w:t>
            </w:r>
          </w:p>
        </w:tc>
      </w:tr>
      <w:tr w:rsidR="00A514B4" w14:paraId="12AA2752" w14:textId="77777777" w:rsidTr="00A514B4">
        <w:trPr>
          <w:trHeight w:val="333"/>
        </w:trPr>
        <w:tc>
          <w:tcPr>
            <w:tcW w:w="2410" w:type="dxa"/>
            <w:tcBorders>
              <w:top w:val="nil"/>
              <w:left w:val="nil"/>
              <w:bottom w:val="nil"/>
              <w:right w:val="nil"/>
            </w:tcBorders>
            <w:shd w:val="clear" w:color="auto" w:fill="EDF1F3"/>
            <w:tcMar>
              <w:top w:w="0" w:type="dxa"/>
              <w:left w:w="216" w:type="dxa"/>
              <w:bottom w:w="0" w:type="dxa"/>
            </w:tcMar>
          </w:tcPr>
          <w:p w14:paraId="52D6A521" w14:textId="3BB67989" w:rsidR="00A514B4" w:rsidRPr="002F6657" w:rsidRDefault="00A514B4" w:rsidP="00A514B4">
            <w:pPr>
              <w:rPr>
                <w:b/>
                <w:color w:val="1D1D1B"/>
                <w:szCs w:val="20"/>
              </w:rPr>
            </w:pPr>
            <w:r>
              <w:rPr>
                <w:b/>
                <w:color w:val="1D1D1B"/>
                <w:szCs w:val="20"/>
              </w:rPr>
              <w:t>Effective date</w:t>
            </w:r>
          </w:p>
        </w:tc>
        <w:tc>
          <w:tcPr>
            <w:tcW w:w="2083" w:type="dxa"/>
            <w:tcBorders>
              <w:top w:val="nil"/>
              <w:left w:val="nil"/>
              <w:bottom w:val="nil"/>
              <w:right w:val="dotted" w:sz="4" w:space="0" w:color="54616C"/>
            </w:tcBorders>
            <w:shd w:val="clear" w:color="auto" w:fill="EDF1F3"/>
            <w:tcMar>
              <w:top w:w="0" w:type="dxa"/>
              <w:left w:w="216" w:type="dxa"/>
              <w:bottom w:w="0" w:type="dxa"/>
            </w:tcMar>
          </w:tcPr>
          <w:p w14:paraId="0F89C705" w14:textId="0F526604" w:rsidR="00A514B4" w:rsidRPr="002F6657" w:rsidRDefault="00A514B4" w:rsidP="00A514B4">
            <w:pPr>
              <w:rPr>
                <w:color w:val="1D1D1B"/>
                <w:szCs w:val="20"/>
              </w:rPr>
            </w:pPr>
            <w:r>
              <w:rPr>
                <w:color w:val="1D1D1B"/>
                <w:szCs w:val="20"/>
              </w:rPr>
              <w:t>[</w:t>
            </w:r>
            <w:r w:rsidRPr="004E576B">
              <w:rPr>
                <w:color w:val="1D1D1B"/>
                <w:szCs w:val="20"/>
              </w:rPr>
              <w:t>Insert date</w:t>
            </w:r>
            <w:r>
              <w:rPr>
                <w:color w:val="1D1D1B"/>
                <w:szCs w:val="20"/>
              </w:rPr>
              <w:t>]</w:t>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33A4D11A" w14:textId="7B2E8943" w:rsidR="00A514B4" w:rsidRPr="00624BAF" w:rsidRDefault="00A514B4" w:rsidP="00A514B4">
            <w:pPr>
              <w:rPr>
                <w:b/>
                <w:color w:val="1D1D1B"/>
                <w:szCs w:val="20"/>
              </w:rPr>
            </w:pPr>
            <w:r w:rsidRPr="00624BAF">
              <w:rPr>
                <w:b/>
                <w:color w:val="1D1D1B"/>
                <w:szCs w:val="20"/>
              </w:rPr>
              <w:t>Tel:</w:t>
            </w:r>
          </w:p>
        </w:tc>
        <w:tc>
          <w:tcPr>
            <w:tcW w:w="3872" w:type="dxa"/>
            <w:tcBorders>
              <w:top w:val="nil"/>
              <w:left w:val="nil"/>
              <w:bottom w:val="nil"/>
              <w:right w:val="nil"/>
            </w:tcBorders>
            <w:shd w:val="clear" w:color="auto" w:fill="EDF1F3"/>
            <w:tcMar>
              <w:top w:w="144" w:type="dxa"/>
              <w:left w:w="216" w:type="dxa"/>
              <w:bottom w:w="144" w:type="dxa"/>
            </w:tcMar>
          </w:tcPr>
          <w:p w14:paraId="54F69475" w14:textId="3A0AD263" w:rsidR="00A514B4" w:rsidRPr="00624BAF" w:rsidRDefault="00A514B4" w:rsidP="00A514B4">
            <w:pPr>
              <w:rPr>
                <w:color w:val="1D1D1B"/>
                <w:szCs w:val="20"/>
              </w:rPr>
            </w:pPr>
            <w:r>
              <w:rPr>
                <w:color w:val="1D1D1B"/>
                <w:szCs w:val="20"/>
              </w:rPr>
              <w:t>020 7901 7000</w:t>
            </w:r>
          </w:p>
        </w:tc>
      </w:tr>
      <w:tr w:rsidR="00A514B4" w14:paraId="23E8AFD4" w14:textId="77777777" w:rsidTr="00A514B4">
        <w:trPr>
          <w:trHeight w:val="360"/>
        </w:trPr>
        <w:tc>
          <w:tcPr>
            <w:tcW w:w="2410" w:type="dxa"/>
            <w:tcBorders>
              <w:top w:val="nil"/>
              <w:left w:val="nil"/>
              <w:bottom w:val="nil"/>
              <w:right w:val="nil"/>
            </w:tcBorders>
            <w:shd w:val="clear" w:color="auto" w:fill="EDF1F3"/>
            <w:tcMar>
              <w:top w:w="144" w:type="dxa"/>
              <w:left w:w="216" w:type="dxa"/>
              <w:bottom w:w="144" w:type="dxa"/>
            </w:tcMar>
          </w:tcPr>
          <w:p w14:paraId="2E0B7A42" w14:textId="0CF70355" w:rsidR="00A514B4" w:rsidRDefault="00A514B4" w:rsidP="00A514B4">
            <w:pPr>
              <w:rPr>
                <w:color w:val="1D1D1B"/>
                <w:sz w:val="22"/>
                <w:szCs w:val="22"/>
              </w:rPr>
            </w:pPr>
            <w:r w:rsidRPr="00A514B4">
              <w:rPr>
                <w:b/>
                <w:color w:val="1D1D1B"/>
                <w:szCs w:val="20"/>
              </w:rPr>
              <w:t>Version</w:t>
            </w:r>
          </w:p>
        </w:tc>
        <w:tc>
          <w:tcPr>
            <w:tcW w:w="2083" w:type="dxa"/>
            <w:tcBorders>
              <w:top w:val="nil"/>
              <w:left w:val="nil"/>
              <w:bottom w:val="nil"/>
              <w:right w:val="dotted" w:sz="4" w:space="0" w:color="54616C"/>
            </w:tcBorders>
            <w:shd w:val="clear" w:color="auto" w:fill="EDF1F3"/>
            <w:tcMar>
              <w:top w:w="144" w:type="dxa"/>
              <w:left w:w="216" w:type="dxa"/>
              <w:bottom w:w="144" w:type="dxa"/>
            </w:tcMar>
          </w:tcPr>
          <w:p w14:paraId="095E08DA" w14:textId="7060576A" w:rsidR="00A514B4" w:rsidRDefault="00A514B4" w:rsidP="00A514B4">
            <w:pPr>
              <w:rPr>
                <w:color w:val="1D1D1B"/>
                <w:sz w:val="22"/>
                <w:szCs w:val="22"/>
              </w:rPr>
            </w:pPr>
            <w:r>
              <w:rPr>
                <w:color w:val="1D1D1B"/>
                <w:sz w:val="22"/>
                <w:szCs w:val="22"/>
              </w:rPr>
              <w:t>[</w:t>
            </w:r>
            <w:r w:rsidRPr="004E576B">
              <w:rPr>
                <w:color w:val="1D1D1B"/>
                <w:sz w:val="22"/>
                <w:szCs w:val="22"/>
              </w:rPr>
              <w:t>WIP</w:t>
            </w:r>
            <w:r>
              <w:rPr>
                <w:color w:val="1D1D1B"/>
                <w:sz w:val="22"/>
                <w:szCs w:val="22"/>
              </w:rPr>
              <w:t>]</w:t>
            </w:r>
            <w:r w:rsidR="009F4D84">
              <w:rPr>
                <w:rStyle w:val="FootnoteReference"/>
                <w:color w:val="1D1D1B"/>
                <w:sz w:val="22"/>
                <w:szCs w:val="22"/>
              </w:rPr>
              <w:footnoteReference w:id="2"/>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7786429F" w14:textId="3BA8F95E" w:rsidR="00A514B4" w:rsidRPr="00624BAF" w:rsidRDefault="00A514B4" w:rsidP="00A514B4">
            <w:pPr>
              <w:rPr>
                <w:b/>
                <w:color w:val="1D1D1B"/>
                <w:szCs w:val="20"/>
              </w:rPr>
            </w:pPr>
            <w:r>
              <w:rPr>
                <w:b/>
                <w:color w:val="1D1D1B"/>
                <w:szCs w:val="20"/>
              </w:rPr>
              <w:t>Email:</w:t>
            </w:r>
          </w:p>
        </w:tc>
        <w:tc>
          <w:tcPr>
            <w:tcW w:w="3872" w:type="dxa"/>
            <w:tcBorders>
              <w:top w:val="nil"/>
              <w:left w:val="nil"/>
              <w:bottom w:val="nil"/>
              <w:right w:val="nil"/>
            </w:tcBorders>
            <w:shd w:val="clear" w:color="auto" w:fill="EDF1F3"/>
            <w:tcMar>
              <w:top w:w="144" w:type="dxa"/>
              <w:left w:w="216" w:type="dxa"/>
              <w:bottom w:w="144" w:type="dxa"/>
            </w:tcMar>
          </w:tcPr>
          <w:p w14:paraId="74B6CD23" w14:textId="115AD031" w:rsidR="00A514B4" w:rsidRPr="00624BAF" w:rsidRDefault="00A514B4" w:rsidP="00A514B4">
            <w:pPr>
              <w:rPr>
                <w:color w:val="1D1D1B"/>
                <w:szCs w:val="20"/>
              </w:rPr>
            </w:pPr>
            <w:r>
              <w:t>RegFinance@ofgem.gov.uk</w:t>
            </w:r>
          </w:p>
        </w:tc>
      </w:tr>
    </w:tbl>
    <w:p w14:paraId="42801B96" w14:textId="4F6E3853" w:rsidR="00826E44" w:rsidRDefault="00A514B4" w:rsidP="00DE7F6D">
      <w:pPr>
        <w:spacing w:after="300"/>
      </w:pPr>
      <w:r w:rsidRPr="00E40432">
        <w:t xml:space="preserve">This is the </w:t>
      </w:r>
      <w:r w:rsidR="00F41C2F">
        <w:t>GT2</w:t>
      </w:r>
      <w:r w:rsidRPr="00E40432">
        <w:t xml:space="preserve"> Price </w:t>
      </w:r>
      <w:r w:rsidRPr="00592149">
        <w:t xml:space="preserve">Control Financial Handbook which forms part of Special Condition </w:t>
      </w:r>
      <w:r w:rsidR="00A836EA" w:rsidRPr="00A23E59">
        <w:t>8</w:t>
      </w:r>
      <w:r w:rsidR="006B7BA9" w:rsidRPr="00A23E59">
        <w:t>.1</w:t>
      </w:r>
      <w:r w:rsidRPr="004E576B">
        <w:t xml:space="preserve"> (Governance of </w:t>
      </w:r>
      <w:r w:rsidR="002C4D24">
        <w:t xml:space="preserve">the </w:t>
      </w:r>
      <w:r w:rsidR="00F41C2F">
        <w:t>GT2</w:t>
      </w:r>
      <w:r w:rsidRPr="004E576B">
        <w:t xml:space="preserve"> Price Control Financial Instruments)</w:t>
      </w:r>
      <w:r w:rsidRPr="00592149">
        <w:t xml:space="preserve"> of the Gas </w:t>
      </w:r>
      <w:r w:rsidR="00F41C2F">
        <w:t>Trans</w:t>
      </w:r>
      <w:r w:rsidR="00242BB7">
        <w:t>porter</w:t>
      </w:r>
      <w:r w:rsidRPr="00592149">
        <w:t xml:space="preserve"> Licence held by </w:t>
      </w:r>
      <w:r w:rsidR="00826E44">
        <w:t>National Grid Gas plc in respect of the national gas trans</w:t>
      </w:r>
      <w:r w:rsidR="00242BB7">
        <w:t>portation</w:t>
      </w:r>
      <w:r w:rsidR="00826E44">
        <w:t xml:space="preserve"> system.</w:t>
      </w:r>
    </w:p>
    <w:p w14:paraId="7E5357C1" w14:textId="1CB90534" w:rsidR="00A514B4" w:rsidRPr="00592149" w:rsidRDefault="00A514B4" w:rsidP="00DE7F6D">
      <w:r w:rsidRPr="00592149">
        <w:t>This document consists of:</w:t>
      </w:r>
    </w:p>
    <w:p w14:paraId="5E5A830B" w14:textId="20F2E043" w:rsidR="00A514B4" w:rsidRPr="00592149" w:rsidRDefault="004E4AA0" w:rsidP="00187480">
      <w:pPr>
        <w:pStyle w:val="ListNormal"/>
        <w:numPr>
          <w:ilvl w:val="4"/>
          <w:numId w:val="9"/>
        </w:numPr>
      </w:pPr>
      <w:r>
        <w:t xml:space="preserve">a description of the </w:t>
      </w:r>
      <w:r w:rsidR="00F41C2F">
        <w:t>GT2</w:t>
      </w:r>
      <w:r w:rsidR="00A514B4" w:rsidRPr="00592149">
        <w:t xml:space="preserve"> Price Control Financial Model </w:t>
      </w:r>
      <w:r>
        <w:t>(</w:t>
      </w:r>
      <w:r w:rsidR="00A514B4" w:rsidRPr="00592149">
        <w:t>PCFM</w:t>
      </w:r>
      <w:r w:rsidR="00371A11">
        <w:t>)</w:t>
      </w:r>
      <w:r w:rsidR="00A514B4" w:rsidRPr="00592149">
        <w:t xml:space="preserve"> and the Annual Iteration Process </w:t>
      </w:r>
      <w:r>
        <w:t xml:space="preserve">(AIP) </w:t>
      </w:r>
      <w:r w:rsidR="00A514B4" w:rsidRPr="00592149">
        <w:t xml:space="preserve">for it, used to calculate licensee’s </w:t>
      </w:r>
      <w:r>
        <w:t>Allowed Revenue</w:t>
      </w:r>
      <w:r w:rsidR="00A514B4" w:rsidRPr="00592149">
        <w:t xml:space="preserve"> during the course of the RIIO-</w:t>
      </w:r>
      <w:r w:rsidR="00F41C2F">
        <w:t>GT2</w:t>
      </w:r>
      <w:r w:rsidR="00CB5959">
        <w:t xml:space="preserve"> Price Control Period</w:t>
      </w:r>
    </w:p>
    <w:p w14:paraId="5162279E" w14:textId="0D1AAD33" w:rsidR="00A514B4" w:rsidRPr="00592149" w:rsidRDefault="00A514B4" w:rsidP="00187480">
      <w:pPr>
        <w:pStyle w:val="ListNormal"/>
        <w:numPr>
          <w:ilvl w:val="4"/>
          <w:numId w:val="9"/>
        </w:numPr>
      </w:pPr>
      <w:r w:rsidRPr="00592149">
        <w:t xml:space="preserve">an overview of the </w:t>
      </w:r>
      <w:r w:rsidR="00F41C2F">
        <w:t>GT2</w:t>
      </w:r>
      <w:r w:rsidRPr="00592149">
        <w:t xml:space="preserve"> </w:t>
      </w:r>
      <w:r w:rsidR="00371A11">
        <w:t xml:space="preserve">Variable Values used in the </w:t>
      </w:r>
      <w:r w:rsidRPr="00592149">
        <w:t xml:space="preserve">PCFM </w:t>
      </w:r>
      <w:r w:rsidR="00371A11">
        <w:t>during the AIP</w:t>
      </w:r>
      <w:r w:rsidR="00B017EA">
        <w:t>, in accordance with the S</w:t>
      </w:r>
      <w:r w:rsidRPr="00592149">
        <w:t>pecia</w:t>
      </w:r>
      <w:r w:rsidR="00B017EA">
        <w:t>l C</w:t>
      </w:r>
      <w:r w:rsidR="00CB5959">
        <w:t>onditions of the Licence</w:t>
      </w:r>
    </w:p>
    <w:p w14:paraId="3D96C472" w14:textId="656BD1F6" w:rsidR="00A514B4" w:rsidRDefault="009A6EF7" w:rsidP="00187480">
      <w:pPr>
        <w:pStyle w:val="ListNormal"/>
        <w:numPr>
          <w:ilvl w:val="4"/>
          <w:numId w:val="9"/>
        </w:numPr>
      </w:pPr>
      <w:r>
        <w:t xml:space="preserve">details of how certain </w:t>
      </w:r>
      <w:r w:rsidR="00F41C2F">
        <w:t>GT2</w:t>
      </w:r>
      <w:r>
        <w:t xml:space="preserve"> Variable Values are revised or </w:t>
      </w:r>
      <w:r w:rsidR="00666B7D">
        <w:t>calculated</w:t>
      </w:r>
      <w:r w:rsidR="00A514B4" w:rsidRPr="00592149">
        <w:t>.</w:t>
      </w:r>
    </w:p>
    <w:p w14:paraId="2B158011" w14:textId="1558B2F2" w:rsidR="00A514B4" w:rsidRPr="00592149" w:rsidRDefault="00A514B4" w:rsidP="006E6468">
      <w:pPr>
        <w:spacing w:after="300"/>
      </w:pPr>
      <w:r w:rsidRPr="00592149">
        <w:t xml:space="preserve">The procedures relating to modification of this </w:t>
      </w:r>
      <w:r w:rsidR="00944D8A">
        <w:t>h</w:t>
      </w:r>
      <w:r w:rsidRPr="00592149">
        <w:t xml:space="preserve">andbook and the PCFM are contained in Special Condition </w:t>
      </w:r>
      <w:r w:rsidR="00A836EA" w:rsidRPr="00A23E59">
        <w:t>8</w:t>
      </w:r>
      <w:r w:rsidR="006B7BA9" w:rsidRPr="00A23E59">
        <w:t>.1</w:t>
      </w:r>
      <w:r w:rsidR="006E6468">
        <w:t xml:space="preserve"> and </w:t>
      </w:r>
      <w:r w:rsidRPr="00592149">
        <w:t>up to date version</w:t>
      </w:r>
      <w:r w:rsidR="006E6468">
        <w:t>s</w:t>
      </w:r>
      <w:r w:rsidRPr="00592149">
        <w:t xml:space="preserve"> of </w:t>
      </w:r>
      <w:r w:rsidR="006E6468">
        <w:t xml:space="preserve">both </w:t>
      </w:r>
      <w:r w:rsidRPr="00592149">
        <w:t>can be accessed on the Ofgem website.</w:t>
      </w:r>
    </w:p>
    <w:p w14:paraId="30302E8A" w14:textId="77777777" w:rsidR="009255BB" w:rsidRDefault="009255BB" w:rsidP="004805D7">
      <w:pPr>
        <w:spacing w:line="276" w:lineRule="auto"/>
        <w:rPr>
          <w:color w:val="1D1D1B"/>
          <w:sz w:val="22"/>
          <w:szCs w:val="22"/>
        </w:rPr>
      </w:pPr>
    </w:p>
    <w:p w14:paraId="1C8CE7F6" w14:textId="6C69EBA0" w:rsidR="002F62F4" w:rsidRDefault="002F62F4" w:rsidP="004805D7">
      <w:pPr>
        <w:spacing w:line="276" w:lineRule="auto"/>
      </w:pPr>
    </w:p>
    <w:p w14:paraId="3681567B" w14:textId="77777777" w:rsidR="009F4D84" w:rsidRDefault="009F4D84" w:rsidP="004805D7">
      <w:pPr>
        <w:spacing w:line="276" w:lineRule="auto"/>
      </w:pPr>
    </w:p>
    <w:p w14:paraId="6DE09FF9" w14:textId="17904537" w:rsidR="002F62F4" w:rsidRDefault="002F62F4" w:rsidP="004805D7">
      <w:pPr>
        <w:spacing w:line="276" w:lineRule="auto"/>
      </w:pPr>
    </w:p>
    <w:p w14:paraId="14BC1C4F" w14:textId="31BE867A" w:rsidR="00CB19C9" w:rsidRDefault="00CB19C9" w:rsidP="004805D7">
      <w:pPr>
        <w:spacing w:line="276" w:lineRule="auto"/>
      </w:pPr>
    </w:p>
    <w:p w14:paraId="639CACDB" w14:textId="187E3765" w:rsidR="00CB19C9" w:rsidRDefault="00CB19C9" w:rsidP="004805D7">
      <w:pPr>
        <w:spacing w:line="276" w:lineRule="auto"/>
      </w:pPr>
    </w:p>
    <w:p w14:paraId="3D1FCFAB" w14:textId="720038AB" w:rsidR="00CB19C9" w:rsidRDefault="00CB19C9" w:rsidP="004805D7">
      <w:pPr>
        <w:spacing w:line="276" w:lineRule="auto"/>
      </w:pPr>
    </w:p>
    <w:p w14:paraId="0D8AEB84" w14:textId="33BE728F" w:rsidR="00CB19C9" w:rsidRDefault="00CB19C9" w:rsidP="004805D7">
      <w:pPr>
        <w:spacing w:line="276" w:lineRule="auto"/>
      </w:pPr>
    </w:p>
    <w:p w14:paraId="2C3D9F82" w14:textId="4E173124" w:rsidR="00CB19C9" w:rsidRDefault="00CB19C9" w:rsidP="004805D7">
      <w:pPr>
        <w:spacing w:line="276" w:lineRule="auto"/>
      </w:pPr>
    </w:p>
    <w:p w14:paraId="6AC514FB" w14:textId="37B8806C" w:rsidR="009F4D84" w:rsidRDefault="009F4D84" w:rsidP="004805D7">
      <w:pPr>
        <w:spacing w:line="276" w:lineRule="auto"/>
      </w:pPr>
    </w:p>
    <w:p w14:paraId="3C237764" w14:textId="3562A090" w:rsidR="009F4D84" w:rsidRDefault="009F4D84" w:rsidP="004805D7">
      <w:pPr>
        <w:spacing w:line="276" w:lineRule="auto"/>
      </w:pPr>
    </w:p>
    <w:p w14:paraId="23B67A86" w14:textId="5297E879" w:rsidR="009F4D84" w:rsidRDefault="009F4D84" w:rsidP="004805D7">
      <w:pPr>
        <w:spacing w:line="276" w:lineRule="auto"/>
      </w:pPr>
    </w:p>
    <w:p w14:paraId="28BE3F27" w14:textId="34F353CE" w:rsidR="009F4D84" w:rsidRDefault="009F4D84" w:rsidP="004805D7">
      <w:pPr>
        <w:spacing w:line="276" w:lineRule="auto"/>
      </w:pPr>
    </w:p>
    <w:p w14:paraId="75E2E751" w14:textId="46DCC1F3" w:rsidR="009F4D84" w:rsidRDefault="009F4D84" w:rsidP="004805D7">
      <w:pPr>
        <w:spacing w:line="276" w:lineRule="auto"/>
      </w:pPr>
    </w:p>
    <w:p w14:paraId="1E095834" w14:textId="1B1DF28C" w:rsidR="009F4D84" w:rsidRDefault="009F4D84" w:rsidP="004805D7">
      <w:pPr>
        <w:spacing w:line="276" w:lineRule="auto"/>
      </w:pPr>
    </w:p>
    <w:p w14:paraId="66EE9317" w14:textId="77777777" w:rsidR="009F4D84" w:rsidRDefault="009F4D84" w:rsidP="004805D7">
      <w:pPr>
        <w:spacing w:line="276" w:lineRule="auto"/>
      </w:pPr>
    </w:p>
    <w:p w14:paraId="6C782C0A" w14:textId="266F7ECF" w:rsidR="002F62F4" w:rsidRDefault="002F62F4" w:rsidP="004805D7">
      <w:pPr>
        <w:spacing w:line="276" w:lineRule="auto"/>
      </w:pPr>
    </w:p>
    <w:p w14:paraId="1E60A57D" w14:textId="20A02194" w:rsidR="002F62F4" w:rsidRDefault="002F62F4" w:rsidP="004805D7">
      <w:pPr>
        <w:spacing w:line="276" w:lineRule="auto"/>
      </w:pPr>
    </w:p>
    <w:p w14:paraId="3A34FB77" w14:textId="77777777" w:rsidR="002F62F4" w:rsidRDefault="002F62F4" w:rsidP="004805D7">
      <w:pPr>
        <w:spacing w:line="276" w:lineRule="auto"/>
      </w:pPr>
    </w:p>
    <w:p w14:paraId="30302E9A" w14:textId="60DE4050" w:rsidR="009255BB" w:rsidRDefault="009255BB" w:rsidP="004805D7">
      <w:pPr>
        <w:spacing w:line="276" w:lineRule="auto"/>
      </w:pPr>
    </w:p>
    <w:p w14:paraId="495634CC" w14:textId="038F736A" w:rsidR="009F4D84" w:rsidRDefault="009F4D84" w:rsidP="004805D7">
      <w:pPr>
        <w:spacing w:line="276" w:lineRule="auto"/>
      </w:pPr>
    </w:p>
    <w:p w14:paraId="314B5F88" w14:textId="4D2387EF" w:rsidR="009F4D84" w:rsidRDefault="009F4D84" w:rsidP="004805D7">
      <w:pPr>
        <w:spacing w:line="276" w:lineRule="auto"/>
      </w:pPr>
    </w:p>
    <w:p w14:paraId="6722A986" w14:textId="3867E433" w:rsidR="009F4D84" w:rsidRDefault="009F4D84" w:rsidP="004805D7">
      <w:pPr>
        <w:spacing w:line="276" w:lineRule="auto"/>
      </w:pPr>
    </w:p>
    <w:p w14:paraId="04AA45C8" w14:textId="5000B5EE" w:rsidR="009F4D84" w:rsidRDefault="009F4D84" w:rsidP="004805D7">
      <w:pPr>
        <w:spacing w:line="276" w:lineRule="auto"/>
      </w:pPr>
    </w:p>
    <w:p w14:paraId="4650466C" w14:textId="366180F7" w:rsidR="009F4D84" w:rsidRDefault="009F4D84" w:rsidP="004805D7">
      <w:pPr>
        <w:spacing w:line="276" w:lineRule="auto"/>
      </w:pPr>
    </w:p>
    <w:p w14:paraId="559D631D" w14:textId="419D4540" w:rsidR="009F4D84" w:rsidRDefault="009F4D84" w:rsidP="004805D7">
      <w:pPr>
        <w:spacing w:line="276" w:lineRule="auto"/>
      </w:pPr>
    </w:p>
    <w:p w14:paraId="49767B32" w14:textId="5EA0FFCC" w:rsidR="009F4D84" w:rsidRDefault="009F4D84" w:rsidP="004805D7">
      <w:pPr>
        <w:spacing w:line="276" w:lineRule="auto"/>
      </w:pPr>
    </w:p>
    <w:p w14:paraId="61821BD6" w14:textId="6A63FCC4" w:rsidR="009F4D84" w:rsidRDefault="009F4D84" w:rsidP="004805D7">
      <w:pPr>
        <w:spacing w:line="276" w:lineRule="auto"/>
      </w:pPr>
    </w:p>
    <w:p w14:paraId="18E4D29B" w14:textId="1882D8A1" w:rsidR="009F4D84" w:rsidRDefault="009F4D84" w:rsidP="004805D7">
      <w:pPr>
        <w:spacing w:line="276" w:lineRule="auto"/>
      </w:pPr>
    </w:p>
    <w:p w14:paraId="6EBD5CBF" w14:textId="3E565E7F" w:rsidR="009F4D84" w:rsidRDefault="009F4D84" w:rsidP="004805D7">
      <w:pPr>
        <w:spacing w:line="276" w:lineRule="auto"/>
      </w:pPr>
    </w:p>
    <w:p w14:paraId="12740AFA" w14:textId="4E575250" w:rsidR="009F4D84" w:rsidRDefault="009F4D84" w:rsidP="004805D7">
      <w:pPr>
        <w:spacing w:line="276" w:lineRule="auto"/>
      </w:pPr>
    </w:p>
    <w:p w14:paraId="06FDACF8" w14:textId="0BCD55D7" w:rsidR="009F4D84" w:rsidRDefault="009F4D84" w:rsidP="004805D7">
      <w:pPr>
        <w:spacing w:line="276" w:lineRule="auto"/>
      </w:pPr>
    </w:p>
    <w:p w14:paraId="5F62D067" w14:textId="0902BDA2" w:rsidR="009F4D84" w:rsidRDefault="009F4D84" w:rsidP="004805D7">
      <w:pPr>
        <w:spacing w:line="276" w:lineRule="auto"/>
      </w:pPr>
    </w:p>
    <w:p w14:paraId="30302E9B" w14:textId="2B4432C5" w:rsidR="009255BB" w:rsidRDefault="0042209F" w:rsidP="004805D7">
      <w:pPr>
        <w:spacing w:line="276" w:lineRule="auto"/>
      </w:pPr>
      <w:r>
        <w:rPr>
          <w:noProof/>
          <w:color w:val="1D1D1B"/>
          <w:sz w:val="22"/>
          <w:szCs w:val="22"/>
          <w:lang w:eastAsia="en-GB"/>
        </w:rPr>
        <mc:AlternateContent>
          <mc:Choice Requires="wps">
            <w:drawing>
              <wp:anchor distT="0" distB="0" distL="114300" distR="114300" simplePos="0" relativeHeight="251658240" behindDoc="0" locked="0" layoutInCell="1" allowOverlap="1" wp14:anchorId="30303093" wp14:editId="27C02719">
                <wp:simplePos x="0" y="0"/>
                <wp:positionH relativeFrom="margin">
                  <wp:align>left</wp:align>
                </wp:positionH>
                <wp:positionV relativeFrom="paragraph">
                  <wp:posOffset>4445</wp:posOffset>
                </wp:positionV>
                <wp:extent cx="6007100" cy="2817495"/>
                <wp:effectExtent l="0" t="0" r="0" b="1905"/>
                <wp:wrapNone/>
                <wp:docPr id="8" name="Text Box 8"/>
                <wp:cNvGraphicFramePr/>
                <a:graphic xmlns:a="http://schemas.openxmlformats.org/drawingml/2006/main">
                  <a:graphicData uri="http://schemas.microsoft.com/office/word/2010/wordprocessingShape">
                    <wps:wsp>
                      <wps:cNvSpPr txBox="1"/>
                      <wps:spPr>
                        <a:xfrm>
                          <a:off x="0" y="0"/>
                          <a:ext cx="6007100" cy="2817495"/>
                        </a:xfrm>
                        <a:prstGeom prst="rect">
                          <a:avLst/>
                        </a:prstGeom>
                        <a:solidFill>
                          <a:schemeClr val="lt1"/>
                        </a:solidFill>
                        <a:ln w="6350">
                          <a:noFill/>
                        </a:ln>
                      </wps:spPr>
                      <wps:txbx>
                        <w:txbxContent>
                          <w:p w14:paraId="303030F5" w14:textId="2C214089" w:rsidR="003A3E0E" w:rsidRDefault="003A3E0E" w:rsidP="000512D6">
                            <w:pPr>
                              <w:rPr>
                                <w:color w:val="25303B"/>
                                <w:szCs w:val="20"/>
                              </w:rPr>
                            </w:pPr>
                            <w:r w:rsidRPr="000E4FE3">
                              <w:rPr>
                                <w:color w:val="25303B"/>
                                <w:szCs w:val="20"/>
                              </w:rPr>
                              <w:t>© Crown copyright 20</w:t>
                            </w:r>
                            <w:r>
                              <w:rPr>
                                <w:color w:val="25303B"/>
                                <w:szCs w:val="20"/>
                              </w:rPr>
                              <w:t>20</w:t>
                            </w:r>
                            <w:r w:rsidRPr="000E4FE3">
                              <w:rPr>
                                <w:color w:val="25303B"/>
                                <w:szCs w:val="20"/>
                              </w:rPr>
                              <w:t xml:space="preserve"> </w:t>
                            </w:r>
                          </w:p>
                          <w:p w14:paraId="303030F6" w14:textId="024D39A3" w:rsidR="003A3E0E" w:rsidRDefault="003A3E0E" w:rsidP="000512D6">
                            <w:pPr>
                              <w:spacing w:after="120"/>
                              <w:rPr>
                                <w:color w:val="25303B"/>
                                <w:szCs w:val="20"/>
                              </w:rPr>
                            </w:pPr>
                            <w:r>
                              <w:rPr>
                                <w:color w:val="25303B"/>
                                <w:szCs w:val="20"/>
                              </w:rPr>
                              <w:t xml:space="preserve">The text of this document may be reproduced (excluding logos) under and in accordance with the terms of the </w:t>
                            </w:r>
                            <w:hyperlink r:id="rId12" w:history="1">
                              <w:r>
                                <w:rPr>
                                  <w:rStyle w:val="Hyperlink"/>
                                  <w:b/>
                                  <w:szCs w:val="20"/>
                                </w:rPr>
                                <w:t>Open Government Licence</w:t>
                              </w:r>
                            </w:hyperlink>
                            <w:r>
                              <w:rPr>
                                <w:color w:val="25303B"/>
                                <w:szCs w:val="20"/>
                              </w:rPr>
                              <w:t xml:space="preserve">. </w:t>
                            </w:r>
                          </w:p>
                          <w:p w14:paraId="303030F7" w14:textId="77777777" w:rsidR="003A3E0E" w:rsidRDefault="003A3E0E" w:rsidP="000512D6">
                            <w:pPr>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303030F8" w14:textId="77777777" w:rsidR="003A3E0E" w:rsidRDefault="003A3E0E" w:rsidP="000512D6">
                            <w:pPr>
                              <w:rPr>
                                <w:color w:val="25303B"/>
                                <w:szCs w:val="20"/>
                              </w:rPr>
                            </w:pPr>
                            <w:r>
                              <w:rPr>
                                <w:color w:val="25303B"/>
                                <w:szCs w:val="20"/>
                              </w:rPr>
                              <w:t xml:space="preserve">Any enquiries related to the text of this publication should be sent to Ofgem at: </w:t>
                            </w:r>
                          </w:p>
                          <w:p w14:paraId="303030F9" w14:textId="77777777" w:rsidR="003A3E0E" w:rsidRDefault="003A3E0E" w:rsidP="000512D6">
                            <w:pPr>
                              <w:spacing w:after="120"/>
                              <w:rPr>
                                <w:color w:val="25303B"/>
                                <w:szCs w:val="20"/>
                              </w:rPr>
                            </w:pPr>
                            <w:r>
                              <w:rPr>
                                <w:color w:val="25303B"/>
                                <w:szCs w:val="20"/>
                              </w:rPr>
                              <w:t>10 South Colonnade, Canary Wharf, London, E14 4PU. Alternatively, please call Ofgem on 0207 901 7000.</w:t>
                            </w:r>
                          </w:p>
                          <w:p w14:paraId="303030FA" w14:textId="77777777" w:rsidR="003A3E0E" w:rsidRDefault="003A3E0E" w:rsidP="000512D6">
                            <w:pPr>
                              <w:rPr>
                                <w:color w:val="25303B"/>
                                <w:szCs w:val="20"/>
                              </w:rPr>
                            </w:pPr>
                            <w:r>
                              <w:rPr>
                                <w:color w:val="25303B"/>
                                <w:szCs w:val="20"/>
                              </w:rPr>
                              <w:t xml:space="preserve">This publication is available at </w:t>
                            </w:r>
                            <w:hyperlink r:id="rId13" w:history="1">
                              <w:r>
                                <w:rPr>
                                  <w:rStyle w:val="Hyperlink"/>
                                  <w:b/>
                                  <w:szCs w:val="20"/>
                                </w:rPr>
                                <w:t>www.ofgem.gov.uk</w:t>
                              </w:r>
                            </w:hyperlink>
                            <w:r>
                              <w:rPr>
                                <w:color w:val="25303B"/>
                                <w:szCs w:val="20"/>
                              </w:rPr>
                              <w:t xml:space="preserve">. Any enquiries regarding the use and re-use of this information resource should be sent to: </w:t>
                            </w:r>
                            <w:hyperlink r:id="rId14" w:history="1">
                              <w:r>
                                <w:rPr>
                                  <w:rStyle w:val="Hyperlink"/>
                                  <w:szCs w:val="20"/>
                                </w:rPr>
                                <w:t>psi@nationalarchives.gsi.gov.uk</w:t>
                              </w:r>
                            </w:hyperlink>
                          </w:p>
                          <w:p w14:paraId="303030FB" w14:textId="77777777" w:rsidR="003A3E0E" w:rsidRDefault="003A3E0E" w:rsidP="00D2288E">
                            <w:pPr>
                              <w:spacing w:line="276" w:lineRule="auto"/>
                              <w:rPr>
                                <w:color w:val="25303B"/>
                                <w:szCs w:val="20"/>
                              </w:rPr>
                            </w:pPr>
                          </w:p>
                          <w:p w14:paraId="303030FC" w14:textId="77777777" w:rsidR="003A3E0E" w:rsidRDefault="003A3E0E" w:rsidP="00D2288E">
                            <w:pPr>
                              <w:spacing w:line="276" w:lineRule="auto"/>
                              <w:rPr>
                                <w:color w:val="25303B"/>
                                <w:szCs w:val="20"/>
                              </w:rPr>
                            </w:pPr>
                          </w:p>
                          <w:p w14:paraId="303030FD" w14:textId="77777777" w:rsidR="003A3E0E" w:rsidRDefault="003A3E0E" w:rsidP="00D2288E">
                            <w:pPr>
                              <w:spacing w:line="276" w:lineRule="auto"/>
                              <w:rPr>
                                <w:color w:val="25303B"/>
                                <w:szCs w:val="20"/>
                              </w:rPr>
                            </w:pPr>
                          </w:p>
                          <w:p w14:paraId="303030FE" w14:textId="77777777" w:rsidR="003A3E0E" w:rsidRDefault="003A3E0E" w:rsidP="00D2288E">
                            <w:pPr>
                              <w:spacing w:line="276" w:lineRule="auto"/>
                              <w:rPr>
                                <w:color w:val="25303B"/>
                                <w:szCs w:val="20"/>
                              </w:rPr>
                            </w:pPr>
                          </w:p>
                          <w:p w14:paraId="303030FF" w14:textId="77777777" w:rsidR="003A3E0E" w:rsidRPr="000E4FE3" w:rsidRDefault="003A3E0E" w:rsidP="00D2288E">
                            <w:pPr>
                              <w:spacing w:line="276" w:lineRule="auto"/>
                              <w:rPr>
                                <w:color w:val="25303B"/>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0303093" id="_x0000_t202" coordsize="21600,21600" o:spt="202" path="m,l,21600r21600,l21600,xe">
                <v:stroke joinstyle="miter"/>
                <v:path gradientshapeok="t" o:connecttype="rect"/>
              </v:shapetype>
              <v:shape id="Text Box 8" o:spid="_x0000_s1026" type="#_x0000_t202" style="position:absolute;margin-left:0;margin-top:.35pt;width:473pt;height:221.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" fillcolor="white [3201]" stroked="f" strokeweight=".5pt">
                <v:textbox>
                  <w:txbxContent>
                    <w:p w14:paraId="303030F5" w14:textId="2C214089" w:rsidR="003A3E0E" w:rsidRDefault="003A3E0E" w:rsidP="000512D6">
                      <w:pPr>
                        <w:rPr>
                          <w:color w:val="25303B"/>
                          <w:szCs w:val="20"/>
                        </w:rPr>
                      </w:pPr>
                      <w:r w:rsidRPr="000E4FE3">
                        <w:rPr>
                          <w:color w:val="25303B"/>
                          <w:szCs w:val="20"/>
                        </w:rPr>
                        <w:t>© Crown copyright 20</w:t>
                      </w:r>
                      <w:r>
                        <w:rPr>
                          <w:color w:val="25303B"/>
                          <w:szCs w:val="20"/>
                        </w:rPr>
                        <w:t>20</w:t>
                      </w:r>
                      <w:r w:rsidRPr="000E4FE3">
                        <w:rPr>
                          <w:color w:val="25303B"/>
                          <w:szCs w:val="20"/>
                        </w:rPr>
                        <w:t xml:space="preserve"> </w:t>
                      </w:r>
                    </w:p>
                    <w:p w14:paraId="303030F6" w14:textId="024D39A3" w:rsidR="003A3E0E" w:rsidRDefault="003A3E0E" w:rsidP="000512D6">
                      <w:pPr>
                        <w:spacing w:after="120"/>
                        <w:rPr>
                          <w:color w:val="25303B"/>
                          <w:szCs w:val="20"/>
                        </w:rPr>
                      </w:pPr>
                      <w:r>
                        <w:rPr>
                          <w:color w:val="25303B"/>
                          <w:szCs w:val="20"/>
                        </w:rPr>
                        <w:t xml:space="preserve">The text of this document may be reproduced (excluding logos) under and in accordance with the terms of the </w:t>
                      </w:r>
                      <w:hyperlink r:id="rId17" w:history="1">
                        <w:r>
                          <w:rPr>
                            <w:rStyle w:val="Hyperlink"/>
                            <w:b/>
                            <w:szCs w:val="20"/>
                          </w:rPr>
                          <w:t>Open Government Licence</w:t>
                        </w:r>
                      </w:hyperlink>
                      <w:r>
                        <w:rPr>
                          <w:color w:val="25303B"/>
                          <w:szCs w:val="20"/>
                        </w:rPr>
                        <w:t xml:space="preserve">. </w:t>
                      </w:r>
                    </w:p>
                    <w:p w14:paraId="303030F7" w14:textId="77777777" w:rsidR="003A3E0E" w:rsidRDefault="003A3E0E" w:rsidP="000512D6">
                      <w:pPr>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303030F8" w14:textId="77777777" w:rsidR="003A3E0E" w:rsidRDefault="003A3E0E" w:rsidP="000512D6">
                      <w:pPr>
                        <w:rPr>
                          <w:color w:val="25303B"/>
                          <w:szCs w:val="20"/>
                        </w:rPr>
                      </w:pPr>
                      <w:r>
                        <w:rPr>
                          <w:color w:val="25303B"/>
                          <w:szCs w:val="20"/>
                        </w:rPr>
                        <w:t xml:space="preserve">Any enquiries related to the text of this publication should be sent to Ofgem at: </w:t>
                      </w:r>
                    </w:p>
                    <w:p w14:paraId="303030F9" w14:textId="77777777" w:rsidR="003A3E0E" w:rsidRDefault="003A3E0E" w:rsidP="000512D6">
                      <w:pPr>
                        <w:spacing w:after="120"/>
                        <w:rPr>
                          <w:color w:val="25303B"/>
                          <w:szCs w:val="20"/>
                        </w:rPr>
                      </w:pPr>
                      <w:r>
                        <w:rPr>
                          <w:color w:val="25303B"/>
                          <w:szCs w:val="20"/>
                        </w:rPr>
                        <w:t>10 South Colonnade, Canary Wharf, London, E14 4PU. Alternatively, please call Ofgem on 0207 901 7000.</w:t>
                      </w:r>
                    </w:p>
                    <w:p w14:paraId="303030FA" w14:textId="77777777" w:rsidR="003A3E0E" w:rsidRDefault="003A3E0E" w:rsidP="000512D6">
                      <w:pPr>
                        <w:rPr>
                          <w:color w:val="25303B"/>
                          <w:szCs w:val="20"/>
                        </w:rPr>
                      </w:pPr>
                      <w:r>
                        <w:rPr>
                          <w:color w:val="25303B"/>
                          <w:szCs w:val="20"/>
                        </w:rPr>
                        <w:t xml:space="preserve">This publication is available at </w:t>
                      </w:r>
                      <w:hyperlink r:id="rId18" w:history="1">
                        <w:r>
                          <w:rPr>
                            <w:rStyle w:val="Hyperlink"/>
                            <w:b/>
                            <w:szCs w:val="20"/>
                          </w:rPr>
                          <w:t>www.ofgem.gov.uk</w:t>
                        </w:r>
                      </w:hyperlink>
                      <w:r>
                        <w:rPr>
                          <w:color w:val="25303B"/>
                          <w:szCs w:val="20"/>
                        </w:rPr>
                        <w:t xml:space="preserve">. Any enquiries regarding the use and re-use of this information resource should be sent to: </w:t>
                      </w:r>
                      <w:hyperlink r:id="rId19" w:history="1">
                        <w:r>
                          <w:rPr>
                            <w:rStyle w:val="Hyperlink"/>
                            <w:szCs w:val="20"/>
                          </w:rPr>
                          <w:t>psi@nationalarchives.gsi.gov.uk</w:t>
                        </w:r>
                      </w:hyperlink>
                    </w:p>
                    <w:p w14:paraId="303030FB" w14:textId="77777777" w:rsidR="003A3E0E" w:rsidRDefault="003A3E0E" w:rsidP="00D2288E">
                      <w:pPr>
                        <w:spacing w:line="276" w:lineRule="auto"/>
                        <w:rPr>
                          <w:color w:val="25303B"/>
                          <w:szCs w:val="20"/>
                        </w:rPr>
                      </w:pPr>
                    </w:p>
                    <w:p w14:paraId="303030FC" w14:textId="77777777" w:rsidR="003A3E0E" w:rsidRDefault="003A3E0E" w:rsidP="00D2288E">
                      <w:pPr>
                        <w:spacing w:line="276" w:lineRule="auto"/>
                        <w:rPr>
                          <w:color w:val="25303B"/>
                          <w:szCs w:val="20"/>
                        </w:rPr>
                      </w:pPr>
                    </w:p>
                    <w:p w14:paraId="303030FD" w14:textId="77777777" w:rsidR="003A3E0E" w:rsidRDefault="003A3E0E" w:rsidP="00D2288E">
                      <w:pPr>
                        <w:spacing w:line="276" w:lineRule="auto"/>
                        <w:rPr>
                          <w:color w:val="25303B"/>
                          <w:szCs w:val="20"/>
                        </w:rPr>
                      </w:pPr>
                    </w:p>
                    <w:p w14:paraId="303030FE" w14:textId="77777777" w:rsidR="003A3E0E" w:rsidRDefault="003A3E0E" w:rsidP="00D2288E">
                      <w:pPr>
                        <w:spacing w:line="276" w:lineRule="auto"/>
                        <w:rPr>
                          <w:color w:val="25303B"/>
                          <w:szCs w:val="20"/>
                        </w:rPr>
                      </w:pPr>
                    </w:p>
                    <w:p w14:paraId="303030FF" w14:textId="77777777" w:rsidR="003A3E0E" w:rsidRPr="000E4FE3" w:rsidRDefault="003A3E0E" w:rsidP="00D2288E">
                      <w:pPr>
                        <w:spacing w:line="276" w:lineRule="auto"/>
                        <w:rPr>
                          <w:color w:val="25303B"/>
                          <w:szCs w:val="20"/>
                        </w:rPr>
                      </w:pPr>
                    </w:p>
                  </w:txbxContent>
                </v:textbox>
                <w10:wrap anchorx="margin"/>
              </v:shape>
            </w:pict>
          </mc:Fallback>
        </mc:AlternateContent>
      </w:r>
    </w:p>
    <w:p w14:paraId="30302E9C" w14:textId="2C1D71D3" w:rsidR="009255BB" w:rsidRDefault="009255BB" w:rsidP="004805D7">
      <w:pPr>
        <w:spacing w:line="276" w:lineRule="auto"/>
      </w:pPr>
    </w:p>
    <w:p w14:paraId="30302E9D" w14:textId="77777777" w:rsidR="009255BB" w:rsidRDefault="009255BB" w:rsidP="004805D7">
      <w:pPr>
        <w:spacing w:line="276" w:lineRule="auto"/>
      </w:pPr>
    </w:p>
    <w:p w14:paraId="30302E9E" w14:textId="270BEE70" w:rsidR="009255BB" w:rsidRDefault="009255BB" w:rsidP="004805D7">
      <w:pPr>
        <w:spacing w:line="276" w:lineRule="auto"/>
      </w:pPr>
    </w:p>
    <w:p w14:paraId="30302E9F" w14:textId="77777777" w:rsidR="009255BB" w:rsidRDefault="009255BB" w:rsidP="004805D7">
      <w:pPr>
        <w:spacing w:line="276" w:lineRule="auto"/>
      </w:pPr>
    </w:p>
    <w:p w14:paraId="30302EA0" w14:textId="76B8DAD9" w:rsidR="009255BB" w:rsidRDefault="009255BB" w:rsidP="004805D7">
      <w:pPr>
        <w:spacing w:line="276" w:lineRule="auto"/>
      </w:pPr>
    </w:p>
    <w:p w14:paraId="30302EA1" w14:textId="2E346645" w:rsidR="009255BB" w:rsidRDefault="009255BB" w:rsidP="004805D7">
      <w:pPr>
        <w:spacing w:line="276" w:lineRule="auto"/>
      </w:pPr>
    </w:p>
    <w:p w14:paraId="30302EA2" w14:textId="77777777" w:rsidR="009255BB" w:rsidRDefault="009255BB" w:rsidP="004805D7">
      <w:pPr>
        <w:spacing w:line="276" w:lineRule="auto"/>
      </w:pPr>
    </w:p>
    <w:p w14:paraId="30302EA3" w14:textId="77777777" w:rsidR="009255BB" w:rsidRDefault="009255BB" w:rsidP="004805D7">
      <w:pPr>
        <w:spacing w:line="276" w:lineRule="auto"/>
      </w:pPr>
    </w:p>
    <w:p w14:paraId="30302EA4" w14:textId="77777777" w:rsidR="009255BB" w:rsidRDefault="009255BB" w:rsidP="004805D7">
      <w:pPr>
        <w:spacing w:line="276" w:lineRule="auto"/>
      </w:pPr>
    </w:p>
    <w:p w14:paraId="30302EA5" w14:textId="77777777" w:rsidR="009255BB" w:rsidRDefault="009255BB" w:rsidP="004805D7">
      <w:pPr>
        <w:spacing w:line="276" w:lineRule="auto"/>
      </w:pPr>
    </w:p>
    <w:p w14:paraId="30302EA6" w14:textId="77777777" w:rsidR="009255BB" w:rsidRDefault="009255BB" w:rsidP="004805D7">
      <w:pPr>
        <w:spacing w:line="276" w:lineRule="auto"/>
      </w:pPr>
    </w:p>
    <w:p w14:paraId="30302EA7" w14:textId="77E6FE27" w:rsidR="009255BB" w:rsidRDefault="009255BB" w:rsidP="004805D7">
      <w:pPr>
        <w:spacing w:line="276" w:lineRule="auto"/>
      </w:pPr>
    </w:p>
    <w:p w14:paraId="30302EA8" w14:textId="77777777" w:rsidR="009255BB" w:rsidRDefault="009255BB" w:rsidP="004805D7">
      <w:pPr>
        <w:spacing w:line="276" w:lineRule="auto"/>
      </w:pPr>
    </w:p>
    <w:p w14:paraId="30302EA9" w14:textId="02BD079F" w:rsidR="009255BB" w:rsidRDefault="009255BB" w:rsidP="004805D7">
      <w:pPr>
        <w:spacing w:line="276" w:lineRule="auto"/>
      </w:pPr>
    </w:p>
    <w:p w14:paraId="30302EAA" w14:textId="77777777" w:rsidR="009255BB" w:rsidRDefault="009255BB" w:rsidP="004805D7">
      <w:pPr>
        <w:spacing w:line="276" w:lineRule="auto"/>
      </w:pPr>
    </w:p>
    <w:p w14:paraId="30302EB5" w14:textId="140C2B3D" w:rsidR="00A45CFA" w:rsidRDefault="00A45CFA" w:rsidP="00DB1396">
      <w:r>
        <w:br w:type="page"/>
      </w:r>
    </w:p>
    <w:sdt>
      <w:sdtPr>
        <w:id w:val="666752574"/>
        <w:docPartObj>
          <w:docPartGallery w:val="Table of Contents"/>
          <w:docPartUnique/>
        </w:docPartObj>
      </w:sdtPr>
      <w:sdtEndPr/>
      <w:sdtContent>
        <w:p w14:paraId="461A9184" w14:textId="77777777" w:rsidR="001B57B3" w:rsidRPr="001B57B3" w:rsidRDefault="001B57B3" w:rsidP="000512D6">
          <w:pPr>
            <w:keepNext/>
            <w:keepLines/>
            <w:spacing w:before="240"/>
            <w:rPr>
              <w:rFonts w:eastAsiaTheme="majorEastAsia" w:cstheme="majorBidi"/>
              <w:b/>
              <w:color w:val="F68220"/>
              <w:sz w:val="28"/>
              <w:szCs w:val="32"/>
            </w:rPr>
          </w:pPr>
          <w:r w:rsidRPr="001B57B3">
            <w:rPr>
              <w:rFonts w:eastAsiaTheme="majorEastAsia" w:cstheme="majorBidi"/>
              <w:b/>
              <w:color w:val="F68220"/>
              <w:sz w:val="28"/>
              <w:szCs w:val="32"/>
            </w:rPr>
            <w:t>Contents</w:t>
          </w:r>
        </w:p>
        <w:p w14:paraId="14C2A229" w14:textId="14B6BEFF" w:rsidR="00C21C6D" w:rsidRDefault="001B57B3">
          <w:pPr>
            <w:pStyle w:val="TOC1"/>
            <w:tabs>
              <w:tab w:val="right" w:leader="dot" w:pos="9514"/>
            </w:tabs>
            <w:rPr>
              <w:rFonts w:asciiTheme="minorHAnsi" w:eastAsiaTheme="minorEastAsia" w:hAnsiTheme="minorHAnsi" w:cstheme="minorBidi"/>
              <w:b w:val="0"/>
              <w:noProof/>
              <w:szCs w:val="22"/>
              <w:lang w:eastAsia="en-GB"/>
            </w:rPr>
          </w:pPr>
          <w:r w:rsidRPr="001B57B3">
            <w:fldChar w:fldCharType="begin"/>
          </w:r>
          <w:r w:rsidRPr="001B57B3">
            <w:instrText xml:space="preserve"> TOC \o "1-3" \h \z \u </w:instrText>
          </w:r>
          <w:r w:rsidRPr="001B57B3">
            <w:fldChar w:fldCharType="separate"/>
          </w:r>
          <w:hyperlink w:anchor="_Toc52357072" w:history="1">
            <w:r w:rsidR="00C21C6D" w:rsidRPr="00007262">
              <w:rPr>
                <w:rStyle w:val="Hyperlink"/>
                <w:noProof/>
              </w:rPr>
              <w:t>1. Introduction</w:t>
            </w:r>
            <w:r w:rsidR="00C21C6D">
              <w:rPr>
                <w:noProof/>
                <w:webHidden/>
              </w:rPr>
              <w:tab/>
            </w:r>
            <w:r w:rsidR="00C21C6D">
              <w:rPr>
                <w:noProof/>
                <w:webHidden/>
              </w:rPr>
              <w:fldChar w:fldCharType="begin"/>
            </w:r>
            <w:r w:rsidR="00C21C6D">
              <w:rPr>
                <w:noProof/>
                <w:webHidden/>
              </w:rPr>
              <w:instrText xml:space="preserve"> PAGEREF _Toc52357072 \h </w:instrText>
            </w:r>
            <w:r w:rsidR="00C21C6D">
              <w:rPr>
                <w:noProof/>
                <w:webHidden/>
              </w:rPr>
            </w:r>
            <w:r w:rsidR="00C21C6D">
              <w:rPr>
                <w:noProof/>
                <w:webHidden/>
              </w:rPr>
              <w:fldChar w:fldCharType="separate"/>
            </w:r>
            <w:r w:rsidR="00C21C6D">
              <w:rPr>
                <w:noProof/>
                <w:webHidden/>
              </w:rPr>
              <w:t>5</w:t>
            </w:r>
            <w:r w:rsidR="00C21C6D">
              <w:rPr>
                <w:noProof/>
                <w:webHidden/>
              </w:rPr>
              <w:fldChar w:fldCharType="end"/>
            </w:r>
          </w:hyperlink>
        </w:p>
        <w:p w14:paraId="09D3BA9E" w14:textId="0B853F30"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073" w:history="1">
            <w:r w:rsidR="00C21C6D" w:rsidRPr="00007262">
              <w:rPr>
                <w:rStyle w:val="Hyperlink"/>
                <w:noProof/>
              </w:rPr>
              <w:t>Related documents</w:t>
            </w:r>
            <w:r w:rsidR="00C21C6D">
              <w:rPr>
                <w:noProof/>
                <w:webHidden/>
              </w:rPr>
              <w:tab/>
            </w:r>
            <w:r w:rsidR="00C21C6D">
              <w:rPr>
                <w:noProof/>
                <w:webHidden/>
              </w:rPr>
              <w:fldChar w:fldCharType="begin"/>
            </w:r>
            <w:r w:rsidR="00C21C6D">
              <w:rPr>
                <w:noProof/>
                <w:webHidden/>
              </w:rPr>
              <w:instrText xml:space="preserve"> PAGEREF _Toc52357073 \h </w:instrText>
            </w:r>
            <w:r w:rsidR="00C21C6D">
              <w:rPr>
                <w:noProof/>
                <w:webHidden/>
              </w:rPr>
            </w:r>
            <w:r w:rsidR="00C21C6D">
              <w:rPr>
                <w:noProof/>
                <w:webHidden/>
              </w:rPr>
              <w:fldChar w:fldCharType="separate"/>
            </w:r>
            <w:r w:rsidR="00C21C6D">
              <w:rPr>
                <w:noProof/>
                <w:webHidden/>
              </w:rPr>
              <w:t>6</w:t>
            </w:r>
            <w:r w:rsidR="00C21C6D">
              <w:rPr>
                <w:noProof/>
                <w:webHidden/>
              </w:rPr>
              <w:fldChar w:fldCharType="end"/>
            </w:r>
          </w:hyperlink>
        </w:p>
        <w:p w14:paraId="1AAAE9F6" w14:textId="4A9265B0"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074" w:history="1">
            <w:r w:rsidR="00C21C6D" w:rsidRPr="00007262">
              <w:rPr>
                <w:rStyle w:val="Hyperlink"/>
                <w:noProof/>
              </w:rPr>
              <w:t>Document structure</w:t>
            </w:r>
            <w:r w:rsidR="00C21C6D">
              <w:rPr>
                <w:noProof/>
                <w:webHidden/>
              </w:rPr>
              <w:tab/>
            </w:r>
            <w:r w:rsidR="00C21C6D">
              <w:rPr>
                <w:noProof/>
                <w:webHidden/>
              </w:rPr>
              <w:fldChar w:fldCharType="begin"/>
            </w:r>
            <w:r w:rsidR="00C21C6D">
              <w:rPr>
                <w:noProof/>
                <w:webHidden/>
              </w:rPr>
              <w:instrText xml:space="preserve"> PAGEREF _Toc52357074 \h </w:instrText>
            </w:r>
            <w:r w:rsidR="00C21C6D">
              <w:rPr>
                <w:noProof/>
                <w:webHidden/>
              </w:rPr>
            </w:r>
            <w:r w:rsidR="00C21C6D">
              <w:rPr>
                <w:noProof/>
                <w:webHidden/>
              </w:rPr>
              <w:fldChar w:fldCharType="separate"/>
            </w:r>
            <w:r w:rsidR="00C21C6D">
              <w:rPr>
                <w:noProof/>
                <w:webHidden/>
              </w:rPr>
              <w:t>6</w:t>
            </w:r>
            <w:r w:rsidR="00C21C6D">
              <w:rPr>
                <w:noProof/>
                <w:webHidden/>
              </w:rPr>
              <w:fldChar w:fldCharType="end"/>
            </w:r>
          </w:hyperlink>
        </w:p>
        <w:p w14:paraId="29DE3C70" w14:textId="7FE6AFA0" w:rsidR="00C21C6D" w:rsidRDefault="000427EE">
          <w:pPr>
            <w:pStyle w:val="TOC1"/>
            <w:tabs>
              <w:tab w:val="right" w:leader="dot" w:pos="9514"/>
            </w:tabs>
            <w:rPr>
              <w:rFonts w:asciiTheme="minorHAnsi" w:eastAsiaTheme="minorEastAsia" w:hAnsiTheme="minorHAnsi" w:cstheme="minorBidi"/>
              <w:b w:val="0"/>
              <w:noProof/>
              <w:szCs w:val="22"/>
              <w:lang w:eastAsia="en-GB"/>
            </w:rPr>
          </w:pPr>
          <w:hyperlink w:anchor="_Toc52357075" w:history="1">
            <w:r w:rsidR="00C21C6D" w:rsidRPr="00007262">
              <w:rPr>
                <w:rStyle w:val="Hyperlink"/>
                <w:noProof/>
              </w:rPr>
              <w:t>2. The PCFM and the Annual Iteration Process</w:t>
            </w:r>
            <w:r w:rsidR="00C21C6D">
              <w:rPr>
                <w:noProof/>
                <w:webHidden/>
              </w:rPr>
              <w:tab/>
            </w:r>
            <w:r w:rsidR="00C21C6D">
              <w:rPr>
                <w:noProof/>
                <w:webHidden/>
              </w:rPr>
              <w:fldChar w:fldCharType="begin"/>
            </w:r>
            <w:r w:rsidR="00C21C6D">
              <w:rPr>
                <w:noProof/>
                <w:webHidden/>
              </w:rPr>
              <w:instrText xml:space="preserve"> PAGEREF _Toc52357075 \h </w:instrText>
            </w:r>
            <w:r w:rsidR="00C21C6D">
              <w:rPr>
                <w:noProof/>
                <w:webHidden/>
              </w:rPr>
            </w:r>
            <w:r w:rsidR="00C21C6D">
              <w:rPr>
                <w:noProof/>
                <w:webHidden/>
              </w:rPr>
              <w:fldChar w:fldCharType="separate"/>
            </w:r>
            <w:r w:rsidR="00C21C6D">
              <w:rPr>
                <w:noProof/>
                <w:webHidden/>
              </w:rPr>
              <w:t>7</w:t>
            </w:r>
            <w:r w:rsidR="00C21C6D">
              <w:rPr>
                <w:noProof/>
                <w:webHidden/>
              </w:rPr>
              <w:fldChar w:fldCharType="end"/>
            </w:r>
          </w:hyperlink>
        </w:p>
        <w:p w14:paraId="4DC165C2" w14:textId="3334345F"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076" w:history="1">
            <w:r w:rsidR="00C21C6D" w:rsidRPr="00007262">
              <w:rPr>
                <w:rStyle w:val="Hyperlink"/>
                <w:noProof/>
              </w:rPr>
              <w:t>The Price Control Financial Model</w:t>
            </w:r>
            <w:r w:rsidR="00C21C6D">
              <w:rPr>
                <w:noProof/>
                <w:webHidden/>
              </w:rPr>
              <w:tab/>
            </w:r>
            <w:r w:rsidR="00C21C6D">
              <w:rPr>
                <w:noProof/>
                <w:webHidden/>
              </w:rPr>
              <w:fldChar w:fldCharType="begin"/>
            </w:r>
            <w:r w:rsidR="00C21C6D">
              <w:rPr>
                <w:noProof/>
                <w:webHidden/>
              </w:rPr>
              <w:instrText xml:space="preserve"> PAGEREF _Toc52357076 \h </w:instrText>
            </w:r>
            <w:r w:rsidR="00C21C6D">
              <w:rPr>
                <w:noProof/>
                <w:webHidden/>
              </w:rPr>
            </w:r>
            <w:r w:rsidR="00C21C6D">
              <w:rPr>
                <w:noProof/>
                <w:webHidden/>
              </w:rPr>
              <w:fldChar w:fldCharType="separate"/>
            </w:r>
            <w:r w:rsidR="00C21C6D">
              <w:rPr>
                <w:noProof/>
                <w:webHidden/>
              </w:rPr>
              <w:t>7</w:t>
            </w:r>
            <w:r w:rsidR="00C21C6D">
              <w:rPr>
                <w:noProof/>
                <w:webHidden/>
              </w:rPr>
              <w:fldChar w:fldCharType="end"/>
            </w:r>
          </w:hyperlink>
        </w:p>
        <w:p w14:paraId="0F69B1D9" w14:textId="3073816C"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77" w:history="1">
            <w:r w:rsidR="00C21C6D" w:rsidRPr="00007262">
              <w:rPr>
                <w:rStyle w:val="Hyperlink"/>
                <w:noProof/>
              </w:rPr>
              <w:t>Calculated Revenue</w:t>
            </w:r>
            <w:r w:rsidR="00C21C6D">
              <w:rPr>
                <w:noProof/>
                <w:webHidden/>
              </w:rPr>
              <w:tab/>
            </w:r>
            <w:r w:rsidR="00C21C6D">
              <w:rPr>
                <w:noProof/>
                <w:webHidden/>
              </w:rPr>
              <w:fldChar w:fldCharType="begin"/>
            </w:r>
            <w:r w:rsidR="00C21C6D">
              <w:rPr>
                <w:noProof/>
                <w:webHidden/>
              </w:rPr>
              <w:instrText xml:space="preserve"> PAGEREF _Toc52357077 \h </w:instrText>
            </w:r>
            <w:r w:rsidR="00C21C6D">
              <w:rPr>
                <w:noProof/>
                <w:webHidden/>
              </w:rPr>
            </w:r>
            <w:r w:rsidR="00C21C6D">
              <w:rPr>
                <w:noProof/>
                <w:webHidden/>
              </w:rPr>
              <w:fldChar w:fldCharType="separate"/>
            </w:r>
            <w:r w:rsidR="00C21C6D">
              <w:rPr>
                <w:noProof/>
                <w:webHidden/>
              </w:rPr>
              <w:t>7</w:t>
            </w:r>
            <w:r w:rsidR="00C21C6D">
              <w:rPr>
                <w:noProof/>
                <w:webHidden/>
              </w:rPr>
              <w:fldChar w:fldCharType="end"/>
            </w:r>
          </w:hyperlink>
        </w:p>
        <w:p w14:paraId="64D89AA9" w14:textId="0603024B"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78" w:history="1">
            <w:r w:rsidR="00C21C6D" w:rsidRPr="00007262">
              <w:rPr>
                <w:rStyle w:val="Hyperlink"/>
                <w:noProof/>
              </w:rPr>
              <w:t>Allowed Revenue</w:t>
            </w:r>
            <w:r w:rsidR="00C21C6D">
              <w:rPr>
                <w:noProof/>
                <w:webHidden/>
              </w:rPr>
              <w:tab/>
            </w:r>
            <w:r w:rsidR="00C21C6D">
              <w:rPr>
                <w:noProof/>
                <w:webHidden/>
              </w:rPr>
              <w:fldChar w:fldCharType="begin"/>
            </w:r>
            <w:r w:rsidR="00C21C6D">
              <w:rPr>
                <w:noProof/>
                <w:webHidden/>
              </w:rPr>
              <w:instrText xml:space="preserve"> PAGEREF _Toc52357078 \h </w:instrText>
            </w:r>
            <w:r w:rsidR="00C21C6D">
              <w:rPr>
                <w:noProof/>
                <w:webHidden/>
              </w:rPr>
            </w:r>
            <w:r w:rsidR="00C21C6D">
              <w:rPr>
                <w:noProof/>
                <w:webHidden/>
              </w:rPr>
              <w:fldChar w:fldCharType="separate"/>
            </w:r>
            <w:r w:rsidR="00C21C6D">
              <w:rPr>
                <w:noProof/>
                <w:webHidden/>
              </w:rPr>
              <w:t>8</w:t>
            </w:r>
            <w:r w:rsidR="00C21C6D">
              <w:rPr>
                <w:noProof/>
                <w:webHidden/>
              </w:rPr>
              <w:fldChar w:fldCharType="end"/>
            </w:r>
          </w:hyperlink>
        </w:p>
        <w:p w14:paraId="64B23483" w14:textId="0DA7F71F"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79" w:history="1">
            <w:r w:rsidR="00C21C6D" w:rsidRPr="00007262">
              <w:rPr>
                <w:rStyle w:val="Hyperlink"/>
                <w:noProof/>
              </w:rPr>
              <w:t>Price base</w:t>
            </w:r>
            <w:r w:rsidR="00C21C6D">
              <w:rPr>
                <w:noProof/>
                <w:webHidden/>
              </w:rPr>
              <w:tab/>
            </w:r>
            <w:r w:rsidR="00C21C6D">
              <w:rPr>
                <w:noProof/>
                <w:webHidden/>
              </w:rPr>
              <w:fldChar w:fldCharType="begin"/>
            </w:r>
            <w:r w:rsidR="00C21C6D">
              <w:rPr>
                <w:noProof/>
                <w:webHidden/>
              </w:rPr>
              <w:instrText xml:space="preserve"> PAGEREF _Toc52357079 \h </w:instrText>
            </w:r>
            <w:r w:rsidR="00C21C6D">
              <w:rPr>
                <w:noProof/>
                <w:webHidden/>
              </w:rPr>
            </w:r>
            <w:r w:rsidR="00C21C6D">
              <w:rPr>
                <w:noProof/>
                <w:webHidden/>
              </w:rPr>
              <w:fldChar w:fldCharType="separate"/>
            </w:r>
            <w:r w:rsidR="00C21C6D">
              <w:rPr>
                <w:noProof/>
                <w:webHidden/>
              </w:rPr>
              <w:t>8</w:t>
            </w:r>
            <w:r w:rsidR="00C21C6D">
              <w:rPr>
                <w:noProof/>
                <w:webHidden/>
              </w:rPr>
              <w:fldChar w:fldCharType="end"/>
            </w:r>
          </w:hyperlink>
        </w:p>
        <w:p w14:paraId="23956DBE" w14:textId="06021AEA"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80" w:history="1">
            <w:r w:rsidR="00C21C6D" w:rsidRPr="00007262">
              <w:rPr>
                <w:rStyle w:val="Hyperlink"/>
                <w:noProof/>
              </w:rPr>
              <w:t>Temporal convention</w:t>
            </w:r>
            <w:r w:rsidR="00C21C6D">
              <w:rPr>
                <w:noProof/>
                <w:webHidden/>
              </w:rPr>
              <w:tab/>
            </w:r>
            <w:r w:rsidR="00C21C6D">
              <w:rPr>
                <w:noProof/>
                <w:webHidden/>
              </w:rPr>
              <w:fldChar w:fldCharType="begin"/>
            </w:r>
            <w:r w:rsidR="00C21C6D">
              <w:rPr>
                <w:noProof/>
                <w:webHidden/>
              </w:rPr>
              <w:instrText xml:space="preserve"> PAGEREF _Toc52357080 \h </w:instrText>
            </w:r>
            <w:r w:rsidR="00C21C6D">
              <w:rPr>
                <w:noProof/>
                <w:webHidden/>
              </w:rPr>
            </w:r>
            <w:r w:rsidR="00C21C6D">
              <w:rPr>
                <w:noProof/>
                <w:webHidden/>
              </w:rPr>
              <w:fldChar w:fldCharType="separate"/>
            </w:r>
            <w:r w:rsidR="00C21C6D">
              <w:rPr>
                <w:noProof/>
                <w:webHidden/>
              </w:rPr>
              <w:t>9</w:t>
            </w:r>
            <w:r w:rsidR="00C21C6D">
              <w:rPr>
                <w:noProof/>
                <w:webHidden/>
              </w:rPr>
              <w:fldChar w:fldCharType="end"/>
            </w:r>
          </w:hyperlink>
        </w:p>
        <w:p w14:paraId="369FD7EF" w14:textId="63017D91"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81" w:history="1">
            <w:r w:rsidR="00C21C6D" w:rsidRPr="00007262">
              <w:rPr>
                <w:rStyle w:val="Hyperlink"/>
                <w:noProof/>
              </w:rPr>
              <w:t>Forecast Variable Values</w:t>
            </w:r>
            <w:r w:rsidR="00C21C6D">
              <w:rPr>
                <w:noProof/>
                <w:webHidden/>
              </w:rPr>
              <w:tab/>
            </w:r>
            <w:r w:rsidR="00C21C6D">
              <w:rPr>
                <w:noProof/>
                <w:webHidden/>
              </w:rPr>
              <w:fldChar w:fldCharType="begin"/>
            </w:r>
            <w:r w:rsidR="00C21C6D">
              <w:rPr>
                <w:noProof/>
                <w:webHidden/>
              </w:rPr>
              <w:instrText xml:space="preserve"> PAGEREF _Toc52357081 \h </w:instrText>
            </w:r>
            <w:r w:rsidR="00C21C6D">
              <w:rPr>
                <w:noProof/>
                <w:webHidden/>
              </w:rPr>
            </w:r>
            <w:r w:rsidR="00C21C6D">
              <w:rPr>
                <w:noProof/>
                <w:webHidden/>
              </w:rPr>
              <w:fldChar w:fldCharType="separate"/>
            </w:r>
            <w:r w:rsidR="00C21C6D">
              <w:rPr>
                <w:noProof/>
                <w:webHidden/>
              </w:rPr>
              <w:t>10</w:t>
            </w:r>
            <w:r w:rsidR="00C21C6D">
              <w:rPr>
                <w:noProof/>
                <w:webHidden/>
              </w:rPr>
              <w:fldChar w:fldCharType="end"/>
            </w:r>
          </w:hyperlink>
        </w:p>
        <w:p w14:paraId="2D2BB15C" w14:textId="6A8D07CA"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82" w:history="1">
            <w:r w:rsidR="00C21C6D" w:rsidRPr="00007262">
              <w:rPr>
                <w:rStyle w:val="Hyperlink"/>
                <w:noProof/>
              </w:rPr>
              <w:t>Time value of money</w:t>
            </w:r>
            <w:r w:rsidR="00C21C6D">
              <w:rPr>
                <w:noProof/>
                <w:webHidden/>
              </w:rPr>
              <w:tab/>
            </w:r>
            <w:r w:rsidR="00C21C6D">
              <w:rPr>
                <w:noProof/>
                <w:webHidden/>
              </w:rPr>
              <w:fldChar w:fldCharType="begin"/>
            </w:r>
            <w:r w:rsidR="00C21C6D">
              <w:rPr>
                <w:noProof/>
                <w:webHidden/>
              </w:rPr>
              <w:instrText xml:space="preserve"> PAGEREF _Toc52357082 \h </w:instrText>
            </w:r>
            <w:r w:rsidR="00C21C6D">
              <w:rPr>
                <w:noProof/>
                <w:webHidden/>
              </w:rPr>
            </w:r>
            <w:r w:rsidR="00C21C6D">
              <w:rPr>
                <w:noProof/>
                <w:webHidden/>
              </w:rPr>
              <w:fldChar w:fldCharType="separate"/>
            </w:r>
            <w:r w:rsidR="00C21C6D">
              <w:rPr>
                <w:noProof/>
                <w:webHidden/>
              </w:rPr>
              <w:t>10</w:t>
            </w:r>
            <w:r w:rsidR="00C21C6D">
              <w:rPr>
                <w:noProof/>
                <w:webHidden/>
              </w:rPr>
              <w:fldChar w:fldCharType="end"/>
            </w:r>
          </w:hyperlink>
        </w:p>
        <w:p w14:paraId="003FDF7B" w14:textId="5AB8CCCA"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83" w:history="1">
            <w:r w:rsidR="00C21C6D" w:rsidRPr="00007262">
              <w:rPr>
                <w:rStyle w:val="Hyperlink"/>
                <w:noProof/>
              </w:rPr>
              <w:t>State of the PCFM</w:t>
            </w:r>
            <w:r w:rsidR="00C21C6D">
              <w:rPr>
                <w:noProof/>
                <w:webHidden/>
              </w:rPr>
              <w:tab/>
            </w:r>
            <w:r w:rsidR="00C21C6D">
              <w:rPr>
                <w:noProof/>
                <w:webHidden/>
              </w:rPr>
              <w:fldChar w:fldCharType="begin"/>
            </w:r>
            <w:r w:rsidR="00C21C6D">
              <w:rPr>
                <w:noProof/>
                <w:webHidden/>
              </w:rPr>
              <w:instrText xml:space="preserve"> PAGEREF _Toc52357083 \h </w:instrText>
            </w:r>
            <w:r w:rsidR="00C21C6D">
              <w:rPr>
                <w:noProof/>
                <w:webHidden/>
              </w:rPr>
            </w:r>
            <w:r w:rsidR="00C21C6D">
              <w:rPr>
                <w:noProof/>
                <w:webHidden/>
              </w:rPr>
              <w:fldChar w:fldCharType="separate"/>
            </w:r>
            <w:r w:rsidR="00C21C6D">
              <w:rPr>
                <w:noProof/>
                <w:webHidden/>
              </w:rPr>
              <w:t>10</w:t>
            </w:r>
            <w:r w:rsidR="00C21C6D">
              <w:rPr>
                <w:noProof/>
                <w:webHidden/>
              </w:rPr>
              <w:fldChar w:fldCharType="end"/>
            </w:r>
          </w:hyperlink>
        </w:p>
        <w:p w14:paraId="2D6D28FB" w14:textId="0274737D"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84" w:history="1">
            <w:r w:rsidR="00C21C6D" w:rsidRPr="00007262">
              <w:rPr>
                <w:rStyle w:val="Hyperlink"/>
                <w:noProof/>
              </w:rPr>
              <w:t>Error in the functionality of the PCFM</w:t>
            </w:r>
            <w:r w:rsidR="00C21C6D">
              <w:rPr>
                <w:noProof/>
                <w:webHidden/>
              </w:rPr>
              <w:tab/>
            </w:r>
            <w:r w:rsidR="00C21C6D">
              <w:rPr>
                <w:noProof/>
                <w:webHidden/>
              </w:rPr>
              <w:fldChar w:fldCharType="begin"/>
            </w:r>
            <w:r w:rsidR="00C21C6D">
              <w:rPr>
                <w:noProof/>
                <w:webHidden/>
              </w:rPr>
              <w:instrText xml:space="preserve"> PAGEREF _Toc52357084 \h </w:instrText>
            </w:r>
            <w:r w:rsidR="00C21C6D">
              <w:rPr>
                <w:noProof/>
                <w:webHidden/>
              </w:rPr>
            </w:r>
            <w:r w:rsidR="00C21C6D">
              <w:rPr>
                <w:noProof/>
                <w:webHidden/>
              </w:rPr>
              <w:fldChar w:fldCharType="separate"/>
            </w:r>
            <w:r w:rsidR="00C21C6D">
              <w:rPr>
                <w:noProof/>
                <w:webHidden/>
              </w:rPr>
              <w:t>11</w:t>
            </w:r>
            <w:r w:rsidR="00C21C6D">
              <w:rPr>
                <w:noProof/>
                <w:webHidden/>
              </w:rPr>
              <w:fldChar w:fldCharType="end"/>
            </w:r>
          </w:hyperlink>
        </w:p>
        <w:p w14:paraId="4FCA00F9" w14:textId="6777B79F"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085" w:history="1">
            <w:r w:rsidR="00C21C6D" w:rsidRPr="00007262">
              <w:rPr>
                <w:rStyle w:val="Hyperlink"/>
                <w:noProof/>
              </w:rPr>
              <w:t>The GT2 Price Control Financial Model Working Group</w:t>
            </w:r>
            <w:r w:rsidR="00C21C6D">
              <w:rPr>
                <w:noProof/>
                <w:webHidden/>
              </w:rPr>
              <w:tab/>
            </w:r>
            <w:r w:rsidR="00C21C6D">
              <w:rPr>
                <w:noProof/>
                <w:webHidden/>
              </w:rPr>
              <w:fldChar w:fldCharType="begin"/>
            </w:r>
            <w:r w:rsidR="00C21C6D">
              <w:rPr>
                <w:noProof/>
                <w:webHidden/>
              </w:rPr>
              <w:instrText xml:space="preserve"> PAGEREF _Toc52357085 \h </w:instrText>
            </w:r>
            <w:r w:rsidR="00C21C6D">
              <w:rPr>
                <w:noProof/>
                <w:webHidden/>
              </w:rPr>
            </w:r>
            <w:r w:rsidR="00C21C6D">
              <w:rPr>
                <w:noProof/>
                <w:webHidden/>
              </w:rPr>
              <w:fldChar w:fldCharType="separate"/>
            </w:r>
            <w:r w:rsidR="00C21C6D">
              <w:rPr>
                <w:noProof/>
                <w:webHidden/>
              </w:rPr>
              <w:t>11</w:t>
            </w:r>
            <w:r w:rsidR="00C21C6D">
              <w:rPr>
                <w:noProof/>
                <w:webHidden/>
              </w:rPr>
              <w:fldChar w:fldCharType="end"/>
            </w:r>
          </w:hyperlink>
        </w:p>
        <w:p w14:paraId="139425E1" w14:textId="7BE1C15A"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86" w:history="1">
            <w:r w:rsidR="00C21C6D" w:rsidRPr="00007262">
              <w:rPr>
                <w:rStyle w:val="Hyperlink"/>
                <w:noProof/>
              </w:rPr>
              <w:t>Terms of reference</w:t>
            </w:r>
            <w:r w:rsidR="00C21C6D">
              <w:rPr>
                <w:noProof/>
                <w:webHidden/>
              </w:rPr>
              <w:tab/>
            </w:r>
            <w:r w:rsidR="00C21C6D">
              <w:rPr>
                <w:noProof/>
                <w:webHidden/>
              </w:rPr>
              <w:fldChar w:fldCharType="begin"/>
            </w:r>
            <w:r w:rsidR="00C21C6D">
              <w:rPr>
                <w:noProof/>
                <w:webHidden/>
              </w:rPr>
              <w:instrText xml:space="preserve"> PAGEREF _Toc52357086 \h </w:instrText>
            </w:r>
            <w:r w:rsidR="00C21C6D">
              <w:rPr>
                <w:noProof/>
                <w:webHidden/>
              </w:rPr>
            </w:r>
            <w:r w:rsidR="00C21C6D">
              <w:rPr>
                <w:noProof/>
                <w:webHidden/>
              </w:rPr>
              <w:fldChar w:fldCharType="separate"/>
            </w:r>
            <w:r w:rsidR="00C21C6D">
              <w:rPr>
                <w:noProof/>
                <w:webHidden/>
              </w:rPr>
              <w:t>11</w:t>
            </w:r>
            <w:r w:rsidR="00C21C6D">
              <w:rPr>
                <w:noProof/>
                <w:webHidden/>
              </w:rPr>
              <w:fldChar w:fldCharType="end"/>
            </w:r>
          </w:hyperlink>
        </w:p>
        <w:p w14:paraId="357DDEEA" w14:textId="509E0E2B"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087" w:history="1">
            <w:r w:rsidR="00C21C6D" w:rsidRPr="00007262">
              <w:rPr>
                <w:rStyle w:val="Hyperlink"/>
                <w:noProof/>
              </w:rPr>
              <w:t>The Annual Iteration Process (AIP)</w:t>
            </w:r>
            <w:r w:rsidR="00C21C6D">
              <w:rPr>
                <w:noProof/>
                <w:webHidden/>
              </w:rPr>
              <w:tab/>
            </w:r>
            <w:r w:rsidR="00C21C6D">
              <w:rPr>
                <w:noProof/>
                <w:webHidden/>
              </w:rPr>
              <w:fldChar w:fldCharType="begin"/>
            </w:r>
            <w:r w:rsidR="00C21C6D">
              <w:rPr>
                <w:noProof/>
                <w:webHidden/>
              </w:rPr>
              <w:instrText xml:space="preserve"> PAGEREF _Toc52357087 \h </w:instrText>
            </w:r>
            <w:r w:rsidR="00C21C6D">
              <w:rPr>
                <w:noProof/>
                <w:webHidden/>
              </w:rPr>
            </w:r>
            <w:r w:rsidR="00C21C6D">
              <w:rPr>
                <w:noProof/>
                <w:webHidden/>
              </w:rPr>
              <w:fldChar w:fldCharType="separate"/>
            </w:r>
            <w:r w:rsidR="00C21C6D">
              <w:rPr>
                <w:noProof/>
                <w:webHidden/>
              </w:rPr>
              <w:t>13</w:t>
            </w:r>
            <w:r w:rsidR="00C21C6D">
              <w:rPr>
                <w:noProof/>
                <w:webHidden/>
              </w:rPr>
              <w:fldChar w:fldCharType="end"/>
            </w:r>
          </w:hyperlink>
        </w:p>
        <w:p w14:paraId="38DD76FF" w14:textId="3F74DBA9"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88" w:history="1">
            <w:r w:rsidR="00C21C6D" w:rsidRPr="00007262">
              <w:rPr>
                <w:rStyle w:val="Hyperlink"/>
                <w:iCs/>
                <w:noProof/>
              </w:rPr>
              <w:t>Submission of GT2 PCFM</w:t>
            </w:r>
            <w:r w:rsidR="00C21C6D">
              <w:rPr>
                <w:noProof/>
                <w:webHidden/>
              </w:rPr>
              <w:tab/>
            </w:r>
            <w:r w:rsidR="00C21C6D">
              <w:rPr>
                <w:noProof/>
                <w:webHidden/>
              </w:rPr>
              <w:fldChar w:fldCharType="begin"/>
            </w:r>
            <w:r w:rsidR="00C21C6D">
              <w:rPr>
                <w:noProof/>
                <w:webHidden/>
              </w:rPr>
              <w:instrText xml:space="preserve"> PAGEREF _Toc52357088 \h </w:instrText>
            </w:r>
            <w:r w:rsidR="00C21C6D">
              <w:rPr>
                <w:noProof/>
                <w:webHidden/>
              </w:rPr>
            </w:r>
            <w:r w:rsidR="00C21C6D">
              <w:rPr>
                <w:noProof/>
                <w:webHidden/>
              </w:rPr>
              <w:fldChar w:fldCharType="separate"/>
            </w:r>
            <w:r w:rsidR="00C21C6D">
              <w:rPr>
                <w:noProof/>
                <w:webHidden/>
              </w:rPr>
              <w:t>13</w:t>
            </w:r>
            <w:r w:rsidR="00C21C6D">
              <w:rPr>
                <w:noProof/>
                <w:webHidden/>
              </w:rPr>
              <w:fldChar w:fldCharType="end"/>
            </w:r>
          </w:hyperlink>
        </w:p>
        <w:p w14:paraId="232AF320" w14:textId="5716FD5E"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89" w:history="1">
            <w:r w:rsidR="00C21C6D" w:rsidRPr="00007262">
              <w:rPr>
                <w:rStyle w:val="Hyperlink"/>
                <w:iCs/>
                <w:noProof/>
              </w:rPr>
              <w:t>Dry Runs process</w:t>
            </w:r>
            <w:r w:rsidR="00C21C6D">
              <w:rPr>
                <w:noProof/>
                <w:webHidden/>
              </w:rPr>
              <w:tab/>
            </w:r>
            <w:r w:rsidR="00C21C6D">
              <w:rPr>
                <w:noProof/>
                <w:webHidden/>
              </w:rPr>
              <w:fldChar w:fldCharType="begin"/>
            </w:r>
            <w:r w:rsidR="00C21C6D">
              <w:rPr>
                <w:noProof/>
                <w:webHidden/>
              </w:rPr>
              <w:instrText xml:space="preserve"> PAGEREF _Toc52357089 \h </w:instrText>
            </w:r>
            <w:r w:rsidR="00C21C6D">
              <w:rPr>
                <w:noProof/>
                <w:webHidden/>
              </w:rPr>
            </w:r>
            <w:r w:rsidR="00C21C6D">
              <w:rPr>
                <w:noProof/>
                <w:webHidden/>
              </w:rPr>
              <w:fldChar w:fldCharType="separate"/>
            </w:r>
            <w:r w:rsidR="00C21C6D">
              <w:rPr>
                <w:noProof/>
                <w:webHidden/>
              </w:rPr>
              <w:t>14</w:t>
            </w:r>
            <w:r w:rsidR="00C21C6D">
              <w:rPr>
                <w:noProof/>
                <w:webHidden/>
              </w:rPr>
              <w:fldChar w:fldCharType="end"/>
            </w:r>
          </w:hyperlink>
        </w:p>
        <w:p w14:paraId="41BDC7F9" w14:textId="7F7F73DF"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90" w:history="1">
            <w:r w:rsidR="00C21C6D" w:rsidRPr="00007262">
              <w:rPr>
                <w:rStyle w:val="Hyperlink"/>
                <w:iCs/>
                <w:noProof/>
              </w:rPr>
              <w:t>Final Run</w:t>
            </w:r>
            <w:r w:rsidR="00C21C6D">
              <w:rPr>
                <w:noProof/>
                <w:webHidden/>
              </w:rPr>
              <w:tab/>
            </w:r>
            <w:r w:rsidR="00C21C6D">
              <w:rPr>
                <w:noProof/>
                <w:webHidden/>
              </w:rPr>
              <w:fldChar w:fldCharType="begin"/>
            </w:r>
            <w:r w:rsidR="00C21C6D">
              <w:rPr>
                <w:noProof/>
                <w:webHidden/>
              </w:rPr>
              <w:instrText xml:space="preserve"> PAGEREF _Toc52357090 \h </w:instrText>
            </w:r>
            <w:r w:rsidR="00C21C6D">
              <w:rPr>
                <w:noProof/>
                <w:webHidden/>
              </w:rPr>
            </w:r>
            <w:r w:rsidR="00C21C6D">
              <w:rPr>
                <w:noProof/>
                <w:webHidden/>
              </w:rPr>
              <w:fldChar w:fldCharType="separate"/>
            </w:r>
            <w:r w:rsidR="00C21C6D">
              <w:rPr>
                <w:noProof/>
                <w:webHidden/>
              </w:rPr>
              <w:t>15</w:t>
            </w:r>
            <w:r w:rsidR="00C21C6D">
              <w:rPr>
                <w:noProof/>
                <w:webHidden/>
              </w:rPr>
              <w:fldChar w:fldCharType="end"/>
            </w:r>
          </w:hyperlink>
        </w:p>
        <w:p w14:paraId="28AD81E3" w14:textId="38F7A7C2" w:rsidR="00C21C6D" w:rsidRDefault="000427EE">
          <w:pPr>
            <w:pStyle w:val="TOC1"/>
            <w:tabs>
              <w:tab w:val="right" w:leader="dot" w:pos="9514"/>
            </w:tabs>
            <w:rPr>
              <w:rFonts w:asciiTheme="minorHAnsi" w:eastAsiaTheme="minorEastAsia" w:hAnsiTheme="minorHAnsi" w:cstheme="minorBidi"/>
              <w:b w:val="0"/>
              <w:noProof/>
              <w:szCs w:val="22"/>
              <w:lang w:eastAsia="en-GB"/>
            </w:rPr>
          </w:pPr>
          <w:hyperlink w:anchor="_Toc52357091" w:history="1">
            <w:r w:rsidR="00C21C6D" w:rsidRPr="00007262">
              <w:rPr>
                <w:rStyle w:val="Hyperlink"/>
                <w:noProof/>
              </w:rPr>
              <w:t>3. The GT2 Price Control Financial Model Variable Values</w:t>
            </w:r>
            <w:r w:rsidR="00C21C6D">
              <w:rPr>
                <w:noProof/>
                <w:webHidden/>
              </w:rPr>
              <w:tab/>
            </w:r>
            <w:r w:rsidR="00C21C6D">
              <w:rPr>
                <w:noProof/>
                <w:webHidden/>
              </w:rPr>
              <w:fldChar w:fldCharType="begin"/>
            </w:r>
            <w:r w:rsidR="00C21C6D">
              <w:rPr>
                <w:noProof/>
                <w:webHidden/>
              </w:rPr>
              <w:instrText xml:space="preserve"> PAGEREF _Toc52357091 \h </w:instrText>
            </w:r>
            <w:r w:rsidR="00C21C6D">
              <w:rPr>
                <w:noProof/>
                <w:webHidden/>
              </w:rPr>
            </w:r>
            <w:r w:rsidR="00C21C6D">
              <w:rPr>
                <w:noProof/>
                <w:webHidden/>
              </w:rPr>
              <w:fldChar w:fldCharType="separate"/>
            </w:r>
            <w:r w:rsidR="00C21C6D">
              <w:rPr>
                <w:noProof/>
                <w:webHidden/>
              </w:rPr>
              <w:t>17</w:t>
            </w:r>
            <w:r w:rsidR="00C21C6D">
              <w:rPr>
                <w:noProof/>
                <w:webHidden/>
              </w:rPr>
              <w:fldChar w:fldCharType="end"/>
            </w:r>
          </w:hyperlink>
        </w:p>
        <w:p w14:paraId="235CA08E" w14:textId="0096BF1B"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092" w:history="1">
            <w:r w:rsidR="00C21C6D" w:rsidRPr="00007262">
              <w:rPr>
                <w:rStyle w:val="Hyperlink"/>
                <w:noProof/>
              </w:rPr>
              <w:t>PCFM Variable Values</w:t>
            </w:r>
            <w:r w:rsidR="00C21C6D">
              <w:rPr>
                <w:noProof/>
                <w:webHidden/>
              </w:rPr>
              <w:tab/>
            </w:r>
            <w:r w:rsidR="00C21C6D">
              <w:rPr>
                <w:noProof/>
                <w:webHidden/>
              </w:rPr>
              <w:fldChar w:fldCharType="begin"/>
            </w:r>
            <w:r w:rsidR="00C21C6D">
              <w:rPr>
                <w:noProof/>
                <w:webHidden/>
              </w:rPr>
              <w:instrText xml:space="preserve"> PAGEREF _Toc52357092 \h </w:instrText>
            </w:r>
            <w:r w:rsidR="00C21C6D">
              <w:rPr>
                <w:noProof/>
                <w:webHidden/>
              </w:rPr>
            </w:r>
            <w:r w:rsidR="00C21C6D">
              <w:rPr>
                <w:noProof/>
                <w:webHidden/>
              </w:rPr>
              <w:fldChar w:fldCharType="separate"/>
            </w:r>
            <w:r w:rsidR="00C21C6D">
              <w:rPr>
                <w:noProof/>
                <w:webHidden/>
              </w:rPr>
              <w:t>17</w:t>
            </w:r>
            <w:r w:rsidR="00C21C6D">
              <w:rPr>
                <w:noProof/>
                <w:webHidden/>
              </w:rPr>
              <w:fldChar w:fldCharType="end"/>
            </w:r>
          </w:hyperlink>
        </w:p>
        <w:p w14:paraId="33883F2E" w14:textId="6DFEC418"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93" w:history="1">
            <w:r w:rsidR="00C21C6D" w:rsidRPr="00007262">
              <w:rPr>
                <w:rStyle w:val="Hyperlink"/>
                <w:noProof/>
              </w:rPr>
              <w:t>Processing of different types of Variable Values</w:t>
            </w:r>
            <w:r w:rsidR="00C21C6D">
              <w:rPr>
                <w:noProof/>
                <w:webHidden/>
              </w:rPr>
              <w:tab/>
            </w:r>
            <w:r w:rsidR="00C21C6D">
              <w:rPr>
                <w:noProof/>
                <w:webHidden/>
              </w:rPr>
              <w:fldChar w:fldCharType="begin"/>
            </w:r>
            <w:r w:rsidR="00C21C6D">
              <w:rPr>
                <w:noProof/>
                <w:webHidden/>
              </w:rPr>
              <w:instrText xml:space="preserve"> PAGEREF _Toc52357093 \h </w:instrText>
            </w:r>
            <w:r w:rsidR="00C21C6D">
              <w:rPr>
                <w:noProof/>
                <w:webHidden/>
              </w:rPr>
            </w:r>
            <w:r w:rsidR="00C21C6D">
              <w:rPr>
                <w:noProof/>
                <w:webHidden/>
              </w:rPr>
              <w:fldChar w:fldCharType="separate"/>
            </w:r>
            <w:r w:rsidR="00C21C6D">
              <w:rPr>
                <w:noProof/>
                <w:webHidden/>
              </w:rPr>
              <w:t>17</w:t>
            </w:r>
            <w:r w:rsidR="00C21C6D">
              <w:rPr>
                <w:noProof/>
                <w:webHidden/>
              </w:rPr>
              <w:fldChar w:fldCharType="end"/>
            </w:r>
          </w:hyperlink>
        </w:p>
        <w:p w14:paraId="0CEC8827" w14:textId="371B0B35" w:rsidR="00C21C6D" w:rsidRDefault="000427EE">
          <w:pPr>
            <w:pStyle w:val="TOC1"/>
            <w:tabs>
              <w:tab w:val="right" w:leader="dot" w:pos="9514"/>
            </w:tabs>
            <w:rPr>
              <w:rFonts w:asciiTheme="minorHAnsi" w:eastAsiaTheme="minorEastAsia" w:hAnsiTheme="minorHAnsi" w:cstheme="minorBidi"/>
              <w:b w:val="0"/>
              <w:noProof/>
              <w:szCs w:val="22"/>
              <w:lang w:eastAsia="en-GB"/>
            </w:rPr>
          </w:pPr>
          <w:hyperlink w:anchor="_Toc52357094" w:history="1">
            <w:r w:rsidR="00C21C6D" w:rsidRPr="00007262">
              <w:rPr>
                <w:rStyle w:val="Hyperlink"/>
                <w:noProof/>
              </w:rPr>
              <w:t>4. Cost of debt and cost of equity indexation</w:t>
            </w:r>
            <w:r w:rsidR="00C21C6D">
              <w:rPr>
                <w:noProof/>
                <w:webHidden/>
              </w:rPr>
              <w:tab/>
            </w:r>
            <w:r w:rsidR="00C21C6D">
              <w:rPr>
                <w:noProof/>
                <w:webHidden/>
              </w:rPr>
              <w:fldChar w:fldCharType="begin"/>
            </w:r>
            <w:r w:rsidR="00C21C6D">
              <w:rPr>
                <w:noProof/>
                <w:webHidden/>
              </w:rPr>
              <w:instrText xml:space="preserve"> PAGEREF _Toc52357094 \h </w:instrText>
            </w:r>
            <w:r w:rsidR="00C21C6D">
              <w:rPr>
                <w:noProof/>
                <w:webHidden/>
              </w:rPr>
            </w:r>
            <w:r w:rsidR="00C21C6D">
              <w:rPr>
                <w:noProof/>
                <w:webHidden/>
              </w:rPr>
              <w:fldChar w:fldCharType="separate"/>
            </w:r>
            <w:r w:rsidR="00C21C6D">
              <w:rPr>
                <w:noProof/>
                <w:webHidden/>
              </w:rPr>
              <w:t>27</w:t>
            </w:r>
            <w:r w:rsidR="00C21C6D">
              <w:rPr>
                <w:noProof/>
                <w:webHidden/>
              </w:rPr>
              <w:fldChar w:fldCharType="end"/>
            </w:r>
          </w:hyperlink>
        </w:p>
        <w:p w14:paraId="692FFBBC" w14:textId="5F8A0857"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095" w:history="1">
            <w:r w:rsidR="00C21C6D" w:rsidRPr="00007262">
              <w:rPr>
                <w:rStyle w:val="Hyperlink"/>
                <w:noProof/>
              </w:rPr>
              <w:t>Cost of debt</w:t>
            </w:r>
            <w:r w:rsidR="00C21C6D">
              <w:rPr>
                <w:noProof/>
                <w:webHidden/>
              </w:rPr>
              <w:tab/>
            </w:r>
            <w:r w:rsidR="00C21C6D">
              <w:rPr>
                <w:noProof/>
                <w:webHidden/>
              </w:rPr>
              <w:fldChar w:fldCharType="begin"/>
            </w:r>
            <w:r w:rsidR="00C21C6D">
              <w:rPr>
                <w:noProof/>
                <w:webHidden/>
              </w:rPr>
              <w:instrText xml:space="preserve"> PAGEREF _Toc52357095 \h </w:instrText>
            </w:r>
            <w:r w:rsidR="00C21C6D">
              <w:rPr>
                <w:noProof/>
                <w:webHidden/>
              </w:rPr>
            </w:r>
            <w:r w:rsidR="00C21C6D">
              <w:rPr>
                <w:noProof/>
                <w:webHidden/>
              </w:rPr>
              <w:fldChar w:fldCharType="separate"/>
            </w:r>
            <w:r w:rsidR="00C21C6D">
              <w:rPr>
                <w:noProof/>
                <w:webHidden/>
              </w:rPr>
              <w:t>27</w:t>
            </w:r>
            <w:r w:rsidR="00C21C6D">
              <w:rPr>
                <w:noProof/>
                <w:webHidden/>
              </w:rPr>
              <w:fldChar w:fldCharType="end"/>
            </w:r>
          </w:hyperlink>
        </w:p>
        <w:p w14:paraId="70D944A5" w14:textId="67883D00"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96" w:history="1">
            <w:r w:rsidR="00C21C6D" w:rsidRPr="00007262">
              <w:rPr>
                <w:rStyle w:val="Hyperlink"/>
                <w:noProof/>
              </w:rPr>
              <w:t>Non-availability or changes to basis of data for cost of debt</w:t>
            </w:r>
            <w:r w:rsidR="00C21C6D">
              <w:rPr>
                <w:noProof/>
                <w:webHidden/>
              </w:rPr>
              <w:tab/>
            </w:r>
            <w:r w:rsidR="00C21C6D">
              <w:rPr>
                <w:noProof/>
                <w:webHidden/>
              </w:rPr>
              <w:fldChar w:fldCharType="begin"/>
            </w:r>
            <w:r w:rsidR="00C21C6D">
              <w:rPr>
                <w:noProof/>
                <w:webHidden/>
              </w:rPr>
              <w:instrText xml:space="preserve"> PAGEREF _Toc52357096 \h </w:instrText>
            </w:r>
            <w:r w:rsidR="00C21C6D">
              <w:rPr>
                <w:noProof/>
                <w:webHidden/>
              </w:rPr>
            </w:r>
            <w:r w:rsidR="00C21C6D">
              <w:rPr>
                <w:noProof/>
                <w:webHidden/>
              </w:rPr>
              <w:fldChar w:fldCharType="separate"/>
            </w:r>
            <w:r w:rsidR="00C21C6D">
              <w:rPr>
                <w:noProof/>
                <w:webHidden/>
              </w:rPr>
              <w:t>30</w:t>
            </w:r>
            <w:r w:rsidR="00C21C6D">
              <w:rPr>
                <w:noProof/>
                <w:webHidden/>
              </w:rPr>
              <w:fldChar w:fldCharType="end"/>
            </w:r>
          </w:hyperlink>
        </w:p>
        <w:p w14:paraId="5A2B569D" w14:textId="46095BFD"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097" w:history="1">
            <w:r w:rsidR="00C21C6D" w:rsidRPr="00007262">
              <w:rPr>
                <w:rStyle w:val="Hyperlink"/>
                <w:noProof/>
              </w:rPr>
              <w:t>Cost of equity – risk-free rate</w:t>
            </w:r>
            <w:r w:rsidR="00C21C6D">
              <w:rPr>
                <w:noProof/>
                <w:webHidden/>
              </w:rPr>
              <w:tab/>
            </w:r>
            <w:r w:rsidR="00C21C6D">
              <w:rPr>
                <w:noProof/>
                <w:webHidden/>
              </w:rPr>
              <w:fldChar w:fldCharType="begin"/>
            </w:r>
            <w:r w:rsidR="00C21C6D">
              <w:rPr>
                <w:noProof/>
                <w:webHidden/>
              </w:rPr>
              <w:instrText xml:space="preserve"> PAGEREF _Toc52357097 \h </w:instrText>
            </w:r>
            <w:r w:rsidR="00C21C6D">
              <w:rPr>
                <w:noProof/>
                <w:webHidden/>
              </w:rPr>
            </w:r>
            <w:r w:rsidR="00C21C6D">
              <w:rPr>
                <w:noProof/>
                <w:webHidden/>
              </w:rPr>
              <w:fldChar w:fldCharType="separate"/>
            </w:r>
            <w:r w:rsidR="00C21C6D">
              <w:rPr>
                <w:noProof/>
                <w:webHidden/>
              </w:rPr>
              <w:t>30</w:t>
            </w:r>
            <w:r w:rsidR="00C21C6D">
              <w:rPr>
                <w:noProof/>
                <w:webHidden/>
              </w:rPr>
              <w:fldChar w:fldCharType="end"/>
            </w:r>
          </w:hyperlink>
        </w:p>
        <w:p w14:paraId="4BA6BBCC" w14:textId="445F88B7"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098" w:history="1">
            <w:r w:rsidR="00C21C6D" w:rsidRPr="00007262">
              <w:rPr>
                <w:rStyle w:val="Hyperlink"/>
                <w:noProof/>
              </w:rPr>
              <w:t>Non-availability or changes to basis of data for cost of equity – risk-free rate</w:t>
            </w:r>
            <w:r w:rsidR="00C21C6D">
              <w:rPr>
                <w:noProof/>
                <w:webHidden/>
              </w:rPr>
              <w:tab/>
            </w:r>
            <w:r w:rsidR="00C21C6D">
              <w:rPr>
                <w:noProof/>
                <w:webHidden/>
              </w:rPr>
              <w:fldChar w:fldCharType="begin"/>
            </w:r>
            <w:r w:rsidR="00C21C6D">
              <w:rPr>
                <w:noProof/>
                <w:webHidden/>
              </w:rPr>
              <w:instrText xml:space="preserve"> PAGEREF _Toc52357098 \h </w:instrText>
            </w:r>
            <w:r w:rsidR="00C21C6D">
              <w:rPr>
                <w:noProof/>
                <w:webHidden/>
              </w:rPr>
            </w:r>
            <w:r w:rsidR="00C21C6D">
              <w:rPr>
                <w:noProof/>
                <w:webHidden/>
              </w:rPr>
              <w:fldChar w:fldCharType="separate"/>
            </w:r>
            <w:r w:rsidR="00C21C6D">
              <w:rPr>
                <w:noProof/>
                <w:webHidden/>
              </w:rPr>
              <w:t>32</w:t>
            </w:r>
            <w:r w:rsidR="00C21C6D">
              <w:rPr>
                <w:noProof/>
                <w:webHidden/>
              </w:rPr>
              <w:fldChar w:fldCharType="end"/>
            </w:r>
          </w:hyperlink>
        </w:p>
        <w:p w14:paraId="567F5720" w14:textId="1D4685F5" w:rsidR="00C21C6D" w:rsidRDefault="000427EE">
          <w:pPr>
            <w:pStyle w:val="TOC1"/>
            <w:tabs>
              <w:tab w:val="right" w:leader="dot" w:pos="9514"/>
            </w:tabs>
            <w:rPr>
              <w:rFonts w:asciiTheme="minorHAnsi" w:eastAsiaTheme="minorEastAsia" w:hAnsiTheme="minorHAnsi" w:cstheme="minorBidi"/>
              <w:b w:val="0"/>
              <w:noProof/>
              <w:szCs w:val="22"/>
              <w:lang w:eastAsia="en-GB"/>
            </w:rPr>
          </w:pPr>
          <w:hyperlink w:anchor="_Toc52357099" w:history="1">
            <w:r w:rsidR="00C21C6D" w:rsidRPr="00007262">
              <w:rPr>
                <w:rStyle w:val="Hyperlink"/>
                <w:noProof/>
              </w:rPr>
              <w:t>5. Uncertainty Mechanisms</w:t>
            </w:r>
            <w:r w:rsidR="00C21C6D">
              <w:rPr>
                <w:noProof/>
                <w:webHidden/>
              </w:rPr>
              <w:tab/>
            </w:r>
            <w:r w:rsidR="00C21C6D">
              <w:rPr>
                <w:noProof/>
                <w:webHidden/>
              </w:rPr>
              <w:fldChar w:fldCharType="begin"/>
            </w:r>
            <w:r w:rsidR="00C21C6D">
              <w:rPr>
                <w:noProof/>
                <w:webHidden/>
              </w:rPr>
              <w:instrText xml:space="preserve"> PAGEREF _Toc52357099 \h </w:instrText>
            </w:r>
            <w:r w:rsidR="00C21C6D">
              <w:rPr>
                <w:noProof/>
                <w:webHidden/>
              </w:rPr>
            </w:r>
            <w:r w:rsidR="00C21C6D">
              <w:rPr>
                <w:noProof/>
                <w:webHidden/>
              </w:rPr>
              <w:fldChar w:fldCharType="separate"/>
            </w:r>
            <w:r w:rsidR="00C21C6D">
              <w:rPr>
                <w:noProof/>
                <w:webHidden/>
              </w:rPr>
              <w:t>33</w:t>
            </w:r>
            <w:r w:rsidR="00C21C6D">
              <w:rPr>
                <w:noProof/>
                <w:webHidden/>
              </w:rPr>
              <w:fldChar w:fldCharType="end"/>
            </w:r>
          </w:hyperlink>
        </w:p>
        <w:p w14:paraId="6E3E548B" w14:textId="23CE82DD"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100" w:history="1">
            <w:r w:rsidR="00C21C6D" w:rsidRPr="00007262">
              <w:rPr>
                <w:rStyle w:val="Hyperlink"/>
                <w:noProof/>
              </w:rPr>
              <w:t>Real Price Effects.</w:t>
            </w:r>
            <w:r w:rsidR="00C21C6D">
              <w:rPr>
                <w:noProof/>
                <w:webHidden/>
              </w:rPr>
              <w:tab/>
            </w:r>
            <w:r w:rsidR="00C21C6D">
              <w:rPr>
                <w:noProof/>
                <w:webHidden/>
              </w:rPr>
              <w:fldChar w:fldCharType="begin"/>
            </w:r>
            <w:r w:rsidR="00C21C6D">
              <w:rPr>
                <w:noProof/>
                <w:webHidden/>
              </w:rPr>
              <w:instrText xml:space="preserve"> PAGEREF _Toc52357100 \h </w:instrText>
            </w:r>
            <w:r w:rsidR="00C21C6D">
              <w:rPr>
                <w:noProof/>
                <w:webHidden/>
              </w:rPr>
            </w:r>
            <w:r w:rsidR="00C21C6D">
              <w:rPr>
                <w:noProof/>
                <w:webHidden/>
              </w:rPr>
              <w:fldChar w:fldCharType="separate"/>
            </w:r>
            <w:r w:rsidR="00C21C6D">
              <w:rPr>
                <w:noProof/>
                <w:webHidden/>
              </w:rPr>
              <w:t>33</w:t>
            </w:r>
            <w:r w:rsidR="00C21C6D">
              <w:rPr>
                <w:noProof/>
                <w:webHidden/>
              </w:rPr>
              <w:fldChar w:fldCharType="end"/>
            </w:r>
          </w:hyperlink>
        </w:p>
        <w:p w14:paraId="683E443E" w14:textId="6FE2228D"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101" w:history="1">
            <w:r w:rsidR="00C21C6D" w:rsidRPr="00007262">
              <w:rPr>
                <w:rStyle w:val="Hyperlink"/>
                <w:noProof/>
              </w:rPr>
              <w:t>Uncertain Event affecting Special Condition 4.3 and Special Condition 4.4</w:t>
            </w:r>
            <w:r w:rsidR="00C21C6D">
              <w:rPr>
                <w:noProof/>
                <w:webHidden/>
              </w:rPr>
              <w:tab/>
            </w:r>
            <w:r w:rsidR="00C21C6D">
              <w:rPr>
                <w:noProof/>
                <w:webHidden/>
              </w:rPr>
              <w:fldChar w:fldCharType="begin"/>
            </w:r>
            <w:r w:rsidR="00C21C6D">
              <w:rPr>
                <w:noProof/>
                <w:webHidden/>
              </w:rPr>
              <w:instrText xml:space="preserve"> PAGEREF _Toc52357101 \h </w:instrText>
            </w:r>
            <w:r w:rsidR="00C21C6D">
              <w:rPr>
                <w:noProof/>
                <w:webHidden/>
              </w:rPr>
            </w:r>
            <w:r w:rsidR="00C21C6D">
              <w:rPr>
                <w:noProof/>
                <w:webHidden/>
              </w:rPr>
              <w:fldChar w:fldCharType="separate"/>
            </w:r>
            <w:r w:rsidR="00C21C6D">
              <w:rPr>
                <w:noProof/>
                <w:webHidden/>
              </w:rPr>
              <w:t>33</w:t>
            </w:r>
            <w:r w:rsidR="00C21C6D">
              <w:rPr>
                <w:noProof/>
                <w:webHidden/>
              </w:rPr>
              <w:fldChar w:fldCharType="end"/>
            </w:r>
          </w:hyperlink>
        </w:p>
        <w:p w14:paraId="37CCE028" w14:textId="62F1727C" w:rsidR="00C21C6D" w:rsidRDefault="000427EE">
          <w:pPr>
            <w:pStyle w:val="TOC1"/>
            <w:tabs>
              <w:tab w:val="right" w:leader="dot" w:pos="9514"/>
            </w:tabs>
            <w:rPr>
              <w:rFonts w:asciiTheme="minorHAnsi" w:eastAsiaTheme="minorEastAsia" w:hAnsiTheme="minorHAnsi" w:cstheme="minorBidi"/>
              <w:b w:val="0"/>
              <w:noProof/>
              <w:szCs w:val="22"/>
              <w:lang w:eastAsia="en-GB"/>
            </w:rPr>
          </w:pPr>
          <w:hyperlink w:anchor="_Toc52357102" w:history="1">
            <w:r w:rsidR="00C21C6D" w:rsidRPr="00007262">
              <w:rPr>
                <w:rStyle w:val="Hyperlink"/>
                <w:noProof/>
              </w:rPr>
              <w:t>6. Tax liability allowances</w:t>
            </w:r>
            <w:r w:rsidR="00C21C6D">
              <w:rPr>
                <w:noProof/>
                <w:webHidden/>
              </w:rPr>
              <w:tab/>
            </w:r>
            <w:r w:rsidR="00C21C6D">
              <w:rPr>
                <w:noProof/>
                <w:webHidden/>
              </w:rPr>
              <w:fldChar w:fldCharType="begin"/>
            </w:r>
            <w:r w:rsidR="00C21C6D">
              <w:rPr>
                <w:noProof/>
                <w:webHidden/>
              </w:rPr>
              <w:instrText xml:space="preserve"> PAGEREF _Toc52357102 \h </w:instrText>
            </w:r>
            <w:r w:rsidR="00C21C6D">
              <w:rPr>
                <w:noProof/>
                <w:webHidden/>
              </w:rPr>
            </w:r>
            <w:r w:rsidR="00C21C6D">
              <w:rPr>
                <w:noProof/>
                <w:webHidden/>
              </w:rPr>
              <w:fldChar w:fldCharType="separate"/>
            </w:r>
            <w:r w:rsidR="00C21C6D">
              <w:rPr>
                <w:noProof/>
                <w:webHidden/>
              </w:rPr>
              <w:t>35</w:t>
            </w:r>
            <w:r w:rsidR="00C21C6D">
              <w:rPr>
                <w:noProof/>
                <w:webHidden/>
              </w:rPr>
              <w:fldChar w:fldCharType="end"/>
            </w:r>
          </w:hyperlink>
        </w:p>
        <w:p w14:paraId="49C02C02" w14:textId="37E891DC"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103" w:history="1">
            <w:r w:rsidR="00C21C6D" w:rsidRPr="00007262">
              <w:rPr>
                <w:rStyle w:val="Hyperlink"/>
                <w:noProof/>
              </w:rPr>
              <w:t>Tax trigger events</w:t>
            </w:r>
            <w:r w:rsidR="00C21C6D">
              <w:rPr>
                <w:noProof/>
                <w:webHidden/>
              </w:rPr>
              <w:tab/>
            </w:r>
            <w:r w:rsidR="00C21C6D">
              <w:rPr>
                <w:noProof/>
                <w:webHidden/>
              </w:rPr>
              <w:fldChar w:fldCharType="begin"/>
            </w:r>
            <w:r w:rsidR="00C21C6D">
              <w:rPr>
                <w:noProof/>
                <w:webHidden/>
              </w:rPr>
              <w:instrText xml:space="preserve"> PAGEREF _Toc52357103 \h </w:instrText>
            </w:r>
            <w:r w:rsidR="00C21C6D">
              <w:rPr>
                <w:noProof/>
                <w:webHidden/>
              </w:rPr>
            </w:r>
            <w:r w:rsidR="00C21C6D">
              <w:rPr>
                <w:noProof/>
                <w:webHidden/>
              </w:rPr>
              <w:fldChar w:fldCharType="separate"/>
            </w:r>
            <w:r w:rsidR="00C21C6D">
              <w:rPr>
                <w:noProof/>
                <w:webHidden/>
              </w:rPr>
              <w:t>37</w:t>
            </w:r>
            <w:r w:rsidR="00C21C6D">
              <w:rPr>
                <w:noProof/>
                <w:webHidden/>
              </w:rPr>
              <w:fldChar w:fldCharType="end"/>
            </w:r>
          </w:hyperlink>
        </w:p>
        <w:p w14:paraId="6C651B85" w14:textId="5EEAF88D"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104" w:history="1">
            <w:r w:rsidR="00C21C6D" w:rsidRPr="00007262">
              <w:rPr>
                <w:rStyle w:val="Hyperlink"/>
                <w:noProof/>
              </w:rPr>
              <w:t>Tax review</w:t>
            </w:r>
            <w:r w:rsidR="00C21C6D">
              <w:rPr>
                <w:noProof/>
                <w:webHidden/>
              </w:rPr>
              <w:tab/>
            </w:r>
            <w:r w:rsidR="00C21C6D">
              <w:rPr>
                <w:noProof/>
                <w:webHidden/>
              </w:rPr>
              <w:fldChar w:fldCharType="begin"/>
            </w:r>
            <w:r w:rsidR="00C21C6D">
              <w:rPr>
                <w:noProof/>
                <w:webHidden/>
              </w:rPr>
              <w:instrText xml:space="preserve"> PAGEREF _Toc52357104 \h </w:instrText>
            </w:r>
            <w:r w:rsidR="00C21C6D">
              <w:rPr>
                <w:noProof/>
                <w:webHidden/>
              </w:rPr>
            </w:r>
            <w:r w:rsidR="00C21C6D">
              <w:rPr>
                <w:noProof/>
                <w:webHidden/>
              </w:rPr>
              <w:fldChar w:fldCharType="separate"/>
            </w:r>
            <w:r w:rsidR="00C21C6D">
              <w:rPr>
                <w:noProof/>
                <w:webHidden/>
              </w:rPr>
              <w:t>41</w:t>
            </w:r>
            <w:r w:rsidR="00C21C6D">
              <w:rPr>
                <w:noProof/>
                <w:webHidden/>
              </w:rPr>
              <w:fldChar w:fldCharType="end"/>
            </w:r>
          </w:hyperlink>
        </w:p>
        <w:p w14:paraId="7DDDB280" w14:textId="71CE50AF"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105" w:history="1">
            <w:r w:rsidR="00C21C6D" w:rsidRPr="00007262">
              <w:rPr>
                <w:rStyle w:val="Hyperlink"/>
                <w:noProof/>
              </w:rPr>
              <w:t>Capital allowances</w:t>
            </w:r>
            <w:r w:rsidR="00C21C6D">
              <w:rPr>
                <w:noProof/>
                <w:webHidden/>
              </w:rPr>
              <w:tab/>
            </w:r>
            <w:r w:rsidR="00C21C6D">
              <w:rPr>
                <w:noProof/>
                <w:webHidden/>
              </w:rPr>
              <w:fldChar w:fldCharType="begin"/>
            </w:r>
            <w:r w:rsidR="00C21C6D">
              <w:rPr>
                <w:noProof/>
                <w:webHidden/>
              </w:rPr>
              <w:instrText xml:space="preserve"> PAGEREF _Toc52357105 \h </w:instrText>
            </w:r>
            <w:r w:rsidR="00C21C6D">
              <w:rPr>
                <w:noProof/>
                <w:webHidden/>
              </w:rPr>
            </w:r>
            <w:r w:rsidR="00C21C6D">
              <w:rPr>
                <w:noProof/>
                <w:webHidden/>
              </w:rPr>
              <w:fldChar w:fldCharType="separate"/>
            </w:r>
            <w:r w:rsidR="00C21C6D">
              <w:rPr>
                <w:noProof/>
                <w:webHidden/>
              </w:rPr>
              <w:t>44</w:t>
            </w:r>
            <w:r w:rsidR="00C21C6D">
              <w:rPr>
                <w:noProof/>
                <w:webHidden/>
              </w:rPr>
              <w:fldChar w:fldCharType="end"/>
            </w:r>
          </w:hyperlink>
        </w:p>
        <w:p w14:paraId="3D15DC00" w14:textId="28F4B1CC" w:rsidR="00C21C6D" w:rsidRDefault="000427EE">
          <w:pPr>
            <w:pStyle w:val="TOC1"/>
            <w:tabs>
              <w:tab w:val="right" w:leader="dot" w:pos="9514"/>
            </w:tabs>
            <w:rPr>
              <w:rFonts w:asciiTheme="minorHAnsi" w:eastAsiaTheme="minorEastAsia" w:hAnsiTheme="minorHAnsi" w:cstheme="minorBidi"/>
              <w:b w:val="0"/>
              <w:noProof/>
              <w:szCs w:val="22"/>
              <w:lang w:eastAsia="en-GB"/>
            </w:rPr>
          </w:pPr>
          <w:hyperlink w:anchor="_Toc52357106" w:history="1">
            <w:r w:rsidR="00C21C6D" w:rsidRPr="00007262">
              <w:rPr>
                <w:rStyle w:val="Hyperlink"/>
                <w:noProof/>
              </w:rPr>
              <w:t>7. Pensions</w:t>
            </w:r>
            <w:r w:rsidR="00C21C6D">
              <w:rPr>
                <w:noProof/>
                <w:webHidden/>
              </w:rPr>
              <w:tab/>
            </w:r>
            <w:r w:rsidR="00C21C6D">
              <w:rPr>
                <w:noProof/>
                <w:webHidden/>
              </w:rPr>
              <w:fldChar w:fldCharType="begin"/>
            </w:r>
            <w:r w:rsidR="00C21C6D">
              <w:rPr>
                <w:noProof/>
                <w:webHidden/>
              </w:rPr>
              <w:instrText xml:space="preserve"> PAGEREF _Toc52357106 \h </w:instrText>
            </w:r>
            <w:r w:rsidR="00C21C6D">
              <w:rPr>
                <w:noProof/>
                <w:webHidden/>
              </w:rPr>
            </w:r>
            <w:r w:rsidR="00C21C6D">
              <w:rPr>
                <w:noProof/>
                <w:webHidden/>
              </w:rPr>
              <w:fldChar w:fldCharType="separate"/>
            </w:r>
            <w:r w:rsidR="00C21C6D">
              <w:rPr>
                <w:noProof/>
                <w:webHidden/>
              </w:rPr>
              <w:t>45</w:t>
            </w:r>
            <w:r w:rsidR="00C21C6D">
              <w:rPr>
                <w:noProof/>
                <w:webHidden/>
              </w:rPr>
              <w:fldChar w:fldCharType="end"/>
            </w:r>
          </w:hyperlink>
        </w:p>
        <w:p w14:paraId="0AA5BD73" w14:textId="67E3AAE7"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107" w:history="1">
            <w:r w:rsidR="00C21C6D" w:rsidRPr="00007262">
              <w:rPr>
                <w:rStyle w:val="Hyperlink"/>
                <w:noProof/>
              </w:rPr>
              <w:t>Financial Adjustments - Pensions</w:t>
            </w:r>
            <w:r w:rsidR="00C21C6D">
              <w:rPr>
                <w:noProof/>
                <w:webHidden/>
              </w:rPr>
              <w:tab/>
            </w:r>
            <w:r w:rsidR="00C21C6D">
              <w:rPr>
                <w:noProof/>
                <w:webHidden/>
              </w:rPr>
              <w:fldChar w:fldCharType="begin"/>
            </w:r>
            <w:r w:rsidR="00C21C6D">
              <w:rPr>
                <w:noProof/>
                <w:webHidden/>
              </w:rPr>
              <w:instrText xml:space="preserve"> PAGEREF _Toc52357107 \h </w:instrText>
            </w:r>
            <w:r w:rsidR="00C21C6D">
              <w:rPr>
                <w:noProof/>
                <w:webHidden/>
              </w:rPr>
            </w:r>
            <w:r w:rsidR="00C21C6D">
              <w:rPr>
                <w:noProof/>
                <w:webHidden/>
              </w:rPr>
              <w:fldChar w:fldCharType="separate"/>
            </w:r>
            <w:r w:rsidR="00C21C6D">
              <w:rPr>
                <w:noProof/>
                <w:webHidden/>
              </w:rPr>
              <w:t>45</w:t>
            </w:r>
            <w:r w:rsidR="00C21C6D">
              <w:rPr>
                <w:noProof/>
                <w:webHidden/>
              </w:rPr>
              <w:fldChar w:fldCharType="end"/>
            </w:r>
          </w:hyperlink>
        </w:p>
        <w:p w14:paraId="1361A944" w14:textId="1508D5D7"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08" w:history="1">
            <w:r w:rsidR="00C21C6D" w:rsidRPr="00007262">
              <w:rPr>
                <w:rStyle w:val="Hyperlink"/>
                <w:noProof/>
              </w:rPr>
              <w:t>Expected timing of pensions allowance revisions</w:t>
            </w:r>
            <w:r w:rsidR="00C21C6D">
              <w:rPr>
                <w:noProof/>
                <w:webHidden/>
              </w:rPr>
              <w:tab/>
            </w:r>
            <w:r w:rsidR="00C21C6D">
              <w:rPr>
                <w:noProof/>
                <w:webHidden/>
              </w:rPr>
              <w:fldChar w:fldCharType="begin"/>
            </w:r>
            <w:r w:rsidR="00C21C6D">
              <w:rPr>
                <w:noProof/>
                <w:webHidden/>
              </w:rPr>
              <w:instrText xml:space="preserve"> PAGEREF _Toc52357108 \h </w:instrText>
            </w:r>
            <w:r w:rsidR="00C21C6D">
              <w:rPr>
                <w:noProof/>
                <w:webHidden/>
              </w:rPr>
            </w:r>
            <w:r w:rsidR="00C21C6D">
              <w:rPr>
                <w:noProof/>
                <w:webHidden/>
              </w:rPr>
              <w:fldChar w:fldCharType="separate"/>
            </w:r>
            <w:r w:rsidR="00C21C6D">
              <w:rPr>
                <w:noProof/>
                <w:webHidden/>
              </w:rPr>
              <w:t>45</w:t>
            </w:r>
            <w:r w:rsidR="00C21C6D">
              <w:rPr>
                <w:noProof/>
                <w:webHidden/>
              </w:rPr>
              <w:fldChar w:fldCharType="end"/>
            </w:r>
          </w:hyperlink>
        </w:p>
        <w:p w14:paraId="24A749EE" w14:textId="5172C35A"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109" w:history="1">
            <w:r w:rsidR="00C21C6D" w:rsidRPr="00007262">
              <w:rPr>
                <w:rStyle w:val="Hyperlink"/>
                <w:noProof/>
              </w:rPr>
              <w:t>Section 1 – General provisions</w:t>
            </w:r>
            <w:r w:rsidR="00C21C6D">
              <w:rPr>
                <w:noProof/>
                <w:webHidden/>
              </w:rPr>
              <w:tab/>
            </w:r>
            <w:r w:rsidR="00C21C6D">
              <w:rPr>
                <w:noProof/>
                <w:webHidden/>
              </w:rPr>
              <w:fldChar w:fldCharType="begin"/>
            </w:r>
            <w:r w:rsidR="00C21C6D">
              <w:rPr>
                <w:noProof/>
                <w:webHidden/>
              </w:rPr>
              <w:instrText xml:space="preserve"> PAGEREF _Toc52357109 \h </w:instrText>
            </w:r>
            <w:r w:rsidR="00C21C6D">
              <w:rPr>
                <w:noProof/>
                <w:webHidden/>
              </w:rPr>
            </w:r>
            <w:r w:rsidR="00C21C6D">
              <w:rPr>
                <w:noProof/>
                <w:webHidden/>
              </w:rPr>
              <w:fldChar w:fldCharType="separate"/>
            </w:r>
            <w:r w:rsidR="00C21C6D">
              <w:rPr>
                <w:noProof/>
                <w:webHidden/>
              </w:rPr>
              <w:t>46</w:t>
            </w:r>
            <w:r w:rsidR="00C21C6D">
              <w:rPr>
                <w:noProof/>
                <w:webHidden/>
              </w:rPr>
              <w:fldChar w:fldCharType="end"/>
            </w:r>
          </w:hyperlink>
        </w:p>
        <w:p w14:paraId="40CBFA17" w14:textId="3F335E76"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10" w:history="1">
            <w:r w:rsidR="00C21C6D" w:rsidRPr="00007262">
              <w:rPr>
                <w:rStyle w:val="Hyperlink"/>
                <w:noProof/>
              </w:rPr>
              <w:t>Price control pension principles</w:t>
            </w:r>
            <w:r w:rsidR="00C21C6D">
              <w:rPr>
                <w:noProof/>
                <w:webHidden/>
              </w:rPr>
              <w:tab/>
            </w:r>
            <w:r w:rsidR="00C21C6D">
              <w:rPr>
                <w:noProof/>
                <w:webHidden/>
              </w:rPr>
              <w:fldChar w:fldCharType="begin"/>
            </w:r>
            <w:r w:rsidR="00C21C6D">
              <w:rPr>
                <w:noProof/>
                <w:webHidden/>
              </w:rPr>
              <w:instrText xml:space="preserve"> PAGEREF _Toc52357110 \h </w:instrText>
            </w:r>
            <w:r w:rsidR="00C21C6D">
              <w:rPr>
                <w:noProof/>
                <w:webHidden/>
              </w:rPr>
            </w:r>
            <w:r w:rsidR="00C21C6D">
              <w:rPr>
                <w:noProof/>
                <w:webHidden/>
              </w:rPr>
              <w:fldChar w:fldCharType="separate"/>
            </w:r>
            <w:r w:rsidR="00C21C6D">
              <w:rPr>
                <w:noProof/>
                <w:webHidden/>
              </w:rPr>
              <w:t>46</w:t>
            </w:r>
            <w:r w:rsidR="00C21C6D">
              <w:rPr>
                <w:noProof/>
                <w:webHidden/>
              </w:rPr>
              <w:fldChar w:fldCharType="end"/>
            </w:r>
          </w:hyperlink>
        </w:p>
        <w:p w14:paraId="6C461AE5" w14:textId="64C53A1C"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11" w:history="1">
            <w:r w:rsidR="00C21C6D" w:rsidRPr="00007262">
              <w:rPr>
                <w:rStyle w:val="Hyperlink"/>
                <w:noProof/>
              </w:rPr>
              <w:t>Pension Scheme Established Deficit</w:t>
            </w:r>
            <w:r w:rsidR="00C21C6D">
              <w:rPr>
                <w:noProof/>
                <w:webHidden/>
              </w:rPr>
              <w:tab/>
            </w:r>
            <w:r w:rsidR="00C21C6D">
              <w:rPr>
                <w:noProof/>
                <w:webHidden/>
              </w:rPr>
              <w:fldChar w:fldCharType="begin"/>
            </w:r>
            <w:r w:rsidR="00C21C6D">
              <w:rPr>
                <w:noProof/>
                <w:webHidden/>
              </w:rPr>
              <w:instrText xml:space="preserve"> PAGEREF _Toc52357111 \h </w:instrText>
            </w:r>
            <w:r w:rsidR="00C21C6D">
              <w:rPr>
                <w:noProof/>
                <w:webHidden/>
              </w:rPr>
            </w:r>
            <w:r w:rsidR="00C21C6D">
              <w:rPr>
                <w:noProof/>
                <w:webHidden/>
              </w:rPr>
              <w:fldChar w:fldCharType="separate"/>
            </w:r>
            <w:r w:rsidR="00C21C6D">
              <w:rPr>
                <w:noProof/>
                <w:webHidden/>
              </w:rPr>
              <w:t>46</w:t>
            </w:r>
            <w:r w:rsidR="00C21C6D">
              <w:rPr>
                <w:noProof/>
                <w:webHidden/>
              </w:rPr>
              <w:fldChar w:fldCharType="end"/>
            </w:r>
          </w:hyperlink>
        </w:p>
        <w:p w14:paraId="5882BB86" w14:textId="53978C2A"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12" w:history="1">
            <w:r w:rsidR="00C21C6D" w:rsidRPr="00007262">
              <w:rPr>
                <w:rStyle w:val="Hyperlink"/>
                <w:noProof/>
              </w:rPr>
              <w:t>Established surpluses</w:t>
            </w:r>
            <w:r w:rsidR="00C21C6D">
              <w:rPr>
                <w:noProof/>
                <w:webHidden/>
              </w:rPr>
              <w:tab/>
            </w:r>
            <w:r w:rsidR="00C21C6D">
              <w:rPr>
                <w:noProof/>
                <w:webHidden/>
              </w:rPr>
              <w:fldChar w:fldCharType="begin"/>
            </w:r>
            <w:r w:rsidR="00C21C6D">
              <w:rPr>
                <w:noProof/>
                <w:webHidden/>
              </w:rPr>
              <w:instrText xml:space="preserve"> PAGEREF _Toc52357112 \h </w:instrText>
            </w:r>
            <w:r w:rsidR="00C21C6D">
              <w:rPr>
                <w:noProof/>
                <w:webHidden/>
              </w:rPr>
            </w:r>
            <w:r w:rsidR="00C21C6D">
              <w:rPr>
                <w:noProof/>
                <w:webHidden/>
              </w:rPr>
              <w:fldChar w:fldCharType="separate"/>
            </w:r>
            <w:r w:rsidR="00C21C6D">
              <w:rPr>
                <w:noProof/>
                <w:webHidden/>
              </w:rPr>
              <w:t>47</w:t>
            </w:r>
            <w:r w:rsidR="00C21C6D">
              <w:rPr>
                <w:noProof/>
                <w:webHidden/>
              </w:rPr>
              <w:fldChar w:fldCharType="end"/>
            </w:r>
          </w:hyperlink>
        </w:p>
        <w:p w14:paraId="2A60F918" w14:textId="5BA41F74"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13" w:history="1">
            <w:r w:rsidR="00C21C6D" w:rsidRPr="00007262">
              <w:rPr>
                <w:rStyle w:val="Hyperlink"/>
                <w:bCs/>
                <w:noProof/>
              </w:rPr>
              <w:t>Pension costs outside the scope of this chapter</w:t>
            </w:r>
            <w:r w:rsidR="00C21C6D">
              <w:rPr>
                <w:noProof/>
                <w:webHidden/>
              </w:rPr>
              <w:tab/>
            </w:r>
            <w:r w:rsidR="00C21C6D">
              <w:rPr>
                <w:noProof/>
                <w:webHidden/>
              </w:rPr>
              <w:fldChar w:fldCharType="begin"/>
            </w:r>
            <w:r w:rsidR="00C21C6D">
              <w:rPr>
                <w:noProof/>
                <w:webHidden/>
              </w:rPr>
              <w:instrText xml:space="preserve"> PAGEREF _Toc52357113 \h </w:instrText>
            </w:r>
            <w:r w:rsidR="00C21C6D">
              <w:rPr>
                <w:noProof/>
                <w:webHidden/>
              </w:rPr>
            </w:r>
            <w:r w:rsidR="00C21C6D">
              <w:rPr>
                <w:noProof/>
                <w:webHidden/>
              </w:rPr>
              <w:fldChar w:fldCharType="separate"/>
            </w:r>
            <w:r w:rsidR="00C21C6D">
              <w:rPr>
                <w:noProof/>
                <w:webHidden/>
              </w:rPr>
              <w:t>48</w:t>
            </w:r>
            <w:r w:rsidR="00C21C6D">
              <w:rPr>
                <w:noProof/>
                <w:webHidden/>
              </w:rPr>
              <w:fldChar w:fldCharType="end"/>
            </w:r>
          </w:hyperlink>
        </w:p>
        <w:p w14:paraId="6540D965" w14:textId="4A469D21"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14" w:history="1">
            <w:r w:rsidR="00C21C6D" w:rsidRPr="00007262">
              <w:rPr>
                <w:rStyle w:val="Hyperlink"/>
                <w:noProof/>
              </w:rPr>
              <w:t>Asset-backed funding arrangements</w:t>
            </w:r>
            <w:r w:rsidR="00C21C6D">
              <w:rPr>
                <w:noProof/>
                <w:webHidden/>
              </w:rPr>
              <w:tab/>
            </w:r>
            <w:r w:rsidR="00C21C6D">
              <w:rPr>
                <w:noProof/>
                <w:webHidden/>
              </w:rPr>
              <w:fldChar w:fldCharType="begin"/>
            </w:r>
            <w:r w:rsidR="00C21C6D">
              <w:rPr>
                <w:noProof/>
                <w:webHidden/>
              </w:rPr>
              <w:instrText xml:space="preserve"> PAGEREF _Toc52357114 \h </w:instrText>
            </w:r>
            <w:r w:rsidR="00C21C6D">
              <w:rPr>
                <w:noProof/>
                <w:webHidden/>
              </w:rPr>
            </w:r>
            <w:r w:rsidR="00C21C6D">
              <w:rPr>
                <w:noProof/>
                <w:webHidden/>
              </w:rPr>
              <w:fldChar w:fldCharType="separate"/>
            </w:r>
            <w:r w:rsidR="00C21C6D">
              <w:rPr>
                <w:noProof/>
                <w:webHidden/>
              </w:rPr>
              <w:t>48</w:t>
            </w:r>
            <w:r w:rsidR="00C21C6D">
              <w:rPr>
                <w:noProof/>
                <w:webHidden/>
              </w:rPr>
              <w:fldChar w:fldCharType="end"/>
            </w:r>
          </w:hyperlink>
        </w:p>
        <w:p w14:paraId="03E0E311" w14:textId="6185FE4C"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115" w:history="1">
            <w:r w:rsidR="00C21C6D" w:rsidRPr="00007262">
              <w:rPr>
                <w:rStyle w:val="Hyperlink"/>
                <w:noProof/>
              </w:rPr>
              <w:t>Section 2 – Timetable and process for triennial revision of pensions allowance values</w:t>
            </w:r>
            <w:r w:rsidR="00C21C6D">
              <w:rPr>
                <w:noProof/>
                <w:webHidden/>
              </w:rPr>
              <w:tab/>
            </w:r>
            <w:r w:rsidR="00C21C6D">
              <w:rPr>
                <w:noProof/>
                <w:webHidden/>
              </w:rPr>
              <w:fldChar w:fldCharType="begin"/>
            </w:r>
            <w:r w:rsidR="00C21C6D">
              <w:rPr>
                <w:noProof/>
                <w:webHidden/>
              </w:rPr>
              <w:instrText xml:space="preserve"> PAGEREF _Toc52357115 \h </w:instrText>
            </w:r>
            <w:r w:rsidR="00C21C6D">
              <w:rPr>
                <w:noProof/>
                <w:webHidden/>
              </w:rPr>
            </w:r>
            <w:r w:rsidR="00C21C6D">
              <w:rPr>
                <w:noProof/>
                <w:webHidden/>
              </w:rPr>
              <w:fldChar w:fldCharType="separate"/>
            </w:r>
            <w:r w:rsidR="00C21C6D">
              <w:rPr>
                <w:noProof/>
                <w:webHidden/>
              </w:rPr>
              <w:t>49</w:t>
            </w:r>
            <w:r w:rsidR="00C21C6D">
              <w:rPr>
                <w:noProof/>
                <w:webHidden/>
              </w:rPr>
              <w:fldChar w:fldCharType="end"/>
            </w:r>
          </w:hyperlink>
        </w:p>
        <w:p w14:paraId="6573C1D0" w14:textId="60C5582E"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16" w:history="1">
            <w:r w:rsidR="00C21C6D" w:rsidRPr="00007262">
              <w:rPr>
                <w:rStyle w:val="Hyperlink"/>
                <w:noProof/>
              </w:rPr>
              <w:t>Reasons for updating pensions allowance values</w:t>
            </w:r>
            <w:r w:rsidR="00C21C6D">
              <w:rPr>
                <w:noProof/>
                <w:webHidden/>
              </w:rPr>
              <w:tab/>
            </w:r>
            <w:r w:rsidR="00C21C6D">
              <w:rPr>
                <w:noProof/>
                <w:webHidden/>
              </w:rPr>
              <w:fldChar w:fldCharType="begin"/>
            </w:r>
            <w:r w:rsidR="00C21C6D">
              <w:rPr>
                <w:noProof/>
                <w:webHidden/>
              </w:rPr>
              <w:instrText xml:space="preserve"> PAGEREF _Toc52357116 \h </w:instrText>
            </w:r>
            <w:r w:rsidR="00C21C6D">
              <w:rPr>
                <w:noProof/>
                <w:webHidden/>
              </w:rPr>
            </w:r>
            <w:r w:rsidR="00C21C6D">
              <w:rPr>
                <w:noProof/>
                <w:webHidden/>
              </w:rPr>
              <w:fldChar w:fldCharType="separate"/>
            </w:r>
            <w:r w:rsidR="00C21C6D">
              <w:rPr>
                <w:noProof/>
                <w:webHidden/>
              </w:rPr>
              <w:t>49</w:t>
            </w:r>
            <w:r w:rsidR="00C21C6D">
              <w:rPr>
                <w:noProof/>
                <w:webHidden/>
              </w:rPr>
              <w:fldChar w:fldCharType="end"/>
            </w:r>
          </w:hyperlink>
        </w:p>
        <w:p w14:paraId="24DF4312" w14:textId="60C35C57"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17" w:history="1">
            <w:r w:rsidR="00C21C6D" w:rsidRPr="00007262">
              <w:rPr>
                <w:rStyle w:val="Hyperlink"/>
                <w:noProof/>
              </w:rPr>
              <w:t>Process steps in a year in which a reasonableness review is being conducted</w:t>
            </w:r>
            <w:r w:rsidR="00C21C6D">
              <w:rPr>
                <w:noProof/>
                <w:webHidden/>
              </w:rPr>
              <w:tab/>
            </w:r>
            <w:r w:rsidR="00C21C6D">
              <w:rPr>
                <w:noProof/>
                <w:webHidden/>
              </w:rPr>
              <w:fldChar w:fldCharType="begin"/>
            </w:r>
            <w:r w:rsidR="00C21C6D">
              <w:rPr>
                <w:noProof/>
                <w:webHidden/>
              </w:rPr>
              <w:instrText xml:space="preserve"> PAGEREF _Toc52357117 \h </w:instrText>
            </w:r>
            <w:r w:rsidR="00C21C6D">
              <w:rPr>
                <w:noProof/>
                <w:webHidden/>
              </w:rPr>
            </w:r>
            <w:r w:rsidR="00C21C6D">
              <w:rPr>
                <w:noProof/>
                <w:webHidden/>
              </w:rPr>
              <w:fldChar w:fldCharType="separate"/>
            </w:r>
            <w:r w:rsidR="00C21C6D">
              <w:rPr>
                <w:noProof/>
                <w:webHidden/>
              </w:rPr>
              <w:t>50</w:t>
            </w:r>
            <w:r w:rsidR="00C21C6D">
              <w:rPr>
                <w:noProof/>
                <w:webHidden/>
              </w:rPr>
              <w:fldChar w:fldCharType="end"/>
            </w:r>
          </w:hyperlink>
        </w:p>
        <w:p w14:paraId="241CE2B5" w14:textId="402E4297"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18" w:history="1">
            <w:r w:rsidR="00C21C6D" w:rsidRPr="00007262">
              <w:rPr>
                <w:rStyle w:val="Hyperlink"/>
                <w:noProof/>
              </w:rPr>
              <w:t>Reasonableness Reviews and adjustment factors</w:t>
            </w:r>
            <w:r w:rsidR="00C21C6D">
              <w:rPr>
                <w:noProof/>
                <w:webHidden/>
              </w:rPr>
              <w:tab/>
            </w:r>
            <w:r w:rsidR="00C21C6D">
              <w:rPr>
                <w:noProof/>
                <w:webHidden/>
              </w:rPr>
              <w:fldChar w:fldCharType="begin"/>
            </w:r>
            <w:r w:rsidR="00C21C6D">
              <w:rPr>
                <w:noProof/>
                <w:webHidden/>
              </w:rPr>
              <w:instrText xml:space="preserve"> PAGEREF _Toc52357118 \h </w:instrText>
            </w:r>
            <w:r w:rsidR="00C21C6D">
              <w:rPr>
                <w:noProof/>
                <w:webHidden/>
              </w:rPr>
            </w:r>
            <w:r w:rsidR="00C21C6D">
              <w:rPr>
                <w:noProof/>
                <w:webHidden/>
              </w:rPr>
              <w:fldChar w:fldCharType="separate"/>
            </w:r>
            <w:r w:rsidR="00C21C6D">
              <w:rPr>
                <w:noProof/>
                <w:webHidden/>
              </w:rPr>
              <w:t>53</w:t>
            </w:r>
            <w:r w:rsidR="00C21C6D">
              <w:rPr>
                <w:noProof/>
                <w:webHidden/>
              </w:rPr>
              <w:fldChar w:fldCharType="end"/>
            </w:r>
          </w:hyperlink>
        </w:p>
        <w:p w14:paraId="0331F314" w14:textId="0FE32EC6" w:rsidR="00C21C6D" w:rsidRDefault="000427EE">
          <w:pPr>
            <w:pStyle w:val="TOC2"/>
            <w:tabs>
              <w:tab w:val="right" w:leader="dot" w:pos="9514"/>
            </w:tabs>
            <w:rPr>
              <w:rFonts w:asciiTheme="minorHAnsi" w:eastAsiaTheme="minorEastAsia" w:hAnsiTheme="minorHAnsi" w:cstheme="minorBidi"/>
              <w:noProof/>
              <w:sz w:val="22"/>
              <w:szCs w:val="22"/>
              <w:lang w:eastAsia="en-GB"/>
            </w:rPr>
          </w:pPr>
          <w:hyperlink w:anchor="_Toc52357119" w:history="1">
            <w:r w:rsidR="00C21C6D" w:rsidRPr="00007262">
              <w:rPr>
                <w:rStyle w:val="Hyperlink"/>
                <w:noProof/>
              </w:rPr>
              <w:t>Section 3 – Proposals for revised pensions allowance values</w:t>
            </w:r>
            <w:r w:rsidR="00C21C6D">
              <w:rPr>
                <w:noProof/>
                <w:webHidden/>
              </w:rPr>
              <w:tab/>
            </w:r>
            <w:r w:rsidR="00C21C6D">
              <w:rPr>
                <w:noProof/>
                <w:webHidden/>
              </w:rPr>
              <w:fldChar w:fldCharType="begin"/>
            </w:r>
            <w:r w:rsidR="00C21C6D">
              <w:rPr>
                <w:noProof/>
                <w:webHidden/>
              </w:rPr>
              <w:instrText xml:space="preserve"> PAGEREF _Toc52357119 \h </w:instrText>
            </w:r>
            <w:r w:rsidR="00C21C6D">
              <w:rPr>
                <w:noProof/>
                <w:webHidden/>
              </w:rPr>
            </w:r>
            <w:r w:rsidR="00C21C6D">
              <w:rPr>
                <w:noProof/>
                <w:webHidden/>
              </w:rPr>
              <w:fldChar w:fldCharType="separate"/>
            </w:r>
            <w:r w:rsidR="00C21C6D">
              <w:rPr>
                <w:noProof/>
                <w:webHidden/>
              </w:rPr>
              <w:t>55</w:t>
            </w:r>
            <w:r w:rsidR="00C21C6D">
              <w:rPr>
                <w:noProof/>
                <w:webHidden/>
              </w:rPr>
              <w:fldChar w:fldCharType="end"/>
            </w:r>
          </w:hyperlink>
        </w:p>
        <w:p w14:paraId="2E46F805" w14:textId="0146F9D9"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20" w:history="1">
            <w:r w:rsidR="00C21C6D" w:rsidRPr="00007262">
              <w:rPr>
                <w:rStyle w:val="Hyperlink"/>
                <w:noProof/>
              </w:rPr>
              <w:t>Base Annual PSED Allowances</w:t>
            </w:r>
            <w:r w:rsidR="00C21C6D">
              <w:rPr>
                <w:noProof/>
                <w:webHidden/>
              </w:rPr>
              <w:tab/>
            </w:r>
            <w:r w:rsidR="00C21C6D">
              <w:rPr>
                <w:noProof/>
                <w:webHidden/>
              </w:rPr>
              <w:fldChar w:fldCharType="begin"/>
            </w:r>
            <w:r w:rsidR="00C21C6D">
              <w:rPr>
                <w:noProof/>
                <w:webHidden/>
              </w:rPr>
              <w:instrText xml:space="preserve"> PAGEREF _Toc52357120 \h </w:instrText>
            </w:r>
            <w:r w:rsidR="00C21C6D">
              <w:rPr>
                <w:noProof/>
                <w:webHidden/>
              </w:rPr>
            </w:r>
            <w:r w:rsidR="00C21C6D">
              <w:rPr>
                <w:noProof/>
                <w:webHidden/>
              </w:rPr>
              <w:fldChar w:fldCharType="separate"/>
            </w:r>
            <w:r w:rsidR="00C21C6D">
              <w:rPr>
                <w:noProof/>
                <w:webHidden/>
              </w:rPr>
              <w:t>56</w:t>
            </w:r>
            <w:r w:rsidR="00C21C6D">
              <w:rPr>
                <w:noProof/>
                <w:webHidden/>
              </w:rPr>
              <w:fldChar w:fldCharType="end"/>
            </w:r>
          </w:hyperlink>
        </w:p>
        <w:p w14:paraId="73A5A2AB" w14:textId="67A3A3DF" w:rsidR="00C21C6D" w:rsidRDefault="000427EE">
          <w:pPr>
            <w:pStyle w:val="TOC3"/>
            <w:tabs>
              <w:tab w:val="right" w:leader="dot" w:pos="9514"/>
            </w:tabs>
            <w:rPr>
              <w:rFonts w:asciiTheme="minorHAnsi" w:eastAsiaTheme="minorEastAsia" w:hAnsiTheme="minorHAnsi" w:cstheme="minorBidi"/>
              <w:noProof/>
              <w:sz w:val="22"/>
              <w:szCs w:val="22"/>
              <w:lang w:eastAsia="en-GB"/>
            </w:rPr>
          </w:pPr>
          <w:hyperlink w:anchor="_Toc52357121" w:history="1">
            <w:r w:rsidR="00C21C6D" w:rsidRPr="00007262">
              <w:rPr>
                <w:rStyle w:val="Hyperlink"/>
                <w:noProof/>
              </w:rPr>
              <w:t>Payment history allowances</w:t>
            </w:r>
            <w:r w:rsidR="00C21C6D">
              <w:rPr>
                <w:noProof/>
                <w:webHidden/>
              </w:rPr>
              <w:tab/>
            </w:r>
            <w:r w:rsidR="00C21C6D">
              <w:rPr>
                <w:noProof/>
                <w:webHidden/>
              </w:rPr>
              <w:fldChar w:fldCharType="begin"/>
            </w:r>
            <w:r w:rsidR="00C21C6D">
              <w:rPr>
                <w:noProof/>
                <w:webHidden/>
              </w:rPr>
              <w:instrText xml:space="preserve"> PAGEREF _Toc52357121 \h </w:instrText>
            </w:r>
            <w:r w:rsidR="00C21C6D">
              <w:rPr>
                <w:noProof/>
                <w:webHidden/>
              </w:rPr>
            </w:r>
            <w:r w:rsidR="00C21C6D">
              <w:rPr>
                <w:noProof/>
                <w:webHidden/>
              </w:rPr>
              <w:fldChar w:fldCharType="separate"/>
            </w:r>
            <w:r w:rsidR="00C21C6D">
              <w:rPr>
                <w:noProof/>
                <w:webHidden/>
              </w:rPr>
              <w:t>58</w:t>
            </w:r>
            <w:r w:rsidR="00C21C6D">
              <w:rPr>
                <w:noProof/>
                <w:webHidden/>
              </w:rPr>
              <w:fldChar w:fldCharType="end"/>
            </w:r>
          </w:hyperlink>
        </w:p>
        <w:p w14:paraId="345E7C93" w14:textId="2EFD83B6" w:rsidR="00C21C6D" w:rsidRDefault="000427EE">
          <w:pPr>
            <w:pStyle w:val="TOC1"/>
            <w:tabs>
              <w:tab w:val="right" w:leader="dot" w:pos="9514"/>
            </w:tabs>
            <w:rPr>
              <w:rFonts w:asciiTheme="minorHAnsi" w:eastAsiaTheme="minorEastAsia" w:hAnsiTheme="minorHAnsi" w:cstheme="minorBidi"/>
              <w:b w:val="0"/>
              <w:noProof/>
              <w:szCs w:val="22"/>
              <w:lang w:eastAsia="en-GB"/>
            </w:rPr>
          </w:pPr>
          <w:hyperlink w:anchor="_Toc52357122" w:history="1">
            <w:r w:rsidR="00C21C6D" w:rsidRPr="00007262">
              <w:rPr>
                <w:rStyle w:val="Hyperlink"/>
                <w:noProof/>
              </w:rPr>
              <w:t>8. Legacy</w:t>
            </w:r>
            <w:r w:rsidR="00C21C6D">
              <w:rPr>
                <w:noProof/>
                <w:webHidden/>
              </w:rPr>
              <w:tab/>
            </w:r>
            <w:r w:rsidR="00C21C6D">
              <w:rPr>
                <w:noProof/>
                <w:webHidden/>
              </w:rPr>
              <w:fldChar w:fldCharType="begin"/>
            </w:r>
            <w:r w:rsidR="00C21C6D">
              <w:rPr>
                <w:noProof/>
                <w:webHidden/>
              </w:rPr>
              <w:instrText xml:space="preserve"> PAGEREF _Toc52357122 \h </w:instrText>
            </w:r>
            <w:r w:rsidR="00C21C6D">
              <w:rPr>
                <w:noProof/>
                <w:webHidden/>
              </w:rPr>
            </w:r>
            <w:r w:rsidR="00C21C6D">
              <w:rPr>
                <w:noProof/>
                <w:webHidden/>
              </w:rPr>
              <w:fldChar w:fldCharType="separate"/>
            </w:r>
            <w:r w:rsidR="00C21C6D">
              <w:rPr>
                <w:noProof/>
                <w:webHidden/>
              </w:rPr>
              <w:t>63</w:t>
            </w:r>
            <w:r w:rsidR="00C21C6D">
              <w:rPr>
                <w:noProof/>
                <w:webHidden/>
              </w:rPr>
              <w:fldChar w:fldCharType="end"/>
            </w:r>
          </w:hyperlink>
        </w:p>
        <w:p w14:paraId="27DDD005" w14:textId="020029CD" w:rsidR="00C21C6D" w:rsidRDefault="000427EE">
          <w:pPr>
            <w:pStyle w:val="TOC1"/>
            <w:tabs>
              <w:tab w:val="right" w:leader="dot" w:pos="9514"/>
            </w:tabs>
            <w:rPr>
              <w:rFonts w:asciiTheme="minorHAnsi" w:eastAsiaTheme="minorEastAsia" w:hAnsiTheme="minorHAnsi" w:cstheme="minorBidi"/>
              <w:b w:val="0"/>
              <w:noProof/>
              <w:szCs w:val="22"/>
              <w:lang w:eastAsia="en-GB"/>
            </w:rPr>
          </w:pPr>
          <w:hyperlink w:anchor="_Toc52357123" w:history="1">
            <w:r w:rsidR="00C21C6D" w:rsidRPr="00007262">
              <w:rPr>
                <w:rStyle w:val="Hyperlink"/>
                <w:noProof/>
              </w:rPr>
              <w:t>Appendices</w:t>
            </w:r>
            <w:r w:rsidR="00C21C6D">
              <w:rPr>
                <w:noProof/>
                <w:webHidden/>
              </w:rPr>
              <w:tab/>
            </w:r>
            <w:r w:rsidR="00C21C6D">
              <w:rPr>
                <w:noProof/>
                <w:webHidden/>
              </w:rPr>
              <w:fldChar w:fldCharType="begin"/>
            </w:r>
            <w:r w:rsidR="00C21C6D">
              <w:rPr>
                <w:noProof/>
                <w:webHidden/>
              </w:rPr>
              <w:instrText xml:space="preserve"> PAGEREF _Toc52357123 \h </w:instrText>
            </w:r>
            <w:r w:rsidR="00C21C6D">
              <w:rPr>
                <w:noProof/>
                <w:webHidden/>
              </w:rPr>
            </w:r>
            <w:r w:rsidR="00C21C6D">
              <w:rPr>
                <w:noProof/>
                <w:webHidden/>
              </w:rPr>
              <w:fldChar w:fldCharType="separate"/>
            </w:r>
            <w:r w:rsidR="00C21C6D">
              <w:rPr>
                <w:noProof/>
                <w:webHidden/>
              </w:rPr>
              <w:t>64</w:t>
            </w:r>
            <w:r w:rsidR="00C21C6D">
              <w:rPr>
                <w:noProof/>
                <w:webHidden/>
              </w:rPr>
              <w:fldChar w:fldCharType="end"/>
            </w:r>
          </w:hyperlink>
        </w:p>
        <w:p w14:paraId="2B353007" w14:textId="4FF8BEF5" w:rsidR="001B57B3" w:rsidRPr="001B57B3" w:rsidRDefault="001B57B3" w:rsidP="000512D6">
          <w:r w:rsidRPr="001B57B3">
            <w:rPr>
              <w:b/>
              <w:sz w:val="22"/>
            </w:rPr>
            <w:fldChar w:fldCharType="end"/>
          </w:r>
        </w:p>
      </w:sdtContent>
    </w:sdt>
    <w:p w14:paraId="30302ED4" w14:textId="08AE7716" w:rsidR="00106249" w:rsidRDefault="00106249" w:rsidP="00CE76F5"/>
    <w:p w14:paraId="30302ED5" w14:textId="77777777" w:rsidR="00C82320" w:rsidRPr="00DD215E" w:rsidRDefault="001A5113" w:rsidP="00187480">
      <w:pPr>
        <w:pStyle w:val="ListParagraph"/>
        <w:numPr>
          <w:ilvl w:val="0"/>
          <w:numId w:val="8"/>
        </w:numPr>
        <w:ind w:left="720"/>
      </w:pPr>
      <w:r>
        <w:br w:type="page"/>
      </w:r>
    </w:p>
    <w:p w14:paraId="30302F3C" w14:textId="4D1A83A5" w:rsidR="00666B7D" w:rsidRDefault="00666B7D" w:rsidP="00826E44">
      <w:pPr>
        <w:pStyle w:val="Sectiontitle"/>
      </w:pPr>
      <w:bookmarkStart w:id="0" w:name="_Toc48743637"/>
      <w:bookmarkStart w:id="1" w:name="_Toc49194289"/>
      <w:bookmarkStart w:id="2" w:name="_Toc49249209"/>
      <w:bookmarkStart w:id="3" w:name="_Toc52357072"/>
      <w:r>
        <w:lastRenderedPageBreak/>
        <w:t>Introduction</w:t>
      </w:r>
      <w:bookmarkEnd w:id="0"/>
      <w:bookmarkEnd w:id="1"/>
      <w:bookmarkEnd w:id="2"/>
      <w:bookmarkEnd w:id="3"/>
    </w:p>
    <w:p w14:paraId="3BC4A0CE" w14:textId="31214A51" w:rsidR="00666B7D" w:rsidRDefault="00666B7D" w:rsidP="00666B7D">
      <w:pPr>
        <w:pStyle w:val="Paragraph"/>
        <w:tabs>
          <w:tab w:val="clear" w:pos="1105"/>
          <w:tab w:val="num" w:pos="680"/>
        </w:tabs>
        <w:ind w:left="0"/>
      </w:pPr>
      <w:r w:rsidRPr="00320A7F">
        <w:t>Under RIIO-</w:t>
      </w:r>
      <w:r>
        <w:t>GT2</w:t>
      </w:r>
      <w:r w:rsidRPr="00320A7F">
        <w:t xml:space="preserve">, </w:t>
      </w:r>
      <w:r w:rsidR="001F7608" w:rsidRPr="008B6496">
        <w:t>Special Condition</w:t>
      </w:r>
      <w:r w:rsidR="00680091" w:rsidRPr="008B6496">
        <w:t>s</w:t>
      </w:r>
      <w:r w:rsidR="001F7608" w:rsidRPr="008B6496">
        <w:t xml:space="preserve"> </w:t>
      </w:r>
      <w:r w:rsidRPr="008B6496">
        <w:t>2</w:t>
      </w:r>
      <w:r w:rsidR="00226928" w:rsidRPr="008B6496">
        <w:t xml:space="preserve">.1 </w:t>
      </w:r>
      <w:r w:rsidR="00561248" w:rsidRPr="008B6496">
        <w:t xml:space="preserve">(Transportation Owner Revenue Restriction) </w:t>
      </w:r>
      <w:r w:rsidR="00226928" w:rsidRPr="008B6496">
        <w:t>and 2.5</w:t>
      </w:r>
      <w:r w:rsidR="00226928">
        <w:t xml:space="preserve"> </w:t>
      </w:r>
      <w:r w:rsidR="00561248">
        <w:t>(System Operator Revenue Restriction</w:t>
      </w:r>
      <w:r w:rsidRPr="00320A7F">
        <w:t>)</w:t>
      </w:r>
      <w:r>
        <w:t xml:space="preserve"> </w:t>
      </w:r>
      <w:r w:rsidR="00561248">
        <w:t xml:space="preserve">respectively </w:t>
      </w:r>
      <w:r>
        <w:t>determi</w:t>
      </w:r>
      <w:r w:rsidR="000C0839">
        <w:t>ne the annual allowed revenue the</w:t>
      </w:r>
      <w:r>
        <w:t xml:space="preserve"> licensee can recover through charges</w:t>
      </w:r>
      <w:r w:rsidR="000C0839">
        <w:t xml:space="preserve"> in respect of its Transportation Owner (TO) and System Operator (SO) roles</w:t>
      </w:r>
      <w:r>
        <w:t xml:space="preserve">.  The calculation of annual allowed revenue is performed using the GT2 Price Control Financial Model (PCFM).  </w:t>
      </w:r>
    </w:p>
    <w:p w14:paraId="0EA0DD2D" w14:textId="5C99829B" w:rsidR="00666B7D" w:rsidRPr="00EC35B2" w:rsidRDefault="00666B7D" w:rsidP="00666B7D">
      <w:pPr>
        <w:pStyle w:val="Paragraph"/>
        <w:tabs>
          <w:tab w:val="clear" w:pos="1105"/>
          <w:tab w:val="num" w:pos="680"/>
        </w:tabs>
        <w:spacing w:after="0"/>
        <w:ind w:left="0"/>
        <w:rPr>
          <w:bCs/>
        </w:rPr>
      </w:pPr>
      <w:r>
        <w:t xml:space="preserve">Each year, certain inputs to the PCFM (the Variable Values) are updated through the Annual Iteration Process (AIP), resulting in updates to allowed revenue within the RIIO-2 price control period.  These inputs </w:t>
      </w:r>
      <w:r w:rsidRPr="0033172F">
        <w:t xml:space="preserve">reflect </w:t>
      </w:r>
      <w:r>
        <w:t xml:space="preserve">a range of factors including </w:t>
      </w:r>
      <w:r w:rsidRPr="0033172F">
        <w:t xml:space="preserve">past and </w:t>
      </w:r>
      <w:r w:rsidRPr="0033172F">
        <w:rPr>
          <w:noProof/>
        </w:rPr>
        <w:t>forecast</w:t>
      </w:r>
      <w:r w:rsidRPr="0033172F">
        <w:t xml:space="preserve"> performance and activity levels</w:t>
      </w:r>
      <w:r>
        <w:t>, and</w:t>
      </w:r>
      <w:r w:rsidRPr="0033172F">
        <w:t xml:space="preserve"> changes in the cost of capital.</w:t>
      </w:r>
      <w:r>
        <w:t xml:space="preserve">  </w:t>
      </w:r>
    </w:p>
    <w:p w14:paraId="74CEB70B" w14:textId="1163BC4D" w:rsidR="00666B7D" w:rsidRPr="00BC566C" w:rsidRDefault="00666B7D" w:rsidP="00666B7D">
      <w:pPr>
        <w:pStyle w:val="Paragraph"/>
        <w:tabs>
          <w:tab w:val="clear" w:pos="1105"/>
          <w:tab w:val="num" w:pos="680"/>
        </w:tabs>
        <w:spacing w:after="0"/>
        <w:ind w:left="0"/>
        <w:rPr>
          <w:bCs/>
        </w:rPr>
      </w:pPr>
      <w:r>
        <w:t xml:space="preserve">We have chosen to have a </w:t>
      </w:r>
      <w:r w:rsidRPr="00BC566C">
        <w:rPr>
          <w:bCs/>
        </w:rPr>
        <w:t xml:space="preserve">PCFM </w:t>
      </w:r>
      <w:r>
        <w:rPr>
          <w:bCs/>
        </w:rPr>
        <w:t xml:space="preserve">with an AIP </w:t>
      </w:r>
      <w:r w:rsidRPr="00BC566C">
        <w:rPr>
          <w:bCs/>
        </w:rPr>
        <w:t>because</w:t>
      </w:r>
      <w:r>
        <w:rPr>
          <w:bCs/>
        </w:rPr>
        <w:t xml:space="preserve"> it</w:t>
      </w:r>
      <w:r w:rsidRPr="00BC566C">
        <w:rPr>
          <w:bCs/>
        </w:rPr>
        <w:t>:</w:t>
      </w:r>
    </w:p>
    <w:p w14:paraId="395119C8" w14:textId="7C3D7F0A" w:rsidR="00666B7D" w:rsidRPr="00BC566C" w:rsidRDefault="00666B7D" w:rsidP="008F1AC8">
      <w:pPr>
        <w:pStyle w:val="Text-Numbered"/>
        <w:numPr>
          <w:ilvl w:val="0"/>
          <w:numId w:val="13"/>
        </w:numPr>
      </w:pPr>
      <w:r>
        <w:t>incorporates</w:t>
      </w:r>
      <w:r w:rsidRPr="00BC566C">
        <w:t xml:space="preserve"> ‘real time’ adju</w:t>
      </w:r>
      <w:r>
        <w:t>stments to financial allowances</w:t>
      </w:r>
    </w:p>
    <w:p w14:paraId="23028764" w14:textId="7DDD195C" w:rsidR="00666B7D" w:rsidRDefault="00666B7D" w:rsidP="008F1AC8">
      <w:pPr>
        <w:pStyle w:val="Text-Numbered"/>
        <w:numPr>
          <w:ilvl w:val="0"/>
          <w:numId w:val="13"/>
        </w:numPr>
      </w:pPr>
      <w:r w:rsidRPr="002D4625">
        <w:t xml:space="preserve">uses a financial model for the purpose of computing interactions between financial adjustments </w:t>
      </w:r>
      <w:r>
        <w:t xml:space="preserve">where the relevant algebra would be excessively complicated to </w:t>
      </w:r>
      <w:r w:rsidRPr="002D4625">
        <w:t xml:space="preserve">set out </w:t>
      </w:r>
      <w:r w:rsidRPr="00BC566C">
        <w:t xml:space="preserve">on the face of </w:t>
      </w:r>
      <w:r w:rsidR="00B017EA">
        <w:t>S</w:t>
      </w:r>
      <w:r w:rsidRPr="00BC566C">
        <w:t>p</w:t>
      </w:r>
      <w:r>
        <w:t xml:space="preserve">ecial </w:t>
      </w:r>
      <w:r w:rsidR="00B017EA">
        <w:t>C</w:t>
      </w:r>
      <w:r>
        <w:t>onditions</w:t>
      </w:r>
    </w:p>
    <w:p w14:paraId="3310D9FA" w14:textId="74DCD739" w:rsidR="00666B7D" w:rsidRPr="00BC566C" w:rsidRDefault="00666B7D" w:rsidP="008F1AC8">
      <w:pPr>
        <w:pStyle w:val="Text-Numbered"/>
        <w:numPr>
          <w:ilvl w:val="0"/>
          <w:numId w:val="13"/>
        </w:numPr>
      </w:pPr>
      <w:r>
        <w:t>provides</w:t>
      </w:r>
      <w:r w:rsidRPr="00BC566C">
        <w:t xml:space="preserve"> transparency on adjustments to </w:t>
      </w:r>
      <w:r>
        <w:t>allowed</w:t>
      </w:r>
      <w:r w:rsidRPr="00BC566C">
        <w:t xml:space="preserve"> revenues</w:t>
      </w:r>
      <w:r w:rsidR="00561248">
        <w:t>, since the L</w:t>
      </w:r>
      <w:r w:rsidRPr="00BC566C">
        <w:t xml:space="preserve">icence, </w:t>
      </w:r>
      <w:r w:rsidR="00944D8A">
        <w:t>this h</w:t>
      </w:r>
      <w:r>
        <w:t>andbook, the PCFM and Variable Values are published</w:t>
      </w:r>
    </w:p>
    <w:p w14:paraId="079E648D" w14:textId="618BAD8B" w:rsidR="00666B7D" w:rsidRPr="00BC566C" w:rsidRDefault="00666B7D" w:rsidP="008F1AC8">
      <w:pPr>
        <w:pStyle w:val="Text-Numbered"/>
        <w:numPr>
          <w:ilvl w:val="0"/>
          <w:numId w:val="13"/>
        </w:numPr>
      </w:pPr>
      <w:r w:rsidRPr="00BC566C">
        <w:t xml:space="preserve">allows stakeholders to keep abreast of </w:t>
      </w:r>
      <w:r>
        <w:t>allowed</w:t>
      </w:r>
      <w:r w:rsidRPr="00BC566C">
        <w:t xml:space="preserve"> revenue levels and to carry out business sensitivity analysis.</w:t>
      </w:r>
      <w:r>
        <w:t xml:space="preserve"> </w:t>
      </w:r>
    </w:p>
    <w:p w14:paraId="57DC4998" w14:textId="752660AC" w:rsidR="00666B7D" w:rsidRPr="00A23E59" w:rsidRDefault="00666B7D" w:rsidP="00666B7D">
      <w:pPr>
        <w:pStyle w:val="Paragraph"/>
        <w:tabs>
          <w:tab w:val="clear" w:pos="1105"/>
          <w:tab w:val="num" w:pos="680"/>
        </w:tabs>
        <w:ind w:left="0"/>
      </w:pPr>
      <w:r>
        <w:t xml:space="preserve">This document is the Price Control Financial Handbook (PCFH, or handbook) and, along with the PCFM, is a GT2 Price Control Financial Instrument, which forms part of </w:t>
      </w:r>
      <w:r w:rsidRPr="00A23E59">
        <w:t>Special Condition 8</w:t>
      </w:r>
      <w:r w:rsidR="00226928" w:rsidRPr="00A23E59">
        <w:t>.1</w:t>
      </w:r>
      <w:r w:rsidRPr="00A23E59">
        <w:t>.</w:t>
      </w:r>
      <w:r w:rsidR="00561248" w:rsidRPr="00A23E59">
        <w:t xml:space="preserve"> </w:t>
      </w:r>
      <w:r w:rsidRPr="00A23E59">
        <w:rPr>
          <w:bCs/>
        </w:rPr>
        <w:t xml:space="preserve">The PCFH and PCFM are subject to a formal change control process set out in </w:t>
      </w:r>
      <w:r w:rsidR="00561248" w:rsidRPr="00A23E59">
        <w:t>Special Condition 8.1</w:t>
      </w:r>
      <w:r w:rsidRPr="00A23E59">
        <w:rPr>
          <w:bCs/>
        </w:rPr>
        <w:t>.</w:t>
      </w:r>
    </w:p>
    <w:p w14:paraId="792BAA76" w14:textId="5EF4FD43" w:rsidR="009146DD" w:rsidRPr="004C5E2E" w:rsidRDefault="004C5E2E" w:rsidP="00666B7D">
      <w:pPr>
        <w:pStyle w:val="Paragraph"/>
        <w:tabs>
          <w:tab w:val="clear" w:pos="1105"/>
          <w:tab w:val="num" w:pos="680"/>
        </w:tabs>
        <w:ind w:left="0"/>
      </w:pPr>
      <w:r w:rsidRPr="004C5E2E">
        <w:t xml:space="preserve">This handbook refers to the licensee’s </w:t>
      </w:r>
      <w:r w:rsidR="009146DD" w:rsidRPr="004C5E2E">
        <w:t>TO and SO</w:t>
      </w:r>
      <w:r w:rsidRPr="004C5E2E">
        <w:t xml:space="preserve"> activities</w:t>
      </w:r>
      <w:r w:rsidR="009146DD" w:rsidRPr="004C5E2E">
        <w:t>.  Whilst these are normally shown separately, on occasions we may refer to TO only but the reference should be read as appl</w:t>
      </w:r>
      <w:r w:rsidRPr="004C5E2E">
        <w:t>ying to both where appropriate.</w:t>
      </w:r>
    </w:p>
    <w:p w14:paraId="6AFBBB8A" w14:textId="30D07B8B" w:rsidR="00666B7D" w:rsidRDefault="00666B7D" w:rsidP="00666B7D">
      <w:pPr>
        <w:pStyle w:val="Paragraph"/>
        <w:tabs>
          <w:tab w:val="clear" w:pos="1105"/>
          <w:tab w:val="num" w:pos="680"/>
        </w:tabs>
        <w:spacing w:after="0"/>
        <w:ind w:left="0"/>
      </w:pPr>
      <w:r>
        <w:t>This handbook supports the annual determination of allowed revenue by providing:</w:t>
      </w:r>
    </w:p>
    <w:p w14:paraId="0E411010" w14:textId="5BEAA5CE" w:rsidR="00666B7D" w:rsidRDefault="00666B7D" w:rsidP="008F1AC8">
      <w:pPr>
        <w:pStyle w:val="Text-Numbered"/>
        <w:numPr>
          <w:ilvl w:val="0"/>
          <w:numId w:val="14"/>
        </w:numPr>
      </w:pPr>
      <w:r>
        <w:t>a description of the GT2 PCFM and the AIP</w:t>
      </w:r>
    </w:p>
    <w:p w14:paraId="7AF45F09" w14:textId="00249B58" w:rsidR="00666B7D" w:rsidRDefault="00666B7D" w:rsidP="008F1AC8">
      <w:pPr>
        <w:pStyle w:val="Text-Numbered"/>
        <w:numPr>
          <w:ilvl w:val="0"/>
          <w:numId w:val="14"/>
        </w:numPr>
      </w:pPr>
      <w:r>
        <w:t>an overview of the GT2</w:t>
      </w:r>
      <w:r w:rsidRPr="00592149">
        <w:t xml:space="preserve"> </w:t>
      </w:r>
      <w:r>
        <w:t xml:space="preserve">Variable Values used in the </w:t>
      </w:r>
      <w:r w:rsidRPr="00592149">
        <w:t xml:space="preserve">PCFM </w:t>
      </w:r>
      <w:r>
        <w:t>during the AIP</w:t>
      </w:r>
    </w:p>
    <w:p w14:paraId="6173B255" w14:textId="7865D47B" w:rsidR="00666B7D" w:rsidRDefault="00666B7D" w:rsidP="008F1AC8">
      <w:pPr>
        <w:pStyle w:val="Text-Numbered"/>
        <w:numPr>
          <w:ilvl w:val="0"/>
          <w:numId w:val="14"/>
        </w:numPr>
        <w:spacing w:after="360"/>
        <w:ind w:left="714" w:hanging="357"/>
      </w:pPr>
      <w:r>
        <w:t>details of how certain GT2 Variable Values are revised or calculated.</w:t>
      </w:r>
    </w:p>
    <w:p w14:paraId="30302F3F" w14:textId="6C2E1C20" w:rsidR="00666B7D" w:rsidRDefault="00666B7D" w:rsidP="00666B7D">
      <w:pPr>
        <w:pStyle w:val="Heading2"/>
        <w:keepNext/>
        <w:spacing w:line="360" w:lineRule="auto"/>
      </w:pPr>
      <w:bookmarkStart w:id="4" w:name="_Toc48743638"/>
      <w:bookmarkStart w:id="5" w:name="_Toc49194290"/>
      <w:bookmarkStart w:id="6" w:name="_Toc49249210"/>
      <w:bookmarkStart w:id="7" w:name="_Toc52357073"/>
      <w:r>
        <w:lastRenderedPageBreak/>
        <w:t>Related documents</w:t>
      </w:r>
      <w:bookmarkEnd w:id="4"/>
      <w:bookmarkEnd w:id="5"/>
      <w:bookmarkEnd w:id="6"/>
      <w:bookmarkEnd w:id="7"/>
    </w:p>
    <w:p w14:paraId="3679B705" w14:textId="231E4566" w:rsidR="00666B7D" w:rsidRDefault="00666B7D" w:rsidP="00666B7D">
      <w:pPr>
        <w:pStyle w:val="Paragraph"/>
        <w:keepNext/>
        <w:tabs>
          <w:tab w:val="clear" w:pos="1105"/>
          <w:tab w:val="num" w:pos="680"/>
        </w:tabs>
        <w:spacing w:after="0"/>
        <w:ind w:left="0"/>
      </w:pPr>
      <w:r>
        <w:t xml:space="preserve">This </w:t>
      </w:r>
      <w:r w:rsidR="00944D8A">
        <w:t>h</w:t>
      </w:r>
      <w:r>
        <w:t>andbook is one of several documents relevant to the calculation of allowed revenue.  Other key documents include:</w:t>
      </w:r>
    </w:p>
    <w:p w14:paraId="009E17DF" w14:textId="0CD1FA92" w:rsidR="00666B7D" w:rsidRDefault="00C3289B" w:rsidP="00666B7D">
      <w:pPr>
        <w:pStyle w:val="Text-Numbered"/>
        <w:numPr>
          <w:ilvl w:val="0"/>
          <w:numId w:val="10"/>
        </w:numPr>
      </w:pPr>
      <w:r>
        <w:t>Final Determinations</w:t>
      </w:r>
    </w:p>
    <w:p w14:paraId="09D49C5F" w14:textId="565DE5DC" w:rsidR="00666B7D" w:rsidRDefault="00666B7D" w:rsidP="00666B7D">
      <w:pPr>
        <w:pStyle w:val="Text-Numbered"/>
        <w:numPr>
          <w:ilvl w:val="0"/>
          <w:numId w:val="10"/>
        </w:numPr>
      </w:pPr>
      <w:r>
        <w:t xml:space="preserve">Special </w:t>
      </w:r>
      <w:r w:rsidR="00561248">
        <w:t>Licence C</w:t>
      </w:r>
      <w:r>
        <w:t>onditions</w:t>
      </w:r>
    </w:p>
    <w:p w14:paraId="1D6AF7E2" w14:textId="48D02521" w:rsidR="00666B7D" w:rsidRDefault="00C3289B" w:rsidP="00666B7D">
      <w:pPr>
        <w:pStyle w:val="Text-Numbered"/>
        <w:numPr>
          <w:ilvl w:val="0"/>
          <w:numId w:val="10"/>
        </w:numPr>
      </w:pPr>
      <w:r>
        <w:t>PCFM</w:t>
      </w:r>
    </w:p>
    <w:p w14:paraId="3374A585" w14:textId="285D9A95" w:rsidR="00944D8A" w:rsidRDefault="00944D8A" w:rsidP="00666B7D">
      <w:pPr>
        <w:pStyle w:val="Text-Numbered"/>
        <w:numPr>
          <w:ilvl w:val="0"/>
          <w:numId w:val="10"/>
        </w:numPr>
      </w:pPr>
      <w:r>
        <w:t>PCFM Guidance</w:t>
      </w:r>
    </w:p>
    <w:p w14:paraId="37C970E2" w14:textId="7629CAE8" w:rsidR="00666B7D" w:rsidRPr="00680091" w:rsidRDefault="00C3289B" w:rsidP="008F1AC8">
      <w:pPr>
        <w:pStyle w:val="Text-Numbered"/>
        <w:numPr>
          <w:ilvl w:val="0"/>
          <w:numId w:val="10"/>
        </w:numPr>
      </w:pPr>
      <w:r w:rsidRPr="00680091">
        <w:t>Associated Documents</w:t>
      </w:r>
      <w:r w:rsidR="001F7608" w:rsidRPr="00680091">
        <w:t xml:space="preserve"> (see </w:t>
      </w:r>
      <w:r w:rsidR="008F1AC8">
        <w:t>Tables 3.1 and 3.2</w:t>
      </w:r>
      <w:r w:rsidR="001F7608" w:rsidRPr="00680091">
        <w:t>)</w:t>
      </w:r>
      <w:r w:rsidR="008B6496">
        <w:t>.</w:t>
      </w:r>
    </w:p>
    <w:p w14:paraId="61E19D37" w14:textId="2905FB70" w:rsidR="00666B7D" w:rsidRPr="00D46D52" w:rsidRDefault="00666B7D" w:rsidP="00666B7D">
      <w:pPr>
        <w:pStyle w:val="Paragraph"/>
        <w:tabs>
          <w:tab w:val="clear" w:pos="1105"/>
          <w:tab w:val="num" w:pos="680"/>
        </w:tabs>
        <w:spacing w:after="0"/>
        <w:ind w:left="680" w:hanging="680"/>
        <w:rPr>
          <w:bCs/>
        </w:rPr>
      </w:pPr>
      <w:r w:rsidRPr="00D46D52">
        <w:rPr>
          <w:bCs/>
        </w:rPr>
        <w:t>In any case of conflict of meaning</w:t>
      </w:r>
      <w:r>
        <w:rPr>
          <w:bCs/>
        </w:rPr>
        <w:t xml:space="preserve"> between these documents</w:t>
      </w:r>
      <w:r w:rsidRPr="00D46D52">
        <w:rPr>
          <w:bCs/>
        </w:rPr>
        <w:t>, the following order of precedence applies:</w:t>
      </w:r>
    </w:p>
    <w:p w14:paraId="27592DDC" w14:textId="77777777" w:rsidR="00666B7D" w:rsidRPr="00D46D52" w:rsidRDefault="00666B7D" w:rsidP="008F1AC8">
      <w:pPr>
        <w:pStyle w:val="Text-Numbered"/>
        <w:numPr>
          <w:ilvl w:val="0"/>
          <w:numId w:val="12"/>
        </w:numPr>
      </w:pPr>
      <w:r w:rsidRPr="00D46D52">
        <w:t xml:space="preserve">the </w:t>
      </w:r>
      <w:r>
        <w:t>relevant licence condition(s)</w:t>
      </w:r>
    </w:p>
    <w:p w14:paraId="23411376" w14:textId="0E0409B6" w:rsidR="00666B7D" w:rsidRPr="00D46D52" w:rsidRDefault="00666B7D" w:rsidP="008F1AC8">
      <w:pPr>
        <w:pStyle w:val="Text-Numbered"/>
        <w:numPr>
          <w:ilvl w:val="0"/>
          <w:numId w:val="12"/>
        </w:numPr>
      </w:pPr>
      <w:r w:rsidRPr="00D46D52">
        <w:t xml:space="preserve">the handbook </w:t>
      </w:r>
    </w:p>
    <w:p w14:paraId="2A558BAD" w14:textId="2043BE09" w:rsidR="00666B7D" w:rsidRDefault="00666B7D" w:rsidP="008F1AC8">
      <w:pPr>
        <w:pStyle w:val="Text-Numbered"/>
        <w:numPr>
          <w:ilvl w:val="0"/>
          <w:numId w:val="12"/>
        </w:numPr>
      </w:pPr>
      <w:r>
        <w:t xml:space="preserve">the PCFM </w:t>
      </w:r>
    </w:p>
    <w:p w14:paraId="7144BEB8" w14:textId="1399D6D2" w:rsidR="00666B7D" w:rsidRDefault="00666B7D" w:rsidP="008F1AC8">
      <w:pPr>
        <w:pStyle w:val="Text-Numbered"/>
        <w:numPr>
          <w:ilvl w:val="0"/>
          <w:numId w:val="12"/>
        </w:numPr>
      </w:pPr>
      <w:r>
        <w:t>Associated Documents</w:t>
      </w:r>
    </w:p>
    <w:p w14:paraId="2DED2D3E" w14:textId="0071F667" w:rsidR="00666B7D" w:rsidRPr="00D46D52" w:rsidRDefault="00666B7D" w:rsidP="008F1AC8">
      <w:pPr>
        <w:pStyle w:val="Text-Numbered"/>
        <w:numPr>
          <w:ilvl w:val="0"/>
          <w:numId w:val="12"/>
        </w:numPr>
      </w:pPr>
      <w:r>
        <w:t>Final Determinations</w:t>
      </w:r>
      <w:r w:rsidR="00561248">
        <w:t>.</w:t>
      </w:r>
    </w:p>
    <w:p w14:paraId="42ADC06F" w14:textId="7E00420F" w:rsidR="00666B7D" w:rsidRDefault="00666B7D" w:rsidP="00666B7D">
      <w:pPr>
        <w:pStyle w:val="Heading2"/>
        <w:keepNext/>
        <w:spacing w:before="360" w:line="360" w:lineRule="auto"/>
      </w:pPr>
      <w:bookmarkStart w:id="8" w:name="_Toc48743639"/>
      <w:bookmarkStart w:id="9" w:name="_Toc49194291"/>
      <w:bookmarkStart w:id="10" w:name="_Toc49249211"/>
      <w:bookmarkStart w:id="11" w:name="_Toc52357074"/>
      <w:r>
        <w:t>Document structure</w:t>
      </w:r>
      <w:bookmarkEnd w:id="8"/>
      <w:bookmarkEnd w:id="9"/>
      <w:bookmarkEnd w:id="10"/>
      <w:bookmarkEnd w:id="11"/>
      <w:r>
        <w:t xml:space="preserve"> </w:t>
      </w:r>
    </w:p>
    <w:p w14:paraId="30302F41" w14:textId="0B72C306" w:rsidR="00666B7D" w:rsidRDefault="00666B7D" w:rsidP="00666B7D">
      <w:pPr>
        <w:pStyle w:val="Paragraph"/>
        <w:tabs>
          <w:tab w:val="clear" w:pos="1105"/>
          <w:tab w:val="num" w:pos="680"/>
        </w:tabs>
        <w:spacing w:after="0"/>
        <w:ind w:left="680" w:hanging="680"/>
      </w:pPr>
      <w:r>
        <w:t>The remainder of this handbook is structured as follows:</w:t>
      </w:r>
    </w:p>
    <w:p w14:paraId="2CD70253" w14:textId="3637A15D" w:rsidR="00666B7D" w:rsidRDefault="00666B7D" w:rsidP="008F1AC8">
      <w:pPr>
        <w:pStyle w:val="Text-Numbered"/>
        <w:numPr>
          <w:ilvl w:val="0"/>
          <w:numId w:val="21"/>
        </w:numPr>
      </w:pPr>
      <w:r>
        <w:t xml:space="preserve">Section </w:t>
      </w:r>
      <w:r>
        <w:fldChar w:fldCharType="begin"/>
      </w:r>
      <w:r>
        <w:instrText xml:space="preserve"> REF _Ref40193907 \r \h </w:instrText>
      </w:r>
      <w:r>
        <w:fldChar w:fldCharType="separate"/>
      </w:r>
      <w:r w:rsidR="00C21C6D">
        <w:t>2</w:t>
      </w:r>
      <w:r>
        <w:fldChar w:fldCharType="end"/>
      </w:r>
      <w:r>
        <w:t xml:space="preserve"> provides an overview of the PCFM and details of the AIP</w:t>
      </w:r>
    </w:p>
    <w:p w14:paraId="7F8D02D6" w14:textId="2EC4CADF" w:rsidR="00666B7D" w:rsidRDefault="00666B7D" w:rsidP="008F1AC8">
      <w:pPr>
        <w:pStyle w:val="Text-Numbered"/>
        <w:numPr>
          <w:ilvl w:val="0"/>
          <w:numId w:val="21"/>
        </w:numPr>
      </w:pPr>
      <w:r>
        <w:t xml:space="preserve">Section </w:t>
      </w:r>
      <w:r>
        <w:fldChar w:fldCharType="begin"/>
      </w:r>
      <w:r>
        <w:instrText xml:space="preserve"> REF _Ref40193922 \r \h </w:instrText>
      </w:r>
      <w:r>
        <w:fldChar w:fldCharType="separate"/>
      </w:r>
      <w:r w:rsidR="00C21C6D">
        <w:t>3</w:t>
      </w:r>
      <w:r>
        <w:fldChar w:fldCharType="end"/>
      </w:r>
      <w:r>
        <w:t xml:space="preserve"> lists the GT2 Variable Values used in the PCFM and updated through the AIP</w:t>
      </w:r>
    </w:p>
    <w:p w14:paraId="40F88739" w14:textId="3A5DE49A" w:rsidR="00666B7D" w:rsidRDefault="00561248" w:rsidP="008F1AC8">
      <w:pPr>
        <w:pStyle w:val="Text-Numbered"/>
        <w:numPr>
          <w:ilvl w:val="0"/>
          <w:numId w:val="21"/>
        </w:numPr>
      </w:pPr>
      <w:r>
        <w:t>s</w:t>
      </w:r>
      <w:r w:rsidR="00666B7D">
        <w:t>ubsequent sections provide details of how certain Variable Values are revised or calculated (along with further details on the PCFM).</w:t>
      </w:r>
    </w:p>
    <w:p w14:paraId="30302F51" w14:textId="0DADBC60" w:rsidR="00743DC5" w:rsidRDefault="00EF0F26" w:rsidP="00743DC5">
      <w:pPr>
        <w:pStyle w:val="Sectiontitle"/>
      </w:pPr>
      <w:bookmarkStart w:id="12" w:name="_Ref40193907"/>
      <w:bookmarkStart w:id="13" w:name="_Toc49194292"/>
      <w:bookmarkStart w:id="14" w:name="_Toc49249212"/>
      <w:bookmarkStart w:id="15" w:name="_Toc52357075"/>
      <w:r>
        <w:lastRenderedPageBreak/>
        <w:t>The PCFM and the Annual Iteration Process</w:t>
      </w:r>
      <w:bookmarkEnd w:id="12"/>
      <w:bookmarkEnd w:id="13"/>
      <w:bookmarkEnd w:id="14"/>
      <w:bookmarkEnd w:id="15"/>
    </w:p>
    <w:p w14:paraId="36253449" w14:textId="2582D1A4" w:rsidR="00666B7D" w:rsidRDefault="00666B7D" w:rsidP="00666B7D">
      <w:pPr>
        <w:numPr>
          <w:ilvl w:val="1"/>
          <w:numId w:val="4"/>
        </w:numPr>
        <w:tabs>
          <w:tab w:val="clear" w:pos="1105"/>
          <w:tab w:val="num" w:pos="680"/>
        </w:tabs>
        <w:spacing w:before="360" w:after="360"/>
        <w:ind w:left="0"/>
      </w:pPr>
      <w:r>
        <w:t xml:space="preserve">This section provides an overview of the PCFM, the terms of reference for the PCFM Working Group (which </w:t>
      </w:r>
      <w:r w:rsidRPr="00176201">
        <w:t>review</w:t>
      </w:r>
      <w:r>
        <w:t>s</w:t>
      </w:r>
      <w:r w:rsidRPr="00176201">
        <w:t xml:space="preserve"> issues arising with respect to the form or usage of the PCFM</w:t>
      </w:r>
      <w:r>
        <w:t>), and details on the AIP through which the Variable Values and allowed revenue are updated annually.</w:t>
      </w:r>
    </w:p>
    <w:p w14:paraId="30302F58" w14:textId="77777777" w:rsidR="00666B7D" w:rsidRPr="00826E44" w:rsidRDefault="00666B7D" w:rsidP="00826E44">
      <w:pPr>
        <w:pStyle w:val="Heading2"/>
        <w:spacing w:line="360" w:lineRule="auto"/>
      </w:pPr>
      <w:bookmarkStart w:id="16" w:name="_Toc48743642"/>
      <w:bookmarkStart w:id="17" w:name="_Toc49194294"/>
      <w:bookmarkStart w:id="18" w:name="_Toc49249214"/>
      <w:bookmarkStart w:id="19" w:name="_Toc52357076"/>
      <w:r w:rsidRPr="00666B7D">
        <w:t>The Price Control Financial Model</w:t>
      </w:r>
      <w:bookmarkEnd w:id="16"/>
      <w:bookmarkEnd w:id="17"/>
      <w:bookmarkEnd w:id="18"/>
      <w:bookmarkEnd w:id="19"/>
    </w:p>
    <w:p w14:paraId="32E33C6C" w14:textId="77777777" w:rsidR="00666B7D" w:rsidRPr="00666B7D" w:rsidRDefault="00666B7D" w:rsidP="00666B7D">
      <w:pPr>
        <w:numPr>
          <w:ilvl w:val="1"/>
          <w:numId w:val="4"/>
        </w:numPr>
        <w:tabs>
          <w:tab w:val="clear" w:pos="1105"/>
          <w:tab w:val="num" w:pos="680"/>
        </w:tabs>
        <w:spacing w:before="360" w:after="360"/>
        <w:ind w:left="0"/>
        <w:rPr>
          <w:szCs w:val="20"/>
        </w:rPr>
      </w:pPr>
      <w:r w:rsidRPr="00666B7D">
        <w:rPr>
          <w:szCs w:val="20"/>
        </w:rPr>
        <w:t xml:space="preserve">The PCFM calculates the licensee’s allowed revenue for each Regulatory Year.  </w:t>
      </w:r>
    </w:p>
    <w:p w14:paraId="360DBD4E" w14:textId="7D135B2D" w:rsidR="00666B7D" w:rsidRDefault="00666B7D" w:rsidP="00666B7D">
      <w:pPr>
        <w:numPr>
          <w:ilvl w:val="1"/>
          <w:numId w:val="4"/>
        </w:numPr>
        <w:tabs>
          <w:tab w:val="clear" w:pos="1105"/>
          <w:tab w:val="num" w:pos="680"/>
        </w:tabs>
        <w:spacing w:before="360" w:after="360"/>
        <w:ind w:left="0"/>
      </w:pPr>
      <w:r>
        <w:t xml:space="preserve">The PCFM </w:t>
      </w:r>
      <w:r w:rsidRPr="00666B7D">
        <w:rPr>
          <w:szCs w:val="20"/>
        </w:rPr>
        <w:t>contains</w:t>
      </w:r>
      <w:r>
        <w:t xml:space="preserve"> both fixed values and a Variable Values Table</w:t>
      </w:r>
      <w:r w:rsidRPr="00666B7D">
        <w:rPr>
          <w:szCs w:val="20"/>
        </w:rPr>
        <w:t xml:space="preserve"> input area for the licensee.</w:t>
      </w:r>
      <w:r>
        <w:t xml:space="preserve">  The allowed revenue figure for the licensee for each Regulatory Year of the Price Control Period is calculated using the fixed values, the Variable Values, and the formulae and functions embedded in the PCFM.</w:t>
      </w:r>
    </w:p>
    <w:p w14:paraId="042F463F" w14:textId="09CA8C48" w:rsidR="00F56E70" w:rsidRPr="00F56E70" w:rsidRDefault="00666B7D" w:rsidP="00666B7D">
      <w:pPr>
        <w:numPr>
          <w:ilvl w:val="1"/>
          <w:numId w:val="4"/>
        </w:numPr>
        <w:tabs>
          <w:tab w:val="clear" w:pos="1105"/>
          <w:tab w:val="num" w:pos="680"/>
        </w:tabs>
        <w:spacing w:before="360" w:after="360"/>
        <w:ind w:left="0"/>
      </w:pPr>
      <w:r>
        <w:t xml:space="preserve">At the outset of the Price Control Period, allowed revenue is calculated by the PCFM, using the Variable Values subsisting at that time.  However, each year, through the AIP, the Variable Values </w:t>
      </w:r>
      <w:r w:rsidRPr="00666B7D">
        <w:rPr>
          <w:szCs w:val="20"/>
        </w:rPr>
        <w:t xml:space="preserve">must be updated, resulting in updated allowed revenue.  To understand the factors that can change allowed revenue, it is helpful to distinguish between two variables that the PCFM calculates: </w:t>
      </w:r>
    </w:p>
    <w:p w14:paraId="3F4709F3" w14:textId="69A1C48D" w:rsidR="00F56E70" w:rsidRPr="008B6496" w:rsidRDefault="00666B7D" w:rsidP="008F1AC8">
      <w:pPr>
        <w:numPr>
          <w:ilvl w:val="0"/>
          <w:numId w:val="20"/>
        </w:numPr>
      </w:pPr>
      <w:r w:rsidRPr="00666B7D">
        <w:rPr>
          <w:szCs w:val="20"/>
        </w:rPr>
        <w:t xml:space="preserve">Calculated Revenue </w:t>
      </w:r>
      <w:r w:rsidRPr="008B6496">
        <w:rPr>
          <w:szCs w:val="20"/>
        </w:rPr>
        <w:t>(R</w:t>
      </w:r>
      <w:r w:rsidR="00BC5DC1" w:rsidRPr="008B6496">
        <w:rPr>
          <w:szCs w:val="20"/>
        </w:rPr>
        <w:t>)</w:t>
      </w:r>
      <w:r w:rsidR="00F56E70" w:rsidRPr="008B6496">
        <w:rPr>
          <w:szCs w:val="20"/>
        </w:rPr>
        <w:t xml:space="preserve"> for the TO</w:t>
      </w:r>
      <w:r w:rsidRPr="008B6496">
        <w:rPr>
          <w:szCs w:val="20"/>
        </w:rPr>
        <w:t xml:space="preserve"> </w:t>
      </w:r>
      <w:r w:rsidR="00F56E70" w:rsidRPr="008B6496">
        <w:rPr>
          <w:szCs w:val="20"/>
        </w:rPr>
        <w:t>(</w:t>
      </w:r>
      <w:r w:rsidRPr="008B6496">
        <w:rPr>
          <w:szCs w:val="20"/>
        </w:rPr>
        <w:t>Sp</w:t>
      </w:r>
      <w:r w:rsidR="00BC5DC1" w:rsidRPr="008B6496">
        <w:rPr>
          <w:szCs w:val="20"/>
        </w:rPr>
        <w:t xml:space="preserve">ecial </w:t>
      </w:r>
      <w:r w:rsidRPr="008B6496">
        <w:rPr>
          <w:szCs w:val="20"/>
        </w:rPr>
        <w:t>C</w:t>
      </w:r>
      <w:r w:rsidR="00BC5DC1" w:rsidRPr="008B6496">
        <w:rPr>
          <w:szCs w:val="20"/>
        </w:rPr>
        <w:t>ondition 2</w:t>
      </w:r>
      <w:r w:rsidR="00506E63" w:rsidRPr="008B6496">
        <w:rPr>
          <w:szCs w:val="20"/>
        </w:rPr>
        <w:t>.1</w:t>
      </w:r>
      <w:r w:rsidR="00BC5DC1" w:rsidRPr="008B6496">
        <w:rPr>
          <w:szCs w:val="20"/>
        </w:rPr>
        <w:t xml:space="preserve"> Part D</w:t>
      </w:r>
      <w:r w:rsidR="00F56E70" w:rsidRPr="008B6496">
        <w:rPr>
          <w:szCs w:val="20"/>
        </w:rPr>
        <w:t>)</w:t>
      </w:r>
      <w:r w:rsidR="00BC5DC1" w:rsidRPr="008B6496">
        <w:rPr>
          <w:szCs w:val="20"/>
        </w:rPr>
        <w:t xml:space="preserve"> and SOR for the SO (</w:t>
      </w:r>
      <w:r w:rsidR="00F56E70" w:rsidRPr="008B6496">
        <w:rPr>
          <w:szCs w:val="20"/>
        </w:rPr>
        <w:t>Sp</w:t>
      </w:r>
      <w:r w:rsidR="00BC5DC1" w:rsidRPr="008B6496">
        <w:rPr>
          <w:szCs w:val="20"/>
        </w:rPr>
        <w:t xml:space="preserve">ecial </w:t>
      </w:r>
      <w:r w:rsidR="00F56E70" w:rsidRPr="008B6496">
        <w:rPr>
          <w:szCs w:val="20"/>
        </w:rPr>
        <w:t>C</w:t>
      </w:r>
      <w:r w:rsidR="00BC5DC1" w:rsidRPr="008B6496">
        <w:rPr>
          <w:szCs w:val="20"/>
        </w:rPr>
        <w:t>ondition</w:t>
      </w:r>
      <w:r w:rsidR="00F56E70" w:rsidRPr="008B6496">
        <w:rPr>
          <w:szCs w:val="20"/>
        </w:rPr>
        <w:t xml:space="preserve"> </w:t>
      </w:r>
      <w:r w:rsidR="00B20A23" w:rsidRPr="008B6496">
        <w:rPr>
          <w:szCs w:val="20"/>
        </w:rPr>
        <w:t>2.5</w:t>
      </w:r>
      <w:r w:rsidR="00BC5DC1" w:rsidRPr="008B6496">
        <w:rPr>
          <w:szCs w:val="20"/>
        </w:rPr>
        <w:t xml:space="preserve"> Part D</w:t>
      </w:r>
      <w:r w:rsidR="00F56E70" w:rsidRPr="008B6496">
        <w:rPr>
          <w:szCs w:val="20"/>
        </w:rPr>
        <w:t>),</w:t>
      </w:r>
      <w:r w:rsidRPr="008B6496">
        <w:rPr>
          <w:szCs w:val="20"/>
        </w:rPr>
        <w:t xml:space="preserve"> and </w:t>
      </w:r>
    </w:p>
    <w:p w14:paraId="2F78BAC5" w14:textId="149A40C6" w:rsidR="00666B7D" w:rsidRPr="008B6496" w:rsidRDefault="00666B7D" w:rsidP="008F1AC8">
      <w:pPr>
        <w:numPr>
          <w:ilvl w:val="0"/>
          <w:numId w:val="20"/>
        </w:numPr>
        <w:spacing w:after="360"/>
        <w:ind w:left="714" w:hanging="357"/>
      </w:pPr>
      <w:r w:rsidRPr="008B6496">
        <w:rPr>
          <w:szCs w:val="20"/>
        </w:rPr>
        <w:t>Allowed Revenue (AR</w:t>
      </w:r>
      <w:r w:rsidR="00BC5DC1" w:rsidRPr="008B6496">
        <w:rPr>
          <w:szCs w:val="20"/>
        </w:rPr>
        <w:t>)</w:t>
      </w:r>
      <w:r w:rsidR="00F56E70" w:rsidRPr="008B6496">
        <w:rPr>
          <w:szCs w:val="20"/>
        </w:rPr>
        <w:t xml:space="preserve"> for the TO</w:t>
      </w:r>
      <w:r w:rsidRPr="008B6496">
        <w:rPr>
          <w:szCs w:val="20"/>
        </w:rPr>
        <w:t xml:space="preserve"> </w:t>
      </w:r>
      <w:r w:rsidR="00F56E70" w:rsidRPr="008B6496">
        <w:rPr>
          <w:szCs w:val="20"/>
        </w:rPr>
        <w:t>(</w:t>
      </w:r>
      <w:r w:rsidRPr="008B6496">
        <w:rPr>
          <w:szCs w:val="20"/>
        </w:rPr>
        <w:t>Sp</w:t>
      </w:r>
      <w:r w:rsidR="00BC5DC1" w:rsidRPr="008B6496">
        <w:rPr>
          <w:szCs w:val="20"/>
        </w:rPr>
        <w:t xml:space="preserve">ecial </w:t>
      </w:r>
      <w:r w:rsidRPr="008B6496">
        <w:rPr>
          <w:szCs w:val="20"/>
        </w:rPr>
        <w:t>C</w:t>
      </w:r>
      <w:r w:rsidR="00BC5DC1" w:rsidRPr="008B6496">
        <w:rPr>
          <w:szCs w:val="20"/>
        </w:rPr>
        <w:t>ondition</w:t>
      </w:r>
      <w:r w:rsidRPr="008B6496">
        <w:rPr>
          <w:szCs w:val="20"/>
        </w:rPr>
        <w:t xml:space="preserve"> 2</w:t>
      </w:r>
      <w:r w:rsidR="00506E63" w:rsidRPr="008B6496">
        <w:rPr>
          <w:szCs w:val="20"/>
        </w:rPr>
        <w:t>.1</w:t>
      </w:r>
      <w:r w:rsidRPr="008B6496">
        <w:rPr>
          <w:szCs w:val="20"/>
        </w:rPr>
        <w:t>, Part C</w:t>
      </w:r>
      <w:r w:rsidR="00F56E70" w:rsidRPr="008B6496">
        <w:t>) and SOAR for the SO (</w:t>
      </w:r>
      <w:r w:rsidR="00F56E70" w:rsidRPr="008B6496">
        <w:rPr>
          <w:szCs w:val="20"/>
        </w:rPr>
        <w:t>Sp</w:t>
      </w:r>
      <w:r w:rsidR="00BC5DC1" w:rsidRPr="008B6496">
        <w:rPr>
          <w:szCs w:val="20"/>
        </w:rPr>
        <w:t xml:space="preserve">ecial </w:t>
      </w:r>
      <w:r w:rsidR="00F56E70" w:rsidRPr="008B6496">
        <w:rPr>
          <w:szCs w:val="20"/>
        </w:rPr>
        <w:t>C</w:t>
      </w:r>
      <w:r w:rsidR="00BC5DC1" w:rsidRPr="008B6496">
        <w:rPr>
          <w:szCs w:val="20"/>
        </w:rPr>
        <w:t>ondition</w:t>
      </w:r>
      <w:r w:rsidR="00F56E70" w:rsidRPr="008B6496">
        <w:rPr>
          <w:szCs w:val="20"/>
        </w:rPr>
        <w:t xml:space="preserve"> 2</w:t>
      </w:r>
      <w:r w:rsidR="00B20A23" w:rsidRPr="008B6496">
        <w:rPr>
          <w:szCs w:val="20"/>
        </w:rPr>
        <w:t>.5</w:t>
      </w:r>
      <w:r w:rsidR="00F56E70" w:rsidRPr="008B6496">
        <w:rPr>
          <w:szCs w:val="20"/>
        </w:rPr>
        <w:t>, Part C</w:t>
      </w:r>
      <w:r w:rsidR="00F56E70" w:rsidRPr="008B6496">
        <w:t>)</w:t>
      </w:r>
      <w:r w:rsidRPr="008B6496">
        <w:t>.</w:t>
      </w:r>
    </w:p>
    <w:p w14:paraId="30809F2A" w14:textId="764A1F04" w:rsidR="00666B7D" w:rsidRPr="008B6496" w:rsidRDefault="00666B7D" w:rsidP="00826E44">
      <w:pPr>
        <w:pStyle w:val="Heading3"/>
        <w:keepNext/>
        <w:spacing w:line="360" w:lineRule="auto"/>
        <w:rPr>
          <w:b w:val="0"/>
        </w:rPr>
      </w:pPr>
      <w:bookmarkStart w:id="20" w:name="_Toc48743643"/>
      <w:bookmarkStart w:id="21" w:name="_Toc49194295"/>
      <w:bookmarkStart w:id="22" w:name="_Toc49249215"/>
      <w:bookmarkStart w:id="23" w:name="_Toc52357077"/>
      <w:r w:rsidRPr="008B6496">
        <w:t>Calculated Revenue</w:t>
      </w:r>
      <w:bookmarkEnd w:id="20"/>
      <w:bookmarkEnd w:id="21"/>
      <w:bookmarkEnd w:id="22"/>
      <w:bookmarkEnd w:id="23"/>
    </w:p>
    <w:p w14:paraId="5333ACB6" w14:textId="690AF4FA" w:rsidR="00666B7D" w:rsidRPr="00666B7D" w:rsidRDefault="00A349A6" w:rsidP="00666B7D">
      <w:pPr>
        <w:numPr>
          <w:ilvl w:val="1"/>
          <w:numId w:val="4"/>
        </w:numPr>
        <w:tabs>
          <w:tab w:val="clear" w:pos="1105"/>
          <w:tab w:val="num" w:pos="680"/>
        </w:tabs>
        <w:spacing w:before="360" w:after="360"/>
        <w:ind w:left="0"/>
        <w:rPr>
          <w:szCs w:val="20"/>
        </w:rPr>
      </w:pPr>
      <w:r w:rsidRPr="008B6496">
        <w:rPr>
          <w:szCs w:val="20"/>
        </w:rPr>
        <w:t>Calculated Revenue for the TO and SO are</w:t>
      </w:r>
      <w:r w:rsidR="00666B7D" w:rsidRPr="008B6496">
        <w:rPr>
          <w:szCs w:val="20"/>
        </w:rPr>
        <w:t xml:space="preserve"> ‘live’ calculation</w:t>
      </w:r>
      <w:r w:rsidRPr="008B6496">
        <w:rPr>
          <w:szCs w:val="20"/>
        </w:rPr>
        <w:t>s</w:t>
      </w:r>
      <w:r w:rsidR="00666B7D" w:rsidRPr="008B6496">
        <w:rPr>
          <w:szCs w:val="20"/>
        </w:rPr>
        <w:t xml:space="preserve"> of real revenue allowances (in 2018/19 p</w:t>
      </w:r>
      <w:r w:rsidR="00BC5DC1" w:rsidRPr="008B6496">
        <w:rPr>
          <w:szCs w:val="20"/>
        </w:rPr>
        <w:t xml:space="preserve">rice terms) in accordance with </w:t>
      </w:r>
      <w:r w:rsidR="00666B7D" w:rsidRPr="008B6496">
        <w:rPr>
          <w:szCs w:val="20"/>
        </w:rPr>
        <w:t>Part D (</w:t>
      </w:r>
      <w:r w:rsidR="00561248" w:rsidRPr="008B6496">
        <w:rPr>
          <w:szCs w:val="20"/>
        </w:rPr>
        <w:t xml:space="preserve">Formula for calculating the </w:t>
      </w:r>
      <w:r w:rsidR="00666B7D" w:rsidRPr="008B6496">
        <w:rPr>
          <w:szCs w:val="20"/>
        </w:rPr>
        <w:t>Calculated Revenue</w:t>
      </w:r>
      <w:r w:rsidRPr="008B6496">
        <w:rPr>
          <w:szCs w:val="20"/>
        </w:rPr>
        <w:t xml:space="preserve"> </w:t>
      </w:r>
      <w:r w:rsidR="008F1AC8">
        <w:rPr>
          <w:szCs w:val="20"/>
        </w:rPr>
        <w:t>t</w:t>
      </w:r>
      <w:r w:rsidRPr="008B6496">
        <w:rPr>
          <w:szCs w:val="20"/>
        </w:rPr>
        <w:t>(R</w:t>
      </w:r>
      <w:r w:rsidRPr="008B6496">
        <w:rPr>
          <w:szCs w:val="20"/>
          <w:vertAlign w:val="subscript"/>
        </w:rPr>
        <w:t>t</w:t>
      </w:r>
      <w:r w:rsidRPr="008B6496">
        <w:rPr>
          <w:szCs w:val="20"/>
        </w:rPr>
        <w:t>)</w:t>
      </w:r>
      <w:r w:rsidR="00666B7D" w:rsidRPr="008B6496">
        <w:rPr>
          <w:szCs w:val="20"/>
        </w:rPr>
        <w:t>) of Special Condition 2</w:t>
      </w:r>
      <w:r w:rsidR="00313B5F" w:rsidRPr="008B6496">
        <w:rPr>
          <w:szCs w:val="20"/>
        </w:rPr>
        <w:t>.1</w:t>
      </w:r>
      <w:r w:rsidRPr="008B6496">
        <w:rPr>
          <w:szCs w:val="20"/>
        </w:rPr>
        <w:t xml:space="preserve"> and Part D (</w:t>
      </w:r>
      <w:r w:rsidR="00313B5F" w:rsidRPr="008B6496">
        <w:rPr>
          <w:szCs w:val="20"/>
        </w:rPr>
        <w:t xml:space="preserve">Formula for calculating the </w:t>
      </w:r>
      <w:r w:rsidRPr="008B6496">
        <w:rPr>
          <w:szCs w:val="20"/>
        </w:rPr>
        <w:t xml:space="preserve">SO Calculated Revenue </w:t>
      </w:r>
      <w:r w:rsidR="00313B5F" w:rsidRPr="008B6496">
        <w:rPr>
          <w:szCs w:val="20"/>
        </w:rPr>
        <w:t xml:space="preserve">term </w:t>
      </w:r>
      <w:r w:rsidRPr="008B6496">
        <w:rPr>
          <w:szCs w:val="20"/>
        </w:rPr>
        <w:t>(SOR</w:t>
      </w:r>
      <w:r w:rsidRPr="008B6496">
        <w:rPr>
          <w:szCs w:val="20"/>
          <w:vertAlign w:val="subscript"/>
        </w:rPr>
        <w:t>t</w:t>
      </w:r>
      <w:r w:rsidRPr="008B6496">
        <w:rPr>
          <w:szCs w:val="20"/>
        </w:rPr>
        <w:t xml:space="preserve">)) of Special Condition </w:t>
      </w:r>
      <w:r w:rsidR="00313B5F" w:rsidRPr="008B6496">
        <w:rPr>
          <w:szCs w:val="20"/>
        </w:rPr>
        <w:t>2.5.</w:t>
      </w:r>
      <w:r w:rsidR="00666B7D" w:rsidRPr="00666B7D">
        <w:rPr>
          <w:szCs w:val="20"/>
        </w:rPr>
        <w:t xml:space="preserve">  </w:t>
      </w:r>
      <w:r>
        <w:rPr>
          <w:szCs w:val="20"/>
        </w:rPr>
        <w:t xml:space="preserve">They are </w:t>
      </w:r>
      <w:r w:rsidR="00666B7D" w:rsidRPr="00666B7D">
        <w:rPr>
          <w:szCs w:val="20"/>
        </w:rPr>
        <w:t>‘live’ calculation</w:t>
      </w:r>
      <w:r>
        <w:rPr>
          <w:szCs w:val="20"/>
        </w:rPr>
        <w:t>s</w:t>
      </w:r>
      <w:r w:rsidR="00666B7D" w:rsidRPr="00666B7D">
        <w:rPr>
          <w:szCs w:val="20"/>
        </w:rPr>
        <w:t xml:space="preserve"> in that Calculated Revenue for a given Regulatory Year will be different at different points in time if the inputs are changed. </w:t>
      </w:r>
    </w:p>
    <w:p w14:paraId="0075AE65" w14:textId="0BF041F7" w:rsidR="00666B7D" w:rsidRPr="00666B7D" w:rsidRDefault="00666B7D" w:rsidP="00666B7D">
      <w:pPr>
        <w:numPr>
          <w:ilvl w:val="1"/>
          <w:numId w:val="4"/>
        </w:numPr>
        <w:tabs>
          <w:tab w:val="clear" w:pos="1105"/>
          <w:tab w:val="num" w:pos="680"/>
        </w:tabs>
        <w:spacing w:before="360" w:after="120"/>
        <w:ind w:left="0"/>
        <w:rPr>
          <w:szCs w:val="20"/>
        </w:rPr>
      </w:pPr>
      <w:r w:rsidRPr="00666B7D">
        <w:rPr>
          <w:szCs w:val="20"/>
        </w:rPr>
        <w:lastRenderedPageBreak/>
        <w:t xml:space="preserve">Chapter </w:t>
      </w:r>
      <w:r w:rsidRPr="00666B7D">
        <w:rPr>
          <w:szCs w:val="20"/>
        </w:rPr>
        <w:fldChar w:fldCharType="begin"/>
      </w:r>
      <w:r w:rsidRPr="00666B7D">
        <w:rPr>
          <w:szCs w:val="20"/>
        </w:rPr>
        <w:instrText xml:space="preserve"> REF _Ref40193922 \r \h </w:instrText>
      </w:r>
      <w:r w:rsidRPr="00666B7D">
        <w:rPr>
          <w:szCs w:val="20"/>
        </w:rPr>
      </w:r>
      <w:r w:rsidRPr="00666B7D">
        <w:rPr>
          <w:szCs w:val="20"/>
        </w:rPr>
        <w:fldChar w:fldCharType="separate"/>
      </w:r>
      <w:r w:rsidR="00C21C6D">
        <w:rPr>
          <w:szCs w:val="20"/>
        </w:rPr>
        <w:t>3</w:t>
      </w:r>
      <w:r w:rsidRPr="00666B7D">
        <w:rPr>
          <w:szCs w:val="20"/>
        </w:rPr>
        <w:fldChar w:fldCharType="end"/>
      </w:r>
      <w:r w:rsidRPr="00666B7D">
        <w:rPr>
          <w:szCs w:val="20"/>
        </w:rPr>
        <w:t xml:space="preserve"> details the Variable Values that can change through the Annual Iteration Process, including those that result in updates to Calculated Revenue. </w:t>
      </w:r>
    </w:p>
    <w:p w14:paraId="3DAFF7DD" w14:textId="77777777" w:rsidR="00666B7D" w:rsidRPr="00666B7D" w:rsidRDefault="00666B7D" w:rsidP="00826E44">
      <w:pPr>
        <w:pStyle w:val="Heading3"/>
        <w:keepNext/>
        <w:spacing w:line="360" w:lineRule="auto"/>
        <w:rPr>
          <w:b w:val="0"/>
        </w:rPr>
      </w:pPr>
      <w:bookmarkStart w:id="24" w:name="_Toc48743644"/>
      <w:bookmarkStart w:id="25" w:name="_Toc49194296"/>
      <w:bookmarkStart w:id="26" w:name="_Toc49249216"/>
      <w:bookmarkStart w:id="27" w:name="_Toc52357078"/>
      <w:r w:rsidRPr="00666B7D">
        <w:t>Allowed Revenue</w:t>
      </w:r>
      <w:bookmarkEnd w:id="24"/>
      <w:bookmarkEnd w:id="25"/>
      <w:bookmarkEnd w:id="26"/>
      <w:bookmarkEnd w:id="27"/>
    </w:p>
    <w:p w14:paraId="22C4A258" w14:textId="08220DFB" w:rsidR="00666B7D" w:rsidRPr="00666B7D" w:rsidRDefault="00666B7D" w:rsidP="00666B7D">
      <w:pPr>
        <w:numPr>
          <w:ilvl w:val="1"/>
          <w:numId w:val="4"/>
        </w:numPr>
        <w:tabs>
          <w:tab w:val="clear" w:pos="1105"/>
          <w:tab w:val="num" w:pos="680"/>
        </w:tabs>
        <w:spacing w:before="360" w:after="120"/>
        <w:ind w:left="0"/>
        <w:rPr>
          <w:szCs w:val="20"/>
        </w:rPr>
      </w:pPr>
      <w:bookmarkStart w:id="28" w:name="_Ref49876016"/>
      <w:r w:rsidRPr="00666B7D">
        <w:rPr>
          <w:szCs w:val="20"/>
        </w:rPr>
        <w:t xml:space="preserve">Allowed Revenue </w:t>
      </w:r>
      <w:r w:rsidR="00A349A6">
        <w:rPr>
          <w:szCs w:val="20"/>
        </w:rPr>
        <w:t xml:space="preserve">for the TO and SO </w:t>
      </w:r>
      <w:r w:rsidRPr="00666B7D">
        <w:rPr>
          <w:szCs w:val="20"/>
        </w:rPr>
        <w:t>a</w:t>
      </w:r>
      <w:r w:rsidR="00A349A6">
        <w:rPr>
          <w:szCs w:val="20"/>
        </w:rPr>
        <w:t>re</w:t>
      </w:r>
      <w:r w:rsidRPr="00666B7D">
        <w:rPr>
          <w:szCs w:val="20"/>
        </w:rPr>
        <w:t xml:space="preserve"> calculation</w:t>
      </w:r>
      <w:r w:rsidR="00A349A6">
        <w:rPr>
          <w:szCs w:val="20"/>
        </w:rPr>
        <w:t>s</w:t>
      </w:r>
      <w:r w:rsidRPr="00666B7D">
        <w:rPr>
          <w:szCs w:val="20"/>
        </w:rPr>
        <w:t xml:space="preserve"> of </w:t>
      </w:r>
      <w:r w:rsidRPr="00561248">
        <w:rPr>
          <w:szCs w:val="20"/>
        </w:rPr>
        <w:t>nominal</w:t>
      </w:r>
      <w:r w:rsidRPr="00666B7D">
        <w:rPr>
          <w:szCs w:val="20"/>
        </w:rPr>
        <w:t xml:space="preserve"> revenue</w:t>
      </w:r>
      <w:r w:rsidR="00523E8C">
        <w:rPr>
          <w:szCs w:val="20"/>
        </w:rPr>
        <w:t xml:space="preserve"> allowances in accordance </w:t>
      </w:r>
      <w:r w:rsidR="00523E8C" w:rsidRPr="00382AA5">
        <w:rPr>
          <w:szCs w:val="20"/>
        </w:rPr>
        <w:t xml:space="preserve">with </w:t>
      </w:r>
      <w:r w:rsidRPr="00382AA5">
        <w:rPr>
          <w:szCs w:val="20"/>
        </w:rPr>
        <w:t>Part C (</w:t>
      </w:r>
      <w:r w:rsidR="00313B5F" w:rsidRPr="00382AA5">
        <w:rPr>
          <w:szCs w:val="20"/>
        </w:rPr>
        <w:t xml:space="preserve">Formula for calculating the </w:t>
      </w:r>
      <w:r w:rsidRPr="00382AA5">
        <w:rPr>
          <w:szCs w:val="20"/>
        </w:rPr>
        <w:t xml:space="preserve">Allowed Revenue </w:t>
      </w:r>
      <w:r w:rsidR="00313B5F" w:rsidRPr="00382AA5">
        <w:rPr>
          <w:szCs w:val="20"/>
        </w:rPr>
        <w:t xml:space="preserve">term </w:t>
      </w:r>
      <w:r w:rsidRPr="00382AA5">
        <w:rPr>
          <w:szCs w:val="20"/>
        </w:rPr>
        <w:t>(AR</w:t>
      </w:r>
      <w:r w:rsidRPr="00382AA5">
        <w:rPr>
          <w:szCs w:val="20"/>
          <w:vertAlign w:val="subscript"/>
        </w:rPr>
        <w:t>t</w:t>
      </w:r>
      <w:r w:rsidRPr="00382AA5">
        <w:rPr>
          <w:szCs w:val="20"/>
        </w:rPr>
        <w:t>)) of Special Condition 2</w:t>
      </w:r>
      <w:r w:rsidR="00B20A23" w:rsidRPr="00382AA5">
        <w:rPr>
          <w:szCs w:val="20"/>
        </w:rPr>
        <w:t>.1</w:t>
      </w:r>
      <w:r w:rsidRPr="00382AA5">
        <w:rPr>
          <w:szCs w:val="20"/>
        </w:rPr>
        <w:t xml:space="preserve"> </w:t>
      </w:r>
      <w:r w:rsidR="00A349A6" w:rsidRPr="00382AA5">
        <w:rPr>
          <w:szCs w:val="20"/>
        </w:rPr>
        <w:t>and Part C (</w:t>
      </w:r>
      <w:r w:rsidR="00313B5F" w:rsidRPr="00382AA5">
        <w:rPr>
          <w:szCs w:val="20"/>
        </w:rPr>
        <w:t>Formula for calculating the</w:t>
      </w:r>
      <w:r w:rsidR="00382AA5" w:rsidRPr="00382AA5">
        <w:rPr>
          <w:szCs w:val="20"/>
        </w:rPr>
        <w:t xml:space="preserve"> SO</w:t>
      </w:r>
      <w:r w:rsidR="00313B5F" w:rsidRPr="00382AA5">
        <w:rPr>
          <w:szCs w:val="20"/>
        </w:rPr>
        <w:t xml:space="preserve"> </w:t>
      </w:r>
      <w:r w:rsidR="00A349A6" w:rsidRPr="00382AA5">
        <w:rPr>
          <w:szCs w:val="20"/>
        </w:rPr>
        <w:t xml:space="preserve">Allowed Revenue </w:t>
      </w:r>
      <w:r w:rsidR="00313B5F" w:rsidRPr="00382AA5">
        <w:rPr>
          <w:szCs w:val="20"/>
        </w:rPr>
        <w:t xml:space="preserve">term </w:t>
      </w:r>
      <w:r w:rsidR="00A349A6" w:rsidRPr="00382AA5">
        <w:rPr>
          <w:szCs w:val="20"/>
        </w:rPr>
        <w:t>(SOAR</w:t>
      </w:r>
      <w:r w:rsidR="00A349A6" w:rsidRPr="00382AA5">
        <w:rPr>
          <w:szCs w:val="20"/>
          <w:vertAlign w:val="subscript"/>
        </w:rPr>
        <w:t>t</w:t>
      </w:r>
      <w:r w:rsidR="00A349A6" w:rsidRPr="00382AA5">
        <w:rPr>
          <w:szCs w:val="20"/>
        </w:rPr>
        <w:t>)) of Special Condition 2</w:t>
      </w:r>
      <w:r w:rsidR="00B20A23" w:rsidRPr="00382AA5">
        <w:rPr>
          <w:szCs w:val="20"/>
        </w:rPr>
        <w:t>.5</w:t>
      </w:r>
      <w:r w:rsidRPr="00382AA5">
        <w:rPr>
          <w:szCs w:val="20"/>
        </w:rPr>
        <w:t>.</w:t>
      </w:r>
      <w:r w:rsidRPr="00666B7D">
        <w:rPr>
          <w:szCs w:val="20"/>
        </w:rPr>
        <w:t xml:space="preserve">  Allowed Revenue for a given Regulatory Year depends on:</w:t>
      </w:r>
      <w:bookmarkEnd w:id="28"/>
    </w:p>
    <w:p w14:paraId="6C94CCBA" w14:textId="77777777" w:rsidR="00666B7D" w:rsidRPr="003F18B0" w:rsidRDefault="00666B7D" w:rsidP="008F1AC8">
      <w:pPr>
        <w:numPr>
          <w:ilvl w:val="0"/>
          <w:numId w:val="83"/>
        </w:numPr>
      </w:pPr>
      <w:r w:rsidRPr="003F18B0">
        <w:t>Calculated Revenue for the given Regulatory Year</w:t>
      </w:r>
    </w:p>
    <w:p w14:paraId="237EF5B5" w14:textId="2B29C638" w:rsidR="00666B7D" w:rsidRPr="003F18B0" w:rsidRDefault="00313B5F" w:rsidP="008F1AC8">
      <w:pPr>
        <w:numPr>
          <w:ilvl w:val="0"/>
          <w:numId w:val="83"/>
        </w:numPr>
      </w:pPr>
      <w:r w:rsidRPr="003F18B0">
        <w:t>i</w:t>
      </w:r>
      <w:r w:rsidR="00666B7D" w:rsidRPr="003F18B0">
        <w:t>nflation</w:t>
      </w:r>
    </w:p>
    <w:p w14:paraId="00D33370" w14:textId="77777777" w:rsidR="003F18B0" w:rsidRPr="003F18B0" w:rsidRDefault="003F18B0" w:rsidP="008F1AC8">
      <w:pPr>
        <w:pStyle w:val="Text-Numbered"/>
        <w:numPr>
          <w:ilvl w:val="0"/>
          <w:numId w:val="83"/>
        </w:numPr>
      </w:pPr>
      <w:r w:rsidRPr="003F18B0">
        <w:t>an adjustment to reflect any revision of historical inputs from the previous AIP to the current AIP</w:t>
      </w:r>
    </w:p>
    <w:p w14:paraId="58A4D73A" w14:textId="1B7A74AE" w:rsidR="00666B7D" w:rsidRPr="003F18B0" w:rsidRDefault="00313B5F" w:rsidP="008F1AC8">
      <w:pPr>
        <w:numPr>
          <w:ilvl w:val="0"/>
          <w:numId w:val="83"/>
        </w:numPr>
      </w:pPr>
      <w:r w:rsidRPr="003F18B0">
        <w:t>a</w:t>
      </w:r>
      <w:r w:rsidR="00666B7D" w:rsidRPr="003F18B0">
        <w:t xml:space="preserve"> correction factor for historical deviations between Recovered Revenue and Calculated Revenue</w:t>
      </w:r>
    </w:p>
    <w:p w14:paraId="46E1A7EF" w14:textId="270A332D" w:rsidR="00666B7D" w:rsidRPr="003F18B0" w:rsidRDefault="00313B5F" w:rsidP="008F1AC8">
      <w:pPr>
        <w:numPr>
          <w:ilvl w:val="0"/>
          <w:numId w:val="83"/>
        </w:numPr>
        <w:spacing w:after="360"/>
        <w:ind w:left="714" w:hanging="357"/>
      </w:pPr>
      <w:r w:rsidRPr="003F18B0">
        <w:t>a</w:t>
      </w:r>
      <w:r w:rsidR="00666B7D" w:rsidRPr="003F18B0">
        <w:t xml:space="preserve"> penalty for under or over-recovery of revenue in excess of 6% from a target revenue.</w:t>
      </w:r>
    </w:p>
    <w:p w14:paraId="30302F5B" w14:textId="5E3E4421" w:rsidR="00666B7D" w:rsidRPr="00666B7D" w:rsidRDefault="00666B7D" w:rsidP="00826E44">
      <w:pPr>
        <w:pStyle w:val="Heading3"/>
        <w:keepNext/>
        <w:spacing w:line="360" w:lineRule="auto"/>
        <w:rPr>
          <w:b w:val="0"/>
        </w:rPr>
      </w:pPr>
      <w:bookmarkStart w:id="29" w:name="_Toc48743645"/>
      <w:bookmarkStart w:id="30" w:name="_Toc49194297"/>
      <w:bookmarkStart w:id="31" w:name="_Toc49249217"/>
      <w:bookmarkStart w:id="32" w:name="_Toc52357079"/>
      <w:r w:rsidRPr="00666B7D">
        <w:t>Price base</w:t>
      </w:r>
      <w:bookmarkEnd w:id="29"/>
      <w:bookmarkEnd w:id="30"/>
      <w:bookmarkEnd w:id="31"/>
      <w:bookmarkEnd w:id="32"/>
    </w:p>
    <w:p w14:paraId="0BC100DE" w14:textId="77777777" w:rsidR="00666B7D" w:rsidRPr="00666B7D" w:rsidRDefault="00666B7D" w:rsidP="00666B7D">
      <w:pPr>
        <w:numPr>
          <w:ilvl w:val="1"/>
          <w:numId w:val="4"/>
        </w:numPr>
        <w:tabs>
          <w:tab w:val="clear" w:pos="1105"/>
          <w:tab w:val="num" w:pos="680"/>
        </w:tabs>
        <w:spacing w:before="360" w:after="360"/>
        <w:ind w:left="0"/>
        <w:rPr>
          <w:szCs w:val="20"/>
        </w:rPr>
      </w:pPr>
      <w:r w:rsidRPr="00666B7D">
        <w:rPr>
          <w:szCs w:val="20"/>
        </w:rPr>
        <w:t>When ascertaining Calculated Revenue, the PCFM works in a constant 2018/19 price base, except in respect of some tax calculations internal to the PCFM that use nominal prices.  The use of nominal prices in the PCFM tax calculations is meant to more accurately reflect the licensee’s tax expenses profile in revenue allowance calculations.</w:t>
      </w:r>
    </w:p>
    <w:p w14:paraId="18B82DFF" w14:textId="5C3E2589" w:rsidR="00666B7D" w:rsidRDefault="00666B7D" w:rsidP="00666B7D">
      <w:pPr>
        <w:numPr>
          <w:ilvl w:val="1"/>
          <w:numId w:val="4"/>
        </w:numPr>
        <w:tabs>
          <w:tab w:val="clear" w:pos="1105"/>
          <w:tab w:val="num" w:pos="680"/>
        </w:tabs>
        <w:spacing w:before="360" w:after="360"/>
        <w:ind w:left="0"/>
      </w:pPr>
      <w:r>
        <w:t xml:space="preserve">Where Variable Values need to be deflated from a nominal price base to the 2018-19 price base used in the PCFM, the following formula will be used: </w:t>
      </w:r>
    </w:p>
    <w:p w14:paraId="54299704" w14:textId="3BD52EDB" w:rsidR="00666B7D" w:rsidRPr="009C7EB9" w:rsidRDefault="000427EE" w:rsidP="00666B7D">
      <w:pPr>
        <w:spacing w:before="360" w:after="360"/>
        <w:ind w:left="720" w:firstLine="720"/>
      </w:pPr>
      <m:oMathPara>
        <m:oMathParaPr>
          <m:jc m:val="left"/>
        </m:oMathParaPr>
        <m:oMath>
          <m:sSub>
            <m:sSubPr>
              <m:ctrlPr>
                <w:rPr>
                  <w:rFonts w:ascii="Cambria Math" w:hAnsi="Cambria Math"/>
                </w:rPr>
              </m:ctrlPr>
            </m:sSubPr>
            <m:e>
              <m:r>
                <m:rPr>
                  <m:sty m:val="p"/>
                </m:rPr>
                <w:rPr>
                  <w:rFonts w:ascii="Cambria Math" w:hAnsi="Cambria Math"/>
                </w:rPr>
                <m:t>value</m:t>
              </m:r>
            </m:e>
            <m:sub>
              <m:r>
                <m:rPr>
                  <m:sty m:val="p"/>
                </m:rPr>
                <w:rPr>
                  <w:rFonts w:ascii="Cambria Math" w:hAnsi="Cambria Math"/>
                </w:rPr>
                <m:t>2018/19 prices</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value</m:t>
              </m:r>
            </m:e>
            <m:sub>
              <m:r>
                <m:rPr>
                  <m:sty m:val="p"/>
                </m:rPr>
                <w:rPr>
                  <w:rFonts w:ascii="Cambria Math" w:hAnsi="Cambria Math"/>
                </w:rPr>
                <m:t xml:space="preserve">nominal </m:t>
              </m:r>
            </m:sub>
          </m:sSub>
          <m:r>
            <m:rPr>
              <m:sty m:val="p"/>
            </m:rPr>
            <w:rPr>
              <w:rFonts w:ascii="Cambria Math" w:hAnsi="Cambria Math"/>
            </w:rPr>
            <m:t xml:space="preserve"> </m:t>
          </m:r>
          <m:r>
            <w:rPr>
              <w:rFonts w:ascii="Cambria Math" w:hAnsi="Cambria Math"/>
            </w:rPr>
            <m:t>.</m:t>
          </m:r>
          <m:f>
            <m:fPr>
              <m:ctrlPr>
                <w:rPr>
                  <w:rFonts w:ascii="Cambria Math" w:hAnsi="Cambria Math"/>
                </w:rPr>
              </m:ctrlPr>
            </m:fPr>
            <m:num>
              <m:sSub>
                <m:sSubPr>
                  <m:ctrlPr>
                    <w:rPr>
                      <w:rFonts w:ascii="Cambria Math" w:hAnsi="Cambria Math" w:cs="Arial"/>
                    </w:rPr>
                  </m:ctrlPr>
                </m:sSubPr>
                <m:e>
                  <m:r>
                    <m:rPr>
                      <m:sty m:val="p"/>
                    </m:rPr>
                    <w:rPr>
                      <w:rFonts w:ascii="Cambria Math" w:hAnsi="Cambria Math" w:cs="Arial"/>
                    </w:rPr>
                    <m:t>PI</m:t>
                  </m:r>
                </m:e>
                <m:sub>
                  <m:r>
                    <m:rPr>
                      <m:sty m:val="p"/>
                    </m:rPr>
                    <w:rPr>
                      <w:rFonts w:ascii="Cambria Math" w:hAnsi="Cambria Math" w:cs="Arial"/>
                    </w:rPr>
                    <m:t>2018/2019</m:t>
                  </m:r>
                </m:sub>
              </m:sSub>
            </m:num>
            <m:den>
              <m:sSub>
                <m:sSubPr>
                  <m:ctrlPr>
                    <w:rPr>
                      <w:rFonts w:ascii="Cambria Math" w:hAnsi="Cambria Math" w:cs="Arial"/>
                    </w:rPr>
                  </m:ctrlPr>
                </m:sSubPr>
                <m:e>
                  <m:r>
                    <m:rPr>
                      <m:sty m:val="p"/>
                    </m:rPr>
                    <w:rPr>
                      <w:rFonts w:ascii="Cambria Math" w:hAnsi="Cambria Math" w:cs="Arial"/>
                    </w:rPr>
                    <m:t>PI</m:t>
                  </m:r>
                </m:e>
                <m:sub>
                  <m:r>
                    <m:rPr>
                      <m:sty m:val="p"/>
                    </m:rPr>
                    <w:rPr>
                      <w:rFonts w:ascii="Cambria Math" w:hAnsi="Cambria Math" w:cs="Arial"/>
                    </w:rPr>
                    <m:t>t nominal</m:t>
                  </m:r>
                </m:sub>
              </m:sSub>
            </m:den>
          </m:f>
        </m:oMath>
      </m:oMathPara>
    </w:p>
    <w:p w14:paraId="5A934F57" w14:textId="5CB92935" w:rsidR="00666B7D" w:rsidRDefault="00666B7D" w:rsidP="00666B7D">
      <w:pPr>
        <w:spacing w:before="360" w:after="360"/>
        <w:ind w:firstLine="720"/>
      </w:pPr>
      <w:r w:rsidRPr="009C7EB9">
        <w:t>Where</w:t>
      </w:r>
      <w:r>
        <w:t>:</w:t>
      </w:r>
    </w:p>
    <w:p w14:paraId="090BD58D" w14:textId="3B8A6E43" w:rsidR="00666B7D" w:rsidRDefault="00666B7D" w:rsidP="00666B7D">
      <w:pPr>
        <w:spacing w:before="360" w:after="360"/>
        <w:ind w:left="720" w:firstLine="720"/>
      </w:pPr>
      <w:r w:rsidRPr="00E5527B">
        <w:t>value</w:t>
      </w:r>
      <w:r w:rsidRPr="00E5527B">
        <w:rPr>
          <w:vertAlign w:val="subscript"/>
        </w:rPr>
        <w:t>2018/19 prices</w:t>
      </w:r>
      <w:r>
        <w:t xml:space="preserve"> </w:t>
      </w:r>
      <w:r>
        <w:tab/>
        <w:t>means the deflated/restated value in 2018/19 prices</w:t>
      </w:r>
    </w:p>
    <w:p w14:paraId="260C46C9" w14:textId="39FF79D3" w:rsidR="00666B7D" w:rsidRDefault="00666B7D" w:rsidP="00666B7D">
      <w:pPr>
        <w:spacing w:before="360" w:after="360"/>
        <w:ind w:left="3600" w:hanging="2160"/>
      </w:pPr>
      <w:r w:rsidRPr="00E5527B">
        <w:t>value</w:t>
      </w:r>
      <w:r w:rsidRPr="00E5527B">
        <w:rPr>
          <w:vertAlign w:val="subscript"/>
        </w:rPr>
        <w:t>nominal</w:t>
      </w:r>
      <w:r>
        <w:t xml:space="preserve">  </w:t>
      </w:r>
      <w:r>
        <w:tab/>
        <w:t>means the value in a nominal price base or in prices of a Regulatory Year other than 2018/19</w:t>
      </w:r>
    </w:p>
    <w:p w14:paraId="1D3ED506" w14:textId="2CAD2D3E" w:rsidR="00666B7D" w:rsidRPr="00253DE6" w:rsidRDefault="000427EE" w:rsidP="00666B7D">
      <w:pPr>
        <w:spacing w:before="360" w:after="360"/>
        <w:ind w:left="1440" w:firstLine="720"/>
      </w:pPr>
      <m:oMathPara>
        <m:oMathParaPr>
          <m:jc m:val="left"/>
        </m:oMathParaPr>
        <m:oMath>
          <m:sSub>
            <m:sSubPr>
              <m:ctrlPr>
                <w:rPr>
                  <w:rFonts w:ascii="Cambria Math" w:hAnsi="Cambria Math"/>
                  <w:i/>
                </w:rPr>
              </m:ctrlPr>
            </m:sSubPr>
            <m:e>
              <m:r>
                <w:rPr>
                  <w:rFonts w:ascii="Cambria Math" w:hAnsi="Cambria Math"/>
                </w:rPr>
                <m:t>PI</m:t>
              </m:r>
            </m:e>
            <m:sub>
              <m:r>
                <w:rPr>
                  <w:rFonts w:ascii="Cambria Math" w:hAnsi="Cambria Math"/>
                </w:rPr>
                <m:t>t</m:t>
              </m:r>
            </m:sub>
          </m:sSub>
          <m:r>
            <w:rPr>
              <w:rFonts w:ascii="Cambria Math" w:hAnsi="Cambria Math"/>
            </w:rPr>
            <m:t>=</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RPI</m:t>
                      </m:r>
                    </m:e>
                    <m:sub>
                      <m:r>
                        <w:rPr>
                          <w:rFonts w:ascii="Cambria Math" w:eastAsiaTheme="minorEastAsia" w:hAnsi="Cambria Math"/>
                        </w:rPr>
                        <m:t>2020/21</m:t>
                      </m:r>
                    </m:sub>
                  </m:sSub>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i=2021/22</m:t>
                      </m:r>
                    </m:sub>
                    <m:sup>
                      <m:r>
                        <w:rPr>
                          <w:rFonts w:ascii="Cambria Math" w:eastAsiaTheme="minorEastAsia" w:hAnsi="Cambria Math"/>
                        </w:rPr>
                        <m:t>t</m:t>
                      </m:r>
                    </m:sup>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m:t>
                              </m:r>
                            </m:sub>
                          </m:sSub>
                        </m:num>
                        <m:den>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i-1</m:t>
                              </m:r>
                            </m:sub>
                          </m:sSub>
                        </m:den>
                      </m:f>
                    </m:e>
                  </m:nary>
                  <m:r>
                    <w:rPr>
                      <w:rFonts w:ascii="Cambria Math" w:hAnsi="Cambria Math"/>
                    </w:rPr>
                    <m:t>,  &amp;t≥2021/22</m:t>
                  </m:r>
                </m:e>
                <m:e>
                  <m:ctrlPr>
                    <w:rPr>
                      <w:rFonts w:ascii="Cambria Math" w:eastAsia="Cambria Math" w:hAnsi="Cambria Math" w:cs="Cambria Math"/>
                      <w:i/>
                    </w:rPr>
                  </m:ctrlPr>
                </m:e>
                <m:e>
                  <m:sSub>
                    <m:sSubPr>
                      <m:ctrlPr>
                        <w:rPr>
                          <w:rFonts w:ascii="Cambria Math" w:hAnsi="Cambria Math"/>
                          <w:i/>
                        </w:rPr>
                      </m:ctrlPr>
                    </m:sSubPr>
                    <m:e>
                      <m:r>
                        <w:rPr>
                          <w:rFonts w:ascii="Cambria Math" w:hAnsi="Cambria Math"/>
                        </w:rPr>
                        <m:t>RPI</m:t>
                      </m:r>
                    </m:e>
                    <m:sub>
                      <m:r>
                        <w:rPr>
                          <w:rFonts w:ascii="Cambria Math" w:hAnsi="Cambria Math"/>
                        </w:rPr>
                        <m:t>t</m:t>
                      </m:r>
                    </m:sub>
                  </m:sSub>
                  <m:r>
                    <w:rPr>
                      <w:rFonts w:ascii="Cambria Math" w:hAnsi="Cambria Math"/>
                    </w:rPr>
                    <m:t>,  &amp;t&lt;2021/22</m:t>
                  </m:r>
                </m:e>
              </m:eqArr>
            </m:e>
          </m:d>
        </m:oMath>
      </m:oMathPara>
    </w:p>
    <w:p w14:paraId="110035E2" w14:textId="77777777" w:rsidR="00666B7D" w:rsidRDefault="00666B7D" w:rsidP="00666B7D">
      <w:pPr>
        <w:spacing w:before="360" w:after="360"/>
        <w:ind w:left="1440" w:firstLine="720"/>
      </w:pPr>
      <w:r w:rsidRPr="00E5527B">
        <w:t>Where</w:t>
      </w:r>
      <w:r>
        <w:t>:</w:t>
      </w:r>
    </w:p>
    <w:p w14:paraId="5374A54F" w14:textId="1287A5FE" w:rsidR="00666B7D" w:rsidRPr="00666B7D" w:rsidRDefault="00666B7D" w:rsidP="00666B7D">
      <w:pPr>
        <w:spacing w:before="360" w:after="360"/>
        <w:ind w:left="2880" w:hanging="720"/>
        <w:rPr>
          <w:szCs w:val="20"/>
        </w:rPr>
      </w:pPr>
      <w:r w:rsidRPr="00666B7D">
        <w:rPr>
          <w:szCs w:val="20"/>
        </w:rPr>
        <w:t>RPI</w:t>
      </w:r>
      <w:r w:rsidRPr="00666B7D">
        <w:rPr>
          <w:szCs w:val="20"/>
        </w:rPr>
        <w:tab/>
        <w:t>means the arithmetic average of the Retail Prices Index (all items) (series: CHAW) published by the Office for National Statistics (ONS) (or any other public body taking on its functions) for each calendar month, for the period April to March in a Regulatory Year, rounded to three decimal places.</w:t>
      </w:r>
      <w:r w:rsidR="00313B5F">
        <w:rPr>
          <w:rStyle w:val="FootnoteReference"/>
        </w:rPr>
        <w:footnoteReference w:id="3"/>
      </w:r>
    </w:p>
    <w:p w14:paraId="3CF6B086" w14:textId="1C11740F" w:rsidR="00666B7D" w:rsidRPr="00666B7D" w:rsidRDefault="00666B7D" w:rsidP="00666B7D">
      <w:pPr>
        <w:spacing w:before="360" w:after="360"/>
        <w:ind w:left="2880" w:hanging="720"/>
        <w:rPr>
          <w:szCs w:val="20"/>
        </w:rPr>
      </w:pPr>
      <w:r w:rsidRPr="00666B7D">
        <w:rPr>
          <w:szCs w:val="20"/>
        </w:rPr>
        <w:t>CPIH</w:t>
      </w:r>
      <w:r w:rsidRPr="00666B7D">
        <w:rPr>
          <w:szCs w:val="20"/>
        </w:rPr>
        <w:tab/>
        <w:t>means the arithmetic average of the “Consumer Price inflation including owner-occupiers’ housing costs” (series L522) for each calendar month published by the ONS (or any other public body taking on its functions) for each calendar month, for the period April to March in a Regulatory Year, rounded to three decimal places.</w:t>
      </w:r>
      <w:r w:rsidR="00313B5F">
        <w:rPr>
          <w:rStyle w:val="FootnoteReference"/>
        </w:rPr>
        <w:footnoteReference w:id="4"/>
      </w:r>
    </w:p>
    <w:p w14:paraId="31EE0306" w14:textId="2D46522C" w:rsidR="00666B7D" w:rsidRPr="00666B7D" w:rsidRDefault="00666B7D" w:rsidP="00826E44">
      <w:pPr>
        <w:pStyle w:val="Heading3"/>
        <w:keepNext/>
        <w:spacing w:line="360" w:lineRule="auto"/>
        <w:rPr>
          <w:b w:val="0"/>
        </w:rPr>
      </w:pPr>
      <w:bookmarkStart w:id="33" w:name="_Toc48743646"/>
      <w:bookmarkStart w:id="34" w:name="_Toc49194298"/>
      <w:bookmarkStart w:id="35" w:name="_Toc49249218"/>
      <w:bookmarkStart w:id="36" w:name="_Toc52357080"/>
      <w:r w:rsidRPr="00666B7D">
        <w:t>Temporal convention</w:t>
      </w:r>
      <w:bookmarkEnd w:id="33"/>
      <w:bookmarkEnd w:id="34"/>
      <w:bookmarkEnd w:id="35"/>
      <w:bookmarkEnd w:id="36"/>
    </w:p>
    <w:p w14:paraId="3FCAFDB4" w14:textId="7F48CA9A" w:rsidR="00666B7D" w:rsidRDefault="00666B7D" w:rsidP="00666B7D">
      <w:pPr>
        <w:numPr>
          <w:ilvl w:val="1"/>
          <w:numId w:val="4"/>
        </w:numPr>
        <w:tabs>
          <w:tab w:val="clear" w:pos="1105"/>
          <w:tab w:val="num" w:pos="680"/>
        </w:tabs>
        <w:spacing w:before="360" w:after="120"/>
        <w:ind w:left="0"/>
      </w:pPr>
      <w:r>
        <w:t>The following conventions apply throughout this handbook:</w:t>
      </w:r>
    </w:p>
    <w:p w14:paraId="160C2C00" w14:textId="58463A61" w:rsidR="00666B7D" w:rsidRPr="00666B7D" w:rsidRDefault="00666B7D" w:rsidP="008F1AC8">
      <w:pPr>
        <w:numPr>
          <w:ilvl w:val="0"/>
          <w:numId w:val="18"/>
        </w:numPr>
      </w:pPr>
      <w:r w:rsidRPr="00666B7D">
        <w:rPr>
          <w:i/>
        </w:rPr>
        <w:t>Relative references</w:t>
      </w:r>
      <w:r w:rsidRPr="00666B7D">
        <w:t>: The AR term is</w:t>
      </w:r>
      <w:r w:rsidR="00957763">
        <w:t xml:space="preserve"> the</w:t>
      </w:r>
      <w:r w:rsidRPr="00666B7D">
        <w:t xml:space="preserve"> licensee’s </w:t>
      </w:r>
      <w:r w:rsidR="00957763">
        <w:t xml:space="preserve">TO </w:t>
      </w:r>
      <w:r w:rsidRPr="00666B7D">
        <w:t>Allowed Revenue for each Regulatory Year t during the Price Control Period.  References in this handbook to Regulatory Years are made relative to that usage.  For example, in the context of AR</w:t>
      </w:r>
      <w:r w:rsidRPr="00666B7D">
        <w:rPr>
          <w:vertAlign w:val="subscript"/>
        </w:rPr>
        <w:t>t</w:t>
      </w:r>
      <w:r w:rsidRPr="00666B7D">
        <w:t xml:space="preserve"> for Regulatory Year 2022/23, a reference in the same context to Regulatory Year t-</w:t>
      </w:r>
      <w:r w:rsidR="00313B5F">
        <w:t>1 would mean 2021/22 and so on</w:t>
      </w:r>
    </w:p>
    <w:p w14:paraId="574602AF" w14:textId="520016FB" w:rsidR="00666B7D" w:rsidRPr="00666B7D" w:rsidRDefault="00666B7D" w:rsidP="008F1AC8">
      <w:pPr>
        <w:numPr>
          <w:ilvl w:val="0"/>
          <w:numId w:val="18"/>
        </w:numPr>
        <w:spacing w:after="360"/>
        <w:ind w:left="714" w:hanging="357"/>
      </w:pPr>
      <w:r w:rsidRPr="00666B7D">
        <w:rPr>
          <w:i/>
        </w:rPr>
        <w:t>Absolute references</w:t>
      </w:r>
      <w:r w:rsidRPr="00666B7D">
        <w:t>: A reference to, for example, ‘the EDE value for 2022/23’ means the EDE value in the 2022/23 column of the Variable Values Table for the licensee contained in the PCFM.</w:t>
      </w:r>
    </w:p>
    <w:p w14:paraId="71DA0F3B" w14:textId="522F4A4F" w:rsidR="00666B7D" w:rsidRPr="00666B7D" w:rsidRDefault="00666B7D" w:rsidP="00826E44">
      <w:pPr>
        <w:pStyle w:val="Heading3"/>
        <w:keepNext/>
        <w:spacing w:line="360" w:lineRule="auto"/>
        <w:rPr>
          <w:b w:val="0"/>
        </w:rPr>
      </w:pPr>
      <w:bookmarkStart w:id="37" w:name="_Toc48743647"/>
      <w:bookmarkStart w:id="38" w:name="_Toc49194299"/>
      <w:bookmarkStart w:id="39" w:name="_Toc49249219"/>
      <w:bookmarkStart w:id="40" w:name="_Toc52357081"/>
      <w:r w:rsidRPr="00666B7D">
        <w:lastRenderedPageBreak/>
        <w:t xml:space="preserve">Forecast </w:t>
      </w:r>
      <w:r w:rsidR="00335935">
        <w:t>Variable V</w:t>
      </w:r>
      <w:r w:rsidRPr="00666B7D">
        <w:t>alues</w:t>
      </w:r>
      <w:bookmarkEnd w:id="37"/>
      <w:bookmarkEnd w:id="38"/>
      <w:bookmarkEnd w:id="39"/>
      <w:bookmarkEnd w:id="40"/>
    </w:p>
    <w:p w14:paraId="10110D9E" w14:textId="4647D629" w:rsidR="00666B7D" w:rsidRPr="00666B7D" w:rsidRDefault="00666B7D" w:rsidP="00666B7D">
      <w:pPr>
        <w:numPr>
          <w:ilvl w:val="1"/>
          <w:numId w:val="4"/>
        </w:numPr>
        <w:tabs>
          <w:tab w:val="clear" w:pos="1105"/>
          <w:tab w:val="num" w:pos="680"/>
        </w:tabs>
        <w:spacing w:before="360" w:after="360"/>
        <w:ind w:left="0"/>
        <w:rPr>
          <w:szCs w:val="20"/>
        </w:rPr>
      </w:pPr>
      <w:r w:rsidRPr="00666B7D">
        <w:rPr>
          <w:szCs w:val="20"/>
        </w:rPr>
        <w:t xml:space="preserve">In calculating Allowed Revenue for Regulatory Year t, the PCFM uses some forecast Variable Values both for Regulatory Year t and </w:t>
      </w:r>
      <w:r w:rsidR="00523E8C">
        <w:rPr>
          <w:szCs w:val="20"/>
        </w:rPr>
        <w:t>preceding Regulatory Years</w:t>
      </w:r>
      <w:r w:rsidRPr="00666B7D">
        <w:rPr>
          <w:szCs w:val="20"/>
        </w:rPr>
        <w:t>.  For example, in the case</w:t>
      </w:r>
      <w:r w:rsidR="00313B5F">
        <w:rPr>
          <w:szCs w:val="20"/>
        </w:rPr>
        <w:t xml:space="preserve"> of expenditure, there is a two </w:t>
      </w:r>
      <w:r w:rsidRPr="00666B7D">
        <w:rPr>
          <w:szCs w:val="20"/>
        </w:rPr>
        <w:t xml:space="preserve">year lag before outturn values can be reflected in Allowed Revenue, and so forecasts are used.  </w:t>
      </w:r>
    </w:p>
    <w:p w14:paraId="79441C58" w14:textId="701239D6" w:rsidR="00666B7D" w:rsidRPr="00666B7D" w:rsidRDefault="00666B7D" w:rsidP="00666B7D">
      <w:pPr>
        <w:numPr>
          <w:ilvl w:val="1"/>
          <w:numId w:val="4"/>
        </w:numPr>
        <w:tabs>
          <w:tab w:val="clear" w:pos="1105"/>
          <w:tab w:val="num" w:pos="680"/>
        </w:tabs>
        <w:spacing w:before="360" w:after="360"/>
        <w:ind w:left="0"/>
        <w:rPr>
          <w:szCs w:val="20"/>
        </w:rPr>
      </w:pPr>
      <w:bookmarkStart w:id="41" w:name="_Ref48750591"/>
      <w:r w:rsidRPr="00666B7D">
        <w:rPr>
          <w:szCs w:val="20"/>
        </w:rPr>
        <w:t>The licensee must submit updates to forecast Variable Values annually, through the AIP, in accordance with the requirements of the</w:t>
      </w:r>
      <w:r w:rsidR="009C5FC2">
        <w:rPr>
          <w:szCs w:val="20"/>
        </w:rPr>
        <w:t xml:space="preserve"> PCFM Guidance.</w:t>
      </w:r>
      <w:r w:rsidRPr="00666B7D">
        <w:rPr>
          <w:szCs w:val="20"/>
        </w:rPr>
        <w:t xml:space="preserve"> </w:t>
      </w:r>
      <w:bookmarkEnd w:id="41"/>
      <w:r w:rsidRPr="00666B7D">
        <w:rPr>
          <w:szCs w:val="20"/>
        </w:rPr>
        <w:t>These updates can apply to all Regulatory Years.</w:t>
      </w:r>
    </w:p>
    <w:p w14:paraId="789DCC98" w14:textId="184730A6" w:rsidR="00666B7D" w:rsidRPr="00666B7D" w:rsidRDefault="00666B7D" w:rsidP="00826E44">
      <w:pPr>
        <w:pStyle w:val="Heading3"/>
        <w:keepNext/>
        <w:spacing w:line="360" w:lineRule="auto"/>
        <w:rPr>
          <w:b w:val="0"/>
        </w:rPr>
      </w:pPr>
      <w:bookmarkStart w:id="42" w:name="_Toc48743648"/>
      <w:bookmarkStart w:id="43" w:name="_Toc49194300"/>
      <w:bookmarkStart w:id="44" w:name="_Toc49249220"/>
      <w:bookmarkStart w:id="45" w:name="_Toc52357082"/>
      <w:r w:rsidRPr="00666B7D">
        <w:t>Time value of money</w:t>
      </w:r>
      <w:bookmarkEnd w:id="42"/>
      <w:bookmarkEnd w:id="43"/>
      <w:bookmarkEnd w:id="44"/>
      <w:bookmarkEnd w:id="45"/>
    </w:p>
    <w:p w14:paraId="2DBC443C" w14:textId="501F0179" w:rsidR="00666B7D" w:rsidRDefault="00666B7D" w:rsidP="00666B7D">
      <w:pPr>
        <w:numPr>
          <w:ilvl w:val="1"/>
          <w:numId w:val="4"/>
        </w:numPr>
        <w:tabs>
          <w:tab w:val="clear" w:pos="1105"/>
          <w:tab w:val="num" w:pos="680"/>
        </w:tabs>
        <w:spacing w:before="360" w:after="360"/>
        <w:ind w:left="0"/>
      </w:pPr>
      <w:bookmarkStart w:id="46" w:name="_Ref48750278"/>
      <w:r>
        <w:t>The PCFM uses a ‘time v</w:t>
      </w:r>
      <w:r w:rsidRPr="00F574A8">
        <w:t xml:space="preserve">alue of </w:t>
      </w:r>
      <w:r>
        <w:t>money’</w:t>
      </w:r>
      <w:r w:rsidRPr="00F574A8">
        <w:t xml:space="preserve"> adjustment to incorporate the financial impact</w:t>
      </w:r>
      <w:r w:rsidR="00313B5F">
        <w:t xml:space="preserve"> of the timing of cash flows, e</w:t>
      </w:r>
      <w:r w:rsidRPr="00F574A8">
        <w:t xml:space="preserve">g from switching revenues between years as a result of changes to prior year allowed revenue. </w:t>
      </w:r>
      <w:r>
        <w:t xml:space="preserve">This time value of money adjustment </w:t>
      </w:r>
      <w:r w:rsidR="000B1EE9">
        <w:t xml:space="preserve">(expressed as a nominal rate) </w:t>
      </w:r>
      <w:r>
        <w:t xml:space="preserve">uses </w:t>
      </w:r>
      <w:r w:rsidRPr="00F574A8">
        <w:t xml:space="preserve">the </w:t>
      </w:r>
      <w:r>
        <w:t xml:space="preserve">annual arithmetic averages (from </w:t>
      </w:r>
      <w:r w:rsidR="00313B5F">
        <w:t>0</w:t>
      </w:r>
      <w:r>
        <w:t xml:space="preserve">1 April to 31 March, inclusive, for each year) of the </w:t>
      </w:r>
      <w:r w:rsidRPr="00F574A8">
        <w:t>daily overnight SONIA (the Sterling Overnight Index Average</w:t>
      </w:r>
      <w:r>
        <w:t>, published by the Bank of England (</w:t>
      </w:r>
      <w:r w:rsidRPr="00F574A8">
        <w:t>series IUDSOIA</w:t>
      </w:r>
      <w:r>
        <w:t>)</w:t>
      </w:r>
      <w:r w:rsidRPr="00F574A8">
        <w:t>) rate plus a 110bp</w:t>
      </w:r>
      <w:r>
        <w:t xml:space="preserve"> margin</w:t>
      </w:r>
      <w:r w:rsidRPr="00F574A8">
        <w:t>.</w:t>
      </w:r>
      <w:bookmarkEnd w:id="46"/>
      <w:r w:rsidR="00313B5F">
        <w:rPr>
          <w:rStyle w:val="FootnoteReference"/>
        </w:rPr>
        <w:footnoteReference w:id="5"/>
      </w:r>
      <w:r w:rsidRPr="00F574A8">
        <w:t xml:space="preserve"> </w:t>
      </w:r>
    </w:p>
    <w:p w14:paraId="7496472F" w14:textId="008A0892" w:rsidR="00666B7D" w:rsidRPr="00D237D2" w:rsidRDefault="00666B7D" w:rsidP="00666B7D">
      <w:pPr>
        <w:numPr>
          <w:ilvl w:val="1"/>
          <w:numId w:val="4"/>
        </w:numPr>
        <w:tabs>
          <w:tab w:val="clear" w:pos="1105"/>
          <w:tab w:val="num" w:pos="680"/>
        </w:tabs>
        <w:spacing w:before="360" w:after="360"/>
        <w:ind w:left="0"/>
      </w:pPr>
      <w:bookmarkStart w:id="47" w:name="_Ref48750288"/>
      <w:r w:rsidRPr="00F574A8">
        <w:t>For future years, forecasts of SONIA will be used and updated at subse</w:t>
      </w:r>
      <w:r w:rsidR="000B1EE9">
        <w:t>quent AIPs when out-turn data are</w:t>
      </w:r>
      <w:r w:rsidRPr="00F574A8">
        <w:t xml:space="preserve"> available. SONIA will be forecast using a Bank of England </w:t>
      </w:r>
      <w:r>
        <w:t xml:space="preserve">instantaneous </w:t>
      </w:r>
      <w:r w:rsidRPr="00F574A8">
        <w:t xml:space="preserve">forward curve as published on </w:t>
      </w:r>
      <w:r w:rsidR="000B1EE9">
        <w:t xml:space="preserve">the </w:t>
      </w:r>
      <w:r w:rsidRPr="00F574A8">
        <w:t>Bank of England website and will be updated during the AIP with outturn values.</w:t>
      </w:r>
      <w:bookmarkEnd w:id="47"/>
      <w:r w:rsidRPr="00F574A8">
        <w:t xml:space="preserve"> </w:t>
      </w:r>
    </w:p>
    <w:p w14:paraId="2F15D9EA" w14:textId="14681943" w:rsidR="00666B7D" w:rsidRPr="00666B7D" w:rsidRDefault="00666B7D" w:rsidP="00826E44">
      <w:pPr>
        <w:pStyle w:val="Heading3"/>
        <w:keepNext/>
        <w:spacing w:line="360" w:lineRule="auto"/>
        <w:rPr>
          <w:b w:val="0"/>
        </w:rPr>
      </w:pPr>
      <w:bookmarkStart w:id="48" w:name="_Toc48743649"/>
      <w:bookmarkStart w:id="49" w:name="_Toc49194301"/>
      <w:bookmarkStart w:id="50" w:name="_Toc49249221"/>
      <w:bookmarkStart w:id="51" w:name="_Toc52357083"/>
      <w:r w:rsidRPr="00666B7D">
        <w:t>State of the PCFM</w:t>
      </w:r>
      <w:bookmarkEnd w:id="48"/>
      <w:bookmarkEnd w:id="49"/>
      <w:bookmarkEnd w:id="50"/>
      <w:bookmarkEnd w:id="51"/>
    </w:p>
    <w:p w14:paraId="4027B383" w14:textId="0D498115" w:rsidR="00666B7D" w:rsidRDefault="00666B7D" w:rsidP="00666B7D">
      <w:pPr>
        <w:numPr>
          <w:ilvl w:val="1"/>
          <w:numId w:val="4"/>
        </w:numPr>
        <w:tabs>
          <w:tab w:val="clear" w:pos="1105"/>
          <w:tab w:val="num" w:pos="680"/>
        </w:tabs>
        <w:spacing w:before="360"/>
        <w:ind w:left="0"/>
      </w:pPr>
      <w:r>
        <w:t>Th</w:t>
      </w:r>
      <w:r w:rsidRPr="00C8221C">
        <w:t xml:space="preserve">e PCFM exists as a constituent part of </w:t>
      </w:r>
      <w:r>
        <w:t xml:space="preserve">Special Condition </w:t>
      </w:r>
      <w:r w:rsidRPr="00382AA5">
        <w:t>8</w:t>
      </w:r>
      <w:r w:rsidR="00B20A23" w:rsidRPr="00382AA5">
        <w:t>.1</w:t>
      </w:r>
      <w:r>
        <w:t xml:space="preserve"> </w:t>
      </w:r>
      <w:r w:rsidRPr="00C8221C">
        <w:t>and will be maintained by Ofgem in its official records</w:t>
      </w:r>
      <w:r>
        <w:t>.</w:t>
      </w:r>
      <w:r w:rsidRPr="00FF35B4">
        <w:t xml:space="preserve"> </w:t>
      </w:r>
      <w:r>
        <w:t>The state of the PCFM remains constant unless and until changed by either:</w:t>
      </w:r>
    </w:p>
    <w:p w14:paraId="4E1E8307" w14:textId="4909E1E4" w:rsidR="00666B7D" w:rsidRPr="00666B7D" w:rsidRDefault="00666B7D" w:rsidP="008F1AC8">
      <w:pPr>
        <w:numPr>
          <w:ilvl w:val="0"/>
          <w:numId w:val="19"/>
        </w:numPr>
      </w:pPr>
      <w:r w:rsidRPr="00666B7D">
        <w:t xml:space="preserve">an Annual Iteration Process - which will change </w:t>
      </w:r>
      <w:r w:rsidR="00313B5F">
        <w:t xml:space="preserve">the </w:t>
      </w:r>
      <w:r w:rsidRPr="00666B7D">
        <w:t>Variable Values and recalculated values which are directly or indirectly dependent upon them; or</w:t>
      </w:r>
    </w:p>
    <w:p w14:paraId="0395869A" w14:textId="02CF3B5C" w:rsidR="00666B7D" w:rsidRPr="00666B7D" w:rsidRDefault="00666B7D" w:rsidP="008F1AC8">
      <w:pPr>
        <w:numPr>
          <w:ilvl w:val="0"/>
          <w:numId w:val="19"/>
        </w:numPr>
        <w:spacing w:after="360"/>
        <w:ind w:left="714" w:hanging="357"/>
      </w:pPr>
      <w:r w:rsidRPr="00666B7D">
        <w:lastRenderedPageBreak/>
        <w:t xml:space="preserve">a modification of the PCFM under the procedures set out in Special Condition </w:t>
      </w:r>
      <w:r w:rsidRPr="00382AA5">
        <w:t>8</w:t>
      </w:r>
      <w:r w:rsidR="00B20A23" w:rsidRPr="00382AA5">
        <w:t>.1</w:t>
      </w:r>
      <w:r w:rsidRPr="00666B7D">
        <w:t xml:space="preserve"> (Governance of </w:t>
      </w:r>
      <w:r>
        <w:t>GT2</w:t>
      </w:r>
      <w:r w:rsidRPr="00666B7D">
        <w:t xml:space="preserve"> Price Control Financial Instruments) or section 23 of the Act.</w:t>
      </w:r>
    </w:p>
    <w:p w14:paraId="11C9D086" w14:textId="74366F79" w:rsidR="00666B7D" w:rsidRDefault="00666B7D" w:rsidP="00666B7D">
      <w:pPr>
        <w:numPr>
          <w:ilvl w:val="1"/>
          <w:numId w:val="4"/>
        </w:numPr>
        <w:tabs>
          <w:tab w:val="clear" w:pos="1105"/>
          <w:tab w:val="num" w:pos="680"/>
        </w:tabs>
        <w:spacing w:before="360"/>
        <w:ind w:left="0"/>
      </w:pPr>
      <w:r>
        <w:t>A copy of the PCFM in its latest state will be maintained on the Ofgem website, and Ofgem will upload an updated copy by 30 November each year (after each AIP).  This will allow the licensee and other stakeholders to make copies of the PCFM so that they can:</w:t>
      </w:r>
    </w:p>
    <w:p w14:paraId="06515670" w14:textId="5D80B0E1" w:rsidR="00666B7D" w:rsidRPr="00666B7D" w:rsidRDefault="00666B7D" w:rsidP="008F1AC8">
      <w:pPr>
        <w:numPr>
          <w:ilvl w:val="0"/>
          <w:numId w:val="16"/>
        </w:numPr>
      </w:pPr>
      <w:r w:rsidRPr="00666B7D">
        <w:t>use their own forecasts of Variable Value revisions to forecast allowed revenue and conduct sensitivity analysis</w:t>
      </w:r>
    </w:p>
    <w:p w14:paraId="796DAB2D" w14:textId="0E38E5D7" w:rsidR="00666B7D" w:rsidRPr="00666B7D" w:rsidRDefault="00666B7D" w:rsidP="008F1AC8">
      <w:pPr>
        <w:numPr>
          <w:ilvl w:val="0"/>
          <w:numId w:val="16"/>
        </w:numPr>
      </w:pPr>
      <w:r w:rsidRPr="00666B7D">
        <w:t>reproduce the calculation of allowed revenues.</w:t>
      </w:r>
    </w:p>
    <w:p w14:paraId="33A41EA2" w14:textId="6B46B05E" w:rsidR="00666B7D" w:rsidRDefault="00666B7D" w:rsidP="00666B7D">
      <w:pPr>
        <w:numPr>
          <w:ilvl w:val="1"/>
          <w:numId w:val="4"/>
        </w:numPr>
        <w:tabs>
          <w:tab w:val="clear" w:pos="1105"/>
          <w:tab w:val="num" w:pos="680"/>
        </w:tabs>
        <w:spacing w:before="360" w:after="360"/>
        <w:ind w:left="0"/>
      </w:pPr>
      <w:r>
        <w:t>Ofgem will keep a log of modifications to the PCFM and publish this log on its website.</w:t>
      </w:r>
    </w:p>
    <w:p w14:paraId="4C25ED12" w14:textId="0D7BE863" w:rsidR="00666B7D" w:rsidRPr="00666B7D" w:rsidRDefault="00666B7D" w:rsidP="00826E44">
      <w:pPr>
        <w:pStyle w:val="Heading3"/>
        <w:keepNext/>
        <w:spacing w:line="360" w:lineRule="auto"/>
        <w:rPr>
          <w:b w:val="0"/>
        </w:rPr>
      </w:pPr>
      <w:bookmarkStart w:id="52" w:name="_Toc48743650"/>
      <w:bookmarkStart w:id="53" w:name="_Toc49194302"/>
      <w:bookmarkStart w:id="54" w:name="_Toc49249222"/>
      <w:bookmarkStart w:id="55" w:name="_Toc52357084"/>
      <w:r w:rsidRPr="00666B7D">
        <w:t>Error in the functionality of the PCFM</w:t>
      </w:r>
      <w:bookmarkEnd w:id="52"/>
      <w:bookmarkEnd w:id="53"/>
      <w:bookmarkEnd w:id="54"/>
      <w:bookmarkEnd w:id="55"/>
    </w:p>
    <w:p w14:paraId="222CFDAC" w14:textId="77777777" w:rsidR="00666B7D" w:rsidRPr="006A6804" w:rsidRDefault="00666B7D" w:rsidP="00666B7D">
      <w:pPr>
        <w:numPr>
          <w:ilvl w:val="1"/>
          <w:numId w:val="4"/>
        </w:numPr>
        <w:tabs>
          <w:tab w:val="clear" w:pos="1105"/>
          <w:tab w:val="num" w:pos="680"/>
        </w:tabs>
        <w:spacing w:before="360"/>
        <w:ind w:left="0"/>
      </w:pPr>
      <w:r w:rsidRPr="006A6804">
        <w:t xml:space="preserve">In the event that an error of functionality is discovered in the PCFM, the following procedure </w:t>
      </w:r>
      <w:r w:rsidRPr="00666B7D">
        <w:rPr>
          <w:bCs/>
          <w:szCs w:val="20"/>
        </w:rPr>
        <w:t>will</w:t>
      </w:r>
      <w:r w:rsidRPr="006A6804">
        <w:t xml:space="preserve"> be followed:</w:t>
      </w:r>
    </w:p>
    <w:p w14:paraId="55AE834E" w14:textId="77777777" w:rsidR="00666B7D" w:rsidRPr="00666B7D" w:rsidRDefault="00666B7D" w:rsidP="008F1AC8">
      <w:pPr>
        <w:numPr>
          <w:ilvl w:val="0"/>
          <w:numId w:val="17"/>
        </w:numPr>
      </w:pPr>
      <w:r w:rsidRPr="00666B7D">
        <w:t>the issue will be considered at the earliest opportunity by the PCFM Working Group (see next section) and a corrective modification will be proposed by Ofgem</w:t>
      </w:r>
    </w:p>
    <w:p w14:paraId="22F01A49" w14:textId="5516EAEF" w:rsidR="00666B7D" w:rsidRPr="00666B7D" w:rsidRDefault="00666B7D" w:rsidP="008F1AC8">
      <w:pPr>
        <w:numPr>
          <w:ilvl w:val="0"/>
          <w:numId w:val="17"/>
        </w:numPr>
      </w:pPr>
      <w:r w:rsidRPr="00666B7D">
        <w:t xml:space="preserve">if the functional error has distorted the calculation of a previously published value of allowed revenue, the determined modification will include any </w:t>
      </w:r>
      <w:r w:rsidR="00313B5F">
        <w:t>t</w:t>
      </w:r>
      <w:r w:rsidRPr="00666B7D">
        <w:rPr>
          <w:bCs/>
        </w:rPr>
        <w:t>ime</w:t>
      </w:r>
      <w:r w:rsidR="00313B5F">
        <w:rPr>
          <w:bCs/>
        </w:rPr>
        <w:t xml:space="preserve"> value of m</w:t>
      </w:r>
      <w:r w:rsidRPr="00666B7D">
        <w:rPr>
          <w:bCs/>
        </w:rPr>
        <w:t xml:space="preserve">oney adjustments necessary to correct for that distortion </w:t>
      </w:r>
      <w:r w:rsidRPr="00666B7D">
        <w:t>in the next calculation of allowed revenue</w:t>
      </w:r>
    </w:p>
    <w:p w14:paraId="702D18EA" w14:textId="0890896D" w:rsidR="00666B7D" w:rsidRPr="00666B7D" w:rsidRDefault="00666B7D" w:rsidP="008F1AC8">
      <w:pPr>
        <w:numPr>
          <w:ilvl w:val="0"/>
          <w:numId w:val="17"/>
        </w:numPr>
        <w:spacing w:after="360"/>
        <w:ind w:left="714" w:hanging="357"/>
      </w:pPr>
      <w:r w:rsidRPr="00666B7D">
        <w:t xml:space="preserve">the procedure in Special Condition </w:t>
      </w:r>
      <w:r w:rsidRPr="00382AA5">
        <w:t>8</w:t>
      </w:r>
      <w:r w:rsidR="00B20A23" w:rsidRPr="00382AA5">
        <w:t>.1</w:t>
      </w:r>
      <w:r w:rsidRPr="00666B7D">
        <w:t xml:space="preserve"> for modifications to the PCFM will be followed.</w:t>
      </w:r>
    </w:p>
    <w:p w14:paraId="16F21C93" w14:textId="5D53B853" w:rsidR="00666B7D" w:rsidRPr="00826E44" w:rsidRDefault="00666B7D" w:rsidP="00826E44">
      <w:pPr>
        <w:pStyle w:val="Heading2"/>
        <w:spacing w:line="360" w:lineRule="auto"/>
      </w:pPr>
      <w:bookmarkStart w:id="56" w:name="_Toc48743651"/>
      <w:bookmarkStart w:id="57" w:name="_Toc49194303"/>
      <w:bookmarkStart w:id="58" w:name="_Toc49249223"/>
      <w:bookmarkStart w:id="59" w:name="_Toc52357085"/>
      <w:r w:rsidRPr="00666B7D">
        <w:t xml:space="preserve">The </w:t>
      </w:r>
      <w:r>
        <w:t>GT2</w:t>
      </w:r>
      <w:r w:rsidRPr="00666B7D">
        <w:t xml:space="preserve"> Price Control Financial Model Working Group</w:t>
      </w:r>
      <w:bookmarkEnd w:id="56"/>
      <w:bookmarkEnd w:id="57"/>
      <w:bookmarkEnd w:id="58"/>
      <w:bookmarkEnd w:id="59"/>
    </w:p>
    <w:p w14:paraId="1394E2C3" w14:textId="30F7FA66" w:rsidR="00666B7D" w:rsidRPr="00176201" w:rsidRDefault="00666B7D" w:rsidP="00666B7D">
      <w:pPr>
        <w:numPr>
          <w:ilvl w:val="1"/>
          <w:numId w:val="4"/>
        </w:numPr>
        <w:tabs>
          <w:tab w:val="clear" w:pos="1105"/>
          <w:tab w:val="num" w:pos="680"/>
        </w:tabs>
        <w:spacing w:before="360" w:after="360"/>
        <w:ind w:left="0"/>
      </w:pPr>
      <w:r w:rsidRPr="00176201">
        <w:t>Ofgem will facilitate an industry expert working group to review issues arising with respect to the form or usage of the PCFM.  The terms of reference for The PCFM Working Group (‘the working group’) are set out below.</w:t>
      </w:r>
    </w:p>
    <w:p w14:paraId="1A0FCF21" w14:textId="77777777" w:rsidR="00666B7D" w:rsidRPr="00666B7D" w:rsidRDefault="00666B7D" w:rsidP="00826E44">
      <w:pPr>
        <w:pStyle w:val="Heading3"/>
        <w:keepNext/>
        <w:spacing w:line="360" w:lineRule="auto"/>
        <w:rPr>
          <w:b w:val="0"/>
        </w:rPr>
      </w:pPr>
      <w:bookmarkStart w:id="60" w:name="_Toc48743652"/>
      <w:bookmarkStart w:id="61" w:name="_Toc49194304"/>
      <w:bookmarkStart w:id="62" w:name="_Toc49249224"/>
      <w:bookmarkStart w:id="63" w:name="_Toc52357086"/>
      <w:r w:rsidRPr="00666B7D">
        <w:t>Terms of reference</w:t>
      </w:r>
      <w:bookmarkEnd w:id="60"/>
      <w:bookmarkEnd w:id="61"/>
      <w:bookmarkEnd w:id="62"/>
      <w:bookmarkEnd w:id="63"/>
    </w:p>
    <w:p w14:paraId="6B89D7A3" w14:textId="77777777" w:rsidR="00666B7D" w:rsidRPr="00666B7D" w:rsidRDefault="00666B7D" w:rsidP="00666B7D">
      <w:pPr>
        <w:spacing w:before="120" w:after="360"/>
        <w:rPr>
          <w:i/>
          <w:iCs/>
          <w:szCs w:val="20"/>
        </w:rPr>
      </w:pPr>
      <w:r w:rsidRPr="00666B7D">
        <w:rPr>
          <w:i/>
          <w:iCs/>
          <w:szCs w:val="20"/>
        </w:rPr>
        <w:t>Purposes of the working group</w:t>
      </w:r>
    </w:p>
    <w:p w14:paraId="22228054" w14:textId="1742C0A5" w:rsidR="00666B7D" w:rsidRPr="00176201" w:rsidRDefault="00666B7D" w:rsidP="00666B7D">
      <w:pPr>
        <w:numPr>
          <w:ilvl w:val="1"/>
          <w:numId w:val="4"/>
        </w:numPr>
        <w:tabs>
          <w:tab w:val="clear" w:pos="1105"/>
          <w:tab w:val="num" w:pos="680"/>
        </w:tabs>
        <w:spacing w:before="360"/>
        <w:ind w:left="680" w:hanging="680"/>
      </w:pPr>
      <w:bookmarkStart w:id="64" w:name="_Ref49249012"/>
      <w:r w:rsidRPr="00176201">
        <w:t>The purposes of the working group are:</w:t>
      </w:r>
      <w:bookmarkEnd w:id="64"/>
    </w:p>
    <w:p w14:paraId="20A1D096" w14:textId="3363F4EF" w:rsidR="00666B7D" w:rsidRPr="00666B7D" w:rsidRDefault="00666B7D" w:rsidP="008F1AC8">
      <w:pPr>
        <w:numPr>
          <w:ilvl w:val="0"/>
          <w:numId w:val="15"/>
        </w:numPr>
      </w:pPr>
      <w:r w:rsidRPr="00666B7D">
        <w:t xml:space="preserve">to review the ongoing effectiveness of the PCFM in producing a value for Allowed Revenue </w:t>
      </w:r>
      <w:r w:rsidR="005D2C8C">
        <w:t xml:space="preserve">and capturing financial performance data </w:t>
      </w:r>
      <w:r w:rsidRPr="00666B7D">
        <w:t>for each Regulatory Year</w:t>
      </w:r>
    </w:p>
    <w:p w14:paraId="05BC06FA" w14:textId="77777777" w:rsidR="00666B7D" w:rsidRPr="00666B7D" w:rsidRDefault="00666B7D" w:rsidP="008F1AC8">
      <w:pPr>
        <w:numPr>
          <w:ilvl w:val="0"/>
          <w:numId w:val="15"/>
        </w:numPr>
      </w:pPr>
      <w:bookmarkStart w:id="65" w:name="_Ref49249020"/>
      <w:r w:rsidRPr="00666B7D">
        <w:lastRenderedPageBreak/>
        <w:t>to provide, when requested by the Authority, its views to the Authority on the impact of any proposed modifications on the PCFM</w:t>
      </w:r>
      <w:bookmarkEnd w:id="65"/>
      <w:r w:rsidRPr="00666B7D">
        <w:t xml:space="preserve"> </w:t>
      </w:r>
    </w:p>
    <w:p w14:paraId="79B311AE" w14:textId="5E5A66FD" w:rsidR="00666B7D" w:rsidRPr="00666B7D" w:rsidRDefault="00666B7D" w:rsidP="008F1AC8">
      <w:pPr>
        <w:numPr>
          <w:ilvl w:val="0"/>
          <w:numId w:val="15"/>
        </w:numPr>
        <w:spacing w:after="360"/>
        <w:ind w:left="714" w:hanging="357"/>
      </w:pPr>
      <w:r w:rsidRPr="00666B7D">
        <w:t>to provide such views or recommendations to the Authority with regard to the PCFM (including as to proposals to modify the PCFM) as it sees fit.</w:t>
      </w:r>
    </w:p>
    <w:p w14:paraId="65BA2F7A" w14:textId="77777777" w:rsidR="00666B7D" w:rsidRPr="00666B7D" w:rsidRDefault="00666B7D" w:rsidP="00666B7D">
      <w:pPr>
        <w:spacing w:before="120" w:after="360"/>
        <w:rPr>
          <w:i/>
          <w:iCs/>
          <w:szCs w:val="20"/>
        </w:rPr>
      </w:pPr>
      <w:r w:rsidRPr="00666B7D">
        <w:rPr>
          <w:i/>
          <w:iCs/>
          <w:szCs w:val="20"/>
        </w:rPr>
        <w:t>Composition</w:t>
      </w:r>
    </w:p>
    <w:p w14:paraId="32BC517C" w14:textId="2193FB70" w:rsidR="00666B7D" w:rsidRPr="00176201" w:rsidRDefault="00666B7D" w:rsidP="00666B7D">
      <w:pPr>
        <w:numPr>
          <w:ilvl w:val="1"/>
          <w:numId w:val="4"/>
        </w:numPr>
        <w:tabs>
          <w:tab w:val="clear" w:pos="1105"/>
          <w:tab w:val="num" w:pos="680"/>
        </w:tabs>
        <w:spacing w:before="360"/>
        <w:ind w:left="680" w:hanging="680"/>
      </w:pPr>
      <w:r w:rsidRPr="00176201">
        <w:t>The composition of the group will be:</w:t>
      </w:r>
    </w:p>
    <w:p w14:paraId="7D8EC6AE" w14:textId="549601FB" w:rsidR="00666B7D" w:rsidRPr="00666B7D" w:rsidRDefault="00666B7D" w:rsidP="00666B7D">
      <w:pPr>
        <w:numPr>
          <w:ilvl w:val="0"/>
          <w:numId w:val="11"/>
        </w:numPr>
      </w:pPr>
      <w:r w:rsidRPr="00666B7D">
        <w:t>Ofgem (chair)</w:t>
      </w:r>
    </w:p>
    <w:p w14:paraId="6968E9BC" w14:textId="6B71B7F6" w:rsidR="00666B7D" w:rsidRPr="00666B7D" w:rsidRDefault="00666B7D" w:rsidP="00666B7D">
      <w:pPr>
        <w:numPr>
          <w:ilvl w:val="0"/>
          <w:numId w:val="11"/>
        </w:numPr>
      </w:pPr>
      <w:r w:rsidRPr="00666B7D">
        <w:t>Ofgem (secretary)</w:t>
      </w:r>
    </w:p>
    <w:p w14:paraId="2D5BF200" w14:textId="1AE5DB45" w:rsidR="00666B7D" w:rsidRPr="00957763" w:rsidRDefault="00666B7D" w:rsidP="00666B7D">
      <w:pPr>
        <w:numPr>
          <w:ilvl w:val="0"/>
          <w:numId w:val="11"/>
        </w:numPr>
      </w:pPr>
      <w:r w:rsidRPr="00957763">
        <w:t xml:space="preserve">one </w:t>
      </w:r>
      <w:r w:rsidR="00957763" w:rsidRPr="00957763">
        <w:t xml:space="preserve">or two </w:t>
      </w:r>
      <w:r w:rsidRPr="00957763">
        <w:t xml:space="preserve">representative </w:t>
      </w:r>
      <w:r w:rsidR="00957763" w:rsidRPr="00957763">
        <w:t>of the licensee</w:t>
      </w:r>
    </w:p>
    <w:p w14:paraId="20801586" w14:textId="77777777" w:rsidR="00666B7D" w:rsidRPr="00666B7D" w:rsidRDefault="00666B7D" w:rsidP="00666B7D">
      <w:pPr>
        <w:numPr>
          <w:ilvl w:val="0"/>
          <w:numId w:val="11"/>
        </w:numPr>
        <w:spacing w:after="360"/>
        <w:ind w:left="714" w:hanging="357"/>
      </w:pPr>
      <w:r w:rsidRPr="00666B7D">
        <w:t>Energy Networks Association representative (optional).</w:t>
      </w:r>
    </w:p>
    <w:p w14:paraId="15A85395" w14:textId="77777777" w:rsidR="00666B7D" w:rsidRPr="00666B7D" w:rsidRDefault="00666B7D" w:rsidP="00666B7D">
      <w:pPr>
        <w:spacing w:before="120" w:after="360"/>
        <w:rPr>
          <w:i/>
          <w:iCs/>
          <w:szCs w:val="20"/>
        </w:rPr>
      </w:pPr>
      <w:r w:rsidRPr="00666B7D">
        <w:rPr>
          <w:i/>
          <w:iCs/>
          <w:szCs w:val="20"/>
        </w:rPr>
        <w:t>Timing and duration of the group’s work</w:t>
      </w:r>
    </w:p>
    <w:p w14:paraId="759B3100" w14:textId="0CBAE740" w:rsidR="00666B7D" w:rsidRPr="00176201" w:rsidRDefault="00666B7D" w:rsidP="00666B7D">
      <w:pPr>
        <w:numPr>
          <w:ilvl w:val="1"/>
          <w:numId w:val="4"/>
        </w:numPr>
        <w:tabs>
          <w:tab w:val="clear" w:pos="1105"/>
          <w:tab w:val="num" w:pos="680"/>
        </w:tabs>
        <w:spacing w:before="360" w:after="360"/>
        <w:ind w:left="0"/>
      </w:pPr>
      <w:r w:rsidRPr="00176201">
        <w:t xml:space="preserve">The working group’s incumbency will run from </w:t>
      </w:r>
      <w:r w:rsidR="00431AB0">
        <w:t>0</w:t>
      </w:r>
      <w:r w:rsidRPr="00176201">
        <w:t>1 April 20</w:t>
      </w:r>
      <w:r>
        <w:t>2</w:t>
      </w:r>
      <w:r w:rsidRPr="00176201">
        <w:t>1 to 31 March 202</w:t>
      </w:r>
      <w:r>
        <w:t>6</w:t>
      </w:r>
      <w:r w:rsidRPr="00176201">
        <w:t>.</w:t>
      </w:r>
    </w:p>
    <w:p w14:paraId="5DB3BDD7" w14:textId="151A2EAF" w:rsidR="00666B7D" w:rsidRDefault="00666B7D" w:rsidP="00666B7D">
      <w:pPr>
        <w:numPr>
          <w:ilvl w:val="1"/>
          <w:numId w:val="4"/>
        </w:numPr>
        <w:tabs>
          <w:tab w:val="clear" w:pos="1105"/>
          <w:tab w:val="num" w:pos="680"/>
        </w:tabs>
        <w:spacing w:before="360" w:after="360"/>
        <w:ind w:left="0"/>
      </w:pPr>
      <w:r w:rsidRPr="00176201">
        <w:t xml:space="preserve">The group will meet at least once between </w:t>
      </w:r>
      <w:r w:rsidR="00431AB0">
        <w:t>0</w:t>
      </w:r>
      <w:r w:rsidRPr="00176201">
        <w:t xml:space="preserve">1 January and </w:t>
      </w:r>
      <w:r w:rsidRPr="00666B7D">
        <w:rPr>
          <w:szCs w:val="20"/>
        </w:rPr>
        <w:t xml:space="preserve">01 </w:t>
      </w:r>
      <w:r w:rsidR="005D2C8C">
        <w:rPr>
          <w:szCs w:val="20"/>
        </w:rPr>
        <w:t>April</w:t>
      </w:r>
      <w:r w:rsidRPr="00176201">
        <w:t xml:space="preserve"> during each calendar year, but may meet more frequently if required, in particular in relation to the provision of views on the impact of proposed PCFM modifications (see paragraph</w:t>
      </w:r>
      <w:r>
        <w:t xml:space="preserve"> </w:t>
      </w:r>
      <w:r w:rsidR="002A17BE">
        <w:fldChar w:fldCharType="begin"/>
      </w:r>
      <w:r w:rsidR="002A17BE">
        <w:instrText xml:space="preserve"> REF _Ref49249012 \r \h </w:instrText>
      </w:r>
      <w:r w:rsidR="002A17BE">
        <w:fldChar w:fldCharType="separate"/>
      </w:r>
      <w:r w:rsidR="00C21C6D">
        <w:t>2.20</w:t>
      </w:r>
      <w:r w:rsidR="002A17BE">
        <w:fldChar w:fldCharType="end"/>
      </w:r>
      <w:r w:rsidR="002A17BE">
        <w:t xml:space="preserve"> </w:t>
      </w:r>
      <w:r w:rsidR="002A17BE">
        <w:fldChar w:fldCharType="begin"/>
      </w:r>
      <w:r w:rsidR="002A17BE">
        <w:instrText xml:space="preserve"> REF _Ref49249020 \r \h </w:instrText>
      </w:r>
      <w:r w:rsidR="002A17BE">
        <w:fldChar w:fldCharType="separate"/>
      </w:r>
      <w:r w:rsidR="00C21C6D">
        <w:t>b)</w:t>
      </w:r>
      <w:r w:rsidR="002A17BE">
        <w:fldChar w:fldCharType="end"/>
      </w:r>
      <w:r w:rsidRPr="00176201">
        <w:t xml:space="preserve">). </w:t>
      </w:r>
    </w:p>
    <w:p w14:paraId="34F8EDD4" w14:textId="77777777" w:rsidR="00666B7D" w:rsidRPr="00456858" w:rsidRDefault="00666B7D" w:rsidP="00666B7D">
      <w:pPr>
        <w:numPr>
          <w:ilvl w:val="1"/>
          <w:numId w:val="4"/>
        </w:numPr>
        <w:tabs>
          <w:tab w:val="clear" w:pos="1105"/>
          <w:tab w:val="num" w:pos="680"/>
        </w:tabs>
        <w:spacing w:before="360" w:after="360"/>
        <w:ind w:left="0"/>
      </w:pPr>
      <w:r w:rsidRPr="00456858">
        <w:t xml:space="preserve">In convening any meeting of the working group, Ofgem will give at least 10 working days’ notice of the proposed meeting date to the licensee. </w:t>
      </w:r>
    </w:p>
    <w:p w14:paraId="52BFD296" w14:textId="77777777" w:rsidR="00666B7D" w:rsidRPr="00666B7D" w:rsidRDefault="00666B7D" w:rsidP="00666B7D">
      <w:pPr>
        <w:numPr>
          <w:ilvl w:val="1"/>
          <w:numId w:val="4"/>
        </w:numPr>
        <w:tabs>
          <w:tab w:val="clear" w:pos="1105"/>
          <w:tab w:val="num" w:pos="680"/>
        </w:tabs>
        <w:spacing w:before="360" w:after="360"/>
        <w:ind w:left="0"/>
        <w:rPr>
          <w:szCs w:val="20"/>
        </w:rPr>
      </w:pPr>
      <w:r w:rsidRPr="00666B7D">
        <w:rPr>
          <w:szCs w:val="20"/>
        </w:rPr>
        <w:t>Representatives may attend meetings in person or through video or telephone conferencing facilities.</w:t>
      </w:r>
    </w:p>
    <w:p w14:paraId="23FE9DF5" w14:textId="04AD9120" w:rsidR="00666B7D" w:rsidRPr="00666B7D" w:rsidRDefault="00666B7D" w:rsidP="00666B7D">
      <w:pPr>
        <w:numPr>
          <w:ilvl w:val="1"/>
          <w:numId w:val="4"/>
        </w:numPr>
        <w:tabs>
          <w:tab w:val="clear" w:pos="1105"/>
          <w:tab w:val="num" w:pos="680"/>
        </w:tabs>
        <w:spacing w:before="360" w:after="360"/>
        <w:ind w:left="0"/>
        <w:rPr>
          <w:szCs w:val="20"/>
        </w:rPr>
      </w:pPr>
      <w:r w:rsidRPr="00666B7D">
        <w:rPr>
          <w:szCs w:val="20"/>
        </w:rPr>
        <w:t>A meeting of the working group will be quorate, for the purpose of expressing a view or recommendation in respect of the PCFM, when at least one representative from Ofgem, a</w:t>
      </w:r>
      <w:r w:rsidRPr="00957763">
        <w:rPr>
          <w:szCs w:val="20"/>
        </w:rPr>
        <w:t>nd a</w:t>
      </w:r>
      <w:r w:rsidR="00921AC5" w:rsidRPr="00957763">
        <w:rPr>
          <w:szCs w:val="20"/>
        </w:rPr>
        <w:t xml:space="preserve">t least one representative of the </w:t>
      </w:r>
      <w:r w:rsidR="00957763" w:rsidRPr="00957763">
        <w:rPr>
          <w:szCs w:val="20"/>
        </w:rPr>
        <w:t>licensee</w:t>
      </w:r>
      <w:r w:rsidR="00921AC5">
        <w:rPr>
          <w:szCs w:val="20"/>
        </w:rPr>
        <w:t xml:space="preserve"> a</w:t>
      </w:r>
      <w:r w:rsidRPr="00666B7D">
        <w:rPr>
          <w:szCs w:val="20"/>
        </w:rPr>
        <w:t>re present (in person or virtually).</w:t>
      </w:r>
    </w:p>
    <w:p w14:paraId="19F1BE70" w14:textId="15B71EA2" w:rsidR="00666B7D" w:rsidRPr="00666B7D" w:rsidRDefault="00666B7D" w:rsidP="00666B7D">
      <w:pPr>
        <w:spacing w:before="120" w:after="360"/>
        <w:rPr>
          <w:i/>
          <w:iCs/>
          <w:szCs w:val="20"/>
        </w:rPr>
      </w:pPr>
      <w:r w:rsidRPr="00666B7D">
        <w:rPr>
          <w:i/>
          <w:iCs/>
          <w:szCs w:val="20"/>
        </w:rPr>
        <w:t>Resources</w:t>
      </w:r>
    </w:p>
    <w:p w14:paraId="2D1ED7A3" w14:textId="7AABF166" w:rsidR="00666B7D" w:rsidRDefault="00666B7D" w:rsidP="00666B7D">
      <w:pPr>
        <w:numPr>
          <w:ilvl w:val="1"/>
          <w:numId w:val="4"/>
        </w:numPr>
        <w:tabs>
          <w:tab w:val="clear" w:pos="1105"/>
          <w:tab w:val="num" w:pos="680"/>
        </w:tabs>
        <w:spacing w:before="360" w:after="360"/>
        <w:ind w:left="0"/>
      </w:pPr>
      <w:r w:rsidRPr="00176201">
        <w:t>Meeting facilities will be pro</w:t>
      </w:r>
      <w:r w:rsidR="00313B5F">
        <w:t xml:space="preserve">vided or coordinated by Ofgem. </w:t>
      </w:r>
      <w:r w:rsidRPr="00176201">
        <w:t>Ofgem will keep notes of key points of discussion and views expressed at meetings, and of any recommendations made by the working group with respect to the PCFM.</w:t>
      </w:r>
      <w:r>
        <w:t xml:space="preserve"> A copy of the record of each meeting will be provided to the licensee and to representatives who attended the meeting, and Ofgem will take account of any comments received in finalising the record. </w:t>
      </w:r>
    </w:p>
    <w:p w14:paraId="57B608AF" w14:textId="02171264" w:rsidR="00666B7D" w:rsidRPr="00826E44" w:rsidRDefault="00666B7D" w:rsidP="00826E44">
      <w:pPr>
        <w:pStyle w:val="Heading2"/>
        <w:spacing w:line="360" w:lineRule="auto"/>
      </w:pPr>
      <w:bookmarkStart w:id="66" w:name="_Toc48743653"/>
      <w:bookmarkStart w:id="67" w:name="_Toc49194305"/>
      <w:bookmarkStart w:id="68" w:name="_Toc49249225"/>
      <w:bookmarkStart w:id="69" w:name="_Toc52357087"/>
      <w:r w:rsidRPr="00666B7D">
        <w:lastRenderedPageBreak/>
        <w:t>The Annual Iteration Process (AIP)</w:t>
      </w:r>
      <w:bookmarkEnd w:id="66"/>
      <w:bookmarkEnd w:id="67"/>
      <w:bookmarkEnd w:id="68"/>
      <w:bookmarkEnd w:id="69"/>
    </w:p>
    <w:p w14:paraId="40E3903F" w14:textId="190E319E" w:rsidR="00666B7D" w:rsidRPr="00666B7D" w:rsidRDefault="00666B7D" w:rsidP="00666B7D">
      <w:pPr>
        <w:numPr>
          <w:ilvl w:val="1"/>
          <w:numId w:val="4"/>
        </w:numPr>
        <w:tabs>
          <w:tab w:val="clear" w:pos="1105"/>
          <w:tab w:val="num" w:pos="680"/>
        </w:tabs>
        <w:spacing w:before="360" w:after="360"/>
        <w:ind w:left="0"/>
        <w:rPr>
          <w:bCs/>
          <w:szCs w:val="20"/>
        </w:rPr>
      </w:pPr>
      <w:r w:rsidRPr="00666B7D">
        <w:rPr>
          <w:bCs/>
          <w:szCs w:val="20"/>
        </w:rPr>
        <w:t>The AIP is the process carried out by the licensee and Authority each year</w:t>
      </w:r>
      <w:r w:rsidRPr="00666B7D">
        <w:rPr>
          <w:szCs w:val="20"/>
          <w:vertAlign w:val="superscript"/>
        </w:rPr>
        <w:footnoteReference w:id="6"/>
      </w:r>
      <w:r w:rsidRPr="00666B7D">
        <w:rPr>
          <w:bCs/>
          <w:szCs w:val="20"/>
        </w:rPr>
        <w:t xml:space="preserve"> in order to calculate allowed revenue (AR</w:t>
      </w:r>
      <w:r w:rsidRPr="00666B7D">
        <w:rPr>
          <w:bCs/>
          <w:szCs w:val="20"/>
          <w:vertAlign w:val="subscript"/>
        </w:rPr>
        <w:t>t</w:t>
      </w:r>
      <w:r w:rsidRPr="00666B7D">
        <w:rPr>
          <w:bCs/>
          <w:szCs w:val="20"/>
        </w:rPr>
        <w:t xml:space="preserve"> </w:t>
      </w:r>
      <w:r w:rsidR="002A17BE">
        <w:rPr>
          <w:bCs/>
          <w:szCs w:val="20"/>
        </w:rPr>
        <w:t>and SOAR</w:t>
      </w:r>
      <w:r w:rsidR="002A17BE" w:rsidRPr="002A17BE">
        <w:rPr>
          <w:bCs/>
          <w:szCs w:val="20"/>
          <w:vertAlign w:val="subscript"/>
        </w:rPr>
        <w:t>t</w:t>
      </w:r>
      <w:r w:rsidR="002A17BE">
        <w:rPr>
          <w:bCs/>
          <w:szCs w:val="20"/>
        </w:rPr>
        <w:t xml:space="preserve"> </w:t>
      </w:r>
      <w:r w:rsidRPr="00666B7D">
        <w:rPr>
          <w:bCs/>
          <w:szCs w:val="20"/>
        </w:rPr>
        <w:t>for Regulatory Year t) by updating</w:t>
      </w:r>
      <w:r w:rsidRPr="00666B7D">
        <w:rPr>
          <w:szCs w:val="20"/>
        </w:rPr>
        <w:t xml:space="preserve"> the Variable Value inputs</w:t>
      </w:r>
      <w:r w:rsidR="00D10478">
        <w:rPr>
          <w:szCs w:val="20"/>
        </w:rPr>
        <w:t xml:space="preserve"> to the PCFM</w:t>
      </w:r>
      <w:r w:rsidRPr="00666B7D">
        <w:rPr>
          <w:szCs w:val="20"/>
        </w:rPr>
        <w:t xml:space="preserve">.  </w:t>
      </w:r>
    </w:p>
    <w:p w14:paraId="1EC0C2EF" w14:textId="77777777" w:rsidR="00666B7D" w:rsidRPr="0091115A" w:rsidRDefault="00666B7D" w:rsidP="00666B7D">
      <w:pPr>
        <w:numPr>
          <w:ilvl w:val="1"/>
          <w:numId w:val="4"/>
        </w:numPr>
        <w:tabs>
          <w:tab w:val="clear" w:pos="1105"/>
          <w:tab w:val="num" w:pos="680"/>
        </w:tabs>
        <w:spacing w:before="360" w:after="360"/>
        <w:ind w:left="0"/>
      </w:pPr>
      <w:r w:rsidRPr="0091115A">
        <w:t xml:space="preserve">The AIP will be </w:t>
      </w:r>
      <w:r w:rsidRPr="00FC3357">
        <w:t>completed</w:t>
      </w:r>
      <w:r w:rsidRPr="0091115A">
        <w:t xml:space="preserve"> by 30 November prior to each Regulatory Year t, or as soon as is reasonably practicable thereafter.  The deadline of 30 November reflects the need for the licensee to have confirmation of its allowed revenue in time to calculate and issue its use of system charges.</w:t>
      </w:r>
    </w:p>
    <w:p w14:paraId="2716CDC7" w14:textId="06A03EF3" w:rsidR="00666B7D" w:rsidRPr="00666B7D" w:rsidRDefault="00666B7D" w:rsidP="00666B7D">
      <w:pPr>
        <w:numPr>
          <w:ilvl w:val="1"/>
          <w:numId w:val="4"/>
        </w:numPr>
        <w:tabs>
          <w:tab w:val="clear" w:pos="1105"/>
          <w:tab w:val="num" w:pos="680"/>
        </w:tabs>
        <w:spacing w:before="360" w:after="360"/>
        <w:ind w:left="0"/>
        <w:rPr>
          <w:szCs w:val="20"/>
        </w:rPr>
      </w:pPr>
      <w:r w:rsidRPr="00666B7D">
        <w:rPr>
          <w:szCs w:val="20"/>
        </w:rPr>
        <w:t xml:space="preserve">The steps of the AIP are specified in Special Condition </w:t>
      </w:r>
      <w:r w:rsidRPr="00382AA5">
        <w:rPr>
          <w:szCs w:val="20"/>
        </w:rPr>
        <w:t>8</w:t>
      </w:r>
      <w:r w:rsidR="00F239E0" w:rsidRPr="00382AA5">
        <w:rPr>
          <w:szCs w:val="20"/>
        </w:rPr>
        <w:t>.2</w:t>
      </w:r>
      <w:r w:rsidRPr="00382AA5">
        <w:rPr>
          <w:szCs w:val="20"/>
        </w:rPr>
        <w:t>, Part A</w:t>
      </w:r>
      <w:r w:rsidRPr="00666B7D">
        <w:rPr>
          <w:szCs w:val="20"/>
        </w:rPr>
        <w:t xml:space="preserve"> and the process around them is described below.</w:t>
      </w:r>
    </w:p>
    <w:p w14:paraId="02148170" w14:textId="07D613D0" w:rsidR="00666B7D" w:rsidRPr="00313B5F" w:rsidRDefault="00666B7D" w:rsidP="00313B5F">
      <w:pPr>
        <w:pStyle w:val="Heading3"/>
        <w:keepNext/>
        <w:spacing w:line="360" w:lineRule="auto"/>
        <w:rPr>
          <w:iCs/>
          <w:szCs w:val="20"/>
        </w:rPr>
      </w:pPr>
      <w:bookmarkStart w:id="70" w:name="_Toc52357088"/>
      <w:r w:rsidRPr="00313B5F">
        <w:rPr>
          <w:iCs/>
          <w:szCs w:val="20"/>
        </w:rPr>
        <w:t>Submission of GT2 PCFM</w:t>
      </w:r>
      <w:bookmarkEnd w:id="70"/>
    </w:p>
    <w:p w14:paraId="1C966AC0" w14:textId="4D2ACEAB" w:rsidR="00666B7D" w:rsidRDefault="00666B7D" w:rsidP="008F1AC8">
      <w:pPr>
        <w:pStyle w:val="Paragraph"/>
        <w:numPr>
          <w:ilvl w:val="1"/>
          <w:numId w:val="82"/>
        </w:numPr>
        <w:tabs>
          <w:tab w:val="clear" w:pos="1105"/>
          <w:tab w:val="num" w:pos="680"/>
        </w:tabs>
        <w:ind w:left="0"/>
      </w:pPr>
      <w:r>
        <w:t>By 31 July prior to each Regulatory Year, the licensee must submit to the Authority the GT2 PCFM, with a completed Variable Values Table (covering activity in the prior Regulatory Year and changes to forecast activity</w:t>
      </w:r>
      <w:r>
        <w:rPr>
          <w:vertAlign w:val="superscript"/>
        </w:rPr>
        <w:footnoteReference w:id="7"/>
      </w:r>
      <w:r>
        <w:t>), which has been run to calculate AR</w:t>
      </w:r>
      <w:r>
        <w:rPr>
          <w:vertAlign w:val="subscript"/>
        </w:rPr>
        <w:t>t</w:t>
      </w:r>
      <w:r w:rsidR="002A17BE">
        <w:t xml:space="preserve"> and SOAR</w:t>
      </w:r>
      <w:r w:rsidR="002A17BE" w:rsidRPr="002A17BE">
        <w:rPr>
          <w:vertAlign w:val="subscript"/>
        </w:rPr>
        <w:t>t</w:t>
      </w:r>
      <w:r w:rsidR="001F7608">
        <w:t xml:space="preserve">. </w:t>
      </w:r>
      <w:r w:rsidR="001F7608" w:rsidRPr="001F7608">
        <w:t>The licensee must publish a version of this G</w:t>
      </w:r>
      <w:r w:rsidR="00680091">
        <w:t>T</w:t>
      </w:r>
      <w:r w:rsidR="001F7608" w:rsidRPr="001F7608">
        <w:t xml:space="preserve">2 PCFM on their website in accordance with the requirements of the PCFM Guidance.  </w:t>
      </w:r>
    </w:p>
    <w:p w14:paraId="36901DCE" w14:textId="062961FC" w:rsidR="00666B7D" w:rsidRPr="00666B7D" w:rsidRDefault="00666B7D" w:rsidP="00666B7D">
      <w:pPr>
        <w:numPr>
          <w:ilvl w:val="1"/>
          <w:numId w:val="4"/>
        </w:numPr>
        <w:tabs>
          <w:tab w:val="clear" w:pos="1105"/>
          <w:tab w:val="num" w:pos="680"/>
        </w:tabs>
        <w:spacing w:before="360" w:after="360"/>
        <w:ind w:left="0"/>
        <w:rPr>
          <w:szCs w:val="20"/>
        </w:rPr>
      </w:pPr>
      <w:r>
        <w:t xml:space="preserve">This submitted version of the GT2 PCFM may contain provisional values for Variable Values that are unknown at the time of submission. Examples of Variable Values which will not be known by 31 July are the risk free rate [XXX] (which is dependent on data published by the Bank of England in November) or a </w:t>
      </w:r>
      <w:r w:rsidRPr="00666B7D">
        <w:rPr>
          <w:szCs w:val="20"/>
        </w:rPr>
        <w:t xml:space="preserve">re-opener term which is subject to an outstanding decision by the Authority. </w:t>
      </w:r>
    </w:p>
    <w:p w14:paraId="518A04AA" w14:textId="37700030" w:rsidR="00666B7D" w:rsidRDefault="00666B7D" w:rsidP="00666B7D">
      <w:pPr>
        <w:numPr>
          <w:ilvl w:val="1"/>
          <w:numId w:val="4"/>
        </w:numPr>
        <w:tabs>
          <w:tab w:val="clear" w:pos="1105"/>
          <w:tab w:val="num" w:pos="680"/>
        </w:tabs>
        <w:spacing w:before="360" w:after="360"/>
        <w:ind w:left="0"/>
      </w:pPr>
      <w:r>
        <w:t xml:space="preserve">Where a Variable Value is unknown at the time of submission, the licensee must </w:t>
      </w:r>
      <w:r w:rsidRPr="00666B7D">
        <w:rPr>
          <w:szCs w:val="20"/>
        </w:rPr>
        <w:t>calculate a provisional value</w:t>
      </w:r>
      <w:r>
        <w:t xml:space="preserve"> using the approach specified within </w:t>
      </w:r>
      <w:r w:rsidR="00D10478">
        <w:rPr>
          <w:szCs w:val="20"/>
        </w:rPr>
        <w:t>this h</w:t>
      </w:r>
      <w:r w:rsidRPr="00666B7D">
        <w:rPr>
          <w:szCs w:val="20"/>
        </w:rPr>
        <w:t xml:space="preserve">andbook or within the </w:t>
      </w:r>
      <w:r w:rsidRPr="00666B7D">
        <w:rPr>
          <w:szCs w:val="20"/>
        </w:rPr>
        <w:lastRenderedPageBreak/>
        <w:t xml:space="preserve">PCFM </w:t>
      </w:r>
      <w:r>
        <w:t>Guidance</w:t>
      </w:r>
      <w:r w:rsidRPr="00666B7D">
        <w:rPr>
          <w:szCs w:val="20"/>
        </w:rPr>
        <w:t xml:space="preserve">, as applicable, and otherwise provide its best estimate with the information available at the time. </w:t>
      </w:r>
    </w:p>
    <w:p w14:paraId="53E8DE0C" w14:textId="10F379F0" w:rsidR="00666B7D" w:rsidRPr="00666B7D" w:rsidRDefault="00666B7D" w:rsidP="00666B7D">
      <w:pPr>
        <w:numPr>
          <w:ilvl w:val="1"/>
          <w:numId w:val="4"/>
        </w:numPr>
        <w:tabs>
          <w:tab w:val="clear" w:pos="1105"/>
          <w:tab w:val="num" w:pos="680"/>
        </w:tabs>
        <w:spacing w:before="360" w:after="360"/>
        <w:ind w:left="0"/>
        <w:rPr>
          <w:szCs w:val="20"/>
        </w:rPr>
      </w:pPr>
      <w:r w:rsidRPr="00666B7D">
        <w:rPr>
          <w:szCs w:val="20"/>
        </w:rPr>
        <w:t xml:space="preserve">Ofgem will review the submitted </w:t>
      </w:r>
      <w:r>
        <w:rPr>
          <w:szCs w:val="20"/>
        </w:rPr>
        <w:t>GT2</w:t>
      </w:r>
      <w:r w:rsidRPr="00666B7D">
        <w:rPr>
          <w:szCs w:val="20"/>
        </w:rPr>
        <w:t xml:space="preserve"> PCFM and confirm or amend any Variable Values, as appropriate and taking into account any decisions it has made in relation to those values.</w:t>
      </w:r>
    </w:p>
    <w:p w14:paraId="1292BDA4" w14:textId="77777777" w:rsidR="00666B7D" w:rsidRPr="00313B5F" w:rsidRDefault="00666B7D" w:rsidP="00313B5F">
      <w:pPr>
        <w:pStyle w:val="Heading3"/>
        <w:keepNext/>
        <w:spacing w:line="360" w:lineRule="auto"/>
        <w:rPr>
          <w:iCs/>
          <w:szCs w:val="20"/>
        </w:rPr>
      </w:pPr>
      <w:bookmarkStart w:id="71" w:name="_Toc52357089"/>
      <w:r w:rsidRPr="00313B5F">
        <w:rPr>
          <w:iCs/>
          <w:szCs w:val="20"/>
        </w:rPr>
        <w:t>Dry Runs process</w:t>
      </w:r>
      <w:bookmarkEnd w:id="71"/>
    </w:p>
    <w:p w14:paraId="2281ED49" w14:textId="1135F4DB" w:rsidR="00666B7D" w:rsidRDefault="00666B7D" w:rsidP="00666B7D">
      <w:pPr>
        <w:numPr>
          <w:ilvl w:val="1"/>
          <w:numId w:val="4"/>
        </w:numPr>
        <w:tabs>
          <w:tab w:val="clear" w:pos="1105"/>
          <w:tab w:val="num" w:pos="680"/>
        </w:tabs>
        <w:spacing w:before="360" w:after="360"/>
        <w:ind w:left="0"/>
        <w:rPr>
          <w:rFonts w:eastAsia="Verdana" w:cs="Verdana"/>
        </w:rPr>
      </w:pPr>
      <w:r>
        <w:t xml:space="preserve">This process of confirming and amending values will normally take place over a number of months from 31 July to November and will be iterative to account for updates to the Variable Values as they become known. </w:t>
      </w:r>
    </w:p>
    <w:p w14:paraId="6D78BF8A" w14:textId="10B2775D" w:rsidR="00666B7D" w:rsidRDefault="00666B7D" w:rsidP="00666B7D">
      <w:pPr>
        <w:numPr>
          <w:ilvl w:val="1"/>
          <w:numId w:val="4"/>
        </w:numPr>
        <w:tabs>
          <w:tab w:val="clear" w:pos="1105"/>
          <w:tab w:val="num" w:pos="680"/>
        </w:tabs>
        <w:spacing w:before="360" w:after="360"/>
        <w:ind w:left="0"/>
        <w:rPr>
          <w:rFonts w:eastAsia="Verdana" w:cs="Verdana"/>
        </w:rPr>
      </w:pPr>
      <w:r>
        <w:t xml:space="preserve">There </w:t>
      </w:r>
      <w:r w:rsidR="005D2C8C">
        <w:t>will</w:t>
      </w:r>
      <w:r>
        <w:t xml:space="preserve"> be one or more dry runs </w:t>
      </w:r>
      <w:r w:rsidRPr="00666B7D">
        <w:rPr>
          <w:szCs w:val="20"/>
        </w:rPr>
        <w:t xml:space="preserve">of the PCFM </w:t>
      </w:r>
      <w:r>
        <w:t xml:space="preserve">between the licensee’s initial submission of the GT2 PCFM and the final run in early November. The number of dry runs needed will depend on the number and timing of Variable Value updates required for the licensee in any particular Regulatory Year. </w:t>
      </w:r>
    </w:p>
    <w:p w14:paraId="4C590FE9" w14:textId="46ED081A" w:rsidR="00666B7D" w:rsidRPr="00677328" w:rsidRDefault="00666B7D" w:rsidP="00666B7D">
      <w:pPr>
        <w:numPr>
          <w:ilvl w:val="1"/>
          <w:numId w:val="4"/>
        </w:numPr>
        <w:tabs>
          <w:tab w:val="clear" w:pos="1105"/>
          <w:tab w:val="num" w:pos="680"/>
        </w:tabs>
        <w:spacing w:before="360" w:after="360"/>
        <w:ind w:left="0"/>
      </w:pPr>
      <w:r>
        <w:t xml:space="preserve">Where the Authority amends a Variable Value from an earlier licensee submission, either due to a licensee error or to reflect updates to a provisional value, it will notify the licensee and request a resubmission of the PCFM. </w:t>
      </w:r>
      <w:r w:rsidRPr="00666B7D">
        <w:rPr>
          <w:szCs w:val="20"/>
        </w:rPr>
        <w:t>Any resubmissions following updates to Variable Values should be re-</w:t>
      </w:r>
      <w:r>
        <w:t>run to reflect the impact of the updated values on AR</w:t>
      </w:r>
      <w:r>
        <w:rPr>
          <w:vertAlign w:val="subscript"/>
        </w:rPr>
        <w:t>t</w:t>
      </w:r>
      <w:r w:rsidR="00D10478">
        <w:t xml:space="preserve"> </w:t>
      </w:r>
      <w:r w:rsidR="002A17BE" w:rsidRPr="002A17BE">
        <w:t>and SOAR</w:t>
      </w:r>
      <w:r w:rsidR="002A17BE" w:rsidRPr="002A17BE">
        <w:rPr>
          <w:vertAlign w:val="subscript"/>
        </w:rPr>
        <w:t>t</w:t>
      </w:r>
      <w:r w:rsidR="002A17BE">
        <w:t>.</w:t>
      </w:r>
    </w:p>
    <w:p w14:paraId="0FC44460" w14:textId="24A03344" w:rsidR="00666B7D" w:rsidRPr="00677328" w:rsidRDefault="00666B7D" w:rsidP="00666B7D">
      <w:pPr>
        <w:numPr>
          <w:ilvl w:val="1"/>
          <w:numId w:val="4"/>
        </w:numPr>
        <w:tabs>
          <w:tab w:val="clear" w:pos="1105"/>
          <w:tab w:val="num" w:pos="680"/>
        </w:tabs>
        <w:spacing w:before="360" w:after="360"/>
        <w:ind w:left="0"/>
      </w:pPr>
      <w:r>
        <w:t xml:space="preserve">Where a licensee has not complied with Step 1 of Special Condition </w:t>
      </w:r>
      <w:r w:rsidRPr="00382AA5">
        <w:rPr>
          <w:szCs w:val="20"/>
        </w:rPr>
        <w:t>8</w:t>
      </w:r>
      <w:r w:rsidR="00F239E0" w:rsidRPr="00382AA5">
        <w:rPr>
          <w:szCs w:val="20"/>
        </w:rPr>
        <w:t>.2</w:t>
      </w:r>
      <w:r w:rsidR="00F239E0" w:rsidRPr="00382AA5">
        <w:t>, Part A</w:t>
      </w:r>
      <w:r w:rsidRPr="00382AA5">
        <w:t xml:space="preserve"> and has</w:t>
      </w:r>
      <w:r>
        <w:t xml:space="preserve"> failed to submit a populated PCFM by 31 July, Ofgem will complete the Variable Values Table and run the model to calculate AR</w:t>
      </w:r>
      <w:r>
        <w:rPr>
          <w:vertAlign w:val="subscript"/>
        </w:rPr>
        <w:t>t</w:t>
      </w:r>
      <w:r w:rsidR="002A17BE" w:rsidRPr="002A17BE">
        <w:t xml:space="preserve"> and SOAR</w:t>
      </w:r>
      <w:r w:rsidR="002A17BE" w:rsidRPr="002A17BE">
        <w:rPr>
          <w:vertAlign w:val="subscript"/>
        </w:rPr>
        <w:t>t</w:t>
      </w:r>
      <w:r w:rsidR="002A17BE" w:rsidRPr="002A17BE">
        <w:t>.</w:t>
      </w:r>
    </w:p>
    <w:p w14:paraId="777FCB79" w14:textId="7DBC332B" w:rsidR="00666B7D" w:rsidRDefault="00666B7D" w:rsidP="00666B7D">
      <w:pPr>
        <w:numPr>
          <w:ilvl w:val="1"/>
          <w:numId w:val="4"/>
        </w:numPr>
        <w:tabs>
          <w:tab w:val="clear" w:pos="1105"/>
          <w:tab w:val="num" w:pos="680"/>
        </w:tabs>
        <w:spacing w:before="360" w:after="120"/>
        <w:ind w:left="0"/>
      </w:pPr>
      <w:r>
        <w:t>In order to facilitate publication of AR</w:t>
      </w:r>
      <w:r>
        <w:rPr>
          <w:vertAlign w:val="subscript"/>
        </w:rPr>
        <w:t>t</w:t>
      </w:r>
      <w:r>
        <w:t xml:space="preserve"> </w:t>
      </w:r>
      <w:r w:rsidR="002A17BE" w:rsidRPr="002A17BE">
        <w:t>and SOAR</w:t>
      </w:r>
      <w:r w:rsidR="002A17BE" w:rsidRPr="002A17BE">
        <w:rPr>
          <w:vertAlign w:val="subscript"/>
        </w:rPr>
        <w:t>t</w:t>
      </w:r>
      <w:r w:rsidR="002A17BE">
        <w:t xml:space="preserve"> </w:t>
      </w:r>
      <w:r>
        <w:t>by 30 November, Ofgem will normally expect to apply the following annual cut-off dates:</w:t>
      </w:r>
    </w:p>
    <w:p w14:paraId="7CADCE6D" w14:textId="3C19F219" w:rsidR="00666B7D" w:rsidRPr="00666B7D" w:rsidRDefault="005D2C8C" w:rsidP="008F1AC8">
      <w:pPr>
        <w:numPr>
          <w:ilvl w:val="0"/>
          <w:numId w:val="33"/>
        </w:numPr>
      </w:pPr>
      <w:r>
        <w:rPr>
          <w:bCs/>
          <w:szCs w:val="20"/>
        </w:rPr>
        <w:t>01 May</w:t>
      </w:r>
      <w:r w:rsidR="00666B7D" w:rsidRPr="00666B7D">
        <w:t xml:space="preserve"> in respect of functional changes to the PCFM</w:t>
      </w:r>
    </w:p>
    <w:p w14:paraId="336C1259" w14:textId="1BBFDE50" w:rsidR="00666B7D" w:rsidRPr="00666B7D" w:rsidRDefault="00666B7D" w:rsidP="008F1AC8">
      <w:pPr>
        <w:numPr>
          <w:ilvl w:val="0"/>
          <w:numId w:val="33"/>
        </w:numPr>
      </w:pPr>
      <w:r w:rsidRPr="00666B7D">
        <w:t>31 October in respect of information submitted by the licensee.</w:t>
      </w:r>
      <w:r w:rsidRPr="00666B7D">
        <w:rPr>
          <w:vertAlign w:val="superscript"/>
        </w:rPr>
        <w:footnoteReference w:id="8"/>
      </w:r>
    </w:p>
    <w:p w14:paraId="6A010803" w14:textId="77777777" w:rsidR="00666B7D" w:rsidRPr="00313B5F" w:rsidRDefault="00666B7D" w:rsidP="00313B5F">
      <w:pPr>
        <w:pStyle w:val="Heading3"/>
        <w:keepNext/>
        <w:spacing w:line="360" w:lineRule="auto"/>
        <w:rPr>
          <w:iCs/>
          <w:szCs w:val="20"/>
        </w:rPr>
      </w:pPr>
      <w:bookmarkStart w:id="72" w:name="_Toc52357090"/>
      <w:r w:rsidRPr="00313B5F">
        <w:rPr>
          <w:iCs/>
          <w:szCs w:val="20"/>
        </w:rPr>
        <w:lastRenderedPageBreak/>
        <w:t>Final Run</w:t>
      </w:r>
      <w:bookmarkEnd w:id="72"/>
    </w:p>
    <w:p w14:paraId="449D54EC" w14:textId="13FC073D" w:rsidR="00666B7D" w:rsidRDefault="00666B7D" w:rsidP="00666B7D">
      <w:pPr>
        <w:numPr>
          <w:ilvl w:val="1"/>
          <w:numId w:val="4"/>
        </w:numPr>
        <w:tabs>
          <w:tab w:val="clear" w:pos="1105"/>
          <w:tab w:val="num" w:pos="680"/>
        </w:tabs>
        <w:spacing w:before="360" w:after="360"/>
        <w:ind w:left="0"/>
      </w:pPr>
      <w:r>
        <w:t>The final run of the GT2 PCFM will take place in early November and will be performed by Ofgem. This will take into account the Variable Values in the latest submission from the licensee, as confirmed by Ofgem and will also reflect the updated cost of debt CDE and risk free rate [</w:t>
      </w:r>
      <w:r w:rsidRPr="000275CC">
        <w:t>YY</w:t>
      </w:r>
      <w:r>
        <w:t>] Variable Values, the latter of which is dependent on government bond yield data published by the Bank of England in the first week of November.</w:t>
      </w:r>
    </w:p>
    <w:p w14:paraId="62CFC8E9" w14:textId="4D3975E5" w:rsidR="00666B7D" w:rsidRDefault="00666B7D" w:rsidP="00666B7D">
      <w:pPr>
        <w:numPr>
          <w:ilvl w:val="1"/>
          <w:numId w:val="4"/>
        </w:numPr>
        <w:tabs>
          <w:tab w:val="clear" w:pos="1105"/>
          <w:tab w:val="num" w:pos="680"/>
        </w:tabs>
        <w:spacing w:before="360" w:after="120"/>
        <w:ind w:left="0"/>
      </w:pPr>
      <w:r>
        <w:t>Having determined any revisions to Variable Values for the licensee, Ofgem will run the GT2 PCFM as follows:</w:t>
      </w:r>
    </w:p>
    <w:p w14:paraId="585B710E" w14:textId="07A80952" w:rsidR="00666B7D" w:rsidRPr="00666B7D" w:rsidRDefault="00666B7D" w:rsidP="008F1AC8">
      <w:pPr>
        <w:numPr>
          <w:ilvl w:val="0"/>
          <w:numId w:val="34"/>
        </w:numPr>
      </w:pPr>
      <w:r w:rsidRPr="00666B7D">
        <w:t xml:space="preserve">revised Variable Values will be entered in the appropriate Regulatory Year columns of the </w:t>
      </w:r>
      <w:r w:rsidRPr="00666B7D">
        <w:rPr>
          <w:bCs/>
          <w:szCs w:val="20"/>
        </w:rPr>
        <w:t>Variable</w:t>
      </w:r>
      <w:r w:rsidRPr="00666B7D">
        <w:t xml:space="preserve"> Values Table for the licensee</w:t>
      </w:r>
    </w:p>
    <w:p w14:paraId="470CFAD4" w14:textId="77777777" w:rsidR="00666B7D" w:rsidRPr="00666B7D" w:rsidRDefault="00666B7D" w:rsidP="008F1AC8">
      <w:pPr>
        <w:numPr>
          <w:ilvl w:val="0"/>
          <w:numId w:val="34"/>
        </w:numPr>
        <w:rPr>
          <w:bCs/>
          <w:szCs w:val="20"/>
        </w:rPr>
      </w:pPr>
      <w:r w:rsidRPr="00666B7D">
        <w:rPr>
          <w:bCs/>
          <w:szCs w:val="20"/>
        </w:rPr>
        <w:t>the PCFM calculation functions will be rerun</w:t>
      </w:r>
    </w:p>
    <w:p w14:paraId="57FF8190" w14:textId="77777777" w:rsidR="00666B7D" w:rsidRPr="00666B7D" w:rsidRDefault="00666B7D" w:rsidP="008F1AC8">
      <w:pPr>
        <w:numPr>
          <w:ilvl w:val="0"/>
          <w:numId w:val="34"/>
        </w:numPr>
        <w:rPr>
          <w:bCs/>
          <w:szCs w:val="20"/>
        </w:rPr>
      </w:pPr>
      <w:r w:rsidRPr="00666B7D">
        <w:rPr>
          <w:bCs/>
          <w:szCs w:val="20"/>
        </w:rPr>
        <w:t>all calculated values within the PCFM will be updated, including:</w:t>
      </w:r>
    </w:p>
    <w:p w14:paraId="001A5665" w14:textId="77777777" w:rsidR="00666B7D" w:rsidRPr="00666B7D" w:rsidRDefault="00666B7D" w:rsidP="008F1AC8">
      <w:pPr>
        <w:numPr>
          <w:ilvl w:val="1"/>
          <w:numId w:val="35"/>
        </w:numPr>
        <w:rPr>
          <w:bCs/>
          <w:szCs w:val="20"/>
        </w:rPr>
      </w:pPr>
      <w:r w:rsidRPr="00666B7D">
        <w:rPr>
          <w:bCs/>
          <w:szCs w:val="20"/>
        </w:rPr>
        <w:t>the calculated revenue figure for the licensee for each Regulatory Year of the Price Control Period, and</w:t>
      </w:r>
    </w:p>
    <w:p w14:paraId="0D711572" w14:textId="681BF228" w:rsidR="00666B7D" w:rsidRPr="00666B7D" w:rsidRDefault="00666B7D" w:rsidP="008F1AC8">
      <w:pPr>
        <w:numPr>
          <w:ilvl w:val="1"/>
          <w:numId w:val="35"/>
        </w:numPr>
        <w:rPr>
          <w:bCs/>
          <w:szCs w:val="20"/>
        </w:rPr>
      </w:pPr>
      <w:r w:rsidRPr="00666B7D">
        <w:rPr>
          <w:bCs/>
          <w:szCs w:val="20"/>
        </w:rPr>
        <w:t xml:space="preserve">the modelled </w:t>
      </w:r>
      <w:r w:rsidR="001F7608">
        <w:rPr>
          <w:bCs/>
          <w:szCs w:val="20"/>
        </w:rPr>
        <w:t>Regulatory Asset Value (</w:t>
      </w:r>
      <w:r w:rsidRPr="00666B7D">
        <w:rPr>
          <w:bCs/>
          <w:szCs w:val="20"/>
        </w:rPr>
        <w:t>RAV</w:t>
      </w:r>
      <w:r w:rsidR="001F7608">
        <w:rPr>
          <w:bCs/>
          <w:szCs w:val="20"/>
        </w:rPr>
        <w:t>)</w:t>
      </w:r>
      <w:r w:rsidRPr="00666B7D">
        <w:rPr>
          <w:bCs/>
          <w:szCs w:val="20"/>
        </w:rPr>
        <w:t xml:space="preserve"> balance for the licensee</w:t>
      </w:r>
    </w:p>
    <w:p w14:paraId="3CDA5394" w14:textId="659BED5C" w:rsidR="00666B7D" w:rsidRPr="00666B7D" w:rsidRDefault="00666B7D" w:rsidP="008F1AC8">
      <w:pPr>
        <w:numPr>
          <w:ilvl w:val="0"/>
          <w:numId w:val="34"/>
        </w:numPr>
      </w:pPr>
      <w:r w:rsidRPr="00666B7D">
        <w:t>the PCFM will output the value of AR</w:t>
      </w:r>
      <w:r w:rsidRPr="00666B7D">
        <w:rPr>
          <w:vertAlign w:val="subscript"/>
        </w:rPr>
        <w:t>t</w:t>
      </w:r>
      <w:r w:rsidRPr="00666B7D">
        <w:t xml:space="preserve"> </w:t>
      </w:r>
      <w:r w:rsidR="00353C5F" w:rsidRPr="002A17BE">
        <w:t>and SOAR</w:t>
      </w:r>
      <w:r w:rsidR="00353C5F" w:rsidRPr="002A17BE">
        <w:rPr>
          <w:vertAlign w:val="subscript"/>
        </w:rPr>
        <w:t>t</w:t>
      </w:r>
      <w:r w:rsidR="00353C5F" w:rsidRPr="00666B7D">
        <w:t xml:space="preserve"> </w:t>
      </w:r>
      <w:r w:rsidRPr="00666B7D">
        <w:t>for Regulatory Year t for the licensee.</w:t>
      </w:r>
    </w:p>
    <w:p w14:paraId="4CC33FCC" w14:textId="18790842" w:rsidR="00666B7D" w:rsidRDefault="00666B7D" w:rsidP="00666B7D">
      <w:pPr>
        <w:numPr>
          <w:ilvl w:val="1"/>
          <w:numId w:val="4"/>
        </w:numPr>
        <w:tabs>
          <w:tab w:val="clear" w:pos="1105"/>
          <w:tab w:val="num" w:pos="680"/>
        </w:tabs>
        <w:spacing w:before="360" w:after="360"/>
        <w:ind w:left="0"/>
      </w:pPr>
      <w:bookmarkStart w:id="73" w:name="_Ref49261323"/>
      <w:r>
        <w:t>The Authority will give the licensee at least 14 days’ notice of the value</w:t>
      </w:r>
      <w:r w:rsidR="00353C5F">
        <w:t>s</w:t>
      </w:r>
      <w:r>
        <w:t xml:space="preserve"> </w:t>
      </w:r>
      <w:r w:rsidR="00242BB7">
        <w:t xml:space="preserve">of </w:t>
      </w:r>
      <w:r>
        <w:t>AR</w:t>
      </w:r>
      <w:r>
        <w:rPr>
          <w:vertAlign w:val="subscript"/>
        </w:rPr>
        <w:t>t</w:t>
      </w:r>
      <w:r w:rsidR="00353C5F">
        <w:t xml:space="preserve"> </w:t>
      </w:r>
      <w:r w:rsidR="00242BB7">
        <w:t>and</w:t>
      </w:r>
      <w:r w:rsidR="00353C5F" w:rsidRPr="002A17BE">
        <w:t xml:space="preserve"> SOAR</w:t>
      </w:r>
      <w:r w:rsidR="00353C5F" w:rsidRPr="002A17BE">
        <w:rPr>
          <w:vertAlign w:val="subscript"/>
        </w:rPr>
        <w:t>t</w:t>
      </w:r>
      <w:r w:rsidR="00353C5F">
        <w:t xml:space="preserve">, </w:t>
      </w:r>
      <w:r>
        <w:t>and a copy of the GT2 PCFM used to calculate it (including the licensee’s Variable Values, which may have been revised through the AIP), in accordance with requirements in the licence, to allow for any representations.</w:t>
      </w:r>
      <w:bookmarkEnd w:id="73"/>
      <w:r>
        <w:t xml:space="preserve">  </w:t>
      </w:r>
    </w:p>
    <w:p w14:paraId="28729B63" w14:textId="48E14CEA" w:rsidR="00666B7D" w:rsidRDefault="00666B7D" w:rsidP="00666B7D">
      <w:pPr>
        <w:numPr>
          <w:ilvl w:val="1"/>
          <w:numId w:val="4"/>
        </w:numPr>
        <w:tabs>
          <w:tab w:val="clear" w:pos="1105"/>
          <w:tab w:val="num" w:pos="680"/>
        </w:tabs>
        <w:spacing w:before="360" w:after="360"/>
        <w:ind w:left="0"/>
      </w:pPr>
      <w:bookmarkStart w:id="74" w:name="_Ref51932197"/>
      <w:r>
        <w:t>The Authority will then (by 30 November in Regulatory Year t-1, or as soon as is reasonably practicable thereafter) publish the value</w:t>
      </w:r>
      <w:r w:rsidR="00353C5F">
        <w:t>s</w:t>
      </w:r>
      <w:r>
        <w:t xml:space="preserve"> of AR</w:t>
      </w:r>
      <w:r>
        <w:rPr>
          <w:vertAlign w:val="subscript"/>
        </w:rPr>
        <w:t>t</w:t>
      </w:r>
      <w:r>
        <w:t xml:space="preserve"> </w:t>
      </w:r>
      <w:r w:rsidR="00353C5F" w:rsidRPr="002A17BE">
        <w:t>and SOAR</w:t>
      </w:r>
      <w:r w:rsidR="00353C5F" w:rsidRPr="002A17BE">
        <w:rPr>
          <w:vertAlign w:val="subscript"/>
        </w:rPr>
        <w:t>t</w:t>
      </w:r>
      <w:r w:rsidR="00353C5F">
        <w:t xml:space="preserve"> </w:t>
      </w:r>
      <w:r>
        <w:t xml:space="preserve">and a copy of the GT2 PCFM used to calculate </w:t>
      </w:r>
      <w:r w:rsidR="00353C5F">
        <w:t>them</w:t>
      </w:r>
      <w:r>
        <w:t>. The value of AR</w:t>
      </w:r>
      <w:r>
        <w:rPr>
          <w:vertAlign w:val="subscript"/>
        </w:rPr>
        <w:t>t</w:t>
      </w:r>
      <w:r>
        <w:t xml:space="preserve"> </w:t>
      </w:r>
      <w:r w:rsidR="00353C5F" w:rsidRPr="002A17BE">
        <w:t>and SOAR</w:t>
      </w:r>
      <w:r w:rsidR="00353C5F" w:rsidRPr="002A17BE">
        <w:rPr>
          <w:vertAlign w:val="subscript"/>
        </w:rPr>
        <w:t>t</w:t>
      </w:r>
      <w:r w:rsidR="00353C5F">
        <w:t xml:space="preserve"> </w:t>
      </w:r>
      <w:r>
        <w:t>in the publication will be stated in £</w:t>
      </w:r>
      <w:r w:rsidR="00313B5F">
        <w:t xml:space="preserve"> </w:t>
      </w:r>
      <w:r>
        <w:t>m</w:t>
      </w:r>
      <w:r w:rsidR="00313B5F">
        <w:t>illions</w:t>
      </w:r>
      <w:r>
        <w:t xml:space="preserve"> to one decimal place.</w:t>
      </w:r>
      <w:bookmarkEnd w:id="74"/>
    </w:p>
    <w:p w14:paraId="442D07DD" w14:textId="1107FC45" w:rsidR="00666B7D" w:rsidRDefault="00666B7D" w:rsidP="00666B7D">
      <w:pPr>
        <w:numPr>
          <w:ilvl w:val="1"/>
          <w:numId w:val="4"/>
        </w:numPr>
        <w:tabs>
          <w:tab w:val="clear" w:pos="1105"/>
          <w:tab w:val="num" w:pos="680"/>
        </w:tabs>
        <w:spacing w:before="360" w:after="360"/>
        <w:ind w:left="0"/>
      </w:pPr>
      <w:r>
        <w:t xml:space="preserve">Where certain information is considered to be commercially sensitive, the </w:t>
      </w:r>
      <w:r w:rsidR="00313B5F">
        <w:t>l</w:t>
      </w:r>
      <w:r>
        <w:t>icensee may request that this information be redacted before the GT2 PCFM is published. The Authority will consider the request and will share the version of the GT2 PCFM for publication including any redactions as considered necessary with the licensee in advance of the publication.</w:t>
      </w:r>
    </w:p>
    <w:p w14:paraId="7B94CDCA" w14:textId="40853466" w:rsidR="00666B7D" w:rsidRPr="0091115A" w:rsidRDefault="00666B7D" w:rsidP="00666B7D">
      <w:pPr>
        <w:numPr>
          <w:ilvl w:val="1"/>
          <w:numId w:val="4"/>
        </w:numPr>
        <w:tabs>
          <w:tab w:val="clear" w:pos="1105"/>
          <w:tab w:val="num" w:pos="680"/>
        </w:tabs>
        <w:spacing w:before="360" w:after="360"/>
        <w:ind w:left="0"/>
      </w:pPr>
      <w:r>
        <w:lastRenderedPageBreak/>
        <w:t xml:space="preserve">Part C of Special Condition </w:t>
      </w:r>
      <w:r w:rsidRPr="00382AA5">
        <w:rPr>
          <w:szCs w:val="20"/>
        </w:rPr>
        <w:t>8</w:t>
      </w:r>
      <w:r w:rsidR="00F239E0" w:rsidRPr="00382AA5">
        <w:rPr>
          <w:szCs w:val="20"/>
        </w:rPr>
        <w:t>.2</w:t>
      </w:r>
      <w:r w:rsidRPr="0091115A">
        <w:t xml:space="preserve"> specifies what will happen </w:t>
      </w:r>
      <w:r w:rsidR="001F7608">
        <w:t>i</w:t>
      </w:r>
      <w:r w:rsidRPr="0091115A">
        <w:t>f the Authority does not publish a value for AR</w:t>
      </w:r>
      <w:r w:rsidRPr="00677328">
        <w:rPr>
          <w:vertAlign w:val="subscript"/>
        </w:rPr>
        <w:t>t</w:t>
      </w:r>
      <w:r w:rsidRPr="0091115A">
        <w:t xml:space="preserve"> </w:t>
      </w:r>
      <w:r w:rsidR="00353C5F">
        <w:t>or</w:t>
      </w:r>
      <w:r w:rsidR="00353C5F" w:rsidRPr="002A17BE">
        <w:t xml:space="preserve"> SOAR</w:t>
      </w:r>
      <w:r w:rsidR="00353C5F" w:rsidRPr="002A17BE">
        <w:rPr>
          <w:vertAlign w:val="subscript"/>
        </w:rPr>
        <w:t>t</w:t>
      </w:r>
      <w:r w:rsidR="00353C5F" w:rsidRPr="0091115A">
        <w:t xml:space="preserve"> </w:t>
      </w:r>
      <w:r w:rsidRPr="0091115A">
        <w:t>by 30 November in Regulatory Year t-1.</w:t>
      </w:r>
      <w:r w:rsidRPr="00FC3357">
        <w:rPr>
          <w:vertAlign w:val="superscript"/>
        </w:rPr>
        <w:footnoteReference w:id="9"/>
      </w:r>
      <w:r w:rsidRPr="0091115A">
        <w:t xml:space="preserve"> </w:t>
      </w:r>
    </w:p>
    <w:p w14:paraId="0FB6D98E" w14:textId="4E27FAAC" w:rsidR="00666B7D" w:rsidRPr="0091115A" w:rsidRDefault="00D10478" w:rsidP="00666B7D">
      <w:pPr>
        <w:numPr>
          <w:ilvl w:val="1"/>
          <w:numId w:val="4"/>
        </w:numPr>
        <w:tabs>
          <w:tab w:val="clear" w:pos="1105"/>
          <w:tab w:val="num" w:pos="680"/>
        </w:tabs>
        <w:spacing w:before="360" w:after="360"/>
        <w:ind w:left="0"/>
      </w:pPr>
      <w:r w:rsidRPr="001F7608">
        <w:rPr>
          <w:highlight w:val="yellow"/>
        </w:rPr>
        <w:fldChar w:fldCharType="begin"/>
      </w:r>
      <w:r w:rsidRPr="001F7608">
        <w:rPr>
          <w:highlight w:val="yellow"/>
        </w:rPr>
        <w:instrText xml:space="preserve"> REF _Ref49875039 \h  \* MERGEFORMAT </w:instrText>
      </w:r>
      <w:r w:rsidRPr="001F7608">
        <w:rPr>
          <w:highlight w:val="yellow"/>
        </w:rPr>
      </w:r>
      <w:r w:rsidRPr="001F7608">
        <w:rPr>
          <w:highlight w:val="yellow"/>
        </w:rPr>
        <w:fldChar w:fldCharType="separate"/>
      </w:r>
      <w:r w:rsidR="00C21C6D" w:rsidRPr="00C21C6D">
        <w:t>Table 2.1</w:t>
      </w:r>
      <w:r w:rsidRPr="001F7608">
        <w:rPr>
          <w:highlight w:val="yellow"/>
        </w:rPr>
        <w:fldChar w:fldCharType="end"/>
      </w:r>
      <w:r>
        <w:t xml:space="preserve"> </w:t>
      </w:r>
      <w:r w:rsidR="00666B7D" w:rsidRPr="0091115A">
        <w:t>below summarises the timings for the AIP during the Price Control Period.</w:t>
      </w:r>
    </w:p>
    <w:p w14:paraId="0909F275" w14:textId="1B497159" w:rsidR="002E41C3" w:rsidRPr="00666B7D" w:rsidRDefault="00D10478" w:rsidP="00666B7D">
      <w:pPr>
        <w:rPr>
          <w:b/>
          <w:color w:val="848484"/>
        </w:rPr>
      </w:pPr>
      <w:bookmarkStart w:id="75" w:name="_Ref49870153"/>
      <w:bookmarkStart w:id="76" w:name="_Ref49875039"/>
      <w:r w:rsidRPr="00D10478">
        <w:rPr>
          <w:b/>
          <w:color w:val="848484"/>
        </w:rPr>
        <w:t>Table</w:t>
      </w:r>
      <w:r w:rsidR="00680091">
        <w:rPr>
          <w:b/>
          <w:color w:val="848484"/>
        </w:rPr>
        <w:t xml:space="preserve"> 2.1</w:t>
      </w:r>
      <w:bookmarkEnd w:id="75"/>
      <w:bookmarkEnd w:id="76"/>
      <w:r w:rsidRPr="00D10478">
        <w:rPr>
          <w:b/>
          <w:color w:val="848484"/>
        </w:rPr>
        <w:t xml:space="preserve"> - Summary of timings for the Annual Iteration Process</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1271"/>
        <w:gridCol w:w="1276"/>
        <w:gridCol w:w="1276"/>
        <w:gridCol w:w="1417"/>
        <w:gridCol w:w="1678"/>
        <w:gridCol w:w="1271"/>
        <w:gridCol w:w="1325"/>
      </w:tblGrid>
      <w:tr w:rsidR="00666B7D" w:rsidRPr="00666B7D" w14:paraId="011FBCD7" w14:textId="77777777" w:rsidTr="00F05E5F">
        <w:trPr>
          <w:trHeight w:val="467"/>
        </w:trPr>
        <w:tc>
          <w:tcPr>
            <w:tcW w:w="1271" w:type="dxa"/>
            <w:shd w:val="clear" w:color="auto" w:fill="54616C"/>
          </w:tcPr>
          <w:p w14:paraId="1E0B6AE1" w14:textId="77777777" w:rsidR="00666B7D" w:rsidRPr="00666B7D" w:rsidRDefault="00666B7D" w:rsidP="00666B7D">
            <w:pPr>
              <w:jc w:val="center"/>
              <w:rPr>
                <w:b/>
                <w:color w:val="FFFFFF" w:themeColor="background1"/>
                <w:sz w:val="18"/>
                <w:szCs w:val="18"/>
              </w:rPr>
            </w:pPr>
            <w:r w:rsidRPr="00666B7D">
              <w:rPr>
                <w:b/>
                <w:color w:val="FFFFFF" w:themeColor="background1"/>
                <w:sz w:val="18"/>
                <w:szCs w:val="18"/>
              </w:rPr>
              <w:t>AIP Year</w:t>
            </w:r>
          </w:p>
        </w:tc>
        <w:tc>
          <w:tcPr>
            <w:tcW w:w="1276" w:type="dxa"/>
            <w:shd w:val="clear" w:color="auto" w:fill="54616C"/>
          </w:tcPr>
          <w:p w14:paraId="370FFCCD" w14:textId="77777777" w:rsidR="00666B7D" w:rsidRPr="00666B7D" w:rsidRDefault="00666B7D" w:rsidP="00666B7D">
            <w:pPr>
              <w:jc w:val="center"/>
              <w:rPr>
                <w:b/>
                <w:color w:val="FFFFFF" w:themeColor="background1"/>
                <w:sz w:val="18"/>
                <w:szCs w:val="18"/>
              </w:rPr>
            </w:pPr>
            <w:r w:rsidRPr="00666B7D">
              <w:rPr>
                <w:b/>
                <w:color w:val="FFFFFF" w:themeColor="background1"/>
                <w:sz w:val="18"/>
                <w:szCs w:val="18"/>
              </w:rPr>
              <w:t>Licensee submits populated PCFM</w:t>
            </w:r>
          </w:p>
        </w:tc>
        <w:tc>
          <w:tcPr>
            <w:tcW w:w="1276" w:type="dxa"/>
            <w:shd w:val="clear" w:color="auto" w:fill="54616C"/>
          </w:tcPr>
          <w:p w14:paraId="7B620DC0" w14:textId="77777777" w:rsidR="00666B7D" w:rsidRPr="00666B7D" w:rsidRDefault="00666B7D" w:rsidP="00666B7D">
            <w:pPr>
              <w:jc w:val="center"/>
              <w:rPr>
                <w:b/>
                <w:color w:val="FFFFFF" w:themeColor="background1"/>
                <w:sz w:val="18"/>
                <w:szCs w:val="18"/>
              </w:rPr>
            </w:pPr>
            <w:r w:rsidRPr="00666B7D">
              <w:rPr>
                <w:b/>
                <w:color w:val="FFFFFF" w:themeColor="background1"/>
                <w:sz w:val="18"/>
                <w:szCs w:val="18"/>
              </w:rPr>
              <w:t>PCFM functional change cut-off</w:t>
            </w:r>
          </w:p>
        </w:tc>
        <w:tc>
          <w:tcPr>
            <w:tcW w:w="1417" w:type="dxa"/>
            <w:shd w:val="clear" w:color="auto" w:fill="54616C"/>
          </w:tcPr>
          <w:p w14:paraId="7BB67150" w14:textId="77777777" w:rsidR="00666B7D" w:rsidRPr="00666B7D" w:rsidRDefault="00666B7D" w:rsidP="00666B7D">
            <w:pPr>
              <w:jc w:val="center"/>
              <w:rPr>
                <w:b/>
                <w:color w:val="FFFFFF" w:themeColor="background1"/>
                <w:sz w:val="18"/>
                <w:szCs w:val="18"/>
              </w:rPr>
            </w:pPr>
            <w:r w:rsidRPr="00666B7D">
              <w:rPr>
                <w:b/>
                <w:color w:val="FFFFFF" w:themeColor="background1"/>
                <w:sz w:val="18"/>
                <w:szCs w:val="18"/>
              </w:rPr>
              <w:t>Regulatory reporting information cut-off</w:t>
            </w:r>
          </w:p>
        </w:tc>
        <w:tc>
          <w:tcPr>
            <w:tcW w:w="1678" w:type="dxa"/>
            <w:shd w:val="clear" w:color="auto" w:fill="54616C"/>
          </w:tcPr>
          <w:p w14:paraId="2125FFED" w14:textId="656F4312" w:rsidR="00666B7D" w:rsidRPr="00666B7D" w:rsidRDefault="00666B7D" w:rsidP="00D10478">
            <w:pPr>
              <w:jc w:val="center"/>
              <w:rPr>
                <w:b/>
                <w:color w:val="FFFFFF" w:themeColor="background1"/>
                <w:sz w:val="18"/>
                <w:szCs w:val="18"/>
              </w:rPr>
            </w:pPr>
            <w:r w:rsidRPr="00666B7D">
              <w:rPr>
                <w:b/>
                <w:color w:val="FFFFFF" w:themeColor="background1"/>
                <w:sz w:val="18"/>
                <w:szCs w:val="18"/>
              </w:rPr>
              <w:t>Notice of proposed Variable Value revisions by</w:t>
            </w:r>
          </w:p>
        </w:tc>
        <w:tc>
          <w:tcPr>
            <w:tcW w:w="1271" w:type="dxa"/>
            <w:shd w:val="clear" w:color="auto" w:fill="54616C"/>
          </w:tcPr>
          <w:p w14:paraId="49D7F64C" w14:textId="1AB25783" w:rsidR="00666B7D" w:rsidRPr="00666B7D" w:rsidRDefault="004E6121" w:rsidP="00666B7D">
            <w:pPr>
              <w:jc w:val="center"/>
              <w:rPr>
                <w:b/>
                <w:color w:val="FFFFFF" w:themeColor="background1"/>
                <w:sz w:val="18"/>
                <w:szCs w:val="18"/>
              </w:rPr>
            </w:pPr>
            <w:r>
              <w:rPr>
                <w:b/>
                <w:color w:val="FFFFFF" w:themeColor="background1"/>
                <w:sz w:val="18"/>
                <w:szCs w:val="18"/>
              </w:rPr>
              <w:t xml:space="preserve">AIP completed and ARt and SOARt </w:t>
            </w:r>
            <w:r w:rsidR="00666B7D" w:rsidRPr="00666B7D">
              <w:rPr>
                <w:b/>
                <w:color w:val="FFFFFF" w:themeColor="background1"/>
                <w:sz w:val="18"/>
                <w:szCs w:val="18"/>
              </w:rPr>
              <w:t>published by</w:t>
            </w:r>
          </w:p>
        </w:tc>
        <w:tc>
          <w:tcPr>
            <w:tcW w:w="1325" w:type="dxa"/>
            <w:shd w:val="clear" w:color="auto" w:fill="54616C"/>
          </w:tcPr>
          <w:p w14:paraId="7D109B38" w14:textId="32399BB2" w:rsidR="00666B7D" w:rsidRPr="00666B7D" w:rsidRDefault="00666B7D" w:rsidP="00666B7D">
            <w:pPr>
              <w:jc w:val="center"/>
              <w:rPr>
                <w:b/>
                <w:color w:val="FFFFFF" w:themeColor="background1"/>
                <w:sz w:val="18"/>
                <w:szCs w:val="18"/>
              </w:rPr>
            </w:pPr>
            <w:r w:rsidRPr="00666B7D">
              <w:rPr>
                <w:b/>
                <w:color w:val="FFFFFF" w:themeColor="background1"/>
                <w:sz w:val="18"/>
                <w:szCs w:val="18"/>
              </w:rPr>
              <w:t>Regulatory Year t in which ARt</w:t>
            </w:r>
            <w:r w:rsidR="004E6121">
              <w:rPr>
                <w:b/>
                <w:color w:val="FFFFFF" w:themeColor="background1"/>
                <w:sz w:val="18"/>
                <w:szCs w:val="18"/>
              </w:rPr>
              <w:t xml:space="preserve"> and SOARt</w:t>
            </w:r>
            <w:r w:rsidRPr="00666B7D">
              <w:rPr>
                <w:b/>
                <w:color w:val="FFFFFF" w:themeColor="background1"/>
                <w:sz w:val="18"/>
                <w:szCs w:val="18"/>
              </w:rPr>
              <w:t xml:space="preserve"> applies</w:t>
            </w:r>
          </w:p>
        </w:tc>
      </w:tr>
      <w:tr w:rsidR="00666B7D" w:rsidRPr="00666B7D" w14:paraId="1F51C803" w14:textId="77777777" w:rsidTr="00F05E5F">
        <w:trPr>
          <w:trHeight w:val="350"/>
        </w:trPr>
        <w:tc>
          <w:tcPr>
            <w:tcW w:w="1271" w:type="dxa"/>
          </w:tcPr>
          <w:p w14:paraId="399C4392" w14:textId="77777777" w:rsidR="00666B7D" w:rsidRPr="00666B7D" w:rsidRDefault="00666B7D" w:rsidP="00666B7D">
            <w:pPr>
              <w:jc w:val="center"/>
              <w:rPr>
                <w:color w:val="848484"/>
                <w:szCs w:val="20"/>
              </w:rPr>
            </w:pPr>
            <w:r w:rsidRPr="00666B7D">
              <w:rPr>
                <w:color w:val="848484"/>
                <w:szCs w:val="20"/>
              </w:rPr>
              <w:t>Nov-2021</w:t>
            </w:r>
          </w:p>
        </w:tc>
        <w:tc>
          <w:tcPr>
            <w:tcW w:w="1276" w:type="dxa"/>
          </w:tcPr>
          <w:p w14:paraId="3AD90C1C" w14:textId="77777777" w:rsidR="00666B7D" w:rsidRPr="00666B7D" w:rsidRDefault="00666B7D" w:rsidP="00666B7D">
            <w:pPr>
              <w:jc w:val="center"/>
              <w:rPr>
                <w:color w:val="848484"/>
                <w:szCs w:val="20"/>
              </w:rPr>
            </w:pPr>
            <w:r w:rsidRPr="00666B7D">
              <w:rPr>
                <w:color w:val="848484"/>
                <w:szCs w:val="20"/>
              </w:rPr>
              <w:t>31 Jul 21</w:t>
            </w:r>
          </w:p>
        </w:tc>
        <w:tc>
          <w:tcPr>
            <w:tcW w:w="1276" w:type="dxa"/>
          </w:tcPr>
          <w:p w14:paraId="33B26BD5" w14:textId="05FEBB52" w:rsidR="00666B7D" w:rsidRPr="00666B7D" w:rsidRDefault="00666B7D" w:rsidP="005D2C8C">
            <w:pPr>
              <w:jc w:val="center"/>
              <w:rPr>
                <w:color w:val="848484"/>
                <w:szCs w:val="20"/>
              </w:rPr>
            </w:pPr>
            <w:r w:rsidRPr="00666B7D">
              <w:rPr>
                <w:color w:val="848484"/>
                <w:szCs w:val="20"/>
              </w:rPr>
              <w:t xml:space="preserve">01 </w:t>
            </w:r>
            <w:r w:rsidR="005D2C8C">
              <w:rPr>
                <w:color w:val="848484"/>
                <w:szCs w:val="20"/>
              </w:rPr>
              <w:t>May</w:t>
            </w:r>
            <w:r w:rsidRPr="00666B7D">
              <w:rPr>
                <w:color w:val="848484"/>
                <w:szCs w:val="20"/>
              </w:rPr>
              <w:t xml:space="preserve"> 21</w:t>
            </w:r>
          </w:p>
        </w:tc>
        <w:tc>
          <w:tcPr>
            <w:tcW w:w="1417" w:type="dxa"/>
          </w:tcPr>
          <w:p w14:paraId="5EDFA62A" w14:textId="77777777" w:rsidR="00666B7D" w:rsidRPr="00666B7D" w:rsidRDefault="00666B7D" w:rsidP="00666B7D">
            <w:pPr>
              <w:jc w:val="center"/>
              <w:rPr>
                <w:color w:val="848484"/>
                <w:szCs w:val="20"/>
              </w:rPr>
            </w:pPr>
            <w:r w:rsidRPr="00666B7D">
              <w:rPr>
                <w:color w:val="848484"/>
                <w:szCs w:val="20"/>
              </w:rPr>
              <w:t>31 Oct 21</w:t>
            </w:r>
          </w:p>
        </w:tc>
        <w:tc>
          <w:tcPr>
            <w:tcW w:w="1678" w:type="dxa"/>
          </w:tcPr>
          <w:p w14:paraId="44F686A7" w14:textId="77777777" w:rsidR="00666B7D" w:rsidRPr="00666B7D" w:rsidRDefault="00666B7D" w:rsidP="00666B7D">
            <w:pPr>
              <w:jc w:val="center"/>
              <w:rPr>
                <w:color w:val="848484"/>
                <w:szCs w:val="20"/>
              </w:rPr>
            </w:pPr>
            <w:r w:rsidRPr="00666B7D">
              <w:rPr>
                <w:color w:val="848484"/>
                <w:szCs w:val="20"/>
              </w:rPr>
              <w:t>15 Nov 21</w:t>
            </w:r>
          </w:p>
        </w:tc>
        <w:tc>
          <w:tcPr>
            <w:tcW w:w="1271" w:type="dxa"/>
          </w:tcPr>
          <w:p w14:paraId="40989600" w14:textId="77777777" w:rsidR="00666B7D" w:rsidRPr="00666B7D" w:rsidRDefault="00666B7D" w:rsidP="00666B7D">
            <w:pPr>
              <w:jc w:val="center"/>
              <w:rPr>
                <w:color w:val="848484"/>
                <w:szCs w:val="20"/>
              </w:rPr>
            </w:pPr>
            <w:r w:rsidRPr="00666B7D">
              <w:rPr>
                <w:color w:val="848484"/>
                <w:szCs w:val="20"/>
              </w:rPr>
              <w:t>30 Nov 21</w:t>
            </w:r>
          </w:p>
        </w:tc>
        <w:tc>
          <w:tcPr>
            <w:tcW w:w="1325" w:type="dxa"/>
          </w:tcPr>
          <w:p w14:paraId="38BF55F7" w14:textId="77777777" w:rsidR="00666B7D" w:rsidRPr="00666B7D" w:rsidRDefault="00666B7D" w:rsidP="00666B7D">
            <w:pPr>
              <w:jc w:val="center"/>
              <w:rPr>
                <w:color w:val="848484"/>
                <w:szCs w:val="20"/>
              </w:rPr>
            </w:pPr>
            <w:r w:rsidRPr="00666B7D">
              <w:rPr>
                <w:color w:val="848484"/>
                <w:szCs w:val="20"/>
              </w:rPr>
              <w:t>2022/23</w:t>
            </w:r>
          </w:p>
        </w:tc>
      </w:tr>
      <w:tr w:rsidR="00666B7D" w:rsidRPr="00666B7D" w14:paraId="05B9E8C6" w14:textId="77777777" w:rsidTr="00F05E5F">
        <w:trPr>
          <w:trHeight w:val="350"/>
        </w:trPr>
        <w:tc>
          <w:tcPr>
            <w:tcW w:w="1271" w:type="dxa"/>
          </w:tcPr>
          <w:p w14:paraId="1F72E86B" w14:textId="77777777" w:rsidR="00666B7D" w:rsidRPr="00666B7D" w:rsidRDefault="00666B7D" w:rsidP="00666B7D">
            <w:pPr>
              <w:jc w:val="center"/>
              <w:rPr>
                <w:color w:val="848484"/>
                <w:szCs w:val="20"/>
              </w:rPr>
            </w:pPr>
            <w:r w:rsidRPr="00666B7D">
              <w:rPr>
                <w:color w:val="848484"/>
                <w:szCs w:val="20"/>
              </w:rPr>
              <w:t>Nov-2022</w:t>
            </w:r>
          </w:p>
        </w:tc>
        <w:tc>
          <w:tcPr>
            <w:tcW w:w="1276" w:type="dxa"/>
          </w:tcPr>
          <w:p w14:paraId="164B15BC" w14:textId="77777777" w:rsidR="00666B7D" w:rsidRPr="00666B7D" w:rsidRDefault="00666B7D" w:rsidP="00666B7D">
            <w:pPr>
              <w:jc w:val="center"/>
              <w:rPr>
                <w:color w:val="848484"/>
                <w:szCs w:val="20"/>
              </w:rPr>
            </w:pPr>
            <w:r w:rsidRPr="00666B7D">
              <w:rPr>
                <w:color w:val="848484"/>
                <w:szCs w:val="20"/>
              </w:rPr>
              <w:t>31 Jul 22</w:t>
            </w:r>
          </w:p>
        </w:tc>
        <w:tc>
          <w:tcPr>
            <w:tcW w:w="1276" w:type="dxa"/>
          </w:tcPr>
          <w:p w14:paraId="598D7E00" w14:textId="3E66BA49" w:rsidR="00666B7D" w:rsidRPr="00666B7D" w:rsidRDefault="00666B7D" w:rsidP="005D2C8C">
            <w:pPr>
              <w:jc w:val="center"/>
              <w:rPr>
                <w:color w:val="848484"/>
                <w:szCs w:val="20"/>
              </w:rPr>
            </w:pPr>
            <w:r w:rsidRPr="00666B7D">
              <w:rPr>
                <w:color w:val="848484"/>
                <w:szCs w:val="20"/>
              </w:rPr>
              <w:t xml:space="preserve">01 </w:t>
            </w:r>
            <w:r w:rsidR="005D2C8C">
              <w:rPr>
                <w:color w:val="848484"/>
                <w:szCs w:val="20"/>
              </w:rPr>
              <w:t>May</w:t>
            </w:r>
            <w:r w:rsidRPr="00666B7D">
              <w:rPr>
                <w:color w:val="848484"/>
                <w:szCs w:val="20"/>
              </w:rPr>
              <w:t xml:space="preserve"> 22</w:t>
            </w:r>
          </w:p>
        </w:tc>
        <w:tc>
          <w:tcPr>
            <w:tcW w:w="1417" w:type="dxa"/>
          </w:tcPr>
          <w:p w14:paraId="2427A263" w14:textId="77777777" w:rsidR="00666B7D" w:rsidRPr="00666B7D" w:rsidRDefault="00666B7D" w:rsidP="00666B7D">
            <w:pPr>
              <w:jc w:val="center"/>
              <w:rPr>
                <w:color w:val="848484"/>
                <w:szCs w:val="20"/>
              </w:rPr>
            </w:pPr>
            <w:r w:rsidRPr="00666B7D">
              <w:rPr>
                <w:color w:val="848484"/>
                <w:szCs w:val="20"/>
              </w:rPr>
              <w:t>31 Oct 22</w:t>
            </w:r>
          </w:p>
        </w:tc>
        <w:tc>
          <w:tcPr>
            <w:tcW w:w="1678" w:type="dxa"/>
          </w:tcPr>
          <w:p w14:paraId="1F8D8862" w14:textId="77777777" w:rsidR="00666B7D" w:rsidRPr="00666B7D" w:rsidRDefault="00666B7D" w:rsidP="00666B7D">
            <w:pPr>
              <w:jc w:val="center"/>
              <w:rPr>
                <w:color w:val="848484"/>
                <w:szCs w:val="20"/>
              </w:rPr>
            </w:pPr>
            <w:r w:rsidRPr="00666B7D">
              <w:rPr>
                <w:color w:val="848484"/>
                <w:szCs w:val="20"/>
              </w:rPr>
              <w:t>15 Nov 22</w:t>
            </w:r>
          </w:p>
        </w:tc>
        <w:tc>
          <w:tcPr>
            <w:tcW w:w="1271" w:type="dxa"/>
          </w:tcPr>
          <w:p w14:paraId="13B5D7F8" w14:textId="77777777" w:rsidR="00666B7D" w:rsidRPr="00666B7D" w:rsidRDefault="00666B7D" w:rsidP="00666B7D">
            <w:pPr>
              <w:jc w:val="center"/>
              <w:rPr>
                <w:color w:val="848484"/>
                <w:szCs w:val="20"/>
              </w:rPr>
            </w:pPr>
            <w:r w:rsidRPr="00666B7D">
              <w:rPr>
                <w:color w:val="848484"/>
                <w:szCs w:val="20"/>
              </w:rPr>
              <w:t>30 Nov 22</w:t>
            </w:r>
          </w:p>
        </w:tc>
        <w:tc>
          <w:tcPr>
            <w:tcW w:w="1325" w:type="dxa"/>
          </w:tcPr>
          <w:p w14:paraId="422AF9B2" w14:textId="77777777" w:rsidR="00666B7D" w:rsidRPr="00666B7D" w:rsidRDefault="00666B7D" w:rsidP="00666B7D">
            <w:pPr>
              <w:jc w:val="center"/>
              <w:rPr>
                <w:color w:val="848484"/>
                <w:szCs w:val="20"/>
              </w:rPr>
            </w:pPr>
            <w:r w:rsidRPr="00666B7D">
              <w:rPr>
                <w:color w:val="848484"/>
                <w:szCs w:val="20"/>
              </w:rPr>
              <w:t>2023/24</w:t>
            </w:r>
          </w:p>
        </w:tc>
      </w:tr>
      <w:tr w:rsidR="00666B7D" w:rsidRPr="00666B7D" w14:paraId="38575F19" w14:textId="77777777" w:rsidTr="00F05E5F">
        <w:trPr>
          <w:trHeight w:val="350"/>
        </w:trPr>
        <w:tc>
          <w:tcPr>
            <w:tcW w:w="1271" w:type="dxa"/>
          </w:tcPr>
          <w:p w14:paraId="4823B5DE" w14:textId="77777777" w:rsidR="00666B7D" w:rsidRPr="00666B7D" w:rsidRDefault="00666B7D" w:rsidP="00666B7D">
            <w:pPr>
              <w:jc w:val="center"/>
              <w:rPr>
                <w:color w:val="848484"/>
                <w:szCs w:val="20"/>
              </w:rPr>
            </w:pPr>
            <w:r w:rsidRPr="00666B7D">
              <w:rPr>
                <w:color w:val="848484"/>
                <w:szCs w:val="20"/>
              </w:rPr>
              <w:t>Nov-2023</w:t>
            </w:r>
          </w:p>
        </w:tc>
        <w:tc>
          <w:tcPr>
            <w:tcW w:w="1276" w:type="dxa"/>
          </w:tcPr>
          <w:p w14:paraId="1D04D97F" w14:textId="77777777" w:rsidR="00666B7D" w:rsidRPr="00666B7D" w:rsidRDefault="00666B7D" w:rsidP="00666B7D">
            <w:pPr>
              <w:jc w:val="center"/>
              <w:rPr>
                <w:color w:val="848484"/>
                <w:szCs w:val="20"/>
              </w:rPr>
            </w:pPr>
            <w:r w:rsidRPr="00666B7D">
              <w:rPr>
                <w:color w:val="848484"/>
                <w:szCs w:val="20"/>
              </w:rPr>
              <w:t>31 Jul 23</w:t>
            </w:r>
          </w:p>
        </w:tc>
        <w:tc>
          <w:tcPr>
            <w:tcW w:w="1276" w:type="dxa"/>
          </w:tcPr>
          <w:p w14:paraId="5E189A6D" w14:textId="2A0281AF" w:rsidR="00666B7D" w:rsidRPr="00666B7D" w:rsidRDefault="00666B7D" w:rsidP="005D2C8C">
            <w:pPr>
              <w:jc w:val="center"/>
              <w:rPr>
                <w:color w:val="848484"/>
                <w:szCs w:val="20"/>
              </w:rPr>
            </w:pPr>
            <w:r w:rsidRPr="00666B7D">
              <w:rPr>
                <w:color w:val="848484"/>
                <w:szCs w:val="20"/>
              </w:rPr>
              <w:t xml:space="preserve">01 </w:t>
            </w:r>
            <w:r w:rsidR="005D2C8C">
              <w:rPr>
                <w:color w:val="848484"/>
                <w:szCs w:val="20"/>
              </w:rPr>
              <w:t>May</w:t>
            </w:r>
            <w:r w:rsidRPr="00666B7D">
              <w:rPr>
                <w:color w:val="848484"/>
                <w:szCs w:val="20"/>
              </w:rPr>
              <w:t xml:space="preserve"> 23</w:t>
            </w:r>
          </w:p>
        </w:tc>
        <w:tc>
          <w:tcPr>
            <w:tcW w:w="1417" w:type="dxa"/>
          </w:tcPr>
          <w:p w14:paraId="70E937C3" w14:textId="77777777" w:rsidR="00666B7D" w:rsidRPr="00666B7D" w:rsidRDefault="00666B7D" w:rsidP="00666B7D">
            <w:pPr>
              <w:jc w:val="center"/>
              <w:rPr>
                <w:color w:val="848484"/>
                <w:szCs w:val="20"/>
              </w:rPr>
            </w:pPr>
            <w:r w:rsidRPr="00666B7D">
              <w:rPr>
                <w:color w:val="848484"/>
                <w:szCs w:val="20"/>
              </w:rPr>
              <w:t>31 Oct 23</w:t>
            </w:r>
          </w:p>
        </w:tc>
        <w:tc>
          <w:tcPr>
            <w:tcW w:w="1678" w:type="dxa"/>
          </w:tcPr>
          <w:p w14:paraId="3E0D30D2" w14:textId="77777777" w:rsidR="00666B7D" w:rsidRPr="00666B7D" w:rsidRDefault="00666B7D" w:rsidP="00666B7D">
            <w:pPr>
              <w:jc w:val="center"/>
              <w:rPr>
                <w:color w:val="848484"/>
                <w:szCs w:val="20"/>
              </w:rPr>
            </w:pPr>
            <w:r w:rsidRPr="00666B7D">
              <w:rPr>
                <w:color w:val="848484"/>
                <w:szCs w:val="20"/>
              </w:rPr>
              <w:t>15 Nov 23</w:t>
            </w:r>
          </w:p>
        </w:tc>
        <w:tc>
          <w:tcPr>
            <w:tcW w:w="1271" w:type="dxa"/>
          </w:tcPr>
          <w:p w14:paraId="1B16C13B" w14:textId="77777777" w:rsidR="00666B7D" w:rsidRPr="00666B7D" w:rsidRDefault="00666B7D" w:rsidP="00666B7D">
            <w:pPr>
              <w:jc w:val="center"/>
              <w:rPr>
                <w:color w:val="848484"/>
                <w:szCs w:val="20"/>
              </w:rPr>
            </w:pPr>
            <w:r w:rsidRPr="00666B7D">
              <w:rPr>
                <w:color w:val="848484"/>
                <w:szCs w:val="20"/>
              </w:rPr>
              <w:t>30 Nov 23</w:t>
            </w:r>
          </w:p>
        </w:tc>
        <w:tc>
          <w:tcPr>
            <w:tcW w:w="1325" w:type="dxa"/>
          </w:tcPr>
          <w:p w14:paraId="52FFBF36" w14:textId="77777777" w:rsidR="00666B7D" w:rsidRPr="00666B7D" w:rsidRDefault="00666B7D" w:rsidP="00666B7D">
            <w:pPr>
              <w:jc w:val="center"/>
              <w:rPr>
                <w:color w:val="848484"/>
                <w:szCs w:val="20"/>
              </w:rPr>
            </w:pPr>
            <w:r w:rsidRPr="00666B7D">
              <w:rPr>
                <w:color w:val="848484"/>
                <w:szCs w:val="20"/>
              </w:rPr>
              <w:t>2024/25</w:t>
            </w:r>
          </w:p>
        </w:tc>
      </w:tr>
      <w:tr w:rsidR="00666B7D" w:rsidRPr="00666B7D" w14:paraId="0BF7FF4B" w14:textId="77777777" w:rsidTr="00F05E5F">
        <w:trPr>
          <w:trHeight w:val="350"/>
        </w:trPr>
        <w:tc>
          <w:tcPr>
            <w:tcW w:w="1271" w:type="dxa"/>
          </w:tcPr>
          <w:p w14:paraId="0AE80BD1" w14:textId="77777777" w:rsidR="00666B7D" w:rsidRPr="00666B7D" w:rsidRDefault="00666B7D" w:rsidP="00666B7D">
            <w:pPr>
              <w:jc w:val="center"/>
              <w:rPr>
                <w:color w:val="848484"/>
                <w:szCs w:val="20"/>
              </w:rPr>
            </w:pPr>
            <w:r w:rsidRPr="00666B7D">
              <w:rPr>
                <w:color w:val="848484"/>
                <w:szCs w:val="20"/>
              </w:rPr>
              <w:t>Nov-2024</w:t>
            </w:r>
          </w:p>
        </w:tc>
        <w:tc>
          <w:tcPr>
            <w:tcW w:w="1276" w:type="dxa"/>
          </w:tcPr>
          <w:p w14:paraId="0319FA37" w14:textId="77777777" w:rsidR="00666B7D" w:rsidRPr="00666B7D" w:rsidRDefault="00666B7D" w:rsidP="00666B7D">
            <w:pPr>
              <w:jc w:val="center"/>
              <w:rPr>
                <w:color w:val="848484"/>
                <w:szCs w:val="20"/>
              </w:rPr>
            </w:pPr>
            <w:r w:rsidRPr="00666B7D">
              <w:rPr>
                <w:color w:val="848484"/>
                <w:szCs w:val="20"/>
              </w:rPr>
              <w:t>31 Jul 24</w:t>
            </w:r>
          </w:p>
        </w:tc>
        <w:tc>
          <w:tcPr>
            <w:tcW w:w="1276" w:type="dxa"/>
          </w:tcPr>
          <w:p w14:paraId="16A0C6AE" w14:textId="4ECEAE32" w:rsidR="00666B7D" w:rsidRPr="00666B7D" w:rsidRDefault="00666B7D" w:rsidP="005D2C8C">
            <w:pPr>
              <w:jc w:val="center"/>
              <w:rPr>
                <w:color w:val="848484"/>
                <w:szCs w:val="20"/>
              </w:rPr>
            </w:pPr>
            <w:r w:rsidRPr="00666B7D">
              <w:rPr>
                <w:color w:val="848484"/>
                <w:szCs w:val="20"/>
              </w:rPr>
              <w:t xml:space="preserve">01 </w:t>
            </w:r>
            <w:r w:rsidR="005D2C8C">
              <w:rPr>
                <w:color w:val="848484"/>
                <w:szCs w:val="20"/>
              </w:rPr>
              <w:t>May</w:t>
            </w:r>
            <w:r w:rsidRPr="00666B7D" w:rsidDel="00BB3191">
              <w:rPr>
                <w:color w:val="848484"/>
                <w:szCs w:val="20"/>
              </w:rPr>
              <w:t xml:space="preserve"> </w:t>
            </w:r>
            <w:r w:rsidRPr="00666B7D">
              <w:rPr>
                <w:color w:val="848484"/>
                <w:szCs w:val="20"/>
              </w:rPr>
              <w:t>24</w:t>
            </w:r>
          </w:p>
        </w:tc>
        <w:tc>
          <w:tcPr>
            <w:tcW w:w="1417" w:type="dxa"/>
          </w:tcPr>
          <w:p w14:paraId="30F2CB9E" w14:textId="77777777" w:rsidR="00666B7D" w:rsidRPr="00666B7D" w:rsidRDefault="00666B7D" w:rsidP="00666B7D">
            <w:pPr>
              <w:jc w:val="center"/>
              <w:rPr>
                <w:color w:val="848484"/>
                <w:szCs w:val="20"/>
              </w:rPr>
            </w:pPr>
            <w:r w:rsidRPr="00666B7D">
              <w:rPr>
                <w:color w:val="848484"/>
                <w:szCs w:val="20"/>
              </w:rPr>
              <w:t>31 Oct 24</w:t>
            </w:r>
          </w:p>
        </w:tc>
        <w:tc>
          <w:tcPr>
            <w:tcW w:w="1678" w:type="dxa"/>
          </w:tcPr>
          <w:p w14:paraId="6D7A4509" w14:textId="77777777" w:rsidR="00666B7D" w:rsidRPr="00666B7D" w:rsidRDefault="00666B7D" w:rsidP="00666B7D">
            <w:pPr>
              <w:jc w:val="center"/>
              <w:rPr>
                <w:color w:val="848484"/>
                <w:szCs w:val="20"/>
              </w:rPr>
            </w:pPr>
            <w:r w:rsidRPr="00666B7D">
              <w:rPr>
                <w:color w:val="848484"/>
                <w:szCs w:val="20"/>
              </w:rPr>
              <w:t>15 Nov 24</w:t>
            </w:r>
          </w:p>
        </w:tc>
        <w:tc>
          <w:tcPr>
            <w:tcW w:w="1271" w:type="dxa"/>
          </w:tcPr>
          <w:p w14:paraId="06B765E8" w14:textId="77777777" w:rsidR="00666B7D" w:rsidRPr="00666B7D" w:rsidRDefault="00666B7D" w:rsidP="00666B7D">
            <w:pPr>
              <w:jc w:val="center"/>
              <w:rPr>
                <w:color w:val="848484"/>
                <w:szCs w:val="20"/>
              </w:rPr>
            </w:pPr>
            <w:r w:rsidRPr="00666B7D">
              <w:rPr>
                <w:color w:val="848484"/>
                <w:szCs w:val="20"/>
              </w:rPr>
              <w:t>30 Nov 24</w:t>
            </w:r>
          </w:p>
        </w:tc>
        <w:tc>
          <w:tcPr>
            <w:tcW w:w="1325" w:type="dxa"/>
          </w:tcPr>
          <w:p w14:paraId="44CD1DAB" w14:textId="77777777" w:rsidR="00666B7D" w:rsidRPr="00666B7D" w:rsidRDefault="00666B7D" w:rsidP="00666B7D">
            <w:pPr>
              <w:jc w:val="center"/>
              <w:rPr>
                <w:color w:val="848484"/>
                <w:szCs w:val="20"/>
              </w:rPr>
            </w:pPr>
            <w:r w:rsidRPr="00666B7D">
              <w:rPr>
                <w:color w:val="848484"/>
                <w:szCs w:val="20"/>
              </w:rPr>
              <w:t>2025/26</w:t>
            </w:r>
          </w:p>
        </w:tc>
      </w:tr>
    </w:tbl>
    <w:p w14:paraId="44098F60" w14:textId="23E20365" w:rsidR="00666B7D" w:rsidRPr="00666B7D" w:rsidRDefault="00666B7D" w:rsidP="00666B7D">
      <w:pPr>
        <w:numPr>
          <w:ilvl w:val="1"/>
          <w:numId w:val="4"/>
        </w:numPr>
        <w:tabs>
          <w:tab w:val="clear" w:pos="1105"/>
          <w:tab w:val="num" w:pos="680"/>
        </w:tabs>
        <w:spacing w:before="360" w:after="360"/>
        <w:ind w:left="0"/>
        <w:rPr>
          <w:szCs w:val="20"/>
        </w:rPr>
      </w:pPr>
      <w:r w:rsidRPr="00666B7D">
        <w:rPr>
          <w:szCs w:val="20"/>
        </w:rPr>
        <w:t>Some financial adjustments provided for under the RIIO-</w:t>
      </w:r>
      <w:r>
        <w:rPr>
          <w:szCs w:val="20"/>
        </w:rPr>
        <w:t>GT2</w:t>
      </w:r>
      <w:r w:rsidRPr="00666B7D">
        <w:rPr>
          <w:szCs w:val="20"/>
        </w:rPr>
        <w:t xml:space="preserve"> Final Determinations will remain outstanding at the end of the Price Control Period, because relevant data will not be available in time for inclusion in the last AIP.  For example, adjustments under the Totex Incentive Mechanism relating to actual and allowed expenditure levels in Regulatory Years 2024/25 and 2025/26 will remain outstanding.  For the avoidance of doubt, adjustments of this type will be addressed as part of the close out of RIIO-2 or as part of the RIIO-G</w:t>
      </w:r>
      <w:r w:rsidR="00264A3D">
        <w:rPr>
          <w:szCs w:val="20"/>
        </w:rPr>
        <w:t>T</w:t>
      </w:r>
      <w:r w:rsidRPr="00666B7D">
        <w:rPr>
          <w:szCs w:val="20"/>
        </w:rPr>
        <w:t>3 price control arrangements.</w:t>
      </w:r>
    </w:p>
    <w:p w14:paraId="0B13A48C" w14:textId="010FE5D5" w:rsidR="00B87122" w:rsidRDefault="00B87122" w:rsidP="00423C8D">
      <w:pPr>
        <w:pStyle w:val="Sectiontitle"/>
      </w:pPr>
      <w:bookmarkStart w:id="77" w:name="_Ref40193922"/>
      <w:bookmarkStart w:id="78" w:name="_Toc49194306"/>
      <w:bookmarkStart w:id="79" w:name="_Toc49249226"/>
      <w:bookmarkStart w:id="80" w:name="_Toc52357091"/>
      <w:r>
        <w:lastRenderedPageBreak/>
        <w:t xml:space="preserve">The </w:t>
      </w:r>
      <w:r w:rsidR="00F41C2F">
        <w:t>GT2</w:t>
      </w:r>
      <w:r>
        <w:t xml:space="preserve"> Price Control Financial Model Variable Values</w:t>
      </w:r>
      <w:bookmarkEnd w:id="77"/>
      <w:bookmarkEnd w:id="78"/>
      <w:bookmarkEnd w:id="79"/>
      <w:bookmarkEnd w:id="80"/>
    </w:p>
    <w:p w14:paraId="16FADE41" w14:textId="4E525371" w:rsidR="003F67CA" w:rsidRDefault="00A11C09" w:rsidP="00F02D7B">
      <w:pPr>
        <w:pStyle w:val="Paragraph"/>
        <w:tabs>
          <w:tab w:val="clear" w:pos="1105"/>
          <w:tab w:val="num" w:pos="680"/>
        </w:tabs>
        <w:ind w:left="0"/>
      </w:pPr>
      <w:bookmarkStart w:id="81" w:name="_Toc284412126"/>
      <w:r>
        <w:t xml:space="preserve">This section lists </w:t>
      </w:r>
      <w:r w:rsidR="007D0BFA">
        <w:t xml:space="preserve">all </w:t>
      </w:r>
      <w:r>
        <w:t xml:space="preserve">the </w:t>
      </w:r>
      <w:r w:rsidR="00F41C2F">
        <w:t>GT2</w:t>
      </w:r>
      <w:r>
        <w:t xml:space="preserve"> Variable Values</w:t>
      </w:r>
      <w:r w:rsidR="00761E5E">
        <w:t xml:space="preserve"> (including the relevant Special Condition and </w:t>
      </w:r>
      <w:r w:rsidR="0026211B">
        <w:t>Associated Documents</w:t>
      </w:r>
      <w:r w:rsidR="00761E5E">
        <w:t xml:space="preserve">, where </w:t>
      </w:r>
      <w:r w:rsidR="0026211B">
        <w:t>relevant</w:t>
      </w:r>
      <w:r w:rsidR="00892D69">
        <w:t>, for each</w:t>
      </w:r>
      <w:r w:rsidR="00761E5E">
        <w:t>)</w:t>
      </w:r>
      <w:r w:rsidR="007D0BFA">
        <w:t xml:space="preserve">. </w:t>
      </w:r>
    </w:p>
    <w:p w14:paraId="30302F91" w14:textId="0B9F0053" w:rsidR="00467402" w:rsidRPr="00D33266" w:rsidRDefault="003F67CA" w:rsidP="000512D6">
      <w:pPr>
        <w:pStyle w:val="Heading2"/>
        <w:spacing w:line="360" w:lineRule="auto"/>
      </w:pPr>
      <w:bookmarkStart w:id="82" w:name="_Toc49194308"/>
      <w:bookmarkStart w:id="83" w:name="_Toc49249228"/>
      <w:bookmarkStart w:id="84" w:name="_Toc52357092"/>
      <w:r>
        <w:t>PCFM Variable Values</w:t>
      </w:r>
      <w:bookmarkEnd w:id="82"/>
      <w:bookmarkEnd w:id="83"/>
      <w:bookmarkEnd w:id="84"/>
    </w:p>
    <w:p w14:paraId="5ED58285" w14:textId="3B63D183" w:rsidR="00EA2FC9" w:rsidRDefault="00D66433" w:rsidP="00F56F19">
      <w:pPr>
        <w:pStyle w:val="Paragraph"/>
        <w:tabs>
          <w:tab w:val="clear" w:pos="1105"/>
          <w:tab w:val="num" w:pos="680"/>
        </w:tabs>
        <w:ind w:left="0"/>
      </w:pPr>
      <w:r w:rsidRPr="00D66433">
        <w:t xml:space="preserve">The Variable Values that can be revised </w:t>
      </w:r>
      <w:r w:rsidR="009B2033">
        <w:t xml:space="preserve">during AIPs </w:t>
      </w:r>
      <w:r w:rsidRPr="00D66433">
        <w:t xml:space="preserve">are set out in </w:t>
      </w:r>
      <w:r w:rsidR="008F1AC8">
        <w:t xml:space="preserve">Tables 3.1 and 3.2 </w:t>
      </w:r>
      <w:r>
        <w:t>below</w:t>
      </w:r>
      <w:r w:rsidR="002774E1">
        <w:t xml:space="preserve"> in respect of the licensee’s TO and SO activities respectively</w:t>
      </w:r>
      <w:r>
        <w:t>.</w:t>
      </w:r>
      <w:r w:rsidR="009B2033">
        <w:t xml:space="preserve"> </w:t>
      </w:r>
    </w:p>
    <w:p w14:paraId="3EA23E0D" w14:textId="74AB26C0" w:rsidR="002774E1" w:rsidRDefault="003C7601" w:rsidP="00F02D7B">
      <w:pPr>
        <w:pStyle w:val="Paragraph"/>
        <w:tabs>
          <w:tab w:val="clear" w:pos="1105"/>
          <w:tab w:val="num" w:pos="680"/>
        </w:tabs>
        <w:ind w:left="0"/>
      </w:pPr>
      <w:r>
        <w:t>For each Variable Value, the table</w:t>
      </w:r>
      <w:r w:rsidR="002774E1">
        <w:t>s</w:t>
      </w:r>
      <w:r>
        <w:t xml:space="preserve"> provide a description, cross</w:t>
      </w:r>
      <w:r w:rsidR="001F7608">
        <w:t>-</w:t>
      </w:r>
      <w:r>
        <w:t xml:space="preserve">references to the relevant Special Condition(s) (where appropriate), and details of Associated Documents (where relevant).  </w:t>
      </w:r>
      <w:r w:rsidR="002774E1">
        <w:t xml:space="preserve">They also </w:t>
      </w:r>
      <w:r>
        <w:t>identif</w:t>
      </w:r>
      <w:r w:rsidR="002774E1">
        <w:t>y the Variable Values for which further details are provided in subsequent sections of this handbook.  This includes the approaches to Variabl</w:t>
      </w:r>
      <w:r w:rsidR="00582B54">
        <w:t>e Values calculated by Ofgem (e</w:t>
      </w:r>
      <w:r w:rsidR="002774E1">
        <w:t xml:space="preserve">g cost of debt and real price effects) and details for some Variable Values in addition to that provided in Special Conditions </w:t>
      </w:r>
      <w:r w:rsidR="002E06A0">
        <w:t xml:space="preserve">(SpC) </w:t>
      </w:r>
      <w:r w:rsidR="002774E1">
        <w:t xml:space="preserve">and </w:t>
      </w:r>
      <w:r w:rsidR="00582B54">
        <w:t>other Associated Documents (eg</w:t>
      </w:r>
      <w:r w:rsidR="002774E1">
        <w:t xml:space="preserve"> taxation and pensions).</w:t>
      </w:r>
    </w:p>
    <w:p w14:paraId="7584E229" w14:textId="3E1EE416" w:rsidR="002B429F" w:rsidRDefault="00CC23B9" w:rsidP="003C7601">
      <w:pPr>
        <w:pStyle w:val="Heading3"/>
        <w:keepNext/>
        <w:spacing w:line="360" w:lineRule="auto"/>
      </w:pPr>
      <w:bookmarkStart w:id="85" w:name="_Toc49194309"/>
      <w:bookmarkStart w:id="86" w:name="_Toc49249229"/>
      <w:bookmarkStart w:id="87" w:name="_Toc52357093"/>
      <w:r>
        <w:t>Processing of different t</w:t>
      </w:r>
      <w:r w:rsidR="002B429F">
        <w:t>ypes of Variable Value</w:t>
      </w:r>
      <w:bookmarkEnd w:id="85"/>
      <w:bookmarkEnd w:id="86"/>
      <w:r w:rsidR="00007EDD">
        <w:t>s</w:t>
      </w:r>
      <w:bookmarkEnd w:id="87"/>
    </w:p>
    <w:p w14:paraId="57E376EA" w14:textId="2C19BDB1" w:rsidR="003C7601" w:rsidRDefault="008F1AC8" w:rsidP="00F02D7B">
      <w:pPr>
        <w:pStyle w:val="Paragraph"/>
        <w:tabs>
          <w:tab w:val="clear" w:pos="1105"/>
          <w:tab w:val="num" w:pos="680"/>
        </w:tabs>
        <w:ind w:left="0"/>
      </w:pPr>
      <w:r>
        <w:t xml:space="preserve">Tables 3.1 and 3.2 </w:t>
      </w:r>
      <w:r w:rsidR="003C7601">
        <w:t>present the Variable Values according to the different types, which reflect the components of revenue to which they relate, as follows:</w:t>
      </w:r>
    </w:p>
    <w:p w14:paraId="1DE31E75" w14:textId="57ADB75D" w:rsidR="00DD0A5B" w:rsidRDefault="00DD0A5B" w:rsidP="00DD0A5B">
      <w:pPr>
        <w:pStyle w:val="ParagrapghItalic"/>
        <w:spacing w:before="360"/>
      </w:pPr>
      <w:r>
        <w:t>Cost of capital - percentage</w:t>
      </w:r>
    </w:p>
    <w:p w14:paraId="6D0ACFDA" w14:textId="0E3169E9" w:rsidR="00DD0A5B" w:rsidRDefault="002774E1" w:rsidP="00F02D7B">
      <w:pPr>
        <w:pStyle w:val="Paragraph"/>
        <w:tabs>
          <w:tab w:val="clear" w:pos="1105"/>
          <w:tab w:val="num" w:pos="680"/>
        </w:tabs>
        <w:ind w:left="0"/>
      </w:pPr>
      <w:r>
        <w:t>This type of Variable V</w:t>
      </w:r>
      <w:r w:rsidR="00DD0A5B" w:rsidRPr="00DD0A5B">
        <w:t xml:space="preserve">alue affects the </w:t>
      </w:r>
      <w:r w:rsidR="008E669D">
        <w:t xml:space="preserve">allowance provided </w:t>
      </w:r>
      <w:r w:rsidR="00DD0A5B" w:rsidRPr="00DD0A5B">
        <w:t xml:space="preserve">to </w:t>
      </w:r>
      <w:r w:rsidR="008E669D">
        <w:t xml:space="preserve">the </w:t>
      </w:r>
      <w:r w:rsidR="00DD0A5B" w:rsidRPr="00DD0A5B">
        <w:t>licensee for financing their capital needs</w:t>
      </w:r>
      <w:r w:rsidR="008E669D">
        <w:t xml:space="preserve"> and contribute</w:t>
      </w:r>
      <w:r w:rsidR="00582B54">
        <w:t>s</w:t>
      </w:r>
      <w:r w:rsidR="008E669D">
        <w:t xml:space="preserve"> to Calculated Revenue indirectly</w:t>
      </w:r>
      <w:r w:rsidR="00DD0A5B" w:rsidRPr="00DD0A5B">
        <w:t>.</w:t>
      </w:r>
    </w:p>
    <w:p w14:paraId="49EB93CF" w14:textId="751D1D6B" w:rsidR="00CC23B9" w:rsidRDefault="005F175E" w:rsidP="00712E71">
      <w:pPr>
        <w:pStyle w:val="ParagrapghItalic"/>
        <w:spacing w:before="360"/>
      </w:pPr>
      <w:r>
        <w:t xml:space="preserve">Actual expenditure and </w:t>
      </w:r>
      <w:r w:rsidR="00754FDF">
        <w:t xml:space="preserve">totex </w:t>
      </w:r>
      <w:r>
        <w:t>allowances</w:t>
      </w:r>
    </w:p>
    <w:p w14:paraId="46FD55B1" w14:textId="7365F601" w:rsidR="007206ED" w:rsidRPr="007206ED" w:rsidRDefault="007206ED" w:rsidP="00F02D7B">
      <w:pPr>
        <w:pStyle w:val="Paragraph"/>
        <w:tabs>
          <w:tab w:val="clear" w:pos="1105"/>
          <w:tab w:val="num" w:pos="680"/>
        </w:tabs>
        <w:ind w:left="0"/>
      </w:pPr>
      <w:r w:rsidRPr="007206ED">
        <w:t xml:space="preserve">The following </w:t>
      </w:r>
      <w:r w:rsidR="00D35116">
        <w:t xml:space="preserve">types of </w:t>
      </w:r>
      <w:r w:rsidR="002774E1">
        <w:t>V</w:t>
      </w:r>
      <w:r w:rsidRPr="007206ED">
        <w:t xml:space="preserve">ariable </w:t>
      </w:r>
      <w:r w:rsidR="002774E1">
        <w:t>V</w:t>
      </w:r>
      <w:r w:rsidR="0021033A">
        <w:t xml:space="preserve">alues </w:t>
      </w:r>
      <w:r w:rsidR="00754FDF">
        <w:t>contribute to the calculation of the totex allowance</w:t>
      </w:r>
      <w:r w:rsidR="005F175E">
        <w:t>, through the Totex Incentive Mechanism</w:t>
      </w:r>
      <w:r w:rsidRPr="007206ED">
        <w:t xml:space="preserve">: </w:t>
      </w:r>
    </w:p>
    <w:p w14:paraId="7FCD51FF" w14:textId="77C47CA2" w:rsidR="007206ED" w:rsidRPr="007206ED" w:rsidRDefault="00582B54" w:rsidP="008F1AC8">
      <w:pPr>
        <w:pStyle w:val="Text-Numbered"/>
        <w:numPr>
          <w:ilvl w:val="0"/>
          <w:numId w:val="73"/>
        </w:numPr>
      </w:pPr>
      <w:r>
        <w:rPr>
          <w:szCs w:val="20"/>
        </w:rPr>
        <w:t>a</w:t>
      </w:r>
      <w:r w:rsidR="007206ED" w:rsidRPr="007206ED">
        <w:rPr>
          <w:szCs w:val="20"/>
        </w:rPr>
        <w:t xml:space="preserve">ctual </w:t>
      </w:r>
      <w:r w:rsidR="001A6543">
        <w:t>expenditure</w:t>
      </w:r>
    </w:p>
    <w:p w14:paraId="02CF96A8" w14:textId="18107F38" w:rsidR="007206ED" w:rsidRPr="007206ED" w:rsidRDefault="00582B54" w:rsidP="008F1AC8">
      <w:pPr>
        <w:pStyle w:val="Text-Numbered"/>
        <w:numPr>
          <w:ilvl w:val="0"/>
          <w:numId w:val="73"/>
        </w:numPr>
        <w:rPr>
          <w:szCs w:val="20"/>
        </w:rPr>
      </w:pPr>
      <w:r>
        <w:t>a</w:t>
      </w:r>
      <w:r w:rsidR="002E06A0">
        <w:t>djustment</w:t>
      </w:r>
      <w:r w:rsidR="00621AF9">
        <w:t>s</w:t>
      </w:r>
      <w:r w:rsidR="002E06A0">
        <w:t xml:space="preserve"> to totex allowances</w:t>
      </w:r>
    </w:p>
    <w:p w14:paraId="5417A514" w14:textId="36908E06" w:rsidR="007206ED" w:rsidRPr="007206ED" w:rsidRDefault="007206ED" w:rsidP="00F02D7B">
      <w:pPr>
        <w:pStyle w:val="Paragraph"/>
        <w:tabs>
          <w:tab w:val="clear" w:pos="1105"/>
          <w:tab w:val="num" w:pos="680"/>
        </w:tabs>
        <w:ind w:left="0"/>
      </w:pPr>
      <w:bookmarkStart w:id="88" w:name="_Ref49261290"/>
      <w:bookmarkStart w:id="89" w:name="_Ref49876120"/>
      <w:r w:rsidRPr="007206ED">
        <w:lastRenderedPageBreak/>
        <w:t xml:space="preserve">These </w:t>
      </w:r>
      <w:r w:rsidR="00695B16">
        <w:t>type</w:t>
      </w:r>
      <w:r w:rsidR="00374732">
        <w:t>s</w:t>
      </w:r>
      <w:r w:rsidR="00695B16">
        <w:t xml:space="preserve"> of </w:t>
      </w:r>
      <w:r w:rsidR="002774E1">
        <w:t>Variable V</w:t>
      </w:r>
      <w:r w:rsidRPr="007206ED">
        <w:t>alues are used in</w:t>
      </w:r>
      <w:r w:rsidR="00D16ED9">
        <w:t xml:space="preserve"> the</w:t>
      </w:r>
      <w:r w:rsidRPr="007206ED">
        <w:t xml:space="preserve"> Totex Incentive Mechanism to determine the amounts that should, subject to the Totex Capitalisation Rate for the licensee, be processed as:</w:t>
      </w:r>
      <w:bookmarkEnd w:id="88"/>
      <w:bookmarkEnd w:id="89"/>
    </w:p>
    <w:p w14:paraId="2A24C84F" w14:textId="0112A457" w:rsidR="007206ED" w:rsidRPr="007206ED" w:rsidRDefault="007206ED" w:rsidP="008F1AC8">
      <w:pPr>
        <w:pStyle w:val="Text-Numbered"/>
        <w:numPr>
          <w:ilvl w:val="0"/>
          <w:numId w:val="74"/>
        </w:numPr>
      </w:pPr>
      <w:r w:rsidRPr="007206ED">
        <w:t xml:space="preserve">Fast Money – flowing directly </w:t>
      </w:r>
      <w:r w:rsidR="00581A37">
        <w:t>in</w:t>
      </w:r>
      <w:r w:rsidRPr="007206ED">
        <w:t xml:space="preserve">to the Calculated Revenue </w:t>
      </w:r>
      <w:r w:rsidR="00083907">
        <w:t>(</w:t>
      </w:r>
      <w:r w:rsidR="00083907" w:rsidRPr="007206ED">
        <w:t>R</w:t>
      </w:r>
      <w:r w:rsidR="00083907">
        <w:rPr>
          <w:vertAlign w:val="subscript"/>
        </w:rPr>
        <w:t>t</w:t>
      </w:r>
      <w:r w:rsidR="00083907" w:rsidRPr="007206ED">
        <w:t xml:space="preserve">) </w:t>
      </w:r>
      <w:r w:rsidRPr="007206ED">
        <w:t xml:space="preserve">figure for the Regulatory Year to which the </w:t>
      </w:r>
      <w:r w:rsidRPr="007206ED">
        <w:rPr>
          <w:szCs w:val="20"/>
        </w:rPr>
        <w:t>amount relates</w:t>
      </w:r>
    </w:p>
    <w:p w14:paraId="60254295" w14:textId="2486A13B" w:rsidR="007206ED" w:rsidRPr="007206ED" w:rsidRDefault="007206ED" w:rsidP="008F1AC8">
      <w:pPr>
        <w:pStyle w:val="Text-Numbered"/>
        <w:numPr>
          <w:ilvl w:val="0"/>
          <w:numId w:val="74"/>
        </w:numPr>
      </w:pPr>
      <w:r w:rsidRPr="007206ED">
        <w:t xml:space="preserve">Slow Money – addition to the licensee’s RAV in the Regulatory Year to which the amount relates, </w:t>
      </w:r>
      <w:r w:rsidR="008E669D">
        <w:t xml:space="preserve">contributing indirectly to Calculated Revenue </w:t>
      </w:r>
      <w:r w:rsidRPr="007206ED">
        <w:t>through the return on RAV and depreciation over multiple Regulatory Years.</w:t>
      </w:r>
    </w:p>
    <w:p w14:paraId="35FFFA39" w14:textId="2CF5DF93" w:rsidR="000275CC" w:rsidRDefault="00827EF5" w:rsidP="00712E71">
      <w:pPr>
        <w:pStyle w:val="ParagrapghItalic"/>
        <w:spacing w:before="360"/>
      </w:pPr>
      <w:r>
        <w:t>Pass-through</w:t>
      </w:r>
      <w:r w:rsidR="00754FDF">
        <w:t xml:space="preserve"> expenditure</w:t>
      </w:r>
    </w:p>
    <w:p w14:paraId="237295A2" w14:textId="465AAC9F" w:rsidR="000275CC" w:rsidRDefault="002774E1" w:rsidP="00F02D7B">
      <w:pPr>
        <w:pStyle w:val="Paragraph"/>
        <w:tabs>
          <w:tab w:val="clear" w:pos="1105"/>
          <w:tab w:val="num" w:pos="680"/>
        </w:tabs>
        <w:ind w:left="0"/>
      </w:pPr>
      <w:r>
        <w:t>This type of Variable V</w:t>
      </w:r>
      <w:r w:rsidR="00374732">
        <w:t xml:space="preserve">alue </w:t>
      </w:r>
      <w:r w:rsidR="008E669D">
        <w:t xml:space="preserve">is allowed expenditure that flows directly </w:t>
      </w:r>
      <w:r w:rsidR="00581A37">
        <w:t>in</w:t>
      </w:r>
      <w:r w:rsidR="008E669D">
        <w:t>to Calculated Revenue (ie it is not used in the Totex Incentive Mechanism and there is no slow money component).</w:t>
      </w:r>
    </w:p>
    <w:p w14:paraId="67AFC36D" w14:textId="1491E3A0" w:rsidR="002774E1" w:rsidRDefault="00827EF5" w:rsidP="002774E1">
      <w:pPr>
        <w:pStyle w:val="ParagrapghItalic"/>
        <w:spacing w:before="360"/>
      </w:pPr>
      <w:r>
        <w:t>Innovation</w:t>
      </w:r>
    </w:p>
    <w:p w14:paraId="5CE91C9D" w14:textId="0EFAF1E7" w:rsidR="002774E1" w:rsidRDefault="002774E1" w:rsidP="002774E1">
      <w:pPr>
        <w:pStyle w:val="Paragraph"/>
        <w:tabs>
          <w:tab w:val="clear" w:pos="1105"/>
          <w:tab w:val="num" w:pos="680"/>
        </w:tabs>
        <w:ind w:left="0"/>
      </w:pPr>
      <w:r>
        <w:t>This type of Variable Value is revenue that flows directly into Calculated Revenue.</w:t>
      </w:r>
    </w:p>
    <w:p w14:paraId="29761407" w14:textId="1559C9DB" w:rsidR="00695B16" w:rsidRDefault="00695B16" w:rsidP="00712E71">
      <w:pPr>
        <w:pStyle w:val="ParagrapghItalic"/>
        <w:spacing w:before="360"/>
      </w:pPr>
      <w:r>
        <w:t>Output Delivery Incentives</w:t>
      </w:r>
    </w:p>
    <w:p w14:paraId="30A19B7E" w14:textId="6668AE01" w:rsidR="00695B16" w:rsidRDefault="002774E1" w:rsidP="00F02D7B">
      <w:pPr>
        <w:pStyle w:val="Paragraph"/>
        <w:tabs>
          <w:tab w:val="clear" w:pos="1105"/>
          <w:tab w:val="num" w:pos="680"/>
        </w:tabs>
        <w:ind w:left="0"/>
      </w:pPr>
      <w:r>
        <w:t>This type of Variable V</w:t>
      </w:r>
      <w:r w:rsidR="002239A4">
        <w:t xml:space="preserve">alue </w:t>
      </w:r>
      <w:r w:rsidR="00C97801">
        <w:t>penalises</w:t>
      </w:r>
      <w:r w:rsidR="002239A4">
        <w:t xml:space="preserve"> or rewards </w:t>
      </w:r>
      <w:r w:rsidR="00C97801">
        <w:t xml:space="preserve">licensees </w:t>
      </w:r>
      <w:r w:rsidR="002239A4">
        <w:t xml:space="preserve">for </w:t>
      </w:r>
      <w:r w:rsidR="00D16ED9">
        <w:t xml:space="preserve">incentive </w:t>
      </w:r>
      <w:r w:rsidR="002239A4">
        <w:t>performance</w:t>
      </w:r>
      <w:r w:rsidR="00D16ED9">
        <w:t xml:space="preserve"> </w:t>
      </w:r>
      <w:r w:rsidR="00C97801">
        <w:t>and</w:t>
      </w:r>
      <w:r w:rsidR="00581A37">
        <w:t xml:space="preserve"> </w:t>
      </w:r>
      <w:r w:rsidR="00D16ED9">
        <w:t>flow</w:t>
      </w:r>
      <w:r w:rsidR="00C97801">
        <w:t>s</w:t>
      </w:r>
      <w:r w:rsidR="002239A4">
        <w:t xml:space="preserve"> directly into Calculated Revenue.</w:t>
      </w:r>
    </w:p>
    <w:p w14:paraId="0AA01DA1" w14:textId="6A3D58A5" w:rsidR="00695B16" w:rsidRDefault="00695B16" w:rsidP="00712E71">
      <w:pPr>
        <w:pStyle w:val="ParagrapghItalic"/>
        <w:spacing w:before="360"/>
      </w:pPr>
      <w:r>
        <w:t>Tax allowance</w:t>
      </w:r>
    </w:p>
    <w:p w14:paraId="1401371E" w14:textId="00C12603" w:rsidR="00695B16" w:rsidRDefault="00581A37" w:rsidP="00F02D7B">
      <w:pPr>
        <w:pStyle w:val="Paragraph"/>
        <w:tabs>
          <w:tab w:val="clear" w:pos="1105"/>
          <w:tab w:val="num" w:pos="680"/>
        </w:tabs>
        <w:ind w:left="0"/>
      </w:pPr>
      <w:r>
        <w:t>Th</w:t>
      </w:r>
      <w:r w:rsidR="00682B68">
        <w:t xml:space="preserve">is type of </w:t>
      </w:r>
      <w:r w:rsidR="00856388">
        <w:t>V</w:t>
      </w:r>
      <w:r w:rsidR="00682B68">
        <w:t>ariable</w:t>
      </w:r>
      <w:r>
        <w:t xml:space="preserve"> </w:t>
      </w:r>
      <w:r w:rsidR="00856388">
        <w:t>V</w:t>
      </w:r>
      <w:r>
        <w:t>alue</w:t>
      </w:r>
      <w:r w:rsidR="00682B68">
        <w:t xml:space="preserve"> </w:t>
      </w:r>
      <w:r w:rsidR="00C97801">
        <w:t>relates</w:t>
      </w:r>
      <w:r w:rsidR="00856388">
        <w:t xml:space="preserve"> to</w:t>
      </w:r>
      <w:r w:rsidR="00C97801">
        <w:t xml:space="preserve"> taxation of the licensee and </w:t>
      </w:r>
      <w:r>
        <w:t>contribute</w:t>
      </w:r>
      <w:r w:rsidR="00C97801">
        <w:t>s</w:t>
      </w:r>
      <w:r>
        <w:t xml:space="preserve"> indirectly to Calculated Revenue or, in the case of TAXA</w:t>
      </w:r>
      <w:r w:rsidRPr="00581A37">
        <w:rPr>
          <w:vertAlign w:val="subscript"/>
        </w:rPr>
        <w:t>t</w:t>
      </w:r>
      <w:r>
        <w:t xml:space="preserve">, flows directly into Calculated Revenue.  </w:t>
      </w:r>
    </w:p>
    <w:p w14:paraId="0DC09B48" w14:textId="2C11656B" w:rsidR="00695B16" w:rsidRDefault="00695B16" w:rsidP="00712E71">
      <w:pPr>
        <w:pStyle w:val="ParagrapghItalic"/>
        <w:spacing w:before="360"/>
      </w:pPr>
      <w:r>
        <w:t>Legacy</w:t>
      </w:r>
    </w:p>
    <w:p w14:paraId="60E03B53" w14:textId="35476548" w:rsidR="00682B68" w:rsidRDefault="002774E1" w:rsidP="00F02D7B">
      <w:pPr>
        <w:pStyle w:val="Paragraph"/>
        <w:tabs>
          <w:tab w:val="clear" w:pos="1105"/>
          <w:tab w:val="num" w:pos="680"/>
        </w:tabs>
        <w:ind w:left="0"/>
      </w:pPr>
      <w:r>
        <w:t>This type of Variable V</w:t>
      </w:r>
      <w:r w:rsidR="00682B68">
        <w:t xml:space="preserve">alue relates to adjustments for previous price controls </w:t>
      </w:r>
      <w:r w:rsidR="002B4D63">
        <w:t>and comprises:</w:t>
      </w:r>
    </w:p>
    <w:p w14:paraId="7BD59DFA" w14:textId="008D06B1" w:rsidR="002B4D63" w:rsidRDefault="002B4D63" w:rsidP="008F1AC8">
      <w:pPr>
        <w:pStyle w:val="Text-Numbered"/>
        <w:numPr>
          <w:ilvl w:val="0"/>
          <w:numId w:val="75"/>
        </w:numPr>
      </w:pPr>
      <w:r w:rsidRPr="002B4D63">
        <w:rPr>
          <w:i/>
        </w:rPr>
        <w:t>Legacy Revenue adjustments</w:t>
      </w:r>
      <w:r w:rsidR="002774E1">
        <w:rPr>
          <w:i/>
        </w:rPr>
        <w:t xml:space="preserve"> (</w:t>
      </w:r>
      <w:r w:rsidR="0004021F">
        <w:rPr>
          <w:i/>
        </w:rPr>
        <w:t>LAR</w:t>
      </w:r>
      <w:r w:rsidR="002774E1">
        <w:rPr>
          <w:i/>
        </w:rPr>
        <w:t>)</w:t>
      </w:r>
      <w:r>
        <w:t>: Th</w:t>
      </w:r>
      <w:r w:rsidR="002774E1">
        <w:t>ese</w:t>
      </w:r>
      <w:r>
        <w:t xml:space="preserve"> adjustment</w:t>
      </w:r>
      <w:r w:rsidR="002774E1">
        <w:t>s flow</w:t>
      </w:r>
      <w:r>
        <w:t xml:space="preserve"> di</w:t>
      </w:r>
      <w:r w:rsidR="00582B54">
        <w:t>rectly into Calculated Revenue</w:t>
      </w:r>
    </w:p>
    <w:p w14:paraId="09611DF4" w14:textId="057F2EA1" w:rsidR="002B4D63" w:rsidRDefault="002B4D63" w:rsidP="008F1AC8">
      <w:pPr>
        <w:pStyle w:val="Text-Numbered"/>
        <w:numPr>
          <w:ilvl w:val="0"/>
          <w:numId w:val="75"/>
        </w:numPr>
      </w:pPr>
      <w:r w:rsidRPr="002B4D63">
        <w:rPr>
          <w:i/>
        </w:rPr>
        <w:lastRenderedPageBreak/>
        <w:t>Legacy RAV Additions Adjustment</w:t>
      </w:r>
      <w:r w:rsidR="0004021F">
        <w:rPr>
          <w:i/>
        </w:rPr>
        <w:t xml:space="preserve"> (LRAV)</w:t>
      </w:r>
      <w:r w:rsidR="002774E1">
        <w:t>: These Variable V</w:t>
      </w:r>
      <w:r>
        <w:t xml:space="preserve">alues contribute indirectly to Calculated Revenue.  </w:t>
      </w:r>
    </w:p>
    <w:p w14:paraId="5B51BBFF" w14:textId="4FD57068" w:rsidR="00695B16" w:rsidRDefault="00695B16" w:rsidP="00712E71">
      <w:pPr>
        <w:pStyle w:val="ParagrapghItalic"/>
        <w:spacing w:before="360"/>
      </w:pPr>
      <w:r>
        <w:t>Allowed revenue setting</w:t>
      </w:r>
    </w:p>
    <w:p w14:paraId="544719D0" w14:textId="7B13A35D" w:rsidR="008C6849" w:rsidRDefault="00856388" w:rsidP="00F02D7B">
      <w:pPr>
        <w:pStyle w:val="Paragraph"/>
        <w:tabs>
          <w:tab w:val="clear" w:pos="1105"/>
          <w:tab w:val="num" w:pos="680"/>
        </w:tabs>
        <w:ind w:left="0"/>
      </w:pPr>
      <w:r>
        <w:t>This type of Variable V</w:t>
      </w:r>
      <w:r w:rsidR="008C6849">
        <w:t>alue is used in the calculation of Allowed Revenue</w:t>
      </w:r>
      <w:r w:rsidR="00471143">
        <w:t xml:space="preserve"> (see paragraph </w:t>
      </w:r>
      <w:r w:rsidR="00471143">
        <w:fldChar w:fldCharType="begin"/>
      </w:r>
      <w:r w:rsidR="00471143">
        <w:instrText xml:space="preserve"> REF _Ref49876016 \r \h </w:instrText>
      </w:r>
      <w:r w:rsidR="00471143">
        <w:fldChar w:fldCharType="separate"/>
      </w:r>
      <w:r w:rsidR="00C21C6D">
        <w:t>2.7</w:t>
      </w:r>
      <w:r w:rsidR="00471143">
        <w:fldChar w:fldCharType="end"/>
      </w:r>
      <w:r w:rsidR="00471143">
        <w:t>) and comprises inflation indices, SONIA and Recovered Revenue</w:t>
      </w:r>
      <w:r w:rsidR="008C6849">
        <w:t xml:space="preserve">.  </w:t>
      </w:r>
    </w:p>
    <w:p w14:paraId="4A46349A" w14:textId="77777777" w:rsidR="00695B16" w:rsidRDefault="00695B16" w:rsidP="00712E71">
      <w:pPr>
        <w:pStyle w:val="ParagrapghItalic"/>
        <w:spacing w:before="360"/>
      </w:pPr>
    </w:p>
    <w:p w14:paraId="7C7156F6" w14:textId="47E214A6" w:rsidR="00DD5CC2" w:rsidRDefault="00DD5CC2" w:rsidP="00DD5CC2">
      <w:pPr>
        <w:pStyle w:val="Paragraph"/>
        <w:numPr>
          <w:ilvl w:val="0"/>
          <w:numId w:val="0"/>
        </w:numPr>
      </w:pPr>
    </w:p>
    <w:p w14:paraId="5BA3FCD0" w14:textId="77777777" w:rsidR="00DD5CC2" w:rsidRDefault="00DD5CC2" w:rsidP="00DD5CC2">
      <w:pPr>
        <w:pStyle w:val="Paragraph"/>
        <w:numPr>
          <w:ilvl w:val="0"/>
          <w:numId w:val="0"/>
        </w:numPr>
        <w:sectPr w:rsidR="00DD5CC2" w:rsidSect="0042209F">
          <w:headerReference w:type="even" r:id="rId20"/>
          <w:headerReference w:type="default" r:id="rId21"/>
          <w:footerReference w:type="even" r:id="rId22"/>
          <w:footerReference w:type="default" r:id="rId23"/>
          <w:headerReference w:type="first" r:id="rId24"/>
          <w:footerReference w:type="first" r:id="rId25"/>
          <w:pgSz w:w="11906" w:h="16838" w:code="9"/>
          <w:pgMar w:top="556" w:right="1191" w:bottom="1304" w:left="1191" w:header="1361" w:footer="284" w:gutter="0"/>
          <w:pgNumType w:start="1"/>
          <w:cols w:space="720"/>
          <w:titlePg/>
          <w:docGrid w:linePitch="360"/>
        </w:sectPr>
      </w:pPr>
    </w:p>
    <w:p w14:paraId="754DA8D5" w14:textId="079D16B1" w:rsidR="00D10478" w:rsidRDefault="00D10478" w:rsidP="00D10478">
      <w:pPr>
        <w:pStyle w:val="Heading"/>
      </w:pPr>
      <w:bookmarkStart w:id="90" w:name="_Ref49870177"/>
      <w:bookmarkStart w:id="91" w:name="_Ref49875606"/>
      <w:r>
        <w:lastRenderedPageBreak/>
        <w:t xml:space="preserve">Table </w:t>
      </w:r>
      <w:r w:rsidR="001F7608">
        <w:t>3.1</w:t>
      </w:r>
      <w:bookmarkEnd w:id="90"/>
      <w:bookmarkEnd w:id="91"/>
      <w:r>
        <w:t xml:space="preserve"> - GT2 Variable Values (VV)</w:t>
      </w:r>
      <w:r w:rsidR="002774E1">
        <w:t xml:space="preserve"> for TO</w:t>
      </w:r>
      <w:r w:rsidR="009A11ED">
        <w:rPr>
          <w:rStyle w:val="FootnoteReference"/>
        </w:rPr>
        <w:footnoteReference w:id="10"/>
      </w:r>
    </w:p>
    <w:tbl>
      <w:tblPr>
        <w:tblW w:w="9860" w:type="dxa"/>
        <w:tblLook w:val="04A0" w:firstRow="1" w:lastRow="0" w:firstColumn="1" w:lastColumn="0" w:noHBand="0" w:noVBand="1"/>
      </w:tblPr>
      <w:tblGrid>
        <w:gridCol w:w="1072"/>
        <w:gridCol w:w="3580"/>
        <w:gridCol w:w="1240"/>
        <w:gridCol w:w="3968"/>
      </w:tblGrid>
      <w:tr w:rsidR="006D1C12" w:rsidRPr="006D1C12" w14:paraId="7A0263CB" w14:textId="77777777" w:rsidTr="006D1C12">
        <w:trPr>
          <w:trHeight w:val="827"/>
          <w:tblHeader/>
        </w:trPr>
        <w:tc>
          <w:tcPr>
            <w:tcW w:w="820" w:type="dxa"/>
            <w:tcBorders>
              <w:top w:val="single" w:sz="8" w:space="0" w:color="B6BABE"/>
              <w:left w:val="single" w:sz="8" w:space="0" w:color="B6BABE"/>
              <w:bottom w:val="single" w:sz="8" w:space="0" w:color="B6BABE"/>
              <w:right w:val="single" w:sz="8" w:space="0" w:color="B6BABE"/>
            </w:tcBorders>
            <w:shd w:val="clear" w:color="000000" w:fill="54616C"/>
            <w:vAlign w:val="center"/>
            <w:hideMark/>
          </w:tcPr>
          <w:p w14:paraId="14C35D3A" w14:textId="77777777" w:rsidR="006D1C12" w:rsidRPr="006D1C12" w:rsidRDefault="006D1C12">
            <w:pPr>
              <w:spacing w:line="240" w:lineRule="auto"/>
              <w:jc w:val="center"/>
              <w:rPr>
                <w:b/>
                <w:bCs/>
                <w:color w:val="FFFFFF"/>
                <w:szCs w:val="20"/>
                <w:lang w:eastAsia="en-GB"/>
              </w:rPr>
            </w:pPr>
            <w:r w:rsidRPr="006D1C12">
              <w:rPr>
                <w:b/>
                <w:bCs/>
                <w:color w:val="FFFFFF"/>
                <w:szCs w:val="20"/>
                <w:lang w:eastAsia="en-GB"/>
              </w:rPr>
              <w:t>VV</w:t>
            </w:r>
          </w:p>
        </w:tc>
        <w:tc>
          <w:tcPr>
            <w:tcW w:w="3580" w:type="dxa"/>
            <w:tcBorders>
              <w:top w:val="single" w:sz="8" w:space="0" w:color="B6BABE"/>
              <w:left w:val="nil"/>
              <w:bottom w:val="single" w:sz="8" w:space="0" w:color="B6BABE"/>
              <w:right w:val="single" w:sz="8" w:space="0" w:color="B6BABE"/>
            </w:tcBorders>
            <w:shd w:val="clear" w:color="000000" w:fill="54616C"/>
            <w:vAlign w:val="center"/>
            <w:hideMark/>
          </w:tcPr>
          <w:p w14:paraId="25DC2F32" w14:textId="77777777" w:rsidR="006D1C12" w:rsidRPr="006D1C12" w:rsidRDefault="006D1C12" w:rsidP="006D1C12">
            <w:pPr>
              <w:spacing w:line="240" w:lineRule="auto"/>
              <w:jc w:val="center"/>
              <w:rPr>
                <w:b/>
                <w:bCs/>
                <w:color w:val="FFFFFF"/>
                <w:szCs w:val="20"/>
                <w:lang w:eastAsia="en-GB"/>
              </w:rPr>
            </w:pPr>
            <w:r w:rsidRPr="006D1C12">
              <w:rPr>
                <w:b/>
                <w:bCs/>
                <w:color w:val="FFFFFF"/>
                <w:szCs w:val="20"/>
                <w:lang w:eastAsia="en-GB"/>
              </w:rPr>
              <w:t>Description</w:t>
            </w:r>
          </w:p>
        </w:tc>
        <w:tc>
          <w:tcPr>
            <w:tcW w:w="1240" w:type="dxa"/>
            <w:tcBorders>
              <w:top w:val="single" w:sz="8" w:space="0" w:color="B6BABE"/>
              <w:left w:val="nil"/>
              <w:bottom w:val="single" w:sz="8" w:space="0" w:color="B6BABE"/>
              <w:right w:val="single" w:sz="8" w:space="0" w:color="B6BABE"/>
            </w:tcBorders>
            <w:shd w:val="clear" w:color="000000" w:fill="54616C"/>
            <w:vAlign w:val="center"/>
            <w:hideMark/>
          </w:tcPr>
          <w:p w14:paraId="0B0B62B1" w14:textId="77777777" w:rsidR="006D1C12" w:rsidRPr="006D1C12" w:rsidRDefault="006D1C12" w:rsidP="006D1C12">
            <w:pPr>
              <w:spacing w:line="240" w:lineRule="auto"/>
              <w:jc w:val="center"/>
              <w:rPr>
                <w:b/>
                <w:bCs/>
                <w:color w:val="FFFFFF"/>
                <w:szCs w:val="20"/>
                <w:lang w:eastAsia="en-GB"/>
              </w:rPr>
            </w:pPr>
            <w:r w:rsidRPr="006D1C12">
              <w:rPr>
                <w:b/>
                <w:bCs/>
                <w:color w:val="FFFFFF"/>
                <w:szCs w:val="20"/>
                <w:lang w:eastAsia="en-GB"/>
              </w:rPr>
              <w:t>SpC</w:t>
            </w:r>
          </w:p>
        </w:tc>
        <w:tc>
          <w:tcPr>
            <w:tcW w:w="4220" w:type="dxa"/>
            <w:tcBorders>
              <w:top w:val="single" w:sz="8" w:space="0" w:color="B6BABE"/>
              <w:left w:val="nil"/>
              <w:bottom w:val="single" w:sz="8" w:space="0" w:color="B6BABE"/>
              <w:right w:val="single" w:sz="8" w:space="0" w:color="B6BABE"/>
            </w:tcBorders>
            <w:shd w:val="clear" w:color="000000" w:fill="54616C"/>
            <w:vAlign w:val="center"/>
            <w:hideMark/>
          </w:tcPr>
          <w:p w14:paraId="4ED5C564" w14:textId="77777777" w:rsidR="006D1C12" w:rsidRPr="006D1C12" w:rsidRDefault="006D1C12" w:rsidP="006D1C12">
            <w:pPr>
              <w:spacing w:line="240" w:lineRule="auto"/>
              <w:jc w:val="center"/>
              <w:rPr>
                <w:b/>
                <w:bCs/>
                <w:color w:val="FFFFFF"/>
                <w:szCs w:val="20"/>
                <w:lang w:eastAsia="en-GB"/>
              </w:rPr>
            </w:pPr>
            <w:r w:rsidRPr="006D1C12">
              <w:rPr>
                <w:b/>
                <w:bCs/>
                <w:color w:val="FFFFFF"/>
                <w:szCs w:val="20"/>
                <w:lang w:eastAsia="en-GB"/>
              </w:rPr>
              <w:t>Cross-reference/ Associated Document</w:t>
            </w:r>
          </w:p>
        </w:tc>
      </w:tr>
      <w:tr w:rsidR="006D1C12" w:rsidRPr="006D1C12" w14:paraId="5596AFA1" w14:textId="77777777" w:rsidTr="006D1C12">
        <w:trPr>
          <w:trHeight w:val="263"/>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48BB541D"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Cost of Capital</w:t>
            </w:r>
          </w:p>
        </w:tc>
      </w:tr>
      <w:tr w:rsidR="006D1C12" w:rsidRPr="006D1C12" w14:paraId="2923860B" w14:textId="77777777" w:rsidTr="006D1C12">
        <w:trPr>
          <w:trHeight w:val="37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0DC9E3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7AAD6416" w14:textId="77777777" w:rsidR="006D1C12" w:rsidRPr="006D1C12" w:rsidRDefault="006D1C12" w:rsidP="006D1C12">
            <w:pPr>
              <w:spacing w:line="240" w:lineRule="auto"/>
              <w:rPr>
                <w:color w:val="848484"/>
                <w:szCs w:val="20"/>
                <w:lang w:eastAsia="en-GB"/>
              </w:rPr>
            </w:pPr>
            <w:r w:rsidRPr="006D1C12">
              <w:rPr>
                <w:color w:val="848484"/>
                <w:szCs w:val="20"/>
                <w:lang w:eastAsia="en-GB"/>
              </w:rPr>
              <w:t>Risk-free rate</w:t>
            </w:r>
          </w:p>
        </w:tc>
        <w:tc>
          <w:tcPr>
            <w:tcW w:w="1240" w:type="dxa"/>
            <w:tcBorders>
              <w:top w:val="nil"/>
              <w:left w:val="nil"/>
              <w:bottom w:val="single" w:sz="8" w:space="0" w:color="B6BABE"/>
              <w:right w:val="single" w:sz="8" w:space="0" w:color="B6BABE"/>
            </w:tcBorders>
            <w:shd w:val="clear" w:color="auto" w:fill="auto"/>
            <w:vAlign w:val="center"/>
            <w:hideMark/>
          </w:tcPr>
          <w:p w14:paraId="68E59939"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4B341C03"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4, PCFM Guidance</w:t>
            </w:r>
          </w:p>
        </w:tc>
      </w:tr>
      <w:tr w:rsidR="006D1C12" w:rsidRPr="006D1C12" w14:paraId="1DAD6E1F" w14:textId="77777777" w:rsidTr="006D1C12">
        <w:trPr>
          <w:trHeight w:val="330"/>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52DA1D80" w14:textId="7B50B3B0" w:rsidR="006D1C12" w:rsidRPr="006D1C12" w:rsidRDefault="006D1C12" w:rsidP="006D1C12">
            <w:pPr>
              <w:spacing w:line="240" w:lineRule="auto"/>
              <w:rPr>
                <w:color w:val="848484"/>
                <w:szCs w:val="20"/>
                <w:lang w:eastAsia="en-GB"/>
              </w:rPr>
            </w:pPr>
            <w:r w:rsidRPr="006D1C12">
              <w:rPr>
                <w:color w:val="848484"/>
                <w:szCs w:val="20"/>
                <w:lang w:eastAsia="en-GB"/>
              </w:rPr>
              <w:t>CDE</w:t>
            </w:r>
            <w:r w:rsidR="004A030E"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14AA989C" w14:textId="77777777" w:rsidR="006D1C12" w:rsidRPr="006D1C12" w:rsidRDefault="006D1C12" w:rsidP="006D1C12">
            <w:pPr>
              <w:spacing w:line="240" w:lineRule="auto"/>
              <w:rPr>
                <w:color w:val="848484"/>
                <w:szCs w:val="20"/>
                <w:lang w:eastAsia="en-GB"/>
              </w:rPr>
            </w:pPr>
            <w:r w:rsidRPr="006D1C12">
              <w:rPr>
                <w:color w:val="848484"/>
                <w:szCs w:val="20"/>
                <w:lang w:eastAsia="en-GB"/>
              </w:rPr>
              <w:t>Allowed percentage cost of debt</w:t>
            </w:r>
          </w:p>
        </w:tc>
        <w:tc>
          <w:tcPr>
            <w:tcW w:w="1240" w:type="dxa"/>
            <w:tcBorders>
              <w:top w:val="nil"/>
              <w:left w:val="nil"/>
              <w:bottom w:val="single" w:sz="8" w:space="0" w:color="B6BABE"/>
              <w:right w:val="single" w:sz="8" w:space="0" w:color="B6BABE"/>
            </w:tcBorders>
            <w:shd w:val="clear" w:color="auto" w:fill="auto"/>
            <w:vAlign w:val="center"/>
            <w:hideMark/>
          </w:tcPr>
          <w:p w14:paraId="6FAD5BBB"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68A50493"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4, PCFM Guidance</w:t>
            </w:r>
          </w:p>
        </w:tc>
      </w:tr>
      <w:tr w:rsidR="006D1C12" w:rsidRPr="006D1C12" w14:paraId="6D6E9440" w14:textId="77777777" w:rsidTr="006D1C12">
        <w:trPr>
          <w:trHeight w:val="300"/>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21665243"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Actual Totex Expenditure</w:t>
            </w:r>
          </w:p>
        </w:tc>
      </w:tr>
      <w:tr w:rsidR="006D1C12" w:rsidRPr="006D1C12" w14:paraId="2BCA8FF7"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463A5921" w14:textId="736ADFE5" w:rsidR="006D1C12" w:rsidRPr="006D1C12" w:rsidRDefault="006D1C12" w:rsidP="006D1C12">
            <w:pPr>
              <w:spacing w:line="240" w:lineRule="auto"/>
              <w:rPr>
                <w:color w:val="848484"/>
                <w:szCs w:val="20"/>
                <w:lang w:eastAsia="en-GB"/>
              </w:rPr>
            </w:pPr>
            <w:r w:rsidRPr="006D1C12">
              <w:rPr>
                <w:color w:val="848484"/>
                <w:szCs w:val="20"/>
                <w:lang w:eastAsia="en-GB"/>
              </w:rPr>
              <w:t>ALC</w:t>
            </w:r>
            <w:r w:rsidR="004A030E"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477A26D2"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load related capex</w:t>
            </w:r>
          </w:p>
        </w:tc>
        <w:tc>
          <w:tcPr>
            <w:tcW w:w="1240" w:type="dxa"/>
            <w:tcBorders>
              <w:top w:val="nil"/>
              <w:left w:val="nil"/>
              <w:bottom w:val="single" w:sz="8" w:space="0" w:color="B6BABE"/>
              <w:right w:val="single" w:sz="8" w:space="0" w:color="B6BABE"/>
            </w:tcBorders>
            <w:shd w:val="clear" w:color="auto" w:fill="auto"/>
            <w:vAlign w:val="center"/>
            <w:hideMark/>
          </w:tcPr>
          <w:p w14:paraId="34302C58"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3721EE95"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204AF974"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501B54C" w14:textId="7313F5B5" w:rsidR="006D1C12" w:rsidRPr="006D1C12" w:rsidRDefault="006D1C12" w:rsidP="006D1C12">
            <w:pPr>
              <w:spacing w:line="240" w:lineRule="auto"/>
              <w:rPr>
                <w:color w:val="848484"/>
                <w:szCs w:val="20"/>
                <w:lang w:eastAsia="en-GB"/>
              </w:rPr>
            </w:pPr>
            <w:r w:rsidRPr="006D1C12">
              <w:rPr>
                <w:color w:val="848484"/>
                <w:szCs w:val="20"/>
                <w:lang w:eastAsia="en-GB"/>
              </w:rPr>
              <w:t>ARC</w:t>
            </w:r>
            <w:r w:rsidR="004A030E"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7D94F1C8"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asset replacement capex</w:t>
            </w:r>
          </w:p>
        </w:tc>
        <w:tc>
          <w:tcPr>
            <w:tcW w:w="1240" w:type="dxa"/>
            <w:tcBorders>
              <w:top w:val="nil"/>
              <w:left w:val="nil"/>
              <w:bottom w:val="single" w:sz="8" w:space="0" w:color="B6BABE"/>
              <w:right w:val="single" w:sz="8" w:space="0" w:color="B6BABE"/>
            </w:tcBorders>
            <w:shd w:val="clear" w:color="auto" w:fill="auto"/>
            <w:vAlign w:val="center"/>
            <w:hideMark/>
          </w:tcPr>
          <w:p w14:paraId="560C894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39FC54B8"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4B8B2DA"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77508C1D" w14:textId="168FD477" w:rsidR="006D1C12" w:rsidRPr="006D1C12" w:rsidRDefault="006D1C12" w:rsidP="006D1C12">
            <w:pPr>
              <w:spacing w:line="240" w:lineRule="auto"/>
              <w:rPr>
                <w:color w:val="848484"/>
                <w:szCs w:val="20"/>
                <w:lang w:eastAsia="en-GB"/>
              </w:rPr>
            </w:pPr>
            <w:r w:rsidRPr="006D1C12">
              <w:rPr>
                <w:color w:val="848484"/>
                <w:szCs w:val="20"/>
                <w:lang w:eastAsia="en-GB"/>
              </w:rPr>
              <w:t>AOC</w:t>
            </w:r>
            <w:r w:rsidR="004A030E"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681C1E7B"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other capex</w:t>
            </w:r>
          </w:p>
        </w:tc>
        <w:tc>
          <w:tcPr>
            <w:tcW w:w="1240" w:type="dxa"/>
            <w:tcBorders>
              <w:top w:val="nil"/>
              <w:left w:val="nil"/>
              <w:bottom w:val="single" w:sz="8" w:space="0" w:color="B6BABE"/>
              <w:right w:val="single" w:sz="8" w:space="0" w:color="B6BABE"/>
            </w:tcBorders>
            <w:shd w:val="clear" w:color="auto" w:fill="auto"/>
            <w:vAlign w:val="center"/>
            <w:hideMark/>
          </w:tcPr>
          <w:p w14:paraId="19CA4EE5"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141647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37F11634"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7CB22BCF" w14:textId="603B5D71" w:rsidR="006D1C12" w:rsidRPr="006D1C12" w:rsidRDefault="006D1C12" w:rsidP="006D1C12">
            <w:pPr>
              <w:spacing w:line="240" w:lineRule="auto"/>
              <w:rPr>
                <w:color w:val="848484"/>
                <w:szCs w:val="20"/>
                <w:lang w:eastAsia="en-GB"/>
              </w:rPr>
            </w:pPr>
            <w:r w:rsidRPr="006D1C12">
              <w:rPr>
                <w:color w:val="848484"/>
                <w:szCs w:val="20"/>
                <w:lang w:eastAsia="en-GB"/>
              </w:rPr>
              <w:t>ACO</w:t>
            </w:r>
            <w:r w:rsidR="004A030E"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5A47AEF7"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non-load (Opex)</w:t>
            </w:r>
          </w:p>
        </w:tc>
        <w:tc>
          <w:tcPr>
            <w:tcW w:w="1240" w:type="dxa"/>
            <w:tcBorders>
              <w:top w:val="nil"/>
              <w:left w:val="nil"/>
              <w:bottom w:val="single" w:sz="8" w:space="0" w:color="B6BABE"/>
              <w:right w:val="single" w:sz="8" w:space="0" w:color="B6BABE"/>
            </w:tcBorders>
            <w:shd w:val="clear" w:color="auto" w:fill="auto"/>
            <w:vAlign w:val="center"/>
            <w:hideMark/>
          </w:tcPr>
          <w:p w14:paraId="0B1022DC"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515FF55"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33C9A2C5"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36ED96D1" w14:textId="77777777" w:rsidR="006D1C12" w:rsidRPr="006D1C12" w:rsidRDefault="006D1C12" w:rsidP="006D1C12">
            <w:pPr>
              <w:spacing w:line="240" w:lineRule="auto"/>
              <w:rPr>
                <w:color w:val="848484"/>
                <w:szCs w:val="20"/>
                <w:lang w:eastAsia="en-GB"/>
              </w:rPr>
            </w:pPr>
            <w:r w:rsidRPr="006D1C12">
              <w:rPr>
                <w:color w:val="848484"/>
                <w:szCs w:val="20"/>
                <w:lang w:eastAsia="en-GB"/>
              </w:rPr>
              <w:t>-</w:t>
            </w:r>
          </w:p>
        </w:tc>
        <w:tc>
          <w:tcPr>
            <w:tcW w:w="3580" w:type="dxa"/>
            <w:tcBorders>
              <w:top w:val="nil"/>
              <w:left w:val="nil"/>
              <w:bottom w:val="single" w:sz="8" w:space="0" w:color="B6BABE"/>
              <w:right w:val="single" w:sz="8" w:space="0" w:color="B6BABE"/>
            </w:tcBorders>
            <w:shd w:val="clear" w:color="auto" w:fill="auto"/>
            <w:vAlign w:val="center"/>
            <w:hideMark/>
          </w:tcPr>
          <w:p w14:paraId="53BFA62B"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indirects (Opex)</w:t>
            </w:r>
          </w:p>
        </w:tc>
        <w:tc>
          <w:tcPr>
            <w:tcW w:w="1240" w:type="dxa"/>
            <w:tcBorders>
              <w:top w:val="nil"/>
              <w:left w:val="nil"/>
              <w:bottom w:val="single" w:sz="8" w:space="0" w:color="B6BABE"/>
              <w:right w:val="single" w:sz="8" w:space="0" w:color="B6BABE"/>
            </w:tcBorders>
            <w:shd w:val="clear" w:color="auto" w:fill="auto"/>
            <w:vAlign w:val="center"/>
            <w:hideMark/>
          </w:tcPr>
          <w:p w14:paraId="7A569C14"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67AEB103"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8F1154D"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597641DF" w14:textId="5F6626AF" w:rsidR="006D1C12" w:rsidRPr="006D1C12" w:rsidRDefault="006D1C12" w:rsidP="006D1C12">
            <w:pPr>
              <w:spacing w:line="240" w:lineRule="auto"/>
              <w:rPr>
                <w:color w:val="848484"/>
                <w:szCs w:val="20"/>
                <w:lang w:eastAsia="en-GB"/>
              </w:rPr>
            </w:pPr>
            <w:r w:rsidRPr="006D1C12">
              <w:rPr>
                <w:color w:val="848484"/>
                <w:szCs w:val="20"/>
                <w:lang w:eastAsia="en-GB"/>
              </w:rPr>
              <w:t>ANC</w:t>
            </w:r>
            <w:r w:rsidR="004A030E"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28C9EDD7"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non-operational capex</w:t>
            </w:r>
          </w:p>
        </w:tc>
        <w:tc>
          <w:tcPr>
            <w:tcW w:w="1240" w:type="dxa"/>
            <w:tcBorders>
              <w:top w:val="nil"/>
              <w:left w:val="nil"/>
              <w:bottom w:val="single" w:sz="8" w:space="0" w:color="B6BABE"/>
              <w:right w:val="single" w:sz="8" w:space="0" w:color="B6BABE"/>
            </w:tcBorders>
            <w:shd w:val="clear" w:color="auto" w:fill="auto"/>
            <w:vAlign w:val="center"/>
            <w:hideMark/>
          </w:tcPr>
          <w:p w14:paraId="65B6252C"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17BD018C"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106E3E0D"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3CB02B6" w14:textId="4082E732" w:rsidR="006D1C12" w:rsidRPr="006D1C12" w:rsidRDefault="006D1C12" w:rsidP="006D1C12">
            <w:pPr>
              <w:spacing w:line="240" w:lineRule="auto"/>
              <w:rPr>
                <w:color w:val="848484"/>
                <w:szCs w:val="20"/>
                <w:lang w:eastAsia="en-GB"/>
              </w:rPr>
            </w:pPr>
            <w:r w:rsidRPr="006D1C12">
              <w:rPr>
                <w:color w:val="848484"/>
                <w:szCs w:val="20"/>
                <w:lang w:eastAsia="en-GB"/>
              </w:rPr>
              <w:t>ALU</w:t>
            </w:r>
            <w:r w:rsidR="004A030E"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7E33F4DA"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load related capex (uncertain)</w:t>
            </w:r>
          </w:p>
        </w:tc>
        <w:tc>
          <w:tcPr>
            <w:tcW w:w="1240" w:type="dxa"/>
            <w:tcBorders>
              <w:top w:val="nil"/>
              <w:left w:val="nil"/>
              <w:bottom w:val="single" w:sz="8" w:space="0" w:color="B6BABE"/>
              <w:right w:val="single" w:sz="8" w:space="0" w:color="B6BABE"/>
            </w:tcBorders>
            <w:shd w:val="clear" w:color="auto" w:fill="auto"/>
            <w:vAlign w:val="center"/>
            <w:hideMark/>
          </w:tcPr>
          <w:p w14:paraId="2A454F4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3FFE0E0F"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7FA264DC"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704F4213" w14:textId="7D40774E" w:rsidR="006D1C12" w:rsidRPr="006D1C12" w:rsidRDefault="006D1C12" w:rsidP="006D1C12">
            <w:pPr>
              <w:spacing w:line="240" w:lineRule="auto"/>
              <w:rPr>
                <w:color w:val="848484"/>
                <w:szCs w:val="20"/>
                <w:lang w:eastAsia="en-GB"/>
              </w:rPr>
            </w:pPr>
            <w:r w:rsidRPr="006D1C12">
              <w:rPr>
                <w:color w:val="848484"/>
                <w:szCs w:val="20"/>
                <w:lang w:eastAsia="en-GB"/>
              </w:rPr>
              <w:t>ARU</w:t>
            </w:r>
            <w:r w:rsidR="004A030E"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2BA6CC70"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asset replacement capex expenditure (uncertain)</w:t>
            </w:r>
          </w:p>
        </w:tc>
        <w:tc>
          <w:tcPr>
            <w:tcW w:w="1240" w:type="dxa"/>
            <w:tcBorders>
              <w:top w:val="nil"/>
              <w:left w:val="nil"/>
              <w:bottom w:val="single" w:sz="8" w:space="0" w:color="B6BABE"/>
              <w:right w:val="single" w:sz="8" w:space="0" w:color="B6BABE"/>
            </w:tcBorders>
            <w:shd w:val="clear" w:color="auto" w:fill="auto"/>
            <w:vAlign w:val="center"/>
            <w:hideMark/>
          </w:tcPr>
          <w:p w14:paraId="38FDB024"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775B2B8B"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753804D1"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4044562" w14:textId="6A8E8620" w:rsidR="006D1C12" w:rsidRPr="006D1C12" w:rsidRDefault="006D1C12" w:rsidP="006D1C12">
            <w:pPr>
              <w:spacing w:line="240" w:lineRule="auto"/>
              <w:rPr>
                <w:color w:val="848484"/>
                <w:szCs w:val="20"/>
                <w:lang w:eastAsia="en-GB"/>
              </w:rPr>
            </w:pPr>
            <w:r w:rsidRPr="006D1C12">
              <w:rPr>
                <w:color w:val="848484"/>
                <w:szCs w:val="20"/>
                <w:lang w:eastAsia="en-GB"/>
              </w:rPr>
              <w:t>AOU</w:t>
            </w:r>
            <w:r w:rsidR="004A030E"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02E68504"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other capex expenditure  (uncertain)</w:t>
            </w:r>
          </w:p>
        </w:tc>
        <w:tc>
          <w:tcPr>
            <w:tcW w:w="1240" w:type="dxa"/>
            <w:tcBorders>
              <w:top w:val="nil"/>
              <w:left w:val="nil"/>
              <w:bottom w:val="single" w:sz="8" w:space="0" w:color="B6BABE"/>
              <w:right w:val="single" w:sz="8" w:space="0" w:color="B6BABE"/>
            </w:tcBorders>
            <w:shd w:val="clear" w:color="auto" w:fill="auto"/>
            <w:vAlign w:val="center"/>
            <w:hideMark/>
          </w:tcPr>
          <w:p w14:paraId="608997B5"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198DEFDF"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503E6BAC"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011DB8B8"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6C4428CF"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non-load (opex) (uncertain)</w:t>
            </w:r>
          </w:p>
        </w:tc>
        <w:tc>
          <w:tcPr>
            <w:tcW w:w="1240" w:type="dxa"/>
            <w:tcBorders>
              <w:top w:val="nil"/>
              <w:left w:val="nil"/>
              <w:bottom w:val="single" w:sz="8" w:space="0" w:color="B6BABE"/>
              <w:right w:val="single" w:sz="8" w:space="0" w:color="B6BABE"/>
            </w:tcBorders>
            <w:shd w:val="clear" w:color="auto" w:fill="auto"/>
            <w:vAlign w:val="center"/>
            <w:hideMark/>
          </w:tcPr>
          <w:p w14:paraId="0DDE6F5C"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2962D97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544249A0"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05B58878" w14:textId="173C4C72" w:rsidR="006D1C12" w:rsidRPr="006D1C12" w:rsidRDefault="006D1C12" w:rsidP="006D1C12">
            <w:pPr>
              <w:spacing w:line="240" w:lineRule="auto"/>
              <w:rPr>
                <w:color w:val="848484"/>
                <w:szCs w:val="20"/>
                <w:lang w:eastAsia="en-GB"/>
              </w:rPr>
            </w:pPr>
            <w:r w:rsidRPr="006D1C12">
              <w:rPr>
                <w:color w:val="848484"/>
                <w:szCs w:val="20"/>
                <w:lang w:eastAsia="en-GB"/>
              </w:rPr>
              <w:t>ACU</w:t>
            </w:r>
            <w:r w:rsidR="004A030E"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2041150C"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indirects (opex) (uncertain)</w:t>
            </w:r>
          </w:p>
        </w:tc>
        <w:tc>
          <w:tcPr>
            <w:tcW w:w="1240" w:type="dxa"/>
            <w:tcBorders>
              <w:top w:val="nil"/>
              <w:left w:val="nil"/>
              <w:bottom w:val="single" w:sz="8" w:space="0" w:color="B6BABE"/>
              <w:right w:val="single" w:sz="8" w:space="0" w:color="B6BABE"/>
            </w:tcBorders>
            <w:shd w:val="clear" w:color="auto" w:fill="auto"/>
            <w:vAlign w:val="center"/>
            <w:hideMark/>
          </w:tcPr>
          <w:p w14:paraId="7BD142B3"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25F8C8F6"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54B3CB84"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0E0F6B2D"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008F4DFB"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non-operational capex (uncertain)</w:t>
            </w:r>
          </w:p>
        </w:tc>
        <w:tc>
          <w:tcPr>
            <w:tcW w:w="1240" w:type="dxa"/>
            <w:tcBorders>
              <w:top w:val="nil"/>
              <w:left w:val="nil"/>
              <w:bottom w:val="single" w:sz="8" w:space="0" w:color="B6BABE"/>
              <w:right w:val="single" w:sz="8" w:space="0" w:color="B6BABE"/>
            </w:tcBorders>
            <w:shd w:val="clear" w:color="auto" w:fill="auto"/>
            <w:vAlign w:val="center"/>
            <w:hideMark/>
          </w:tcPr>
          <w:p w14:paraId="14AF453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230011B3"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3D94C28" w14:textId="77777777" w:rsidTr="006D1C12">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10937417"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Adjustments to Totex Allowances</w:t>
            </w:r>
          </w:p>
        </w:tc>
      </w:tr>
      <w:tr w:rsidR="006D1C12" w:rsidRPr="006D1C12" w14:paraId="07E5D54D"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424B5E0B"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606398B9" w14:textId="77777777" w:rsidR="006D1C12" w:rsidRPr="006D1C12" w:rsidRDefault="006D1C12" w:rsidP="006D1C12">
            <w:pPr>
              <w:spacing w:line="240" w:lineRule="auto"/>
              <w:rPr>
                <w:color w:val="848484"/>
                <w:szCs w:val="20"/>
                <w:lang w:eastAsia="en-GB"/>
              </w:rPr>
            </w:pPr>
            <w:r w:rsidRPr="006D1C12">
              <w:rPr>
                <w:color w:val="848484"/>
                <w:szCs w:val="20"/>
                <w:lang w:eastAsia="en-GB"/>
              </w:rPr>
              <w:t>NARM funding adjustment and penalty mechanism</w:t>
            </w:r>
          </w:p>
        </w:tc>
        <w:tc>
          <w:tcPr>
            <w:tcW w:w="1240" w:type="dxa"/>
            <w:tcBorders>
              <w:top w:val="nil"/>
              <w:left w:val="nil"/>
              <w:bottom w:val="single" w:sz="8" w:space="0" w:color="B6BABE"/>
              <w:right w:val="single" w:sz="8" w:space="0" w:color="B6BABE"/>
            </w:tcBorders>
            <w:shd w:val="clear" w:color="auto" w:fill="auto"/>
            <w:vAlign w:val="center"/>
            <w:hideMark/>
          </w:tcPr>
          <w:p w14:paraId="67E6CB0B" w14:textId="77777777" w:rsidR="006D1C12" w:rsidRPr="006D1C12" w:rsidRDefault="006D1C12" w:rsidP="006D1C12">
            <w:pPr>
              <w:spacing w:line="240" w:lineRule="auto"/>
              <w:rPr>
                <w:color w:val="848484"/>
                <w:szCs w:val="20"/>
                <w:lang w:eastAsia="en-GB"/>
              </w:rPr>
            </w:pPr>
            <w:r w:rsidRPr="006D1C12">
              <w:rPr>
                <w:color w:val="848484"/>
                <w:szCs w:val="20"/>
                <w:lang w:eastAsia="en-GB"/>
              </w:rPr>
              <w:t>SpC 3.1</w:t>
            </w:r>
          </w:p>
        </w:tc>
        <w:tc>
          <w:tcPr>
            <w:tcW w:w="4220" w:type="dxa"/>
            <w:tcBorders>
              <w:top w:val="nil"/>
              <w:left w:val="nil"/>
              <w:bottom w:val="single" w:sz="8" w:space="0" w:color="B6BABE"/>
              <w:right w:val="single" w:sz="8" w:space="0" w:color="B6BABE"/>
            </w:tcBorders>
            <w:shd w:val="clear" w:color="auto" w:fill="auto"/>
            <w:vAlign w:val="center"/>
            <w:hideMark/>
          </w:tcPr>
          <w:p w14:paraId="1C085D09"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A878965"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73492D6"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56F1E77E" w14:textId="77777777" w:rsidR="006D1C12" w:rsidRPr="006D1C12" w:rsidRDefault="006D1C12" w:rsidP="006D1C12">
            <w:pPr>
              <w:spacing w:line="240" w:lineRule="auto"/>
              <w:rPr>
                <w:color w:val="848484"/>
                <w:szCs w:val="20"/>
                <w:lang w:eastAsia="en-GB"/>
              </w:rPr>
            </w:pPr>
            <w:r w:rsidRPr="006D1C12">
              <w:rPr>
                <w:color w:val="848484"/>
                <w:szCs w:val="20"/>
                <w:lang w:eastAsia="en-GB"/>
              </w:rPr>
              <w:t>Resilience</w:t>
            </w:r>
          </w:p>
        </w:tc>
        <w:tc>
          <w:tcPr>
            <w:tcW w:w="1240" w:type="dxa"/>
            <w:tcBorders>
              <w:top w:val="nil"/>
              <w:left w:val="nil"/>
              <w:bottom w:val="single" w:sz="8" w:space="0" w:color="B6BABE"/>
              <w:right w:val="single" w:sz="8" w:space="0" w:color="B6BABE"/>
            </w:tcBorders>
            <w:shd w:val="clear" w:color="auto" w:fill="auto"/>
            <w:vAlign w:val="center"/>
            <w:hideMark/>
          </w:tcPr>
          <w:p w14:paraId="194ABF1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63929C6A"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PCD Reporting Requirements and Methodology</w:t>
            </w:r>
          </w:p>
        </w:tc>
      </w:tr>
      <w:tr w:rsidR="006D1C12" w:rsidRPr="006D1C12" w14:paraId="4B002D24"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0CAE96FA"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20E2998A" w14:textId="77777777" w:rsidR="006D1C12" w:rsidRPr="006D1C12" w:rsidRDefault="006D1C12" w:rsidP="006D1C12">
            <w:pPr>
              <w:spacing w:line="240" w:lineRule="auto"/>
              <w:rPr>
                <w:color w:val="848484"/>
                <w:szCs w:val="20"/>
                <w:lang w:eastAsia="en-GB"/>
              </w:rPr>
            </w:pPr>
            <w:r w:rsidRPr="006D1C12">
              <w:rPr>
                <w:color w:val="848484"/>
                <w:szCs w:val="20"/>
                <w:lang w:eastAsia="en-GB"/>
              </w:rPr>
              <w:t>Resilience (UIOLI)</w:t>
            </w:r>
          </w:p>
        </w:tc>
        <w:tc>
          <w:tcPr>
            <w:tcW w:w="1240" w:type="dxa"/>
            <w:tcBorders>
              <w:top w:val="nil"/>
              <w:left w:val="nil"/>
              <w:bottom w:val="single" w:sz="8" w:space="0" w:color="B6BABE"/>
              <w:right w:val="single" w:sz="8" w:space="0" w:color="B6BABE"/>
            </w:tcBorders>
            <w:shd w:val="clear" w:color="auto" w:fill="auto"/>
            <w:vAlign w:val="center"/>
            <w:hideMark/>
          </w:tcPr>
          <w:p w14:paraId="3028F6C2"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2E8F5016"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PCD Reporting Requirements and Methodology</w:t>
            </w:r>
          </w:p>
        </w:tc>
      </w:tr>
      <w:tr w:rsidR="006D1C12" w:rsidRPr="006D1C12" w14:paraId="5185E60C"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0D08D0D"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3BC016CC" w14:textId="77777777" w:rsidR="006D1C12" w:rsidRPr="006D1C12" w:rsidRDefault="006D1C12" w:rsidP="006D1C12">
            <w:pPr>
              <w:spacing w:line="240" w:lineRule="auto"/>
              <w:rPr>
                <w:color w:val="848484"/>
                <w:szCs w:val="20"/>
                <w:lang w:eastAsia="en-GB"/>
              </w:rPr>
            </w:pPr>
            <w:r w:rsidRPr="006D1C12">
              <w:rPr>
                <w:color w:val="848484"/>
                <w:szCs w:val="20"/>
                <w:lang w:eastAsia="en-GB"/>
              </w:rPr>
              <w:t>Resilience Re-opener</w:t>
            </w:r>
          </w:p>
        </w:tc>
        <w:tc>
          <w:tcPr>
            <w:tcW w:w="1240" w:type="dxa"/>
            <w:tcBorders>
              <w:top w:val="nil"/>
              <w:left w:val="nil"/>
              <w:bottom w:val="single" w:sz="8" w:space="0" w:color="B6BABE"/>
              <w:right w:val="single" w:sz="8" w:space="0" w:color="B6BABE"/>
            </w:tcBorders>
            <w:shd w:val="clear" w:color="auto" w:fill="auto"/>
            <w:vAlign w:val="center"/>
            <w:hideMark/>
          </w:tcPr>
          <w:p w14:paraId="5337593D"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D675DCB"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4906397D"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8D74822"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15F6F7CD" w14:textId="77777777" w:rsidR="006D1C12" w:rsidRPr="006D1C12" w:rsidRDefault="006D1C12" w:rsidP="006D1C12">
            <w:pPr>
              <w:spacing w:line="240" w:lineRule="auto"/>
              <w:rPr>
                <w:color w:val="848484"/>
                <w:szCs w:val="20"/>
                <w:lang w:eastAsia="en-GB"/>
              </w:rPr>
            </w:pPr>
            <w:r w:rsidRPr="006D1C12">
              <w:rPr>
                <w:color w:val="848484"/>
                <w:szCs w:val="20"/>
                <w:lang w:eastAsia="en-GB"/>
              </w:rPr>
              <w:t>Resilience Re-opener (UIOLI)</w:t>
            </w:r>
          </w:p>
        </w:tc>
        <w:tc>
          <w:tcPr>
            <w:tcW w:w="1240" w:type="dxa"/>
            <w:tcBorders>
              <w:top w:val="nil"/>
              <w:left w:val="nil"/>
              <w:bottom w:val="single" w:sz="8" w:space="0" w:color="B6BABE"/>
              <w:right w:val="single" w:sz="8" w:space="0" w:color="B6BABE"/>
            </w:tcBorders>
            <w:shd w:val="clear" w:color="auto" w:fill="auto"/>
            <w:vAlign w:val="center"/>
            <w:hideMark/>
          </w:tcPr>
          <w:p w14:paraId="3E8D36D5"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4A7D6E88"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1804900A"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0ED84156" w14:textId="77777777" w:rsidR="006D1C12" w:rsidRPr="006D1C12" w:rsidRDefault="006D1C12" w:rsidP="006D1C12">
            <w:pPr>
              <w:spacing w:line="240" w:lineRule="auto"/>
              <w:rPr>
                <w:color w:val="848484"/>
                <w:szCs w:val="20"/>
                <w:lang w:eastAsia="en-GB"/>
              </w:rPr>
            </w:pPr>
            <w:r w:rsidRPr="006D1C12">
              <w:rPr>
                <w:color w:val="848484"/>
                <w:szCs w:val="20"/>
                <w:lang w:eastAsia="en-GB"/>
              </w:rPr>
              <w:t>PSUP</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194F3A50" w14:textId="77777777" w:rsidR="006D1C12" w:rsidRPr="006D1C12" w:rsidRDefault="006D1C12" w:rsidP="006D1C12">
            <w:pPr>
              <w:spacing w:line="240" w:lineRule="auto"/>
              <w:rPr>
                <w:color w:val="848484"/>
                <w:szCs w:val="20"/>
                <w:lang w:eastAsia="en-GB"/>
              </w:rPr>
            </w:pPr>
            <w:r w:rsidRPr="006D1C12">
              <w:rPr>
                <w:color w:val="848484"/>
                <w:szCs w:val="20"/>
                <w:lang w:eastAsia="en-GB"/>
              </w:rPr>
              <w:t>Physical Security Re-opener</w:t>
            </w:r>
          </w:p>
        </w:tc>
        <w:tc>
          <w:tcPr>
            <w:tcW w:w="1240" w:type="dxa"/>
            <w:tcBorders>
              <w:top w:val="nil"/>
              <w:left w:val="nil"/>
              <w:bottom w:val="single" w:sz="8" w:space="0" w:color="B6BABE"/>
              <w:right w:val="single" w:sz="8" w:space="0" w:color="B6BABE"/>
            </w:tcBorders>
            <w:shd w:val="clear" w:color="auto" w:fill="auto"/>
            <w:vAlign w:val="center"/>
            <w:hideMark/>
          </w:tcPr>
          <w:p w14:paraId="0F7CE023" w14:textId="77777777" w:rsidR="006D1C12" w:rsidRPr="006D1C12" w:rsidRDefault="006D1C12" w:rsidP="006D1C12">
            <w:pPr>
              <w:spacing w:line="240" w:lineRule="auto"/>
              <w:rPr>
                <w:color w:val="848484"/>
                <w:szCs w:val="20"/>
                <w:lang w:eastAsia="en-GB"/>
              </w:rPr>
            </w:pPr>
            <w:r w:rsidRPr="006D1C12">
              <w:rPr>
                <w:color w:val="848484"/>
                <w:szCs w:val="20"/>
                <w:lang w:eastAsia="en-GB"/>
              </w:rPr>
              <w:t>SpC 3.4</w:t>
            </w:r>
          </w:p>
        </w:tc>
        <w:tc>
          <w:tcPr>
            <w:tcW w:w="4220" w:type="dxa"/>
            <w:tcBorders>
              <w:top w:val="nil"/>
              <w:left w:val="nil"/>
              <w:bottom w:val="single" w:sz="8" w:space="0" w:color="B6BABE"/>
              <w:right w:val="single" w:sz="8" w:space="0" w:color="B6BABE"/>
            </w:tcBorders>
            <w:shd w:val="clear" w:color="auto" w:fill="auto"/>
            <w:vAlign w:val="center"/>
            <w:hideMark/>
          </w:tcPr>
          <w:p w14:paraId="44AF66B9"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52D701A6"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02169864" w14:textId="77777777" w:rsidR="006D1C12" w:rsidRPr="006D1C12" w:rsidRDefault="006D1C12" w:rsidP="006D1C12">
            <w:pPr>
              <w:spacing w:line="240" w:lineRule="auto"/>
              <w:rPr>
                <w:color w:val="848484"/>
                <w:szCs w:val="20"/>
                <w:lang w:eastAsia="en-GB"/>
              </w:rPr>
            </w:pPr>
            <w:r w:rsidRPr="006D1C12">
              <w:rPr>
                <w:color w:val="848484"/>
                <w:szCs w:val="20"/>
                <w:lang w:eastAsia="en-GB"/>
              </w:rPr>
              <w:t>NOIT</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37E0F61E" w14:textId="77777777" w:rsidR="006D1C12" w:rsidRPr="006D1C12" w:rsidRDefault="006D1C12" w:rsidP="006D1C12">
            <w:pPr>
              <w:spacing w:line="240" w:lineRule="auto"/>
              <w:rPr>
                <w:color w:val="848484"/>
                <w:szCs w:val="20"/>
                <w:lang w:eastAsia="en-GB"/>
              </w:rPr>
            </w:pPr>
            <w:r w:rsidRPr="006D1C12">
              <w:rPr>
                <w:color w:val="848484"/>
                <w:szCs w:val="20"/>
                <w:lang w:eastAsia="en-GB"/>
              </w:rPr>
              <w:t>Non-operational IT and Telecoms Capex Re-Opener</w:t>
            </w:r>
          </w:p>
        </w:tc>
        <w:tc>
          <w:tcPr>
            <w:tcW w:w="1240" w:type="dxa"/>
            <w:tcBorders>
              <w:top w:val="nil"/>
              <w:left w:val="nil"/>
              <w:bottom w:val="single" w:sz="8" w:space="0" w:color="B6BABE"/>
              <w:right w:val="single" w:sz="8" w:space="0" w:color="B6BABE"/>
            </w:tcBorders>
            <w:shd w:val="clear" w:color="auto" w:fill="auto"/>
            <w:vAlign w:val="center"/>
            <w:hideMark/>
          </w:tcPr>
          <w:p w14:paraId="4C4EA2CF" w14:textId="77777777" w:rsidR="006D1C12" w:rsidRPr="006D1C12" w:rsidRDefault="006D1C12" w:rsidP="006D1C12">
            <w:pPr>
              <w:spacing w:line="240" w:lineRule="auto"/>
              <w:rPr>
                <w:color w:val="848484"/>
                <w:szCs w:val="20"/>
                <w:lang w:eastAsia="en-GB"/>
              </w:rPr>
            </w:pPr>
            <w:r w:rsidRPr="006D1C12">
              <w:rPr>
                <w:color w:val="848484"/>
                <w:szCs w:val="20"/>
                <w:lang w:eastAsia="en-GB"/>
              </w:rPr>
              <w:t>SpC 3.5</w:t>
            </w:r>
          </w:p>
        </w:tc>
        <w:tc>
          <w:tcPr>
            <w:tcW w:w="4220" w:type="dxa"/>
            <w:tcBorders>
              <w:top w:val="nil"/>
              <w:left w:val="nil"/>
              <w:bottom w:val="single" w:sz="8" w:space="0" w:color="B6BABE"/>
              <w:right w:val="single" w:sz="8" w:space="0" w:color="B6BABE"/>
            </w:tcBorders>
            <w:shd w:val="clear" w:color="auto" w:fill="auto"/>
            <w:vAlign w:val="center"/>
            <w:hideMark/>
          </w:tcPr>
          <w:p w14:paraId="7FC8BBBB"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3323EE86"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D671BF1" w14:textId="77777777" w:rsidR="006D1C12" w:rsidRPr="006D1C12" w:rsidRDefault="006D1C12" w:rsidP="006D1C12">
            <w:pPr>
              <w:spacing w:line="240" w:lineRule="auto"/>
              <w:rPr>
                <w:color w:val="848484"/>
                <w:szCs w:val="20"/>
                <w:lang w:eastAsia="en-GB"/>
              </w:rPr>
            </w:pPr>
            <w:r w:rsidRPr="006D1C12">
              <w:rPr>
                <w:color w:val="848484"/>
                <w:szCs w:val="20"/>
                <w:lang w:eastAsia="en-GB"/>
              </w:rPr>
              <w:t>NZ</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17A7AFD7" w14:textId="77777777" w:rsidR="006D1C12" w:rsidRPr="006D1C12" w:rsidRDefault="006D1C12" w:rsidP="006D1C12">
            <w:pPr>
              <w:spacing w:line="240" w:lineRule="auto"/>
              <w:rPr>
                <w:color w:val="848484"/>
                <w:szCs w:val="20"/>
                <w:lang w:eastAsia="en-GB"/>
              </w:rPr>
            </w:pPr>
            <w:r w:rsidRPr="006D1C12">
              <w:rPr>
                <w:color w:val="848484"/>
                <w:szCs w:val="20"/>
                <w:lang w:eastAsia="en-GB"/>
              </w:rPr>
              <w:t>Net Zero Re-Opener</w:t>
            </w:r>
          </w:p>
        </w:tc>
        <w:tc>
          <w:tcPr>
            <w:tcW w:w="1240" w:type="dxa"/>
            <w:tcBorders>
              <w:top w:val="nil"/>
              <w:left w:val="nil"/>
              <w:bottom w:val="single" w:sz="8" w:space="0" w:color="B6BABE"/>
              <w:right w:val="single" w:sz="8" w:space="0" w:color="B6BABE"/>
            </w:tcBorders>
            <w:shd w:val="clear" w:color="auto" w:fill="auto"/>
            <w:vAlign w:val="center"/>
            <w:hideMark/>
          </w:tcPr>
          <w:p w14:paraId="171182EE" w14:textId="77777777" w:rsidR="006D1C12" w:rsidRPr="006D1C12" w:rsidRDefault="006D1C12" w:rsidP="006D1C12">
            <w:pPr>
              <w:spacing w:line="240" w:lineRule="auto"/>
              <w:rPr>
                <w:color w:val="848484"/>
                <w:szCs w:val="20"/>
                <w:lang w:eastAsia="en-GB"/>
              </w:rPr>
            </w:pPr>
            <w:r w:rsidRPr="006D1C12">
              <w:rPr>
                <w:color w:val="848484"/>
                <w:szCs w:val="20"/>
                <w:lang w:eastAsia="en-GB"/>
              </w:rPr>
              <w:t>SpC 3.6</w:t>
            </w:r>
          </w:p>
        </w:tc>
        <w:tc>
          <w:tcPr>
            <w:tcW w:w="4220" w:type="dxa"/>
            <w:tcBorders>
              <w:top w:val="nil"/>
              <w:left w:val="nil"/>
              <w:bottom w:val="single" w:sz="8" w:space="0" w:color="B6BABE"/>
              <w:right w:val="single" w:sz="8" w:space="0" w:color="B6BABE"/>
            </w:tcBorders>
            <w:shd w:val="clear" w:color="auto" w:fill="auto"/>
            <w:vAlign w:val="center"/>
            <w:hideMark/>
          </w:tcPr>
          <w:p w14:paraId="15D8A44E"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4D7CB82B" w14:textId="77777777" w:rsidTr="006D1C12">
        <w:trPr>
          <w:trHeight w:val="750"/>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04824846" w14:textId="77777777" w:rsidR="006D1C12" w:rsidRPr="006D1C12" w:rsidRDefault="006D1C12" w:rsidP="006D1C12">
            <w:pPr>
              <w:spacing w:line="240" w:lineRule="auto"/>
              <w:rPr>
                <w:color w:val="848484"/>
                <w:szCs w:val="20"/>
                <w:lang w:eastAsia="en-GB"/>
              </w:rPr>
            </w:pPr>
            <w:r w:rsidRPr="006D1C12">
              <w:rPr>
                <w:color w:val="848484"/>
                <w:szCs w:val="20"/>
                <w:lang w:eastAsia="en-GB"/>
              </w:rPr>
              <w:lastRenderedPageBreak/>
              <w:t>CAM</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151B64BF" w14:textId="77777777" w:rsidR="006D1C12" w:rsidRPr="006D1C12" w:rsidRDefault="006D1C12" w:rsidP="006D1C12">
            <w:pPr>
              <w:spacing w:line="240" w:lineRule="auto"/>
              <w:rPr>
                <w:color w:val="848484"/>
                <w:szCs w:val="20"/>
                <w:lang w:eastAsia="en-GB"/>
              </w:rPr>
            </w:pPr>
            <w:r w:rsidRPr="006D1C12">
              <w:rPr>
                <w:color w:val="848484"/>
                <w:szCs w:val="20"/>
                <w:lang w:eastAsia="en-GB"/>
              </w:rPr>
              <w:t>Whole system Coordinated Adjustment Mechanism ReOpener</w:t>
            </w:r>
          </w:p>
        </w:tc>
        <w:tc>
          <w:tcPr>
            <w:tcW w:w="1240" w:type="dxa"/>
            <w:tcBorders>
              <w:top w:val="nil"/>
              <w:left w:val="nil"/>
              <w:bottom w:val="single" w:sz="8" w:space="0" w:color="B6BABE"/>
              <w:right w:val="single" w:sz="8" w:space="0" w:color="B6BABE"/>
            </w:tcBorders>
            <w:shd w:val="clear" w:color="auto" w:fill="auto"/>
            <w:vAlign w:val="center"/>
            <w:hideMark/>
          </w:tcPr>
          <w:p w14:paraId="56F4B985" w14:textId="77777777" w:rsidR="006D1C12" w:rsidRPr="006D1C12" w:rsidRDefault="006D1C12" w:rsidP="006D1C12">
            <w:pPr>
              <w:spacing w:line="240" w:lineRule="auto"/>
              <w:rPr>
                <w:color w:val="848484"/>
                <w:szCs w:val="20"/>
                <w:lang w:eastAsia="en-GB"/>
              </w:rPr>
            </w:pPr>
            <w:r w:rsidRPr="006D1C12">
              <w:rPr>
                <w:color w:val="848484"/>
                <w:szCs w:val="20"/>
                <w:lang w:eastAsia="en-GB"/>
              </w:rPr>
              <w:t>SpC 3.7</w:t>
            </w:r>
          </w:p>
        </w:tc>
        <w:tc>
          <w:tcPr>
            <w:tcW w:w="4220" w:type="dxa"/>
            <w:tcBorders>
              <w:top w:val="nil"/>
              <w:left w:val="nil"/>
              <w:bottom w:val="single" w:sz="8" w:space="0" w:color="B6BABE"/>
              <w:right w:val="single" w:sz="8" w:space="0" w:color="B6BABE"/>
            </w:tcBorders>
            <w:shd w:val="clear" w:color="auto" w:fill="auto"/>
            <w:vAlign w:val="center"/>
            <w:hideMark/>
          </w:tcPr>
          <w:p w14:paraId="057DFDC2"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513F5977"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44B22868" w14:textId="77777777" w:rsidR="006D1C12" w:rsidRPr="006D1C12" w:rsidRDefault="006D1C12" w:rsidP="006D1C12">
            <w:pPr>
              <w:spacing w:line="240" w:lineRule="auto"/>
              <w:rPr>
                <w:color w:val="848484"/>
                <w:szCs w:val="20"/>
                <w:lang w:eastAsia="en-GB"/>
              </w:rPr>
            </w:pPr>
            <w:r w:rsidRPr="006D1C12">
              <w:rPr>
                <w:color w:val="848484"/>
                <w:szCs w:val="20"/>
                <w:lang w:eastAsia="en-GB"/>
              </w:rPr>
              <w:t>BTR</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01C4EF02" w14:textId="77777777" w:rsidR="006D1C12" w:rsidRPr="006D1C12" w:rsidRDefault="006D1C12" w:rsidP="006D1C12">
            <w:pPr>
              <w:spacing w:line="240" w:lineRule="auto"/>
              <w:rPr>
                <w:color w:val="848484"/>
                <w:szCs w:val="20"/>
                <w:lang w:eastAsia="en-GB"/>
              </w:rPr>
            </w:pPr>
            <w:r w:rsidRPr="006D1C12">
              <w:rPr>
                <w:color w:val="848484"/>
                <w:szCs w:val="20"/>
                <w:lang w:eastAsia="en-GB"/>
              </w:rPr>
              <w:t>Bacton PCD</w:t>
            </w:r>
          </w:p>
        </w:tc>
        <w:tc>
          <w:tcPr>
            <w:tcW w:w="1240" w:type="dxa"/>
            <w:tcBorders>
              <w:top w:val="nil"/>
              <w:left w:val="nil"/>
              <w:bottom w:val="single" w:sz="8" w:space="0" w:color="B6BABE"/>
              <w:right w:val="single" w:sz="8" w:space="0" w:color="B6BABE"/>
            </w:tcBorders>
            <w:shd w:val="clear" w:color="auto" w:fill="auto"/>
            <w:vAlign w:val="center"/>
            <w:hideMark/>
          </w:tcPr>
          <w:p w14:paraId="7B11CF4E" w14:textId="77777777" w:rsidR="006D1C12" w:rsidRPr="006D1C12" w:rsidRDefault="006D1C12" w:rsidP="006D1C12">
            <w:pPr>
              <w:spacing w:line="240" w:lineRule="auto"/>
              <w:rPr>
                <w:color w:val="848484"/>
                <w:szCs w:val="20"/>
                <w:lang w:eastAsia="en-GB"/>
              </w:rPr>
            </w:pPr>
            <w:r w:rsidRPr="006D1C12">
              <w:rPr>
                <w:color w:val="848484"/>
                <w:szCs w:val="20"/>
                <w:lang w:eastAsia="en-GB"/>
              </w:rPr>
              <w:t>SpC 3.8</w:t>
            </w:r>
          </w:p>
        </w:tc>
        <w:tc>
          <w:tcPr>
            <w:tcW w:w="4220" w:type="dxa"/>
            <w:tcBorders>
              <w:top w:val="nil"/>
              <w:left w:val="nil"/>
              <w:bottom w:val="single" w:sz="8" w:space="0" w:color="B6BABE"/>
              <w:right w:val="single" w:sz="8" w:space="0" w:color="B6BABE"/>
            </w:tcBorders>
            <w:shd w:val="clear" w:color="auto" w:fill="auto"/>
            <w:vAlign w:val="center"/>
            <w:hideMark/>
          </w:tcPr>
          <w:p w14:paraId="754ACA49"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PCD Reporting Requirements and Methodology</w:t>
            </w:r>
          </w:p>
        </w:tc>
      </w:tr>
      <w:tr w:rsidR="006D1C12" w:rsidRPr="006D1C12" w14:paraId="4310A318"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06580951" w14:textId="77777777" w:rsidR="006D1C12" w:rsidRPr="006D1C12" w:rsidRDefault="006D1C12" w:rsidP="006D1C12">
            <w:pPr>
              <w:spacing w:line="240" w:lineRule="auto"/>
              <w:rPr>
                <w:color w:val="848484"/>
                <w:szCs w:val="20"/>
                <w:lang w:eastAsia="en-GB"/>
              </w:rPr>
            </w:pPr>
            <w:r w:rsidRPr="006D1C12">
              <w:rPr>
                <w:color w:val="848484"/>
                <w:szCs w:val="20"/>
                <w:lang w:eastAsia="en-GB"/>
              </w:rPr>
              <w:t>CEP</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7A6A2F28" w14:textId="77777777" w:rsidR="006D1C12" w:rsidRPr="006D1C12" w:rsidRDefault="006D1C12" w:rsidP="006D1C12">
            <w:pPr>
              <w:spacing w:line="240" w:lineRule="auto"/>
              <w:rPr>
                <w:color w:val="848484"/>
                <w:szCs w:val="20"/>
                <w:lang w:eastAsia="en-GB"/>
              </w:rPr>
            </w:pPr>
            <w:r w:rsidRPr="006D1C12">
              <w:rPr>
                <w:color w:val="848484"/>
                <w:szCs w:val="20"/>
                <w:lang w:eastAsia="en-GB"/>
              </w:rPr>
              <w:t>Compressor Emissions PCD</w:t>
            </w:r>
          </w:p>
        </w:tc>
        <w:tc>
          <w:tcPr>
            <w:tcW w:w="1240" w:type="dxa"/>
            <w:tcBorders>
              <w:top w:val="nil"/>
              <w:left w:val="nil"/>
              <w:bottom w:val="single" w:sz="8" w:space="0" w:color="B6BABE"/>
              <w:right w:val="single" w:sz="8" w:space="0" w:color="B6BABE"/>
            </w:tcBorders>
            <w:shd w:val="clear" w:color="auto" w:fill="auto"/>
            <w:vAlign w:val="center"/>
            <w:hideMark/>
          </w:tcPr>
          <w:p w14:paraId="569FFD5A" w14:textId="77777777" w:rsidR="006D1C12" w:rsidRPr="006D1C12" w:rsidRDefault="006D1C12" w:rsidP="006D1C12">
            <w:pPr>
              <w:spacing w:line="240" w:lineRule="auto"/>
              <w:rPr>
                <w:color w:val="848484"/>
                <w:szCs w:val="20"/>
                <w:lang w:eastAsia="en-GB"/>
              </w:rPr>
            </w:pPr>
            <w:r w:rsidRPr="006D1C12">
              <w:rPr>
                <w:color w:val="848484"/>
                <w:szCs w:val="20"/>
                <w:lang w:eastAsia="en-GB"/>
              </w:rPr>
              <w:t>SpC 3.9</w:t>
            </w:r>
          </w:p>
        </w:tc>
        <w:tc>
          <w:tcPr>
            <w:tcW w:w="4220" w:type="dxa"/>
            <w:tcBorders>
              <w:top w:val="nil"/>
              <w:left w:val="nil"/>
              <w:bottom w:val="single" w:sz="8" w:space="0" w:color="B6BABE"/>
              <w:right w:val="single" w:sz="8" w:space="0" w:color="B6BABE"/>
            </w:tcBorders>
            <w:shd w:val="clear" w:color="auto" w:fill="auto"/>
            <w:vAlign w:val="center"/>
            <w:hideMark/>
          </w:tcPr>
          <w:p w14:paraId="52C74E38"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PCD Reporting Requirements and Methodology</w:t>
            </w:r>
          </w:p>
        </w:tc>
      </w:tr>
      <w:tr w:rsidR="006D1C12" w:rsidRPr="006D1C12" w14:paraId="0EFA8AC6"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704DA702" w14:textId="77777777" w:rsidR="006D1C12" w:rsidRPr="006D1C12" w:rsidRDefault="006D1C12" w:rsidP="006D1C12">
            <w:pPr>
              <w:spacing w:line="240" w:lineRule="auto"/>
              <w:rPr>
                <w:color w:val="848484"/>
                <w:szCs w:val="20"/>
                <w:lang w:eastAsia="en-GB"/>
              </w:rPr>
            </w:pPr>
            <w:r w:rsidRPr="006D1C12">
              <w:rPr>
                <w:color w:val="848484"/>
                <w:szCs w:val="20"/>
                <w:lang w:eastAsia="en-GB"/>
              </w:rPr>
              <w:t>KLS</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6E0CE904" w14:textId="77777777" w:rsidR="006D1C12" w:rsidRPr="006D1C12" w:rsidRDefault="006D1C12" w:rsidP="006D1C12">
            <w:pPr>
              <w:spacing w:line="240" w:lineRule="auto"/>
              <w:rPr>
                <w:color w:val="848484"/>
                <w:szCs w:val="20"/>
                <w:lang w:eastAsia="en-GB"/>
              </w:rPr>
            </w:pPr>
            <w:r w:rsidRPr="006D1C12">
              <w:rPr>
                <w:color w:val="848484"/>
                <w:szCs w:val="20"/>
                <w:lang w:eastAsia="en-GB"/>
              </w:rPr>
              <w:t>King's Lynn subsidence Price Control Deliverable</w:t>
            </w:r>
          </w:p>
        </w:tc>
        <w:tc>
          <w:tcPr>
            <w:tcW w:w="1240" w:type="dxa"/>
            <w:tcBorders>
              <w:top w:val="nil"/>
              <w:left w:val="nil"/>
              <w:bottom w:val="single" w:sz="8" w:space="0" w:color="B6BABE"/>
              <w:right w:val="single" w:sz="8" w:space="0" w:color="B6BABE"/>
            </w:tcBorders>
            <w:shd w:val="clear" w:color="auto" w:fill="auto"/>
            <w:vAlign w:val="center"/>
            <w:hideMark/>
          </w:tcPr>
          <w:p w14:paraId="005430DF" w14:textId="77777777" w:rsidR="006D1C12" w:rsidRPr="006D1C12" w:rsidRDefault="006D1C12" w:rsidP="006D1C12">
            <w:pPr>
              <w:spacing w:line="240" w:lineRule="auto"/>
              <w:rPr>
                <w:color w:val="848484"/>
                <w:szCs w:val="20"/>
                <w:lang w:eastAsia="en-GB"/>
              </w:rPr>
            </w:pPr>
            <w:r w:rsidRPr="006D1C12">
              <w:rPr>
                <w:color w:val="848484"/>
                <w:szCs w:val="20"/>
                <w:lang w:eastAsia="en-GB"/>
              </w:rPr>
              <w:t>SpC 3.10</w:t>
            </w:r>
          </w:p>
        </w:tc>
        <w:tc>
          <w:tcPr>
            <w:tcW w:w="4220" w:type="dxa"/>
            <w:tcBorders>
              <w:top w:val="nil"/>
              <w:left w:val="nil"/>
              <w:bottom w:val="single" w:sz="8" w:space="0" w:color="B6BABE"/>
              <w:right w:val="single" w:sz="8" w:space="0" w:color="B6BABE"/>
            </w:tcBorders>
            <w:shd w:val="clear" w:color="auto" w:fill="auto"/>
            <w:vAlign w:val="center"/>
            <w:hideMark/>
          </w:tcPr>
          <w:p w14:paraId="38E39C93"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PCD Reporting Requirements and Methodology</w:t>
            </w:r>
          </w:p>
        </w:tc>
      </w:tr>
      <w:tr w:rsidR="006D1C12" w:rsidRPr="006D1C12" w14:paraId="1CA40649"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3CAA87DA" w14:textId="77777777" w:rsidR="006D1C12" w:rsidRPr="006D1C12" w:rsidRDefault="006D1C12" w:rsidP="006D1C12">
            <w:pPr>
              <w:spacing w:line="240" w:lineRule="auto"/>
              <w:rPr>
                <w:color w:val="848484"/>
                <w:szCs w:val="20"/>
                <w:lang w:eastAsia="en-GB"/>
              </w:rPr>
            </w:pPr>
            <w:r w:rsidRPr="006D1C12">
              <w:rPr>
                <w:color w:val="848484"/>
                <w:szCs w:val="20"/>
                <w:lang w:eastAsia="en-GB"/>
              </w:rPr>
              <w:t>BTR</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752A7954" w14:textId="77777777" w:rsidR="006D1C12" w:rsidRPr="006D1C12" w:rsidRDefault="006D1C12" w:rsidP="006D1C12">
            <w:pPr>
              <w:spacing w:line="240" w:lineRule="auto"/>
              <w:rPr>
                <w:color w:val="848484"/>
                <w:szCs w:val="20"/>
                <w:lang w:eastAsia="en-GB"/>
              </w:rPr>
            </w:pPr>
            <w:r w:rsidRPr="006D1C12">
              <w:rPr>
                <w:color w:val="848484"/>
                <w:szCs w:val="20"/>
                <w:lang w:eastAsia="en-GB"/>
              </w:rPr>
              <w:t>Bacton Reopener</w:t>
            </w:r>
          </w:p>
        </w:tc>
        <w:tc>
          <w:tcPr>
            <w:tcW w:w="1240" w:type="dxa"/>
            <w:tcBorders>
              <w:top w:val="nil"/>
              <w:left w:val="nil"/>
              <w:bottom w:val="single" w:sz="8" w:space="0" w:color="B6BABE"/>
              <w:right w:val="single" w:sz="8" w:space="0" w:color="B6BABE"/>
            </w:tcBorders>
            <w:shd w:val="clear" w:color="auto" w:fill="auto"/>
            <w:vAlign w:val="center"/>
            <w:hideMark/>
          </w:tcPr>
          <w:p w14:paraId="797D8220" w14:textId="77777777" w:rsidR="006D1C12" w:rsidRPr="006D1C12" w:rsidRDefault="006D1C12" w:rsidP="006D1C12">
            <w:pPr>
              <w:spacing w:line="240" w:lineRule="auto"/>
              <w:rPr>
                <w:color w:val="848484"/>
                <w:szCs w:val="20"/>
                <w:lang w:eastAsia="en-GB"/>
              </w:rPr>
            </w:pPr>
            <w:r w:rsidRPr="006D1C12">
              <w:rPr>
                <w:color w:val="848484"/>
                <w:szCs w:val="20"/>
                <w:lang w:eastAsia="en-GB"/>
              </w:rPr>
              <w:t>SpC 3.8</w:t>
            </w:r>
          </w:p>
        </w:tc>
        <w:tc>
          <w:tcPr>
            <w:tcW w:w="4220" w:type="dxa"/>
            <w:tcBorders>
              <w:top w:val="nil"/>
              <w:left w:val="nil"/>
              <w:bottom w:val="single" w:sz="8" w:space="0" w:color="B6BABE"/>
              <w:right w:val="single" w:sz="8" w:space="0" w:color="B6BABE"/>
            </w:tcBorders>
            <w:shd w:val="clear" w:color="auto" w:fill="auto"/>
            <w:vAlign w:val="center"/>
            <w:hideMark/>
          </w:tcPr>
          <w:p w14:paraId="5EF5F425"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1EFEF868"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5B91E600" w14:textId="77777777" w:rsidR="006D1C12" w:rsidRPr="006D1C12" w:rsidRDefault="006D1C12" w:rsidP="006D1C12">
            <w:pPr>
              <w:spacing w:line="240" w:lineRule="auto"/>
              <w:rPr>
                <w:color w:val="848484"/>
                <w:szCs w:val="20"/>
                <w:lang w:eastAsia="en-GB"/>
              </w:rPr>
            </w:pPr>
            <w:r w:rsidRPr="006D1C12">
              <w:rPr>
                <w:color w:val="848484"/>
                <w:szCs w:val="20"/>
                <w:lang w:eastAsia="en-GB"/>
              </w:rPr>
              <w:t>CEP</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073172C8" w14:textId="77777777" w:rsidR="006D1C12" w:rsidRPr="006D1C12" w:rsidRDefault="006D1C12" w:rsidP="006D1C12">
            <w:pPr>
              <w:spacing w:line="240" w:lineRule="auto"/>
              <w:rPr>
                <w:color w:val="848484"/>
                <w:szCs w:val="20"/>
                <w:lang w:eastAsia="en-GB"/>
              </w:rPr>
            </w:pPr>
            <w:r w:rsidRPr="006D1C12">
              <w:rPr>
                <w:color w:val="848484"/>
                <w:szCs w:val="20"/>
                <w:lang w:eastAsia="en-GB"/>
              </w:rPr>
              <w:t>Compresor emissions  Reopener</w:t>
            </w:r>
          </w:p>
        </w:tc>
        <w:tc>
          <w:tcPr>
            <w:tcW w:w="1240" w:type="dxa"/>
            <w:tcBorders>
              <w:top w:val="nil"/>
              <w:left w:val="nil"/>
              <w:bottom w:val="single" w:sz="8" w:space="0" w:color="B6BABE"/>
              <w:right w:val="single" w:sz="8" w:space="0" w:color="B6BABE"/>
            </w:tcBorders>
            <w:shd w:val="clear" w:color="auto" w:fill="auto"/>
            <w:vAlign w:val="center"/>
            <w:hideMark/>
          </w:tcPr>
          <w:p w14:paraId="0F0D21E6" w14:textId="77777777" w:rsidR="006D1C12" w:rsidRPr="006D1C12" w:rsidRDefault="006D1C12" w:rsidP="006D1C12">
            <w:pPr>
              <w:spacing w:line="240" w:lineRule="auto"/>
              <w:rPr>
                <w:color w:val="848484"/>
                <w:szCs w:val="20"/>
                <w:lang w:eastAsia="en-GB"/>
              </w:rPr>
            </w:pPr>
            <w:r w:rsidRPr="006D1C12">
              <w:rPr>
                <w:color w:val="848484"/>
                <w:szCs w:val="20"/>
                <w:lang w:eastAsia="en-GB"/>
              </w:rPr>
              <w:t>SpC 3.9</w:t>
            </w:r>
          </w:p>
        </w:tc>
        <w:tc>
          <w:tcPr>
            <w:tcW w:w="4220" w:type="dxa"/>
            <w:tcBorders>
              <w:top w:val="nil"/>
              <w:left w:val="nil"/>
              <w:bottom w:val="single" w:sz="8" w:space="0" w:color="B6BABE"/>
              <w:right w:val="single" w:sz="8" w:space="0" w:color="B6BABE"/>
            </w:tcBorders>
            <w:shd w:val="clear" w:color="auto" w:fill="auto"/>
            <w:vAlign w:val="center"/>
            <w:hideMark/>
          </w:tcPr>
          <w:p w14:paraId="05DA33B9"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2B748946"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368C6A19" w14:textId="77777777" w:rsidR="006D1C12" w:rsidRPr="006D1C12" w:rsidRDefault="006D1C12" w:rsidP="006D1C12">
            <w:pPr>
              <w:spacing w:line="240" w:lineRule="auto"/>
              <w:rPr>
                <w:color w:val="848484"/>
                <w:szCs w:val="20"/>
                <w:lang w:eastAsia="en-GB"/>
              </w:rPr>
            </w:pPr>
            <w:r w:rsidRPr="006D1C12">
              <w:rPr>
                <w:color w:val="848484"/>
                <w:szCs w:val="20"/>
                <w:lang w:eastAsia="en-GB"/>
              </w:rPr>
              <w:t>KLS</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43CF2363" w14:textId="77777777" w:rsidR="006D1C12" w:rsidRPr="006D1C12" w:rsidRDefault="006D1C12" w:rsidP="006D1C12">
            <w:pPr>
              <w:spacing w:line="240" w:lineRule="auto"/>
              <w:rPr>
                <w:color w:val="848484"/>
                <w:szCs w:val="20"/>
                <w:lang w:eastAsia="en-GB"/>
              </w:rPr>
            </w:pPr>
            <w:r w:rsidRPr="006D1C12">
              <w:rPr>
                <w:color w:val="848484"/>
                <w:szCs w:val="20"/>
                <w:lang w:eastAsia="en-GB"/>
              </w:rPr>
              <w:t>King's Lynn subsidence Re-opener</w:t>
            </w:r>
          </w:p>
        </w:tc>
        <w:tc>
          <w:tcPr>
            <w:tcW w:w="1240" w:type="dxa"/>
            <w:tcBorders>
              <w:top w:val="nil"/>
              <w:left w:val="nil"/>
              <w:bottom w:val="single" w:sz="8" w:space="0" w:color="B6BABE"/>
              <w:right w:val="single" w:sz="8" w:space="0" w:color="B6BABE"/>
            </w:tcBorders>
            <w:shd w:val="clear" w:color="auto" w:fill="auto"/>
            <w:vAlign w:val="center"/>
            <w:hideMark/>
          </w:tcPr>
          <w:p w14:paraId="7C8D72CA" w14:textId="77777777" w:rsidR="006D1C12" w:rsidRPr="006D1C12" w:rsidRDefault="006D1C12" w:rsidP="006D1C12">
            <w:pPr>
              <w:spacing w:line="240" w:lineRule="auto"/>
              <w:rPr>
                <w:color w:val="848484"/>
                <w:szCs w:val="20"/>
                <w:lang w:eastAsia="en-GB"/>
              </w:rPr>
            </w:pPr>
            <w:r w:rsidRPr="006D1C12">
              <w:rPr>
                <w:color w:val="848484"/>
                <w:szCs w:val="20"/>
                <w:lang w:eastAsia="en-GB"/>
              </w:rPr>
              <w:t>SpC 3.10</w:t>
            </w:r>
          </w:p>
        </w:tc>
        <w:tc>
          <w:tcPr>
            <w:tcW w:w="4220" w:type="dxa"/>
            <w:tcBorders>
              <w:top w:val="nil"/>
              <w:left w:val="nil"/>
              <w:bottom w:val="single" w:sz="8" w:space="0" w:color="B6BABE"/>
              <w:right w:val="single" w:sz="8" w:space="0" w:color="B6BABE"/>
            </w:tcBorders>
            <w:shd w:val="clear" w:color="auto" w:fill="auto"/>
            <w:vAlign w:val="center"/>
            <w:hideMark/>
          </w:tcPr>
          <w:p w14:paraId="5979A9D0"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Re-opener Guidance and Application Requirements</w:t>
            </w:r>
          </w:p>
        </w:tc>
      </w:tr>
      <w:tr w:rsidR="006D1C12" w:rsidRPr="006D1C12" w14:paraId="13DBC7E4"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30C30DCF" w14:textId="77777777" w:rsidR="006D1C12" w:rsidRPr="006D1C12" w:rsidRDefault="006D1C12" w:rsidP="006D1C12">
            <w:pPr>
              <w:spacing w:line="240" w:lineRule="auto"/>
              <w:rPr>
                <w:color w:val="848484"/>
                <w:szCs w:val="20"/>
                <w:lang w:eastAsia="en-GB"/>
              </w:rPr>
            </w:pPr>
            <w:r w:rsidRPr="006D1C12">
              <w:rPr>
                <w:color w:val="848484"/>
                <w:szCs w:val="20"/>
                <w:lang w:eastAsia="en-GB"/>
              </w:rPr>
              <w:t>FIOC</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45F58DB3" w14:textId="77777777" w:rsidR="006D1C12" w:rsidRPr="006D1C12" w:rsidRDefault="006D1C12" w:rsidP="006D1C12">
            <w:pPr>
              <w:spacing w:line="240" w:lineRule="auto"/>
              <w:rPr>
                <w:color w:val="848484"/>
                <w:szCs w:val="20"/>
                <w:lang w:eastAsia="en-GB"/>
              </w:rPr>
            </w:pPr>
            <w:r w:rsidRPr="006D1C12">
              <w:rPr>
                <w:color w:val="848484"/>
                <w:szCs w:val="20"/>
                <w:lang w:eastAsia="en-GB"/>
              </w:rPr>
              <w:t>Funded Incremental Obligated Capacity Re-opener</w:t>
            </w:r>
          </w:p>
        </w:tc>
        <w:tc>
          <w:tcPr>
            <w:tcW w:w="1240" w:type="dxa"/>
            <w:tcBorders>
              <w:top w:val="nil"/>
              <w:left w:val="nil"/>
              <w:bottom w:val="single" w:sz="8" w:space="0" w:color="B6BABE"/>
              <w:right w:val="single" w:sz="8" w:space="0" w:color="B6BABE"/>
            </w:tcBorders>
            <w:shd w:val="clear" w:color="auto" w:fill="auto"/>
            <w:vAlign w:val="center"/>
            <w:hideMark/>
          </w:tcPr>
          <w:p w14:paraId="7849DB26" w14:textId="77777777" w:rsidR="006D1C12" w:rsidRPr="006D1C12" w:rsidRDefault="006D1C12" w:rsidP="006D1C12">
            <w:pPr>
              <w:spacing w:line="240" w:lineRule="auto"/>
              <w:rPr>
                <w:color w:val="848484"/>
                <w:szCs w:val="20"/>
                <w:lang w:eastAsia="en-GB"/>
              </w:rPr>
            </w:pPr>
            <w:r w:rsidRPr="006D1C12">
              <w:rPr>
                <w:color w:val="848484"/>
                <w:szCs w:val="20"/>
                <w:lang w:eastAsia="en-GB"/>
              </w:rPr>
              <w:t>SpC 3.11</w:t>
            </w:r>
          </w:p>
        </w:tc>
        <w:tc>
          <w:tcPr>
            <w:tcW w:w="4220" w:type="dxa"/>
            <w:tcBorders>
              <w:top w:val="nil"/>
              <w:left w:val="nil"/>
              <w:bottom w:val="single" w:sz="8" w:space="0" w:color="B6BABE"/>
              <w:right w:val="single" w:sz="8" w:space="0" w:color="B6BABE"/>
            </w:tcBorders>
            <w:shd w:val="clear" w:color="auto" w:fill="auto"/>
            <w:vAlign w:val="center"/>
            <w:hideMark/>
          </w:tcPr>
          <w:p w14:paraId="446939D0"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4BDA9F69"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71903BCF" w14:textId="77777777" w:rsidR="006D1C12" w:rsidRPr="006D1C12" w:rsidRDefault="006D1C12" w:rsidP="006D1C12">
            <w:pPr>
              <w:spacing w:line="240" w:lineRule="auto"/>
              <w:rPr>
                <w:color w:val="848484"/>
                <w:szCs w:val="20"/>
                <w:lang w:eastAsia="en-GB"/>
              </w:rPr>
            </w:pPr>
            <w:r w:rsidRPr="006D1C12">
              <w:rPr>
                <w:color w:val="848484"/>
                <w:szCs w:val="20"/>
                <w:lang w:eastAsia="en-GB"/>
              </w:rPr>
              <w:t>AH</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45536710" w14:textId="77777777" w:rsidR="006D1C12" w:rsidRPr="006D1C12" w:rsidRDefault="006D1C12" w:rsidP="006D1C12">
            <w:pPr>
              <w:spacing w:line="240" w:lineRule="auto"/>
              <w:rPr>
                <w:color w:val="848484"/>
                <w:szCs w:val="20"/>
                <w:lang w:eastAsia="en-GB"/>
              </w:rPr>
            </w:pPr>
            <w:r w:rsidRPr="006D1C12">
              <w:rPr>
                <w:color w:val="848484"/>
                <w:szCs w:val="20"/>
                <w:lang w:eastAsia="en-GB"/>
              </w:rPr>
              <w:t>Asset health reopener</w:t>
            </w:r>
          </w:p>
        </w:tc>
        <w:tc>
          <w:tcPr>
            <w:tcW w:w="1240" w:type="dxa"/>
            <w:tcBorders>
              <w:top w:val="nil"/>
              <w:left w:val="nil"/>
              <w:bottom w:val="single" w:sz="8" w:space="0" w:color="B6BABE"/>
              <w:right w:val="single" w:sz="8" w:space="0" w:color="B6BABE"/>
            </w:tcBorders>
            <w:shd w:val="clear" w:color="auto" w:fill="auto"/>
            <w:vAlign w:val="center"/>
            <w:hideMark/>
          </w:tcPr>
          <w:p w14:paraId="2BA5BC30" w14:textId="77777777" w:rsidR="006D1C12" w:rsidRPr="006D1C12" w:rsidRDefault="006D1C12" w:rsidP="006D1C12">
            <w:pPr>
              <w:spacing w:line="240" w:lineRule="auto"/>
              <w:rPr>
                <w:color w:val="848484"/>
                <w:szCs w:val="20"/>
                <w:lang w:eastAsia="en-GB"/>
              </w:rPr>
            </w:pPr>
            <w:r w:rsidRPr="006D1C12">
              <w:rPr>
                <w:color w:val="848484"/>
                <w:szCs w:val="20"/>
                <w:lang w:eastAsia="en-GB"/>
              </w:rPr>
              <w:t>SpC 3.12</w:t>
            </w:r>
          </w:p>
        </w:tc>
        <w:tc>
          <w:tcPr>
            <w:tcW w:w="4220" w:type="dxa"/>
            <w:tcBorders>
              <w:top w:val="nil"/>
              <w:left w:val="nil"/>
              <w:bottom w:val="single" w:sz="8" w:space="0" w:color="B6BABE"/>
              <w:right w:val="single" w:sz="8" w:space="0" w:color="B6BABE"/>
            </w:tcBorders>
            <w:shd w:val="clear" w:color="auto" w:fill="auto"/>
            <w:vAlign w:val="center"/>
            <w:hideMark/>
          </w:tcPr>
          <w:p w14:paraId="10313C15"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3D04C61D"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D225850" w14:textId="77777777" w:rsidR="006D1C12" w:rsidRPr="006D1C12" w:rsidRDefault="006D1C12" w:rsidP="006D1C12">
            <w:pPr>
              <w:spacing w:line="240" w:lineRule="auto"/>
              <w:rPr>
                <w:color w:val="848484"/>
                <w:szCs w:val="20"/>
                <w:lang w:eastAsia="en-GB"/>
              </w:rPr>
            </w:pPr>
            <w:r w:rsidRPr="006D1C12">
              <w:rPr>
                <w:color w:val="848484"/>
                <w:szCs w:val="20"/>
                <w:lang w:eastAsia="en-GB"/>
              </w:rPr>
              <w:t>NLA</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49A2AE62" w14:textId="77777777" w:rsidR="006D1C12" w:rsidRPr="006D1C12" w:rsidRDefault="006D1C12" w:rsidP="006D1C12">
            <w:pPr>
              <w:spacing w:line="240" w:lineRule="auto"/>
              <w:rPr>
                <w:color w:val="848484"/>
                <w:szCs w:val="20"/>
                <w:lang w:eastAsia="en-GB"/>
              </w:rPr>
            </w:pPr>
            <w:r w:rsidRPr="006D1C12">
              <w:rPr>
                <w:color w:val="848484"/>
                <w:szCs w:val="20"/>
                <w:lang w:eastAsia="en-GB"/>
              </w:rPr>
              <w:t>Asset Health - Non Lead Assets Price Control Deliverable</w:t>
            </w:r>
          </w:p>
        </w:tc>
        <w:tc>
          <w:tcPr>
            <w:tcW w:w="1240" w:type="dxa"/>
            <w:tcBorders>
              <w:top w:val="nil"/>
              <w:left w:val="nil"/>
              <w:bottom w:val="single" w:sz="8" w:space="0" w:color="B6BABE"/>
              <w:right w:val="single" w:sz="8" w:space="0" w:color="B6BABE"/>
            </w:tcBorders>
            <w:shd w:val="clear" w:color="auto" w:fill="auto"/>
            <w:vAlign w:val="center"/>
            <w:hideMark/>
          </w:tcPr>
          <w:p w14:paraId="0108BDB9" w14:textId="77777777" w:rsidR="006D1C12" w:rsidRPr="006D1C12" w:rsidRDefault="006D1C12" w:rsidP="006D1C12">
            <w:pPr>
              <w:spacing w:line="240" w:lineRule="auto"/>
              <w:rPr>
                <w:color w:val="848484"/>
                <w:szCs w:val="20"/>
                <w:lang w:eastAsia="en-GB"/>
              </w:rPr>
            </w:pPr>
            <w:r w:rsidRPr="006D1C12">
              <w:rPr>
                <w:color w:val="848484"/>
                <w:szCs w:val="20"/>
                <w:lang w:eastAsia="en-GB"/>
              </w:rPr>
              <w:t>SpC 3.13</w:t>
            </w:r>
          </w:p>
        </w:tc>
        <w:tc>
          <w:tcPr>
            <w:tcW w:w="4220" w:type="dxa"/>
            <w:tcBorders>
              <w:top w:val="nil"/>
              <w:left w:val="nil"/>
              <w:bottom w:val="single" w:sz="8" w:space="0" w:color="B6BABE"/>
              <w:right w:val="single" w:sz="8" w:space="0" w:color="B6BABE"/>
            </w:tcBorders>
            <w:shd w:val="clear" w:color="auto" w:fill="auto"/>
            <w:vAlign w:val="center"/>
            <w:hideMark/>
          </w:tcPr>
          <w:p w14:paraId="476306B2"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PCD Reporting Requirements and Methodology</w:t>
            </w:r>
          </w:p>
        </w:tc>
      </w:tr>
      <w:tr w:rsidR="006D1C12" w:rsidRPr="006D1C12" w14:paraId="1A3A58CB"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7B31179B" w14:textId="77777777" w:rsidR="006D1C12" w:rsidRPr="006D1C12" w:rsidRDefault="006D1C12" w:rsidP="006D1C12">
            <w:pPr>
              <w:spacing w:line="240" w:lineRule="auto"/>
              <w:rPr>
                <w:color w:val="848484"/>
                <w:szCs w:val="20"/>
                <w:lang w:eastAsia="en-GB"/>
              </w:rPr>
            </w:pPr>
            <w:r w:rsidRPr="006D1C12">
              <w:rPr>
                <w:color w:val="848484"/>
                <w:szCs w:val="20"/>
                <w:lang w:eastAsia="en-GB"/>
              </w:rPr>
              <w:t>RA</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256383AE" w14:textId="77777777" w:rsidR="006D1C12" w:rsidRPr="006D1C12" w:rsidRDefault="006D1C12" w:rsidP="006D1C12">
            <w:pPr>
              <w:spacing w:line="240" w:lineRule="auto"/>
              <w:rPr>
                <w:color w:val="848484"/>
                <w:szCs w:val="20"/>
                <w:lang w:eastAsia="en-GB"/>
              </w:rPr>
            </w:pPr>
            <w:r w:rsidRPr="006D1C12">
              <w:rPr>
                <w:color w:val="848484"/>
                <w:szCs w:val="20"/>
                <w:lang w:eastAsia="en-GB"/>
              </w:rPr>
              <w:t>Redundant assets PCD</w:t>
            </w:r>
          </w:p>
        </w:tc>
        <w:tc>
          <w:tcPr>
            <w:tcW w:w="1240" w:type="dxa"/>
            <w:tcBorders>
              <w:top w:val="nil"/>
              <w:left w:val="nil"/>
              <w:bottom w:val="single" w:sz="8" w:space="0" w:color="B6BABE"/>
              <w:right w:val="single" w:sz="8" w:space="0" w:color="B6BABE"/>
            </w:tcBorders>
            <w:shd w:val="clear" w:color="auto" w:fill="auto"/>
            <w:vAlign w:val="center"/>
            <w:hideMark/>
          </w:tcPr>
          <w:p w14:paraId="75BF731D" w14:textId="77777777" w:rsidR="006D1C12" w:rsidRPr="006D1C12" w:rsidRDefault="006D1C12" w:rsidP="006D1C12">
            <w:pPr>
              <w:spacing w:line="240" w:lineRule="auto"/>
              <w:rPr>
                <w:color w:val="848484"/>
                <w:szCs w:val="20"/>
                <w:lang w:eastAsia="en-GB"/>
              </w:rPr>
            </w:pPr>
            <w:r w:rsidRPr="006D1C12">
              <w:rPr>
                <w:color w:val="848484"/>
                <w:szCs w:val="20"/>
                <w:lang w:eastAsia="en-GB"/>
              </w:rPr>
              <w:t>SpC 3.14</w:t>
            </w:r>
          </w:p>
        </w:tc>
        <w:tc>
          <w:tcPr>
            <w:tcW w:w="4220" w:type="dxa"/>
            <w:tcBorders>
              <w:top w:val="nil"/>
              <w:left w:val="nil"/>
              <w:bottom w:val="single" w:sz="8" w:space="0" w:color="B6BABE"/>
              <w:right w:val="single" w:sz="8" w:space="0" w:color="B6BABE"/>
            </w:tcBorders>
            <w:shd w:val="clear" w:color="auto" w:fill="auto"/>
            <w:vAlign w:val="center"/>
            <w:hideMark/>
          </w:tcPr>
          <w:p w14:paraId="4CB0159F"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PCD Reporting Requirements and Methodology</w:t>
            </w:r>
          </w:p>
        </w:tc>
      </w:tr>
      <w:tr w:rsidR="006D1C12" w:rsidRPr="006D1C12" w14:paraId="740F5CD9"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4B6D2A0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35F236EB" w14:textId="77777777" w:rsidR="006D1C12" w:rsidRPr="006D1C12" w:rsidRDefault="006D1C12" w:rsidP="006D1C12">
            <w:pPr>
              <w:spacing w:line="240" w:lineRule="auto"/>
              <w:rPr>
                <w:color w:val="848484"/>
                <w:szCs w:val="20"/>
                <w:lang w:eastAsia="en-GB"/>
              </w:rPr>
            </w:pPr>
            <w:r w:rsidRPr="006D1C12">
              <w:rPr>
                <w:color w:val="848484"/>
                <w:szCs w:val="20"/>
                <w:lang w:eastAsia="en-GB"/>
              </w:rPr>
              <w:t>Arrangements for the recovery of uncertain costs</w:t>
            </w:r>
          </w:p>
        </w:tc>
        <w:tc>
          <w:tcPr>
            <w:tcW w:w="1240" w:type="dxa"/>
            <w:tcBorders>
              <w:top w:val="nil"/>
              <w:left w:val="nil"/>
              <w:bottom w:val="single" w:sz="8" w:space="0" w:color="B6BABE"/>
              <w:right w:val="single" w:sz="8" w:space="0" w:color="B6BABE"/>
            </w:tcBorders>
            <w:shd w:val="clear" w:color="auto" w:fill="auto"/>
            <w:vAlign w:val="center"/>
            <w:hideMark/>
          </w:tcPr>
          <w:p w14:paraId="2831B030" w14:textId="77777777" w:rsidR="006D1C12" w:rsidRPr="006D1C12" w:rsidRDefault="006D1C12" w:rsidP="006D1C12">
            <w:pPr>
              <w:spacing w:line="240" w:lineRule="auto"/>
              <w:rPr>
                <w:color w:val="848484"/>
                <w:szCs w:val="20"/>
                <w:lang w:eastAsia="en-GB"/>
              </w:rPr>
            </w:pPr>
            <w:r w:rsidRPr="006D1C12">
              <w:rPr>
                <w:color w:val="848484"/>
                <w:szCs w:val="20"/>
                <w:lang w:eastAsia="en-GB"/>
              </w:rPr>
              <w:t>SpC 3.15</w:t>
            </w:r>
          </w:p>
        </w:tc>
        <w:tc>
          <w:tcPr>
            <w:tcW w:w="4220" w:type="dxa"/>
            <w:tcBorders>
              <w:top w:val="nil"/>
              <w:left w:val="nil"/>
              <w:bottom w:val="single" w:sz="8" w:space="0" w:color="B6BABE"/>
              <w:right w:val="single" w:sz="8" w:space="0" w:color="B6BABE"/>
            </w:tcBorders>
            <w:shd w:val="clear" w:color="auto" w:fill="auto"/>
            <w:vAlign w:val="center"/>
            <w:hideMark/>
          </w:tcPr>
          <w:p w14:paraId="1540DA9C"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F2D4F0B"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0C69EA4B"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564E03A8" w14:textId="77777777" w:rsidR="006D1C12" w:rsidRPr="006D1C12" w:rsidRDefault="006D1C12" w:rsidP="006D1C12">
            <w:pPr>
              <w:spacing w:line="240" w:lineRule="auto"/>
              <w:rPr>
                <w:color w:val="848484"/>
                <w:szCs w:val="20"/>
                <w:lang w:eastAsia="en-GB"/>
              </w:rPr>
            </w:pPr>
            <w:r w:rsidRPr="006D1C12">
              <w:rPr>
                <w:color w:val="848484"/>
                <w:szCs w:val="20"/>
                <w:lang w:eastAsia="en-GB"/>
              </w:rPr>
              <w:t>[Non-incremental Obligated Capacity]</w:t>
            </w:r>
          </w:p>
        </w:tc>
        <w:tc>
          <w:tcPr>
            <w:tcW w:w="1240" w:type="dxa"/>
            <w:tcBorders>
              <w:top w:val="nil"/>
              <w:left w:val="nil"/>
              <w:bottom w:val="single" w:sz="8" w:space="0" w:color="B6BABE"/>
              <w:right w:val="single" w:sz="8" w:space="0" w:color="B6BABE"/>
            </w:tcBorders>
            <w:shd w:val="clear" w:color="auto" w:fill="auto"/>
            <w:vAlign w:val="center"/>
            <w:hideMark/>
          </w:tcPr>
          <w:p w14:paraId="09EF17A8"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346B306B"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5306115"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583E082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5ECA9721" w14:textId="77777777" w:rsidR="006D1C12" w:rsidRPr="006D1C12" w:rsidRDefault="006D1C12" w:rsidP="006D1C12">
            <w:pPr>
              <w:spacing w:line="240" w:lineRule="auto"/>
              <w:rPr>
                <w:color w:val="848484"/>
                <w:szCs w:val="20"/>
                <w:lang w:eastAsia="en-GB"/>
              </w:rPr>
            </w:pPr>
            <w:r w:rsidRPr="006D1C12">
              <w:rPr>
                <w:color w:val="848484"/>
                <w:szCs w:val="20"/>
                <w:lang w:eastAsia="en-GB"/>
              </w:rPr>
              <w:t>[Opex Escalator indexation Re-Opener]</w:t>
            </w:r>
          </w:p>
        </w:tc>
        <w:tc>
          <w:tcPr>
            <w:tcW w:w="1240" w:type="dxa"/>
            <w:tcBorders>
              <w:top w:val="nil"/>
              <w:left w:val="nil"/>
              <w:bottom w:val="single" w:sz="8" w:space="0" w:color="B6BABE"/>
              <w:right w:val="single" w:sz="8" w:space="0" w:color="B6BABE"/>
            </w:tcBorders>
            <w:shd w:val="clear" w:color="auto" w:fill="auto"/>
            <w:vAlign w:val="center"/>
            <w:hideMark/>
          </w:tcPr>
          <w:p w14:paraId="1D14AF39"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3D92D634"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PCFM Guidance, Reopener Guidance and Application Requirements </w:t>
            </w:r>
          </w:p>
        </w:tc>
      </w:tr>
      <w:tr w:rsidR="006D1C12" w:rsidRPr="006D1C12" w14:paraId="3F3F5A13"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C093473"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382E071B"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RPE indexation </w:t>
            </w:r>
          </w:p>
        </w:tc>
        <w:tc>
          <w:tcPr>
            <w:tcW w:w="1240" w:type="dxa"/>
            <w:tcBorders>
              <w:top w:val="nil"/>
              <w:left w:val="nil"/>
              <w:bottom w:val="single" w:sz="8" w:space="0" w:color="B6BABE"/>
              <w:right w:val="single" w:sz="8" w:space="0" w:color="B6BABE"/>
            </w:tcBorders>
            <w:shd w:val="clear" w:color="auto" w:fill="auto"/>
            <w:vAlign w:val="center"/>
            <w:hideMark/>
          </w:tcPr>
          <w:p w14:paraId="58D35CD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3F9E841E"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5], PCFM Guidance</w:t>
            </w:r>
          </w:p>
        </w:tc>
      </w:tr>
      <w:tr w:rsidR="006D1C12" w:rsidRPr="006D1C12" w14:paraId="5927F6CE" w14:textId="77777777" w:rsidTr="006D1C12">
        <w:trPr>
          <w:trHeight w:val="293"/>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7C6F694F"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Pass-through Expenditure</w:t>
            </w:r>
          </w:p>
        </w:tc>
      </w:tr>
      <w:tr w:rsidR="006D1C12" w:rsidRPr="006D1C12" w14:paraId="4A63B35F"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D342775" w14:textId="77777777" w:rsidR="006D1C12" w:rsidRPr="006D1C12" w:rsidRDefault="006D1C12" w:rsidP="006D1C12">
            <w:pPr>
              <w:spacing w:line="240" w:lineRule="auto"/>
              <w:rPr>
                <w:color w:val="848484"/>
                <w:szCs w:val="20"/>
                <w:lang w:eastAsia="en-GB"/>
              </w:rPr>
            </w:pPr>
            <w:r w:rsidRPr="006D1C12">
              <w:rPr>
                <w:color w:val="848484"/>
                <w:szCs w:val="20"/>
                <w:lang w:eastAsia="en-GB"/>
              </w:rPr>
              <w:t>LF</w:t>
            </w:r>
            <w:r w:rsidRPr="006D1C12">
              <w:rPr>
                <w:color w:val="848484"/>
                <w:szCs w:val="20"/>
                <w:vertAlign w:val="subscript"/>
                <w:lang w:eastAsia="en-GB"/>
              </w:rPr>
              <w:t xml:space="preserve">t </w:t>
            </w:r>
          </w:p>
        </w:tc>
        <w:tc>
          <w:tcPr>
            <w:tcW w:w="3580" w:type="dxa"/>
            <w:tcBorders>
              <w:top w:val="nil"/>
              <w:left w:val="nil"/>
              <w:bottom w:val="single" w:sz="8" w:space="0" w:color="B6BABE"/>
              <w:right w:val="single" w:sz="8" w:space="0" w:color="B6BABE"/>
            </w:tcBorders>
            <w:shd w:val="clear" w:color="auto" w:fill="auto"/>
            <w:vAlign w:val="center"/>
            <w:hideMark/>
          </w:tcPr>
          <w:p w14:paraId="04DA9F8E"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Ofgem Licence fee </w:t>
            </w:r>
          </w:p>
        </w:tc>
        <w:tc>
          <w:tcPr>
            <w:tcW w:w="1240" w:type="dxa"/>
            <w:tcBorders>
              <w:top w:val="nil"/>
              <w:left w:val="nil"/>
              <w:bottom w:val="single" w:sz="8" w:space="0" w:color="B6BABE"/>
              <w:right w:val="single" w:sz="8" w:space="0" w:color="B6BABE"/>
            </w:tcBorders>
            <w:shd w:val="clear" w:color="auto" w:fill="auto"/>
            <w:vAlign w:val="center"/>
            <w:hideMark/>
          </w:tcPr>
          <w:p w14:paraId="5227BB5D" w14:textId="77777777" w:rsidR="006D1C12" w:rsidRPr="006D1C12" w:rsidRDefault="006D1C12" w:rsidP="006D1C12">
            <w:pPr>
              <w:spacing w:line="240" w:lineRule="auto"/>
              <w:rPr>
                <w:color w:val="848484"/>
                <w:szCs w:val="20"/>
                <w:lang w:eastAsia="en-GB"/>
              </w:rPr>
            </w:pPr>
            <w:r w:rsidRPr="006D1C12">
              <w:rPr>
                <w:color w:val="848484"/>
                <w:szCs w:val="20"/>
                <w:lang w:eastAsia="en-GB"/>
              </w:rPr>
              <w:t>SpC 6.1, Part A</w:t>
            </w:r>
          </w:p>
        </w:tc>
        <w:tc>
          <w:tcPr>
            <w:tcW w:w="4220" w:type="dxa"/>
            <w:tcBorders>
              <w:top w:val="nil"/>
              <w:left w:val="nil"/>
              <w:bottom w:val="single" w:sz="8" w:space="0" w:color="B6BABE"/>
              <w:right w:val="single" w:sz="8" w:space="0" w:color="B6BABE"/>
            </w:tcBorders>
            <w:shd w:val="clear" w:color="auto" w:fill="auto"/>
            <w:vAlign w:val="center"/>
            <w:hideMark/>
          </w:tcPr>
          <w:p w14:paraId="594BC224"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52EBCD60"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DE52A9C" w14:textId="77777777" w:rsidR="006D1C12" w:rsidRPr="006D1C12" w:rsidRDefault="006D1C12" w:rsidP="006D1C12">
            <w:pPr>
              <w:spacing w:line="240" w:lineRule="auto"/>
              <w:rPr>
                <w:color w:val="848484"/>
                <w:szCs w:val="20"/>
                <w:lang w:eastAsia="en-GB"/>
              </w:rPr>
            </w:pPr>
            <w:r w:rsidRPr="006D1C12">
              <w:rPr>
                <w:color w:val="848484"/>
                <w:szCs w:val="20"/>
                <w:lang w:eastAsia="en-GB"/>
              </w:rPr>
              <w:t>RB</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0BA0A07B"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Business rates </w:t>
            </w:r>
          </w:p>
        </w:tc>
        <w:tc>
          <w:tcPr>
            <w:tcW w:w="1240" w:type="dxa"/>
            <w:tcBorders>
              <w:top w:val="nil"/>
              <w:left w:val="nil"/>
              <w:bottom w:val="single" w:sz="8" w:space="0" w:color="B6BABE"/>
              <w:right w:val="single" w:sz="8" w:space="0" w:color="B6BABE"/>
            </w:tcBorders>
            <w:shd w:val="clear" w:color="auto" w:fill="auto"/>
            <w:vAlign w:val="center"/>
            <w:hideMark/>
          </w:tcPr>
          <w:p w14:paraId="2C394143" w14:textId="77777777" w:rsidR="006D1C12" w:rsidRPr="006D1C12" w:rsidRDefault="006D1C12" w:rsidP="006D1C12">
            <w:pPr>
              <w:spacing w:line="240" w:lineRule="auto"/>
              <w:rPr>
                <w:color w:val="848484"/>
                <w:szCs w:val="20"/>
                <w:lang w:eastAsia="en-GB"/>
              </w:rPr>
            </w:pPr>
            <w:r w:rsidRPr="006D1C12">
              <w:rPr>
                <w:color w:val="848484"/>
                <w:szCs w:val="20"/>
                <w:lang w:eastAsia="en-GB"/>
              </w:rPr>
              <w:t>SpC 6.1, Part B</w:t>
            </w:r>
          </w:p>
        </w:tc>
        <w:tc>
          <w:tcPr>
            <w:tcW w:w="4220" w:type="dxa"/>
            <w:tcBorders>
              <w:top w:val="nil"/>
              <w:left w:val="nil"/>
              <w:bottom w:val="single" w:sz="8" w:space="0" w:color="B6BABE"/>
              <w:right w:val="single" w:sz="8" w:space="0" w:color="B6BABE"/>
            </w:tcBorders>
            <w:shd w:val="clear" w:color="auto" w:fill="auto"/>
            <w:vAlign w:val="center"/>
            <w:hideMark/>
          </w:tcPr>
          <w:p w14:paraId="2B89721F"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6D126B1"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3B32CBF8" w14:textId="77777777" w:rsidR="006D1C12" w:rsidRPr="006D1C12" w:rsidRDefault="006D1C12" w:rsidP="006D1C12">
            <w:pPr>
              <w:spacing w:line="240" w:lineRule="auto"/>
              <w:rPr>
                <w:color w:val="848484"/>
                <w:szCs w:val="20"/>
                <w:lang w:eastAsia="en-GB"/>
              </w:rPr>
            </w:pPr>
            <w:r w:rsidRPr="006D1C12">
              <w:rPr>
                <w:color w:val="848484"/>
                <w:szCs w:val="20"/>
                <w:lang w:eastAsia="en-GB"/>
              </w:rPr>
              <w:t>EDE</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26C7B8BF"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Pensions (pension scheme established deficits) </w:t>
            </w:r>
          </w:p>
        </w:tc>
        <w:tc>
          <w:tcPr>
            <w:tcW w:w="1240" w:type="dxa"/>
            <w:tcBorders>
              <w:top w:val="nil"/>
              <w:left w:val="nil"/>
              <w:bottom w:val="single" w:sz="8" w:space="0" w:color="B6BABE"/>
              <w:right w:val="single" w:sz="8" w:space="0" w:color="B6BABE"/>
            </w:tcBorders>
            <w:shd w:val="clear" w:color="auto" w:fill="auto"/>
            <w:vAlign w:val="center"/>
            <w:hideMark/>
          </w:tcPr>
          <w:p w14:paraId="57072E15" w14:textId="77777777" w:rsidR="006D1C12" w:rsidRPr="006D1C12" w:rsidRDefault="006D1C12" w:rsidP="006D1C12">
            <w:pPr>
              <w:spacing w:line="240" w:lineRule="auto"/>
              <w:rPr>
                <w:color w:val="848484"/>
                <w:szCs w:val="20"/>
                <w:lang w:eastAsia="en-GB"/>
              </w:rPr>
            </w:pPr>
            <w:r w:rsidRPr="006D1C12">
              <w:rPr>
                <w:color w:val="848484"/>
                <w:szCs w:val="20"/>
                <w:lang w:eastAsia="en-GB"/>
              </w:rPr>
              <w:t>SpC 6.1, Part A</w:t>
            </w:r>
          </w:p>
        </w:tc>
        <w:tc>
          <w:tcPr>
            <w:tcW w:w="4220" w:type="dxa"/>
            <w:tcBorders>
              <w:top w:val="nil"/>
              <w:left w:val="nil"/>
              <w:bottom w:val="single" w:sz="8" w:space="0" w:color="B6BABE"/>
              <w:right w:val="single" w:sz="8" w:space="0" w:color="B6BABE"/>
            </w:tcBorders>
            <w:shd w:val="clear" w:color="auto" w:fill="auto"/>
            <w:vAlign w:val="center"/>
            <w:hideMark/>
          </w:tcPr>
          <w:p w14:paraId="497FCC65"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7, PCFM Guidance</w:t>
            </w:r>
          </w:p>
        </w:tc>
      </w:tr>
      <w:tr w:rsidR="006D1C12" w:rsidRPr="006D1C12" w14:paraId="22E2F03B"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0C632A2"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2E9164FE" w14:textId="77777777" w:rsidR="006D1C12" w:rsidRPr="006D1C12" w:rsidRDefault="006D1C12" w:rsidP="006D1C12">
            <w:pPr>
              <w:spacing w:line="240" w:lineRule="auto"/>
              <w:rPr>
                <w:color w:val="848484"/>
                <w:szCs w:val="20"/>
                <w:lang w:eastAsia="en-GB"/>
              </w:rPr>
            </w:pPr>
            <w:r w:rsidRPr="006D1C12">
              <w:rPr>
                <w:color w:val="848484"/>
                <w:szCs w:val="20"/>
                <w:lang w:eastAsia="en-GB"/>
              </w:rPr>
              <w:t>[Other pass-through]</w:t>
            </w:r>
          </w:p>
        </w:tc>
        <w:tc>
          <w:tcPr>
            <w:tcW w:w="1240" w:type="dxa"/>
            <w:tcBorders>
              <w:top w:val="nil"/>
              <w:left w:val="nil"/>
              <w:bottom w:val="single" w:sz="8" w:space="0" w:color="B6BABE"/>
              <w:right w:val="single" w:sz="8" w:space="0" w:color="B6BABE"/>
            </w:tcBorders>
            <w:shd w:val="clear" w:color="auto" w:fill="auto"/>
            <w:vAlign w:val="center"/>
            <w:hideMark/>
          </w:tcPr>
          <w:p w14:paraId="1ADC2C95"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BA70E79"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263BD308" w14:textId="77777777" w:rsidTr="006D1C12">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7726CAB7"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Output Delivery Incentives</w:t>
            </w:r>
          </w:p>
        </w:tc>
      </w:tr>
      <w:tr w:rsidR="006D1C12" w:rsidRPr="006D1C12" w14:paraId="0640D0F6"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01B99D2" w14:textId="77777777" w:rsidR="006D1C12" w:rsidRPr="006D1C12" w:rsidRDefault="006D1C12" w:rsidP="006D1C12">
            <w:pPr>
              <w:spacing w:line="240" w:lineRule="auto"/>
              <w:rPr>
                <w:color w:val="848484"/>
                <w:szCs w:val="20"/>
                <w:lang w:eastAsia="en-GB"/>
              </w:rPr>
            </w:pPr>
            <w:r w:rsidRPr="006D1C12">
              <w:rPr>
                <w:color w:val="848484"/>
                <w:szCs w:val="20"/>
                <w:lang w:eastAsia="en-GB"/>
              </w:rPr>
              <w:t>CSI</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1DE8E4CF" w14:textId="77777777" w:rsidR="006D1C12" w:rsidRPr="006D1C12" w:rsidRDefault="006D1C12" w:rsidP="006D1C12">
            <w:pPr>
              <w:spacing w:line="240" w:lineRule="auto"/>
              <w:rPr>
                <w:color w:val="848484"/>
                <w:szCs w:val="20"/>
                <w:lang w:eastAsia="en-GB"/>
              </w:rPr>
            </w:pPr>
            <w:r w:rsidRPr="006D1C12">
              <w:rPr>
                <w:color w:val="848484"/>
                <w:szCs w:val="20"/>
                <w:lang w:eastAsia="en-GB"/>
              </w:rPr>
              <w:t>Commmon ODI - Customer Satisfaction Survey</w:t>
            </w:r>
          </w:p>
        </w:tc>
        <w:tc>
          <w:tcPr>
            <w:tcW w:w="1240" w:type="dxa"/>
            <w:tcBorders>
              <w:top w:val="nil"/>
              <w:left w:val="nil"/>
              <w:bottom w:val="single" w:sz="8" w:space="0" w:color="B6BABE"/>
              <w:right w:val="single" w:sz="8" w:space="0" w:color="B6BABE"/>
            </w:tcBorders>
            <w:shd w:val="clear" w:color="auto" w:fill="auto"/>
            <w:vAlign w:val="center"/>
            <w:hideMark/>
          </w:tcPr>
          <w:p w14:paraId="0A9E92AC" w14:textId="27A7AE57" w:rsidR="006D1C12" w:rsidRPr="006D1C12" w:rsidRDefault="006D1C12" w:rsidP="006D1C12">
            <w:pPr>
              <w:spacing w:line="240" w:lineRule="auto"/>
              <w:rPr>
                <w:color w:val="848484"/>
                <w:szCs w:val="20"/>
                <w:lang w:eastAsia="en-GB"/>
              </w:rPr>
            </w:pPr>
            <w:r w:rsidRPr="006D1C12">
              <w:rPr>
                <w:color w:val="848484"/>
                <w:szCs w:val="20"/>
                <w:lang w:eastAsia="en-GB"/>
              </w:rPr>
              <w:t>SpC 4.</w:t>
            </w:r>
            <w:r w:rsidR="0071597E">
              <w:rPr>
                <w:color w:val="848484"/>
                <w:szCs w:val="20"/>
                <w:lang w:eastAsia="en-GB"/>
              </w:rPr>
              <w:t>2</w:t>
            </w:r>
          </w:p>
        </w:tc>
        <w:tc>
          <w:tcPr>
            <w:tcW w:w="4220" w:type="dxa"/>
            <w:tcBorders>
              <w:top w:val="nil"/>
              <w:left w:val="nil"/>
              <w:bottom w:val="single" w:sz="8" w:space="0" w:color="B6BABE"/>
              <w:right w:val="single" w:sz="8" w:space="0" w:color="B6BABE"/>
            </w:tcBorders>
            <w:shd w:val="clear" w:color="auto" w:fill="auto"/>
            <w:vAlign w:val="center"/>
            <w:hideMark/>
          </w:tcPr>
          <w:p w14:paraId="006D902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98AE18B"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7F9D3333"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4CC21BF4" w14:textId="77777777" w:rsidR="006D1C12" w:rsidRPr="006D1C12" w:rsidRDefault="006D1C12" w:rsidP="006D1C12">
            <w:pPr>
              <w:spacing w:line="240" w:lineRule="auto"/>
              <w:rPr>
                <w:color w:val="848484"/>
                <w:szCs w:val="20"/>
                <w:lang w:eastAsia="en-GB"/>
              </w:rPr>
            </w:pPr>
            <w:r w:rsidRPr="006D1C12">
              <w:rPr>
                <w:color w:val="848484"/>
                <w:szCs w:val="20"/>
                <w:lang w:eastAsia="en-GB"/>
              </w:rPr>
              <w:t>[Bespoke ODI]</w:t>
            </w:r>
          </w:p>
        </w:tc>
        <w:tc>
          <w:tcPr>
            <w:tcW w:w="1240" w:type="dxa"/>
            <w:tcBorders>
              <w:top w:val="nil"/>
              <w:left w:val="nil"/>
              <w:bottom w:val="single" w:sz="8" w:space="0" w:color="B6BABE"/>
              <w:right w:val="single" w:sz="8" w:space="0" w:color="B6BABE"/>
            </w:tcBorders>
            <w:shd w:val="clear" w:color="auto" w:fill="auto"/>
            <w:vAlign w:val="center"/>
            <w:hideMark/>
          </w:tcPr>
          <w:p w14:paraId="4DB733EF"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8503EEE"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556C77CF" w14:textId="77777777" w:rsidTr="006D1C12">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2FFB4400"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Innovation</w:t>
            </w:r>
          </w:p>
        </w:tc>
      </w:tr>
      <w:tr w:rsidR="006D1C12" w:rsidRPr="006D1C12" w14:paraId="04BC124D" w14:textId="77777777" w:rsidTr="006D1C12">
        <w:trPr>
          <w:trHeight w:val="750"/>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3D3D28CD" w14:textId="77777777" w:rsidR="006D1C12" w:rsidRPr="006D1C12" w:rsidRDefault="006D1C12" w:rsidP="006D1C12">
            <w:pPr>
              <w:spacing w:line="240" w:lineRule="auto"/>
              <w:rPr>
                <w:color w:val="848484"/>
                <w:szCs w:val="20"/>
                <w:lang w:eastAsia="en-GB"/>
              </w:rPr>
            </w:pPr>
            <w:r w:rsidRPr="006D1C12">
              <w:rPr>
                <w:color w:val="848484"/>
                <w:szCs w:val="20"/>
                <w:lang w:eastAsia="en-GB"/>
              </w:rPr>
              <w:t>NIA</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6E5309D3" w14:textId="77777777" w:rsidR="006D1C12" w:rsidRPr="006D1C12" w:rsidRDefault="006D1C12" w:rsidP="006D1C12">
            <w:pPr>
              <w:spacing w:line="240" w:lineRule="auto"/>
              <w:rPr>
                <w:color w:val="848484"/>
                <w:szCs w:val="20"/>
                <w:lang w:eastAsia="en-GB"/>
              </w:rPr>
            </w:pPr>
            <w:r w:rsidRPr="006D1C12">
              <w:rPr>
                <w:color w:val="848484"/>
                <w:szCs w:val="20"/>
                <w:lang w:eastAsia="en-GB"/>
              </w:rPr>
              <w:t>Network Innovation Allowance</w:t>
            </w:r>
          </w:p>
        </w:tc>
        <w:tc>
          <w:tcPr>
            <w:tcW w:w="1240" w:type="dxa"/>
            <w:tcBorders>
              <w:top w:val="nil"/>
              <w:left w:val="nil"/>
              <w:bottom w:val="single" w:sz="8" w:space="0" w:color="B6BABE"/>
              <w:right w:val="single" w:sz="8" w:space="0" w:color="B6BABE"/>
            </w:tcBorders>
            <w:shd w:val="clear" w:color="auto" w:fill="auto"/>
            <w:vAlign w:val="center"/>
            <w:hideMark/>
          </w:tcPr>
          <w:p w14:paraId="02ACDD31" w14:textId="50E9A80C" w:rsidR="006D1C12" w:rsidRPr="006D1C12" w:rsidRDefault="006D1C12" w:rsidP="006D1C12">
            <w:pPr>
              <w:spacing w:line="240" w:lineRule="auto"/>
              <w:rPr>
                <w:color w:val="848484"/>
                <w:szCs w:val="20"/>
                <w:lang w:eastAsia="en-GB"/>
              </w:rPr>
            </w:pPr>
            <w:r w:rsidRPr="006D1C12">
              <w:rPr>
                <w:color w:val="848484"/>
                <w:szCs w:val="20"/>
                <w:lang w:eastAsia="en-GB"/>
              </w:rPr>
              <w:t>SpC 5.</w:t>
            </w:r>
            <w:r w:rsidR="0071597E">
              <w:rPr>
                <w:color w:val="848484"/>
                <w:szCs w:val="20"/>
                <w:lang w:eastAsia="en-GB"/>
              </w:rPr>
              <w:t>2</w:t>
            </w:r>
          </w:p>
        </w:tc>
        <w:tc>
          <w:tcPr>
            <w:tcW w:w="4220" w:type="dxa"/>
            <w:tcBorders>
              <w:top w:val="nil"/>
              <w:left w:val="nil"/>
              <w:bottom w:val="single" w:sz="8" w:space="0" w:color="B6BABE"/>
              <w:right w:val="single" w:sz="8" w:space="0" w:color="B6BABE"/>
            </w:tcBorders>
            <w:shd w:val="clear" w:color="auto" w:fill="auto"/>
            <w:vAlign w:val="center"/>
            <w:hideMark/>
          </w:tcPr>
          <w:p w14:paraId="3CAE45E4"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RIIO-2 Network Innovation Allowance Governance Document</w:t>
            </w:r>
          </w:p>
        </w:tc>
      </w:tr>
      <w:tr w:rsidR="006D1C12" w:rsidRPr="006D1C12" w14:paraId="3D881BCE"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3E16CF9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0C27AA5B" w14:textId="77777777" w:rsidR="006D1C12" w:rsidRPr="006D1C12" w:rsidRDefault="006D1C12" w:rsidP="006D1C12">
            <w:pPr>
              <w:spacing w:line="240" w:lineRule="auto"/>
              <w:rPr>
                <w:color w:val="848484"/>
                <w:szCs w:val="20"/>
                <w:lang w:eastAsia="en-GB"/>
              </w:rPr>
            </w:pPr>
            <w:r w:rsidRPr="006D1C12">
              <w:rPr>
                <w:color w:val="848484"/>
                <w:szCs w:val="20"/>
                <w:lang w:eastAsia="en-GB"/>
              </w:rPr>
              <w:t>Replacement  innovation pot for NIC</w:t>
            </w:r>
          </w:p>
        </w:tc>
        <w:tc>
          <w:tcPr>
            <w:tcW w:w="1240" w:type="dxa"/>
            <w:tcBorders>
              <w:top w:val="nil"/>
              <w:left w:val="nil"/>
              <w:bottom w:val="single" w:sz="8" w:space="0" w:color="B6BABE"/>
              <w:right w:val="single" w:sz="8" w:space="0" w:color="B6BABE"/>
            </w:tcBorders>
            <w:shd w:val="clear" w:color="auto" w:fill="auto"/>
            <w:vAlign w:val="center"/>
            <w:hideMark/>
          </w:tcPr>
          <w:p w14:paraId="68BF233F"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7B81EF4"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68AEC34F" w14:textId="77777777" w:rsidTr="006D1C12">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299F8B46"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lastRenderedPageBreak/>
              <w:t>Tax</w:t>
            </w:r>
          </w:p>
        </w:tc>
      </w:tr>
      <w:tr w:rsidR="006D1C12" w:rsidRPr="006D1C12" w14:paraId="4768DF8E"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387A776"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563013B6" w14:textId="77777777" w:rsidR="006D1C12" w:rsidRPr="006D1C12" w:rsidRDefault="006D1C12" w:rsidP="006D1C12">
            <w:pPr>
              <w:spacing w:line="240" w:lineRule="auto"/>
              <w:rPr>
                <w:color w:val="848484"/>
                <w:szCs w:val="20"/>
                <w:lang w:eastAsia="en-GB"/>
              </w:rPr>
            </w:pPr>
            <w:r w:rsidRPr="006D1C12">
              <w:rPr>
                <w:color w:val="848484"/>
                <w:szCs w:val="20"/>
                <w:lang w:eastAsia="en-GB"/>
              </w:rPr>
              <w:t>Adjusted net debt</w:t>
            </w:r>
          </w:p>
        </w:tc>
        <w:tc>
          <w:tcPr>
            <w:tcW w:w="1240" w:type="dxa"/>
            <w:tcBorders>
              <w:top w:val="nil"/>
              <w:left w:val="nil"/>
              <w:bottom w:val="single" w:sz="8" w:space="0" w:color="B6BABE"/>
              <w:right w:val="single" w:sz="8" w:space="0" w:color="B6BABE"/>
            </w:tcBorders>
            <w:shd w:val="clear" w:color="auto" w:fill="auto"/>
            <w:vAlign w:val="center"/>
            <w:hideMark/>
          </w:tcPr>
          <w:p w14:paraId="0D710FA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457227A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FF5B596"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D551DE9"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65692685" w14:textId="77777777" w:rsidR="006D1C12" w:rsidRPr="006D1C12" w:rsidRDefault="006D1C12" w:rsidP="006D1C12">
            <w:pPr>
              <w:spacing w:line="240" w:lineRule="auto"/>
              <w:rPr>
                <w:color w:val="848484"/>
                <w:szCs w:val="20"/>
                <w:lang w:eastAsia="en-GB"/>
              </w:rPr>
            </w:pPr>
            <w:r w:rsidRPr="006D1C12">
              <w:rPr>
                <w:color w:val="848484"/>
                <w:szCs w:val="20"/>
                <w:lang w:eastAsia="en-GB"/>
              </w:rPr>
              <w:t>Tax deductible net interest cost</w:t>
            </w:r>
          </w:p>
        </w:tc>
        <w:tc>
          <w:tcPr>
            <w:tcW w:w="1240" w:type="dxa"/>
            <w:tcBorders>
              <w:top w:val="nil"/>
              <w:left w:val="nil"/>
              <w:bottom w:val="single" w:sz="8" w:space="0" w:color="B6BABE"/>
              <w:right w:val="single" w:sz="8" w:space="0" w:color="B6BABE"/>
            </w:tcBorders>
            <w:shd w:val="clear" w:color="auto" w:fill="auto"/>
            <w:vAlign w:val="center"/>
            <w:hideMark/>
          </w:tcPr>
          <w:p w14:paraId="0DF7A2F9"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7033D816"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60E588B" w14:textId="77777777" w:rsidTr="006D1C12">
        <w:trPr>
          <w:trHeight w:val="31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043FD0E" w14:textId="77777777" w:rsidR="006D1C12" w:rsidRPr="006D1C12" w:rsidRDefault="006D1C12" w:rsidP="006D1C12">
            <w:pPr>
              <w:spacing w:line="240" w:lineRule="auto"/>
              <w:rPr>
                <w:color w:val="848484"/>
                <w:szCs w:val="20"/>
                <w:lang w:eastAsia="en-GB"/>
              </w:rPr>
            </w:pPr>
            <w:r w:rsidRPr="006D1C12">
              <w:rPr>
                <w:color w:val="848484"/>
                <w:szCs w:val="20"/>
                <w:lang w:eastAsia="en-GB"/>
              </w:rPr>
              <w:t>TAXA</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2B4FD974" w14:textId="77777777" w:rsidR="006D1C12" w:rsidRPr="006D1C12" w:rsidRDefault="006D1C12" w:rsidP="006D1C12">
            <w:pPr>
              <w:spacing w:line="240" w:lineRule="auto"/>
              <w:rPr>
                <w:color w:val="848484"/>
                <w:szCs w:val="20"/>
                <w:lang w:eastAsia="en-GB"/>
              </w:rPr>
            </w:pPr>
            <w:r w:rsidRPr="006D1C12">
              <w:rPr>
                <w:color w:val="848484"/>
                <w:szCs w:val="20"/>
                <w:lang w:eastAsia="en-GB"/>
              </w:rPr>
              <w:t>Tax allowance adjustment</w:t>
            </w:r>
          </w:p>
        </w:tc>
        <w:tc>
          <w:tcPr>
            <w:tcW w:w="1240" w:type="dxa"/>
            <w:tcBorders>
              <w:top w:val="nil"/>
              <w:left w:val="nil"/>
              <w:bottom w:val="single" w:sz="8" w:space="0" w:color="B6BABE"/>
              <w:right w:val="single" w:sz="8" w:space="0" w:color="B6BABE"/>
            </w:tcBorders>
            <w:shd w:val="clear" w:color="auto" w:fill="auto"/>
            <w:vAlign w:val="center"/>
            <w:hideMark/>
          </w:tcPr>
          <w:p w14:paraId="3156090A" w14:textId="77777777" w:rsidR="006D1C12" w:rsidRPr="006D1C12" w:rsidRDefault="006D1C12" w:rsidP="006D1C12">
            <w:pPr>
              <w:spacing w:line="240" w:lineRule="auto"/>
              <w:rPr>
                <w:color w:val="848484"/>
                <w:szCs w:val="20"/>
                <w:lang w:eastAsia="en-GB"/>
              </w:rPr>
            </w:pPr>
            <w:r w:rsidRPr="006D1C12">
              <w:rPr>
                <w:color w:val="848484"/>
                <w:szCs w:val="20"/>
                <w:lang w:eastAsia="en-GB"/>
              </w:rPr>
              <w:t>SpC 2.4</w:t>
            </w:r>
          </w:p>
        </w:tc>
        <w:tc>
          <w:tcPr>
            <w:tcW w:w="4220" w:type="dxa"/>
            <w:tcBorders>
              <w:top w:val="nil"/>
              <w:left w:val="nil"/>
              <w:bottom w:val="single" w:sz="8" w:space="0" w:color="B6BABE"/>
              <w:right w:val="single" w:sz="8" w:space="0" w:color="B6BABE"/>
            </w:tcBorders>
            <w:shd w:val="clear" w:color="auto" w:fill="auto"/>
            <w:vAlign w:val="center"/>
            <w:hideMark/>
          </w:tcPr>
          <w:p w14:paraId="4CA58C90"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6, PCFM Guidance</w:t>
            </w:r>
          </w:p>
        </w:tc>
      </w:tr>
      <w:tr w:rsidR="006D1C12" w:rsidRPr="006D1C12" w14:paraId="7F88B6E8" w14:textId="77777777" w:rsidTr="006D1C12">
        <w:trPr>
          <w:trHeight w:val="750"/>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F677302" w14:textId="77777777" w:rsidR="006D1C12" w:rsidRPr="006D1C12" w:rsidRDefault="006D1C12" w:rsidP="006D1C12">
            <w:pPr>
              <w:spacing w:line="240" w:lineRule="auto"/>
              <w:rPr>
                <w:color w:val="848484"/>
                <w:szCs w:val="20"/>
                <w:lang w:eastAsia="en-GB"/>
              </w:rPr>
            </w:pPr>
            <w:r w:rsidRPr="006D1C12">
              <w:rPr>
                <w:color w:val="848484"/>
                <w:szCs w:val="20"/>
                <w:lang w:eastAsia="en-GB"/>
              </w:rPr>
              <w:t>TTE</w:t>
            </w:r>
          </w:p>
        </w:tc>
        <w:tc>
          <w:tcPr>
            <w:tcW w:w="3580" w:type="dxa"/>
            <w:tcBorders>
              <w:top w:val="nil"/>
              <w:left w:val="nil"/>
              <w:bottom w:val="single" w:sz="8" w:space="0" w:color="B6BABE"/>
              <w:right w:val="single" w:sz="8" w:space="0" w:color="B6BABE"/>
            </w:tcBorders>
            <w:shd w:val="clear" w:color="auto" w:fill="auto"/>
            <w:vAlign w:val="center"/>
            <w:hideMark/>
          </w:tcPr>
          <w:p w14:paraId="6EB3FB80" w14:textId="77777777" w:rsidR="006D1C12" w:rsidRPr="006D1C12" w:rsidRDefault="006D1C12" w:rsidP="006D1C12">
            <w:pPr>
              <w:spacing w:line="240" w:lineRule="auto"/>
              <w:rPr>
                <w:color w:val="848484"/>
                <w:szCs w:val="20"/>
                <w:lang w:eastAsia="en-GB"/>
              </w:rPr>
            </w:pPr>
            <w:r w:rsidRPr="006D1C12">
              <w:rPr>
                <w:color w:val="848484"/>
                <w:szCs w:val="20"/>
                <w:lang w:eastAsia="en-GB"/>
              </w:rPr>
              <w:t>Tax liability allowance adjustments - driven by tax trigger events</w:t>
            </w:r>
          </w:p>
        </w:tc>
        <w:tc>
          <w:tcPr>
            <w:tcW w:w="1240" w:type="dxa"/>
            <w:tcBorders>
              <w:top w:val="nil"/>
              <w:left w:val="nil"/>
              <w:bottom w:val="single" w:sz="8" w:space="0" w:color="B6BABE"/>
              <w:right w:val="single" w:sz="8" w:space="0" w:color="B6BABE"/>
            </w:tcBorders>
            <w:shd w:val="clear" w:color="auto" w:fill="auto"/>
            <w:vAlign w:val="center"/>
            <w:hideMark/>
          </w:tcPr>
          <w:p w14:paraId="09C44D5F"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4AD8F055"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6, PCFM Guidance</w:t>
            </w:r>
          </w:p>
        </w:tc>
      </w:tr>
      <w:tr w:rsidR="006D1C12" w:rsidRPr="006D1C12" w14:paraId="00FE384C"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3ADDCDC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6A2D247C" w14:textId="77777777" w:rsidR="006D1C12" w:rsidRPr="006D1C12" w:rsidRDefault="006D1C12" w:rsidP="006D1C12">
            <w:pPr>
              <w:spacing w:line="240" w:lineRule="auto"/>
              <w:rPr>
                <w:color w:val="848484"/>
                <w:szCs w:val="20"/>
                <w:lang w:eastAsia="en-GB"/>
              </w:rPr>
            </w:pPr>
            <w:r w:rsidRPr="006D1C12">
              <w:rPr>
                <w:color w:val="848484"/>
                <w:szCs w:val="20"/>
                <w:lang w:eastAsia="en-GB"/>
              </w:rPr>
              <w:t>General pool capital allowance opening balance brought forward</w:t>
            </w:r>
          </w:p>
        </w:tc>
        <w:tc>
          <w:tcPr>
            <w:tcW w:w="1240" w:type="dxa"/>
            <w:tcBorders>
              <w:top w:val="nil"/>
              <w:left w:val="nil"/>
              <w:bottom w:val="single" w:sz="8" w:space="0" w:color="B6BABE"/>
              <w:right w:val="single" w:sz="8" w:space="0" w:color="B6BABE"/>
            </w:tcBorders>
            <w:shd w:val="clear" w:color="auto" w:fill="auto"/>
            <w:vAlign w:val="center"/>
            <w:hideMark/>
          </w:tcPr>
          <w:p w14:paraId="60DDA24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31A779F3"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6DE1EBF5"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33C266F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43F5FEA2" w14:textId="77777777" w:rsidR="006D1C12" w:rsidRPr="006D1C12" w:rsidRDefault="006D1C12" w:rsidP="006D1C12">
            <w:pPr>
              <w:spacing w:line="240" w:lineRule="auto"/>
              <w:rPr>
                <w:color w:val="848484"/>
                <w:szCs w:val="20"/>
                <w:lang w:eastAsia="en-GB"/>
              </w:rPr>
            </w:pPr>
            <w:r w:rsidRPr="006D1C12">
              <w:rPr>
                <w:color w:val="848484"/>
                <w:szCs w:val="20"/>
                <w:lang w:eastAsia="en-GB"/>
              </w:rPr>
              <w:t>Special Rate capital allowance opening balance brought forward</w:t>
            </w:r>
          </w:p>
        </w:tc>
        <w:tc>
          <w:tcPr>
            <w:tcW w:w="1240" w:type="dxa"/>
            <w:tcBorders>
              <w:top w:val="nil"/>
              <w:left w:val="nil"/>
              <w:bottom w:val="single" w:sz="8" w:space="0" w:color="B6BABE"/>
              <w:right w:val="single" w:sz="8" w:space="0" w:color="B6BABE"/>
            </w:tcBorders>
            <w:shd w:val="clear" w:color="auto" w:fill="auto"/>
            <w:vAlign w:val="center"/>
            <w:hideMark/>
          </w:tcPr>
          <w:p w14:paraId="4F366275"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746BFD50"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B19166B" w14:textId="77777777" w:rsidTr="006D1C12">
        <w:trPr>
          <w:trHeight w:val="750"/>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0F2606A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40D8DBE7" w14:textId="77777777" w:rsidR="006D1C12" w:rsidRPr="006D1C12" w:rsidRDefault="006D1C12" w:rsidP="006D1C12">
            <w:pPr>
              <w:spacing w:line="240" w:lineRule="auto"/>
              <w:rPr>
                <w:color w:val="848484"/>
                <w:szCs w:val="20"/>
                <w:lang w:eastAsia="en-GB"/>
              </w:rPr>
            </w:pPr>
            <w:r w:rsidRPr="006D1C12">
              <w:rPr>
                <w:color w:val="848484"/>
                <w:szCs w:val="20"/>
                <w:lang w:eastAsia="en-GB"/>
              </w:rPr>
              <w:t>Structures and buildings capital allowance opening balance brought forward</w:t>
            </w:r>
          </w:p>
        </w:tc>
        <w:tc>
          <w:tcPr>
            <w:tcW w:w="1240" w:type="dxa"/>
            <w:tcBorders>
              <w:top w:val="nil"/>
              <w:left w:val="nil"/>
              <w:bottom w:val="single" w:sz="8" w:space="0" w:color="B6BABE"/>
              <w:right w:val="single" w:sz="8" w:space="0" w:color="B6BABE"/>
            </w:tcBorders>
            <w:shd w:val="clear" w:color="auto" w:fill="auto"/>
            <w:vAlign w:val="center"/>
            <w:hideMark/>
          </w:tcPr>
          <w:p w14:paraId="5A78F419"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6D395259"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FB46778"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C7DEAE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25A96634" w14:textId="77777777" w:rsidR="006D1C12" w:rsidRPr="006D1C12" w:rsidRDefault="006D1C12" w:rsidP="006D1C12">
            <w:pPr>
              <w:spacing w:line="240" w:lineRule="auto"/>
              <w:rPr>
                <w:color w:val="848484"/>
                <w:szCs w:val="20"/>
                <w:lang w:eastAsia="en-GB"/>
              </w:rPr>
            </w:pPr>
            <w:r w:rsidRPr="006D1C12">
              <w:rPr>
                <w:color w:val="848484"/>
                <w:szCs w:val="20"/>
                <w:lang w:eastAsia="en-GB"/>
              </w:rPr>
              <w:t>Deferred revenue expenditure opening balance brought forward</w:t>
            </w:r>
          </w:p>
        </w:tc>
        <w:tc>
          <w:tcPr>
            <w:tcW w:w="1240" w:type="dxa"/>
            <w:tcBorders>
              <w:top w:val="nil"/>
              <w:left w:val="nil"/>
              <w:bottom w:val="single" w:sz="8" w:space="0" w:color="B6BABE"/>
              <w:right w:val="single" w:sz="8" w:space="0" w:color="B6BABE"/>
            </w:tcBorders>
            <w:shd w:val="clear" w:color="auto" w:fill="auto"/>
            <w:vAlign w:val="center"/>
            <w:hideMark/>
          </w:tcPr>
          <w:p w14:paraId="6EC29AE6"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3ABD6ABB"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1817BE34" w14:textId="77777777" w:rsidTr="006D1C12">
        <w:trPr>
          <w:trHeight w:val="750"/>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6F230C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6445EF06" w14:textId="77777777" w:rsidR="006D1C12" w:rsidRPr="006D1C12" w:rsidRDefault="006D1C12" w:rsidP="006D1C12">
            <w:pPr>
              <w:spacing w:line="240" w:lineRule="auto"/>
              <w:rPr>
                <w:color w:val="848484"/>
                <w:szCs w:val="20"/>
                <w:lang w:eastAsia="en-GB"/>
              </w:rPr>
            </w:pPr>
            <w:r w:rsidRPr="006D1C12">
              <w:rPr>
                <w:color w:val="848484"/>
                <w:szCs w:val="20"/>
                <w:lang w:eastAsia="en-GB"/>
              </w:rPr>
              <w:t>Deferred revenue pool additions (RIIO1) plus opening balance at start of RIIO1</w:t>
            </w:r>
          </w:p>
        </w:tc>
        <w:tc>
          <w:tcPr>
            <w:tcW w:w="1240" w:type="dxa"/>
            <w:tcBorders>
              <w:top w:val="nil"/>
              <w:left w:val="nil"/>
              <w:bottom w:val="single" w:sz="8" w:space="0" w:color="B6BABE"/>
              <w:right w:val="single" w:sz="8" w:space="0" w:color="B6BABE"/>
            </w:tcBorders>
            <w:shd w:val="clear" w:color="auto" w:fill="auto"/>
            <w:vAlign w:val="center"/>
            <w:hideMark/>
          </w:tcPr>
          <w:p w14:paraId="69EFA3E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296EBB64"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13CC384"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1E88052"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2F8FA2CE" w14:textId="77777777" w:rsidR="006D1C12" w:rsidRPr="006D1C12" w:rsidRDefault="006D1C12" w:rsidP="006D1C12">
            <w:pPr>
              <w:spacing w:line="240" w:lineRule="auto"/>
              <w:rPr>
                <w:color w:val="848484"/>
                <w:szCs w:val="20"/>
                <w:lang w:eastAsia="en-GB"/>
              </w:rPr>
            </w:pPr>
            <w:r w:rsidRPr="006D1C12">
              <w:rPr>
                <w:color w:val="848484"/>
                <w:szCs w:val="20"/>
                <w:lang w:eastAsia="en-GB"/>
              </w:rPr>
              <w:t>Tax loss brought forward</w:t>
            </w:r>
          </w:p>
        </w:tc>
        <w:tc>
          <w:tcPr>
            <w:tcW w:w="1240" w:type="dxa"/>
            <w:tcBorders>
              <w:top w:val="nil"/>
              <w:left w:val="nil"/>
              <w:bottom w:val="single" w:sz="8" w:space="0" w:color="B6BABE"/>
              <w:right w:val="single" w:sz="8" w:space="0" w:color="B6BABE"/>
            </w:tcBorders>
            <w:shd w:val="clear" w:color="auto" w:fill="auto"/>
            <w:vAlign w:val="center"/>
            <w:hideMark/>
          </w:tcPr>
          <w:p w14:paraId="34658A95"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3682567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5F6BA4E7"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53256B14"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5D89CD15" w14:textId="77777777" w:rsidR="006D1C12" w:rsidRPr="006D1C12" w:rsidRDefault="006D1C12" w:rsidP="006D1C12">
            <w:pPr>
              <w:spacing w:line="240" w:lineRule="auto"/>
              <w:rPr>
                <w:color w:val="848484"/>
                <w:szCs w:val="20"/>
                <w:lang w:eastAsia="en-GB"/>
              </w:rPr>
            </w:pPr>
            <w:r w:rsidRPr="006D1C12">
              <w:rPr>
                <w:color w:val="848484"/>
                <w:szCs w:val="20"/>
                <w:lang w:eastAsia="en-GB"/>
              </w:rPr>
              <w:t>Allocation to "General" tax pool</w:t>
            </w:r>
          </w:p>
        </w:tc>
        <w:tc>
          <w:tcPr>
            <w:tcW w:w="1240" w:type="dxa"/>
            <w:tcBorders>
              <w:top w:val="nil"/>
              <w:left w:val="nil"/>
              <w:bottom w:val="single" w:sz="8" w:space="0" w:color="B6BABE"/>
              <w:right w:val="single" w:sz="8" w:space="0" w:color="B6BABE"/>
            </w:tcBorders>
            <w:shd w:val="clear" w:color="auto" w:fill="auto"/>
            <w:vAlign w:val="center"/>
            <w:hideMark/>
          </w:tcPr>
          <w:p w14:paraId="0A8D9146"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740ADA75"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60FCACCC"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3FA2090F"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464267CE" w14:textId="77777777" w:rsidR="006D1C12" w:rsidRPr="006D1C12" w:rsidRDefault="006D1C12" w:rsidP="006D1C12">
            <w:pPr>
              <w:spacing w:line="240" w:lineRule="auto"/>
              <w:rPr>
                <w:color w:val="848484"/>
                <w:szCs w:val="20"/>
                <w:lang w:eastAsia="en-GB"/>
              </w:rPr>
            </w:pPr>
            <w:r w:rsidRPr="006D1C12">
              <w:rPr>
                <w:color w:val="848484"/>
                <w:szCs w:val="20"/>
                <w:lang w:eastAsia="en-GB"/>
              </w:rPr>
              <w:t>Allocation to "Special Rate" tax pool</w:t>
            </w:r>
          </w:p>
        </w:tc>
        <w:tc>
          <w:tcPr>
            <w:tcW w:w="1240" w:type="dxa"/>
            <w:tcBorders>
              <w:top w:val="nil"/>
              <w:left w:val="nil"/>
              <w:bottom w:val="single" w:sz="8" w:space="0" w:color="B6BABE"/>
              <w:right w:val="single" w:sz="8" w:space="0" w:color="B6BABE"/>
            </w:tcBorders>
            <w:shd w:val="clear" w:color="auto" w:fill="auto"/>
            <w:vAlign w:val="center"/>
            <w:hideMark/>
          </w:tcPr>
          <w:p w14:paraId="7C951E2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7FB1BF16"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77CA3886"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587DE70C"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7115A880" w14:textId="77777777" w:rsidR="006D1C12" w:rsidRPr="006D1C12" w:rsidRDefault="006D1C12" w:rsidP="006D1C12">
            <w:pPr>
              <w:spacing w:line="240" w:lineRule="auto"/>
              <w:rPr>
                <w:color w:val="848484"/>
                <w:szCs w:val="20"/>
                <w:lang w:eastAsia="en-GB"/>
              </w:rPr>
            </w:pPr>
            <w:r w:rsidRPr="006D1C12">
              <w:rPr>
                <w:color w:val="848484"/>
                <w:szCs w:val="20"/>
                <w:lang w:eastAsia="en-GB"/>
              </w:rPr>
              <w:t>Allocation to "Structures and Buildings" tax pool</w:t>
            </w:r>
          </w:p>
        </w:tc>
        <w:tc>
          <w:tcPr>
            <w:tcW w:w="1240" w:type="dxa"/>
            <w:tcBorders>
              <w:top w:val="nil"/>
              <w:left w:val="nil"/>
              <w:bottom w:val="single" w:sz="8" w:space="0" w:color="B6BABE"/>
              <w:right w:val="single" w:sz="8" w:space="0" w:color="B6BABE"/>
            </w:tcBorders>
            <w:shd w:val="clear" w:color="auto" w:fill="auto"/>
            <w:vAlign w:val="center"/>
            <w:hideMark/>
          </w:tcPr>
          <w:p w14:paraId="66EE1AFA"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578DD8F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7E15675D"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23E76BFC"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00266D68" w14:textId="77777777" w:rsidR="006D1C12" w:rsidRPr="006D1C12" w:rsidRDefault="006D1C12" w:rsidP="006D1C12">
            <w:pPr>
              <w:spacing w:line="240" w:lineRule="auto"/>
              <w:rPr>
                <w:color w:val="848484"/>
                <w:szCs w:val="20"/>
                <w:lang w:eastAsia="en-GB"/>
              </w:rPr>
            </w:pPr>
            <w:r w:rsidRPr="006D1C12">
              <w:rPr>
                <w:color w:val="848484"/>
                <w:szCs w:val="20"/>
                <w:lang w:eastAsia="en-GB"/>
              </w:rPr>
              <w:t>Allocation to "Deferred Revenue" tax pool</w:t>
            </w:r>
          </w:p>
        </w:tc>
        <w:tc>
          <w:tcPr>
            <w:tcW w:w="1240" w:type="dxa"/>
            <w:tcBorders>
              <w:top w:val="nil"/>
              <w:left w:val="nil"/>
              <w:bottom w:val="single" w:sz="8" w:space="0" w:color="B6BABE"/>
              <w:right w:val="single" w:sz="8" w:space="0" w:color="B6BABE"/>
            </w:tcBorders>
            <w:shd w:val="clear" w:color="auto" w:fill="auto"/>
            <w:vAlign w:val="center"/>
            <w:hideMark/>
          </w:tcPr>
          <w:p w14:paraId="5D3FCD8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73BB9378"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2087D5D"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62B55E5"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178AF674" w14:textId="77777777" w:rsidR="006D1C12" w:rsidRPr="006D1C12" w:rsidRDefault="006D1C12" w:rsidP="006D1C12">
            <w:pPr>
              <w:spacing w:line="240" w:lineRule="auto"/>
              <w:rPr>
                <w:color w:val="848484"/>
                <w:szCs w:val="20"/>
                <w:lang w:eastAsia="en-GB"/>
              </w:rPr>
            </w:pPr>
            <w:r w:rsidRPr="006D1C12">
              <w:rPr>
                <w:color w:val="848484"/>
                <w:szCs w:val="20"/>
                <w:lang w:eastAsia="en-GB"/>
              </w:rPr>
              <w:t>Allocation to "Revenue" tax pool</w:t>
            </w:r>
          </w:p>
        </w:tc>
        <w:tc>
          <w:tcPr>
            <w:tcW w:w="1240" w:type="dxa"/>
            <w:tcBorders>
              <w:top w:val="nil"/>
              <w:left w:val="nil"/>
              <w:bottom w:val="single" w:sz="8" w:space="0" w:color="B6BABE"/>
              <w:right w:val="single" w:sz="8" w:space="0" w:color="B6BABE"/>
            </w:tcBorders>
            <w:shd w:val="clear" w:color="auto" w:fill="auto"/>
            <w:vAlign w:val="center"/>
            <w:hideMark/>
          </w:tcPr>
          <w:p w14:paraId="491D85D3"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CA3C6A6"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B5A8C1E"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ABE0EF6"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0850B35D" w14:textId="77777777" w:rsidR="006D1C12" w:rsidRPr="006D1C12" w:rsidRDefault="006D1C12" w:rsidP="006D1C12">
            <w:pPr>
              <w:spacing w:line="240" w:lineRule="auto"/>
              <w:rPr>
                <w:color w:val="848484"/>
                <w:szCs w:val="20"/>
                <w:lang w:eastAsia="en-GB"/>
              </w:rPr>
            </w:pPr>
            <w:r w:rsidRPr="006D1C12">
              <w:rPr>
                <w:color w:val="848484"/>
                <w:szCs w:val="20"/>
                <w:lang w:eastAsia="en-GB"/>
              </w:rPr>
              <w:t>Allocation to "Non Qualifying" tax pool</w:t>
            </w:r>
          </w:p>
        </w:tc>
        <w:tc>
          <w:tcPr>
            <w:tcW w:w="1240" w:type="dxa"/>
            <w:tcBorders>
              <w:top w:val="nil"/>
              <w:left w:val="nil"/>
              <w:bottom w:val="single" w:sz="8" w:space="0" w:color="B6BABE"/>
              <w:right w:val="single" w:sz="8" w:space="0" w:color="B6BABE"/>
            </w:tcBorders>
            <w:shd w:val="clear" w:color="auto" w:fill="auto"/>
            <w:vAlign w:val="center"/>
            <w:hideMark/>
          </w:tcPr>
          <w:p w14:paraId="1AFD9F8C"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EDE9082"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7083A0C"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2BBE19EA"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36F4F6A2" w14:textId="77777777" w:rsidR="006D1C12" w:rsidRPr="006D1C12" w:rsidRDefault="006D1C12" w:rsidP="006D1C12">
            <w:pPr>
              <w:spacing w:line="240" w:lineRule="auto"/>
              <w:rPr>
                <w:color w:val="848484"/>
                <w:szCs w:val="20"/>
                <w:lang w:eastAsia="en-GB"/>
              </w:rPr>
            </w:pPr>
            <w:r w:rsidRPr="006D1C12">
              <w:rPr>
                <w:color w:val="848484"/>
                <w:szCs w:val="20"/>
                <w:lang w:eastAsia="en-GB"/>
              </w:rPr>
              <w:t>Corporation tax rate</w:t>
            </w:r>
          </w:p>
        </w:tc>
        <w:tc>
          <w:tcPr>
            <w:tcW w:w="1240" w:type="dxa"/>
            <w:tcBorders>
              <w:top w:val="nil"/>
              <w:left w:val="nil"/>
              <w:bottom w:val="single" w:sz="8" w:space="0" w:color="B6BABE"/>
              <w:right w:val="single" w:sz="8" w:space="0" w:color="B6BABE"/>
            </w:tcBorders>
            <w:shd w:val="clear" w:color="auto" w:fill="auto"/>
            <w:vAlign w:val="center"/>
            <w:hideMark/>
          </w:tcPr>
          <w:p w14:paraId="6EA66969"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126C2B5"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435CF9A"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21A7C33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3BF8E6A7" w14:textId="77777777" w:rsidR="006D1C12" w:rsidRPr="006D1C12" w:rsidRDefault="006D1C12" w:rsidP="006D1C12">
            <w:pPr>
              <w:spacing w:line="240" w:lineRule="auto"/>
              <w:rPr>
                <w:color w:val="848484"/>
                <w:szCs w:val="20"/>
                <w:lang w:eastAsia="en-GB"/>
              </w:rPr>
            </w:pPr>
            <w:r w:rsidRPr="006D1C12">
              <w:rPr>
                <w:color w:val="848484"/>
                <w:szCs w:val="20"/>
                <w:lang w:eastAsia="en-GB"/>
              </w:rPr>
              <w:t>General pool capital allowance rate</w:t>
            </w:r>
          </w:p>
        </w:tc>
        <w:tc>
          <w:tcPr>
            <w:tcW w:w="1240" w:type="dxa"/>
            <w:tcBorders>
              <w:top w:val="nil"/>
              <w:left w:val="nil"/>
              <w:bottom w:val="single" w:sz="8" w:space="0" w:color="B6BABE"/>
              <w:right w:val="single" w:sz="8" w:space="0" w:color="B6BABE"/>
            </w:tcBorders>
            <w:shd w:val="clear" w:color="auto" w:fill="auto"/>
            <w:vAlign w:val="center"/>
            <w:hideMark/>
          </w:tcPr>
          <w:p w14:paraId="56B56E0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94C03AE"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48E4E88"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5F6A12EC"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0364C89F" w14:textId="77777777" w:rsidR="006D1C12" w:rsidRPr="006D1C12" w:rsidRDefault="006D1C12" w:rsidP="006D1C12">
            <w:pPr>
              <w:spacing w:line="240" w:lineRule="auto"/>
              <w:rPr>
                <w:color w:val="848484"/>
                <w:szCs w:val="20"/>
                <w:lang w:eastAsia="en-GB"/>
              </w:rPr>
            </w:pPr>
            <w:r w:rsidRPr="006D1C12">
              <w:rPr>
                <w:color w:val="848484"/>
                <w:szCs w:val="20"/>
                <w:lang w:eastAsia="en-GB"/>
              </w:rPr>
              <w:t>Special Rates capital allowance rate</w:t>
            </w:r>
          </w:p>
        </w:tc>
        <w:tc>
          <w:tcPr>
            <w:tcW w:w="1240" w:type="dxa"/>
            <w:tcBorders>
              <w:top w:val="nil"/>
              <w:left w:val="nil"/>
              <w:bottom w:val="single" w:sz="8" w:space="0" w:color="B6BABE"/>
              <w:right w:val="single" w:sz="8" w:space="0" w:color="B6BABE"/>
            </w:tcBorders>
            <w:shd w:val="clear" w:color="auto" w:fill="auto"/>
            <w:vAlign w:val="center"/>
            <w:hideMark/>
          </w:tcPr>
          <w:p w14:paraId="4C7129EB"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2C61F204"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1EF6CABE"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22679166"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7A41AF4C" w14:textId="77777777" w:rsidR="006D1C12" w:rsidRPr="006D1C12" w:rsidRDefault="006D1C12" w:rsidP="006D1C12">
            <w:pPr>
              <w:spacing w:line="240" w:lineRule="auto"/>
              <w:rPr>
                <w:color w:val="848484"/>
                <w:szCs w:val="20"/>
                <w:lang w:eastAsia="en-GB"/>
              </w:rPr>
            </w:pPr>
            <w:r w:rsidRPr="006D1C12">
              <w:rPr>
                <w:color w:val="848484"/>
                <w:szCs w:val="20"/>
                <w:lang w:eastAsia="en-GB"/>
              </w:rPr>
              <w:t>Structures and buildings capital allowance rate</w:t>
            </w:r>
          </w:p>
        </w:tc>
        <w:tc>
          <w:tcPr>
            <w:tcW w:w="1240" w:type="dxa"/>
            <w:tcBorders>
              <w:top w:val="nil"/>
              <w:left w:val="nil"/>
              <w:bottom w:val="single" w:sz="8" w:space="0" w:color="B6BABE"/>
              <w:right w:val="single" w:sz="8" w:space="0" w:color="B6BABE"/>
            </w:tcBorders>
            <w:shd w:val="clear" w:color="auto" w:fill="auto"/>
            <w:vAlign w:val="center"/>
            <w:hideMark/>
          </w:tcPr>
          <w:p w14:paraId="44EEEE1F"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1D31EA50"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6FAF01B1"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7CCCA00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580" w:type="dxa"/>
            <w:tcBorders>
              <w:top w:val="nil"/>
              <w:left w:val="nil"/>
              <w:bottom w:val="single" w:sz="8" w:space="0" w:color="B6BABE"/>
              <w:right w:val="single" w:sz="8" w:space="0" w:color="B6BABE"/>
            </w:tcBorders>
            <w:shd w:val="clear" w:color="auto" w:fill="auto"/>
            <w:vAlign w:val="center"/>
            <w:hideMark/>
          </w:tcPr>
          <w:p w14:paraId="512437E9" w14:textId="77777777" w:rsidR="006D1C12" w:rsidRPr="006D1C12" w:rsidRDefault="006D1C12" w:rsidP="006D1C12">
            <w:pPr>
              <w:spacing w:line="240" w:lineRule="auto"/>
              <w:rPr>
                <w:color w:val="848484"/>
                <w:szCs w:val="20"/>
                <w:lang w:eastAsia="en-GB"/>
              </w:rPr>
            </w:pPr>
            <w:r w:rsidRPr="006D1C12">
              <w:rPr>
                <w:color w:val="848484"/>
                <w:szCs w:val="20"/>
                <w:lang w:eastAsia="en-GB"/>
              </w:rPr>
              <w:t>Deferred Revenue Expenditure capital allowance rate</w:t>
            </w:r>
          </w:p>
        </w:tc>
        <w:tc>
          <w:tcPr>
            <w:tcW w:w="1240" w:type="dxa"/>
            <w:tcBorders>
              <w:top w:val="nil"/>
              <w:left w:val="nil"/>
              <w:bottom w:val="single" w:sz="8" w:space="0" w:color="B6BABE"/>
              <w:right w:val="single" w:sz="8" w:space="0" w:color="B6BABE"/>
            </w:tcBorders>
            <w:shd w:val="clear" w:color="auto" w:fill="auto"/>
            <w:vAlign w:val="center"/>
            <w:hideMark/>
          </w:tcPr>
          <w:p w14:paraId="7581B9C9"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CC1538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75996AD1" w14:textId="77777777" w:rsidTr="006D1C12">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27E0C95B"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Legacy Adjustments</w:t>
            </w:r>
          </w:p>
        </w:tc>
      </w:tr>
      <w:tr w:rsidR="006D1C12" w:rsidRPr="006D1C12" w14:paraId="13C2403C"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9A3CE10" w14:textId="49D724B4" w:rsidR="006D1C12" w:rsidRPr="006D1C12" w:rsidRDefault="004D3E3E" w:rsidP="006D1C12">
            <w:pPr>
              <w:spacing w:line="240" w:lineRule="auto"/>
              <w:rPr>
                <w:color w:val="848484"/>
                <w:szCs w:val="20"/>
                <w:lang w:eastAsia="en-GB"/>
              </w:rPr>
            </w:pPr>
            <w:r>
              <w:rPr>
                <w:color w:val="848484"/>
                <w:szCs w:val="20"/>
                <w:lang w:eastAsia="en-GB"/>
              </w:rPr>
              <w:t>[LMOD</w:t>
            </w:r>
            <w:r w:rsidRPr="004D3E3E">
              <w:rPr>
                <w:color w:val="848484"/>
                <w:szCs w:val="20"/>
                <w:vertAlign w:val="subscript"/>
                <w:lang w:eastAsia="en-GB"/>
              </w:rPr>
              <w:t>1</w:t>
            </w:r>
            <w:r>
              <w:rPr>
                <w:color w:val="848484"/>
                <w:szCs w:val="20"/>
                <w:lang w:eastAsia="en-GB"/>
              </w:rPr>
              <w:t>]</w:t>
            </w:r>
          </w:p>
        </w:tc>
        <w:tc>
          <w:tcPr>
            <w:tcW w:w="3580" w:type="dxa"/>
            <w:tcBorders>
              <w:top w:val="nil"/>
              <w:left w:val="nil"/>
              <w:bottom w:val="single" w:sz="8" w:space="0" w:color="B6BABE"/>
              <w:right w:val="single" w:sz="8" w:space="0" w:color="B6BABE"/>
            </w:tcBorders>
            <w:shd w:val="clear" w:color="auto" w:fill="auto"/>
            <w:vAlign w:val="center"/>
            <w:hideMark/>
          </w:tcPr>
          <w:p w14:paraId="3C24F249" w14:textId="77777777" w:rsidR="006D1C12" w:rsidRPr="006D1C12" w:rsidRDefault="006D1C12" w:rsidP="006D1C12">
            <w:pPr>
              <w:spacing w:line="240" w:lineRule="auto"/>
              <w:rPr>
                <w:color w:val="848484"/>
                <w:szCs w:val="20"/>
                <w:lang w:eastAsia="en-GB"/>
              </w:rPr>
            </w:pPr>
            <w:r w:rsidRPr="006D1C12">
              <w:rPr>
                <w:color w:val="848484"/>
                <w:szCs w:val="20"/>
                <w:lang w:eastAsia="en-GB"/>
              </w:rPr>
              <w:t>[LMOD-1]</w:t>
            </w:r>
          </w:p>
        </w:tc>
        <w:tc>
          <w:tcPr>
            <w:tcW w:w="1240" w:type="dxa"/>
            <w:tcBorders>
              <w:top w:val="nil"/>
              <w:left w:val="nil"/>
              <w:bottom w:val="single" w:sz="8" w:space="0" w:color="B6BABE"/>
              <w:right w:val="single" w:sz="8" w:space="0" w:color="B6BABE"/>
            </w:tcBorders>
            <w:shd w:val="clear" w:color="auto" w:fill="auto"/>
            <w:vAlign w:val="center"/>
            <w:hideMark/>
          </w:tcPr>
          <w:p w14:paraId="706FB661" w14:textId="36610A6D" w:rsidR="006D1C12" w:rsidRPr="006D1C12" w:rsidRDefault="00E4784D" w:rsidP="00E4784D">
            <w:pPr>
              <w:spacing w:line="240" w:lineRule="auto"/>
              <w:rPr>
                <w:color w:val="848484"/>
                <w:szCs w:val="20"/>
                <w:lang w:eastAsia="en-GB"/>
              </w:rPr>
            </w:pPr>
            <w:r>
              <w:rPr>
                <w:color w:val="848484"/>
                <w:szCs w:val="20"/>
                <w:lang w:eastAsia="en-GB"/>
              </w:rPr>
              <w:t>SpC 7.3</w:t>
            </w:r>
          </w:p>
        </w:tc>
        <w:tc>
          <w:tcPr>
            <w:tcW w:w="4220" w:type="dxa"/>
            <w:tcBorders>
              <w:top w:val="nil"/>
              <w:left w:val="nil"/>
              <w:bottom w:val="single" w:sz="8" w:space="0" w:color="B6BABE"/>
              <w:right w:val="single" w:sz="8" w:space="0" w:color="B6BABE"/>
            </w:tcBorders>
            <w:shd w:val="clear" w:color="auto" w:fill="auto"/>
            <w:vAlign w:val="center"/>
            <w:hideMark/>
          </w:tcPr>
          <w:p w14:paraId="08B49B9B"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8], PCFM Guidance</w:t>
            </w:r>
          </w:p>
        </w:tc>
      </w:tr>
      <w:tr w:rsidR="006D1C12" w:rsidRPr="006D1C12" w14:paraId="28CFDCC9" w14:textId="77777777" w:rsidTr="006D1C12">
        <w:trPr>
          <w:trHeight w:val="255"/>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E26F6BF" w14:textId="78E6AA3F" w:rsidR="006D1C12" w:rsidRPr="006D1C12" w:rsidRDefault="004D3E3E" w:rsidP="006D1C12">
            <w:pPr>
              <w:spacing w:line="240" w:lineRule="auto"/>
              <w:rPr>
                <w:color w:val="848484"/>
                <w:szCs w:val="20"/>
                <w:lang w:eastAsia="en-GB"/>
              </w:rPr>
            </w:pPr>
            <w:r>
              <w:rPr>
                <w:color w:val="848484"/>
                <w:szCs w:val="20"/>
                <w:lang w:eastAsia="en-GB"/>
              </w:rPr>
              <w:t>[LMOD</w:t>
            </w:r>
            <w:r w:rsidRPr="004D3E3E">
              <w:rPr>
                <w:color w:val="848484"/>
                <w:szCs w:val="20"/>
                <w:vertAlign w:val="subscript"/>
                <w:lang w:eastAsia="en-GB"/>
              </w:rPr>
              <w:t>2</w:t>
            </w:r>
            <w:r>
              <w:rPr>
                <w:color w:val="848484"/>
                <w:szCs w:val="20"/>
                <w:lang w:eastAsia="en-GB"/>
              </w:rPr>
              <w:t>]</w:t>
            </w:r>
          </w:p>
        </w:tc>
        <w:tc>
          <w:tcPr>
            <w:tcW w:w="3580" w:type="dxa"/>
            <w:tcBorders>
              <w:top w:val="nil"/>
              <w:left w:val="nil"/>
              <w:bottom w:val="single" w:sz="8" w:space="0" w:color="B6BABE"/>
              <w:right w:val="single" w:sz="8" w:space="0" w:color="B6BABE"/>
            </w:tcBorders>
            <w:shd w:val="clear" w:color="auto" w:fill="auto"/>
            <w:vAlign w:val="center"/>
            <w:hideMark/>
          </w:tcPr>
          <w:p w14:paraId="57D4B2A9" w14:textId="77777777" w:rsidR="006D1C12" w:rsidRPr="006D1C12" w:rsidRDefault="006D1C12" w:rsidP="006D1C12">
            <w:pPr>
              <w:spacing w:line="240" w:lineRule="auto"/>
              <w:rPr>
                <w:color w:val="848484"/>
                <w:szCs w:val="20"/>
                <w:lang w:eastAsia="en-GB"/>
              </w:rPr>
            </w:pPr>
            <w:r w:rsidRPr="006D1C12">
              <w:rPr>
                <w:color w:val="848484"/>
                <w:szCs w:val="20"/>
                <w:lang w:eastAsia="en-GB"/>
              </w:rPr>
              <w:t>[LMOD-2]</w:t>
            </w:r>
          </w:p>
        </w:tc>
        <w:tc>
          <w:tcPr>
            <w:tcW w:w="1240" w:type="dxa"/>
            <w:tcBorders>
              <w:top w:val="nil"/>
              <w:left w:val="nil"/>
              <w:bottom w:val="single" w:sz="8" w:space="0" w:color="B6BABE"/>
              <w:right w:val="single" w:sz="8" w:space="0" w:color="B6BABE"/>
            </w:tcBorders>
            <w:shd w:val="clear" w:color="auto" w:fill="auto"/>
            <w:vAlign w:val="center"/>
            <w:hideMark/>
          </w:tcPr>
          <w:p w14:paraId="15D6DCDB" w14:textId="3FAADE8F" w:rsidR="006D1C12" w:rsidRPr="006D1C12" w:rsidRDefault="00E4784D" w:rsidP="00E4784D">
            <w:pPr>
              <w:spacing w:line="240" w:lineRule="auto"/>
              <w:rPr>
                <w:color w:val="848484"/>
                <w:szCs w:val="20"/>
                <w:lang w:eastAsia="en-GB"/>
              </w:rPr>
            </w:pPr>
            <w:r>
              <w:rPr>
                <w:color w:val="848484"/>
                <w:szCs w:val="20"/>
                <w:lang w:eastAsia="en-GB"/>
              </w:rPr>
              <w:t>SpC 7.3</w:t>
            </w:r>
          </w:p>
        </w:tc>
        <w:tc>
          <w:tcPr>
            <w:tcW w:w="4220" w:type="dxa"/>
            <w:tcBorders>
              <w:top w:val="nil"/>
              <w:left w:val="nil"/>
              <w:bottom w:val="single" w:sz="8" w:space="0" w:color="B6BABE"/>
              <w:right w:val="single" w:sz="8" w:space="0" w:color="B6BABE"/>
            </w:tcBorders>
            <w:shd w:val="clear" w:color="auto" w:fill="auto"/>
            <w:vAlign w:val="center"/>
            <w:hideMark/>
          </w:tcPr>
          <w:p w14:paraId="6EE380C4"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8], PCFM Guidance</w:t>
            </w:r>
          </w:p>
        </w:tc>
      </w:tr>
      <w:tr w:rsidR="006D1C12" w:rsidRPr="006D1C12" w14:paraId="2895E26F"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4955CEFB" w14:textId="77777777" w:rsidR="006D1C12" w:rsidRPr="006D1C12" w:rsidRDefault="006D1C12" w:rsidP="006D1C12">
            <w:pPr>
              <w:spacing w:line="240" w:lineRule="auto"/>
              <w:rPr>
                <w:color w:val="848484"/>
                <w:szCs w:val="20"/>
                <w:lang w:eastAsia="en-GB"/>
              </w:rPr>
            </w:pPr>
            <w:r w:rsidRPr="006D1C12">
              <w:rPr>
                <w:color w:val="848484"/>
                <w:szCs w:val="20"/>
                <w:lang w:eastAsia="en-GB"/>
              </w:rPr>
              <w:t>LAR</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7BF2435B" w14:textId="77777777" w:rsidR="006D1C12" w:rsidRPr="006D1C12" w:rsidRDefault="006D1C12" w:rsidP="006D1C12">
            <w:pPr>
              <w:spacing w:line="240" w:lineRule="auto"/>
              <w:rPr>
                <w:color w:val="848484"/>
                <w:szCs w:val="20"/>
                <w:lang w:eastAsia="en-GB"/>
              </w:rPr>
            </w:pPr>
            <w:r w:rsidRPr="006D1C12">
              <w:rPr>
                <w:color w:val="848484"/>
                <w:szCs w:val="20"/>
                <w:lang w:eastAsia="en-GB"/>
              </w:rPr>
              <w:t>RIIO-2 legacy price control adjustments to allowed revenue</w:t>
            </w:r>
          </w:p>
        </w:tc>
        <w:tc>
          <w:tcPr>
            <w:tcW w:w="1240" w:type="dxa"/>
            <w:tcBorders>
              <w:top w:val="nil"/>
              <w:left w:val="nil"/>
              <w:bottom w:val="single" w:sz="8" w:space="0" w:color="B6BABE"/>
              <w:right w:val="single" w:sz="8" w:space="0" w:color="B6BABE"/>
            </w:tcBorders>
            <w:shd w:val="clear" w:color="auto" w:fill="auto"/>
            <w:vAlign w:val="center"/>
            <w:hideMark/>
          </w:tcPr>
          <w:p w14:paraId="180EE18A" w14:textId="78CC82A4" w:rsidR="006D1C12" w:rsidRPr="006D1C12" w:rsidRDefault="00E4784D" w:rsidP="006D1C12">
            <w:pPr>
              <w:spacing w:line="240" w:lineRule="auto"/>
              <w:rPr>
                <w:color w:val="848484"/>
                <w:szCs w:val="20"/>
                <w:lang w:eastAsia="en-GB"/>
              </w:rPr>
            </w:pPr>
            <w:r>
              <w:rPr>
                <w:color w:val="848484"/>
                <w:szCs w:val="20"/>
                <w:lang w:eastAsia="en-GB"/>
              </w:rPr>
              <w:t>SpC 7.1</w:t>
            </w:r>
            <w:r w:rsidR="006D1C12"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0DEF18C4"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8], PCFM Guidance</w:t>
            </w:r>
          </w:p>
        </w:tc>
      </w:tr>
      <w:tr w:rsidR="006D1C12" w:rsidRPr="006D1C12" w14:paraId="07C81962"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191C7DE4" w14:textId="77777777" w:rsidR="006D1C12" w:rsidRPr="006D1C12" w:rsidRDefault="006D1C12" w:rsidP="006D1C12">
            <w:pPr>
              <w:spacing w:line="240" w:lineRule="auto"/>
              <w:rPr>
                <w:color w:val="848484"/>
                <w:szCs w:val="20"/>
                <w:lang w:eastAsia="en-GB"/>
              </w:rPr>
            </w:pPr>
            <w:r w:rsidRPr="006D1C12">
              <w:rPr>
                <w:color w:val="848484"/>
                <w:szCs w:val="20"/>
                <w:lang w:eastAsia="en-GB"/>
              </w:rPr>
              <w:t>LRAV</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751644D4" w14:textId="77777777" w:rsidR="006D1C12" w:rsidRPr="006D1C12" w:rsidRDefault="006D1C12" w:rsidP="006D1C12">
            <w:pPr>
              <w:spacing w:line="240" w:lineRule="auto"/>
              <w:rPr>
                <w:color w:val="848484"/>
                <w:szCs w:val="20"/>
                <w:lang w:eastAsia="en-GB"/>
              </w:rPr>
            </w:pPr>
            <w:r w:rsidRPr="006D1C12">
              <w:rPr>
                <w:color w:val="848484"/>
                <w:szCs w:val="20"/>
                <w:lang w:eastAsia="en-GB"/>
              </w:rPr>
              <w:t>RIIO-2 legacy price control adjustments to RAV</w:t>
            </w:r>
          </w:p>
        </w:tc>
        <w:tc>
          <w:tcPr>
            <w:tcW w:w="1240" w:type="dxa"/>
            <w:tcBorders>
              <w:top w:val="nil"/>
              <w:left w:val="nil"/>
              <w:bottom w:val="single" w:sz="8" w:space="0" w:color="B6BABE"/>
              <w:right w:val="single" w:sz="8" w:space="0" w:color="B6BABE"/>
            </w:tcBorders>
            <w:shd w:val="clear" w:color="auto" w:fill="auto"/>
            <w:vAlign w:val="center"/>
            <w:hideMark/>
          </w:tcPr>
          <w:p w14:paraId="725B7146"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391578CD"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8], PCFM Guidance</w:t>
            </w:r>
          </w:p>
        </w:tc>
      </w:tr>
      <w:tr w:rsidR="006D1C12" w:rsidRPr="006D1C12" w14:paraId="38D6DBB7"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22826DF7" w14:textId="75E29C1E" w:rsidR="006D1C12" w:rsidRPr="006D1C12" w:rsidRDefault="006D1C12" w:rsidP="006D1C12">
            <w:pPr>
              <w:spacing w:line="240" w:lineRule="auto"/>
              <w:rPr>
                <w:color w:val="848484"/>
                <w:szCs w:val="20"/>
                <w:lang w:eastAsia="en-GB"/>
              </w:rPr>
            </w:pPr>
          </w:p>
        </w:tc>
        <w:tc>
          <w:tcPr>
            <w:tcW w:w="3580" w:type="dxa"/>
            <w:tcBorders>
              <w:top w:val="nil"/>
              <w:left w:val="nil"/>
              <w:bottom w:val="single" w:sz="8" w:space="0" w:color="B6BABE"/>
              <w:right w:val="single" w:sz="8" w:space="0" w:color="B6BABE"/>
            </w:tcBorders>
            <w:shd w:val="clear" w:color="auto" w:fill="auto"/>
            <w:vAlign w:val="center"/>
            <w:hideMark/>
          </w:tcPr>
          <w:p w14:paraId="00C15A67" w14:textId="77777777" w:rsidR="006D1C12" w:rsidRPr="006D1C12" w:rsidRDefault="006D1C12" w:rsidP="006D1C12">
            <w:pPr>
              <w:spacing w:line="240" w:lineRule="auto"/>
              <w:rPr>
                <w:color w:val="848484"/>
                <w:szCs w:val="20"/>
                <w:lang w:eastAsia="en-GB"/>
              </w:rPr>
            </w:pPr>
            <w:r w:rsidRPr="006D1C12">
              <w:rPr>
                <w:color w:val="848484"/>
                <w:szCs w:val="20"/>
                <w:lang w:eastAsia="en-GB"/>
              </w:rPr>
              <w:t>RIIO-1 net RAV additions (after disposals)</w:t>
            </w:r>
          </w:p>
        </w:tc>
        <w:tc>
          <w:tcPr>
            <w:tcW w:w="1240" w:type="dxa"/>
            <w:tcBorders>
              <w:top w:val="nil"/>
              <w:left w:val="nil"/>
              <w:bottom w:val="single" w:sz="8" w:space="0" w:color="B6BABE"/>
              <w:right w:val="single" w:sz="8" w:space="0" w:color="B6BABE"/>
            </w:tcBorders>
            <w:shd w:val="clear" w:color="auto" w:fill="auto"/>
            <w:vAlign w:val="center"/>
            <w:hideMark/>
          </w:tcPr>
          <w:p w14:paraId="14B5C15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220" w:type="dxa"/>
            <w:tcBorders>
              <w:top w:val="nil"/>
              <w:left w:val="nil"/>
              <w:bottom w:val="single" w:sz="8" w:space="0" w:color="B6BABE"/>
              <w:right w:val="single" w:sz="8" w:space="0" w:color="B6BABE"/>
            </w:tcBorders>
            <w:shd w:val="clear" w:color="auto" w:fill="auto"/>
            <w:vAlign w:val="center"/>
            <w:hideMark/>
          </w:tcPr>
          <w:p w14:paraId="1BC6E89F"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8], PCFM Guidance</w:t>
            </w:r>
          </w:p>
        </w:tc>
      </w:tr>
      <w:tr w:rsidR="006D1C12" w:rsidRPr="006D1C12" w14:paraId="15CC2B9B" w14:textId="77777777" w:rsidTr="006D1C12">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25B7C34D"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lastRenderedPageBreak/>
              <w:t>Allowed Revenue Setting</w:t>
            </w:r>
          </w:p>
        </w:tc>
      </w:tr>
      <w:tr w:rsidR="006D1C12" w:rsidRPr="006D1C12" w14:paraId="66E8198F"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54B1897D" w14:textId="77777777" w:rsidR="006D1C12" w:rsidRPr="006D1C12" w:rsidRDefault="006D1C12" w:rsidP="006D1C12">
            <w:pPr>
              <w:spacing w:line="240" w:lineRule="auto"/>
              <w:rPr>
                <w:color w:val="848484"/>
                <w:szCs w:val="20"/>
                <w:lang w:eastAsia="en-GB"/>
              </w:rPr>
            </w:pPr>
            <w:r w:rsidRPr="006D1C12">
              <w:rPr>
                <w:color w:val="848484"/>
                <w:szCs w:val="20"/>
                <w:lang w:eastAsia="en-GB"/>
              </w:rPr>
              <w:t>RPI</w:t>
            </w:r>
            <w:r w:rsidRPr="006D1C12">
              <w:rPr>
                <w:color w:val="848484"/>
                <w:szCs w:val="20"/>
                <w:vertAlign w:val="subscript"/>
                <w:lang w:eastAsia="en-GB"/>
              </w:rPr>
              <w:t>i</w:t>
            </w:r>
          </w:p>
        </w:tc>
        <w:tc>
          <w:tcPr>
            <w:tcW w:w="3580" w:type="dxa"/>
            <w:tcBorders>
              <w:top w:val="nil"/>
              <w:left w:val="nil"/>
              <w:bottom w:val="single" w:sz="8" w:space="0" w:color="B6BABE"/>
              <w:right w:val="single" w:sz="8" w:space="0" w:color="B6BABE"/>
            </w:tcBorders>
            <w:shd w:val="clear" w:color="auto" w:fill="auto"/>
            <w:vAlign w:val="center"/>
            <w:hideMark/>
          </w:tcPr>
          <w:p w14:paraId="39F45262" w14:textId="77777777" w:rsidR="006D1C12" w:rsidRPr="006D1C12" w:rsidRDefault="006D1C12" w:rsidP="006D1C12">
            <w:pPr>
              <w:spacing w:line="240" w:lineRule="auto"/>
              <w:rPr>
                <w:color w:val="848484"/>
                <w:szCs w:val="20"/>
                <w:lang w:eastAsia="en-GB"/>
              </w:rPr>
            </w:pPr>
            <w:r w:rsidRPr="006D1C12">
              <w:rPr>
                <w:color w:val="848484"/>
                <w:szCs w:val="20"/>
                <w:lang w:eastAsia="en-GB"/>
              </w:rPr>
              <w:t>Forecast RPI (simple average year to March)</w:t>
            </w:r>
          </w:p>
        </w:tc>
        <w:tc>
          <w:tcPr>
            <w:tcW w:w="1240" w:type="dxa"/>
            <w:tcBorders>
              <w:top w:val="nil"/>
              <w:left w:val="nil"/>
              <w:bottom w:val="single" w:sz="8" w:space="0" w:color="B6BABE"/>
              <w:right w:val="single" w:sz="8" w:space="0" w:color="B6BABE"/>
            </w:tcBorders>
            <w:shd w:val="clear" w:color="auto" w:fill="auto"/>
            <w:vAlign w:val="center"/>
            <w:hideMark/>
          </w:tcPr>
          <w:p w14:paraId="6D094880" w14:textId="77777777" w:rsidR="006D1C12" w:rsidRPr="006D1C12" w:rsidRDefault="006D1C12" w:rsidP="006D1C12">
            <w:pPr>
              <w:spacing w:line="240" w:lineRule="auto"/>
              <w:rPr>
                <w:color w:val="848484"/>
                <w:szCs w:val="20"/>
                <w:lang w:eastAsia="en-GB"/>
              </w:rPr>
            </w:pPr>
            <w:r w:rsidRPr="006D1C12">
              <w:rPr>
                <w:color w:val="848484"/>
                <w:szCs w:val="20"/>
                <w:lang w:eastAsia="en-GB"/>
              </w:rPr>
              <w:t>SpC 2.1, Part E</w:t>
            </w:r>
          </w:p>
        </w:tc>
        <w:tc>
          <w:tcPr>
            <w:tcW w:w="4220" w:type="dxa"/>
            <w:tcBorders>
              <w:top w:val="nil"/>
              <w:left w:val="nil"/>
              <w:bottom w:val="single" w:sz="8" w:space="0" w:color="B6BABE"/>
              <w:right w:val="single" w:sz="8" w:space="0" w:color="B6BABE"/>
            </w:tcBorders>
            <w:shd w:val="clear" w:color="auto" w:fill="auto"/>
            <w:vAlign w:val="center"/>
            <w:hideMark/>
          </w:tcPr>
          <w:p w14:paraId="182F3A9B"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2, PCFM Guidance</w:t>
            </w:r>
          </w:p>
        </w:tc>
      </w:tr>
      <w:tr w:rsidR="006D1C12" w:rsidRPr="006D1C12" w14:paraId="1D49AFCC"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71296733" w14:textId="77777777" w:rsidR="006D1C12" w:rsidRPr="006D1C12" w:rsidRDefault="006D1C12" w:rsidP="006D1C12">
            <w:pPr>
              <w:spacing w:line="240" w:lineRule="auto"/>
              <w:rPr>
                <w:color w:val="848484"/>
                <w:szCs w:val="20"/>
                <w:lang w:eastAsia="en-GB"/>
              </w:rPr>
            </w:pPr>
            <w:r w:rsidRPr="006D1C12">
              <w:rPr>
                <w:color w:val="848484"/>
                <w:szCs w:val="20"/>
                <w:lang w:eastAsia="en-GB"/>
              </w:rPr>
              <w:t>CPIH</w:t>
            </w:r>
            <w:r w:rsidRPr="006D1C12">
              <w:rPr>
                <w:color w:val="848484"/>
                <w:szCs w:val="20"/>
                <w:vertAlign w:val="subscript"/>
                <w:lang w:eastAsia="en-GB"/>
              </w:rPr>
              <w:t>t</w:t>
            </w:r>
          </w:p>
        </w:tc>
        <w:tc>
          <w:tcPr>
            <w:tcW w:w="3580" w:type="dxa"/>
            <w:tcBorders>
              <w:top w:val="nil"/>
              <w:left w:val="nil"/>
              <w:bottom w:val="single" w:sz="8" w:space="0" w:color="B6BABE"/>
              <w:right w:val="single" w:sz="8" w:space="0" w:color="B6BABE"/>
            </w:tcBorders>
            <w:shd w:val="clear" w:color="auto" w:fill="auto"/>
            <w:vAlign w:val="center"/>
            <w:hideMark/>
          </w:tcPr>
          <w:p w14:paraId="5C691114" w14:textId="77777777" w:rsidR="006D1C12" w:rsidRPr="006D1C12" w:rsidRDefault="006D1C12" w:rsidP="006D1C12">
            <w:pPr>
              <w:spacing w:line="240" w:lineRule="auto"/>
              <w:rPr>
                <w:color w:val="848484"/>
                <w:szCs w:val="20"/>
                <w:lang w:eastAsia="en-GB"/>
              </w:rPr>
            </w:pPr>
            <w:r w:rsidRPr="006D1C12">
              <w:rPr>
                <w:color w:val="848484"/>
                <w:szCs w:val="20"/>
                <w:lang w:eastAsia="en-GB"/>
              </w:rPr>
              <w:t>Forecast CPIH (simple average year to March)</w:t>
            </w:r>
          </w:p>
        </w:tc>
        <w:tc>
          <w:tcPr>
            <w:tcW w:w="1240" w:type="dxa"/>
            <w:tcBorders>
              <w:top w:val="nil"/>
              <w:left w:val="nil"/>
              <w:bottom w:val="single" w:sz="8" w:space="0" w:color="B6BABE"/>
              <w:right w:val="single" w:sz="8" w:space="0" w:color="B6BABE"/>
            </w:tcBorders>
            <w:shd w:val="clear" w:color="auto" w:fill="auto"/>
            <w:vAlign w:val="center"/>
            <w:hideMark/>
          </w:tcPr>
          <w:p w14:paraId="45C1085A" w14:textId="77777777" w:rsidR="006D1C12" w:rsidRPr="006D1C12" w:rsidRDefault="006D1C12" w:rsidP="006D1C12">
            <w:pPr>
              <w:spacing w:line="240" w:lineRule="auto"/>
              <w:rPr>
                <w:color w:val="848484"/>
                <w:szCs w:val="20"/>
                <w:lang w:eastAsia="en-GB"/>
              </w:rPr>
            </w:pPr>
            <w:r w:rsidRPr="006D1C12">
              <w:rPr>
                <w:color w:val="848484"/>
                <w:szCs w:val="20"/>
                <w:lang w:eastAsia="en-GB"/>
              </w:rPr>
              <w:t>SpC 2.1, Part E</w:t>
            </w:r>
          </w:p>
        </w:tc>
        <w:tc>
          <w:tcPr>
            <w:tcW w:w="4220" w:type="dxa"/>
            <w:tcBorders>
              <w:top w:val="nil"/>
              <w:left w:val="nil"/>
              <w:bottom w:val="single" w:sz="8" w:space="0" w:color="B6BABE"/>
              <w:right w:val="single" w:sz="8" w:space="0" w:color="B6BABE"/>
            </w:tcBorders>
            <w:shd w:val="clear" w:color="auto" w:fill="auto"/>
            <w:vAlign w:val="center"/>
            <w:hideMark/>
          </w:tcPr>
          <w:p w14:paraId="196A479A"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2, PCFM Guidance</w:t>
            </w:r>
          </w:p>
        </w:tc>
      </w:tr>
      <w:tr w:rsidR="006D1C12" w:rsidRPr="006D1C12" w14:paraId="4FFE4650"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2EE9D836" w14:textId="77777777" w:rsidR="006D1C12" w:rsidRPr="006D1C12" w:rsidRDefault="006D1C12" w:rsidP="006D1C12">
            <w:pPr>
              <w:spacing w:line="240" w:lineRule="auto"/>
              <w:rPr>
                <w:color w:val="848484"/>
                <w:szCs w:val="20"/>
                <w:lang w:eastAsia="en-GB"/>
              </w:rPr>
            </w:pPr>
            <w:r w:rsidRPr="006D1C12">
              <w:rPr>
                <w:color w:val="848484"/>
                <w:szCs w:val="20"/>
                <w:lang w:eastAsia="en-GB"/>
              </w:rPr>
              <w:t>I</w:t>
            </w:r>
            <w:r w:rsidRPr="006D1C12">
              <w:rPr>
                <w:rFonts w:ascii="Times New Roman" w:hAnsi="Times New Roman"/>
                <w:color w:val="000000"/>
                <w:sz w:val="24"/>
                <w:vertAlign w:val="subscript"/>
                <w:lang w:eastAsia="en-GB"/>
              </w:rPr>
              <w:t>j</w:t>
            </w:r>
          </w:p>
        </w:tc>
        <w:tc>
          <w:tcPr>
            <w:tcW w:w="3580" w:type="dxa"/>
            <w:tcBorders>
              <w:top w:val="nil"/>
              <w:left w:val="nil"/>
              <w:bottom w:val="single" w:sz="8" w:space="0" w:color="B6BABE"/>
              <w:right w:val="single" w:sz="8" w:space="0" w:color="B6BABE"/>
            </w:tcBorders>
            <w:shd w:val="clear" w:color="auto" w:fill="auto"/>
            <w:vAlign w:val="center"/>
            <w:hideMark/>
          </w:tcPr>
          <w:p w14:paraId="5C1864CF" w14:textId="77777777" w:rsidR="006D1C12" w:rsidRPr="006D1C12" w:rsidRDefault="006D1C12" w:rsidP="006D1C12">
            <w:pPr>
              <w:spacing w:line="240" w:lineRule="auto"/>
              <w:rPr>
                <w:color w:val="848484"/>
                <w:szCs w:val="20"/>
                <w:lang w:eastAsia="en-GB"/>
              </w:rPr>
            </w:pPr>
            <w:r w:rsidRPr="006D1C12">
              <w:rPr>
                <w:color w:val="848484"/>
                <w:szCs w:val="20"/>
                <w:lang w:eastAsia="en-GB"/>
              </w:rPr>
              <w:t>Sterling Overnight Index Average (SONIA)</w:t>
            </w:r>
          </w:p>
        </w:tc>
        <w:tc>
          <w:tcPr>
            <w:tcW w:w="1240" w:type="dxa"/>
            <w:tcBorders>
              <w:top w:val="nil"/>
              <w:left w:val="nil"/>
              <w:bottom w:val="single" w:sz="8" w:space="0" w:color="B6BABE"/>
              <w:right w:val="single" w:sz="8" w:space="0" w:color="B6BABE"/>
            </w:tcBorders>
            <w:shd w:val="clear" w:color="auto" w:fill="auto"/>
            <w:vAlign w:val="center"/>
            <w:hideMark/>
          </w:tcPr>
          <w:p w14:paraId="2EE04732" w14:textId="77777777" w:rsidR="006D1C12" w:rsidRPr="006D1C12" w:rsidRDefault="006D1C12" w:rsidP="006D1C12">
            <w:pPr>
              <w:spacing w:line="240" w:lineRule="auto"/>
              <w:rPr>
                <w:color w:val="848484"/>
                <w:szCs w:val="20"/>
                <w:lang w:eastAsia="en-GB"/>
              </w:rPr>
            </w:pPr>
            <w:r w:rsidRPr="006D1C12">
              <w:rPr>
                <w:color w:val="848484"/>
                <w:szCs w:val="20"/>
                <w:lang w:eastAsia="en-GB"/>
              </w:rPr>
              <w:t>SpC 2.2, Part A</w:t>
            </w:r>
          </w:p>
        </w:tc>
        <w:tc>
          <w:tcPr>
            <w:tcW w:w="4220" w:type="dxa"/>
            <w:tcBorders>
              <w:top w:val="nil"/>
              <w:left w:val="nil"/>
              <w:bottom w:val="single" w:sz="8" w:space="0" w:color="B6BABE"/>
              <w:right w:val="single" w:sz="8" w:space="0" w:color="B6BABE"/>
            </w:tcBorders>
            <w:shd w:val="clear" w:color="auto" w:fill="auto"/>
            <w:vAlign w:val="center"/>
            <w:hideMark/>
          </w:tcPr>
          <w:p w14:paraId="6D181583"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2, PCFM Guidance</w:t>
            </w:r>
          </w:p>
        </w:tc>
      </w:tr>
      <w:tr w:rsidR="006D1C12" w:rsidRPr="006D1C12" w14:paraId="6DCED647" w14:textId="77777777" w:rsidTr="006D1C12">
        <w:trPr>
          <w:trHeight w:val="503"/>
        </w:trPr>
        <w:tc>
          <w:tcPr>
            <w:tcW w:w="820" w:type="dxa"/>
            <w:tcBorders>
              <w:top w:val="nil"/>
              <w:left w:val="single" w:sz="8" w:space="0" w:color="B6BABE"/>
              <w:bottom w:val="single" w:sz="8" w:space="0" w:color="B6BABE"/>
              <w:right w:val="single" w:sz="8" w:space="0" w:color="B6BABE"/>
            </w:tcBorders>
            <w:shd w:val="clear" w:color="auto" w:fill="auto"/>
            <w:vAlign w:val="center"/>
            <w:hideMark/>
          </w:tcPr>
          <w:p w14:paraId="68DC517D" w14:textId="77777777" w:rsidR="006D1C12" w:rsidRPr="006D1C12" w:rsidRDefault="006D1C12" w:rsidP="006D1C12">
            <w:pPr>
              <w:spacing w:line="240" w:lineRule="auto"/>
              <w:rPr>
                <w:color w:val="848484"/>
                <w:szCs w:val="20"/>
                <w:lang w:eastAsia="en-GB"/>
              </w:rPr>
            </w:pPr>
            <w:r w:rsidRPr="006D1C12">
              <w:rPr>
                <w:color w:val="848484"/>
                <w:szCs w:val="20"/>
                <w:lang w:eastAsia="en-GB"/>
              </w:rPr>
              <w:t>RR</w:t>
            </w:r>
            <w:r w:rsidRPr="006D1C12">
              <w:rPr>
                <w:color w:val="848484"/>
                <w:szCs w:val="20"/>
                <w:vertAlign w:val="subscript"/>
                <w:lang w:eastAsia="en-GB"/>
              </w:rPr>
              <w:t>i</w:t>
            </w:r>
          </w:p>
        </w:tc>
        <w:tc>
          <w:tcPr>
            <w:tcW w:w="3580" w:type="dxa"/>
            <w:tcBorders>
              <w:top w:val="nil"/>
              <w:left w:val="nil"/>
              <w:bottom w:val="single" w:sz="8" w:space="0" w:color="B6BABE"/>
              <w:right w:val="single" w:sz="8" w:space="0" w:color="B6BABE"/>
            </w:tcBorders>
            <w:shd w:val="clear" w:color="auto" w:fill="auto"/>
            <w:vAlign w:val="center"/>
            <w:hideMark/>
          </w:tcPr>
          <w:p w14:paraId="672F0DDC" w14:textId="77777777" w:rsidR="006D1C12" w:rsidRPr="006D1C12" w:rsidRDefault="006D1C12" w:rsidP="006D1C12">
            <w:pPr>
              <w:spacing w:line="240" w:lineRule="auto"/>
              <w:rPr>
                <w:color w:val="848484"/>
                <w:szCs w:val="20"/>
                <w:lang w:eastAsia="en-GB"/>
              </w:rPr>
            </w:pPr>
            <w:r w:rsidRPr="006D1C12">
              <w:rPr>
                <w:color w:val="848484"/>
                <w:szCs w:val="20"/>
                <w:lang w:eastAsia="en-GB"/>
              </w:rPr>
              <w:t>Recovered revenue</w:t>
            </w:r>
          </w:p>
        </w:tc>
        <w:tc>
          <w:tcPr>
            <w:tcW w:w="1240" w:type="dxa"/>
            <w:tcBorders>
              <w:top w:val="nil"/>
              <w:left w:val="nil"/>
              <w:bottom w:val="single" w:sz="8" w:space="0" w:color="B6BABE"/>
              <w:right w:val="single" w:sz="8" w:space="0" w:color="B6BABE"/>
            </w:tcBorders>
            <w:shd w:val="clear" w:color="auto" w:fill="auto"/>
            <w:vAlign w:val="center"/>
            <w:hideMark/>
          </w:tcPr>
          <w:p w14:paraId="1333AEE1" w14:textId="3DB5F450" w:rsidR="006D1C12" w:rsidRPr="006D1C12" w:rsidRDefault="006D1C12" w:rsidP="006D1C12">
            <w:pPr>
              <w:spacing w:line="240" w:lineRule="auto"/>
              <w:rPr>
                <w:color w:val="848484"/>
                <w:szCs w:val="20"/>
                <w:lang w:eastAsia="en-GB"/>
              </w:rPr>
            </w:pPr>
            <w:r w:rsidRPr="006D1C12">
              <w:rPr>
                <w:color w:val="848484"/>
                <w:szCs w:val="20"/>
                <w:lang w:eastAsia="en-GB"/>
              </w:rPr>
              <w:t xml:space="preserve">SpC 2.3, Part </w:t>
            </w:r>
            <w:r w:rsidR="0071597E">
              <w:rPr>
                <w:color w:val="848484"/>
                <w:szCs w:val="20"/>
                <w:lang w:eastAsia="en-GB"/>
              </w:rPr>
              <w:t>A</w:t>
            </w:r>
          </w:p>
        </w:tc>
        <w:tc>
          <w:tcPr>
            <w:tcW w:w="4220" w:type="dxa"/>
            <w:tcBorders>
              <w:top w:val="nil"/>
              <w:left w:val="nil"/>
              <w:bottom w:val="single" w:sz="8" w:space="0" w:color="B6BABE"/>
              <w:right w:val="single" w:sz="8" w:space="0" w:color="B6BABE"/>
            </w:tcBorders>
            <w:shd w:val="clear" w:color="auto" w:fill="auto"/>
            <w:vAlign w:val="center"/>
            <w:hideMark/>
          </w:tcPr>
          <w:p w14:paraId="40C8AE2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bl>
    <w:p w14:paraId="364F8846" w14:textId="77777777" w:rsidR="006D1C12" w:rsidRPr="006D1C12" w:rsidRDefault="006D1C12" w:rsidP="006D1C12"/>
    <w:p w14:paraId="22E2FC98" w14:textId="696529E4" w:rsidR="00761E5E" w:rsidRDefault="00761E5E" w:rsidP="000512D6">
      <w:pPr>
        <w:pStyle w:val="Heading3"/>
        <w:spacing w:line="360" w:lineRule="auto"/>
      </w:pPr>
    </w:p>
    <w:p w14:paraId="69050E28" w14:textId="32CF36AE" w:rsidR="006D1C12" w:rsidRDefault="006D1C12" w:rsidP="006D1C12"/>
    <w:p w14:paraId="527185A8" w14:textId="54D4EC18" w:rsidR="006D1C12" w:rsidRDefault="006D1C12" w:rsidP="006D1C12"/>
    <w:p w14:paraId="0772487D" w14:textId="2FE2579A" w:rsidR="006D1C12" w:rsidRDefault="006D1C12" w:rsidP="006D1C12"/>
    <w:p w14:paraId="19478A96" w14:textId="5D2C3FB8" w:rsidR="006D1C12" w:rsidRDefault="006D1C12" w:rsidP="006D1C12"/>
    <w:p w14:paraId="0595578E" w14:textId="75AF231C" w:rsidR="006D1C12" w:rsidRDefault="006D1C12" w:rsidP="006D1C12"/>
    <w:p w14:paraId="5AE2D1EC" w14:textId="412DEEC6" w:rsidR="006D1C12" w:rsidRDefault="006D1C12" w:rsidP="006D1C12"/>
    <w:p w14:paraId="1A2E0669" w14:textId="2DBDFDFD" w:rsidR="006D1C12" w:rsidRDefault="006D1C12" w:rsidP="006D1C12"/>
    <w:p w14:paraId="6CC5A3C1" w14:textId="560EA504" w:rsidR="006D1C12" w:rsidRDefault="006D1C12" w:rsidP="006D1C12"/>
    <w:p w14:paraId="0ADD6AE4" w14:textId="3A04336E" w:rsidR="006D1C12" w:rsidRDefault="006D1C12" w:rsidP="006D1C12"/>
    <w:p w14:paraId="4E35DAA0" w14:textId="430CD915" w:rsidR="006D1C12" w:rsidRDefault="006D1C12" w:rsidP="006D1C12"/>
    <w:p w14:paraId="584AE4EE" w14:textId="373DB257" w:rsidR="006D1C12" w:rsidRDefault="006D1C12" w:rsidP="006D1C12"/>
    <w:p w14:paraId="54EF7D09" w14:textId="3983EF96" w:rsidR="006D1C12" w:rsidRDefault="006D1C12" w:rsidP="006D1C12"/>
    <w:p w14:paraId="158B2FA7" w14:textId="1317209E" w:rsidR="006D1C12" w:rsidRDefault="006D1C12" w:rsidP="006D1C12"/>
    <w:p w14:paraId="794B0704" w14:textId="7B419B71" w:rsidR="006D1C12" w:rsidRDefault="006D1C12" w:rsidP="006D1C12"/>
    <w:p w14:paraId="1EF54AEB" w14:textId="77777777" w:rsidR="006D1C12" w:rsidRPr="006D1C12" w:rsidRDefault="006D1C12" w:rsidP="006D1C12"/>
    <w:p w14:paraId="0A6C0509" w14:textId="77777777" w:rsidR="009A11ED" w:rsidRDefault="009A11ED" w:rsidP="002774E1">
      <w:pPr>
        <w:pStyle w:val="Heading"/>
      </w:pPr>
      <w:bookmarkStart w:id="92" w:name="_Ref49875614"/>
    </w:p>
    <w:p w14:paraId="3031D71D" w14:textId="77777777" w:rsidR="009A11ED" w:rsidRDefault="009A11ED" w:rsidP="009A11ED">
      <w:pPr>
        <w:rPr>
          <w:color w:val="848484"/>
        </w:rPr>
      </w:pPr>
      <w:r>
        <w:br w:type="page"/>
      </w:r>
    </w:p>
    <w:p w14:paraId="3437B824" w14:textId="6D09E8B8" w:rsidR="002774E1" w:rsidRDefault="002774E1" w:rsidP="002774E1">
      <w:pPr>
        <w:pStyle w:val="Heading"/>
      </w:pPr>
      <w:r>
        <w:lastRenderedPageBreak/>
        <w:t xml:space="preserve">Table </w:t>
      </w:r>
      <w:r w:rsidR="001F7608">
        <w:t>3.2</w:t>
      </w:r>
      <w:bookmarkEnd w:id="92"/>
      <w:r>
        <w:t xml:space="preserve"> - GT2 Variable Values (VV) for SO</w:t>
      </w:r>
      <w:r w:rsidR="009A11ED">
        <w:rPr>
          <w:rStyle w:val="FootnoteReference"/>
        </w:rPr>
        <w:footnoteReference w:id="11"/>
      </w:r>
    </w:p>
    <w:tbl>
      <w:tblPr>
        <w:tblW w:w="9720" w:type="dxa"/>
        <w:tblLook w:val="04A0" w:firstRow="1" w:lastRow="0" w:firstColumn="1" w:lastColumn="0" w:noHBand="0" w:noVBand="1"/>
      </w:tblPr>
      <w:tblGrid>
        <w:gridCol w:w="1366"/>
        <w:gridCol w:w="3225"/>
        <w:gridCol w:w="1157"/>
        <w:gridCol w:w="3972"/>
      </w:tblGrid>
      <w:tr w:rsidR="00E4784D" w:rsidRPr="006D1C12" w14:paraId="5969A466" w14:textId="77777777" w:rsidTr="006D1C12">
        <w:trPr>
          <w:trHeight w:val="503"/>
          <w:tblHeader/>
        </w:trPr>
        <w:tc>
          <w:tcPr>
            <w:tcW w:w="980" w:type="dxa"/>
            <w:tcBorders>
              <w:top w:val="single" w:sz="8" w:space="0" w:color="B6BABE"/>
              <w:left w:val="single" w:sz="8" w:space="0" w:color="B6BABE"/>
              <w:bottom w:val="single" w:sz="8" w:space="0" w:color="B6BABE"/>
              <w:right w:val="single" w:sz="8" w:space="0" w:color="B6BABE"/>
            </w:tcBorders>
            <w:shd w:val="clear" w:color="000000" w:fill="54616C"/>
            <w:vAlign w:val="center"/>
            <w:hideMark/>
          </w:tcPr>
          <w:p w14:paraId="5A2F889E" w14:textId="77777777" w:rsidR="006D1C12" w:rsidRPr="006D1C12" w:rsidRDefault="006D1C12" w:rsidP="006D1C12">
            <w:pPr>
              <w:spacing w:line="240" w:lineRule="auto"/>
              <w:jc w:val="center"/>
              <w:rPr>
                <w:b/>
                <w:bCs/>
                <w:color w:val="FFFFFF"/>
                <w:szCs w:val="20"/>
                <w:lang w:eastAsia="en-GB"/>
              </w:rPr>
            </w:pPr>
            <w:r w:rsidRPr="006D1C12">
              <w:rPr>
                <w:b/>
                <w:bCs/>
                <w:color w:val="FFFFFF"/>
                <w:szCs w:val="20"/>
                <w:lang w:eastAsia="en-GB"/>
              </w:rPr>
              <w:t>VV</w:t>
            </w:r>
          </w:p>
        </w:tc>
        <w:tc>
          <w:tcPr>
            <w:tcW w:w="3360" w:type="dxa"/>
            <w:tcBorders>
              <w:top w:val="single" w:sz="8" w:space="0" w:color="B6BABE"/>
              <w:left w:val="nil"/>
              <w:bottom w:val="single" w:sz="8" w:space="0" w:color="B6BABE"/>
              <w:right w:val="single" w:sz="8" w:space="0" w:color="B6BABE"/>
            </w:tcBorders>
            <w:shd w:val="clear" w:color="000000" w:fill="54616C"/>
            <w:vAlign w:val="center"/>
            <w:hideMark/>
          </w:tcPr>
          <w:p w14:paraId="6C9908A3" w14:textId="77777777" w:rsidR="006D1C12" w:rsidRPr="006D1C12" w:rsidRDefault="006D1C12" w:rsidP="006D1C12">
            <w:pPr>
              <w:spacing w:line="240" w:lineRule="auto"/>
              <w:jc w:val="center"/>
              <w:rPr>
                <w:b/>
                <w:bCs/>
                <w:color w:val="FFFFFF"/>
                <w:szCs w:val="20"/>
                <w:lang w:eastAsia="en-GB"/>
              </w:rPr>
            </w:pPr>
            <w:r w:rsidRPr="006D1C12">
              <w:rPr>
                <w:b/>
                <w:bCs/>
                <w:color w:val="FFFFFF"/>
                <w:szCs w:val="20"/>
                <w:lang w:eastAsia="en-GB"/>
              </w:rPr>
              <w:t>Description</w:t>
            </w:r>
          </w:p>
        </w:tc>
        <w:tc>
          <w:tcPr>
            <w:tcW w:w="1200" w:type="dxa"/>
            <w:tcBorders>
              <w:top w:val="single" w:sz="8" w:space="0" w:color="B6BABE"/>
              <w:left w:val="nil"/>
              <w:bottom w:val="single" w:sz="8" w:space="0" w:color="B6BABE"/>
              <w:right w:val="single" w:sz="8" w:space="0" w:color="B6BABE"/>
            </w:tcBorders>
            <w:shd w:val="clear" w:color="000000" w:fill="54616C"/>
            <w:vAlign w:val="center"/>
            <w:hideMark/>
          </w:tcPr>
          <w:p w14:paraId="45ED3CFE" w14:textId="77777777" w:rsidR="006D1C12" w:rsidRPr="006D1C12" w:rsidRDefault="006D1C12" w:rsidP="006D1C12">
            <w:pPr>
              <w:spacing w:line="240" w:lineRule="auto"/>
              <w:jc w:val="center"/>
              <w:rPr>
                <w:b/>
                <w:bCs/>
                <w:color w:val="FFFFFF"/>
                <w:szCs w:val="20"/>
                <w:lang w:eastAsia="en-GB"/>
              </w:rPr>
            </w:pPr>
            <w:r w:rsidRPr="006D1C12">
              <w:rPr>
                <w:b/>
                <w:bCs/>
                <w:color w:val="FFFFFF"/>
                <w:szCs w:val="20"/>
                <w:lang w:eastAsia="en-GB"/>
              </w:rPr>
              <w:t>SpC</w:t>
            </w:r>
          </w:p>
        </w:tc>
        <w:tc>
          <w:tcPr>
            <w:tcW w:w="4180" w:type="dxa"/>
            <w:tcBorders>
              <w:top w:val="single" w:sz="8" w:space="0" w:color="B6BABE"/>
              <w:left w:val="nil"/>
              <w:bottom w:val="single" w:sz="8" w:space="0" w:color="B6BABE"/>
              <w:right w:val="single" w:sz="8" w:space="0" w:color="B6BABE"/>
            </w:tcBorders>
            <w:shd w:val="clear" w:color="000000" w:fill="54616C"/>
            <w:vAlign w:val="center"/>
            <w:hideMark/>
          </w:tcPr>
          <w:p w14:paraId="3949A5C7" w14:textId="77777777" w:rsidR="006D1C12" w:rsidRPr="006D1C12" w:rsidRDefault="006D1C12" w:rsidP="006D1C12">
            <w:pPr>
              <w:spacing w:line="240" w:lineRule="auto"/>
              <w:jc w:val="center"/>
              <w:rPr>
                <w:b/>
                <w:bCs/>
                <w:color w:val="FFFFFF"/>
                <w:szCs w:val="20"/>
                <w:lang w:eastAsia="en-GB"/>
              </w:rPr>
            </w:pPr>
            <w:r w:rsidRPr="006D1C12">
              <w:rPr>
                <w:b/>
                <w:bCs/>
                <w:color w:val="FFFFFF"/>
                <w:szCs w:val="20"/>
                <w:lang w:eastAsia="en-GB"/>
              </w:rPr>
              <w:t>Cross-reference/ Associated Document</w:t>
            </w:r>
          </w:p>
        </w:tc>
      </w:tr>
      <w:tr w:rsidR="006D1C12" w:rsidRPr="006D1C12" w14:paraId="31CF25F7" w14:textId="77777777" w:rsidTr="006D1C12">
        <w:trPr>
          <w:trHeight w:val="285"/>
        </w:trPr>
        <w:tc>
          <w:tcPr>
            <w:tcW w:w="97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44D4C67B"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Cost of Capital</w:t>
            </w:r>
          </w:p>
        </w:tc>
      </w:tr>
      <w:tr w:rsidR="006D1C12" w:rsidRPr="006D1C12" w14:paraId="3B0814BD"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72F040E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05F7E041" w14:textId="77777777" w:rsidR="006D1C12" w:rsidRPr="006D1C12" w:rsidRDefault="006D1C12" w:rsidP="006D1C12">
            <w:pPr>
              <w:spacing w:line="240" w:lineRule="auto"/>
              <w:rPr>
                <w:color w:val="848484"/>
                <w:szCs w:val="20"/>
                <w:lang w:eastAsia="en-GB"/>
              </w:rPr>
            </w:pPr>
            <w:r w:rsidRPr="006D1C12">
              <w:rPr>
                <w:color w:val="848484"/>
                <w:szCs w:val="20"/>
                <w:lang w:eastAsia="en-GB"/>
              </w:rPr>
              <w:t>Risk-free rate</w:t>
            </w:r>
          </w:p>
        </w:tc>
        <w:tc>
          <w:tcPr>
            <w:tcW w:w="1200" w:type="dxa"/>
            <w:tcBorders>
              <w:top w:val="nil"/>
              <w:left w:val="nil"/>
              <w:bottom w:val="single" w:sz="8" w:space="0" w:color="B6BABE"/>
              <w:right w:val="single" w:sz="8" w:space="0" w:color="B6BABE"/>
            </w:tcBorders>
            <w:shd w:val="clear" w:color="auto" w:fill="auto"/>
            <w:vAlign w:val="center"/>
            <w:hideMark/>
          </w:tcPr>
          <w:p w14:paraId="1162BF69"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1455CF8D"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4, PCFM Guidance</w:t>
            </w:r>
          </w:p>
        </w:tc>
      </w:tr>
      <w:tr w:rsidR="006D1C12" w:rsidRPr="006D1C12" w14:paraId="4D9E0371"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40105932" w14:textId="6630E3E4" w:rsidR="006D1C12" w:rsidRPr="006D1C12" w:rsidRDefault="006D1C12" w:rsidP="006D1C12">
            <w:pPr>
              <w:spacing w:line="240" w:lineRule="auto"/>
              <w:rPr>
                <w:color w:val="848484"/>
                <w:szCs w:val="20"/>
                <w:lang w:eastAsia="en-GB"/>
              </w:rPr>
            </w:pPr>
            <w:r w:rsidRPr="006D1C12">
              <w:rPr>
                <w:color w:val="848484"/>
                <w:szCs w:val="20"/>
                <w:lang w:eastAsia="en-GB"/>
              </w:rPr>
              <w:t>SOCDE</w:t>
            </w:r>
            <w:r w:rsidR="004A030E"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4E3AB864" w14:textId="77777777" w:rsidR="006D1C12" w:rsidRPr="006D1C12" w:rsidRDefault="006D1C12" w:rsidP="006D1C12">
            <w:pPr>
              <w:spacing w:line="240" w:lineRule="auto"/>
              <w:rPr>
                <w:color w:val="848484"/>
                <w:szCs w:val="20"/>
                <w:lang w:eastAsia="en-GB"/>
              </w:rPr>
            </w:pPr>
            <w:r w:rsidRPr="006D1C12">
              <w:rPr>
                <w:color w:val="848484"/>
                <w:szCs w:val="20"/>
                <w:lang w:eastAsia="en-GB"/>
              </w:rPr>
              <w:t>Allowed percentage cost of debt</w:t>
            </w:r>
          </w:p>
        </w:tc>
        <w:tc>
          <w:tcPr>
            <w:tcW w:w="1200" w:type="dxa"/>
            <w:tcBorders>
              <w:top w:val="nil"/>
              <w:left w:val="nil"/>
              <w:bottom w:val="single" w:sz="8" w:space="0" w:color="B6BABE"/>
              <w:right w:val="single" w:sz="8" w:space="0" w:color="B6BABE"/>
            </w:tcBorders>
            <w:shd w:val="clear" w:color="auto" w:fill="auto"/>
            <w:vAlign w:val="center"/>
            <w:hideMark/>
          </w:tcPr>
          <w:p w14:paraId="3DC0BD61"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262DFF0B"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4, PCFM Guidance</w:t>
            </w:r>
          </w:p>
        </w:tc>
      </w:tr>
      <w:tr w:rsidR="006D1C12" w:rsidRPr="006D1C12" w14:paraId="352094B6" w14:textId="77777777" w:rsidTr="006D1C12">
        <w:trPr>
          <w:trHeight w:val="353"/>
        </w:trPr>
        <w:tc>
          <w:tcPr>
            <w:tcW w:w="97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41F6D39A"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Actual Totex Expenditure</w:t>
            </w:r>
          </w:p>
        </w:tc>
      </w:tr>
      <w:tr w:rsidR="006D1C12" w:rsidRPr="006D1C12" w14:paraId="5B010C2E"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3DF5D4D2" w14:textId="2EB54B90" w:rsidR="006D1C12" w:rsidRPr="006D1C12" w:rsidRDefault="006D1C12" w:rsidP="006D1C12">
            <w:pPr>
              <w:spacing w:line="240" w:lineRule="auto"/>
              <w:rPr>
                <w:color w:val="848484"/>
                <w:szCs w:val="20"/>
                <w:lang w:eastAsia="en-GB"/>
              </w:rPr>
            </w:pPr>
            <w:r w:rsidRPr="006D1C12">
              <w:rPr>
                <w:color w:val="848484"/>
                <w:szCs w:val="20"/>
                <w:lang w:eastAsia="en-GB"/>
              </w:rPr>
              <w:t>SOANC</w:t>
            </w:r>
            <w:r w:rsidR="004A030E"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1AF259CD"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non-operational capex</w:t>
            </w:r>
          </w:p>
        </w:tc>
        <w:tc>
          <w:tcPr>
            <w:tcW w:w="1200" w:type="dxa"/>
            <w:tcBorders>
              <w:top w:val="nil"/>
              <w:left w:val="nil"/>
              <w:bottom w:val="single" w:sz="8" w:space="0" w:color="B6BABE"/>
              <w:right w:val="single" w:sz="8" w:space="0" w:color="B6BABE"/>
            </w:tcBorders>
            <w:shd w:val="clear" w:color="auto" w:fill="auto"/>
            <w:vAlign w:val="center"/>
            <w:hideMark/>
          </w:tcPr>
          <w:p w14:paraId="5E6BDB52"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6AC9CE6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7A009AA3"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523D1FCB" w14:textId="6429D82A" w:rsidR="006D1C12" w:rsidRPr="006D1C12" w:rsidRDefault="006D1C12" w:rsidP="006D1C12">
            <w:pPr>
              <w:spacing w:line="240" w:lineRule="auto"/>
              <w:rPr>
                <w:color w:val="848484"/>
                <w:szCs w:val="20"/>
                <w:lang w:eastAsia="en-GB"/>
              </w:rPr>
            </w:pPr>
            <w:r w:rsidRPr="006D1C12">
              <w:rPr>
                <w:color w:val="848484"/>
                <w:szCs w:val="20"/>
                <w:lang w:eastAsia="en-GB"/>
              </w:rPr>
              <w:t>SOACO</w:t>
            </w:r>
            <w:r w:rsidR="004A030E"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0DF99BD8" w14:textId="77777777" w:rsidR="006D1C12" w:rsidRPr="006D1C12" w:rsidRDefault="006D1C12" w:rsidP="006D1C12">
            <w:pPr>
              <w:spacing w:line="240" w:lineRule="auto"/>
              <w:rPr>
                <w:color w:val="848484"/>
                <w:szCs w:val="20"/>
                <w:lang w:eastAsia="en-GB"/>
              </w:rPr>
            </w:pPr>
            <w:r w:rsidRPr="006D1C12">
              <w:rPr>
                <w:color w:val="848484"/>
                <w:szCs w:val="20"/>
                <w:lang w:eastAsia="en-GB"/>
              </w:rPr>
              <w:t>Actual controllable opex</w:t>
            </w:r>
          </w:p>
        </w:tc>
        <w:tc>
          <w:tcPr>
            <w:tcW w:w="1200" w:type="dxa"/>
            <w:tcBorders>
              <w:top w:val="nil"/>
              <w:left w:val="nil"/>
              <w:bottom w:val="single" w:sz="8" w:space="0" w:color="B6BABE"/>
              <w:right w:val="single" w:sz="8" w:space="0" w:color="B6BABE"/>
            </w:tcBorders>
            <w:shd w:val="clear" w:color="auto" w:fill="auto"/>
            <w:vAlign w:val="center"/>
            <w:hideMark/>
          </w:tcPr>
          <w:p w14:paraId="3BDC72E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1331D68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284ABAD4" w14:textId="77777777" w:rsidTr="006D1C12">
        <w:trPr>
          <w:trHeight w:val="360"/>
        </w:trPr>
        <w:tc>
          <w:tcPr>
            <w:tcW w:w="97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043960FF"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 xml:space="preserve">Adjustments to Totex Allowances  </w:t>
            </w:r>
          </w:p>
        </w:tc>
      </w:tr>
      <w:tr w:rsidR="006D1C12" w:rsidRPr="006D1C12" w14:paraId="223F0CF1"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55EE269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2C4B44F3" w14:textId="77777777" w:rsidR="006D1C12" w:rsidRPr="006D1C12" w:rsidRDefault="006D1C12" w:rsidP="006D1C12">
            <w:pPr>
              <w:spacing w:line="240" w:lineRule="auto"/>
              <w:rPr>
                <w:color w:val="848484"/>
                <w:szCs w:val="20"/>
                <w:lang w:eastAsia="en-GB"/>
              </w:rPr>
            </w:pPr>
            <w:r w:rsidRPr="006D1C12">
              <w:rPr>
                <w:color w:val="848484"/>
                <w:szCs w:val="20"/>
                <w:lang w:eastAsia="en-GB"/>
              </w:rPr>
              <w:t>Resilience</w:t>
            </w:r>
          </w:p>
        </w:tc>
        <w:tc>
          <w:tcPr>
            <w:tcW w:w="1200" w:type="dxa"/>
            <w:tcBorders>
              <w:top w:val="nil"/>
              <w:left w:val="nil"/>
              <w:bottom w:val="single" w:sz="8" w:space="0" w:color="B6BABE"/>
              <w:right w:val="single" w:sz="8" w:space="0" w:color="B6BABE"/>
            </w:tcBorders>
            <w:shd w:val="clear" w:color="auto" w:fill="auto"/>
            <w:vAlign w:val="center"/>
            <w:hideMark/>
          </w:tcPr>
          <w:p w14:paraId="5EA0ECCD"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5EA95C19"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PCD Reporting Requirements and Methodology</w:t>
            </w:r>
          </w:p>
        </w:tc>
      </w:tr>
      <w:tr w:rsidR="006D1C12" w:rsidRPr="006D1C12" w14:paraId="6076CA7A"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67E03591"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1F73E879" w14:textId="77777777" w:rsidR="006D1C12" w:rsidRPr="006D1C12" w:rsidRDefault="006D1C12" w:rsidP="006D1C12">
            <w:pPr>
              <w:spacing w:line="240" w:lineRule="auto"/>
              <w:rPr>
                <w:color w:val="848484"/>
                <w:szCs w:val="20"/>
                <w:lang w:eastAsia="en-GB"/>
              </w:rPr>
            </w:pPr>
            <w:r w:rsidRPr="006D1C12">
              <w:rPr>
                <w:color w:val="848484"/>
                <w:szCs w:val="20"/>
                <w:lang w:eastAsia="en-GB"/>
              </w:rPr>
              <w:t>Resilience (UIOLI)</w:t>
            </w:r>
          </w:p>
        </w:tc>
        <w:tc>
          <w:tcPr>
            <w:tcW w:w="1200" w:type="dxa"/>
            <w:tcBorders>
              <w:top w:val="nil"/>
              <w:left w:val="nil"/>
              <w:bottom w:val="single" w:sz="8" w:space="0" w:color="B6BABE"/>
              <w:right w:val="single" w:sz="8" w:space="0" w:color="B6BABE"/>
            </w:tcBorders>
            <w:shd w:val="clear" w:color="auto" w:fill="auto"/>
            <w:vAlign w:val="center"/>
            <w:hideMark/>
          </w:tcPr>
          <w:p w14:paraId="3CAA39E8"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697C4BDA"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PCD Reporting Requirements and Methodology</w:t>
            </w:r>
          </w:p>
        </w:tc>
      </w:tr>
      <w:tr w:rsidR="006D1C12" w:rsidRPr="006D1C12" w14:paraId="3CBE874B"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484293D2"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hideMark/>
          </w:tcPr>
          <w:p w14:paraId="3D2DAF8A" w14:textId="77777777" w:rsidR="006D1C12" w:rsidRPr="006D1C12" w:rsidRDefault="006D1C12" w:rsidP="006D1C12">
            <w:pPr>
              <w:spacing w:line="240" w:lineRule="auto"/>
              <w:rPr>
                <w:color w:val="848484"/>
                <w:szCs w:val="20"/>
                <w:lang w:eastAsia="en-GB"/>
              </w:rPr>
            </w:pPr>
            <w:r w:rsidRPr="006D1C12">
              <w:rPr>
                <w:color w:val="848484"/>
                <w:szCs w:val="20"/>
                <w:lang w:eastAsia="en-GB"/>
              </w:rPr>
              <w:t>Resilience Re-opener (UIOLI)</w:t>
            </w:r>
          </w:p>
        </w:tc>
        <w:tc>
          <w:tcPr>
            <w:tcW w:w="1200" w:type="dxa"/>
            <w:tcBorders>
              <w:top w:val="nil"/>
              <w:left w:val="nil"/>
              <w:bottom w:val="single" w:sz="8" w:space="0" w:color="B6BABE"/>
              <w:right w:val="single" w:sz="8" w:space="0" w:color="B6BABE"/>
            </w:tcBorders>
            <w:shd w:val="clear" w:color="auto" w:fill="auto"/>
            <w:vAlign w:val="center"/>
            <w:hideMark/>
          </w:tcPr>
          <w:p w14:paraId="1CB4093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41D252C8"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Re-opener Guidance and Application Requirements</w:t>
            </w:r>
          </w:p>
        </w:tc>
      </w:tr>
      <w:tr w:rsidR="006D1C12" w:rsidRPr="006D1C12" w14:paraId="0592F7D7"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74590A68"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16F12089" w14:textId="77777777" w:rsidR="006D1C12" w:rsidRPr="006D1C12" w:rsidRDefault="006D1C12" w:rsidP="006D1C12">
            <w:pPr>
              <w:spacing w:line="240" w:lineRule="auto"/>
              <w:rPr>
                <w:color w:val="848484"/>
                <w:szCs w:val="20"/>
                <w:lang w:eastAsia="en-GB"/>
              </w:rPr>
            </w:pPr>
            <w:r w:rsidRPr="006D1C12">
              <w:rPr>
                <w:color w:val="848484"/>
                <w:szCs w:val="20"/>
                <w:lang w:eastAsia="en-GB"/>
              </w:rPr>
              <w:t>Arrangements for the recovery of uncertain costs</w:t>
            </w:r>
          </w:p>
        </w:tc>
        <w:tc>
          <w:tcPr>
            <w:tcW w:w="1200" w:type="dxa"/>
            <w:tcBorders>
              <w:top w:val="nil"/>
              <w:left w:val="nil"/>
              <w:bottom w:val="single" w:sz="8" w:space="0" w:color="B6BABE"/>
              <w:right w:val="single" w:sz="8" w:space="0" w:color="B6BABE"/>
            </w:tcBorders>
            <w:shd w:val="clear" w:color="auto" w:fill="auto"/>
            <w:vAlign w:val="center"/>
            <w:hideMark/>
          </w:tcPr>
          <w:p w14:paraId="3B79D8D9" w14:textId="77777777" w:rsidR="006D1C12" w:rsidRPr="006D1C12" w:rsidRDefault="006D1C12" w:rsidP="006D1C12">
            <w:pPr>
              <w:spacing w:line="240" w:lineRule="auto"/>
              <w:rPr>
                <w:color w:val="848484"/>
                <w:szCs w:val="20"/>
                <w:lang w:eastAsia="en-GB"/>
              </w:rPr>
            </w:pPr>
            <w:r w:rsidRPr="006D1C12">
              <w:rPr>
                <w:color w:val="848484"/>
                <w:szCs w:val="20"/>
                <w:lang w:eastAsia="en-GB"/>
              </w:rPr>
              <w:t>SpC 3.15</w:t>
            </w:r>
          </w:p>
        </w:tc>
        <w:tc>
          <w:tcPr>
            <w:tcW w:w="4180" w:type="dxa"/>
            <w:tcBorders>
              <w:top w:val="nil"/>
              <w:left w:val="nil"/>
              <w:bottom w:val="single" w:sz="8" w:space="0" w:color="B6BABE"/>
              <w:right w:val="single" w:sz="8" w:space="0" w:color="B6BABE"/>
            </w:tcBorders>
            <w:shd w:val="clear" w:color="auto" w:fill="auto"/>
            <w:vAlign w:val="center"/>
            <w:hideMark/>
          </w:tcPr>
          <w:p w14:paraId="4C80D5B2"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186866EE"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723AB557" w14:textId="77777777" w:rsidR="006D1C12" w:rsidRPr="006D1C12" w:rsidRDefault="006D1C12" w:rsidP="006D1C12">
            <w:pPr>
              <w:spacing w:line="240" w:lineRule="auto"/>
              <w:rPr>
                <w:color w:val="848484"/>
                <w:szCs w:val="20"/>
                <w:lang w:eastAsia="en-GB"/>
              </w:rPr>
            </w:pPr>
            <w:r w:rsidRPr="006D1C12">
              <w:rPr>
                <w:color w:val="848484"/>
                <w:szCs w:val="20"/>
                <w:lang w:eastAsia="en-GB"/>
              </w:rPr>
              <w:t>FIOC</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514BBA53" w14:textId="77777777" w:rsidR="006D1C12" w:rsidRPr="006D1C12" w:rsidRDefault="006D1C12" w:rsidP="006D1C12">
            <w:pPr>
              <w:spacing w:line="240" w:lineRule="auto"/>
              <w:rPr>
                <w:color w:val="848484"/>
                <w:szCs w:val="20"/>
                <w:lang w:eastAsia="en-GB"/>
              </w:rPr>
            </w:pPr>
            <w:r w:rsidRPr="006D1C12">
              <w:rPr>
                <w:color w:val="848484"/>
                <w:szCs w:val="20"/>
                <w:lang w:eastAsia="en-GB"/>
              </w:rPr>
              <w:t>Funded Incremental Obligated Capacity Re-opener</w:t>
            </w:r>
          </w:p>
        </w:tc>
        <w:tc>
          <w:tcPr>
            <w:tcW w:w="1200" w:type="dxa"/>
            <w:tcBorders>
              <w:top w:val="nil"/>
              <w:left w:val="nil"/>
              <w:bottom w:val="single" w:sz="8" w:space="0" w:color="B6BABE"/>
              <w:right w:val="single" w:sz="8" w:space="0" w:color="B6BABE"/>
            </w:tcBorders>
            <w:shd w:val="clear" w:color="auto" w:fill="auto"/>
            <w:vAlign w:val="center"/>
            <w:hideMark/>
          </w:tcPr>
          <w:p w14:paraId="6137D565" w14:textId="77777777" w:rsidR="006D1C12" w:rsidRPr="006D1C12" w:rsidRDefault="006D1C12" w:rsidP="006D1C12">
            <w:pPr>
              <w:spacing w:line="240" w:lineRule="auto"/>
              <w:rPr>
                <w:color w:val="848484"/>
                <w:szCs w:val="20"/>
                <w:lang w:eastAsia="en-GB"/>
              </w:rPr>
            </w:pPr>
            <w:r w:rsidRPr="006D1C12">
              <w:rPr>
                <w:color w:val="848484"/>
                <w:szCs w:val="20"/>
                <w:lang w:eastAsia="en-GB"/>
              </w:rPr>
              <w:t>SpC 3.11</w:t>
            </w:r>
          </w:p>
        </w:tc>
        <w:tc>
          <w:tcPr>
            <w:tcW w:w="4180" w:type="dxa"/>
            <w:tcBorders>
              <w:top w:val="nil"/>
              <w:left w:val="nil"/>
              <w:bottom w:val="single" w:sz="8" w:space="0" w:color="B6BABE"/>
              <w:right w:val="single" w:sz="8" w:space="0" w:color="B6BABE"/>
            </w:tcBorders>
            <w:shd w:val="clear" w:color="auto" w:fill="auto"/>
            <w:vAlign w:val="center"/>
            <w:hideMark/>
          </w:tcPr>
          <w:p w14:paraId="36027C54"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Re-opener Guidance and Application Requirements</w:t>
            </w:r>
          </w:p>
        </w:tc>
      </w:tr>
      <w:tr w:rsidR="006D1C12" w:rsidRPr="006D1C12" w14:paraId="5E4E73C5"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784165B7" w14:textId="77777777" w:rsidR="006D1C12" w:rsidRPr="006D1C12" w:rsidRDefault="006D1C12" w:rsidP="006D1C12">
            <w:pPr>
              <w:spacing w:line="240" w:lineRule="auto"/>
              <w:rPr>
                <w:color w:val="848484"/>
                <w:szCs w:val="20"/>
                <w:lang w:eastAsia="en-GB"/>
              </w:rPr>
            </w:pPr>
            <w:r w:rsidRPr="006D1C12">
              <w:rPr>
                <w:color w:val="848484"/>
                <w:szCs w:val="20"/>
                <w:lang w:eastAsia="en-GB"/>
              </w:rPr>
              <w:t>NOIT</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7FE81297" w14:textId="77777777" w:rsidR="006D1C12" w:rsidRPr="006D1C12" w:rsidRDefault="006D1C12" w:rsidP="006D1C12">
            <w:pPr>
              <w:spacing w:line="240" w:lineRule="auto"/>
              <w:rPr>
                <w:color w:val="848484"/>
                <w:szCs w:val="20"/>
                <w:lang w:eastAsia="en-GB"/>
              </w:rPr>
            </w:pPr>
            <w:r w:rsidRPr="006D1C12">
              <w:rPr>
                <w:color w:val="848484"/>
                <w:szCs w:val="20"/>
                <w:lang w:eastAsia="en-GB"/>
              </w:rPr>
              <w:t>Non-operational IT and Telecoms Capex Re-Opener</w:t>
            </w:r>
          </w:p>
        </w:tc>
        <w:tc>
          <w:tcPr>
            <w:tcW w:w="1200" w:type="dxa"/>
            <w:tcBorders>
              <w:top w:val="nil"/>
              <w:left w:val="nil"/>
              <w:bottom w:val="single" w:sz="8" w:space="0" w:color="B6BABE"/>
              <w:right w:val="single" w:sz="8" w:space="0" w:color="B6BABE"/>
            </w:tcBorders>
            <w:shd w:val="clear" w:color="auto" w:fill="auto"/>
            <w:vAlign w:val="center"/>
            <w:hideMark/>
          </w:tcPr>
          <w:p w14:paraId="051E2777" w14:textId="77777777" w:rsidR="006D1C12" w:rsidRPr="006D1C12" w:rsidRDefault="006D1C12" w:rsidP="006D1C12">
            <w:pPr>
              <w:spacing w:line="240" w:lineRule="auto"/>
              <w:rPr>
                <w:color w:val="848484"/>
                <w:szCs w:val="20"/>
                <w:lang w:eastAsia="en-GB"/>
              </w:rPr>
            </w:pPr>
            <w:r w:rsidRPr="006D1C12">
              <w:rPr>
                <w:color w:val="848484"/>
                <w:szCs w:val="20"/>
                <w:lang w:eastAsia="en-GB"/>
              </w:rPr>
              <w:t>SpC 3.5</w:t>
            </w:r>
          </w:p>
        </w:tc>
        <w:tc>
          <w:tcPr>
            <w:tcW w:w="4180" w:type="dxa"/>
            <w:tcBorders>
              <w:top w:val="nil"/>
              <w:left w:val="nil"/>
              <w:bottom w:val="single" w:sz="8" w:space="0" w:color="B6BABE"/>
              <w:right w:val="single" w:sz="8" w:space="0" w:color="B6BABE"/>
            </w:tcBorders>
            <w:shd w:val="clear" w:color="auto" w:fill="auto"/>
            <w:vAlign w:val="center"/>
            <w:hideMark/>
          </w:tcPr>
          <w:p w14:paraId="70DCB667"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Re-opener Guidance and Application Requirements</w:t>
            </w:r>
          </w:p>
        </w:tc>
      </w:tr>
      <w:tr w:rsidR="006D1C12" w:rsidRPr="006D1C12" w14:paraId="7C0B758A"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02BC2B34" w14:textId="77777777" w:rsidR="006D1C12" w:rsidRPr="006D1C12" w:rsidRDefault="006D1C12" w:rsidP="006D1C12">
            <w:pPr>
              <w:spacing w:line="240" w:lineRule="auto"/>
              <w:rPr>
                <w:color w:val="848484"/>
                <w:szCs w:val="20"/>
                <w:lang w:eastAsia="en-GB"/>
              </w:rPr>
            </w:pPr>
            <w:r w:rsidRPr="006D1C12">
              <w:rPr>
                <w:color w:val="848484"/>
                <w:szCs w:val="20"/>
                <w:lang w:eastAsia="en-GB"/>
              </w:rPr>
              <w:t>NZ</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07D22D2E" w14:textId="77777777" w:rsidR="006D1C12" w:rsidRPr="006D1C12" w:rsidRDefault="006D1C12" w:rsidP="006D1C12">
            <w:pPr>
              <w:spacing w:line="240" w:lineRule="auto"/>
              <w:rPr>
                <w:color w:val="848484"/>
                <w:szCs w:val="20"/>
                <w:lang w:eastAsia="en-GB"/>
              </w:rPr>
            </w:pPr>
            <w:r w:rsidRPr="006D1C12">
              <w:rPr>
                <w:color w:val="848484"/>
                <w:szCs w:val="20"/>
                <w:lang w:eastAsia="en-GB"/>
              </w:rPr>
              <w:t>Net Zero Re-Opener</w:t>
            </w:r>
          </w:p>
        </w:tc>
        <w:tc>
          <w:tcPr>
            <w:tcW w:w="1200" w:type="dxa"/>
            <w:tcBorders>
              <w:top w:val="nil"/>
              <w:left w:val="nil"/>
              <w:bottom w:val="single" w:sz="8" w:space="0" w:color="B6BABE"/>
              <w:right w:val="single" w:sz="8" w:space="0" w:color="B6BABE"/>
            </w:tcBorders>
            <w:shd w:val="clear" w:color="auto" w:fill="auto"/>
            <w:vAlign w:val="center"/>
            <w:hideMark/>
          </w:tcPr>
          <w:p w14:paraId="251BF589" w14:textId="77777777" w:rsidR="006D1C12" w:rsidRPr="006D1C12" w:rsidRDefault="006D1C12" w:rsidP="006D1C12">
            <w:pPr>
              <w:spacing w:line="240" w:lineRule="auto"/>
              <w:rPr>
                <w:color w:val="848484"/>
                <w:szCs w:val="20"/>
                <w:lang w:eastAsia="en-GB"/>
              </w:rPr>
            </w:pPr>
            <w:r w:rsidRPr="006D1C12">
              <w:rPr>
                <w:color w:val="848484"/>
                <w:szCs w:val="20"/>
                <w:lang w:eastAsia="en-GB"/>
              </w:rPr>
              <w:t>SpC 3.6</w:t>
            </w:r>
          </w:p>
        </w:tc>
        <w:tc>
          <w:tcPr>
            <w:tcW w:w="4180" w:type="dxa"/>
            <w:tcBorders>
              <w:top w:val="nil"/>
              <w:left w:val="nil"/>
              <w:bottom w:val="single" w:sz="8" w:space="0" w:color="B6BABE"/>
              <w:right w:val="single" w:sz="8" w:space="0" w:color="B6BABE"/>
            </w:tcBorders>
            <w:shd w:val="clear" w:color="auto" w:fill="auto"/>
            <w:vAlign w:val="center"/>
            <w:hideMark/>
          </w:tcPr>
          <w:p w14:paraId="3CA75F9A"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Re-opener Guidance and Application Requirements</w:t>
            </w:r>
          </w:p>
        </w:tc>
      </w:tr>
      <w:tr w:rsidR="006D1C12" w:rsidRPr="006D1C12" w14:paraId="4512FF55"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5EA92884"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1A8433AF" w14:textId="77777777" w:rsidR="006D1C12" w:rsidRPr="006D1C12" w:rsidRDefault="006D1C12" w:rsidP="006D1C12">
            <w:pPr>
              <w:spacing w:line="240" w:lineRule="auto"/>
              <w:rPr>
                <w:color w:val="848484"/>
                <w:szCs w:val="20"/>
                <w:lang w:eastAsia="en-GB"/>
              </w:rPr>
            </w:pPr>
            <w:r w:rsidRPr="006D1C12">
              <w:rPr>
                <w:color w:val="848484"/>
                <w:szCs w:val="20"/>
                <w:lang w:eastAsia="en-GB"/>
              </w:rPr>
              <w:t>[Non-incremental Obligated Capacity]</w:t>
            </w:r>
          </w:p>
        </w:tc>
        <w:tc>
          <w:tcPr>
            <w:tcW w:w="1200" w:type="dxa"/>
            <w:tcBorders>
              <w:top w:val="nil"/>
              <w:left w:val="nil"/>
              <w:bottom w:val="single" w:sz="8" w:space="0" w:color="B6BABE"/>
              <w:right w:val="single" w:sz="8" w:space="0" w:color="B6BABE"/>
            </w:tcBorders>
            <w:shd w:val="clear" w:color="auto" w:fill="auto"/>
            <w:vAlign w:val="center"/>
            <w:hideMark/>
          </w:tcPr>
          <w:p w14:paraId="5CBF9158"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3C37D5D4"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AE5D268"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04DA2724"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401C3997" w14:textId="77777777" w:rsidR="006D1C12" w:rsidRPr="006D1C12" w:rsidRDefault="006D1C12" w:rsidP="006D1C12">
            <w:pPr>
              <w:spacing w:line="240" w:lineRule="auto"/>
              <w:rPr>
                <w:color w:val="848484"/>
                <w:szCs w:val="20"/>
                <w:lang w:eastAsia="en-GB"/>
              </w:rPr>
            </w:pPr>
            <w:r w:rsidRPr="006D1C12">
              <w:rPr>
                <w:color w:val="848484"/>
                <w:szCs w:val="20"/>
                <w:lang w:eastAsia="en-GB"/>
              </w:rPr>
              <w:t>[Opex Esculator Indexation Re-opener]</w:t>
            </w:r>
          </w:p>
        </w:tc>
        <w:tc>
          <w:tcPr>
            <w:tcW w:w="1200" w:type="dxa"/>
            <w:tcBorders>
              <w:top w:val="nil"/>
              <w:left w:val="nil"/>
              <w:bottom w:val="single" w:sz="8" w:space="0" w:color="B6BABE"/>
              <w:right w:val="single" w:sz="8" w:space="0" w:color="B6BABE"/>
            </w:tcBorders>
            <w:shd w:val="clear" w:color="auto" w:fill="auto"/>
            <w:vAlign w:val="center"/>
            <w:hideMark/>
          </w:tcPr>
          <w:p w14:paraId="15DA2176"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6C4269E8"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 Re-opener Guidance and Application Requirements</w:t>
            </w:r>
          </w:p>
        </w:tc>
      </w:tr>
      <w:tr w:rsidR="006D1C12" w:rsidRPr="006D1C12" w14:paraId="021958C6"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6DC5B3A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5488E4C7"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RPE indexation </w:t>
            </w:r>
          </w:p>
        </w:tc>
        <w:tc>
          <w:tcPr>
            <w:tcW w:w="1200" w:type="dxa"/>
            <w:tcBorders>
              <w:top w:val="nil"/>
              <w:left w:val="nil"/>
              <w:bottom w:val="single" w:sz="8" w:space="0" w:color="B6BABE"/>
              <w:right w:val="single" w:sz="8" w:space="0" w:color="B6BABE"/>
            </w:tcBorders>
            <w:shd w:val="clear" w:color="auto" w:fill="auto"/>
            <w:vAlign w:val="center"/>
            <w:hideMark/>
          </w:tcPr>
          <w:p w14:paraId="22BD969D"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5E47C339"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5], PCFM Guidance</w:t>
            </w:r>
          </w:p>
        </w:tc>
      </w:tr>
      <w:tr w:rsidR="006D1C12" w:rsidRPr="006D1C12" w14:paraId="4553FB28" w14:textId="77777777" w:rsidTr="006D1C12">
        <w:trPr>
          <w:trHeight w:val="345"/>
        </w:trPr>
        <w:tc>
          <w:tcPr>
            <w:tcW w:w="97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216F4919"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Pass-through Expenditure</w:t>
            </w:r>
          </w:p>
        </w:tc>
      </w:tr>
      <w:tr w:rsidR="006D1C12" w:rsidRPr="006D1C12" w14:paraId="4E28DA0D"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41D70B6B"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71DDD232" w14:textId="77777777" w:rsidR="006D1C12" w:rsidRPr="006D1C12" w:rsidRDefault="006D1C12" w:rsidP="006D1C12">
            <w:pPr>
              <w:spacing w:line="240" w:lineRule="auto"/>
              <w:rPr>
                <w:color w:val="848484"/>
                <w:szCs w:val="20"/>
                <w:lang w:eastAsia="en-GB"/>
              </w:rPr>
            </w:pPr>
            <w:r w:rsidRPr="006D1C12">
              <w:rPr>
                <w:color w:val="848484"/>
                <w:szCs w:val="20"/>
                <w:lang w:eastAsia="en-GB"/>
              </w:rPr>
              <w:t>[Constraint management revenue]</w:t>
            </w:r>
          </w:p>
        </w:tc>
        <w:tc>
          <w:tcPr>
            <w:tcW w:w="1200" w:type="dxa"/>
            <w:tcBorders>
              <w:top w:val="nil"/>
              <w:left w:val="nil"/>
              <w:bottom w:val="single" w:sz="8" w:space="0" w:color="B6BABE"/>
              <w:right w:val="single" w:sz="8" w:space="0" w:color="B6BABE"/>
            </w:tcBorders>
            <w:shd w:val="clear" w:color="auto" w:fill="auto"/>
            <w:vAlign w:val="center"/>
            <w:hideMark/>
          </w:tcPr>
          <w:p w14:paraId="65D5CF8F"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5688837B"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B4437E5"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104212CC"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51D7C911" w14:textId="77777777" w:rsidR="006D1C12" w:rsidRPr="006D1C12" w:rsidRDefault="006D1C12" w:rsidP="006D1C12">
            <w:pPr>
              <w:spacing w:line="240" w:lineRule="auto"/>
              <w:rPr>
                <w:color w:val="848484"/>
                <w:szCs w:val="20"/>
                <w:lang w:eastAsia="en-GB"/>
              </w:rPr>
            </w:pPr>
            <w:r w:rsidRPr="006D1C12">
              <w:rPr>
                <w:color w:val="848484"/>
                <w:szCs w:val="20"/>
                <w:lang w:eastAsia="en-GB"/>
              </w:rPr>
              <w:t>[NTS Transportation Support Services]</w:t>
            </w:r>
          </w:p>
        </w:tc>
        <w:tc>
          <w:tcPr>
            <w:tcW w:w="1200" w:type="dxa"/>
            <w:tcBorders>
              <w:top w:val="nil"/>
              <w:left w:val="nil"/>
              <w:bottom w:val="single" w:sz="8" w:space="0" w:color="B6BABE"/>
              <w:right w:val="single" w:sz="8" w:space="0" w:color="B6BABE"/>
            </w:tcBorders>
            <w:shd w:val="clear" w:color="auto" w:fill="auto"/>
            <w:vAlign w:val="center"/>
            <w:hideMark/>
          </w:tcPr>
          <w:p w14:paraId="5E496A6A"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41844B29"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B7EC95A"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5320F10E" w14:textId="7F1CEC25" w:rsidR="006D1C12" w:rsidRPr="006D1C12" w:rsidRDefault="006D1C12" w:rsidP="006D1C12">
            <w:pPr>
              <w:spacing w:line="240" w:lineRule="auto"/>
              <w:rPr>
                <w:color w:val="848484"/>
                <w:szCs w:val="20"/>
                <w:lang w:eastAsia="en-GB"/>
              </w:rPr>
            </w:pPr>
            <w:r w:rsidRPr="006D1C12">
              <w:rPr>
                <w:color w:val="848484"/>
                <w:szCs w:val="20"/>
                <w:lang w:eastAsia="en-GB"/>
              </w:rPr>
              <w:t>SOEDE</w:t>
            </w:r>
            <w:r w:rsidR="004A030E"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31CC8E03" w14:textId="77777777" w:rsidR="006D1C12" w:rsidRPr="006D1C12" w:rsidRDefault="006D1C12" w:rsidP="006D1C12">
            <w:pPr>
              <w:spacing w:line="240" w:lineRule="auto"/>
              <w:rPr>
                <w:color w:val="848484"/>
                <w:szCs w:val="20"/>
                <w:lang w:eastAsia="en-GB"/>
              </w:rPr>
            </w:pPr>
            <w:r w:rsidRPr="006D1C12">
              <w:rPr>
                <w:color w:val="848484"/>
                <w:szCs w:val="20"/>
                <w:lang w:eastAsia="en-GB"/>
              </w:rPr>
              <w:t xml:space="preserve">Pensions (pension scheme established deficits) </w:t>
            </w:r>
          </w:p>
        </w:tc>
        <w:tc>
          <w:tcPr>
            <w:tcW w:w="1200" w:type="dxa"/>
            <w:tcBorders>
              <w:top w:val="nil"/>
              <w:left w:val="nil"/>
              <w:bottom w:val="single" w:sz="8" w:space="0" w:color="B6BABE"/>
              <w:right w:val="single" w:sz="8" w:space="0" w:color="B6BABE"/>
            </w:tcBorders>
            <w:shd w:val="clear" w:color="auto" w:fill="auto"/>
            <w:vAlign w:val="center"/>
            <w:hideMark/>
          </w:tcPr>
          <w:p w14:paraId="0F70E076"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785FBA66"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7</w:t>
            </w:r>
          </w:p>
        </w:tc>
      </w:tr>
      <w:tr w:rsidR="006D1C12" w:rsidRPr="006D1C12" w14:paraId="70CF91D3" w14:textId="77777777" w:rsidTr="006D1C12">
        <w:trPr>
          <w:trHeight w:val="255"/>
        </w:trPr>
        <w:tc>
          <w:tcPr>
            <w:tcW w:w="97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19FF438F"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Output Delivery Incentives</w:t>
            </w:r>
          </w:p>
        </w:tc>
      </w:tr>
      <w:tr w:rsidR="006D1C12" w:rsidRPr="006D1C12" w14:paraId="13AB6767"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661A336D" w14:textId="77777777" w:rsidR="006D1C12" w:rsidRPr="006D1C12" w:rsidRDefault="006D1C12" w:rsidP="006D1C12">
            <w:pPr>
              <w:spacing w:line="240" w:lineRule="auto"/>
              <w:rPr>
                <w:color w:val="848484"/>
                <w:szCs w:val="20"/>
                <w:lang w:eastAsia="en-GB"/>
              </w:rPr>
            </w:pPr>
            <w:r w:rsidRPr="006D1C12">
              <w:rPr>
                <w:color w:val="848484"/>
                <w:szCs w:val="20"/>
                <w:lang w:eastAsia="en-GB"/>
              </w:rPr>
              <w:t>CM</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1633CC78" w14:textId="77777777" w:rsidR="006D1C12" w:rsidRPr="006D1C12" w:rsidRDefault="006D1C12" w:rsidP="006D1C12">
            <w:pPr>
              <w:spacing w:line="240" w:lineRule="auto"/>
              <w:rPr>
                <w:color w:val="848484"/>
                <w:szCs w:val="20"/>
                <w:lang w:eastAsia="en-GB"/>
              </w:rPr>
            </w:pPr>
            <w:r w:rsidRPr="006D1C12">
              <w:rPr>
                <w:color w:val="848484"/>
                <w:szCs w:val="20"/>
                <w:lang w:eastAsia="en-GB"/>
              </w:rPr>
              <w:t>Common ODIs - Constraint management incentive revenue</w:t>
            </w:r>
          </w:p>
        </w:tc>
        <w:tc>
          <w:tcPr>
            <w:tcW w:w="1200" w:type="dxa"/>
            <w:tcBorders>
              <w:top w:val="nil"/>
              <w:left w:val="nil"/>
              <w:bottom w:val="single" w:sz="8" w:space="0" w:color="B6BABE"/>
              <w:right w:val="single" w:sz="8" w:space="0" w:color="B6BABE"/>
            </w:tcBorders>
            <w:shd w:val="clear" w:color="auto" w:fill="auto"/>
            <w:vAlign w:val="center"/>
            <w:hideMark/>
          </w:tcPr>
          <w:p w14:paraId="5C37D256" w14:textId="09A24569" w:rsidR="006D1C12" w:rsidRPr="006D1C12" w:rsidRDefault="006D1C12" w:rsidP="0071597E">
            <w:pPr>
              <w:spacing w:line="240" w:lineRule="auto"/>
              <w:rPr>
                <w:color w:val="848484"/>
                <w:szCs w:val="20"/>
                <w:lang w:eastAsia="en-GB"/>
              </w:rPr>
            </w:pPr>
            <w:r w:rsidRPr="006D1C12">
              <w:rPr>
                <w:color w:val="848484"/>
                <w:szCs w:val="20"/>
                <w:lang w:eastAsia="en-GB"/>
              </w:rPr>
              <w:t>SpC 4.</w:t>
            </w:r>
            <w:r w:rsidR="0071597E">
              <w:rPr>
                <w:color w:val="848484"/>
                <w:szCs w:val="20"/>
                <w:lang w:eastAsia="en-GB"/>
              </w:rPr>
              <w:t>4</w:t>
            </w:r>
          </w:p>
        </w:tc>
        <w:tc>
          <w:tcPr>
            <w:tcW w:w="4180" w:type="dxa"/>
            <w:tcBorders>
              <w:top w:val="nil"/>
              <w:left w:val="nil"/>
              <w:bottom w:val="single" w:sz="8" w:space="0" w:color="B6BABE"/>
              <w:right w:val="single" w:sz="8" w:space="0" w:color="B6BABE"/>
            </w:tcBorders>
            <w:shd w:val="clear" w:color="auto" w:fill="auto"/>
            <w:vAlign w:val="center"/>
            <w:hideMark/>
          </w:tcPr>
          <w:p w14:paraId="648D16AA"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7E21C94A"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31AAA69F" w14:textId="77777777" w:rsidR="006D1C12" w:rsidRPr="006D1C12" w:rsidRDefault="006D1C12" w:rsidP="006D1C12">
            <w:pPr>
              <w:spacing w:line="240" w:lineRule="auto"/>
              <w:rPr>
                <w:color w:val="848484"/>
                <w:szCs w:val="20"/>
                <w:lang w:eastAsia="en-GB"/>
              </w:rPr>
            </w:pPr>
            <w:r w:rsidRPr="006D1C12">
              <w:rPr>
                <w:color w:val="848484"/>
                <w:szCs w:val="20"/>
                <w:lang w:eastAsia="en-GB"/>
              </w:rPr>
              <w:t>RBIR</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7AC6F12F" w14:textId="77777777" w:rsidR="006D1C12" w:rsidRPr="006D1C12" w:rsidRDefault="006D1C12" w:rsidP="006D1C12">
            <w:pPr>
              <w:spacing w:line="240" w:lineRule="auto"/>
              <w:rPr>
                <w:color w:val="848484"/>
                <w:szCs w:val="20"/>
                <w:lang w:eastAsia="en-GB"/>
              </w:rPr>
            </w:pPr>
            <w:r w:rsidRPr="006D1C12">
              <w:rPr>
                <w:color w:val="848484"/>
                <w:szCs w:val="20"/>
                <w:lang w:eastAsia="en-GB"/>
              </w:rPr>
              <w:t>Common ODIs - Residual balancing incentive revenue</w:t>
            </w:r>
          </w:p>
        </w:tc>
        <w:tc>
          <w:tcPr>
            <w:tcW w:w="1200" w:type="dxa"/>
            <w:tcBorders>
              <w:top w:val="nil"/>
              <w:left w:val="nil"/>
              <w:bottom w:val="single" w:sz="8" w:space="0" w:color="B6BABE"/>
              <w:right w:val="single" w:sz="8" w:space="0" w:color="B6BABE"/>
            </w:tcBorders>
            <w:shd w:val="clear" w:color="auto" w:fill="auto"/>
            <w:vAlign w:val="center"/>
            <w:hideMark/>
          </w:tcPr>
          <w:p w14:paraId="3D1F8698" w14:textId="35468409" w:rsidR="006D1C12" w:rsidRPr="006D1C12" w:rsidRDefault="0071597E" w:rsidP="006D1C12">
            <w:pPr>
              <w:spacing w:line="240" w:lineRule="auto"/>
              <w:rPr>
                <w:color w:val="848484"/>
                <w:szCs w:val="20"/>
                <w:lang w:eastAsia="en-GB"/>
              </w:rPr>
            </w:pPr>
            <w:r>
              <w:rPr>
                <w:color w:val="848484"/>
                <w:szCs w:val="20"/>
                <w:lang w:eastAsia="en-GB"/>
              </w:rPr>
              <w:t>SpC 4.5</w:t>
            </w:r>
            <w:r w:rsidR="006D1C12" w:rsidRPr="006D1C12">
              <w:rPr>
                <w:color w:val="848484"/>
                <w:szCs w:val="20"/>
                <w:lang w:eastAsia="en-GB"/>
              </w:rPr>
              <w:t>, Part B</w:t>
            </w:r>
          </w:p>
        </w:tc>
        <w:tc>
          <w:tcPr>
            <w:tcW w:w="4180" w:type="dxa"/>
            <w:tcBorders>
              <w:top w:val="nil"/>
              <w:left w:val="nil"/>
              <w:bottom w:val="single" w:sz="8" w:space="0" w:color="B6BABE"/>
              <w:right w:val="single" w:sz="8" w:space="0" w:color="B6BABE"/>
            </w:tcBorders>
            <w:shd w:val="clear" w:color="auto" w:fill="auto"/>
            <w:vAlign w:val="center"/>
            <w:hideMark/>
          </w:tcPr>
          <w:p w14:paraId="7D7B4C0F"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677E333B" w14:textId="77777777" w:rsidTr="006D1C12">
        <w:trPr>
          <w:trHeight w:val="750"/>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7134272C" w14:textId="77777777" w:rsidR="006D1C12" w:rsidRPr="006D1C12" w:rsidRDefault="006D1C12" w:rsidP="006D1C12">
            <w:pPr>
              <w:spacing w:line="240" w:lineRule="auto"/>
              <w:rPr>
                <w:color w:val="848484"/>
                <w:szCs w:val="20"/>
                <w:lang w:eastAsia="en-GB"/>
              </w:rPr>
            </w:pPr>
            <w:r w:rsidRPr="006D1C12">
              <w:rPr>
                <w:color w:val="848484"/>
                <w:szCs w:val="20"/>
                <w:lang w:eastAsia="en-GB"/>
              </w:rPr>
              <w:lastRenderedPageBreak/>
              <w:t>QDAIR</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78CFB698" w14:textId="77777777" w:rsidR="006D1C12" w:rsidRPr="006D1C12" w:rsidRDefault="006D1C12" w:rsidP="006D1C12">
            <w:pPr>
              <w:spacing w:line="240" w:lineRule="auto"/>
              <w:rPr>
                <w:color w:val="848484"/>
                <w:szCs w:val="20"/>
                <w:lang w:eastAsia="en-GB"/>
              </w:rPr>
            </w:pPr>
            <w:r w:rsidRPr="006D1C12">
              <w:rPr>
                <w:color w:val="848484"/>
                <w:szCs w:val="20"/>
                <w:lang w:eastAsia="en-GB"/>
              </w:rPr>
              <w:t>Common ODIs - Quality of demand forecasting incentive revenue</w:t>
            </w:r>
          </w:p>
        </w:tc>
        <w:tc>
          <w:tcPr>
            <w:tcW w:w="1200" w:type="dxa"/>
            <w:tcBorders>
              <w:top w:val="nil"/>
              <w:left w:val="nil"/>
              <w:bottom w:val="single" w:sz="8" w:space="0" w:color="B6BABE"/>
              <w:right w:val="single" w:sz="8" w:space="0" w:color="B6BABE"/>
            </w:tcBorders>
            <w:shd w:val="clear" w:color="auto" w:fill="auto"/>
            <w:vAlign w:val="center"/>
            <w:hideMark/>
          </w:tcPr>
          <w:p w14:paraId="539CEFE9" w14:textId="6CF1F311" w:rsidR="006D1C12" w:rsidRPr="006D1C12" w:rsidRDefault="006D1C12" w:rsidP="0071597E">
            <w:pPr>
              <w:spacing w:line="240" w:lineRule="auto"/>
              <w:rPr>
                <w:color w:val="848484"/>
                <w:szCs w:val="20"/>
                <w:lang w:eastAsia="en-GB"/>
              </w:rPr>
            </w:pPr>
            <w:r w:rsidRPr="006D1C12">
              <w:rPr>
                <w:color w:val="848484"/>
                <w:szCs w:val="20"/>
                <w:lang w:eastAsia="en-GB"/>
              </w:rPr>
              <w:t>SpC 4.</w:t>
            </w:r>
            <w:r w:rsidR="0071597E">
              <w:rPr>
                <w:color w:val="848484"/>
                <w:szCs w:val="20"/>
                <w:lang w:eastAsia="en-GB"/>
              </w:rPr>
              <w:t>5</w:t>
            </w:r>
            <w:r w:rsidRPr="006D1C12">
              <w:rPr>
                <w:color w:val="848484"/>
                <w:szCs w:val="20"/>
                <w:lang w:eastAsia="en-GB"/>
              </w:rPr>
              <w:t>, Part C</w:t>
            </w:r>
          </w:p>
        </w:tc>
        <w:tc>
          <w:tcPr>
            <w:tcW w:w="4180" w:type="dxa"/>
            <w:tcBorders>
              <w:top w:val="nil"/>
              <w:left w:val="nil"/>
              <w:bottom w:val="single" w:sz="8" w:space="0" w:color="B6BABE"/>
              <w:right w:val="single" w:sz="8" w:space="0" w:color="B6BABE"/>
            </w:tcBorders>
            <w:shd w:val="clear" w:color="auto" w:fill="auto"/>
            <w:vAlign w:val="center"/>
            <w:hideMark/>
          </w:tcPr>
          <w:p w14:paraId="46AC9FE0"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2A42A4CE"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6F805CFC" w14:textId="77777777" w:rsidR="006D1C12" w:rsidRPr="006D1C12" w:rsidRDefault="006D1C12" w:rsidP="006D1C12">
            <w:pPr>
              <w:spacing w:line="240" w:lineRule="auto"/>
              <w:rPr>
                <w:color w:val="848484"/>
                <w:szCs w:val="20"/>
                <w:lang w:eastAsia="en-GB"/>
              </w:rPr>
            </w:pPr>
            <w:r w:rsidRPr="006D1C12">
              <w:rPr>
                <w:color w:val="848484"/>
                <w:szCs w:val="20"/>
                <w:lang w:eastAsia="en-GB"/>
              </w:rPr>
              <w:t>GHGIR</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2A7C27BC" w14:textId="77777777" w:rsidR="006D1C12" w:rsidRPr="006D1C12" w:rsidRDefault="006D1C12" w:rsidP="006D1C12">
            <w:pPr>
              <w:spacing w:line="240" w:lineRule="auto"/>
              <w:rPr>
                <w:color w:val="848484"/>
                <w:szCs w:val="20"/>
                <w:lang w:eastAsia="en-GB"/>
              </w:rPr>
            </w:pPr>
            <w:r w:rsidRPr="006D1C12">
              <w:rPr>
                <w:color w:val="848484"/>
                <w:szCs w:val="20"/>
                <w:lang w:eastAsia="en-GB"/>
              </w:rPr>
              <w:t>Common ODIs - Green house gas incentive revenue</w:t>
            </w:r>
          </w:p>
        </w:tc>
        <w:tc>
          <w:tcPr>
            <w:tcW w:w="1200" w:type="dxa"/>
            <w:tcBorders>
              <w:top w:val="nil"/>
              <w:left w:val="nil"/>
              <w:bottom w:val="single" w:sz="8" w:space="0" w:color="B6BABE"/>
              <w:right w:val="single" w:sz="8" w:space="0" w:color="B6BABE"/>
            </w:tcBorders>
            <w:shd w:val="clear" w:color="auto" w:fill="auto"/>
            <w:vAlign w:val="center"/>
            <w:hideMark/>
          </w:tcPr>
          <w:p w14:paraId="780D1842" w14:textId="0C456AF9" w:rsidR="006D1C12" w:rsidRPr="006D1C12" w:rsidRDefault="006D1C12" w:rsidP="0071597E">
            <w:pPr>
              <w:spacing w:line="240" w:lineRule="auto"/>
              <w:rPr>
                <w:color w:val="848484"/>
                <w:szCs w:val="20"/>
                <w:lang w:eastAsia="en-GB"/>
              </w:rPr>
            </w:pPr>
            <w:r w:rsidRPr="006D1C12">
              <w:rPr>
                <w:color w:val="848484"/>
                <w:szCs w:val="20"/>
                <w:lang w:eastAsia="en-GB"/>
              </w:rPr>
              <w:t>SpC 4.</w:t>
            </w:r>
            <w:r w:rsidR="0071597E">
              <w:rPr>
                <w:color w:val="848484"/>
                <w:szCs w:val="20"/>
                <w:lang w:eastAsia="en-GB"/>
              </w:rPr>
              <w:t>5</w:t>
            </w:r>
            <w:r w:rsidRPr="006D1C12">
              <w:rPr>
                <w:color w:val="848484"/>
                <w:szCs w:val="20"/>
                <w:lang w:eastAsia="en-GB"/>
              </w:rPr>
              <w:t>, Part D</w:t>
            </w:r>
          </w:p>
        </w:tc>
        <w:tc>
          <w:tcPr>
            <w:tcW w:w="4180" w:type="dxa"/>
            <w:tcBorders>
              <w:top w:val="nil"/>
              <w:left w:val="nil"/>
              <w:bottom w:val="single" w:sz="8" w:space="0" w:color="B6BABE"/>
              <w:right w:val="single" w:sz="8" w:space="0" w:color="B6BABE"/>
            </w:tcBorders>
            <w:shd w:val="clear" w:color="auto" w:fill="auto"/>
            <w:vAlign w:val="center"/>
            <w:hideMark/>
          </w:tcPr>
          <w:p w14:paraId="29688853"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2A27459F"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59B945B5" w14:textId="77777777" w:rsidR="006D1C12" w:rsidRPr="006D1C12" w:rsidRDefault="006D1C12" w:rsidP="006D1C12">
            <w:pPr>
              <w:spacing w:line="240" w:lineRule="auto"/>
              <w:rPr>
                <w:color w:val="848484"/>
                <w:szCs w:val="20"/>
                <w:lang w:eastAsia="en-GB"/>
              </w:rPr>
            </w:pPr>
            <w:r w:rsidRPr="006D1C12">
              <w:rPr>
                <w:color w:val="848484"/>
                <w:szCs w:val="20"/>
                <w:lang w:eastAsia="en-GB"/>
              </w:rPr>
              <w:t>MIR</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33B4068C" w14:textId="77777777" w:rsidR="006D1C12" w:rsidRPr="006D1C12" w:rsidRDefault="006D1C12" w:rsidP="006D1C12">
            <w:pPr>
              <w:spacing w:line="240" w:lineRule="auto"/>
              <w:rPr>
                <w:color w:val="848484"/>
                <w:szCs w:val="20"/>
                <w:lang w:eastAsia="en-GB"/>
              </w:rPr>
            </w:pPr>
            <w:r w:rsidRPr="006D1C12">
              <w:rPr>
                <w:color w:val="848484"/>
                <w:szCs w:val="20"/>
                <w:lang w:eastAsia="en-GB"/>
              </w:rPr>
              <w:t>Common ODIs - Maintenance incentive revenue</w:t>
            </w:r>
          </w:p>
        </w:tc>
        <w:tc>
          <w:tcPr>
            <w:tcW w:w="1200" w:type="dxa"/>
            <w:tcBorders>
              <w:top w:val="nil"/>
              <w:left w:val="nil"/>
              <w:bottom w:val="single" w:sz="8" w:space="0" w:color="B6BABE"/>
              <w:right w:val="single" w:sz="8" w:space="0" w:color="B6BABE"/>
            </w:tcBorders>
            <w:shd w:val="clear" w:color="auto" w:fill="auto"/>
            <w:vAlign w:val="center"/>
            <w:hideMark/>
          </w:tcPr>
          <w:p w14:paraId="1C6C01E0" w14:textId="5AEFAC83" w:rsidR="006D1C12" w:rsidRPr="006D1C12" w:rsidRDefault="006D1C12" w:rsidP="0071597E">
            <w:pPr>
              <w:spacing w:line="240" w:lineRule="auto"/>
              <w:rPr>
                <w:color w:val="848484"/>
                <w:szCs w:val="20"/>
                <w:lang w:eastAsia="en-GB"/>
              </w:rPr>
            </w:pPr>
            <w:r w:rsidRPr="006D1C12">
              <w:rPr>
                <w:color w:val="848484"/>
                <w:szCs w:val="20"/>
                <w:lang w:eastAsia="en-GB"/>
              </w:rPr>
              <w:t>SpC 4.</w:t>
            </w:r>
            <w:r w:rsidR="0071597E">
              <w:rPr>
                <w:color w:val="848484"/>
                <w:szCs w:val="20"/>
                <w:lang w:eastAsia="en-GB"/>
              </w:rPr>
              <w:t>5</w:t>
            </w:r>
            <w:r w:rsidRPr="006D1C12">
              <w:rPr>
                <w:color w:val="848484"/>
                <w:szCs w:val="20"/>
                <w:lang w:eastAsia="en-GB"/>
              </w:rPr>
              <w:t>, Part F</w:t>
            </w:r>
          </w:p>
        </w:tc>
        <w:tc>
          <w:tcPr>
            <w:tcW w:w="4180" w:type="dxa"/>
            <w:tcBorders>
              <w:top w:val="nil"/>
              <w:left w:val="nil"/>
              <w:bottom w:val="single" w:sz="8" w:space="0" w:color="B6BABE"/>
              <w:right w:val="single" w:sz="8" w:space="0" w:color="B6BABE"/>
            </w:tcBorders>
            <w:shd w:val="clear" w:color="auto" w:fill="auto"/>
            <w:vAlign w:val="center"/>
            <w:hideMark/>
          </w:tcPr>
          <w:p w14:paraId="7690C01E"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5BB9C38B"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3FA6AF04"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78950684" w14:textId="77777777" w:rsidR="006D1C12" w:rsidRPr="006D1C12" w:rsidRDefault="006D1C12" w:rsidP="006D1C12">
            <w:pPr>
              <w:spacing w:line="240" w:lineRule="auto"/>
              <w:rPr>
                <w:color w:val="848484"/>
                <w:szCs w:val="20"/>
                <w:lang w:eastAsia="en-GB"/>
              </w:rPr>
            </w:pPr>
            <w:r w:rsidRPr="006D1C12">
              <w:rPr>
                <w:color w:val="848484"/>
                <w:szCs w:val="20"/>
                <w:lang w:eastAsia="en-GB"/>
              </w:rPr>
              <w:t>[Bespoke ODIs]</w:t>
            </w:r>
          </w:p>
        </w:tc>
        <w:tc>
          <w:tcPr>
            <w:tcW w:w="1200" w:type="dxa"/>
            <w:tcBorders>
              <w:top w:val="nil"/>
              <w:left w:val="nil"/>
              <w:bottom w:val="single" w:sz="8" w:space="0" w:color="B6BABE"/>
              <w:right w:val="single" w:sz="8" w:space="0" w:color="B6BABE"/>
            </w:tcBorders>
            <w:shd w:val="clear" w:color="auto" w:fill="auto"/>
            <w:vAlign w:val="center"/>
            <w:hideMark/>
          </w:tcPr>
          <w:p w14:paraId="0827DC89"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7C441A81"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1E6AF55D" w14:textId="77777777" w:rsidTr="006D1C12">
        <w:trPr>
          <w:trHeight w:val="255"/>
        </w:trPr>
        <w:tc>
          <w:tcPr>
            <w:tcW w:w="97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008F8EEE"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Tax</w:t>
            </w:r>
          </w:p>
        </w:tc>
      </w:tr>
      <w:tr w:rsidR="006D1C12" w:rsidRPr="006D1C12" w14:paraId="687D1889"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0853AD68"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0D302BBD" w14:textId="77777777" w:rsidR="006D1C12" w:rsidRPr="006D1C12" w:rsidRDefault="006D1C12" w:rsidP="006D1C12">
            <w:pPr>
              <w:spacing w:line="240" w:lineRule="auto"/>
              <w:rPr>
                <w:color w:val="848484"/>
                <w:szCs w:val="20"/>
                <w:lang w:eastAsia="en-GB"/>
              </w:rPr>
            </w:pPr>
            <w:r w:rsidRPr="006D1C12">
              <w:rPr>
                <w:color w:val="848484"/>
                <w:szCs w:val="20"/>
                <w:lang w:eastAsia="en-GB"/>
              </w:rPr>
              <w:t>Adjusted net debt</w:t>
            </w:r>
          </w:p>
        </w:tc>
        <w:tc>
          <w:tcPr>
            <w:tcW w:w="1200" w:type="dxa"/>
            <w:tcBorders>
              <w:top w:val="nil"/>
              <w:left w:val="nil"/>
              <w:bottom w:val="single" w:sz="8" w:space="0" w:color="B6BABE"/>
              <w:right w:val="single" w:sz="8" w:space="0" w:color="B6BABE"/>
            </w:tcBorders>
            <w:shd w:val="clear" w:color="auto" w:fill="auto"/>
            <w:vAlign w:val="center"/>
            <w:hideMark/>
          </w:tcPr>
          <w:p w14:paraId="0C0AAF4B"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10F37FDE"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56B6543"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222340C3"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3D7833BC" w14:textId="77777777" w:rsidR="006D1C12" w:rsidRPr="006D1C12" w:rsidRDefault="006D1C12" w:rsidP="006D1C12">
            <w:pPr>
              <w:spacing w:line="240" w:lineRule="auto"/>
              <w:rPr>
                <w:color w:val="848484"/>
                <w:szCs w:val="20"/>
                <w:lang w:eastAsia="en-GB"/>
              </w:rPr>
            </w:pPr>
            <w:r w:rsidRPr="006D1C12">
              <w:rPr>
                <w:color w:val="848484"/>
                <w:szCs w:val="20"/>
                <w:lang w:eastAsia="en-GB"/>
              </w:rPr>
              <w:t>Tax deductible net interest cost</w:t>
            </w:r>
          </w:p>
        </w:tc>
        <w:tc>
          <w:tcPr>
            <w:tcW w:w="1200" w:type="dxa"/>
            <w:tcBorders>
              <w:top w:val="nil"/>
              <w:left w:val="nil"/>
              <w:bottom w:val="single" w:sz="8" w:space="0" w:color="B6BABE"/>
              <w:right w:val="single" w:sz="8" w:space="0" w:color="B6BABE"/>
            </w:tcBorders>
            <w:shd w:val="clear" w:color="auto" w:fill="auto"/>
            <w:vAlign w:val="center"/>
            <w:hideMark/>
          </w:tcPr>
          <w:p w14:paraId="4765844B"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1C9118A6"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1F18D96E" w14:textId="77777777" w:rsidTr="006D1C12">
        <w:trPr>
          <w:trHeight w:val="31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04185D5C" w14:textId="77777777" w:rsidR="006D1C12" w:rsidRPr="006D1C12" w:rsidRDefault="006D1C12" w:rsidP="006D1C12">
            <w:pPr>
              <w:spacing w:line="240" w:lineRule="auto"/>
              <w:rPr>
                <w:color w:val="848484"/>
                <w:szCs w:val="20"/>
                <w:lang w:eastAsia="en-GB"/>
              </w:rPr>
            </w:pPr>
            <w:r w:rsidRPr="006D1C12">
              <w:rPr>
                <w:color w:val="848484"/>
                <w:szCs w:val="20"/>
                <w:lang w:eastAsia="en-GB"/>
              </w:rPr>
              <w:t>SOTAXA</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35C257BB" w14:textId="77777777" w:rsidR="006D1C12" w:rsidRPr="006D1C12" w:rsidRDefault="006D1C12" w:rsidP="006D1C12">
            <w:pPr>
              <w:spacing w:line="240" w:lineRule="auto"/>
              <w:rPr>
                <w:color w:val="848484"/>
                <w:szCs w:val="20"/>
                <w:lang w:eastAsia="en-GB"/>
              </w:rPr>
            </w:pPr>
            <w:r w:rsidRPr="006D1C12">
              <w:rPr>
                <w:color w:val="848484"/>
                <w:szCs w:val="20"/>
                <w:lang w:eastAsia="en-GB"/>
              </w:rPr>
              <w:t>Tax allowance adjustment</w:t>
            </w:r>
          </w:p>
        </w:tc>
        <w:tc>
          <w:tcPr>
            <w:tcW w:w="1200" w:type="dxa"/>
            <w:tcBorders>
              <w:top w:val="nil"/>
              <w:left w:val="nil"/>
              <w:bottom w:val="single" w:sz="8" w:space="0" w:color="B6BABE"/>
              <w:right w:val="single" w:sz="8" w:space="0" w:color="B6BABE"/>
            </w:tcBorders>
            <w:shd w:val="clear" w:color="auto" w:fill="auto"/>
            <w:vAlign w:val="center"/>
            <w:hideMark/>
          </w:tcPr>
          <w:p w14:paraId="7BAC7B72" w14:textId="77777777" w:rsidR="006D1C12" w:rsidRPr="006D1C12" w:rsidRDefault="006D1C12" w:rsidP="006D1C12">
            <w:pPr>
              <w:spacing w:line="240" w:lineRule="auto"/>
              <w:rPr>
                <w:color w:val="848484"/>
                <w:szCs w:val="20"/>
                <w:lang w:eastAsia="en-GB"/>
              </w:rPr>
            </w:pPr>
            <w:r w:rsidRPr="006D1C12">
              <w:rPr>
                <w:color w:val="848484"/>
                <w:szCs w:val="20"/>
                <w:lang w:eastAsia="en-GB"/>
              </w:rPr>
              <w:t>SpC 2.8</w:t>
            </w:r>
          </w:p>
        </w:tc>
        <w:tc>
          <w:tcPr>
            <w:tcW w:w="4180" w:type="dxa"/>
            <w:tcBorders>
              <w:top w:val="nil"/>
              <w:left w:val="nil"/>
              <w:bottom w:val="single" w:sz="8" w:space="0" w:color="B6BABE"/>
              <w:right w:val="single" w:sz="8" w:space="0" w:color="B6BABE"/>
            </w:tcBorders>
            <w:shd w:val="clear" w:color="auto" w:fill="auto"/>
            <w:vAlign w:val="center"/>
            <w:hideMark/>
          </w:tcPr>
          <w:p w14:paraId="2308AE71"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6, PCFM Guidance</w:t>
            </w:r>
          </w:p>
        </w:tc>
      </w:tr>
      <w:tr w:rsidR="006D1C12" w:rsidRPr="006D1C12" w14:paraId="3DECB0DD" w14:textId="77777777" w:rsidTr="006D1C12">
        <w:trPr>
          <w:trHeight w:val="750"/>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175A032A" w14:textId="13B3140D" w:rsidR="006D1C12" w:rsidRPr="006D1C12" w:rsidRDefault="006D1C12" w:rsidP="006D1C12">
            <w:pPr>
              <w:spacing w:line="240" w:lineRule="auto"/>
              <w:rPr>
                <w:color w:val="848484"/>
                <w:szCs w:val="20"/>
                <w:lang w:eastAsia="en-GB"/>
              </w:rPr>
            </w:pPr>
            <w:r w:rsidRPr="006D1C12">
              <w:rPr>
                <w:color w:val="848484"/>
                <w:szCs w:val="20"/>
                <w:lang w:eastAsia="en-GB"/>
              </w:rPr>
              <w:t>SOTTE</w:t>
            </w:r>
            <w:r w:rsidR="00984C50" w:rsidRPr="00984C50">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7338308E" w14:textId="77777777" w:rsidR="006D1C12" w:rsidRPr="006D1C12" w:rsidRDefault="006D1C12" w:rsidP="006D1C12">
            <w:pPr>
              <w:spacing w:line="240" w:lineRule="auto"/>
              <w:rPr>
                <w:color w:val="848484"/>
                <w:szCs w:val="20"/>
                <w:lang w:eastAsia="en-GB"/>
              </w:rPr>
            </w:pPr>
            <w:r w:rsidRPr="006D1C12">
              <w:rPr>
                <w:color w:val="848484"/>
                <w:szCs w:val="20"/>
                <w:lang w:eastAsia="en-GB"/>
              </w:rPr>
              <w:t>Tax liability allowance adjustments - driven by tax trigger events</w:t>
            </w:r>
          </w:p>
        </w:tc>
        <w:tc>
          <w:tcPr>
            <w:tcW w:w="1200" w:type="dxa"/>
            <w:tcBorders>
              <w:top w:val="nil"/>
              <w:left w:val="nil"/>
              <w:bottom w:val="single" w:sz="8" w:space="0" w:color="B6BABE"/>
              <w:right w:val="single" w:sz="8" w:space="0" w:color="B6BABE"/>
            </w:tcBorders>
            <w:shd w:val="clear" w:color="auto" w:fill="auto"/>
            <w:vAlign w:val="center"/>
            <w:hideMark/>
          </w:tcPr>
          <w:p w14:paraId="4DABB0AB"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4EA57E57"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6, PCFM Guidance</w:t>
            </w:r>
          </w:p>
        </w:tc>
      </w:tr>
      <w:tr w:rsidR="006D1C12" w:rsidRPr="006D1C12" w14:paraId="1AEF4B28" w14:textId="77777777" w:rsidTr="006D1C12">
        <w:trPr>
          <w:trHeight w:val="750"/>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3C49DF48"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7907B48E" w14:textId="77777777" w:rsidR="006D1C12" w:rsidRPr="006D1C12" w:rsidRDefault="006D1C12" w:rsidP="006D1C12">
            <w:pPr>
              <w:spacing w:line="240" w:lineRule="auto"/>
              <w:rPr>
                <w:color w:val="848484"/>
                <w:szCs w:val="20"/>
                <w:lang w:eastAsia="en-GB"/>
              </w:rPr>
            </w:pPr>
            <w:r w:rsidRPr="006D1C12">
              <w:rPr>
                <w:color w:val="848484"/>
                <w:szCs w:val="20"/>
                <w:lang w:eastAsia="en-GB"/>
              </w:rPr>
              <w:t>General pool capital allowance opening balance brought forward</w:t>
            </w:r>
          </w:p>
        </w:tc>
        <w:tc>
          <w:tcPr>
            <w:tcW w:w="1200" w:type="dxa"/>
            <w:tcBorders>
              <w:top w:val="nil"/>
              <w:left w:val="nil"/>
              <w:bottom w:val="single" w:sz="8" w:space="0" w:color="B6BABE"/>
              <w:right w:val="single" w:sz="8" w:space="0" w:color="B6BABE"/>
            </w:tcBorders>
            <w:shd w:val="clear" w:color="auto" w:fill="auto"/>
            <w:vAlign w:val="center"/>
            <w:hideMark/>
          </w:tcPr>
          <w:p w14:paraId="37A69EE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0E2ACC61"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252F0C3B" w14:textId="77777777" w:rsidTr="006D1C12">
        <w:trPr>
          <w:trHeight w:val="750"/>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6922ED8F"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7C007158" w14:textId="77777777" w:rsidR="006D1C12" w:rsidRPr="006D1C12" w:rsidRDefault="006D1C12" w:rsidP="006D1C12">
            <w:pPr>
              <w:spacing w:line="240" w:lineRule="auto"/>
              <w:rPr>
                <w:color w:val="848484"/>
                <w:szCs w:val="20"/>
                <w:lang w:eastAsia="en-GB"/>
              </w:rPr>
            </w:pPr>
            <w:r w:rsidRPr="006D1C12">
              <w:rPr>
                <w:color w:val="848484"/>
                <w:szCs w:val="20"/>
                <w:lang w:eastAsia="en-GB"/>
              </w:rPr>
              <w:t>Special Rate capital allowance opening balance brought forward</w:t>
            </w:r>
          </w:p>
        </w:tc>
        <w:tc>
          <w:tcPr>
            <w:tcW w:w="1200" w:type="dxa"/>
            <w:tcBorders>
              <w:top w:val="nil"/>
              <w:left w:val="nil"/>
              <w:bottom w:val="single" w:sz="8" w:space="0" w:color="B6BABE"/>
              <w:right w:val="single" w:sz="8" w:space="0" w:color="B6BABE"/>
            </w:tcBorders>
            <w:shd w:val="clear" w:color="auto" w:fill="auto"/>
            <w:vAlign w:val="center"/>
            <w:hideMark/>
          </w:tcPr>
          <w:p w14:paraId="38093A79"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55151763"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5B7334F0" w14:textId="77777777" w:rsidTr="006D1C12">
        <w:trPr>
          <w:trHeight w:val="750"/>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18F4F00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07A9FA8B" w14:textId="77777777" w:rsidR="006D1C12" w:rsidRPr="006D1C12" w:rsidRDefault="006D1C12" w:rsidP="006D1C12">
            <w:pPr>
              <w:spacing w:line="240" w:lineRule="auto"/>
              <w:rPr>
                <w:color w:val="848484"/>
                <w:szCs w:val="20"/>
                <w:lang w:eastAsia="en-GB"/>
              </w:rPr>
            </w:pPr>
            <w:r w:rsidRPr="006D1C12">
              <w:rPr>
                <w:color w:val="848484"/>
                <w:szCs w:val="20"/>
                <w:lang w:eastAsia="en-GB"/>
              </w:rPr>
              <w:t>Structures and buildings capital allowance opening balance brought forward</w:t>
            </w:r>
          </w:p>
        </w:tc>
        <w:tc>
          <w:tcPr>
            <w:tcW w:w="1200" w:type="dxa"/>
            <w:tcBorders>
              <w:top w:val="nil"/>
              <w:left w:val="nil"/>
              <w:bottom w:val="single" w:sz="8" w:space="0" w:color="B6BABE"/>
              <w:right w:val="single" w:sz="8" w:space="0" w:color="B6BABE"/>
            </w:tcBorders>
            <w:shd w:val="clear" w:color="auto" w:fill="auto"/>
            <w:vAlign w:val="center"/>
            <w:hideMark/>
          </w:tcPr>
          <w:p w14:paraId="1EFD557A"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77C4FEE3"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5FF0B5F6" w14:textId="77777777" w:rsidTr="006D1C12">
        <w:trPr>
          <w:trHeight w:val="750"/>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6DC2B95F"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624E57B6" w14:textId="77777777" w:rsidR="006D1C12" w:rsidRPr="006D1C12" w:rsidRDefault="006D1C12" w:rsidP="006D1C12">
            <w:pPr>
              <w:spacing w:line="240" w:lineRule="auto"/>
              <w:rPr>
                <w:color w:val="848484"/>
                <w:szCs w:val="20"/>
                <w:lang w:eastAsia="en-GB"/>
              </w:rPr>
            </w:pPr>
            <w:r w:rsidRPr="006D1C12">
              <w:rPr>
                <w:color w:val="848484"/>
                <w:szCs w:val="20"/>
                <w:lang w:eastAsia="en-GB"/>
              </w:rPr>
              <w:t>Deferred revenue expenditure opening balance brought forward</w:t>
            </w:r>
          </w:p>
        </w:tc>
        <w:tc>
          <w:tcPr>
            <w:tcW w:w="1200" w:type="dxa"/>
            <w:tcBorders>
              <w:top w:val="nil"/>
              <w:left w:val="nil"/>
              <w:bottom w:val="single" w:sz="8" w:space="0" w:color="B6BABE"/>
              <w:right w:val="single" w:sz="8" w:space="0" w:color="B6BABE"/>
            </w:tcBorders>
            <w:shd w:val="clear" w:color="auto" w:fill="auto"/>
            <w:vAlign w:val="center"/>
            <w:hideMark/>
          </w:tcPr>
          <w:p w14:paraId="7287D80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6077687F"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2DD2BA7B" w14:textId="77777777" w:rsidTr="006D1C12">
        <w:trPr>
          <w:trHeight w:val="750"/>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308198CD"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76CFC2AA" w14:textId="77777777" w:rsidR="006D1C12" w:rsidRPr="006D1C12" w:rsidRDefault="006D1C12" w:rsidP="006D1C12">
            <w:pPr>
              <w:spacing w:line="240" w:lineRule="auto"/>
              <w:rPr>
                <w:color w:val="848484"/>
                <w:szCs w:val="20"/>
                <w:lang w:eastAsia="en-GB"/>
              </w:rPr>
            </w:pPr>
            <w:r w:rsidRPr="006D1C12">
              <w:rPr>
                <w:color w:val="848484"/>
                <w:szCs w:val="20"/>
                <w:lang w:eastAsia="en-GB"/>
              </w:rPr>
              <w:t>Deferred revenue pool additions (RIIO1) plus opening balance at start of RIIO1</w:t>
            </w:r>
          </w:p>
        </w:tc>
        <w:tc>
          <w:tcPr>
            <w:tcW w:w="1200" w:type="dxa"/>
            <w:tcBorders>
              <w:top w:val="nil"/>
              <w:left w:val="nil"/>
              <w:bottom w:val="single" w:sz="8" w:space="0" w:color="B6BABE"/>
              <w:right w:val="single" w:sz="8" w:space="0" w:color="B6BABE"/>
            </w:tcBorders>
            <w:shd w:val="clear" w:color="auto" w:fill="auto"/>
            <w:vAlign w:val="center"/>
            <w:hideMark/>
          </w:tcPr>
          <w:p w14:paraId="1B6BFDE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18F944D7"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A3BD14E"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0848DA6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6DEE589C" w14:textId="77777777" w:rsidR="006D1C12" w:rsidRPr="006D1C12" w:rsidRDefault="006D1C12" w:rsidP="006D1C12">
            <w:pPr>
              <w:spacing w:line="240" w:lineRule="auto"/>
              <w:rPr>
                <w:color w:val="848484"/>
                <w:szCs w:val="20"/>
                <w:lang w:eastAsia="en-GB"/>
              </w:rPr>
            </w:pPr>
            <w:r w:rsidRPr="006D1C12">
              <w:rPr>
                <w:color w:val="848484"/>
                <w:szCs w:val="20"/>
                <w:lang w:eastAsia="en-GB"/>
              </w:rPr>
              <w:t>Tax loss brought forward</w:t>
            </w:r>
          </w:p>
        </w:tc>
        <w:tc>
          <w:tcPr>
            <w:tcW w:w="1200" w:type="dxa"/>
            <w:tcBorders>
              <w:top w:val="nil"/>
              <w:left w:val="nil"/>
              <w:bottom w:val="single" w:sz="8" w:space="0" w:color="B6BABE"/>
              <w:right w:val="single" w:sz="8" w:space="0" w:color="B6BABE"/>
            </w:tcBorders>
            <w:shd w:val="clear" w:color="auto" w:fill="auto"/>
            <w:vAlign w:val="center"/>
            <w:hideMark/>
          </w:tcPr>
          <w:p w14:paraId="6BCA3A4D"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482B8FE3"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3BF4BFB"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73D96F01"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7784791D" w14:textId="77777777" w:rsidR="006D1C12" w:rsidRPr="006D1C12" w:rsidRDefault="006D1C12" w:rsidP="006D1C12">
            <w:pPr>
              <w:spacing w:line="240" w:lineRule="auto"/>
              <w:rPr>
                <w:color w:val="848484"/>
                <w:szCs w:val="20"/>
                <w:lang w:eastAsia="en-GB"/>
              </w:rPr>
            </w:pPr>
            <w:r w:rsidRPr="006D1C12">
              <w:rPr>
                <w:color w:val="848484"/>
                <w:szCs w:val="20"/>
                <w:lang w:eastAsia="en-GB"/>
              </w:rPr>
              <w:t>Allocation to "General" tax pool</w:t>
            </w:r>
          </w:p>
        </w:tc>
        <w:tc>
          <w:tcPr>
            <w:tcW w:w="1200" w:type="dxa"/>
            <w:tcBorders>
              <w:top w:val="nil"/>
              <w:left w:val="nil"/>
              <w:bottom w:val="single" w:sz="8" w:space="0" w:color="B6BABE"/>
              <w:right w:val="single" w:sz="8" w:space="0" w:color="B6BABE"/>
            </w:tcBorders>
            <w:shd w:val="clear" w:color="auto" w:fill="auto"/>
            <w:vAlign w:val="center"/>
            <w:hideMark/>
          </w:tcPr>
          <w:p w14:paraId="30274233"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6D237152"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654D9AE8"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5CD292F4"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155C9261" w14:textId="77777777" w:rsidR="006D1C12" w:rsidRPr="006D1C12" w:rsidRDefault="006D1C12" w:rsidP="006D1C12">
            <w:pPr>
              <w:spacing w:line="240" w:lineRule="auto"/>
              <w:rPr>
                <w:color w:val="848484"/>
                <w:szCs w:val="20"/>
                <w:lang w:eastAsia="en-GB"/>
              </w:rPr>
            </w:pPr>
            <w:r w:rsidRPr="006D1C12">
              <w:rPr>
                <w:color w:val="848484"/>
                <w:szCs w:val="20"/>
                <w:lang w:eastAsia="en-GB"/>
              </w:rPr>
              <w:t>Allocation to "Revenue" tax pool</w:t>
            </w:r>
          </w:p>
        </w:tc>
        <w:tc>
          <w:tcPr>
            <w:tcW w:w="1200" w:type="dxa"/>
            <w:tcBorders>
              <w:top w:val="nil"/>
              <w:left w:val="nil"/>
              <w:bottom w:val="single" w:sz="8" w:space="0" w:color="B6BABE"/>
              <w:right w:val="single" w:sz="8" w:space="0" w:color="B6BABE"/>
            </w:tcBorders>
            <w:shd w:val="clear" w:color="auto" w:fill="auto"/>
            <w:vAlign w:val="center"/>
            <w:hideMark/>
          </w:tcPr>
          <w:p w14:paraId="1B6850C2"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0BEEDAD3"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2A4B6101"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6D3C9058"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477A668C" w14:textId="77777777" w:rsidR="006D1C12" w:rsidRPr="006D1C12" w:rsidRDefault="006D1C12" w:rsidP="006D1C12">
            <w:pPr>
              <w:spacing w:line="240" w:lineRule="auto"/>
              <w:rPr>
                <w:color w:val="848484"/>
                <w:szCs w:val="20"/>
                <w:lang w:eastAsia="en-GB"/>
              </w:rPr>
            </w:pPr>
            <w:r w:rsidRPr="006D1C12">
              <w:rPr>
                <w:color w:val="848484"/>
                <w:szCs w:val="20"/>
                <w:lang w:eastAsia="en-GB"/>
              </w:rPr>
              <w:t>Allocation to "Structures and Buildings" tax pool</w:t>
            </w:r>
          </w:p>
        </w:tc>
        <w:tc>
          <w:tcPr>
            <w:tcW w:w="1200" w:type="dxa"/>
            <w:tcBorders>
              <w:top w:val="nil"/>
              <w:left w:val="nil"/>
              <w:bottom w:val="single" w:sz="8" w:space="0" w:color="B6BABE"/>
              <w:right w:val="single" w:sz="8" w:space="0" w:color="B6BABE"/>
            </w:tcBorders>
            <w:shd w:val="clear" w:color="auto" w:fill="auto"/>
            <w:vAlign w:val="center"/>
            <w:hideMark/>
          </w:tcPr>
          <w:p w14:paraId="3DBCD5F6"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106914B0"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607B2E29"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28D53EA1"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17D0631C" w14:textId="77777777" w:rsidR="006D1C12" w:rsidRPr="006D1C12" w:rsidRDefault="006D1C12" w:rsidP="006D1C12">
            <w:pPr>
              <w:spacing w:line="240" w:lineRule="auto"/>
              <w:rPr>
                <w:color w:val="848484"/>
                <w:szCs w:val="20"/>
                <w:lang w:eastAsia="en-GB"/>
              </w:rPr>
            </w:pPr>
            <w:r w:rsidRPr="006D1C12">
              <w:rPr>
                <w:color w:val="848484"/>
                <w:szCs w:val="20"/>
                <w:lang w:eastAsia="en-GB"/>
              </w:rPr>
              <w:t>Allocation to "Non Qualifying" tax pool</w:t>
            </w:r>
          </w:p>
        </w:tc>
        <w:tc>
          <w:tcPr>
            <w:tcW w:w="1200" w:type="dxa"/>
            <w:tcBorders>
              <w:top w:val="nil"/>
              <w:left w:val="nil"/>
              <w:bottom w:val="single" w:sz="8" w:space="0" w:color="B6BABE"/>
              <w:right w:val="single" w:sz="8" w:space="0" w:color="B6BABE"/>
            </w:tcBorders>
            <w:shd w:val="clear" w:color="auto" w:fill="auto"/>
            <w:vAlign w:val="center"/>
            <w:hideMark/>
          </w:tcPr>
          <w:p w14:paraId="3076DAA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5AAE0178"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020441B"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70A6C55D"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48EE8542" w14:textId="77777777" w:rsidR="006D1C12" w:rsidRPr="006D1C12" w:rsidRDefault="006D1C12" w:rsidP="006D1C12">
            <w:pPr>
              <w:spacing w:line="240" w:lineRule="auto"/>
              <w:rPr>
                <w:color w:val="848484"/>
                <w:szCs w:val="20"/>
                <w:lang w:eastAsia="en-GB"/>
              </w:rPr>
            </w:pPr>
            <w:r w:rsidRPr="006D1C12">
              <w:rPr>
                <w:color w:val="848484"/>
                <w:szCs w:val="20"/>
                <w:lang w:eastAsia="en-GB"/>
              </w:rPr>
              <w:t>Corporation tax rate</w:t>
            </w:r>
          </w:p>
        </w:tc>
        <w:tc>
          <w:tcPr>
            <w:tcW w:w="1200" w:type="dxa"/>
            <w:tcBorders>
              <w:top w:val="nil"/>
              <w:left w:val="nil"/>
              <w:bottom w:val="single" w:sz="8" w:space="0" w:color="B6BABE"/>
              <w:right w:val="single" w:sz="8" w:space="0" w:color="B6BABE"/>
            </w:tcBorders>
            <w:shd w:val="clear" w:color="auto" w:fill="auto"/>
            <w:vAlign w:val="center"/>
            <w:hideMark/>
          </w:tcPr>
          <w:p w14:paraId="017B1437"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69C33049"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1B73A87B"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70E167B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1255DD1D" w14:textId="77777777" w:rsidR="006D1C12" w:rsidRPr="006D1C12" w:rsidRDefault="006D1C12" w:rsidP="006D1C12">
            <w:pPr>
              <w:spacing w:line="240" w:lineRule="auto"/>
              <w:rPr>
                <w:color w:val="848484"/>
                <w:szCs w:val="20"/>
                <w:lang w:eastAsia="en-GB"/>
              </w:rPr>
            </w:pPr>
            <w:r w:rsidRPr="006D1C12">
              <w:rPr>
                <w:color w:val="848484"/>
                <w:szCs w:val="20"/>
                <w:lang w:eastAsia="en-GB"/>
              </w:rPr>
              <w:t>General pool allowance rate</w:t>
            </w:r>
          </w:p>
        </w:tc>
        <w:tc>
          <w:tcPr>
            <w:tcW w:w="1200" w:type="dxa"/>
            <w:tcBorders>
              <w:top w:val="nil"/>
              <w:left w:val="nil"/>
              <w:bottom w:val="single" w:sz="8" w:space="0" w:color="B6BABE"/>
              <w:right w:val="single" w:sz="8" w:space="0" w:color="B6BABE"/>
            </w:tcBorders>
            <w:shd w:val="clear" w:color="auto" w:fill="auto"/>
            <w:vAlign w:val="center"/>
            <w:hideMark/>
          </w:tcPr>
          <w:p w14:paraId="0310516B"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24102BF9"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0F4EDA1"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3F1349EE"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620801BB" w14:textId="77777777" w:rsidR="006D1C12" w:rsidRPr="006D1C12" w:rsidRDefault="006D1C12" w:rsidP="006D1C12">
            <w:pPr>
              <w:spacing w:line="240" w:lineRule="auto"/>
              <w:rPr>
                <w:color w:val="848484"/>
                <w:szCs w:val="20"/>
                <w:lang w:eastAsia="en-GB"/>
              </w:rPr>
            </w:pPr>
            <w:r w:rsidRPr="006D1C12">
              <w:rPr>
                <w:color w:val="848484"/>
                <w:szCs w:val="20"/>
                <w:lang w:eastAsia="en-GB"/>
              </w:rPr>
              <w:t>Special Rate allowance rate</w:t>
            </w:r>
          </w:p>
        </w:tc>
        <w:tc>
          <w:tcPr>
            <w:tcW w:w="1200" w:type="dxa"/>
            <w:tcBorders>
              <w:top w:val="nil"/>
              <w:left w:val="nil"/>
              <w:bottom w:val="single" w:sz="8" w:space="0" w:color="B6BABE"/>
              <w:right w:val="single" w:sz="8" w:space="0" w:color="B6BABE"/>
            </w:tcBorders>
            <w:shd w:val="clear" w:color="auto" w:fill="auto"/>
            <w:vAlign w:val="center"/>
            <w:hideMark/>
          </w:tcPr>
          <w:p w14:paraId="68374DB4"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2CACEC60"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3725358B"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4F4CE94B"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549EB7BD" w14:textId="77777777" w:rsidR="006D1C12" w:rsidRPr="006D1C12" w:rsidRDefault="006D1C12" w:rsidP="006D1C12">
            <w:pPr>
              <w:spacing w:line="240" w:lineRule="auto"/>
              <w:rPr>
                <w:color w:val="848484"/>
                <w:szCs w:val="20"/>
                <w:lang w:eastAsia="en-GB"/>
              </w:rPr>
            </w:pPr>
            <w:r w:rsidRPr="006D1C12">
              <w:rPr>
                <w:color w:val="848484"/>
                <w:szCs w:val="20"/>
                <w:lang w:eastAsia="en-GB"/>
              </w:rPr>
              <w:t>Structures and buildings allowance rate</w:t>
            </w:r>
          </w:p>
        </w:tc>
        <w:tc>
          <w:tcPr>
            <w:tcW w:w="1200" w:type="dxa"/>
            <w:tcBorders>
              <w:top w:val="nil"/>
              <w:left w:val="nil"/>
              <w:bottom w:val="single" w:sz="8" w:space="0" w:color="B6BABE"/>
              <w:right w:val="single" w:sz="8" w:space="0" w:color="B6BABE"/>
            </w:tcBorders>
            <w:shd w:val="clear" w:color="auto" w:fill="auto"/>
            <w:vAlign w:val="center"/>
            <w:hideMark/>
          </w:tcPr>
          <w:p w14:paraId="67FBBCA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3F8046B4"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7989E738"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2983DA48"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4259CC41" w14:textId="77777777" w:rsidR="006D1C12" w:rsidRPr="006D1C12" w:rsidRDefault="006D1C12" w:rsidP="006D1C12">
            <w:pPr>
              <w:spacing w:line="240" w:lineRule="auto"/>
              <w:rPr>
                <w:color w:val="848484"/>
                <w:szCs w:val="20"/>
                <w:lang w:eastAsia="en-GB"/>
              </w:rPr>
            </w:pPr>
            <w:r w:rsidRPr="006D1C12">
              <w:rPr>
                <w:color w:val="848484"/>
                <w:szCs w:val="20"/>
                <w:lang w:eastAsia="en-GB"/>
              </w:rPr>
              <w:t>Deferred revenue expenditure allowance rate</w:t>
            </w:r>
          </w:p>
        </w:tc>
        <w:tc>
          <w:tcPr>
            <w:tcW w:w="1200" w:type="dxa"/>
            <w:tcBorders>
              <w:top w:val="nil"/>
              <w:left w:val="nil"/>
              <w:bottom w:val="single" w:sz="8" w:space="0" w:color="B6BABE"/>
              <w:right w:val="single" w:sz="8" w:space="0" w:color="B6BABE"/>
            </w:tcBorders>
            <w:shd w:val="clear" w:color="auto" w:fill="auto"/>
            <w:vAlign w:val="center"/>
            <w:hideMark/>
          </w:tcPr>
          <w:p w14:paraId="09FDBA20"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65DA0F4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32125C51" w14:textId="77777777" w:rsidTr="006D1C12">
        <w:trPr>
          <w:trHeight w:val="248"/>
        </w:trPr>
        <w:tc>
          <w:tcPr>
            <w:tcW w:w="97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3A783EEA"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Legacy Adjustments</w:t>
            </w:r>
          </w:p>
        </w:tc>
      </w:tr>
      <w:tr w:rsidR="006D1C12" w:rsidRPr="006D1C12" w14:paraId="12582D8A"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056C69F1" w14:textId="4C6D93F9" w:rsidR="006D1C12" w:rsidRPr="006D1C12" w:rsidRDefault="00E4784D" w:rsidP="00E4784D">
            <w:pPr>
              <w:spacing w:line="240" w:lineRule="auto"/>
              <w:rPr>
                <w:color w:val="848484"/>
                <w:szCs w:val="20"/>
                <w:lang w:eastAsia="en-GB"/>
              </w:rPr>
            </w:pPr>
            <w:r>
              <w:rPr>
                <w:color w:val="848484"/>
                <w:szCs w:val="20"/>
                <w:lang w:eastAsia="en-GB"/>
              </w:rPr>
              <w:t>[SOLMOD</w:t>
            </w:r>
            <w:r w:rsidRPr="00E4784D">
              <w:rPr>
                <w:color w:val="848484"/>
                <w:szCs w:val="20"/>
                <w:vertAlign w:val="subscript"/>
                <w:lang w:eastAsia="en-GB"/>
              </w:rPr>
              <w:t>1</w:t>
            </w:r>
            <w:r>
              <w:rPr>
                <w:color w:val="848484"/>
                <w:szCs w:val="20"/>
                <w:lang w:eastAsia="en-GB"/>
              </w:rPr>
              <w:t>]</w:t>
            </w:r>
          </w:p>
        </w:tc>
        <w:tc>
          <w:tcPr>
            <w:tcW w:w="3360" w:type="dxa"/>
            <w:tcBorders>
              <w:top w:val="nil"/>
              <w:left w:val="nil"/>
              <w:bottom w:val="single" w:sz="8" w:space="0" w:color="B6BABE"/>
              <w:right w:val="single" w:sz="8" w:space="0" w:color="B6BABE"/>
            </w:tcBorders>
            <w:shd w:val="clear" w:color="auto" w:fill="auto"/>
            <w:vAlign w:val="center"/>
            <w:hideMark/>
          </w:tcPr>
          <w:p w14:paraId="2B290636" w14:textId="7AAD96A4" w:rsidR="006D1C12" w:rsidRPr="006D1C12" w:rsidRDefault="006D1C12" w:rsidP="00E4784D">
            <w:pPr>
              <w:spacing w:line="240" w:lineRule="auto"/>
              <w:rPr>
                <w:color w:val="848484"/>
                <w:szCs w:val="20"/>
                <w:lang w:eastAsia="en-GB"/>
              </w:rPr>
            </w:pPr>
            <w:r w:rsidRPr="006D1C12">
              <w:rPr>
                <w:color w:val="848484"/>
                <w:szCs w:val="20"/>
                <w:lang w:eastAsia="en-GB"/>
              </w:rPr>
              <w:t>[</w:t>
            </w:r>
            <w:r w:rsidR="00E4784D">
              <w:rPr>
                <w:color w:val="848484"/>
                <w:szCs w:val="20"/>
                <w:lang w:eastAsia="en-GB"/>
              </w:rPr>
              <w:t>SOLMOD</w:t>
            </w:r>
            <w:r w:rsidRPr="006D1C12">
              <w:rPr>
                <w:color w:val="848484"/>
                <w:szCs w:val="20"/>
                <w:lang w:eastAsia="en-GB"/>
              </w:rPr>
              <w:t>-1]</w:t>
            </w:r>
          </w:p>
        </w:tc>
        <w:tc>
          <w:tcPr>
            <w:tcW w:w="1200" w:type="dxa"/>
            <w:tcBorders>
              <w:top w:val="nil"/>
              <w:left w:val="nil"/>
              <w:bottom w:val="single" w:sz="8" w:space="0" w:color="B6BABE"/>
              <w:right w:val="single" w:sz="8" w:space="0" w:color="B6BABE"/>
            </w:tcBorders>
            <w:shd w:val="clear" w:color="auto" w:fill="auto"/>
            <w:vAlign w:val="center"/>
            <w:hideMark/>
          </w:tcPr>
          <w:p w14:paraId="5FE02047" w14:textId="5038E6EB" w:rsidR="006D1C12" w:rsidRPr="006D1C12" w:rsidRDefault="00E4784D" w:rsidP="006D1C12">
            <w:pPr>
              <w:spacing w:line="240" w:lineRule="auto"/>
              <w:rPr>
                <w:color w:val="848484"/>
                <w:szCs w:val="20"/>
                <w:lang w:eastAsia="en-GB"/>
              </w:rPr>
            </w:pPr>
            <w:r>
              <w:rPr>
                <w:color w:val="848484"/>
                <w:szCs w:val="20"/>
                <w:lang w:eastAsia="en-GB"/>
              </w:rPr>
              <w:t>SpC 7.1</w:t>
            </w:r>
            <w:r w:rsidR="00237A9C">
              <w:rPr>
                <w:color w:val="848484"/>
                <w:szCs w:val="20"/>
                <w:lang w:eastAsia="en-GB"/>
              </w:rPr>
              <w:t>1</w:t>
            </w:r>
          </w:p>
        </w:tc>
        <w:tc>
          <w:tcPr>
            <w:tcW w:w="4180" w:type="dxa"/>
            <w:tcBorders>
              <w:top w:val="nil"/>
              <w:left w:val="nil"/>
              <w:bottom w:val="single" w:sz="8" w:space="0" w:color="B6BABE"/>
              <w:right w:val="single" w:sz="8" w:space="0" w:color="B6BABE"/>
            </w:tcBorders>
            <w:shd w:val="clear" w:color="auto" w:fill="auto"/>
            <w:vAlign w:val="center"/>
            <w:hideMark/>
          </w:tcPr>
          <w:p w14:paraId="34433BC1"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12372B08" w14:textId="77777777" w:rsidTr="006D1C12">
        <w:trPr>
          <w:trHeight w:val="255"/>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5BD7B31D" w14:textId="5B3AEF97" w:rsidR="006D1C12" w:rsidRPr="006D1C12" w:rsidRDefault="00E4784D" w:rsidP="00E4784D">
            <w:pPr>
              <w:spacing w:line="240" w:lineRule="auto"/>
              <w:rPr>
                <w:color w:val="848484"/>
                <w:szCs w:val="20"/>
                <w:lang w:eastAsia="en-GB"/>
              </w:rPr>
            </w:pPr>
            <w:r>
              <w:rPr>
                <w:color w:val="848484"/>
                <w:szCs w:val="20"/>
                <w:lang w:eastAsia="en-GB"/>
              </w:rPr>
              <w:lastRenderedPageBreak/>
              <w:t>[SOLMOD</w:t>
            </w:r>
            <w:r>
              <w:rPr>
                <w:color w:val="848484"/>
                <w:szCs w:val="20"/>
                <w:vertAlign w:val="subscript"/>
                <w:lang w:eastAsia="en-GB"/>
              </w:rPr>
              <w:t>2</w:t>
            </w:r>
            <w:r>
              <w:rPr>
                <w:color w:val="848484"/>
                <w:szCs w:val="20"/>
                <w:lang w:eastAsia="en-GB"/>
              </w:rPr>
              <w:t>]</w:t>
            </w:r>
          </w:p>
        </w:tc>
        <w:tc>
          <w:tcPr>
            <w:tcW w:w="3360" w:type="dxa"/>
            <w:tcBorders>
              <w:top w:val="nil"/>
              <w:left w:val="nil"/>
              <w:bottom w:val="single" w:sz="8" w:space="0" w:color="B6BABE"/>
              <w:right w:val="single" w:sz="8" w:space="0" w:color="B6BABE"/>
            </w:tcBorders>
            <w:shd w:val="clear" w:color="auto" w:fill="auto"/>
            <w:vAlign w:val="center"/>
            <w:hideMark/>
          </w:tcPr>
          <w:p w14:paraId="7CFF5146" w14:textId="7A38AECA" w:rsidR="006D1C12" w:rsidRPr="006D1C12" w:rsidRDefault="006D1C12" w:rsidP="00E4784D">
            <w:pPr>
              <w:spacing w:line="240" w:lineRule="auto"/>
              <w:rPr>
                <w:color w:val="848484"/>
                <w:szCs w:val="20"/>
                <w:lang w:eastAsia="en-GB"/>
              </w:rPr>
            </w:pPr>
            <w:r w:rsidRPr="006D1C12">
              <w:rPr>
                <w:color w:val="848484"/>
                <w:szCs w:val="20"/>
                <w:lang w:eastAsia="en-GB"/>
              </w:rPr>
              <w:t>[</w:t>
            </w:r>
            <w:r w:rsidR="00E4784D">
              <w:rPr>
                <w:color w:val="848484"/>
                <w:szCs w:val="20"/>
                <w:lang w:eastAsia="en-GB"/>
              </w:rPr>
              <w:t>SOL</w:t>
            </w:r>
            <w:r w:rsidRPr="006D1C12">
              <w:rPr>
                <w:color w:val="848484"/>
                <w:szCs w:val="20"/>
                <w:lang w:eastAsia="en-GB"/>
              </w:rPr>
              <w:t>MOD-2]</w:t>
            </w:r>
          </w:p>
        </w:tc>
        <w:tc>
          <w:tcPr>
            <w:tcW w:w="1200" w:type="dxa"/>
            <w:tcBorders>
              <w:top w:val="nil"/>
              <w:left w:val="nil"/>
              <w:bottom w:val="single" w:sz="8" w:space="0" w:color="B6BABE"/>
              <w:right w:val="single" w:sz="8" w:space="0" w:color="B6BABE"/>
            </w:tcBorders>
            <w:shd w:val="clear" w:color="auto" w:fill="auto"/>
            <w:vAlign w:val="center"/>
            <w:hideMark/>
          </w:tcPr>
          <w:p w14:paraId="69DDE04A" w14:textId="528EBB32" w:rsidR="006D1C12" w:rsidRPr="006D1C12" w:rsidRDefault="00E4784D" w:rsidP="00237A9C">
            <w:pPr>
              <w:spacing w:line="240" w:lineRule="auto"/>
              <w:rPr>
                <w:color w:val="848484"/>
                <w:szCs w:val="20"/>
                <w:lang w:eastAsia="en-GB"/>
              </w:rPr>
            </w:pPr>
            <w:r>
              <w:rPr>
                <w:color w:val="848484"/>
                <w:szCs w:val="20"/>
                <w:lang w:eastAsia="en-GB"/>
              </w:rPr>
              <w:t>SpC 7.1</w:t>
            </w:r>
            <w:r w:rsidR="00237A9C">
              <w:rPr>
                <w:color w:val="848484"/>
                <w:szCs w:val="20"/>
                <w:lang w:eastAsia="en-GB"/>
              </w:rPr>
              <w:t>1</w:t>
            </w:r>
          </w:p>
        </w:tc>
        <w:tc>
          <w:tcPr>
            <w:tcW w:w="4180" w:type="dxa"/>
            <w:tcBorders>
              <w:top w:val="nil"/>
              <w:left w:val="nil"/>
              <w:bottom w:val="single" w:sz="8" w:space="0" w:color="B6BABE"/>
              <w:right w:val="single" w:sz="8" w:space="0" w:color="B6BABE"/>
            </w:tcBorders>
            <w:shd w:val="clear" w:color="auto" w:fill="auto"/>
            <w:vAlign w:val="center"/>
            <w:hideMark/>
          </w:tcPr>
          <w:p w14:paraId="7FF26C71"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4C2DF376" w14:textId="77777777" w:rsidTr="006D1C12">
        <w:trPr>
          <w:trHeight w:val="750"/>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697A8EAC" w14:textId="77777777" w:rsidR="006D1C12" w:rsidRPr="006D1C12" w:rsidRDefault="006D1C12" w:rsidP="006D1C12">
            <w:pPr>
              <w:spacing w:line="240" w:lineRule="auto"/>
              <w:rPr>
                <w:color w:val="848484"/>
                <w:szCs w:val="20"/>
                <w:lang w:eastAsia="en-GB"/>
              </w:rPr>
            </w:pPr>
            <w:r w:rsidRPr="006D1C12">
              <w:rPr>
                <w:color w:val="848484"/>
                <w:szCs w:val="20"/>
                <w:lang w:eastAsia="en-GB"/>
              </w:rPr>
              <w:t>SOLAR</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1DC0423D" w14:textId="77777777" w:rsidR="006D1C12" w:rsidRPr="006D1C12" w:rsidRDefault="006D1C12" w:rsidP="006D1C12">
            <w:pPr>
              <w:spacing w:line="240" w:lineRule="auto"/>
              <w:rPr>
                <w:color w:val="848484"/>
                <w:szCs w:val="20"/>
                <w:lang w:eastAsia="en-GB"/>
              </w:rPr>
            </w:pPr>
            <w:r w:rsidRPr="006D1C12">
              <w:rPr>
                <w:color w:val="848484"/>
                <w:szCs w:val="20"/>
                <w:lang w:eastAsia="en-GB"/>
              </w:rPr>
              <w:t>RIIO-2 legacy price control adjustments to allowed revenue</w:t>
            </w:r>
          </w:p>
        </w:tc>
        <w:tc>
          <w:tcPr>
            <w:tcW w:w="1200" w:type="dxa"/>
            <w:tcBorders>
              <w:top w:val="nil"/>
              <w:left w:val="nil"/>
              <w:bottom w:val="single" w:sz="8" w:space="0" w:color="B6BABE"/>
              <w:right w:val="single" w:sz="8" w:space="0" w:color="B6BABE"/>
            </w:tcBorders>
            <w:shd w:val="clear" w:color="auto" w:fill="auto"/>
            <w:vAlign w:val="center"/>
            <w:hideMark/>
          </w:tcPr>
          <w:p w14:paraId="73B9EB42" w14:textId="09999430" w:rsidR="006D1C12" w:rsidRPr="006D1C12" w:rsidRDefault="00237A9C" w:rsidP="006D1C12">
            <w:pPr>
              <w:spacing w:line="240" w:lineRule="auto"/>
              <w:rPr>
                <w:color w:val="848484"/>
                <w:szCs w:val="20"/>
                <w:lang w:eastAsia="en-GB"/>
              </w:rPr>
            </w:pPr>
            <w:r>
              <w:rPr>
                <w:color w:val="848484"/>
                <w:szCs w:val="20"/>
                <w:lang w:eastAsia="en-GB"/>
              </w:rPr>
              <w:t>SpC 7.10</w:t>
            </w:r>
          </w:p>
        </w:tc>
        <w:tc>
          <w:tcPr>
            <w:tcW w:w="4180" w:type="dxa"/>
            <w:tcBorders>
              <w:top w:val="nil"/>
              <w:left w:val="nil"/>
              <w:bottom w:val="single" w:sz="8" w:space="0" w:color="B6BABE"/>
              <w:right w:val="single" w:sz="8" w:space="0" w:color="B6BABE"/>
            </w:tcBorders>
            <w:shd w:val="clear" w:color="auto" w:fill="auto"/>
            <w:vAlign w:val="center"/>
            <w:hideMark/>
          </w:tcPr>
          <w:p w14:paraId="3E833FA8"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6350B07A"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19E1D122" w14:textId="77777777" w:rsidR="006D1C12" w:rsidRPr="006D1C12" w:rsidRDefault="006D1C12" w:rsidP="006D1C12">
            <w:pPr>
              <w:spacing w:line="240" w:lineRule="auto"/>
              <w:rPr>
                <w:color w:val="848484"/>
                <w:szCs w:val="20"/>
                <w:lang w:eastAsia="en-GB"/>
              </w:rPr>
            </w:pPr>
            <w:r w:rsidRPr="006D1C12">
              <w:rPr>
                <w:color w:val="848484"/>
                <w:szCs w:val="20"/>
                <w:lang w:eastAsia="en-GB"/>
              </w:rPr>
              <w:t>SOLRAV</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0720C1F9" w14:textId="77777777" w:rsidR="006D1C12" w:rsidRPr="006D1C12" w:rsidRDefault="006D1C12" w:rsidP="006D1C12">
            <w:pPr>
              <w:spacing w:line="240" w:lineRule="auto"/>
              <w:rPr>
                <w:color w:val="848484"/>
                <w:szCs w:val="20"/>
                <w:lang w:eastAsia="en-GB"/>
              </w:rPr>
            </w:pPr>
            <w:r w:rsidRPr="006D1C12">
              <w:rPr>
                <w:color w:val="848484"/>
                <w:szCs w:val="20"/>
                <w:lang w:eastAsia="en-GB"/>
              </w:rPr>
              <w:t>RIIO-2 legacy price control adjustments to RAV</w:t>
            </w:r>
          </w:p>
        </w:tc>
        <w:tc>
          <w:tcPr>
            <w:tcW w:w="1200" w:type="dxa"/>
            <w:tcBorders>
              <w:top w:val="nil"/>
              <w:left w:val="nil"/>
              <w:bottom w:val="single" w:sz="8" w:space="0" w:color="B6BABE"/>
              <w:right w:val="single" w:sz="8" w:space="0" w:color="B6BABE"/>
            </w:tcBorders>
            <w:shd w:val="clear" w:color="auto" w:fill="auto"/>
            <w:vAlign w:val="center"/>
            <w:hideMark/>
          </w:tcPr>
          <w:p w14:paraId="0EBE1EEA"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2EB4A5FD"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0F8E44F6"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298F22CC"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3360" w:type="dxa"/>
            <w:tcBorders>
              <w:top w:val="nil"/>
              <w:left w:val="nil"/>
              <w:bottom w:val="single" w:sz="8" w:space="0" w:color="B6BABE"/>
              <w:right w:val="single" w:sz="8" w:space="0" w:color="B6BABE"/>
            </w:tcBorders>
            <w:shd w:val="clear" w:color="auto" w:fill="auto"/>
            <w:vAlign w:val="center"/>
            <w:hideMark/>
          </w:tcPr>
          <w:p w14:paraId="7336A3DA" w14:textId="77777777" w:rsidR="006D1C12" w:rsidRPr="006D1C12" w:rsidRDefault="006D1C12" w:rsidP="006D1C12">
            <w:pPr>
              <w:spacing w:line="240" w:lineRule="auto"/>
              <w:rPr>
                <w:color w:val="848484"/>
                <w:szCs w:val="20"/>
                <w:lang w:eastAsia="en-GB"/>
              </w:rPr>
            </w:pPr>
            <w:r w:rsidRPr="006D1C12">
              <w:rPr>
                <w:color w:val="848484"/>
                <w:szCs w:val="20"/>
                <w:lang w:eastAsia="en-GB"/>
              </w:rPr>
              <w:t>RIIO-1 net RAV additions (after disposals)</w:t>
            </w:r>
          </w:p>
        </w:tc>
        <w:tc>
          <w:tcPr>
            <w:tcW w:w="1200" w:type="dxa"/>
            <w:tcBorders>
              <w:top w:val="nil"/>
              <w:left w:val="nil"/>
              <w:bottom w:val="single" w:sz="8" w:space="0" w:color="B6BABE"/>
              <w:right w:val="single" w:sz="8" w:space="0" w:color="B6BABE"/>
            </w:tcBorders>
            <w:shd w:val="clear" w:color="auto" w:fill="auto"/>
            <w:vAlign w:val="center"/>
            <w:hideMark/>
          </w:tcPr>
          <w:p w14:paraId="1238E7CC" w14:textId="77777777" w:rsidR="006D1C12" w:rsidRPr="006D1C12" w:rsidRDefault="006D1C12" w:rsidP="006D1C12">
            <w:pPr>
              <w:spacing w:line="240" w:lineRule="auto"/>
              <w:rPr>
                <w:color w:val="848484"/>
                <w:szCs w:val="20"/>
                <w:lang w:eastAsia="en-GB"/>
              </w:rPr>
            </w:pPr>
            <w:r w:rsidRPr="006D1C12">
              <w:rPr>
                <w:color w:val="848484"/>
                <w:szCs w:val="20"/>
                <w:lang w:eastAsia="en-GB"/>
              </w:rPr>
              <w:t> </w:t>
            </w:r>
          </w:p>
        </w:tc>
        <w:tc>
          <w:tcPr>
            <w:tcW w:w="4180" w:type="dxa"/>
            <w:tcBorders>
              <w:top w:val="nil"/>
              <w:left w:val="nil"/>
              <w:bottom w:val="single" w:sz="8" w:space="0" w:color="B6BABE"/>
              <w:right w:val="single" w:sz="8" w:space="0" w:color="B6BABE"/>
            </w:tcBorders>
            <w:shd w:val="clear" w:color="auto" w:fill="auto"/>
            <w:vAlign w:val="center"/>
            <w:hideMark/>
          </w:tcPr>
          <w:p w14:paraId="2C212B7E"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r w:rsidR="006D1C12" w:rsidRPr="006D1C12" w14:paraId="542510BE" w14:textId="77777777" w:rsidTr="006D1C12">
        <w:trPr>
          <w:trHeight w:val="255"/>
        </w:trPr>
        <w:tc>
          <w:tcPr>
            <w:tcW w:w="97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5FF85015" w14:textId="77777777" w:rsidR="006D1C12" w:rsidRPr="006D1C12" w:rsidRDefault="006D1C12" w:rsidP="006D1C12">
            <w:pPr>
              <w:spacing w:line="240" w:lineRule="auto"/>
              <w:rPr>
                <w:b/>
                <w:bCs/>
                <w:color w:val="FFFFFF"/>
                <w:szCs w:val="20"/>
                <w:lang w:eastAsia="en-GB"/>
              </w:rPr>
            </w:pPr>
            <w:r w:rsidRPr="006D1C12">
              <w:rPr>
                <w:b/>
                <w:bCs/>
                <w:color w:val="FFFFFF"/>
                <w:szCs w:val="20"/>
                <w:lang w:eastAsia="en-GB"/>
              </w:rPr>
              <w:t>Allowed Revenue Setting</w:t>
            </w:r>
          </w:p>
        </w:tc>
      </w:tr>
      <w:tr w:rsidR="006D1C12" w:rsidRPr="006D1C12" w14:paraId="4564B861"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2D001E12" w14:textId="77777777" w:rsidR="006D1C12" w:rsidRPr="006D1C12" w:rsidRDefault="006D1C12" w:rsidP="006D1C12">
            <w:pPr>
              <w:spacing w:line="240" w:lineRule="auto"/>
              <w:rPr>
                <w:color w:val="848484"/>
                <w:szCs w:val="20"/>
                <w:lang w:eastAsia="en-GB"/>
              </w:rPr>
            </w:pPr>
            <w:r w:rsidRPr="006D1C12">
              <w:rPr>
                <w:color w:val="848484"/>
                <w:szCs w:val="20"/>
                <w:lang w:eastAsia="en-GB"/>
              </w:rPr>
              <w:t>RPI</w:t>
            </w:r>
            <w:r w:rsidRPr="006D1C12">
              <w:rPr>
                <w:color w:val="848484"/>
                <w:szCs w:val="20"/>
                <w:vertAlign w:val="subscript"/>
                <w:lang w:eastAsia="en-GB"/>
              </w:rPr>
              <w:t>i</w:t>
            </w:r>
          </w:p>
        </w:tc>
        <w:tc>
          <w:tcPr>
            <w:tcW w:w="3360" w:type="dxa"/>
            <w:tcBorders>
              <w:top w:val="nil"/>
              <w:left w:val="nil"/>
              <w:bottom w:val="single" w:sz="8" w:space="0" w:color="B6BABE"/>
              <w:right w:val="single" w:sz="8" w:space="0" w:color="B6BABE"/>
            </w:tcBorders>
            <w:shd w:val="clear" w:color="auto" w:fill="auto"/>
            <w:vAlign w:val="center"/>
            <w:hideMark/>
          </w:tcPr>
          <w:p w14:paraId="788E523B" w14:textId="77777777" w:rsidR="006D1C12" w:rsidRPr="006D1C12" w:rsidRDefault="006D1C12" w:rsidP="006D1C12">
            <w:pPr>
              <w:spacing w:line="240" w:lineRule="auto"/>
              <w:rPr>
                <w:color w:val="848484"/>
                <w:szCs w:val="20"/>
                <w:lang w:eastAsia="en-GB"/>
              </w:rPr>
            </w:pPr>
            <w:r w:rsidRPr="006D1C12">
              <w:rPr>
                <w:color w:val="848484"/>
                <w:szCs w:val="20"/>
                <w:lang w:eastAsia="en-GB"/>
              </w:rPr>
              <w:t>Forecast RPI (simple average year to March)</w:t>
            </w:r>
          </w:p>
        </w:tc>
        <w:tc>
          <w:tcPr>
            <w:tcW w:w="1200" w:type="dxa"/>
            <w:tcBorders>
              <w:top w:val="nil"/>
              <w:left w:val="nil"/>
              <w:bottom w:val="single" w:sz="8" w:space="0" w:color="B6BABE"/>
              <w:right w:val="single" w:sz="8" w:space="0" w:color="B6BABE"/>
            </w:tcBorders>
            <w:shd w:val="clear" w:color="auto" w:fill="auto"/>
            <w:vAlign w:val="center"/>
            <w:hideMark/>
          </w:tcPr>
          <w:p w14:paraId="06F59C65" w14:textId="66945046" w:rsidR="006D1C12" w:rsidRPr="006D1C12" w:rsidRDefault="006D1C12" w:rsidP="0071597E">
            <w:pPr>
              <w:spacing w:line="240" w:lineRule="auto"/>
              <w:rPr>
                <w:color w:val="848484"/>
                <w:szCs w:val="20"/>
                <w:lang w:eastAsia="en-GB"/>
              </w:rPr>
            </w:pPr>
            <w:r w:rsidRPr="006D1C12">
              <w:rPr>
                <w:color w:val="848484"/>
                <w:szCs w:val="20"/>
                <w:lang w:eastAsia="en-GB"/>
              </w:rPr>
              <w:t xml:space="preserve">SpC 2.1, Part </w:t>
            </w:r>
            <w:r w:rsidR="0071597E">
              <w:rPr>
                <w:color w:val="848484"/>
                <w:szCs w:val="20"/>
                <w:lang w:eastAsia="en-GB"/>
              </w:rPr>
              <w:t>E</w:t>
            </w:r>
          </w:p>
        </w:tc>
        <w:tc>
          <w:tcPr>
            <w:tcW w:w="4180" w:type="dxa"/>
            <w:tcBorders>
              <w:top w:val="nil"/>
              <w:left w:val="nil"/>
              <w:bottom w:val="single" w:sz="8" w:space="0" w:color="B6BABE"/>
              <w:right w:val="single" w:sz="8" w:space="0" w:color="B6BABE"/>
            </w:tcBorders>
            <w:shd w:val="clear" w:color="auto" w:fill="auto"/>
            <w:vAlign w:val="center"/>
            <w:hideMark/>
          </w:tcPr>
          <w:p w14:paraId="177D8504"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2, PCFM Guidance</w:t>
            </w:r>
          </w:p>
        </w:tc>
      </w:tr>
      <w:tr w:rsidR="006D1C12" w:rsidRPr="006D1C12" w14:paraId="1A433451"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4402377B" w14:textId="77777777" w:rsidR="006D1C12" w:rsidRPr="006D1C12" w:rsidRDefault="006D1C12" w:rsidP="006D1C12">
            <w:pPr>
              <w:spacing w:line="240" w:lineRule="auto"/>
              <w:rPr>
                <w:color w:val="848484"/>
                <w:szCs w:val="20"/>
                <w:lang w:eastAsia="en-GB"/>
              </w:rPr>
            </w:pPr>
            <w:r w:rsidRPr="006D1C12">
              <w:rPr>
                <w:color w:val="848484"/>
                <w:szCs w:val="20"/>
                <w:lang w:eastAsia="en-GB"/>
              </w:rPr>
              <w:t>CPIH</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24174626" w14:textId="77777777" w:rsidR="006D1C12" w:rsidRPr="006D1C12" w:rsidRDefault="006D1C12" w:rsidP="006D1C12">
            <w:pPr>
              <w:spacing w:line="240" w:lineRule="auto"/>
              <w:rPr>
                <w:color w:val="848484"/>
                <w:szCs w:val="20"/>
                <w:lang w:eastAsia="en-GB"/>
              </w:rPr>
            </w:pPr>
            <w:r w:rsidRPr="006D1C12">
              <w:rPr>
                <w:color w:val="848484"/>
                <w:szCs w:val="20"/>
                <w:lang w:eastAsia="en-GB"/>
              </w:rPr>
              <w:t>Forecast CPIH (simple average year to March)</w:t>
            </w:r>
          </w:p>
        </w:tc>
        <w:tc>
          <w:tcPr>
            <w:tcW w:w="1200" w:type="dxa"/>
            <w:tcBorders>
              <w:top w:val="nil"/>
              <w:left w:val="nil"/>
              <w:bottom w:val="single" w:sz="8" w:space="0" w:color="B6BABE"/>
              <w:right w:val="single" w:sz="8" w:space="0" w:color="B6BABE"/>
            </w:tcBorders>
            <w:shd w:val="clear" w:color="auto" w:fill="auto"/>
            <w:vAlign w:val="center"/>
            <w:hideMark/>
          </w:tcPr>
          <w:p w14:paraId="2BEAD8D4" w14:textId="5A02A69B" w:rsidR="006D1C12" w:rsidRPr="006D1C12" w:rsidRDefault="006D1C12" w:rsidP="0071597E">
            <w:pPr>
              <w:spacing w:line="240" w:lineRule="auto"/>
              <w:rPr>
                <w:color w:val="848484"/>
                <w:szCs w:val="20"/>
                <w:lang w:eastAsia="en-GB"/>
              </w:rPr>
            </w:pPr>
            <w:r w:rsidRPr="006D1C12">
              <w:rPr>
                <w:color w:val="848484"/>
                <w:szCs w:val="20"/>
                <w:lang w:eastAsia="en-GB"/>
              </w:rPr>
              <w:t xml:space="preserve">SpC 2.1, Part </w:t>
            </w:r>
            <w:r w:rsidR="0071597E">
              <w:rPr>
                <w:color w:val="848484"/>
                <w:szCs w:val="20"/>
                <w:lang w:eastAsia="en-GB"/>
              </w:rPr>
              <w:t>E</w:t>
            </w:r>
          </w:p>
        </w:tc>
        <w:tc>
          <w:tcPr>
            <w:tcW w:w="4180" w:type="dxa"/>
            <w:tcBorders>
              <w:top w:val="nil"/>
              <w:left w:val="nil"/>
              <w:bottom w:val="single" w:sz="8" w:space="0" w:color="B6BABE"/>
              <w:right w:val="single" w:sz="8" w:space="0" w:color="B6BABE"/>
            </w:tcBorders>
            <w:shd w:val="clear" w:color="auto" w:fill="auto"/>
            <w:vAlign w:val="center"/>
            <w:hideMark/>
          </w:tcPr>
          <w:p w14:paraId="6B8CF941"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2, PCFM Guidance</w:t>
            </w:r>
          </w:p>
        </w:tc>
      </w:tr>
      <w:tr w:rsidR="006D1C12" w:rsidRPr="006D1C12" w14:paraId="508F8DFD"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1F3ACB17" w14:textId="77777777" w:rsidR="006D1C12" w:rsidRPr="006D1C12" w:rsidRDefault="006D1C12" w:rsidP="006D1C12">
            <w:pPr>
              <w:spacing w:line="240" w:lineRule="auto"/>
              <w:rPr>
                <w:color w:val="848484"/>
                <w:szCs w:val="20"/>
                <w:lang w:eastAsia="en-GB"/>
              </w:rPr>
            </w:pPr>
            <w:r w:rsidRPr="006D1C12">
              <w:rPr>
                <w:color w:val="848484"/>
                <w:szCs w:val="20"/>
                <w:lang w:eastAsia="en-GB"/>
              </w:rPr>
              <w:t>I</w:t>
            </w:r>
            <w:r w:rsidRPr="006D1C12">
              <w:rPr>
                <w:rFonts w:ascii="Times New Roman" w:hAnsi="Times New Roman"/>
                <w:color w:val="000000"/>
                <w:sz w:val="24"/>
                <w:vertAlign w:val="subscript"/>
                <w:lang w:eastAsia="en-GB"/>
              </w:rPr>
              <w:t>j</w:t>
            </w:r>
          </w:p>
        </w:tc>
        <w:tc>
          <w:tcPr>
            <w:tcW w:w="3360" w:type="dxa"/>
            <w:tcBorders>
              <w:top w:val="nil"/>
              <w:left w:val="nil"/>
              <w:bottom w:val="single" w:sz="8" w:space="0" w:color="B6BABE"/>
              <w:right w:val="single" w:sz="8" w:space="0" w:color="B6BABE"/>
            </w:tcBorders>
            <w:shd w:val="clear" w:color="auto" w:fill="auto"/>
            <w:vAlign w:val="center"/>
            <w:hideMark/>
          </w:tcPr>
          <w:p w14:paraId="2D8DE5A8" w14:textId="77777777" w:rsidR="006D1C12" w:rsidRPr="006D1C12" w:rsidRDefault="006D1C12" w:rsidP="006D1C12">
            <w:pPr>
              <w:spacing w:line="240" w:lineRule="auto"/>
              <w:rPr>
                <w:color w:val="848484"/>
                <w:szCs w:val="20"/>
                <w:lang w:eastAsia="en-GB"/>
              </w:rPr>
            </w:pPr>
            <w:r w:rsidRPr="006D1C12">
              <w:rPr>
                <w:color w:val="848484"/>
                <w:szCs w:val="20"/>
                <w:lang w:eastAsia="en-GB"/>
              </w:rPr>
              <w:t>Sterling Overnight Index Average (SONIA)</w:t>
            </w:r>
          </w:p>
        </w:tc>
        <w:tc>
          <w:tcPr>
            <w:tcW w:w="1200" w:type="dxa"/>
            <w:tcBorders>
              <w:top w:val="nil"/>
              <w:left w:val="nil"/>
              <w:bottom w:val="single" w:sz="8" w:space="0" w:color="B6BABE"/>
              <w:right w:val="single" w:sz="8" w:space="0" w:color="B6BABE"/>
            </w:tcBorders>
            <w:shd w:val="clear" w:color="auto" w:fill="auto"/>
            <w:vAlign w:val="center"/>
            <w:hideMark/>
          </w:tcPr>
          <w:p w14:paraId="37B02FA1" w14:textId="77777777" w:rsidR="006D1C12" w:rsidRPr="006D1C12" w:rsidRDefault="006D1C12" w:rsidP="006D1C12">
            <w:pPr>
              <w:spacing w:line="240" w:lineRule="auto"/>
              <w:rPr>
                <w:color w:val="848484"/>
                <w:szCs w:val="20"/>
                <w:lang w:eastAsia="en-GB"/>
              </w:rPr>
            </w:pPr>
            <w:r w:rsidRPr="006D1C12">
              <w:rPr>
                <w:color w:val="848484"/>
                <w:szCs w:val="20"/>
                <w:lang w:eastAsia="en-GB"/>
              </w:rPr>
              <w:t>SpC 2.2, Part A</w:t>
            </w:r>
          </w:p>
        </w:tc>
        <w:tc>
          <w:tcPr>
            <w:tcW w:w="4180" w:type="dxa"/>
            <w:tcBorders>
              <w:top w:val="nil"/>
              <w:left w:val="nil"/>
              <w:bottom w:val="single" w:sz="8" w:space="0" w:color="B6BABE"/>
              <w:right w:val="single" w:sz="8" w:space="0" w:color="B6BABE"/>
            </w:tcBorders>
            <w:shd w:val="clear" w:color="auto" w:fill="auto"/>
            <w:vAlign w:val="center"/>
            <w:hideMark/>
          </w:tcPr>
          <w:p w14:paraId="7D2005E8" w14:textId="77777777" w:rsidR="006D1C12" w:rsidRPr="006D1C12" w:rsidRDefault="006D1C12" w:rsidP="006D1C12">
            <w:pPr>
              <w:spacing w:line="240" w:lineRule="auto"/>
              <w:rPr>
                <w:color w:val="848484"/>
                <w:szCs w:val="20"/>
                <w:lang w:eastAsia="en-GB"/>
              </w:rPr>
            </w:pPr>
            <w:r w:rsidRPr="006D1C12">
              <w:rPr>
                <w:color w:val="848484"/>
                <w:szCs w:val="20"/>
                <w:lang w:eastAsia="en-GB"/>
              </w:rPr>
              <w:t>PCFH section 2, PCFM Guidance</w:t>
            </w:r>
          </w:p>
        </w:tc>
      </w:tr>
      <w:tr w:rsidR="006D1C12" w:rsidRPr="006D1C12" w14:paraId="3909FD66" w14:textId="77777777" w:rsidTr="006D1C12">
        <w:trPr>
          <w:trHeight w:val="503"/>
        </w:trPr>
        <w:tc>
          <w:tcPr>
            <w:tcW w:w="980" w:type="dxa"/>
            <w:tcBorders>
              <w:top w:val="nil"/>
              <w:left w:val="single" w:sz="8" w:space="0" w:color="B6BABE"/>
              <w:bottom w:val="single" w:sz="8" w:space="0" w:color="B6BABE"/>
              <w:right w:val="single" w:sz="8" w:space="0" w:color="B6BABE"/>
            </w:tcBorders>
            <w:shd w:val="clear" w:color="auto" w:fill="auto"/>
            <w:vAlign w:val="center"/>
            <w:hideMark/>
          </w:tcPr>
          <w:p w14:paraId="2E4714BA" w14:textId="77777777" w:rsidR="006D1C12" w:rsidRPr="006D1C12" w:rsidRDefault="006D1C12" w:rsidP="006D1C12">
            <w:pPr>
              <w:spacing w:line="240" w:lineRule="auto"/>
              <w:rPr>
                <w:color w:val="848484"/>
                <w:szCs w:val="20"/>
                <w:lang w:eastAsia="en-GB"/>
              </w:rPr>
            </w:pPr>
            <w:r w:rsidRPr="006D1C12">
              <w:rPr>
                <w:color w:val="848484"/>
                <w:szCs w:val="20"/>
                <w:lang w:eastAsia="en-GB"/>
              </w:rPr>
              <w:t>SORR</w:t>
            </w:r>
            <w:r w:rsidRPr="006D1C12">
              <w:rPr>
                <w:color w:val="848484"/>
                <w:szCs w:val="20"/>
                <w:vertAlign w:val="subscript"/>
                <w:lang w:eastAsia="en-GB"/>
              </w:rPr>
              <w:t>t</w:t>
            </w:r>
          </w:p>
        </w:tc>
        <w:tc>
          <w:tcPr>
            <w:tcW w:w="3360" w:type="dxa"/>
            <w:tcBorders>
              <w:top w:val="nil"/>
              <w:left w:val="nil"/>
              <w:bottom w:val="single" w:sz="8" w:space="0" w:color="B6BABE"/>
              <w:right w:val="single" w:sz="8" w:space="0" w:color="B6BABE"/>
            </w:tcBorders>
            <w:shd w:val="clear" w:color="auto" w:fill="auto"/>
            <w:vAlign w:val="center"/>
            <w:hideMark/>
          </w:tcPr>
          <w:p w14:paraId="77F2FA09" w14:textId="77777777" w:rsidR="006D1C12" w:rsidRPr="006D1C12" w:rsidRDefault="006D1C12" w:rsidP="006D1C12">
            <w:pPr>
              <w:spacing w:line="240" w:lineRule="auto"/>
              <w:rPr>
                <w:color w:val="848484"/>
                <w:szCs w:val="20"/>
                <w:lang w:eastAsia="en-GB"/>
              </w:rPr>
            </w:pPr>
            <w:r w:rsidRPr="006D1C12">
              <w:rPr>
                <w:color w:val="848484"/>
                <w:szCs w:val="20"/>
                <w:lang w:eastAsia="en-GB"/>
              </w:rPr>
              <w:t>Recovered revenue</w:t>
            </w:r>
          </w:p>
        </w:tc>
        <w:tc>
          <w:tcPr>
            <w:tcW w:w="1200" w:type="dxa"/>
            <w:tcBorders>
              <w:top w:val="nil"/>
              <w:left w:val="nil"/>
              <w:bottom w:val="single" w:sz="8" w:space="0" w:color="B6BABE"/>
              <w:right w:val="single" w:sz="8" w:space="0" w:color="B6BABE"/>
            </w:tcBorders>
            <w:shd w:val="clear" w:color="auto" w:fill="auto"/>
            <w:vAlign w:val="center"/>
            <w:hideMark/>
          </w:tcPr>
          <w:p w14:paraId="3F6F1CA3" w14:textId="77777777" w:rsidR="006D1C12" w:rsidRPr="006D1C12" w:rsidRDefault="006D1C12" w:rsidP="006D1C12">
            <w:pPr>
              <w:spacing w:line="240" w:lineRule="auto"/>
              <w:rPr>
                <w:color w:val="848484"/>
                <w:szCs w:val="20"/>
                <w:lang w:eastAsia="en-GB"/>
              </w:rPr>
            </w:pPr>
            <w:r w:rsidRPr="006D1C12">
              <w:rPr>
                <w:color w:val="848484"/>
                <w:szCs w:val="20"/>
                <w:lang w:eastAsia="en-GB"/>
              </w:rPr>
              <w:t>SpC 2.7, Part A</w:t>
            </w:r>
          </w:p>
        </w:tc>
        <w:tc>
          <w:tcPr>
            <w:tcW w:w="4180" w:type="dxa"/>
            <w:tcBorders>
              <w:top w:val="nil"/>
              <w:left w:val="nil"/>
              <w:bottom w:val="single" w:sz="8" w:space="0" w:color="B6BABE"/>
              <w:right w:val="single" w:sz="8" w:space="0" w:color="B6BABE"/>
            </w:tcBorders>
            <w:shd w:val="clear" w:color="auto" w:fill="auto"/>
            <w:vAlign w:val="center"/>
            <w:hideMark/>
          </w:tcPr>
          <w:p w14:paraId="24AA6C50" w14:textId="77777777" w:rsidR="006D1C12" w:rsidRPr="006D1C12" w:rsidRDefault="006D1C12" w:rsidP="006D1C12">
            <w:pPr>
              <w:spacing w:line="240" w:lineRule="auto"/>
              <w:rPr>
                <w:color w:val="848484"/>
                <w:szCs w:val="20"/>
                <w:lang w:eastAsia="en-GB"/>
              </w:rPr>
            </w:pPr>
            <w:r w:rsidRPr="006D1C12">
              <w:rPr>
                <w:color w:val="848484"/>
                <w:szCs w:val="20"/>
                <w:lang w:eastAsia="en-GB"/>
              </w:rPr>
              <w:t>PCFM Guidance</w:t>
            </w:r>
          </w:p>
        </w:tc>
      </w:tr>
    </w:tbl>
    <w:p w14:paraId="3D7BBE5E" w14:textId="77777777" w:rsidR="00FE32D6" w:rsidRPr="00FE32D6" w:rsidRDefault="00FE32D6" w:rsidP="00FE32D6"/>
    <w:p w14:paraId="082BC4F2" w14:textId="77777777" w:rsidR="00356352" w:rsidRPr="00356352" w:rsidRDefault="00356352" w:rsidP="00356352"/>
    <w:p w14:paraId="1DA4B630" w14:textId="14D3F97C" w:rsidR="005E60F4" w:rsidRDefault="005E60F4" w:rsidP="00DD5CC2">
      <w:pPr>
        <w:pStyle w:val="Paragraph"/>
        <w:numPr>
          <w:ilvl w:val="0"/>
          <w:numId w:val="0"/>
        </w:numPr>
      </w:pPr>
    </w:p>
    <w:p w14:paraId="246A21BE" w14:textId="246FE4F4" w:rsidR="005E60F4" w:rsidRDefault="005E60F4" w:rsidP="00DD5CC2">
      <w:pPr>
        <w:pStyle w:val="Paragraph"/>
        <w:numPr>
          <w:ilvl w:val="0"/>
          <w:numId w:val="0"/>
        </w:numPr>
      </w:pPr>
    </w:p>
    <w:p w14:paraId="43C78510" w14:textId="77777777" w:rsidR="0057747A" w:rsidRDefault="0057747A" w:rsidP="00DD5CC2">
      <w:pPr>
        <w:pStyle w:val="Paragraph"/>
        <w:numPr>
          <w:ilvl w:val="0"/>
          <w:numId w:val="0"/>
        </w:numPr>
        <w:sectPr w:rsidR="0057747A" w:rsidSect="00827EF5">
          <w:pgSz w:w="11906" w:h="16838" w:code="9"/>
          <w:pgMar w:top="556" w:right="1191" w:bottom="1304" w:left="1191" w:header="1361" w:footer="284" w:gutter="0"/>
          <w:cols w:space="720"/>
          <w:docGrid w:linePitch="360"/>
        </w:sectPr>
      </w:pPr>
    </w:p>
    <w:p w14:paraId="0E249EA4" w14:textId="5555ABD9" w:rsidR="00BB3521" w:rsidRDefault="00457146" w:rsidP="00C82E8C">
      <w:pPr>
        <w:pStyle w:val="Sectiontitle"/>
      </w:pPr>
      <w:bookmarkStart w:id="93" w:name="_Ref44408390"/>
      <w:bookmarkStart w:id="94" w:name="_Toc49194314"/>
      <w:bookmarkStart w:id="95" w:name="_Toc49249234"/>
      <w:bookmarkStart w:id="96" w:name="_Toc52357094"/>
      <w:bookmarkEnd w:id="81"/>
      <w:r>
        <w:lastRenderedPageBreak/>
        <w:t>Cost of debt and cost of equity indexation</w:t>
      </w:r>
      <w:bookmarkEnd w:id="93"/>
      <w:bookmarkEnd w:id="94"/>
      <w:bookmarkEnd w:id="95"/>
      <w:r w:rsidR="00AF09E7">
        <w:rPr>
          <w:rStyle w:val="FootnoteReference"/>
        </w:rPr>
        <w:footnoteReference w:id="12"/>
      </w:r>
      <w:bookmarkEnd w:id="96"/>
    </w:p>
    <w:p w14:paraId="6DE518D4" w14:textId="0D873D1C" w:rsidR="00530A3A" w:rsidRDefault="00530A3A" w:rsidP="00F02D7B">
      <w:pPr>
        <w:pStyle w:val="Paragraph"/>
        <w:tabs>
          <w:tab w:val="clear" w:pos="1105"/>
          <w:tab w:val="num" w:pos="680"/>
        </w:tabs>
        <w:ind w:left="0"/>
        <w:rPr>
          <w:rFonts w:cs="Verdana"/>
          <w:color w:val="000000"/>
          <w:lang w:eastAsia="en-GB"/>
        </w:rPr>
      </w:pPr>
      <w:r w:rsidRPr="00530A3A">
        <w:rPr>
          <w:rFonts w:cs="Verdana"/>
          <w:color w:val="000000"/>
          <w:lang w:eastAsia="en-GB"/>
        </w:rPr>
        <w:t xml:space="preserve">The licensee’s </w:t>
      </w:r>
      <w:r w:rsidR="00C714E2">
        <w:rPr>
          <w:rFonts w:cs="Verdana"/>
          <w:color w:val="000000"/>
          <w:lang w:eastAsia="en-GB"/>
        </w:rPr>
        <w:t>Calculated</w:t>
      </w:r>
      <w:r w:rsidRPr="00530A3A">
        <w:rPr>
          <w:rFonts w:cs="Verdana"/>
          <w:color w:val="000000"/>
          <w:lang w:eastAsia="en-GB"/>
        </w:rPr>
        <w:t xml:space="preserve"> Revenue include</w:t>
      </w:r>
      <w:r w:rsidR="00BE1C07">
        <w:rPr>
          <w:rFonts w:cs="Verdana"/>
          <w:color w:val="000000"/>
          <w:lang w:eastAsia="en-GB"/>
        </w:rPr>
        <w:t>s</w:t>
      </w:r>
      <w:r w:rsidRPr="00530A3A">
        <w:rPr>
          <w:rFonts w:cs="Verdana"/>
          <w:color w:val="000000"/>
          <w:lang w:eastAsia="en-GB"/>
        </w:rPr>
        <w:t xml:space="preserve"> amounts to cover the efficient cost of raising finance for the </w:t>
      </w:r>
      <w:r w:rsidR="00BF4FFB">
        <w:rPr>
          <w:rFonts w:cs="Verdana"/>
          <w:color w:val="000000"/>
          <w:lang w:eastAsia="en-GB"/>
        </w:rPr>
        <w:t>transportation</w:t>
      </w:r>
      <w:r w:rsidRPr="00530A3A">
        <w:rPr>
          <w:rFonts w:cs="Verdana"/>
          <w:color w:val="000000"/>
          <w:lang w:eastAsia="en-GB"/>
        </w:rPr>
        <w:t xml:space="preserve"> business from external sources</w:t>
      </w:r>
      <w:r w:rsidR="00457146">
        <w:rPr>
          <w:rFonts w:cs="Verdana"/>
          <w:color w:val="000000"/>
          <w:lang w:eastAsia="en-GB"/>
        </w:rPr>
        <w:t>, commonly referred to as the ‘cost of capital’</w:t>
      </w:r>
      <w:r w:rsidRPr="00530A3A">
        <w:rPr>
          <w:rFonts w:cs="Verdana"/>
          <w:color w:val="000000"/>
          <w:lang w:eastAsia="en-GB"/>
        </w:rPr>
        <w:t>.  Th</w:t>
      </w:r>
      <w:r w:rsidR="00457146">
        <w:rPr>
          <w:rFonts w:cs="Verdana"/>
          <w:color w:val="000000"/>
          <w:lang w:eastAsia="en-GB"/>
        </w:rPr>
        <w:t xml:space="preserve">ese amounts are </w:t>
      </w:r>
      <w:r w:rsidRPr="00530A3A">
        <w:rPr>
          <w:rFonts w:cs="Verdana"/>
          <w:color w:val="000000"/>
          <w:lang w:eastAsia="en-GB"/>
        </w:rPr>
        <w:t xml:space="preserve">calculated as a percentage return on the licensee’s </w:t>
      </w:r>
      <w:r w:rsidR="005F175E">
        <w:rPr>
          <w:rFonts w:cs="Verdana"/>
          <w:color w:val="000000"/>
          <w:lang w:eastAsia="en-GB"/>
        </w:rPr>
        <w:t>RAV</w:t>
      </w:r>
      <w:r w:rsidRPr="00530A3A">
        <w:rPr>
          <w:rFonts w:cs="Verdana"/>
          <w:color w:val="000000"/>
          <w:lang w:eastAsia="en-GB"/>
        </w:rPr>
        <w:t xml:space="preserve">.  The percentage </w:t>
      </w:r>
      <w:r w:rsidR="00C82E8C">
        <w:rPr>
          <w:rFonts w:cs="Verdana"/>
          <w:color w:val="000000"/>
          <w:lang w:eastAsia="en-GB"/>
        </w:rPr>
        <w:t>is</w:t>
      </w:r>
      <w:r w:rsidRPr="00530A3A">
        <w:rPr>
          <w:rFonts w:cs="Verdana"/>
          <w:color w:val="000000"/>
          <w:lang w:eastAsia="en-GB"/>
        </w:rPr>
        <w:t xml:space="preserve"> Ofgem’s estimate of the </w:t>
      </w:r>
      <w:r w:rsidR="00BF4FFB">
        <w:rPr>
          <w:rFonts w:cs="Verdana"/>
          <w:color w:val="000000"/>
          <w:lang w:eastAsia="en-GB"/>
        </w:rPr>
        <w:t>transportation</w:t>
      </w:r>
      <w:r w:rsidR="00472F5C" w:rsidRPr="00530A3A">
        <w:rPr>
          <w:rFonts w:cs="Verdana"/>
          <w:color w:val="000000"/>
          <w:lang w:eastAsia="en-GB"/>
        </w:rPr>
        <w:t xml:space="preserve"> business</w:t>
      </w:r>
      <w:r w:rsidR="00472F5C">
        <w:rPr>
          <w:rFonts w:cs="Verdana"/>
          <w:color w:val="000000"/>
          <w:lang w:eastAsia="en-GB"/>
        </w:rPr>
        <w:t>es’</w:t>
      </w:r>
      <w:r w:rsidR="00472F5C" w:rsidRPr="00530A3A">
        <w:rPr>
          <w:rFonts w:cs="Verdana"/>
          <w:color w:val="000000"/>
          <w:lang w:eastAsia="en-GB"/>
        </w:rPr>
        <w:t xml:space="preserve"> </w:t>
      </w:r>
      <w:r w:rsidRPr="00530A3A">
        <w:rPr>
          <w:rFonts w:cs="Verdana"/>
          <w:color w:val="000000"/>
          <w:lang w:eastAsia="en-GB"/>
        </w:rPr>
        <w:t xml:space="preserve">weighted average cost of capital (WACC) </w:t>
      </w:r>
      <w:r w:rsidR="00C82E8C">
        <w:rPr>
          <w:rFonts w:cs="Verdana"/>
          <w:color w:val="000000"/>
          <w:lang w:eastAsia="en-GB"/>
        </w:rPr>
        <w:t>determine</w:t>
      </w:r>
      <w:r w:rsidR="00472F5C">
        <w:rPr>
          <w:rFonts w:cs="Verdana"/>
          <w:color w:val="000000"/>
          <w:lang w:eastAsia="en-GB"/>
        </w:rPr>
        <w:t>d</w:t>
      </w:r>
      <w:r w:rsidRPr="00530A3A">
        <w:rPr>
          <w:rFonts w:cs="Verdana"/>
          <w:color w:val="000000"/>
          <w:lang w:eastAsia="en-GB"/>
        </w:rPr>
        <w:t xml:space="preserve"> using a pre-tax cost of corporate debt percentage, a post-tax real cost of eq</w:t>
      </w:r>
      <w:r w:rsidR="00C82E8C">
        <w:rPr>
          <w:rFonts w:cs="Verdana"/>
          <w:color w:val="000000"/>
          <w:lang w:eastAsia="en-GB"/>
        </w:rPr>
        <w:t xml:space="preserve">uity percentage </w:t>
      </w:r>
      <w:r w:rsidR="00C20790">
        <w:rPr>
          <w:rFonts w:cs="Verdana"/>
          <w:color w:val="000000"/>
          <w:lang w:eastAsia="en-GB"/>
        </w:rPr>
        <w:t xml:space="preserve">(adjusted for expected outperformance) </w:t>
      </w:r>
      <w:r w:rsidR="00C82E8C">
        <w:rPr>
          <w:rFonts w:cs="Verdana"/>
          <w:color w:val="000000"/>
          <w:lang w:eastAsia="en-GB"/>
        </w:rPr>
        <w:t>and a notional g</w:t>
      </w:r>
      <w:r w:rsidRPr="00530A3A">
        <w:rPr>
          <w:rFonts w:cs="Verdana"/>
          <w:color w:val="000000"/>
          <w:lang w:eastAsia="en-GB"/>
        </w:rPr>
        <w:t>earing percentage weighting.</w:t>
      </w:r>
      <w:r w:rsidR="00C82E8C">
        <w:rPr>
          <w:rFonts w:cs="Verdana"/>
          <w:color w:val="000000"/>
          <w:lang w:eastAsia="en-GB"/>
        </w:rPr>
        <w:t xml:space="preserve">  </w:t>
      </w:r>
    </w:p>
    <w:p w14:paraId="1783D465" w14:textId="442A6019" w:rsidR="00C17313" w:rsidRDefault="00C82E8C" w:rsidP="00F02D7B">
      <w:pPr>
        <w:pStyle w:val="Paragraph"/>
        <w:tabs>
          <w:tab w:val="clear" w:pos="1105"/>
          <w:tab w:val="num" w:pos="680"/>
        </w:tabs>
        <w:ind w:left="0"/>
        <w:rPr>
          <w:rFonts w:cs="Verdana"/>
          <w:color w:val="000000"/>
          <w:lang w:eastAsia="en-GB"/>
        </w:rPr>
      </w:pPr>
      <w:bookmarkStart w:id="97" w:name="_Ref398215598"/>
      <w:r w:rsidRPr="00AF2D16">
        <w:rPr>
          <w:rFonts w:cs="Verdana"/>
          <w:color w:val="000000"/>
          <w:lang w:eastAsia="en-GB"/>
        </w:rPr>
        <w:t>Under the RIIO-</w:t>
      </w:r>
      <w:r w:rsidR="00F41C2F">
        <w:rPr>
          <w:rFonts w:cs="Verdana"/>
          <w:color w:val="000000"/>
          <w:lang w:eastAsia="en-GB"/>
        </w:rPr>
        <w:t>GT2</w:t>
      </w:r>
      <w:r w:rsidR="00530A3A" w:rsidRPr="00AF2D16">
        <w:rPr>
          <w:rFonts w:cs="Verdana"/>
          <w:color w:val="000000"/>
          <w:lang w:eastAsia="en-GB"/>
        </w:rPr>
        <w:t xml:space="preserve"> price control, t</w:t>
      </w:r>
      <w:r w:rsidRPr="00AF2D16">
        <w:rPr>
          <w:rFonts w:cs="Verdana"/>
          <w:color w:val="000000"/>
          <w:lang w:eastAsia="en-GB"/>
        </w:rPr>
        <w:t>he notional g</w:t>
      </w:r>
      <w:r w:rsidR="00290194" w:rsidRPr="00AF2D16">
        <w:rPr>
          <w:rFonts w:cs="Verdana"/>
          <w:color w:val="000000"/>
          <w:lang w:eastAsia="en-GB"/>
        </w:rPr>
        <w:t>earing percentage</w:t>
      </w:r>
      <w:r w:rsidR="00530A3A" w:rsidRPr="00AF2D16">
        <w:rPr>
          <w:rFonts w:cs="Verdana"/>
          <w:color w:val="000000"/>
          <w:lang w:eastAsia="en-GB"/>
        </w:rPr>
        <w:t xml:space="preserve"> </w:t>
      </w:r>
      <w:r w:rsidR="00290194" w:rsidRPr="00AF2D16">
        <w:rPr>
          <w:rFonts w:cs="Verdana"/>
          <w:color w:val="000000"/>
          <w:lang w:eastAsia="en-GB"/>
        </w:rPr>
        <w:t xml:space="preserve">is </w:t>
      </w:r>
      <w:r w:rsidR="00530A3A" w:rsidRPr="00AF2D16">
        <w:rPr>
          <w:rFonts w:cs="Verdana"/>
          <w:color w:val="000000"/>
          <w:lang w:eastAsia="en-GB"/>
        </w:rPr>
        <w:t xml:space="preserve">fixed for the Price Control Period.  </w:t>
      </w:r>
      <w:r w:rsidR="00BE1C07" w:rsidRPr="00AF2D16">
        <w:rPr>
          <w:rFonts w:cs="Verdana"/>
          <w:color w:val="000000"/>
          <w:lang w:eastAsia="en-GB"/>
        </w:rPr>
        <w:t>However,</w:t>
      </w:r>
      <w:r w:rsidR="00290194" w:rsidRPr="00AF2D16">
        <w:rPr>
          <w:rFonts w:cs="Verdana"/>
          <w:color w:val="000000"/>
          <w:lang w:eastAsia="en-GB"/>
        </w:rPr>
        <w:t xml:space="preserve"> </w:t>
      </w:r>
      <w:r w:rsidR="00AF2D16" w:rsidRPr="00AF2D16">
        <w:rPr>
          <w:rFonts w:cs="Verdana"/>
          <w:color w:val="000000"/>
          <w:lang w:eastAsia="en-GB"/>
        </w:rPr>
        <w:t>the corporate debt percentage (</w:t>
      </w:r>
      <w:r w:rsidR="00AF2D16" w:rsidRPr="0078526B">
        <w:rPr>
          <w:rFonts w:cs="Verdana"/>
          <w:color w:val="000000"/>
          <w:lang w:eastAsia="en-GB"/>
        </w:rPr>
        <w:t>CDE</w:t>
      </w:r>
      <w:r w:rsidR="00AF2D16" w:rsidRPr="00AF2D16">
        <w:rPr>
          <w:rFonts w:cs="Verdana"/>
          <w:color w:val="000000"/>
          <w:lang w:eastAsia="en-GB"/>
        </w:rPr>
        <w:t xml:space="preserve">) and </w:t>
      </w:r>
      <w:r w:rsidR="00C20790">
        <w:rPr>
          <w:rFonts w:cs="Verdana"/>
          <w:color w:val="000000"/>
          <w:lang w:eastAsia="en-GB"/>
        </w:rPr>
        <w:t xml:space="preserve">the </w:t>
      </w:r>
      <w:r w:rsidR="00AF2D16" w:rsidRPr="00AF2D16">
        <w:rPr>
          <w:rFonts w:cs="Verdana"/>
          <w:color w:val="000000"/>
          <w:lang w:eastAsia="en-GB"/>
        </w:rPr>
        <w:t xml:space="preserve">cost of equity percentage (through changes to </w:t>
      </w:r>
      <w:r w:rsidR="00290194" w:rsidRPr="00AF2D16">
        <w:rPr>
          <w:rFonts w:cs="Verdana"/>
          <w:color w:val="000000"/>
          <w:lang w:eastAsia="en-GB"/>
        </w:rPr>
        <w:t>the</w:t>
      </w:r>
      <w:r w:rsidR="00AF2D16" w:rsidRPr="00AF2D16">
        <w:rPr>
          <w:rFonts w:cs="Verdana"/>
          <w:color w:val="000000"/>
          <w:lang w:eastAsia="en-GB"/>
        </w:rPr>
        <w:t xml:space="preserve"> real (CPIH) risk-free rate ([</w:t>
      </w:r>
      <w:r w:rsidR="00AF2D16" w:rsidRPr="0078526B">
        <w:rPr>
          <w:rFonts w:cs="Verdana"/>
          <w:color w:val="000000"/>
          <w:lang w:eastAsia="en-GB"/>
        </w:rPr>
        <w:t>YYY</w:t>
      </w:r>
      <w:r w:rsidR="00AF2D16" w:rsidRPr="00AF2D16">
        <w:rPr>
          <w:rFonts w:cs="Verdana"/>
          <w:color w:val="000000"/>
          <w:lang w:eastAsia="en-GB"/>
        </w:rPr>
        <w:t>]</w:t>
      </w:r>
      <w:r w:rsidR="00655A6C">
        <w:rPr>
          <w:rFonts w:cs="Verdana"/>
          <w:color w:val="000000"/>
          <w:lang w:eastAsia="en-GB"/>
        </w:rPr>
        <w:t>)</w:t>
      </w:r>
      <w:r w:rsidR="00AF2D16" w:rsidRPr="00AF2D16">
        <w:rPr>
          <w:rFonts w:cs="Verdana"/>
          <w:color w:val="000000"/>
          <w:lang w:eastAsia="en-GB"/>
        </w:rPr>
        <w:t>)</w:t>
      </w:r>
      <w:r w:rsidR="00290194" w:rsidRPr="00AF2D16">
        <w:rPr>
          <w:rFonts w:cs="Verdana"/>
          <w:color w:val="000000"/>
          <w:lang w:eastAsia="en-GB"/>
        </w:rPr>
        <w:t xml:space="preserve"> are</w:t>
      </w:r>
      <w:r w:rsidR="00530A3A" w:rsidRPr="00AF2D16">
        <w:rPr>
          <w:rFonts w:cs="Verdana"/>
          <w:color w:val="000000"/>
          <w:lang w:eastAsia="en-GB"/>
        </w:rPr>
        <w:t xml:space="preserve"> updated </w:t>
      </w:r>
      <w:r w:rsidR="005B7A8C" w:rsidRPr="00AF2D16">
        <w:rPr>
          <w:rFonts w:cs="Verdana"/>
          <w:color w:val="000000"/>
          <w:lang w:eastAsia="en-GB"/>
        </w:rPr>
        <w:t xml:space="preserve">by Ofgem </w:t>
      </w:r>
      <w:r w:rsidR="00530A3A" w:rsidRPr="00AF2D16">
        <w:rPr>
          <w:rFonts w:cs="Verdana"/>
          <w:color w:val="000000"/>
          <w:lang w:eastAsia="en-GB"/>
        </w:rPr>
        <w:t>on an annual basis.</w:t>
      </w:r>
      <w:r w:rsidR="00E24E85">
        <w:rPr>
          <w:rStyle w:val="FootnoteReference"/>
          <w:rFonts w:cs="Verdana"/>
          <w:color w:val="000000"/>
          <w:lang w:eastAsia="en-GB"/>
        </w:rPr>
        <w:footnoteReference w:id="13"/>
      </w:r>
      <w:r w:rsidR="00530A3A" w:rsidRPr="00AF2D16">
        <w:rPr>
          <w:rFonts w:cs="Verdana"/>
          <w:color w:val="000000"/>
          <w:lang w:eastAsia="en-GB"/>
        </w:rPr>
        <w:t xml:space="preserve">  The update</w:t>
      </w:r>
      <w:r w:rsidR="00290194" w:rsidRPr="00AF2D16">
        <w:rPr>
          <w:rFonts w:cs="Verdana"/>
          <w:color w:val="000000"/>
          <w:lang w:eastAsia="en-GB"/>
        </w:rPr>
        <w:t>s</w:t>
      </w:r>
      <w:r w:rsidR="00530A3A" w:rsidRPr="00AF2D16">
        <w:rPr>
          <w:rFonts w:cs="Verdana"/>
          <w:color w:val="000000"/>
          <w:lang w:eastAsia="en-GB"/>
        </w:rPr>
        <w:t xml:space="preserve"> </w:t>
      </w:r>
      <w:r w:rsidR="00290194" w:rsidRPr="00AF2D16">
        <w:rPr>
          <w:rFonts w:cs="Verdana"/>
          <w:color w:val="000000"/>
          <w:lang w:eastAsia="en-GB"/>
        </w:rPr>
        <w:t>are</w:t>
      </w:r>
      <w:r w:rsidR="00530A3A" w:rsidRPr="00AF2D16">
        <w:rPr>
          <w:rFonts w:cs="Verdana"/>
          <w:color w:val="000000"/>
          <w:lang w:eastAsia="en-GB"/>
        </w:rPr>
        <w:t xml:space="preserve"> effected through the </w:t>
      </w:r>
      <w:bookmarkEnd w:id="97"/>
      <w:r w:rsidR="008E7E8A">
        <w:rPr>
          <w:rFonts w:cs="Verdana"/>
          <w:color w:val="000000"/>
          <w:lang w:eastAsia="en-GB"/>
        </w:rPr>
        <w:t>AIP</w:t>
      </w:r>
      <w:r w:rsidR="005B7A8C" w:rsidRPr="00AF2D16">
        <w:rPr>
          <w:rFonts w:cs="Verdana"/>
          <w:color w:val="000000"/>
          <w:lang w:eastAsia="en-GB"/>
        </w:rPr>
        <w:t xml:space="preserve"> and the approaches to determining the updated V</w:t>
      </w:r>
      <w:r w:rsidR="00471143">
        <w:rPr>
          <w:rFonts w:cs="Verdana"/>
          <w:color w:val="000000"/>
          <w:lang w:eastAsia="en-GB"/>
        </w:rPr>
        <w:t xml:space="preserve">ariable </w:t>
      </w:r>
      <w:r w:rsidR="005B7A8C" w:rsidRPr="00AF2D16">
        <w:rPr>
          <w:rFonts w:cs="Verdana"/>
          <w:color w:val="000000"/>
          <w:lang w:eastAsia="en-GB"/>
        </w:rPr>
        <w:t>V</w:t>
      </w:r>
      <w:r w:rsidR="00471143">
        <w:rPr>
          <w:rFonts w:cs="Verdana"/>
          <w:color w:val="000000"/>
          <w:lang w:eastAsia="en-GB"/>
        </w:rPr>
        <w:t>alue</w:t>
      </w:r>
      <w:r w:rsidR="005B7A8C" w:rsidRPr="00AF2D16">
        <w:rPr>
          <w:rFonts w:cs="Verdana"/>
          <w:color w:val="000000"/>
          <w:lang w:eastAsia="en-GB"/>
        </w:rPr>
        <w:t>s are described below.</w:t>
      </w:r>
    </w:p>
    <w:p w14:paraId="2F128B70" w14:textId="5A3631A8" w:rsidR="00530A3A" w:rsidRPr="00D33266" w:rsidRDefault="00530A3A" w:rsidP="00530A3A">
      <w:pPr>
        <w:pStyle w:val="Heading2"/>
        <w:spacing w:line="360" w:lineRule="auto"/>
      </w:pPr>
      <w:bookmarkStart w:id="98" w:name="_Toc49194316"/>
      <w:bookmarkStart w:id="99" w:name="_Toc49249236"/>
      <w:bookmarkStart w:id="100" w:name="_Toc52357095"/>
      <w:r>
        <w:t>Cost of debt</w:t>
      </w:r>
      <w:bookmarkEnd w:id="98"/>
      <w:bookmarkEnd w:id="99"/>
      <w:bookmarkEnd w:id="100"/>
    </w:p>
    <w:p w14:paraId="4DEB4A90" w14:textId="5EB53D7C" w:rsidR="004F2F52" w:rsidRPr="004F2F52" w:rsidRDefault="004F2F52" w:rsidP="00F02D7B">
      <w:pPr>
        <w:pStyle w:val="Paragraph"/>
        <w:tabs>
          <w:tab w:val="clear" w:pos="1105"/>
          <w:tab w:val="num" w:pos="680"/>
        </w:tabs>
        <w:ind w:left="0"/>
        <w:rPr>
          <w:rFonts w:cs="Verdana"/>
          <w:color w:val="000000"/>
          <w:lang w:eastAsia="en-GB"/>
        </w:rPr>
      </w:pPr>
      <w:r w:rsidRPr="004F2F52">
        <w:rPr>
          <w:rFonts w:cs="Verdana"/>
          <w:color w:val="000000"/>
          <w:lang w:eastAsia="en-GB"/>
        </w:rPr>
        <w:t xml:space="preserve">The </w:t>
      </w:r>
      <w:r w:rsidR="00F41C2F">
        <w:rPr>
          <w:rFonts w:cs="Verdana"/>
          <w:color w:val="000000"/>
          <w:lang w:eastAsia="en-GB"/>
        </w:rPr>
        <w:t>GT2</w:t>
      </w:r>
      <w:r w:rsidRPr="004F2F52">
        <w:rPr>
          <w:rFonts w:cs="Verdana"/>
          <w:color w:val="000000"/>
          <w:lang w:eastAsia="en-GB"/>
        </w:rPr>
        <w:t xml:space="preserve"> PCFM in its state as at </w:t>
      </w:r>
      <w:r w:rsidR="00582B54">
        <w:rPr>
          <w:rFonts w:cs="Verdana"/>
          <w:color w:val="000000"/>
          <w:lang w:eastAsia="en-GB"/>
        </w:rPr>
        <w:t>0</w:t>
      </w:r>
      <w:r w:rsidRPr="004F2F52">
        <w:rPr>
          <w:rFonts w:cs="Verdana"/>
          <w:color w:val="000000"/>
          <w:lang w:eastAsia="en-GB"/>
        </w:rPr>
        <w:t>1 April 20</w:t>
      </w:r>
      <w:r>
        <w:rPr>
          <w:rFonts w:cs="Verdana"/>
          <w:color w:val="000000"/>
          <w:lang w:eastAsia="en-GB"/>
        </w:rPr>
        <w:t>2</w:t>
      </w:r>
      <w:r w:rsidRPr="004F2F52">
        <w:rPr>
          <w:rFonts w:cs="Verdana"/>
          <w:color w:val="000000"/>
          <w:lang w:eastAsia="en-GB"/>
        </w:rPr>
        <w:t xml:space="preserve">1 includes opening </w:t>
      </w:r>
      <w:r w:rsidR="00654441">
        <w:rPr>
          <w:rFonts w:cs="Verdana"/>
          <w:color w:val="000000"/>
          <w:lang w:eastAsia="en-GB"/>
        </w:rPr>
        <w:t xml:space="preserve">cost of corporate debt percentages </w:t>
      </w:r>
      <w:r w:rsidRPr="0078526B">
        <w:rPr>
          <w:rFonts w:cs="Verdana"/>
          <w:color w:val="000000"/>
          <w:lang w:eastAsia="en-GB"/>
        </w:rPr>
        <w:t>CDE</w:t>
      </w:r>
      <w:r w:rsidRPr="004F2F52">
        <w:rPr>
          <w:rFonts w:cs="Verdana"/>
          <w:color w:val="000000"/>
          <w:lang w:eastAsia="en-GB"/>
        </w:rPr>
        <w:t xml:space="preserve"> for </w:t>
      </w:r>
      <w:r w:rsidRPr="00F02D7B">
        <w:t>the</w:t>
      </w:r>
      <w:r w:rsidRPr="004F2F52">
        <w:rPr>
          <w:rFonts w:cs="Verdana"/>
          <w:color w:val="000000"/>
          <w:lang w:eastAsia="en-GB"/>
        </w:rPr>
        <w:t xml:space="preserve"> licensee for every Regulatory Year of the Price Control Period.</w:t>
      </w:r>
    </w:p>
    <w:p w14:paraId="569856AB" w14:textId="44225105" w:rsidR="004F2F52" w:rsidRPr="007571CD" w:rsidRDefault="007571CD" w:rsidP="00F02D7B">
      <w:pPr>
        <w:pStyle w:val="Paragraph"/>
        <w:tabs>
          <w:tab w:val="clear" w:pos="1105"/>
          <w:tab w:val="num" w:pos="680"/>
        </w:tabs>
        <w:ind w:left="0"/>
        <w:rPr>
          <w:rFonts w:cs="Verdana"/>
          <w:color w:val="000000"/>
          <w:lang w:eastAsia="en-GB"/>
        </w:rPr>
      </w:pPr>
      <w:r w:rsidRPr="007571CD">
        <w:rPr>
          <w:rFonts w:cs="Verdana"/>
          <w:color w:val="000000"/>
          <w:lang w:eastAsia="en-GB"/>
        </w:rPr>
        <w:t xml:space="preserve">Revised </w:t>
      </w:r>
      <w:r w:rsidR="00CA3581">
        <w:rPr>
          <w:rFonts w:cs="Verdana"/>
          <w:color w:val="000000"/>
          <w:lang w:eastAsia="en-GB"/>
        </w:rPr>
        <w:t>C</w:t>
      </w:r>
      <w:r w:rsidRPr="007571CD">
        <w:rPr>
          <w:rFonts w:cs="Verdana"/>
          <w:color w:val="000000"/>
          <w:lang w:eastAsia="en-GB"/>
        </w:rPr>
        <w:t xml:space="preserve">DE values will be determined by Ofgem in accordance with the approach set out below and published in respect of each AIP.  </w:t>
      </w:r>
      <w:r>
        <w:rPr>
          <w:rFonts w:cs="Verdana"/>
          <w:color w:val="000000"/>
          <w:lang w:eastAsia="en-GB"/>
        </w:rPr>
        <w:t>In brief, r</w:t>
      </w:r>
      <w:r w:rsidR="00CA3581">
        <w:rPr>
          <w:rFonts w:cs="Verdana"/>
          <w:color w:val="000000"/>
          <w:lang w:eastAsia="en-GB"/>
        </w:rPr>
        <w:t xml:space="preserve">evised </w:t>
      </w:r>
      <w:r w:rsidR="004F2F52" w:rsidRPr="007571CD">
        <w:rPr>
          <w:rFonts w:cs="Verdana"/>
          <w:color w:val="000000"/>
          <w:lang w:eastAsia="en-GB"/>
        </w:rPr>
        <w:t xml:space="preserve">CDE values will be determined using </w:t>
      </w:r>
      <w:r w:rsidR="007716B8" w:rsidRPr="007571CD">
        <w:rPr>
          <w:rFonts w:cs="Verdana"/>
          <w:color w:val="000000"/>
          <w:lang w:eastAsia="en-GB"/>
        </w:rPr>
        <w:t xml:space="preserve">a trailing average of </w:t>
      </w:r>
      <w:r w:rsidR="004F2F52" w:rsidRPr="007571CD">
        <w:rPr>
          <w:rFonts w:cs="Verdana"/>
          <w:color w:val="000000"/>
          <w:lang w:eastAsia="en-GB"/>
        </w:rPr>
        <w:t xml:space="preserve">the pounds sterling indices of bonds issued by </w:t>
      </w:r>
      <w:r w:rsidR="00D4445B" w:rsidRPr="007571CD">
        <w:rPr>
          <w:rFonts w:cs="Verdana"/>
          <w:color w:val="000000"/>
          <w:lang w:eastAsia="en-GB"/>
        </w:rPr>
        <w:t xml:space="preserve">utilities </w:t>
      </w:r>
      <w:r w:rsidR="004F2F52" w:rsidRPr="007571CD">
        <w:rPr>
          <w:rFonts w:cs="Verdana"/>
          <w:color w:val="000000"/>
          <w:lang w:eastAsia="en-GB"/>
        </w:rPr>
        <w:t>that have a remaining maturity of 10 or more years contained in the Markit iBoxx® database of bond market data.</w:t>
      </w:r>
      <w:r w:rsidR="00FE3374" w:rsidRPr="007571CD">
        <w:rPr>
          <w:rFonts w:cs="Verdana"/>
          <w:color w:val="000000"/>
          <w:lang w:eastAsia="en-GB"/>
        </w:rPr>
        <w:t xml:space="preserve">  </w:t>
      </w:r>
      <w:r w:rsidR="007716B8">
        <w:t xml:space="preserve">The averaging periods </w:t>
      </w:r>
      <w:r w:rsidR="007716B8" w:rsidRPr="00C8221C">
        <w:t>for the index of debt costs</w:t>
      </w:r>
      <w:r w:rsidR="00176B98">
        <w:t>, set via the AIP,</w:t>
      </w:r>
      <w:r w:rsidR="007716B8" w:rsidRPr="00C8221C">
        <w:t xml:space="preserve"> commence with an eleven</w:t>
      </w:r>
      <w:r w:rsidR="005F175E">
        <w:t>-</w:t>
      </w:r>
      <w:r w:rsidR="007716B8" w:rsidRPr="00C8221C">
        <w:t>year period</w:t>
      </w:r>
      <w:r w:rsidR="007716B8" w:rsidRPr="00C8221C">
        <w:rPr>
          <w:rStyle w:val="FootnoteReference"/>
        </w:rPr>
        <w:footnoteReference w:id="14"/>
      </w:r>
      <w:r w:rsidR="007716B8" w:rsidRPr="00C8221C">
        <w:t>, and then extend by one year as each Regulatory Year of the Price Control Period elapses.</w:t>
      </w:r>
    </w:p>
    <w:p w14:paraId="509F42FB" w14:textId="31179B13" w:rsidR="004F2F52" w:rsidRDefault="004F2F52" w:rsidP="00F02D7B">
      <w:pPr>
        <w:pStyle w:val="Paragraph"/>
        <w:tabs>
          <w:tab w:val="clear" w:pos="1105"/>
          <w:tab w:val="num" w:pos="680"/>
        </w:tabs>
        <w:ind w:left="0"/>
        <w:rPr>
          <w:rFonts w:cs="Verdana"/>
          <w:color w:val="000000"/>
          <w:lang w:eastAsia="en-GB"/>
        </w:rPr>
      </w:pPr>
      <w:r w:rsidRPr="004F2F52">
        <w:rPr>
          <w:rFonts w:cs="Verdana"/>
          <w:color w:val="000000"/>
          <w:lang w:eastAsia="en-GB"/>
        </w:rPr>
        <w:lastRenderedPageBreak/>
        <w:t xml:space="preserve">The steps </w:t>
      </w:r>
      <w:r w:rsidR="00F670D9">
        <w:rPr>
          <w:rFonts w:cs="Verdana"/>
          <w:color w:val="000000"/>
          <w:lang w:eastAsia="en-GB"/>
        </w:rPr>
        <w:t xml:space="preserve">Ofgem will </w:t>
      </w:r>
      <w:r w:rsidRPr="004F2F52">
        <w:rPr>
          <w:rFonts w:cs="Verdana"/>
          <w:color w:val="000000"/>
          <w:lang w:eastAsia="en-GB"/>
        </w:rPr>
        <w:t>follow</w:t>
      </w:r>
      <w:r w:rsidR="00F670D9">
        <w:rPr>
          <w:rFonts w:cs="Verdana"/>
          <w:color w:val="000000"/>
          <w:lang w:eastAsia="en-GB"/>
        </w:rPr>
        <w:t xml:space="preserve"> to</w:t>
      </w:r>
      <w:r w:rsidRPr="004F2F52">
        <w:rPr>
          <w:rFonts w:cs="Verdana"/>
          <w:color w:val="000000"/>
          <w:lang w:eastAsia="en-GB"/>
        </w:rPr>
        <w:t xml:space="preserve"> determin</w:t>
      </w:r>
      <w:r w:rsidR="00F670D9">
        <w:rPr>
          <w:rFonts w:cs="Verdana"/>
          <w:color w:val="000000"/>
          <w:lang w:eastAsia="en-GB"/>
        </w:rPr>
        <w:t>e</w:t>
      </w:r>
      <w:r w:rsidRPr="004F2F52">
        <w:rPr>
          <w:rFonts w:cs="Verdana"/>
          <w:color w:val="000000"/>
          <w:lang w:eastAsia="en-GB"/>
        </w:rPr>
        <w:t xml:space="preserve"> revised </w:t>
      </w:r>
      <w:r w:rsidR="00DB2671" w:rsidRPr="0078526B">
        <w:rPr>
          <w:rFonts w:cs="Verdana"/>
          <w:color w:val="000000"/>
          <w:lang w:eastAsia="en-GB"/>
        </w:rPr>
        <w:t>CDE</w:t>
      </w:r>
      <w:r w:rsidR="00DB2671">
        <w:rPr>
          <w:rFonts w:cs="Verdana"/>
          <w:color w:val="000000"/>
          <w:lang w:eastAsia="en-GB"/>
        </w:rPr>
        <w:t xml:space="preserve"> </w:t>
      </w:r>
      <w:r w:rsidRPr="004F2F52">
        <w:rPr>
          <w:rFonts w:cs="Verdana"/>
          <w:color w:val="000000"/>
          <w:lang w:eastAsia="en-GB"/>
        </w:rPr>
        <w:t>values are:</w:t>
      </w:r>
    </w:p>
    <w:p w14:paraId="4D52F6A0" w14:textId="032A504E" w:rsidR="00C17313" w:rsidRPr="00E33B8F" w:rsidRDefault="00C17313" w:rsidP="00FE3374">
      <w:pPr>
        <w:rPr>
          <w:i/>
          <w:u w:val="single"/>
        </w:rPr>
      </w:pPr>
      <w:r w:rsidRPr="00E33B8F">
        <w:rPr>
          <w:i/>
          <w:u w:val="single"/>
        </w:rPr>
        <w:t>Step 1</w:t>
      </w:r>
      <w:r w:rsidR="003F7F79" w:rsidRPr="00E33B8F">
        <w:rPr>
          <w:i/>
          <w:u w:val="single"/>
        </w:rPr>
        <w:t xml:space="preserve"> – establish trading days</w:t>
      </w:r>
    </w:p>
    <w:p w14:paraId="02CC2EAC" w14:textId="75782D03" w:rsidR="00C17313" w:rsidRDefault="00C17313" w:rsidP="00F02D7B">
      <w:pPr>
        <w:pStyle w:val="Paragraph"/>
        <w:tabs>
          <w:tab w:val="clear" w:pos="1105"/>
          <w:tab w:val="num" w:pos="680"/>
        </w:tabs>
        <w:ind w:left="0"/>
      </w:pPr>
      <w:r w:rsidRPr="00FE3374">
        <w:t>Establish the trading days period</w:t>
      </w:r>
      <w:r w:rsidRPr="00FE3374">
        <w:rPr>
          <w:rStyle w:val="FootnoteReference"/>
        </w:rPr>
        <w:footnoteReference w:id="15"/>
      </w:r>
      <w:r w:rsidRPr="00FE3374">
        <w:t xml:space="preserve"> to be used in relation to the particular </w:t>
      </w:r>
      <w:r w:rsidR="00F670D9">
        <w:t>AIP</w:t>
      </w:r>
      <w:r w:rsidRPr="00FE3374">
        <w:t>:</w:t>
      </w:r>
    </w:p>
    <w:p w14:paraId="02817B94" w14:textId="6C3C0F6B" w:rsidR="00471143" w:rsidRPr="00471143" w:rsidRDefault="00471143" w:rsidP="00471143">
      <w:pPr>
        <w:pStyle w:val="Heading"/>
      </w:pPr>
      <w:r>
        <w:t xml:space="preserve">Table </w:t>
      </w:r>
      <w:r w:rsidR="005F175E">
        <w:t>4.1</w:t>
      </w:r>
      <w:r>
        <w:t xml:space="preserve"> – trading days</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2975"/>
        <w:gridCol w:w="2975"/>
        <w:gridCol w:w="2976"/>
      </w:tblGrid>
      <w:tr w:rsidR="00E33B8F" w:rsidRPr="00E33B8F" w14:paraId="11BB882C" w14:textId="77777777" w:rsidTr="006F05BE">
        <w:trPr>
          <w:trHeight w:val="467"/>
        </w:trPr>
        <w:tc>
          <w:tcPr>
            <w:tcW w:w="2975" w:type="dxa"/>
            <w:shd w:val="clear" w:color="auto" w:fill="54616C"/>
          </w:tcPr>
          <w:p w14:paraId="43D04F8F" w14:textId="51A29F0A" w:rsidR="00E33B8F" w:rsidRPr="00E33B8F" w:rsidRDefault="00E33B8F" w:rsidP="007127B0">
            <w:pPr>
              <w:jc w:val="center"/>
              <w:rPr>
                <w:color w:val="FFFFFF" w:themeColor="background1"/>
                <w:szCs w:val="20"/>
              </w:rPr>
            </w:pPr>
            <w:r w:rsidRPr="00E33B8F">
              <w:rPr>
                <w:b/>
                <w:i/>
                <w:color w:val="FFFFFF" w:themeColor="background1"/>
              </w:rPr>
              <w:t>Annual Iteration Process taking place no later than:</w:t>
            </w:r>
          </w:p>
        </w:tc>
        <w:tc>
          <w:tcPr>
            <w:tcW w:w="2975" w:type="dxa"/>
            <w:shd w:val="clear" w:color="auto" w:fill="54616C"/>
          </w:tcPr>
          <w:p w14:paraId="29890A00" w14:textId="74FA0BBF" w:rsidR="00E33B8F" w:rsidRPr="00E33B8F" w:rsidRDefault="00E33B8F" w:rsidP="00E33B8F">
            <w:pPr>
              <w:jc w:val="center"/>
              <w:rPr>
                <w:color w:val="FFFFFF" w:themeColor="background1"/>
                <w:szCs w:val="20"/>
              </w:rPr>
            </w:pPr>
            <w:r w:rsidRPr="00E33B8F">
              <w:rPr>
                <w:b/>
                <w:i/>
                <w:color w:val="FFFFFF" w:themeColor="background1"/>
              </w:rPr>
              <w:t>Trading days period</w:t>
            </w:r>
          </w:p>
        </w:tc>
        <w:tc>
          <w:tcPr>
            <w:tcW w:w="2976" w:type="dxa"/>
            <w:shd w:val="clear" w:color="auto" w:fill="54616C"/>
          </w:tcPr>
          <w:p w14:paraId="09516ECE" w14:textId="6D2A1CF4" w:rsidR="00E33B8F" w:rsidRPr="00E33B8F" w:rsidRDefault="00E33B8F" w:rsidP="00CA3581">
            <w:pPr>
              <w:jc w:val="center"/>
              <w:rPr>
                <w:color w:val="FFFFFF" w:themeColor="background1"/>
                <w:szCs w:val="20"/>
              </w:rPr>
            </w:pPr>
            <w:r w:rsidRPr="00E33B8F">
              <w:rPr>
                <w:b/>
                <w:i/>
                <w:color w:val="FFFFFF" w:themeColor="background1"/>
              </w:rPr>
              <w:t xml:space="preserve">Regulatory Year t from which revised </w:t>
            </w:r>
            <w:r w:rsidRPr="0078526B">
              <w:rPr>
                <w:b/>
                <w:i/>
                <w:color w:val="FFFFFF" w:themeColor="background1"/>
              </w:rPr>
              <w:t>CDE</w:t>
            </w:r>
            <w:r w:rsidRPr="00E33B8F">
              <w:rPr>
                <w:b/>
                <w:i/>
                <w:color w:val="FFFFFF" w:themeColor="background1"/>
              </w:rPr>
              <w:t xml:space="preserve"> value applies</w:t>
            </w:r>
          </w:p>
        </w:tc>
      </w:tr>
      <w:tr w:rsidR="00E33B8F" w:rsidRPr="00DB016F" w14:paraId="09B9D312" w14:textId="77777777" w:rsidTr="00E33B8F">
        <w:trPr>
          <w:trHeight w:val="350"/>
        </w:trPr>
        <w:tc>
          <w:tcPr>
            <w:tcW w:w="2975" w:type="dxa"/>
            <w:vAlign w:val="center"/>
          </w:tcPr>
          <w:p w14:paraId="6263C511" w14:textId="04873DCF" w:rsidR="00E33B8F" w:rsidRPr="00DE4234" w:rsidRDefault="00E33B8F" w:rsidP="00E33B8F">
            <w:pPr>
              <w:jc w:val="center"/>
              <w:rPr>
                <w:color w:val="848484"/>
                <w:szCs w:val="20"/>
              </w:rPr>
            </w:pPr>
            <w:r w:rsidRPr="00E33B8F">
              <w:rPr>
                <w:color w:val="848484"/>
                <w:szCs w:val="20"/>
              </w:rPr>
              <w:t>30 November 2021</w:t>
            </w:r>
          </w:p>
        </w:tc>
        <w:tc>
          <w:tcPr>
            <w:tcW w:w="2975" w:type="dxa"/>
            <w:vAlign w:val="center"/>
          </w:tcPr>
          <w:p w14:paraId="288C0926" w14:textId="2A07514B" w:rsidR="00E33B8F" w:rsidRPr="00DE4234" w:rsidRDefault="00582B54" w:rsidP="00E33B8F">
            <w:pPr>
              <w:jc w:val="center"/>
              <w:rPr>
                <w:color w:val="848484"/>
                <w:szCs w:val="20"/>
              </w:rPr>
            </w:pPr>
            <w:r>
              <w:rPr>
                <w:color w:val="848484"/>
                <w:szCs w:val="20"/>
              </w:rPr>
              <w:t>0</w:t>
            </w:r>
            <w:r w:rsidR="00E33B8F" w:rsidRPr="00E33B8F">
              <w:rPr>
                <w:color w:val="848484"/>
                <w:szCs w:val="20"/>
              </w:rPr>
              <w:t>1 November 2010 to 31 October 2021</w:t>
            </w:r>
          </w:p>
        </w:tc>
        <w:tc>
          <w:tcPr>
            <w:tcW w:w="2976" w:type="dxa"/>
            <w:vAlign w:val="center"/>
          </w:tcPr>
          <w:p w14:paraId="1F47C6D5" w14:textId="67EDD8F4" w:rsidR="00E33B8F" w:rsidRPr="00DE4234" w:rsidRDefault="00E33B8F" w:rsidP="00E33B8F">
            <w:pPr>
              <w:jc w:val="center"/>
              <w:rPr>
                <w:color w:val="848484"/>
                <w:szCs w:val="20"/>
              </w:rPr>
            </w:pPr>
            <w:r w:rsidRPr="00E33B8F">
              <w:rPr>
                <w:color w:val="848484"/>
                <w:szCs w:val="20"/>
              </w:rPr>
              <w:t>2022/23</w:t>
            </w:r>
          </w:p>
        </w:tc>
      </w:tr>
      <w:tr w:rsidR="00E33B8F" w:rsidRPr="00DB016F" w14:paraId="24F20759" w14:textId="77777777" w:rsidTr="00E33B8F">
        <w:trPr>
          <w:trHeight w:val="350"/>
        </w:trPr>
        <w:tc>
          <w:tcPr>
            <w:tcW w:w="2975" w:type="dxa"/>
            <w:vAlign w:val="center"/>
          </w:tcPr>
          <w:p w14:paraId="63B62FEE" w14:textId="2AA8FF8E" w:rsidR="00E33B8F" w:rsidRDefault="00E33B8F" w:rsidP="00E33B8F">
            <w:pPr>
              <w:jc w:val="center"/>
              <w:rPr>
                <w:color w:val="848484"/>
                <w:szCs w:val="20"/>
              </w:rPr>
            </w:pPr>
            <w:r w:rsidRPr="00E33B8F">
              <w:rPr>
                <w:color w:val="848484"/>
                <w:szCs w:val="20"/>
              </w:rPr>
              <w:t>30 November 2022</w:t>
            </w:r>
          </w:p>
        </w:tc>
        <w:tc>
          <w:tcPr>
            <w:tcW w:w="2975" w:type="dxa"/>
            <w:vAlign w:val="center"/>
          </w:tcPr>
          <w:p w14:paraId="5F59B412" w14:textId="03F7FF7A" w:rsidR="00E33B8F" w:rsidRDefault="00582B54" w:rsidP="00E33B8F">
            <w:pPr>
              <w:jc w:val="center"/>
              <w:rPr>
                <w:color w:val="848484"/>
                <w:szCs w:val="20"/>
              </w:rPr>
            </w:pPr>
            <w:r>
              <w:rPr>
                <w:color w:val="848484"/>
                <w:szCs w:val="20"/>
              </w:rPr>
              <w:t>0</w:t>
            </w:r>
            <w:r w:rsidR="00E33B8F" w:rsidRPr="00E33B8F">
              <w:rPr>
                <w:color w:val="848484"/>
                <w:szCs w:val="20"/>
              </w:rPr>
              <w:t>1 November 2010 to 31 October 2022</w:t>
            </w:r>
          </w:p>
        </w:tc>
        <w:tc>
          <w:tcPr>
            <w:tcW w:w="2976" w:type="dxa"/>
            <w:vAlign w:val="center"/>
          </w:tcPr>
          <w:p w14:paraId="0F5E04FD" w14:textId="0720AC07" w:rsidR="00E33B8F" w:rsidRDefault="00E33B8F" w:rsidP="00E33B8F">
            <w:pPr>
              <w:jc w:val="center"/>
              <w:rPr>
                <w:color w:val="848484"/>
                <w:szCs w:val="20"/>
              </w:rPr>
            </w:pPr>
            <w:r w:rsidRPr="00E33B8F">
              <w:rPr>
                <w:color w:val="848484"/>
                <w:szCs w:val="20"/>
              </w:rPr>
              <w:t>2023/24</w:t>
            </w:r>
          </w:p>
        </w:tc>
      </w:tr>
      <w:tr w:rsidR="00E33B8F" w:rsidRPr="00DB016F" w14:paraId="2EEB58DD" w14:textId="77777777" w:rsidTr="00E33B8F">
        <w:trPr>
          <w:trHeight w:val="350"/>
        </w:trPr>
        <w:tc>
          <w:tcPr>
            <w:tcW w:w="2975" w:type="dxa"/>
            <w:vAlign w:val="center"/>
          </w:tcPr>
          <w:p w14:paraId="3A3FEA7B" w14:textId="0B744EAE" w:rsidR="00E33B8F" w:rsidRDefault="00E33B8F" w:rsidP="00E33B8F">
            <w:pPr>
              <w:jc w:val="center"/>
              <w:rPr>
                <w:color w:val="848484"/>
                <w:szCs w:val="20"/>
              </w:rPr>
            </w:pPr>
            <w:r w:rsidRPr="00E33B8F">
              <w:rPr>
                <w:color w:val="848484"/>
                <w:szCs w:val="20"/>
              </w:rPr>
              <w:t>30 November 2023</w:t>
            </w:r>
          </w:p>
        </w:tc>
        <w:tc>
          <w:tcPr>
            <w:tcW w:w="2975" w:type="dxa"/>
            <w:vAlign w:val="center"/>
          </w:tcPr>
          <w:p w14:paraId="411345E1" w14:textId="24525E57" w:rsidR="00E33B8F" w:rsidRDefault="00582B54" w:rsidP="00E33B8F">
            <w:pPr>
              <w:jc w:val="center"/>
              <w:rPr>
                <w:color w:val="848484"/>
                <w:szCs w:val="20"/>
              </w:rPr>
            </w:pPr>
            <w:r>
              <w:rPr>
                <w:color w:val="848484"/>
                <w:szCs w:val="20"/>
              </w:rPr>
              <w:t>0</w:t>
            </w:r>
            <w:r w:rsidR="00E33B8F" w:rsidRPr="00E33B8F">
              <w:rPr>
                <w:color w:val="848484"/>
                <w:szCs w:val="20"/>
              </w:rPr>
              <w:t>1 November 2010 to 31 October 2023</w:t>
            </w:r>
          </w:p>
        </w:tc>
        <w:tc>
          <w:tcPr>
            <w:tcW w:w="2976" w:type="dxa"/>
            <w:vAlign w:val="center"/>
          </w:tcPr>
          <w:p w14:paraId="1B6C905F" w14:textId="479F5C93" w:rsidR="00E33B8F" w:rsidRDefault="00E33B8F" w:rsidP="00E33B8F">
            <w:pPr>
              <w:jc w:val="center"/>
              <w:rPr>
                <w:color w:val="848484"/>
                <w:szCs w:val="20"/>
              </w:rPr>
            </w:pPr>
            <w:r w:rsidRPr="00E33B8F">
              <w:rPr>
                <w:color w:val="848484"/>
                <w:szCs w:val="20"/>
              </w:rPr>
              <w:t>2024/25</w:t>
            </w:r>
          </w:p>
        </w:tc>
      </w:tr>
      <w:tr w:rsidR="00E33B8F" w:rsidRPr="00DB016F" w14:paraId="17F3DDAD" w14:textId="77777777" w:rsidTr="00E33B8F">
        <w:trPr>
          <w:trHeight w:val="350"/>
        </w:trPr>
        <w:tc>
          <w:tcPr>
            <w:tcW w:w="2975" w:type="dxa"/>
            <w:vAlign w:val="center"/>
          </w:tcPr>
          <w:p w14:paraId="2C0E8A22" w14:textId="47AF5230" w:rsidR="00E33B8F" w:rsidRDefault="00E33B8F" w:rsidP="00E33B8F">
            <w:pPr>
              <w:jc w:val="center"/>
              <w:rPr>
                <w:color w:val="848484"/>
                <w:szCs w:val="20"/>
              </w:rPr>
            </w:pPr>
            <w:r w:rsidRPr="00E33B8F">
              <w:rPr>
                <w:color w:val="848484"/>
                <w:szCs w:val="20"/>
              </w:rPr>
              <w:t>30 November 2024</w:t>
            </w:r>
          </w:p>
        </w:tc>
        <w:tc>
          <w:tcPr>
            <w:tcW w:w="2975" w:type="dxa"/>
            <w:vAlign w:val="center"/>
          </w:tcPr>
          <w:p w14:paraId="44D60F2C" w14:textId="44702C22" w:rsidR="00E33B8F" w:rsidRDefault="00582B54" w:rsidP="00E33B8F">
            <w:pPr>
              <w:jc w:val="center"/>
              <w:rPr>
                <w:color w:val="848484"/>
                <w:szCs w:val="20"/>
              </w:rPr>
            </w:pPr>
            <w:r>
              <w:rPr>
                <w:color w:val="848484"/>
                <w:szCs w:val="20"/>
              </w:rPr>
              <w:t>0</w:t>
            </w:r>
            <w:r w:rsidR="00E33B8F" w:rsidRPr="00E33B8F">
              <w:rPr>
                <w:color w:val="848484"/>
                <w:szCs w:val="20"/>
              </w:rPr>
              <w:t>1 November 2010 to 31 October 2024</w:t>
            </w:r>
          </w:p>
        </w:tc>
        <w:tc>
          <w:tcPr>
            <w:tcW w:w="2976" w:type="dxa"/>
            <w:vAlign w:val="center"/>
          </w:tcPr>
          <w:p w14:paraId="6310D623" w14:textId="4FE84556" w:rsidR="00E33B8F" w:rsidRDefault="00E33B8F" w:rsidP="00E33B8F">
            <w:pPr>
              <w:jc w:val="center"/>
              <w:rPr>
                <w:color w:val="848484"/>
                <w:szCs w:val="20"/>
              </w:rPr>
            </w:pPr>
            <w:r w:rsidRPr="00E33B8F">
              <w:rPr>
                <w:color w:val="848484"/>
                <w:szCs w:val="20"/>
              </w:rPr>
              <w:t>2025/26</w:t>
            </w:r>
          </w:p>
        </w:tc>
      </w:tr>
    </w:tbl>
    <w:p w14:paraId="0CB069E4" w14:textId="73B01B07" w:rsidR="00C17313" w:rsidRPr="00E33B8F" w:rsidRDefault="00C17313" w:rsidP="00C17313">
      <w:pPr>
        <w:pStyle w:val="Paragrapgh"/>
        <w:spacing w:after="120"/>
        <w:rPr>
          <w:i/>
          <w:u w:val="single"/>
        </w:rPr>
      </w:pPr>
      <w:r w:rsidRPr="00E33B8F">
        <w:rPr>
          <w:i/>
          <w:u w:val="single"/>
        </w:rPr>
        <w:t>Step 2</w:t>
      </w:r>
      <w:r w:rsidR="003F7F79" w:rsidRPr="00E33B8F">
        <w:rPr>
          <w:i/>
          <w:u w:val="single"/>
        </w:rPr>
        <w:t xml:space="preserve"> – </w:t>
      </w:r>
      <w:r w:rsidR="00917C92">
        <w:rPr>
          <w:i/>
          <w:u w:val="single"/>
        </w:rPr>
        <w:t>obtain</w:t>
      </w:r>
      <w:r w:rsidR="003F7F79" w:rsidRPr="00E33B8F">
        <w:rPr>
          <w:i/>
          <w:u w:val="single"/>
        </w:rPr>
        <w:t xml:space="preserve"> nominal </w:t>
      </w:r>
      <w:r w:rsidR="001858D7">
        <w:rPr>
          <w:i/>
          <w:u w:val="single"/>
        </w:rPr>
        <w:t>bond yields</w:t>
      </w:r>
      <w:r w:rsidR="003F7F79" w:rsidRPr="00E33B8F">
        <w:rPr>
          <w:i/>
          <w:u w:val="single"/>
        </w:rPr>
        <w:t xml:space="preserve"> for each trading day</w:t>
      </w:r>
    </w:p>
    <w:p w14:paraId="14D9BCEE" w14:textId="46FB14F0" w:rsidR="00C17313" w:rsidRPr="00E33B8F" w:rsidRDefault="00C17313" w:rsidP="00F02D7B">
      <w:pPr>
        <w:pStyle w:val="Paragraph"/>
        <w:tabs>
          <w:tab w:val="clear" w:pos="1105"/>
          <w:tab w:val="num" w:pos="680"/>
        </w:tabs>
        <w:ind w:left="0"/>
      </w:pPr>
      <w:bookmarkStart w:id="101" w:name="_Ref46219688"/>
      <w:r w:rsidRPr="00E33B8F">
        <w:t xml:space="preserve">For each day in the trading days period ascertained under Step 1, </w:t>
      </w:r>
      <w:r w:rsidR="00917C92">
        <w:t>obtain</w:t>
      </w:r>
      <w:r w:rsidR="00E33B8F">
        <w:t xml:space="preserve">, from the Markit data service, the </w:t>
      </w:r>
      <w:r w:rsidRPr="00E33B8F">
        <w:t xml:space="preserve">iBoxx </w:t>
      </w:r>
      <w:r w:rsidR="003F7F79" w:rsidRPr="00E33B8F">
        <w:t>Utilities 10yr+ index (ISIN reference DE0005996532).</w:t>
      </w:r>
      <w:bookmarkEnd w:id="101"/>
      <w:r w:rsidR="003F7F79" w:rsidRPr="00E33B8F">
        <w:t xml:space="preserve"> </w:t>
      </w:r>
    </w:p>
    <w:p w14:paraId="0031B481" w14:textId="4BB1BFF1" w:rsidR="00C17313" w:rsidRPr="00917C92" w:rsidRDefault="00C17313" w:rsidP="00917C92">
      <w:pPr>
        <w:rPr>
          <w:i/>
          <w:u w:val="single"/>
        </w:rPr>
      </w:pPr>
      <w:r w:rsidRPr="00917C92">
        <w:rPr>
          <w:i/>
          <w:u w:val="single"/>
        </w:rPr>
        <w:t>Step 3</w:t>
      </w:r>
      <w:r w:rsidR="003F7F79" w:rsidRPr="00917C92">
        <w:rPr>
          <w:i/>
          <w:u w:val="single"/>
        </w:rPr>
        <w:t xml:space="preserve"> – </w:t>
      </w:r>
      <w:r w:rsidR="00917C92">
        <w:rPr>
          <w:i/>
          <w:u w:val="single"/>
        </w:rPr>
        <w:t>obtain</w:t>
      </w:r>
      <w:r w:rsidR="003F7F79" w:rsidRPr="00917C92">
        <w:rPr>
          <w:i/>
          <w:u w:val="single"/>
        </w:rPr>
        <w:t xml:space="preserve"> inflation forecast</w:t>
      </w:r>
    </w:p>
    <w:p w14:paraId="230FD431" w14:textId="6EA1A58E" w:rsidR="00841415" w:rsidRDefault="00C17313" w:rsidP="00F02D7B">
      <w:pPr>
        <w:pStyle w:val="Paragraph"/>
        <w:tabs>
          <w:tab w:val="clear" w:pos="1105"/>
          <w:tab w:val="num" w:pos="680"/>
        </w:tabs>
        <w:ind w:left="0"/>
      </w:pPr>
      <w:r w:rsidRPr="00917C92">
        <w:t>For each day in the trading day p</w:t>
      </w:r>
      <w:r w:rsidR="003145D1">
        <w:t xml:space="preserve">eriod ascertained under Step 1, </w:t>
      </w:r>
      <w:r w:rsidR="00917C92" w:rsidRPr="00917C92">
        <w:t>obtain</w:t>
      </w:r>
      <w:r w:rsidRPr="00917C92">
        <w:t xml:space="preserve"> a</w:t>
      </w:r>
      <w:r w:rsidR="00917C92" w:rsidRPr="00917C92">
        <w:t>n</w:t>
      </w:r>
      <w:r w:rsidRPr="00917C92">
        <w:t xml:space="preserve"> inflation </w:t>
      </w:r>
      <w:r w:rsidR="00917C92">
        <w:t>value</w:t>
      </w:r>
      <w:r w:rsidR="00917C92" w:rsidRPr="00917C92">
        <w:t>.</w:t>
      </w:r>
      <w:r w:rsidR="00917C92">
        <w:t xml:space="preserve">  For any given day in the trading day period, the inflation value is the latest O</w:t>
      </w:r>
      <w:r w:rsidR="00BB7CD4">
        <w:t xml:space="preserve">ffice for </w:t>
      </w:r>
      <w:r w:rsidR="00917C92">
        <w:t>B</w:t>
      </w:r>
      <w:r w:rsidR="00BB7CD4">
        <w:t xml:space="preserve">udget </w:t>
      </w:r>
      <w:r w:rsidR="00917C92">
        <w:t>R</w:t>
      </w:r>
      <w:r w:rsidR="00BB7CD4">
        <w:t>esponsibility (OBR)</w:t>
      </w:r>
      <w:r w:rsidR="00917C92">
        <w:t xml:space="preserve"> 5yr forecast of CPI that was available on that given day</w:t>
      </w:r>
      <w:r w:rsidR="00547E17">
        <w:t>, subject to the assumption that the OBR forecast is available from the first day of the month following the month of publication</w:t>
      </w:r>
      <w:r w:rsidR="00917C92">
        <w:t xml:space="preserve">.  For example, </w:t>
      </w:r>
      <w:r w:rsidR="002A1B21">
        <w:t xml:space="preserve">the </w:t>
      </w:r>
      <w:r w:rsidR="00841415">
        <w:t xml:space="preserve">inflation </w:t>
      </w:r>
      <w:r w:rsidR="002A1B21">
        <w:t xml:space="preserve">value for </w:t>
      </w:r>
      <w:r w:rsidR="00582B54">
        <w:t>0</w:t>
      </w:r>
      <w:r w:rsidR="002A1B21">
        <w:t xml:space="preserve">1 </w:t>
      </w:r>
      <w:r w:rsidR="00547E17">
        <w:t>November</w:t>
      </w:r>
      <w:r w:rsidR="00841415">
        <w:t xml:space="preserve"> 2018, is the OBR </w:t>
      </w:r>
      <w:r w:rsidR="00841415">
        <w:lastRenderedPageBreak/>
        <w:t xml:space="preserve">5yr forecast of CPI (to 2023) </w:t>
      </w:r>
      <w:r w:rsidR="00F670D9">
        <w:t>published</w:t>
      </w:r>
      <w:r w:rsidR="00841415">
        <w:t xml:space="preserve"> in October 2018</w:t>
      </w:r>
      <w:r w:rsidR="00547E17">
        <w:t xml:space="preserve"> and the inflation value for 31 October is the OBR 5yr forecast of CPI (to 2022) published in March 2018</w:t>
      </w:r>
      <w:r w:rsidR="00841415">
        <w:t>.</w:t>
      </w:r>
      <w:r w:rsidR="002A1B21">
        <w:t xml:space="preserve">  </w:t>
      </w:r>
    </w:p>
    <w:p w14:paraId="7C0C646E" w14:textId="252DA3DE" w:rsidR="00917C92" w:rsidRDefault="002A1B21" w:rsidP="00F02D7B">
      <w:pPr>
        <w:pStyle w:val="Paragraph"/>
        <w:tabs>
          <w:tab w:val="clear" w:pos="1105"/>
          <w:tab w:val="num" w:pos="680"/>
        </w:tabs>
        <w:ind w:left="0"/>
      </w:pPr>
      <w:r>
        <w:t xml:space="preserve">Ofgem will source the </w:t>
      </w:r>
      <w:r w:rsidR="00841415">
        <w:t xml:space="preserve">inflation </w:t>
      </w:r>
      <w:r>
        <w:t>values from the data page of the OBR website.</w:t>
      </w:r>
      <w:r>
        <w:rPr>
          <w:rStyle w:val="FootnoteReference"/>
        </w:rPr>
        <w:footnoteReference w:id="16"/>
      </w:r>
      <w:r>
        <w:t xml:space="preserve"> </w:t>
      </w:r>
    </w:p>
    <w:p w14:paraId="408768E1" w14:textId="195E7F80" w:rsidR="00C17313" w:rsidRPr="001858D7" w:rsidRDefault="00C17313" w:rsidP="001858D7">
      <w:pPr>
        <w:pStyle w:val="Paragrapgh"/>
        <w:spacing w:after="120"/>
        <w:rPr>
          <w:i/>
          <w:u w:val="single"/>
        </w:rPr>
      </w:pPr>
      <w:r w:rsidRPr="001858D7">
        <w:rPr>
          <w:i/>
          <w:u w:val="single"/>
        </w:rPr>
        <w:t>Step 4</w:t>
      </w:r>
      <w:r w:rsidR="003F7F79" w:rsidRPr="001858D7">
        <w:rPr>
          <w:i/>
          <w:u w:val="single"/>
        </w:rPr>
        <w:t xml:space="preserve"> – calculate real cost of debt for each trading day</w:t>
      </w:r>
    </w:p>
    <w:p w14:paraId="25CF5622" w14:textId="3D2AB480" w:rsidR="00C17313" w:rsidRPr="001858D7" w:rsidRDefault="001858D7" w:rsidP="00F02D7B">
      <w:pPr>
        <w:pStyle w:val="Paragraph"/>
        <w:tabs>
          <w:tab w:val="clear" w:pos="1105"/>
          <w:tab w:val="num" w:pos="680"/>
        </w:tabs>
        <w:ind w:left="0"/>
      </w:pPr>
      <w:r w:rsidRPr="001858D7">
        <w:t>This step converts the nominal bond yields in the iBoxx data to a real cost of debt value</w:t>
      </w:r>
      <w:r w:rsidR="004352D9">
        <w:t>, incorporating transaction and liquidity costs</w:t>
      </w:r>
      <w:r w:rsidRPr="001858D7">
        <w:t xml:space="preserve">.  </w:t>
      </w:r>
      <w:r w:rsidR="00C17313" w:rsidRPr="001858D7">
        <w:t xml:space="preserve">For each day in the trading day period ascertained under Step 1, </w:t>
      </w:r>
      <w:r w:rsidR="00920A66" w:rsidRPr="001858D7">
        <w:t xml:space="preserve">add </w:t>
      </w:r>
      <w:r w:rsidR="00210D9C">
        <w:t>[</w:t>
      </w:r>
      <w:r w:rsidR="00920A66" w:rsidRPr="001858D7">
        <w:t>17</w:t>
      </w:r>
      <w:r w:rsidR="00210D9C">
        <w:t>]</w:t>
      </w:r>
      <w:r w:rsidR="00920A66" w:rsidRPr="001858D7">
        <w:t xml:space="preserve"> basis points (for transaction and liquidity costs) to the </w:t>
      </w:r>
      <w:r w:rsidR="00C17313" w:rsidRPr="001858D7">
        <w:t>annual yield figures obtained under Step 2</w:t>
      </w:r>
      <w:r w:rsidR="003145D1">
        <w:t>, deflate these</w:t>
      </w:r>
      <w:r w:rsidR="00920A66" w:rsidRPr="001858D7">
        <w:t xml:space="preserve"> </w:t>
      </w:r>
      <w:r w:rsidR="00C17313" w:rsidRPr="001858D7">
        <w:t>using the inflation figure obtained under Step 3, using the following formula:</w:t>
      </w:r>
    </w:p>
    <w:p w14:paraId="1E281A64" w14:textId="12AFC1A8" w:rsidR="00C17313" w:rsidRPr="001858D7" w:rsidRDefault="00C17313" w:rsidP="00C17313">
      <w:pPr>
        <w:pStyle w:val="Paragrapgh"/>
        <w:jc w:val="center"/>
        <w:rPr>
          <w:i/>
        </w:rPr>
      </w:pPr>
      <w:r w:rsidRPr="001858D7">
        <w:rPr>
          <w:rFonts w:asciiTheme="majorHAnsi" w:hAnsiTheme="majorHAnsi"/>
          <w:i/>
          <w:sz w:val="28"/>
          <w:szCs w:val="28"/>
        </w:rPr>
        <w:t>CoD = ( 1 + iBoxx</w:t>
      </w:r>
      <w:r w:rsidR="00920A66" w:rsidRPr="001858D7">
        <w:rPr>
          <w:rFonts w:asciiTheme="majorHAnsi" w:hAnsiTheme="majorHAnsi"/>
          <w:i/>
          <w:sz w:val="28"/>
          <w:szCs w:val="28"/>
        </w:rPr>
        <w:t xml:space="preserve"> +</w:t>
      </w:r>
      <w:r w:rsidR="00210D9C">
        <w:rPr>
          <w:rFonts w:asciiTheme="majorHAnsi" w:hAnsiTheme="majorHAnsi"/>
          <w:i/>
          <w:sz w:val="28"/>
          <w:szCs w:val="28"/>
        </w:rPr>
        <w:t>[</w:t>
      </w:r>
      <w:r w:rsidR="00920A66" w:rsidRPr="001858D7">
        <w:rPr>
          <w:rFonts w:asciiTheme="majorHAnsi" w:hAnsiTheme="majorHAnsi"/>
          <w:i/>
          <w:sz w:val="28"/>
          <w:szCs w:val="28"/>
        </w:rPr>
        <w:t xml:space="preserve"> 0.</w:t>
      </w:r>
      <w:r w:rsidR="00CA1E94">
        <w:rPr>
          <w:rFonts w:asciiTheme="majorHAnsi" w:hAnsiTheme="majorHAnsi"/>
          <w:i/>
          <w:sz w:val="28"/>
          <w:szCs w:val="28"/>
        </w:rPr>
        <w:t>00</w:t>
      </w:r>
      <w:r w:rsidR="00920A66" w:rsidRPr="001858D7">
        <w:rPr>
          <w:rFonts w:asciiTheme="majorHAnsi" w:hAnsiTheme="majorHAnsi"/>
          <w:i/>
          <w:sz w:val="28"/>
          <w:szCs w:val="28"/>
        </w:rPr>
        <w:t>17</w:t>
      </w:r>
      <w:r w:rsidR="00210D9C">
        <w:rPr>
          <w:rFonts w:asciiTheme="majorHAnsi" w:hAnsiTheme="majorHAnsi"/>
          <w:i/>
          <w:sz w:val="28"/>
          <w:szCs w:val="28"/>
        </w:rPr>
        <w:t>]</w:t>
      </w:r>
      <w:r w:rsidRPr="001858D7">
        <w:rPr>
          <w:rFonts w:asciiTheme="majorHAnsi" w:hAnsiTheme="majorHAnsi"/>
          <w:i/>
          <w:sz w:val="28"/>
          <w:szCs w:val="28"/>
        </w:rPr>
        <w:t>) / (1 +</w:t>
      </w:r>
      <w:r w:rsidRPr="001858D7">
        <w:rPr>
          <w:rFonts w:ascii="Monotype Corsiva" w:hAnsi="Monotype Corsiva"/>
          <w:i/>
          <w:sz w:val="28"/>
          <w:szCs w:val="28"/>
        </w:rPr>
        <w:t xml:space="preserve"> Π</w:t>
      </w:r>
      <w:r w:rsidRPr="001858D7">
        <w:rPr>
          <w:rFonts w:asciiTheme="majorHAnsi" w:hAnsiTheme="majorHAnsi"/>
          <w:i/>
          <w:sz w:val="28"/>
          <w:szCs w:val="28"/>
        </w:rPr>
        <w:t xml:space="preserve">  ) - 1</w:t>
      </w:r>
    </w:p>
    <w:p w14:paraId="03891F1C" w14:textId="77777777" w:rsidR="00C17313" w:rsidRPr="001858D7" w:rsidRDefault="00C17313" w:rsidP="001858D7">
      <w:pPr>
        <w:pStyle w:val="Paragraph"/>
        <w:numPr>
          <w:ilvl w:val="0"/>
          <w:numId w:val="0"/>
        </w:numPr>
        <w:spacing w:after="120"/>
      </w:pPr>
      <w:r w:rsidRPr="001858D7">
        <w:t>where:</w:t>
      </w:r>
    </w:p>
    <w:p w14:paraId="3E7B322A" w14:textId="4F2A278F" w:rsidR="00C17313" w:rsidRPr="001858D7" w:rsidRDefault="00C17313" w:rsidP="008C0D61">
      <w:pPr>
        <w:pStyle w:val="Paragrapgh"/>
        <w:tabs>
          <w:tab w:val="clear" w:pos="680"/>
        </w:tabs>
        <w:spacing w:before="120"/>
        <w:ind w:left="2160" w:hanging="1440"/>
      </w:pPr>
      <w:r w:rsidRPr="001858D7">
        <w:t>CoD</w:t>
      </w:r>
      <w:r w:rsidRPr="001858D7">
        <w:tab/>
        <w:t xml:space="preserve">is the daily real average of the </w:t>
      </w:r>
      <w:r w:rsidR="004352D9">
        <w:t>cost of debt</w:t>
      </w:r>
      <w:r w:rsidRPr="001858D7">
        <w:t xml:space="preserve">; </w:t>
      </w:r>
    </w:p>
    <w:p w14:paraId="18528D54" w14:textId="11F4C989" w:rsidR="00C17313" w:rsidRPr="001858D7" w:rsidRDefault="00C17313" w:rsidP="008C0D61">
      <w:pPr>
        <w:pStyle w:val="Paragrapgh"/>
        <w:tabs>
          <w:tab w:val="clear" w:pos="680"/>
        </w:tabs>
        <w:spacing w:before="120"/>
        <w:ind w:left="2160" w:hanging="1440"/>
      </w:pPr>
      <w:r w:rsidRPr="001858D7">
        <w:t>iBoxx</w:t>
      </w:r>
      <w:r w:rsidRPr="001858D7">
        <w:tab/>
        <w:t>is the annual yield figures obtained under Step 2</w:t>
      </w:r>
      <w:r w:rsidR="00920A66" w:rsidRPr="001858D7">
        <w:t xml:space="preserve"> </w:t>
      </w:r>
      <w:r w:rsidRPr="001858D7">
        <w:t>expressed as a Decimal Percentage; and</w:t>
      </w:r>
    </w:p>
    <w:p w14:paraId="71C62015" w14:textId="1C47F757" w:rsidR="00C17313" w:rsidRPr="001858D7" w:rsidRDefault="001858D7" w:rsidP="008C0D61">
      <w:pPr>
        <w:pStyle w:val="Paragrapgh"/>
        <w:tabs>
          <w:tab w:val="clear" w:pos="680"/>
        </w:tabs>
        <w:spacing w:before="120"/>
        <w:ind w:left="2160" w:hanging="1440"/>
      </w:pPr>
      <w:r w:rsidRPr="001858D7">
        <w:rPr>
          <w:rFonts w:ascii="Monotype Corsiva" w:hAnsi="Monotype Corsiva"/>
          <w:i/>
          <w:sz w:val="28"/>
          <w:szCs w:val="28"/>
        </w:rPr>
        <w:t>Π</w:t>
      </w:r>
      <w:r w:rsidRPr="001858D7">
        <w:t xml:space="preserve"> </w:t>
      </w:r>
      <w:r w:rsidR="00C17313" w:rsidRPr="001858D7">
        <w:tab/>
        <w:t>is the inflation figure obtained under Step 3.</w:t>
      </w:r>
    </w:p>
    <w:p w14:paraId="215F6621" w14:textId="4754166D" w:rsidR="00C17313" w:rsidRPr="001858D7" w:rsidRDefault="00C17313" w:rsidP="001858D7">
      <w:pPr>
        <w:pStyle w:val="Paragrapgh"/>
        <w:spacing w:after="120"/>
        <w:rPr>
          <w:i/>
          <w:u w:val="single"/>
        </w:rPr>
      </w:pPr>
      <w:r w:rsidRPr="001858D7">
        <w:rPr>
          <w:i/>
          <w:u w:val="single"/>
        </w:rPr>
        <w:t>Step 5</w:t>
      </w:r>
      <w:r w:rsidR="003F7F79" w:rsidRPr="001858D7">
        <w:rPr>
          <w:i/>
          <w:u w:val="single"/>
        </w:rPr>
        <w:t xml:space="preserve"> – calculate </w:t>
      </w:r>
      <w:r w:rsidR="00E33B8F" w:rsidRPr="001858D7">
        <w:rPr>
          <w:i/>
          <w:u w:val="single"/>
        </w:rPr>
        <w:t xml:space="preserve">average </w:t>
      </w:r>
      <w:r w:rsidR="003F7F79" w:rsidRPr="001858D7">
        <w:rPr>
          <w:i/>
          <w:u w:val="single"/>
        </w:rPr>
        <w:t>cost of debt for trailing period</w:t>
      </w:r>
    </w:p>
    <w:p w14:paraId="63DDCF09" w14:textId="77777777" w:rsidR="00C17313" w:rsidRPr="001858D7" w:rsidRDefault="00C17313" w:rsidP="00F02D7B">
      <w:pPr>
        <w:pStyle w:val="Paragraph"/>
        <w:tabs>
          <w:tab w:val="clear" w:pos="1105"/>
          <w:tab w:val="num" w:pos="680"/>
        </w:tabs>
        <w:ind w:left="0"/>
      </w:pPr>
      <w:r w:rsidRPr="001858D7">
        <w:t>Calculate the arithmetic average value of CoD across the trading days period ascertained under Step 1.</w:t>
      </w:r>
    </w:p>
    <w:p w14:paraId="4F5C7E4F" w14:textId="6E0F5F91" w:rsidR="00C17313" w:rsidRDefault="00C17313" w:rsidP="00F02D7B">
      <w:pPr>
        <w:pStyle w:val="Paragraph"/>
        <w:tabs>
          <w:tab w:val="clear" w:pos="1105"/>
          <w:tab w:val="num" w:pos="680"/>
        </w:tabs>
        <w:ind w:left="0"/>
      </w:pPr>
      <w:r w:rsidRPr="001858D7">
        <w:t xml:space="preserve">This average, expressed as a percentage and stated to </w:t>
      </w:r>
      <w:r w:rsidR="00213024">
        <w:t>three</w:t>
      </w:r>
      <w:r w:rsidRPr="001858D7">
        <w:t xml:space="preserve"> decimal places</w:t>
      </w:r>
      <w:r w:rsidR="004068C5">
        <w:t>,</w:t>
      </w:r>
      <w:r w:rsidRPr="001858D7">
        <w:t xml:space="preserve"> constitutes the revised Variable Value for the cost of corporate debt (</w:t>
      </w:r>
      <w:r w:rsidRPr="0078526B">
        <w:t>CDE</w:t>
      </w:r>
      <w:r w:rsidRPr="001858D7">
        <w:t xml:space="preserve"> value) for </w:t>
      </w:r>
      <w:r w:rsidR="00625B4D">
        <w:t xml:space="preserve">each </w:t>
      </w:r>
      <w:r w:rsidRPr="001858D7">
        <w:t xml:space="preserve">Regulatory </w:t>
      </w:r>
      <w:r w:rsidR="008E7E8A">
        <w:t>Y</w:t>
      </w:r>
      <w:r w:rsidRPr="001858D7">
        <w:t>ear.</w:t>
      </w:r>
    </w:p>
    <w:p w14:paraId="0B800C6F" w14:textId="30B93AEF" w:rsidR="004068C5" w:rsidRPr="00841415" w:rsidRDefault="004068C5" w:rsidP="00F02D7B">
      <w:pPr>
        <w:pStyle w:val="Paragraph"/>
        <w:tabs>
          <w:tab w:val="clear" w:pos="1105"/>
          <w:tab w:val="num" w:pos="680"/>
        </w:tabs>
        <w:ind w:left="0"/>
      </w:pPr>
      <w:r w:rsidRPr="00841415">
        <w:t xml:space="preserve">Ofgem will provide the licensee with a copy of the spreadsheet used to calculate revised </w:t>
      </w:r>
      <w:r w:rsidRPr="0078526B">
        <w:t>CDE</w:t>
      </w:r>
      <w:r w:rsidRPr="00841415">
        <w:t xml:space="preserve"> values at the same time as giving the notice</w:t>
      </w:r>
      <w:r w:rsidR="00841415" w:rsidRPr="00841415">
        <w:t xml:space="preserve"> (paragraph </w:t>
      </w:r>
      <w:r w:rsidR="00CA5F65">
        <w:fldChar w:fldCharType="begin"/>
      </w:r>
      <w:r w:rsidR="00CA5F65">
        <w:instrText xml:space="preserve"> REF _Ref49261323 \r \h </w:instrText>
      </w:r>
      <w:r w:rsidR="00CA5F65">
        <w:fldChar w:fldCharType="separate"/>
      </w:r>
      <w:r w:rsidR="00C21C6D">
        <w:t>2.42</w:t>
      </w:r>
      <w:r w:rsidR="00CA5F65">
        <w:fldChar w:fldCharType="end"/>
      </w:r>
      <w:r w:rsidR="00841415" w:rsidRPr="00841415">
        <w:t>)</w:t>
      </w:r>
      <w:r w:rsidRPr="00841415">
        <w:t>.</w:t>
      </w:r>
    </w:p>
    <w:p w14:paraId="32879F08" w14:textId="7A3CCF5A" w:rsidR="005F175E" w:rsidRPr="005F175E" w:rsidRDefault="004068C5" w:rsidP="008F1AC8">
      <w:pPr>
        <w:pStyle w:val="Paragraph"/>
        <w:numPr>
          <w:ilvl w:val="1"/>
          <w:numId w:val="82"/>
        </w:numPr>
        <w:tabs>
          <w:tab w:val="clear" w:pos="1105"/>
          <w:tab w:val="num" w:pos="680"/>
        </w:tabs>
        <w:ind w:left="0"/>
      </w:pPr>
      <w:r w:rsidRPr="00841415">
        <w:lastRenderedPageBreak/>
        <w:t xml:space="preserve">The data and spreadsheet used to calculate revised </w:t>
      </w:r>
      <w:r w:rsidRPr="0078526B">
        <w:t>CDE</w:t>
      </w:r>
      <w:r w:rsidRPr="00841415">
        <w:t xml:space="preserve"> values will be published on the Ofgem Website </w:t>
      </w:r>
      <w:r w:rsidR="001D3031">
        <w:t>(</w:t>
      </w:r>
      <w:r w:rsidRPr="00841415">
        <w:t>by 30 November in each Regulatory Year</w:t>
      </w:r>
      <w:r w:rsidR="005F175E" w:rsidRPr="005F175E">
        <w:t>, or as soon as reasonably practicable thereafter (see para</w:t>
      </w:r>
      <w:r w:rsidR="005F175E">
        <w:t xml:space="preserve"> </w:t>
      </w:r>
      <w:r w:rsidR="005F175E">
        <w:fldChar w:fldCharType="begin"/>
      </w:r>
      <w:r w:rsidR="005F175E">
        <w:instrText xml:space="preserve"> REF _Ref51932197 \r \h </w:instrText>
      </w:r>
      <w:r w:rsidR="005F175E">
        <w:fldChar w:fldCharType="separate"/>
      </w:r>
      <w:r w:rsidR="00C21C6D">
        <w:t>2.43</w:t>
      </w:r>
      <w:r w:rsidR="005F175E">
        <w:fldChar w:fldCharType="end"/>
      </w:r>
      <w:r w:rsidR="005F175E" w:rsidRPr="005F175E">
        <w:t>)).</w:t>
      </w:r>
    </w:p>
    <w:p w14:paraId="66F1A62F" w14:textId="17B7DFAC" w:rsidR="00DF26B5" w:rsidRPr="00E239CA" w:rsidRDefault="00DF26B5" w:rsidP="00945249">
      <w:pPr>
        <w:pStyle w:val="Heading3"/>
        <w:spacing w:line="360" w:lineRule="auto"/>
      </w:pPr>
      <w:bookmarkStart w:id="102" w:name="_Toc49194317"/>
      <w:bookmarkStart w:id="103" w:name="_Toc49249237"/>
      <w:bookmarkStart w:id="104" w:name="_Toc52357096"/>
      <w:r w:rsidRPr="00E239CA">
        <w:t>Non-availability</w:t>
      </w:r>
      <w:r w:rsidR="00B17079" w:rsidRPr="00E239CA">
        <w:t xml:space="preserve"> or changes to basis </w:t>
      </w:r>
      <w:r w:rsidRPr="00E239CA">
        <w:t>of data for cost of debt</w:t>
      </w:r>
      <w:bookmarkEnd w:id="102"/>
      <w:bookmarkEnd w:id="103"/>
      <w:bookmarkEnd w:id="104"/>
    </w:p>
    <w:p w14:paraId="22DCA461" w14:textId="45A25E94" w:rsidR="001C3C3B" w:rsidRDefault="001C3C3B" w:rsidP="00F02D7B">
      <w:pPr>
        <w:pStyle w:val="Paragraph"/>
        <w:tabs>
          <w:tab w:val="clear" w:pos="1105"/>
          <w:tab w:val="num" w:pos="680"/>
        </w:tabs>
        <w:ind w:left="0"/>
      </w:pPr>
      <w:bookmarkStart w:id="105" w:name="_Ref48725822"/>
      <w:bookmarkStart w:id="106" w:name="_Ref48737700"/>
      <w:r w:rsidRPr="00BE3742">
        <w:t>If, for any reason, the iBoxx</w:t>
      </w:r>
      <w:r>
        <w:t xml:space="preserve">, </w:t>
      </w:r>
      <w:r w:rsidRPr="00BE3742">
        <w:t>or OBR series identified above cease to be published, or if</w:t>
      </w:r>
      <w:r>
        <w:t xml:space="preserve"> Ofgem believes</w:t>
      </w:r>
      <w:r w:rsidRPr="00BE3742">
        <w:t xml:space="preserve"> there is a material change in their basis, Ofgem will consult on alternatives, as well as on any reconciliation that may need to be undertaken between the above series and any replacements.</w:t>
      </w:r>
      <w:r w:rsidRPr="00A03013">
        <w:t xml:space="preserve"> </w:t>
      </w:r>
      <w:r w:rsidRPr="00DF26B5">
        <w:t xml:space="preserve">If the consultation is not completed in time to determine revised Variable Values for the </w:t>
      </w:r>
      <w:r w:rsidR="00A40139">
        <w:t>cost of debt</w:t>
      </w:r>
      <w:r w:rsidRPr="00DF26B5">
        <w:t xml:space="preserve"> for any AIP, Ofgem may use an interim approach to ensure timely completion of an AIP.</w:t>
      </w:r>
      <w:r w:rsidR="00471143">
        <w:rPr>
          <w:rStyle w:val="FootnoteReference"/>
        </w:rPr>
        <w:footnoteReference w:id="17"/>
      </w:r>
      <w:r w:rsidRPr="00DF26B5">
        <w:t>  Any such interim approach for a given Regulatory Year will be revised at the subsequent AIP.</w:t>
      </w:r>
      <w:bookmarkEnd w:id="105"/>
      <w:bookmarkEnd w:id="106"/>
    </w:p>
    <w:p w14:paraId="059AED1E" w14:textId="019B1CB3" w:rsidR="001C3C3B" w:rsidRDefault="001C3C3B" w:rsidP="00F02D7B">
      <w:pPr>
        <w:pStyle w:val="Paragraph"/>
        <w:tabs>
          <w:tab w:val="clear" w:pos="1105"/>
          <w:tab w:val="num" w:pos="680"/>
        </w:tabs>
        <w:ind w:left="0"/>
      </w:pPr>
      <w:r w:rsidRPr="00BE3742">
        <w:t>I</w:t>
      </w:r>
      <w:r>
        <w:t xml:space="preserve">f, for reasons other than stated in paragraph </w:t>
      </w:r>
      <w:r>
        <w:fldChar w:fldCharType="begin"/>
      </w:r>
      <w:r>
        <w:instrText xml:space="preserve"> REF _Ref48737700 \r \h </w:instrText>
      </w:r>
      <w:r>
        <w:fldChar w:fldCharType="separate"/>
      </w:r>
      <w:r w:rsidR="00C21C6D">
        <w:t>4.15</w:t>
      </w:r>
      <w:r>
        <w:fldChar w:fldCharType="end"/>
      </w:r>
      <w:r>
        <w:t xml:space="preserve">, iBoxx data (paragraph </w:t>
      </w:r>
      <w:r>
        <w:fldChar w:fldCharType="begin"/>
      </w:r>
      <w:r>
        <w:instrText xml:space="preserve"> REF _Ref46219688 \r \h </w:instrText>
      </w:r>
      <w:r>
        <w:fldChar w:fldCharType="separate"/>
      </w:r>
      <w:r w:rsidR="00C21C6D">
        <w:t>4.7</w:t>
      </w:r>
      <w:r>
        <w:fldChar w:fldCharType="end"/>
      </w:r>
      <w:r>
        <w:t>) are</w:t>
      </w:r>
      <w:r w:rsidRPr="00BE3742">
        <w:t xml:space="preserve"> unavailable for an entire trading days period in time to determine revised Variable Values for the cost of corporate debt for any AIP then, for that A</w:t>
      </w:r>
      <w:r>
        <w:t xml:space="preserve">IP </w:t>
      </w:r>
      <w:r w:rsidRPr="00BE3742">
        <w:t>only, the trading days period concerned shall be deemed to have ended on the last trading day for w</w:t>
      </w:r>
      <w:r w:rsidR="005F175E">
        <w:t xml:space="preserve">hich data has been published. </w:t>
      </w:r>
      <w:r w:rsidR="001D3031">
        <w:t>I</w:t>
      </w:r>
      <w:r w:rsidRPr="00BE3742">
        <w:t>f the data concerned is subsequently published, revised Variable Values for the affected Regulatory Years w</w:t>
      </w:r>
      <w:r>
        <w:t>ill be determined and published.</w:t>
      </w:r>
    </w:p>
    <w:p w14:paraId="06197D4C" w14:textId="2234EDFB" w:rsidR="00BB3521" w:rsidRDefault="002B7D92" w:rsidP="00530A3A">
      <w:pPr>
        <w:pStyle w:val="Heading2"/>
        <w:spacing w:line="360" w:lineRule="auto"/>
      </w:pPr>
      <w:bookmarkStart w:id="107" w:name="_Toc49194318"/>
      <w:bookmarkStart w:id="108" w:name="_Toc49249238"/>
      <w:bookmarkStart w:id="109" w:name="_Toc52357097"/>
      <w:r>
        <w:t>Cost of equity</w:t>
      </w:r>
      <w:r w:rsidR="002D255A">
        <w:t xml:space="preserve"> </w:t>
      </w:r>
      <w:r w:rsidR="00C20790">
        <w:t>– risk-free rate</w:t>
      </w:r>
      <w:bookmarkEnd w:id="107"/>
      <w:bookmarkEnd w:id="108"/>
      <w:bookmarkEnd w:id="109"/>
    </w:p>
    <w:p w14:paraId="5A5C9C97" w14:textId="72E69922" w:rsidR="00C20790" w:rsidRPr="00654441" w:rsidRDefault="00654441" w:rsidP="00F02D7B">
      <w:pPr>
        <w:pStyle w:val="Paragraph"/>
        <w:tabs>
          <w:tab w:val="clear" w:pos="1105"/>
          <w:tab w:val="num" w:pos="680"/>
        </w:tabs>
        <w:ind w:left="0"/>
        <w:rPr>
          <w:rFonts w:cs="Verdana"/>
          <w:color w:val="000000"/>
          <w:lang w:eastAsia="en-GB"/>
        </w:rPr>
      </w:pPr>
      <w:r w:rsidRPr="004F2F52">
        <w:rPr>
          <w:rFonts w:cs="Verdana"/>
          <w:color w:val="000000"/>
          <w:lang w:eastAsia="en-GB"/>
        </w:rPr>
        <w:t xml:space="preserve">The </w:t>
      </w:r>
      <w:r w:rsidR="00F41C2F">
        <w:rPr>
          <w:rFonts w:cs="Verdana"/>
          <w:color w:val="000000"/>
          <w:lang w:eastAsia="en-GB"/>
        </w:rPr>
        <w:t>GT2</w:t>
      </w:r>
      <w:r w:rsidRPr="004F2F52">
        <w:rPr>
          <w:rFonts w:cs="Verdana"/>
          <w:color w:val="000000"/>
          <w:lang w:eastAsia="en-GB"/>
        </w:rPr>
        <w:t xml:space="preserve"> PCFM in its state as at </w:t>
      </w:r>
      <w:r w:rsidR="00582B54">
        <w:rPr>
          <w:rFonts w:cs="Verdana"/>
          <w:color w:val="000000"/>
          <w:lang w:eastAsia="en-GB"/>
        </w:rPr>
        <w:t>0</w:t>
      </w:r>
      <w:r w:rsidRPr="004F2F52">
        <w:rPr>
          <w:rFonts w:cs="Verdana"/>
          <w:color w:val="000000"/>
          <w:lang w:eastAsia="en-GB"/>
        </w:rPr>
        <w:t>1 April 20</w:t>
      </w:r>
      <w:r>
        <w:rPr>
          <w:rFonts w:cs="Verdana"/>
          <w:color w:val="000000"/>
          <w:lang w:eastAsia="en-GB"/>
        </w:rPr>
        <w:t>2</w:t>
      </w:r>
      <w:r w:rsidRPr="004F2F52">
        <w:rPr>
          <w:rFonts w:cs="Verdana"/>
          <w:color w:val="000000"/>
          <w:lang w:eastAsia="en-GB"/>
        </w:rPr>
        <w:t>1 includes</w:t>
      </w:r>
      <w:r>
        <w:rPr>
          <w:rFonts w:cs="Verdana"/>
          <w:color w:val="000000"/>
          <w:lang w:eastAsia="en-GB"/>
        </w:rPr>
        <w:t xml:space="preserve"> opening</w:t>
      </w:r>
      <w:r w:rsidRPr="004F2F52">
        <w:rPr>
          <w:rFonts w:cs="Verdana"/>
          <w:color w:val="000000"/>
          <w:lang w:eastAsia="en-GB"/>
        </w:rPr>
        <w:t xml:space="preserve"> </w:t>
      </w:r>
      <w:r w:rsidRPr="00C20790">
        <w:rPr>
          <w:rFonts w:cs="Verdana"/>
          <w:color w:val="000000"/>
          <w:lang w:eastAsia="en-GB"/>
        </w:rPr>
        <w:t>real (CPIH) risk-free rate</w:t>
      </w:r>
      <w:r>
        <w:rPr>
          <w:rFonts w:cs="Verdana"/>
          <w:color w:val="000000"/>
          <w:lang w:eastAsia="en-GB"/>
        </w:rPr>
        <w:t>s</w:t>
      </w:r>
      <w:r w:rsidRPr="00C20790">
        <w:rPr>
          <w:rFonts w:cs="Verdana"/>
          <w:color w:val="000000"/>
          <w:lang w:eastAsia="en-GB"/>
        </w:rPr>
        <w:t xml:space="preserve"> ([</w:t>
      </w:r>
      <w:r w:rsidRPr="0078526B">
        <w:rPr>
          <w:rFonts w:cs="Verdana"/>
          <w:color w:val="000000"/>
          <w:lang w:eastAsia="en-GB"/>
        </w:rPr>
        <w:t>YYY</w:t>
      </w:r>
      <w:r w:rsidRPr="00C20790">
        <w:rPr>
          <w:rFonts w:cs="Verdana"/>
          <w:color w:val="000000"/>
          <w:lang w:eastAsia="en-GB"/>
        </w:rPr>
        <w:t>])</w:t>
      </w:r>
      <w:r w:rsidRPr="004F2F52">
        <w:rPr>
          <w:rFonts w:cs="Verdana"/>
          <w:color w:val="000000"/>
          <w:lang w:eastAsia="en-GB"/>
        </w:rPr>
        <w:t xml:space="preserve"> for the licensee for every Regulatory Year of the Price Control Period.</w:t>
      </w:r>
      <w:r w:rsidR="005F175E">
        <w:rPr>
          <w:rFonts w:cs="Verdana"/>
          <w:color w:val="000000"/>
          <w:lang w:eastAsia="en-GB"/>
        </w:rPr>
        <w:t xml:space="preserve"> </w:t>
      </w:r>
      <w:r w:rsidR="00C20790" w:rsidRPr="00654441">
        <w:rPr>
          <w:rFonts w:cs="Verdana"/>
          <w:color w:val="000000"/>
          <w:lang w:eastAsia="en-GB"/>
        </w:rPr>
        <w:t>Changes in [</w:t>
      </w:r>
      <w:r w:rsidR="00C20790" w:rsidRPr="0078526B">
        <w:rPr>
          <w:rFonts w:cs="Verdana"/>
          <w:color w:val="000000"/>
          <w:lang w:eastAsia="en-GB"/>
        </w:rPr>
        <w:t>YYY</w:t>
      </w:r>
      <w:r w:rsidR="00C20790" w:rsidRPr="00654441">
        <w:rPr>
          <w:rFonts w:cs="Verdana"/>
          <w:color w:val="000000"/>
          <w:lang w:eastAsia="en-GB"/>
        </w:rPr>
        <w:t xml:space="preserve">] result in changes to </w:t>
      </w:r>
      <w:r w:rsidR="00771F58" w:rsidRPr="00654441">
        <w:rPr>
          <w:rFonts w:cs="Verdana"/>
          <w:color w:val="000000"/>
          <w:lang w:eastAsia="en-GB"/>
        </w:rPr>
        <w:t xml:space="preserve">the </w:t>
      </w:r>
      <w:r w:rsidR="00771F58" w:rsidRPr="00654441">
        <w:rPr>
          <w:rFonts w:cs="Arial"/>
          <w:szCs w:val="24"/>
          <w:lang w:eastAsia="en-GB"/>
        </w:rPr>
        <w:t>cost of equity percentage value used in determining the allowed cost of capital (determined in the PCFM).</w:t>
      </w:r>
    </w:p>
    <w:p w14:paraId="46595F58" w14:textId="32EA591D" w:rsidR="007004C6" w:rsidRPr="00F41AA7" w:rsidRDefault="00771F58" w:rsidP="00F02D7B">
      <w:pPr>
        <w:pStyle w:val="Paragraph"/>
        <w:tabs>
          <w:tab w:val="clear" w:pos="1105"/>
          <w:tab w:val="num" w:pos="680"/>
        </w:tabs>
        <w:ind w:left="0"/>
        <w:rPr>
          <w:rFonts w:cs="Verdana"/>
          <w:color w:val="000000"/>
          <w:lang w:eastAsia="en-GB"/>
        </w:rPr>
      </w:pPr>
      <w:r w:rsidRPr="00F41AA7">
        <w:rPr>
          <w:rFonts w:cs="Verdana"/>
          <w:color w:val="000000"/>
          <w:lang w:eastAsia="en-GB"/>
        </w:rPr>
        <w:t xml:space="preserve">Revised [YYY] values will be </w:t>
      </w:r>
      <w:r w:rsidR="00A40139">
        <w:rPr>
          <w:rFonts w:cs="Verdana"/>
          <w:color w:val="000000"/>
          <w:lang w:eastAsia="en-GB"/>
        </w:rPr>
        <w:t>calculated</w:t>
      </w:r>
      <w:r w:rsidRPr="00F41AA7">
        <w:rPr>
          <w:rFonts w:cs="Verdana"/>
          <w:color w:val="000000"/>
          <w:lang w:eastAsia="en-GB"/>
        </w:rPr>
        <w:t xml:space="preserve"> by Ofgem </w:t>
      </w:r>
      <w:r w:rsidR="00F41AA7" w:rsidRPr="00F41AA7">
        <w:rPr>
          <w:rFonts w:cs="Verdana"/>
          <w:color w:val="000000"/>
          <w:lang w:eastAsia="en-GB"/>
        </w:rPr>
        <w:t>in accordance with the approach set out below and published in respect of each AIP</w:t>
      </w:r>
      <w:r w:rsidR="005F175E">
        <w:rPr>
          <w:rFonts w:cs="Verdana"/>
          <w:color w:val="000000"/>
          <w:lang w:eastAsia="en-GB"/>
        </w:rPr>
        <w:t xml:space="preserve">. </w:t>
      </w:r>
      <w:r w:rsidR="00F41AA7">
        <w:rPr>
          <w:rFonts w:cs="Verdana"/>
          <w:color w:val="000000"/>
          <w:lang w:eastAsia="en-GB"/>
        </w:rPr>
        <w:t xml:space="preserve">In brief, revised [YYY] values will be </w:t>
      </w:r>
      <w:r w:rsidR="00A40139">
        <w:rPr>
          <w:rFonts w:cs="Verdana"/>
          <w:color w:val="000000"/>
          <w:lang w:eastAsia="en-GB"/>
        </w:rPr>
        <w:t>calculate</w:t>
      </w:r>
      <w:r w:rsidR="00F41AA7">
        <w:rPr>
          <w:rFonts w:cs="Verdana"/>
          <w:color w:val="000000"/>
          <w:lang w:eastAsia="en-GB"/>
        </w:rPr>
        <w:t xml:space="preserve">d </w:t>
      </w:r>
      <w:r w:rsidRPr="00F41AA7">
        <w:rPr>
          <w:rFonts w:cs="Verdana"/>
          <w:color w:val="000000"/>
          <w:lang w:eastAsia="en-GB"/>
        </w:rPr>
        <w:t xml:space="preserve">using </w:t>
      </w:r>
      <w:r w:rsidR="007004C6" w:rsidRPr="00F41AA7">
        <w:rPr>
          <w:rFonts w:cs="Verdana"/>
          <w:color w:val="000000"/>
          <w:lang w:eastAsia="en-GB"/>
        </w:rPr>
        <w:t xml:space="preserve">yields on government securities (20-year real zero coupon) and applying an adjustment for the difference between RPI and CPIH inflation expectations.  </w:t>
      </w:r>
    </w:p>
    <w:p w14:paraId="30C3528C" w14:textId="0B7E7003" w:rsidR="0033743B" w:rsidRDefault="0033743B" w:rsidP="00F02D7B">
      <w:pPr>
        <w:pStyle w:val="Paragraph"/>
        <w:tabs>
          <w:tab w:val="clear" w:pos="1105"/>
          <w:tab w:val="num" w:pos="680"/>
        </w:tabs>
        <w:ind w:left="0"/>
        <w:rPr>
          <w:rFonts w:cs="Verdana"/>
          <w:color w:val="000000"/>
          <w:lang w:eastAsia="en-GB"/>
        </w:rPr>
      </w:pPr>
      <w:r w:rsidRPr="004F2F52">
        <w:rPr>
          <w:rFonts w:cs="Verdana"/>
          <w:color w:val="000000"/>
          <w:lang w:eastAsia="en-GB"/>
        </w:rPr>
        <w:lastRenderedPageBreak/>
        <w:t xml:space="preserve">The steps </w:t>
      </w:r>
      <w:r>
        <w:rPr>
          <w:rFonts w:cs="Verdana"/>
          <w:color w:val="000000"/>
          <w:lang w:eastAsia="en-GB"/>
        </w:rPr>
        <w:t xml:space="preserve">Ofgem will </w:t>
      </w:r>
      <w:r w:rsidRPr="004F2F52">
        <w:rPr>
          <w:rFonts w:cs="Verdana"/>
          <w:color w:val="000000"/>
          <w:lang w:eastAsia="en-GB"/>
        </w:rPr>
        <w:t>follow</w:t>
      </w:r>
      <w:r>
        <w:rPr>
          <w:rFonts w:cs="Verdana"/>
          <w:color w:val="000000"/>
          <w:lang w:eastAsia="en-GB"/>
        </w:rPr>
        <w:t xml:space="preserve"> to</w:t>
      </w:r>
      <w:r w:rsidRPr="004F2F52">
        <w:rPr>
          <w:rFonts w:cs="Verdana"/>
          <w:color w:val="000000"/>
          <w:lang w:eastAsia="en-GB"/>
        </w:rPr>
        <w:t xml:space="preserve"> </w:t>
      </w:r>
      <w:r w:rsidR="00A40139">
        <w:rPr>
          <w:rFonts w:cs="Verdana"/>
          <w:color w:val="000000"/>
          <w:lang w:eastAsia="en-GB"/>
        </w:rPr>
        <w:t>calculate</w:t>
      </w:r>
      <w:r w:rsidRPr="004F2F52">
        <w:rPr>
          <w:rFonts w:cs="Verdana"/>
          <w:color w:val="000000"/>
          <w:lang w:eastAsia="en-GB"/>
        </w:rPr>
        <w:t xml:space="preserve"> </w:t>
      </w:r>
      <w:r>
        <w:rPr>
          <w:rFonts w:cs="Verdana"/>
          <w:color w:val="000000"/>
          <w:lang w:eastAsia="en-GB"/>
        </w:rPr>
        <w:t xml:space="preserve">the </w:t>
      </w:r>
      <w:r w:rsidRPr="004F2F52">
        <w:rPr>
          <w:rFonts w:cs="Verdana"/>
          <w:color w:val="000000"/>
          <w:lang w:eastAsia="en-GB"/>
        </w:rPr>
        <w:t xml:space="preserve">revised </w:t>
      </w:r>
      <w:r>
        <w:rPr>
          <w:rFonts w:cs="Verdana"/>
          <w:color w:val="000000"/>
          <w:lang w:eastAsia="en-GB"/>
        </w:rPr>
        <w:t>risk-free rate</w:t>
      </w:r>
      <w:r w:rsidR="007004C6">
        <w:rPr>
          <w:rFonts w:cs="Verdana"/>
          <w:color w:val="000000"/>
          <w:lang w:eastAsia="en-GB"/>
        </w:rPr>
        <w:t xml:space="preserve"> [</w:t>
      </w:r>
      <w:r w:rsidR="007004C6" w:rsidRPr="0078526B">
        <w:rPr>
          <w:rFonts w:cs="Verdana"/>
          <w:color w:val="000000"/>
          <w:lang w:eastAsia="en-GB"/>
        </w:rPr>
        <w:t>YYY</w:t>
      </w:r>
      <w:r w:rsidR="007004C6">
        <w:rPr>
          <w:rFonts w:cs="Verdana"/>
          <w:color w:val="000000"/>
          <w:lang w:eastAsia="en-GB"/>
        </w:rPr>
        <w:t>]</w:t>
      </w:r>
      <w:r w:rsidRPr="004F2F52">
        <w:rPr>
          <w:rFonts w:cs="Verdana"/>
          <w:color w:val="000000"/>
          <w:lang w:eastAsia="en-GB"/>
        </w:rPr>
        <w:t xml:space="preserve"> </w:t>
      </w:r>
      <w:r w:rsidR="007004C6">
        <w:rPr>
          <w:rFonts w:cs="Verdana"/>
          <w:color w:val="000000"/>
          <w:lang w:eastAsia="en-GB"/>
        </w:rPr>
        <w:t>value</w:t>
      </w:r>
      <w:r w:rsidR="00A67DCE">
        <w:rPr>
          <w:rFonts w:cs="Verdana"/>
          <w:color w:val="000000"/>
          <w:lang w:eastAsia="en-GB"/>
        </w:rPr>
        <w:t xml:space="preserve"> for Regulatory Year t</w:t>
      </w:r>
      <w:r w:rsidR="007004C6">
        <w:rPr>
          <w:rFonts w:cs="Verdana"/>
          <w:color w:val="000000"/>
          <w:lang w:eastAsia="en-GB"/>
        </w:rPr>
        <w:t xml:space="preserve"> </w:t>
      </w:r>
      <w:r w:rsidRPr="004F2F52">
        <w:rPr>
          <w:rFonts w:cs="Verdana"/>
          <w:color w:val="000000"/>
          <w:lang w:eastAsia="en-GB"/>
        </w:rPr>
        <w:t>are:</w:t>
      </w:r>
    </w:p>
    <w:p w14:paraId="3762B292" w14:textId="77777777" w:rsidR="005E0A2B" w:rsidRPr="00E33B8F" w:rsidRDefault="005E0A2B" w:rsidP="005E0A2B">
      <w:pPr>
        <w:pStyle w:val="Paragrapgh"/>
        <w:spacing w:after="120"/>
        <w:rPr>
          <w:i/>
          <w:u w:val="single"/>
        </w:rPr>
      </w:pPr>
      <w:r w:rsidRPr="00E33B8F">
        <w:rPr>
          <w:i/>
          <w:u w:val="single"/>
        </w:rPr>
        <w:t xml:space="preserve">Step </w:t>
      </w:r>
      <w:r>
        <w:rPr>
          <w:i/>
          <w:u w:val="single"/>
        </w:rPr>
        <w:t>1</w:t>
      </w:r>
      <w:r w:rsidRPr="00E33B8F">
        <w:rPr>
          <w:i/>
          <w:u w:val="single"/>
        </w:rPr>
        <w:t xml:space="preserve"> – </w:t>
      </w:r>
      <w:r>
        <w:rPr>
          <w:i/>
          <w:u w:val="single"/>
        </w:rPr>
        <w:t>obtain</w:t>
      </w:r>
      <w:r w:rsidRPr="00E33B8F">
        <w:rPr>
          <w:i/>
          <w:u w:val="single"/>
        </w:rPr>
        <w:t xml:space="preserve"> </w:t>
      </w:r>
      <w:r>
        <w:rPr>
          <w:i/>
          <w:u w:val="single"/>
        </w:rPr>
        <w:t>real government bond yields</w:t>
      </w:r>
    </w:p>
    <w:p w14:paraId="6069640D" w14:textId="79C6D700" w:rsidR="005E0A2B" w:rsidRDefault="005E0A2B" w:rsidP="00F02D7B">
      <w:pPr>
        <w:pStyle w:val="Paragraph"/>
        <w:tabs>
          <w:tab w:val="clear" w:pos="1105"/>
          <w:tab w:val="num" w:pos="680"/>
        </w:tabs>
        <w:ind w:left="0"/>
      </w:pPr>
      <w:bookmarkStart w:id="110" w:name="_Ref46220627"/>
      <w:r w:rsidRPr="00E33B8F">
        <w:t xml:space="preserve">For each </w:t>
      </w:r>
      <w:r>
        <w:t xml:space="preserve">business </w:t>
      </w:r>
      <w:r w:rsidRPr="00E33B8F">
        <w:t xml:space="preserve">day </w:t>
      </w:r>
      <w:r>
        <w:t xml:space="preserve">from </w:t>
      </w:r>
      <w:r w:rsidR="00582B54">
        <w:t>0</w:t>
      </w:r>
      <w:r>
        <w:t>1 October to 31 October for Regulatory Year t-1, obtain the yield for British government securities, 20-year real zero coupon (series reference IUDLRZC) from the statistics page of the Bank of England’s website.</w:t>
      </w:r>
      <w:r>
        <w:rPr>
          <w:rStyle w:val="FootnoteReference"/>
        </w:rPr>
        <w:footnoteReference w:id="18"/>
      </w:r>
      <w:bookmarkEnd w:id="110"/>
    </w:p>
    <w:p w14:paraId="46303ED5" w14:textId="77777777" w:rsidR="005E0A2B" w:rsidRPr="00917C92" w:rsidRDefault="005E0A2B" w:rsidP="005E0A2B">
      <w:pPr>
        <w:rPr>
          <w:i/>
          <w:u w:val="single"/>
        </w:rPr>
      </w:pPr>
      <w:r>
        <w:rPr>
          <w:i/>
          <w:u w:val="single"/>
        </w:rPr>
        <w:t>Step 2</w:t>
      </w:r>
      <w:r w:rsidRPr="00917C92">
        <w:rPr>
          <w:i/>
          <w:u w:val="single"/>
        </w:rPr>
        <w:t xml:space="preserve"> – </w:t>
      </w:r>
      <w:r>
        <w:rPr>
          <w:i/>
          <w:u w:val="single"/>
        </w:rPr>
        <w:t>obtain RPI and CPI</w:t>
      </w:r>
      <w:r w:rsidRPr="00917C92">
        <w:rPr>
          <w:i/>
          <w:u w:val="single"/>
        </w:rPr>
        <w:t xml:space="preserve"> inflation forecast</w:t>
      </w:r>
      <w:r>
        <w:rPr>
          <w:i/>
          <w:u w:val="single"/>
        </w:rPr>
        <w:t>s</w:t>
      </w:r>
    </w:p>
    <w:p w14:paraId="43E751BD" w14:textId="4575BCBC" w:rsidR="005E0A2B" w:rsidRDefault="005E0A2B" w:rsidP="00F02D7B">
      <w:pPr>
        <w:pStyle w:val="Paragraph"/>
        <w:tabs>
          <w:tab w:val="clear" w:pos="1105"/>
          <w:tab w:val="num" w:pos="680"/>
        </w:tabs>
        <w:ind w:left="0"/>
      </w:pPr>
      <w:r w:rsidRPr="00E33B8F">
        <w:t xml:space="preserve">For each </w:t>
      </w:r>
      <w:r>
        <w:t xml:space="preserve">business </w:t>
      </w:r>
      <w:r w:rsidRPr="00E33B8F">
        <w:t xml:space="preserve">day </w:t>
      </w:r>
      <w:r>
        <w:t xml:space="preserve">from </w:t>
      </w:r>
      <w:r w:rsidR="00E24E85">
        <w:t>0</w:t>
      </w:r>
      <w:r>
        <w:t xml:space="preserve">1 October to 31 October for Regulatory Year t-1, </w:t>
      </w:r>
      <w:r w:rsidRPr="00917C92">
        <w:t xml:space="preserve">obtain inflation </w:t>
      </w:r>
      <w:r>
        <w:t>forecasts of CPI and RPI</w:t>
      </w:r>
      <w:r w:rsidRPr="00917C92">
        <w:t>.</w:t>
      </w:r>
      <w:r>
        <w:t xml:space="preserve">  For any given business day in this period, the inflation forecasts are the latest </w:t>
      </w:r>
      <w:r w:rsidR="00717C96">
        <w:t>OBR 5</w:t>
      </w:r>
      <w:r>
        <w:t>yr forecast of CPI and 5yr forecast of RPI available on that given day</w:t>
      </w:r>
      <w:r w:rsidR="00717C96">
        <w:t>, subject to the assumption that the OBR forecast is available from the first day of the month following the month of publication</w:t>
      </w:r>
      <w:r>
        <w:t xml:space="preserve">.  For example, the inflation values for </w:t>
      </w:r>
      <w:r w:rsidR="00582B54">
        <w:t>0</w:t>
      </w:r>
      <w:r>
        <w:t xml:space="preserve">1 </w:t>
      </w:r>
      <w:r w:rsidR="00717C96">
        <w:t>November</w:t>
      </w:r>
      <w:r>
        <w:t xml:space="preserve"> 2018, are the OBR 5yr forecasts of CPI and RPI (to 2023) published in October 2018</w:t>
      </w:r>
      <w:r w:rsidR="00717C96">
        <w:t xml:space="preserve"> and the inflation values for 31 October 2018 are the OBR 5yr forecasts of CPI and RPI (to 2022) published in March 2018</w:t>
      </w:r>
      <w:r>
        <w:t xml:space="preserve">.  </w:t>
      </w:r>
    </w:p>
    <w:p w14:paraId="1C3789C4" w14:textId="77777777" w:rsidR="005E0A2B" w:rsidRDefault="005E0A2B" w:rsidP="00F02D7B">
      <w:pPr>
        <w:pStyle w:val="Paragraph"/>
        <w:tabs>
          <w:tab w:val="clear" w:pos="1105"/>
          <w:tab w:val="num" w:pos="680"/>
        </w:tabs>
        <w:ind w:left="0"/>
      </w:pPr>
      <w:r>
        <w:t>Ofgem will source the inflation values from the data page of the OBR website.</w:t>
      </w:r>
      <w:r>
        <w:rPr>
          <w:rStyle w:val="FootnoteReference"/>
        </w:rPr>
        <w:footnoteReference w:id="19"/>
      </w:r>
      <w:r>
        <w:t xml:space="preserve"> </w:t>
      </w:r>
    </w:p>
    <w:p w14:paraId="19ACF055" w14:textId="77777777" w:rsidR="005E0A2B" w:rsidRDefault="005E0A2B" w:rsidP="005E0A2B">
      <w:pPr>
        <w:pStyle w:val="Paragrapgh"/>
        <w:spacing w:after="120"/>
        <w:rPr>
          <w:i/>
          <w:u w:val="single"/>
        </w:rPr>
      </w:pPr>
      <w:r>
        <w:rPr>
          <w:i/>
          <w:u w:val="single"/>
        </w:rPr>
        <w:t>Step 3</w:t>
      </w:r>
      <w:r w:rsidRPr="00917C92">
        <w:rPr>
          <w:i/>
          <w:u w:val="single"/>
        </w:rPr>
        <w:t xml:space="preserve"> – </w:t>
      </w:r>
      <w:r>
        <w:rPr>
          <w:i/>
          <w:u w:val="single"/>
        </w:rPr>
        <w:t>derive an RPI-CPIH inflation wedge</w:t>
      </w:r>
    </w:p>
    <w:p w14:paraId="1A8CB556" w14:textId="77777777" w:rsidR="005E0A2B" w:rsidRPr="00FE7164" w:rsidRDefault="005E0A2B" w:rsidP="00F02D7B">
      <w:pPr>
        <w:pStyle w:val="Paragraph"/>
        <w:tabs>
          <w:tab w:val="clear" w:pos="1105"/>
          <w:tab w:val="num" w:pos="680"/>
        </w:tabs>
        <w:ind w:left="0"/>
        <w:rPr>
          <w:i/>
          <w:u w:val="single"/>
        </w:rPr>
      </w:pPr>
      <w:r w:rsidRPr="00E33B8F">
        <w:t xml:space="preserve">For each </w:t>
      </w:r>
      <w:r>
        <w:t xml:space="preserve">business </w:t>
      </w:r>
      <w:r w:rsidRPr="00E33B8F">
        <w:t xml:space="preserve">day </w:t>
      </w:r>
      <w:r>
        <w:t>from 1 October to 31 October for Regulatory Year t-1, calculate an RPI-CPIH wedge using inflation values from step 2 and applying the following formula:</w:t>
      </w:r>
    </w:p>
    <w:p w14:paraId="23157085" w14:textId="77777777" w:rsidR="005E0A2B" w:rsidRPr="003C4284" w:rsidRDefault="005E0A2B" w:rsidP="005E0A2B">
      <w:pPr>
        <w:pStyle w:val="Paragraph"/>
        <w:numPr>
          <w:ilvl w:val="0"/>
          <w:numId w:val="0"/>
        </w:numPr>
        <w:rPr>
          <w:i/>
        </w:rPr>
      </w:pPr>
      <m:oMathPara>
        <m:oMath>
          <m:r>
            <w:rPr>
              <w:rFonts w:ascii="Cambria Math" w:hAnsi="Cambria Math"/>
            </w:rPr>
            <m:t xml:space="preserve">Wedge= </m:t>
          </m:r>
          <m:f>
            <m:fPr>
              <m:ctrlPr>
                <w:rPr>
                  <w:rFonts w:ascii="Cambria Math" w:hAnsi="Cambria Math"/>
                  <w:i/>
                </w:rPr>
              </m:ctrlPr>
            </m:fPr>
            <m:num>
              <m:r>
                <w:rPr>
                  <w:rFonts w:ascii="Cambria Math" w:hAnsi="Cambria Math"/>
                </w:rPr>
                <m:t>1+RPI 5 year forecast</m:t>
              </m:r>
            </m:num>
            <m:den>
              <m:r>
                <w:rPr>
                  <w:rFonts w:ascii="Cambria Math" w:hAnsi="Cambria Math"/>
                </w:rPr>
                <m:t>1+CPI 5 year forecast</m:t>
              </m:r>
            </m:den>
          </m:f>
          <m:r>
            <w:rPr>
              <w:rFonts w:ascii="Cambria Math" w:hAnsi="Cambria Math"/>
            </w:rPr>
            <m:t>-1</m:t>
          </m:r>
        </m:oMath>
      </m:oMathPara>
    </w:p>
    <w:p w14:paraId="088A74B6" w14:textId="27803AFF" w:rsidR="005E0A2B" w:rsidRPr="001858D7" w:rsidRDefault="005E0A2B" w:rsidP="00A23E59">
      <w:pPr>
        <w:pStyle w:val="Paragrapgh"/>
        <w:keepNext/>
        <w:spacing w:after="120"/>
        <w:rPr>
          <w:i/>
          <w:u w:val="single"/>
        </w:rPr>
      </w:pPr>
      <w:r w:rsidRPr="001858D7">
        <w:rPr>
          <w:i/>
          <w:u w:val="single"/>
        </w:rPr>
        <w:lastRenderedPageBreak/>
        <w:t>Step 4 – calculate real</w:t>
      </w:r>
      <w:r w:rsidR="00582B54">
        <w:rPr>
          <w:i/>
          <w:u w:val="single"/>
        </w:rPr>
        <w:t xml:space="preserve"> risk-</w:t>
      </w:r>
      <w:r>
        <w:rPr>
          <w:i/>
          <w:u w:val="single"/>
        </w:rPr>
        <w:t>free rate</w:t>
      </w:r>
      <w:r w:rsidRPr="001858D7">
        <w:rPr>
          <w:i/>
          <w:u w:val="single"/>
        </w:rPr>
        <w:t xml:space="preserve"> </w:t>
      </w:r>
      <w:r>
        <w:rPr>
          <w:i/>
          <w:u w:val="single"/>
        </w:rPr>
        <w:t xml:space="preserve">for </w:t>
      </w:r>
      <w:r w:rsidRPr="001858D7">
        <w:rPr>
          <w:i/>
          <w:u w:val="single"/>
        </w:rPr>
        <w:t xml:space="preserve">each </w:t>
      </w:r>
      <w:r>
        <w:rPr>
          <w:i/>
          <w:u w:val="single"/>
        </w:rPr>
        <w:t xml:space="preserve">business </w:t>
      </w:r>
      <w:r w:rsidRPr="001858D7">
        <w:rPr>
          <w:i/>
          <w:u w:val="single"/>
        </w:rPr>
        <w:t>day</w:t>
      </w:r>
    </w:p>
    <w:p w14:paraId="42AC2E27" w14:textId="1AE00BF9" w:rsidR="005E0A2B" w:rsidRDefault="002223BE" w:rsidP="00F02D7B">
      <w:pPr>
        <w:pStyle w:val="Paragraph"/>
        <w:tabs>
          <w:tab w:val="clear" w:pos="1105"/>
          <w:tab w:val="num" w:pos="680"/>
        </w:tabs>
        <w:ind w:left="0"/>
      </w:pPr>
      <w:r>
        <w:t>T</w:t>
      </w:r>
      <w:r w:rsidR="005E0A2B" w:rsidRPr="001858D7">
        <w:t xml:space="preserve">his step converts the </w:t>
      </w:r>
      <w:r w:rsidR="005E0A2B">
        <w:t xml:space="preserve">real (RPI) 20 year gilt </w:t>
      </w:r>
      <w:r w:rsidR="005E0A2B" w:rsidRPr="001858D7">
        <w:t xml:space="preserve">yields </w:t>
      </w:r>
      <w:r w:rsidR="005C5163">
        <w:t>f</w:t>
      </w:r>
      <w:r w:rsidR="005C5163" w:rsidRPr="001858D7">
        <w:t xml:space="preserve">or each </w:t>
      </w:r>
      <w:r w:rsidR="005C5163">
        <w:t xml:space="preserve">business </w:t>
      </w:r>
      <w:r w:rsidR="005C5163" w:rsidRPr="001858D7">
        <w:t>day</w:t>
      </w:r>
      <w:r w:rsidR="005C5163">
        <w:t>,</w:t>
      </w:r>
      <w:r w:rsidR="005C5163" w:rsidRPr="001858D7">
        <w:t xml:space="preserve"> </w:t>
      </w:r>
      <w:r w:rsidR="005C5163">
        <w:t xml:space="preserve">from 1 October to 31 October, for Regulatory Year t-1 </w:t>
      </w:r>
      <w:r w:rsidR="005E0A2B">
        <w:t xml:space="preserve">collected in Step 1 to a real (CPIH) risk-free rate by using the RPI-CPIH wedge calculated in Step 3 according to the following formula:  </w:t>
      </w:r>
    </w:p>
    <w:p w14:paraId="6273654F" w14:textId="77777777" w:rsidR="005E0A2B" w:rsidRPr="002F2E44" w:rsidRDefault="005E0A2B" w:rsidP="005E0A2B">
      <w:pPr>
        <w:pStyle w:val="Paragraph"/>
        <w:numPr>
          <w:ilvl w:val="0"/>
          <w:numId w:val="0"/>
        </w:numPr>
      </w:pPr>
      <m:oMathPara>
        <m:oMath>
          <m:r>
            <w:rPr>
              <w:rFonts w:ascii="Cambria Math" w:hAnsi="Cambria Math"/>
            </w:rPr>
            <m:t xml:space="preserve">Real </m:t>
          </m:r>
          <m:d>
            <m:dPr>
              <m:ctrlPr>
                <w:rPr>
                  <w:rFonts w:ascii="Cambria Math" w:hAnsi="Cambria Math"/>
                  <w:i/>
                </w:rPr>
              </m:ctrlPr>
            </m:dPr>
            <m:e>
              <m:r>
                <w:rPr>
                  <w:rFonts w:ascii="Cambria Math" w:hAnsi="Cambria Math"/>
                </w:rPr>
                <m:t>CPIH</m:t>
              </m:r>
            </m:e>
          </m:d>
          <m:r>
            <w:rPr>
              <w:rFonts w:ascii="Cambria Math" w:hAnsi="Cambria Math"/>
            </w:rPr>
            <m:t xml:space="preserve"> risk free rate=</m:t>
          </m:r>
          <m:d>
            <m:dPr>
              <m:ctrlPr>
                <w:rPr>
                  <w:rFonts w:ascii="Cambria Math" w:hAnsi="Cambria Math"/>
                  <w:i/>
                </w:rPr>
              </m:ctrlPr>
            </m:dPr>
            <m:e>
              <m:r>
                <w:rPr>
                  <w:rFonts w:ascii="Cambria Math" w:hAnsi="Cambria Math"/>
                </w:rPr>
                <m:t>real 20yr gilt yields+1</m:t>
              </m:r>
            </m:e>
          </m:d>
          <m:r>
            <w:rPr>
              <w:rFonts w:ascii="Cambria Math" w:hAnsi="Cambria Math"/>
            </w:rPr>
            <m:t>*</m:t>
          </m:r>
          <m:d>
            <m:dPr>
              <m:ctrlPr>
                <w:rPr>
                  <w:rFonts w:ascii="Cambria Math" w:hAnsi="Cambria Math"/>
                  <w:i/>
                </w:rPr>
              </m:ctrlPr>
            </m:dPr>
            <m:e>
              <m:r>
                <w:rPr>
                  <w:rFonts w:ascii="Cambria Math" w:hAnsi="Cambria Math"/>
                </w:rPr>
                <m:t>1+wedge</m:t>
              </m:r>
            </m:e>
          </m:d>
          <m:r>
            <w:rPr>
              <w:rFonts w:ascii="Cambria Math" w:hAnsi="Cambria Math"/>
            </w:rPr>
            <m:t>-1</m:t>
          </m:r>
        </m:oMath>
      </m:oMathPara>
    </w:p>
    <w:p w14:paraId="00026B0F" w14:textId="4CDB0DA7" w:rsidR="005E0A2B" w:rsidRPr="001858D7" w:rsidRDefault="005E0A2B" w:rsidP="005E0A2B">
      <w:pPr>
        <w:pStyle w:val="Paragrapgh"/>
        <w:spacing w:after="120"/>
        <w:rPr>
          <w:i/>
          <w:u w:val="single"/>
        </w:rPr>
      </w:pPr>
      <w:r w:rsidRPr="001858D7">
        <w:rPr>
          <w:i/>
          <w:u w:val="single"/>
        </w:rPr>
        <w:t xml:space="preserve">Step 5 – calculate average </w:t>
      </w:r>
      <w:r w:rsidR="00582B54">
        <w:rPr>
          <w:i/>
          <w:u w:val="single"/>
        </w:rPr>
        <w:t>real (CPIH) risk-</w:t>
      </w:r>
      <w:r>
        <w:rPr>
          <w:i/>
          <w:u w:val="single"/>
        </w:rPr>
        <w:t>free rate</w:t>
      </w:r>
    </w:p>
    <w:p w14:paraId="7A33086F" w14:textId="5655D938" w:rsidR="003145D1" w:rsidRDefault="005E0A2B" w:rsidP="00F02D7B">
      <w:pPr>
        <w:pStyle w:val="Paragraph"/>
        <w:tabs>
          <w:tab w:val="clear" w:pos="1105"/>
          <w:tab w:val="num" w:pos="680"/>
        </w:tabs>
        <w:ind w:left="0"/>
      </w:pPr>
      <w:bookmarkStart w:id="111" w:name="_Ref46221311"/>
      <w:r w:rsidRPr="001858D7">
        <w:t xml:space="preserve">Calculate the arithmetic average value of </w:t>
      </w:r>
      <w:r>
        <w:t xml:space="preserve">the real (CPIH) risk-free rates from Step 4 across the business days in the period </w:t>
      </w:r>
      <w:r w:rsidR="00582B54">
        <w:t>0</w:t>
      </w:r>
      <w:r>
        <w:t>1 October to 31 October in Regulatory Year t-1.</w:t>
      </w:r>
      <w:bookmarkEnd w:id="111"/>
    </w:p>
    <w:p w14:paraId="389D4A02" w14:textId="4CB7CF7B" w:rsidR="00213024" w:rsidRDefault="00213024" w:rsidP="00F02D7B">
      <w:pPr>
        <w:pStyle w:val="Paragraph"/>
        <w:tabs>
          <w:tab w:val="clear" w:pos="1105"/>
          <w:tab w:val="num" w:pos="680"/>
        </w:tabs>
        <w:ind w:left="0"/>
      </w:pPr>
      <w:r w:rsidRPr="001858D7">
        <w:t xml:space="preserve">This average, expressed as a percentage and stated to </w:t>
      </w:r>
      <w:r>
        <w:t>three</w:t>
      </w:r>
      <w:r w:rsidRPr="001858D7">
        <w:t xml:space="preserve"> decimal places</w:t>
      </w:r>
      <w:r>
        <w:t>,</w:t>
      </w:r>
      <w:r w:rsidRPr="001858D7">
        <w:t xml:space="preserve"> constitutes the revised Variable Value for the </w:t>
      </w:r>
      <w:r>
        <w:t>real risk</w:t>
      </w:r>
      <w:r w:rsidR="00582B54">
        <w:t>-</w:t>
      </w:r>
      <w:r>
        <w:t>free rate</w:t>
      </w:r>
      <w:r w:rsidRPr="001858D7">
        <w:t xml:space="preserve"> (</w:t>
      </w:r>
      <w:r>
        <w:t>[</w:t>
      </w:r>
      <w:r w:rsidRPr="0078526B">
        <w:t>YYY</w:t>
      </w:r>
      <w:r>
        <w:t>]</w:t>
      </w:r>
      <w:r w:rsidR="00912749">
        <w:t xml:space="preserve"> value) for Regulatory Y</w:t>
      </w:r>
      <w:r w:rsidRPr="001858D7">
        <w:t>ear t.</w:t>
      </w:r>
    </w:p>
    <w:p w14:paraId="052D025A" w14:textId="01B22695" w:rsidR="00213024" w:rsidRPr="00841415" w:rsidRDefault="00213024" w:rsidP="00F02D7B">
      <w:pPr>
        <w:pStyle w:val="Paragraph"/>
        <w:tabs>
          <w:tab w:val="clear" w:pos="1105"/>
          <w:tab w:val="num" w:pos="680"/>
        </w:tabs>
        <w:ind w:left="0"/>
      </w:pPr>
      <w:r w:rsidRPr="00841415">
        <w:t xml:space="preserve">Ofgem will provide the licensee with a copy of the spreadsheet used to calculate revised </w:t>
      </w:r>
      <w:r>
        <w:t>[</w:t>
      </w:r>
      <w:r w:rsidRPr="0078526B">
        <w:t>YYY</w:t>
      </w:r>
      <w:r>
        <w:t>]</w:t>
      </w:r>
      <w:r w:rsidRPr="00841415">
        <w:t xml:space="preserve"> values at the same time as giving the notice (paragraph </w:t>
      </w:r>
      <w:r w:rsidR="00CA5F65">
        <w:fldChar w:fldCharType="begin"/>
      </w:r>
      <w:r w:rsidR="00CA5F65">
        <w:instrText xml:space="preserve"> REF _Ref49261323 \r \h </w:instrText>
      </w:r>
      <w:r w:rsidR="00CA5F65">
        <w:fldChar w:fldCharType="separate"/>
      </w:r>
      <w:r w:rsidR="00C21C6D">
        <w:t>2.42</w:t>
      </w:r>
      <w:r w:rsidR="00CA5F65">
        <w:fldChar w:fldCharType="end"/>
      </w:r>
      <w:r w:rsidRPr="00841415">
        <w:t>).</w:t>
      </w:r>
    </w:p>
    <w:p w14:paraId="519BECF2" w14:textId="5EEC6BF2" w:rsidR="00213024" w:rsidRDefault="00213024" w:rsidP="008F1AC8">
      <w:pPr>
        <w:pStyle w:val="Paragraph"/>
        <w:numPr>
          <w:ilvl w:val="1"/>
          <w:numId w:val="82"/>
        </w:numPr>
        <w:tabs>
          <w:tab w:val="clear" w:pos="1105"/>
          <w:tab w:val="num" w:pos="680"/>
        </w:tabs>
        <w:ind w:left="0"/>
      </w:pPr>
      <w:r w:rsidRPr="00841415">
        <w:t xml:space="preserve">The data and spreadsheet used to calculate revised </w:t>
      </w:r>
      <w:r>
        <w:t>[</w:t>
      </w:r>
      <w:r w:rsidRPr="0078526B">
        <w:t>YYY</w:t>
      </w:r>
      <w:r>
        <w:t>]</w:t>
      </w:r>
      <w:r w:rsidRPr="00841415">
        <w:t xml:space="preserve"> values will be published on the Ofgem Website </w:t>
      </w:r>
      <w:r w:rsidR="001D3031">
        <w:t>(</w:t>
      </w:r>
      <w:r w:rsidRPr="00841415">
        <w:t>by 30 November in each Regulatory Year</w:t>
      </w:r>
      <w:r w:rsidR="005F175E" w:rsidRPr="005F175E">
        <w:t xml:space="preserve">, or as soon as reasonably practicable thereafter (see para </w:t>
      </w:r>
      <w:r w:rsidR="001D3031">
        <w:fldChar w:fldCharType="begin"/>
      </w:r>
      <w:r w:rsidR="001D3031">
        <w:instrText xml:space="preserve"> REF _Ref51932197 \r \h </w:instrText>
      </w:r>
      <w:r w:rsidR="001D3031">
        <w:fldChar w:fldCharType="separate"/>
      </w:r>
      <w:r w:rsidR="00C21C6D">
        <w:t>2.43</w:t>
      </w:r>
      <w:r w:rsidR="001D3031">
        <w:fldChar w:fldCharType="end"/>
      </w:r>
      <w:r w:rsidR="005F175E" w:rsidRPr="005F175E">
        <w:t>)).</w:t>
      </w:r>
    </w:p>
    <w:p w14:paraId="7555E535" w14:textId="59A7FBB2" w:rsidR="00DF26B5" w:rsidRPr="00E239CA" w:rsidRDefault="00DF26B5" w:rsidP="00E239CA">
      <w:pPr>
        <w:pStyle w:val="Heading3"/>
        <w:spacing w:line="360" w:lineRule="auto"/>
      </w:pPr>
      <w:bookmarkStart w:id="112" w:name="_Toc49194319"/>
      <w:bookmarkStart w:id="113" w:name="_Toc49249239"/>
      <w:bookmarkStart w:id="114" w:name="_Toc52357098"/>
      <w:r w:rsidRPr="00E239CA">
        <w:t xml:space="preserve">Non-availability </w:t>
      </w:r>
      <w:r w:rsidR="00B17079" w:rsidRPr="00E239CA">
        <w:t xml:space="preserve">or changes to basis </w:t>
      </w:r>
      <w:r w:rsidRPr="00E239CA">
        <w:t>of data for cost of equity – risk-free rate</w:t>
      </w:r>
      <w:bookmarkEnd w:id="112"/>
      <w:bookmarkEnd w:id="113"/>
      <w:bookmarkEnd w:id="114"/>
    </w:p>
    <w:p w14:paraId="4E40DEC3" w14:textId="02BCF0F3" w:rsidR="00471143" w:rsidRPr="00A23E59" w:rsidRDefault="00DF26B5" w:rsidP="00A23E59">
      <w:pPr>
        <w:pStyle w:val="Paragraph"/>
        <w:tabs>
          <w:tab w:val="clear" w:pos="1105"/>
          <w:tab w:val="num" w:pos="680"/>
        </w:tabs>
        <w:ind w:left="0"/>
      </w:pPr>
      <w:r>
        <w:t>If, for any reason, the Bank of England,</w:t>
      </w:r>
      <w:r w:rsidRPr="00BE3742">
        <w:t xml:space="preserve"> or OBR series identified above cease to be published, or if</w:t>
      </w:r>
      <w:r>
        <w:t xml:space="preserve"> Ofgem believes</w:t>
      </w:r>
      <w:r w:rsidRPr="00BE3742">
        <w:t xml:space="preserve"> there is a material change in their basis, Ofgem will consult on alternatives, as well as on any reconciliation that may need to be undertaken between the above series and any replacements.</w:t>
      </w:r>
      <w:r>
        <w:t xml:space="preserve"> </w:t>
      </w:r>
      <w:r w:rsidRPr="00DF26B5">
        <w:t>If the consultation is not completed in time to determine revised Variable Values for the risk-free rate for any AIP, Ofgem may use an interim approach to ensure timely completion of an AIP.</w:t>
      </w:r>
      <w:r w:rsidR="00471143">
        <w:rPr>
          <w:rStyle w:val="FootnoteReference"/>
        </w:rPr>
        <w:footnoteReference w:id="20"/>
      </w:r>
      <w:r w:rsidRPr="00DF26B5">
        <w:t>  Any such interim approach for a given Regulatory Year will be revised at the subsequent AIP.</w:t>
      </w:r>
      <w:r w:rsidR="00471143">
        <w:br w:type="page"/>
      </w:r>
    </w:p>
    <w:p w14:paraId="653C0314" w14:textId="77777777" w:rsidR="00471143" w:rsidRDefault="00471143" w:rsidP="00471143">
      <w:pPr>
        <w:pStyle w:val="Sectiontitle"/>
      </w:pPr>
      <w:bookmarkStart w:id="115" w:name="_Ref44427677"/>
      <w:bookmarkStart w:id="116" w:name="_Toc49194343"/>
      <w:bookmarkStart w:id="117" w:name="_Toc49249263"/>
      <w:bookmarkStart w:id="118" w:name="_Toc52357099"/>
      <w:r>
        <w:lastRenderedPageBreak/>
        <w:t>Uncertainty Mechanisms</w:t>
      </w:r>
      <w:bookmarkEnd w:id="115"/>
      <w:bookmarkEnd w:id="116"/>
      <w:bookmarkEnd w:id="117"/>
      <w:bookmarkEnd w:id="118"/>
    </w:p>
    <w:p w14:paraId="41A62605" w14:textId="3E36E40C" w:rsidR="00471143" w:rsidRDefault="00471143" w:rsidP="00471143">
      <w:pPr>
        <w:pStyle w:val="Heading2"/>
        <w:spacing w:line="360" w:lineRule="auto"/>
      </w:pPr>
      <w:bookmarkStart w:id="119" w:name="_Toc49194345"/>
      <w:bookmarkStart w:id="120" w:name="_Toc49249265"/>
      <w:bookmarkStart w:id="121" w:name="_Toc52357100"/>
      <w:r>
        <w:t>Real Price Effects</w:t>
      </w:r>
      <w:bookmarkEnd w:id="119"/>
      <w:bookmarkEnd w:id="120"/>
      <w:r w:rsidR="00B12F05">
        <w:t>.</w:t>
      </w:r>
      <w:bookmarkEnd w:id="121"/>
      <w:r w:rsidR="00B12F05">
        <w:t xml:space="preserve"> </w:t>
      </w:r>
    </w:p>
    <w:p w14:paraId="1E0D6EC7" w14:textId="08E8308D" w:rsidR="00471143" w:rsidRDefault="00471143" w:rsidP="00471143">
      <w:pPr>
        <w:pStyle w:val="Paragraph"/>
        <w:tabs>
          <w:tab w:val="clear" w:pos="1105"/>
          <w:tab w:val="num" w:pos="680"/>
        </w:tabs>
        <w:ind w:left="0"/>
      </w:pPr>
      <w:r>
        <w:t>[To be done</w:t>
      </w:r>
      <w:r w:rsidR="00B12F05">
        <w:t xml:space="preserve">… </w:t>
      </w:r>
      <w:r>
        <w:t>]</w:t>
      </w:r>
    </w:p>
    <w:p w14:paraId="045F7D6C" w14:textId="03FA119D" w:rsidR="00471143" w:rsidRDefault="00471143" w:rsidP="00471143">
      <w:pPr>
        <w:pStyle w:val="Heading2"/>
        <w:spacing w:line="360" w:lineRule="auto"/>
      </w:pPr>
      <w:bookmarkStart w:id="122" w:name="_Toc49194346"/>
      <w:bookmarkStart w:id="123" w:name="_Toc49249266"/>
      <w:bookmarkStart w:id="124" w:name="_Toc52357101"/>
      <w:r w:rsidRPr="00AD28FF">
        <w:t xml:space="preserve">Uncertain Event affecting Special Condition </w:t>
      </w:r>
      <w:r w:rsidR="008B6496">
        <w:t>4.3</w:t>
      </w:r>
      <w:r w:rsidRPr="00AD28FF">
        <w:t xml:space="preserve"> and Special Condition </w:t>
      </w:r>
      <w:r w:rsidR="008B6496">
        <w:t>4.4</w:t>
      </w:r>
      <w:bookmarkStart w:id="125" w:name="_Ref49190149"/>
      <w:bookmarkEnd w:id="122"/>
      <w:bookmarkEnd w:id="123"/>
      <w:bookmarkEnd w:id="124"/>
    </w:p>
    <w:p w14:paraId="5E5B4364" w14:textId="56B9AC9E" w:rsidR="00471143" w:rsidRDefault="00471143" w:rsidP="00471143">
      <w:pPr>
        <w:pStyle w:val="Paragraph"/>
        <w:tabs>
          <w:tab w:val="clear" w:pos="1105"/>
          <w:tab w:val="num" w:pos="680"/>
        </w:tabs>
        <w:ind w:left="0"/>
      </w:pPr>
      <w:r>
        <w:t>The PCFM contains Variable Values:</w:t>
      </w:r>
    </w:p>
    <w:p w14:paraId="6E354524" w14:textId="13F28111" w:rsidR="00471143" w:rsidRPr="00382AA5" w:rsidRDefault="003C2816" w:rsidP="008F1AC8">
      <w:pPr>
        <w:numPr>
          <w:ilvl w:val="0"/>
          <w:numId w:val="77"/>
        </w:numPr>
      </w:pPr>
      <w:r w:rsidRPr="00382AA5">
        <w:t>CM</w:t>
      </w:r>
      <w:r w:rsidRPr="00382AA5">
        <w:rPr>
          <w:vertAlign w:val="subscript"/>
        </w:rPr>
        <w:t>t</w:t>
      </w:r>
      <w:r w:rsidR="00471143" w:rsidRPr="00382AA5">
        <w:t xml:space="preserve"> relating to </w:t>
      </w:r>
      <w:r w:rsidR="00307076" w:rsidRPr="00382AA5">
        <w:t>Special Condition 4.</w:t>
      </w:r>
      <w:r w:rsidRPr="00382AA5">
        <w:t>3</w:t>
      </w:r>
      <w:r w:rsidR="00471143" w:rsidRPr="00382AA5">
        <w:t xml:space="preserve"> (Entry Capacity and Exit Capacity Constraint Management), and</w:t>
      </w:r>
    </w:p>
    <w:p w14:paraId="0CAA72EA" w14:textId="4B04A6A4" w:rsidR="00471143" w:rsidRPr="00382AA5" w:rsidRDefault="003C2816" w:rsidP="008F1AC8">
      <w:pPr>
        <w:numPr>
          <w:ilvl w:val="0"/>
          <w:numId w:val="77"/>
        </w:numPr>
      </w:pPr>
      <w:r w:rsidRPr="00382AA5">
        <w:t>SOODI</w:t>
      </w:r>
      <w:r w:rsidRPr="00382AA5">
        <w:rPr>
          <w:vertAlign w:val="subscript"/>
        </w:rPr>
        <w:t>t</w:t>
      </w:r>
      <w:r w:rsidR="00471143" w:rsidRPr="00382AA5">
        <w:t xml:space="preserve"> relating to Special Condition </w:t>
      </w:r>
      <w:r w:rsidR="00307076" w:rsidRPr="00382AA5">
        <w:t>4.</w:t>
      </w:r>
      <w:r w:rsidRPr="00382AA5">
        <w:t>4</w:t>
      </w:r>
      <w:r w:rsidR="00471143" w:rsidRPr="00382AA5">
        <w:t xml:space="preserve"> (NTS System Operator external incentives, costs and revenues).</w:t>
      </w:r>
    </w:p>
    <w:p w14:paraId="02071FCD" w14:textId="17CCBFD7" w:rsidR="00471143" w:rsidRPr="00382AA5" w:rsidRDefault="00471143" w:rsidP="00471143">
      <w:pPr>
        <w:pStyle w:val="Paragraph"/>
        <w:tabs>
          <w:tab w:val="clear" w:pos="1105"/>
          <w:tab w:val="num" w:pos="680"/>
        </w:tabs>
        <w:ind w:left="0"/>
      </w:pPr>
      <w:bookmarkStart w:id="126" w:name="_Ref49263888"/>
      <w:r>
        <w:t xml:space="preserve">The Authority will review the provisions </w:t>
      </w:r>
      <w:r w:rsidRPr="00382AA5">
        <w:t xml:space="preserve">of </w:t>
      </w:r>
      <w:r w:rsidR="00307076" w:rsidRPr="00382AA5">
        <w:t>Special Condition 4.</w:t>
      </w:r>
      <w:r w:rsidR="003C2816" w:rsidRPr="00382AA5">
        <w:t>3</w:t>
      </w:r>
      <w:r w:rsidRPr="00382AA5">
        <w:t xml:space="preserve"> (Entry Capacity and Exit Capacity Constraint Management) or </w:t>
      </w:r>
      <w:r w:rsidR="00307076" w:rsidRPr="00382AA5">
        <w:t>Special Condition 4.</w:t>
      </w:r>
      <w:r w:rsidR="003C2816" w:rsidRPr="00382AA5">
        <w:t>4</w:t>
      </w:r>
      <w:r w:rsidRPr="00382AA5">
        <w:t xml:space="preserve"> (NTS System Operator external incentives, costs and revenues) as the result of an Uncertain Event.</w:t>
      </w:r>
      <w:bookmarkEnd w:id="126"/>
      <w:r w:rsidRPr="00382AA5">
        <w:t xml:space="preserve">  </w:t>
      </w:r>
    </w:p>
    <w:p w14:paraId="665BB611" w14:textId="77777777" w:rsidR="00471143" w:rsidRPr="00382AA5" w:rsidRDefault="00471143" w:rsidP="00471143">
      <w:pPr>
        <w:pStyle w:val="Paragraph"/>
        <w:tabs>
          <w:tab w:val="clear" w:pos="1105"/>
          <w:tab w:val="num" w:pos="680"/>
        </w:tabs>
        <w:ind w:left="0"/>
      </w:pPr>
      <w:bookmarkStart w:id="127" w:name="_Ref49263896"/>
      <w:r w:rsidRPr="00382AA5">
        <w:t>An Uncertain Event may arise from any one or more of the following:</w:t>
      </w:r>
      <w:bookmarkEnd w:id="125"/>
      <w:bookmarkEnd w:id="127"/>
    </w:p>
    <w:p w14:paraId="676485AA" w14:textId="4C703ABB" w:rsidR="00471143" w:rsidRPr="00382AA5" w:rsidRDefault="00471143" w:rsidP="008F1AC8">
      <w:pPr>
        <w:numPr>
          <w:ilvl w:val="0"/>
          <w:numId w:val="79"/>
        </w:numPr>
      </w:pPr>
      <w:r w:rsidRPr="00382AA5">
        <w:t>Any change in applicable legislation or regulations which affects or may be expected to affect the functions of the licensee as set out in Special C</w:t>
      </w:r>
      <w:r w:rsidR="00307076" w:rsidRPr="00382AA5">
        <w:t>ondition 4.</w:t>
      </w:r>
      <w:r w:rsidR="003C2816" w:rsidRPr="00382AA5">
        <w:t>3</w:t>
      </w:r>
      <w:r w:rsidRPr="00382AA5">
        <w:t xml:space="preserve"> (Entry Capacity and Exit Capacity Constraint Management) or </w:t>
      </w:r>
      <w:r w:rsidR="00307076" w:rsidRPr="00382AA5">
        <w:t xml:space="preserve">Special Condition </w:t>
      </w:r>
      <w:r w:rsidR="003C2816" w:rsidRPr="00382AA5">
        <w:t>4.4</w:t>
      </w:r>
      <w:r w:rsidRPr="00382AA5">
        <w:t xml:space="preserve"> (NTS System Operator external incentives, costs and revenues);</w:t>
      </w:r>
    </w:p>
    <w:p w14:paraId="1668B349" w14:textId="77777777" w:rsidR="00471143" w:rsidRPr="00382AA5" w:rsidRDefault="00471143" w:rsidP="008F1AC8">
      <w:pPr>
        <w:numPr>
          <w:ilvl w:val="0"/>
          <w:numId w:val="79"/>
        </w:numPr>
      </w:pPr>
      <w:r w:rsidRPr="00382AA5">
        <w:t>an event or circumstance constituting Force Majeure;</w:t>
      </w:r>
    </w:p>
    <w:p w14:paraId="49B2B9E8" w14:textId="77777777" w:rsidR="00471143" w:rsidRPr="00382AA5" w:rsidRDefault="00471143" w:rsidP="008F1AC8">
      <w:pPr>
        <w:numPr>
          <w:ilvl w:val="0"/>
          <w:numId w:val="79"/>
        </w:numPr>
      </w:pPr>
      <w:r w:rsidRPr="00382AA5">
        <w:t>an event or circumstance resulting in the declaration of a Network Gas Supply Emergency; or</w:t>
      </w:r>
    </w:p>
    <w:p w14:paraId="6892D092" w14:textId="6CE39B01" w:rsidR="00471143" w:rsidRDefault="00471143" w:rsidP="008F1AC8">
      <w:pPr>
        <w:numPr>
          <w:ilvl w:val="0"/>
          <w:numId w:val="79"/>
        </w:numPr>
      </w:pPr>
      <w:bookmarkStart w:id="128" w:name="_Ref49190118"/>
      <w:r w:rsidRPr="00382AA5">
        <w:t xml:space="preserve">in relation to the Residual Gas Balancing Incentive set out in Part </w:t>
      </w:r>
      <w:r w:rsidR="00307076" w:rsidRPr="00382AA5">
        <w:t>B</w:t>
      </w:r>
      <w:r w:rsidRPr="00382AA5">
        <w:t xml:space="preserve"> of Special Condition </w:t>
      </w:r>
      <w:r w:rsidR="00307076" w:rsidRPr="00382AA5">
        <w:t>4.</w:t>
      </w:r>
      <w:r w:rsidR="003C2816" w:rsidRPr="00382AA5">
        <w:t>4</w:t>
      </w:r>
      <w:r w:rsidRPr="00382AA5">
        <w:t xml:space="preserve"> (NTS System Operator external incentives, costs and revenues</w:t>
      </w:r>
      <w:r w:rsidRPr="0084435E">
        <w:t>) where:</w:t>
      </w:r>
      <w:bookmarkEnd w:id="128"/>
    </w:p>
    <w:p w14:paraId="63586254" w14:textId="77777777" w:rsidR="00471143" w:rsidRDefault="00471143" w:rsidP="008F1AC8">
      <w:pPr>
        <w:numPr>
          <w:ilvl w:val="0"/>
          <w:numId w:val="78"/>
        </w:numPr>
        <w:spacing w:before="120" w:after="120"/>
      </w:pPr>
      <w:r>
        <w:t xml:space="preserve">There is material evidence that there is an increase in within-day volatility of gas demand has resulted from changes in CCGT operation as a consequence of increased levels of wind generation; and </w:t>
      </w:r>
    </w:p>
    <w:p w14:paraId="50C122EE" w14:textId="77777777" w:rsidR="00471143" w:rsidRPr="0057526A" w:rsidRDefault="00471143" w:rsidP="008F1AC8">
      <w:pPr>
        <w:numPr>
          <w:ilvl w:val="0"/>
          <w:numId w:val="78"/>
        </w:numPr>
        <w:spacing w:before="120" w:after="120"/>
        <w:ind w:left="1434" w:hanging="357"/>
      </w:pPr>
      <w:r>
        <w:t xml:space="preserve">The increased levels of within-day volatility of gas demand have had a material impact on the licensee's performance as calculated by the </w:t>
      </w:r>
      <m:oMath>
        <m:sSub>
          <m:sSubPr>
            <m:ctrlPr>
              <w:rPr>
                <w:rFonts w:ascii="Cambria Math" w:hAnsi="Cambria Math"/>
              </w:rPr>
            </m:ctrlPr>
          </m:sSubPr>
          <m:e>
            <m:r>
              <m:rPr>
                <m:sty m:val="p"/>
              </m:rPr>
              <w:rPr>
                <w:rFonts w:ascii="Cambria Math" w:hAnsi="Cambria Math"/>
              </w:rPr>
              <m:t>LPM</m:t>
            </m:r>
          </m:e>
          <m:sub>
            <m:r>
              <m:rPr>
                <m:sty m:val="p"/>
              </m:rPr>
              <w:rPr>
                <w:rFonts w:ascii="Cambria Math" w:hAnsi="Cambria Math"/>
              </w:rPr>
              <m:t>t</m:t>
            </m:r>
          </m:sub>
        </m:sSub>
      </m:oMath>
      <w:r>
        <w:t xml:space="preserve"> or </w:t>
      </w:r>
      <m:oMath>
        <m:sSub>
          <m:sSubPr>
            <m:ctrlPr>
              <w:rPr>
                <w:rFonts w:ascii="Cambria Math" w:hAnsi="Cambria Math"/>
              </w:rPr>
            </m:ctrlPr>
          </m:sSubPr>
          <m:e>
            <m:r>
              <m:rPr>
                <m:sty m:val="p"/>
              </m:rPr>
              <w:rPr>
                <w:rFonts w:ascii="Cambria Math" w:hAnsi="Cambria Math"/>
              </w:rPr>
              <m:t>PPM</m:t>
            </m:r>
          </m:e>
          <m:sub>
            <m:r>
              <m:rPr>
                <m:sty m:val="p"/>
              </m:rPr>
              <w:rPr>
                <w:rFonts w:ascii="Cambria Math" w:hAnsi="Cambria Math"/>
              </w:rPr>
              <m:t>t</m:t>
            </m:r>
          </m:sub>
        </m:sSub>
      </m:oMath>
      <w:r>
        <w:t>.</w:t>
      </w:r>
    </w:p>
    <w:p w14:paraId="1C65EC50" w14:textId="77777777" w:rsidR="00471143" w:rsidRDefault="00471143" w:rsidP="00471143">
      <w:pPr>
        <w:pStyle w:val="Paragraph"/>
        <w:tabs>
          <w:tab w:val="clear" w:pos="1105"/>
          <w:tab w:val="num" w:pos="680"/>
        </w:tabs>
        <w:ind w:left="0"/>
      </w:pPr>
      <w:bookmarkStart w:id="129" w:name="_Ref49190076"/>
      <w:r>
        <w:lastRenderedPageBreak/>
        <w:t>The licensee or any interested party may notify the Authority of an event or circumstance which, in their opinion</w:t>
      </w:r>
      <w:r w:rsidRPr="00855D5D">
        <w:t>, constitutes or may be likely to cons</w:t>
      </w:r>
      <w:r>
        <w:t>titute an Uncertain Event.</w:t>
      </w:r>
      <w:bookmarkEnd w:id="129"/>
    </w:p>
    <w:p w14:paraId="0D278977" w14:textId="321E798C" w:rsidR="00471143" w:rsidRDefault="00471143" w:rsidP="00471143">
      <w:pPr>
        <w:pStyle w:val="Paragraph"/>
        <w:tabs>
          <w:tab w:val="clear" w:pos="1105"/>
          <w:tab w:val="num" w:pos="680"/>
        </w:tabs>
        <w:ind w:left="0"/>
      </w:pPr>
      <w:bookmarkStart w:id="130" w:name="_Ref49190087"/>
      <w:r w:rsidRPr="00855D5D">
        <w:t>Where the Authority has received a</w:t>
      </w:r>
      <w:r>
        <w:t xml:space="preserve"> notification under paragraph </w:t>
      </w:r>
      <w:r>
        <w:fldChar w:fldCharType="begin"/>
      </w:r>
      <w:r>
        <w:instrText xml:space="preserve"> REF _Ref49190076 \r \h </w:instrText>
      </w:r>
      <w:r>
        <w:fldChar w:fldCharType="separate"/>
      </w:r>
      <w:r w:rsidR="00C21C6D">
        <w:t>5.5</w:t>
      </w:r>
      <w:r>
        <w:fldChar w:fldCharType="end"/>
      </w:r>
      <w:r w:rsidRPr="00855D5D">
        <w:t xml:space="preserve">, it </w:t>
      </w:r>
      <w:r>
        <w:t>will</w:t>
      </w:r>
      <w:r w:rsidRPr="00855D5D">
        <w:t>, within three months from the date of the receipt of that notification, de</w:t>
      </w:r>
      <w:r>
        <w:t>cide</w:t>
      </w:r>
      <w:r w:rsidRPr="00855D5D">
        <w:t xml:space="preserve"> whether an Uncertain Event has occurred or is likely to occur and give</w:t>
      </w:r>
      <w:r>
        <w:t xml:space="preserve"> reasons for its decision.</w:t>
      </w:r>
      <w:bookmarkEnd w:id="130"/>
    </w:p>
    <w:p w14:paraId="40D149E3" w14:textId="4DB5C229" w:rsidR="00471143" w:rsidRPr="00382AA5" w:rsidRDefault="00471143" w:rsidP="00471143">
      <w:pPr>
        <w:pStyle w:val="Paragraph"/>
        <w:tabs>
          <w:tab w:val="clear" w:pos="1105"/>
          <w:tab w:val="num" w:pos="680"/>
        </w:tabs>
        <w:ind w:left="0"/>
      </w:pPr>
      <w:r w:rsidRPr="00855D5D">
        <w:t>Where the Authority de</w:t>
      </w:r>
      <w:r>
        <w:t>cides</w:t>
      </w:r>
      <w:r w:rsidRPr="00855D5D">
        <w:t xml:space="preserve"> that an Uncertain Event </w:t>
      </w:r>
      <w:r>
        <w:t>has occurred or is likely to occur</w:t>
      </w:r>
      <w:r w:rsidRPr="00855D5D">
        <w:t xml:space="preserve"> in respect of one or more relevant incentives set out in </w:t>
      </w:r>
      <w:r w:rsidRPr="00382AA5">
        <w:t xml:space="preserve">Special Condition </w:t>
      </w:r>
      <w:r w:rsidR="00307076" w:rsidRPr="00382AA5">
        <w:t>4.</w:t>
      </w:r>
      <w:r w:rsidR="003C2816" w:rsidRPr="00382AA5">
        <w:t>3</w:t>
      </w:r>
      <w:r w:rsidRPr="00382AA5">
        <w:t xml:space="preserve"> (Entry Capacity and Exit Capacity Constraint Management) or </w:t>
      </w:r>
      <w:r w:rsidR="00307076" w:rsidRPr="00382AA5">
        <w:t>Special Condition 4.</w:t>
      </w:r>
      <w:r w:rsidR="003C2816" w:rsidRPr="00382AA5">
        <w:t>4</w:t>
      </w:r>
      <w:r w:rsidRPr="00382AA5">
        <w:t xml:space="preserve"> (NTS System Operator external incentives, costs and revenues), the Authority will consider modifying the relevant incentive(s) under Section 23 of the Act in order to ensure that the incentives affected by the Uncertain Event continue to have an appropriate incentive effect on the licensee. </w:t>
      </w:r>
    </w:p>
    <w:p w14:paraId="380C5106" w14:textId="45E22BC8" w:rsidR="00471143" w:rsidRDefault="00471143" w:rsidP="00471143">
      <w:pPr>
        <w:pStyle w:val="Paragraph"/>
        <w:tabs>
          <w:tab w:val="clear" w:pos="1105"/>
          <w:tab w:val="num" w:pos="680"/>
        </w:tabs>
        <w:ind w:left="0"/>
      </w:pPr>
      <w:r w:rsidRPr="00382AA5">
        <w:t>In relation to the Residual Gas Balancing Incentive set out in P</w:t>
      </w:r>
      <w:r w:rsidR="00307076" w:rsidRPr="00382AA5">
        <w:t xml:space="preserve">art B </w:t>
      </w:r>
      <w:r w:rsidRPr="00382AA5">
        <w:t>of Special Condition</w:t>
      </w:r>
      <w:r w:rsidR="00307076" w:rsidRPr="00382AA5">
        <w:t xml:space="preserve"> 4.</w:t>
      </w:r>
      <w:r w:rsidR="003C2816" w:rsidRPr="00382AA5">
        <w:t>4</w:t>
      </w:r>
      <w:r w:rsidRPr="00382AA5">
        <w:t xml:space="preserve"> (NTS System Operator external incentives, costs and revenues)] only, any licence condition modified in accordance with Section 23 of the Act as a result of</w:t>
      </w:r>
      <w:r w:rsidRPr="00855D5D">
        <w:t xml:space="preserve"> the operation for an Uncertain </w:t>
      </w:r>
      <w:r>
        <w:t xml:space="preserve">Event set out under paragraph </w:t>
      </w:r>
      <w:r>
        <w:fldChar w:fldCharType="begin"/>
      </w:r>
      <w:r>
        <w:instrText xml:space="preserve"> REF _Ref49263896 \r \h </w:instrText>
      </w:r>
      <w:r>
        <w:fldChar w:fldCharType="separate"/>
      </w:r>
      <w:r w:rsidR="00C21C6D">
        <w:t>5.4</w:t>
      </w:r>
      <w:r>
        <w:fldChar w:fldCharType="end"/>
      </w:r>
      <w:r>
        <w:t xml:space="preserve"> </w:t>
      </w:r>
      <w:r>
        <w:fldChar w:fldCharType="begin"/>
      </w:r>
      <w:r>
        <w:instrText xml:space="preserve"> REF _Ref49190118 \r \h </w:instrText>
      </w:r>
      <w:r>
        <w:fldChar w:fldCharType="separate"/>
      </w:r>
      <w:r w:rsidR="00C21C6D">
        <w:t>d)</w:t>
      </w:r>
      <w:r>
        <w:fldChar w:fldCharType="end"/>
      </w:r>
      <w:r w:rsidRPr="00855D5D">
        <w:t xml:space="preserve"> </w:t>
      </w:r>
      <w:r>
        <w:t>will</w:t>
      </w:r>
      <w:r w:rsidRPr="00855D5D">
        <w:t xml:space="preserve"> not t</w:t>
      </w:r>
      <w:r>
        <w:t xml:space="preserve">ake effect prior to 1 April 2025. </w:t>
      </w:r>
    </w:p>
    <w:p w14:paraId="4B8D1890" w14:textId="77777777" w:rsidR="00471143" w:rsidRDefault="00471143" w:rsidP="00471143">
      <w:pPr>
        <w:pStyle w:val="Paragraph"/>
        <w:numPr>
          <w:ilvl w:val="0"/>
          <w:numId w:val="0"/>
        </w:numPr>
      </w:pPr>
    </w:p>
    <w:p w14:paraId="231B28E1" w14:textId="77777777" w:rsidR="00947A27" w:rsidRDefault="00947A27" w:rsidP="005E0A2B">
      <w:pPr>
        <w:pStyle w:val="Paragraph"/>
        <w:numPr>
          <w:ilvl w:val="0"/>
          <w:numId w:val="0"/>
        </w:numPr>
      </w:pPr>
    </w:p>
    <w:p w14:paraId="0DC82D05" w14:textId="6F8312D5" w:rsidR="003478CF" w:rsidRDefault="003478CF" w:rsidP="00B040C8">
      <w:pPr>
        <w:pStyle w:val="Sectiontitle"/>
      </w:pPr>
      <w:bookmarkStart w:id="131" w:name="_Ref44423653"/>
      <w:bookmarkStart w:id="132" w:name="_Toc49194320"/>
      <w:bookmarkStart w:id="133" w:name="_Toc49249240"/>
      <w:bookmarkStart w:id="134" w:name="_Toc52357102"/>
      <w:r>
        <w:lastRenderedPageBreak/>
        <w:t>Tax</w:t>
      </w:r>
      <w:r w:rsidR="00890F82">
        <w:t xml:space="preserve"> liability allowances</w:t>
      </w:r>
      <w:bookmarkEnd w:id="131"/>
      <w:bookmarkEnd w:id="132"/>
      <w:bookmarkEnd w:id="133"/>
      <w:bookmarkEnd w:id="134"/>
    </w:p>
    <w:p w14:paraId="0D3ED6AE" w14:textId="25D2296F" w:rsidR="00471143" w:rsidRDefault="00D67AD4" w:rsidP="00EC5F74">
      <w:pPr>
        <w:pStyle w:val="Paragraph"/>
        <w:tabs>
          <w:tab w:val="clear" w:pos="1105"/>
          <w:tab w:val="num" w:pos="680"/>
        </w:tabs>
        <w:ind w:left="0"/>
      </w:pPr>
      <w:r>
        <w:t xml:space="preserve">The PCFM calculates a licensee’s </w:t>
      </w:r>
      <w:r w:rsidR="006755BA">
        <w:t>tax liability allowance</w:t>
      </w:r>
      <w:r>
        <w:t xml:space="preserve"> </w:t>
      </w:r>
      <w:r w:rsidR="00582B54">
        <w:t>on a notional basis (i</w:t>
      </w:r>
      <w:r w:rsidR="00604227">
        <w:t xml:space="preserve">e as a stand-alone entity) </w:t>
      </w:r>
      <w:r>
        <w:t>using</w:t>
      </w:r>
      <w:r w:rsidR="00367C30">
        <w:t xml:space="preserve">, among other inputs, </w:t>
      </w:r>
      <w:r>
        <w:t xml:space="preserve">corporation tax rates and capital allowance writing down rates.  </w:t>
      </w:r>
      <w:r w:rsidR="00604227">
        <w:t>Where rate changes are announced, these can be reflected in t</w:t>
      </w:r>
      <w:r w:rsidR="008D17FC">
        <w:t xml:space="preserve">he PCFM </w:t>
      </w:r>
      <w:r w:rsidR="00604227">
        <w:t xml:space="preserve">by updating the </w:t>
      </w:r>
      <w:r w:rsidR="008D17FC">
        <w:t>V</w:t>
      </w:r>
      <w:r w:rsidR="00604227">
        <w:t xml:space="preserve">ariable </w:t>
      </w:r>
      <w:r w:rsidR="008D17FC">
        <w:t>V</w:t>
      </w:r>
      <w:r w:rsidR="00604227">
        <w:t>alue</w:t>
      </w:r>
      <w:r w:rsidR="008D17FC">
        <w:t>s for these</w:t>
      </w:r>
      <w:r w:rsidR="006755BA">
        <w:t xml:space="preserve"> rates</w:t>
      </w:r>
      <w:r w:rsidR="008D17FC">
        <w:t xml:space="preserve"> [</w:t>
      </w:r>
      <w:r w:rsidR="008D17FC" w:rsidRPr="00604227">
        <w:t>XX etc.</w:t>
      </w:r>
      <w:r w:rsidR="008D17FC">
        <w:t xml:space="preserve">] </w:t>
      </w:r>
      <w:r w:rsidR="00604227">
        <w:t>at</w:t>
      </w:r>
      <w:r w:rsidR="008D17FC">
        <w:t xml:space="preserve"> each AIP.</w:t>
      </w:r>
      <w:r w:rsidR="008114A1">
        <w:t xml:space="preserve"> </w:t>
      </w:r>
    </w:p>
    <w:p w14:paraId="72AEC29E" w14:textId="1D2E1DED" w:rsidR="00471143" w:rsidRDefault="00471143" w:rsidP="00EC5F74">
      <w:pPr>
        <w:pStyle w:val="Paragraph"/>
        <w:tabs>
          <w:tab w:val="clear" w:pos="1105"/>
          <w:tab w:val="num" w:pos="680"/>
        </w:tabs>
        <w:ind w:left="0"/>
      </w:pPr>
      <w:r>
        <w:t>The PCFM also calculates a tax clawback.  Where a licensee’s gearing (calculated from the Variable Values [</w:t>
      </w:r>
      <w:r w:rsidRPr="007D4189">
        <w:t>XX and YY</w:t>
      </w:r>
      <w:r>
        <w:t>]) is greater than notional gearing, any tax benefit from higher tax-deductible interest costs is clawed-back for network users through the tax liability allowance.</w:t>
      </w:r>
    </w:p>
    <w:p w14:paraId="033041DB" w14:textId="1727CBCC" w:rsidR="008D17FC" w:rsidRDefault="008D17FC" w:rsidP="00F02D7B">
      <w:pPr>
        <w:pStyle w:val="Paragraph"/>
        <w:tabs>
          <w:tab w:val="clear" w:pos="1105"/>
          <w:tab w:val="num" w:pos="680"/>
        </w:tabs>
        <w:ind w:left="0"/>
      </w:pPr>
      <w:bookmarkStart w:id="135" w:name="_Ref42674492"/>
      <w:r>
        <w:t>Tax liability allowances are</w:t>
      </w:r>
      <w:r w:rsidR="00367C30">
        <w:t xml:space="preserve"> also</w:t>
      </w:r>
      <w:r>
        <w:t xml:space="preserve"> dependent on other V</w:t>
      </w:r>
      <w:r w:rsidR="00471143">
        <w:t xml:space="preserve">ariable </w:t>
      </w:r>
      <w:r>
        <w:t>V</w:t>
      </w:r>
      <w:r w:rsidR="00471143">
        <w:t>alue</w:t>
      </w:r>
      <w:r>
        <w:t>s including:</w:t>
      </w:r>
      <w:bookmarkEnd w:id="135"/>
    </w:p>
    <w:p w14:paraId="650D3C79" w14:textId="18E59AAF" w:rsidR="008D17FC" w:rsidRPr="00184828" w:rsidRDefault="008D17FC" w:rsidP="008F1AC8">
      <w:pPr>
        <w:pStyle w:val="Text-Numbered"/>
        <w:numPr>
          <w:ilvl w:val="0"/>
          <w:numId w:val="23"/>
        </w:numPr>
        <w:rPr>
          <w:szCs w:val="20"/>
        </w:rPr>
      </w:pPr>
      <w:r>
        <w:t xml:space="preserve">Tax trigger events </w:t>
      </w:r>
      <w:r w:rsidRPr="00604227">
        <w:t>TTE</w:t>
      </w:r>
      <w:r w:rsidR="00FF78FD">
        <w:t xml:space="preserve"> and SOTTE</w:t>
      </w:r>
      <w:r>
        <w:t xml:space="preserve"> - </w:t>
      </w:r>
      <w:r w:rsidR="009E787D">
        <w:rPr>
          <w:rFonts w:cs="Arial"/>
          <w:lang w:eastAsia="en-GB"/>
        </w:rPr>
        <w:t>a</w:t>
      </w:r>
      <w:r w:rsidRPr="00184828">
        <w:rPr>
          <w:rFonts w:cs="Arial"/>
          <w:lang w:eastAsia="en-GB"/>
        </w:rPr>
        <w:t xml:space="preserve"> licensee’s notional tax liability</w:t>
      </w:r>
      <w:r w:rsidRPr="00C8221C">
        <w:rPr>
          <w:rStyle w:val="FootnoteReference"/>
        </w:rPr>
        <w:footnoteReference w:id="21"/>
      </w:r>
      <w:r w:rsidRPr="00184828">
        <w:rPr>
          <w:rFonts w:cs="Arial"/>
          <w:lang w:eastAsia="en-GB"/>
        </w:rPr>
        <w:t xml:space="preserve"> is subject to existing legislation, </w:t>
      </w:r>
      <w:r w:rsidRPr="008D17FC">
        <w:t>case</w:t>
      </w:r>
      <w:r w:rsidRPr="00184828">
        <w:rPr>
          <w:rFonts w:cs="Arial"/>
          <w:lang w:eastAsia="en-GB"/>
        </w:rPr>
        <w:t xml:space="preserve"> law, accounting standards and HM Revenue &amp; Customs (HMRC) policy.  </w:t>
      </w:r>
      <w:r>
        <w:rPr>
          <w:rFonts w:cs="Arial"/>
          <w:lang w:eastAsia="en-GB"/>
        </w:rPr>
        <w:t xml:space="preserve">Changes to these can trigger a change to </w:t>
      </w:r>
      <w:r w:rsidR="006755BA">
        <w:rPr>
          <w:rFonts w:cs="Arial"/>
          <w:lang w:eastAsia="en-GB"/>
        </w:rPr>
        <w:t>tax liability allowances</w:t>
      </w:r>
    </w:p>
    <w:p w14:paraId="4DA3BBBF" w14:textId="6ADDCBC6" w:rsidR="006755BA" w:rsidRDefault="008D17FC" w:rsidP="008F1AC8">
      <w:pPr>
        <w:pStyle w:val="Text-Numbered"/>
        <w:numPr>
          <w:ilvl w:val="0"/>
          <w:numId w:val="23"/>
        </w:numPr>
      </w:pPr>
      <w:r>
        <w:t>Tax review</w:t>
      </w:r>
      <w:r w:rsidR="009E787D">
        <w:t xml:space="preserve"> </w:t>
      </w:r>
      <w:r w:rsidR="00604227">
        <w:t xml:space="preserve">adjustment </w:t>
      </w:r>
      <w:r w:rsidR="009E787D">
        <w:t>mechanism</w:t>
      </w:r>
      <w:r w:rsidR="00CA3581">
        <w:t xml:space="preserve"> </w:t>
      </w:r>
      <w:r w:rsidR="00E41C18">
        <w:t>TAXA</w:t>
      </w:r>
      <w:r w:rsidR="00E41C18" w:rsidRPr="00E41C18">
        <w:rPr>
          <w:vertAlign w:val="subscript"/>
        </w:rPr>
        <w:t>t</w:t>
      </w:r>
      <w:r w:rsidR="00FF78FD">
        <w:t xml:space="preserve"> and SOTAXA</w:t>
      </w:r>
      <w:r w:rsidR="00FF78FD" w:rsidRPr="00FF78FD">
        <w:rPr>
          <w:vertAlign w:val="subscript"/>
        </w:rPr>
        <w:t>t</w:t>
      </w:r>
      <w:r>
        <w:t xml:space="preserve"> </w:t>
      </w:r>
      <w:r w:rsidR="006755BA">
        <w:t>–</w:t>
      </w:r>
      <w:r w:rsidR="00FF0777">
        <w:t xml:space="preserve"> </w:t>
      </w:r>
      <w:r w:rsidR="006755BA">
        <w:t xml:space="preserve">this </w:t>
      </w:r>
      <w:r w:rsidR="006755BA" w:rsidRPr="001861FD">
        <w:t>mechanism enables Ofgem</w:t>
      </w:r>
      <w:r w:rsidR="008E7945">
        <w:t xml:space="preserve"> to direct an adjustment to the </w:t>
      </w:r>
      <w:r w:rsidR="006755BA" w:rsidRPr="001861FD">
        <w:t xml:space="preserve">notional tax allowance </w:t>
      </w:r>
      <w:r w:rsidR="00FF0777">
        <w:t xml:space="preserve">subject to </w:t>
      </w:r>
      <w:r w:rsidR="008E7945">
        <w:t xml:space="preserve">a tax review and </w:t>
      </w:r>
      <w:r w:rsidR="00FF0777">
        <w:t>consultation</w:t>
      </w:r>
      <w:r w:rsidR="008E7945">
        <w:t xml:space="preserve"> with the licensee.</w:t>
      </w:r>
    </w:p>
    <w:p w14:paraId="7EABA469" w14:textId="7859CB5D" w:rsidR="008D17FC" w:rsidRDefault="008D17FC" w:rsidP="008F1AC8">
      <w:pPr>
        <w:pStyle w:val="Text-Numbered"/>
        <w:numPr>
          <w:ilvl w:val="0"/>
          <w:numId w:val="23"/>
        </w:numPr>
      </w:pPr>
      <w:r>
        <w:t>Capital allowances</w:t>
      </w:r>
      <w:r w:rsidR="009E787D">
        <w:t>:</w:t>
      </w:r>
      <w:r w:rsidR="00471143">
        <w:t xml:space="preserve"> </w:t>
      </w:r>
      <w:r w:rsidR="009E787D">
        <w:t xml:space="preserve">Opening pool balances (legacy) – </w:t>
      </w:r>
      <w:r w:rsidR="00553C5E">
        <w:t>opening balances of capital allowance pools can be updated, through PCFM V</w:t>
      </w:r>
      <w:r w:rsidR="005E166B">
        <w:t xml:space="preserve">ariable </w:t>
      </w:r>
      <w:r w:rsidR="00553C5E">
        <w:t>V</w:t>
      </w:r>
      <w:r w:rsidR="005E166B">
        <w:t>alue</w:t>
      </w:r>
      <w:r w:rsidR="00553C5E">
        <w:t xml:space="preserve">s </w:t>
      </w:r>
      <w:r w:rsidR="009E787D">
        <w:t>[</w:t>
      </w:r>
      <w:r w:rsidR="008E7945" w:rsidRPr="007D4189">
        <w:t>XXX</w:t>
      </w:r>
      <w:r w:rsidR="009E787D">
        <w:t>]</w:t>
      </w:r>
      <w:r w:rsidR="00582B54">
        <w:t>.</w:t>
      </w:r>
    </w:p>
    <w:p w14:paraId="204EE8A6" w14:textId="44746C8E" w:rsidR="008D17FC" w:rsidRPr="008D17FC" w:rsidRDefault="008D17FC" w:rsidP="00F02D7B">
      <w:pPr>
        <w:pStyle w:val="Paragraph"/>
        <w:tabs>
          <w:tab w:val="clear" w:pos="1105"/>
          <w:tab w:val="num" w:pos="680"/>
        </w:tabs>
        <w:ind w:left="0"/>
      </w:pPr>
      <w:r>
        <w:t>Further below, the approach to determining or revising the V</w:t>
      </w:r>
      <w:r w:rsidR="005E166B">
        <w:t>ariable Value</w:t>
      </w:r>
      <w:r>
        <w:t xml:space="preserve">s </w:t>
      </w:r>
      <w:r w:rsidR="00D64267">
        <w:t xml:space="preserve">in paragraph </w:t>
      </w:r>
      <w:r w:rsidR="00D64267">
        <w:fldChar w:fldCharType="begin"/>
      </w:r>
      <w:r w:rsidR="00D64267">
        <w:instrText xml:space="preserve"> REF _Ref42674492 \r \h </w:instrText>
      </w:r>
      <w:r w:rsidR="00D64267">
        <w:fldChar w:fldCharType="separate"/>
      </w:r>
      <w:r w:rsidR="00C21C6D">
        <w:t>6.3</w:t>
      </w:r>
      <w:r w:rsidR="00D64267">
        <w:fldChar w:fldCharType="end"/>
      </w:r>
      <w:r w:rsidR="00D64267">
        <w:t xml:space="preserve"> </w:t>
      </w:r>
      <w:r>
        <w:t>and</w:t>
      </w:r>
      <w:r w:rsidR="00180E68">
        <w:t>/</w:t>
      </w:r>
      <w:r>
        <w:t xml:space="preserve">or the calculation in the PCFM </w:t>
      </w:r>
      <w:r w:rsidR="009E787D">
        <w:t xml:space="preserve">are </w:t>
      </w:r>
      <w:r>
        <w:t>described.</w:t>
      </w:r>
    </w:p>
    <w:p w14:paraId="34ED55D5" w14:textId="054E06FE" w:rsidR="00FF0777" w:rsidRPr="00FF0777" w:rsidRDefault="00FF0777" w:rsidP="00F02D7B">
      <w:pPr>
        <w:pStyle w:val="Paragraph"/>
        <w:tabs>
          <w:tab w:val="clear" w:pos="1105"/>
          <w:tab w:val="num" w:pos="680"/>
        </w:tabs>
        <w:ind w:left="0"/>
      </w:pPr>
      <w:bookmarkStart w:id="136" w:name="_Ref398882781"/>
      <w:r w:rsidRPr="00FF0777">
        <w:t xml:space="preserve">It should be noted that underlying tax liability allowances for the licensee within the PCFM may also change under the AIP as a consequence of other </w:t>
      </w:r>
      <w:r w:rsidR="00367C30">
        <w:t>V</w:t>
      </w:r>
      <w:r w:rsidR="005E166B">
        <w:t xml:space="preserve">ariable </w:t>
      </w:r>
      <w:r w:rsidR="00367C30">
        <w:t>V</w:t>
      </w:r>
      <w:r w:rsidR="005E166B">
        <w:t>alue</w:t>
      </w:r>
      <w:r w:rsidR="00367C30">
        <w:t>s</w:t>
      </w:r>
      <w:r w:rsidRPr="00FF0777">
        <w:t xml:space="preserve">, such as </w:t>
      </w:r>
      <w:r w:rsidR="00367C30">
        <w:t>changes</w:t>
      </w:r>
      <w:r>
        <w:t xml:space="preserve"> in allowed t</w:t>
      </w:r>
      <w:r w:rsidRPr="00FF0777">
        <w:t>otex. However, these changes are distinct from the specific adjustments to tax liability allowances in this chapter.</w:t>
      </w:r>
      <w:bookmarkEnd w:id="136"/>
    </w:p>
    <w:p w14:paraId="616A9044" w14:textId="45FF78A2" w:rsidR="00677328" w:rsidRDefault="00677328" w:rsidP="00F02D7B">
      <w:pPr>
        <w:pStyle w:val="Paragraph"/>
        <w:tabs>
          <w:tab w:val="clear" w:pos="1105"/>
          <w:tab w:val="num" w:pos="680"/>
        </w:tabs>
        <w:ind w:left="0"/>
      </w:pPr>
      <w:bookmarkStart w:id="137" w:name="_Ref50632958"/>
      <w:r>
        <w:t xml:space="preserve">Any recalculation of the licensee’s tax liability allowances necessarily includes an iterative modelling aspect: an increased allowance gives rise to an increased liability which requires an increased allowance and so on. The effect can be either positive or negative. This </w:t>
      </w:r>
      <w:r>
        <w:lastRenderedPageBreak/>
        <w:t>‘tax allowance on tax allowance’ issue is dealt with by the functionality within the PCFM and is factored into Calculated Revenue via the AIP.</w:t>
      </w:r>
      <w:bookmarkEnd w:id="137"/>
    </w:p>
    <w:p w14:paraId="69245BE0" w14:textId="244383DE" w:rsidR="00890F82" w:rsidRDefault="00FF0777" w:rsidP="00792F81">
      <w:pPr>
        <w:spacing w:before="360"/>
        <w:rPr>
          <w:i/>
        </w:rPr>
      </w:pPr>
      <w:r>
        <w:rPr>
          <w:i/>
        </w:rPr>
        <w:t>Regulatory tax lo</w:t>
      </w:r>
      <w:r w:rsidR="002A3C98">
        <w:rPr>
          <w:i/>
        </w:rPr>
        <w:t>s</w:t>
      </w:r>
      <w:r>
        <w:rPr>
          <w:i/>
        </w:rPr>
        <w:t>ses</w:t>
      </w:r>
    </w:p>
    <w:p w14:paraId="16FD9040" w14:textId="360E0B7B" w:rsidR="00FF0777" w:rsidRPr="00367C30" w:rsidRDefault="00FF0777" w:rsidP="00F02D7B">
      <w:pPr>
        <w:pStyle w:val="Paragraph"/>
        <w:tabs>
          <w:tab w:val="clear" w:pos="1105"/>
          <w:tab w:val="num" w:pos="680"/>
        </w:tabs>
        <w:ind w:left="0"/>
      </w:pPr>
      <w:r w:rsidRPr="00367C30">
        <w:t xml:space="preserve">In some instances, the approach to calculating tax liability allowances could imply that the licensee </w:t>
      </w:r>
      <w:r w:rsidR="00367C30" w:rsidRPr="00367C30">
        <w:t>c</w:t>
      </w:r>
      <w:r w:rsidRPr="00367C30">
        <w:t>ould receive a negative allowance.  In such cases, the price control treatment is to model a zero allowance and to record the tax loss aris</w:t>
      </w:r>
      <w:r w:rsidR="00AC2A06">
        <w:t>ing as</w:t>
      </w:r>
      <w:r w:rsidRPr="00367C30">
        <w:t xml:space="preserve"> a ‘regulatory tax loss’ </w:t>
      </w:r>
      <w:r w:rsidR="00677328">
        <w:t>balance</w:t>
      </w:r>
      <w:r w:rsidRPr="00367C30">
        <w:t>, to be deducted from the</w:t>
      </w:r>
      <w:r w:rsidR="00677328">
        <w:t xml:space="preserve"> total</w:t>
      </w:r>
      <w:r w:rsidRPr="00367C30">
        <w:t xml:space="preserve"> taxable profits before the tax is calculated for any tax liability allowances that would otherwise be allocated to the year concerned or later years. The regulatory tax loss balance attributable to each Regulatory Year (together with a running total) is held within the PCFM</w:t>
      </w:r>
      <w:r w:rsidR="00BD33DD" w:rsidRPr="00367C30">
        <w:t>.</w:t>
      </w:r>
    </w:p>
    <w:p w14:paraId="2B181C29" w14:textId="038D893A" w:rsidR="00FF0777" w:rsidRDefault="001A51DE" w:rsidP="00F02D7B">
      <w:pPr>
        <w:pStyle w:val="Paragraph"/>
        <w:tabs>
          <w:tab w:val="clear" w:pos="1105"/>
          <w:tab w:val="num" w:pos="680"/>
        </w:tabs>
        <w:ind w:left="0"/>
        <w:rPr>
          <w:bCs/>
          <w:szCs w:val="24"/>
        </w:rPr>
      </w:pPr>
      <w:r w:rsidRPr="00367C30">
        <w:rPr>
          <w:bCs/>
          <w:szCs w:val="24"/>
        </w:rPr>
        <w:t xml:space="preserve">For the </w:t>
      </w:r>
      <w:r w:rsidRPr="00367C30">
        <w:t>avoidance</w:t>
      </w:r>
      <w:r w:rsidRPr="00367C30">
        <w:rPr>
          <w:bCs/>
          <w:szCs w:val="24"/>
        </w:rPr>
        <w:t xml:space="preserve"> of doubt, regulatory tax losses are not carried back </w:t>
      </w:r>
      <w:r w:rsidRPr="00367C30">
        <w:t>and</w:t>
      </w:r>
      <w:r w:rsidRPr="00367C30">
        <w:rPr>
          <w:bCs/>
          <w:szCs w:val="24"/>
        </w:rPr>
        <w:t xml:space="preserve"> offset against tax liability allowances for Regulatory Years earlier than the Regulatory Year to which the regulatory tax loss concerned is attributable.</w:t>
      </w:r>
    </w:p>
    <w:p w14:paraId="67D63023" w14:textId="2FCBF2C4" w:rsidR="008E7945" w:rsidRPr="008E7945" w:rsidRDefault="008E7945" w:rsidP="00F02D7B">
      <w:pPr>
        <w:pStyle w:val="Paragraph"/>
        <w:tabs>
          <w:tab w:val="clear" w:pos="1105"/>
          <w:tab w:val="num" w:pos="680"/>
        </w:tabs>
        <w:ind w:left="0"/>
        <w:rPr>
          <w:bCs/>
          <w:szCs w:val="24"/>
        </w:rPr>
      </w:pPr>
      <w:r>
        <w:rPr>
          <w:bCs/>
          <w:szCs w:val="24"/>
        </w:rPr>
        <w:t>Any</w:t>
      </w:r>
      <w:r w:rsidRPr="00D16CB4">
        <w:rPr>
          <w:bCs/>
          <w:szCs w:val="24"/>
        </w:rPr>
        <w:t xml:space="preserve"> surrender by a </w:t>
      </w:r>
      <w:r w:rsidR="007127B0">
        <w:rPr>
          <w:bCs/>
          <w:szCs w:val="24"/>
        </w:rPr>
        <w:t>l</w:t>
      </w:r>
      <w:r>
        <w:rPr>
          <w:bCs/>
          <w:szCs w:val="24"/>
        </w:rPr>
        <w:t>icensee</w:t>
      </w:r>
      <w:r w:rsidRPr="00D16CB4">
        <w:rPr>
          <w:bCs/>
          <w:szCs w:val="24"/>
        </w:rPr>
        <w:t xml:space="preserve"> of losses to a group company </w:t>
      </w:r>
      <w:r>
        <w:rPr>
          <w:bCs/>
          <w:szCs w:val="24"/>
        </w:rPr>
        <w:t xml:space="preserve">will not be reflected within the regulatory loss balance </w:t>
      </w:r>
      <w:r w:rsidRPr="00D16CB4">
        <w:rPr>
          <w:bCs/>
          <w:szCs w:val="24"/>
        </w:rPr>
        <w:t>and similarly for consortium relief</w:t>
      </w:r>
      <w:r w:rsidR="00457BC4">
        <w:rPr>
          <w:rStyle w:val="FootnoteReference"/>
          <w:bCs/>
          <w:szCs w:val="24"/>
        </w:rPr>
        <w:footnoteReference w:id="22"/>
      </w:r>
      <w:r>
        <w:rPr>
          <w:bCs/>
          <w:szCs w:val="24"/>
        </w:rPr>
        <w:t>.</w:t>
      </w:r>
    </w:p>
    <w:p w14:paraId="1F0DDC44" w14:textId="3DACD946" w:rsidR="00FF0777" w:rsidRDefault="00FF0777" w:rsidP="00792F81">
      <w:pPr>
        <w:spacing w:before="360"/>
        <w:rPr>
          <w:i/>
        </w:rPr>
      </w:pPr>
      <w:r>
        <w:rPr>
          <w:i/>
        </w:rPr>
        <w:t>Group tax arrangements</w:t>
      </w:r>
    </w:p>
    <w:p w14:paraId="7A73733E" w14:textId="54CB08E0" w:rsidR="00FF0777" w:rsidRPr="00D458DC" w:rsidRDefault="00FF0777" w:rsidP="00F02D7B">
      <w:pPr>
        <w:pStyle w:val="Paragraph"/>
        <w:tabs>
          <w:tab w:val="clear" w:pos="1105"/>
          <w:tab w:val="num" w:pos="680"/>
        </w:tabs>
        <w:ind w:left="0"/>
      </w:pPr>
      <w:r w:rsidRPr="00D458DC">
        <w:t xml:space="preserve">For the purposes of the </w:t>
      </w:r>
      <w:r w:rsidR="00BD33DD" w:rsidRPr="00D458DC">
        <w:t xml:space="preserve">approach </w:t>
      </w:r>
      <w:r w:rsidRPr="00D458DC">
        <w:t xml:space="preserve">set out in </w:t>
      </w:r>
      <w:r w:rsidR="00BD33DD" w:rsidRPr="00D458DC">
        <w:t xml:space="preserve">the tax trigger event and tax review </w:t>
      </w:r>
      <w:r w:rsidRPr="00D458DC">
        <w:t>section</w:t>
      </w:r>
      <w:r w:rsidR="00BD33DD" w:rsidRPr="00D458DC">
        <w:t>s</w:t>
      </w:r>
      <w:r w:rsidRPr="00D458DC">
        <w:t xml:space="preserve"> of this chapter, tax liabilities, </w:t>
      </w:r>
      <w:r w:rsidRPr="00D458DC">
        <w:rPr>
          <w:bCs/>
          <w:szCs w:val="24"/>
        </w:rPr>
        <w:t>allowances</w:t>
      </w:r>
      <w:r w:rsidRPr="00D458DC">
        <w:t xml:space="preserve"> and trigger events are considered on a not</w:t>
      </w:r>
      <w:r w:rsidR="00BD33DD" w:rsidRPr="00D458DC">
        <w:t>ional ‘licensee business’ basis. C</w:t>
      </w:r>
      <w:r w:rsidRPr="00D458DC">
        <w:t>onsequently</w:t>
      </w:r>
      <w:r w:rsidR="00582B54">
        <w:t>,</w:t>
      </w:r>
      <w:r w:rsidRPr="00D458DC">
        <w:t xml:space="preserve"> the following are disregarded in the assessment of tax liabilities and allowances for price control purposes:</w:t>
      </w:r>
    </w:p>
    <w:p w14:paraId="3A191938" w14:textId="77777777" w:rsidR="00FF0777" w:rsidRPr="00D458DC" w:rsidRDefault="00FF0777" w:rsidP="008F1AC8">
      <w:pPr>
        <w:pStyle w:val="Text-Numbered"/>
        <w:numPr>
          <w:ilvl w:val="0"/>
          <w:numId w:val="31"/>
        </w:numPr>
      </w:pPr>
      <w:r w:rsidRPr="00D458DC">
        <w:t>the claim or surrender of group tax relief (including consortium relief);</w:t>
      </w:r>
    </w:p>
    <w:p w14:paraId="6FE95162" w14:textId="21801B07" w:rsidR="00FF0777" w:rsidRPr="00D458DC" w:rsidRDefault="00FF0777" w:rsidP="008F1AC8">
      <w:pPr>
        <w:pStyle w:val="Text-Numbered"/>
        <w:numPr>
          <w:ilvl w:val="0"/>
          <w:numId w:val="31"/>
        </w:numPr>
      </w:pPr>
      <w:r w:rsidRPr="00D458DC">
        <w:t xml:space="preserve">interest payments (including any coupons on debt instruments or preference share dividends) and receipts that are not tax deductible or chargeable under HMRC rules for the purposes of computing the licensee’s taxable profits, including but not limited to adjustments for transfer pricing and the </w:t>
      </w:r>
      <w:r w:rsidR="005E166B" w:rsidRPr="00D458DC">
        <w:t>‘</w:t>
      </w:r>
      <w:r w:rsidR="005E166B">
        <w:t>Corporate Interest Restriction Rules</w:t>
      </w:r>
      <w:r w:rsidR="005E166B" w:rsidRPr="00D458DC">
        <w:t>’</w:t>
      </w:r>
      <w:r w:rsidRPr="00D458DC">
        <w:t>; and</w:t>
      </w:r>
    </w:p>
    <w:p w14:paraId="64E406D9" w14:textId="77777777" w:rsidR="00FF0777" w:rsidRPr="00D458DC" w:rsidRDefault="00FF0777" w:rsidP="008F1AC8">
      <w:pPr>
        <w:pStyle w:val="Text-Numbered"/>
        <w:numPr>
          <w:ilvl w:val="0"/>
          <w:numId w:val="31"/>
        </w:numPr>
      </w:pPr>
      <w:r w:rsidRPr="00D458DC">
        <w:lastRenderedPageBreak/>
        <w:t>any other adjustments required in appendix 1 of Ofgem’s open letter dated 31 July 2009 (Claw-back of tax benefit due to excess gearing)</w:t>
      </w:r>
      <w:r w:rsidRPr="00D458DC">
        <w:rPr>
          <w:vertAlign w:val="superscript"/>
        </w:rPr>
        <w:footnoteReference w:id="23"/>
      </w:r>
      <w:r w:rsidRPr="00D458DC">
        <w:t>.</w:t>
      </w:r>
    </w:p>
    <w:p w14:paraId="43D98814" w14:textId="37BA9C6B" w:rsidR="00FF0777" w:rsidRPr="00D458DC" w:rsidRDefault="00FF0777" w:rsidP="00F02D7B">
      <w:pPr>
        <w:pStyle w:val="Paragraph"/>
        <w:tabs>
          <w:tab w:val="clear" w:pos="1105"/>
          <w:tab w:val="num" w:pos="680"/>
        </w:tabs>
        <w:ind w:left="0"/>
      </w:pPr>
      <w:r w:rsidRPr="00D458DC">
        <w:t xml:space="preserve">For the purposes of the </w:t>
      </w:r>
      <w:r w:rsidR="00BD33DD" w:rsidRPr="00D458DC">
        <w:rPr>
          <w:bCs/>
          <w:szCs w:val="24"/>
        </w:rPr>
        <w:t xml:space="preserve">approach </w:t>
      </w:r>
      <w:r w:rsidRPr="00D458DC">
        <w:t xml:space="preserve">set out in </w:t>
      </w:r>
      <w:r w:rsidR="00BD33DD" w:rsidRPr="00D458DC">
        <w:t xml:space="preserve">the tax clawback </w:t>
      </w:r>
      <w:r w:rsidRPr="00D458DC">
        <w:t xml:space="preserve">section of this chapter, levels of debt, interest and </w:t>
      </w:r>
      <w:r w:rsidR="00D458DC" w:rsidRPr="00D458DC">
        <w:t>g</w:t>
      </w:r>
      <w:r w:rsidRPr="00D458DC">
        <w:t>earing are considered at licensee level, as opposed to any other level with respect to the corporate or ownership group of which the licensee is a member.</w:t>
      </w:r>
    </w:p>
    <w:p w14:paraId="36E771B5" w14:textId="13C33BCB" w:rsidR="00FF0777" w:rsidRDefault="00FF0777" w:rsidP="00792F81">
      <w:pPr>
        <w:spacing w:before="360"/>
        <w:rPr>
          <w:i/>
        </w:rPr>
      </w:pPr>
      <w:r>
        <w:rPr>
          <w:i/>
        </w:rPr>
        <w:t>Accounting framework</w:t>
      </w:r>
    </w:p>
    <w:p w14:paraId="657011F3" w14:textId="0E57100A" w:rsidR="00FF0777" w:rsidRPr="00FF0777" w:rsidRDefault="00BD33DD" w:rsidP="00F02D7B">
      <w:pPr>
        <w:pStyle w:val="Paragraph"/>
        <w:tabs>
          <w:tab w:val="clear" w:pos="1105"/>
          <w:tab w:val="num" w:pos="680"/>
        </w:tabs>
        <w:ind w:left="0"/>
      </w:pPr>
      <w:r w:rsidRPr="00367C30">
        <w:t>For the purposes of the approach set out in the tax trigger event and tax review sections of this chapter, t</w:t>
      </w:r>
      <w:r w:rsidR="00FF0777" w:rsidRPr="00367C30">
        <w:t>he accounting framework to be applied by the licensee for the purpose of computing tax liabilities is either</w:t>
      </w:r>
      <w:r w:rsidR="00FF0777" w:rsidRPr="00FF0777">
        <w:t>:</w:t>
      </w:r>
    </w:p>
    <w:p w14:paraId="176D9323" w14:textId="77777777" w:rsidR="00FF0777" w:rsidRPr="00B9080B" w:rsidRDefault="00FF0777" w:rsidP="008F1AC8">
      <w:pPr>
        <w:pStyle w:val="Text-Numbered"/>
        <w:numPr>
          <w:ilvl w:val="0"/>
          <w:numId w:val="25"/>
        </w:numPr>
      </w:pPr>
      <w:r w:rsidRPr="00B9080B">
        <w:rPr>
          <w:szCs w:val="20"/>
        </w:rPr>
        <w:t>EU-</w:t>
      </w:r>
      <w:r w:rsidRPr="00B9080B">
        <w:t>IFRS, if adopted for use by the licensee</w:t>
      </w:r>
      <w:r w:rsidRPr="00B9080B">
        <w:rPr>
          <w:vertAlign w:val="superscript"/>
        </w:rPr>
        <w:footnoteReference w:id="24"/>
      </w:r>
      <w:r w:rsidRPr="00B9080B">
        <w:t xml:space="preserve">; </w:t>
      </w:r>
    </w:p>
    <w:p w14:paraId="61B262DB" w14:textId="77777777" w:rsidR="00FF0777" w:rsidRPr="00B9080B" w:rsidRDefault="00FF0777" w:rsidP="008F1AC8">
      <w:pPr>
        <w:pStyle w:val="Text-Numbered"/>
        <w:numPr>
          <w:ilvl w:val="0"/>
          <w:numId w:val="25"/>
        </w:numPr>
      </w:pPr>
      <w:r w:rsidRPr="00B9080B">
        <w:t xml:space="preserve">Financial Reporting Standard 101, EU adopted IFRS with reduced disclosures; or </w:t>
      </w:r>
    </w:p>
    <w:p w14:paraId="65A30958" w14:textId="07F75B38" w:rsidR="00792F81" w:rsidRPr="00B9080B" w:rsidRDefault="00FF0777" w:rsidP="008F1AC8">
      <w:pPr>
        <w:pStyle w:val="Text-Numbered"/>
        <w:numPr>
          <w:ilvl w:val="0"/>
          <w:numId w:val="25"/>
        </w:numPr>
        <w:rPr>
          <w:szCs w:val="20"/>
        </w:rPr>
      </w:pPr>
      <w:r w:rsidRPr="00B9080B">
        <w:t>UK</w:t>
      </w:r>
      <w:r w:rsidRPr="00B9080B">
        <w:rPr>
          <w:szCs w:val="20"/>
        </w:rPr>
        <w:t xml:space="preserve"> GAAP under Financial Reporting Standard 102.</w:t>
      </w:r>
    </w:p>
    <w:p w14:paraId="106D2688" w14:textId="55F23895" w:rsidR="00890F82" w:rsidRDefault="00B63D97" w:rsidP="00FF0777">
      <w:pPr>
        <w:pStyle w:val="Heading2"/>
        <w:spacing w:before="360" w:line="360" w:lineRule="auto"/>
      </w:pPr>
      <w:bookmarkStart w:id="138" w:name="_Toc49194322"/>
      <w:bookmarkStart w:id="139" w:name="_Toc49249242"/>
      <w:bookmarkStart w:id="140" w:name="_Toc52357103"/>
      <w:r>
        <w:t>Tax trigger event</w:t>
      </w:r>
      <w:r w:rsidR="008D17FC">
        <w:t>s</w:t>
      </w:r>
      <w:bookmarkEnd w:id="138"/>
      <w:bookmarkEnd w:id="139"/>
      <w:bookmarkEnd w:id="140"/>
    </w:p>
    <w:p w14:paraId="3FD1C0E0" w14:textId="111BD861" w:rsidR="000C698E" w:rsidRPr="00C8221C" w:rsidRDefault="008E7945" w:rsidP="00F02D7B">
      <w:pPr>
        <w:pStyle w:val="Paragraph"/>
        <w:tabs>
          <w:tab w:val="clear" w:pos="1105"/>
          <w:tab w:val="num" w:pos="680"/>
        </w:tabs>
        <w:ind w:left="0"/>
      </w:pPr>
      <w:r>
        <w:rPr>
          <w:rFonts w:cs="Arial"/>
          <w:szCs w:val="24"/>
          <w:lang w:eastAsia="en-GB"/>
        </w:rPr>
        <w:t>The PCFM allows</w:t>
      </w:r>
      <w:r w:rsidR="00184828" w:rsidRPr="00BF5680">
        <w:rPr>
          <w:rFonts w:cs="Arial"/>
          <w:szCs w:val="24"/>
          <w:lang w:eastAsia="en-GB"/>
        </w:rPr>
        <w:t xml:space="preserve"> for </w:t>
      </w:r>
      <w:r w:rsidR="00CB4A0F">
        <w:rPr>
          <w:rFonts w:cs="Arial"/>
          <w:szCs w:val="24"/>
          <w:lang w:eastAsia="en-GB"/>
        </w:rPr>
        <w:t>chang</w:t>
      </w:r>
      <w:r w:rsidR="00142384">
        <w:rPr>
          <w:rFonts w:cs="Arial"/>
          <w:szCs w:val="24"/>
          <w:lang w:eastAsia="en-GB"/>
        </w:rPr>
        <w:t>es to</w:t>
      </w:r>
      <w:r w:rsidR="00CB4A0F">
        <w:rPr>
          <w:rFonts w:cs="Arial"/>
          <w:szCs w:val="24"/>
          <w:lang w:eastAsia="en-GB"/>
        </w:rPr>
        <w:t xml:space="preserve"> </w:t>
      </w:r>
      <w:r w:rsidR="00184828" w:rsidRPr="00BF5680">
        <w:rPr>
          <w:rFonts w:cs="Arial"/>
          <w:szCs w:val="24"/>
          <w:lang w:eastAsia="en-GB"/>
        </w:rPr>
        <w:t>a licensee’s tax liability allowance</w:t>
      </w:r>
      <w:r w:rsidR="00142384">
        <w:rPr>
          <w:rFonts w:cs="Arial"/>
          <w:szCs w:val="24"/>
          <w:lang w:eastAsia="en-GB"/>
        </w:rPr>
        <w:t>, through V</w:t>
      </w:r>
      <w:r w:rsidR="005E166B">
        <w:rPr>
          <w:rFonts w:cs="Arial"/>
          <w:szCs w:val="24"/>
          <w:lang w:eastAsia="en-GB"/>
        </w:rPr>
        <w:t xml:space="preserve">ariable </w:t>
      </w:r>
      <w:r w:rsidR="00142384">
        <w:rPr>
          <w:rFonts w:cs="Arial"/>
          <w:szCs w:val="24"/>
          <w:lang w:eastAsia="en-GB"/>
        </w:rPr>
        <w:t>V</w:t>
      </w:r>
      <w:r w:rsidR="005E166B">
        <w:rPr>
          <w:rFonts w:cs="Arial"/>
          <w:szCs w:val="24"/>
          <w:lang w:eastAsia="en-GB"/>
        </w:rPr>
        <w:t>alue</w:t>
      </w:r>
      <w:r w:rsidR="00B9080B">
        <w:rPr>
          <w:rFonts w:cs="Arial"/>
          <w:szCs w:val="24"/>
          <w:lang w:eastAsia="en-GB"/>
        </w:rPr>
        <w:t>s</w:t>
      </w:r>
      <w:r w:rsidR="00142384">
        <w:rPr>
          <w:rFonts w:cs="Arial"/>
          <w:szCs w:val="24"/>
          <w:lang w:eastAsia="en-GB"/>
        </w:rPr>
        <w:t xml:space="preserve"> </w:t>
      </w:r>
      <w:r w:rsidR="00142384" w:rsidRPr="007D4189">
        <w:rPr>
          <w:rFonts w:cs="Arial"/>
          <w:szCs w:val="24"/>
          <w:lang w:eastAsia="en-GB"/>
        </w:rPr>
        <w:t>TTE</w:t>
      </w:r>
      <w:r w:rsidR="00B9080B">
        <w:rPr>
          <w:rFonts w:cs="Arial"/>
          <w:szCs w:val="24"/>
          <w:lang w:eastAsia="en-GB"/>
        </w:rPr>
        <w:t xml:space="preserve"> and SOTTE</w:t>
      </w:r>
      <w:r w:rsidR="00142384">
        <w:rPr>
          <w:rFonts w:cs="Arial"/>
          <w:szCs w:val="24"/>
          <w:lang w:eastAsia="en-GB"/>
        </w:rPr>
        <w:t xml:space="preserve">, </w:t>
      </w:r>
      <w:r w:rsidR="00184828" w:rsidRPr="00BF5680">
        <w:rPr>
          <w:rFonts w:cs="Arial"/>
          <w:szCs w:val="24"/>
          <w:lang w:eastAsia="en-GB"/>
        </w:rPr>
        <w:t xml:space="preserve">for factors </w:t>
      </w:r>
      <w:r w:rsidR="00184828" w:rsidRPr="00C8221C">
        <w:t>exogenous to the licensee, its owners or controllers</w:t>
      </w:r>
      <w:r w:rsidR="00BF5680">
        <w:t xml:space="preserve"> </w:t>
      </w:r>
      <w:r w:rsidR="000C698E" w:rsidRPr="00C8221C">
        <w:t xml:space="preserve">that cause a change </w:t>
      </w:r>
      <w:r w:rsidR="00CB4A0F">
        <w:t>in its</w:t>
      </w:r>
      <w:r w:rsidR="000C698E" w:rsidRPr="00C8221C">
        <w:t xml:space="preserve"> notional tax liabilities</w:t>
      </w:r>
      <w:r>
        <w:rPr>
          <w:rStyle w:val="FootnoteReference"/>
        </w:rPr>
        <w:footnoteReference w:id="25"/>
      </w:r>
      <w:r w:rsidR="000C698E" w:rsidRPr="00C8221C">
        <w:t xml:space="preserve"> for one or more Regulatory Years</w:t>
      </w:r>
      <w:r w:rsidR="00184828">
        <w:t xml:space="preserve">.  </w:t>
      </w:r>
      <w:r w:rsidR="00BF5680">
        <w:t xml:space="preserve">These factors exclude changes to </w:t>
      </w:r>
      <w:r w:rsidR="00BF5680" w:rsidRPr="00BF5680">
        <w:rPr>
          <w:rFonts w:cs="Arial"/>
          <w:szCs w:val="24"/>
          <w:lang w:eastAsia="en-GB"/>
        </w:rPr>
        <w:t>the corporation tax rate and writing down allowance rates, which are accounted for with the V</w:t>
      </w:r>
      <w:r w:rsidR="005E166B">
        <w:rPr>
          <w:rFonts w:cs="Arial"/>
          <w:szCs w:val="24"/>
          <w:lang w:eastAsia="en-GB"/>
        </w:rPr>
        <w:t xml:space="preserve">ariable </w:t>
      </w:r>
      <w:r w:rsidR="00BF5680" w:rsidRPr="00BF5680">
        <w:rPr>
          <w:rFonts w:cs="Arial"/>
          <w:szCs w:val="24"/>
          <w:lang w:eastAsia="en-GB"/>
        </w:rPr>
        <w:t>V</w:t>
      </w:r>
      <w:r w:rsidR="005E166B">
        <w:rPr>
          <w:rFonts w:cs="Arial"/>
          <w:szCs w:val="24"/>
          <w:lang w:eastAsia="en-GB"/>
        </w:rPr>
        <w:t>alue</w:t>
      </w:r>
      <w:r w:rsidR="00BF5680" w:rsidRPr="00BF5680">
        <w:rPr>
          <w:rFonts w:cs="Arial"/>
          <w:szCs w:val="24"/>
          <w:lang w:eastAsia="en-GB"/>
        </w:rPr>
        <w:t>s [</w:t>
      </w:r>
      <w:r w:rsidR="00BF5680" w:rsidRPr="007D4189">
        <w:rPr>
          <w:rFonts w:cs="Arial"/>
          <w:szCs w:val="24"/>
          <w:lang w:eastAsia="en-GB"/>
        </w:rPr>
        <w:t>X</w:t>
      </w:r>
      <w:r w:rsidRPr="007D4189">
        <w:rPr>
          <w:rFonts w:cs="Arial"/>
          <w:szCs w:val="24"/>
          <w:lang w:eastAsia="en-GB"/>
        </w:rPr>
        <w:t>X</w:t>
      </w:r>
      <w:r w:rsidR="00BF5680" w:rsidRPr="007D4189">
        <w:rPr>
          <w:rFonts w:cs="Arial"/>
          <w:szCs w:val="24"/>
          <w:lang w:eastAsia="en-GB"/>
        </w:rPr>
        <w:t>X etc.]</w:t>
      </w:r>
      <w:r w:rsidR="00A33C32" w:rsidRPr="007D4189">
        <w:rPr>
          <w:rFonts w:cs="Arial"/>
          <w:szCs w:val="24"/>
          <w:lang w:eastAsia="en-GB"/>
        </w:rPr>
        <w:t>,</w:t>
      </w:r>
      <w:r w:rsidR="00A33C32">
        <w:rPr>
          <w:rFonts w:cs="Arial"/>
          <w:szCs w:val="24"/>
          <w:lang w:eastAsia="en-GB"/>
        </w:rPr>
        <w:t xml:space="preserve"> </w:t>
      </w:r>
      <w:r w:rsidR="008A7EBF">
        <w:rPr>
          <w:rFonts w:cs="Arial"/>
          <w:szCs w:val="24"/>
          <w:lang w:eastAsia="en-GB"/>
        </w:rPr>
        <w:t>but</w:t>
      </w:r>
      <w:r w:rsidR="00A33C32">
        <w:rPr>
          <w:rFonts w:cs="Arial"/>
          <w:szCs w:val="24"/>
          <w:lang w:eastAsia="en-GB"/>
        </w:rPr>
        <w:t xml:space="preserve"> include</w:t>
      </w:r>
      <w:r w:rsidR="000C698E" w:rsidRPr="00C8221C">
        <w:t>:</w:t>
      </w:r>
    </w:p>
    <w:p w14:paraId="6CE117BB" w14:textId="77777777" w:rsidR="000C698E" w:rsidRPr="00184828" w:rsidRDefault="000C698E" w:rsidP="008F1AC8">
      <w:pPr>
        <w:pStyle w:val="Text-Numbered"/>
        <w:numPr>
          <w:ilvl w:val="0"/>
          <w:numId w:val="32"/>
        </w:numPr>
      </w:pPr>
      <w:r w:rsidRPr="00184828">
        <w:rPr>
          <w:szCs w:val="20"/>
        </w:rPr>
        <w:t xml:space="preserve">changes </w:t>
      </w:r>
      <w:r w:rsidRPr="00184828">
        <w:t>to applicable legislation;</w:t>
      </w:r>
    </w:p>
    <w:p w14:paraId="12585048" w14:textId="77777777" w:rsidR="000C698E" w:rsidRPr="00184828" w:rsidRDefault="000C698E" w:rsidP="008F1AC8">
      <w:pPr>
        <w:pStyle w:val="Text-Numbered"/>
        <w:numPr>
          <w:ilvl w:val="0"/>
          <w:numId w:val="32"/>
        </w:numPr>
      </w:pPr>
      <w:r w:rsidRPr="00184828">
        <w:t>the setting of legal precedents through case law;</w:t>
      </w:r>
    </w:p>
    <w:p w14:paraId="610C8AA2" w14:textId="77777777" w:rsidR="000C698E" w:rsidRPr="00184828" w:rsidRDefault="000C698E" w:rsidP="008F1AC8">
      <w:pPr>
        <w:pStyle w:val="Text-Numbered"/>
        <w:numPr>
          <w:ilvl w:val="0"/>
          <w:numId w:val="32"/>
        </w:numPr>
      </w:pPr>
      <w:r w:rsidRPr="00184828">
        <w:t>changes to HMRC interpretation of legislation; and</w:t>
      </w:r>
    </w:p>
    <w:p w14:paraId="7EEBEC98" w14:textId="16E6D1AA" w:rsidR="00CB4A0F" w:rsidRPr="00CB4A0F" w:rsidRDefault="000C698E" w:rsidP="008F1AC8">
      <w:pPr>
        <w:pStyle w:val="Text-Numbered"/>
        <w:numPr>
          <w:ilvl w:val="0"/>
          <w:numId w:val="32"/>
        </w:numPr>
      </w:pPr>
      <w:r w:rsidRPr="00184828">
        <w:t>changes in accounting standards.</w:t>
      </w:r>
    </w:p>
    <w:p w14:paraId="20B8A69F" w14:textId="3FAA0604" w:rsidR="000C698E" w:rsidRPr="00BF5680" w:rsidRDefault="00BF5680" w:rsidP="00A23E59">
      <w:pPr>
        <w:keepNext/>
        <w:spacing w:before="360"/>
        <w:rPr>
          <w:i/>
        </w:rPr>
      </w:pPr>
      <w:r w:rsidRPr="00BF5680">
        <w:rPr>
          <w:i/>
        </w:rPr>
        <w:lastRenderedPageBreak/>
        <w:t>Notification of Tax Trigger Events</w:t>
      </w:r>
    </w:p>
    <w:p w14:paraId="7EEDB310" w14:textId="0E137A64" w:rsidR="000C698E" w:rsidRPr="00C8221C" w:rsidRDefault="000C698E" w:rsidP="00F02D7B">
      <w:pPr>
        <w:pStyle w:val="Paragraph"/>
        <w:tabs>
          <w:tab w:val="clear" w:pos="1105"/>
          <w:tab w:val="num" w:pos="680"/>
        </w:tabs>
        <w:ind w:left="0"/>
      </w:pPr>
      <w:bookmarkStart w:id="141" w:name="_Ref398195792"/>
      <w:bookmarkStart w:id="142" w:name="_Ref41916804"/>
      <w:r w:rsidRPr="00C8221C">
        <w:t xml:space="preserve">The licensee must notify Ofgem on or before 30 September in each Regulatory Year t-1 of all the </w:t>
      </w:r>
      <w:r w:rsidR="00BF5680">
        <w:t>tax</w:t>
      </w:r>
      <w:r w:rsidRPr="00C8221C">
        <w:t xml:space="preserve"> trigger events that it has become aware of by that time, except those that have been previously notified. This requirement applies equally to events that could be expected to increase or to reduce the licensee’s tax liability allowances.</w:t>
      </w:r>
      <w:bookmarkEnd w:id="141"/>
      <w:r w:rsidR="00BF5680">
        <w:t xml:space="preserve">  F</w:t>
      </w:r>
      <w:r w:rsidRPr="00C8221C">
        <w:t>or the purpose of complying with th</w:t>
      </w:r>
      <w:r w:rsidR="00BF5680">
        <w:t>is</w:t>
      </w:r>
      <w:r w:rsidRPr="00C8221C">
        <w:t xml:space="preserve"> requirement, the licensee must seek to ensure that it identifies and records </w:t>
      </w:r>
      <w:r w:rsidR="00BF5680">
        <w:t xml:space="preserve">tax </w:t>
      </w:r>
      <w:r w:rsidRPr="00C8221C">
        <w:t>trigger events.</w:t>
      </w:r>
      <w:bookmarkEnd w:id="142"/>
    </w:p>
    <w:p w14:paraId="7FFB6C90" w14:textId="536892F9" w:rsidR="000C698E" w:rsidRPr="00CB4A0F" w:rsidRDefault="000C698E" w:rsidP="00F02D7B">
      <w:pPr>
        <w:pStyle w:val="Paragraph"/>
        <w:tabs>
          <w:tab w:val="clear" w:pos="1105"/>
          <w:tab w:val="num" w:pos="680"/>
        </w:tabs>
        <w:ind w:left="0"/>
      </w:pPr>
      <w:r w:rsidRPr="00CB4A0F">
        <w:t xml:space="preserve">The notification should include, in respect of each </w:t>
      </w:r>
      <w:r w:rsidR="00BF5680" w:rsidRPr="00CB4A0F">
        <w:t>tax</w:t>
      </w:r>
      <w:r w:rsidRPr="00CB4A0F">
        <w:t xml:space="preserve"> trigger event:</w:t>
      </w:r>
    </w:p>
    <w:p w14:paraId="6B80C4F9" w14:textId="5C840A65" w:rsidR="000C698E" w:rsidRPr="00CB4A0F" w:rsidRDefault="000C698E" w:rsidP="008F1AC8">
      <w:pPr>
        <w:pStyle w:val="Text-Numbered"/>
        <w:numPr>
          <w:ilvl w:val="0"/>
          <w:numId w:val="26"/>
        </w:numPr>
      </w:pPr>
      <w:r w:rsidRPr="00CB4A0F">
        <w:t>a description of the event;</w:t>
      </w:r>
    </w:p>
    <w:p w14:paraId="46117D9E" w14:textId="585C5E8C" w:rsidR="000C698E" w:rsidRPr="00CB4A0F" w:rsidRDefault="000C698E" w:rsidP="008F1AC8">
      <w:pPr>
        <w:pStyle w:val="Text-Numbered"/>
        <w:numPr>
          <w:ilvl w:val="0"/>
          <w:numId w:val="26"/>
        </w:numPr>
      </w:pPr>
      <w:r w:rsidRPr="00CB4A0F">
        <w:t>the changes in tax liability allowances that the event is considered to have caused and the Regulatory Years to which they relate;</w:t>
      </w:r>
    </w:p>
    <w:p w14:paraId="280CE54D" w14:textId="4F99443E" w:rsidR="000C698E" w:rsidRPr="00CB4A0F" w:rsidRDefault="000C698E" w:rsidP="008F1AC8">
      <w:pPr>
        <w:pStyle w:val="Text-Numbered"/>
        <w:numPr>
          <w:ilvl w:val="0"/>
          <w:numId w:val="26"/>
        </w:numPr>
      </w:pPr>
      <w:r w:rsidRPr="00CB4A0F">
        <w:t xml:space="preserve">the calculations (including all relevant parameters and values) that the licensee used to arrive at the amounts referred to in subparagraph (b) – in performing these calculations the licensee should include a ‘tax allowance on tax allowance’ factor as explained in paragraph </w:t>
      </w:r>
      <w:r w:rsidR="00306E7C">
        <w:fldChar w:fldCharType="begin"/>
      </w:r>
      <w:r w:rsidR="00306E7C">
        <w:instrText xml:space="preserve"> REF _Ref50632958 \r \h </w:instrText>
      </w:r>
      <w:r w:rsidR="00306E7C">
        <w:fldChar w:fldCharType="separate"/>
      </w:r>
      <w:r w:rsidR="00C21C6D">
        <w:t>6.6</w:t>
      </w:r>
      <w:r w:rsidR="00306E7C">
        <w:fldChar w:fldCharType="end"/>
      </w:r>
      <w:r w:rsidRPr="00CB4A0F">
        <w:t xml:space="preserve"> but should ignore the tax trigger deadband; </w:t>
      </w:r>
    </w:p>
    <w:p w14:paraId="11C578B7" w14:textId="7DA9AAFA" w:rsidR="000C698E" w:rsidRPr="00CB4A0F" w:rsidRDefault="000C698E" w:rsidP="008F1AC8">
      <w:pPr>
        <w:pStyle w:val="Text-Numbered"/>
        <w:numPr>
          <w:ilvl w:val="0"/>
          <w:numId w:val="26"/>
        </w:numPr>
      </w:pPr>
      <w:r w:rsidRPr="00CB4A0F">
        <w:t>any relevant information provided by HMRC in relation to the event;</w:t>
      </w:r>
    </w:p>
    <w:p w14:paraId="5FB4D1BB" w14:textId="4C2AB14D" w:rsidR="000C698E" w:rsidRPr="00CB4A0F" w:rsidRDefault="000C698E" w:rsidP="008F1AC8">
      <w:pPr>
        <w:pStyle w:val="Text-Numbered"/>
        <w:numPr>
          <w:ilvl w:val="0"/>
          <w:numId w:val="26"/>
        </w:numPr>
      </w:pPr>
      <w:r w:rsidRPr="00CB4A0F">
        <w:t>evidence of mitigating measures that the licensee has taken to minimise any additional liabilities arising from the event; and</w:t>
      </w:r>
    </w:p>
    <w:p w14:paraId="36DED730" w14:textId="691A60F7" w:rsidR="000C698E" w:rsidRPr="00CB4A0F" w:rsidRDefault="000C698E" w:rsidP="008F1AC8">
      <w:pPr>
        <w:pStyle w:val="Text-Numbered"/>
        <w:numPr>
          <w:ilvl w:val="0"/>
          <w:numId w:val="26"/>
        </w:numPr>
      </w:pPr>
      <w:r w:rsidRPr="00CB4A0F">
        <w:t>comments by the licensee on:</w:t>
      </w:r>
    </w:p>
    <w:p w14:paraId="1DF227A1" w14:textId="77777777" w:rsidR="000C698E" w:rsidRPr="00CB4A0F" w:rsidRDefault="000C698E" w:rsidP="008F1AC8">
      <w:pPr>
        <w:pStyle w:val="Text-Numbered"/>
        <w:numPr>
          <w:ilvl w:val="1"/>
          <w:numId w:val="30"/>
        </w:numPr>
      </w:pPr>
      <w:r w:rsidRPr="00CB4A0F">
        <w:t>the relevance of the event to its tax position,</w:t>
      </w:r>
    </w:p>
    <w:p w14:paraId="6DE70122" w14:textId="77777777" w:rsidR="000C698E" w:rsidRPr="00CB4A0F" w:rsidRDefault="000C698E" w:rsidP="008F1AC8">
      <w:pPr>
        <w:pStyle w:val="Text-Numbered"/>
        <w:numPr>
          <w:ilvl w:val="1"/>
          <w:numId w:val="30"/>
        </w:numPr>
      </w:pPr>
      <w:r w:rsidRPr="00CB4A0F">
        <w:t xml:space="preserve">whether grounds exist to contest the applicability of the event to the licensee, and </w:t>
      </w:r>
    </w:p>
    <w:p w14:paraId="522377A7" w14:textId="77777777" w:rsidR="000C698E" w:rsidRPr="00CB4A0F" w:rsidRDefault="000C698E" w:rsidP="008F1AC8">
      <w:pPr>
        <w:pStyle w:val="Text-Numbered"/>
        <w:numPr>
          <w:ilvl w:val="1"/>
          <w:numId w:val="30"/>
        </w:numPr>
        <w:rPr>
          <w:szCs w:val="20"/>
        </w:rPr>
      </w:pPr>
      <w:r w:rsidRPr="00CB4A0F">
        <w:t>the reporting treatment the licensee expects to apply in its tax submissions to HMRC and in its Regulatory</w:t>
      </w:r>
      <w:r w:rsidRPr="00CB4A0F">
        <w:rPr>
          <w:szCs w:val="20"/>
        </w:rPr>
        <w:t xml:space="preserve"> Accounts.</w:t>
      </w:r>
    </w:p>
    <w:p w14:paraId="35B216B6" w14:textId="1E055997" w:rsidR="000C698E" w:rsidRPr="00C8221C" w:rsidRDefault="000C698E" w:rsidP="00F02D7B">
      <w:pPr>
        <w:pStyle w:val="Paragraph"/>
        <w:tabs>
          <w:tab w:val="clear" w:pos="1105"/>
          <w:tab w:val="num" w:pos="680"/>
        </w:tabs>
        <w:ind w:left="0"/>
      </w:pPr>
      <w:r w:rsidRPr="00C8221C">
        <w:t xml:space="preserve">The licensee’s notification should also state whether it considers that the materiality threshold (see paragraph </w:t>
      </w:r>
      <w:r w:rsidR="00C374C3">
        <w:fldChar w:fldCharType="begin"/>
      </w:r>
      <w:r w:rsidR="00C374C3">
        <w:instrText xml:space="preserve"> REF _Ref41916779 \r \h </w:instrText>
      </w:r>
      <w:r w:rsidR="00C374C3">
        <w:fldChar w:fldCharType="separate"/>
      </w:r>
      <w:r w:rsidR="00C21C6D">
        <w:t>6.24</w:t>
      </w:r>
      <w:r w:rsidR="00C374C3">
        <w:fldChar w:fldCharType="end"/>
      </w:r>
      <w:r w:rsidRPr="00C8221C">
        <w:t>) has been exceeded for the Regulatory Year(s) concerned, taking into account the total net amount of tax liability changes (upward and downward) included in the current notification and any previous notifications.</w:t>
      </w:r>
    </w:p>
    <w:p w14:paraId="0C1E242E" w14:textId="21DBCD37" w:rsidR="000C698E" w:rsidRPr="00C8221C" w:rsidRDefault="000C698E" w:rsidP="00F02D7B">
      <w:pPr>
        <w:pStyle w:val="Paragraph"/>
        <w:tabs>
          <w:tab w:val="clear" w:pos="1105"/>
          <w:tab w:val="num" w:pos="680"/>
        </w:tabs>
        <w:ind w:left="0"/>
      </w:pPr>
      <w:r w:rsidRPr="00C8221C">
        <w:t xml:space="preserve">Ofgem will review any notifications given to it by the licensee under paragraph </w:t>
      </w:r>
      <w:r w:rsidR="00C374C3">
        <w:fldChar w:fldCharType="begin"/>
      </w:r>
      <w:r w:rsidR="00C374C3">
        <w:instrText xml:space="preserve"> REF _Ref41916804 \r \h </w:instrText>
      </w:r>
      <w:r w:rsidR="00C374C3">
        <w:fldChar w:fldCharType="separate"/>
      </w:r>
      <w:r w:rsidR="00C21C6D">
        <w:t>6.14</w:t>
      </w:r>
      <w:r w:rsidR="00C374C3">
        <w:fldChar w:fldCharType="end"/>
      </w:r>
      <w:r w:rsidRPr="00C8221C">
        <w:t xml:space="preserve"> and may ask the licensee:</w:t>
      </w:r>
    </w:p>
    <w:p w14:paraId="7B5EA6F0" w14:textId="77777777" w:rsidR="000C698E" w:rsidRPr="00C374C3" w:rsidRDefault="000C698E" w:rsidP="008F1AC8">
      <w:pPr>
        <w:pStyle w:val="Text-Numbered"/>
        <w:numPr>
          <w:ilvl w:val="0"/>
          <w:numId w:val="27"/>
        </w:numPr>
      </w:pPr>
      <w:r w:rsidRPr="00C374C3">
        <w:rPr>
          <w:szCs w:val="20"/>
        </w:rPr>
        <w:t xml:space="preserve">for </w:t>
      </w:r>
      <w:r w:rsidRPr="00C374C3">
        <w:t xml:space="preserve">additional information in respect of one or more of the notified events; and/or </w:t>
      </w:r>
    </w:p>
    <w:p w14:paraId="79374829" w14:textId="77777777" w:rsidR="000C698E" w:rsidRPr="00C374C3" w:rsidRDefault="000C698E" w:rsidP="008F1AC8">
      <w:pPr>
        <w:pStyle w:val="Text-Numbered"/>
        <w:numPr>
          <w:ilvl w:val="0"/>
          <w:numId w:val="27"/>
        </w:numPr>
        <w:rPr>
          <w:szCs w:val="20"/>
        </w:rPr>
      </w:pPr>
      <w:r w:rsidRPr="00C374C3">
        <w:lastRenderedPageBreak/>
        <w:t>to submit the results of agreed upon audit procedures specified by Ofgem and carried out by the licensee’s Appropriate Auditor, to assist in confirming the appropriateness and accuracy of the</w:t>
      </w:r>
      <w:r w:rsidRPr="00C374C3">
        <w:rPr>
          <w:szCs w:val="20"/>
        </w:rPr>
        <w:t xml:space="preserve"> licensee’s calculations.</w:t>
      </w:r>
    </w:p>
    <w:p w14:paraId="58D83A37" w14:textId="79D79F22" w:rsidR="000C698E" w:rsidRPr="00C8221C" w:rsidRDefault="000C698E" w:rsidP="00F02D7B">
      <w:pPr>
        <w:pStyle w:val="Paragraph"/>
        <w:tabs>
          <w:tab w:val="clear" w:pos="1105"/>
          <w:tab w:val="num" w:pos="680"/>
        </w:tabs>
        <w:ind w:left="0"/>
      </w:pPr>
      <w:bookmarkStart w:id="143" w:name="_Ref398196000"/>
      <w:r w:rsidRPr="00C8221C">
        <w:t xml:space="preserve">Ofgem will inform the licensee by 31 October in the same Regulatory Year t-1 whether, in respect of each </w:t>
      </w:r>
      <w:r w:rsidR="00C374C3">
        <w:t>tax</w:t>
      </w:r>
      <w:r w:rsidRPr="00C8221C">
        <w:t xml:space="preserve"> trigger event:</w:t>
      </w:r>
      <w:bookmarkEnd w:id="143"/>
      <w:r w:rsidRPr="00C8221C">
        <w:t xml:space="preserve"> </w:t>
      </w:r>
    </w:p>
    <w:p w14:paraId="7A3E2A6A" w14:textId="07B1E6CF" w:rsidR="000C698E" w:rsidRPr="00A33C32" w:rsidRDefault="000C698E" w:rsidP="008F1AC8">
      <w:pPr>
        <w:pStyle w:val="Text-Numbered"/>
        <w:numPr>
          <w:ilvl w:val="0"/>
          <w:numId w:val="28"/>
        </w:numPr>
      </w:pPr>
      <w:r w:rsidRPr="00A33C32">
        <w:rPr>
          <w:szCs w:val="20"/>
        </w:rPr>
        <w:t xml:space="preserve">it </w:t>
      </w:r>
      <w:r w:rsidRPr="00A33C32">
        <w:t>has agreed (on a provisional or confirmed basis) the change in tax liabilities figure calculated by the licensee;</w:t>
      </w:r>
    </w:p>
    <w:p w14:paraId="3DEE2DED" w14:textId="598138D0" w:rsidR="000C698E" w:rsidRPr="00A33C32" w:rsidRDefault="000C698E" w:rsidP="008F1AC8">
      <w:pPr>
        <w:pStyle w:val="Text-Numbered"/>
        <w:numPr>
          <w:ilvl w:val="0"/>
          <w:numId w:val="28"/>
        </w:numPr>
        <w:rPr>
          <w:szCs w:val="20"/>
        </w:rPr>
      </w:pPr>
      <w:r w:rsidRPr="00A33C32">
        <w:t>it has determined (on a provisional or confirmed basis) a different change in tax</w:t>
      </w:r>
      <w:r w:rsidRPr="00A33C32">
        <w:rPr>
          <w:szCs w:val="20"/>
        </w:rPr>
        <w:t xml:space="preserve"> liabilities figure from that calculated by the licensee; or</w:t>
      </w:r>
    </w:p>
    <w:p w14:paraId="7564BC07" w14:textId="31DD0E4D" w:rsidR="000C698E" w:rsidRPr="00A33C32" w:rsidRDefault="000C698E" w:rsidP="008F1AC8">
      <w:pPr>
        <w:pStyle w:val="Text-Numbered"/>
        <w:numPr>
          <w:ilvl w:val="0"/>
          <w:numId w:val="28"/>
        </w:numPr>
        <w:rPr>
          <w:szCs w:val="20"/>
        </w:rPr>
      </w:pPr>
      <w:r w:rsidRPr="00A33C32">
        <w:rPr>
          <w:szCs w:val="20"/>
        </w:rPr>
        <w:t>it has decided that consideration of any change in tax liabilities should be deferred until further/better information is available.</w:t>
      </w:r>
    </w:p>
    <w:p w14:paraId="348E5E11" w14:textId="60974C32" w:rsidR="000C698E" w:rsidRPr="00C8221C" w:rsidRDefault="000C698E" w:rsidP="00F02D7B">
      <w:pPr>
        <w:pStyle w:val="Paragraph"/>
        <w:tabs>
          <w:tab w:val="clear" w:pos="1105"/>
          <w:tab w:val="num" w:pos="680"/>
        </w:tabs>
        <w:ind w:left="0"/>
      </w:pPr>
      <w:r w:rsidRPr="00C8221C">
        <w:t xml:space="preserve">In deciding which of the actions set out in paragraph </w:t>
      </w:r>
      <w:r w:rsidR="00C374C3">
        <w:fldChar w:fldCharType="begin"/>
      </w:r>
      <w:r w:rsidR="00C374C3">
        <w:instrText xml:space="preserve"> REF _Ref398196000 \r \h </w:instrText>
      </w:r>
      <w:r w:rsidR="00C374C3">
        <w:fldChar w:fldCharType="separate"/>
      </w:r>
      <w:r w:rsidR="00C21C6D">
        <w:t>6.18</w:t>
      </w:r>
      <w:r w:rsidR="00C374C3">
        <w:fldChar w:fldCharType="end"/>
      </w:r>
      <w:r w:rsidRPr="00C8221C">
        <w:t xml:space="preserve"> should be taken, Ofgem will, without limitation, take account of whether the licensee has conclusively agreed its tax liabilities for the Regulatory Year concerned with HMRC.  Where there has been a provisional agreement/determination or a deferral of consideration, the </w:t>
      </w:r>
      <w:r w:rsidRPr="007D4189">
        <w:t>TTE</w:t>
      </w:r>
      <w:r w:rsidR="00B9080B">
        <w:t xml:space="preserve"> and / or SOTTE</w:t>
      </w:r>
      <w:r w:rsidRPr="00C8221C">
        <w:t xml:space="preserve"> values concerned will be subject to further revision for the purposes of a later A</w:t>
      </w:r>
      <w:r w:rsidR="00C374C3">
        <w:t>IP</w:t>
      </w:r>
      <w:r w:rsidRPr="00C8221C">
        <w:t>.</w:t>
      </w:r>
    </w:p>
    <w:p w14:paraId="54BB8006" w14:textId="1DAE1743" w:rsidR="000C698E" w:rsidRDefault="000C698E" w:rsidP="00F02D7B">
      <w:pPr>
        <w:pStyle w:val="Paragraph"/>
        <w:tabs>
          <w:tab w:val="clear" w:pos="1105"/>
          <w:tab w:val="num" w:pos="680"/>
        </w:tabs>
        <w:ind w:left="0"/>
      </w:pPr>
      <w:bookmarkStart w:id="144" w:name="_Ref398196076"/>
      <w:r w:rsidRPr="00C8221C">
        <w:t xml:space="preserve">Where Ofgem </w:t>
      </w:r>
      <w:r w:rsidR="008A7EBF">
        <w:t xml:space="preserve">decides to use </w:t>
      </w:r>
      <w:r w:rsidRPr="00C8221C">
        <w:t>a different change in tax liabilities figure from that calculated by the licensee or decides that consideration of any change in tax liabilities should be deferred, it will set out its reasons and/or calculations. The licensee has the right to reply setting out its objections, which Ofgem will consider.</w:t>
      </w:r>
      <w:bookmarkEnd w:id="144"/>
    </w:p>
    <w:p w14:paraId="65ABE8F1" w14:textId="08061E51" w:rsidR="00902DE6" w:rsidRPr="00C8221C" w:rsidRDefault="00902DE6" w:rsidP="00F02D7B">
      <w:pPr>
        <w:pStyle w:val="Paragraph"/>
        <w:tabs>
          <w:tab w:val="clear" w:pos="1105"/>
          <w:tab w:val="num" w:pos="680"/>
        </w:tabs>
        <w:ind w:left="0"/>
      </w:pPr>
      <w:bookmarkStart w:id="145" w:name="_Ref398196090"/>
      <w:r w:rsidRPr="00C8221C">
        <w:t xml:space="preserve">Ofgem will also notify the licensee by 31 October in each Regulatory Year t-1 of any </w:t>
      </w:r>
      <w:r w:rsidR="0043641F">
        <w:t>tax</w:t>
      </w:r>
      <w:r w:rsidRPr="00C8221C">
        <w:t xml:space="preserve"> trigger events that it proposes to take into account that have not been included in a notification sent to Ofgem by the licensee. The licensee has the right to reply setting out its objections, which Ofgem will consider.</w:t>
      </w:r>
      <w:bookmarkEnd w:id="145"/>
      <w:r w:rsidR="005C09AA">
        <w:t xml:space="preserve"> </w:t>
      </w:r>
    </w:p>
    <w:p w14:paraId="726E4181" w14:textId="75D1659C" w:rsidR="000C698E" w:rsidRDefault="000C698E" w:rsidP="00F02D7B">
      <w:pPr>
        <w:pStyle w:val="Paragraph"/>
        <w:tabs>
          <w:tab w:val="clear" w:pos="1105"/>
          <w:tab w:val="num" w:pos="680"/>
        </w:tabs>
        <w:ind w:left="0"/>
      </w:pPr>
      <w:r w:rsidRPr="00C8221C">
        <w:t xml:space="preserve">If Ofgem has not finished considering any matters raised by the licensee under paragraph </w:t>
      </w:r>
      <w:r w:rsidR="00902DE6">
        <w:fldChar w:fldCharType="begin"/>
      </w:r>
      <w:r w:rsidR="00902DE6">
        <w:instrText xml:space="preserve"> REF _Ref398196076 \r \h </w:instrText>
      </w:r>
      <w:r w:rsidR="00902DE6">
        <w:fldChar w:fldCharType="separate"/>
      </w:r>
      <w:r w:rsidR="00C21C6D">
        <w:t>6.20</w:t>
      </w:r>
      <w:r w:rsidR="00902DE6">
        <w:fldChar w:fldCharType="end"/>
      </w:r>
      <w:r w:rsidRPr="00C8221C">
        <w:t xml:space="preserve"> or paragraph </w:t>
      </w:r>
      <w:r w:rsidR="00902DE6">
        <w:fldChar w:fldCharType="begin"/>
      </w:r>
      <w:r w:rsidR="00902DE6">
        <w:instrText xml:space="preserve"> REF _Ref398196090 \r \h </w:instrText>
      </w:r>
      <w:r w:rsidR="00902DE6">
        <w:fldChar w:fldCharType="separate"/>
      </w:r>
      <w:r w:rsidR="00C21C6D">
        <w:t>6.21</w:t>
      </w:r>
      <w:r w:rsidR="00902DE6">
        <w:fldChar w:fldCharType="end"/>
      </w:r>
      <w:r w:rsidRPr="00C8221C">
        <w:t xml:space="preserve"> before </w:t>
      </w:r>
      <w:r w:rsidR="00AC2A06">
        <w:t>notifying the licensee of tax trigger events that it proposed to take into account</w:t>
      </w:r>
      <w:r w:rsidRPr="00C8221C">
        <w:t xml:space="preserve">, the Authority will through business correspondence, apprise the licensee of any provisionality it has applied in determining the revised </w:t>
      </w:r>
      <w:r w:rsidRPr="007D4189">
        <w:t>TTE</w:t>
      </w:r>
      <w:r w:rsidR="00B9080B">
        <w:t xml:space="preserve"> and / or SOTTE</w:t>
      </w:r>
      <w:r w:rsidRPr="00C8221C">
        <w:t xml:space="preserve"> values that it proposes to </w:t>
      </w:r>
      <w:r w:rsidR="00AC2A06">
        <w:t>apply</w:t>
      </w:r>
      <w:r w:rsidRPr="00C8221C">
        <w:t>, that might entail a further revision to those values for use in the next A</w:t>
      </w:r>
      <w:r w:rsidR="00902DE6">
        <w:t>IP</w:t>
      </w:r>
      <w:r w:rsidRPr="00C8221C">
        <w:t>.</w:t>
      </w:r>
    </w:p>
    <w:p w14:paraId="037EF994" w14:textId="7ABBD235" w:rsidR="008E7945" w:rsidRPr="00C8221C" w:rsidRDefault="008E7945" w:rsidP="00F02D7B">
      <w:pPr>
        <w:pStyle w:val="Paragraph"/>
        <w:tabs>
          <w:tab w:val="clear" w:pos="1105"/>
          <w:tab w:val="num" w:pos="680"/>
        </w:tabs>
        <w:ind w:left="0"/>
      </w:pPr>
      <w:r w:rsidRPr="00C8221C">
        <w:lastRenderedPageBreak/>
        <w:t xml:space="preserve">Where a </w:t>
      </w:r>
      <w:r>
        <w:t>tax trigger</w:t>
      </w:r>
      <w:r w:rsidRPr="00C8221C">
        <w:t xml:space="preserve"> event </w:t>
      </w:r>
      <w:r>
        <w:t xml:space="preserve">changes the allocation of allowable expenditure into different </w:t>
      </w:r>
      <w:r w:rsidRPr="00C8221C">
        <w:t>statutory capital allowance pools</w:t>
      </w:r>
      <w:r>
        <w:t>,</w:t>
      </w:r>
      <w:r w:rsidRPr="00C8221C">
        <w:t xml:space="preserve"> </w:t>
      </w:r>
      <w:r>
        <w:t xml:space="preserve">the applicable allocation and allowance rates will be adjusted to take into account the new expected allocation basis </w:t>
      </w:r>
      <w:r w:rsidRPr="00C8221C">
        <w:t>from the effectiv</w:t>
      </w:r>
      <w:r w:rsidR="00457BC4">
        <w:t xml:space="preserve">e date of the new requirement. </w:t>
      </w:r>
      <w:r w:rsidRPr="00C8221C">
        <w:t>Ofgem will work with licensees to agree the financial effect of revised tax pool allocation requirements where these are not straightforward.</w:t>
      </w:r>
    </w:p>
    <w:p w14:paraId="79F667C4" w14:textId="77777777" w:rsidR="00CB4A0F" w:rsidRPr="00C8221C" w:rsidRDefault="00CB4A0F" w:rsidP="00CB4A0F">
      <w:bookmarkStart w:id="146" w:name="_Toc491178405"/>
      <w:r w:rsidRPr="000C698E">
        <w:rPr>
          <w:i/>
        </w:rPr>
        <w:t>Materiality threshold and ‘deadband’</w:t>
      </w:r>
      <w:bookmarkEnd w:id="146"/>
    </w:p>
    <w:p w14:paraId="7CF7D0B2" w14:textId="4F1E083A" w:rsidR="00CB4A0F" w:rsidRPr="007D4189" w:rsidRDefault="00CB4A0F" w:rsidP="00F02D7B">
      <w:pPr>
        <w:pStyle w:val="Paragraph"/>
        <w:tabs>
          <w:tab w:val="clear" w:pos="1105"/>
          <w:tab w:val="num" w:pos="680"/>
        </w:tabs>
        <w:ind w:left="0"/>
      </w:pPr>
      <w:bookmarkStart w:id="147" w:name="_Ref398195838"/>
      <w:bookmarkStart w:id="148" w:name="_Ref41916779"/>
      <w:r w:rsidRPr="007D4189">
        <w:t>A materiality threshold is applied to tax trigger events during the Price Control Period and a £m threshold amount for each Re</w:t>
      </w:r>
      <w:r w:rsidR="00582B54">
        <w:t>gulatory Year is included among</w:t>
      </w:r>
      <w:r w:rsidRPr="007D4189">
        <w:t xml:space="preserve"> the fixed values on the Tax Trigger sheet for the licensee in the PCFM.</w:t>
      </w:r>
      <w:bookmarkEnd w:id="147"/>
      <w:bookmarkEnd w:id="148"/>
    </w:p>
    <w:p w14:paraId="6694EA62" w14:textId="131361BC" w:rsidR="001821C1" w:rsidRPr="007D4189" w:rsidRDefault="00CB4A0F" w:rsidP="00F02D7B">
      <w:pPr>
        <w:pStyle w:val="Paragraph"/>
        <w:tabs>
          <w:tab w:val="clear" w:pos="1105"/>
          <w:tab w:val="num" w:pos="680"/>
        </w:tabs>
        <w:ind w:left="0"/>
      </w:pPr>
      <w:bookmarkStart w:id="149" w:name="_Ref46840772"/>
      <w:r w:rsidRPr="007D4189">
        <w:t>A change to the licensee’s notional tax liability allowance for a particular Regulatory Year is only applied where one or more trigger events would result in a tax liability allowance change for that year whose absolute value is greater than the threshold amount. Furthermore, any change to the tax liability allowance (upward or downward) is limited to the amount that is in excess of the threshold amount for the Regulatory Year concerned.</w:t>
      </w:r>
      <w:r w:rsidR="001821C1" w:rsidRPr="007D4189">
        <w:t xml:space="preserve">  Additionally, tax trigger events will only be taken into account for the purposes of increasing the licensee’s tax liability allowances where the licensee has demonstrably used its reasonable endeavours to minimise any increase in its tax liabilities.</w:t>
      </w:r>
      <w:bookmarkEnd w:id="149"/>
    </w:p>
    <w:p w14:paraId="1F86DF4B" w14:textId="4EDD9BD1" w:rsidR="00CB4A0F" w:rsidRPr="007D4189" w:rsidRDefault="00CB4A0F" w:rsidP="00F02D7B">
      <w:pPr>
        <w:pStyle w:val="Paragraph"/>
        <w:tabs>
          <w:tab w:val="clear" w:pos="1105"/>
          <w:tab w:val="num" w:pos="680"/>
        </w:tabs>
        <w:ind w:left="0"/>
      </w:pPr>
      <w:r w:rsidRPr="007D4189">
        <w:t>Where the change to the licensee’s tax liability allowance for a particular Regulatory Year is below the threshold, subsequent tax trigger events, relating back to that Regulatory Year, could cause the threshold amount to be exceeded. In that case, a change to the licensee’s tax liability allowance for the Regulatory Year concerned (a revised TTE</w:t>
      </w:r>
      <w:r w:rsidR="00B9080B">
        <w:t xml:space="preserve"> and / or SOTTE</w:t>
      </w:r>
      <w:r w:rsidRPr="007D4189">
        <w:t xml:space="preserve"> value) would be determined once the threshold had been exceeded. </w:t>
      </w:r>
    </w:p>
    <w:p w14:paraId="14310A6E" w14:textId="14D8B671" w:rsidR="00CB4A0F" w:rsidRPr="007D4189" w:rsidRDefault="00CB4A0F" w:rsidP="00F02D7B">
      <w:pPr>
        <w:pStyle w:val="Paragraph"/>
        <w:tabs>
          <w:tab w:val="clear" w:pos="1105"/>
          <w:tab w:val="num" w:pos="680"/>
        </w:tabs>
        <w:ind w:left="0"/>
      </w:pPr>
      <w:r w:rsidRPr="007D4189">
        <w:t>For the avoidance of doubt, a regulatory tax loss figure attributable to a particular Regulatory Year is not taken into account for the purposes of deciding whether the threshold amount has been exceeded for that year.</w:t>
      </w:r>
    </w:p>
    <w:p w14:paraId="569C636F" w14:textId="77777777" w:rsidR="00CB4A0F" w:rsidRPr="000C698E" w:rsidRDefault="00CB4A0F" w:rsidP="0043641F">
      <w:pPr>
        <w:spacing w:before="360"/>
        <w:rPr>
          <w:i/>
        </w:rPr>
      </w:pPr>
      <w:bookmarkStart w:id="150" w:name="_Toc340144620"/>
      <w:bookmarkStart w:id="151" w:name="_Toc341364201"/>
      <w:bookmarkStart w:id="152" w:name="_Toc491178407"/>
      <w:r w:rsidRPr="000C698E">
        <w:rPr>
          <w:i/>
        </w:rPr>
        <w:t>Logging of trigger events</w:t>
      </w:r>
      <w:bookmarkEnd w:id="150"/>
      <w:bookmarkEnd w:id="151"/>
      <w:bookmarkEnd w:id="152"/>
    </w:p>
    <w:p w14:paraId="489F6BBF" w14:textId="77777777" w:rsidR="00CB4A0F" w:rsidRPr="00C8221C" w:rsidRDefault="00CB4A0F" w:rsidP="00F02D7B">
      <w:pPr>
        <w:pStyle w:val="Paragraph"/>
        <w:tabs>
          <w:tab w:val="clear" w:pos="1105"/>
          <w:tab w:val="num" w:pos="680"/>
        </w:tabs>
        <w:ind w:left="0"/>
      </w:pPr>
      <w:r w:rsidRPr="00C8221C">
        <w:t>Ofgem will keep a log of tax trigger events that have been subject to notifications by it or by the licensee showing for each event:</w:t>
      </w:r>
    </w:p>
    <w:p w14:paraId="26F55F1F" w14:textId="1A8061AA" w:rsidR="00CB4A0F" w:rsidRPr="005C09AA" w:rsidRDefault="00CB4A0F" w:rsidP="008F1AC8">
      <w:pPr>
        <w:pStyle w:val="Text-Numbered"/>
        <w:numPr>
          <w:ilvl w:val="0"/>
          <w:numId w:val="29"/>
        </w:numPr>
      </w:pPr>
      <w:r w:rsidRPr="005C09AA">
        <w:rPr>
          <w:szCs w:val="20"/>
        </w:rPr>
        <w:t xml:space="preserve">a </w:t>
      </w:r>
      <w:r w:rsidRPr="005C09AA">
        <w:t>description of the event;</w:t>
      </w:r>
    </w:p>
    <w:p w14:paraId="2E4EEED8" w14:textId="77777777" w:rsidR="00CB4A0F" w:rsidRPr="005C09AA" w:rsidRDefault="00CB4A0F" w:rsidP="008F1AC8">
      <w:pPr>
        <w:pStyle w:val="Text-Numbered"/>
        <w:numPr>
          <w:ilvl w:val="0"/>
          <w:numId w:val="29"/>
        </w:numPr>
      </w:pPr>
      <w:r w:rsidRPr="005C09AA">
        <w:t>the name of the party who notified the event (Ofgem or licensee);</w:t>
      </w:r>
    </w:p>
    <w:p w14:paraId="252DB25B" w14:textId="77777777" w:rsidR="00CB4A0F" w:rsidRPr="005C09AA" w:rsidRDefault="00CB4A0F" w:rsidP="008F1AC8">
      <w:pPr>
        <w:pStyle w:val="Text-Numbered"/>
        <w:numPr>
          <w:ilvl w:val="0"/>
          <w:numId w:val="29"/>
        </w:numPr>
        <w:rPr>
          <w:szCs w:val="20"/>
        </w:rPr>
      </w:pPr>
      <w:r w:rsidRPr="005C09AA">
        <w:lastRenderedPageBreak/>
        <w:t>the date</w:t>
      </w:r>
      <w:r w:rsidRPr="005C09AA">
        <w:rPr>
          <w:szCs w:val="20"/>
        </w:rPr>
        <w:t xml:space="preserve"> of notification;</w:t>
      </w:r>
    </w:p>
    <w:p w14:paraId="65201763" w14:textId="5A9EE1D4" w:rsidR="00CB4A0F" w:rsidRPr="005C09AA" w:rsidRDefault="00CB4A0F" w:rsidP="008F1AC8">
      <w:pPr>
        <w:pStyle w:val="Text-Numbered"/>
        <w:numPr>
          <w:ilvl w:val="0"/>
          <w:numId w:val="29"/>
        </w:numPr>
        <w:rPr>
          <w:szCs w:val="20"/>
        </w:rPr>
      </w:pPr>
      <w:r w:rsidRPr="005C09AA">
        <w:rPr>
          <w:szCs w:val="20"/>
        </w:rPr>
        <w:t xml:space="preserve">the </w:t>
      </w:r>
      <w:r w:rsidRPr="005C09AA">
        <w:t>amount</w:t>
      </w:r>
      <w:r w:rsidRPr="005C09AA">
        <w:rPr>
          <w:szCs w:val="20"/>
        </w:rPr>
        <w:t xml:space="preserve"> of any change in the licensee’s tax liabilities that has been determined; and</w:t>
      </w:r>
    </w:p>
    <w:p w14:paraId="59881A05" w14:textId="5E1B1347" w:rsidR="00CB4A0F" w:rsidRDefault="00CB4A0F" w:rsidP="008F1AC8">
      <w:pPr>
        <w:pStyle w:val="Text-Numbered"/>
        <w:numPr>
          <w:ilvl w:val="0"/>
          <w:numId w:val="29"/>
        </w:numPr>
        <w:rPr>
          <w:szCs w:val="20"/>
        </w:rPr>
      </w:pPr>
      <w:r w:rsidRPr="005C09AA">
        <w:rPr>
          <w:szCs w:val="20"/>
        </w:rPr>
        <w:t>details of any events for which a determination is in abeyance and a description of the outstanding actions to be taken.</w:t>
      </w:r>
    </w:p>
    <w:p w14:paraId="0310BAA9" w14:textId="10F86719" w:rsidR="00890F82" w:rsidRPr="00540610" w:rsidRDefault="00890F82" w:rsidP="00FC08D9">
      <w:pPr>
        <w:pStyle w:val="Heading2"/>
        <w:spacing w:before="360" w:line="360" w:lineRule="auto"/>
      </w:pPr>
      <w:bookmarkStart w:id="153" w:name="_Toc49194323"/>
      <w:bookmarkStart w:id="154" w:name="_Toc49249243"/>
      <w:bookmarkStart w:id="155" w:name="_Toc52357104"/>
      <w:r w:rsidRPr="00540610">
        <w:t>Tax review</w:t>
      </w:r>
      <w:bookmarkEnd w:id="153"/>
      <w:bookmarkEnd w:id="154"/>
      <w:bookmarkEnd w:id="155"/>
    </w:p>
    <w:p w14:paraId="7C7552DB" w14:textId="7D090B50" w:rsidR="00BA6335" w:rsidRDefault="00BA6335" w:rsidP="00F02D7B">
      <w:pPr>
        <w:pStyle w:val="Paragraph"/>
        <w:tabs>
          <w:tab w:val="clear" w:pos="1105"/>
          <w:tab w:val="num" w:pos="680"/>
        </w:tabs>
        <w:ind w:left="0"/>
      </w:pPr>
      <w:r w:rsidRPr="00382AA5">
        <w:t xml:space="preserve">Special </w:t>
      </w:r>
      <w:r w:rsidR="004E6121" w:rsidRPr="00382AA5">
        <w:t>C</w:t>
      </w:r>
      <w:r w:rsidRPr="00382AA5">
        <w:t>ondition 2</w:t>
      </w:r>
      <w:r w:rsidR="00DD44DA" w:rsidRPr="00382AA5">
        <w:t>.4</w:t>
      </w:r>
      <w:r w:rsidRPr="00382AA5">
        <w:t xml:space="preserve"> (Tax Review Adjustment) sets out that the Authority will direct the va</w:t>
      </w:r>
      <w:r w:rsidR="00B9080B" w:rsidRPr="00382AA5">
        <w:t xml:space="preserve">lue of TAXAt after a Tax Review and </w:t>
      </w:r>
      <w:r w:rsidR="004E6121" w:rsidRPr="00382AA5">
        <w:t>Special C</w:t>
      </w:r>
      <w:r w:rsidR="00DD44DA" w:rsidRPr="00382AA5">
        <w:t>ondition 2.8</w:t>
      </w:r>
      <w:r w:rsidR="00B9080B" w:rsidRPr="00382AA5">
        <w:t xml:space="preserve"> (S</w:t>
      </w:r>
      <w:r w:rsidR="00382AA5" w:rsidRPr="00382AA5">
        <w:t xml:space="preserve">ystem </w:t>
      </w:r>
      <w:r w:rsidR="00B9080B" w:rsidRPr="00382AA5">
        <w:t>O</w:t>
      </w:r>
      <w:r w:rsidR="00382AA5" w:rsidRPr="00382AA5">
        <w:t>perator</w:t>
      </w:r>
      <w:r w:rsidR="00B9080B">
        <w:t xml:space="preserve"> Tax Review Adjustment) sets out that the Authority will direct the value of SOTAXAt after a Tax Review.  In this section, reference to TAXAt include</w:t>
      </w:r>
      <w:r w:rsidR="00621AB5">
        <w:t>s</w:t>
      </w:r>
      <w:r w:rsidR="00B9080B">
        <w:t xml:space="preserve"> SOTAXAt.</w:t>
      </w:r>
    </w:p>
    <w:p w14:paraId="3BF8A8CD" w14:textId="492036F9" w:rsidR="00BA6335" w:rsidRDefault="00BA6335" w:rsidP="00F02D7B">
      <w:pPr>
        <w:pStyle w:val="Paragraph"/>
        <w:tabs>
          <w:tab w:val="clear" w:pos="1105"/>
          <w:tab w:val="num" w:pos="680"/>
        </w:tabs>
        <w:ind w:left="0"/>
      </w:pPr>
      <w:r>
        <w:t xml:space="preserve">At the outset of the Price Control Period on </w:t>
      </w:r>
      <w:r w:rsidR="00582B54">
        <w:t>0</w:t>
      </w:r>
      <w:r>
        <w:t>1 April 2021, the value of TAXAt is set at zero for the durati</w:t>
      </w:r>
      <w:r w:rsidR="004E6121">
        <w:t xml:space="preserve">on of the price control. Under </w:t>
      </w:r>
      <w:r w:rsidR="004E6121" w:rsidRPr="00382AA5">
        <w:t>S</w:t>
      </w:r>
      <w:r w:rsidRPr="00382AA5">
        <w:t xml:space="preserve">pecial </w:t>
      </w:r>
      <w:r w:rsidR="004E6121" w:rsidRPr="00382AA5">
        <w:t>C</w:t>
      </w:r>
      <w:r w:rsidRPr="00382AA5">
        <w:t>ondition 2</w:t>
      </w:r>
      <w:r w:rsidR="00DD44DA" w:rsidRPr="00382AA5">
        <w:t>.4</w:t>
      </w:r>
      <w:r w:rsidRPr="00382AA5">
        <w:t>, Part A the</w:t>
      </w:r>
      <w:r>
        <w:t xml:space="preserve"> licensee’s tax liability allowance can be updated following a Tax Review. The Authority may consider initiating a Tax Review if one or more of the events described below occurs.</w:t>
      </w:r>
    </w:p>
    <w:p w14:paraId="4D708315" w14:textId="77777777" w:rsidR="00BA6335" w:rsidRPr="00F02D7B" w:rsidRDefault="00BA6335" w:rsidP="00AC440D">
      <w:pPr>
        <w:pStyle w:val="Paragraph"/>
        <w:numPr>
          <w:ilvl w:val="0"/>
          <w:numId w:val="0"/>
        </w:numPr>
        <w:tabs>
          <w:tab w:val="left" w:pos="720"/>
        </w:tabs>
        <w:rPr>
          <w:i/>
        </w:rPr>
      </w:pPr>
      <w:r w:rsidRPr="00F02D7B">
        <w:rPr>
          <w:i/>
        </w:rPr>
        <w:t>Potential Trigger events</w:t>
      </w:r>
    </w:p>
    <w:p w14:paraId="7061A8D3" w14:textId="77777777" w:rsidR="00BA6335" w:rsidRDefault="00BA6335" w:rsidP="00F02D7B">
      <w:pPr>
        <w:pStyle w:val="Paragraph"/>
        <w:tabs>
          <w:tab w:val="clear" w:pos="1105"/>
          <w:tab w:val="num" w:pos="680"/>
        </w:tabs>
        <w:ind w:left="0"/>
      </w:pPr>
      <w:bookmarkStart w:id="156" w:name="_Ref46840757"/>
      <w:r>
        <w:t>There are a number of scenarios in which the Authority may consider triggering a tax review; these are as follows:</w:t>
      </w:r>
      <w:bookmarkEnd w:id="156"/>
      <w:r>
        <w:t xml:space="preserve"> </w:t>
      </w:r>
    </w:p>
    <w:p w14:paraId="6D968B94" w14:textId="4DF706EC" w:rsidR="00BA6335" w:rsidRDefault="00582B54" w:rsidP="008F1AC8">
      <w:pPr>
        <w:pStyle w:val="Paragraph"/>
        <w:numPr>
          <w:ilvl w:val="2"/>
          <w:numId w:val="80"/>
        </w:numPr>
        <w:tabs>
          <w:tab w:val="left" w:pos="720"/>
        </w:tabs>
        <w:spacing w:after="0"/>
      </w:pPr>
      <w:r>
        <w:t>i</w:t>
      </w:r>
      <w:r w:rsidR="00BA6335">
        <w:t>f there are material, unexplained differences between the notional tax allowance and actual tax liability, which have not been adequately addressed in the supporting commentary to the reconciliation</w:t>
      </w:r>
      <w:r w:rsidR="00AC440D">
        <w:rPr>
          <w:rStyle w:val="FootnoteReference"/>
        </w:rPr>
        <w:footnoteReference w:id="26"/>
      </w:r>
      <w:r w:rsidR="00457BC4">
        <w:t>;</w:t>
      </w:r>
    </w:p>
    <w:p w14:paraId="4375A061" w14:textId="77777777" w:rsidR="00BA6335" w:rsidRDefault="00582B54" w:rsidP="008F1AC8">
      <w:pPr>
        <w:pStyle w:val="Paragraph"/>
        <w:numPr>
          <w:ilvl w:val="2"/>
          <w:numId w:val="80"/>
        </w:numPr>
        <w:tabs>
          <w:tab w:val="left" w:pos="720"/>
        </w:tabs>
        <w:spacing w:before="0" w:after="0"/>
      </w:pPr>
      <w:r>
        <w:t>i</w:t>
      </w:r>
      <w:r w:rsidR="00BA6335">
        <w:t xml:space="preserve">f Ofgem is notified </w:t>
      </w:r>
      <w:r w:rsidR="00B373B9">
        <w:t xml:space="preserve">in writing </w:t>
      </w:r>
      <w:r w:rsidR="00BA6335">
        <w:t>of a valid concern, whether by the license</w:t>
      </w:r>
      <w:r w:rsidR="00457BC4">
        <w:t>e itself or another stakeholder; or</w:t>
      </w:r>
    </w:p>
    <w:p w14:paraId="12968D92" w14:textId="41DAF3D4" w:rsidR="00BA6335" w:rsidRDefault="00582B54" w:rsidP="008F1AC8">
      <w:pPr>
        <w:pStyle w:val="Paragraph"/>
        <w:numPr>
          <w:ilvl w:val="2"/>
          <w:numId w:val="80"/>
        </w:numPr>
        <w:tabs>
          <w:tab w:val="left" w:pos="720"/>
        </w:tabs>
        <w:spacing w:before="0"/>
      </w:pPr>
      <w:r>
        <w:t>i</w:t>
      </w:r>
      <w:r w:rsidR="00BA6335">
        <w:t>f a licensee undergoes a change in ownership or a material change in circumstances that is likely to affect its tax liability.</w:t>
      </w:r>
    </w:p>
    <w:p w14:paraId="34C1D5D5" w14:textId="77777777" w:rsidR="00BA6335" w:rsidRPr="00D94B0D" w:rsidRDefault="00BA6335" w:rsidP="00AC440D">
      <w:pPr>
        <w:pStyle w:val="Paragraph"/>
        <w:numPr>
          <w:ilvl w:val="0"/>
          <w:numId w:val="0"/>
        </w:numPr>
        <w:tabs>
          <w:tab w:val="left" w:pos="720"/>
        </w:tabs>
        <w:rPr>
          <w:i/>
        </w:rPr>
      </w:pPr>
      <w:r w:rsidRPr="00D94B0D">
        <w:rPr>
          <w:i/>
        </w:rPr>
        <w:lastRenderedPageBreak/>
        <w:t>Materiality</w:t>
      </w:r>
    </w:p>
    <w:p w14:paraId="0B352446" w14:textId="11C6FC0E" w:rsidR="00BA6335" w:rsidRDefault="00BA6335" w:rsidP="00F02D7B">
      <w:pPr>
        <w:pStyle w:val="Paragraph"/>
        <w:tabs>
          <w:tab w:val="clear" w:pos="1105"/>
          <w:tab w:val="num" w:pos="680"/>
        </w:tabs>
        <w:ind w:left="0"/>
      </w:pPr>
      <w:r>
        <w:t xml:space="preserve">Under paragraph </w:t>
      </w:r>
      <w:r w:rsidR="00AC440D">
        <w:fldChar w:fldCharType="begin"/>
      </w:r>
      <w:r w:rsidR="00AC440D">
        <w:instrText xml:space="preserve"> REF _Ref46840757 \r \h </w:instrText>
      </w:r>
      <w:r w:rsidR="00AC440D">
        <w:fldChar w:fldCharType="separate"/>
      </w:r>
      <w:r w:rsidR="00C21C6D">
        <w:t>6.31</w:t>
      </w:r>
      <w:r w:rsidR="00AC440D">
        <w:fldChar w:fldCharType="end"/>
      </w:r>
      <w:r w:rsidR="00AC440D">
        <w:t>,</w:t>
      </w:r>
      <w:r>
        <w:t xml:space="preserve"> an unexplained difference between the notional tax allowance and actual tax liability will be subject to the same materiality threshold that is applied to Tax Trigger Events during the Price Control Period as described in paragraph </w:t>
      </w:r>
      <w:r w:rsidR="00AC440D">
        <w:fldChar w:fldCharType="begin"/>
      </w:r>
      <w:r w:rsidR="00AC440D">
        <w:instrText xml:space="preserve"> REF _Ref46840772 \r \h </w:instrText>
      </w:r>
      <w:r w:rsidR="00AC440D">
        <w:fldChar w:fldCharType="separate"/>
      </w:r>
      <w:r w:rsidR="00C21C6D">
        <w:t>6.25</w:t>
      </w:r>
      <w:r w:rsidR="00AC440D">
        <w:fldChar w:fldCharType="end"/>
      </w:r>
      <w:r w:rsidR="00AC440D">
        <w:t xml:space="preserve"> of this handbook.</w:t>
      </w:r>
      <w:r>
        <w:t xml:space="preserve"> </w:t>
      </w:r>
      <w:r w:rsidR="00B373B9">
        <w:t xml:space="preserve">For the avoidance of doubt, an unexplained difference is </w:t>
      </w:r>
      <w:r w:rsidR="00786077">
        <w:t>considered material if it exceeds the threshold described.</w:t>
      </w:r>
    </w:p>
    <w:p w14:paraId="10BD4762" w14:textId="77777777" w:rsidR="00BA6335" w:rsidRDefault="00BA6335" w:rsidP="00F02D7B">
      <w:pPr>
        <w:pStyle w:val="Paragraph"/>
        <w:tabs>
          <w:tab w:val="clear" w:pos="1105"/>
          <w:tab w:val="num" w:pos="680"/>
        </w:tabs>
        <w:ind w:left="0"/>
      </w:pPr>
      <w:r>
        <w:t xml:space="preserve">Where the aggregate remaining variance in the submitted Tax Reconciliation is greater than the threshold amount, Ofgem would expect the licensee to provide supporting explanation(s) in the commentary to the Tax Reconciliation. </w:t>
      </w:r>
    </w:p>
    <w:p w14:paraId="486825AF" w14:textId="77777777" w:rsidR="00D94B0D" w:rsidRPr="00D94B0D" w:rsidRDefault="00BA6335" w:rsidP="00AC440D">
      <w:pPr>
        <w:pStyle w:val="Paragraph"/>
        <w:numPr>
          <w:ilvl w:val="0"/>
          <w:numId w:val="0"/>
        </w:numPr>
        <w:tabs>
          <w:tab w:val="left" w:pos="720"/>
        </w:tabs>
        <w:rPr>
          <w:i/>
        </w:rPr>
      </w:pPr>
      <w:r w:rsidRPr="00D94B0D">
        <w:rPr>
          <w:i/>
        </w:rPr>
        <w:t>Notifying the Authority</w:t>
      </w:r>
      <w:r w:rsidR="00AC440D">
        <w:rPr>
          <w:i/>
        </w:rPr>
        <w:t xml:space="preserve"> </w:t>
      </w:r>
    </w:p>
    <w:p w14:paraId="5E7A956C" w14:textId="05D57E2D" w:rsidR="00BA6335" w:rsidRDefault="00BA6335" w:rsidP="00F02D7B">
      <w:pPr>
        <w:pStyle w:val="Paragraph"/>
        <w:tabs>
          <w:tab w:val="clear" w:pos="1105"/>
          <w:tab w:val="num" w:pos="680"/>
        </w:tabs>
        <w:ind w:left="0"/>
      </w:pPr>
      <w:r>
        <w:t xml:space="preserve">A notification by the licensee under paragraph </w:t>
      </w:r>
      <w:r w:rsidR="00AC440D">
        <w:fldChar w:fldCharType="begin"/>
      </w:r>
      <w:r w:rsidR="00AC440D">
        <w:instrText xml:space="preserve"> REF _Ref46840757 \r \h </w:instrText>
      </w:r>
      <w:r w:rsidR="00AC440D">
        <w:fldChar w:fldCharType="separate"/>
      </w:r>
      <w:r w:rsidR="00C21C6D">
        <w:t>6.31</w:t>
      </w:r>
      <w:r w:rsidR="00AC440D">
        <w:fldChar w:fldCharType="end"/>
      </w:r>
      <w:r>
        <w:t xml:space="preserve"> must be made in writing to the Authority on or before [31 July] in </w:t>
      </w:r>
      <w:r w:rsidR="00786077">
        <w:t xml:space="preserve">respect of the preceding </w:t>
      </w:r>
      <w:r>
        <w:t>Regulatory</w:t>
      </w:r>
      <w:r w:rsidR="00786077">
        <w:t xml:space="preserve"> </w:t>
      </w:r>
      <w:r>
        <w:t>Year and include statements setting out:</w:t>
      </w:r>
    </w:p>
    <w:p w14:paraId="1FC32AD3" w14:textId="5556EB31" w:rsidR="00BA6335" w:rsidRDefault="00582B54" w:rsidP="008F1AC8">
      <w:pPr>
        <w:pStyle w:val="Paragraph"/>
        <w:numPr>
          <w:ilvl w:val="2"/>
          <w:numId w:val="81"/>
        </w:numPr>
        <w:tabs>
          <w:tab w:val="left" w:pos="720"/>
        </w:tabs>
        <w:spacing w:before="0" w:after="0"/>
      </w:pPr>
      <w:r>
        <w:t>t</w:t>
      </w:r>
      <w:r w:rsidR="00BA6335">
        <w:t>he reason for the notification including a description of the specific event(s) that the licensee considers will have an impact on their actual corporation tax liability;</w:t>
      </w:r>
    </w:p>
    <w:p w14:paraId="1D4EAB49" w14:textId="71F60419" w:rsidR="00BA6335" w:rsidRDefault="00582B54" w:rsidP="008F1AC8">
      <w:pPr>
        <w:pStyle w:val="Paragraph"/>
        <w:numPr>
          <w:ilvl w:val="2"/>
          <w:numId w:val="81"/>
        </w:numPr>
        <w:tabs>
          <w:tab w:val="left" w:pos="720"/>
        </w:tabs>
        <w:spacing w:before="0" w:after="0"/>
      </w:pPr>
      <w:r>
        <w:t>t</w:t>
      </w:r>
      <w:r w:rsidR="00BA6335">
        <w:t>he impact of the specific event(s) on the licensee's actual corporation tax liability and wh</w:t>
      </w:r>
      <w:r w:rsidR="00D94B0D">
        <w:t>ether it is considered material</w:t>
      </w:r>
      <w:r w:rsidR="00BA6335">
        <w:t>;</w:t>
      </w:r>
    </w:p>
    <w:p w14:paraId="6E0DBFB2" w14:textId="77777777" w:rsidR="00BA6335" w:rsidRDefault="00BA6335" w:rsidP="008F1AC8">
      <w:pPr>
        <w:pStyle w:val="Paragraph"/>
        <w:numPr>
          <w:ilvl w:val="2"/>
          <w:numId w:val="81"/>
        </w:numPr>
        <w:tabs>
          <w:tab w:val="left" w:pos="720"/>
        </w:tabs>
        <w:spacing w:before="0" w:after="0"/>
      </w:pPr>
      <w:r>
        <w:t xml:space="preserve">the Regulatory Year(s) that the licensee considers will be affected by the event; </w:t>
      </w:r>
    </w:p>
    <w:p w14:paraId="20800800" w14:textId="77777777" w:rsidR="00BA6335" w:rsidRDefault="00BA6335" w:rsidP="008F1AC8">
      <w:pPr>
        <w:pStyle w:val="Paragraph"/>
        <w:numPr>
          <w:ilvl w:val="2"/>
          <w:numId w:val="81"/>
        </w:numPr>
        <w:tabs>
          <w:tab w:val="left" w:pos="720"/>
        </w:tabs>
        <w:spacing w:before="0" w:after="0"/>
      </w:pPr>
      <w:r>
        <w:t>a calculation and the basis of the calculation for any proposed adjustments to the value of the TAXAt term; and</w:t>
      </w:r>
    </w:p>
    <w:p w14:paraId="6ABFB70C" w14:textId="77777777" w:rsidR="00BA6335" w:rsidRDefault="00BA6335" w:rsidP="008F1AC8">
      <w:pPr>
        <w:pStyle w:val="Paragraph"/>
        <w:numPr>
          <w:ilvl w:val="2"/>
          <w:numId w:val="81"/>
        </w:numPr>
        <w:tabs>
          <w:tab w:val="left" w:pos="720"/>
        </w:tabs>
        <w:spacing w:before="0" w:after="0"/>
      </w:pPr>
      <w:r>
        <w:t>supporting evidence including any relevant information or correspondence received from HMRC and any other information that the licensee considers is relevant.</w:t>
      </w:r>
    </w:p>
    <w:p w14:paraId="57DE3966" w14:textId="1FB6895F" w:rsidR="00BA6335" w:rsidRDefault="00BA6335" w:rsidP="00F02D7B">
      <w:pPr>
        <w:pStyle w:val="Paragraph"/>
        <w:tabs>
          <w:tab w:val="clear" w:pos="1105"/>
          <w:tab w:val="num" w:pos="680"/>
        </w:tabs>
        <w:ind w:left="0"/>
      </w:pPr>
      <w:r>
        <w:t>Where Ofgem receives a notification of a valid concern from a stakeholder after [31 July] in any Regulatory Year, the adjustments will be made in the subsequent year at the following AIP. In such a case, the functionality of the PCFM means that a Time Value of Money Adjustment would be applied.</w:t>
      </w:r>
    </w:p>
    <w:p w14:paraId="034CE96E" w14:textId="77777777" w:rsidR="00BA6335" w:rsidRDefault="00BA6335" w:rsidP="00F02D7B">
      <w:pPr>
        <w:pStyle w:val="Paragraph"/>
        <w:tabs>
          <w:tab w:val="clear" w:pos="1105"/>
          <w:tab w:val="num" w:pos="680"/>
        </w:tabs>
        <w:ind w:left="0"/>
      </w:pPr>
      <w:r>
        <w:t xml:space="preserve">If an adjustment is made to the TAXAt term for a period prior to the Regulatory Year in which the Tax Review is triggered, any resultant changes to Allowed Revenue will, subject to a Time Value of Money Adjustment, be brought forward. For the avoidance of doubt such an adjustment will not have any retrospective effect on a previously published value of Allowed Revenue. </w:t>
      </w:r>
    </w:p>
    <w:p w14:paraId="38A3DF9A" w14:textId="77777777" w:rsidR="00BA6335" w:rsidRPr="00D94B0D" w:rsidRDefault="00BA6335" w:rsidP="00D94B0D">
      <w:pPr>
        <w:spacing w:before="360"/>
        <w:rPr>
          <w:i/>
        </w:rPr>
      </w:pPr>
      <w:r w:rsidRPr="00D94B0D">
        <w:rPr>
          <w:i/>
        </w:rPr>
        <w:lastRenderedPageBreak/>
        <w:t>Preliminary assessment</w:t>
      </w:r>
    </w:p>
    <w:p w14:paraId="01C5EB19" w14:textId="0624884C" w:rsidR="00BA6335" w:rsidRDefault="00BA6335" w:rsidP="00F02D7B">
      <w:pPr>
        <w:pStyle w:val="Paragraph"/>
        <w:tabs>
          <w:tab w:val="clear" w:pos="1105"/>
          <w:tab w:val="num" w:pos="680"/>
        </w:tabs>
        <w:ind w:left="0"/>
      </w:pPr>
      <w:r>
        <w:t xml:space="preserve">Where one or more of the events under paragraph </w:t>
      </w:r>
      <w:r w:rsidR="00AC440D">
        <w:fldChar w:fldCharType="begin"/>
      </w:r>
      <w:r w:rsidR="00AC440D">
        <w:instrText xml:space="preserve"> REF _Ref46840757 \r \h </w:instrText>
      </w:r>
      <w:r w:rsidR="00AC440D">
        <w:fldChar w:fldCharType="separate"/>
      </w:r>
      <w:r w:rsidR="00C21C6D">
        <w:t>6.31</w:t>
      </w:r>
      <w:r w:rsidR="00AC440D">
        <w:fldChar w:fldCharType="end"/>
      </w:r>
      <w:r>
        <w:t xml:space="preserve"> occur, Ofgem will perform a preliminary assessment before deciding whether to undertake the review. </w:t>
      </w:r>
    </w:p>
    <w:p w14:paraId="20D8C186" w14:textId="77777777" w:rsidR="00BA6335" w:rsidRDefault="00BA6335" w:rsidP="00F02D7B">
      <w:pPr>
        <w:pStyle w:val="Paragraph"/>
        <w:tabs>
          <w:tab w:val="clear" w:pos="1105"/>
          <w:tab w:val="num" w:pos="680"/>
        </w:tabs>
        <w:ind w:left="0"/>
        <w:rPr>
          <w:i/>
        </w:rPr>
      </w:pPr>
      <w:r>
        <w:t>This preliminary assessment may involve requesting further information from the affected licensee(s) and explaining the Authority is considering undertaking a Tax Review.</w:t>
      </w:r>
    </w:p>
    <w:p w14:paraId="3685084D" w14:textId="77777777" w:rsidR="00BA6335" w:rsidRPr="00D94B0D" w:rsidRDefault="00BA6335" w:rsidP="00D94B0D">
      <w:pPr>
        <w:spacing w:before="360"/>
        <w:rPr>
          <w:i/>
        </w:rPr>
      </w:pPr>
      <w:r w:rsidRPr="00D94B0D">
        <w:rPr>
          <w:i/>
        </w:rPr>
        <w:t>Review process</w:t>
      </w:r>
    </w:p>
    <w:p w14:paraId="289C3B8E" w14:textId="1118F91E" w:rsidR="00BA6335" w:rsidRDefault="00BA6335" w:rsidP="00F02D7B">
      <w:pPr>
        <w:pStyle w:val="Paragraph"/>
        <w:tabs>
          <w:tab w:val="clear" w:pos="1105"/>
          <w:tab w:val="num" w:pos="680"/>
        </w:tabs>
        <w:ind w:left="0"/>
      </w:pPr>
      <w:r>
        <w:t>If the preliminary information requested does not suitably</w:t>
      </w:r>
      <w:r w:rsidRPr="00FE0CDB">
        <w:rPr>
          <w:rFonts w:asciiTheme="majorHAnsi" w:hAnsiTheme="majorHAnsi" w:cstheme="majorBidi"/>
          <w:sz w:val="22"/>
          <w:szCs w:val="22"/>
        </w:rPr>
        <w:t xml:space="preserve"> </w:t>
      </w:r>
      <w:r>
        <w:t>address the concerns raised, Ofgem may undertake a formal Tax Review, which will require the affected licensee to procure, at its own expense, a review by an Appropriately Qualified Independent Examiner</w:t>
      </w:r>
      <w:r w:rsidR="00AC440D">
        <w:rPr>
          <w:rStyle w:val="FootnoteReference"/>
        </w:rPr>
        <w:footnoteReference w:id="27"/>
      </w:r>
      <w:r>
        <w:t>.</w:t>
      </w:r>
    </w:p>
    <w:p w14:paraId="0CA5784D" w14:textId="38EFA885" w:rsidR="00BA6335" w:rsidRDefault="00BA6335" w:rsidP="00F02D7B">
      <w:pPr>
        <w:pStyle w:val="Paragraph"/>
        <w:tabs>
          <w:tab w:val="clear" w:pos="1105"/>
          <w:tab w:val="num" w:pos="680"/>
        </w:tabs>
        <w:ind w:left="0"/>
      </w:pPr>
      <w:r>
        <w:t xml:space="preserve">Ofgem will notify the licensee in accordance with Part A of Special </w:t>
      </w:r>
      <w:r w:rsidRPr="00382AA5">
        <w:t>Condition 2</w:t>
      </w:r>
      <w:r w:rsidR="00DD44DA" w:rsidRPr="00382AA5">
        <w:t>.4</w:t>
      </w:r>
      <w:r w:rsidRPr="00382AA5">
        <w:t xml:space="preserve"> (Tax</w:t>
      </w:r>
      <w:r>
        <w:t xml:space="preserve"> Review Adjustment) in order to commence the review.</w:t>
      </w:r>
    </w:p>
    <w:p w14:paraId="4304E0EA" w14:textId="77777777" w:rsidR="00BA6335" w:rsidRPr="00D94B0D" w:rsidRDefault="00BA6335" w:rsidP="00D94B0D">
      <w:pPr>
        <w:spacing w:before="360"/>
        <w:rPr>
          <w:i/>
        </w:rPr>
      </w:pPr>
      <w:r w:rsidRPr="00D94B0D">
        <w:rPr>
          <w:i/>
        </w:rPr>
        <w:t>After the review</w:t>
      </w:r>
    </w:p>
    <w:p w14:paraId="2D353AAA" w14:textId="01F2DF6E" w:rsidR="00BA6335" w:rsidRDefault="00BA6335" w:rsidP="00F02D7B">
      <w:pPr>
        <w:pStyle w:val="Paragraph"/>
        <w:tabs>
          <w:tab w:val="clear" w:pos="1105"/>
          <w:tab w:val="num" w:pos="680"/>
        </w:tabs>
        <w:ind w:left="0"/>
      </w:pPr>
      <w:r>
        <w:t xml:space="preserve">Following the review, the Authority will consider the findings of the examiner’s report and publish a decision on whether or not an adjustment is needed to the tax allowance through the Variable Value TAXAt in accordance with Part B of Special </w:t>
      </w:r>
      <w:r w:rsidRPr="00382AA5">
        <w:t>Condition 2</w:t>
      </w:r>
      <w:r w:rsidR="00DD44DA" w:rsidRPr="00382AA5">
        <w:t>.4</w:t>
      </w:r>
      <w:r w:rsidRPr="00382AA5">
        <w:t xml:space="preserve"> (Tax</w:t>
      </w:r>
      <w:r>
        <w:t xml:space="preserve"> Review Adjustment). </w:t>
      </w:r>
    </w:p>
    <w:p w14:paraId="6E185470" w14:textId="77777777" w:rsidR="00BA6335" w:rsidRDefault="00BA6335" w:rsidP="00F02D7B">
      <w:pPr>
        <w:pStyle w:val="Paragraph"/>
        <w:tabs>
          <w:tab w:val="clear" w:pos="1105"/>
          <w:tab w:val="num" w:pos="680"/>
        </w:tabs>
        <w:ind w:left="0"/>
      </w:pPr>
      <w:r>
        <w:t xml:space="preserve">Before making a decision, the Authority will consult on the proposed adjustment to the TAXAt for no less than 28 days. </w:t>
      </w:r>
    </w:p>
    <w:p w14:paraId="366C2DDF" w14:textId="77777777" w:rsidR="00BA6335" w:rsidRDefault="00BA6335" w:rsidP="00F02D7B">
      <w:pPr>
        <w:pStyle w:val="Paragraph"/>
        <w:tabs>
          <w:tab w:val="clear" w:pos="1105"/>
          <w:tab w:val="num" w:pos="680"/>
        </w:tabs>
        <w:ind w:left="0"/>
      </w:pPr>
      <w:r>
        <w:t>Where the examiner’s report contains information that is considered confidential or market sensitive, the licensee may request that this information be redacted from any publication. Information agreed in writing as being confidential by the Authority will be excluded from any publications.</w:t>
      </w:r>
    </w:p>
    <w:p w14:paraId="6F288E1D" w14:textId="01BD55C8" w:rsidR="00AC440D" w:rsidRDefault="00AC440D" w:rsidP="00AC440D">
      <w:pPr>
        <w:pStyle w:val="Paragraph"/>
        <w:tabs>
          <w:tab w:val="clear" w:pos="1105"/>
          <w:tab w:val="num" w:pos="680"/>
        </w:tabs>
        <w:ind w:left="0"/>
      </w:pPr>
      <w:r>
        <w:lastRenderedPageBreak/>
        <w:t>The adjusted value will be reflected in the G</w:t>
      </w:r>
      <w:r w:rsidR="00264A3D">
        <w:t>T</w:t>
      </w:r>
      <w:r>
        <w:t>2 PCFM and will be published on the Ofgem Website by 30 November in each Regulatory Year.</w:t>
      </w:r>
    </w:p>
    <w:p w14:paraId="43A6977B" w14:textId="31BBF4AA" w:rsidR="00890F82" w:rsidRDefault="00832326" w:rsidP="00382AA5">
      <w:pPr>
        <w:pStyle w:val="Heading2"/>
        <w:keepNext/>
        <w:spacing w:line="360" w:lineRule="auto"/>
      </w:pPr>
      <w:bookmarkStart w:id="157" w:name="_Toc49194325"/>
      <w:bookmarkStart w:id="158" w:name="_Toc49249245"/>
      <w:bookmarkStart w:id="159" w:name="_Toc52357105"/>
      <w:r>
        <w:t>Capital allowances</w:t>
      </w:r>
      <w:bookmarkEnd w:id="157"/>
      <w:bookmarkEnd w:id="158"/>
      <w:bookmarkEnd w:id="159"/>
    </w:p>
    <w:p w14:paraId="323C77FF" w14:textId="77777777" w:rsidR="00832326" w:rsidRPr="00832326" w:rsidRDefault="00832326" w:rsidP="00832326">
      <w:pPr>
        <w:rPr>
          <w:i/>
        </w:rPr>
      </w:pPr>
      <w:r w:rsidRPr="00832326">
        <w:rPr>
          <w:i/>
        </w:rPr>
        <w:t>Opening pool balances (legacy)</w:t>
      </w:r>
    </w:p>
    <w:p w14:paraId="67DC3940" w14:textId="69EA57C4" w:rsidR="000401D6" w:rsidRPr="005E166B" w:rsidRDefault="008167E5" w:rsidP="005E166B">
      <w:pPr>
        <w:pStyle w:val="Paragraph"/>
        <w:tabs>
          <w:tab w:val="clear" w:pos="1105"/>
          <w:tab w:val="num" w:pos="680"/>
        </w:tabs>
        <w:ind w:left="0"/>
        <w:rPr>
          <w:i/>
        </w:rPr>
      </w:pPr>
      <w:r w:rsidRPr="005E166B">
        <w:t xml:space="preserve">Tax liability allowance calculations under the AIP make use of regulatory tax pool balance figures held within the PCFM.  The opening balances (as at </w:t>
      </w:r>
      <w:r w:rsidR="00582B54">
        <w:t>0</w:t>
      </w:r>
      <w:r w:rsidRPr="005E166B">
        <w:t xml:space="preserve">1 April 2021) for these tax pools may be subject to legacy price control adjustments through revisions to [XXX] Variable Values.  </w:t>
      </w:r>
      <w:bookmarkStart w:id="160" w:name="_Ref44511042"/>
    </w:p>
    <w:p w14:paraId="7425820B" w14:textId="77777777" w:rsidR="000401D6" w:rsidRDefault="000401D6">
      <w:pPr>
        <w:spacing w:line="240" w:lineRule="auto"/>
        <w:rPr>
          <w:i/>
          <w:szCs w:val="20"/>
          <w:highlight w:val="yellow"/>
        </w:rPr>
      </w:pPr>
      <w:r>
        <w:rPr>
          <w:i/>
          <w:szCs w:val="20"/>
          <w:highlight w:val="yellow"/>
        </w:rPr>
        <w:br w:type="page"/>
      </w:r>
    </w:p>
    <w:p w14:paraId="255D66C9" w14:textId="77777777" w:rsidR="000401D6" w:rsidRDefault="000401D6" w:rsidP="000401D6">
      <w:pPr>
        <w:pStyle w:val="Sectiontitle"/>
      </w:pPr>
      <w:bookmarkStart w:id="161" w:name="_Toc49259960"/>
      <w:bookmarkStart w:id="162" w:name="_Toc52357106"/>
      <w:r>
        <w:lastRenderedPageBreak/>
        <w:t>Pensions</w:t>
      </w:r>
      <w:bookmarkEnd w:id="161"/>
      <w:bookmarkEnd w:id="162"/>
    </w:p>
    <w:p w14:paraId="2FF225C8" w14:textId="77777777" w:rsidR="000401D6" w:rsidRPr="00D33266" w:rsidRDefault="000401D6" w:rsidP="000401D6">
      <w:pPr>
        <w:pStyle w:val="Heading2"/>
        <w:spacing w:line="360" w:lineRule="auto"/>
      </w:pPr>
      <w:bookmarkStart w:id="163" w:name="_Toc49259962"/>
      <w:bookmarkStart w:id="164" w:name="_Toc52357107"/>
      <w:r>
        <w:t>Financial Adjustments - Pensions</w:t>
      </w:r>
      <w:bookmarkEnd w:id="163"/>
      <w:bookmarkEnd w:id="164"/>
    </w:p>
    <w:p w14:paraId="77A02B5E" w14:textId="320C5AE2" w:rsidR="000401D6" w:rsidRDefault="000401D6" w:rsidP="000401D6">
      <w:pPr>
        <w:pStyle w:val="Paragraph"/>
        <w:tabs>
          <w:tab w:val="clear" w:pos="1105"/>
          <w:tab w:val="num" w:pos="680"/>
        </w:tabs>
        <w:ind w:left="0"/>
      </w:pPr>
      <w:r w:rsidRPr="00A836EA">
        <w:t>The PCFM contains V</w:t>
      </w:r>
      <w:r w:rsidR="005E166B">
        <w:t xml:space="preserve">ariable </w:t>
      </w:r>
      <w:r w:rsidRPr="00A836EA">
        <w:t>V</w:t>
      </w:r>
      <w:r w:rsidR="005E166B">
        <w:t>alue</w:t>
      </w:r>
      <w:r w:rsidRPr="00A836EA">
        <w:t xml:space="preserve"> allowance</w:t>
      </w:r>
      <w:r>
        <w:t>s</w:t>
      </w:r>
      <w:r w:rsidRPr="00A836EA">
        <w:rPr>
          <w:vertAlign w:val="superscript"/>
        </w:rPr>
        <w:footnoteReference w:id="28"/>
      </w:r>
      <w:r w:rsidRPr="00A836EA">
        <w:t xml:space="preserve"> (EDE</w:t>
      </w:r>
      <w:r>
        <w:t xml:space="preserve"> and SOEDE</w:t>
      </w:r>
      <w:r w:rsidRPr="00A836EA">
        <w:t>)</w:t>
      </w:r>
      <w:r>
        <w:t xml:space="preserve"> </w:t>
      </w:r>
      <w:r w:rsidRPr="00A836EA">
        <w:t>for Pension Scheme Established Deficit (PSED) repair expenditure for each Regulatory Year of the Price Control Period.  Opening values</w:t>
      </w:r>
      <w:r w:rsidRPr="00A836EA" w:rsidDel="001B5A0A">
        <w:t xml:space="preserve"> </w:t>
      </w:r>
      <w:r w:rsidRPr="00A836EA">
        <w:t xml:space="preserve">for EDE </w:t>
      </w:r>
      <w:r>
        <w:t xml:space="preserve">and SOEDE </w:t>
      </w:r>
      <w:r w:rsidRPr="00A836EA">
        <w:t xml:space="preserve">are based on the outcome of a pension reasonableness review concluded in November 2020. EDE </w:t>
      </w:r>
      <w:r>
        <w:t xml:space="preserve">and SOEDE </w:t>
      </w:r>
      <w:r w:rsidRPr="00A836EA">
        <w:t xml:space="preserve">(or </w:t>
      </w:r>
      <w:r w:rsidR="005E166B">
        <w:t xml:space="preserve">the </w:t>
      </w:r>
      <w:r w:rsidRPr="00A836EA">
        <w:t>pensions allowance value</w:t>
      </w:r>
      <w:r>
        <w:t>s</w:t>
      </w:r>
      <w:r w:rsidRPr="00A836EA">
        <w:t xml:space="preserve">) will be updated during the Price Control Period, through the AIP, according to the provisions of this chapter.  </w:t>
      </w:r>
      <w:r>
        <w:t xml:space="preserve">In this chapter, reference to EDE includes SOEDE.  </w:t>
      </w:r>
    </w:p>
    <w:p w14:paraId="56AC9A73" w14:textId="77777777" w:rsidR="000401D6" w:rsidRDefault="000401D6" w:rsidP="000401D6">
      <w:pPr>
        <w:pStyle w:val="Heading3"/>
        <w:spacing w:before="360" w:line="360" w:lineRule="auto"/>
      </w:pPr>
      <w:bookmarkStart w:id="165" w:name="_Toc47028420"/>
      <w:bookmarkStart w:id="166" w:name="_Toc49259963"/>
      <w:bookmarkStart w:id="167" w:name="_Toc52357108"/>
      <w:r>
        <w:t>Expected timing of pensions allowance revisions</w:t>
      </w:r>
      <w:bookmarkEnd w:id="165"/>
      <w:bookmarkEnd w:id="166"/>
      <w:bookmarkEnd w:id="167"/>
    </w:p>
    <w:p w14:paraId="36AE1DCC" w14:textId="4B1C0C4D" w:rsidR="000401D6" w:rsidRDefault="000401D6" w:rsidP="000401D6">
      <w:pPr>
        <w:pStyle w:val="Paragraph"/>
        <w:tabs>
          <w:tab w:val="clear" w:pos="1105"/>
          <w:tab w:val="num" w:pos="680"/>
        </w:tabs>
        <w:ind w:left="0"/>
      </w:pPr>
      <w:r>
        <w:t>T</w:t>
      </w:r>
      <w:r w:rsidRPr="0064181D">
        <w:t xml:space="preserve">he intention is that </w:t>
      </w:r>
      <w:r>
        <w:t xml:space="preserve">pensions allowance </w:t>
      </w:r>
      <w:r w:rsidRPr="0064181D">
        <w:t>value</w:t>
      </w:r>
      <w:r>
        <w:t>s</w:t>
      </w:r>
      <w:r w:rsidRPr="0064181D">
        <w:t xml:space="preserve"> will only be revised periodically in light of triennial actuarial val</w:t>
      </w:r>
      <w:r>
        <w:t>uations of the relevant pension</w:t>
      </w:r>
      <w:r w:rsidRPr="0064181D">
        <w:t xml:space="preserve"> schemes. T</w:t>
      </w:r>
      <w:r>
        <w:t>wo pension scheme valuations are expected in the RIIO-GT2 price control period, as s</w:t>
      </w:r>
      <w:r w:rsidRPr="0064181D">
        <w:t xml:space="preserve">et out in </w:t>
      </w:r>
      <w:r w:rsidR="005E166B">
        <w:fldChar w:fldCharType="begin"/>
      </w:r>
      <w:r w:rsidR="005E166B">
        <w:instrText xml:space="preserve"> REF _Ref49870226 \h </w:instrText>
      </w:r>
      <w:r w:rsidR="005E166B">
        <w:fldChar w:fldCharType="separate"/>
      </w:r>
      <w:r w:rsidR="00C21C6D">
        <w:t>Table 7.1</w:t>
      </w:r>
      <w:r w:rsidR="005E166B">
        <w:fldChar w:fldCharType="end"/>
      </w:r>
      <w:r>
        <w:t xml:space="preserve">, with only the first of these expected to result in publication of revised allowances within the period. </w:t>
      </w:r>
    </w:p>
    <w:p w14:paraId="510A437F" w14:textId="169E5DF7" w:rsidR="005E166B" w:rsidRPr="005E166B" w:rsidRDefault="005E166B" w:rsidP="005E166B">
      <w:pPr>
        <w:pStyle w:val="Heading"/>
      </w:pPr>
      <w:bookmarkStart w:id="168" w:name="_Ref49870226"/>
      <w:r>
        <w:t>Table</w:t>
      </w:r>
      <w:r w:rsidR="002E77E3">
        <w:t xml:space="preserve"> 7.1</w:t>
      </w:r>
      <w:bookmarkEnd w:id="168"/>
      <w:r>
        <w:t xml:space="preserve"> – Expected timetable for pensions scheme valuations</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2975"/>
        <w:gridCol w:w="2975"/>
        <w:gridCol w:w="2975"/>
      </w:tblGrid>
      <w:tr w:rsidR="000401D6" w:rsidRPr="00E33B8F" w14:paraId="4BB26696" w14:textId="77777777" w:rsidTr="000401D6">
        <w:trPr>
          <w:trHeight w:val="467"/>
        </w:trPr>
        <w:tc>
          <w:tcPr>
            <w:tcW w:w="2975" w:type="dxa"/>
            <w:shd w:val="clear" w:color="auto" w:fill="54616C"/>
          </w:tcPr>
          <w:p w14:paraId="06649D92" w14:textId="77777777" w:rsidR="000401D6" w:rsidRPr="00CE222C" w:rsidRDefault="000401D6" w:rsidP="000401D6">
            <w:pPr>
              <w:jc w:val="center"/>
              <w:rPr>
                <w:b/>
                <w:color w:val="FFFFFF" w:themeColor="background1"/>
                <w:szCs w:val="20"/>
              </w:rPr>
            </w:pPr>
            <w:r w:rsidRPr="00CE222C">
              <w:rPr>
                <w:b/>
                <w:color w:val="FFFFFF" w:themeColor="background1"/>
                <w:szCs w:val="20"/>
              </w:rPr>
              <w:t>Pension scheme valuation date</w:t>
            </w:r>
          </w:p>
        </w:tc>
        <w:tc>
          <w:tcPr>
            <w:tcW w:w="2975" w:type="dxa"/>
            <w:shd w:val="clear" w:color="auto" w:fill="54616C"/>
          </w:tcPr>
          <w:p w14:paraId="5CFD8DB4" w14:textId="77777777" w:rsidR="000401D6" w:rsidRPr="00CE222C" w:rsidRDefault="000401D6" w:rsidP="000401D6">
            <w:pPr>
              <w:jc w:val="center"/>
              <w:rPr>
                <w:b/>
                <w:color w:val="FFFFFF" w:themeColor="background1"/>
                <w:szCs w:val="20"/>
              </w:rPr>
            </w:pPr>
            <w:r>
              <w:rPr>
                <w:b/>
                <w:color w:val="FFFFFF" w:themeColor="background1"/>
                <w:szCs w:val="20"/>
              </w:rPr>
              <w:t>Completion of Reasonableness Review</w:t>
            </w:r>
          </w:p>
        </w:tc>
        <w:tc>
          <w:tcPr>
            <w:tcW w:w="2975" w:type="dxa"/>
            <w:shd w:val="clear" w:color="auto" w:fill="54616C"/>
          </w:tcPr>
          <w:p w14:paraId="06321DEB" w14:textId="77777777" w:rsidR="000401D6" w:rsidRPr="00CE222C" w:rsidRDefault="000401D6" w:rsidP="000401D6">
            <w:pPr>
              <w:jc w:val="center"/>
              <w:rPr>
                <w:b/>
                <w:color w:val="FFFFFF" w:themeColor="background1"/>
                <w:szCs w:val="20"/>
              </w:rPr>
            </w:pPr>
            <w:r w:rsidRPr="00CE222C">
              <w:rPr>
                <w:b/>
                <w:color w:val="FFFFFF" w:themeColor="background1"/>
                <w:szCs w:val="20"/>
              </w:rPr>
              <w:t xml:space="preserve">Publication of revised pension allowance value </w:t>
            </w:r>
          </w:p>
        </w:tc>
      </w:tr>
      <w:tr w:rsidR="000401D6" w:rsidRPr="00DB016F" w14:paraId="640C499E" w14:textId="77777777" w:rsidTr="000401D6">
        <w:trPr>
          <w:trHeight w:val="350"/>
        </w:trPr>
        <w:tc>
          <w:tcPr>
            <w:tcW w:w="2975" w:type="dxa"/>
            <w:vAlign w:val="center"/>
          </w:tcPr>
          <w:p w14:paraId="16165466" w14:textId="77777777" w:rsidR="000401D6" w:rsidRPr="00DE4234" w:rsidRDefault="000401D6" w:rsidP="000401D6">
            <w:pPr>
              <w:jc w:val="center"/>
              <w:rPr>
                <w:color w:val="848484"/>
                <w:szCs w:val="20"/>
              </w:rPr>
            </w:pPr>
            <w:r>
              <w:rPr>
                <w:color w:val="848484"/>
                <w:szCs w:val="20"/>
              </w:rPr>
              <w:t>31 March 2022</w:t>
            </w:r>
          </w:p>
        </w:tc>
        <w:tc>
          <w:tcPr>
            <w:tcW w:w="2975" w:type="dxa"/>
          </w:tcPr>
          <w:p w14:paraId="71B0809A" w14:textId="77777777" w:rsidR="000401D6" w:rsidRDefault="000401D6" w:rsidP="000401D6">
            <w:pPr>
              <w:jc w:val="center"/>
              <w:rPr>
                <w:color w:val="848484"/>
                <w:szCs w:val="20"/>
              </w:rPr>
            </w:pPr>
            <w:r>
              <w:rPr>
                <w:color w:val="848484"/>
                <w:szCs w:val="20"/>
              </w:rPr>
              <w:t>31 October 2023</w:t>
            </w:r>
            <w:r>
              <w:rPr>
                <w:color w:val="848484"/>
                <w:szCs w:val="20"/>
              </w:rPr>
              <w:br/>
              <w:t>(rr = 2023/24)</w:t>
            </w:r>
          </w:p>
        </w:tc>
        <w:tc>
          <w:tcPr>
            <w:tcW w:w="2975" w:type="dxa"/>
            <w:vAlign w:val="center"/>
          </w:tcPr>
          <w:p w14:paraId="1B4292F4" w14:textId="77777777" w:rsidR="000401D6" w:rsidRPr="00DE4234" w:rsidRDefault="000401D6" w:rsidP="000401D6">
            <w:pPr>
              <w:jc w:val="center"/>
              <w:rPr>
                <w:color w:val="848484"/>
                <w:szCs w:val="20"/>
              </w:rPr>
            </w:pPr>
            <w:r>
              <w:rPr>
                <w:color w:val="848484"/>
                <w:szCs w:val="20"/>
              </w:rPr>
              <w:t>30 November 2023</w:t>
            </w:r>
          </w:p>
        </w:tc>
      </w:tr>
      <w:tr w:rsidR="000401D6" w:rsidRPr="00DB016F" w14:paraId="56DBAD0D" w14:textId="77777777" w:rsidTr="000401D6">
        <w:trPr>
          <w:trHeight w:val="350"/>
        </w:trPr>
        <w:tc>
          <w:tcPr>
            <w:tcW w:w="2975" w:type="dxa"/>
            <w:vAlign w:val="center"/>
          </w:tcPr>
          <w:p w14:paraId="46712E54" w14:textId="77777777" w:rsidR="000401D6" w:rsidRDefault="000401D6" w:rsidP="000401D6">
            <w:pPr>
              <w:jc w:val="center"/>
              <w:rPr>
                <w:color w:val="848484"/>
                <w:szCs w:val="20"/>
              </w:rPr>
            </w:pPr>
            <w:r>
              <w:rPr>
                <w:color w:val="848484"/>
                <w:szCs w:val="20"/>
              </w:rPr>
              <w:t>31 March 2025</w:t>
            </w:r>
          </w:p>
        </w:tc>
        <w:tc>
          <w:tcPr>
            <w:tcW w:w="2975" w:type="dxa"/>
          </w:tcPr>
          <w:p w14:paraId="7F0B36FC" w14:textId="77777777" w:rsidR="000401D6" w:rsidRDefault="000401D6" w:rsidP="000401D6">
            <w:pPr>
              <w:jc w:val="center"/>
              <w:rPr>
                <w:color w:val="848484"/>
                <w:szCs w:val="20"/>
              </w:rPr>
            </w:pPr>
            <w:r>
              <w:rPr>
                <w:color w:val="848484"/>
                <w:szCs w:val="20"/>
              </w:rPr>
              <w:t>31 October 2026</w:t>
            </w:r>
            <w:r>
              <w:rPr>
                <w:color w:val="848484"/>
                <w:szCs w:val="20"/>
              </w:rPr>
              <w:br/>
              <w:t>(rr = 2026/27)</w:t>
            </w:r>
          </w:p>
        </w:tc>
        <w:tc>
          <w:tcPr>
            <w:tcW w:w="2975" w:type="dxa"/>
            <w:vAlign w:val="center"/>
          </w:tcPr>
          <w:p w14:paraId="6C496605" w14:textId="77777777" w:rsidR="000401D6" w:rsidRDefault="000401D6" w:rsidP="000401D6">
            <w:pPr>
              <w:jc w:val="center"/>
              <w:rPr>
                <w:color w:val="848484"/>
                <w:szCs w:val="20"/>
              </w:rPr>
            </w:pPr>
            <w:r>
              <w:rPr>
                <w:color w:val="848484"/>
                <w:szCs w:val="20"/>
              </w:rPr>
              <w:t>30 November 2026</w:t>
            </w:r>
          </w:p>
        </w:tc>
      </w:tr>
    </w:tbl>
    <w:p w14:paraId="448AA077" w14:textId="02F59D6D" w:rsidR="000401D6" w:rsidRPr="009909AB" w:rsidRDefault="000401D6" w:rsidP="000401D6">
      <w:pPr>
        <w:pStyle w:val="Paragraph"/>
        <w:tabs>
          <w:tab w:val="clear" w:pos="1105"/>
          <w:tab w:val="num" w:pos="680"/>
        </w:tabs>
        <w:ind w:left="0"/>
      </w:pPr>
      <w:r w:rsidRPr="009909AB">
        <w:t xml:space="preserve">Although the intention is to revise pensions allowance values </w:t>
      </w:r>
      <w:r>
        <w:t xml:space="preserve">according to the timetable in </w:t>
      </w:r>
      <w:r w:rsidR="005E166B">
        <w:fldChar w:fldCharType="begin"/>
      </w:r>
      <w:r w:rsidR="005E166B">
        <w:instrText xml:space="preserve"> REF _Ref49870226 \h </w:instrText>
      </w:r>
      <w:r w:rsidR="005E166B">
        <w:fldChar w:fldCharType="separate"/>
      </w:r>
      <w:r w:rsidR="00C21C6D">
        <w:t>Table 7.1</w:t>
      </w:r>
      <w:r w:rsidR="005E166B">
        <w:fldChar w:fldCharType="end"/>
      </w:r>
      <w:r w:rsidRPr="009909AB">
        <w:t>, it may be necessary to revise them at different times if, for example, a scheme valuation or completion of a Reasonableness Review (see</w:t>
      </w:r>
      <w:r>
        <w:t xml:space="preserve"> from</w:t>
      </w:r>
      <w:r w:rsidRPr="009909AB">
        <w:t xml:space="preserve"> </w:t>
      </w:r>
      <w:r>
        <w:t xml:space="preserve">paragraph </w:t>
      </w:r>
      <w:r>
        <w:fldChar w:fldCharType="begin"/>
      </w:r>
      <w:r>
        <w:instrText xml:space="preserve"> REF _Ref47001251 \r \h </w:instrText>
      </w:r>
      <w:r>
        <w:fldChar w:fldCharType="separate"/>
      </w:r>
      <w:r w:rsidR="00C21C6D">
        <w:t>7.31</w:t>
      </w:r>
      <w:r>
        <w:fldChar w:fldCharType="end"/>
      </w:r>
      <w:r w:rsidRPr="009909AB">
        <w:t>) is delayed. In those circumstances, pensions allowance values would still be determined in a way that is consistent with the procedures set out in this chapter.</w:t>
      </w:r>
      <w:r>
        <w:t xml:space="preserve">  </w:t>
      </w:r>
      <w:r w:rsidRPr="009909AB">
        <w:t xml:space="preserve">The revision of Pensions Allowance values at a different time because of the delayed completion of a Reasonableness </w:t>
      </w:r>
      <w:r w:rsidRPr="009909AB">
        <w:lastRenderedPageBreak/>
        <w:t xml:space="preserve">Review will not </w:t>
      </w:r>
      <w:r>
        <w:t xml:space="preserve">affect the timetable for subsequent reviews of </w:t>
      </w:r>
      <w:r w:rsidRPr="009909AB">
        <w:t xml:space="preserve">Pensions Allowance referred to in </w:t>
      </w:r>
      <w:r w:rsidR="005E166B">
        <w:fldChar w:fldCharType="begin"/>
      </w:r>
      <w:r w:rsidR="005E166B">
        <w:instrText xml:space="preserve"> REF _Ref49870226 \h </w:instrText>
      </w:r>
      <w:r w:rsidR="005E166B">
        <w:fldChar w:fldCharType="separate"/>
      </w:r>
      <w:r w:rsidR="00C21C6D">
        <w:t>Table 7.1</w:t>
      </w:r>
      <w:r w:rsidR="005E166B">
        <w:fldChar w:fldCharType="end"/>
      </w:r>
      <w:r>
        <w:t>.</w:t>
      </w:r>
    </w:p>
    <w:p w14:paraId="153ADFC8" w14:textId="34FFB418" w:rsidR="000401D6" w:rsidRDefault="000401D6" w:rsidP="000401D6">
      <w:pPr>
        <w:pStyle w:val="Paragraph"/>
        <w:tabs>
          <w:tab w:val="clear" w:pos="1105"/>
          <w:tab w:val="num" w:pos="680"/>
        </w:tabs>
        <w:ind w:left="0"/>
      </w:pPr>
      <w:r>
        <w:t xml:space="preserve">If the licensee’s </w:t>
      </w:r>
      <w:r w:rsidRPr="00A836EA">
        <w:t xml:space="preserve">scheme triennial valuation dates differ to those shown in the first column of </w:t>
      </w:r>
      <w:r w:rsidR="005E166B">
        <w:fldChar w:fldCharType="begin"/>
      </w:r>
      <w:r w:rsidR="005E166B">
        <w:instrText xml:space="preserve"> REF _Ref49870226 \h </w:instrText>
      </w:r>
      <w:r w:rsidR="005E166B">
        <w:fldChar w:fldCharType="separate"/>
      </w:r>
      <w:r w:rsidR="00C21C6D">
        <w:t>Table 7.1</w:t>
      </w:r>
      <w:r w:rsidR="005E166B">
        <w:fldChar w:fldCharType="end"/>
      </w:r>
      <w:r w:rsidRPr="00A836EA">
        <w:t xml:space="preserve"> </w:t>
      </w:r>
      <w:r>
        <w:t>then it w</w:t>
      </w:r>
      <w:r w:rsidRPr="00A836EA">
        <w:t>ill be required to provide either a full valuation or an updated valuation on these dates. The approach that should be used by the licensee to produce an updated valuation is set out in the Authority’s Pension Deficit Allocation Methodology, published in the Triennial Pension Reporting Pack as part of the Regulatory Instructions Guidance.</w:t>
      </w:r>
      <w:r w:rsidRPr="0064181D">
        <w:t xml:space="preserve"> </w:t>
      </w:r>
    </w:p>
    <w:p w14:paraId="0EA7BA60" w14:textId="77777777" w:rsidR="000401D6" w:rsidRDefault="000401D6" w:rsidP="000401D6">
      <w:pPr>
        <w:pStyle w:val="Paragraph"/>
        <w:tabs>
          <w:tab w:val="clear" w:pos="1105"/>
          <w:tab w:val="num" w:pos="680"/>
        </w:tabs>
        <w:ind w:left="0"/>
      </w:pPr>
      <w:r>
        <w:t>The remainder of this chapter sets out:</w:t>
      </w:r>
    </w:p>
    <w:p w14:paraId="53A5A9A0" w14:textId="77777777" w:rsidR="000401D6" w:rsidRPr="005D0FB0" w:rsidRDefault="000401D6" w:rsidP="008F1AC8">
      <w:pPr>
        <w:pStyle w:val="Text-Numbered"/>
        <w:numPr>
          <w:ilvl w:val="0"/>
          <w:numId w:val="63"/>
        </w:numPr>
      </w:pPr>
      <w:r w:rsidRPr="005D0FB0">
        <w:t>general provisions – in section 1</w:t>
      </w:r>
    </w:p>
    <w:p w14:paraId="1569342C" w14:textId="32ADA8D6" w:rsidR="000401D6" w:rsidRPr="005D0FB0" w:rsidRDefault="000401D6" w:rsidP="008F1AC8">
      <w:pPr>
        <w:pStyle w:val="Text-Numbered"/>
        <w:numPr>
          <w:ilvl w:val="0"/>
          <w:numId w:val="63"/>
        </w:numPr>
      </w:pPr>
      <w:r w:rsidRPr="005D0FB0">
        <w:t>the timetable and process for revising pension allowance va</w:t>
      </w:r>
      <w:r w:rsidR="008F4C42">
        <w:t>lues, including details of the Reasonableness R</w:t>
      </w:r>
      <w:r w:rsidRPr="005D0FB0">
        <w:t>eview – in section 2</w:t>
      </w:r>
    </w:p>
    <w:p w14:paraId="000335AF" w14:textId="38D3DB06" w:rsidR="000401D6" w:rsidRPr="005D0FB0" w:rsidRDefault="000401D6" w:rsidP="008F1AC8">
      <w:pPr>
        <w:pStyle w:val="Text-Numbered"/>
        <w:numPr>
          <w:ilvl w:val="0"/>
          <w:numId w:val="63"/>
        </w:numPr>
      </w:pPr>
      <w:r w:rsidRPr="005D0FB0">
        <w:t xml:space="preserve">the </w:t>
      </w:r>
      <w:r>
        <w:t>calculation</w:t>
      </w:r>
      <w:r w:rsidRPr="005D0FB0">
        <w:t xml:space="preserve"> of revised pensions allowance values – in section 3</w:t>
      </w:r>
      <w:r>
        <w:t>.</w:t>
      </w:r>
    </w:p>
    <w:p w14:paraId="162F28CF" w14:textId="1A9F71A6" w:rsidR="000401D6" w:rsidRPr="0064181D" w:rsidRDefault="008F4C42" w:rsidP="000401D6">
      <w:pPr>
        <w:pStyle w:val="Heading2"/>
        <w:spacing w:before="360"/>
      </w:pPr>
      <w:bookmarkStart w:id="169" w:name="_Toc47028421"/>
      <w:bookmarkStart w:id="170" w:name="_Toc49259964"/>
      <w:bookmarkStart w:id="171" w:name="_Toc52357109"/>
      <w:r>
        <w:t>Section 1 – G</w:t>
      </w:r>
      <w:r w:rsidR="000401D6">
        <w:t>eneral provisions</w:t>
      </w:r>
      <w:bookmarkEnd w:id="169"/>
      <w:bookmarkEnd w:id="170"/>
      <w:bookmarkEnd w:id="171"/>
    </w:p>
    <w:p w14:paraId="2A3D4373" w14:textId="77777777" w:rsidR="000401D6" w:rsidRPr="0064181D" w:rsidRDefault="000401D6" w:rsidP="000401D6">
      <w:pPr>
        <w:pStyle w:val="Heading3"/>
        <w:spacing w:before="360"/>
      </w:pPr>
      <w:bookmarkStart w:id="172" w:name="_Toc47028422"/>
      <w:bookmarkStart w:id="173" w:name="_Toc49259965"/>
      <w:bookmarkStart w:id="174" w:name="_Toc52357110"/>
      <w:r w:rsidRPr="0064181D">
        <w:t>Price control pension principles</w:t>
      </w:r>
      <w:bookmarkEnd w:id="172"/>
      <w:bookmarkEnd w:id="173"/>
      <w:bookmarkEnd w:id="174"/>
    </w:p>
    <w:p w14:paraId="0B516790" w14:textId="24AFACA1" w:rsidR="000401D6" w:rsidRDefault="000401D6" w:rsidP="000401D6">
      <w:pPr>
        <w:pStyle w:val="Paragraph"/>
        <w:tabs>
          <w:tab w:val="clear" w:pos="1105"/>
          <w:tab w:val="num" w:pos="680"/>
        </w:tabs>
        <w:ind w:left="0"/>
      </w:pPr>
      <w:bookmarkStart w:id="175" w:name="_Ref47008429"/>
      <w:r w:rsidRPr="0064181D">
        <w:t xml:space="preserve">The Authority’s price control pension principles are set out in </w:t>
      </w:r>
      <w:r>
        <w:t>Ofgem’s</w:t>
      </w:r>
      <w:r w:rsidRPr="0064181D">
        <w:t xml:space="preserve"> guidance note on price control pension principles under RIIO issued as Appendix 3 to the decision letter, ‘</w:t>
      </w:r>
      <w:r w:rsidRPr="008F4C42">
        <w:t>Decision on the Authority's policy for funding Pension Scheme Established Deficits</w:t>
      </w:r>
      <w:r w:rsidRPr="0064181D">
        <w:t>’ dated 7 April 2017.</w:t>
      </w:r>
      <w:bookmarkEnd w:id="175"/>
      <w:r w:rsidR="008F4C42">
        <w:rPr>
          <w:rStyle w:val="FootnoteReference"/>
        </w:rPr>
        <w:footnoteReference w:id="29"/>
      </w:r>
      <w:r w:rsidRPr="009C4EBE">
        <w:t xml:space="preserve"> </w:t>
      </w:r>
    </w:p>
    <w:p w14:paraId="4CFEB3CD" w14:textId="77777777" w:rsidR="000401D6" w:rsidRPr="0064181D" w:rsidRDefault="000401D6" w:rsidP="000401D6">
      <w:pPr>
        <w:pStyle w:val="Heading3"/>
        <w:spacing w:before="360" w:line="360" w:lineRule="auto"/>
      </w:pPr>
      <w:bookmarkStart w:id="176" w:name="_Toc47028423"/>
      <w:bookmarkStart w:id="177" w:name="_Toc49259966"/>
      <w:bookmarkStart w:id="178" w:name="_Toc52357111"/>
      <w:r w:rsidRPr="0064181D">
        <w:t>Pension Scheme Established Deficit</w:t>
      </w:r>
      <w:bookmarkEnd w:id="176"/>
      <w:bookmarkEnd w:id="177"/>
      <w:bookmarkEnd w:id="178"/>
    </w:p>
    <w:p w14:paraId="62448F4F" w14:textId="77777777" w:rsidR="000401D6" w:rsidRDefault="000401D6" w:rsidP="000401D6">
      <w:pPr>
        <w:pStyle w:val="Paragraph"/>
        <w:tabs>
          <w:tab w:val="clear" w:pos="1105"/>
          <w:tab w:val="num" w:pos="680"/>
        </w:tabs>
        <w:spacing w:after="120"/>
        <w:ind w:left="0"/>
      </w:pPr>
      <w:bookmarkStart w:id="179" w:name="_Ref47001896"/>
      <w:r w:rsidRPr="0064181D">
        <w:t>For the purposes of this chapter</w:t>
      </w:r>
      <w:r>
        <w:t>:</w:t>
      </w:r>
      <w:bookmarkEnd w:id="179"/>
    </w:p>
    <w:p w14:paraId="7B3AA4F5" w14:textId="6B88467A" w:rsidR="000401D6" w:rsidRDefault="000401D6" w:rsidP="008F1AC8">
      <w:pPr>
        <w:pStyle w:val="Text-Numbered"/>
        <w:numPr>
          <w:ilvl w:val="0"/>
          <w:numId w:val="50"/>
        </w:numPr>
      </w:pPr>
      <w:r>
        <w:t>the term cut-off date refers to the date of 31 March 2013</w:t>
      </w:r>
    </w:p>
    <w:p w14:paraId="13D7545A" w14:textId="6DE144EB" w:rsidR="000401D6" w:rsidRPr="0064181D" w:rsidRDefault="000401D6" w:rsidP="008F1AC8">
      <w:pPr>
        <w:pStyle w:val="Text-Numbered"/>
        <w:numPr>
          <w:ilvl w:val="0"/>
          <w:numId w:val="50"/>
        </w:numPr>
      </w:pPr>
      <w:bookmarkStart w:id="180" w:name="_Ref47001890"/>
      <w:r w:rsidRPr="00A47831">
        <w:t xml:space="preserve">the term Pension Scheme Established Deficit (PSED), or “established deficit”, means an amount </w:t>
      </w:r>
      <w:r w:rsidRPr="00150133">
        <w:rPr>
          <w:bCs/>
          <w:szCs w:val="20"/>
        </w:rPr>
        <w:t>derived</w:t>
      </w:r>
      <w:r w:rsidRPr="00A47831">
        <w:t xml:space="preserve"> as the value of the liabilities within a defined benefit pension scheme (or schemes) sponsored (or co-sponsored, eg if part of a group scheme) by </w:t>
      </w:r>
      <w:r w:rsidRPr="00A47831">
        <w:lastRenderedPageBreak/>
        <w:t>the licensee expressed as a positive number, less the corresponding assets, where those assets and liabilities are:</w:t>
      </w:r>
      <w:bookmarkEnd w:id="180"/>
    </w:p>
    <w:p w14:paraId="46CBB239" w14:textId="7489DD77" w:rsidR="000401D6" w:rsidRDefault="000401D6" w:rsidP="008F1AC8">
      <w:pPr>
        <w:pStyle w:val="Text-Numbered"/>
        <w:numPr>
          <w:ilvl w:val="1"/>
          <w:numId w:val="72"/>
        </w:numPr>
      </w:pPr>
      <w:r w:rsidRPr="0064181D">
        <w:t xml:space="preserve">attributable to the licensee’s </w:t>
      </w:r>
      <w:r>
        <w:rPr>
          <w:bCs/>
          <w:szCs w:val="20"/>
        </w:rPr>
        <w:t>trans</w:t>
      </w:r>
      <w:r w:rsidR="00975FC0">
        <w:rPr>
          <w:bCs/>
          <w:szCs w:val="20"/>
        </w:rPr>
        <w:t>portation</w:t>
      </w:r>
      <w:r>
        <w:rPr>
          <w:bCs/>
          <w:szCs w:val="20"/>
        </w:rPr>
        <w:t xml:space="preserve"> business</w:t>
      </w:r>
      <w:r w:rsidRPr="0064181D">
        <w:t>, and</w:t>
      </w:r>
    </w:p>
    <w:p w14:paraId="0F811106" w14:textId="77777777" w:rsidR="000401D6" w:rsidRDefault="000401D6" w:rsidP="008F1AC8">
      <w:pPr>
        <w:pStyle w:val="Text-Numbered"/>
        <w:numPr>
          <w:ilvl w:val="1"/>
          <w:numId w:val="72"/>
        </w:numPr>
      </w:pPr>
      <w:r w:rsidRPr="0064181D">
        <w:t xml:space="preserve">attributable to pensionable service up to and </w:t>
      </w:r>
      <w:r w:rsidRPr="00AB1664">
        <w:rPr>
          <w:bCs/>
          <w:szCs w:val="20"/>
        </w:rPr>
        <w:t>including</w:t>
      </w:r>
      <w:r w:rsidRPr="0064181D">
        <w:t xml:space="preserve"> the cut-off date.</w:t>
      </w:r>
      <w:r>
        <w:rPr>
          <w:rStyle w:val="FootnoteReference"/>
        </w:rPr>
        <w:footnoteReference w:id="30"/>
      </w:r>
    </w:p>
    <w:p w14:paraId="6576BE43" w14:textId="18E52857" w:rsidR="000401D6" w:rsidRPr="000401D6" w:rsidRDefault="000401D6" w:rsidP="000401D6">
      <w:pPr>
        <w:pStyle w:val="Paragraph"/>
        <w:tabs>
          <w:tab w:val="clear" w:pos="1105"/>
          <w:tab w:val="num" w:pos="680"/>
        </w:tabs>
        <w:spacing w:after="120"/>
        <w:ind w:left="0"/>
      </w:pPr>
      <w:r w:rsidRPr="000401D6">
        <w:t>Where relevant PSED is further sub-divided for GT TO and SO, in accordance with the Authority’s pension deficit allocation methodology.</w:t>
      </w:r>
    </w:p>
    <w:p w14:paraId="176DFB31" w14:textId="3E22F962" w:rsidR="000401D6" w:rsidRPr="0064181D" w:rsidRDefault="000401D6" w:rsidP="000401D6">
      <w:pPr>
        <w:pStyle w:val="Paragraph"/>
        <w:tabs>
          <w:tab w:val="clear" w:pos="1105"/>
          <w:tab w:val="num" w:pos="680"/>
        </w:tabs>
        <w:ind w:left="0"/>
      </w:pPr>
      <w:r w:rsidRPr="0064181D">
        <w:t xml:space="preserve">The licensee’s PSED will be </w:t>
      </w:r>
      <w:r>
        <w:t>calculated</w:t>
      </w:r>
      <w:r w:rsidRPr="0064181D">
        <w:t xml:space="preserve"> using:</w:t>
      </w:r>
    </w:p>
    <w:p w14:paraId="714A3B06" w14:textId="62076ADD" w:rsidR="000401D6" w:rsidRPr="00A47831" w:rsidRDefault="000401D6" w:rsidP="008F1AC8">
      <w:pPr>
        <w:pStyle w:val="Text-Numbered"/>
        <w:numPr>
          <w:ilvl w:val="0"/>
          <w:numId w:val="51"/>
        </w:numPr>
      </w:pPr>
      <w:bookmarkStart w:id="181" w:name="_Ref47002157"/>
      <w:r w:rsidRPr="0064181D">
        <w:rPr>
          <w:bCs/>
        </w:rPr>
        <w:t xml:space="preserve">the triennial actuarial valuation of the </w:t>
      </w:r>
      <w:r>
        <w:rPr>
          <w:bCs/>
        </w:rPr>
        <w:t xml:space="preserve">pension scheme or schemes that </w:t>
      </w:r>
      <w:r w:rsidRPr="00A47831">
        <w:t xml:space="preserve">contain the PSED described in paragraph </w:t>
      </w:r>
      <w:r>
        <w:fldChar w:fldCharType="begin"/>
      </w:r>
      <w:r>
        <w:instrText xml:space="preserve"> REF _Ref47001896 \r \h </w:instrText>
      </w:r>
      <w:r>
        <w:fldChar w:fldCharType="separate"/>
      </w:r>
      <w:r w:rsidR="00C21C6D">
        <w:t>7.7</w:t>
      </w:r>
      <w:r>
        <w:fldChar w:fldCharType="end"/>
      </w:r>
      <w:r>
        <w:t xml:space="preserve"> </w:t>
      </w:r>
      <w:r>
        <w:fldChar w:fldCharType="begin"/>
      </w:r>
      <w:r>
        <w:instrText xml:space="preserve"> REF _Ref47001890 \r \h </w:instrText>
      </w:r>
      <w:r>
        <w:fldChar w:fldCharType="separate"/>
      </w:r>
      <w:r w:rsidR="00C21C6D">
        <w:t>b)</w:t>
      </w:r>
      <w:r>
        <w:fldChar w:fldCharType="end"/>
      </w:r>
      <w:bookmarkEnd w:id="181"/>
    </w:p>
    <w:p w14:paraId="47C7462C" w14:textId="545B52CA" w:rsidR="000401D6" w:rsidRDefault="000401D6" w:rsidP="008F1AC8">
      <w:pPr>
        <w:pStyle w:val="Text-Numbered"/>
        <w:numPr>
          <w:ilvl w:val="0"/>
          <w:numId w:val="51"/>
        </w:numPr>
      </w:pPr>
      <w:r w:rsidRPr="00A47831">
        <w:t xml:space="preserve">the </w:t>
      </w:r>
      <w:r w:rsidRPr="0064181D">
        <w:t>allocation</w:t>
      </w:r>
      <w:r w:rsidRPr="00A47831">
        <w:t xml:space="preserve"> of assets and liabilities i</w:t>
      </w:r>
      <w:r>
        <w:t xml:space="preserve">n the scheme(s) referred to in </w:t>
      </w:r>
      <w:r w:rsidRPr="00A47831">
        <w:t xml:space="preserve">subparagraph </w:t>
      </w:r>
      <w:r>
        <w:fldChar w:fldCharType="begin"/>
      </w:r>
      <w:r>
        <w:instrText xml:space="preserve"> REF _Ref47002157 \r \h </w:instrText>
      </w:r>
      <w:r>
        <w:fldChar w:fldCharType="separate"/>
      </w:r>
      <w:r w:rsidR="00C21C6D">
        <w:t>a)</w:t>
      </w:r>
      <w:r>
        <w:fldChar w:fldCharType="end"/>
      </w:r>
      <w:r w:rsidRPr="00A47831">
        <w:t xml:space="preserve"> to the PSED using the </w:t>
      </w:r>
      <w:r w:rsidRPr="0064181D">
        <w:t xml:space="preserve">Pension Deficit Allocation Methodology; </w:t>
      </w:r>
    </w:p>
    <w:p w14:paraId="42DBDC87" w14:textId="16F27629" w:rsidR="000401D6" w:rsidRPr="0064181D" w:rsidRDefault="000401D6" w:rsidP="008F1AC8">
      <w:pPr>
        <w:pStyle w:val="Text-Numbered"/>
        <w:numPr>
          <w:ilvl w:val="0"/>
          <w:numId w:val="51"/>
        </w:numPr>
      </w:pPr>
      <w:r w:rsidRPr="0064181D">
        <w:t xml:space="preserve">the effective date for revised allocations at each triennial actuarial valuation </w:t>
      </w:r>
      <w:r>
        <w:t xml:space="preserve">that </w:t>
      </w:r>
      <w:r w:rsidRPr="0064181D">
        <w:t>take effect in the year rr</w:t>
      </w:r>
      <w:r>
        <w:t xml:space="preserve"> (see </w:t>
      </w:r>
      <w:r w:rsidR="005E166B">
        <w:fldChar w:fldCharType="begin"/>
      </w:r>
      <w:r w:rsidR="005E166B">
        <w:instrText xml:space="preserve"> REF _Ref49870226 \h </w:instrText>
      </w:r>
      <w:r w:rsidR="005E166B">
        <w:fldChar w:fldCharType="separate"/>
      </w:r>
      <w:r w:rsidR="00C21C6D">
        <w:t>Table 7.1</w:t>
      </w:r>
      <w:r w:rsidR="005E166B">
        <w:fldChar w:fldCharType="end"/>
      </w:r>
      <w:r>
        <w:t>)</w:t>
      </w:r>
      <w:r w:rsidRPr="0064181D">
        <w:t xml:space="preserve">, and </w:t>
      </w:r>
    </w:p>
    <w:p w14:paraId="07A7F905" w14:textId="77777777" w:rsidR="000401D6" w:rsidRDefault="000401D6" w:rsidP="008F1AC8">
      <w:pPr>
        <w:pStyle w:val="Text-Numbered"/>
        <w:numPr>
          <w:ilvl w:val="0"/>
          <w:numId w:val="51"/>
        </w:numPr>
      </w:pPr>
      <w:r w:rsidRPr="0064181D">
        <w:t>the Reasonableness Review with respect to the price control pension principles which could, exceptionally, result in adjustments to the PSED figure on account of errors in methodology or data.</w:t>
      </w:r>
    </w:p>
    <w:p w14:paraId="5208DD5A" w14:textId="77777777" w:rsidR="000401D6" w:rsidRPr="00150133" w:rsidRDefault="000401D6" w:rsidP="000401D6">
      <w:pPr>
        <w:pStyle w:val="Paragraph"/>
        <w:tabs>
          <w:tab w:val="clear" w:pos="1105"/>
          <w:tab w:val="num" w:pos="680"/>
        </w:tabs>
        <w:spacing w:after="120"/>
        <w:ind w:left="0"/>
      </w:pPr>
      <w:r w:rsidRPr="00055F3B">
        <w:t>While the Price Control Period ends on 31 March 2026, Pensions Allowance values will be determined having regard to further PSED repair periods determined under the methodology set out in this chapter (and the associated Price Control Financial Instrument licence condition).</w:t>
      </w:r>
      <w:r w:rsidRPr="00055F3B">
        <w:rPr>
          <w:b/>
        </w:rPr>
        <w:t xml:space="preserve"> </w:t>
      </w:r>
    </w:p>
    <w:p w14:paraId="3920A9CD" w14:textId="77777777" w:rsidR="000401D6" w:rsidRPr="000401D6" w:rsidRDefault="000401D6" w:rsidP="000401D6">
      <w:pPr>
        <w:pStyle w:val="Heading3"/>
        <w:spacing w:before="360" w:line="360" w:lineRule="auto"/>
      </w:pPr>
      <w:bookmarkStart w:id="182" w:name="_Toc47028424"/>
      <w:bookmarkStart w:id="183" w:name="_Toc49259967"/>
      <w:bookmarkStart w:id="184" w:name="_Toc52357112"/>
      <w:r w:rsidRPr="000401D6">
        <w:t>Established surpluses</w:t>
      </w:r>
      <w:bookmarkEnd w:id="182"/>
      <w:bookmarkEnd w:id="183"/>
      <w:bookmarkEnd w:id="184"/>
    </w:p>
    <w:p w14:paraId="351EEABA" w14:textId="4BBCB4FA" w:rsidR="000401D6" w:rsidRPr="003F0015" w:rsidRDefault="000401D6" w:rsidP="000401D6">
      <w:pPr>
        <w:pStyle w:val="Paragraph"/>
        <w:tabs>
          <w:tab w:val="clear" w:pos="1105"/>
          <w:tab w:val="num" w:pos="680"/>
        </w:tabs>
        <w:ind w:left="0"/>
      </w:pPr>
      <w:r w:rsidRPr="003F0015">
        <w:t>The existence of an established surplus indicates that consumers have funded the relevant pension scheme more than it would now appear was necessary. One of the objectives behind our policy is to protect the consumer interest by encouraging strategies that ensure any over-funding can be returned to consumers</w:t>
      </w:r>
      <w:r>
        <w:t>,</w:t>
      </w:r>
      <w:r w:rsidRPr="003F0015">
        <w:t xml:space="preserve"> </w:t>
      </w:r>
      <w:r>
        <w:t xml:space="preserve">where appropriate, </w:t>
      </w:r>
      <w:r w:rsidRPr="003F0015">
        <w:t xml:space="preserve">and that minimise the risk of a surplus being unrecoverable for consumers or being used, for example to de-risk the scheme, in a way that would not otherwise be in the consumer interest. </w:t>
      </w:r>
      <w:r w:rsidRPr="003F0015">
        <w:lastRenderedPageBreak/>
        <w:t xml:space="preserve">Strategies may include careful management of deficit funding, the use of asset backed funding arrangements as described from paragraph </w:t>
      </w:r>
      <w:r>
        <w:fldChar w:fldCharType="begin"/>
      </w:r>
      <w:r>
        <w:instrText xml:space="preserve"> REF _Ref47002308 \r \h </w:instrText>
      </w:r>
      <w:r>
        <w:fldChar w:fldCharType="separate"/>
      </w:r>
      <w:r w:rsidR="00C21C6D">
        <w:t>7.15</w:t>
      </w:r>
      <w:r>
        <w:fldChar w:fldCharType="end"/>
      </w:r>
      <w:r w:rsidRPr="003F0015">
        <w:t xml:space="preserve">, and the use of pension contribution holidays, especially when a scheme still has a significant number of active members. </w:t>
      </w:r>
    </w:p>
    <w:p w14:paraId="1E354D0F" w14:textId="294B924D" w:rsidR="000401D6" w:rsidRDefault="000401D6" w:rsidP="000401D6">
      <w:pPr>
        <w:pStyle w:val="Paragraph"/>
        <w:tabs>
          <w:tab w:val="clear" w:pos="1105"/>
          <w:tab w:val="num" w:pos="680"/>
        </w:tabs>
        <w:ind w:left="0"/>
      </w:pPr>
      <w:r w:rsidRPr="003F0015">
        <w:t xml:space="preserve">In the event that an established surplus arises, it may be appropriate for a licensee and the pension scheme trustees to agree a programme of pension contributions below the level that would otherwise be necessary to fund the accruals of benefits for active members and any deficit relating to post cut-off service. These reduced contributions can be called a contribution holiday. </w:t>
      </w:r>
      <w:bookmarkStart w:id="185" w:name="_Ref47024010"/>
      <w:r w:rsidRPr="003F0015">
        <w:t xml:space="preserve">It is important that a pension contribution holiday, to the extent that it is attributable to an established surplus, is returned to consumers. </w:t>
      </w:r>
    </w:p>
    <w:p w14:paraId="2C92F0E4" w14:textId="0A0F756A" w:rsidR="000401D6" w:rsidRPr="003F0015" w:rsidRDefault="008F4C42" w:rsidP="008F1AC8">
      <w:pPr>
        <w:pStyle w:val="Paragraph"/>
        <w:numPr>
          <w:ilvl w:val="1"/>
          <w:numId w:val="82"/>
        </w:numPr>
        <w:tabs>
          <w:tab w:val="clear" w:pos="1105"/>
          <w:tab w:val="num" w:pos="680"/>
        </w:tabs>
        <w:ind w:left="0"/>
      </w:pPr>
      <w:bookmarkStart w:id="186" w:name="_Ref52225702"/>
      <w:r>
        <w:t>A</w:t>
      </w:r>
      <w:r w:rsidR="000401D6">
        <w:t>s part of the Reasonableness Review (see para</w:t>
      </w:r>
      <w:r w:rsidR="00975FC0">
        <w:t>graph</w:t>
      </w:r>
      <w:r w:rsidR="000401D6">
        <w:t xml:space="preserve"> </w:t>
      </w:r>
      <w:r w:rsidR="000401D6">
        <w:fldChar w:fldCharType="begin"/>
      </w:r>
      <w:r w:rsidR="000401D6">
        <w:instrText xml:space="preserve"> REF _Ref47001251 \r \h </w:instrText>
      </w:r>
      <w:r w:rsidR="000401D6">
        <w:fldChar w:fldCharType="separate"/>
      </w:r>
      <w:r w:rsidR="00C21C6D">
        <w:t>7.31</w:t>
      </w:r>
      <w:r w:rsidR="000401D6">
        <w:fldChar w:fldCharType="end"/>
      </w:r>
      <w:r w:rsidR="000401D6">
        <w:t xml:space="preserve">) </w:t>
      </w:r>
      <w:r w:rsidR="009B63A6">
        <w:t xml:space="preserve">we will conduct an initial review of any established surplus to identify whether a more detailed review is required. </w:t>
      </w:r>
      <w:r w:rsidR="009B63A6" w:rsidRPr="002D576D">
        <w:t xml:space="preserve">This </w:t>
      </w:r>
      <w:r w:rsidR="009B63A6">
        <w:t xml:space="preserve">more detailed review would occur as part of the close out of RIIO-2, using the latest information available at that time. The review </w:t>
      </w:r>
      <w:r w:rsidR="009B63A6" w:rsidRPr="002D576D">
        <w:t xml:space="preserve">would take into account the mitigating actions a company has put in place to </w:t>
      </w:r>
      <w:r w:rsidR="009B63A6">
        <w:t>manage an unnecessary</w:t>
      </w:r>
      <w:r w:rsidR="009B63A6" w:rsidRPr="002D576D">
        <w:t xml:space="preserve"> surplus, prevailing and forecast market conditions, the impact of any pension payment holidays (including the timing of those holidays) and the materiality of the surplus.</w:t>
      </w:r>
      <w:r w:rsidR="009B63A6">
        <w:t xml:space="preserve"> If the review concludes an adjustment is required, it would be applied as part of RIIO-2 close-out.</w:t>
      </w:r>
      <w:bookmarkEnd w:id="185"/>
      <w:bookmarkEnd w:id="186"/>
    </w:p>
    <w:p w14:paraId="1C302BAE" w14:textId="77777777" w:rsidR="000401D6" w:rsidRPr="004A28F6" w:rsidRDefault="000401D6" w:rsidP="000401D6">
      <w:pPr>
        <w:pStyle w:val="Heading3"/>
        <w:spacing w:before="360" w:line="360" w:lineRule="auto"/>
        <w:rPr>
          <w:bCs/>
        </w:rPr>
      </w:pPr>
      <w:bookmarkStart w:id="187" w:name="_Toc47028425"/>
      <w:bookmarkStart w:id="188" w:name="_Toc49259968"/>
      <w:bookmarkStart w:id="189" w:name="_Toc52357113"/>
      <w:r>
        <w:rPr>
          <w:bCs/>
        </w:rPr>
        <w:t>Pension c</w:t>
      </w:r>
      <w:r w:rsidRPr="004A28F6">
        <w:rPr>
          <w:bCs/>
        </w:rPr>
        <w:t>osts outside the scope of this chapter</w:t>
      </w:r>
      <w:bookmarkEnd w:id="187"/>
      <w:bookmarkEnd w:id="188"/>
      <w:bookmarkEnd w:id="189"/>
    </w:p>
    <w:p w14:paraId="7F08654F" w14:textId="77777777" w:rsidR="000401D6" w:rsidRPr="0064181D" w:rsidRDefault="000401D6" w:rsidP="000401D6">
      <w:pPr>
        <w:pStyle w:val="Paragraph"/>
        <w:tabs>
          <w:tab w:val="clear" w:pos="1105"/>
          <w:tab w:val="num" w:pos="680"/>
        </w:tabs>
        <w:spacing w:after="120"/>
        <w:ind w:left="0"/>
      </w:pPr>
      <w:r w:rsidRPr="0064181D">
        <w:t xml:space="preserve">The following costs are dealt with as </w:t>
      </w:r>
      <w:r>
        <w:t>t</w:t>
      </w:r>
      <w:r w:rsidRPr="0064181D">
        <w:t>otex in the relevant price control and therefore fall outside the scope of this chapter:</w:t>
      </w:r>
    </w:p>
    <w:p w14:paraId="00238343" w14:textId="77777777" w:rsidR="000401D6" w:rsidRPr="0064181D" w:rsidRDefault="000401D6" w:rsidP="008F1AC8">
      <w:pPr>
        <w:pStyle w:val="Text-Numbered"/>
        <w:numPr>
          <w:ilvl w:val="0"/>
          <w:numId w:val="52"/>
        </w:numPr>
      </w:pPr>
      <w:r w:rsidRPr="0064181D">
        <w:t>pension costs associated with employee service after the cut-off date</w:t>
      </w:r>
    </w:p>
    <w:p w14:paraId="6D6F42AE" w14:textId="77777777" w:rsidR="000401D6" w:rsidRPr="0064181D" w:rsidRDefault="000401D6" w:rsidP="008F1AC8">
      <w:pPr>
        <w:pStyle w:val="Text-Numbered"/>
        <w:numPr>
          <w:ilvl w:val="0"/>
          <w:numId w:val="52"/>
        </w:numPr>
      </w:pPr>
      <w:r w:rsidRPr="0064181D">
        <w:t>accrued liability costs associated with employee service after the cut-off date (Pension Scheme Incremental Deficit costs), and</w:t>
      </w:r>
    </w:p>
    <w:p w14:paraId="605E06E5" w14:textId="77777777" w:rsidR="000401D6" w:rsidRDefault="000401D6" w:rsidP="008F1AC8">
      <w:pPr>
        <w:pStyle w:val="Text-Numbered"/>
        <w:numPr>
          <w:ilvl w:val="0"/>
          <w:numId w:val="52"/>
        </w:numPr>
      </w:pPr>
      <w:r w:rsidRPr="0064181D">
        <w:t>pension scheme administration costs and Pension Protection Fund levy costs.</w:t>
      </w:r>
    </w:p>
    <w:p w14:paraId="123B66D2" w14:textId="77777777" w:rsidR="000401D6" w:rsidRPr="0064181D" w:rsidRDefault="000401D6" w:rsidP="000401D6">
      <w:pPr>
        <w:pStyle w:val="Heading3"/>
        <w:spacing w:before="360" w:line="360" w:lineRule="auto"/>
      </w:pPr>
      <w:bookmarkStart w:id="190" w:name="_Toc47028426"/>
      <w:bookmarkStart w:id="191" w:name="_Toc49259969"/>
      <w:bookmarkStart w:id="192" w:name="_Toc52357114"/>
      <w:r w:rsidRPr="0064181D">
        <w:t>Asset-backed funding arrangements</w:t>
      </w:r>
      <w:bookmarkEnd w:id="190"/>
      <w:bookmarkEnd w:id="191"/>
      <w:bookmarkEnd w:id="192"/>
    </w:p>
    <w:p w14:paraId="0BE441C9" w14:textId="77777777" w:rsidR="000401D6" w:rsidRPr="0064181D" w:rsidRDefault="000401D6" w:rsidP="000401D6">
      <w:pPr>
        <w:pStyle w:val="Paragraph"/>
        <w:tabs>
          <w:tab w:val="clear" w:pos="1105"/>
          <w:tab w:val="num" w:pos="680"/>
        </w:tabs>
        <w:ind w:left="0"/>
      </w:pPr>
      <w:bookmarkStart w:id="193" w:name="_Ref47002308"/>
      <w:r w:rsidRPr="0064181D">
        <w:t>The licensee may choose to enter into asset-backed funding arrangements with pension scheme trustees, either directly or indirectly through related parties. Such arrangements might include a range of alternative funding arrangements, for example, mechanisms involving contingent assets or loan notes benefitting relevant pension schemes.</w:t>
      </w:r>
      <w:bookmarkEnd w:id="193"/>
    </w:p>
    <w:p w14:paraId="4EBC7809" w14:textId="77777777" w:rsidR="000401D6" w:rsidRPr="0064181D" w:rsidRDefault="000401D6" w:rsidP="000401D6">
      <w:pPr>
        <w:pStyle w:val="Paragraph"/>
        <w:tabs>
          <w:tab w:val="clear" w:pos="1105"/>
          <w:tab w:val="num" w:pos="680"/>
        </w:tabs>
        <w:ind w:left="0"/>
      </w:pPr>
      <w:r w:rsidRPr="0064181D">
        <w:lastRenderedPageBreak/>
        <w:t>Any asset-backed funding arrangements must be fully compliant with all conditions, for example relating to the ring fence, in the licensee’s licence (except where appropriate consent has been granted under the terms of a condition).</w:t>
      </w:r>
    </w:p>
    <w:p w14:paraId="2F55DE11" w14:textId="77777777" w:rsidR="000401D6" w:rsidRPr="0064181D" w:rsidRDefault="000401D6" w:rsidP="000401D6">
      <w:pPr>
        <w:pStyle w:val="Paragraph"/>
        <w:tabs>
          <w:tab w:val="clear" w:pos="1105"/>
          <w:tab w:val="num" w:pos="680"/>
        </w:tabs>
        <w:ind w:left="0"/>
      </w:pPr>
      <w:r w:rsidRPr="0064181D">
        <w:t>Notwithstanding that an arrangement may be fully compliant with licence conditions, the licensee is encouraged to provide information on any such mechanism or prospective mechanism to the Authority at the earliest opportunity. In general, the Authority would encourage asset-backed funding arrangements that would facilitate the return of funds to consumers in the event that a pension scheme deficit turns out to be smaller than anticipated.</w:t>
      </w:r>
    </w:p>
    <w:p w14:paraId="0C350221" w14:textId="6D439387" w:rsidR="000401D6" w:rsidRDefault="000401D6" w:rsidP="000401D6">
      <w:pPr>
        <w:pStyle w:val="Paragraph"/>
        <w:tabs>
          <w:tab w:val="clear" w:pos="1105"/>
          <w:tab w:val="num" w:pos="680"/>
        </w:tabs>
        <w:ind w:left="0"/>
      </w:pPr>
      <w:r w:rsidRPr="0064181D">
        <w:t xml:space="preserve">Asset-backed funding arrangements would in general be disregarded in the determination of revised Pensions Allowance values because allowances are provided for PSED repair and not </w:t>
      </w:r>
      <w:r w:rsidR="00C67FE8">
        <w:t xml:space="preserve">for </w:t>
      </w:r>
      <w:r w:rsidRPr="0064181D">
        <w:t xml:space="preserve">ancillary arrangements </w:t>
      </w:r>
      <w:r w:rsidR="00B15ED2">
        <w:t xml:space="preserve">(such as asset-backed funding) </w:t>
      </w:r>
      <w:r w:rsidRPr="0064181D">
        <w:t xml:space="preserve">per se.  However, such arrangements would be relevant in any proposal by the licensee for Pensions Allowance values under the methodology </w:t>
      </w:r>
      <w:r>
        <w:t>set out in this chapter.</w:t>
      </w:r>
    </w:p>
    <w:p w14:paraId="689F5832" w14:textId="69BF7214" w:rsidR="000401D6" w:rsidRPr="0064181D" w:rsidRDefault="000401D6" w:rsidP="000401D6">
      <w:pPr>
        <w:pStyle w:val="Heading2"/>
        <w:spacing w:before="360"/>
      </w:pPr>
      <w:bookmarkStart w:id="194" w:name="_Toc47028427"/>
      <w:bookmarkStart w:id="195" w:name="_Toc49259970"/>
      <w:bookmarkStart w:id="196" w:name="_Toc52357115"/>
      <w:r>
        <w:t xml:space="preserve">Section 2 – </w:t>
      </w:r>
      <w:r w:rsidR="009B63A6">
        <w:t>T</w:t>
      </w:r>
      <w:r>
        <w:t>imetable and process for triennial revision of pensions allowance values</w:t>
      </w:r>
      <w:bookmarkEnd w:id="194"/>
      <w:bookmarkEnd w:id="195"/>
      <w:bookmarkEnd w:id="196"/>
    </w:p>
    <w:p w14:paraId="44075672" w14:textId="77777777" w:rsidR="000401D6" w:rsidRPr="0064181D" w:rsidRDefault="000401D6" w:rsidP="000401D6">
      <w:pPr>
        <w:pStyle w:val="Heading3"/>
        <w:spacing w:line="360" w:lineRule="auto"/>
      </w:pPr>
      <w:bookmarkStart w:id="197" w:name="_Toc47028428"/>
      <w:bookmarkStart w:id="198" w:name="_Toc49259971"/>
      <w:bookmarkStart w:id="199" w:name="_Toc52357116"/>
      <w:r>
        <w:t>Reasons for updating pensions allowance values</w:t>
      </w:r>
      <w:bookmarkEnd w:id="197"/>
      <w:bookmarkEnd w:id="198"/>
      <w:bookmarkEnd w:id="199"/>
    </w:p>
    <w:p w14:paraId="688C3CE9" w14:textId="77777777" w:rsidR="000401D6" w:rsidRPr="0064181D" w:rsidRDefault="000401D6" w:rsidP="000401D6">
      <w:pPr>
        <w:pStyle w:val="Paragraph"/>
        <w:tabs>
          <w:tab w:val="clear" w:pos="1105"/>
          <w:tab w:val="num" w:pos="680"/>
        </w:tabs>
        <w:ind w:left="0"/>
      </w:pPr>
      <w:r>
        <w:t>The licensee’s pensions a</w:t>
      </w:r>
      <w:r w:rsidRPr="0064181D">
        <w:t>llowance values</w:t>
      </w:r>
      <w:r w:rsidRPr="0064181D" w:rsidDel="001805FB">
        <w:t xml:space="preserve"> </w:t>
      </w:r>
      <w:r w:rsidRPr="00E60EA6">
        <w:t>may be revised during the Price Control Period to reflect:</w:t>
      </w:r>
    </w:p>
    <w:p w14:paraId="6709AD41" w14:textId="77777777" w:rsidR="000401D6" w:rsidRPr="0064181D" w:rsidRDefault="000401D6" w:rsidP="008F1AC8">
      <w:pPr>
        <w:pStyle w:val="Text-Numbered"/>
        <w:numPr>
          <w:ilvl w:val="0"/>
          <w:numId w:val="53"/>
        </w:numPr>
      </w:pPr>
      <w:r w:rsidRPr="0064181D">
        <w:t>information contained in pension scheme actuarial valuation reports provided by the licensee to the Authority</w:t>
      </w:r>
    </w:p>
    <w:p w14:paraId="7948850E" w14:textId="77777777" w:rsidR="000401D6" w:rsidRPr="0064181D" w:rsidRDefault="000401D6" w:rsidP="008F1AC8">
      <w:pPr>
        <w:pStyle w:val="Text-Numbered"/>
        <w:numPr>
          <w:ilvl w:val="0"/>
          <w:numId w:val="53"/>
        </w:numPr>
      </w:pPr>
      <w:r w:rsidRPr="0064181D">
        <w:t>the licensee’s updated PSED</w:t>
      </w:r>
    </w:p>
    <w:p w14:paraId="6E25603F" w14:textId="450C95C2" w:rsidR="000401D6" w:rsidRPr="0064181D" w:rsidRDefault="000401D6" w:rsidP="008F1AC8">
      <w:pPr>
        <w:pStyle w:val="Text-Numbered"/>
        <w:numPr>
          <w:ilvl w:val="0"/>
          <w:numId w:val="53"/>
        </w:numPr>
      </w:pPr>
      <w:r w:rsidRPr="0064181D">
        <w:t xml:space="preserve">information on the history of actual amounts received by the relevant pension scheme(s) in respect of PSED repair payments, attributable to the licensee, </w:t>
      </w:r>
      <w:r w:rsidR="00B15ED2">
        <w:t>s</w:t>
      </w:r>
      <w:r w:rsidRPr="0064181D">
        <w:t>ubmitted to the Authority</w:t>
      </w:r>
    </w:p>
    <w:p w14:paraId="2AEA3BF6" w14:textId="77777777" w:rsidR="000401D6" w:rsidRPr="0064181D" w:rsidRDefault="000401D6" w:rsidP="008F1AC8">
      <w:pPr>
        <w:pStyle w:val="Text-Numbered"/>
        <w:numPr>
          <w:ilvl w:val="0"/>
          <w:numId w:val="53"/>
        </w:numPr>
      </w:pPr>
      <w:bookmarkStart w:id="200" w:name="_Ref47002711"/>
      <w:r w:rsidRPr="0064181D">
        <w:t>proposals made by the licensee for Base Annual PSED Allowances and payment history allowances</w:t>
      </w:r>
      <w:bookmarkEnd w:id="200"/>
    </w:p>
    <w:p w14:paraId="770B1592" w14:textId="4B4269B9" w:rsidR="000401D6" w:rsidRPr="0064181D" w:rsidRDefault="000401D6" w:rsidP="008F1AC8">
      <w:pPr>
        <w:pStyle w:val="Text-Numbered"/>
        <w:numPr>
          <w:ilvl w:val="0"/>
          <w:numId w:val="53"/>
        </w:numPr>
      </w:pPr>
      <w:r w:rsidRPr="0064181D">
        <w:t xml:space="preserve">asset-backed funding arrangements associated with proposals referred to in subparagraph </w:t>
      </w:r>
      <w:r>
        <w:rPr>
          <w:highlight w:val="yellow"/>
        </w:rPr>
        <w:fldChar w:fldCharType="begin"/>
      </w:r>
      <w:r>
        <w:instrText xml:space="preserve"> REF _Ref47002711 \r \h </w:instrText>
      </w:r>
      <w:r>
        <w:rPr>
          <w:highlight w:val="yellow"/>
        </w:rPr>
      </w:r>
      <w:r>
        <w:rPr>
          <w:highlight w:val="yellow"/>
        </w:rPr>
        <w:fldChar w:fldCharType="separate"/>
      </w:r>
      <w:r w:rsidR="00C21C6D">
        <w:t>d)</w:t>
      </w:r>
      <w:r>
        <w:rPr>
          <w:highlight w:val="yellow"/>
        </w:rPr>
        <w:fldChar w:fldCharType="end"/>
      </w:r>
    </w:p>
    <w:p w14:paraId="7F476DA2" w14:textId="72700B3D" w:rsidR="000401D6" w:rsidRPr="0064181D" w:rsidRDefault="000401D6" w:rsidP="008F1AC8">
      <w:pPr>
        <w:pStyle w:val="Text-Numbered"/>
        <w:numPr>
          <w:ilvl w:val="0"/>
          <w:numId w:val="53"/>
        </w:numPr>
      </w:pPr>
      <w:r w:rsidRPr="0064181D">
        <w:t>the outcomes of Reasonableness Reviews (</w:t>
      </w:r>
      <w:r w:rsidRPr="009909AB">
        <w:t>see</w:t>
      </w:r>
      <w:r>
        <w:t xml:space="preserve"> from</w:t>
      </w:r>
      <w:r w:rsidRPr="009909AB">
        <w:t xml:space="preserve"> </w:t>
      </w:r>
      <w:r>
        <w:t xml:space="preserve">paragraph </w:t>
      </w:r>
      <w:r>
        <w:fldChar w:fldCharType="begin"/>
      </w:r>
      <w:r>
        <w:instrText xml:space="preserve"> REF _Ref47001251 \r \h </w:instrText>
      </w:r>
      <w:r>
        <w:fldChar w:fldCharType="separate"/>
      </w:r>
      <w:r w:rsidR="00C21C6D">
        <w:t>7.31</w:t>
      </w:r>
      <w:r>
        <w:fldChar w:fldCharType="end"/>
      </w:r>
      <w:r w:rsidRPr="0064181D">
        <w:t>)</w:t>
      </w:r>
      <w:r>
        <w:t>,</w:t>
      </w:r>
      <w:r w:rsidRPr="0064181D">
        <w:t xml:space="preserve"> and</w:t>
      </w:r>
    </w:p>
    <w:p w14:paraId="7245D9C2" w14:textId="77777777" w:rsidR="000401D6" w:rsidRPr="0064181D" w:rsidRDefault="000401D6" w:rsidP="008F1AC8">
      <w:pPr>
        <w:pStyle w:val="Text-Numbered"/>
        <w:numPr>
          <w:ilvl w:val="0"/>
          <w:numId w:val="53"/>
        </w:numPr>
      </w:pPr>
      <w:r w:rsidRPr="0064181D">
        <w:t>any pension contribution holiday attributable in whole or in part to the existence of an established surplus.</w:t>
      </w:r>
    </w:p>
    <w:p w14:paraId="6675EEFE" w14:textId="569B3E3B" w:rsidR="000401D6" w:rsidRDefault="000401D6" w:rsidP="000401D6">
      <w:pPr>
        <w:pStyle w:val="Heading3"/>
        <w:spacing w:line="360" w:lineRule="auto"/>
      </w:pPr>
      <w:bookmarkStart w:id="201" w:name="_Toc47028429"/>
      <w:bookmarkStart w:id="202" w:name="_Toc49259972"/>
      <w:bookmarkStart w:id="203" w:name="_Toc52357117"/>
      <w:r>
        <w:lastRenderedPageBreak/>
        <w:t>Process steps</w:t>
      </w:r>
      <w:bookmarkEnd w:id="201"/>
      <w:bookmarkEnd w:id="202"/>
      <w:r w:rsidR="00B15ED2" w:rsidRPr="00B15ED2">
        <w:t xml:space="preserve"> </w:t>
      </w:r>
      <w:r w:rsidR="00B15ED2">
        <w:t>in a year in which a reasonableness review is being conducted</w:t>
      </w:r>
      <w:r w:rsidR="00073A85">
        <w:rPr>
          <w:rStyle w:val="FootnoteReference"/>
        </w:rPr>
        <w:footnoteReference w:id="31"/>
      </w:r>
      <w:bookmarkEnd w:id="203"/>
    </w:p>
    <w:p w14:paraId="555E84AD" w14:textId="77777777" w:rsidR="000401D6" w:rsidRPr="00BA7FE7" w:rsidRDefault="000401D6" w:rsidP="000401D6">
      <w:pPr>
        <w:pStyle w:val="Paragrapgh"/>
        <w:keepNext/>
        <w:rPr>
          <w:i/>
          <w:u w:val="single"/>
        </w:rPr>
      </w:pPr>
      <w:r w:rsidRPr="00BA7FE7">
        <w:rPr>
          <w:i/>
          <w:u w:val="single"/>
        </w:rPr>
        <w:t xml:space="preserve">Step 1: by 31 July </w:t>
      </w:r>
    </w:p>
    <w:p w14:paraId="2614CB19" w14:textId="77777777" w:rsidR="000401D6" w:rsidRPr="00C72076" w:rsidRDefault="000401D6" w:rsidP="000401D6">
      <w:pPr>
        <w:pStyle w:val="Paragraph"/>
        <w:tabs>
          <w:tab w:val="clear" w:pos="1105"/>
          <w:tab w:val="num" w:pos="680"/>
        </w:tabs>
        <w:ind w:left="0"/>
      </w:pPr>
      <w:r w:rsidRPr="0064181D">
        <w:t>The Authority will be in receipt of price control review information from the licensee for Regulatory Years up to and including the last complete Regulatory Year.</w:t>
      </w:r>
    </w:p>
    <w:p w14:paraId="06C0474A" w14:textId="0E7B6C7B" w:rsidR="000401D6" w:rsidRDefault="000401D6" w:rsidP="000401D6">
      <w:pPr>
        <w:pStyle w:val="Paragraph"/>
        <w:tabs>
          <w:tab w:val="clear" w:pos="1105"/>
          <w:tab w:val="num" w:pos="680"/>
        </w:tabs>
        <w:ind w:left="0"/>
      </w:pPr>
      <w:r w:rsidRPr="0064181D">
        <w:t>The Authority will obtain the licensee’s Scheme Valuation Data Set</w:t>
      </w:r>
      <w:r>
        <w:t>, separately for its TO and SO activities,</w:t>
      </w:r>
      <w:r w:rsidRPr="0064181D">
        <w:t xml:space="preserve"> for the relevant valu</w:t>
      </w:r>
      <w:r w:rsidR="009B63A6">
        <w:t>ation of the licensee’s defined-</w:t>
      </w:r>
      <w:r w:rsidRPr="0064181D">
        <w:t xml:space="preserve">benefit pension schemes </w:t>
      </w:r>
      <w:r>
        <w:t>by 31 July</w:t>
      </w:r>
      <w:r w:rsidRPr="0064181D">
        <w:t xml:space="preserve"> and commence a Reasonableness Review.</w:t>
      </w:r>
    </w:p>
    <w:p w14:paraId="197BA71F" w14:textId="77777777" w:rsidR="000401D6" w:rsidRPr="0064181D" w:rsidRDefault="000401D6" w:rsidP="000401D6">
      <w:pPr>
        <w:pStyle w:val="Paragraph"/>
        <w:tabs>
          <w:tab w:val="clear" w:pos="1105"/>
          <w:tab w:val="num" w:pos="680"/>
        </w:tabs>
        <w:ind w:left="0"/>
        <w:rPr>
          <w:bCs/>
        </w:rPr>
      </w:pPr>
      <w:bookmarkStart w:id="204" w:name="_Ref47007456"/>
      <w:r>
        <w:t xml:space="preserve">The </w:t>
      </w:r>
      <w:r w:rsidRPr="0064181D">
        <w:t xml:space="preserve">Scheme Valuation Data Set </w:t>
      </w:r>
      <w:r>
        <w:t xml:space="preserve">should </w:t>
      </w:r>
      <w:r w:rsidRPr="0064181D">
        <w:t>comprise:</w:t>
      </w:r>
      <w:bookmarkEnd w:id="204"/>
    </w:p>
    <w:p w14:paraId="37C6FD72" w14:textId="77777777" w:rsidR="000401D6" w:rsidRPr="00943041" w:rsidRDefault="000401D6" w:rsidP="008F1AC8">
      <w:pPr>
        <w:pStyle w:val="Text-Numbered"/>
        <w:numPr>
          <w:ilvl w:val="0"/>
          <w:numId w:val="64"/>
        </w:numPr>
      </w:pPr>
      <w:r w:rsidRPr="00BA7FE7">
        <w:t xml:space="preserve">the actuarial valuation of each </w:t>
      </w:r>
      <w:r w:rsidRPr="0064181D">
        <w:t xml:space="preserve">defined-benefit scheme in respect of which the licensee is a sponsoring employer, </w:t>
      </w:r>
      <w:r w:rsidRPr="00943041">
        <w:t>being either a full valuation or an update of the last preceding full triennial valuation, with the asset and liability values projected forward to the full valuation date on the basis set out in the Pension Deficit Allocation Methodology</w:t>
      </w:r>
      <w:r w:rsidRPr="008C4BC3">
        <w:rPr>
          <w:vertAlign w:val="superscript"/>
        </w:rPr>
        <w:footnoteReference w:id="32"/>
      </w:r>
    </w:p>
    <w:p w14:paraId="67F5C631" w14:textId="77777777" w:rsidR="000401D6" w:rsidRPr="00943041" w:rsidRDefault="000401D6" w:rsidP="008F1AC8">
      <w:pPr>
        <w:pStyle w:val="Text-Numbered"/>
        <w:numPr>
          <w:ilvl w:val="0"/>
          <w:numId w:val="64"/>
        </w:numPr>
      </w:pPr>
      <w:r w:rsidRPr="00943041">
        <w:t>each scheme’s statement of funding principles</w:t>
      </w:r>
    </w:p>
    <w:p w14:paraId="5AC14674" w14:textId="77777777" w:rsidR="000401D6" w:rsidRPr="00943041" w:rsidRDefault="000401D6" w:rsidP="008F1AC8">
      <w:pPr>
        <w:pStyle w:val="Text-Numbered"/>
        <w:numPr>
          <w:ilvl w:val="0"/>
          <w:numId w:val="64"/>
        </w:numPr>
      </w:pPr>
      <w:r w:rsidRPr="00943041">
        <w:t xml:space="preserve">each scheme’s statement of investment principles, and </w:t>
      </w:r>
    </w:p>
    <w:p w14:paraId="43B8A542" w14:textId="77777777" w:rsidR="000401D6" w:rsidRDefault="000401D6" w:rsidP="008F1AC8">
      <w:pPr>
        <w:pStyle w:val="Text-Numbered"/>
        <w:numPr>
          <w:ilvl w:val="0"/>
          <w:numId w:val="64"/>
        </w:numPr>
      </w:pPr>
      <w:r w:rsidRPr="00943041">
        <w:t>any other information reason</w:t>
      </w:r>
      <w:r>
        <w:t>ably required.</w:t>
      </w:r>
    </w:p>
    <w:p w14:paraId="1DA8BC01" w14:textId="77777777" w:rsidR="000401D6" w:rsidRPr="00BA7FE7" w:rsidRDefault="000401D6" w:rsidP="000401D6">
      <w:pPr>
        <w:pStyle w:val="Paragrapgh"/>
        <w:keepNext/>
        <w:rPr>
          <w:i/>
          <w:u w:val="single"/>
        </w:rPr>
      </w:pPr>
      <w:r w:rsidRPr="00BA7FE7">
        <w:rPr>
          <w:i/>
          <w:u w:val="single"/>
        </w:rPr>
        <w:t>Step 2: by 31 August</w:t>
      </w:r>
    </w:p>
    <w:p w14:paraId="6D4142D5" w14:textId="77777777" w:rsidR="000401D6" w:rsidRPr="0064181D" w:rsidRDefault="000401D6" w:rsidP="000401D6">
      <w:pPr>
        <w:pStyle w:val="Paragraph"/>
        <w:tabs>
          <w:tab w:val="clear" w:pos="1105"/>
          <w:tab w:val="num" w:pos="680"/>
        </w:tabs>
        <w:ind w:left="0"/>
      </w:pPr>
      <w:bookmarkStart w:id="205" w:name="_Ref47003978"/>
      <w:r w:rsidRPr="0064181D">
        <w:t>The licensee will submit:</w:t>
      </w:r>
      <w:bookmarkEnd w:id="205"/>
    </w:p>
    <w:p w14:paraId="7BADE8BA" w14:textId="77777777" w:rsidR="000401D6" w:rsidRPr="0064181D" w:rsidRDefault="000401D6" w:rsidP="008F1AC8">
      <w:pPr>
        <w:pStyle w:val="Text-Numbered"/>
        <w:numPr>
          <w:ilvl w:val="0"/>
          <w:numId w:val="65"/>
        </w:numPr>
      </w:pPr>
      <w:r w:rsidRPr="0064181D">
        <w:t>Explanations and supporting evidence where appropriate for how it has interpreted the interest of consumers to inform its participation in the governance of pension schemes, including setting investment and risk strategies</w:t>
      </w:r>
    </w:p>
    <w:p w14:paraId="59C61171" w14:textId="78B3C69A" w:rsidR="000401D6" w:rsidRPr="00BA7FE7" w:rsidRDefault="000401D6" w:rsidP="008F1AC8">
      <w:pPr>
        <w:pStyle w:val="Text-Numbered"/>
        <w:numPr>
          <w:ilvl w:val="0"/>
          <w:numId w:val="65"/>
        </w:numPr>
        <w:rPr>
          <w:rFonts w:cs="Verdana"/>
        </w:rPr>
      </w:pPr>
      <w:r w:rsidRPr="00BA7FE7">
        <w:t xml:space="preserve">Explanation of how it has responded to any recommendations set out by the </w:t>
      </w:r>
      <w:r w:rsidRPr="00BA7FE7">
        <w:rPr>
          <w:rFonts w:cs="Verdana"/>
        </w:rPr>
        <w:t>Authority in preceding</w:t>
      </w:r>
      <w:r w:rsidRPr="0064181D">
        <w:rPr>
          <w:rFonts w:cs="Verdana"/>
        </w:rPr>
        <w:t xml:space="preserve"> Reasonableness Reviews</w:t>
      </w:r>
      <w:r w:rsidR="009B63A6">
        <w:rPr>
          <w:rFonts w:cs="Verdana"/>
        </w:rPr>
        <w:t>.</w:t>
      </w:r>
    </w:p>
    <w:p w14:paraId="1E980F38" w14:textId="34A0B55A" w:rsidR="000401D6" w:rsidRDefault="000401D6" w:rsidP="000401D6">
      <w:pPr>
        <w:pStyle w:val="Paragraph"/>
        <w:tabs>
          <w:tab w:val="clear" w:pos="1105"/>
          <w:tab w:val="num" w:pos="680"/>
        </w:tabs>
        <w:ind w:left="0"/>
        <w:rPr>
          <w:rFonts w:cs="Verdana"/>
        </w:rPr>
      </w:pPr>
      <w:r w:rsidRPr="0047705B">
        <w:rPr>
          <w:rFonts w:cs="Verdana"/>
        </w:rPr>
        <w:lastRenderedPageBreak/>
        <w:t xml:space="preserve">The licensee will </w:t>
      </w:r>
      <w:r>
        <w:rPr>
          <w:rFonts w:cs="Verdana"/>
        </w:rPr>
        <w:t xml:space="preserve">also </w:t>
      </w:r>
      <w:r w:rsidRPr="0047705B">
        <w:rPr>
          <w:rFonts w:cs="Verdana"/>
        </w:rPr>
        <w:t>submit</w:t>
      </w:r>
      <w:r>
        <w:rPr>
          <w:rFonts w:cs="Verdana"/>
        </w:rPr>
        <w:t xml:space="preserve">, separately for its TO and SO activities, </w:t>
      </w:r>
      <w:r w:rsidRPr="0047705B">
        <w:rPr>
          <w:rFonts w:cs="Verdana"/>
        </w:rPr>
        <w:t xml:space="preserve">Pension Deficit </w:t>
      </w:r>
      <w:r w:rsidRPr="00BA7FE7">
        <w:t>Allocation</w:t>
      </w:r>
      <w:r w:rsidRPr="0047705B">
        <w:rPr>
          <w:rFonts w:cs="Verdana"/>
        </w:rPr>
        <w:t xml:space="preserve"> Methodology information and its PSED figure as at the relevant valuation date indicated in </w:t>
      </w:r>
      <w:r w:rsidR="005E166B">
        <w:fldChar w:fldCharType="begin"/>
      </w:r>
      <w:r w:rsidR="005E166B">
        <w:instrText xml:space="preserve"> REF _Ref49870226 \h </w:instrText>
      </w:r>
      <w:r w:rsidR="005E166B">
        <w:fldChar w:fldCharType="separate"/>
      </w:r>
      <w:r w:rsidR="00C21C6D">
        <w:t>Table 7.1</w:t>
      </w:r>
      <w:r w:rsidR="005E166B">
        <w:fldChar w:fldCharType="end"/>
      </w:r>
      <w:r w:rsidRPr="0047705B">
        <w:rPr>
          <w:rFonts w:cs="Verdana"/>
        </w:rPr>
        <w:t xml:space="preserve"> showing the movements f</w:t>
      </w:r>
      <w:r>
        <w:rPr>
          <w:rFonts w:cs="Verdana"/>
        </w:rPr>
        <w:t>rom the previous valuation date.</w:t>
      </w:r>
    </w:p>
    <w:p w14:paraId="4A8C91CA" w14:textId="77777777" w:rsidR="000401D6" w:rsidRPr="00BA7FE7" w:rsidRDefault="000401D6" w:rsidP="000401D6">
      <w:pPr>
        <w:pStyle w:val="Paragrapgh"/>
        <w:keepNext/>
        <w:rPr>
          <w:i/>
          <w:u w:val="single"/>
        </w:rPr>
      </w:pPr>
      <w:r w:rsidRPr="00BA7FE7">
        <w:rPr>
          <w:i/>
          <w:u w:val="single"/>
        </w:rPr>
        <w:t>Step 3: by 14 September</w:t>
      </w:r>
    </w:p>
    <w:p w14:paraId="0DC1BFF0" w14:textId="77777777" w:rsidR="000401D6" w:rsidRPr="0064181D" w:rsidRDefault="000401D6" w:rsidP="000401D6">
      <w:pPr>
        <w:pStyle w:val="Paragraph"/>
        <w:tabs>
          <w:tab w:val="clear" w:pos="1105"/>
          <w:tab w:val="num" w:pos="680"/>
        </w:tabs>
        <w:ind w:left="0"/>
      </w:pPr>
      <w:bookmarkStart w:id="206" w:name="_Ref47003313"/>
      <w:r w:rsidRPr="0064181D">
        <w:t xml:space="preserve">The licensee </w:t>
      </w:r>
      <w:r w:rsidRPr="008C4BC3">
        <w:rPr>
          <w:rFonts w:cs="Verdana"/>
        </w:rPr>
        <w:t>will</w:t>
      </w:r>
      <w:r w:rsidRPr="0064181D">
        <w:t xml:space="preserve"> submit:</w:t>
      </w:r>
      <w:bookmarkEnd w:id="206"/>
    </w:p>
    <w:p w14:paraId="5CED0D96" w14:textId="209E6AA9" w:rsidR="000401D6" w:rsidRPr="0064181D" w:rsidRDefault="009B63A6" w:rsidP="008F1AC8">
      <w:pPr>
        <w:pStyle w:val="Text-Numbered"/>
        <w:numPr>
          <w:ilvl w:val="0"/>
          <w:numId w:val="66"/>
        </w:numPr>
        <w:rPr>
          <w:rFonts w:cs="Verdana"/>
        </w:rPr>
      </w:pPr>
      <w:r>
        <w:rPr>
          <w:rFonts w:cs="Verdana"/>
        </w:rPr>
        <w:t>i</w:t>
      </w:r>
      <w:r w:rsidR="000401D6" w:rsidRPr="0064181D">
        <w:rPr>
          <w:rFonts w:cs="Verdana"/>
        </w:rPr>
        <w:t xml:space="preserve">ts proposals with supporting explanation for </w:t>
      </w:r>
    </w:p>
    <w:p w14:paraId="0D2F2490" w14:textId="534C1CC4" w:rsidR="000401D6" w:rsidRPr="0064181D" w:rsidRDefault="000401D6" w:rsidP="008F1AC8">
      <w:pPr>
        <w:pStyle w:val="Paragrapgh"/>
        <w:numPr>
          <w:ilvl w:val="0"/>
          <w:numId w:val="69"/>
        </w:numPr>
        <w:spacing w:before="120" w:after="120" w:line="360" w:lineRule="auto"/>
        <w:ind w:hanging="357"/>
      </w:pPr>
      <w:r w:rsidRPr="0064181D">
        <w:rPr>
          <w:rFonts w:cs="Verdana"/>
        </w:rPr>
        <w:t>Base Annual PSED Allowances</w:t>
      </w:r>
      <w:r>
        <w:rPr>
          <w:rFonts w:cs="Verdana"/>
        </w:rPr>
        <w:t xml:space="preserve"> (</w:t>
      </w:r>
      <w:r w:rsidRPr="0064181D">
        <w:rPr>
          <w:rFonts w:cs="Verdana"/>
        </w:rPr>
        <w:t>P</w:t>
      </w:r>
      <w:r w:rsidRPr="0064181D">
        <w:t>BAPA</w:t>
      </w:r>
      <w:r w:rsidRPr="0064181D">
        <w:rPr>
          <w:vertAlign w:val="subscript"/>
        </w:rPr>
        <w:t>y</w:t>
      </w:r>
      <w:r>
        <w:rPr>
          <w:rFonts w:cs="Verdana"/>
        </w:rPr>
        <w:t xml:space="preserve">), under paragraph </w:t>
      </w:r>
      <w:r>
        <w:rPr>
          <w:rFonts w:cs="Verdana"/>
        </w:rPr>
        <w:fldChar w:fldCharType="begin"/>
      </w:r>
      <w:r>
        <w:rPr>
          <w:rFonts w:cs="Verdana"/>
        </w:rPr>
        <w:instrText xml:space="preserve"> REF _Ref47003654 \r \h </w:instrText>
      </w:r>
      <w:r>
        <w:rPr>
          <w:rFonts w:cs="Verdana"/>
        </w:rPr>
      </w:r>
      <w:r>
        <w:rPr>
          <w:rFonts w:cs="Verdana"/>
        </w:rPr>
        <w:fldChar w:fldCharType="separate"/>
      </w:r>
      <w:r w:rsidR="00C21C6D">
        <w:rPr>
          <w:rFonts w:cs="Verdana"/>
        </w:rPr>
        <w:t>7.47</w:t>
      </w:r>
      <w:r>
        <w:rPr>
          <w:rFonts w:cs="Verdana"/>
        </w:rPr>
        <w:fldChar w:fldCharType="end"/>
      </w:r>
    </w:p>
    <w:p w14:paraId="649A5F75" w14:textId="39F2C10A" w:rsidR="000401D6" w:rsidRPr="0064181D" w:rsidRDefault="000401D6" w:rsidP="008F1AC8">
      <w:pPr>
        <w:pStyle w:val="Paragrapgh"/>
        <w:numPr>
          <w:ilvl w:val="0"/>
          <w:numId w:val="69"/>
        </w:numPr>
        <w:spacing w:before="120" w:after="120" w:line="360" w:lineRule="auto"/>
        <w:ind w:hanging="357"/>
      </w:pPr>
      <w:r w:rsidRPr="0064181D">
        <w:rPr>
          <w:rFonts w:cs="Verdana"/>
        </w:rPr>
        <w:t>payment history allowances</w:t>
      </w:r>
      <w:r>
        <w:rPr>
          <w:rFonts w:cs="Verdana"/>
        </w:rPr>
        <w:t xml:space="preserve"> (</w:t>
      </w:r>
      <w:r w:rsidRPr="0064181D">
        <w:rPr>
          <w:rFonts w:cs="Verdana"/>
        </w:rPr>
        <w:t>P</w:t>
      </w:r>
      <w:r w:rsidRPr="0064181D">
        <w:t>PH</w:t>
      </w:r>
      <w:r w:rsidRPr="0064181D">
        <w:rPr>
          <w:vertAlign w:val="subscript"/>
        </w:rPr>
        <w:t>y</w:t>
      </w:r>
      <w:r>
        <w:rPr>
          <w:rFonts w:cs="Verdana"/>
        </w:rPr>
        <w:t>),</w:t>
      </w:r>
      <w:r w:rsidRPr="0064181D">
        <w:rPr>
          <w:rFonts w:cs="Verdana"/>
        </w:rPr>
        <w:t xml:space="preserve"> </w:t>
      </w:r>
      <w:r>
        <w:rPr>
          <w:rFonts w:cs="Verdana"/>
        </w:rPr>
        <w:t xml:space="preserve">under paragraph </w:t>
      </w:r>
      <w:r>
        <w:rPr>
          <w:rFonts w:cs="Verdana"/>
        </w:rPr>
        <w:fldChar w:fldCharType="begin"/>
      </w:r>
      <w:r>
        <w:rPr>
          <w:rFonts w:cs="Verdana"/>
        </w:rPr>
        <w:instrText xml:space="preserve"> REF _Ref47003715 \r \h </w:instrText>
      </w:r>
      <w:r>
        <w:rPr>
          <w:rFonts w:cs="Verdana"/>
        </w:rPr>
      </w:r>
      <w:r>
        <w:rPr>
          <w:rFonts w:cs="Verdana"/>
        </w:rPr>
        <w:fldChar w:fldCharType="separate"/>
      </w:r>
      <w:r w:rsidR="00C21C6D">
        <w:rPr>
          <w:rFonts w:cs="Verdana"/>
        </w:rPr>
        <w:t>7.53</w:t>
      </w:r>
      <w:r>
        <w:rPr>
          <w:rFonts w:cs="Verdana"/>
        </w:rPr>
        <w:fldChar w:fldCharType="end"/>
      </w:r>
    </w:p>
    <w:p w14:paraId="114CFFB9" w14:textId="459F48C7" w:rsidR="000401D6" w:rsidRPr="0047705B" w:rsidRDefault="000401D6" w:rsidP="008F1AC8">
      <w:pPr>
        <w:pStyle w:val="Paragrapgh"/>
        <w:numPr>
          <w:ilvl w:val="0"/>
          <w:numId w:val="69"/>
        </w:numPr>
        <w:spacing w:before="120" w:after="120" w:line="360" w:lineRule="auto"/>
        <w:ind w:hanging="357"/>
      </w:pPr>
      <w:r w:rsidRPr="0064181D">
        <w:rPr>
          <w:rFonts w:cs="Verdana"/>
        </w:rPr>
        <w:t>any proposed prospective discounting basis for payment history variances, reflected in P</w:t>
      </w:r>
      <w:r w:rsidRPr="000218E7">
        <w:rPr>
          <w:rFonts w:cs="Verdana"/>
        </w:rPr>
        <w:t>hDR</w:t>
      </w:r>
      <w:r w:rsidRPr="009B63A6">
        <w:rPr>
          <w:rFonts w:cs="Verdana"/>
          <w:vertAlign w:val="subscript"/>
        </w:rPr>
        <w:t>y</w:t>
      </w:r>
      <w:r w:rsidRPr="0064181D">
        <w:rPr>
          <w:rFonts w:cs="Verdana"/>
        </w:rPr>
        <w:t xml:space="preserve">, </w:t>
      </w:r>
      <w:r>
        <w:rPr>
          <w:rFonts w:cs="Verdana"/>
        </w:rPr>
        <w:t xml:space="preserve">under paragraph </w:t>
      </w:r>
      <w:r>
        <w:rPr>
          <w:rFonts w:cs="Verdana"/>
        </w:rPr>
        <w:fldChar w:fldCharType="begin"/>
      </w:r>
      <w:r>
        <w:rPr>
          <w:rFonts w:cs="Verdana"/>
        </w:rPr>
        <w:instrText xml:space="preserve"> REF _Ref47003715 \r \h </w:instrText>
      </w:r>
      <w:r>
        <w:rPr>
          <w:rFonts w:cs="Verdana"/>
        </w:rPr>
      </w:r>
      <w:r>
        <w:rPr>
          <w:rFonts w:cs="Verdana"/>
        </w:rPr>
        <w:fldChar w:fldCharType="separate"/>
      </w:r>
      <w:r w:rsidR="00C21C6D">
        <w:rPr>
          <w:rFonts w:cs="Verdana"/>
        </w:rPr>
        <w:t>7.53</w:t>
      </w:r>
      <w:r>
        <w:rPr>
          <w:rFonts w:cs="Verdana"/>
        </w:rPr>
        <w:fldChar w:fldCharType="end"/>
      </w:r>
      <w:r w:rsidR="009B63A6">
        <w:rPr>
          <w:rFonts w:cs="Verdana"/>
        </w:rPr>
        <w:t>.</w:t>
      </w:r>
    </w:p>
    <w:p w14:paraId="51FB051E" w14:textId="709CDB80" w:rsidR="000401D6" w:rsidRPr="008C4BC3" w:rsidRDefault="009B63A6" w:rsidP="008F1AC8">
      <w:pPr>
        <w:pStyle w:val="Text-Numbered"/>
        <w:numPr>
          <w:ilvl w:val="0"/>
          <w:numId w:val="66"/>
        </w:numPr>
        <w:ind w:hanging="357"/>
      </w:pPr>
      <w:bookmarkStart w:id="207" w:name="_Ref47003365"/>
      <w:r>
        <w:rPr>
          <w:rFonts w:cs="Verdana"/>
        </w:rPr>
        <w:t>e</w:t>
      </w:r>
      <w:r w:rsidR="000401D6" w:rsidRPr="0064181D">
        <w:rPr>
          <w:rFonts w:cs="Verdana"/>
        </w:rPr>
        <w:t>xplanation of how it has engaged with pension scheme trustees and managers to advocate for the interest of consumers with respect to the PSED</w:t>
      </w:r>
      <w:r w:rsidR="000401D6">
        <w:rPr>
          <w:rFonts w:cs="Verdana"/>
        </w:rPr>
        <w:t>.</w:t>
      </w:r>
      <w:bookmarkEnd w:id="207"/>
      <w:r w:rsidR="000401D6">
        <w:rPr>
          <w:rFonts w:cs="Verdana"/>
        </w:rPr>
        <w:t xml:space="preserve"> </w:t>
      </w:r>
    </w:p>
    <w:p w14:paraId="2600307C" w14:textId="7EC75318" w:rsidR="000401D6" w:rsidRDefault="000401D6" w:rsidP="000401D6">
      <w:pPr>
        <w:pStyle w:val="Paragraph"/>
        <w:tabs>
          <w:tab w:val="clear" w:pos="1105"/>
          <w:tab w:val="num" w:pos="680"/>
        </w:tabs>
        <w:ind w:left="0"/>
      </w:pPr>
      <w:bookmarkStart w:id="208" w:name="_Ref47028182"/>
      <w:r w:rsidRPr="002B1A9D">
        <w:t xml:space="preserve">In </w:t>
      </w:r>
      <w:r>
        <w:t xml:space="preserve">its explanations </w:t>
      </w:r>
      <w:r w:rsidRPr="002B1A9D">
        <w:t xml:space="preserve">under paragraphs </w:t>
      </w:r>
      <w:r>
        <w:fldChar w:fldCharType="begin"/>
      </w:r>
      <w:r>
        <w:instrText xml:space="preserve"> REF _Ref47003313 \r \h </w:instrText>
      </w:r>
      <w:r>
        <w:fldChar w:fldCharType="separate"/>
      </w:r>
      <w:r w:rsidR="00C21C6D">
        <w:t>7.25</w:t>
      </w:r>
      <w:r>
        <w:fldChar w:fldCharType="end"/>
      </w:r>
      <w:r w:rsidR="009B63A6">
        <w:t xml:space="preserve"> </w:t>
      </w:r>
      <w:r>
        <w:fldChar w:fldCharType="begin"/>
      </w:r>
      <w:r>
        <w:instrText xml:space="preserve"> REF _Ref47003365 \r \h </w:instrText>
      </w:r>
      <w:r>
        <w:fldChar w:fldCharType="separate"/>
      </w:r>
      <w:r w:rsidR="00C21C6D">
        <w:t>b)</w:t>
      </w:r>
      <w:r>
        <w:fldChar w:fldCharType="end"/>
      </w:r>
      <w:r w:rsidRPr="002B1A9D">
        <w:t>, the licensee should set out why it considers its proposals appropriately protect the interests of consumers.</w:t>
      </w:r>
      <w:r w:rsidRPr="002B1A9D" w:rsidDel="00051A18">
        <w:t xml:space="preserve"> </w:t>
      </w:r>
      <w:r w:rsidRPr="002B1A9D">
        <w:t>The licensee’s explanations should, in each case where appropriate, refer to the prevailing level of Base Annual PSED Allowances, the profile of repair payments that can be agreed with the scheme trustees, how it has sought to maintain confidence of scheme trustees in the covenant with the licensee in support of such agreement, how it has sought to minimise the risk of stranded surplus, how it has sought to balance the interests of existing and future consumers, how it has sought to manage the volatility of revenues and financial ratios and any asset-backed arrangements that are intended to protect the consumer interest. The licensee’s explanations should, where appropriate, refer to or be consistent with information it submitted in accordance with para</w:t>
      </w:r>
      <w:r w:rsidR="009B63A6">
        <w:t>graph</w:t>
      </w:r>
      <w:r w:rsidRPr="002B1A9D">
        <w:t xml:space="preserve"> </w:t>
      </w:r>
      <w:r>
        <w:fldChar w:fldCharType="begin"/>
      </w:r>
      <w:r>
        <w:instrText xml:space="preserve"> REF _Ref47003978 \r \h </w:instrText>
      </w:r>
      <w:r>
        <w:fldChar w:fldCharType="separate"/>
      </w:r>
      <w:r w:rsidR="00C21C6D">
        <w:t>7.23</w:t>
      </w:r>
      <w:r>
        <w:fldChar w:fldCharType="end"/>
      </w:r>
      <w:r>
        <w:t>.</w:t>
      </w:r>
      <w:bookmarkEnd w:id="208"/>
    </w:p>
    <w:p w14:paraId="7050BDB1" w14:textId="77777777" w:rsidR="000401D6" w:rsidRPr="00BA7FE7" w:rsidRDefault="000401D6" w:rsidP="000401D6">
      <w:pPr>
        <w:pStyle w:val="Paragrapgh"/>
        <w:keepNext/>
        <w:rPr>
          <w:i/>
          <w:u w:val="single"/>
        </w:rPr>
      </w:pPr>
      <w:r w:rsidRPr="00BA7FE7">
        <w:rPr>
          <w:i/>
          <w:u w:val="single"/>
        </w:rPr>
        <w:t>Step 4: by 30 September</w:t>
      </w:r>
    </w:p>
    <w:p w14:paraId="648A156D" w14:textId="7C6F8C6F" w:rsidR="000401D6" w:rsidRDefault="000401D6" w:rsidP="000401D6">
      <w:pPr>
        <w:pStyle w:val="Paragraph"/>
        <w:tabs>
          <w:tab w:val="clear" w:pos="1105"/>
          <w:tab w:val="num" w:pos="680"/>
        </w:tabs>
        <w:ind w:left="0"/>
      </w:pPr>
      <w:r>
        <w:t>The Authority will provisionally decide, separately for the licensee’s TO and SO activities, whether:</w:t>
      </w:r>
    </w:p>
    <w:p w14:paraId="2064E69E" w14:textId="05BAA392" w:rsidR="000401D6" w:rsidRPr="002B1A9D" w:rsidRDefault="009B63A6" w:rsidP="008F1AC8">
      <w:pPr>
        <w:pStyle w:val="Text-Numbered"/>
        <w:numPr>
          <w:ilvl w:val="0"/>
          <w:numId w:val="67"/>
        </w:numPr>
        <w:rPr>
          <w:rFonts w:cs="Verdana"/>
        </w:rPr>
      </w:pPr>
      <w:r>
        <w:rPr>
          <w:rFonts w:cs="Verdana"/>
        </w:rPr>
        <w:t>a</w:t>
      </w:r>
      <w:r w:rsidR="000401D6" w:rsidRPr="002B1A9D">
        <w:rPr>
          <w:rFonts w:cs="Verdana"/>
        </w:rPr>
        <w:t xml:space="preserve">ny change should be made to the licensee’s proposals for Base Annual PSED Allowances and payment history allowances for reasons anticipated in paragraph </w:t>
      </w:r>
      <w:r w:rsidR="000401D6">
        <w:rPr>
          <w:rFonts w:cs="Verdana"/>
        </w:rPr>
        <w:fldChar w:fldCharType="begin"/>
      </w:r>
      <w:r w:rsidR="000401D6">
        <w:rPr>
          <w:rFonts w:cs="Verdana"/>
        </w:rPr>
        <w:instrText xml:space="preserve"> REF _Ref47004184 \r \h </w:instrText>
      </w:r>
      <w:r w:rsidR="000401D6">
        <w:rPr>
          <w:rFonts w:cs="Verdana"/>
        </w:rPr>
      </w:r>
      <w:r w:rsidR="000401D6">
        <w:rPr>
          <w:rFonts w:cs="Verdana"/>
        </w:rPr>
        <w:fldChar w:fldCharType="separate"/>
      </w:r>
      <w:r w:rsidR="00C21C6D">
        <w:rPr>
          <w:rFonts w:cs="Verdana"/>
        </w:rPr>
        <w:t>7.33</w:t>
      </w:r>
      <w:r w:rsidR="000401D6">
        <w:rPr>
          <w:rFonts w:cs="Verdana"/>
        </w:rPr>
        <w:fldChar w:fldCharType="end"/>
      </w:r>
      <w:r w:rsidR="000401D6">
        <w:rPr>
          <w:rFonts w:cs="Verdana"/>
        </w:rPr>
        <w:t xml:space="preserve"> </w:t>
      </w:r>
      <w:r w:rsidR="000401D6">
        <w:rPr>
          <w:rFonts w:cs="Verdana"/>
        </w:rPr>
        <w:fldChar w:fldCharType="begin"/>
      </w:r>
      <w:r w:rsidR="000401D6">
        <w:rPr>
          <w:rFonts w:cs="Verdana"/>
        </w:rPr>
        <w:instrText xml:space="preserve"> REF _Ref47004202 \r \h </w:instrText>
      </w:r>
      <w:r w:rsidR="000401D6">
        <w:rPr>
          <w:rFonts w:cs="Verdana"/>
        </w:rPr>
      </w:r>
      <w:r w:rsidR="000401D6">
        <w:rPr>
          <w:rFonts w:cs="Verdana"/>
        </w:rPr>
        <w:fldChar w:fldCharType="separate"/>
      </w:r>
      <w:r w:rsidR="00C21C6D">
        <w:rPr>
          <w:rFonts w:cs="Verdana"/>
        </w:rPr>
        <w:t>a)</w:t>
      </w:r>
      <w:r w:rsidR="000401D6">
        <w:rPr>
          <w:rFonts w:cs="Verdana"/>
        </w:rPr>
        <w:fldChar w:fldCharType="end"/>
      </w:r>
      <w:r w:rsidR="000401D6">
        <w:rPr>
          <w:rFonts w:cs="Verdana"/>
        </w:rPr>
        <w:t xml:space="preserve"> and </w:t>
      </w:r>
      <w:r w:rsidR="000401D6">
        <w:rPr>
          <w:rFonts w:cs="Verdana"/>
        </w:rPr>
        <w:fldChar w:fldCharType="begin"/>
      </w:r>
      <w:r w:rsidR="000401D6">
        <w:rPr>
          <w:rFonts w:cs="Verdana"/>
        </w:rPr>
        <w:instrText xml:space="preserve"> REF _Ref47004210 \r \h </w:instrText>
      </w:r>
      <w:r w:rsidR="000401D6">
        <w:rPr>
          <w:rFonts w:cs="Verdana"/>
        </w:rPr>
      </w:r>
      <w:r w:rsidR="000401D6">
        <w:rPr>
          <w:rFonts w:cs="Verdana"/>
        </w:rPr>
        <w:fldChar w:fldCharType="separate"/>
      </w:r>
      <w:r w:rsidR="00C21C6D">
        <w:rPr>
          <w:rFonts w:cs="Verdana"/>
        </w:rPr>
        <w:t>b)</w:t>
      </w:r>
      <w:r w:rsidR="000401D6">
        <w:rPr>
          <w:rFonts w:cs="Verdana"/>
        </w:rPr>
        <w:fldChar w:fldCharType="end"/>
      </w:r>
      <w:r w:rsidR="000401D6">
        <w:rPr>
          <w:rFonts w:cs="Verdana"/>
        </w:rPr>
        <w:t xml:space="preserve">, and </w:t>
      </w:r>
      <w:r w:rsidR="000401D6">
        <w:rPr>
          <w:rFonts w:cs="Verdana"/>
        </w:rPr>
        <w:fldChar w:fldCharType="begin"/>
      </w:r>
      <w:r w:rsidR="000401D6">
        <w:rPr>
          <w:rFonts w:cs="Verdana"/>
        </w:rPr>
        <w:instrText xml:space="preserve"> REF _Ref47004227 \r \h </w:instrText>
      </w:r>
      <w:r w:rsidR="000401D6">
        <w:rPr>
          <w:rFonts w:cs="Verdana"/>
        </w:rPr>
      </w:r>
      <w:r w:rsidR="000401D6">
        <w:rPr>
          <w:rFonts w:cs="Verdana"/>
        </w:rPr>
        <w:fldChar w:fldCharType="separate"/>
      </w:r>
      <w:r w:rsidR="00C21C6D">
        <w:rPr>
          <w:rFonts w:cs="Verdana"/>
        </w:rPr>
        <w:t>7.34</w:t>
      </w:r>
      <w:r w:rsidR="000401D6">
        <w:rPr>
          <w:rFonts w:cs="Verdana"/>
        </w:rPr>
        <w:fldChar w:fldCharType="end"/>
      </w:r>
    </w:p>
    <w:p w14:paraId="59F00414" w14:textId="611A6159" w:rsidR="000401D6" w:rsidRPr="002B1A9D" w:rsidRDefault="009B63A6" w:rsidP="008F1AC8">
      <w:pPr>
        <w:pStyle w:val="Text-Numbered"/>
        <w:numPr>
          <w:ilvl w:val="0"/>
          <w:numId w:val="67"/>
        </w:numPr>
        <w:rPr>
          <w:rFonts w:cs="Verdana"/>
        </w:rPr>
      </w:pPr>
      <w:r>
        <w:rPr>
          <w:rFonts w:cs="Verdana"/>
        </w:rPr>
        <w:lastRenderedPageBreak/>
        <w:t>t</w:t>
      </w:r>
      <w:r w:rsidR="000401D6" w:rsidRPr="002B1A9D">
        <w:rPr>
          <w:rFonts w:cs="Verdana"/>
        </w:rPr>
        <w:t xml:space="preserve">o apply an existing adjustment factor, introduce a new adjustment factor or extend the scope or effect of an existing adjustment factor for reasons anticipated in </w:t>
      </w:r>
      <w:r>
        <w:rPr>
          <w:rFonts w:cs="Verdana"/>
        </w:rPr>
        <w:t xml:space="preserve">paragraph </w:t>
      </w:r>
      <w:r w:rsidR="000401D6">
        <w:rPr>
          <w:rFonts w:cs="Verdana"/>
        </w:rPr>
        <w:fldChar w:fldCharType="begin"/>
      </w:r>
      <w:r w:rsidR="000401D6">
        <w:rPr>
          <w:rFonts w:cs="Verdana"/>
        </w:rPr>
        <w:instrText xml:space="preserve"> REF _Ref47004264 \r \h </w:instrText>
      </w:r>
      <w:r w:rsidR="000401D6">
        <w:rPr>
          <w:rFonts w:cs="Verdana"/>
        </w:rPr>
      </w:r>
      <w:r w:rsidR="000401D6">
        <w:rPr>
          <w:rFonts w:cs="Verdana"/>
        </w:rPr>
        <w:fldChar w:fldCharType="separate"/>
      </w:r>
      <w:r w:rsidR="00C21C6D">
        <w:rPr>
          <w:rFonts w:cs="Verdana"/>
        </w:rPr>
        <w:t>7.35</w:t>
      </w:r>
      <w:r w:rsidR="000401D6">
        <w:rPr>
          <w:rFonts w:cs="Verdana"/>
        </w:rPr>
        <w:fldChar w:fldCharType="end"/>
      </w:r>
      <w:r w:rsidR="000401D6" w:rsidRPr="002B1A9D">
        <w:rPr>
          <w:rFonts w:cs="Verdana"/>
        </w:rPr>
        <w:t>. Adjustment factor can</w:t>
      </w:r>
      <w:r>
        <w:rPr>
          <w:rFonts w:cs="Verdana"/>
        </w:rPr>
        <w:t xml:space="preserve"> be either upwards or downwards</w:t>
      </w:r>
    </w:p>
    <w:p w14:paraId="67D95472" w14:textId="38AA569F" w:rsidR="000401D6" w:rsidRPr="002B1A9D" w:rsidRDefault="009B63A6" w:rsidP="008F1AC8">
      <w:pPr>
        <w:pStyle w:val="Text-Numbered"/>
        <w:numPr>
          <w:ilvl w:val="0"/>
          <w:numId w:val="67"/>
        </w:numPr>
        <w:rPr>
          <w:rFonts w:cs="Verdana"/>
        </w:rPr>
      </w:pPr>
      <w:r>
        <w:rPr>
          <w:rFonts w:cs="Verdana"/>
        </w:rPr>
        <w:t>t</w:t>
      </w:r>
      <w:r w:rsidR="000401D6" w:rsidRPr="002B1A9D">
        <w:rPr>
          <w:rFonts w:cs="Verdana"/>
        </w:rPr>
        <w:t xml:space="preserve">o set out any recommendation to the licensee to adopt good practice before the next reasonableness review under paragraph </w:t>
      </w:r>
      <w:r w:rsidR="000401D6">
        <w:rPr>
          <w:rFonts w:cs="Verdana"/>
        </w:rPr>
        <w:fldChar w:fldCharType="begin"/>
      </w:r>
      <w:r w:rsidR="000401D6">
        <w:rPr>
          <w:rFonts w:cs="Verdana"/>
        </w:rPr>
        <w:instrText xml:space="preserve"> REF _Ref47004297 \r \h </w:instrText>
      </w:r>
      <w:r w:rsidR="000401D6">
        <w:rPr>
          <w:rFonts w:cs="Verdana"/>
        </w:rPr>
      </w:r>
      <w:r w:rsidR="000401D6">
        <w:rPr>
          <w:rFonts w:cs="Verdana"/>
        </w:rPr>
        <w:fldChar w:fldCharType="separate"/>
      </w:r>
      <w:r w:rsidR="00C21C6D">
        <w:rPr>
          <w:rFonts w:cs="Verdana"/>
        </w:rPr>
        <w:t>7.39</w:t>
      </w:r>
      <w:r w:rsidR="000401D6">
        <w:rPr>
          <w:rFonts w:cs="Verdana"/>
        </w:rPr>
        <w:fldChar w:fldCharType="end"/>
      </w:r>
      <w:r w:rsidR="000401D6">
        <w:rPr>
          <w:rFonts w:cs="Verdana"/>
        </w:rPr>
        <w:t>.</w:t>
      </w:r>
    </w:p>
    <w:p w14:paraId="178989CF" w14:textId="77777777" w:rsidR="000401D6" w:rsidRPr="00C72076" w:rsidRDefault="000401D6" w:rsidP="000401D6">
      <w:pPr>
        <w:pStyle w:val="Paragraph"/>
        <w:tabs>
          <w:tab w:val="clear" w:pos="1105"/>
          <w:tab w:val="num" w:pos="680"/>
        </w:tabs>
        <w:ind w:left="0"/>
      </w:pPr>
      <w:bookmarkStart w:id="209" w:name="_Ref51682071"/>
      <w:r>
        <w:t>The Authority will give notice of any such provisional decisions to the licensee, allowing 14 days for representations to be made.</w:t>
      </w:r>
      <w:bookmarkEnd w:id="209"/>
    </w:p>
    <w:p w14:paraId="12788F5C" w14:textId="77777777" w:rsidR="000401D6" w:rsidRPr="00BA7FE7" w:rsidRDefault="000401D6" w:rsidP="000401D6">
      <w:pPr>
        <w:pStyle w:val="Paragrapgh"/>
        <w:keepNext/>
        <w:rPr>
          <w:i/>
          <w:u w:val="single"/>
        </w:rPr>
      </w:pPr>
      <w:r w:rsidRPr="00BA7FE7">
        <w:rPr>
          <w:i/>
          <w:u w:val="single"/>
        </w:rPr>
        <w:t>Step 5: by 31 October</w:t>
      </w:r>
    </w:p>
    <w:p w14:paraId="36208900" w14:textId="38754872" w:rsidR="000401D6" w:rsidRPr="0064181D" w:rsidRDefault="000401D6" w:rsidP="000401D6">
      <w:pPr>
        <w:pStyle w:val="Paragraph"/>
        <w:tabs>
          <w:tab w:val="clear" w:pos="1105"/>
          <w:tab w:val="num" w:pos="680"/>
        </w:tabs>
        <w:ind w:left="0"/>
      </w:pPr>
      <w:bookmarkStart w:id="210" w:name="_Ref47024090"/>
      <w:r>
        <w:t>Th</w:t>
      </w:r>
      <w:r w:rsidRPr="0064181D">
        <w:t>e Authority will complete its Reasonableness Review</w:t>
      </w:r>
      <w:r w:rsidR="00CA5F65">
        <w:t>, separately for the licensee’s TO and SO activities</w:t>
      </w:r>
      <w:r w:rsidRPr="0064181D">
        <w:t>:</w:t>
      </w:r>
      <w:bookmarkEnd w:id="210"/>
    </w:p>
    <w:p w14:paraId="193490E8" w14:textId="525D64BF" w:rsidR="000401D6" w:rsidRPr="002B1A9D" w:rsidRDefault="009B63A6" w:rsidP="008F1AC8">
      <w:pPr>
        <w:pStyle w:val="Text-Numbered"/>
        <w:numPr>
          <w:ilvl w:val="0"/>
          <w:numId w:val="68"/>
        </w:numPr>
        <w:rPr>
          <w:rFonts w:cs="Verdana"/>
        </w:rPr>
      </w:pPr>
      <w:r>
        <w:rPr>
          <w:rFonts w:cs="Verdana"/>
        </w:rPr>
        <w:t>d</w:t>
      </w:r>
      <w:r w:rsidR="000401D6" w:rsidRPr="002B1A9D">
        <w:rPr>
          <w:rFonts w:cs="Verdana"/>
        </w:rPr>
        <w:t>etermine the values BAPAy, representing the Base Annual PSED Allowances, for each of</w:t>
      </w:r>
      <w:r w:rsidR="005057DB">
        <w:rPr>
          <w:rFonts w:cs="Verdana"/>
        </w:rPr>
        <w:t xml:space="preserve"> the three years following the Reasonableness R</w:t>
      </w:r>
      <w:r w:rsidR="000401D6" w:rsidRPr="002B1A9D">
        <w:rPr>
          <w:rFonts w:cs="Verdana"/>
        </w:rPr>
        <w:t xml:space="preserve">eview, giving reasons for any departure from those proposed in paragraph </w:t>
      </w:r>
      <w:r w:rsidR="000401D6">
        <w:rPr>
          <w:rFonts w:cs="Verdana"/>
        </w:rPr>
        <w:fldChar w:fldCharType="begin"/>
      </w:r>
      <w:r w:rsidR="000401D6">
        <w:rPr>
          <w:rFonts w:cs="Verdana"/>
        </w:rPr>
        <w:instrText xml:space="preserve"> REF _Ref47003654 \r \h </w:instrText>
      </w:r>
      <w:r w:rsidR="000401D6">
        <w:rPr>
          <w:rFonts w:cs="Verdana"/>
        </w:rPr>
      </w:r>
      <w:r w:rsidR="000401D6">
        <w:rPr>
          <w:rFonts w:cs="Verdana"/>
        </w:rPr>
        <w:fldChar w:fldCharType="separate"/>
      </w:r>
      <w:r w:rsidR="00C21C6D">
        <w:rPr>
          <w:rFonts w:cs="Verdana"/>
        </w:rPr>
        <w:t>7.47</w:t>
      </w:r>
      <w:r w:rsidR="000401D6">
        <w:rPr>
          <w:rFonts w:cs="Verdana"/>
        </w:rPr>
        <w:fldChar w:fldCharType="end"/>
      </w:r>
    </w:p>
    <w:p w14:paraId="10A7C7D6" w14:textId="5BD3B546" w:rsidR="000401D6" w:rsidRPr="002B1A9D" w:rsidRDefault="009B63A6" w:rsidP="008F1AC8">
      <w:pPr>
        <w:pStyle w:val="Text-Numbered"/>
        <w:numPr>
          <w:ilvl w:val="0"/>
          <w:numId w:val="68"/>
        </w:numPr>
        <w:rPr>
          <w:rFonts w:cs="Verdana"/>
        </w:rPr>
      </w:pPr>
      <w:r>
        <w:rPr>
          <w:rFonts w:cs="Verdana"/>
        </w:rPr>
        <w:t>d</w:t>
      </w:r>
      <w:r w:rsidR="000401D6" w:rsidRPr="002B1A9D">
        <w:rPr>
          <w:rFonts w:cs="Verdana"/>
        </w:rPr>
        <w:t>etermine the values PHy, representing the payment history allowances, for each of</w:t>
      </w:r>
      <w:r w:rsidR="005057DB">
        <w:rPr>
          <w:rFonts w:cs="Verdana"/>
        </w:rPr>
        <w:t xml:space="preserve"> the three years following the Reasonableness R</w:t>
      </w:r>
      <w:r w:rsidR="000401D6" w:rsidRPr="002B1A9D">
        <w:rPr>
          <w:rFonts w:cs="Verdana"/>
        </w:rPr>
        <w:t xml:space="preserve">eview, giving reasons for any departure from those proposed in paragraph </w:t>
      </w:r>
      <w:r w:rsidR="000401D6">
        <w:rPr>
          <w:rFonts w:cs="Verdana"/>
        </w:rPr>
        <w:fldChar w:fldCharType="begin"/>
      </w:r>
      <w:r w:rsidR="000401D6">
        <w:rPr>
          <w:rFonts w:cs="Verdana"/>
        </w:rPr>
        <w:instrText xml:space="preserve"> REF _Ref47003715 \r \h </w:instrText>
      </w:r>
      <w:r w:rsidR="000401D6">
        <w:rPr>
          <w:rFonts w:cs="Verdana"/>
        </w:rPr>
      </w:r>
      <w:r w:rsidR="000401D6">
        <w:rPr>
          <w:rFonts w:cs="Verdana"/>
        </w:rPr>
        <w:fldChar w:fldCharType="separate"/>
      </w:r>
      <w:r w:rsidR="00C21C6D">
        <w:rPr>
          <w:rFonts w:cs="Verdana"/>
        </w:rPr>
        <w:t>7.53</w:t>
      </w:r>
      <w:r w:rsidR="000401D6">
        <w:rPr>
          <w:rFonts w:cs="Verdana"/>
        </w:rPr>
        <w:fldChar w:fldCharType="end"/>
      </w:r>
    </w:p>
    <w:p w14:paraId="0FAA0F06" w14:textId="2F07E557" w:rsidR="000401D6" w:rsidRPr="002B1A9D" w:rsidRDefault="009B63A6" w:rsidP="008F1AC8">
      <w:pPr>
        <w:pStyle w:val="Text-Numbered"/>
        <w:numPr>
          <w:ilvl w:val="0"/>
          <w:numId w:val="68"/>
        </w:numPr>
        <w:rPr>
          <w:rFonts w:cs="Verdana"/>
        </w:rPr>
      </w:pPr>
      <w:r>
        <w:rPr>
          <w:rFonts w:cs="Verdana"/>
        </w:rPr>
        <w:t>d</w:t>
      </w:r>
      <w:r w:rsidR="000401D6" w:rsidRPr="002B1A9D">
        <w:rPr>
          <w:rFonts w:cs="Verdana"/>
        </w:rPr>
        <w:t>etermine the values AFy, representing any adjustment factors, for each of</w:t>
      </w:r>
      <w:r w:rsidR="005057DB">
        <w:rPr>
          <w:rFonts w:cs="Verdana"/>
        </w:rPr>
        <w:t xml:space="preserve"> the three years following the Reasonableness R</w:t>
      </w:r>
      <w:r w:rsidR="000401D6" w:rsidRPr="002B1A9D">
        <w:rPr>
          <w:rFonts w:cs="Verdana"/>
        </w:rPr>
        <w:t>eview</w:t>
      </w:r>
      <w:r w:rsidR="000401D6">
        <w:rPr>
          <w:rFonts w:cs="Verdana"/>
        </w:rPr>
        <w:t xml:space="preserve"> </w:t>
      </w:r>
    </w:p>
    <w:p w14:paraId="0A0F0817" w14:textId="7E3CA1D8" w:rsidR="000401D6" w:rsidRPr="002B1A9D" w:rsidRDefault="009B63A6" w:rsidP="008F1AC8">
      <w:pPr>
        <w:pStyle w:val="Text-Numbered"/>
        <w:numPr>
          <w:ilvl w:val="0"/>
          <w:numId w:val="68"/>
        </w:numPr>
        <w:rPr>
          <w:rFonts w:cs="Verdana"/>
        </w:rPr>
      </w:pPr>
      <w:r>
        <w:rPr>
          <w:rFonts w:cs="Verdana"/>
        </w:rPr>
        <w:t>c</w:t>
      </w:r>
      <w:r w:rsidR="00B15ED2">
        <w:rPr>
          <w:rFonts w:cs="Verdana"/>
        </w:rPr>
        <w:t>alculate</w:t>
      </w:r>
      <w:r w:rsidR="000401D6" w:rsidRPr="002B1A9D">
        <w:rPr>
          <w:rFonts w:cs="Verdana"/>
        </w:rPr>
        <w:t xml:space="preserve"> the Pensions Allowance values for each of</w:t>
      </w:r>
      <w:r w:rsidR="005057DB">
        <w:rPr>
          <w:rFonts w:cs="Verdana"/>
        </w:rPr>
        <w:t xml:space="preserve"> the three years following the Reasonableness R</w:t>
      </w:r>
      <w:r w:rsidR="000401D6" w:rsidRPr="002B1A9D">
        <w:rPr>
          <w:rFonts w:cs="Verdana"/>
        </w:rPr>
        <w:t>eview, such that:</w:t>
      </w:r>
    </w:p>
    <w:p w14:paraId="7DB60297" w14:textId="77777777" w:rsidR="000401D6" w:rsidRPr="002B1A9D" w:rsidRDefault="000427EE" w:rsidP="000401D6">
      <w:pPr>
        <w:pStyle w:val="Text-Numbered"/>
        <w:numPr>
          <w:ilvl w:val="0"/>
          <w:numId w:val="0"/>
        </w:numPr>
        <w:ind w:left="720"/>
        <w:rPr>
          <w:rFonts w:cs="Verdana"/>
        </w:rPr>
      </w:pPr>
      <m:oMathPara>
        <m:oMath>
          <m:sSub>
            <m:sSubPr>
              <m:ctrlPr>
                <w:rPr>
                  <w:rFonts w:ascii="Cambria Math" w:hAnsi="Cambria Math" w:cs="Verdana"/>
                </w:rPr>
              </m:ctrlPr>
            </m:sSubPr>
            <m:e>
              <m:r>
                <w:rPr>
                  <w:rFonts w:ascii="Cambria Math" w:hAnsi="Cambria Math" w:cs="Verdana"/>
                </w:rPr>
                <m:t>EDE</m:t>
              </m:r>
            </m:e>
            <m:sub>
              <m:r>
                <w:rPr>
                  <w:rFonts w:ascii="Cambria Math" w:hAnsi="Cambria Math" w:cs="Verdana"/>
                </w:rPr>
                <m:t>y</m:t>
              </m:r>
            </m:sub>
          </m:sSub>
          <m:r>
            <m:rPr>
              <m:sty m:val="p"/>
            </m:rPr>
            <w:rPr>
              <w:rFonts w:ascii="Cambria Math" w:hAnsi="Cambria Math" w:cs="Verdana"/>
            </w:rPr>
            <m:t xml:space="preserve"> </m:t>
          </m:r>
          <m:r>
            <w:rPr>
              <w:rFonts w:ascii="Cambria Math" w:hAnsi="Cambria Math" w:cs="Verdana"/>
            </w:rPr>
            <m:t>or</m:t>
          </m:r>
          <m:r>
            <m:rPr>
              <m:sty m:val="p"/>
            </m:rPr>
            <w:rPr>
              <w:rFonts w:ascii="Cambria Math" w:hAnsi="Cambria Math" w:cs="Verdana"/>
            </w:rPr>
            <m:t xml:space="preserve"> </m:t>
          </m:r>
          <m:sSub>
            <m:sSubPr>
              <m:ctrlPr>
                <w:rPr>
                  <w:rFonts w:ascii="Cambria Math" w:hAnsi="Cambria Math" w:cs="Verdana"/>
                </w:rPr>
              </m:ctrlPr>
            </m:sSubPr>
            <m:e>
              <m:r>
                <w:rPr>
                  <w:rFonts w:ascii="Cambria Math" w:hAnsi="Cambria Math" w:cs="Verdana"/>
                </w:rPr>
                <m:t>SOEDE</m:t>
              </m:r>
            </m:e>
            <m:sub>
              <m:r>
                <w:rPr>
                  <w:rFonts w:ascii="Cambria Math" w:hAnsi="Cambria Math" w:cs="Verdana"/>
                </w:rPr>
                <m:t>y</m:t>
              </m:r>
            </m:sub>
          </m:sSub>
          <m:r>
            <m:rPr>
              <m:sty m:val="p"/>
            </m:rPr>
            <w:rPr>
              <w:rFonts w:ascii="Cambria Math" w:hAnsi="Cambria Math" w:cs="Verdana"/>
            </w:rPr>
            <m:t>=</m:t>
          </m:r>
          <m:sSub>
            <m:sSubPr>
              <m:ctrlPr>
                <w:rPr>
                  <w:rFonts w:ascii="Cambria Math" w:hAnsi="Cambria Math" w:cs="Verdana"/>
                </w:rPr>
              </m:ctrlPr>
            </m:sSubPr>
            <m:e>
              <m:r>
                <w:rPr>
                  <w:rFonts w:ascii="Cambria Math" w:hAnsi="Cambria Math" w:cs="Verdana"/>
                </w:rPr>
                <m:t>BAPA</m:t>
              </m:r>
            </m:e>
            <m:sub>
              <m:r>
                <w:rPr>
                  <w:rFonts w:ascii="Cambria Math" w:hAnsi="Cambria Math" w:cs="Verdana"/>
                </w:rPr>
                <m:t>y</m:t>
              </m:r>
            </m:sub>
          </m:sSub>
          <m:r>
            <m:rPr>
              <m:sty m:val="p"/>
            </m:rPr>
            <w:rPr>
              <w:rFonts w:ascii="Cambria Math" w:hAnsi="Cambria Math" w:cs="Verdana"/>
            </w:rPr>
            <m:t>+</m:t>
          </m:r>
          <m:sSub>
            <m:sSubPr>
              <m:ctrlPr>
                <w:rPr>
                  <w:rFonts w:ascii="Cambria Math" w:hAnsi="Cambria Math" w:cs="Verdana"/>
                </w:rPr>
              </m:ctrlPr>
            </m:sSubPr>
            <m:e>
              <m:r>
                <w:rPr>
                  <w:rFonts w:ascii="Cambria Math" w:hAnsi="Cambria Math" w:cs="Verdana"/>
                </w:rPr>
                <m:t>PH</m:t>
              </m:r>
            </m:e>
            <m:sub>
              <m:r>
                <w:rPr>
                  <w:rFonts w:ascii="Cambria Math" w:hAnsi="Cambria Math" w:cs="Verdana"/>
                </w:rPr>
                <m:t>y</m:t>
              </m:r>
            </m:sub>
          </m:sSub>
          <m:r>
            <m:rPr>
              <m:sty m:val="p"/>
            </m:rPr>
            <w:rPr>
              <w:rFonts w:ascii="Cambria Math" w:hAnsi="Cambria Math" w:cs="Verdana"/>
            </w:rPr>
            <m:t>+</m:t>
          </m:r>
          <m:sSub>
            <m:sSubPr>
              <m:ctrlPr>
                <w:rPr>
                  <w:rFonts w:ascii="Cambria Math" w:hAnsi="Cambria Math" w:cs="Verdana"/>
                </w:rPr>
              </m:ctrlPr>
            </m:sSubPr>
            <m:e>
              <m:r>
                <w:rPr>
                  <w:rFonts w:ascii="Cambria Math" w:hAnsi="Cambria Math" w:cs="Verdana"/>
                </w:rPr>
                <m:t>AF</m:t>
              </m:r>
            </m:e>
            <m:sub>
              <m:r>
                <w:rPr>
                  <w:rFonts w:ascii="Cambria Math" w:hAnsi="Cambria Math" w:cs="Verdana"/>
                </w:rPr>
                <m:t>y</m:t>
              </m:r>
            </m:sub>
          </m:sSub>
        </m:oMath>
      </m:oMathPara>
    </w:p>
    <w:p w14:paraId="4A8E4973" w14:textId="757B66BA" w:rsidR="000401D6" w:rsidRPr="002B1A9D" w:rsidRDefault="009B63A6" w:rsidP="008F1AC8">
      <w:pPr>
        <w:pStyle w:val="Text-Numbered"/>
        <w:numPr>
          <w:ilvl w:val="0"/>
          <w:numId w:val="68"/>
        </w:numPr>
        <w:rPr>
          <w:rFonts w:cs="Verdana"/>
        </w:rPr>
      </w:pPr>
      <w:bookmarkStart w:id="211" w:name="_Ref47024289"/>
      <w:r>
        <w:rPr>
          <w:rFonts w:cs="Verdana"/>
        </w:rPr>
        <w:t>s</w:t>
      </w:r>
      <w:r w:rsidR="000401D6" w:rsidRPr="002B1A9D">
        <w:rPr>
          <w:rFonts w:cs="Verdana"/>
        </w:rPr>
        <w:t xml:space="preserve">et out any recommendation to the licensee to adopt good practice before </w:t>
      </w:r>
      <w:r w:rsidR="000401D6">
        <w:rPr>
          <w:rFonts w:cs="Verdana"/>
        </w:rPr>
        <w:t>th</w:t>
      </w:r>
      <w:r w:rsidR="005057DB">
        <w:rPr>
          <w:rFonts w:cs="Verdana"/>
        </w:rPr>
        <w:t>e next Reasonableness R</w:t>
      </w:r>
      <w:r w:rsidR="000401D6" w:rsidRPr="002B1A9D">
        <w:rPr>
          <w:rFonts w:cs="Verdana"/>
        </w:rPr>
        <w:t>eview</w:t>
      </w:r>
      <w:bookmarkEnd w:id="211"/>
    </w:p>
    <w:p w14:paraId="4FA49E83" w14:textId="5DE237DF" w:rsidR="000401D6" w:rsidRDefault="009B63A6" w:rsidP="008F1AC8">
      <w:pPr>
        <w:pStyle w:val="Text-Numbered"/>
        <w:numPr>
          <w:ilvl w:val="0"/>
          <w:numId w:val="68"/>
        </w:numPr>
      </w:pPr>
      <w:r>
        <w:t>d</w:t>
      </w:r>
      <w:r w:rsidR="000401D6" w:rsidRPr="0064181D">
        <w:t>etermine the discount rates for payment history allowances, hDR</w:t>
      </w:r>
      <w:r w:rsidR="000401D6" w:rsidRPr="0064181D">
        <w:rPr>
          <w:vertAlign w:val="subscript"/>
        </w:rPr>
        <w:t>y</w:t>
      </w:r>
      <w:r w:rsidR="000401D6" w:rsidRPr="0064181D">
        <w:t>, or an unambiguous basis for determining them, for each of the three years follow</w:t>
      </w:r>
      <w:r w:rsidR="005057DB">
        <w:t>ing the R</w:t>
      </w:r>
      <w:r w:rsidR="000401D6" w:rsidRPr="0064181D">
        <w:t xml:space="preserve">easonableness </w:t>
      </w:r>
      <w:r w:rsidR="005057DB">
        <w:t>R</w:t>
      </w:r>
      <w:r w:rsidR="000401D6" w:rsidRPr="0064181D">
        <w:t xml:space="preserve">eview, giving reasons for any departure from those proposed in paragraph </w:t>
      </w:r>
      <w:r w:rsidR="000401D6">
        <w:fldChar w:fldCharType="begin"/>
      </w:r>
      <w:r w:rsidR="000401D6">
        <w:instrText xml:space="preserve"> REF _Ref47003715 \r \h </w:instrText>
      </w:r>
      <w:r w:rsidR="000401D6">
        <w:fldChar w:fldCharType="separate"/>
      </w:r>
      <w:r w:rsidR="00C21C6D">
        <w:t>7.53</w:t>
      </w:r>
      <w:r w:rsidR="000401D6">
        <w:fldChar w:fldCharType="end"/>
      </w:r>
    </w:p>
    <w:p w14:paraId="465C72CC" w14:textId="1B8B9D06" w:rsidR="009B63A6" w:rsidRDefault="009B63A6" w:rsidP="008F1AC8">
      <w:pPr>
        <w:pStyle w:val="Text-Numbered"/>
        <w:numPr>
          <w:ilvl w:val="0"/>
          <w:numId w:val="68"/>
        </w:numPr>
      </w:pPr>
      <w:r>
        <w:t xml:space="preserve">confirm whether a more detailed review of any established surplus is required (see paragraph </w:t>
      </w:r>
      <w:r>
        <w:fldChar w:fldCharType="begin"/>
      </w:r>
      <w:r>
        <w:instrText xml:space="preserve"> REF _Ref52225702 \r \h </w:instrText>
      </w:r>
      <w:r>
        <w:fldChar w:fldCharType="separate"/>
      </w:r>
      <w:r w:rsidR="00C21C6D">
        <w:t>7.13</w:t>
      </w:r>
      <w:r>
        <w:fldChar w:fldCharType="end"/>
      </w:r>
      <w:r>
        <w:t>).</w:t>
      </w:r>
    </w:p>
    <w:p w14:paraId="7961EA58" w14:textId="77777777" w:rsidR="000401D6" w:rsidRPr="00BA7FE7" w:rsidRDefault="000401D6" w:rsidP="000401D6">
      <w:pPr>
        <w:pStyle w:val="Paragrapgh"/>
        <w:keepNext/>
        <w:rPr>
          <w:i/>
          <w:u w:val="single"/>
        </w:rPr>
      </w:pPr>
      <w:r w:rsidRPr="00BA7FE7">
        <w:rPr>
          <w:i/>
          <w:u w:val="single"/>
        </w:rPr>
        <w:t>Step 6: by 30 November</w:t>
      </w:r>
    </w:p>
    <w:p w14:paraId="3C681B3E" w14:textId="0FE01C05" w:rsidR="000401D6" w:rsidRDefault="000401D6" w:rsidP="000401D6">
      <w:pPr>
        <w:pStyle w:val="Paragraph"/>
        <w:tabs>
          <w:tab w:val="clear" w:pos="1105"/>
          <w:tab w:val="num" w:pos="680"/>
        </w:tabs>
        <w:ind w:left="0"/>
      </w:pPr>
      <w:r w:rsidRPr="0064181D">
        <w:t>The Authority will direct revised Pensions Allowance values an</w:t>
      </w:r>
      <w:r w:rsidR="005057DB">
        <w:t>d will publish a report on the R</w:t>
      </w:r>
      <w:r w:rsidRPr="0064181D">
        <w:t>easonabl</w:t>
      </w:r>
      <w:r w:rsidR="005057DB">
        <w:t>eness R</w:t>
      </w:r>
      <w:r w:rsidRPr="0064181D">
        <w:t>eview.</w:t>
      </w:r>
    </w:p>
    <w:p w14:paraId="00E9FB4F" w14:textId="77777777" w:rsidR="000401D6" w:rsidRDefault="000401D6" w:rsidP="000401D6">
      <w:pPr>
        <w:pStyle w:val="Heading3"/>
        <w:spacing w:before="360"/>
      </w:pPr>
      <w:bookmarkStart w:id="212" w:name="_Toc47028430"/>
      <w:bookmarkStart w:id="213" w:name="_Toc49259973"/>
      <w:bookmarkStart w:id="214" w:name="_Toc52357118"/>
      <w:r>
        <w:lastRenderedPageBreak/>
        <w:t>Reasonableness Reviews and adjustment factors</w:t>
      </w:r>
      <w:bookmarkEnd w:id="212"/>
      <w:bookmarkEnd w:id="213"/>
      <w:bookmarkEnd w:id="214"/>
    </w:p>
    <w:p w14:paraId="2B5ABAC0" w14:textId="25C85383" w:rsidR="000401D6" w:rsidRPr="0064181D" w:rsidRDefault="000401D6" w:rsidP="000401D6">
      <w:pPr>
        <w:pStyle w:val="Paragraph"/>
        <w:tabs>
          <w:tab w:val="clear" w:pos="1105"/>
          <w:tab w:val="num" w:pos="680"/>
        </w:tabs>
        <w:ind w:left="0"/>
      </w:pPr>
      <w:bookmarkStart w:id="215" w:name="_Ref47001251"/>
      <w:r w:rsidRPr="0064181D">
        <w:t xml:space="preserve">After receiving the whole (or substantially the whole) of the licensee’s Scheme Valuation Data Set (see paragraph </w:t>
      </w:r>
      <w:r>
        <w:fldChar w:fldCharType="begin"/>
      </w:r>
      <w:r>
        <w:instrText xml:space="preserve"> REF _Ref47007456 \r \h </w:instrText>
      </w:r>
      <w:r>
        <w:fldChar w:fldCharType="separate"/>
      </w:r>
      <w:r w:rsidR="00C21C6D">
        <w:t>7.22</w:t>
      </w:r>
      <w:r>
        <w:fldChar w:fldCharType="end"/>
      </w:r>
      <w:r w:rsidRPr="0064181D">
        <w:t xml:space="preserve">) and its proposals for Base Annual PSED Allowances and Payment History Allowances </w:t>
      </w:r>
      <w:r>
        <w:t xml:space="preserve">(see paragraph </w:t>
      </w:r>
      <w:r>
        <w:fldChar w:fldCharType="begin"/>
      </w:r>
      <w:r>
        <w:instrText xml:space="preserve"> REF _Ref47003313 \r \h </w:instrText>
      </w:r>
      <w:r>
        <w:fldChar w:fldCharType="separate"/>
      </w:r>
      <w:r w:rsidR="00C21C6D">
        <w:t>7.25</w:t>
      </w:r>
      <w:r>
        <w:fldChar w:fldCharType="end"/>
      </w:r>
      <w:r>
        <w:t xml:space="preserve">) </w:t>
      </w:r>
      <w:r w:rsidRPr="0064181D">
        <w:t>in respect of each defined benefit pension scheme, the Authority will review the way in which the licensee has:</w:t>
      </w:r>
      <w:bookmarkEnd w:id="215"/>
    </w:p>
    <w:p w14:paraId="52BB224E" w14:textId="77777777" w:rsidR="000401D6" w:rsidRPr="0064181D" w:rsidRDefault="000401D6" w:rsidP="008F1AC8">
      <w:pPr>
        <w:pStyle w:val="Text-Numbered"/>
        <w:numPr>
          <w:ilvl w:val="0"/>
          <w:numId w:val="58"/>
        </w:numPr>
      </w:pPr>
      <w:r w:rsidRPr="0064181D">
        <w:t>formulated and justified its proposals for Base Annual PSED Allowances and Payment History Allowances</w:t>
      </w:r>
    </w:p>
    <w:p w14:paraId="701FE569" w14:textId="77777777" w:rsidR="000401D6" w:rsidRPr="0064181D" w:rsidRDefault="000401D6" w:rsidP="008F1AC8">
      <w:pPr>
        <w:pStyle w:val="Text-Numbered"/>
        <w:numPr>
          <w:ilvl w:val="0"/>
          <w:numId w:val="58"/>
        </w:numPr>
      </w:pPr>
      <w:r w:rsidRPr="0064181D">
        <w:t>engaged with pension scheme trustees and managers to advocate for the interest of consumers with respect to the PSED, recognising the responsibilities of trustees and the regulatory framework they are subject to, recognising the uncertainties that exist in the PSED valuation and recognising the strength of the employer’s covenant</w:t>
      </w:r>
    </w:p>
    <w:p w14:paraId="12B0D1DA" w14:textId="77777777" w:rsidR="000401D6" w:rsidRPr="0064181D" w:rsidRDefault="000401D6" w:rsidP="008F1AC8">
      <w:pPr>
        <w:pStyle w:val="Text-Numbered"/>
        <w:numPr>
          <w:ilvl w:val="0"/>
          <w:numId w:val="58"/>
        </w:numPr>
      </w:pPr>
      <w:r w:rsidRPr="0064181D">
        <w:t>responded to any recommendations set out by the Authority in preceding Reasonableness Reviews</w:t>
      </w:r>
    </w:p>
    <w:p w14:paraId="246F5078" w14:textId="77777777" w:rsidR="000401D6" w:rsidRPr="0064181D" w:rsidRDefault="000401D6" w:rsidP="008F1AC8">
      <w:pPr>
        <w:pStyle w:val="Text-Numbered"/>
        <w:numPr>
          <w:ilvl w:val="0"/>
          <w:numId w:val="58"/>
        </w:numPr>
      </w:pPr>
      <w:r w:rsidRPr="0064181D">
        <w:t>otherwise followed good practice, informed by practice in the regulated and broader private sectors, taking into account statutory and regulatory factors affecting the relevant pension schemes and the specific circumstances of each scheme, in promoting consumer interests with respect to the PSED.</w:t>
      </w:r>
    </w:p>
    <w:p w14:paraId="5D6ECEE1" w14:textId="4DEBAF51" w:rsidR="000401D6" w:rsidRPr="00ED435D" w:rsidRDefault="000401D6" w:rsidP="000401D6">
      <w:pPr>
        <w:pStyle w:val="Paragraph"/>
        <w:tabs>
          <w:tab w:val="clear" w:pos="1105"/>
          <w:tab w:val="num" w:pos="680"/>
        </w:tabs>
        <w:ind w:left="0"/>
        <w:rPr>
          <w:rFonts w:cs="Verdana"/>
        </w:rPr>
      </w:pPr>
      <w:bookmarkStart w:id="216" w:name="_Ref47001259"/>
      <w:r w:rsidRPr="0064181D">
        <w:t xml:space="preserve">The review referred to in paragraph </w:t>
      </w:r>
      <w:r>
        <w:fldChar w:fldCharType="begin"/>
      </w:r>
      <w:r>
        <w:instrText xml:space="preserve"> REF _Ref47001251 \r \h </w:instrText>
      </w:r>
      <w:r>
        <w:fldChar w:fldCharType="separate"/>
      </w:r>
      <w:r w:rsidR="00C21C6D">
        <w:t>7.31</w:t>
      </w:r>
      <w:r>
        <w:fldChar w:fldCharType="end"/>
      </w:r>
      <w:r w:rsidRPr="0064181D">
        <w:t xml:space="preserve"> is termed the Reasonableness Review for the purposes of this methodology.</w:t>
      </w:r>
      <w:bookmarkEnd w:id="216"/>
      <w:r w:rsidRPr="0064181D">
        <w:t xml:space="preserve">  </w:t>
      </w:r>
    </w:p>
    <w:p w14:paraId="7F036BEB" w14:textId="77777777" w:rsidR="000401D6" w:rsidRPr="0064181D" w:rsidRDefault="000401D6" w:rsidP="000401D6">
      <w:pPr>
        <w:pStyle w:val="Paragraph"/>
        <w:tabs>
          <w:tab w:val="clear" w:pos="1105"/>
          <w:tab w:val="num" w:pos="680"/>
        </w:tabs>
        <w:ind w:left="0"/>
      </w:pPr>
      <w:bookmarkStart w:id="217" w:name="_Ref47004184"/>
      <w:r w:rsidRPr="0064181D">
        <w:t>Having completed the review, the Authority will consider whether there is any case for:</w:t>
      </w:r>
      <w:bookmarkEnd w:id="217"/>
    </w:p>
    <w:p w14:paraId="415022F0" w14:textId="77777777" w:rsidR="000401D6" w:rsidRPr="0064181D" w:rsidRDefault="000401D6" w:rsidP="008F1AC8">
      <w:pPr>
        <w:pStyle w:val="Text-Numbered"/>
        <w:numPr>
          <w:ilvl w:val="0"/>
          <w:numId w:val="59"/>
        </w:numPr>
      </w:pPr>
      <w:bookmarkStart w:id="218" w:name="_Ref47004202"/>
      <w:r w:rsidRPr="0064181D">
        <w:t>making corrections to the licensee’s calculations in respect of its proposals for Base Annual PSED Allowances and Payment History Allowances due to data or methodological errors</w:t>
      </w:r>
      <w:bookmarkEnd w:id="218"/>
    </w:p>
    <w:p w14:paraId="3A5921BC" w14:textId="5230D729" w:rsidR="000401D6" w:rsidRPr="0064181D" w:rsidRDefault="000401D6" w:rsidP="008F1AC8">
      <w:pPr>
        <w:pStyle w:val="Text-Numbered"/>
        <w:numPr>
          <w:ilvl w:val="0"/>
          <w:numId w:val="59"/>
        </w:numPr>
      </w:pPr>
      <w:bookmarkStart w:id="219" w:name="_Ref47004210"/>
      <w:bookmarkStart w:id="220" w:name="_Ref47007811"/>
      <w:r w:rsidRPr="0064181D">
        <w:t xml:space="preserve">determining Base Annual PSED Allowances and Payment History Allowances with different profiles (while maintaining the same overall prospective values) compared with those proposed by the licensee under paragraphs </w:t>
      </w:r>
      <w:r>
        <w:fldChar w:fldCharType="begin"/>
      </w:r>
      <w:r>
        <w:instrText xml:space="preserve"> REF _Ref47003654 \r \h </w:instrText>
      </w:r>
      <w:r>
        <w:fldChar w:fldCharType="separate"/>
      </w:r>
      <w:r w:rsidR="00C21C6D">
        <w:t>7.47</w:t>
      </w:r>
      <w:r>
        <w:fldChar w:fldCharType="end"/>
      </w:r>
      <w:r w:rsidRPr="0064181D">
        <w:t xml:space="preserve"> and </w:t>
      </w:r>
      <w:bookmarkEnd w:id="219"/>
      <w:r>
        <w:fldChar w:fldCharType="begin"/>
      </w:r>
      <w:r>
        <w:instrText xml:space="preserve"> REF _Ref47003715 \r \h </w:instrText>
      </w:r>
      <w:r>
        <w:fldChar w:fldCharType="separate"/>
      </w:r>
      <w:r w:rsidR="00C21C6D">
        <w:t>7.53</w:t>
      </w:r>
      <w:r>
        <w:fldChar w:fldCharType="end"/>
      </w:r>
      <w:bookmarkEnd w:id="220"/>
      <w:r w:rsidRPr="0064181D">
        <w:t xml:space="preserve"> </w:t>
      </w:r>
    </w:p>
    <w:p w14:paraId="08700D41" w14:textId="3FDCEC95" w:rsidR="000401D6" w:rsidRPr="0064181D" w:rsidRDefault="000401D6" w:rsidP="008F1AC8">
      <w:pPr>
        <w:pStyle w:val="Text-Numbered"/>
        <w:numPr>
          <w:ilvl w:val="0"/>
          <w:numId w:val="59"/>
        </w:numPr>
      </w:pPr>
      <w:bookmarkStart w:id="221" w:name="_Ref47007988"/>
      <w:r w:rsidRPr="0064181D">
        <w:t>continuing to apply, modifying the scope or modifying the effect of any existing adjustment factors affecting Pensions Allowance values that were put in place following a prior Reasonableness Review</w:t>
      </w:r>
      <w:bookmarkEnd w:id="221"/>
    </w:p>
    <w:p w14:paraId="4E69FBF1" w14:textId="6B7EE9C4" w:rsidR="005057DB" w:rsidRPr="005057DB" w:rsidRDefault="000401D6" w:rsidP="008F1AC8">
      <w:pPr>
        <w:pStyle w:val="Text-Numbered"/>
        <w:numPr>
          <w:ilvl w:val="0"/>
          <w:numId w:val="59"/>
        </w:numPr>
      </w:pPr>
      <w:bookmarkStart w:id="222" w:name="_Ref47007996"/>
      <w:r w:rsidRPr="0064181D">
        <w:t xml:space="preserve">applying any new adjustment factor under paragraph </w:t>
      </w:r>
      <w:r>
        <w:rPr>
          <w:rFonts w:cs="Verdana"/>
        </w:rPr>
        <w:fldChar w:fldCharType="begin"/>
      </w:r>
      <w:r>
        <w:rPr>
          <w:rFonts w:cs="Verdana"/>
        </w:rPr>
        <w:instrText xml:space="preserve"> REF _Ref47004264 \r \h </w:instrText>
      </w:r>
      <w:r>
        <w:rPr>
          <w:rFonts w:cs="Verdana"/>
        </w:rPr>
      </w:r>
      <w:r>
        <w:rPr>
          <w:rFonts w:cs="Verdana"/>
        </w:rPr>
        <w:fldChar w:fldCharType="separate"/>
      </w:r>
      <w:r w:rsidR="00C21C6D">
        <w:rPr>
          <w:rFonts w:cs="Verdana"/>
        </w:rPr>
        <w:t>7.35</w:t>
      </w:r>
      <w:r>
        <w:rPr>
          <w:rFonts w:cs="Verdana"/>
        </w:rPr>
        <w:fldChar w:fldCharType="end"/>
      </w:r>
      <w:r w:rsidR="005057DB">
        <w:rPr>
          <w:rFonts w:cs="Verdana"/>
        </w:rPr>
        <w:t>, and</w:t>
      </w:r>
    </w:p>
    <w:p w14:paraId="4DB935ED" w14:textId="2F008CAC" w:rsidR="000401D6" w:rsidRPr="0064181D" w:rsidRDefault="005057DB" w:rsidP="008F1AC8">
      <w:pPr>
        <w:pStyle w:val="Text-Numbered"/>
        <w:numPr>
          <w:ilvl w:val="0"/>
          <w:numId w:val="59"/>
        </w:numPr>
      </w:pPr>
      <w:r>
        <w:rPr>
          <w:rFonts w:cs="Verdana"/>
        </w:rPr>
        <w:t xml:space="preserve">conducting a more detailed review of any established surplus (see paragraph </w:t>
      </w:r>
      <w:r>
        <w:rPr>
          <w:rFonts w:cs="Verdana"/>
        </w:rPr>
        <w:fldChar w:fldCharType="begin"/>
      </w:r>
      <w:r>
        <w:rPr>
          <w:rFonts w:cs="Verdana"/>
        </w:rPr>
        <w:instrText xml:space="preserve"> REF _Ref52225702 \r \h </w:instrText>
      </w:r>
      <w:r>
        <w:rPr>
          <w:rFonts w:cs="Verdana"/>
        </w:rPr>
      </w:r>
      <w:r>
        <w:rPr>
          <w:rFonts w:cs="Verdana"/>
        </w:rPr>
        <w:fldChar w:fldCharType="separate"/>
      </w:r>
      <w:r w:rsidR="00C21C6D">
        <w:rPr>
          <w:rFonts w:cs="Verdana"/>
        </w:rPr>
        <w:t>7.13</w:t>
      </w:r>
      <w:r>
        <w:rPr>
          <w:rFonts w:cs="Verdana"/>
        </w:rPr>
        <w:fldChar w:fldCharType="end"/>
      </w:r>
      <w:r>
        <w:rPr>
          <w:rFonts w:cs="Verdana"/>
        </w:rPr>
        <w:t>)</w:t>
      </w:r>
      <w:r w:rsidR="000401D6" w:rsidRPr="0064181D">
        <w:t>.</w:t>
      </w:r>
      <w:bookmarkEnd w:id="222"/>
    </w:p>
    <w:p w14:paraId="5556B198" w14:textId="44ECB54F" w:rsidR="000401D6" w:rsidRPr="0064181D" w:rsidRDefault="000401D6" w:rsidP="000401D6">
      <w:pPr>
        <w:pStyle w:val="Paragraph"/>
        <w:tabs>
          <w:tab w:val="clear" w:pos="1105"/>
          <w:tab w:val="num" w:pos="680"/>
        </w:tabs>
        <w:ind w:left="0"/>
      </w:pPr>
      <w:bookmarkStart w:id="223" w:name="_Ref47004227"/>
      <w:r w:rsidRPr="0064181D">
        <w:lastRenderedPageBreak/>
        <w:t xml:space="preserve">The Authority will only make a determination in respect of paragraph </w:t>
      </w:r>
      <w:r>
        <w:fldChar w:fldCharType="begin"/>
      </w:r>
      <w:r>
        <w:instrText xml:space="preserve"> REF _Ref47004184 \r \h </w:instrText>
      </w:r>
      <w:r>
        <w:fldChar w:fldCharType="separate"/>
      </w:r>
      <w:r w:rsidR="00C21C6D">
        <w:t>7.33</w:t>
      </w:r>
      <w:r>
        <w:fldChar w:fldCharType="end"/>
      </w:r>
      <w:r w:rsidR="005057DB">
        <w:t xml:space="preserve"> </w:t>
      </w:r>
      <w:r>
        <w:fldChar w:fldCharType="begin"/>
      </w:r>
      <w:r>
        <w:instrText xml:space="preserve"> REF _Ref47007811 \r \h </w:instrText>
      </w:r>
      <w:r>
        <w:fldChar w:fldCharType="separate"/>
      </w:r>
      <w:r w:rsidR="00C21C6D">
        <w:t>b)</w:t>
      </w:r>
      <w:r>
        <w:fldChar w:fldCharType="end"/>
      </w:r>
      <w:r w:rsidRPr="0064181D">
        <w:t xml:space="preserve"> if it considers the licensee’s proposals under paragraphs</w:t>
      </w:r>
      <w:r>
        <w:t xml:space="preserve"> </w:t>
      </w:r>
      <w:r>
        <w:fldChar w:fldCharType="begin"/>
      </w:r>
      <w:r>
        <w:instrText xml:space="preserve"> REF _Ref47003654 \r \h </w:instrText>
      </w:r>
      <w:r>
        <w:fldChar w:fldCharType="separate"/>
      </w:r>
      <w:r w:rsidR="00C21C6D">
        <w:t>7.47</w:t>
      </w:r>
      <w:r>
        <w:fldChar w:fldCharType="end"/>
      </w:r>
      <w:r w:rsidRPr="0064181D">
        <w:t xml:space="preserve"> and </w:t>
      </w:r>
      <w:r>
        <w:fldChar w:fldCharType="begin"/>
      </w:r>
      <w:r>
        <w:instrText xml:space="preserve"> REF _Ref47003715 \r \h </w:instrText>
      </w:r>
      <w:r>
        <w:fldChar w:fldCharType="separate"/>
      </w:r>
      <w:r w:rsidR="00C21C6D">
        <w:t>7.53</w:t>
      </w:r>
      <w:r>
        <w:fldChar w:fldCharType="end"/>
      </w:r>
      <w:r w:rsidRPr="0064181D">
        <w:t xml:space="preserve"> do not appropriately protect the interests of consumers, taking into account statutory and regulatory factors affecting the relevant pension schemes, which may relate to levels of uncertainty in the assumptions adopted in the valuation of the PSED.</w:t>
      </w:r>
      <w:bookmarkEnd w:id="223"/>
      <w:r w:rsidRPr="0064181D">
        <w:t xml:space="preserve"> </w:t>
      </w:r>
    </w:p>
    <w:p w14:paraId="79E7EEA7" w14:textId="7262CC89" w:rsidR="000401D6" w:rsidRPr="0064181D" w:rsidRDefault="000401D6" w:rsidP="000401D6">
      <w:pPr>
        <w:pStyle w:val="Paragraph"/>
        <w:tabs>
          <w:tab w:val="clear" w:pos="1105"/>
          <w:tab w:val="num" w:pos="680"/>
        </w:tabs>
        <w:ind w:left="0"/>
      </w:pPr>
      <w:bookmarkStart w:id="224" w:name="_Ref47004264"/>
      <w:r w:rsidRPr="0064181D">
        <w:t>Consistent with its price control pensions Principle 3,</w:t>
      </w:r>
      <w:r w:rsidR="005057DB">
        <w:rPr>
          <w:rStyle w:val="FootnoteReference"/>
        </w:rPr>
        <w:footnoteReference w:id="33"/>
      </w:r>
      <w:r w:rsidRPr="0064181D">
        <w:t xml:space="preserve"> the Authority will only apply adjustment factors referred to in paragraph </w:t>
      </w:r>
      <w:r>
        <w:fldChar w:fldCharType="begin"/>
      </w:r>
      <w:r>
        <w:instrText xml:space="preserve"> REF _Ref47004184 \r \h </w:instrText>
      </w:r>
      <w:r>
        <w:fldChar w:fldCharType="separate"/>
      </w:r>
      <w:r w:rsidR="00C21C6D">
        <w:t>7.33</w:t>
      </w:r>
      <w:r>
        <w:fldChar w:fldCharType="end"/>
      </w:r>
      <w:r w:rsidR="005057DB">
        <w:t xml:space="preserve"> </w:t>
      </w:r>
      <w:r>
        <w:fldChar w:fldCharType="begin"/>
      </w:r>
      <w:r>
        <w:instrText xml:space="preserve"> REF _Ref47007988 \r \h </w:instrText>
      </w:r>
      <w:r>
        <w:fldChar w:fldCharType="separate"/>
      </w:r>
      <w:r w:rsidR="00C21C6D">
        <w:t>c)</w:t>
      </w:r>
      <w:r>
        <w:fldChar w:fldCharType="end"/>
      </w:r>
      <w:r>
        <w:t xml:space="preserve"> and </w:t>
      </w:r>
      <w:r>
        <w:fldChar w:fldCharType="begin"/>
      </w:r>
      <w:r>
        <w:instrText xml:space="preserve"> REF _Ref47004184 \r \h </w:instrText>
      </w:r>
      <w:r>
        <w:fldChar w:fldCharType="separate"/>
      </w:r>
      <w:r w:rsidR="00C21C6D">
        <w:t>7.33</w:t>
      </w:r>
      <w:r>
        <w:fldChar w:fldCharType="end"/>
      </w:r>
      <w:r w:rsidR="005057DB">
        <w:t xml:space="preserve"> </w:t>
      </w:r>
      <w:r>
        <w:fldChar w:fldCharType="begin"/>
      </w:r>
      <w:r>
        <w:instrText xml:space="preserve"> REF _Ref47007996 \r \h </w:instrText>
      </w:r>
      <w:r>
        <w:fldChar w:fldCharType="separate"/>
      </w:r>
      <w:r w:rsidR="00C21C6D">
        <w:t>d)</w:t>
      </w:r>
      <w:r>
        <w:fldChar w:fldCharType="end"/>
      </w:r>
      <w:r>
        <w:t xml:space="preserve"> </w:t>
      </w:r>
      <w:r w:rsidRPr="0064181D">
        <w:t xml:space="preserve">to the extent necessary to disallow any excess costs arising from a material failure in the licensee’s responsibility for taking good care of entrusted pension scheme resources on behalf of consumers. </w:t>
      </w:r>
      <w:r w:rsidR="00B15ED2">
        <w:t>New adjustment factors will</w:t>
      </w:r>
      <w:r w:rsidRPr="0064181D">
        <w:t xml:space="preserve"> only arise in the following limited circumstances:</w:t>
      </w:r>
      <w:bookmarkEnd w:id="224"/>
    </w:p>
    <w:p w14:paraId="51BB8616" w14:textId="77777777" w:rsidR="000401D6" w:rsidRPr="0064181D" w:rsidRDefault="000401D6" w:rsidP="008F1AC8">
      <w:pPr>
        <w:pStyle w:val="Text-Numbered"/>
        <w:numPr>
          <w:ilvl w:val="0"/>
          <w:numId w:val="60"/>
        </w:numPr>
      </w:pPr>
      <w:r w:rsidRPr="0064181D">
        <w:t>where the Authority has established the licensee’s recklessness, negligence, fraud or breach of fiduciary duty towards consumers, such as failures in its participation in the governance of a pension scheme to correct for poor governance or management of the scheme’s resources, including any undue risk of a stranded surplus</w:t>
      </w:r>
    </w:p>
    <w:p w14:paraId="2213D8EE" w14:textId="033B712C" w:rsidR="000401D6" w:rsidRPr="0064181D" w:rsidRDefault="000401D6" w:rsidP="008F1AC8">
      <w:pPr>
        <w:pStyle w:val="Text-Numbered"/>
        <w:numPr>
          <w:ilvl w:val="0"/>
          <w:numId w:val="60"/>
        </w:numPr>
      </w:pPr>
      <w:r w:rsidRPr="0064181D">
        <w:t>inequitable charges for consumers arising from using the time value of money</w:t>
      </w:r>
      <w:r w:rsidR="00B15ED2">
        <w:t xml:space="preserve"> </w:t>
      </w:r>
      <w:r>
        <w:t xml:space="preserve">in paragraphs </w:t>
      </w:r>
      <w:r w:rsidR="00CA5F65">
        <w:fldChar w:fldCharType="begin"/>
      </w:r>
      <w:r w:rsidR="00CA5F65">
        <w:instrText xml:space="preserve"> REF _Ref48750278 \r \h </w:instrText>
      </w:r>
      <w:r w:rsidR="00CA5F65">
        <w:fldChar w:fldCharType="separate"/>
      </w:r>
      <w:r w:rsidR="00C21C6D">
        <w:t>2.13</w:t>
      </w:r>
      <w:r w:rsidR="00CA5F65">
        <w:fldChar w:fldCharType="end"/>
      </w:r>
      <w:r w:rsidR="00CA5F65">
        <w:t xml:space="preserve"> and </w:t>
      </w:r>
      <w:r w:rsidR="00CA5F65">
        <w:fldChar w:fldCharType="begin"/>
      </w:r>
      <w:r w:rsidR="00CA5F65">
        <w:instrText xml:space="preserve"> REF _Ref48750288 \r \h </w:instrText>
      </w:r>
      <w:r w:rsidR="00CA5F65">
        <w:fldChar w:fldCharType="separate"/>
      </w:r>
      <w:r w:rsidR="00C21C6D">
        <w:t>2.14</w:t>
      </w:r>
      <w:r w:rsidR="00CA5F65">
        <w:fldChar w:fldCharType="end"/>
      </w:r>
      <w:r w:rsidRPr="0064181D">
        <w:t xml:space="preserve"> in ascertaining the cumulative payment history variance under paragraph </w:t>
      </w:r>
      <w:r>
        <w:fldChar w:fldCharType="begin"/>
      </w:r>
      <w:r>
        <w:instrText xml:space="preserve"> REF _Ref47002469 \r \h </w:instrText>
      </w:r>
      <w:r>
        <w:fldChar w:fldCharType="separate"/>
      </w:r>
      <w:r w:rsidR="00C21C6D">
        <w:t>7.50</w:t>
      </w:r>
      <w:r>
        <w:fldChar w:fldCharType="end"/>
      </w:r>
      <w:r w:rsidRPr="0064181D">
        <w:t xml:space="preserve"> for any materially accelerated PSED payments that would otherwise have been determined with reference to the discount rate specified in the licensee’s Scheme Valuation Data Set</w:t>
      </w:r>
    </w:p>
    <w:p w14:paraId="6E75DB41" w14:textId="557C19B0" w:rsidR="000401D6" w:rsidRPr="0064181D" w:rsidRDefault="000401D6" w:rsidP="008F1AC8">
      <w:pPr>
        <w:pStyle w:val="Text-Numbered"/>
        <w:numPr>
          <w:ilvl w:val="0"/>
          <w:numId w:val="60"/>
        </w:numPr>
      </w:pPr>
      <w:r w:rsidRPr="0064181D">
        <w:t>the licensee’s failure to respond adequately to any recommendations set out by the Authority in preceding Reasonableness Reviews</w:t>
      </w:r>
      <w:r w:rsidR="005057DB">
        <w:t>.</w:t>
      </w:r>
      <w:r w:rsidRPr="0064181D">
        <w:t xml:space="preserve">   </w:t>
      </w:r>
    </w:p>
    <w:p w14:paraId="3A6940AE" w14:textId="77777777" w:rsidR="000401D6" w:rsidRPr="0064181D" w:rsidRDefault="000401D6" w:rsidP="000401D6">
      <w:pPr>
        <w:pStyle w:val="Paragraph"/>
        <w:tabs>
          <w:tab w:val="clear" w:pos="1105"/>
          <w:tab w:val="num" w:pos="680"/>
        </w:tabs>
        <w:ind w:left="0"/>
      </w:pPr>
      <w:r w:rsidRPr="0064181D">
        <w:t>Any modification to the effect of existing adjustment factors affecting Pensions Allowance values that were put in place following a prior Reasonableness Review will be made after taking equitable account of the time value of money involved, in general with reference to hDR</w:t>
      </w:r>
      <w:r w:rsidRPr="0064181D">
        <w:rPr>
          <w:vertAlign w:val="subscript"/>
        </w:rPr>
        <w:t>y</w:t>
      </w:r>
      <w:r w:rsidRPr="0064181D">
        <w:t>.</w:t>
      </w:r>
    </w:p>
    <w:p w14:paraId="72E3149F" w14:textId="4D4C5187" w:rsidR="000401D6" w:rsidRPr="0064181D" w:rsidRDefault="000401D6" w:rsidP="000401D6">
      <w:pPr>
        <w:pStyle w:val="Paragraph"/>
        <w:tabs>
          <w:tab w:val="clear" w:pos="1105"/>
          <w:tab w:val="num" w:pos="680"/>
        </w:tabs>
        <w:ind w:left="0"/>
      </w:pPr>
      <w:r w:rsidRPr="0064181D">
        <w:t>Before deciding to make determinations referred to in</w:t>
      </w:r>
      <w:r w:rsidR="005057DB">
        <w:t xml:space="preserve"> paragraphs</w:t>
      </w:r>
      <w:r w:rsidRPr="0064181D">
        <w:t xml:space="preserve"> </w:t>
      </w:r>
      <w:r>
        <w:fldChar w:fldCharType="begin"/>
      </w:r>
      <w:r>
        <w:instrText xml:space="preserve"> REF _Ref47004184 \r \h </w:instrText>
      </w:r>
      <w:r>
        <w:fldChar w:fldCharType="separate"/>
      </w:r>
      <w:r w:rsidR="00C21C6D">
        <w:t>7.33</w:t>
      </w:r>
      <w:r>
        <w:fldChar w:fldCharType="end"/>
      </w:r>
      <w:r w:rsidR="005057DB">
        <w:t xml:space="preserve"> </w:t>
      </w:r>
      <w:r>
        <w:fldChar w:fldCharType="begin"/>
      </w:r>
      <w:r>
        <w:instrText xml:space="preserve"> REF _Ref47007811 \r \h </w:instrText>
      </w:r>
      <w:r>
        <w:fldChar w:fldCharType="separate"/>
      </w:r>
      <w:r w:rsidR="00C21C6D">
        <w:t>b)</w:t>
      </w:r>
      <w:r>
        <w:fldChar w:fldCharType="end"/>
      </w:r>
      <w:r>
        <w:t xml:space="preserve">, </w:t>
      </w:r>
      <w:r>
        <w:fldChar w:fldCharType="begin"/>
      </w:r>
      <w:r>
        <w:instrText xml:space="preserve"> REF _Ref47004184 \r \h </w:instrText>
      </w:r>
      <w:r>
        <w:fldChar w:fldCharType="separate"/>
      </w:r>
      <w:r w:rsidR="00C21C6D">
        <w:t>7.33</w:t>
      </w:r>
      <w:r>
        <w:fldChar w:fldCharType="end"/>
      </w:r>
      <w:r w:rsidR="005057DB">
        <w:t xml:space="preserve"> </w:t>
      </w:r>
      <w:r>
        <w:fldChar w:fldCharType="begin"/>
      </w:r>
      <w:r>
        <w:instrText xml:space="preserve"> REF _Ref47007988 \r \h </w:instrText>
      </w:r>
      <w:r>
        <w:fldChar w:fldCharType="separate"/>
      </w:r>
      <w:r w:rsidR="00C21C6D">
        <w:t>c)</w:t>
      </w:r>
      <w:r>
        <w:fldChar w:fldCharType="end"/>
      </w:r>
      <w:r>
        <w:t xml:space="preserve"> and </w:t>
      </w:r>
      <w:r>
        <w:fldChar w:fldCharType="begin"/>
      </w:r>
      <w:r>
        <w:instrText xml:space="preserve"> REF _Ref47004184 \r \h </w:instrText>
      </w:r>
      <w:r>
        <w:fldChar w:fldCharType="separate"/>
      </w:r>
      <w:r w:rsidR="00C21C6D">
        <w:t>7.33</w:t>
      </w:r>
      <w:r>
        <w:fldChar w:fldCharType="end"/>
      </w:r>
      <w:r w:rsidR="005057DB">
        <w:t xml:space="preserve"> </w:t>
      </w:r>
      <w:r>
        <w:fldChar w:fldCharType="begin"/>
      </w:r>
      <w:r>
        <w:instrText xml:space="preserve"> REF _Ref47007996 \r \h </w:instrText>
      </w:r>
      <w:r>
        <w:fldChar w:fldCharType="separate"/>
      </w:r>
      <w:r w:rsidR="00C21C6D">
        <w:t>d)</w:t>
      </w:r>
      <w:r>
        <w:fldChar w:fldCharType="end"/>
      </w:r>
      <w:r w:rsidRPr="0064181D">
        <w:t>, the Authority will consult with the licensee</w:t>
      </w:r>
      <w:r w:rsidR="00B15ED2">
        <w:t xml:space="preserve"> (see paragraph </w:t>
      </w:r>
      <w:r w:rsidR="00B15ED2">
        <w:fldChar w:fldCharType="begin"/>
      </w:r>
      <w:r w:rsidR="00B15ED2">
        <w:instrText xml:space="preserve"> REF _Ref51682071 \r \h </w:instrText>
      </w:r>
      <w:r w:rsidR="00B15ED2">
        <w:fldChar w:fldCharType="separate"/>
      </w:r>
      <w:r w:rsidR="00C21C6D">
        <w:t>7.28</w:t>
      </w:r>
      <w:r w:rsidR="00B15ED2">
        <w:fldChar w:fldCharType="end"/>
      </w:r>
      <w:r w:rsidR="00B15ED2">
        <w:t>)</w:t>
      </w:r>
      <w:r w:rsidRPr="0064181D">
        <w:t xml:space="preserve">, giving its reasons </w:t>
      </w:r>
      <w:r w:rsidRPr="0064181D">
        <w:lastRenderedPageBreak/>
        <w:t xml:space="preserve">with reference to paragraphs </w:t>
      </w:r>
      <w:r>
        <w:fldChar w:fldCharType="begin"/>
      </w:r>
      <w:r>
        <w:instrText xml:space="preserve"> REF _Ref47004227 \r \h </w:instrText>
      </w:r>
      <w:r>
        <w:fldChar w:fldCharType="separate"/>
      </w:r>
      <w:r w:rsidR="00C21C6D">
        <w:t>7.34</w:t>
      </w:r>
      <w:r>
        <w:fldChar w:fldCharType="end"/>
      </w:r>
      <w:r w:rsidRPr="0064181D">
        <w:t xml:space="preserve"> and </w:t>
      </w:r>
      <w:r>
        <w:fldChar w:fldCharType="begin"/>
      </w:r>
      <w:r>
        <w:instrText xml:space="preserve"> REF _Ref47004264 \r \h </w:instrText>
      </w:r>
      <w:r>
        <w:fldChar w:fldCharType="separate"/>
      </w:r>
      <w:r w:rsidR="00C21C6D">
        <w:t>7.35</w:t>
      </w:r>
      <w:r>
        <w:fldChar w:fldCharType="end"/>
      </w:r>
      <w:r w:rsidRPr="0064181D">
        <w:t xml:space="preserve"> and to the Pensions Principles referred to in paragraph </w:t>
      </w:r>
      <w:r>
        <w:fldChar w:fldCharType="begin"/>
      </w:r>
      <w:r>
        <w:instrText xml:space="preserve"> REF _Ref47008429 \r \h </w:instrText>
      </w:r>
      <w:r>
        <w:fldChar w:fldCharType="separate"/>
      </w:r>
      <w:r w:rsidR="00C21C6D">
        <w:t>7.6</w:t>
      </w:r>
      <w:r>
        <w:fldChar w:fldCharType="end"/>
      </w:r>
      <w:r w:rsidRPr="0064181D">
        <w:t>.</w:t>
      </w:r>
    </w:p>
    <w:p w14:paraId="0C9B078F" w14:textId="77777777" w:rsidR="000401D6" w:rsidRPr="0064181D" w:rsidRDefault="000401D6" w:rsidP="000401D6">
      <w:pPr>
        <w:pStyle w:val="Paragraph"/>
        <w:tabs>
          <w:tab w:val="clear" w:pos="1105"/>
          <w:tab w:val="num" w:pos="680"/>
        </w:tabs>
        <w:ind w:left="0"/>
      </w:pPr>
      <w:r w:rsidRPr="0064181D">
        <w:t>After, considering any representations made by the licensee, the Authority will:</w:t>
      </w:r>
    </w:p>
    <w:p w14:paraId="327DACBA" w14:textId="77777777" w:rsidR="000401D6" w:rsidRPr="0064181D" w:rsidRDefault="000401D6" w:rsidP="008F1AC8">
      <w:pPr>
        <w:pStyle w:val="Text-Numbered"/>
        <w:numPr>
          <w:ilvl w:val="0"/>
          <w:numId w:val="61"/>
        </w:numPr>
      </w:pPr>
      <w:r w:rsidRPr="0064181D">
        <w:t>notify the licensee of its decision</w:t>
      </w:r>
    </w:p>
    <w:p w14:paraId="1A5822C1" w14:textId="6BD50CE2" w:rsidR="000401D6" w:rsidRPr="0064181D" w:rsidRDefault="000401D6" w:rsidP="008F1AC8">
      <w:pPr>
        <w:pStyle w:val="Text-Numbered"/>
        <w:numPr>
          <w:ilvl w:val="0"/>
          <w:numId w:val="61"/>
        </w:numPr>
      </w:pPr>
      <w:r w:rsidRPr="0064181D">
        <w:t xml:space="preserve">set out the matters, referred to in paragraphs </w:t>
      </w:r>
      <w:r>
        <w:fldChar w:fldCharType="begin"/>
      </w:r>
      <w:r>
        <w:instrText xml:space="preserve"> REF _Ref47004227 \r \h </w:instrText>
      </w:r>
      <w:r>
        <w:fldChar w:fldCharType="separate"/>
      </w:r>
      <w:r w:rsidR="00C21C6D">
        <w:t>7.34</w:t>
      </w:r>
      <w:r>
        <w:fldChar w:fldCharType="end"/>
      </w:r>
      <w:r w:rsidRPr="0064181D">
        <w:t xml:space="preserve"> and </w:t>
      </w:r>
      <w:r>
        <w:fldChar w:fldCharType="begin"/>
      </w:r>
      <w:r>
        <w:instrText xml:space="preserve"> REF _Ref47004264 \r \h </w:instrText>
      </w:r>
      <w:r>
        <w:fldChar w:fldCharType="separate"/>
      </w:r>
      <w:r w:rsidR="00C21C6D">
        <w:t>7.35</w:t>
      </w:r>
      <w:r>
        <w:fldChar w:fldCharType="end"/>
      </w:r>
      <w:r w:rsidRPr="0064181D">
        <w:t>, that have led to its decision, and</w:t>
      </w:r>
    </w:p>
    <w:p w14:paraId="423A0F05" w14:textId="609B9221" w:rsidR="000401D6" w:rsidRPr="0064181D" w:rsidRDefault="000401D6" w:rsidP="008F1AC8">
      <w:pPr>
        <w:pStyle w:val="Text-Numbered"/>
        <w:numPr>
          <w:ilvl w:val="0"/>
          <w:numId w:val="61"/>
        </w:numPr>
      </w:pPr>
      <w:r w:rsidRPr="0064181D">
        <w:t xml:space="preserve">Set out the basis on which it considers any adjustment factors referred to in </w:t>
      </w:r>
      <w:r>
        <w:fldChar w:fldCharType="begin"/>
      </w:r>
      <w:r>
        <w:instrText xml:space="preserve"> REF _Ref47004184 \r \h </w:instrText>
      </w:r>
      <w:r>
        <w:fldChar w:fldCharType="separate"/>
      </w:r>
      <w:r w:rsidR="00C21C6D">
        <w:t>7.33</w:t>
      </w:r>
      <w:r>
        <w:fldChar w:fldCharType="end"/>
      </w:r>
      <w:r w:rsidR="005057DB">
        <w:t xml:space="preserve"> </w:t>
      </w:r>
      <w:r>
        <w:fldChar w:fldCharType="begin"/>
      </w:r>
      <w:r>
        <w:instrText xml:space="preserve"> REF _Ref47007988 \r \h </w:instrText>
      </w:r>
      <w:r>
        <w:fldChar w:fldCharType="separate"/>
      </w:r>
      <w:r w:rsidR="00C21C6D">
        <w:t>c)</w:t>
      </w:r>
      <w:r>
        <w:fldChar w:fldCharType="end"/>
      </w:r>
      <w:r w:rsidRPr="0064181D">
        <w:t xml:space="preserve"> or</w:t>
      </w:r>
      <w:r>
        <w:t xml:space="preserve"> </w:t>
      </w:r>
      <w:r>
        <w:fldChar w:fldCharType="begin"/>
      </w:r>
      <w:r>
        <w:instrText xml:space="preserve"> REF _Ref47004184 \r \h </w:instrText>
      </w:r>
      <w:r>
        <w:fldChar w:fldCharType="separate"/>
      </w:r>
      <w:r w:rsidR="00C21C6D">
        <w:t>7.33</w:t>
      </w:r>
      <w:r>
        <w:fldChar w:fldCharType="end"/>
      </w:r>
      <w:r w:rsidR="005057DB">
        <w:t xml:space="preserve"> </w:t>
      </w:r>
      <w:r>
        <w:fldChar w:fldCharType="begin"/>
      </w:r>
      <w:r>
        <w:instrText xml:space="preserve"> REF _Ref47007996 \r \h </w:instrText>
      </w:r>
      <w:r>
        <w:fldChar w:fldCharType="separate"/>
      </w:r>
      <w:r w:rsidR="00C21C6D">
        <w:t>d)</w:t>
      </w:r>
      <w:r>
        <w:fldChar w:fldCharType="end"/>
      </w:r>
      <w:r w:rsidRPr="0064181D">
        <w:t xml:space="preserve"> might be discontinued at the next Reasonableness Review.</w:t>
      </w:r>
    </w:p>
    <w:p w14:paraId="485F028A" w14:textId="6F518867" w:rsidR="000401D6" w:rsidRPr="0064181D" w:rsidRDefault="000401D6" w:rsidP="000401D6">
      <w:pPr>
        <w:pStyle w:val="Paragraph"/>
        <w:tabs>
          <w:tab w:val="clear" w:pos="1105"/>
          <w:tab w:val="num" w:pos="680"/>
        </w:tabs>
        <w:ind w:left="0"/>
      </w:pPr>
      <w:bookmarkStart w:id="225" w:name="_Ref47004297"/>
      <w:r w:rsidRPr="0064181D">
        <w:t>Where, after consulting with the licensee</w:t>
      </w:r>
      <w:r w:rsidR="00B15ED2">
        <w:t xml:space="preserve"> (paragraph </w:t>
      </w:r>
      <w:r w:rsidR="00B15ED2">
        <w:fldChar w:fldCharType="begin"/>
      </w:r>
      <w:r w:rsidR="00B15ED2">
        <w:instrText xml:space="preserve"> REF _Ref51682071 \r \h </w:instrText>
      </w:r>
      <w:r w:rsidR="00B15ED2">
        <w:fldChar w:fldCharType="separate"/>
      </w:r>
      <w:r w:rsidR="00C21C6D">
        <w:t>7.28</w:t>
      </w:r>
      <w:r w:rsidR="00B15ED2">
        <w:fldChar w:fldCharType="end"/>
      </w:r>
      <w:r w:rsidR="00B15ED2">
        <w:t>)</w:t>
      </w:r>
      <w:r w:rsidRPr="0064181D">
        <w:t xml:space="preserve"> and giving due weight to the licensee’s representations, the Authority considers the licensee is not following good practice which would have the effect of promoting consumer interests with respect to the PSED, the Authority </w:t>
      </w:r>
      <w:r w:rsidR="00B15ED2">
        <w:t>will</w:t>
      </w:r>
      <w:r w:rsidRPr="0064181D">
        <w:t xml:space="preserve"> set out recommendations to the licensee for it to adopt before the next reasonableness review </w:t>
      </w:r>
      <w:r w:rsidR="00B15ED2">
        <w:t>where</w:t>
      </w:r>
      <w:r w:rsidRPr="0064181D">
        <w:t>:</w:t>
      </w:r>
      <w:bookmarkEnd w:id="225"/>
    </w:p>
    <w:p w14:paraId="7FF14C29" w14:textId="6B6A9B69" w:rsidR="000401D6" w:rsidRPr="0064181D" w:rsidRDefault="000401D6" w:rsidP="008F1AC8">
      <w:pPr>
        <w:pStyle w:val="Text-Numbered"/>
        <w:numPr>
          <w:ilvl w:val="0"/>
          <w:numId w:val="62"/>
        </w:numPr>
      </w:pPr>
      <w:r w:rsidRPr="0064181D">
        <w:t xml:space="preserve">the Authority </w:t>
      </w:r>
      <w:r w:rsidR="00B15ED2">
        <w:t>considers</w:t>
      </w:r>
      <w:r w:rsidRPr="0064181D">
        <w:t xml:space="preserve"> that adopting the recommendations would not conflict with statutory and regulatory factors affecting the relevant pension schemes</w:t>
      </w:r>
    </w:p>
    <w:p w14:paraId="6703AD8A" w14:textId="226D39AB" w:rsidR="000401D6" w:rsidRPr="0064181D" w:rsidRDefault="000401D6" w:rsidP="008F1AC8">
      <w:pPr>
        <w:pStyle w:val="Text-Numbered"/>
        <w:numPr>
          <w:ilvl w:val="0"/>
          <w:numId w:val="62"/>
        </w:numPr>
      </w:pPr>
      <w:r w:rsidRPr="0064181D">
        <w:t xml:space="preserve">the Authority </w:t>
      </w:r>
      <w:r w:rsidR="00B15ED2">
        <w:t>has taken</w:t>
      </w:r>
      <w:r w:rsidRPr="0064181D">
        <w:t xml:space="preserve"> into account the relative duties of the licensee and the pension scheme trustees and the extent to which the licensee is only able to influence trustee decisions</w:t>
      </w:r>
    </w:p>
    <w:p w14:paraId="13256FA9" w14:textId="3CF8DEDC" w:rsidR="000401D6" w:rsidRPr="0064181D" w:rsidRDefault="000401D6" w:rsidP="008F1AC8">
      <w:pPr>
        <w:pStyle w:val="Text-Numbered"/>
        <w:numPr>
          <w:ilvl w:val="0"/>
          <w:numId w:val="62"/>
        </w:numPr>
      </w:pPr>
      <w:r w:rsidRPr="0064181D">
        <w:t xml:space="preserve">the Authority </w:t>
      </w:r>
      <w:r w:rsidR="009E36CD">
        <w:t>considers</w:t>
      </w:r>
      <w:r w:rsidRPr="0064181D">
        <w:t xml:space="preserve"> that adopting the recommendations would be in the interest of consumers and would not disproportionately </w:t>
      </w:r>
      <w:r>
        <w:t>impact</w:t>
      </w:r>
      <w:r w:rsidRPr="0064181D">
        <w:t xml:space="preserve"> the licensee</w:t>
      </w:r>
    </w:p>
    <w:p w14:paraId="1E3968C9" w14:textId="59FA66C0" w:rsidR="000401D6" w:rsidRDefault="000401D6" w:rsidP="008F1AC8">
      <w:pPr>
        <w:pStyle w:val="Text-Numbered"/>
        <w:numPr>
          <w:ilvl w:val="0"/>
          <w:numId w:val="62"/>
        </w:numPr>
      </w:pPr>
      <w:r w:rsidRPr="0064181D">
        <w:t xml:space="preserve">the Authority </w:t>
      </w:r>
      <w:r w:rsidR="009E36CD">
        <w:t>considers</w:t>
      </w:r>
      <w:r w:rsidRPr="0064181D">
        <w:t xml:space="preserve"> it is practical for the licensee to adopt the recommendations.</w:t>
      </w:r>
    </w:p>
    <w:p w14:paraId="1B7597F3" w14:textId="3CEDF484" w:rsidR="000401D6" w:rsidRPr="0064181D" w:rsidRDefault="005057DB" w:rsidP="000401D6">
      <w:pPr>
        <w:pStyle w:val="Heading2"/>
        <w:spacing w:before="360"/>
      </w:pPr>
      <w:bookmarkStart w:id="226" w:name="_Toc47028431"/>
      <w:bookmarkStart w:id="227" w:name="_Toc49259974"/>
      <w:bookmarkStart w:id="228" w:name="_Toc52357119"/>
      <w:r>
        <w:t>Section 3 – P</w:t>
      </w:r>
      <w:r w:rsidR="000401D6">
        <w:t>roposals for revised pensions allowance values</w:t>
      </w:r>
      <w:bookmarkEnd w:id="226"/>
      <w:bookmarkEnd w:id="227"/>
      <w:bookmarkEnd w:id="228"/>
    </w:p>
    <w:p w14:paraId="09531036" w14:textId="7DC7D3DF" w:rsidR="000401D6" w:rsidRDefault="000401D6" w:rsidP="000401D6">
      <w:pPr>
        <w:pStyle w:val="Paragraph"/>
        <w:tabs>
          <w:tab w:val="clear" w:pos="1105"/>
          <w:tab w:val="num" w:pos="680"/>
        </w:tabs>
        <w:ind w:left="0"/>
      </w:pPr>
      <w:r>
        <w:t xml:space="preserve">This section describes what the licensee </w:t>
      </w:r>
      <w:r w:rsidR="0064299B">
        <w:t>must</w:t>
      </w:r>
      <w:r>
        <w:t xml:space="preserve"> take into account in making its proposals for:</w:t>
      </w:r>
    </w:p>
    <w:p w14:paraId="52A18D4E" w14:textId="77777777" w:rsidR="000401D6" w:rsidRDefault="000401D6" w:rsidP="008F1AC8">
      <w:pPr>
        <w:pStyle w:val="Text-Numbered"/>
        <w:numPr>
          <w:ilvl w:val="0"/>
          <w:numId w:val="70"/>
        </w:numPr>
      </w:pPr>
      <w:r>
        <w:t>Base Annual PSED Allowances</w:t>
      </w:r>
    </w:p>
    <w:p w14:paraId="1AB6D130" w14:textId="215F365A" w:rsidR="000401D6" w:rsidRDefault="005057DB" w:rsidP="008F1AC8">
      <w:pPr>
        <w:pStyle w:val="Text-Numbered"/>
        <w:numPr>
          <w:ilvl w:val="0"/>
          <w:numId w:val="70"/>
        </w:numPr>
      </w:pPr>
      <w:r>
        <w:t>p</w:t>
      </w:r>
      <w:r w:rsidR="000401D6">
        <w:t>ayment history allowances.</w:t>
      </w:r>
    </w:p>
    <w:p w14:paraId="7283EED5" w14:textId="77777777" w:rsidR="000401D6" w:rsidRPr="0064181D" w:rsidRDefault="000401D6" w:rsidP="00A23E59">
      <w:pPr>
        <w:pStyle w:val="Heading3"/>
        <w:keepNext/>
        <w:spacing w:before="360"/>
      </w:pPr>
      <w:bookmarkStart w:id="229" w:name="_Toc47028432"/>
      <w:bookmarkStart w:id="230" w:name="_Toc49259975"/>
      <w:bookmarkStart w:id="231" w:name="_Toc52357120"/>
      <w:r w:rsidRPr="0064181D">
        <w:lastRenderedPageBreak/>
        <w:t>Base Annual PSED Allowances</w:t>
      </w:r>
      <w:bookmarkEnd w:id="229"/>
      <w:bookmarkEnd w:id="230"/>
      <w:bookmarkEnd w:id="231"/>
    </w:p>
    <w:p w14:paraId="4A6E5DC2" w14:textId="7CABB3BC" w:rsidR="000401D6" w:rsidRPr="0064181D" w:rsidRDefault="000401D6" w:rsidP="000401D6">
      <w:pPr>
        <w:pStyle w:val="Paragraph"/>
        <w:tabs>
          <w:tab w:val="clear" w:pos="1105"/>
          <w:tab w:val="num" w:pos="680"/>
        </w:tabs>
        <w:ind w:left="0"/>
      </w:pPr>
      <w:bookmarkStart w:id="232" w:name="_Ref47023839"/>
      <w:r w:rsidRPr="0064181D">
        <w:t xml:space="preserve">Base Annual PSED Allowances represent how consumers will fund the established deficit as evaluated at the last triennial review. </w:t>
      </w:r>
      <w:r>
        <w:t>The</w:t>
      </w:r>
      <w:r w:rsidR="009E36CD">
        <w:t xml:space="preserve"> licensee must</w:t>
      </w:r>
      <w:r w:rsidRPr="0064181D">
        <w:t xml:space="preserve"> set out its proposal for Base Annual PSED Allowances after taking account of the following paragraphs.</w:t>
      </w:r>
      <w:bookmarkEnd w:id="232"/>
      <w:r w:rsidRPr="0064181D">
        <w:t xml:space="preserve"> </w:t>
      </w:r>
    </w:p>
    <w:p w14:paraId="070FC966" w14:textId="1702404F" w:rsidR="000401D6" w:rsidRDefault="000401D6" w:rsidP="000401D6">
      <w:pPr>
        <w:pStyle w:val="Paragraph"/>
        <w:tabs>
          <w:tab w:val="clear" w:pos="1105"/>
          <w:tab w:val="num" w:pos="680"/>
        </w:tabs>
        <w:ind w:left="0"/>
      </w:pPr>
      <w:r>
        <w:t>T</w:t>
      </w:r>
      <w:r w:rsidRPr="0064181D">
        <w:t>he licensee</w:t>
      </w:r>
      <w:r w:rsidR="009E36CD">
        <w:t xml:space="preserve"> must</w:t>
      </w:r>
      <w:r w:rsidRPr="0064181D">
        <w:t xml:space="preserve"> set out its calculations of</w:t>
      </w:r>
      <w:r>
        <w:t>:</w:t>
      </w:r>
    </w:p>
    <w:p w14:paraId="03AE1371" w14:textId="3A05340D" w:rsidR="000401D6" w:rsidRDefault="000401D6" w:rsidP="008F1AC8">
      <w:pPr>
        <w:pStyle w:val="Text-Numbered"/>
        <w:numPr>
          <w:ilvl w:val="0"/>
          <w:numId w:val="71"/>
        </w:numPr>
      </w:pPr>
      <w:r w:rsidRPr="0064181D">
        <w:t>the indicat</w:t>
      </w:r>
      <w:r>
        <w:t xml:space="preserve">ive further PSED repair period, see from paragraph </w:t>
      </w:r>
      <w:r>
        <w:fldChar w:fldCharType="begin"/>
      </w:r>
      <w:r>
        <w:instrText xml:space="preserve"> REF _Ref47008676 \r \h </w:instrText>
      </w:r>
      <w:r>
        <w:fldChar w:fldCharType="separate"/>
      </w:r>
      <w:r w:rsidR="00C21C6D">
        <w:t>7.43</w:t>
      </w:r>
      <w:r>
        <w:fldChar w:fldCharType="end"/>
      </w:r>
    </w:p>
    <w:p w14:paraId="482C912B" w14:textId="51198EF2" w:rsidR="000401D6" w:rsidRDefault="000401D6" w:rsidP="008F1AC8">
      <w:pPr>
        <w:pStyle w:val="Text-Numbered"/>
        <w:numPr>
          <w:ilvl w:val="0"/>
          <w:numId w:val="71"/>
        </w:numPr>
      </w:pPr>
      <w:r w:rsidRPr="0064181D">
        <w:t>the indicative base annual PSED allowance</w:t>
      </w:r>
      <w:r>
        <w:t xml:space="preserve">, see from paragraph </w:t>
      </w:r>
      <w:r>
        <w:fldChar w:fldCharType="begin"/>
      </w:r>
      <w:r>
        <w:instrText xml:space="preserve"> REF _Ref47008711 \r \h </w:instrText>
      </w:r>
      <w:r>
        <w:fldChar w:fldCharType="separate"/>
      </w:r>
      <w:r w:rsidR="00C21C6D">
        <w:t>7.45</w:t>
      </w:r>
      <w:r>
        <w:fldChar w:fldCharType="end"/>
      </w:r>
      <w:r>
        <w:t xml:space="preserve"> </w:t>
      </w:r>
      <w:r w:rsidRPr="0064181D">
        <w:t xml:space="preserve">and </w:t>
      </w:r>
    </w:p>
    <w:p w14:paraId="70CA0485" w14:textId="419D9726" w:rsidR="000401D6" w:rsidRPr="0064181D" w:rsidRDefault="000401D6" w:rsidP="008F1AC8">
      <w:pPr>
        <w:pStyle w:val="Text-Numbered"/>
        <w:numPr>
          <w:ilvl w:val="0"/>
          <w:numId w:val="71"/>
        </w:numPr>
      </w:pPr>
      <w:r w:rsidRPr="0064181D">
        <w:t>its proposal for Base Annual PSED Allowances</w:t>
      </w:r>
      <w:r>
        <w:t xml:space="preserve">, see from paragraph </w:t>
      </w:r>
      <w:r>
        <w:fldChar w:fldCharType="begin"/>
      </w:r>
      <w:r>
        <w:instrText xml:space="preserve"> REF _Ref47003654 \r \h </w:instrText>
      </w:r>
      <w:r>
        <w:fldChar w:fldCharType="separate"/>
      </w:r>
      <w:r w:rsidR="00C21C6D">
        <w:t>7.47</w:t>
      </w:r>
      <w:r>
        <w:fldChar w:fldCharType="end"/>
      </w:r>
      <w:r>
        <w:t>.</w:t>
      </w:r>
    </w:p>
    <w:p w14:paraId="111C63B9" w14:textId="77777777" w:rsidR="000401D6" w:rsidRPr="0064181D" w:rsidRDefault="000401D6" w:rsidP="000401D6">
      <w:pPr>
        <w:pStyle w:val="Paragrapgh"/>
        <w:spacing w:after="120"/>
        <w:rPr>
          <w:i/>
        </w:rPr>
      </w:pPr>
      <w:r w:rsidRPr="0064181D">
        <w:rPr>
          <w:i/>
        </w:rPr>
        <w:t>Indicative further PSED repair period</w:t>
      </w:r>
    </w:p>
    <w:p w14:paraId="092A57FF" w14:textId="04498CE4" w:rsidR="000401D6" w:rsidRPr="0064181D" w:rsidRDefault="000401D6" w:rsidP="000401D6">
      <w:pPr>
        <w:pStyle w:val="Paragraph"/>
        <w:tabs>
          <w:tab w:val="clear" w:pos="1105"/>
          <w:tab w:val="num" w:pos="680"/>
        </w:tabs>
        <w:ind w:left="0"/>
      </w:pPr>
      <w:bookmarkStart w:id="233" w:name="_Ref47008676"/>
      <w:r w:rsidRPr="0064181D">
        <w:t xml:space="preserve">The indicative further PSED repair period represents a number of years (not necessarily a whole number) from the valuation date specified in </w:t>
      </w:r>
      <w:r w:rsidR="005E166B">
        <w:fldChar w:fldCharType="begin"/>
      </w:r>
      <w:r w:rsidR="005E166B">
        <w:instrText xml:space="preserve"> REF _Ref49870226 \h </w:instrText>
      </w:r>
      <w:r w:rsidR="005E166B">
        <w:fldChar w:fldCharType="separate"/>
      </w:r>
      <w:r w:rsidR="00C21C6D">
        <w:t>Table 7.1</w:t>
      </w:r>
      <w:r w:rsidR="005E166B">
        <w:fldChar w:fldCharType="end"/>
      </w:r>
      <w:r w:rsidRPr="0064181D">
        <w:t xml:space="preserve"> and is ascertained by taking the number of years that is the lower of:</w:t>
      </w:r>
      <w:bookmarkEnd w:id="233"/>
    </w:p>
    <w:p w14:paraId="387E966C" w14:textId="77777777" w:rsidR="000401D6" w:rsidRPr="0064181D" w:rsidRDefault="000401D6" w:rsidP="008F1AC8">
      <w:pPr>
        <w:pStyle w:val="Text-Numbered"/>
        <w:numPr>
          <w:ilvl w:val="0"/>
          <w:numId w:val="54"/>
        </w:numPr>
      </w:pPr>
      <w:bookmarkStart w:id="234" w:name="_Ref47023113"/>
      <w:r w:rsidRPr="0064181D">
        <w:t>the value irp, where irp is calculated using the following formula:</w:t>
      </w:r>
      <w:bookmarkEnd w:id="234"/>
    </w:p>
    <w:p w14:paraId="6B5D7D55" w14:textId="77777777" w:rsidR="000401D6" w:rsidRPr="0064181D" w:rsidRDefault="000401D6" w:rsidP="000401D6">
      <w:pPr>
        <w:pStyle w:val="Text-bulleted"/>
        <w:numPr>
          <w:ilvl w:val="0"/>
          <w:numId w:val="0"/>
        </w:numPr>
        <w:tabs>
          <w:tab w:val="clear" w:pos="2581"/>
        </w:tabs>
        <w:spacing w:after="120"/>
        <w:ind w:left="1695"/>
        <w:rPr>
          <w:rFonts w:ascii="Cambria Math" w:hAnsi="Cambria Math"/>
          <w:i/>
          <w:sz w:val="24"/>
          <w:lang w:val="de-LU"/>
        </w:rPr>
      </w:pPr>
      <m:oMathPara>
        <m:oMath>
          <m:r>
            <w:rPr>
              <w:rFonts w:ascii="Cambria Math" w:hAnsi="Cambria Math" w:cs="Cambria Math"/>
              <w:sz w:val="24"/>
            </w:rPr>
            <m:t>irp</m:t>
          </m:r>
          <m:r>
            <w:rPr>
              <w:rFonts w:ascii="Cambria Math" w:hAnsi="Cambria Math" w:cs="Cambria Math"/>
              <w:sz w:val="24"/>
              <w:lang w:val="de-LU"/>
            </w:rPr>
            <m:t>=</m:t>
          </m:r>
          <m:f>
            <m:fPr>
              <m:ctrlPr>
                <w:rPr>
                  <w:rFonts w:ascii="Cambria Math" w:hAnsi="Cambria Math"/>
                  <w:i/>
                  <w:sz w:val="24"/>
                </w:rPr>
              </m:ctrlPr>
            </m:fPr>
            <m:num>
              <m:r>
                <w:rPr>
                  <w:rFonts w:ascii="Cambria Math" w:hAnsi="Cambria Math" w:cs="Cambria Math"/>
                  <w:sz w:val="24"/>
                  <w:lang w:val="de-LU"/>
                </w:rPr>
                <m:t>-</m:t>
              </m:r>
              <m:r>
                <m:rPr>
                  <m:nor/>
                </m:rPr>
                <w:rPr>
                  <w:rFonts w:ascii="Cambria Math" w:hAnsi="Cambria Math"/>
                  <w:i/>
                  <w:sz w:val="24"/>
                  <w:lang w:val="de-LU"/>
                </w:rPr>
                <m:t>LN</m:t>
              </m:r>
              <m:r>
                <w:rPr>
                  <w:rFonts w:ascii="Cambria Math" w:hAnsi="Cambria Math"/>
                  <w:sz w:val="24"/>
                  <w:lang w:val="de-LU"/>
                </w:rPr>
                <m:t xml:space="preserve"> </m:t>
              </m:r>
              <m:d>
                <m:dPr>
                  <m:ctrlPr>
                    <w:rPr>
                      <w:rFonts w:ascii="Cambria Math" w:hAnsi="Cambria Math"/>
                      <w:i/>
                      <w:sz w:val="24"/>
                    </w:rPr>
                  </m:ctrlPr>
                </m:dPr>
                <m:e>
                  <m:r>
                    <w:rPr>
                      <w:rFonts w:ascii="Cambria Math" w:hAnsi="Cambria Math"/>
                      <w:sz w:val="24"/>
                      <w:lang w:val="de-LU"/>
                    </w:rPr>
                    <m:t>1-</m:t>
                  </m:r>
                  <m:r>
                    <w:rPr>
                      <w:rFonts w:ascii="Cambria Math" w:hAnsi="Cambria Math"/>
                      <w:sz w:val="24"/>
                    </w:rPr>
                    <m:t>LN</m:t>
                  </m:r>
                  <m:d>
                    <m:dPr>
                      <m:ctrlPr>
                        <w:rPr>
                          <w:rFonts w:ascii="Cambria Math" w:hAnsi="Cambria Math"/>
                          <w:i/>
                          <w:sz w:val="24"/>
                        </w:rPr>
                      </m:ctrlPr>
                    </m:dPr>
                    <m:e>
                      <m:r>
                        <w:rPr>
                          <w:rFonts w:ascii="Cambria Math" w:hAnsi="Cambria Math"/>
                          <w:sz w:val="24"/>
                          <w:lang w:val="de-LU"/>
                        </w:rPr>
                        <m:t>1+</m:t>
                      </m:r>
                      <m:r>
                        <w:rPr>
                          <w:rFonts w:ascii="Cambria Math" w:hAnsi="Cambria Math"/>
                          <w:sz w:val="24"/>
                        </w:rPr>
                        <m:t>DR</m:t>
                      </m:r>
                    </m:e>
                  </m:d>
                  <m:r>
                    <w:rPr>
                      <w:rFonts w:ascii="Cambria Math" w:hAnsi="Cambria Math"/>
                      <w:sz w:val="24"/>
                      <w:lang w:val="de-LU"/>
                    </w:rPr>
                    <m:t>×</m:t>
                  </m:r>
                  <m:f>
                    <m:fPr>
                      <m:ctrlPr>
                        <w:rPr>
                          <w:rFonts w:ascii="Cambria Math" w:hAnsi="Cambria Math"/>
                          <w:i/>
                          <w:sz w:val="24"/>
                        </w:rPr>
                      </m:ctrlPr>
                    </m:fPr>
                    <m:num>
                      <m:r>
                        <w:rPr>
                          <w:rFonts w:ascii="Cambria Math" w:hAnsi="Cambria Math"/>
                          <w:sz w:val="24"/>
                        </w:rPr>
                        <m:t>PSED</m:t>
                      </m:r>
                    </m:num>
                    <m:den>
                      <m:r>
                        <w:rPr>
                          <w:rFonts w:ascii="Cambria Math" w:hAnsi="Cambria Math"/>
                          <w:sz w:val="24"/>
                        </w:rPr>
                        <m:t>EBAPA</m:t>
                      </m:r>
                    </m:den>
                  </m:f>
                </m:e>
              </m:d>
            </m:num>
            <m:den>
              <m:r>
                <w:rPr>
                  <w:rFonts w:ascii="Cambria Math" w:hAnsi="Cambria Math" w:cs="Cambria Math"/>
                  <w:sz w:val="24"/>
                </w:rPr>
                <m:t>LN</m:t>
              </m:r>
              <m:r>
                <w:rPr>
                  <w:rFonts w:ascii="Cambria Math" w:hAnsi="Cambria Math" w:cs="Cambria Math"/>
                  <w:sz w:val="24"/>
                  <w:lang w:val="de-LU"/>
                </w:rPr>
                <m:t>(1+</m:t>
              </m:r>
              <m:r>
                <w:rPr>
                  <w:rFonts w:ascii="Cambria Math" w:hAnsi="Cambria Math" w:cs="Cambria Math"/>
                  <w:sz w:val="24"/>
                </w:rPr>
                <m:t>DR</m:t>
              </m:r>
              <m:r>
                <w:rPr>
                  <w:rFonts w:ascii="Cambria Math" w:hAnsi="Cambria Math" w:cs="Cambria Math"/>
                  <w:sz w:val="24"/>
                  <w:lang w:val="de-LU"/>
                </w:rPr>
                <m:t>)</m:t>
              </m:r>
            </m:den>
          </m:f>
        </m:oMath>
      </m:oMathPara>
    </w:p>
    <w:p w14:paraId="7C9E0662" w14:textId="77777777" w:rsidR="000401D6" w:rsidRPr="0064181D" w:rsidRDefault="000401D6" w:rsidP="000401D6">
      <w:pPr>
        <w:pStyle w:val="Text-bulleted"/>
        <w:numPr>
          <w:ilvl w:val="0"/>
          <w:numId w:val="0"/>
        </w:numPr>
        <w:tabs>
          <w:tab w:val="clear" w:pos="2581"/>
        </w:tabs>
        <w:spacing w:after="120"/>
        <w:ind w:left="1695"/>
      </w:pPr>
      <w:r w:rsidRPr="0064181D">
        <w:t>where:</w:t>
      </w:r>
    </w:p>
    <w:p w14:paraId="5567DC01" w14:textId="2201FDF8" w:rsidR="000401D6" w:rsidRPr="0064181D" w:rsidRDefault="000401D6" w:rsidP="000401D6">
      <w:pPr>
        <w:pStyle w:val="Text-bulleted"/>
        <w:numPr>
          <w:ilvl w:val="0"/>
          <w:numId w:val="0"/>
        </w:numPr>
        <w:tabs>
          <w:tab w:val="clear" w:pos="2581"/>
        </w:tabs>
        <w:spacing w:after="120"/>
        <w:ind w:left="1695"/>
      </w:pPr>
      <w:r w:rsidRPr="0064181D">
        <w:t xml:space="preserve">PSED is defined in paragraph </w:t>
      </w:r>
      <w:r>
        <w:fldChar w:fldCharType="begin"/>
      </w:r>
      <w:r>
        <w:instrText xml:space="preserve"> REF _Ref47001896 \r \h </w:instrText>
      </w:r>
      <w:r>
        <w:fldChar w:fldCharType="separate"/>
      </w:r>
      <w:r w:rsidR="00C21C6D">
        <w:t>7.7</w:t>
      </w:r>
      <w:r>
        <w:fldChar w:fldCharType="end"/>
      </w:r>
      <w:r w:rsidR="005057DB">
        <w:t xml:space="preserve"> </w:t>
      </w:r>
      <w:r>
        <w:fldChar w:fldCharType="begin"/>
      </w:r>
      <w:r>
        <w:instrText xml:space="preserve"> REF _Ref47001890 \r \h </w:instrText>
      </w:r>
      <w:r>
        <w:fldChar w:fldCharType="separate"/>
      </w:r>
      <w:r w:rsidR="00C21C6D">
        <w:t>b)</w:t>
      </w:r>
      <w:r>
        <w:fldChar w:fldCharType="end"/>
      </w:r>
      <w:r w:rsidRPr="0064181D">
        <w:t xml:space="preserve">, expressed in </w:t>
      </w:r>
      <w:r>
        <w:t xml:space="preserve">2018/19 price </w:t>
      </w:r>
      <w:r w:rsidRPr="0064181D">
        <w:t>terms</w:t>
      </w:r>
    </w:p>
    <w:p w14:paraId="0C6FFCB1" w14:textId="77777777" w:rsidR="000401D6" w:rsidRPr="0064181D" w:rsidRDefault="000401D6" w:rsidP="000401D6">
      <w:pPr>
        <w:pStyle w:val="Text-bulleted"/>
        <w:numPr>
          <w:ilvl w:val="0"/>
          <w:numId w:val="0"/>
        </w:numPr>
        <w:tabs>
          <w:tab w:val="clear" w:pos="2581"/>
        </w:tabs>
        <w:spacing w:after="120"/>
        <w:ind w:left="1695"/>
      </w:pPr>
      <w:r w:rsidRPr="0064181D">
        <w:t>LN returns the natural logarithm of the value to which it is applied</w:t>
      </w:r>
    </w:p>
    <w:p w14:paraId="3F3DBC1C" w14:textId="52D69028" w:rsidR="000401D6" w:rsidRPr="0064181D" w:rsidRDefault="000401D6" w:rsidP="000401D6">
      <w:pPr>
        <w:pStyle w:val="Text-bulleted"/>
        <w:numPr>
          <w:ilvl w:val="0"/>
          <w:numId w:val="0"/>
        </w:numPr>
        <w:tabs>
          <w:tab w:val="clear" w:pos="2581"/>
        </w:tabs>
        <w:spacing w:after="120"/>
        <w:ind w:left="1695"/>
      </w:pPr>
      <w:r w:rsidRPr="0064181D">
        <w:t xml:space="preserve">DR is an annual real (inflation-adjusted) discount rate specified in or justified with reference to the licensee’s Scheme Valuation Data Set (established in accordance with Principle 4 - see paragraph </w:t>
      </w:r>
      <w:r>
        <w:fldChar w:fldCharType="begin"/>
      </w:r>
      <w:r>
        <w:instrText xml:space="preserve"> REF _Ref47008429 \r \h </w:instrText>
      </w:r>
      <w:r>
        <w:fldChar w:fldCharType="separate"/>
      </w:r>
      <w:r w:rsidR="00C21C6D">
        <w:t>7.6</w:t>
      </w:r>
      <w:r>
        <w:fldChar w:fldCharType="end"/>
      </w:r>
      <w:r w:rsidRPr="0064181D">
        <w:t>), and</w:t>
      </w:r>
    </w:p>
    <w:p w14:paraId="3E6665A6" w14:textId="685C7631" w:rsidR="000401D6" w:rsidRPr="0064181D" w:rsidRDefault="000401D6" w:rsidP="000401D6">
      <w:pPr>
        <w:pStyle w:val="Text-bulleted"/>
        <w:numPr>
          <w:ilvl w:val="0"/>
          <w:numId w:val="0"/>
        </w:numPr>
        <w:tabs>
          <w:tab w:val="clear" w:pos="2581"/>
        </w:tabs>
        <w:spacing w:after="120"/>
        <w:ind w:left="1695"/>
      </w:pPr>
      <w:r w:rsidRPr="0064181D">
        <w:t xml:space="preserve">EBAPA is an average of the Base Annual PSED Allowance expressed in </w:t>
      </w:r>
      <w:r>
        <w:t xml:space="preserve">2018/19 price </w:t>
      </w:r>
      <w:r w:rsidRPr="0064181D">
        <w:t xml:space="preserve">terms for years rr-1 and rr, where the year rr is the regulatory year specified in </w:t>
      </w:r>
      <w:r w:rsidR="005E166B">
        <w:fldChar w:fldCharType="begin"/>
      </w:r>
      <w:r w:rsidR="005E166B">
        <w:instrText xml:space="preserve"> REF _Ref49870226 \h </w:instrText>
      </w:r>
      <w:r w:rsidR="005E166B">
        <w:fldChar w:fldCharType="separate"/>
      </w:r>
      <w:r w:rsidR="00C21C6D">
        <w:t>Table 7.1</w:t>
      </w:r>
      <w:r w:rsidR="005E166B">
        <w:fldChar w:fldCharType="end"/>
      </w:r>
      <w:r w:rsidRPr="0064181D">
        <w:t xml:space="preserve"> for the relevant Reasonableness Review.</w:t>
      </w:r>
    </w:p>
    <w:p w14:paraId="79566539" w14:textId="77777777" w:rsidR="000401D6" w:rsidRPr="0064181D" w:rsidRDefault="000401D6" w:rsidP="000401D6">
      <w:pPr>
        <w:pStyle w:val="Text-bulleted"/>
        <w:numPr>
          <w:ilvl w:val="0"/>
          <w:numId w:val="0"/>
        </w:numPr>
        <w:tabs>
          <w:tab w:val="clear" w:pos="2581"/>
        </w:tabs>
        <w:spacing w:after="120"/>
        <w:ind w:left="1134"/>
      </w:pPr>
      <w:r w:rsidRPr="0064181D">
        <w:t>and</w:t>
      </w:r>
    </w:p>
    <w:p w14:paraId="02762656" w14:textId="77777777" w:rsidR="000401D6" w:rsidRPr="0064181D" w:rsidRDefault="000401D6" w:rsidP="008F1AC8">
      <w:pPr>
        <w:pStyle w:val="Text-Numbered"/>
        <w:numPr>
          <w:ilvl w:val="0"/>
          <w:numId w:val="54"/>
        </w:numPr>
      </w:pPr>
      <w:r w:rsidRPr="0064181D">
        <w:t>15.</w:t>
      </w:r>
    </w:p>
    <w:p w14:paraId="09A950A4" w14:textId="77777777" w:rsidR="000401D6" w:rsidRPr="0064181D" w:rsidRDefault="000401D6" w:rsidP="00A71FEB">
      <w:pPr>
        <w:pStyle w:val="Text-bulleted"/>
        <w:numPr>
          <w:ilvl w:val="0"/>
          <w:numId w:val="0"/>
        </w:numPr>
        <w:tabs>
          <w:tab w:val="clear" w:pos="2581"/>
        </w:tabs>
        <w:spacing w:after="120"/>
        <w:ind w:left="360"/>
      </w:pPr>
      <w:r w:rsidRPr="0064181D">
        <w:t>In the event that the PSED is negative, irp is set to zero.</w:t>
      </w:r>
    </w:p>
    <w:p w14:paraId="3F875B2D" w14:textId="77777777" w:rsidR="000401D6" w:rsidRPr="0064181D" w:rsidRDefault="000401D6" w:rsidP="000401D6">
      <w:pPr>
        <w:pStyle w:val="Paragrapgh"/>
        <w:spacing w:before="120" w:after="0"/>
        <w:ind w:left="720"/>
      </w:pPr>
    </w:p>
    <w:p w14:paraId="46C1B5A3" w14:textId="77777777" w:rsidR="000401D6" w:rsidRPr="0064181D" w:rsidRDefault="000401D6" w:rsidP="000401D6">
      <w:pPr>
        <w:pStyle w:val="Paragraph"/>
        <w:tabs>
          <w:tab w:val="clear" w:pos="1105"/>
          <w:tab w:val="num" w:pos="680"/>
        </w:tabs>
        <w:ind w:left="0"/>
      </w:pPr>
      <w:r w:rsidRPr="0064181D">
        <w:lastRenderedPageBreak/>
        <w:t>For example, if the discount rate was 2%, the PSED was £1m and the EBAPA value was £100k, then the Indicative further PSED repair period would be 11.14 years, being the lower of:</w:t>
      </w:r>
    </w:p>
    <w:p w14:paraId="10621924" w14:textId="41AA36D1" w:rsidR="000401D6" w:rsidRPr="0064181D" w:rsidRDefault="000401D6" w:rsidP="008F1AC8">
      <w:pPr>
        <w:pStyle w:val="Text-Numbered"/>
        <w:numPr>
          <w:ilvl w:val="0"/>
          <w:numId w:val="55"/>
        </w:numPr>
      </w:pPr>
      <w:r w:rsidRPr="0064181D">
        <w:t xml:space="preserve">11.14, calculated under the formula at paragraph </w:t>
      </w:r>
      <w:r>
        <w:fldChar w:fldCharType="begin"/>
      </w:r>
      <w:r>
        <w:instrText xml:space="preserve"> REF _Ref47008676 \r \h </w:instrText>
      </w:r>
      <w:r>
        <w:fldChar w:fldCharType="separate"/>
      </w:r>
      <w:r w:rsidR="00C21C6D">
        <w:t>7.43</w:t>
      </w:r>
      <w:r>
        <w:fldChar w:fldCharType="end"/>
      </w:r>
      <w:r>
        <w:fldChar w:fldCharType="begin"/>
      </w:r>
      <w:r>
        <w:instrText xml:space="preserve"> REF _Ref47023113 \r \h </w:instrText>
      </w:r>
      <w:r>
        <w:fldChar w:fldCharType="separate"/>
      </w:r>
      <w:r w:rsidR="00C21C6D">
        <w:t>a)</w:t>
      </w:r>
      <w:r>
        <w:fldChar w:fldCharType="end"/>
      </w:r>
      <w:r w:rsidRPr="0064181D">
        <w:t>, and</w:t>
      </w:r>
    </w:p>
    <w:p w14:paraId="1E6B3546" w14:textId="77777777" w:rsidR="000401D6" w:rsidRPr="0064181D" w:rsidRDefault="000401D6" w:rsidP="008F1AC8">
      <w:pPr>
        <w:pStyle w:val="Text-Numbered"/>
        <w:numPr>
          <w:ilvl w:val="0"/>
          <w:numId w:val="55"/>
        </w:numPr>
      </w:pPr>
      <w:r w:rsidRPr="0064181D">
        <w:t>15.</w:t>
      </w:r>
    </w:p>
    <w:p w14:paraId="11E784F1" w14:textId="77777777" w:rsidR="000401D6" w:rsidRPr="0064181D" w:rsidRDefault="000401D6" w:rsidP="000401D6">
      <w:pPr>
        <w:pStyle w:val="Paragrapgh"/>
        <w:keepNext/>
        <w:rPr>
          <w:i/>
        </w:rPr>
      </w:pPr>
      <w:r w:rsidRPr="0064181D">
        <w:rPr>
          <w:i/>
        </w:rPr>
        <w:t>Indicative Base Annual PSED Allowance</w:t>
      </w:r>
    </w:p>
    <w:p w14:paraId="79E3C21A" w14:textId="77777777" w:rsidR="000401D6" w:rsidRPr="0064181D" w:rsidRDefault="000401D6" w:rsidP="000401D6">
      <w:pPr>
        <w:pStyle w:val="Paragraph"/>
        <w:tabs>
          <w:tab w:val="clear" w:pos="1105"/>
          <w:tab w:val="num" w:pos="680"/>
        </w:tabs>
        <w:ind w:left="0"/>
      </w:pPr>
      <w:bookmarkStart w:id="235" w:name="_Ref47008711"/>
      <w:r w:rsidRPr="0064181D">
        <w:t>The indicative amount for the Base Annual PSED Allowance, IBAPA,</w:t>
      </w:r>
      <w:r w:rsidRPr="0064181D" w:rsidDel="00C97A0A">
        <w:t xml:space="preserve"> </w:t>
      </w:r>
      <w:r w:rsidRPr="0064181D">
        <w:t>is zero if PSED is negative but is otherwise ascertained using the following formula:</w:t>
      </w:r>
      <w:bookmarkEnd w:id="235"/>
    </w:p>
    <w:p w14:paraId="319A5442" w14:textId="77777777" w:rsidR="000401D6" w:rsidRPr="00A47831" w:rsidRDefault="000401D6" w:rsidP="00CA5F65">
      <w:pPr>
        <w:pStyle w:val="Text-Numbered"/>
        <w:numPr>
          <w:ilvl w:val="0"/>
          <w:numId w:val="0"/>
        </w:numPr>
        <w:ind w:left="720" w:hanging="360"/>
      </w:pPr>
      <m:oMathPara>
        <m:oMath>
          <m:r>
            <w:rPr>
              <w:rFonts w:ascii="Cambria Math" w:hAnsi="Cambria Math"/>
            </w:rPr>
            <m:t>IBAPA</m:t>
          </m:r>
          <m:r>
            <m:rPr>
              <m:sty m:val="p"/>
            </m:rPr>
            <w:rPr>
              <w:rFonts w:ascii="Cambria Math" w:hAnsi="Cambria Math"/>
            </w:rPr>
            <m:t>=</m:t>
          </m:r>
          <m:r>
            <w:rPr>
              <w:rFonts w:ascii="Cambria Math" w:hAnsi="Cambria Math"/>
            </w:rPr>
            <m:t>PSED</m:t>
          </m:r>
          <m:f>
            <m:fPr>
              <m:ctrlPr>
                <w:rPr>
                  <w:rFonts w:ascii="Cambria Math" w:hAnsi="Cambria Math"/>
                </w:rPr>
              </m:ctrlPr>
            </m:fPr>
            <m:num>
              <m:r>
                <w:rPr>
                  <w:rFonts w:ascii="Cambria Math" w:hAnsi="Cambria Math"/>
                </w:rPr>
                <m:t>LN</m:t>
              </m:r>
              <m:d>
                <m:dPr>
                  <m:ctrlPr>
                    <w:rPr>
                      <w:rFonts w:ascii="Cambria Math" w:hAnsi="Cambria Math"/>
                    </w:rPr>
                  </m:ctrlPr>
                </m:dPr>
                <m:e>
                  <m:r>
                    <m:rPr>
                      <m:sty m:val="p"/>
                    </m:rPr>
                    <w:rPr>
                      <w:rFonts w:ascii="Cambria Math" w:hAnsi="Cambria Math"/>
                    </w:rPr>
                    <m:t>1+</m:t>
                  </m:r>
                  <m:r>
                    <w:rPr>
                      <w:rFonts w:ascii="Cambria Math" w:hAnsi="Cambria Math"/>
                    </w:rPr>
                    <m:t>DR</m:t>
                  </m:r>
                </m:e>
              </m:d>
            </m:num>
            <m:den>
              <m:r>
                <m:rPr>
                  <m:sty m:val="p"/>
                </m:rPr>
                <w:rPr>
                  <w:rFonts w:ascii="Cambria Math" w:hAnsi="Cambria Math"/>
                </w:rPr>
                <m:t>1-</m:t>
              </m:r>
              <m:sSup>
                <m:sSupPr>
                  <m:ctrlPr>
                    <w:rPr>
                      <w:rFonts w:ascii="Cambria Math" w:hAnsi="Cambria Math"/>
                    </w:rPr>
                  </m:ctrlPr>
                </m:sSupPr>
                <m:e>
                  <m:d>
                    <m:dPr>
                      <m:ctrlPr>
                        <w:rPr>
                          <w:rFonts w:ascii="Cambria Math" w:hAnsi="Cambria Math"/>
                        </w:rPr>
                      </m:ctrlPr>
                    </m:dPr>
                    <m:e>
                      <m:r>
                        <m:rPr>
                          <m:sty m:val="p"/>
                        </m:rPr>
                        <w:rPr>
                          <w:rFonts w:ascii="Cambria Math" w:hAnsi="Cambria Math"/>
                        </w:rPr>
                        <m:t>1+</m:t>
                      </m:r>
                      <m:r>
                        <w:rPr>
                          <w:rFonts w:ascii="Cambria Math" w:hAnsi="Cambria Math"/>
                        </w:rPr>
                        <m:t>DR</m:t>
                      </m:r>
                    </m:e>
                  </m:d>
                </m:e>
                <m:sup>
                  <m:r>
                    <m:rPr>
                      <m:sty m:val="p"/>
                    </m:rPr>
                    <w:rPr>
                      <w:rFonts w:ascii="Cambria Math" w:hAnsi="Cambria Math"/>
                    </w:rPr>
                    <m:t xml:space="preserve"> -</m:t>
                  </m:r>
                  <m:r>
                    <w:rPr>
                      <w:rFonts w:ascii="Cambria Math" w:hAnsi="Cambria Math"/>
                    </w:rPr>
                    <m:t>irp</m:t>
                  </m:r>
                </m:sup>
              </m:sSup>
            </m:den>
          </m:f>
        </m:oMath>
      </m:oMathPara>
    </w:p>
    <w:p w14:paraId="089F48B6" w14:textId="77777777" w:rsidR="000401D6" w:rsidRPr="0064181D" w:rsidRDefault="000401D6" w:rsidP="00CA5F65">
      <w:pPr>
        <w:pStyle w:val="Text-Numbered"/>
        <w:numPr>
          <w:ilvl w:val="0"/>
          <w:numId w:val="0"/>
        </w:numPr>
        <w:ind w:left="360"/>
      </w:pPr>
      <w:r w:rsidRPr="0064181D">
        <w:t>where:</w:t>
      </w:r>
    </w:p>
    <w:p w14:paraId="61B534B3" w14:textId="0C8FE511" w:rsidR="000401D6" w:rsidRPr="0064181D" w:rsidRDefault="000401D6" w:rsidP="00CA5F65">
      <w:pPr>
        <w:pStyle w:val="Text-Numbered"/>
        <w:numPr>
          <w:ilvl w:val="0"/>
          <w:numId w:val="0"/>
        </w:numPr>
        <w:ind w:left="720"/>
      </w:pPr>
      <w:r w:rsidRPr="0064181D">
        <w:t xml:space="preserve">irp is the indicative further PSED repair period ascertained under paragraph </w:t>
      </w:r>
      <w:r>
        <w:fldChar w:fldCharType="begin"/>
      </w:r>
      <w:r>
        <w:instrText xml:space="preserve"> REF _Ref47008676 \r \h </w:instrText>
      </w:r>
      <w:r>
        <w:fldChar w:fldCharType="separate"/>
      </w:r>
      <w:r w:rsidR="00C21C6D">
        <w:t>7.43</w:t>
      </w:r>
      <w:r>
        <w:fldChar w:fldCharType="end"/>
      </w:r>
      <w:r>
        <w:t>.</w:t>
      </w:r>
    </w:p>
    <w:p w14:paraId="7FB394E9" w14:textId="77777777" w:rsidR="000401D6" w:rsidRPr="0064181D" w:rsidRDefault="000401D6" w:rsidP="000401D6">
      <w:pPr>
        <w:pStyle w:val="Paragraph"/>
        <w:tabs>
          <w:tab w:val="clear" w:pos="1105"/>
          <w:tab w:val="num" w:pos="680"/>
        </w:tabs>
        <w:ind w:left="0"/>
      </w:pPr>
      <w:r w:rsidRPr="0064181D">
        <w:t>For example, if the PSED was £1m in 2012/13 prices, the Indicative further PSED repair period was 11.14 years, and the discount rate was 2%, the indicative Base Annual PSED Allowance would be £100k. IBAPA will equal EBAPA unless irp is limited to 15.</w:t>
      </w:r>
    </w:p>
    <w:p w14:paraId="27649F57" w14:textId="77777777" w:rsidR="000401D6" w:rsidRPr="00F64C59" w:rsidRDefault="000401D6" w:rsidP="000401D6">
      <w:pPr>
        <w:pStyle w:val="Paragrapgh"/>
        <w:spacing w:after="120"/>
        <w:rPr>
          <w:i/>
        </w:rPr>
      </w:pPr>
      <w:r w:rsidRPr="00F64C59">
        <w:rPr>
          <w:i/>
        </w:rPr>
        <w:t>Proposal for Base Annual PSED Allowances</w:t>
      </w:r>
    </w:p>
    <w:p w14:paraId="5A418746" w14:textId="4289739A" w:rsidR="000401D6" w:rsidRPr="0064181D" w:rsidRDefault="000401D6" w:rsidP="000401D6">
      <w:pPr>
        <w:pStyle w:val="Paragraph"/>
        <w:tabs>
          <w:tab w:val="clear" w:pos="1105"/>
          <w:tab w:val="num" w:pos="680"/>
        </w:tabs>
        <w:ind w:left="0"/>
      </w:pPr>
      <w:bookmarkStart w:id="236" w:name="_Ref47003654"/>
      <w:r w:rsidRPr="0064181D">
        <w:t xml:space="preserve">Subject to its consideration of the factors set out in subparagraphs (a) to (d) below, the licensee may propose allowances in line with the Indicative Base Annual PSED Allowance calculated under paragraph </w:t>
      </w:r>
      <w:r>
        <w:fldChar w:fldCharType="begin"/>
      </w:r>
      <w:r>
        <w:instrText xml:space="preserve"> REF _Ref47008711 \r \h </w:instrText>
      </w:r>
      <w:r>
        <w:fldChar w:fldCharType="separate"/>
      </w:r>
      <w:r w:rsidR="00C21C6D">
        <w:t>7.45</w:t>
      </w:r>
      <w:r>
        <w:fldChar w:fldCharType="end"/>
      </w:r>
      <w:r w:rsidRPr="0064181D">
        <w:t xml:space="preserve">. The licensee </w:t>
      </w:r>
      <w:r w:rsidR="009E36CD">
        <w:t>may</w:t>
      </w:r>
      <w:r w:rsidRPr="0064181D">
        <w:t xml:space="preserve"> propose, with its supporting rationale, an alternative profile of Base Annual PSED Allowances over a repair period that may be shorter or longer than the period determined by paragraph </w:t>
      </w:r>
      <w:r>
        <w:fldChar w:fldCharType="begin"/>
      </w:r>
      <w:r>
        <w:instrText xml:space="preserve"> REF _Ref47008676 \r \h </w:instrText>
      </w:r>
      <w:r>
        <w:fldChar w:fldCharType="separate"/>
      </w:r>
      <w:r w:rsidR="00C21C6D">
        <w:t>7.43</w:t>
      </w:r>
      <w:r>
        <w:fldChar w:fldCharType="end"/>
      </w:r>
      <w:r w:rsidRPr="0064181D">
        <w:t xml:space="preserve"> if it considers that the indicative Base Annual PSED Allowance calculated by paragraph </w:t>
      </w:r>
      <w:r>
        <w:fldChar w:fldCharType="begin"/>
      </w:r>
      <w:r>
        <w:instrText xml:space="preserve"> REF _Ref47008711 \r \h </w:instrText>
      </w:r>
      <w:r>
        <w:fldChar w:fldCharType="separate"/>
      </w:r>
      <w:r w:rsidR="00C21C6D">
        <w:t>7.45</w:t>
      </w:r>
      <w:r>
        <w:fldChar w:fldCharType="end"/>
      </w:r>
      <w:r w:rsidRPr="0064181D">
        <w:t xml:space="preserve"> above either:</w:t>
      </w:r>
      <w:bookmarkEnd w:id="236"/>
    </w:p>
    <w:p w14:paraId="1EEF6AE3" w14:textId="77777777" w:rsidR="000401D6" w:rsidRPr="0064181D" w:rsidRDefault="000401D6" w:rsidP="008F1AC8">
      <w:pPr>
        <w:pStyle w:val="Text-Numbered"/>
        <w:numPr>
          <w:ilvl w:val="0"/>
          <w:numId w:val="56"/>
        </w:numPr>
      </w:pPr>
      <w:r w:rsidRPr="0064181D">
        <w:t>does not fairly represent a profile of repair payments that can be agreed with the scheme trustees,</w:t>
      </w:r>
    </w:p>
    <w:p w14:paraId="61E453DD" w14:textId="77777777" w:rsidR="000401D6" w:rsidRPr="0064181D" w:rsidRDefault="000401D6" w:rsidP="008F1AC8">
      <w:pPr>
        <w:pStyle w:val="Text-Numbered"/>
        <w:numPr>
          <w:ilvl w:val="0"/>
          <w:numId w:val="56"/>
        </w:numPr>
      </w:pPr>
      <w:r w:rsidRPr="0064181D">
        <w:t xml:space="preserve">following consultation with the Authority, does not appropriately protect the interests of consumers, </w:t>
      </w:r>
    </w:p>
    <w:p w14:paraId="0F72377B" w14:textId="273806CA" w:rsidR="000401D6" w:rsidRPr="0064181D" w:rsidRDefault="000401D6" w:rsidP="008F1AC8">
      <w:pPr>
        <w:pStyle w:val="Text-Numbered"/>
        <w:numPr>
          <w:ilvl w:val="0"/>
          <w:numId w:val="56"/>
        </w:numPr>
      </w:pPr>
      <w:r w:rsidRPr="0064181D">
        <w:t xml:space="preserve">derives from an indicative further PSED repair period ascertained under paragraph </w:t>
      </w:r>
      <w:r>
        <w:fldChar w:fldCharType="begin"/>
      </w:r>
      <w:r>
        <w:instrText xml:space="preserve"> REF _Ref47008676 \r \h </w:instrText>
      </w:r>
      <w:r>
        <w:fldChar w:fldCharType="separate"/>
      </w:r>
      <w:r w:rsidR="00C21C6D">
        <w:t>7.43</w:t>
      </w:r>
      <w:r>
        <w:fldChar w:fldCharType="end"/>
      </w:r>
      <w:r w:rsidRPr="0064181D">
        <w:t xml:space="preserve"> which is less than 5 years, or</w:t>
      </w:r>
    </w:p>
    <w:p w14:paraId="2BC71644" w14:textId="77777777" w:rsidR="000401D6" w:rsidRPr="0064181D" w:rsidRDefault="000401D6" w:rsidP="008F1AC8">
      <w:pPr>
        <w:pStyle w:val="Text-Numbered"/>
        <w:numPr>
          <w:ilvl w:val="0"/>
          <w:numId w:val="56"/>
        </w:numPr>
      </w:pPr>
      <w:r w:rsidRPr="0064181D">
        <w:t>is otherwise inappropriate or inequitable.</w:t>
      </w:r>
    </w:p>
    <w:p w14:paraId="0FAE0B78" w14:textId="4CD3EF98" w:rsidR="000401D6" w:rsidRPr="0064181D" w:rsidRDefault="000401D6" w:rsidP="000401D6">
      <w:pPr>
        <w:pStyle w:val="Paragraph"/>
        <w:tabs>
          <w:tab w:val="clear" w:pos="1105"/>
          <w:tab w:val="num" w:pos="680"/>
        </w:tabs>
        <w:ind w:left="0"/>
      </w:pPr>
      <w:bookmarkStart w:id="237" w:name="_Ref47023980"/>
      <w:r w:rsidRPr="0064181D">
        <w:lastRenderedPageBreak/>
        <w:t xml:space="preserve">The alternative proposal under paragraph </w:t>
      </w:r>
      <w:r>
        <w:fldChar w:fldCharType="begin"/>
      </w:r>
      <w:r>
        <w:instrText xml:space="preserve"> REF _Ref47003654 \r \h </w:instrText>
      </w:r>
      <w:r>
        <w:fldChar w:fldCharType="separate"/>
      </w:r>
      <w:r w:rsidR="00C21C6D">
        <w:t>7.47</w:t>
      </w:r>
      <w:r>
        <w:fldChar w:fldCharType="end"/>
      </w:r>
      <w:r w:rsidRPr="0064181D">
        <w:t xml:space="preserve"> </w:t>
      </w:r>
      <w:r w:rsidR="009E36CD">
        <w:t>must</w:t>
      </w:r>
      <w:r w:rsidRPr="0064181D">
        <w:t xml:space="preserve"> represent a profile of Base Annual PSED Allowances, PBAPA</w:t>
      </w:r>
      <w:r w:rsidRPr="0064181D">
        <w:rPr>
          <w:vertAlign w:val="subscript"/>
        </w:rPr>
        <w:t>y</w:t>
      </w:r>
      <w:r w:rsidRPr="0064181D">
        <w:t xml:space="preserve"> for each year y subsequent to the valuation date specified in </w:t>
      </w:r>
      <w:r w:rsidR="005E166B">
        <w:fldChar w:fldCharType="begin"/>
      </w:r>
      <w:r w:rsidR="005E166B">
        <w:instrText xml:space="preserve"> REF _Ref49870226 \h </w:instrText>
      </w:r>
      <w:r w:rsidR="005E166B">
        <w:fldChar w:fldCharType="separate"/>
      </w:r>
      <w:r w:rsidR="00C21C6D">
        <w:t>Table 7.1</w:t>
      </w:r>
      <w:r w:rsidR="005E166B">
        <w:fldChar w:fldCharType="end"/>
      </w:r>
      <w:r w:rsidRPr="0064181D">
        <w:t>, such that</w:t>
      </w:r>
      <w:bookmarkEnd w:id="237"/>
    </w:p>
    <w:p w14:paraId="22FAA920" w14:textId="77777777" w:rsidR="000401D6" w:rsidRPr="0064181D" w:rsidRDefault="000427EE" w:rsidP="000401D6">
      <w:pPr>
        <w:pStyle w:val="Paragrapgh"/>
        <w:spacing w:before="0" w:after="120"/>
        <w:ind w:left="1134"/>
        <w:rPr>
          <w:sz w:val="24"/>
        </w:rPr>
      </w:pPr>
      <m:oMathPara>
        <m:oMathParaPr>
          <m:jc m:val="left"/>
        </m:oMathParaPr>
        <m:oMath>
          <m:nary>
            <m:naryPr>
              <m:chr m:val="∑"/>
              <m:limLoc m:val="undOvr"/>
              <m:ctrlPr>
                <w:rPr>
                  <w:rFonts w:ascii="Cambria Math" w:hAnsi="Cambria Math"/>
                  <w:i/>
                  <w:sz w:val="24"/>
                </w:rPr>
              </m:ctrlPr>
            </m:naryPr>
            <m:sub>
              <m:r>
                <w:rPr>
                  <w:rFonts w:ascii="Cambria Math" w:hAnsi="Cambria Math"/>
                  <w:sz w:val="24"/>
                </w:rPr>
                <m:t>y≥rr-1</m:t>
              </m:r>
            </m:sub>
            <m:sup/>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PBAPA</m:t>
                      </m:r>
                    </m:e>
                    <m:sub>
                      <m:r>
                        <w:rPr>
                          <w:rFonts w:ascii="Cambria Math" w:hAnsi="Cambria Math"/>
                          <w:sz w:val="24"/>
                        </w:rPr>
                        <m:t>y</m:t>
                      </m:r>
                    </m:sub>
                  </m:sSub>
                  <m:d>
                    <m:dPr>
                      <m:ctrlPr>
                        <w:rPr>
                          <w:rFonts w:ascii="Cambria Math" w:hAnsi="Cambria Math"/>
                          <w:i/>
                          <w:sz w:val="24"/>
                        </w:rPr>
                      </m:ctrlPr>
                    </m:dPr>
                    <m:e>
                      <m:r>
                        <w:rPr>
                          <w:rFonts w:ascii="Cambria Math" w:hAnsi="Cambria Math"/>
                          <w:sz w:val="24"/>
                        </w:rPr>
                        <m:t>1+f∙DR</m:t>
                      </m:r>
                    </m:e>
                  </m:d>
                </m:num>
                <m:den>
                  <m:sSup>
                    <m:sSupPr>
                      <m:ctrlPr>
                        <w:rPr>
                          <w:rFonts w:ascii="Cambria Math" w:hAnsi="Cambria Math"/>
                          <w:i/>
                          <w:sz w:val="24"/>
                        </w:rPr>
                      </m:ctrlPr>
                    </m:sSupPr>
                    <m:e>
                      <m:d>
                        <m:dPr>
                          <m:ctrlPr>
                            <w:rPr>
                              <w:rFonts w:ascii="Cambria Math" w:hAnsi="Cambria Math"/>
                              <w:i/>
                              <w:sz w:val="24"/>
                            </w:rPr>
                          </m:ctrlPr>
                        </m:dPr>
                        <m:e>
                          <m:r>
                            <w:rPr>
                              <w:rFonts w:ascii="Cambria Math" w:hAnsi="Cambria Math"/>
                              <w:sz w:val="24"/>
                            </w:rPr>
                            <m:t>1+DR</m:t>
                          </m:r>
                        </m:e>
                      </m:d>
                    </m:e>
                    <m:sup>
                      <m:r>
                        <w:rPr>
                          <w:rFonts w:ascii="Cambria Math" w:hAnsi="Cambria Math"/>
                          <w:sz w:val="24"/>
                        </w:rPr>
                        <m:t>y+2-rr</m:t>
                      </m:r>
                    </m:sup>
                  </m:sSup>
                </m:den>
              </m:f>
            </m:e>
          </m:nary>
          <m:r>
            <w:rPr>
              <w:rFonts w:ascii="Cambria Math" w:hAnsi="Cambria Math"/>
              <w:sz w:val="24"/>
            </w:rPr>
            <m:t>≤PSED+LO-ABV</m:t>
          </m:r>
        </m:oMath>
      </m:oMathPara>
    </w:p>
    <w:p w14:paraId="053702C0" w14:textId="77777777" w:rsidR="000401D6" w:rsidRPr="0064181D" w:rsidRDefault="000401D6" w:rsidP="000401D6">
      <w:pPr>
        <w:pStyle w:val="Text-bulleted"/>
        <w:numPr>
          <w:ilvl w:val="0"/>
          <w:numId w:val="0"/>
        </w:numPr>
        <w:tabs>
          <w:tab w:val="clear" w:pos="2581"/>
        </w:tabs>
        <w:spacing w:after="120"/>
        <w:ind w:left="1134"/>
      </w:pPr>
      <w:r w:rsidRPr="0064181D">
        <w:t>where:</w:t>
      </w:r>
    </w:p>
    <w:p w14:paraId="2A713639" w14:textId="77777777" w:rsidR="000401D6" w:rsidRPr="0064181D" w:rsidRDefault="000401D6" w:rsidP="000401D6">
      <w:pPr>
        <w:pStyle w:val="Text-bulleted"/>
        <w:numPr>
          <w:ilvl w:val="0"/>
          <w:numId w:val="0"/>
        </w:numPr>
        <w:tabs>
          <w:tab w:val="clear" w:pos="2581"/>
        </w:tabs>
        <w:spacing w:after="120"/>
        <w:ind w:left="1134"/>
        <w:rPr>
          <w:sz w:val="24"/>
        </w:rPr>
      </w:pPr>
      <m:oMathPara>
        <m:oMathParaPr>
          <m:jc m:val="left"/>
        </m:oMathParaPr>
        <m:oMath>
          <m:r>
            <w:rPr>
              <w:rFonts w:ascii="Cambria Math" w:hAnsi="Cambria Math"/>
              <w:sz w:val="24"/>
            </w:rPr>
            <m:t>f=</m:t>
          </m:r>
          <m:f>
            <m:fPr>
              <m:ctrlPr>
                <w:rPr>
                  <w:rFonts w:ascii="Cambria Math" w:hAnsi="Cambria Math"/>
                  <w:i/>
                  <w:sz w:val="24"/>
                </w:rPr>
              </m:ctrlPr>
            </m:fPr>
            <m:num>
              <m:r>
                <w:rPr>
                  <w:rFonts w:ascii="Cambria Math" w:hAnsi="Cambria Math"/>
                  <w:sz w:val="24"/>
                </w:rPr>
                <m:t>1</m:t>
              </m:r>
            </m:num>
            <m:den>
              <m:r>
                <w:rPr>
                  <w:rFonts w:ascii="Cambria Math" w:hAnsi="Cambria Math"/>
                  <w:sz w:val="24"/>
                </w:rPr>
                <m:t>LN(1+DR)</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DR</m:t>
              </m:r>
            </m:den>
          </m:f>
          <m:r>
            <w:rPr>
              <w:rFonts w:ascii="Cambria Math" w:hAnsi="Cambria Math"/>
              <w:sz w:val="24"/>
            </w:rPr>
            <m:t xml:space="preserve"> </m:t>
          </m:r>
        </m:oMath>
      </m:oMathPara>
    </w:p>
    <w:p w14:paraId="543A0491" w14:textId="77777777" w:rsidR="000401D6" w:rsidRPr="0064181D" w:rsidRDefault="000401D6" w:rsidP="000401D6">
      <w:pPr>
        <w:pStyle w:val="Text-bulleted"/>
        <w:numPr>
          <w:ilvl w:val="0"/>
          <w:numId w:val="0"/>
        </w:numPr>
        <w:tabs>
          <w:tab w:val="clear" w:pos="2581"/>
        </w:tabs>
        <w:spacing w:after="120"/>
        <w:ind w:left="1134"/>
      </w:pPr>
      <w:r w:rsidRPr="0064181D">
        <w:t>LO means the value of any assets included in the PSED valuation that represent an obligation from the licensee for future payments (or other consideration) to the relevant scheme(s) under an arrangement agreed between the licensee and the scheme(s)</w:t>
      </w:r>
    </w:p>
    <w:p w14:paraId="50CE230A" w14:textId="40633821" w:rsidR="000401D6" w:rsidRPr="0064181D" w:rsidRDefault="000401D6" w:rsidP="000401D6">
      <w:pPr>
        <w:pStyle w:val="Text-bulleted"/>
        <w:numPr>
          <w:ilvl w:val="0"/>
          <w:numId w:val="0"/>
        </w:numPr>
        <w:tabs>
          <w:tab w:val="clear" w:pos="2581"/>
        </w:tabs>
        <w:spacing w:after="120"/>
        <w:ind w:left="1134"/>
      </w:pPr>
      <w:r w:rsidRPr="0064181D">
        <w:t xml:space="preserve">ABV means the value of assets as at the PSED valuation date held under asset-backed arrangements that is fairly attributable to funding by the licensee out of negative cumulative payment history variances (see paragraph </w:t>
      </w:r>
      <w:r>
        <w:fldChar w:fldCharType="begin"/>
      </w:r>
      <w:r>
        <w:instrText xml:space="preserve"> REF _Ref47002469 \r \h </w:instrText>
      </w:r>
      <w:r>
        <w:fldChar w:fldCharType="separate"/>
      </w:r>
      <w:r w:rsidR="00C21C6D">
        <w:t>7.50</w:t>
      </w:r>
      <w:r>
        <w:fldChar w:fldCharType="end"/>
      </w:r>
      <w:r w:rsidRPr="0064181D">
        <w:t xml:space="preserve">) up to the valuation date and where those assets are available under an agreement with pension scheme trustees only for future funding of an established deficit or for recovery on behalf of consumers, for example in the event that pension surpluses arise. Where relevant, the value should be determined using a methodology for the evaluation of ABV and ABC (see paragraph </w:t>
      </w:r>
      <w:r>
        <w:fldChar w:fldCharType="begin"/>
      </w:r>
      <w:r>
        <w:instrText xml:space="preserve"> REF _Ref47003715 \r \h </w:instrText>
      </w:r>
      <w:r>
        <w:fldChar w:fldCharType="separate"/>
      </w:r>
      <w:r w:rsidR="00C21C6D">
        <w:t>7.53</w:t>
      </w:r>
      <w:r>
        <w:fldChar w:fldCharType="end"/>
      </w:r>
      <w:r w:rsidRPr="0064181D">
        <w:t xml:space="preserve">) agreed in writing by the Authority at or close to the inception of an arrangement, the Authority giving its reasons why it considers the methodology furthers the interests of consumers. In the absence of any such agreement, the licensee may make its own estimate of the value of ABV, which would have a symmetrical effect on the calculations in paragraph </w:t>
      </w:r>
      <w:r>
        <w:fldChar w:fldCharType="begin"/>
      </w:r>
      <w:r>
        <w:instrText xml:space="preserve"> REF _Ref47003715 \r \h </w:instrText>
      </w:r>
      <w:r>
        <w:fldChar w:fldCharType="separate"/>
      </w:r>
      <w:r w:rsidR="00C21C6D">
        <w:t>7.53</w:t>
      </w:r>
      <w:r>
        <w:fldChar w:fldCharType="end"/>
      </w:r>
      <w:r w:rsidRPr="0064181D">
        <w:t xml:space="preserve">. </w:t>
      </w:r>
    </w:p>
    <w:p w14:paraId="0F2313D9" w14:textId="77777777" w:rsidR="000401D6" w:rsidRPr="0064181D" w:rsidRDefault="000401D6" w:rsidP="000401D6">
      <w:pPr>
        <w:pStyle w:val="Text-bulleted"/>
        <w:numPr>
          <w:ilvl w:val="0"/>
          <w:numId w:val="0"/>
        </w:numPr>
        <w:tabs>
          <w:tab w:val="clear" w:pos="2581"/>
        </w:tabs>
        <w:spacing w:after="120"/>
        <w:ind w:left="1134"/>
      </w:pPr>
      <w:r w:rsidRPr="0064181D">
        <w:t>PBAPA</w:t>
      </w:r>
      <w:r w:rsidRPr="0064181D">
        <w:rPr>
          <w:vertAlign w:val="subscript"/>
        </w:rPr>
        <w:t>y</w:t>
      </w:r>
      <w:r w:rsidRPr="0064181D">
        <w:t xml:space="preserve"> for years rr-1 and rr are the Base Annual PSED Allowances determined by the Authority for those years, and</w:t>
      </w:r>
    </w:p>
    <w:p w14:paraId="4FBD1DCF" w14:textId="77777777" w:rsidR="000401D6" w:rsidRPr="0064181D" w:rsidRDefault="000401D6" w:rsidP="000401D6">
      <w:pPr>
        <w:pStyle w:val="Text-bulleted"/>
        <w:numPr>
          <w:ilvl w:val="0"/>
          <w:numId w:val="0"/>
        </w:numPr>
        <w:tabs>
          <w:tab w:val="clear" w:pos="2581"/>
        </w:tabs>
        <w:spacing w:after="120"/>
        <w:ind w:left="1134"/>
      </w:pPr>
      <w:r w:rsidRPr="0064181D">
        <w:t>“·” is a symbol for multiply (the mathematical operation of multiplication)</w:t>
      </w:r>
    </w:p>
    <w:p w14:paraId="252D6DF6" w14:textId="77777777" w:rsidR="000401D6" w:rsidRPr="0064181D" w:rsidRDefault="000401D6" w:rsidP="000401D6">
      <w:pPr>
        <w:pStyle w:val="Heading3"/>
        <w:spacing w:before="360" w:line="360" w:lineRule="auto"/>
      </w:pPr>
      <w:bookmarkStart w:id="238" w:name="_Toc47028433"/>
      <w:bookmarkStart w:id="239" w:name="_Toc49259976"/>
      <w:bookmarkStart w:id="240" w:name="_Toc52357121"/>
      <w:r w:rsidRPr="0064181D">
        <w:t>Payment history allowances</w:t>
      </w:r>
      <w:bookmarkEnd w:id="238"/>
      <w:bookmarkEnd w:id="239"/>
      <w:bookmarkEnd w:id="240"/>
    </w:p>
    <w:p w14:paraId="5AE02F16" w14:textId="2BB0C5EE" w:rsidR="000401D6" w:rsidRPr="0064181D" w:rsidRDefault="000401D6" w:rsidP="000401D6">
      <w:pPr>
        <w:pStyle w:val="Paragraph"/>
        <w:tabs>
          <w:tab w:val="clear" w:pos="1105"/>
          <w:tab w:val="num" w:pos="680"/>
        </w:tabs>
        <w:ind w:left="0"/>
      </w:pPr>
      <w:bookmarkStart w:id="241" w:name="_Ref47024126"/>
      <w:r w:rsidRPr="0064181D">
        <w:t xml:space="preserve">The determination of revisions to Pensions Allowance values for the licensee will include payment history allowances, which may be positive or negative, relating to the cumulative variance between the licensee’s PSED repair payments and its historical </w:t>
      </w:r>
      <w:r w:rsidRPr="0064181D">
        <w:lastRenderedPageBreak/>
        <w:t xml:space="preserve">allowances for PSED repair prior to the PSED valuation date. The payment history prior to a triennial valuation will affect that valuation, and thus the Base Annual PSED Allowances needed to fund it as described in paragraph </w:t>
      </w:r>
      <w:r>
        <w:fldChar w:fldCharType="begin"/>
      </w:r>
      <w:r>
        <w:instrText xml:space="preserve"> REF _Ref47023839 \r \h </w:instrText>
      </w:r>
      <w:r>
        <w:fldChar w:fldCharType="separate"/>
      </w:r>
      <w:r w:rsidR="00C21C6D">
        <w:t>7.41</w:t>
      </w:r>
      <w:r>
        <w:fldChar w:fldCharType="end"/>
      </w:r>
      <w:r w:rsidRPr="0064181D">
        <w:t>. Payment history allowances ensure that customers are properly compensated if the licensee has, prior to the triennial valuation, paid less in funding the PSED than it has received from consumers, and that companies do not lose out if they have paid more.</w:t>
      </w:r>
      <w:bookmarkEnd w:id="241"/>
      <w:r w:rsidRPr="0064181D">
        <w:t xml:space="preserve"> </w:t>
      </w:r>
    </w:p>
    <w:p w14:paraId="657B4C16" w14:textId="7AC33FFA" w:rsidR="000401D6" w:rsidRPr="0064181D" w:rsidRDefault="000401D6" w:rsidP="000401D6">
      <w:pPr>
        <w:pStyle w:val="Paragraph"/>
        <w:tabs>
          <w:tab w:val="clear" w:pos="1105"/>
          <w:tab w:val="num" w:pos="680"/>
        </w:tabs>
        <w:ind w:left="0"/>
      </w:pPr>
      <w:bookmarkStart w:id="242" w:name="_Ref47002469"/>
      <w:r w:rsidRPr="0064181D">
        <w:t>The cumulative pre-valuation payment history variance value at the end of the Reasonableness Review year, V</w:t>
      </w:r>
      <w:r w:rsidRPr="0064181D">
        <w:rPr>
          <w:vertAlign w:val="subscript"/>
        </w:rPr>
        <w:t>rr</w:t>
      </w:r>
      <w:r w:rsidRPr="0064181D">
        <w:t xml:space="preserve">, is ascertained using a method permitted by paragraph </w:t>
      </w:r>
      <w:r>
        <w:fldChar w:fldCharType="begin"/>
      </w:r>
      <w:r>
        <w:instrText xml:space="preserve"> REF _Ref47023862 \r \h </w:instrText>
      </w:r>
      <w:r>
        <w:fldChar w:fldCharType="separate"/>
      </w:r>
      <w:r w:rsidR="00C21C6D">
        <w:t>7.52</w:t>
      </w:r>
      <w:r>
        <w:fldChar w:fldCharType="end"/>
      </w:r>
      <w:r w:rsidRPr="0064181D">
        <w:t xml:space="preserve"> or using the following formula:</w:t>
      </w:r>
      <w:bookmarkEnd w:id="242"/>
    </w:p>
    <w:p w14:paraId="4622D3D0" w14:textId="77777777" w:rsidR="000401D6" w:rsidRPr="0064181D" w:rsidRDefault="000427EE" w:rsidP="000401D6">
      <w:pPr>
        <w:pStyle w:val="Text-bulleted"/>
        <w:numPr>
          <w:ilvl w:val="0"/>
          <w:numId w:val="0"/>
        </w:numPr>
        <w:tabs>
          <w:tab w:val="clear" w:pos="2581"/>
        </w:tabs>
        <w:spacing w:after="120"/>
        <w:ind w:left="1134"/>
        <w:rPr>
          <w:rFonts w:ascii="Cambria Math" w:hAnsi="Cambria Math"/>
          <w:i/>
          <w:sz w:val="24"/>
        </w:rPr>
      </w:pPr>
      <m:oMathPara>
        <m:oMathParaPr>
          <m:jc m:val="left"/>
        </m:oMathPara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rr</m:t>
              </m:r>
            </m:sub>
          </m:sSub>
          <m:r>
            <w:rPr>
              <w:rFonts w:ascii="Cambria Math" w:hAnsi="Cambria Math"/>
              <w:sz w:val="24"/>
            </w:rPr>
            <m:t>=LTU+</m:t>
          </m:r>
          <m:nary>
            <m:naryPr>
              <m:chr m:val="∑"/>
              <m:limLoc m:val="undOvr"/>
              <m:ctrlPr>
                <w:rPr>
                  <w:rFonts w:ascii="Cambria Math" w:hAnsi="Cambria Math"/>
                  <w:i/>
                  <w:sz w:val="24"/>
                </w:rPr>
              </m:ctrlPr>
            </m:naryPr>
            <m:sub>
              <m:r>
                <w:rPr>
                  <w:rFonts w:ascii="Cambria Math" w:hAnsi="Cambria Math"/>
                  <w:sz w:val="24"/>
                </w:rPr>
                <m:t>y=pco1</m:t>
              </m:r>
            </m:sub>
            <m:sup>
              <m:r>
                <w:rPr>
                  <w:rFonts w:ascii="Cambria Math" w:hAnsi="Cambria Math"/>
                  <w:sz w:val="24"/>
                </w:rPr>
                <m:t>rr-2</m:t>
              </m:r>
            </m:sup>
            <m:e>
              <m:d>
                <m:dPr>
                  <m:ctrlPr>
                    <w:rPr>
                      <w:rFonts w:ascii="Cambria Math" w:hAnsi="Cambria Math"/>
                      <w:i/>
                      <w:sz w:val="24"/>
                    </w:rPr>
                  </m:ctrlPr>
                </m:dPr>
                <m:e>
                  <m:f>
                    <m:fPr>
                      <m:ctrlPr>
                        <w:rPr>
                          <w:rFonts w:ascii="Cambria Math" w:hAnsi="Cambria Math"/>
                          <w:i/>
                          <w:sz w:val="24"/>
                        </w:rPr>
                      </m:ctrlPr>
                    </m:fPr>
                    <m:num>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D</m:t>
                              </m:r>
                            </m:e>
                            <m:sub>
                              <m:r>
                                <w:rPr>
                                  <w:rFonts w:ascii="Cambria Math" w:hAnsi="Cambria Math"/>
                                  <w:sz w:val="24"/>
                                </w:rPr>
                                <m:t>y</m:t>
                              </m:r>
                            </m:sub>
                          </m:sSub>
                          <m:r>
                            <w:rPr>
                              <w:rFonts w:ascii="Cambria Math" w:hAnsi="Cambria Math"/>
                              <w:sz w:val="24"/>
                            </w:rPr>
                            <m:t>-</m:t>
                          </m:r>
                          <m:sSub>
                            <m:sSubPr>
                              <m:ctrlPr>
                                <w:rPr>
                                  <w:rFonts w:ascii="Cambria Math" w:hAnsi="Cambria Math"/>
                                  <w:i/>
                                  <w:sz w:val="24"/>
                                </w:rPr>
                              </m:ctrlPr>
                            </m:sSubPr>
                            <m:e>
                              <m:r>
                                <w:rPr>
                                  <w:rFonts w:ascii="Cambria Math" w:hAnsi="Cambria Math"/>
                                  <w:sz w:val="24"/>
                                </w:rPr>
                                <m:t>E</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y</m:t>
                              </m:r>
                            </m:sub>
                          </m:sSub>
                        </m:e>
                      </m:d>
                    </m:num>
                    <m:den>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∙hDR</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rr+1</m:t>
                              </m:r>
                            </m:sub>
                          </m:sSub>
                        </m:e>
                      </m:d>
                    </m:den>
                  </m:f>
                  <m:nary>
                    <m:naryPr>
                      <m:chr m:val="∏"/>
                      <m:limLoc m:val="undOvr"/>
                      <m:ctrlPr>
                        <w:rPr>
                          <w:rFonts w:ascii="Cambria Math" w:hAnsi="Cambria Math"/>
                          <w:i/>
                          <w:sz w:val="24"/>
                        </w:rPr>
                      </m:ctrlPr>
                    </m:naryPr>
                    <m:sub>
                      <m:r>
                        <w:rPr>
                          <w:rFonts w:ascii="Cambria Math" w:hAnsi="Cambria Math"/>
                          <w:sz w:val="24"/>
                        </w:rPr>
                        <m:t>t=y</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e>
              </m:d>
            </m:e>
          </m:nary>
          <m:r>
            <w:rPr>
              <w:rFonts w:ascii="Cambria Math" w:hAnsi="Cambria Math"/>
              <w:sz w:val="24"/>
            </w:rPr>
            <m:t>-</m:t>
          </m:r>
          <m:nary>
            <m:naryPr>
              <m:chr m:val="∑"/>
              <m:limLoc m:val="undOvr"/>
              <m:ctrlPr>
                <w:rPr>
                  <w:rFonts w:ascii="Cambria Math" w:hAnsi="Cambria Math"/>
                  <w:i/>
                  <w:sz w:val="24"/>
                </w:rPr>
              </m:ctrlPr>
            </m:naryPr>
            <m:sub>
              <m:r>
                <w:rPr>
                  <w:rFonts w:ascii="Cambria Math" w:hAnsi="Cambria Math"/>
                  <w:sz w:val="24"/>
                </w:rPr>
                <m:t>y=rr-1</m:t>
              </m:r>
            </m:sub>
            <m:sup>
              <m:r>
                <w:rPr>
                  <w:rFonts w:ascii="Cambria Math" w:hAnsi="Cambria Math"/>
                  <w:sz w:val="24"/>
                </w:rPr>
                <m:t>rr</m:t>
              </m:r>
            </m:sup>
            <m:e>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PH</m:t>
                          </m:r>
                        </m:e>
                        <m:sub>
                          <m:r>
                            <w:rPr>
                              <w:rFonts w:ascii="Cambria Math" w:hAnsi="Cambria Math"/>
                              <w:sz w:val="24"/>
                            </w:rPr>
                            <m:t>y</m:t>
                          </m:r>
                        </m:sub>
                      </m:sSub>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y</m:t>
                              </m:r>
                            </m:sub>
                          </m:sSub>
                        </m:e>
                      </m:d>
                    </m:num>
                    <m:den>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∙hDR</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rr+1</m:t>
                              </m:r>
                            </m:sub>
                          </m:sSub>
                        </m:e>
                      </m:d>
                    </m:den>
                  </m:f>
                  <m:nary>
                    <m:naryPr>
                      <m:chr m:val="∏"/>
                      <m:limLoc m:val="undOvr"/>
                      <m:ctrlPr>
                        <w:rPr>
                          <w:rFonts w:ascii="Cambria Math" w:hAnsi="Cambria Math"/>
                          <w:i/>
                          <w:sz w:val="24"/>
                        </w:rPr>
                      </m:ctrlPr>
                    </m:naryPr>
                    <m:sub>
                      <m:r>
                        <w:rPr>
                          <w:rFonts w:ascii="Cambria Math" w:hAnsi="Cambria Math"/>
                          <w:sz w:val="24"/>
                        </w:rPr>
                        <m:t>t=y</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e>
              </m:d>
            </m:e>
          </m:nary>
        </m:oMath>
      </m:oMathPara>
    </w:p>
    <w:p w14:paraId="4124BB03" w14:textId="77777777" w:rsidR="000401D6" w:rsidRPr="0064181D" w:rsidRDefault="000401D6" w:rsidP="000401D6">
      <w:pPr>
        <w:pStyle w:val="Text-bulleted"/>
        <w:numPr>
          <w:ilvl w:val="0"/>
          <w:numId w:val="0"/>
        </w:numPr>
        <w:tabs>
          <w:tab w:val="clear" w:pos="2581"/>
        </w:tabs>
        <w:spacing w:after="120"/>
        <w:ind w:left="1134"/>
      </w:pPr>
      <w:r w:rsidRPr="0064181D">
        <w:t>where:</w:t>
      </w:r>
    </w:p>
    <w:p w14:paraId="392743DF" w14:textId="76EB5AE7" w:rsidR="000401D6" w:rsidRPr="0064181D" w:rsidRDefault="000401D6" w:rsidP="000401D6">
      <w:pPr>
        <w:pStyle w:val="Text-bulleted"/>
        <w:numPr>
          <w:ilvl w:val="0"/>
          <w:numId w:val="0"/>
        </w:numPr>
        <w:tabs>
          <w:tab w:val="clear" w:pos="2581"/>
        </w:tabs>
        <w:spacing w:after="120"/>
        <w:ind w:left="1134"/>
      </w:pPr>
      <w:r w:rsidRPr="0064181D">
        <w:t xml:space="preserve">LTU is the legacy true-up value specified in paragraph </w:t>
      </w:r>
      <w:r>
        <w:fldChar w:fldCharType="begin"/>
      </w:r>
      <w:r>
        <w:instrText xml:space="preserve"> REF _Ref47023895 \r \h </w:instrText>
      </w:r>
      <w:r>
        <w:fldChar w:fldCharType="separate"/>
      </w:r>
      <w:r w:rsidR="00C21C6D">
        <w:t>7.51</w:t>
      </w:r>
      <w:r>
        <w:fldChar w:fldCharType="end"/>
      </w:r>
      <w:r w:rsidRPr="0064181D">
        <w:t>, where relevant</w:t>
      </w:r>
    </w:p>
    <w:p w14:paraId="32639D6D" w14:textId="77777777" w:rsidR="000401D6" w:rsidRPr="0064181D" w:rsidRDefault="000401D6" w:rsidP="000401D6">
      <w:pPr>
        <w:pStyle w:val="Text-bulleted"/>
        <w:numPr>
          <w:ilvl w:val="0"/>
          <w:numId w:val="0"/>
        </w:numPr>
        <w:tabs>
          <w:tab w:val="clear" w:pos="2581"/>
        </w:tabs>
        <w:spacing w:after="120"/>
        <w:ind w:left="1134"/>
      </w:pPr>
      <w:r w:rsidRPr="0064181D">
        <w:t>pco1 means the first regulatory year subsequent to the cut-off date</w:t>
      </w:r>
    </w:p>
    <w:p w14:paraId="329B2927" w14:textId="21E57B13" w:rsidR="000401D6" w:rsidRPr="0064181D" w:rsidRDefault="000401D6" w:rsidP="000401D6">
      <w:pPr>
        <w:pStyle w:val="Text-bulleted"/>
        <w:numPr>
          <w:ilvl w:val="0"/>
          <w:numId w:val="0"/>
        </w:numPr>
        <w:tabs>
          <w:tab w:val="clear" w:pos="2581"/>
        </w:tabs>
        <w:spacing w:after="120"/>
        <w:ind w:left="1134"/>
      </w:pPr>
      <w:r w:rsidRPr="0064181D">
        <w:t xml:space="preserve">rr is the regulatory year specified in </w:t>
      </w:r>
      <w:r w:rsidR="005E166B">
        <w:fldChar w:fldCharType="begin"/>
      </w:r>
      <w:r w:rsidR="005E166B">
        <w:instrText xml:space="preserve"> REF _Ref49870226 \h </w:instrText>
      </w:r>
      <w:r w:rsidR="005E166B">
        <w:fldChar w:fldCharType="separate"/>
      </w:r>
      <w:r w:rsidR="00C21C6D">
        <w:t>Table 7.1</w:t>
      </w:r>
      <w:r w:rsidR="005E166B">
        <w:fldChar w:fldCharType="end"/>
      </w:r>
      <w:r w:rsidRPr="0064181D">
        <w:t xml:space="preserve"> for the relevant Reasonableness Review</w:t>
      </w:r>
    </w:p>
    <w:p w14:paraId="05868CBF" w14:textId="77777777" w:rsidR="000401D6" w:rsidRPr="0064181D" w:rsidRDefault="000401D6" w:rsidP="000401D6">
      <w:pPr>
        <w:pStyle w:val="Text-bulleted"/>
        <w:numPr>
          <w:ilvl w:val="0"/>
          <w:numId w:val="0"/>
        </w:numPr>
        <w:tabs>
          <w:tab w:val="clear" w:pos="2581"/>
        </w:tabs>
        <w:spacing w:after="120"/>
        <w:ind w:left="1134"/>
      </w:pPr>
      <w:r w:rsidRPr="0064181D">
        <w:t>D</w:t>
      </w:r>
      <w:r w:rsidRPr="0064181D">
        <w:rPr>
          <w:vertAlign w:val="subscript"/>
        </w:rPr>
        <w:t>y</w:t>
      </w:r>
      <w:r w:rsidRPr="0064181D">
        <w:t xml:space="preserve"> means the net sum of the following, which may be positive or negative</w:t>
      </w:r>
      <w:r w:rsidRPr="0064181D">
        <w:rPr>
          <w:bCs/>
        </w:rPr>
        <w:t>,</w:t>
      </w:r>
      <w:r w:rsidRPr="0064181D">
        <w:t xml:space="preserve"> expressed in </w:t>
      </w:r>
      <w:r>
        <w:t xml:space="preserve">2018/19 price </w:t>
      </w:r>
      <w:r w:rsidRPr="0064181D">
        <w:t>terms:</w:t>
      </w:r>
    </w:p>
    <w:p w14:paraId="15D22B1E" w14:textId="10EF7717" w:rsidR="000401D6" w:rsidRPr="0064181D" w:rsidRDefault="000401D6" w:rsidP="008F1AC8">
      <w:pPr>
        <w:pStyle w:val="Text-bulleted"/>
        <w:numPr>
          <w:ilvl w:val="0"/>
          <w:numId w:val="49"/>
        </w:numPr>
        <w:tabs>
          <w:tab w:val="clear" w:pos="2581"/>
        </w:tabs>
        <w:spacing w:after="120"/>
        <w:ind w:left="1848" w:hanging="357"/>
      </w:pPr>
      <w:r w:rsidRPr="0064181D">
        <w:t xml:space="preserve">amounts received by the relevant pension scheme(s) in respect of PSED repair during the course of year y, including amounts received in respect of an obligation accounted for in the LO term in paragraph </w:t>
      </w:r>
      <w:r>
        <w:fldChar w:fldCharType="begin"/>
      </w:r>
      <w:r>
        <w:instrText xml:space="preserve"> REF _Ref47023980 \r \h </w:instrText>
      </w:r>
      <w:r>
        <w:fldChar w:fldCharType="separate"/>
      </w:r>
      <w:r w:rsidR="00C21C6D">
        <w:t>7.48</w:t>
      </w:r>
      <w:r>
        <w:fldChar w:fldCharType="end"/>
      </w:r>
    </w:p>
    <w:p w14:paraId="3ACCEC6D" w14:textId="77777777" w:rsidR="000401D6" w:rsidRPr="0064181D" w:rsidRDefault="000401D6" w:rsidP="008F1AC8">
      <w:pPr>
        <w:pStyle w:val="Text-bulleted"/>
        <w:numPr>
          <w:ilvl w:val="0"/>
          <w:numId w:val="49"/>
        </w:numPr>
        <w:tabs>
          <w:tab w:val="clear" w:pos="2581"/>
        </w:tabs>
        <w:spacing w:after="120"/>
        <w:ind w:left="1848" w:hanging="357"/>
      </w:pPr>
      <w:r w:rsidRPr="0064181D">
        <w:t xml:space="preserve">less any amounts directly or indirectly returned to the licensee or a related undertaking by the relevant pension scheme(s) during the course of year y under an arrangement agreed between the licensee and the scheme(s), </w:t>
      </w:r>
    </w:p>
    <w:p w14:paraId="6296D2DC" w14:textId="341A2C0E" w:rsidR="000401D6" w:rsidRPr="0064181D" w:rsidRDefault="000401D6" w:rsidP="008F1AC8">
      <w:pPr>
        <w:pStyle w:val="Text-bulleted"/>
        <w:numPr>
          <w:ilvl w:val="0"/>
          <w:numId w:val="49"/>
        </w:numPr>
        <w:tabs>
          <w:tab w:val="clear" w:pos="2581"/>
        </w:tabs>
        <w:spacing w:after="120"/>
        <w:ind w:left="1848" w:hanging="357"/>
      </w:pPr>
      <w:r w:rsidRPr="0064181D">
        <w:t xml:space="preserve">less </w:t>
      </w:r>
      <w:r w:rsidRPr="0064181D">
        <w:rPr>
          <w:bCs/>
        </w:rPr>
        <w:t xml:space="preserve">the amount by which ongoing pension contributions (for active members) have been reduced on account of an established surplus as described in paragraph </w:t>
      </w:r>
      <w:r>
        <w:rPr>
          <w:bCs/>
        </w:rPr>
        <w:fldChar w:fldCharType="begin"/>
      </w:r>
      <w:r>
        <w:rPr>
          <w:bCs/>
        </w:rPr>
        <w:instrText xml:space="preserve"> REF _Ref47024010 \r \h </w:instrText>
      </w:r>
      <w:r>
        <w:rPr>
          <w:bCs/>
        </w:rPr>
      </w:r>
      <w:r>
        <w:rPr>
          <w:bCs/>
        </w:rPr>
        <w:fldChar w:fldCharType="separate"/>
      </w:r>
      <w:r w:rsidR="00C21C6D">
        <w:rPr>
          <w:bCs/>
        </w:rPr>
        <w:t>7.12</w:t>
      </w:r>
      <w:r>
        <w:rPr>
          <w:bCs/>
        </w:rPr>
        <w:fldChar w:fldCharType="end"/>
      </w:r>
      <w:r w:rsidRPr="0064181D">
        <w:rPr>
          <w:bCs/>
        </w:rPr>
        <w:t>.</w:t>
      </w:r>
    </w:p>
    <w:p w14:paraId="4F2423C7" w14:textId="6EE32F98" w:rsidR="000401D6" w:rsidRPr="0064181D" w:rsidRDefault="000401D6" w:rsidP="008F1AC8">
      <w:pPr>
        <w:pStyle w:val="Text-bulleted"/>
        <w:numPr>
          <w:ilvl w:val="0"/>
          <w:numId w:val="49"/>
        </w:numPr>
        <w:tabs>
          <w:tab w:val="clear" w:pos="2581"/>
        </w:tabs>
        <w:spacing w:after="120"/>
        <w:ind w:left="1848" w:hanging="357"/>
      </w:pPr>
      <w:r w:rsidRPr="0064181D">
        <w:t xml:space="preserve">plus any amounts determined by the Authority as </w:t>
      </w:r>
      <w:r>
        <w:t xml:space="preserve">advisory fees or other costs relating to the development or implementation of a </w:t>
      </w:r>
      <w:r w:rsidRPr="0064181D">
        <w:t xml:space="preserve">pensions </w:t>
      </w:r>
      <w:r w:rsidRPr="0064181D">
        <w:lastRenderedPageBreak/>
        <w:t>initiative</w:t>
      </w:r>
      <w:r>
        <w:t>, eg a contingent asset arrangement,</w:t>
      </w:r>
      <w:r w:rsidRPr="0064181D">
        <w:t xml:space="preserve"> following a review of evidence submitted by the licensee. </w:t>
      </w:r>
    </w:p>
    <w:p w14:paraId="387D6BAD" w14:textId="3368303E" w:rsidR="000401D6" w:rsidRPr="0064181D" w:rsidRDefault="000401D6" w:rsidP="000401D6">
      <w:pPr>
        <w:pStyle w:val="Text-bulleted"/>
        <w:numPr>
          <w:ilvl w:val="0"/>
          <w:numId w:val="0"/>
        </w:numPr>
        <w:tabs>
          <w:tab w:val="clear" w:pos="2581"/>
        </w:tabs>
        <w:spacing w:after="120"/>
        <w:ind w:left="1134"/>
      </w:pPr>
      <w:r w:rsidRPr="0064181D">
        <w:t>PH</w:t>
      </w:r>
      <w:r w:rsidRPr="0064181D">
        <w:rPr>
          <w:vertAlign w:val="subscript"/>
        </w:rPr>
        <w:t>y</w:t>
      </w:r>
      <w:r w:rsidRPr="0064181D">
        <w:t xml:space="preserve"> is the payment history allowance determined by the Authority at a preceding </w:t>
      </w:r>
      <w:r w:rsidR="005057DB">
        <w:t>R</w:t>
      </w:r>
      <w:r w:rsidRPr="0064181D">
        <w:t xml:space="preserve">easonableness </w:t>
      </w:r>
      <w:r w:rsidR="005057DB">
        <w:t>R</w:t>
      </w:r>
      <w:r w:rsidRPr="0064181D">
        <w:t xml:space="preserve">eview or price control review, in accordance with </w:t>
      </w:r>
      <w:r>
        <w:t xml:space="preserve">paragraph </w:t>
      </w:r>
      <w:r>
        <w:fldChar w:fldCharType="begin"/>
      </w:r>
      <w:r>
        <w:instrText xml:space="preserve"> REF _Ref47024090 \r \h </w:instrText>
      </w:r>
      <w:r>
        <w:fldChar w:fldCharType="separate"/>
      </w:r>
      <w:r w:rsidR="00C21C6D">
        <w:t>7.29</w:t>
      </w:r>
      <w:r>
        <w:fldChar w:fldCharType="end"/>
      </w:r>
      <w:r w:rsidRPr="0064181D">
        <w:t xml:space="preserve"> or otherwise, and included in the licensee’s revenue allowances for year y </w:t>
      </w:r>
    </w:p>
    <w:p w14:paraId="3E989248" w14:textId="24577ECD" w:rsidR="000401D6" w:rsidRPr="0064181D" w:rsidRDefault="000401D6" w:rsidP="000401D6">
      <w:pPr>
        <w:pStyle w:val="Text-bulleted"/>
        <w:numPr>
          <w:ilvl w:val="0"/>
          <w:numId w:val="0"/>
        </w:numPr>
        <w:tabs>
          <w:tab w:val="clear" w:pos="2581"/>
        </w:tabs>
        <w:spacing w:after="120"/>
        <w:ind w:left="1134"/>
      </w:pPr>
      <w:r w:rsidRPr="0064181D">
        <w:t>E</w:t>
      </w:r>
      <w:r w:rsidRPr="0064181D">
        <w:rPr>
          <w:vertAlign w:val="subscript"/>
        </w:rPr>
        <w:t>y</w:t>
      </w:r>
      <w:r w:rsidRPr="0064181D">
        <w:t xml:space="preserve"> means the licensee’s Base Annual PSED Allowances plus payment history allowances, PH</w:t>
      </w:r>
      <w:r w:rsidRPr="005057DB">
        <w:rPr>
          <w:vertAlign w:val="subscript"/>
        </w:rPr>
        <w:t>y</w:t>
      </w:r>
      <w:r w:rsidRPr="0064181D">
        <w:t xml:space="preserve"> (which may be positive or negative), included in revenue allowances for the year y expressed in constant price terms in accordance with paragraph </w:t>
      </w:r>
      <w:r>
        <w:fldChar w:fldCharType="begin"/>
      </w:r>
      <w:r>
        <w:instrText xml:space="preserve"> REF _Ref47024126 \r \h </w:instrText>
      </w:r>
      <w:r>
        <w:fldChar w:fldCharType="separate"/>
      </w:r>
      <w:r w:rsidR="00C21C6D">
        <w:t>7.49</w:t>
      </w:r>
      <w:r>
        <w:fldChar w:fldCharType="end"/>
      </w:r>
      <w:r w:rsidRPr="0064181D">
        <w:t>. E</w:t>
      </w:r>
      <w:r w:rsidRPr="005057DB">
        <w:rPr>
          <w:vertAlign w:val="subscript"/>
        </w:rPr>
        <w:t>y</w:t>
      </w:r>
      <w:r w:rsidRPr="0064181D">
        <w:t xml:space="preserve"> excludes any adjustment factor value AF but includes any prior period history allowances included in revenue allowances in the period since pco1 relating to any true-up value in LTU</w:t>
      </w:r>
      <w:r>
        <w:t xml:space="preserve"> and any other relevant allowances, including contingent asset allowances</w:t>
      </w:r>
      <w:r w:rsidRPr="0064181D">
        <w:t xml:space="preserve">. With the written agreement of the Authority, the licensee may adjust prior period history allowances to exclude those attributable to legacy true-up values excluded from the LTU term in accordance with paragraph </w:t>
      </w:r>
      <w:r>
        <w:fldChar w:fldCharType="begin"/>
      </w:r>
      <w:r>
        <w:instrText xml:space="preserve"> REF _Ref47023895 \r \h </w:instrText>
      </w:r>
      <w:r>
        <w:fldChar w:fldCharType="separate"/>
      </w:r>
      <w:r w:rsidR="00C21C6D">
        <w:t>7.51</w:t>
      </w:r>
      <w:r>
        <w:fldChar w:fldCharType="end"/>
      </w:r>
      <w:r w:rsidRPr="0064181D">
        <w:t>.</w:t>
      </w:r>
    </w:p>
    <w:p w14:paraId="7E30A41A" w14:textId="77777777" w:rsidR="000401D6" w:rsidRPr="0064181D" w:rsidRDefault="000401D6" w:rsidP="000401D6">
      <w:pPr>
        <w:pStyle w:val="Text-bulleted"/>
        <w:numPr>
          <w:ilvl w:val="0"/>
          <w:numId w:val="0"/>
        </w:numPr>
        <w:tabs>
          <w:tab w:val="clear" w:pos="2581"/>
        </w:tabs>
        <w:spacing w:after="120"/>
        <w:ind w:left="1134"/>
      </w:pPr>
      <w:r w:rsidRPr="0064181D">
        <w:t>CT</w:t>
      </w:r>
      <w:r w:rsidRPr="0064181D">
        <w:rPr>
          <w:vertAlign w:val="subscript"/>
        </w:rPr>
        <w:t>y</w:t>
      </w:r>
      <w:r w:rsidRPr="0064181D">
        <w:t xml:space="preserve"> means the actual or, in the case of CT</w:t>
      </w:r>
      <w:r w:rsidRPr="0064181D">
        <w:rPr>
          <w:vertAlign w:val="subscript"/>
        </w:rPr>
        <w:t>rr+1</w:t>
      </w:r>
      <w:r w:rsidRPr="0064181D">
        <w:t>, prospective rate of Corporation Tax applicable to the licensee in year y</w:t>
      </w:r>
    </w:p>
    <w:p w14:paraId="2B147262" w14:textId="77777777" w:rsidR="000401D6" w:rsidRPr="0064181D" w:rsidRDefault="000427EE" w:rsidP="000401D6">
      <w:pPr>
        <w:pStyle w:val="Text-bulleted"/>
        <w:numPr>
          <w:ilvl w:val="0"/>
          <w:numId w:val="0"/>
        </w:numPr>
        <w:tabs>
          <w:tab w:val="clear" w:pos="2581"/>
        </w:tabs>
        <w:spacing w:after="120"/>
        <w:ind w:left="1134"/>
      </w:pPr>
      <m:oMathPara>
        <m:oMathParaPr>
          <m:jc m:val="left"/>
        </m:oMathParaPr>
        <m:oMath>
          <m:nary>
            <m:naryPr>
              <m:chr m:val="∏"/>
              <m:limLoc m:val="undOvr"/>
              <m:ctrlPr>
                <w:rPr>
                  <w:rFonts w:ascii="Cambria Math" w:hAnsi="Cambria Math"/>
                  <w:i/>
                  <w:sz w:val="24"/>
                </w:rPr>
              </m:ctrlPr>
            </m:naryPr>
            <m:sub/>
            <m:sup/>
            <m:e/>
          </m:nary>
          <m:r>
            <m:rPr>
              <m:nor/>
            </m:rPr>
            <m:t>means t</m:t>
          </m:r>
          <m:r>
            <m:rPr>
              <m:nor/>
            </m:rPr>
            <w:rPr>
              <w:rFonts w:cs="Cambria Math"/>
            </w:rPr>
            <m:t>h</m:t>
          </m:r>
          <m:r>
            <m:rPr>
              <m:nor/>
            </m:rPr>
            <m:t>e product of t</m:t>
          </m:r>
          <m:r>
            <m:rPr>
              <m:nor/>
            </m:rPr>
            <w:rPr>
              <w:rFonts w:cs="Cambria Math"/>
            </w:rPr>
            <m:t>h</m:t>
          </m:r>
          <m:r>
            <m:rPr>
              <m:nor/>
            </m:rPr>
            <m:t>e series in t</m:t>
          </m:r>
          <m:r>
            <m:rPr>
              <m:nor/>
            </m:rPr>
            <w:rPr>
              <w:rFonts w:cs="Cambria Math"/>
            </w:rPr>
            <m:t>h</m:t>
          </m:r>
          <m:r>
            <m:rPr>
              <m:nor/>
            </m:rPr>
            <m:t>e brackets for t</m:t>
          </m:r>
          <m:r>
            <m:rPr>
              <m:nor/>
            </m:rPr>
            <w:rPr>
              <w:rFonts w:cs="Cambria Math"/>
            </w:rPr>
            <m:t>h</m:t>
          </m:r>
          <m:r>
            <m:rPr>
              <m:nor/>
            </m:rPr>
            <m:t>e specified range</m:t>
          </m:r>
          <m:r>
            <m:rPr>
              <m:nor/>
            </m:rPr>
            <w:rPr>
              <w:rFonts w:ascii="Cambria Math"/>
            </w:rPr>
            <m:t>;</m:t>
          </m:r>
        </m:oMath>
      </m:oMathPara>
    </w:p>
    <w:p w14:paraId="4A74D3AC" w14:textId="77777777" w:rsidR="000401D6" w:rsidRPr="0064181D" w:rsidRDefault="000401D6" w:rsidP="000401D6">
      <w:pPr>
        <w:pStyle w:val="Text-bulleted"/>
        <w:numPr>
          <w:ilvl w:val="0"/>
          <w:numId w:val="0"/>
        </w:numPr>
        <w:tabs>
          <w:tab w:val="clear" w:pos="2581"/>
        </w:tabs>
        <w:spacing w:after="120"/>
        <w:ind w:left="1134"/>
      </w:pPr>
      <w:r w:rsidRPr="0064181D">
        <w:t>for example:</w:t>
      </w:r>
    </w:p>
    <w:p w14:paraId="7EE93E8E" w14:textId="77777777" w:rsidR="000401D6" w:rsidRPr="0064181D" w:rsidRDefault="000427EE" w:rsidP="000401D6">
      <w:pPr>
        <w:pStyle w:val="Text-bulleted"/>
        <w:numPr>
          <w:ilvl w:val="0"/>
          <w:numId w:val="0"/>
        </w:numPr>
        <w:tabs>
          <w:tab w:val="clear" w:pos="2581"/>
        </w:tabs>
        <w:spacing w:after="120"/>
        <w:ind w:left="1134"/>
      </w:pPr>
      <m:oMathPara>
        <m:oMathParaPr>
          <m:jc m:val="left"/>
        </m:oMathParaPr>
        <m:oMath>
          <m:nary>
            <m:naryPr>
              <m:chr m:val="∏"/>
              <m:limLoc m:val="undOvr"/>
              <m:ctrlPr>
                <w:rPr>
                  <w:rFonts w:ascii="Cambria Math" w:hAnsi="Cambria Math"/>
                  <w:i/>
                  <w:sz w:val="24"/>
                </w:rPr>
              </m:ctrlPr>
            </m:naryPr>
            <m:sub>
              <m:r>
                <w:rPr>
                  <w:rFonts w:ascii="Cambria Math" w:hAnsi="Cambria Math"/>
                  <w:sz w:val="24"/>
                </w:rPr>
                <m:t>t=rr-2</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r>
            <w:rPr>
              <w:rFonts w:ascii="Cambria Math" w:hAnsi="Cambria Math"/>
              <w:sz w:val="24"/>
            </w:rPr>
            <m:t>=</m:t>
          </m:r>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rr-2</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rr-1</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m:t>
                  </m:r>
                </m:sub>
              </m:sSub>
            </m:e>
          </m:d>
        </m:oMath>
      </m:oMathPara>
    </w:p>
    <w:p w14:paraId="5511BBF4" w14:textId="0713EF57" w:rsidR="000401D6" w:rsidRPr="0064181D" w:rsidRDefault="000401D6" w:rsidP="000401D6">
      <w:pPr>
        <w:pStyle w:val="Text-bulleted"/>
        <w:numPr>
          <w:ilvl w:val="0"/>
          <w:numId w:val="0"/>
        </w:numPr>
        <w:tabs>
          <w:tab w:val="clear" w:pos="2581"/>
        </w:tabs>
        <w:spacing w:after="120"/>
        <w:ind w:left="1134"/>
      </w:pPr>
      <w:r w:rsidRPr="0064181D">
        <w:t>hDR</w:t>
      </w:r>
      <w:r w:rsidRPr="0064181D">
        <w:rPr>
          <w:vertAlign w:val="subscript"/>
        </w:rPr>
        <w:t>y</w:t>
      </w:r>
      <w:r w:rsidRPr="0064181D">
        <w:t xml:space="preserve"> means the discount rate values under any alternative discounting basis determined by the Authority in the relevant reasonableness review for year y (see </w:t>
      </w:r>
      <w:r>
        <w:fldChar w:fldCharType="begin"/>
      </w:r>
      <w:r>
        <w:instrText xml:space="preserve"> REF _Ref47024090 \r \h </w:instrText>
      </w:r>
      <w:r>
        <w:fldChar w:fldCharType="separate"/>
      </w:r>
      <w:r w:rsidR="00C21C6D">
        <w:t>7.29</w:t>
      </w:r>
      <w:r>
        <w:fldChar w:fldCharType="end"/>
      </w:r>
      <w:r w:rsidR="005057DB">
        <w:t xml:space="preserve"> </w:t>
      </w:r>
      <w:r>
        <w:fldChar w:fldCharType="begin"/>
      </w:r>
      <w:r>
        <w:instrText xml:space="preserve"> REF _Ref47024289 \r \h </w:instrText>
      </w:r>
      <w:r>
        <w:fldChar w:fldCharType="separate"/>
      </w:r>
      <w:r w:rsidR="00C21C6D">
        <w:t>e)</w:t>
      </w:r>
      <w:r>
        <w:fldChar w:fldCharType="end"/>
      </w:r>
      <w:r w:rsidRPr="0064181D">
        <w:t xml:space="preserve">) or, where no alternative discounting basis has been specified, the </w:t>
      </w:r>
      <w:r>
        <w:t xml:space="preserve">time value of money as described in paragraphs </w:t>
      </w:r>
      <w:r>
        <w:fldChar w:fldCharType="begin"/>
      </w:r>
      <w:r>
        <w:instrText xml:space="preserve"> REF _Ref48750278 \r \h </w:instrText>
      </w:r>
      <w:r>
        <w:fldChar w:fldCharType="separate"/>
      </w:r>
      <w:r w:rsidR="00C21C6D">
        <w:t>2.13</w:t>
      </w:r>
      <w:r>
        <w:fldChar w:fldCharType="end"/>
      </w:r>
      <w:r>
        <w:t xml:space="preserve"> and </w:t>
      </w:r>
      <w:r>
        <w:fldChar w:fldCharType="begin"/>
      </w:r>
      <w:r>
        <w:instrText xml:space="preserve"> REF _Ref48750288 \r \h </w:instrText>
      </w:r>
      <w:r>
        <w:fldChar w:fldCharType="separate"/>
      </w:r>
      <w:r w:rsidR="00C21C6D">
        <w:t>2.14</w:t>
      </w:r>
      <w:r>
        <w:fldChar w:fldCharType="end"/>
      </w:r>
      <w:r>
        <w:t>.</w:t>
      </w:r>
    </w:p>
    <w:p w14:paraId="24646EE9" w14:textId="77777777" w:rsidR="000401D6" w:rsidRPr="0064181D" w:rsidRDefault="000427EE" w:rsidP="000401D6">
      <w:pPr>
        <w:pStyle w:val="Text-bulleted"/>
        <w:numPr>
          <w:ilvl w:val="0"/>
          <w:numId w:val="0"/>
        </w:numPr>
        <w:tabs>
          <w:tab w:val="clear" w:pos="2581"/>
        </w:tabs>
        <w:spacing w:after="120"/>
        <w:ind w:left="1134"/>
        <w:rPr>
          <w:sz w:val="24"/>
        </w:rPr>
      </w:pPr>
      <m:oMathPara>
        <m:oMathParaPr>
          <m:jc m:val="left"/>
        </m:oMathParaPr>
        <m:oMath>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2+</m:t>
              </m:r>
              <m:sSub>
                <m:sSubPr>
                  <m:ctrlPr>
                    <w:rPr>
                      <w:rFonts w:ascii="Cambria Math" w:hAnsi="Cambria Math"/>
                      <w:i/>
                      <w:sz w:val="24"/>
                    </w:rPr>
                  </m:ctrlPr>
                </m:sSubPr>
                <m:e>
                  <m:r>
                    <w:rPr>
                      <w:rFonts w:ascii="Cambria Math" w:hAnsi="Cambria Math"/>
                      <w:sz w:val="24"/>
                    </w:rPr>
                    <m:t>hDR</m:t>
                  </m:r>
                </m:e>
                <m:sub>
                  <m:r>
                    <w:rPr>
                      <w:rFonts w:ascii="Cambria Math" w:hAnsi="Cambria Math"/>
                      <w:sz w:val="24"/>
                    </w:rPr>
                    <m:t>y</m:t>
                  </m:r>
                </m:sub>
              </m:sSub>
            </m:den>
          </m:f>
          <m:r>
            <w:rPr>
              <w:rFonts w:ascii="Cambria Math" w:hAnsi="Cambria Math"/>
              <w:sz w:val="24"/>
            </w:rPr>
            <m:t xml:space="preserve"> </m:t>
          </m:r>
        </m:oMath>
      </m:oMathPara>
    </w:p>
    <w:p w14:paraId="3BFFB05E" w14:textId="77777777" w:rsidR="000401D6" w:rsidRPr="0064181D" w:rsidRDefault="000401D6" w:rsidP="000401D6">
      <w:pPr>
        <w:pStyle w:val="Paragraph"/>
        <w:tabs>
          <w:tab w:val="clear" w:pos="1105"/>
          <w:tab w:val="num" w:pos="680"/>
        </w:tabs>
        <w:ind w:left="0"/>
      </w:pPr>
      <w:bookmarkStart w:id="243" w:name="_Ref47023895"/>
      <w:r w:rsidRPr="0064181D">
        <w:t>Where relevant,</w:t>
      </w:r>
      <w:bookmarkEnd w:id="243"/>
      <w:r w:rsidRPr="0064181D">
        <w:t xml:space="preserve"> </w:t>
      </w:r>
    </w:p>
    <w:p w14:paraId="5B1DEA2D" w14:textId="77777777" w:rsidR="000401D6" w:rsidRPr="0064181D" w:rsidRDefault="000401D6" w:rsidP="008F1AC8">
      <w:pPr>
        <w:pStyle w:val="Text-Numbered"/>
        <w:numPr>
          <w:ilvl w:val="0"/>
          <w:numId w:val="57"/>
        </w:numPr>
      </w:pPr>
      <w:r w:rsidRPr="0064181D">
        <w:t xml:space="preserve">Subject to subparagraph (b), the legacy true-up value, LTU, represents the present value as at the end of the Reasonableness Review year of any arrangement or arrangements previously agreed or determined by the Authority for the post cut-off </w:t>
      </w:r>
      <w:r w:rsidRPr="0064181D">
        <w:lastRenderedPageBreak/>
        <w:t>true-up of the licensee’s pension deficit payment history or true-up of other pension-related costs</w:t>
      </w:r>
      <w:r w:rsidRPr="00BC29AA">
        <w:t xml:space="preserve"> </w:t>
      </w:r>
      <w:r w:rsidRPr="0064181D">
        <w:t>prior to the cut-off date.</w:t>
      </w:r>
    </w:p>
    <w:p w14:paraId="25ADACFF" w14:textId="2E747803" w:rsidR="000401D6" w:rsidRPr="0064181D" w:rsidRDefault="000401D6" w:rsidP="008F1AC8">
      <w:pPr>
        <w:pStyle w:val="Text-Numbered"/>
        <w:numPr>
          <w:ilvl w:val="0"/>
          <w:numId w:val="57"/>
        </w:numPr>
      </w:pPr>
      <w:r w:rsidRPr="0064181D">
        <w:t>With the Authority’s written agreement, the licensee may attribute payment history allowances to legacy true</w:t>
      </w:r>
      <w:r w:rsidR="005057DB">
        <w:t>-</w:t>
      </w:r>
      <w:r w:rsidRPr="0064181D">
        <w:t>up values identified in subparagraph (a) on a present value neutral basis and exclude both attributable payment history allowances from the calculation of E</w:t>
      </w:r>
      <w:r w:rsidRPr="005057DB">
        <w:rPr>
          <w:vertAlign w:val="subscript"/>
        </w:rPr>
        <w:t>y</w:t>
      </w:r>
      <w:r w:rsidRPr="0064181D">
        <w:t xml:space="preserve"> in paragraph </w:t>
      </w:r>
      <w:r>
        <w:fldChar w:fldCharType="begin"/>
      </w:r>
      <w:r>
        <w:instrText xml:space="preserve"> REF _Ref47002469 \r \h </w:instrText>
      </w:r>
      <w:r>
        <w:fldChar w:fldCharType="separate"/>
      </w:r>
      <w:r w:rsidR="00C21C6D">
        <w:t>7.50</w:t>
      </w:r>
      <w:r>
        <w:fldChar w:fldCharType="end"/>
      </w:r>
      <w:r w:rsidRPr="0064181D">
        <w:t xml:space="preserve"> and the attributable LTU value from the LTU term applied in paragraph </w:t>
      </w:r>
      <w:r>
        <w:fldChar w:fldCharType="begin"/>
      </w:r>
      <w:r>
        <w:instrText xml:space="preserve"> REF _Ref47002469 \r \h </w:instrText>
      </w:r>
      <w:r>
        <w:fldChar w:fldCharType="separate"/>
      </w:r>
      <w:r w:rsidR="00C21C6D">
        <w:t>7.50</w:t>
      </w:r>
      <w:r>
        <w:fldChar w:fldCharType="end"/>
      </w:r>
      <w:r w:rsidRPr="0064181D">
        <w:t>.</w:t>
      </w:r>
    </w:p>
    <w:p w14:paraId="12D274A7" w14:textId="27CDE5D1" w:rsidR="000401D6" w:rsidRPr="0064181D" w:rsidRDefault="000401D6" w:rsidP="000401D6">
      <w:pPr>
        <w:pStyle w:val="Paragraph"/>
        <w:tabs>
          <w:tab w:val="clear" w:pos="1105"/>
          <w:tab w:val="num" w:pos="680"/>
        </w:tabs>
        <w:ind w:left="0"/>
      </w:pPr>
      <w:bookmarkStart w:id="244" w:name="_Ref47023862"/>
      <w:r w:rsidRPr="0064181D">
        <w:t>The licensee may choose to present a truncated calculation of the term V</w:t>
      </w:r>
      <w:r w:rsidRPr="005057DB">
        <w:rPr>
          <w:vertAlign w:val="subscript"/>
        </w:rPr>
        <w:t>rr</w:t>
      </w:r>
      <w:r w:rsidRPr="0064181D">
        <w:t xml:space="preserve"> specified in paragraph </w:t>
      </w:r>
      <w:r>
        <w:fldChar w:fldCharType="begin"/>
      </w:r>
      <w:r>
        <w:instrText xml:space="preserve"> REF _Ref47002469 \r \h </w:instrText>
      </w:r>
      <w:r>
        <w:fldChar w:fldCharType="separate"/>
      </w:r>
      <w:r w:rsidR="00C21C6D">
        <w:t>7.50</w:t>
      </w:r>
      <w:r>
        <w:fldChar w:fldCharType="end"/>
      </w:r>
      <w:r w:rsidRPr="0064181D">
        <w:t xml:space="preserve">, on a basis that is demonstrably consistent with the formula specified in paragraph </w:t>
      </w:r>
      <w:r>
        <w:fldChar w:fldCharType="begin"/>
      </w:r>
      <w:r>
        <w:instrText xml:space="preserve"> REF _Ref47002469 \r \h </w:instrText>
      </w:r>
      <w:r>
        <w:fldChar w:fldCharType="separate"/>
      </w:r>
      <w:r w:rsidR="00C21C6D">
        <w:t>7.50</w:t>
      </w:r>
      <w:r>
        <w:fldChar w:fldCharType="end"/>
      </w:r>
      <w:r w:rsidRPr="0064181D">
        <w:t>. Such a truncated calculation would include cumulative pre-valuation payment history variance values calculated for a previous reasonableness review and rolled forward for payment history variances arising since the valuation date relevant to that earlier review, discount rates and, where relevant, changes in corporation tax rates.</w:t>
      </w:r>
      <w:bookmarkEnd w:id="244"/>
      <w:r w:rsidRPr="0064181D">
        <w:t xml:space="preserve"> </w:t>
      </w:r>
    </w:p>
    <w:p w14:paraId="2ED1DF1F" w14:textId="77777777" w:rsidR="000401D6" w:rsidRPr="0064181D" w:rsidRDefault="000401D6" w:rsidP="000401D6">
      <w:pPr>
        <w:pStyle w:val="Paragraph"/>
        <w:tabs>
          <w:tab w:val="clear" w:pos="1105"/>
          <w:tab w:val="num" w:pos="680"/>
        </w:tabs>
        <w:ind w:left="0"/>
      </w:pPr>
      <w:bookmarkStart w:id="245" w:name="_Ref47003715"/>
      <w:r w:rsidRPr="0064181D">
        <w:t>The licensee should propose payment history allowances for future years y, PPH</w:t>
      </w:r>
      <w:r w:rsidRPr="0064181D">
        <w:rPr>
          <w:vertAlign w:val="subscript"/>
        </w:rPr>
        <w:t>y</w:t>
      </w:r>
      <w:r w:rsidRPr="0064181D">
        <w:t>, such that:</w:t>
      </w:r>
      <w:bookmarkEnd w:id="245"/>
    </w:p>
    <w:p w14:paraId="4469616F" w14:textId="77777777" w:rsidR="000401D6" w:rsidRPr="0064181D" w:rsidRDefault="000427EE" w:rsidP="000401D6">
      <w:pPr>
        <w:pStyle w:val="Text-bulleted"/>
        <w:numPr>
          <w:ilvl w:val="0"/>
          <w:numId w:val="0"/>
        </w:numPr>
        <w:tabs>
          <w:tab w:val="clear" w:pos="2581"/>
        </w:tabs>
        <w:spacing w:after="120"/>
        <w:ind w:left="1134"/>
        <w:rPr>
          <w:rFonts w:ascii="Cambria Math" w:hAnsi="Cambria Math"/>
          <w:i/>
          <w:sz w:val="24"/>
        </w:rPr>
      </w:pPr>
      <m:oMathPara>
        <m:oMathParaPr>
          <m:jc m:val="left"/>
        </m:oMathParaPr>
        <m:oMath>
          <m:nary>
            <m:naryPr>
              <m:chr m:val="∑"/>
              <m:limLoc m:val="undOvr"/>
              <m:ctrlPr>
                <w:rPr>
                  <w:rFonts w:ascii="Cambria Math" w:hAnsi="Cambria Math"/>
                  <w:i/>
                  <w:sz w:val="24"/>
                </w:rPr>
              </m:ctrlPr>
            </m:naryPr>
            <m:sub>
              <m:r>
                <w:rPr>
                  <w:rFonts w:ascii="Cambria Math" w:hAnsi="Cambria Math"/>
                  <w:sz w:val="24"/>
                </w:rPr>
                <m:t>y≥rr+1</m:t>
              </m:r>
            </m:sub>
            <m:sup/>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PPH</m:t>
                      </m:r>
                    </m:e>
                    <m:sub>
                      <m:r>
                        <w:rPr>
                          <w:rFonts w:ascii="Cambria Math" w:hAnsi="Cambria Math"/>
                          <w:sz w:val="24"/>
                        </w:rPr>
                        <m:t>y</m:t>
                      </m:r>
                    </m:sub>
                  </m:sSub>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m:t>
                          </m:r>
                        </m:e>
                        <m:sub>
                          <m:r>
                            <w:rPr>
                              <w:rFonts w:ascii="Cambria Math" w:hAnsi="Cambria Math"/>
                              <w:sz w:val="24"/>
                            </w:rPr>
                            <m:t>y</m:t>
                          </m:r>
                        </m:sub>
                      </m:sSub>
                      <m:r>
                        <w:rPr>
                          <w:rFonts w:ascii="Cambria Math" w:hAnsi="Cambria Math"/>
                          <w:sz w:val="24"/>
                        </w:rPr>
                        <m:t>∙</m:t>
                      </m:r>
                      <m:sSub>
                        <m:sSubPr>
                          <m:ctrlPr>
                            <w:rPr>
                              <w:rFonts w:ascii="Cambria Math" w:hAnsi="Cambria Math"/>
                              <w:i/>
                              <w:sz w:val="24"/>
                            </w:rPr>
                          </m:ctrlPr>
                        </m:sSubPr>
                        <m:e>
                          <m:r>
                            <w:rPr>
                              <w:rFonts w:ascii="Cambria Math" w:hAnsi="Cambria Math"/>
                              <w:sz w:val="24"/>
                            </w:rPr>
                            <m:t>PhDR</m:t>
                          </m:r>
                        </m:e>
                        <m:sub>
                          <m:r>
                            <w:rPr>
                              <w:rFonts w:ascii="Cambria Math" w:hAnsi="Cambria Math"/>
                              <w:sz w:val="24"/>
                            </w:rPr>
                            <m:t>y</m:t>
                          </m:r>
                        </m:sub>
                      </m:sSub>
                    </m:e>
                  </m:d>
                  <m:nary>
                    <m:naryPr>
                      <m:chr m:val="∏"/>
                      <m:limLoc m:val="undOvr"/>
                      <m:ctrlPr>
                        <w:rPr>
                          <w:rFonts w:ascii="Cambria Math" w:hAnsi="Cambria Math"/>
                          <w:i/>
                          <w:sz w:val="24"/>
                        </w:rPr>
                      </m:ctrlPr>
                    </m:naryPr>
                    <m:sub>
                      <m:r>
                        <w:rPr>
                          <w:rFonts w:ascii="Cambria Math" w:hAnsi="Cambria Math"/>
                          <w:sz w:val="24"/>
                        </w:rPr>
                        <m:t>t=rr+1</m:t>
                      </m:r>
                    </m:sub>
                    <m:sup>
                      <m:r>
                        <w:rPr>
                          <w:rFonts w:ascii="Cambria Math" w:hAnsi="Cambria Math"/>
                          <w:sz w:val="24"/>
                        </w:rPr>
                        <m:t>y</m:t>
                      </m:r>
                    </m:sup>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1</m:t>
                              </m:r>
                            </m:num>
                            <m:den>
                              <m:r>
                                <w:rPr>
                                  <w:rFonts w:ascii="Cambria Math" w:hAnsi="Cambria Math"/>
                                  <w:sz w:val="24"/>
                                </w:rPr>
                                <m:t>1+</m:t>
                              </m:r>
                              <m:sSub>
                                <m:sSubPr>
                                  <m:ctrlPr>
                                    <w:rPr>
                                      <w:rFonts w:ascii="Cambria Math" w:hAnsi="Cambria Math"/>
                                      <w:i/>
                                      <w:sz w:val="24"/>
                                    </w:rPr>
                                  </m:ctrlPr>
                                </m:sSubPr>
                                <m:e>
                                  <m:r>
                                    <w:rPr>
                                      <w:rFonts w:ascii="Cambria Math" w:hAnsi="Cambria Math"/>
                                      <w:sz w:val="24"/>
                                    </w:rPr>
                                    <m:t>PhDR</m:t>
                                  </m:r>
                                </m:e>
                                <m:sub>
                                  <m:r>
                                    <w:rPr>
                                      <w:rFonts w:ascii="Cambria Math" w:hAnsi="Cambria Math"/>
                                      <w:sz w:val="24"/>
                                    </w:rPr>
                                    <m:t>t</m:t>
                                  </m:r>
                                </m:sub>
                              </m:sSub>
                            </m:den>
                          </m:f>
                        </m:e>
                      </m:d>
                    </m:e>
                  </m:nary>
                </m:e>
              </m:d>
            </m:e>
          </m:nary>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rr</m:t>
              </m:r>
            </m:sub>
          </m:sSub>
          <m:r>
            <w:rPr>
              <w:rFonts w:ascii="Cambria Math" w:hAnsi="Cambria Math"/>
              <w:sz w:val="24"/>
            </w:rPr>
            <m:t>+ABC</m:t>
          </m:r>
        </m:oMath>
      </m:oMathPara>
    </w:p>
    <w:p w14:paraId="19CBA982" w14:textId="10138405" w:rsidR="000401D6" w:rsidRPr="0064181D" w:rsidRDefault="000401D6" w:rsidP="000401D6">
      <w:pPr>
        <w:pStyle w:val="Text-bulleted"/>
        <w:numPr>
          <w:ilvl w:val="0"/>
          <w:numId w:val="0"/>
        </w:numPr>
        <w:tabs>
          <w:tab w:val="clear" w:pos="2581"/>
        </w:tabs>
        <w:spacing w:after="120"/>
        <w:ind w:left="1134"/>
      </w:pPr>
      <w:r w:rsidRPr="0064181D">
        <w:t>PhDR</w:t>
      </w:r>
      <w:r w:rsidRPr="0064181D">
        <w:rPr>
          <w:vertAlign w:val="subscript"/>
        </w:rPr>
        <w:t>y</w:t>
      </w:r>
      <w:r w:rsidRPr="0064181D">
        <w:t xml:space="preserve"> means the discount rate for payment history allowances for year y proposed by the licensee, or the rate forecast for year y according to the licensee’s proposed basis of determining discount rates, in either case framed in accordance with paragraph </w:t>
      </w:r>
      <w:r>
        <w:fldChar w:fldCharType="begin"/>
      </w:r>
      <w:r>
        <w:instrText xml:space="preserve"> REF _Ref47028182 \r \h </w:instrText>
      </w:r>
      <w:r>
        <w:fldChar w:fldCharType="separate"/>
      </w:r>
      <w:r w:rsidR="00C21C6D">
        <w:t>7.26</w:t>
      </w:r>
      <w:r>
        <w:fldChar w:fldCharType="end"/>
      </w:r>
      <w:r w:rsidRPr="0064181D">
        <w:t>. Such a proposal may relate PhDR</w:t>
      </w:r>
      <w:r w:rsidRPr="0064181D">
        <w:rPr>
          <w:vertAlign w:val="subscript"/>
        </w:rPr>
        <w:t>y</w:t>
      </w:r>
      <w:r w:rsidRPr="0064181D">
        <w:t xml:space="preserve"> to the value of DR, the </w:t>
      </w:r>
      <w:r>
        <w:t xml:space="preserve">time </w:t>
      </w:r>
      <w:r w:rsidRPr="0064181D">
        <w:t xml:space="preserve">value of </w:t>
      </w:r>
      <w:r w:rsidR="002049BE">
        <w:t>money</w:t>
      </w:r>
      <w:r w:rsidRPr="0064181D">
        <w:t xml:space="preserve"> or rates of return on asset-backed arrangements. In the absence of any proposal, PhDR</w:t>
      </w:r>
      <w:r w:rsidRPr="0064181D">
        <w:rPr>
          <w:vertAlign w:val="subscript"/>
        </w:rPr>
        <w:t>y</w:t>
      </w:r>
      <w:r w:rsidRPr="0064181D">
        <w:t xml:space="preserve"> is </w:t>
      </w:r>
      <w:r w:rsidR="00CA5F65">
        <w:t xml:space="preserve">the time value of money in period rr+1 calculated in accordance with paragraphs </w:t>
      </w:r>
      <w:r w:rsidR="00CA5F65" w:rsidRPr="00A836EA">
        <w:fldChar w:fldCharType="begin"/>
      </w:r>
      <w:r w:rsidR="00CA5F65" w:rsidRPr="00A836EA">
        <w:instrText xml:space="preserve"> REF _Ref48750278 \r \h </w:instrText>
      </w:r>
      <w:r w:rsidR="00CA5F65" w:rsidRPr="00A836EA">
        <w:fldChar w:fldCharType="separate"/>
      </w:r>
      <w:r w:rsidR="00C21C6D">
        <w:t>2.13</w:t>
      </w:r>
      <w:r w:rsidR="00CA5F65" w:rsidRPr="00A836EA">
        <w:fldChar w:fldCharType="end"/>
      </w:r>
      <w:r w:rsidR="00CA5F65" w:rsidRPr="00A836EA">
        <w:t xml:space="preserve"> and </w:t>
      </w:r>
      <w:r w:rsidR="00CA5F65" w:rsidRPr="00A836EA">
        <w:fldChar w:fldCharType="begin"/>
      </w:r>
      <w:r w:rsidR="00CA5F65" w:rsidRPr="00A836EA">
        <w:instrText xml:space="preserve"> REF _Ref48750288 \r \h </w:instrText>
      </w:r>
      <w:r w:rsidR="00CA5F65" w:rsidRPr="00A836EA">
        <w:fldChar w:fldCharType="separate"/>
      </w:r>
      <w:r w:rsidR="00C21C6D">
        <w:t>2.14</w:t>
      </w:r>
      <w:r w:rsidR="00CA5F65" w:rsidRPr="00A836EA">
        <w:fldChar w:fldCharType="end"/>
      </w:r>
      <w:r w:rsidRPr="0064181D">
        <w:t>.</w:t>
      </w:r>
    </w:p>
    <w:p w14:paraId="35328CF6" w14:textId="793DF081" w:rsidR="000401D6" w:rsidRPr="0064181D" w:rsidRDefault="000401D6" w:rsidP="000401D6">
      <w:pPr>
        <w:pStyle w:val="Text-bulleted"/>
        <w:numPr>
          <w:ilvl w:val="0"/>
          <w:numId w:val="0"/>
        </w:numPr>
        <w:tabs>
          <w:tab w:val="clear" w:pos="2581"/>
        </w:tabs>
        <w:spacing w:after="120"/>
        <w:ind w:left="1134"/>
      </w:pPr>
      <w:r w:rsidRPr="0064181D">
        <w:t xml:space="preserve">ABC means the deemed present value as at the end of the Reasonableness Review year of the cumulative funding of asset-backed arrangements through negative cumulative payment history variances up to the valuation date and where those assets are available under an agreement with pension scheme trustees only for future funding of an established deficit or for recovery on behalf of consumers, for example in the event that pension surpluses arise. Where relevant, the value should be determined using a methodology for the evaluation of ABV (see paragraph </w:t>
      </w:r>
      <w:r>
        <w:fldChar w:fldCharType="begin"/>
      </w:r>
      <w:r>
        <w:instrText xml:space="preserve"> REF _Ref47023980 \r \h </w:instrText>
      </w:r>
      <w:r>
        <w:fldChar w:fldCharType="separate"/>
      </w:r>
      <w:r w:rsidR="00C21C6D">
        <w:t>7.48</w:t>
      </w:r>
      <w:r>
        <w:fldChar w:fldCharType="end"/>
      </w:r>
      <w:r w:rsidRPr="0064181D">
        <w:t xml:space="preserve">) and ABC agreed in writing by the Authority at or close to the inception of an arrangement, the Authority giving its reasons why it considers the </w:t>
      </w:r>
      <w:r w:rsidRPr="0064181D">
        <w:lastRenderedPageBreak/>
        <w:t xml:space="preserve">methodology furthers the interests of consumers. In the absence of any such agreement, ABC should be set at the present value of ABV specified in paragraph </w:t>
      </w:r>
      <w:r>
        <w:fldChar w:fldCharType="begin"/>
      </w:r>
      <w:r>
        <w:instrText xml:space="preserve"> REF _Ref47023980 \r \h </w:instrText>
      </w:r>
      <w:r>
        <w:fldChar w:fldCharType="separate"/>
      </w:r>
      <w:r w:rsidR="00C21C6D">
        <w:t>7.48</w:t>
      </w:r>
      <w:r>
        <w:fldChar w:fldCharType="end"/>
      </w:r>
      <w:r w:rsidRPr="0064181D">
        <w:t xml:space="preserve"> as at the end of the reasonableness review year, after applying appropriate discount rates (generally hDR</w:t>
      </w:r>
      <w:r w:rsidRPr="0064181D">
        <w:rPr>
          <w:vertAlign w:val="subscript"/>
        </w:rPr>
        <w:t>y</w:t>
      </w:r>
      <w:r w:rsidRPr="0064181D">
        <w:t>).</w:t>
      </w:r>
    </w:p>
    <w:p w14:paraId="6F567DB3" w14:textId="77777777" w:rsidR="000401D6" w:rsidRPr="00210079" w:rsidRDefault="000427EE" w:rsidP="000401D6">
      <w:pPr>
        <w:pStyle w:val="Text-bulleted"/>
        <w:numPr>
          <w:ilvl w:val="0"/>
          <w:numId w:val="0"/>
        </w:numPr>
        <w:tabs>
          <w:tab w:val="clear" w:pos="2581"/>
        </w:tabs>
        <w:spacing w:after="120"/>
        <w:ind w:left="1134"/>
        <w:rPr>
          <w:sz w:val="24"/>
        </w:rPr>
      </w:pPr>
      <m:oMathPara>
        <m:oMathParaPr>
          <m:jc m:val="left"/>
        </m:oMathParaPr>
        <m:oMath>
          <m:sSub>
            <m:sSubPr>
              <m:ctrlPr>
                <w:rPr>
                  <w:rFonts w:ascii="Cambria Math" w:hAnsi="Cambria Math"/>
                  <w:i/>
                  <w:sz w:val="24"/>
                </w:rPr>
              </m:ctrlPr>
            </m:sSubPr>
            <m:e>
              <m:r>
                <w:rPr>
                  <w:rFonts w:ascii="Cambria Math" w:hAnsi="Cambria Math"/>
                  <w:sz w:val="24"/>
                </w:rPr>
                <m:t>h</m:t>
              </m:r>
            </m:e>
            <m:sub>
              <m:r>
                <w:rPr>
                  <w:rFonts w:ascii="Cambria Math" w:hAnsi="Cambria Math"/>
                  <w:sz w:val="24"/>
                </w:rPr>
                <m:t>y</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2+</m:t>
              </m:r>
              <m:sSub>
                <m:sSubPr>
                  <m:ctrlPr>
                    <w:rPr>
                      <w:rFonts w:ascii="Cambria Math" w:hAnsi="Cambria Math"/>
                      <w:i/>
                      <w:sz w:val="24"/>
                    </w:rPr>
                  </m:ctrlPr>
                </m:sSubPr>
                <m:e>
                  <m:r>
                    <w:rPr>
                      <w:rFonts w:ascii="Cambria Math" w:hAnsi="Cambria Math"/>
                      <w:sz w:val="24"/>
                    </w:rPr>
                    <m:t>PhDR</m:t>
                  </m:r>
                </m:e>
                <m:sub>
                  <m:r>
                    <w:rPr>
                      <w:rFonts w:ascii="Cambria Math" w:hAnsi="Cambria Math"/>
                      <w:sz w:val="24"/>
                    </w:rPr>
                    <m:t>y</m:t>
                  </m:r>
                </m:sub>
              </m:sSub>
            </m:den>
          </m:f>
          <m:r>
            <w:rPr>
              <w:rFonts w:ascii="Cambria Math" w:hAnsi="Cambria Math"/>
              <w:sz w:val="24"/>
            </w:rPr>
            <m:t xml:space="preserve"> </m:t>
          </m:r>
        </m:oMath>
      </m:oMathPara>
    </w:p>
    <w:p w14:paraId="0BBEB427" w14:textId="77777777" w:rsidR="001D3031" w:rsidRDefault="001D3031" w:rsidP="00A836EA">
      <w:pPr>
        <w:spacing w:line="240" w:lineRule="auto"/>
      </w:pPr>
    </w:p>
    <w:p w14:paraId="550CAB5F" w14:textId="0E7A7A9E" w:rsidR="00A836EA" w:rsidRPr="00A836EA" w:rsidRDefault="00A836EA" w:rsidP="00A836EA">
      <w:pPr>
        <w:spacing w:line="240" w:lineRule="auto"/>
      </w:pPr>
      <w:r w:rsidRPr="00A836EA">
        <w:br w:type="page"/>
      </w:r>
    </w:p>
    <w:p w14:paraId="76D9F1BB" w14:textId="4A7DDA5D" w:rsidR="00E65068" w:rsidRDefault="00E65068" w:rsidP="00E65068">
      <w:pPr>
        <w:pStyle w:val="Sectiontitle"/>
      </w:pPr>
      <w:bookmarkStart w:id="246" w:name="_Ref44425145"/>
      <w:bookmarkStart w:id="247" w:name="_Toc49194347"/>
      <w:bookmarkStart w:id="248" w:name="_Toc49249267"/>
      <w:bookmarkStart w:id="249" w:name="_Toc52357122"/>
      <w:bookmarkEnd w:id="160"/>
      <w:r>
        <w:lastRenderedPageBreak/>
        <w:t>Legacy</w:t>
      </w:r>
      <w:bookmarkEnd w:id="246"/>
      <w:bookmarkEnd w:id="247"/>
      <w:bookmarkEnd w:id="248"/>
      <w:bookmarkEnd w:id="249"/>
    </w:p>
    <w:p w14:paraId="28FE2625" w14:textId="30AE4FB6" w:rsidR="002F62F4" w:rsidRDefault="003A6DE4" w:rsidP="00D94B0D">
      <w:pPr>
        <w:pStyle w:val="Paragraph"/>
        <w:tabs>
          <w:tab w:val="clear" w:pos="1105"/>
          <w:tab w:val="num" w:pos="680"/>
        </w:tabs>
        <w:ind w:left="0"/>
      </w:pPr>
      <w:bookmarkStart w:id="250" w:name="_Toc121908412"/>
      <w:bookmarkStart w:id="251" w:name="_Toc122252096"/>
      <w:bookmarkStart w:id="252" w:name="_Toc122265829"/>
      <w:bookmarkStart w:id="253" w:name="_Toc122509019"/>
      <w:bookmarkStart w:id="254" w:name="_Toc284412150"/>
      <w:bookmarkStart w:id="255" w:name="_Toc513709502"/>
      <w:r>
        <w:t>[to be done … ]</w:t>
      </w:r>
    </w:p>
    <w:p w14:paraId="1F47A099" w14:textId="4CA03DA7" w:rsidR="00183414" w:rsidRPr="0088576C" w:rsidRDefault="00183414" w:rsidP="0088576C">
      <w:pPr>
        <w:spacing w:line="240" w:lineRule="auto"/>
        <w:rPr>
          <w:szCs w:val="20"/>
        </w:rPr>
      </w:pPr>
    </w:p>
    <w:p w14:paraId="66BBAAA2" w14:textId="77777777" w:rsidR="003A6DE4" w:rsidRDefault="003A6DE4">
      <w:pPr>
        <w:spacing w:line="240" w:lineRule="auto"/>
        <w:rPr>
          <w:b/>
          <w:color w:val="F68220"/>
          <w:sz w:val="28"/>
        </w:rPr>
      </w:pPr>
      <w:r>
        <w:br w:type="page"/>
      </w:r>
    </w:p>
    <w:p w14:paraId="30302FFC" w14:textId="0C81B2F9" w:rsidR="00A45CFA" w:rsidRDefault="00EA1299" w:rsidP="00F94AF9">
      <w:pPr>
        <w:pStyle w:val="Heading1"/>
      </w:pPr>
      <w:bookmarkStart w:id="256" w:name="_Toc49194349"/>
      <w:bookmarkStart w:id="257" w:name="_Toc49249269"/>
      <w:bookmarkStart w:id="258" w:name="_Toc52357123"/>
      <w:r w:rsidRPr="00EA1299">
        <w:lastRenderedPageBreak/>
        <w:t>Appendices</w:t>
      </w:r>
      <w:bookmarkEnd w:id="250"/>
      <w:bookmarkEnd w:id="251"/>
      <w:bookmarkEnd w:id="252"/>
      <w:bookmarkEnd w:id="253"/>
      <w:bookmarkEnd w:id="254"/>
      <w:bookmarkEnd w:id="255"/>
      <w:bookmarkEnd w:id="256"/>
      <w:bookmarkEnd w:id="257"/>
      <w:bookmarkEnd w:id="258"/>
    </w:p>
    <w:p w14:paraId="30302FFD" w14:textId="55E8295A" w:rsidR="00A45CFA" w:rsidRDefault="00A45CFA">
      <w:pPr>
        <w:tabs>
          <w:tab w:val="left" w:pos="2581"/>
        </w:tabs>
        <w:rPr>
          <w:rStyle w:val="Textbox-BulletedBoldGreyChar"/>
          <w:szCs w:val="20"/>
        </w:rPr>
      </w:pPr>
    </w:p>
    <w:p w14:paraId="30302FFE" w14:textId="77777777" w:rsidR="00467402" w:rsidRDefault="00467402">
      <w:pPr>
        <w:tabs>
          <w:tab w:val="left" w:pos="2581"/>
        </w:tabs>
        <w:rPr>
          <w:rStyle w:val="Textbox-BulletedBoldGreyChar"/>
          <w:szCs w:val="20"/>
        </w:rPr>
      </w:pPr>
    </w:p>
    <w:p w14:paraId="30302FFF" w14:textId="77777777" w:rsidR="00467402" w:rsidRDefault="00467402">
      <w:pPr>
        <w:tabs>
          <w:tab w:val="left" w:pos="2581"/>
        </w:tabs>
        <w:rPr>
          <w:rStyle w:val="Textbox-BulletedBoldGreyChar"/>
          <w:szCs w:val="20"/>
        </w:rPr>
      </w:pPr>
    </w:p>
    <w:p w14:paraId="30303000" w14:textId="77777777" w:rsidR="00467402" w:rsidRDefault="00467402">
      <w:pPr>
        <w:tabs>
          <w:tab w:val="left" w:pos="2581"/>
        </w:tabs>
      </w:pPr>
    </w:p>
    <w:p w14:paraId="30303001" w14:textId="77777777" w:rsidR="00A45CFA" w:rsidRDefault="00A45CFA" w:rsidP="00A37902">
      <w:pPr>
        <w:pStyle w:val="Indexhead"/>
      </w:pPr>
      <w:r>
        <w:t>Index</w:t>
      </w:r>
    </w:p>
    <w:p w14:paraId="30303002" w14:textId="77777777" w:rsidR="00A45CFA" w:rsidRDefault="00A45CFA" w:rsidP="00A37902">
      <w:pPr>
        <w:tabs>
          <w:tab w:val="left" w:pos="2581"/>
        </w:tabs>
      </w:pPr>
    </w:p>
    <w:tbl>
      <w:tblPr>
        <w:tblW w:w="9486" w:type="dxa"/>
        <w:tblLayout w:type="fixed"/>
        <w:tblLook w:val="0000" w:firstRow="0" w:lastRow="0" w:firstColumn="0" w:lastColumn="0" w:noHBand="0" w:noVBand="0"/>
      </w:tblPr>
      <w:tblGrid>
        <w:gridCol w:w="2324"/>
        <w:gridCol w:w="5008"/>
        <w:gridCol w:w="2154"/>
      </w:tblGrid>
      <w:tr w:rsidR="00A45CFA" w14:paraId="30303006" w14:textId="77777777" w:rsidTr="00B8200A">
        <w:trPr>
          <w:trHeight w:val="380"/>
        </w:trPr>
        <w:tc>
          <w:tcPr>
            <w:tcW w:w="2324" w:type="dxa"/>
            <w:shd w:val="clear" w:color="auto" w:fill="E0E0E0"/>
            <w:vAlign w:val="center"/>
          </w:tcPr>
          <w:p w14:paraId="30303003" w14:textId="77777777" w:rsidR="00A45CFA" w:rsidRPr="001773DB" w:rsidRDefault="001773DB" w:rsidP="00A37902">
            <w:pPr>
              <w:pStyle w:val="Tablehead"/>
            </w:pPr>
            <w:r w:rsidRPr="001773DB">
              <w:t>Appendix</w:t>
            </w:r>
          </w:p>
        </w:tc>
        <w:tc>
          <w:tcPr>
            <w:tcW w:w="5008" w:type="dxa"/>
            <w:shd w:val="clear" w:color="auto" w:fill="E0E0E0"/>
            <w:vAlign w:val="center"/>
          </w:tcPr>
          <w:p w14:paraId="30303004" w14:textId="77777777" w:rsidR="00A45CFA" w:rsidRDefault="001773DB" w:rsidP="00A37902">
            <w:pPr>
              <w:pStyle w:val="Tablehead"/>
              <w:rPr>
                <w:bCs/>
              </w:rPr>
            </w:pPr>
            <w:r>
              <w:rPr>
                <w:bCs/>
              </w:rPr>
              <w:t>Name of Appendix</w:t>
            </w:r>
          </w:p>
        </w:tc>
        <w:tc>
          <w:tcPr>
            <w:tcW w:w="2154" w:type="dxa"/>
            <w:shd w:val="clear" w:color="auto" w:fill="E0E0E0"/>
            <w:vAlign w:val="center"/>
          </w:tcPr>
          <w:p w14:paraId="30303005" w14:textId="77777777" w:rsidR="00A45CFA" w:rsidRPr="001773DB" w:rsidRDefault="001773DB" w:rsidP="00A37902">
            <w:pPr>
              <w:pStyle w:val="Tablehead"/>
            </w:pPr>
            <w:r>
              <w:t>Page N</w:t>
            </w:r>
            <w:r w:rsidR="00B8200A">
              <w:t>o.</w:t>
            </w:r>
          </w:p>
        </w:tc>
      </w:tr>
      <w:tr w:rsidR="00A45CFA" w14:paraId="3030300A" w14:textId="77777777" w:rsidTr="00B8200A">
        <w:trPr>
          <w:trHeight w:val="380"/>
        </w:trPr>
        <w:tc>
          <w:tcPr>
            <w:tcW w:w="2324" w:type="dxa"/>
            <w:vAlign w:val="center"/>
          </w:tcPr>
          <w:p w14:paraId="30303007" w14:textId="77777777" w:rsidR="00A45CFA" w:rsidRDefault="00A45CFA" w:rsidP="00A37902">
            <w:r>
              <w:t>1</w:t>
            </w:r>
          </w:p>
        </w:tc>
        <w:tc>
          <w:tcPr>
            <w:tcW w:w="5008" w:type="dxa"/>
            <w:vAlign w:val="center"/>
          </w:tcPr>
          <w:p w14:paraId="30303008" w14:textId="13992FD9" w:rsidR="00A45CFA" w:rsidRPr="00961DE2" w:rsidRDefault="00A579EB" w:rsidP="00A37902">
            <w:pPr>
              <w:pStyle w:val="TableText-LeftAligned"/>
            </w:pPr>
            <w:r>
              <w:t>Glossary</w:t>
            </w:r>
          </w:p>
        </w:tc>
        <w:tc>
          <w:tcPr>
            <w:tcW w:w="2154" w:type="dxa"/>
            <w:vAlign w:val="center"/>
          </w:tcPr>
          <w:p w14:paraId="30303009" w14:textId="608B8011" w:rsidR="00B8200A" w:rsidRDefault="005565A6" w:rsidP="005057DB">
            <w:pPr>
              <w:pStyle w:val="TableText-LeftAligned"/>
            </w:pPr>
            <w:r w:rsidRPr="00FE32D6">
              <w:t>6</w:t>
            </w:r>
            <w:r w:rsidR="005057DB" w:rsidRPr="00FE32D6">
              <w:t>5</w:t>
            </w:r>
          </w:p>
        </w:tc>
      </w:tr>
      <w:tr w:rsidR="00A45CFA" w14:paraId="3030300E" w14:textId="77777777" w:rsidTr="00B8200A">
        <w:trPr>
          <w:trHeight w:val="380"/>
        </w:trPr>
        <w:tc>
          <w:tcPr>
            <w:tcW w:w="2324" w:type="dxa"/>
            <w:vAlign w:val="center"/>
          </w:tcPr>
          <w:p w14:paraId="3030300B" w14:textId="77777777" w:rsidR="00A45CFA" w:rsidRDefault="00A45CFA" w:rsidP="00A37902">
            <w:r>
              <w:t>2</w:t>
            </w:r>
          </w:p>
        </w:tc>
        <w:tc>
          <w:tcPr>
            <w:tcW w:w="5008" w:type="dxa"/>
            <w:vAlign w:val="center"/>
          </w:tcPr>
          <w:p w14:paraId="3030300C" w14:textId="207097EE" w:rsidR="00A45CFA" w:rsidRPr="00365389" w:rsidRDefault="00A579EB" w:rsidP="00A37902">
            <w:pPr>
              <w:pStyle w:val="TableText-LeftAligned"/>
            </w:pPr>
            <w:r>
              <w:t>Totex Incentive Mechanism</w:t>
            </w:r>
          </w:p>
        </w:tc>
        <w:tc>
          <w:tcPr>
            <w:tcW w:w="2154" w:type="dxa"/>
            <w:vAlign w:val="center"/>
          </w:tcPr>
          <w:p w14:paraId="3030300D" w14:textId="724E5FA5" w:rsidR="00A45CFA" w:rsidRDefault="001D3031" w:rsidP="005565A6">
            <w:pPr>
              <w:pStyle w:val="TableText-LeftAligned"/>
            </w:pPr>
            <w:r>
              <w:rPr>
                <w:highlight w:val="yellow"/>
              </w:rPr>
              <w:fldChar w:fldCharType="begin"/>
            </w:r>
            <w:r>
              <w:instrText xml:space="preserve"> PAGEREF _Ref52021364 \h </w:instrText>
            </w:r>
            <w:r>
              <w:rPr>
                <w:highlight w:val="yellow"/>
              </w:rPr>
            </w:r>
            <w:r>
              <w:rPr>
                <w:highlight w:val="yellow"/>
              </w:rPr>
              <w:fldChar w:fldCharType="separate"/>
            </w:r>
            <w:r w:rsidR="00C21C6D">
              <w:rPr>
                <w:noProof/>
              </w:rPr>
              <w:t>66</w:t>
            </w:r>
            <w:r>
              <w:rPr>
                <w:highlight w:val="yellow"/>
              </w:rPr>
              <w:fldChar w:fldCharType="end"/>
            </w:r>
          </w:p>
        </w:tc>
      </w:tr>
      <w:tr w:rsidR="00365389" w14:paraId="30303012" w14:textId="77777777" w:rsidTr="00B8200A">
        <w:trPr>
          <w:trHeight w:val="380"/>
        </w:trPr>
        <w:tc>
          <w:tcPr>
            <w:tcW w:w="2324" w:type="dxa"/>
            <w:vAlign w:val="center"/>
          </w:tcPr>
          <w:p w14:paraId="3030300F" w14:textId="48D07EFF" w:rsidR="00365389" w:rsidRPr="005565A6" w:rsidRDefault="00365389" w:rsidP="00A37902">
            <w:pPr>
              <w:rPr>
                <w:highlight w:val="yellow"/>
              </w:rPr>
            </w:pPr>
          </w:p>
        </w:tc>
        <w:tc>
          <w:tcPr>
            <w:tcW w:w="5008" w:type="dxa"/>
            <w:vAlign w:val="center"/>
          </w:tcPr>
          <w:p w14:paraId="30303010" w14:textId="4A631454" w:rsidR="00365389" w:rsidRPr="005565A6" w:rsidRDefault="00365389" w:rsidP="00A37902">
            <w:pPr>
              <w:pStyle w:val="TableText-LeftAligned"/>
              <w:rPr>
                <w:highlight w:val="yellow"/>
              </w:rPr>
            </w:pPr>
          </w:p>
        </w:tc>
        <w:tc>
          <w:tcPr>
            <w:tcW w:w="2154" w:type="dxa"/>
            <w:vAlign w:val="center"/>
          </w:tcPr>
          <w:p w14:paraId="30303011" w14:textId="5A326A21" w:rsidR="00365389" w:rsidRDefault="00365389" w:rsidP="00A37902"/>
        </w:tc>
      </w:tr>
      <w:tr w:rsidR="00365389" w14:paraId="30303016" w14:textId="77777777" w:rsidTr="00B8200A">
        <w:trPr>
          <w:trHeight w:val="380"/>
        </w:trPr>
        <w:tc>
          <w:tcPr>
            <w:tcW w:w="2324" w:type="dxa"/>
            <w:vAlign w:val="center"/>
          </w:tcPr>
          <w:p w14:paraId="30303013" w14:textId="2A5D8829" w:rsidR="00365389" w:rsidRPr="005565A6" w:rsidRDefault="00365389" w:rsidP="00A37902">
            <w:pPr>
              <w:rPr>
                <w:highlight w:val="yellow"/>
              </w:rPr>
            </w:pPr>
          </w:p>
        </w:tc>
        <w:tc>
          <w:tcPr>
            <w:tcW w:w="5008" w:type="dxa"/>
            <w:vAlign w:val="center"/>
          </w:tcPr>
          <w:p w14:paraId="30303014" w14:textId="01A4CD1D" w:rsidR="00365389" w:rsidRPr="005565A6" w:rsidRDefault="00365389" w:rsidP="00A37902">
            <w:pPr>
              <w:pStyle w:val="TableText-LeftAligned"/>
              <w:rPr>
                <w:highlight w:val="yellow"/>
              </w:rPr>
            </w:pPr>
          </w:p>
        </w:tc>
        <w:tc>
          <w:tcPr>
            <w:tcW w:w="2154" w:type="dxa"/>
            <w:vAlign w:val="center"/>
          </w:tcPr>
          <w:p w14:paraId="30303015" w14:textId="5B1E4882" w:rsidR="00365389" w:rsidRDefault="00365389" w:rsidP="00A37902"/>
        </w:tc>
      </w:tr>
      <w:tr w:rsidR="00365389" w14:paraId="3030301A" w14:textId="77777777" w:rsidTr="00B8200A">
        <w:trPr>
          <w:trHeight w:val="380"/>
        </w:trPr>
        <w:tc>
          <w:tcPr>
            <w:tcW w:w="2324" w:type="dxa"/>
            <w:vAlign w:val="center"/>
          </w:tcPr>
          <w:p w14:paraId="30303017" w14:textId="083F9E24" w:rsidR="00365389" w:rsidRPr="005565A6" w:rsidRDefault="00365389" w:rsidP="00A37902">
            <w:pPr>
              <w:pStyle w:val="TableText-LeftAligned"/>
              <w:rPr>
                <w:highlight w:val="yellow"/>
              </w:rPr>
            </w:pPr>
          </w:p>
        </w:tc>
        <w:tc>
          <w:tcPr>
            <w:tcW w:w="5008" w:type="dxa"/>
            <w:vAlign w:val="center"/>
          </w:tcPr>
          <w:p w14:paraId="30303018" w14:textId="613D5054" w:rsidR="00365389" w:rsidRPr="005565A6" w:rsidRDefault="00365389" w:rsidP="00A37902">
            <w:pPr>
              <w:pStyle w:val="TableText-LeftAligned"/>
              <w:rPr>
                <w:highlight w:val="yellow"/>
              </w:rPr>
            </w:pPr>
          </w:p>
        </w:tc>
        <w:tc>
          <w:tcPr>
            <w:tcW w:w="2154" w:type="dxa"/>
            <w:vAlign w:val="center"/>
          </w:tcPr>
          <w:p w14:paraId="30303019" w14:textId="33D078DF" w:rsidR="00365389" w:rsidRDefault="00365389" w:rsidP="00A37902"/>
        </w:tc>
      </w:tr>
      <w:tr w:rsidR="00365389" w14:paraId="3030301E" w14:textId="77777777" w:rsidTr="00B8200A">
        <w:trPr>
          <w:trHeight w:val="380"/>
        </w:trPr>
        <w:tc>
          <w:tcPr>
            <w:tcW w:w="2324" w:type="dxa"/>
            <w:vAlign w:val="center"/>
          </w:tcPr>
          <w:p w14:paraId="3030301B" w14:textId="76AF5ECB" w:rsidR="00365389" w:rsidRPr="005565A6" w:rsidRDefault="00365389" w:rsidP="00A37902">
            <w:pPr>
              <w:pStyle w:val="TableText-LeftAligned"/>
              <w:rPr>
                <w:highlight w:val="yellow"/>
              </w:rPr>
            </w:pPr>
          </w:p>
        </w:tc>
        <w:tc>
          <w:tcPr>
            <w:tcW w:w="5008" w:type="dxa"/>
            <w:vAlign w:val="center"/>
          </w:tcPr>
          <w:p w14:paraId="3030301C" w14:textId="0BA2915D" w:rsidR="00365389" w:rsidRPr="005565A6" w:rsidRDefault="00365389" w:rsidP="00A37902">
            <w:pPr>
              <w:pStyle w:val="TableText-LeftAligned"/>
              <w:rPr>
                <w:highlight w:val="yellow"/>
              </w:rPr>
            </w:pPr>
          </w:p>
        </w:tc>
        <w:tc>
          <w:tcPr>
            <w:tcW w:w="2154" w:type="dxa"/>
            <w:vAlign w:val="center"/>
          </w:tcPr>
          <w:p w14:paraId="3030301D" w14:textId="5FB9CE17" w:rsidR="00365389" w:rsidRDefault="00365389" w:rsidP="00A37902"/>
        </w:tc>
      </w:tr>
      <w:tr w:rsidR="00365389" w14:paraId="30303022" w14:textId="77777777" w:rsidTr="00B8200A">
        <w:trPr>
          <w:trHeight w:val="380"/>
        </w:trPr>
        <w:tc>
          <w:tcPr>
            <w:tcW w:w="2324" w:type="dxa"/>
            <w:vAlign w:val="center"/>
          </w:tcPr>
          <w:p w14:paraId="3030301F" w14:textId="77777777" w:rsidR="00365389" w:rsidRDefault="00365389" w:rsidP="00961DE2"/>
        </w:tc>
        <w:tc>
          <w:tcPr>
            <w:tcW w:w="5008" w:type="dxa"/>
            <w:vAlign w:val="center"/>
          </w:tcPr>
          <w:p w14:paraId="30303020" w14:textId="77777777" w:rsidR="00365389" w:rsidRPr="00961DE2" w:rsidRDefault="00365389" w:rsidP="00EF5376">
            <w:pPr>
              <w:pStyle w:val="TableText-LeftAligned"/>
            </w:pPr>
          </w:p>
        </w:tc>
        <w:tc>
          <w:tcPr>
            <w:tcW w:w="2154" w:type="dxa"/>
            <w:vAlign w:val="center"/>
          </w:tcPr>
          <w:p w14:paraId="30303021" w14:textId="77777777" w:rsidR="00365389" w:rsidRDefault="00365389" w:rsidP="00961DE2"/>
        </w:tc>
      </w:tr>
      <w:tr w:rsidR="00365389" w14:paraId="30303026" w14:textId="77777777" w:rsidTr="00B8200A">
        <w:trPr>
          <w:trHeight w:val="380"/>
        </w:trPr>
        <w:tc>
          <w:tcPr>
            <w:tcW w:w="2324" w:type="dxa"/>
            <w:vAlign w:val="center"/>
          </w:tcPr>
          <w:p w14:paraId="30303023" w14:textId="77777777" w:rsidR="00365389" w:rsidRDefault="00365389">
            <w:pPr>
              <w:pStyle w:val="TableText-LeftAligned"/>
              <w:jc w:val="center"/>
            </w:pPr>
          </w:p>
        </w:tc>
        <w:tc>
          <w:tcPr>
            <w:tcW w:w="5008" w:type="dxa"/>
            <w:vAlign w:val="center"/>
          </w:tcPr>
          <w:p w14:paraId="30303024" w14:textId="77777777" w:rsidR="00365389" w:rsidRPr="00961DE2" w:rsidRDefault="00365389" w:rsidP="00EF5376">
            <w:pPr>
              <w:pStyle w:val="TableText-LeftAligned"/>
            </w:pPr>
          </w:p>
        </w:tc>
        <w:tc>
          <w:tcPr>
            <w:tcW w:w="2154" w:type="dxa"/>
            <w:vAlign w:val="center"/>
          </w:tcPr>
          <w:p w14:paraId="30303025" w14:textId="77777777" w:rsidR="00365389" w:rsidRDefault="00365389" w:rsidP="00961DE2"/>
        </w:tc>
      </w:tr>
      <w:tr w:rsidR="00365389" w14:paraId="3030302A" w14:textId="77777777" w:rsidTr="00B8200A">
        <w:trPr>
          <w:trHeight w:val="380"/>
        </w:trPr>
        <w:tc>
          <w:tcPr>
            <w:tcW w:w="2324" w:type="dxa"/>
            <w:vAlign w:val="center"/>
          </w:tcPr>
          <w:p w14:paraId="30303027" w14:textId="77777777" w:rsidR="00365389" w:rsidRDefault="00365389">
            <w:pPr>
              <w:pStyle w:val="TableText-LeftAligned"/>
              <w:jc w:val="center"/>
            </w:pPr>
          </w:p>
        </w:tc>
        <w:tc>
          <w:tcPr>
            <w:tcW w:w="5008" w:type="dxa"/>
            <w:vAlign w:val="center"/>
          </w:tcPr>
          <w:p w14:paraId="30303028" w14:textId="77777777" w:rsidR="00365389" w:rsidRDefault="00365389">
            <w:pPr>
              <w:pStyle w:val="TableText-LeftAligned"/>
            </w:pPr>
          </w:p>
        </w:tc>
        <w:tc>
          <w:tcPr>
            <w:tcW w:w="2154" w:type="dxa"/>
            <w:vAlign w:val="center"/>
          </w:tcPr>
          <w:p w14:paraId="30303029" w14:textId="77777777" w:rsidR="00365389" w:rsidRDefault="00365389" w:rsidP="00961DE2"/>
        </w:tc>
      </w:tr>
    </w:tbl>
    <w:p w14:paraId="3030302B" w14:textId="77777777" w:rsidR="00A45CFA" w:rsidRDefault="00A45CFA">
      <w:pPr>
        <w:tabs>
          <w:tab w:val="left" w:pos="2581"/>
        </w:tabs>
      </w:pPr>
    </w:p>
    <w:p w14:paraId="3030302C" w14:textId="77777777" w:rsidR="002D412C" w:rsidRDefault="002D412C" w:rsidP="004E6281"/>
    <w:p w14:paraId="3030302D" w14:textId="77777777" w:rsidR="00B8200A" w:rsidRDefault="00B8200A">
      <w:r>
        <w:br w:type="page"/>
      </w:r>
    </w:p>
    <w:p w14:paraId="3030302E" w14:textId="67EB0B59" w:rsidR="00B8200A" w:rsidRPr="00B8200A" w:rsidRDefault="00C00E69" w:rsidP="00DD215E">
      <w:pPr>
        <w:pStyle w:val="AppendixSection"/>
        <w:numPr>
          <w:ilvl w:val="0"/>
          <w:numId w:val="0"/>
        </w:numPr>
      </w:pPr>
      <w:bookmarkStart w:id="259" w:name="_Toc122252097"/>
      <w:bookmarkStart w:id="260" w:name="_Toc122265830"/>
      <w:bookmarkStart w:id="261" w:name="_Toc122509020"/>
      <w:bookmarkStart w:id="262" w:name="_Toc122842873"/>
      <w:bookmarkStart w:id="263" w:name="_Toc284412151"/>
      <w:r w:rsidRPr="00F94AF9">
        <w:lastRenderedPageBreak/>
        <w:t>Appendix</w:t>
      </w:r>
      <w:r w:rsidR="00A45CFA" w:rsidRPr="00F94AF9">
        <w:t xml:space="preserve"> 1</w:t>
      </w:r>
      <w:bookmarkEnd w:id="259"/>
      <w:bookmarkEnd w:id="260"/>
      <w:bookmarkEnd w:id="261"/>
      <w:bookmarkEnd w:id="262"/>
      <w:bookmarkEnd w:id="263"/>
      <w:r w:rsidR="002F62F4">
        <w:t xml:space="preserve"> - Glossary</w:t>
      </w:r>
    </w:p>
    <w:p w14:paraId="30303053" w14:textId="19EB74DD" w:rsidR="00CE76F5" w:rsidRDefault="002F62F4">
      <w:r>
        <w:t>[to be d</w:t>
      </w:r>
      <w:r w:rsidR="00636136">
        <w:t>on</w:t>
      </w:r>
      <w:r>
        <w:t>e</w:t>
      </w:r>
      <w:r w:rsidR="00352156">
        <w:t xml:space="preserve">… </w:t>
      </w:r>
      <w:r>
        <w:t>]</w:t>
      </w:r>
    </w:p>
    <w:p w14:paraId="69EA4F2D" w14:textId="77777777" w:rsidR="002F62F4" w:rsidRDefault="002F62F4"/>
    <w:p w14:paraId="3030307F" w14:textId="77777777" w:rsidR="00666DA4" w:rsidRDefault="00666DA4" w:rsidP="00A37902">
      <w:pPr>
        <w:pStyle w:val="GlossaryHead"/>
      </w:pPr>
      <w:r>
        <w:t>A</w:t>
      </w:r>
    </w:p>
    <w:p w14:paraId="30303080" w14:textId="77777777" w:rsidR="006F5C2A" w:rsidRDefault="006F5C2A" w:rsidP="00A37902">
      <w:pPr>
        <w:pStyle w:val="GlossaryHead"/>
      </w:pPr>
    </w:p>
    <w:p w14:paraId="30303081" w14:textId="77777777" w:rsidR="00666DA4" w:rsidRDefault="00666DA4" w:rsidP="00A37902">
      <w:pPr>
        <w:pStyle w:val="Glossarytext"/>
      </w:pPr>
      <w:r>
        <w:t>Alphabet A1</w:t>
      </w:r>
    </w:p>
    <w:p w14:paraId="30303082" w14:textId="77777777" w:rsidR="006F5C2A" w:rsidRDefault="006F5C2A" w:rsidP="00A37902">
      <w:pPr>
        <w:pStyle w:val="Glossarytext"/>
      </w:pPr>
    </w:p>
    <w:p w14:paraId="30303083" w14:textId="77777777" w:rsidR="00666DA4" w:rsidRDefault="00666DA4" w:rsidP="00A37902">
      <w:pPr>
        <w:pStyle w:val="Glossarytext"/>
      </w:pPr>
      <w:r>
        <w:t>Enter text here.</w:t>
      </w:r>
    </w:p>
    <w:p w14:paraId="30303084" w14:textId="77777777" w:rsidR="00666DA4" w:rsidRPr="00F2481B" w:rsidRDefault="00666DA4" w:rsidP="00A37902">
      <w:pPr>
        <w:pStyle w:val="Glossarytext"/>
      </w:pPr>
    </w:p>
    <w:p w14:paraId="30303085" w14:textId="77777777" w:rsidR="00666DA4" w:rsidRDefault="00666DA4" w:rsidP="00A37902">
      <w:pPr>
        <w:pStyle w:val="Glossarytext"/>
      </w:pPr>
      <w:r>
        <w:t>Alphabet A2</w:t>
      </w:r>
    </w:p>
    <w:p w14:paraId="30303086" w14:textId="77777777" w:rsidR="006F5C2A" w:rsidRDefault="006F5C2A" w:rsidP="00A37902">
      <w:pPr>
        <w:pStyle w:val="Glossarytext"/>
      </w:pPr>
    </w:p>
    <w:p w14:paraId="30303087" w14:textId="77777777" w:rsidR="00666DA4" w:rsidRDefault="00666DA4" w:rsidP="00A37902">
      <w:pPr>
        <w:pStyle w:val="Glossarytext"/>
      </w:pPr>
      <w:r>
        <w:t>Enter text here.</w:t>
      </w:r>
    </w:p>
    <w:p w14:paraId="30303088" w14:textId="77777777" w:rsidR="00666DA4" w:rsidRDefault="00666DA4" w:rsidP="00A37902"/>
    <w:p w14:paraId="30303089" w14:textId="77777777" w:rsidR="00666DA4" w:rsidRDefault="00666DA4" w:rsidP="00A37902">
      <w:pPr>
        <w:pStyle w:val="GlossaryHead"/>
      </w:pPr>
      <w:r>
        <w:t>B</w:t>
      </w:r>
    </w:p>
    <w:p w14:paraId="3030308A" w14:textId="77777777" w:rsidR="006F5C2A" w:rsidRDefault="006F5C2A" w:rsidP="00A37902">
      <w:pPr>
        <w:pStyle w:val="GlossaryHead"/>
      </w:pPr>
    </w:p>
    <w:p w14:paraId="3030308B" w14:textId="77777777" w:rsidR="00666DA4" w:rsidRDefault="00666DA4" w:rsidP="00A37902">
      <w:pPr>
        <w:pStyle w:val="Glossarytext"/>
      </w:pPr>
      <w:r>
        <w:t>Alphabet B1</w:t>
      </w:r>
    </w:p>
    <w:p w14:paraId="3030308C" w14:textId="77777777" w:rsidR="006F5C2A" w:rsidRDefault="006F5C2A" w:rsidP="00A37902">
      <w:pPr>
        <w:pStyle w:val="Glossarytext"/>
      </w:pPr>
    </w:p>
    <w:p w14:paraId="3030308D" w14:textId="77777777" w:rsidR="00666DA4" w:rsidRPr="00A6108E" w:rsidRDefault="00666DA4" w:rsidP="00A37902">
      <w:pPr>
        <w:pStyle w:val="Glossarytext"/>
      </w:pPr>
      <w:r>
        <w:t>Enter text here.</w:t>
      </w:r>
    </w:p>
    <w:p w14:paraId="3030308E" w14:textId="77777777" w:rsidR="00666DA4" w:rsidRDefault="00666DA4"/>
    <w:p w14:paraId="3030308F" w14:textId="77777777" w:rsidR="00D656A5" w:rsidRDefault="00D656A5"/>
    <w:p w14:paraId="30303090" w14:textId="37D410FE" w:rsidR="00471143" w:rsidRDefault="00471143">
      <w:pPr>
        <w:spacing w:line="240" w:lineRule="auto"/>
      </w:pPr>
      <w:r>
        <w:br w:type="page"/>
      </w:r>
    </w:p>
    <w:p w14:paraId="1CC39CDB" w14:textId="77777777" w:rsidR="00471143" w:rsidRPr="00B8200A" w:rsidRDefault="00471143" w:rsidP="00471143">
      <w:pPr>
        <w:pStyle w:val="AppendixSection"/>
        <w:numPr>
          <w:ilvl w:val="0"/>
          <w:numId w:val="0"/>
        </w:numPr>
      </w:pPr>
      <w:r w:rsidRPr="00F94AF9">
        <w:lastRenderedPageBreak/>
        <w:t xml:space="preserve">Appendix </w:t>
      </w:r>
      <w:r>
        <w:t>2 – Totex Incentive Mechanism</w:t>
      </w:r>
    </w:p>
    <w:p w14:paraId="17653C2A" w14:textId="77777777" w:rsidR="00471143" w:rsidRDefault="00471143" w:rsidP="008F1AC8">
      <w:pPr>
        <w:pStyle w:val="ListParagraph"/>
        <w:numPr>
          <w:ilvl w:val="0"/>
          <w:numId w:val="84"/>
        </w:numPr>
        <w:ind w:left="0" w:firstLine="0"/>
        <w:rPr>
          <w:lang w:eastAsia="en-GB"/>
        </w:rPr>
      </w:pPr>
      <w:bookmarkStart w:id="264" w:name="_Ref52021364"/>
      <w:r>
        <w:rPr>
          <w:lang w:eastAsia="en-GB"/>
        </w:rPr>
        <w:t>The Totex Incentive Mechanism (TIM) enables licensees to retain a specified portion of underspending against totex allowances (with network users benefiting from the reciprocal portion) or to bear a specified portion of overspending (with network users funding the reciprocal portion).</w:t>
      </w:r>
      <w:bookmarkEnd w:id="264"/>
      <w:r>
        <w:rPr>
          <w:lang w:eastAsia="en-GB"/>
        </w:rPr>
        <w:t xml:space="preserve"> </w:t>
      </w:r>
    </w:p>
    <w:p w14:paraId="21C1D4BD" w14:textId="77777777" w:rsidR="00471143" w:rsidRDefault="00471143" w:rsidP="00471143">
      <w:pPr>
        <w:rPr>
          <w:lang w:eastAsia="en-GB"/>
        </w:rPr>
      </w:pPr>
    </w:p>
    <w:p w14:paraId="240B1EB5" w14:textId="5A3DC2B5" w:rsidR="00471143" w:rsidRPr="00C8221C" w:rsidRDefault="00471143" w:rsidP="008F1AC8">
      <w:pPr>
        <w:pStyle w:val="ListParagraph"/>
        <w:numPr>
          <w:ilvl w:val="0"/>
          <w:numId w:val="84"/>
        </w:numPr>
        <w:ind w:left="0" w:firstLine="0"/>
        <w:rPr>
          <w:lang w:eastAsia="en-GB"/>
        </w:rPr>
      </w:pPr>
      <w:r w:rsidRPr="00C8221C">
        <w:rPr>
          <w:lang w:eastAsia="en-GB"/>
        </w:rPr>
        <w:t xml:space="preserve">The </w:t>
      </w:r>
      <w:r>
        <w:rPr>
          <w:lang w:eastAsia="en-GB"/>
        </w:rPr>
        <w:t>TIM adjusts t</w:t>
      </w:r>
      <w:r w:rsidRPr="00C8221C">
        <w:rPr>
          <w:lang w:eastAsia="en-GB"/>
        </w:rPr>
        <w:t xml:space="preserve">otex </w:t>
      </w:r>
      <w:r>
        <w:rPr>
          <w:lang w:eastAsia="en-GB"/>
        </w:rPr>
        <w:t>allowances for (forecast or outturn) over or underspend against those allowances</w:t>
      </w:r>
      <w:r w:rsidRPr="00C8221C">
        <w:rPr>
          <w:lang w:eastAsia="en-GB"/>
        </w:rPr>
        <w:t>.</w:t>
      </w:r>
      <w:r>
        <w:rPr>
          <w:lang w:eastAsia="en-GB"/>
        </w:rPr>
        <w:t xml:space="preserve">  The adjustment depends on </w:t>
      </w:r>
      <w:r w:rsidRPr="00C8221C">
        <w:rPr>
          <w:lang w:eastAsia="en-GB"/>
        </w:rPr>
        <w:t>the amount of under or over</w:t>
      </w:r>
      <w:r>
        <w:rPr>
          <w:lang w:eastAsia="en-GB"/>
        </w:rPr>
        <w:t>spend</w:t>
      </w:r>
      <w:r w:rsidRPr="00C8221C">
        <w:rPr>
          <w:lang w:eastAsia="en-GB"/>
        </w:rPr>
        <w:t xml:space="preserve"> and the Totex Incentive Strength (TIS) for the licensee. The TIS is </w:t>
      </w:r>
      <w:r>
        <w:rPr>
          <w:lang w:eastAsia="en-GB"/>
        </w:rPr>
        <w:t>the</w:t>
      </w:r>
      <w:r w:rsidRPr="00C8221C">
        <w:rPr>
          <w:lang w:eastAsia="en-GB"/>
        </w:rPr>
        <w:t xml:space="preserve"> post-tax percentage the licensee bears of an overspend</w:t>
      </w:r>
      <w:r>
        <w:rPr>
          <w:lang w:eastAsia="en-GB"/>
        </w:rPr>
        <w:t>,</w:t>
      </w:r>
      <w:r w:rsidRPr="00C8221C">
        <w:rPr>
          <w:lang w:eastAsia="en-GB"/>
        </w:rPr>
        <w:t xml:space="preserve"> or</w:t>
      </w:r>
      <w:r>
        <w:rPr>
          <w:lang w:eastAsia="en-GB"/>
        </w:rPr>
        <w:t xml:space="preserve"> retains of an under</w:t>
      </w:r>
      <w:r w:rsidRPr="00C8221C">
        <w:rPr>
          <w:lang w:eastAsia="en-GB"/>
        </w:rPr>
        <w:t>spend</w:t>
      </w:r>
      <w:r>
        <w:rPr>
          <w:lang w:eastAsia="en-GB"/>
        </w:rPr>
        <w:t>,</w:t>
      </w:r>
      <w:r w:rsidRPr="00C8221C">
        <w:rPr>
          <w:lang w:eastAsia="en-GB"/>
        </w:rPr>
        <w:t xml:space="preserve"> against allowances.  The </w:t>
      </w:r>
      <w:r w:rsidRPr="00C8221C">
        <w:t>adjustment</w:t>
      </w:r>
      <w:r w:rsidRPr="00C8221C">
        <w:rPr>
          <w:lang w:eastAsia="en-GB"/>
        </w:rPr>
        <w:t xml:space="preserve"> that is made to the </w:t>
      </w:r>
      <w:r>
        <w:rPr>
          <w:lang w:eastAsia="en-GB"/>
        </w:rPr>
        <w:t>t</w:t>
      </w:r>
      <w:r w:rsidRPr="00C8221C">
        <w:rPr>
          <w:lang w:eastAsia="en-GB"/>
        </w:rPr>
        <w:t>otex figures is the Funding Adjustment Rate (often called the ‘sharing factor’) which is calculated as (1 – TIS)</w:t>
      </w:r>
      <w:r w:rsidR="00A71FEB">
        <w:rPr>
          <w:lang w:eastAsia="en-GB"/>
        </w:rPr>
        <w:t xml:space="preserve"> and is a fixed input value for the licensee in </w:t>
      </w:r>
      <w:bookmarkStart w:id="265" w:name="_GoBack"/>
      <w:bookmarkEnd w:id="265"/>
      <w:r w:rsidR="00A71FEB">
        <w:rPr>
          <w:lang w:eastAsia="en-GB"/>
        </w:rPr>
        <w:t>the PCFM</w:t>
      </w:r>
      <w:r w:rsidRPr="00C8221C">
        <w:rPr>
          <w:lang w:eastAsia="en-GB"/>
        </w:rPr>
        <w:t>.  Applying the Funding Adjustment Rate to the over (or under</w:t>
      </w:r>
      <w:r>
        <w:rPr>
          <w:lang w:eastAsia="en-GB"/>
        </w:rPr>
        <w:t>)</w:t>
      </w:r>
      <w:r w:rsidRPr="00C8221C">
        <w:rPr>
          <w:lang w:eastAsia="en-GB"/>
        </w:rPr>
        <w:t xml:space="preserve"> spend gives the amount that is added to (or subtracted from) the </w:t>
      </w:r>
      <w:r>
        <w:rPr>
          <w:lang w:eastAsia="en-GB"/>
        </w:rPr>
        <w:t>t</w:t>
      </w:r>
      <w:r w:rsidRPr="00C8221C">
        <w:rPr>
          <w:lang w:eastAsia="en-GB"/>
        </w:rPr>
        <w:t>otex allowances</w:t>
      </w:r>
      <w:r>
        <w:rPr>
          <w:lang w:eastAsia="en-GB"/>
        </w:rPr>
        <w:t>, giving a post-TIM totex</w:t>
      </w:r>
      <w:r w:rsidRPr="00C8221C">
        <w:rPr>
          <w:lang w:eastAsia="en-GB"/>
        </w:rPr>
        <w:t xml:space="preserve">.  </w:t>
      </w:r>
    </w:p>
    <w:p w14:paraId="59A5BEE3" w14:textId="77777777" w:rsidR="00471143" w:rsidRDefault="00471143" w:rsidP="00471143"/>
    <w:p w14:paraId="4698E457" w14:textId="0BD83FBE" w:rsidR="00471143" w:rsidRDefault="00471143" w:rsidP="008F1AC8">
      <w:pPr>
        <w:pStyle w:val="ListParagraph"/>
        <w:numPr>
          <w:ilvl w:val="0"/>
          <w:numId w:val="84"/>
        </w:numPr>
        <w:ind w:left="0" w:firstLine="0"/>
      </w:pPr>
      <w:r>
        <w:t>The PCFM apportions post-TIM t</w:t>
      </w:r>
      <w:r w:rsidRPr="00C8221C">
        <w:t>otex using the Totex Capitali</w:t>
      </w:r>
      <w:r>
        <w:t>sation Rate for the licensee as either fast money or slow money (see para</w:t>
      </w:r>
      <w:r w:rsidR="005057DB">
        <w:t>graph</w:t>
      </w:r>
      <w:r>
        <w:t xml:space="preserve"> </w:t>
      </w:r>
      <w:r>
        <w:fldChar w:fldCharType="begin"/>
      </w:r>
      <w:r>
        <w:instrText xml:space="preserve"> REF _Ref49876120 \r \h </w:instrText>
      </w:r>
      <w:r>
        <w:fldChar w:fldCharType="separate"/>
      </w:r>
      <w:r w:rsidR="00C21C6D">
        <w:t>3.7</w:t>
      </w:r>
      <w:r>
        <w:fldChar w:fldCharType="end"/>
      </w:r>
      <w:r w:rsidR="00A71FEB">
        <w:t xml:space="preserve">).  </w:t>
      </w:r>
      <w:r w:rsidRPr="00C8221C">
        <w:t xml:space="preserve">The Totex Capitalisation Rate for the licensee for the relevant Regulatory Year is a fixed input value for the licensee in the PCFM. Under the </w:t>
      </w:r>
      <w:r>
        <w:t>AIP</w:t>
      </w:r>
      <w:r w:rsidRPr="00C8221C">
        <w:t xml:space="preserve">, the effects of this modelling treatment (including any ancillary effects such as the impact on tax allowances) are reflected in the value of the term </w:t>
      </w:r>
      <w:r>
        <w:t>R</w:t>
      </w:r>
      <w:r w:rsidRPr="003B34C3">
        <w:rPr>
          <w:vertAlign w:val="subscript"/>
        </w:rPr>
        <w:t>t</w:t>
      </w:r>
      <w:r w:rsidRPr="00C8221C">
        <w:t>.</w:t>
      </w:r>
    </w:p>
    <w:p w14:paraId="727CC5E7" w14:textId="77777777" w:rsidR="00471143" w:rsidRDefault="00471143" w:rsidP="00471143"/>
    <w:p w14:paraId="37C12920" w14:textId="77777777" w:rsidR="00471143" w:rsidRDefault="00471143" w:rsidP="008F1AC8">
      <w:pPr>
        <w:pStyle w:val="ListParagraph"/>
        <w:numPr>
          <w:ilvl w:val="0"/>
          <w:numId w:val="84"/>
        </w:numPr>
        <w:ind w:left="0" w:firstLine="0"/>
      </w:pPr>
      <w:r>
        <w:t>A schematic of the TIM, with illustrative numbers showing an overspend, is provided in the chart below.</w:t>
      </w:r>
    </w:p>
    <w:p w14:paraId="0853945C" w14:textId="77777777" w:rsidR="00471143" w:rsidRDefault="00471143" w:rsidP="00471143">
      <w:pPr>
        <w:pStyle w:val="Heading"/>
        <w:keepNext/>
      </w:pPr>
      <w:r>
        <w:lastRenderedPageBreak/>
        <w:t>Figure A2.1: Illustration of the Totex Incentive Mechanism</w:t>
      </w:r>
    </w:p>
    <w:p w14:paraId="096F37D6" w14:textId="77777777" w:rsidR="00471143" w:rsidRPr="002F545F" w:rsidRDefault="00471143" w:rsidP="00471143">
      <w:pPr>
        <w:jc w:val="center"/>
      </w:pPr>
      <w:r>
        <w:rPr>
          <w:noProof/>
          <w:lang w:eastAsia="en-GB"/>
        </w:rPr>
        <w:drawing>
          <wp:inline distT="0" distB="0" distL="0" distR="0" wp14:anchorId="268D478F" wp14:editId="69571FAA">
            <wp:extent cx="5771819" cy="4099569"/>
            <wp:effectExtent l="0" t="0" r="635" b="0"/>
            <wp:docPr id="2" name="Picture 2" descr="Illustration of the Totex Incentive Mechanism" title="Figure A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86677" cy="4110122"/>
                    </a:xfrm>
                    <a:prstGeom prst="rect">
                      <a:avLst/>
                    </a:prstGeom>
                    <a:noFill/>
                  </pic:spPr>
                </pic:pic>
              </a:graphicData>
            </a:graphic>
          </wp:inline>
        </w:drawing>
      </w:r>
    </w:p>
    <w:p w14:paraId="0ABDB8E1" w14:textId="77777777" w:rsidR="00471143" w:rsidRDefault="00471143" w:rsidP="00471143">
      <w:pPr>
        <w:pStyle w:val="Paragraph"/>
        <w:numPr>
          <w:ilvl w:val="0"/>
          <w:numId w:val="0"/>
        </w:numPr>
        <w:spacing w:before="120" w:after="120"/>
      </w:pPr>
    </w:p>
    <w:p w14:paraId="2B6A42B1" w14:textId="77777777" w:rsidR="00471143" w:rsidRDefault="00471143" w:rsidP="00471143"/>
    <w:p w14:paraId="5D9CA129" w14:textId="77777777" w:rsidR="00A45CFA" w:rsidRDefault="00A45CFA" w:rsidP="00254B3C"/>
    <w:sectPr w:rsidR="00A45CFA" w:rsidSect="001B7C12">
      <w:pgSz w:w="11906" w:h="16838" w:code="9"/>
      <w:pgMar w:top="556" w:right="1191" w:bottom="1304" w:left="1191" w:header="1361"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D7D72" w14:textId="77777777" w:rsidR="000427EE" w:rsidRDefault="000427EE">
      <w:r>
        <w:separator/>
      </w:r>
    </w:p>
    <w:p w14:paraId="13B26FDC" w14:textId="77777777" w:rsidR="000427EE" w:rsidRDefault="000427EE"/>
    <w:p w14:paraId="3F79FE8C" w14:textId="77777777" w:rsidR="000427EE" w:rsidRDefault="000427EE"/>
    <w:p w14:paraId="46272078" w14:textId="77777777" w:rsidR="000427EE" w:rsidRDefault="000427EE"/>
    <w:p w14:paraId="66156CBD" w14:textId="77777777" w:rsidR="000427EE" w:rsidRDefault="000427EE"/>
  </w:endnote>
  <w:endnote w:type="continuationSeparator" w:id="0">
    <w:p w14:paraId="2549B8B6" w14:textId="77777777" w:rsidR="000427EE" w:rsidRDefault="000427EE">
      <w:r>
        <w:continuationSeparator/>
      </w:r>
    </w:p>
    <w:p w14:paraId="183FE740" w14:textId="77777777" w:rsidR="000427EE" w:rsidRDefault="000427EE"/>
    <w:p w14:paraId="66974083" w14:textId="77777777" w:rsidR="000427EE" w:rsidRDefault="000427EE"/>
    <w:p w14:paraId="5392DF9E" w14:textId="77777777" w:rsidR="000427EE" w:rsidRDefault="000427EE"/>
    <w:p w14:paraId="44999E2B" w14:textId="77777777" w:rsidR="000427EE" w:rsidRDefault="000427EE"/>
  </w:endnote>
  <w:endnote w:type="continuationNotice" w:id="1">
    <w:p w14:paraId="771E26AF" w14:textId="77777777" w:rsidR="000427EE" w:rsidRDefault="000427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D" w14:textId="77777777" w:rsidR="003A3E0E" w:rsidRPr="00A54049" w:rsidRDefault="003A3E0E" w:rsidP="00A54049">
    <w:pPr>
      <w:pStyle w:val="Footer"/>
    </w:pPr>
    <w:r>
      <w:rPr>
        <w:noProof/>
        <w:szCs w:val="20"/>
        <w:lang w:eastAsia="en-GB"/>
      </w:rPr>
      <mc:AlternateContent>
        <mc:Choice Requires="wps">
          <w:drawing>
            <wp:anchor distT="0" distB="0" distL="114300" distR="114300" simplePos="0" relativeHeight="251654144" behindDoc="0" locked="0" layoutInCell="1" allowOverlap="1" wp14:anchorId="303030E8" wp14:editId="303030E9">
              <wp:simplePos x="0" y="0"/>
              <wp:positionH relativeFrom="column">
                <wp:posOffset>0</wp:posOffset>
              </wp:positionH>
              <wp:positionV relativeFrom="page">
                <wp:posOffset>9477375</wp:posOffset>
              </wp:positionV>
              <wp:extent cx="6019200" cy="0"/>
              <wp:effectExtent l="0" t="0" r="19685" b="19050"/>
              <wp:wrapNone/>
              <wp:docPr id="7" name="Straight Connector 7"/>
              <wp:cNvGraphicFramePr/>
              <a:graphic xmlns:a="http://schemas.openxmlformats.org/drawingml/2006/main">
                <a:graphicData uri="http://schemas.microsoft.com/office/word/2010/wordprocessingShape">
                  <wps:wsp>
                    <wps:cNvCnPr/>
                    <wps:spPr>
                      <a:xfrm>
                        <a:off x="0" y="0"/>
                        <a:ext cx="60192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F56002" id="Straight Connector 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46.25pt" to="473.95pt,7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" strokecolor="#f68220" strokeweight="1.5pt">
              <w10:wrap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2164323"/>
      <w:docPartObj>
        <w:docPartGallery w:val="Page Numbers (Bottom of Page)"/>
        <w:docPartUnique/>
      </w:docPartObj>
    </w:sdtPr>
    <w:sdtEndPr>
      <w:rPr>
        <w:noProof/>
      </w:rPr>
    </w:sdtEndPr>
    <w:sdtContent>
      <w:p w14:paraId="303030DE" w14:textId="2CE690AD" w:rsidR="003A3E0E" w:rsidRDefault="003A3E0E">
        <w:pPr>
          <w:pStyle w:val="Footer"/>
          <w:jc w:val="right"/>
        </w:pPr>
        <w:r w:rsidRPr="00D2288E">
          <w:rPr>
            <w:noProof/>
            <w:lang w:eastAsia="en-GB"/>
          </w:rPr>
          <mc:AlternateContent>
            <mc:Choice Requires="wps">
              <w:drawing>
                <wp:anchor distT="0" distB="0" distL="114300" distR="114300" simplePos="0" relativeHeight="251658240" behindDoc="0" locked="0" layoutInCell="1" allowOverlap="1" wp14:anchorId="303030EA" wp14:editId="6302FD08">
                  <wp:simplePos x="0" y="0"/>
                  <wp:positionH relativeFrom="margin">
                    <wp:posOffset>-182880</wp:posOffset>
                  </wp:positionH>
                  <wp:positionV relativeFrom="page">
                    <wp:posOffset>10025553</wp:posOffset>
                  </wp:positionV>
                  <wp:extent cx="6300000" cy="0"/>
                  <wp:effectExtent l="0" t="0" r="24765" b="19050"/>
                  <wp:wrapNone/>
                  <wp:docPr id="242" name="Straight Connector 242" descr="Orange footer line" title="Orange line"/>
                  <wp:cNvGraphicFramePr/>
                  <a:graphic xmlns:a="http://schemas.openxmlformats.org/drawingml/2006/main">
                    <a:graphicData uri="http://schemas.microsoft.com/office/word/2010/wordprocessingShape">
                      <wps:wsp>
                        <wps:cNvCnPr/>
                        <wps:spPr>
                          <a:xfrm>
                            <a:off x="0" y="0"/>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187532" id="Straight Connector 242" o:spid="_x0000_s1026" alt="Title: Orange line - Description: Orange footer line"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4.4pt,789.4pt" to="481.65pt,7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" strokecolor="#f68220" strokeweight="1.5pt">
                  <w10:wrap anchorx="margin" anchory="page"/>
                </v:line>
              </w:pict>
            </mc:Fallback>
          </mc:AlternateContent>
        </w:r>
        <w:r>
          <w:fldChar w:fldCharType="begin"/>
        </w:r>
        <w:r>
          <w:instrText xml:space="preserve"> PAGE   \* MERGEFORMAT </w:instrText>
        </w:r>
        <w:r>
          <w:fldChar w:fldCharType="separate"/>
        </w:r>
        <w:r w:rsidR="00725C79">
          <w:rPr>
            <w:noProof/>
          </w:rPr>
          <w:t>65</w:t>
        </w:r>
        <w:r>
          <w:rPr>
            <w:noProof/>
          </w:rPr>
          <w:fldChar w:fldCharType="end"/>
        </w:r>
      </w:p>
    </w:sdtContent>
  </w:sdt>
  <w:p w14:paraId="303030DF" w14:textId="77777777" w:rsidR="003A3E0E" w:rsidRDefault="003A3E0E" w:rsidP="003B0204">
    <w:pPr>
      <w:pStyle w:val="Footer"/>
      <w:tabs>
        <w:tab w:val="left" w:pos="9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E1" w14:textId="443C2E1B" w:rsidR="003A3E0E" w:rsidRPr="00D34403" w:rsidRDefault="003A3E0E" w:rsidP="00FA60B0">
    <w:pPr>
      <w:pStyle w:val="Footer"/>
      <w:tabs>
        <w:tab w:val="clear" w:pos="8640"/>
        <w:tab w:val="right" w:pos="9639"/>
      </w:tabs>
      <w:ind w:right="-993"/>
      <w:rPr>
        <w:b/>
        <w:sz w:val="22"/>
        <w:szCs w:val="22"/>
      </w:rPr>
    </w:pPr>
    <w:r>
      <w:rPr>
        <w:noProof/>
        <w:lang w:eastAsia="en-GB"/>
      </w:rPr>
      <w:drawing>
        <wp:anchor distT="0" distB="0" distL="114300" distR="114300" simplePos="0" relativeHeight="251661312" behindDoc="0" locked="0" layoutInCell="1" allowOverlap="1" wp14:anchorId="52C32142" wp14:editId="125DCE6B">
          <wp:simplePos x="0" y="0"/>
          <wp:positionH relativeFrom="column">
            <wp:posOffset>-190500</wp:posOffset>
          </wp:positionH>
          <wp:positionV relativeFrom="paragraph">
            <wp:posOffset>-32549</wp:posOffset>
          </wp:positionV>
          <wp:extent cx="597600" cy="176400"/>
          <wp:effectExtent l="0" t="0" r="0" b="0"/>
          <wp:wrapNone/>
          <wp:docPr id="5" name="Picture 5"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r w:rsidRPr="00D2288E">
      <w:rPr>
        <w:noProof/>
        <w:lang w:eastAsia="en-GB"/>
      </w:rPr>
      <mc:AlternateContent>
        <mc:Choice Requires="wps">
          <w:drawing>
            <wp:anchor distT="0" distB="0" distL="114300" distR="114300" simplePos="0" relativeHeight="251659264" behindDoc="0" locked="0" layoutInCell="1" allowOverlap="1" wp14:anchorId="303030F0" wp14:editId="4494398A">
              <wp:simplePos x="0" y="0"/>
              <wp:positionH relativeFrom="margin">
                <wp:posOffset>-162560</wp:posOffset>
              </wp:positionH>
              <wp:positionV relativeFrom="page">
                <wp:posOffset>10133272</wp:posOffset>
              </wp:positionV>
              <wp:extent cx="6300000" cy="0"/>
              <wp:effectExtent l="0" t="0" r="24765" b="19050"/>
              <wp:wrapNone/>
              <wp:docPr id="243" name="Straight Connector 243" descr="orange footer line" title="Orange line"/>
              <wp:cNvGraphicFramePr/>
              <a:graphic xmlns:a="http://schemas.openxmlformats.org/drawingml/2006/main">
                <a:graphicData uri="http://schemas.microsoft.com/office/word/2010/wordprocessingShape">
                  <wps:wsp>
                    <wps:cNvCnPr/>
                    <wps:spPr>
                      <a:xfrm>
                        <a:off x="0" y="0"/>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7F54CC" id="Straight Connector 243" o:spid="_x0000_s1026" alt="Title: Orange line - Description: orange footer line"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2.8pt,797.9pt" to="483.25pt,7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" strokecolor="#f68220" strokeweight="1.5pt">
              <w10:wrap anchorx="margin"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67F7E" w14:textId="77777777" w:rsidR="000427EE" w:rsidRDefault="000427EE">
      <w:r>
        <w:separator/>
      </w:r>
    </w:p>
    <w:p w14:paraId="0695B3AF" w14:textId="77777777" w:rsidR="000427EE" w:rsidRDefault="000427EE"/>
    <w:p w14:paraId="381AE8D0" w14:textId="77777777" w:rsidR="000427EE" w:rsidRDefault="000427EE"/>
  </w:footnote>
  <w:footnote w:type="continuationSeparator" w:id="0">
    <w:p w14:paraId="029CB87C" w14:textId="77777777" w:rsidR="000427EE" w:rsidRDefault="000427EE">
      <w:r>
        <w:continuationSeparator/>
      </w:r>
    </w:p>
    <w:p w14:paraId="515E2983" w14:textId="77777777" w:rsidR="000427EE" w:rsidRDefault="000427EE"/>
    <w:p w14:paraId="246B76D6" w14:textId="77777777" w:rsidR="000427EE" w:rsidRDefault="000427EE"/>
    <w:p w14:paraId="49BABDF8" w14:textId="77777777" w:rsidR="000427EE" w:rsidRDefault="000427EE"/>
    <w:p w14:paraId="1C169ED9" w14:textId="77777777" w:rsidR="000427EE" w:rsidRDefault="000427EE"/>
  </w:footnote>
  <w:footnote w:type="continuationNotice" w:id="1">
    <w:p w14:paraId="56EA0415" w14:textId="77777777" w:rsidR="000427EE" w:rsidRDefault="000427EE">
      <w:pPr>
        <w:spacing w:line="240" w:lineRule="auto"/>
      </w:pPr>
    </w:p>
  </w:footnote>
  <w:footnote w:id="2">
    <w:p w14:paraId="3B067505" w14:textId="32AF6E4F" w:rsidR="003A3E0E" w:rsidRDefault="003A3E0E">
      <w:pPr>
        <w:pStyle w:val="FootnoteText"/>
      </w:pPr>
      <w:r>
        <w:rPr>
          <w:rStyle w:val="FootnoteReference"/>
        </w:rPr>
        <w:footnoteRef/>
      </w:r>
      <w:r>
        <w:t xml:space="preserve"> [Note: </w:t>
      </w:r>
      <w:r w:rsidRPr="004D0B04">
        <w:t xml:space="preserve">This handbook is a work in progress </w:t>
      </w:r>
      <w:r>
        <w:t xml:space="preserve">(WIP) </w:t>
      </w:r>
      <w:r w:rsidRPr="004D0B04">
        <w:t>and the content is subject to decisions at Final Determinations.  Square brackets [] are used to provide notes to the reader or to indicate items that cannot yet be added</w:t>
      </w:r>
      <w:r>
        <w:t xml:space="preserve"> or are otherwise provisional.]</w:t>
      </w:r>
    </w:p>
  </w:footnote>
  <w:footnote w:id="3">
    <w:p w14:paraId="5457FA84" w14:textId="77777777" w:rsidR="003A3E0E" w:rsidRDefault="003A3E0E" w:rsidP="00313B5F">
      <w:pPr>
        <w:pStyle w:val="FootnoteText"/>
      </w:pPr>
      <w:r>
        <w:rPr>
          <w:rStyle w:val="FootnoteReference"/>
        </w:rPr>
        <w:footnoteRef/>
      </w:r>
      <w:r>
        <w:t xml:space="preserve"> </w:t>
      </w:r>
      <w:hyperlink r:id="rId1" w:history="1">
        <w:r w:rsidRPr="004F137D">
          <w:rPr>
            <w:rStyle w:val="Hyperlink"/>
            <w:sz w:val="18"/>
          </w:rPr>
          <w:t>https://www.ons.gov.uk/economy/inflationandpriceindices/timeseries/chaw/mm23</w:t>
        </w:r>
      </w:hyperlink>
      <w:r>
        <w:t xml:space="preserve"> </w:t>
      </w:r>
    </w:p>
  </w:footnote>
  <w:footnote w:id="4">
    <w:p w14:paraId="20AFEFD8" w14:textId="77777777" w:rsidR="003A3E0E" w:rsidRDefault="003A3E0E" w:rsidP="00313B5F">
      <w:pPr>
        <w:pStyle w:val="FootnoteText"/>
      </w:pPr>
      <w:r>
        <w:rPr>
          <w:rStyle w:val="FootnoteReference"/>
        </w:rPr>
        <w:footnoteRef/>
      </w:r>
      <w:r>
        <w:t xml:space="preserve"> </w:t>
      </w:r>
      <w:hyperlink r:id="rId2" w:history="1">
        <w:r w:rsidRPr="004F137D">
          <w:rPr>
            <w:rStyle w:val="Hyperlink"/>
            <w:sz w:val="18"/>
          </w:rPr>
          <w:t>https://www.ons.gov.uk/economy/inflationandpriceindices/timeseries/l522/mm23</w:t>
        </w:r>
      </w:hyperlink>
      <w:r>
        <w:t xml:space="preserve"> </w:t>
      </w:r>
    </w:p>
  </w:footnote>
  <w:footnote w:id="5">
    <w:p w14:paraId="41D3E951" w14:textId="77777777" w:rsidR="003A3E0E" w:rsidRDefault="003A3E0E" w:rsidP="00313B5F">
      <w:pPr>
        <w:pStyle w:val="FootnoteText"/>
      </w:pPr>
      <w:r>
        <w:rPr>
          <w:rStyle w:val="FootnoteReference"/>
        </w:rPr>
        <w:footnoteRef/>
      </w:r>
      <w:r w:rsidRPr="00C30081">
        <w:rPr>
          <w:szCs w:val="18"/>
        </w:rPr>
        <w:t xml:space="preserve"> </w:t>
      </w:r>
      <w:hyperlink r:id="rId3" w:history="1">
        <w:r w:rsidRPr="00AE3DDD">
          <w:rPr>
            <w:rStyle w:val="Hyperlink"/>
            <w:sz w:val="18"/>
            <w:szCs w:val="18"/>
          </w:rPr>
          <w:t>https://www.bankofengland.co.uk/</w:t>
        </w:r>
      </w:hyperlink>
    </w:p>
  </w:footnote>
  <w:footnote w:id="6">
    <w:p w14:paraId="4A843968" w14:textId="04D599C5" w:rsidR="003A3E0E" w:rsidRDefault="003A3E0E" w:rsidP="00666B7D">
      <w:pPr>
        <w:pStyle w:val="FootnoteText"/>
      </w:pPr>
      <w:r>
        <w:rPr>
          <w:rStyle w:val="FootnoteReference"/>
        </w:rPr>
        <w:footnoteRef/>
      </w:r>
      <w:r>
        <w:t xml:space="preserve"> Except for 2025/26, when there will be no AIP (see Special Condition </w:t>
      </w:r>
      <w:r w:rsidRPr="00382AA5">
        <w:t>8.2.14).</w:t>
      </w:r>
    </w:p>
  </w:footnote>
  <w:footnote w:id="7">
    <w:p w14:paraId="4D9B2B10" w14:textId="40954EC3" w:rsidR="003A3E0E" w:rsidRDefault="003A3E0E" w:rsidP="00666B7D">
      <w:pPr>
        <w:pStyle w:val="FootnoteText"/>
      </w:pPr>
      <w:r>
        <w:rPr>
          <w:rStyle w:val="FootnoteReference"/>
        </w:rPr>
        <w:footnoteRef/>
      </w:r>
      <w:r>
        <w:t xml:space="preserve"> Variable Values for Regulatory Years later than Regulatory Year t do not feed into the calculation of the term ARt.  Therefore, calculated values in the PCFM for Regulatory Years later than Regulatory Year t represent only a forecast.  This is without prejudice to the status of the Variable Values concerned, which may have been decided and/or directed under licence conditions and which may or may not be subject to subsequent revision.</w:t>
      </w:r>
    </w:p>
  </w:footnote>
  <w:footnote w:id="8">
    <w:p w14:paraId="2805A15B" w14:textId="0A1DBEC8" w:rsidR="003A3E0E" w:rsidRDefault="003A3E0E" w:rsidP="00666B7D">
      <w:pPr>
        <w:pStyle w:val="FootnoteText"/>
      </w:pPr>
      <w:r>
        <w:rPr>
          <w:rStyle w:val="FootnoteReference"/>
        </w:rPr>
        <w:footnoteRef/>
      </w:r>
      <w:r>
        <w:t xml:space="preserve"> In applying this cut-off date, Ofgem will, through business correspondence, apprise the licensee of any provisionality it has attached to information submissions, that might involve a restatement of the information by the licensee for the purpose of making a further revision to the Variable Value(s) concerned for use in a subsequent Annual Iteration Process.</w:t>
      </w:r>
    </w:p>
  </w:footnote>
  <w:footnote w:id="9">
    <w:p w14:paraId="6F712703" w14:textId="2BF6B0EE" w:rsidR="003A3E0E" w:rsidRDefault="003A3E0E" w:rsidP="00666B7D">
      <w:pPr>
        <w:pStyle w:val="FootnoteText"/>
      </w:pPr>
      <w:r>
        <w:rPr>
          <w:rStyle w:val="FootnoteReference"/>
        </w:rPr>
        <w:footnoteRef/>
      </w:r>
      <w:r>
        <w:t xml:space="preserve"> Except for 2025/26, when there will be no AIP (see Special Condition </w:t>
      </w:r>
      <w:r w:rsidRPr="00382AA5">
        <w:t>8.2.14).</w:t>
      </w:r>
    </w:p>
  </w:footnote>
  <w:footnote w:id="10">
    <w:p w14:paraId="307C4AA9" w14:textId="72C65973" w:rsidR="003A3E0E" w:rsidRDefault="003A3E0E">
      <w:pPr>
        <w:pStyle w:val="FootnoteText"/>
      </w:pPr>
      <w:r>
        <w:rPr>
          <w:rStyle w:val="FootnoteReference"/>
        </w:rPr>
        <w:footnoteRef/>
      </w:r>
      <w:r>
        <w:t xml:space="preserve"> [Note: this table is a draft. The final version will comprise a list of VVs contained within the PCFM at Final Determinations and be consistent with the terms in the licence.]</w:t>
      </w:r>
    </w:p>
  </w:footnote>
  <w:footnote w:id="11">
    <w:p w14:paraId="4CE7C952" w14:textId="77777777" w:rsidR="003A3E0E" w:rsidRDefault="003A3E0E" w:rsidP="009A11ED">
      <w:pPr>
        <w:pStyle w:val="FootnoteText"/>
      </w:pPr>
      <w:r>
        <w:rPr>
          <w:rStyle w:val="FootnoteReference"/>
        </w:rPr>
        <w:footnoteRef/>
      </w:r>
      <w:r>
        <w:t xml:space="preserve"> [Note: this table is a draft. The final version will comprise a list of VVs contained within the PCFM at Final Determinations and be consistent with the terms in the licence.]</w:t>
      </w:r>
    </w:p>
  </w:footnote>
  <w:footnote w:id="12">
    <w:p w14:paraId="52AE890F" w14:textId="77777777" w:rsidR="003A3E0E" w:rsidRDefault="003A3E0E" w:rsidP="00AF09E7">
      <w:pPr>
        <w:pStyle w:val="FootnoteText"/>
      </w:pPr>
      <w:r>
        <w:rPr>
          <w:rStyle w:val="FootnoteReference"/>
        </w:rPr>
        <w:footnoteRef/>
      </w:r>
      <w:r>
        <w:t xml:space="preserve"> [Note: chapter to be amended to clarify that cost of debt and risk-free rate are to be updated for all Regulatory Years at each AIP, with forecasts based on the approach in the WACC Allowance model.]</w:t>
      </w:r>
    </w:p>
  </w:footnote>
  <w:footnote w:id="13">
    <w:p w14:paraId="0D1DA065" w14:textId="40079CFF" w:rsidR="003A3E0E" w:rsidRDefault="003A3E0E">
      <w:pPr>
        <w:pStyle w:val="FootnoteText"/>
      </w:pPr>
      <w:r>
        <w:rPr>
          <w:rStyle w:val="FootnoteReference"/>
        </w:rPr>
        <w:footnoteRef/>
      </w:r>
      <w:r>
        <w:t xml:space="preserve"> In this chapter, references to CDE and [YYY] include SOCDE and [SOYYY] respectively. </w:t>
      </w:r>
    </w:p>
  </w:footnote>
  <w:footnote w:id="14">
    <w:p w14:paraId="1F0564DA" w14:textId="77777777" w:rsidR="003A3E0E" w:rsidRDefault="003A3E0E" w:rsidP="007716B8">
      <w:pPr>
        <w:pStyle w:val="FootnoteText"/>
      </w:pPr>
      <w:r>
        <w:rPr>
          <w:rStyle w:val="FootnoteReference"/>
        </w:rPr>
        <w:footnoteRef/>
      </w:r>
      <w:r>
        <w:t xml:space="preserve"> A ten year period having been used to set opening CDE values at the outset of the Price Control Period.</w:t>
      </w:r>
    </w:p>
  </w:footnote>
  <w:footnote w:id="15">
    <w:p w14:paraId="1ECE5FDE" w14:textId="77777777" w:rsidR="003A3E0E" w:rsidRDefault="003A3E0E" w:rsidP="00C17313">
      <w:pPr>
        <w:pStyle w:val="FootnoteText"/>
      </w:pPr>
      <w:r>
        <w:rPr>
          <w:rStyle w:val="FootnoteReference"/>
        </w:rPr>
        <w:footnoteRef/>
      </w:r>
      <w:r>
        <w:t xml:space="preserve"> Trading days as published in the </w:t>
      </w:r>
      <w:r w:rsidRPr="000B45CB">
        <w:t xml:space="preserve">Markit iBoxx® </w:t>
      </w:r>
      <w:r>
        <w:t>database</w:t>
      </w:r>
      <w:r w:rsidRPr="000B45CB">
        <w:t xml:space="preserve"> </w:t>
      </w:r>
    </w:p>
  </w:footnote>
  <w:footnote w:id="16">
    <w:p w14:paraId="35C1E35E" w14:textId="629EF4BF" w:rsidR="003A3E0E" w:rsidRDefault="003A3E0E">
      <w:pPr>
        <w:pStyle w:val="FootnoteText"/>
      </w:pPr>
      <w:r>
        <w:rPr>
          <w:rStyle w:val="FootnoteReference"/>
        </w:rPr>
        <w:footnoteRef/>
      </w:r>
      <w:r>
        <w:t xml:space="preserve"> </w:t>
      </w:r>
      <w:hyperlink r:id="rId4" w:history="1">
        <w:r w:rsidRPr="00A503FA">
          <w:rPr>
            <w:rStyle w:val="Hyperlink"/>
            <w:sz w:val="18"/>
          </w:rPr>
          <w:t>https://obr.uk</w:t>
        </w:r>
      </w:hyperlink>
      <w:r>
        <w:t xml:space="preserve"> </w:t>
      </w:r>
    </w:p>
  </w:footnote>
  <w:footnote w:id="17">
    <w:p w14:paraId="3E27038C" w14:textId="3FC97978" w:rsidR="003A3E0E" w:rsidRDefault="003A3E0E" w:rsidP="00471143">
      <w:pPr>
        <w:pStyle w:val="FootnoteText"/>
      </w:pPr>
      <w:r>
        <w:rPr>
          <w:rStyle w:val="FootnoteReference"/>
        </w:rPr>
        <w:footnoteRef/>
      </w:r>
      <w:r>
        <w:t xml:space="preserve"> This interim approach is not restricted to using the value from the most recent publication that did contain the value (as required of the licensee under </w:t>
      </w:r>
      <w:r w:rsidRPr="00382AA5">
        <w:t>Special Condition 8.2.8</w:t>
      </w:r>
      <w:r>
        <w:t xml:space="preserve"> </w:t>
      </w:r>
      <w:r w:rsidRPr="00382AA5">
        <w:t>(b)).</w:t>
      </w:r>
    </w:p>
  </w:footnote>
  <w:footnote w:id="18">
    <w:p w14:paraId="3206CAFC" w14:textId="69BE99A5" w:rsidR="003A3E0E" w:rsidRDefault="003A3E0E" w:rsidP="005E0A2B">
      <w:pPr>
        <w:pStyle w:val="FootnoteText"/>
      </w:pPr>
      <w:r>
        <w:rPr>
          <w:rStyle w:val="FootnoteReference"/>
        </w:rPr>
        <w:footnoteRef/>
      </w:r>
      <w:r>
        <w:t xml:space="preserve"> </w:t>
      </w:r>
      <w:hyperlink r:id="rId5" w:history="1">
        <w:r w:rsidRPr="007A7F68">
          <w:rPr>
            <w:rStyle w:val="Hyperlink"/>
          </w:rPr>
          <w:t>https://www.bankofengland.co.uk/</w:t>
        </w:r>
      </w:hyperlink>
      <w:r>
        <w:t xml:space="preserve"> </w:t>
      </w:r>
    </w:p>
  </w:footnote>
  <w:footnote w:id="19">
    <w:p w14:paraId="49A5F62B" w14:textId="215FB7BE" w:rsidR="003A3E0E" w:rsidRDefault="003A3E0E" w:rsidP="005E0A2B">
      <w:pPr>
        <w:pStyle w:val="FootnoteText"/>
      </w:pPr>
      <w:r>
        <w:rPr>
          <w:rStyle w:val="FootnoteReference"/>
        </w:rPr>
        <w:footnoteRef/>
      </w:r>
      <w:r>
        <w:t xml:space="preserve"> </w:t>
      </w:r>
      <w:hyperlink r:id="rId6" w:history="1">
        <w:r w:rsidR="008F1AC8" w:rsidRPr="00BB15FF">
          <w:rPr>
            <w:rStyle w:val="Hyperlink"/>
            <w:sz w:val="18"/>
          </w:rPr>
          <w:t>https://obr.uk</w:t>
        </w:r>
      </w:hyperlink>
      <w:r w:rsidR="008F1AC8">
        <w:t xml:space="preserve"> </w:t>
      </w:r>
    </w:p>
  </w:footnote>
  <w:footnote w:id="20">
    <w:p w14:paraId="45C44F8D" w14:textId="6229EF47" w:rsidR="003A3E0E" w:rsidRDefault="003A3E0E" w:rsidP="00471143">
      <w:pPr>
        <w:pStyle w:val="FootnoteText"/>
      </w:pPr>
      <w:r>
        <w:rPr>
          <w:rStyle w:val="FootnoteReference"/>
        </w:rPr>
        <w:footnoteRef/>
      </w:r>
      <w:r>
        <w:t xml:space="preserve"> This interim approach is not restricted to using the value from the most recent publication that did contain the value (as required of the licensee under </w:t>
      </w:r>
      <w:r w:rsidRPr="00382AA5">
        <w:t>Special Condition 8.2.8</w:t>
      </w:r>
      <w:r>
        <w:t xml:space="preserve"> </w:t>
      </w:r>
      <w:r w:rsidRPr="00382AA5">
        <w:t>(b)).</w:t>
      </w:r>
    </w:p>
  </w:footnote>
  <w:footnote w:id="21">
    <w:p w14:paraId="47D5D475" w14:textId="77777777" w:rsidR="003A3E0E" w:rsidRDefault="003A3E0E" w:rsidP="008D17FC">
      <w:pPr>
        <w:pStyle w:val="FootnoteText"/>
      </w:pPr>
      <w:r>
        <w:rPr>
          <w:rStyle w:val="FootnoteReference"/>
        </w:rPr>
        <w:footnoteRef/>
      </w:r>
      <w:r>
        <w:t xml:space="preserve"> The tax liability which would be modelled if the event was taken into account.</w:t>
      </w:r>
    </w:p>
  </w:footnote>
  <w:footnote w:id="22">
    <w:p w14:paraId="37FCB8A8" w14:textId="77777777" w:rsidR="003A3E0E" w:rsidRDefault="003A3E0E" w:rsidP="00457BC4">
      <w:pPr>
        <w:pStyle w:val="FootnoteText"/>
      </w:pPr>
      <w:r>
        <w:rPr>
          <w:rStyle w:val="FootnoteReference"/>
        </w:rPr>
        <w:footnoteRef/>
      </w:r>
      <w:r>
        <w:t xml:space="preserve"> </w:t>
      </w:r>
      <w:hyperlink r:id="rId7" w:history="1">
        <w:r w:rsidRPr="00D346D6">
          <w:rPr>
            <w:rStyle w:val="Hyperlink"/>
          </w:rPr>
          <w:t>https://www.gov.uk/hmrc-internal-manuals/company-taxation-manual/ctm80530</w:t>
        </w:r>
      </w:hyperlink>
    </w:p>
    <w:p w14:paraId="3E2D1F39" w14:textId="5E521716" w:rsidR="003A3E0E" w:rsidRDefault="003A3E0E">
      <w:pPr>
        <w:pStyle w:val="FootnoteText"/>
      </w:pPr>
    </w:p>
  </w:footnote>
  <w:footnote w:id="23">
    <w:p w14:paraId="4353CE65" w14:textId="50194A1F" w:rsidR="003A3E0E" w:rsidRPr="0049257E" w:rsidRDefault="003A3E0E" w:rsidP="00FF0777">
      <w:pPr>
        <w:pStyle w:val="FootnoteText"/>
        <w:spacing w:after="80"/>
        <w:rPr>
          <w:sz w:val="16"/>
          <w:szCs w:val="16"/>
        </w:rPr>
      </w:pPr>
      <w:r w:rsidRPr="0049257E">
        <w:rPr>
          <w:rStyle w:val="FootnoteReference"/>
          <w:sz w:val="16"/>
          <w:szCs w:val="16"/>
        </w:rPr>
        <w:footnoteRef/>
      </w:r>
      <w:r>
        <w:rPr>
          <w:sz w:val="16"/>
          <w:szCs w:val="16"/>
        </w:rPr>
        <w:t xml:space="preserve"> </w:t>
      </w:r>
      <w:hyperlink r:id="rId8" w:history="1">
        <w:r w:rsidRPr="00F86553">
          <w:rPr>
            <w:rStyle w:val="Hyperlink"/>
            <w:sz w:val="18"/>
            <w:szCs w:val="18"/>
          </w:rPr>
          <w:t>http://www.ofgem.gov.uk/Pages/MoreInformation.aspx?docid=49&amp;refer=Networks</w:t>
        </w:r>
      </w:hyperlink>
      <w:r>
        <w:t xml:space="preserve"> and as amended for the treatment of hybrid financial instruments  </w:t>
      </w:r>
    </w:p>
  </w:footnote>
  <w:footnote w:id="24">
    <w:p w14:paraId="48C01D3E" w14:textId="77777777" w:rsidR="003A3E0E" w:rsidRDefault="003A3E0E" w:rsidP="00FF0777">
      <w:pPr>
        <w:pStyle w:val="FootnoteText"/>
      </w:pPr>
      <w:r>
        <w:rPr>
          <w:rStyle w:val="FootnoteReference"/>
        </w:rPr>
        <w:footnoteRef/>
      </w:r>
      <w:r>
        <w:t xml:space="preserve"> Including the provisions of</w:t>
      </w:r>
      <w:r w:rsidRPr="00DE6D10">
        <w:t xml:space="preserve"> IFRS 1 (</w:t>
      </w:r>
      <w:r w:rsidRPr="00DE6D10">
        <w:rPr>
          <w:iCs/>
        </w:rPr>
        <w:t xml:space="preserve">First-time Adoption of International Financial Reporting Standards) </w:t>
      </w:r>
      <w:r>
        <w:rPr>
          <w:iCs/>
        </w:rPr>
        <w:t>where applicable</w:t>
      </w:r>
      <w:r w:rsidRPr="00DE6D10">
        <w:rPr>
          <w:iCs/>
        </w:rPr>
        <w:t>.</w:t>
      </w:r>
    </w:p>
  </w:footnote>
  <w:footnote w:id="25">
    <w:p w14:paraId="561ED636" w14:textId="25047632" w:rsidR="003A3E0E" w:rsidRDefault="003A3E0E" w:rsidP="008E7945">
      <w:pPr>
        <w:pStyle w:val="FootnoteText"/>
      </w:pPr>
      <w:r>
        <w:rPr>
          <w:rStyle w:val="FootnoteReference"/>
        </w:rPr>
        <w:footnoteRef/>
      </w:r>
      <w:r>
        <w:t xml:space="preserve"> The tax liability, which would be modelled if the event were taken into account.</w:t>
      </w:r>
    </w:p>
  </w:footnote>
  <w:footnote w:id="26">
    <w:p w14:paraId="01E0E108" w14:textId="77777777" w:rsidR="003A3E0E" w:rsidRDefault="003A3E0E" w:rsidP="00AC440D">
      <w:pPr>
        <w:pStyle w:val="FootnoteText"/>
      </w:pPr>
      <w:r>
        <w:rPr>
          <w:rStyle w:val="FootnoteReference"/>
        </w:rPr>
        <w:footnoteRef/>
      </w:r>
      <w:r>
        <w:t xml:space="preserve"> The reconciliation referred to is the Tax Reconciliation template reconciling the notional tax allowance per the PCFM and actual tax liability per their latest CT600 forms. This template forms part of the licensee’s annual RIGs submissions.</w:t>
      </w:r>
    </w:p>
  </w:footnote>
  <w:footnote w:id="27">
    <w:p w14:paraId="2B259200" w14:textId="68FC5B1E" w:rsidR="003A3E0E" w:rsidRDefault="003A3E0E" w:rsidP="00AC440D">
      <w:pPr>
        <w:pStyle w:val="FootnoteText"/>
      </w:pPr>
      <w:r>
        <w:rPr>
          <w:rStyle w:val="FootnoteReference"/>
        </w:rPr>
        <w:footnoteRef/>
      </w:r>
      <w:r>
        <w:t xml:space="preserve">   The examiner would be a qualified tax accountant from a reputable firm regulated by a relevant professional body. The examiner chosen by the licensee should be agreed to by Ofgem. If appropriate, the examiner used may be the licensee’s Appropriate auditors as defined in Standard Special Condition A3 of the Gas </w:t>
      </w:r>
      <w:r w:rsidRPr="00EE25E1">
        <w:t>Transporter</w:t>
      </w:r>
      <w:r>
        <w:t xml:space="preserve"> Licence.</w:t>
      </w:r>
    </w:p>
  </w:footnote>
  <w:footnote w:id="28">
    <w:p w14:paraId="599A6FF2" w14:textId="77777777" w:rsidR="003A3E0E" w:rsidRDefault="003A3E0E" w:rsidP="000401D6">
      <w:pPr>
        <w:pStyle w:val="FootnoteText"/>
      </w:pPr>
      <w:r>
        <w:rPr>
          <w:rStyle w:val="FootnoteReference"/>
        </w:rPr>
        <w:footnoteRef/>
      </w:r>
      <w:r>
        <w:t xml:space="preserve"> </w:t>
      </w:r>
      <w:r w:rsidRPr="0064181D">
        <w:t xml:space="preserve">In the context of </w:t>
      </w:r>
      <w:r>
        <w:t>PSED</w:t>
      </w:r>
      <w:r w:rsidRPr="0064181D">
        <w:t xml:space="preserve"> repair expenditure we refer to ‘allowances’ rather than ‘allowed expenditure’</w:t>
      </w:r>
      <w:r>
        <w:t xml:space="preserve"> </w:t>
      </w:r>
      <w:r w:rsidRPr="0064181D">
        <w:t xml:space="preserve"> because </w:t>
      </w:r>
      <w:r>
        <w:t>EDE is</w:t>
      </w:r>
      <w:r w:rsidRPr="0064181D">
        <w:t xml:space="preserve"> included in full in </w:t>
      </w:r>
      <w:r>
        <w:t xml:space="preserve">calculated </w:t>
      </w:r>
      <w:r w:rsidRPr="0064181D">
        <w:t>revenue in the PCFM</w:t>
      </w:r>
      <w:r>
        <w:t>, ie it is not subject to the TIM</w:t>
      </w:r>
      <w:r w:rsidRPr="0064181D">
        <w:t>.</w:t>
      </w:r>
    </w:p>
  </w:footnote>
  <w:footnote w:id="29">
    <w:p w14:paraId="78C91E89" w14:textId="77777777" w:rsidR="003A3E0E" w:rsidRDefault="003A3E0E" w:rsidP="008F4C42">
      <w:pPr>
        <w:pStyle w:val="FootnoteText"/>
      </w:pPr>
      <w:r>
        <w:rPr>
          <w:rStyle w:val="FootnoteReference"/>
        </w:rPr>
        <w:footnoteRef/>
      </w:r>
      <w:r>
        <w:t xml:space="preserve"> </w:t>
      </w:r>
      <w:hyperlink r:id="rId9" w:history="1">
        <w:r w:rsidRPr="004F137D">
          <w:rPr>
            <w:rStyle w:val="Hyperlink"/>
            <w:sz w:val="18"/>
          </w:rPr>
          <w:t>https://www.ofgem.gov.uk/system/files/docs/2017/04/decision_on_policy_for_funding_pseds.pdf</w:t>
        </w:r>
      </w:hyperlink>
      <w:r>
        <w:t xml:space="preserve"> </w:t>
      </w:r>
    </w:p>
  </w:footnote>
  <w:footnote w:id="30">
    <w:p w14:paraId="015E59FB" w14:textId="77777777" w:rsidR="003A3E0E" w:rsidRDefault="003A3E0E" w:rsidP="000401D6">
      <w:pPr>
        <w:pStyle w:val="FootnoteText"/>
      </w:pPr>
      <w:r>
        <w:rPr>
          <w:rStyle w:val="FootnoteReference"/>
        </w:rPr>
        <w:footnoteRef/>
      </w:r>
      <w:r>
        <w:t xml:space="preserve"> </w:t>
      </w:r>
      <w:r w:rsidRPr="0064181D">
        <w:t>Th</w:t>
      </w:r>
      <w:r>
        <w:t>is</w:t>
      </w:r>
      <w:r w:rsidRPr="0064181D">
        <w:t xml:space="preserve"> definition applies even if the value derived is a negative amount (a surplus position) and may be described as an “established surplus”.</w:t>
      </w:r>
    </w:p>
  </w:footnote>
  <w:footnote w:id="31">
    <w:p w14:paraId="1CAF4E5A" w14:textId="46D6BA2C" w:rsidR="003A3E0E" w:rsidRDefault="003A3E0E" w:rsidP="00073A85">
      <w:pPr>
        <w:pStyle w:val="FootnoteText"/>
      </w:pPr>
      <w:r>
        <w:rPr>
          <w:rStyle w:val="FootnoteReference"/>
        </w:rPr>
        <w:footnoteRef/>
      </w:r>
      <w:r>
        <w:t xml:space="preserve"> </w:t>
      </w:r>
      <w:r w:rsidRPr="009909AB">
        <w:t xml:space="preserve">Although the intention is to </w:t>
      </w:r>
      <w:r>
        <w:t xml:space="preserve">conduct the steps of the reasonableness review according to the dates specified in this section, </w:t>
      </w:r>
      <w:r w:rsidRPr="009909AB">
        <w:t>i</w:t>
      </w:r>
      <w:r>
        <w:t>t may be necessary to change these dates (eg as occurred with the review in 2020, when dates were changed as a consequence of the impacts Covid-19) whilst following the same steps.</w:t>
      </w:r>
    </w:p>
  </w:footnote>
  <w:footnote w:id="32">
    <w:p w14:paraId="1BAEB16D" w14:textId="753D78C6" w:rsidR="003A3E0E" w:rsidRDefault="003A3E0E" w:rsidP="000401D6">
      <w:pPr>
        <w:pStyle w:val="FootnoteText"/>
      </w:pPr>
      <w:r>
        <w:rPr>
          <w:rStyle w:val="FootnoteReference"/>
        </w:rPr>
        <w:footnoteRef/>
      </w:r>
      <w:r w:rsidRPr="007C50E8">
        <w:rPr>
          <w:rFonts w:cs="Calibri"/>
          <w:color w:val="1F497D"/>
          <w:sz w:val="20"/>
        </w:rPr>
        <w:t xml:space="preserve"> </w:t>
      </w:r>
      <w:hyperlink r:id="rId10" w:history="1">
        <w:r w:rsidRPr="009B63A6">
          <w:rPr>
            <w:rStyle w:val="Hyperlink"/>
            <w:rFonts w:cs="Calibri"/>
            <w:sz w:val="18"/>
            <w:szCs w:val="18"/>
          </w:rPr>
          <w:t>https://ofgem.gov.uk/publications-and-updates/notice-modify-regulatory-instructions-and-guidance-held-network-operators</w:t>
        </w:r>
      </w:hyperlink>
    </w:p>
  </w:footnote>
  <w:footnote w:id="33">
    <w:p w14:paraId="23A5F2E2" w14:textId="77777777" w:rsidR="003A3E0E" w:rsidRDefault="003A3E0E" w:rsidP="005057DB">
      <w:pPr>
        <w:pStyle w:val="FootnoteText"/>
      </w:pPr>
      <w:r>
        <w:rPr>
          <w:rStyle w:val="FootnoteReference"/>
        </w:rPr>
        <w:footnoteRef/>
      </w:r>
      <w:r>
        <w:t xml:space="preserve"> See Appendix 3, of </w:t>
      </w:r>
      <w:hyperlink r:id="rId11" w:history="1">
        <w:r w:rsidRPr="004F137D">
          <w:rPr>
            <w:rStyle w:val="Hyperlink"/>
            <w:sz w:val="18"/>
          </w:rPr>
          <w:t>https://www.ofgem.gov.uk/system/files/docs/2017/04/decision_on_policy_for_funding_pseds.pdf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B" w14:textId="77777777" w:rsidR="003A3E0E" w:rsidRDefault="003A3E0E">
    <w:pPr>
      <w:pStyle w:val="Header"/>
    </w:pPr>
    <w:r w:rsidRPr="00433723">
      <w:rPr>
        <w:noProof/>
        <w:lang w:eastAsia="en-GB"/>
      </w:rPr>
      <mc:AlternateContent>
        <mc:Choice Requires="wps">
          <w:drawing>
            <wp:anchor distT="0" distB="0" distL="114300" distR="114300" simplePos="0" relativeHeight="251657216" behindDoc="0" locked="0" layoutInCell="1" allowOverlap="1" wp14:anchorId="303030E2" wp14:editId="303030E3">
              <wp:simplePos x="0" y="0"/>
              <wp:positionH relativeFrom="column">
                <wp:posOffset>62230</wp:posOffset>
              </wp:positionH>
              <wp:positionV relativeFrom="page">
                <wp:posOffset>638175</wp:posOffset>
              </wp:positionV>
              <wp:extent cx="6019165" cy="0"/>
              <wp:effectExtent l="0" t="0" r="19685" b="19050"/>
              <wp:wrapNone/>
              <wp:docPr id="14" name="Straight Connector 14"/>
              <wp:cNvGraphicFramePr/>
              <a:graphic xmlns:a="http://schemas.openxmlformats.org/drawingml/2006/main">
                <a:graphicData uri="http://schemas.microsoft.com/office/word/2010/wordprocessingShape">
                  <wps:wsp>
                    <wps:cNvCnPr/>
                    <wps:spPr>
                      <a:xfrm>
                        <a:off x="0" y="0"/>
                        <a:ext cx="6019165"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1B9F1F" id="Straight Connector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4.9pt,50.25pt" to="478.8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" strokecolor="#f68220" strokeweight="1.5pt">
              <w10:wrap anchory="page"/>
            </v:line>
          </w:pict>
        </mc:Fallback>
      </mc:AlternateContent>
    </w:r>
    <w:r w:rsidRPr="00433723">
      <w:rPr>
        <w:noProof/>
        <w:lang w:eastAsia="en-GB"/>
      </w:rPr>
      <mc:AlternateContent>
        <mc:Choice Requires="wps">
          <w:drawing>
            <wp:anchor distT="0" distB="0" distL="114300" distR="114300" simplePos="0" relativeHeight="251656192" behindDoc="0" locked="0" layoutInCell="1" allowOverlap="1" wp14:anchorId="303030E4" wp14:editId="303030E5">
              <wp:simplePos x="0" y="0"/>
              <wp:positionH relativeFrom="margin">
                <wp:posOffset>0</wp:posOffset>
              </wp:positionH>
              <wp:positionV relativeFrom="page">
                <wp:posOffset>224219</wp:posOffset>
              </wp:positionV>
              <wp:extent cx="4816475" cy="309245"/>
              <wp:effectExtent l="0" t="0" r="3175" b="0"/>
              <wp:wrapNone/>
              <wp:docPr id="12" name="Text Box 12"/>
              <wp:cNvGraphicFramePr/>
              <a:graphic xmlns:a="http://schemas.openxmlformats.org/drawingml/2006/main">
                <a:graphicData uri="http://schemas.microsoft.com/office/word/2010/wordprocessingShape">
                  <wps:wsp>
                    <wps:cNvSpPr txBox="1"/>
                    <wps:spPr>
                      <a:xfrm>
                        <a:off x="0" y="0"/>
                        <a:ext cx="4816475" cy="309245"/>
                      </a:xfrm>
                      <a:prstGeom prst="rect">
                        <a:avLst/>
                      </a:prstGeom>
                      <a:solidFill>
                        <a:schemeClr val="lt1"/>
                      </a:solidFill>
                      <a:ln w="6350">
                        <a:noFill/>
                      </a:ln>
                    </wps:spPr>
                    <wps:txbx>
                      <w:txbxContent>
                        <w:p w14:paraId="3030316C" w14:textId="77777777" w:rsidR="003A3E0E" w:rsidRPr="000E4FE3" w:rsidRDefault="003A3E0E" w:rsidP="00433723">
                          <w:pPr>
                            <w:rPr>
                              <w:color w:val="54616C"/>
                              <w:szCs w:val="20"/>
                            </w:rPr>
                          </w:pPr>
                          <w:r w:rsidRPr="000E4FE3">
                            <w:rPr>
                              <w:color w:val="F68220"/>
                              <w:szCs w:val="20"/>
                            </w:rPr>
                            <w:t>Consultation</w:t>
                          </w:r>
                          <w:r w:rsidRPr="000E4FE3">
                            <w:rPr>
                              <w:szCs w:val="20"/>
                            </w:rPr>
                            <w:t xml:space="preserve"> </w:t>
                          </w:r>
                          <w:r w:rsidRPr="000E4FE3">
                            <w:rPr>
                              <w:color w:val="54616C"/>
                              <w:szCs w:val="20"/>
                            </w:rPr>
                            <w:t>- Consultation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030E4" id="_x0000_t202" coordsize="21600,21600" o:spt="202" path="m,l,21600r21600,l21600,xe">
              <v:stroke joinstyle="miter"/>
              <v:path gradientshapeok="t" o:connecttype="rect"/>
            </v:shapetype>
            <v:shape id="Text Box 12" o:spid="_x0000_s1027" type="#_x0000_t202" style="position:absolute;margin-left:0;margin-top:17.65pt;width:379.25pt;height:24.3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" fillcolor="white [3201]" stroked="f" strokeweight=".5pt">
              <v:textbox>
                <w:txbxContent>
                  <w:p w14:paraId="3030316C" w14:textId="77777777" w:rsidR="003A3E0E" w:rsidRPr="000E4FE3" w:rsidRDefault="003A3E0E" w:rsidP="00433723">
                    <w:pPr>
                      <w:rPr>
                        <w:color w:val="54616C"/>
                        <w:szCs w:val="20"/>
                      </w:rPr>
                    </w:pPr>
                    <w:r w:rsidRPr="000E4FE3">
                      <w:rPr>
                        <w:color w:val="F68220"/>
                        <w:szCs w:val="20"/>
                      </w:rPr>
                      <w:t>Consultation</w:t>
                    </w:r>
                    <w:r w:rsidRPr="000E4FE3">
                      <w:rPr>
                        <w:szCs w:val="20"/>
                      </w:rPr>
                      <w:t xml:space="preserve"> </w:t>
                    </w:r>
                    <w:r w:rsidRPr="000E4FE3">
                      <w:rPr>
                        <w:color w:val="54616C"/>
                        <w:szCs w:val="20"/>
                      </w:rPr>
                      <w:t>- Consultation title</w:t>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C" w14:textId="3961EBA2" w:rsidR="003A3E0E" w:rsidRDefault="000427EE" w:rsidP="00B045F7">
    <w:pPr>
      <w:tabs>
        <w:tab w:val="right" w:pos="10440"/>
      </w:tabs>
      <w:ind w:right="-1800"/>
    </w:pPr>
    <w:sdt>
      <w:sdtPr>
        <w:id w:val="316458304"/>
        <w:docPartObj>
          <w:docPartGallery w:val="Watermarks"/>
          <w:docPartUnique/>
        </w:docPartObj>
      </w:sdtPr>
      <w:sdtEndPr/>
      <w:sdtContent>
        <w:r>
          <w:rPr>
            <w:noProof/>
            <w:lang w:val="en-US"/>
          </w:rPr>
          <w:pict w14:anchorId="3099A8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A3E0E">
      <w:rPr>
        <w:noProof/>
        <w:lang w:eastAsia="en-GB"/>
      </w:rPr>
      <mc:AlternateContent>
        <mc:Choice Requires="wpg">
          <w:drawing>
            <wp:anchor distT="0" distB="0" distL="114300" distR="114300" simplePos="0" relativeHeight="251655168" behindDoc="0" locked="0" layoutInCell="1" allowOverlap="1" wp14:anchorId="303030E6" wp14:editId="60EF8251">
              <wp:simplePos x="0" y="0"/>
              <wp:positionH relativeFrom="column">
                <wp:posOffset>-199060</wp:posOffset>
              </wp:positionH>
              <wp:positionV relativeFrom="paragraph">
                <wp:posOffset>-647527</wp:posOffset>
              </wp:positionV>
              <wp:extent cx="6300000" cy="369988"/>
              <wp:effectExtent l="0" t="0" r="24765" b="11430"/>
              <wp:wrapNone/>
              <wp:docPr id="4" name="Group 4" descr="This header bar displays the guidance title" title="guidance and title"/>
              <wp:cNvGraphicFramePr/>
              <a:graphic xmlns:a="http://schemas.openxmlformats.org/drawingml/2006/main">
                <a:graphicData uri="http://schemas.microsoft.com/office/word/2010/wordprocessingGroup">
                  <wpg:wgp>
                    <wpg:cNvGrpSpPr/>
                    <wpg:grpSpPr>
                      <a:xfrm>
                        <a:off x="0" y="0"/>
                        <a:ext cx="6300000" cy="369988"/>
                        <a:chOff x="0" y="0"/>
                        <a:chExt cx="6300000" cy="369988"/>
                      </a:xfrm>
                    </wpg:grpSpPr>
                    <wps:wsp>
                      <wps:cNvPr id="9" name="Text Box 9"/>
                      <wps:cNvSpPr txBox="1"/>
                      <wps:spPr>
                        <a:xfrm>
                          <a:off x="10571" y="0"/>
                          <a:ext cx="4816475" cy="309245"/>
                        </a:xfrm>
                        <a:prstGeom prst="rect">
                          <a:avLst/>
                        </a:prstGeom>
                        <a:solidFill>
                          <a:schemeClr val="lt1"/>
                        </a:solidFill>
                        <a:ln w="6350">
                          <a:noFill/>
                        </a:ln>
                      </wps:spPr>
                      <wps:txbx>
                        <w:txbxContent>
                          <w:p w14:paraId="3030316D" w14:textId="0378F24A" w:rsidR="003A3E0E" w:rsidRPr="000E4FE3" w:rsidRDefault="003A3E0E" w:rsidP="00D2288E">
                            <w:pPr>
                              <w:rPr>
                                <w:color w:val="54616C"/>
                                <w:szCs w:val="20"/>
                              </w:rPr>
                            </w:pPr>
                            <w:r>
                              <w:rPr>
                                <w:color w:val="F68220"/>
                                <w:szCs w:val="20"/>
                              </w:rPr>
                              <w:t>Guidance</w:t>
                            </w:r>
                            <w:r w:rsidRPr="000E4FE3">
                              <w:rPr>
                                <w:szCs w:val="20"/>
                              </w:rPr>
                              <w:t xml:space="preserve"> </w:t>
                            </w:r>
                            <w:r>
                              <w:rPr>
                                <w:color w:val="54616C"/>
                                <w:szCs w:val="20"/>
                              </w:rPr>
                              <w:t>– GT2 Price Control Financial Handbook</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wps:wsp>
                      <wps:cNvPr id="10" name="Straight Connector 10"/>
                      <wps:cNvCnPr/>
                      <wps:spPr>
                        <a:xfrm>
                          <a:off x="0" y="369988"/>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03030E6" id="Group 4" o:spid="_x0000_s1028" alt="Title: guidance and title - Description: This header bar displays the guidance title" style="position:absolute;margin-left:-15.65pt;margin-top:-51pt;width:496.05pt;height:29.15pt;z-index:251655168" coordsize="63000,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">
              <v:shapetype id="_x0000_t202" coordsize="21600,21600" o:spt="202" path="m,l,21600r21600,l21600,xe">
                <v:stroke joinstyle="miter"/>
                <v:path gradientshapeok="t" o:connecttype="rect"/>
              </v:shapetype>
              <v:shape id="Text Box 9" o:spid="_x0000_s1029" type="#_x0000_t202" style="position:absolute;left:105;width:48165;height:3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" fillcolor="white [3201]" stroked="f" strokeweight=".5pt">
                <v:textbox inset="0">
                  <w:txbxContent>
                    <w:p w14:paraId="3030316D" w14:textId="0378F24A" w:rsidR="003A3E0E" w:rsidRPr="000E4FE3" w:rsidRDefault="003A3E0E" w:rsidP="00D2288E">
                      <w:pPr>
                        <w:rPr>
                          <w:color w:val="54616C"/>
                          <w:szCs w:val="20"/>
                        </w:rPr>
                      </w:pPr>
                      <w:r>
                        <w:rPr>
                          <w:color w:val="F68220"/>
                          <w:szCs w:val="20"/>
                        </w:rPr>
                        <w:t>Guidance</w:t>
                      </w:r>
                      <w:r w:rsidRPr="000E4FE3">
                        <w:rPr>
                          <w:szCs w:val="20"/>
                        </w:rPr>
                        <w:t xml:space="preserve"> </w:t>
                      </w:r>
                      <w:r>
                        <w:rPr>
                          <w:color w:val="54616C"/>
                          <w:szCs w:val="20"/>
                        </w:rPr>
                        <w:t>– GT2 Price Control Financial Handbook</w:t>
                      </w:r>
                    </w:p>
                  </w:txbxContent>
                </v:textbox>
              </v:shape>
              <v:line id="Straight Connector 10" o:spid="_x0000_s1030" style="position:absolute;visibility:visible;mso-wrap-style:square" from="0,3699" to="63000,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" strokecolor="#f68220" strokeweight="1.5p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E0" w14:textId="2C6C0CA0" w:rsidR="003A3E0E" w:rsidRDefault="003A3E0E">
    <w:pPr>
      <w:pStyle w:val="Header"/>
    </w:pPr>
    <w:r>
      <w:rPr>
        <w:noProof/>
        <w:lang w:eastAsia="en-GB"/>
      </w:rPr>
      <mc:AlternateContent>
        <mc:Choice Requires="wps">
          <w:drawing>
            <wp:anchor distT="0" distB="0" distL="114300" distR="114300" simplePos="0" relativeHeight="251660288" behindDoc="0" locked="1" layoutInCell="1" allowOverlap="1" wp14:anchorId="303030EC" wp14:editId="411DCEA2">
              <wp:simplePos x="0" y="0"/>
              <wp:positionH relativeFrom="margin">
                <wp:align>left</wp:align>
              </wp:positionH>
              <wp:positionV relativeFrom="paragraph">
                <wp:posOffset>685800</wp:posOffset>
              </wp:positionV>
              <wp:extent cx="1922780" cy="591185"/>
              <wp:effectExtent l="0" t="0" r="7620" b="5715"/>
              <wp:wrapNone/>
              <wp:docPr id="1" name="Text Box 1"/>
              <wp:cNvGraphicFramePr/>
              <a:graphic xmlns:a="http://schemas.openxmlformats.org/drawingml/2006/main">
                <a:graphicData uri="http://schemas.microsoft.com/office/word/2010/wordprocessingShape">
                  <wps:wsp>
                    <wps:cNvSpPr txBox="1"/>
                    <wps:spPr>
                      <a:xfrm>
                        <a:off x="0" y="0"/>
                        <a:ext cx="1922780" cy="591185"/>
                      </a:xfrm>
                      <a:prstGeom prst="rect">
                        <a:avLst/>
                      </a:prstGeom>
                      <a:noFill/>
                      <a:ln w="6350">
                        <a:noFill/>
                      </a:ln>
                    </wps:spPr>
                    <wps:txbx>
                      <w:txbxContent>
                        <w:p w14:paraId="3030316E" w14:textId="3F239B8D" w:rsidR="003A3E0E" w:rsidRPr="004303B7" w:rsidRDefault="003A3E0E" w:rsidP="004303B7">
                          <w:pPr>
                            <w:rPr>
                              <w:color w:val="54616C"/>
                              <w:sz w:val="56"/>
                              <w:szCs w:val="56"/>
                            </w:rPr>
                          </w:pPr>
                          <w:r>
                            <w:rPr>
                              <w:noProof/>
                              <w:color w:val="54616C"/>
                              <w:sz w:val="56"/>
                              <w:szCs w:val="56"/>
                              <w:lang w:eastAsia="en-GB"/>
                            </w:rPr>
                            <w:drawing>
                              <wp:inline distT="0" distB="0" distL="0" distR="0" wp14:anchorId="541346FD" wp14:editId="266D4BE8">
                                <wp:extent cx="1916430" cy="525049"/>
                                <wp:effectExtent l="0" t="0" r="0" b="8890"/>
                                <wp:docPr id="6" name="Picture 6" descr="The title text' 'Guidance' is displayed&#10;" title="Gui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idance.jpg"/>
                                        <pic:cNvPicPr/>
                                      </pic:nvPicPr>
                                      <pic:blipFill>
                                        <a:blip r:embed="rId1">
                                          <a:extLst>
                                            <a:ext uri="{28A0092B-C50C-407E-A947-70E740481C1C}">
                                              <a14:useLocalDpi xmlns:a14="http://schemas.microsoft.com/office/drawing/2010/main" val="0"/>
                                            </a:ext>
                                          </a:extLst>
                                        </a:blip>
                                        <a:stretch>
                                          <a:fillRect/>
                                        </a:stretch>
                                      </pic:blipFill>
                                      <pic:spPr>
                                        <a:xfrm>
                                          <a:off x="0" y="0"/>
                                          <a:ext cx="1916430" cy="525049"/>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030EC" id="_x0000_t202" coordsize="21600,21600" o:spt="202" path="m,l,21600r21600,l21600,xe">
              <v:stroke joinstyle="miter"/>
              <v:path gradientshapeok="t" o:connecttype="rect"/>
            </v:shapetype>
            <v:shape id="Text Box 1" o:spid="_x0000_s1031" type="#_x0000_t202" style="position:absolute;margin-left:0;margin-top:54pt;width:151.4pt;height:46.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" filled="f" stroked="f" strokeweight=".5pt">
              <v:textbox inset="0,0,0,0">
                <w:txbxContent>
                  <w:p w14:paraId="3030316E" w14:textId="3F239B8D" w:rsidR="003A3E0E" w:rsidRPr="004303B7" w:rsidRDefault="003A3E0E" w:rsidP="004303B7">
                    <w:pPr>
                      <w:rPr>
                        <w:color w:val="54616C"/>
                        <w:sz w:val="56"/>
                        <w:szCs w:val="56"/>
                      </w:rPr>
                    </w:pPr>
                    <w:r>
                      <w:rPr>
                        <w:noProof/>
                        <w:color w:val="54616C"/>
                        <w:sz w:val="56"/>
                        <w:szCs w:val="56"/>
                        <w:lang w:eastAsia="en-GB"/>
                      </w:rPr>
                      <w:drawing>
                        <wp:inline distT="0" distB="0" distL="0" distR="0" wp14:anchorId="541346FD" wp14:editId="266D4BE8">
                          <wp:extent cx="1916430" cy="525049"/>
                          <wp:effectExtent l="0" t="0" r="0" b="8890"/>
                          <wp:docPr id="6" name="Picture 6" descr="The title text' 'Guidance' is displayed&#10;" title="Gui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idance.jpg"/>
                                  <pic:cNvPicPr/>
                                </pic:nvPicPr>
                                <pic:blipFill>
                                  <a:blip r:embed="rId2">
                                    <a:extLst>
                                      <a:ext uri="{28A0092B-C50C-407E-A947-70E740481C1C}">
                                        <a14:useLocalDpi xmlns:a14="http://schemas.microsoft.com/office/drawing/2010/main" val="0"/>
                                      </a:ext>
                                    </a:extLst>
                                  </a:blip>
                                  <a:stretch>
                                    <a:fillRect/>
                                  </a:stretch>
                                </pic:blipFill>
                                <pic:spPr>
                                  <a:xfrm>
                                    <a:off x="0" y="0"/>
                                    <a:ext cx="1916430" cy="525049"/>
                                  </a:xfrm>
                                  <a:prstGeom prst="rect">
                                    <a:avLst/>
                                  </a:prstGeom>
                                </pic:spPr>
                              </pic:pic>
                            </a:graphicData>
                          </a:graphic>
                        </wp:inline>
                      </w:drawing>
                    </w:r>
                  </w:p>
                </w:txbxContent>
              </v:textbox>
              <w10:wrap anchorx="margin"/>
              <w10:anchorlock/>
            </v:shape>
          </w:pict>
        </mc:Fallback>
      </mc:AlternateContent>
    </w:r>
    <w:r>
      <w:rPr>
        <w:noProof/>
        <w:lang w:eastAsia="en-GB"/>
      </w:rPr>
      <w:drawing>
        <wp:anchor distT="0" distB="0" distL="114300" distR="114300" simplePos="0" relativeHeight="251653120" behindDoc="1" locked="1" layoutInCell="1" allowOverlap="1" wp14:anchorId="303030EE" wp14:editId="740FE05B">
          <wp:simplePos x="0" y="0"/>
          <wp:positionH relativeFrom="column">
            <wp:posOffset>4641792</wp:posOffset>
          </wp:positionH>
          <wp:positionV relativeFrom="page">
            <wp:posOffset>536575</wp:posOffset>
          </wp:positionV>
          <wp:extent cx="1555200" cy="903600"/>
          <wp:effectExtent l="0" t="0" r="6985" b="0"/>
          <wp:wrapNone/>
          <wp:docPr id="3" name="Picture 3"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3">
                    <a:extLst>
                      <a:ext uri="{28A0092B-C50C-407E-A947-70E740481C1C}">
                        <a14:useLocalDpi xmlns:a14="http://schemas.microsoft.com/office/drawing/2010/main" val="0"/>
                      </a:ext>
                    </a:extLst>
                  </a:blip>
                  <a:stretch>
                    <a:fillRect/>
                  </a:stretch>
                </pic:blipFill>
                <pic:spPr>
                  <a:xfrm>
                    <a:off x="0" y="0"/>
                    <a:ext cx="1555200" cy="903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E9C3A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D1CA05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BC445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68CA73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C0CE70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FC82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E0E26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9A9B3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4CBE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7288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975EC"/>
    <w:multiLevelType w:val="hybridMultilevel"/>
    <w:tmpl w:val="0EEA62E8"/>
    <w:lvl w:ilvl="0" w:tplc="23B8D476">
      <w:start w:val="1"/>
      <w:numFmt w:val="decimal"/>
      <w:pStyle w:val="Text-Numbered"/>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BE451F"/>
    <w:multiLevelType w:val="hybridMultilevel"/>
    <w:tmpl w:val="F4D66784"/>
    <w:lvl w:ilvl="0" w:tplc="08090017">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F16EFC"/>
    <w:multiLevelType w:val="multilevel"/>
    <w:tmpl w:val="66D0949C"/>
    <w:styleLink w:val="ConsultationQuestionList"/>
    <w:lvl w:ilvl="0">
      <w:start w:val="1"/>
      <w:numFmt w:val="decimal"/>
      <w:pStyle w:val="ConsultationQuestion"/>
      <w:lvlText w:val="Q%1."/>
      <w:lvlJc w:val="left"/>
      <w:pPr>
        <w:ind w:left="1077" w:hanging="720"/>
      </w:pPr>
      <w:rPr>
        <w:rFonts w:hint="default"/>
      </w:rPr>
    </w:lvl>
    <w:lvl w:ilvl="1">
      <w:start w:val="1"/>
      <w:numFmt w:val="lowerLetter"/>
      <w:lvlText w:val="%2)"/>
      <w:lvlJc w:val="left"/>
      <w:pPr>
        <w:tabs>
          <w:tab w:val="num" w:pos="1077"/>
        </w:tabs>
        <w:ind w:left="1435" w:hanging="358"/>
      </w:pPr>
      <w:rPr>
        <w:rFonts w:hint="default"/>
      </w:rPr>
    </w:lvl>
    <w:lvl w:ilvl="2">
      <w:start w:val="1"/>
      <w:numFmt w:val="bullet"/>
      <w:lvlText w:val=""/>
      <w:lvlJc w:val="left"/>
      <w:pPr>
        <w:ind w:left="1435" w:hanging="358"/>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15:restartNumberingAfterBreak="0">
    <w:nsid w:val="072B2B20"/>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8420E48"/>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B2417C7"/>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B5D1982"/>
    <w:multiLevelType w:val="hybridMultilevel"/>
    <w:tmpl w:val="885CA4D4"/>
    <w:lvl w:ilvl="0" w:tplc="08090017">
      <w:start w:val="1"/>
      <w:numFmt w:val="lowerLetter"/>
      <w:lvlText w:val="%1)"/>
      <w:lvlJc w:val="left"/>
      <w:pPr>
        <w:tabs>
          <w:tab w:val="num" w:pos="720"/>
        </w:tabs>
        <w:ind w:left="720" w:hanging="360"/>
      </w:pPr>
      <w:rPr>
        <w:rFonts w:hint="default"/>
        <w:b w:val="0"/>
        <w:i w:val="0"/>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D61EC4"/>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4D73373"/>
    <w:multiLevelType w:val="hybridMultilevel"/>
    <w:tmpl w:val="27289FCC"/>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7DD3F56"/>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9FA3419"/>
    <w:multiLevelType w:val="multilevel"/>
    <w:tmpl w:val="907A2F38"/>
    <w:styleLink w:val="LicenceNumbering"/>
    <w:lvl w:ilvl="0">
      <w:start w:val="1"/>
      <w:numFmt w:val="decimal"/>
      <w:suff w:val="space"/>
      <w:lvlText w:val="Chapter %1:"/>
      <w:lvlJc w:val="left"/>
      <w:pPr>
        <w:ind w:left="360" w:hanging="360"/>
      </w:pPr>
      <w:rPr>
        <w:rFonts w:hint="default"/>
      </w:rPr>
    </w:lvl>
    <w:lvl w:ilvl="1">
      <w:start w:val="1"/>
      <w:numFmt w:val="upperLetter"/>
      <w:suff w:val="space"/>
      <w:lvlText w:val="Special Condition %1%2."/>
      <w:lvlJc w:val="left"/>
      <w:pPr>
        <w:ind w:left="357" w:hanging="357"/>
      </w:pPr>
      <w:rPr>
        <w:rFonts w:hint="default"/>
      </w:rPr>
    </w:lvl>
    <w:lvl w:ilvl="2">
      <w:start w:val="1"/>
      <w:numFmt w:val="decimal"/>
      <w:lvlText w:val="%1%2.%3"/>
      <w:lvlJc w:val="left"/>
      <w:pPr>
        <w:ind w:left="879" w:hanging="879"/>
      </w:pPr>
      <w:rPr>
        <w:rFonts w:hint="default"/>
      </w:rPr>
    </w:lvl>
    <w:lvl w:ilvl="3">
      <w:start w:val="1"/>
      <w:numFmt w:val="lowerLetter"/>
      <w:lvlText w:val="(%4)"/>
      <w:lvlJc w:val="left"/>
      <w:pPr>
        <w:tabs>
          <w:tab w:val="num" w:pos="879"/>
        </w:tabs>
        <w:ind w:left="1236" w:hanging="357"/>
      </w:pPr>
      <w:rPr>
        <w:rFonts w:hint="default"/>
      </w:rPr>
    </w:lvl>
    <w:lvl w:ilvl="4">
      <w:start w:val="1"/>
      <w:numFmt w:val="lowerRoman"/>
      <w:lvlText w:val="(%5)"/>
      <w:lvlJc w:val="left"/>
      <w:pPr>
        <w:ind w:left="1593" w:hanging="357"/>
      </w:pPr>
      <w:rPr>
        <w:rFonts w:hint="default"/>
      </w:rPr>
    </w:lvl>
    <w:lvl w:ilvl="5">
      <w:start w:val="1"/>
      <w:numFmt w:val="upperLetter"/>
      <w:lvlRestart w:val="2"/>
      <w:suff w:val="space"/>
      <w:lvlText w:val="Part %6:"/>
      <w:lvlJc w:val="left"/>
      <w:pPr>
        <w:ind w:left="357" w:hanging="35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AB5357E"/>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C4955ED"/>
    <w:multiLevelType w:val="multilevel"/>
    <w:tmpl w:val="5F128A0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CBB6608"/>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DF875A7"/>
    <w:multiLevelType w:val="hybridMultilevel"/>
    <w:tmpl w:val="27289FCC"/>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0A04DF9"/>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1EB63A1"/>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3D841A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47D79C4"/>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4CC4E6C"/>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1D501B"/>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73E30A1"/>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A792C08"/>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C3A6B62"/>
    <w:multiLevelType w:val="multilevel"/>
    <w:tmpl w:val="C5028CF4"/>
    <w:lvl w:ilvl="0">
      <w:start w:val="1"/>
      <w:numFmt w:val="decimal"/>
      <w:pStyle w:val="Sectiontitle"/>
      <w:suff w:val="space"/>
      <w:lvlText w:val="%1."/>
      <w:lvlJc w:val="left"/>
      <w:pPr>
        <w:ind w:left="360" w:hanging="360"/>
      </w:pPr>
      <w:rPr>
        <w:rFonts w:hint="default"/>
      </w:rPr>
    </w:lvl>
    <w:lvl w:ilvl="1">
      <w:start w:val="1"/>
      <w:numFmt w:val="decimal"/>
      <w:pStyle w:val="Paragraph"/>
      <w:lvlText w:val="%1.%2."/>
      <w:lvlJc w:val="left"/>
      <w:pPr>
        <w:tabs>
          <w:tab w:val="num" w:pos="1105"/>
        </w:tabs>
        <w:ind w:left="425"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30BF508A"/>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0DE5F58"/>
    <w:multiLevelType w:val="hybridMultilevel"/>
    <w:tmpl w:val="20FCD404"/>
    <w:lvl w:ilvl="0" w:tplc="0809001B">
      <w:start w:val="1"/>
      <w:numFmt w:val="lowerRoman"/>
      <w:lvlText w:val="%1."/>
      <w:lvlJc w:val="righ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33865AAB"/>
    <w:multiLevelType w:val="multilevel"/>
    <w:tmpl w:val="D434533E"/>
    <w:styleLink w:val="OfgemNumbering"/>
    <w:lvl w:ilvl="0">
      <w:start w:val="1"/>
      <w:numFmt w:val="decimal"/>
      <w:suff w:val="space"/>
      <w:lvlText w:val="%1."/>
      <w:lvlJc w:val="left"/>
      <w:pPr>
        <w:ind w:left="360" w:hanging="360"/>
      </w:pPr>
      <w:rPr>
        <w:rFonts w:hint="default"/>
      </w:rPr>
    </w:lvl>
    <w:lvl w:ilvl="1">
      <w:start w:val="1"/>
      <w:numFmt w:val="decimal"/>
      <w:lvlText w:val="%1.%2"/>
      <w:lvlJc w:val="left"/>
      <w:pPr>
        <w:ind w:left="652" w:hanging="652"/>
      </w:pPr>
      <w:rPr>
        <w:rFonts w:hint="default"/>
      </w:rPr>
    </w:lvl>
    <w:lvl w:ilvl="2">
      <w:start w:val="1"/>
      <w:numFmt w:val="bullet"/>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lowerLetter"/>
      <w:lvlRestart w:val="2"/>
      <w:lvlText w:val="%5)"/>
      <w:lvlJc w:val="left"/>
      <w:pPr>
        <w:ind w:left="1077" w:hanging="357"/>
      </w:pPr>
      <w:rPr>
        <w:rFonts w:hint="default"/>
      </w:rPr>
    </w:lvl>
    <w:lvl w:ilvl="5">
      <w:start w:val="1"/>
      <w:numFmt w:val="lowerRoman"/>
      <w:lvlText w:val="(%6)"/>
      <w:lvlJc w:val="left"/>
      <w:pPr>
        <w:ind w:left="1440" w:hanging="363"/>
      </w:pPr>
      <w:rPr>
        <w:rFonts w:hint="default"/>
      </w:rPr>
    </w:lvl>
    <w:lvl w:ilvl="6">
      <w:start w:val="1"/>
      <w:numFmt w:val="decimal"/>
      <w:lvlText w:val="%1.%2.%7"/>
      <w:lvlJc w:val="left"/>
      <w:pPr>
        <w:ind w:left="1440" w:hanging="720"/>
      </w:pPr>
      <w:rPr>
        <w:rFonts w:hint="default"/>
      </w:rPr>
    </w:lvl>
    <w:lvl w:ilvl="7">
      <w:start w:val="1"/>
      <w:numFmt w:val="lowerRoman"/>
      <w:lvlRestart w:val="2"/>
      <w:lvlText w:val="%8."/>
      <w:lvlJc w:val="left"/>
      <w:pPr>
        <w:ind w:left="1077" w:hanging="357"/>
      </w:pPr>
      <w:rPr>
        <w:rFonts w:hint="default"/>
      </w:rPr>
    </w:lvl>
    <w:lvl w:ilvl="8">
      <w:start w:val="1"/>
      <w:numFmt w:val="none"/>
      <w:lvlText w:val=""/>
      <w:lvlJc w:val="left"/>
      <w:pPr>
        <w:ind w:left="1077" w:hanging="357"/>
      </w:pPr>
      <w:rPr>
        <w:rFonts w:hint="default"/>
      </w:rPr>
    </w:lvl>
  </w:abstractNum>
  <w:abstractNum w:abstractNumId="38" w15:restartNumberingAfterBreak="0">
    <w:nsid w:val="33AC0DFF"/>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8321C98"/>
    <w:multiLevelType w:val="hybridMultilevel"/>
    <w:tmpl w:val="54C6A5E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B0E4604"/>
    <w:multiLevelType w:val="hybridMultilevel"/>
    <w:tmpl w:val="2EF0FF6A"/>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BAE3E2D"/>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3D4C49A4"/>
    <w:multiLevelType w:val="hybridMultilevel"/>
    <w:tmpl w:val="247CF82C"/>
    <w:lvl w:ilvl="0" w:tplc="58A078A4">
      <w:start w:val="1"/>
      <w:numFmt w:val="decimal"/>
      <w:pStyle w:val="MainParagraph"/>
      <w:lvlText w:val="3A.%1"/>
      <w:lvlJc w:val="right"/>
      <w:pPr>
        <w:ind w:left="720" w:hanging="360"/>
      </w:pPr>
      <w:rPr>
        <w:rFonts w:ascii="Times New Roman" w:hAnsi="Times New Roman"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EDE03E8"/>
    <w:multiLevelType w:val="multilevel"/>
    <w:tmpl w:val="11BCD8EC"/>
    <w:lvl w:ilvl="0">
      <w:start w:val="1"/>
      <w:numFmt w:val="lowerLetter"/>
      <w:pStyle w:val="ListLevel1"/>
      <w:lvlText w:val="(%1)"/>
      <w:lvlJc w:val="left"/>
      <w:pPr>
        <w:tabs>
          <w:tab w:val="num" w:pos="1440"/>
        </w:tabs>
        <w:ind w:left="1440" w:hanging="720"/>
      </w:pPr>
      <w:rPr>
        <w:rFonts w:ascii="Verdana" w:hAnsi="Verdana" w:hint="default"/>
        <w:sz w:val="20"/>
        <w:szCs w:val="20"/>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5" w15:restartNumberingAfterBreak="0">
    <w:nsid w:val="3EFF72A1"/>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F612FD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3FD03ED6"/>
    <w:multiLevelType w:val="hybridMultilevel"/>
    <w:tmpl w:val="978668A8"/>
    <w:lvl w:ilvl="0" w:tplc="08090017">
      <w:start w:val="1"/>
      <w:numFmt w:val="lowerLetter"/>
      <w:lvlText w:val="%1)"/>
      <w:lvlJc w:val="left"/>
      <w:pPr>
        <w:tabs>
          <w:tab w:val="num" w:pos="720"/>
        </w:tabs>
        <w:ind w:left="720" w:hanging="360"/>
      </w:pPr>
      <w:rPr>
        <w:rFonts w:hint="default"/>
        <w:b w:val="0"/>
        <w:i w:val="0"/>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10F2F54"/>
    <w:multiLevelType w:val="hybridMultilevel"/>
    <w:tmpl w:val="E8F4A10C"/>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49" w15:restartNumberingAfterBreak="0">
    <w:nsid w:val="435C6423"/>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4C16A5A"/>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63E006F"/>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71E1520"/>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76826F9"/>
    <w:multiLevelType w:val="hybridMultilevel"/>
    <w:tmpl w:val="20FCD404"/>
    <w:lvl w:ilvl="0" w:tplc="0809001B">
      <w:start w:val="1"/>
      <w:numFmt w:val="lowerRoman"/>
      <w:lvlText w:val="%1."/>
      <w:lvlJc w:val="righ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4" w15:restartNumberingAfterBreak="0">
    <w:nsid w:val="483A2CF8"/>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C521BC7"/>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4C9248D9"/>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0267FF4"/>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8C3E1F"/>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547F41BD"/>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56602BE"/>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643149E"/>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69B3A56"/>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7772877"/>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7DF5376"/>
    <w:multiLevelType w:val="hybridMultilevel"/>
    <w:tmpl w:val="1E260E4E"/>
    <w:lvl w:ilvl="0" w:tplc="AC805BD2">
      <w:start w:val="1"/>
      <w:numFmt w:val="bullet"/>
      <w:lvlText w:val="­"/>
      <w:lvlJc w:val="left"/>
      <w:pPr>
        <w:ind w:left="1854" w:hanging="360"/>
      </w:pPr>
      <w:rPr>
        <w:rFonts w:ascii="Courier New" w:hAnsi="Courier New"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6" w15:restartNumberingAfterBreak="0">
    <w:nsid w:val="57F50D49"/>
    <w:multiLevelType w:val="hybridMultilevel"/>
    <w:tmpl w:val="D1006AC0"/>
    <w:lvl w:ilvl="0" w:tplc="DBDC46C0">
      <w:start w:val="1"/>
      <w:numFmt w:val="decimal"/>
      <w:lvlText w:val="A2.%1"/>
      <w:lvlJc w:val="left"/>
      <w:pPr>
        <w:tabs>
          <w:tab w:val="num" w:pos="720"/>
        </w:tabs>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E7F689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1A12BAB"/>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632C6471"/>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472479D"/>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B7232B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B794A15"/>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5" w15:restartNumberingAfterBreak="0">
    <w:nsid w:val="730E1E5E"/>
    <w:multiLevelType w:val="hybridMultilevel"/>
    <w:tmpl w:val="7ACC6E7C"/>
    <w:lvl w:ilvl="0" w:tplc="F8100F48">
      <w:start w:val="1"/>
      <w:numFmt w:val="bullet"/>
      <w:pStyle w:val="Textbox-BulletedBol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15:restartNumberingAfterBreak="0">
    <w:nsid w:val="77024C2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773F76A0"/>
    <w:multiLevelType w:val="hybridMultilevel"/>
    <w:tmpl w:val="D7F2F8E2"/>
    <w:lvl w:ilvl="0" w:tplc="D0CA928C">
      <w:start w:val="1"/>
      <w:numFmt w:val="lowerLetter"/>
      <w:pStyle w:val="RIIOListlevel1"/>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8" w15:restartNumberingAfterBreak="0">
    <w:nsid w:val="7982330D"/>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9A323ED"/>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C11774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7D1C7BDF"/>
    <w:multiLevelType w:val="multilevel"/>
    <w:tmpl w:val="5F128A0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7D322A3C"/>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5"/>
  </w:num>
  <w:num w:numId="2">
    <w:abstractNumId w:val="10"/>
  </w:num>
  <w:num w:numId="3">
    <w:abstractNumId w:val="59"/>
  </w:num>
  <w:num w:numId="4">
    <w:abstractNumId w:val="34"/>
  </w:num>
  <w:num w:numId="5">
    <w:abstractNumId w:val="42"/>
  </w:num>
  <w:num w:numId="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8"/>
  </w:num>
  <w:num w:numId="9">
    <w:abstractNumId w:val="37"/>
  </w:num>
  <w:num w:numId="10">
    <w:abstractNumId w:val="76"/>
  </w:num>
  <w:num w:numId="11">
    <w:abstractNumId w:val="17"/>
  </w:num>
  <w:num w:numId="12">
    <w:abstractNumId w:val="61"/>
  </w:num>
  <w:num w:numId="13">
    <w:abstractNumId w:val="41"/>
  </w:num>
  <w:num w:numId="14">
    <w:abstractNumId w:val="55"/>
  </w:num>
  <w:num w:numId="15">
    <w:abstractNumId w:val="60"/>
  </w:num>
  <w:num w:numId="16">
    <w:abstractNumId w:val="54"/>
  </w:num>
  <w:num w:numId="17">
    <w:abstractNumId w:val="29"/>
  </w:num>
  <w:num w:numId="18">
    <w:abstractNumId w:val="45"/>
  </w:num>
  <w:num w:numId="19">
    <w:abstractNumId w:val="20"/>
  </w:num>
  <w:num w:numId="20">
    <w:abstractNumId w:val="38"/>
  </w:num>
  <w:num w:numId="21">
    <w:abstractNumId w:val="71"/>
  </w:num>
  <w:num w:numId="22">
    <w:abstractNumId w:val="9"/>
  </w:num>
  <w:num w:numId="23">
    <w:abstractNumId w:val="68"/>
  </w:num>
  <w:num w:numId="24">
    <w:abstractNumId w:val="12"/>
  </w:num>
  <w:num w:numId="25">
    <w:abstractNumId w:val="35"/>
  </w:num>
  <w:num w:numId="26">
    <w:abstractNumId w:val="64"/>
  </w:num>
  <w:num w:numId="27">
    <w:abstractNumId w:val="15"/>
  </w:num>
  <w:num w:numId="28">
    <w:abstractNumId w:val="82"/>
  </w:num>
  <w:num w:numId="29">
    <w:abstractNumId w:val="30"/>
  </w:num>
  <w:num w:numId="30">
    <w:abstractNumId w:val="47"/>
  </w:num>
  <w:num w:numId="31">
    <w:abstractNumId w:val="14"/>
  </w:num>
  <w:num w:numId="32">
    <w:abstractNumId w:val="26"/>
  </w:num>
  <w:num w:numId="3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77"/>
  </w:num>
  <w:num w:numId="38">
    <w:abstractNumId w:val="44"/>
  </w:num>
  <w:num w:numId="39">
    <w:abstractNumId w:val="43"/>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65"/>
  </w:num>
  <w:num w:numId="50">
    <w:abstractNumId w:val="58"/>
  </w:num>
  <w:num w:numId="51">
    <w:abstractNumId w:val="24"/>
  </w:num>
  <w:num w:numId="52">
    <w:abstractNumId w:val="13"/>
  </w:num>
  <w:num w:numId="53">
    <w:abstractNumId w:val="49"/>
  </w:num>
  <w:num w:numId="54">
    <w:abstractNumId w:val="40"/>
  </w:num>
  <w:num w:numId="55">
    <w:abstractNumId w:val="52"/>
  </w:num>
  <w:num w:numId="56">
    <w:abstractNumId w:val="39"/>
  </w:num>
  <w:num w:numId="57">
    <w:abstractNumId w:val="19"/>
  </w:num>
  <w:num w:numId="58">
    <w:abstractNumId w:val="25"/>
  </w:num>
  <w:num w:numId="59">
    <w:abstractNumId w:val="73"/>
  </w:num>
  <w:num w:numId="60">
    <w:abstractNumId w:val="32"/>
  </w:num>
  <w:num w:numId="61">
    <w:abstractNumId w:val="70"/>
  </w:num>
  <w:num w:numId="62">
    <w:abstractNumId w:val="78"/>
  </w:num>
  <w:num w:numId="63">
    <w:abstractNumId w:val="57"/>
  </w:num>
  <w:num w:numId="64">
    <w:abstractNumId w:val="31"/>
  </w:num>
  <w:num w:numId="65">
    <w:abstractNumId w:val="79"/>
  </w:num>
  <w:num w:numId="66">
    <w:abstractNumId w:val="51"/>
  </w:num>
  <w:num w:numId="67">
    <w:abstractNumId w:val="63"/>
  </w:num>
  <w:num w:numId="68">
    <w:abstractNumId w:val="27"/>
  </w:num>
  <w:num w:numId="69">
    <w:abstractNumId w:val="36"/>
  </w:num>
  <w:num w:numId="70">
    <w:abstractNumId w:val="50"/>
  </w:num>
  <w:num w:numId="71">
    <w:abstractNumId w:val="62"/>
  </w:num>
  <w:num w:numId="72">
    <w:abstractNumId w:val="11"/>
  </w:num>
  <w:num w:numId="73">
    <w:abstractNumId w:val="22"/>
  </w:num>
  <w:num w:numId="74">
    <w:abstractNumId w:val="46"/>
  </w:num>
  <w:num w:numId="75">
    <w:abstractNumId w:val="80"/>
  </w:num>
  <w:num w:numId="76">
    <w:abstractNumId w:val="21"/>
  </w:num>
  <w:num w:numId="77">
    <w:abstractNumId w:val="33"/>
  </w:num>
  <w:num w:numId="78">
    <w:abstractNumId w:val="53"/>
  </w:num>
  <w:num w:numId="79">
    <w:abstractNumId w:val="56"/>
  </w:num>
  <w:num w:numId="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1"/>
  </w:num>
  <w:num w:numId="82">
    <w:abstractNumId w:val="34"/>
    <w:lvlOverride w:ilvl="0">
      <w:startOverride w:val="1"/>
    </w:lvlOverride>
  </w:num>
  <w:num w:numId="83">
    <w:abstractNumId w:val="69"/>
  </w:num>
  <w:num w:numId="84">
    <w:abstractNumId w:val="6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720"/>
  <w:drawingGridHorizontalSpacing w:val="10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74603D"/>
    <w:rsid w:val="00001D6F"/>
    <w:rsid w:val="000029B7"/>
    <w:rsid w:val="00004E71"/>
    <w:rsid w:val="00005377"/>
    <w:rsid w:val="00005B65"/>
    <w:rsid w:val="000060C2"/>
    <w:rsid w:val="0000655E"/>
    <w:rsid w:val="00006BAA"/>
    <w:rsid w:val="00006E56"/>
    <w:rsid w:val="000075BB"/>
    <w:rsid w:val="000077F5"/>
    <w:rsid w:val="00007DC2"/>
    <w:rsid w:val="00007EDD"/>
    <w:rsid w:val="00010572"/>
    <w:rsid w:val="00010700"/>
    <w:rsid w:val="000128C0"/>
    <w:rsid w:val="00013DDF"/>
    <w:rsid w:val="0001401F"/>
    <w:rsid w:val="0001468B"/>
    <w:rsid w:val="00014ED1"/>
    <w:rsid w:val="00014F4C"/>
    <w:rsid w:val="00016773"/>
    <w:rsid w:val="000172E8"/>
    <w:rsid w:val="00017CCC"/>
    <w:rsid w:val="00020E11"/>
    <w:rsid w:val="000212CC"/>
    <w:rsid w:val="0002215E"/>
    <w:rsid w:val="0002265F"/>
    <w:rsid w:val="000226AF"/>
    <w:rsid w:val="00023DDD"/>
    <w:rsid w:val="00025F13"/>
    <w:rsid w:val="000275BA"/>
    <w:rsid w:val="000275CC"/>
    <w:rsid w:val="00030205"/>
    <w:rsid w:val="00030468"/>
    <w:rsid w:val="00030DAB"/>
    <w:rsid w:val="00030DBB"/>
    <w:rsid w:val="00033F09"/>
    <w:rsid w:val="000354A9"/>
    <w:rsid w:val="00036B53"/>
    <w:rsid w:val="00037064"/>
    <w:rsid w:val="00037493"/>
    <w:rsid w:val="000401D6"/>
    <w:rsid w:val="0004021F"/>
    <w:rsid w:val="0004028C"/>
    <w:rsid w:val="00041046"/>
    <w:rsid w:val="000414D3"/>
    <w:rsid w:val="00041833"/>
    <w:rsid w:val="00041A6C"/>
    <w:rsid w:val="0004238C"/>
    <w:rsid w:val="000427EE"/>
    <w:rsid w:val="00043E22"/>
    <w:rsid w:val="0004524D"/>
    <w:rsid w:val="00045279"/>
    <w:rsid w:val="000464DF"/>
    <w:rsid w:val="00047114"/>
    <w:rsid w:val="00047D32"/>
    <w:rsid w:val="000512D6"/>
    <w:rsid w:val="00052E69"/>
    <w:rsid w:val="00053329"/>
    <w:rsid w:val="00053A10"/>
    <w:rsid w:val="00056BE5"/>
    <w:rsid w:val="0005780E"/>
    <w:rsid w:val="00057DA4"/>
    <w:rsid w:val="00060353"/>
    <w:rsid w:val="00061C4D"/>
    <w:rsid w:val="00061DDA"/>
    <w:rsid w:val="00062D08"/>
    <w:rsid w:val="00064616"/>
    <w:rsid w:val="00064F5F"/>
    <w:rsid w:val="00065705"/>
    <w:rsid w:val="0006631D"/>
    <w:rsid w:val="00067187"/>
    <w:rsid w:val="000702DE"/>
    <w:rsid w:val="00070468"/>
    <w:rsid w:val="0007120D"/>
    <w:rsid w:val="00071302"/>
    <w:rsid w:val="00072408"/>
    <w:rsid w:val="00073A85"/>
    <w:rsid w:val="00073EA4"/>
    <w:rsid w:val="0007444D"/>
    <w:rsid w:val="00075549"/>
    <w:rsid w:val="00075D54"/>
    <w:rsid w:val="0007703C"/>
    <w:rsid w:val="00077136"/>
    <w:rsid w:val="0007770D"/>
    <w:rsid w:val="00077B2B"/>
    <w:rsid w:val="00077CE0"/>
    <w:rsid w:val="0008062A"/>
    <w:rsid w:val="000808EB"/>
    <w:rsid w:val="00080AC6"/>
    <w:rsid w:val="00081442"/>
    <w:rsid w:val="00082083"/>
    <w:rsid w:val="000820E8"/>
    <w:rsid w:val="0008278F"/>
    <w:rsid w:val="00082DF1"/>
    <w:rsid w:val="000833A5"/>
    <w:rsid w:val="00083907"/>
    <w:rsid w:val="000839E0"/>
    <w:rsid w:val="00083B05"/>
    <w:rsid w:val="00083C57"/>
    <w:rsid w:val="00084946"/>
    <w:rsid w:val="0008625B"/>
    <w:rsid w:val="000873E8"/>
    <w:rsid w:val="00087461"/>
    <w:rsid w:val="000876A9"/>
    <w:rsid w:val="00087E55"/>
    <w:rsid w:val="00087E74"/>
    <w:rsid w:val="00090C20"/>
    <w:rsid w:val="0009153B"/>
    <w:rsid w:val="0009163E"/>
    <w:rsid w:val="00091FD6"/>
    <w:rsid w:val="00092F3C"/>
    <w:rsid w:val="00094C1F"/>
    <w:rsid w:val="00096943"/>
    <w:rsid w:val="00096DEF"/>
    <w:rsid w:val="000A03FB"/>
    <w:rsid w:val="000A0E00"/>
    <w:rsid w:val="000A160F"/>
    <w:rsid w:val="000A1BB0"/>
    <w:rsid w:val="000A3007"/>
    <w:rsid w:val="000A3924"/>
    <w:rsid w:val="000A4712"/>
    <w:rsid w:val="000A47F7"/>
    <w:rsid w:val="000A4F4D"/>
    <w:rsid w:val="000A5882"/>
    <w:rsid w:val="000A5F2F"/>
    <w:rsid w:val="000A6938"/>
    <w:rsid w:val="000A6A1C"/>
    <w:rsid w:val="000A7CF7"/>
    <w:rsid w:val="000B1C6A"/>
    <w:rsid w:val="000B1EE9"/>
    <w:rsid w:val="000B25D9"/>
    <w:rsid w:val="000B2DE6"/>
    <w:rsid w:val="000B4353"/>
    <w:rsid w:val="000B4EE5"/>
    <w:rsid w:val="000B68C1"/>
    <w:rsid w:val="000B6A35"/>
    <w:rsid w:val="000B6FD4"/>
    <w:rsid w:val="000C0106"/>
    <w:rsid w:val="000C0839"/>
    <w:rsid w:val="000C20CD"/>
    <w:rsid w:val="000C26A8"/>
    <w:rsid w:val="000C3677"/>
    <w:rsid w:val="000C3D39"/>
    <w:rsid w:val="000C563B"/>
    <w:rsid w:val="000C59D3"/>
    <w:rsid w:val="000C5C81"/>
    <w:rsid w:val="000C5E70"/>
    <w:rsid w:val="000C5E76"/>
    <w:rsid w:val="000C698E"/>
    <w:rsid w:val="000C7A9A"/>
    <w:rsid w:val="000D3730"/>
    <w:rsid w:val="000D52C3"/>
    <w:rsid w:val="000D5F78"/>
    <w:rsid w:val="000D7047"/>
    <w:rsid w:val="000D72F4"/>
    <w:rsid w:val="000E1E7A"/>
    <w:rsid w:val="000E2A67"/>
    <w:rsid w:val="000E2B54"/>
    <w:rsid w:val="000E31D1"/>
    <w:rsid w:val="000E6428"/>
    <w:rsid w:val="000F0302"/>
    <w:rsid w:val="000F0343"/>
    <w:rsid w:val="000F09FB"/>
    <w:rsid w:val="000F0AC6"/>
    <w:rsid w:val="000F0BE9"/>
    <w:rsid w:val="000F1283"/>
    <w:rsid w:val="000F22B9"/>
    <w:rsid w:val="000F26B3"/>
    <w:rsid w:val="000F2921"/>
    <w:rsid w:val="000F3381"/>
    <w:rsid w:val="000F369B"/>
    <w:rsid w:val="000F4AC9"/>
    <w:rsid w:val="000F5DD5"/>
    <w:rsid w:val="000F63B9"/>
    <w:rsid w:val="000F6E57"/>
    <w:rsid w:val="000F6FF4"/>
    <w:rsid w:val="000F731A"/>
    <w:rsid w:val="000F7CD3"/>
    <w:rsid w:val="001001E4"/>
    <w:rsid w:val="00100A81"/>
    <w:rsid w:val="001020AC"/>
    <w:rsid w:val="00103090"/>
    <w:rsid w:val="001034BA"/>
    <w:rsid w:val="00104577"/>
    <w:rsid w:val="00105C24"/>
    <w:rsid w:val="00105D65"/>
    <w:rsid w:val="001060B6"/>
    <w:rsid w:val="00106249"/>
    <w:rsid w:val="00110916"/>
    <w:rsid w:val="001127BC"/>
    <w:rsid w:val="00112ECD"/>
    <w:rsid w:val="00113284"/>
    <w:rsid w:val="001138AF"/>
    <w:rsid w:val="001148FC"/>
    <w:rsid w:val="001149EB"/>
    <w:rsid w:val="00115165"/>
    <w:rsid w:val="00115ACE"/>
    <w:rsid w:val="001168F8"/>
    <w:rsid w:val="00116E6F"/>
    <w:rsid w:val="00116F36"/>
    <w:rsid w:val="00117AB6"/>
    <w:rsid w:val="00120F69"/>
    <w:rsid w:val="001212B9"/>
    <w:rsid w:val="0012139F"/>
    <w:rsid w:val="00121ECB"/>
    <w:rsid w:val="00122DC1"/>
    <w:rsid w:val="00124049"/>
    <w:rsid w:val="00125274"/>
    <w:rsid w:val="0012544F"/>
    <w:rsid w:val="001266B6"/>
    <w:rsid w:val="001272AE"/>
    <w:rsid w:val="001273D9"/>
    <w:rsid w:val="00130558"/>
    <w:rsid w:val="0013089B"/>
    <w:rsid w:val="001311B7"/>
    <w:rsid w:val="001311C5"/>
    <w:rsid w:val="00132324"/>
    <w:rsid w:val="00132EB7"/>
    <w:rsid w:val="00132FBE"/>
    <w:rsid w:val="00133223"/>
    <w:rsid w:val="0013381D"/>
    <w:rsid w:val="0013388F"/>
    <w:rsid w:val="00135FBB"/>
    <w:rsid w:val="00136B15"/>
    <w:rsid w:val="00137B13"/>
    <w:rsid w:val="00140367"/>
    <w:rsid w:val="0014070A"/>
    <w:rsid w:val="00142313"/>
    <w:rsid w:val="00142384"/>
    <w:rsid w:val="00142516"/>
    <w:rsid w:val="0014257E"/>
    <w:rsid w:val="00144CEA"/>
    <w:rsid w:val="001452F0"/>
    <w:rsid w:val="00145606"/>
    <w:rsid w:val="00146828"/>
    <w:rsid w:val="00147CDC"/>
    <w:rsid w:val="00147F79"/>
    <w:rsid w:val="00147FB2"/>
    <w:rsid w:val="0015008A"/>
    <w:rsid w:val="00153585"/>
    <w:rsid w:val="001537CC"/>
    <w:rsid w:val="001539A7"/>
    <w:rsid w:val="00154306"/>
    <w:rsid w:val="00154558"/>
    <w:rsid w:val="001547A4"/>
    <w:rsid w:val="00154EA9"/>
    <w:rsid w:val="001553FE"/>
    <w:rsid w:val="001558F2"/>
    <w:rsid w:val="00156937"/>
    <w:rsid w:val="001569F7"/>
    <w:rsid w:val="001604C9"/>
    <w:rsid w:val="001606A9"/>
    <w:rsid w:val="001613DF"/>
    <w:rsid w:val="00161404"/>
    <w:rsid w:val="00163A25"/>
    <w:rsid w:val="001643D8"/>
    <w:rsid w:val="00165B3B"/>
    <w:rsid w:val="00166C55"/>
    <w:rsid w:val="00166F77"/>
    <w:rsid w:val="00167B74"/>
    <w:rsid w:val="00170449"/>
    <w:rsid w:val="00171596"/>
    <w:rsid w:val="0017254B"/>
    <w:rsid w:val="00172AE5"/>
    <w:rsid w:val="00173431"/>
    <w:rsid w:val="001735A0"/>
    <w:rsid w:val="001756EB"/>
    <w:rsid w:val="00175ACE"/>
    <w:rsid w:val="00176067"/>
    <w:rsid w:val="00176201"/>
    <w:rsid w:val="00176B98"/>
    <w:rsid w:val="00176C74"/>
    <w:rsid w:val="001773DB"/>
    <w:rsid w:val="00177670"/>
    <w:rsid w:val="00180A22"/>
    <w:rsid w:val="00180E68"/>
    <w:rsid w:val="00181C01"/>
    <w:rsid w:val="00181E7A"/>
    <w:rsid w:val="001821C1"/>
    <w:rsid w:val="00183414"/>
    <w:rsid w:val="00184104"/>
    <w:rsid w:val="00184828"/>
    <w:rsid w:val="001858D7"/>
    <w:rsid w:val="00185B66"/>
    <w:rsid w:val="00185D90"/>
    <w:rsid w:val="00185DEC"/>
    <w:rsid w:val="001861FD"/>
    <w:rsid w:val="001862F0"/>
    <w:rsid w:val="00187480"/>
    <w:rsid w:val="001912C0"/>
    <w:rsid w:val="00191450"/>
    <w:rsid w:val="001917F0"/>
    <w:rsid w:val="0019248B"/>
    <w:rsid w:val="0019347C"/>
    <w:rsid w:val="00193BAC"/>
    <w:rsid w:val="001948AF"/>
    <w:rsid w:val="001952DB"/>
    <w:rsid w:val="001961DC"/>
    <w:rsid w:val="00197114"/>
    <w:rsid w:val="00197C07"/>
    <w:rsid w:val="001A1117"/>
    <w:rsid w:val="001A1916"/>
    <w:rsid w:val="001A1CEC"/>
    <w:rsid w:val="001A21C5"/>
    <w:rsid w:val="001A3B10"/>
    <w:rsid w:val="001A3CC8"/>
    <w:rsid w:val="001A4244"/>
    <w:rsid w:val="001A4631"/>
    <w:rsid w:val="001A5113"/>
    <w:rsid w:val="001A51DE"/>
    <w:rsid w:val="001A522B"/>
    <w:rsid w:val="001A5C09"/>
    <w:rsid w:val="001A5D7F"/>
    <w:rsid w:val="001A6543"/>
    <w:rsid w:val="001A6D4C"/>
    <w:rsid w:val="001B0031"/>
    <w:rsid w:val="001B09A4"/>
    <w:rsid w:val="001B0F66"/>
    <w:rsid w:val="001B19FD"/>
    <w:rsid w:val="001B1B46"/>
    <w:rsid w:val="001B4C00"/>
    <w:rsid w:val="001B57B3"/>
    <w:rsid w:val="001B5A11"/>
    <w:rsid w:val="001B76A5"/>
    <w:rsid w:val="001B7C12"/>
    <w:rsid w:val="001B7F45"/>
    <w:rsid w:val="001C0885"/>
    <w:rsid w:val="001C0B0C"/>
    <w:rsid w:val="001C1200"/>
    <w:rsid w:val="001C25B9"/>
    <w:rsid w:val="001C262D"/>
    <w:rsid w:val="001C2E16"/>
    <w:rsid w:val="001C3261"/>
    <w:rsid w:val="001C3C3B"/>
    <w:rsid w:val="001C4235"/>
    <w:rsid w:val="001C5441"/>
    <w:rsid w:val="001C6200"/>
    <w:rsid w:val="001C676C"/>
    <w:rsid w:val="001C7194"/>
    <w:rsid w:val="001C7E89"/>
    <w:rsid w:val="001D0B57"/>
    <w:rsid w:val="001D18FE"/>
    <w:rsid w:val="001D20CC"/>
    <w:rsid w:val="001D2B0F"/>
    <w:rsid w:val="001D2C0A"/>
    <w:rsid w:val="001D3025"/>
    <w:rsid w:val="001D3031"/>
    <w:rsid w:val="001D5C1B"/>
    <w:rsid w:val="001D6334"/>
    <w:rsid w:val="001D6527"/>
    <w:rsid w:val="001D6CF7"/>
    <w:rsid w:val="001E57BD"/>
    <w:rsid w:val="001E5810"/>
    <w:rsid w:val="001E59B8"/>
    <w:rsid w:val="001E6699"/>
    <w:rsid w:val="001E739B"/>
    <w:rsid w:val="001E75C5"/>
    <w:rsid w:val="001F003E"/>
    <w:rsid w:val="001F07DE"/>
    <w:rsid w:val="001F0D92"/>
    <w:rsid w:val="001F10CD"/>
    <w:rsid w:val="001F123D"/>
    <w:rsid w:val="001F19B5"/>
    <w:rsid w:val="001F4666"/>
    <w:rsid w:val="001F559A"/>
    <w:rsid w:val="001F742D"/>
    <w:rsid w:val="001F7608"/>
    <w:rsid w:val="00200C11"/>
    <w:rsid w:val="002014BD"/>
    <w:rsid w:val="00201880"/>
    <w:rsid w:val="002022C8"/>
    <w:rsid w:val="0020308D"/>
    <w:rsid w:val="002049BE"/>
    <w:rsid w:val="00204F91"/>
    <w:rsid w:val="00205789"/>
    <w:rsid w:val="00205EEB"/>
    <w:rsid w:val="00206779"/>
    <w:rsid w:val="00206B40"/>
    <w:rsid w:val="00206B46"/>
    <w:rsid w:val="00206E07"/>
    <w:rsid w:val="0021033A"/>
    <w:rsid w:val="00210D9C"/>
    <w:rsid w:val="00211B98"/>
    <w:rsid w:val="0021256E"/>
    <w:rsid w:val="00213024"/>
    <w:rsid w:val="002138C8"/>
    <w:rsid w:val="002140F1"/>
    <w:rsid w:val="002145F8"/>
    <w:rsid w:val="0021460F"/>
    <w:rsid w:val="0021609C"/>
    <w:rsid w:val="002166C6"/>
    <w:rsid w:val="0021672C"/>
    <w:rsid w:val="00217AB6"/>
    <w:rsid w:val="00217BB6"/>
    <w:rsid w:val="002207F1"/>
    <w:rsid w:val="00221763"/>
    <w:rsid w:val="002223BE"/>
    <w:rsid w:val="002239A4"/>
    <w:rsid w:val="00224465"/>
    <w:rsid w:val="0022468E"/>
    <w:rsid w:val="002246C2"/>
    <w:rsid w:val="00226928"/>
    <w:rsid w:val="00226A80"/>
    <w:rsid w:val="00227F2F"/>
    <w:rsid w:val="002315EF"/>
    <w:rsid w:val="00231960"/>
    <w:rsid w:val="002319E7"/>
    <w:rsid w:val="00232F61"/>
    <w:rsid w:val="002330AD"/>
    <w:rsid w:val="00233B5C"/>
    <w:rsid w:val="00233C7C"/>
    <w:rsid w:val="00235A06"/>
    <w:rsid w:val="00236AF6"/>
    <w:rsid w:val="00237A9C"/>
    <w:rsid w:val="00237AF3"/>
    <w:rsid w:val="00240C5B"/>
    <w:rsid w:val="0024251E"/>
    <w:rsid w:val="00242BB7"/>
    <w:rsid w:val="00242D68"/>
    <w:rsid w:val="0024383C"/>
    <w:rsid w:val="00243BAE"/>
    <w:rsid w:val="002444A7"/>
    <w:rsid w:val="00244EE0"/>
    <w:rsid w:val="0024547E"/>
    <w:rsid w:val="00247CF1"/>
    <w:rsid w:val="00250067"/>
    <w:rsid w:val="002503D6"/>
    <w:rsid w:val="0025102F"/>
    <w:rsid w:val="0025231C"/>
    <w:rsid w:val="0025295D"/>
    <w:rsid w:val="00253B5E"/>
    <w:rsid w:val="00253DE6"/>
    <w:rsid w:val="00254B3C"/>
    <w:rsid w:val="00256658"/>
    <w:rsid w:val="00256E2A"/>
    <w:rsid w:val="00260506"/>
    <w:rsid w:val="00261361"/>
    <w:rsid w:val="0026211B"/>
    <w:rsid w:val="00262BDB"/>
    <w:rsid w:val="002637EA"/>
    <w:rsid w:val="00264A3D"/>
    <w:rsid w:val="00265A93"/>
    <w:rsid w:val="00266098"/>
    <w:rsid w:val="00266268"/>
    <w:rsid w:val="0026629B"/>
    <w:rsid w:val="002664AF"/>
    <w:rsid w:val="00270485"/>
    <w:rsid w:val="002709C0"/>
    <w:rsid w:val="002723C0"/>
    <w:rsid w:val="00272A4A"/>
    <w:rsid w:val="00273765"/>
    <w:rsid w:val="0027386B"/>
    <w:rsid w:val="0027388D"/>
    <w:rsid w:val="00274FFD"/>
    <w:rsid w:val="002764FE"/>
    <w:rsid w:val="002774E1"/>
    <w:rsid w:val="00277985"/>
    <w:rsid w:val="002802AD"/>
    <w:rsid w:val="00280C95"/>
    <w:rsid w:val="002816A7"/>
    <w:rsid w:val="00283214"/>
    <w:rsid w:val="0028488B"/>
    <w:rsid w:val="00284890"/>
    <w:rsid w:val="002852E7"/>
    <w:rsid w:val="00286127"/>
    <w:rsid w:val="0028729A"/>
    <w:rsid w:val="00287805"/>
    <w:rsid w:val="00290194"/>
    <w:rsid w:val="0029147D"/>
    <w:rsid w:val="002930C3"/>
    <w:rsid w:val="00293849"/>
    <w:rsid w:val="00295128"/>
    <w:rsid w:val="002955E1"/>
    <w:rsid w:val="002974B5"/>
    <w:rsid w:val="00297B6B"/>
    <w:rsid w:val="002A0816"/>
    <w:rsid w:val="002A08EF"/>
    <w:rsid w:val="002A0D62"/>
    <w:rsid w:val="002A14E7"/>
    <w:rsid w:val="002A17BE"/>
    <w:rsid w:val="002A1B21"/>
    <w:rsid w:val="002A20A8"/>
    <w:rsid w:val="002A27DA"/>
    <w:rsid w:val="002A2890"/>
    <w:rsid w:val="002A36E1"/>
    <w:rsid w:val="002A397F"/>
    <w:rsid w:val="002A3C98"/>
    <w:rsid w:val="002A42AD"/>
    <w:rsid w:val="002A520B"/>
    <w:rsid w:val="002A5267"/>
    <w:rsid w:val="002A5383"/>
    <w:rsid w:val="002A553B"/>
    <w:rsid w:val="002A59A7"/>
    <w:rsid w:val="002A647A"/>
    <w:rsid w:val="002B0467"/>
    <w:rsid w:val="002B0E76"/>
    <w:rsid w:val="002B26B3"/>
    <w:rsid w:val="002B30BE"/>
    <w:rsid w:val="002B3705"/>
    <w:rsid w:val="002B40AA"/>
    <w:rsid w:val="002B429F"/>
    <w:rsid w:val="002B46B4"/>
    <w:rsid w:val="002B4D63"/>
    <w:rsid w:val="002B5150"/>
    <w:rsid w:val="002B58BE"/>
    <w:rsid w:val="002B5B24"/>
    <w:rsid w:val="002B6383"/>
    <w:rsid w:val="002B7A82"/>
    <w:rsid w:val="002B7D92"/>
    <w:rsid w:val="002C00C9"/>
    <w:rsid w:val="002C16B1"/>
    <w:rsid w:val="002C2354"/>
    <w:rsid w:val="002C4CF0"/>
    <w:rsid w:val="002C4D24"/>
    <w:rsid w:val="002C53B4"/>
    <w:rsid w:val="002C5843"/>
    <w:rsid w:val="002C5E40"/>
    <w:rsid w:val="002C69BF"/>
    <w:rsid w:val="002C6A62"/>
    <w:rsid w:val="002C7DFA"/>
    <w:rsid w:val="002D197D"/>
    <w:rsid w:val="002D255A"/>
    <w:rsid w:val="002D412C"/>
    <w:rsid w:val="002D454D"/>
    <w:rsid w:val="002D4625"/>
    <w:rsid w:val="002D5A05"/>
    <w:rsid w:val="002D5CB5"/>
    <w:rsid w:val="002D7863"/>
    <w:rsid w:val="002D7B35"/>
    <w:rsid w:val="002E06A0"/>
    <w:rsid w:val="002E103D"/>
    <w:rsid w:val="002E1C64"/>
    <w:rsid w:val="002E1F2A"/>
    <w:rsid w:val="002E2262"/>
    <w:rsid w:val="002E29FE"/>
    <w:rsid w:val="002E41C3"/>
    <w:rsid w:val="002E4DE3"/>
    <w:rsid w:val="002E529E"/>
    <w:rsid w:val="002E545B"/>
    <w:rsid w:val="002E6133"/>
    <w:rsid w:val="002E64AA"/>
    <w:rsid w:val="002E77E3"/>
    <w:rsid w:val="002F0520"/>
    <w:rsid w:val="002F07F1"/>
    <w:rsid w:val="002F091B"/>
    <w:rsid w:val="002F0BC1"/>
    <w:rsid w:val="002F136B"/>
    <w:rsid w:val="002F1BB7"/>
    <w:rsid w:val="002F260F"/>
    <w:rsid w:val="002F2CF2"/>
    <w:rsid w:val="002F53EB"/>
    <w:rsid w:val="002F542B"/>
    <w:rsid w:val="002F545F"/>
    <w:rsid w:val="002F62F4"/>
    <w:rsid w:val="002F6D74"/>
    <w:rsid w:val="002F740D"/>
    <w:rsid w:val="002F7476"/>
    <w:rsid w:val="002F7669"/>
    <w:rsid w:val="00301D51"/>
    <w:rsid w:val="00303998"/>
    <w:rsid w:val="003052B8"/>
    <w:rsid w:val="00305B82"/>
    <w:rsid w:val="00306E63"/>
    <w:rsid w:val="00306E7C"/>
    <w:rsid w:val="00307076"/>
    <w:rsid w:val="00310CBC"/>
    <w:rsid w:val="00312F50"/>
    <w:rsid w:val="003135DE"/>
    <w:rsid w:val="00313B5F"/>
    <w:rsid w:val="003145D1"/>
    <w:rsid w:val="00316621"/>
    <w:rsid w:val="003171F2"/>
    <w:rsid w:val="003173DE"/>
    <w:rsid w:val="00317427"/>
    <w:rsid w:val="003176FA"/>
    <w:rsid w:val="0032003D"/>
    <w:rsid w:val="003201D6"/>
    <w:rsid w:val="003206B1"/>
    <w:rsid w:val="00320A7F"/>
    <w:rsid w:val="00322616"/>
    <w:rsid w:val="0032278E"/>
    <w:rsid w:val="00322F46"/>
    <w:rsid w:val="00323A98"/>
    <w:rsid w:val="00323D6F"/>
    <w:rsid w:val="00324E7F"/>
    <w:rsid w:val="00325745"/>
    <w:rsid w:val="00326013"/>
    <w:rsid w:val="0032628E"/>
    <w:rsid w:val="00326BFB"/>
    <w:rsid w:val="00326EA8"/>
    <w:rsid w:val="00327316"/>
    <w:rsid w:val="00327B5C"/>
    <w:rsid w:val="003301B8"/>
    <w:rsid w:val="0033172F"/>
    <w:rsid w:val="00334811"/>
    <w:rsid w:val="00335935"/>
    <w:rsid w:val="003372F2"/>
    <w:rsid w:val="0033743B"/>
    <w:rsid w:val="00337CE2"/>
    <w:rsid w:val="003409D1"/>
    <w:rsid w:val="0034134B"/>
    <w:rsid w:val="003421BD"/>
    <w:rsid w:val="00342506"/>
    <w:rsid w:val="00342A64"/>
    <w:rsid w:val="00342CA2"/>
    <w:rsid w:val="0034312E"/>
    <w:rsid w:val="00343174"/>
    <w:rsid w:val="003432DF"/>
    <w:rsid w:val="00343B5F"/>
    <w:rsid w:val="00344B2D"/>
    <w:rsid w:val="003456BF"/>
    <w:rsid w:val="003477DF"/>
    <w:rsid w:val="003478CF"/>
    <w:rsid w:val="003500ED"/>
    <w:rsid w:val="0035138A"/>
    <w:rsid w:val="00351833"/>
    <w:rsid w:val="00351E63"/>
    <w:rsid w:val="00352156"/>
    <w:rsid w:val="0035275F"/>
    <w:rsid w:val="00353C5F"/>
    <w:rsid w:val="00354870"/>
    <w:rsid w:val="00355898"/>
    <w:rsid w:val="00355AEE"/>
    <w:rsid w:val="00355FC9"/>
    <w:rsid w:val="00356352"/>
    <w:rsid w:val="00357C48"/>
    <w:rsid w:val="00361079"/>
    <w:rsid w:val="00362272"/>
    <w:rsid w:val="00363646"/>
    <w:rsid w:val="003643F9"/>
    <w:rsid w:val="0036455E"/>
    <w:rsid w:val="00364B5F"/>
    <w:rsid w:val="00365389"/>
    <w:rsid w:val="00365ABC"/>
    <w:rsid w:val="00365B57"/>
    <w:rsid w:val="00365E9B"/>
    <w:rsid w:val="00366F70"/>
    <w:rsid w:val="00367C30"/>
    <w:rsid w:val="003708A5"/>
    <w:rsid w:val="00370900"/>
    <w:rsid w:val="00371142"/>
    <w:rsid w:val="00371457"/>
    <w:rsid w:val="003715C5"/>
    <w:rsid w:val="00371A11"/>
    <w:rsid w:val="00372633"/>
    <w:rsid w:val="00374732"/>
    <w:rsid w:val="0037646E"/>
    <w:rsid w:val="00377B93"/>
    <w:rsid w:val="00377E06"/>
    <w:rsid w:val="003801FD"/>
    <w:rsid w:val="003821A3"/>
    <w:rsid w:val="00382AA5"/>
    <w:rsid w:val="00383438"/>
    <w:rsid w:val="003838C7"/>
    <w:rsid w:val="00383CC7"/>
    <w:rsid w:val="00383F90"/>
    <w:rsid w:val="00386511"/>
    <w:rsid w:val="00390D88"/>
    <w:rsid w:val="0039144D"/>
    <w:rsid w:val="00391A6B"/>
    <w:rsid w:val="00392D12"/>
    <w:rsid w:val="003931C1"/>
    <w:rsid w:val="0039361E"/>
    <w:rsid w:val="00394126"/>
    <w:rsid w:val="0039452D"/>
    <w:rsid w:val="00394D03"/>
    <w:rsid w:val="00395654"/>
    <w:rsid w:val="003958F4"/>
    <w:rsid w:val="00396A89"/>
    <w:rsid w:val="003978D7"/>
    <w:rsid w:val="003A03AE"/>
    <w:rsid w:val="003A0F02"/>
    <w:rsid w:val="003A1E87"/>
    <w:rsid w:val="003A26F1"/>
    <w:rsid w:val="003A2E30"/>
    <w:rsid w:val="003A3E0E"/>
    <w:rsid w:val="003A6320"/>
    <w:rsid w:val="003A6A12"/>
    <w:rsid w:val="003A6B2E"/>
    <w:rsid w:val="003A6DE4"/>
    <w:rsid w:val="003A764F"/>
    <w:rsid w:val="003B0204"/>
    <w:rsid w:val="003B0236"/>
    <w:rsid w:val="003B1331"/>
    <w:rsid w:val="003B1437"/>
    <w:rsid w:val="003B34C3"/>
    <w:rsid w:val="003B3765"/>
    <w:rsid w:val="003B3A56"/>
    <w:rsid w:val="003B3B64"/>
    <w:rsid w:val="003B3E0A"/>
    <w:rsid w:val="003B4940"/>
    <w:rsid w:val="003B5150"/>
    <w:rsid w:val="003B6762"/>
    <w:rsid w:val="003B6957"/>
    <w:rsid w:val="003B758A"/>
    <w:rsid w:val="003C0AA6"/>
    <w:rsid w:val="003C21EB"/>
    <w:rsid w:val="003C2816"/>
    <w:rsid w:val="003C3D35"/>
    <w:rsid w:val="003C3F64"/>
    <w:rsid w:val="003C4211"/>
    <w:rsid w:val="003C42CB"/>
    <w:rsid w:val="003C466B"/>
    <w:rsid w:val="003C46F4"/>
    <w:rsid w:val="003C70EC"/>
    <w:rsid w:val="003C7601"/>
    <w:rsid w:val="003C7B8B"/>
    <w:rsid w:val="003D114B"/>
    <w:rsid w:val="003D1548"/>
    <w:rsid w:val="003D187B"/>
    <w:rsid w:val="003D29B7"/>
    <w:rsid w:val="003D2F63"/>
    <w:rsid w:val="003D3D17"/>
    <w:rsid w:val="003D5148"/>
    <w:rsid w:val="003D5152"/>
    <w:rsid w:val="003D557F"/>
    <w:rsid w:val="003D5BEC"/>
    <w:rsid w:val="003D5BFA"/>
    <w:rsid w:val="003D60B9"/>
    <w:rsid w:val="003D6688"/>
    <w:rsid w:val="003D6798"/>
    <w:rsid w:val="003D6EB1"/>
    <w:rsid w:val="003E011B"/>
    <w:rsid w:val="003E0F64"/>
    <w:rsid w:val="003E11D3"/>
    <w:rsid w:val="003E1980"/>
    <w:rsid w:val="003E1DEC"/>
    <w:rsid w:val="003E2D6A"/>
    <w:rsid w:val="003E2EAC"/>
    <w:rsid w:val="003E30F1"/>
    <w:rsid w:val="003E38F8"/>
    <w:rsid w:val="003E418D"/>
    <w:rsid w:val="003E48F9"/>
    <w:rsid w:val="003E5062"/>
    <w:rsid w:val="003E5CF9"/>
    <w:rsid w:val="003E656D"/>
    <w:rsid w:val="003F00BD"/>
    <w:rsid w:val="003F0946"/>
    <w:rsid w:val="003F0C3D"/>
    <w:rsid w:val="003F151E"/>
    <w:rsid w:val="003F174A"/>
    <w:rsid w:val="003F18B0"/>
    <w:rsid w:val="003F340D"/>
    <w:rsid w:val="003F34B9"/>
    <w:rsid w:val="003F34D6"/>
    <w:rsid w:val="003F45CE"/>
    <w:rsid w:val="003F48EB"/>
    <w:rsid w:val="003F67CA"/>
    <w:rsid w:val="003F695C"/>
    <w:rsid w:val="003F71C8"/>
    <w:rsid w:val="003F7F79"/>
    <w:rsid w:val="00400D80"/>
    <w:rsid w:val="00401B3F"/>
    <w:rsid w:val="00402FA1"/>
    <w:rsid w:val="0040470A"/>
    <w:rsid w:val="00404891"/>
    <w:rsid w:val="00405267"/>
    <w:rsid w:val="00405817"/>
    <w:rsid w:val="00405D3D"/>
    <w:rsid w:val="00406535"/>
    <w:rsid w:val="004068C5"/>
    <w:rsid w:val="00410E8F"/>
    <w:rsid w:val="0041152A"/>
    <w:rsid w:val="00411912"/>
    <w:rsid w:val="00411B33"/>
    <w:rsid w:val="004140D3"/>
    <w:rsid w:val="00414C6B"/>
    <w:rsid w:val="00414DFF"/>
    <w:rsid w:val="004160E1"/>
    <w:rsid w:val="00416416"/>
    <w:rsid w:val="004166AF"/>
    <w:rsid w:val="00416725"/>
    <w:rsid w:val="00417E4D"/>
    <w:rsid w:val="0042045C"/>
    <w:rsid w:val="00420802"/>
    <w:rsid w:val="0042209F"/>
    <w:rsid w:val="00423C8D"/>
    <w:rsid w:val="00424A0A"/>
    <w:rsid w:val="004256D0"/>
    <w:rsid w:val="004256E0"/>
    <w:rsid w:val="004262B0"/>
    <w:rsid w:val="004303B7"/>
    <w:rsid w:val="0043112C"/>
    <w:rsid w:val="00431AB0"/>
    <w:rsid w:val="00433723"/>
    <w:rsid w:val="00434A2D"/>
    <w:rsid w:val="004352D9"/>
    <w:rsid w:val="00436419"/>
    <w:rsid w:val="0043641F"/>
    <w:rsid w:val="004372F2"/>
    <w:rsid w:val="00437AB2"/>
    <w:rsid w:val="0044101F"/>
    <w:rsid w:val="00441FFE"/>
    <w:rsid w:val="00442730"/>
    <w:rsid w:val="00442AD0"/>
    <w:rsid w:val="00442B6B"/>
    <w:rsid w:val="00442EAA"/>
    <w:rsid w:val="00443439"/>
    <w:rsid w:val="00444AC7"/>
    <w:rsid w:val="00444E6C"/>
    <w:rsid w:val="00445E08"/>
    <w:rsid w:val="00447846"/>
    <w:rsid w:val="0044794A"/>
    <w:rsid w:val="0045085B"/>
    <w:rsid w:val="0045198C"/>
    <w:rsid w:val="004536C6"/>
    <w:rsid w:val="00453F42"/>
    <w:rsid w:val="00453F48"/>
    <w:rsid w:val="0045421C"/>
    <w:rsid w:val="00455207"/>
    <w:rsid w:val="004557C8"/>
    <w:rsid w:val="00455AA7"/>
    <w:rsid w:val="00455E0B"/>
    <w:rsid w:val="00456824"/>
    <w:rsid w:val="00456858"/>
    <w:rsid w:val="00456FA8"/>
    <w:rsid w:val="00457146"/>
    <w:rsid w:val="004574F9"/>
    <w:rsid w:val="00457BC4"/>
    <w:rsid w:val="00460146"/>
    <w:rsid w:val="004605E1"/>
    <w:rsid w:val="004621CE"/>
    <w:rsid w:val="00462251"/>
    <w:rsid w:val="004622F7"/>
    <w:rsid w:val="004624F9"/>
    <w:rsid w:val="0046313E"/>
    <w:rsid w:val="004641D9"/>
    <w:rsid w:val="004650C0"/>
    <w:rsid w:val="00467402"/>
    <w:rsid w:val="00471143"/>
    <w:rsid w:val="00471DAE"/>
    <w:rsid w:val="00472F5C"/>
    <w:rsid w:val="00473D75"/>
    <w:rsid w:val="004742F6"/>
    <w:rsid w:val="00475186"/>
    <w:rsid w:val="00476923"/>
    <w:rsid w:val="00477CB3"/>
    <w:rsid w:val="00480352"/>
    <w:rsid w:val="004805D7"/>
    <w:rsid w:val="00483930"/>
    <w:rsid w:val="00485AB0"/>
    <w:rsid w:val="00490B53"/>
    <w:rsid w:val="00491667"/>
    <w:rsid w:val="00495F83"/>
    <w:rsid w:val="004A030E"/>
    <w:rsid w:val="004A0FBA"/>
    <w:rsid w:val="004A1898"/>
    <w:rsid w:val="004A1BDA"/>
    <w:rsid w:val="004A1DFE"/>
    <w:rsid w:val="004A262A"/>
    <w:rsid w:val="004A33F9"/>
    <w:rsid w:val="004A4019"/>
    <w:rsid w:val="004A4890"/>
    <w:rsid w:val="004A498E"/>
    <w:rsid w:val="004A55AF"/>
    <w:rsid w:val="004A5D54"/>
    <w:rsid w:val="004A6F9E"/>
    <w:rsid w:val="004B0B8F"/>
    <w:rsid w:val="004B169A"/>
    <w:rsid w:val="004B431E"/>
    <w:rsid w:val="004B4774"/>
    <w:rsid w:val="004B5562"/>
    <w:rsid w:val="004B59CC"/>
    <w:rsid w:val="004B64F0"/>
    <w:rsid w:val="004B6FB8"/>
    <w:rsid w:val="004C12D0"/>
    <w:rsid w:val="004C2464"/>
    <w:rsid w:val="004C3CF5"/>
    <w:rsid w:val="004C405E"/>
    <w:rsid w:val="004C47E9"/>
    <w:rsid w:val="004C4C04"/>
    <w:rsid w:val="004C4CC4"/>
    <w:rsid w:val="004C5641"/>
    <w:rsid w:val="004C5753"/>
    <w:rsid w:val="004C5E2E"/>
    <w:rsid w:val="004C6EAB"/>
    <w:rsid w:val="004C6FB8"/>
    <w:rsid w:val="004C7867"/>
    <w:rsid w:val="004C7FE0"/>
    <w:rsid w:val="004D3064"/>
    <w:rsid w:val="004D3E3E"/>
    <w:rsid w:val="004D549E"/>
    <w:rsid w:val="004D5D4B"/>
    <w:rsid w:val="004D63F9"/>
    <w:rsid w:val="004D6CD5"/>
    <w:rsid w:val="004D7661"/>
    <w:rsid w:val="004D77E0"/>
    <w:rsid w:val="004E05B4"/>
    <w:rsid w:val="004E0889"/>
    <w:rsid w:val="004E097A"/>
    <w:rsid w:val="004E0B1A"/>
    <w:rsid w:val="004E0CA3"/>
    <w:rsid w:val="004E1CBF"/>
    <w:rsid w:val="004E36B9"/>
    <w:rsid w:val="004E3A3A"/>
    <w:rsid w:val="004E4AA0"/>
    <w:rsid w:val="004E576B"/>
    <w:rsid w:val="004E60BE"/>
    <w:rsid w:val="004E6121"/>
    <w:rsid w:val="004E6281"/>
    <w:rsid w:val="004E6809"/>
    <w:rsid w:val="004E75D1"/>
    <w:rsid w:val="004F2F52"/>
    <w:rsid w:val="004F420B"/>
    <w:rsid w:val="004F54AC"/>
    <w:rsid w:val="004F79A8"/>
    <w:rsid w:val="00500D29"/>
    <w:rsid w:val="00500F0A"/>
    <w:rsid w:val="00501369"/>
    <w:rsid w:val="005019CD"/>
    <w:rsid w:val="005021C3"/>
    <w:rsid w:val="005026B5"/>
    <w:rsid w:val="0050279A"/>
    <w:rsid w:val="00504406"/>
    <w:rsid w:val="005054FA"/>
    <w:rsid w:val="005057DB"/>
    <w:rsid w:val="005065AD"/>
    <w:rsid w:val="00506E63"/>
    <w:rsid w:val="00507628"/>
    <w:rsid w:val="005076D6"/>
    <w:rsid w:val="00507DBB"/>
    <w:rsid w:val="005110EB"/>
    <w:rsid w:val="0051137A"/>
    <w:rsid w:val="00511F2C"/>
    <w:rsid w:val="005125F6"/>
    <w:rsid w:val="00512643"/>
    <w:rsid w:val="00512972"/>
    <w:rsid w:val="00512D79"/>
    <w:rsid w:val="00512E74"/>
    <w:rsid w:val="005138A3"/>
    <w:rsid w:val="005141B3"/>
    <w:rsid w:val="00516224"/>
    <w:rsid w:val="00517E1E"/>
    <w:rsid w:val="00520CD8"/>
    <w:rsid w:val="00521015"/>
    <w:rsid w:val="00523774"/>
    <w:rsid w:val="00523974"/>
    <w:rsid w:val="00523C48"/>
    <w:rsid w:val="00523E0A"/>
    <w:rsid w:val="00523E8C"/>
    <w:rsid w:val="0052517B"/>
    <w:rsid w:val="00525F3E"/>
    <w:rsid w:val="005265E8"/>
    <w:rsid w:val="005273B3"/>
    <w:rsid w:val="00527C01"/>
    <w:rsid w:val="00527C25"/>
    <w:rsid w:val="00530A3A"/>
    <w:rsid w:val="005322CF"/>
    <w:rsid w:val="00532D5B"/>
    <w:rsid w:val="00532D82"/>
    <w:rsid w:val="005335C4"/>
    <w:rsid w:val="00533797"/>
    <w:rsid w:val="00534278"/>
    <w:rsid w:val="0053431E"/>
    <w:rsid w:val="00535B2E"/>
    <w:rsid w:val="005371DF"/>
    <w:rsid w:val="00537A8A"/>
    <w:rsid w:val="00540610"/>
    <w:rsid w:val="005428DA"/>
    <w:rsid w:val="005435E0"/>
    <w:rsid w:val="0054364F"/>
    <w:rsid w:val="00543F41"/>
    <w:rsid w:val="005442EA"/>
    <w:rsid w:val="00545D3F"/>
    <w:rsid w:val="00545D78"/>
    <w:rsid w:val="00545E92"/>
    <w:rsid w:val="00545F69"/>
    <w:rsid w:val="005466A7"/>
    <w:rsid w:val="00547B17"/>
    <w:rsid w:val="00547E17"/>
    <w:rsid w:val="00550BAC"/>
    <w:rsid w:val="0055131C"/>
    <w:rsid w:val="00551671"/>
    <w:rsid w:val="005528B5"/>
    <w:rsid w:val="005529DF"/>
    <w:rsid w:val="00553C5E"/>
    <w:rsid w:val="00554B06"/>
    <w:rsid w:val="00554B98"/>
    <w:rsid w:val="005565A6"/>
    <w:rsid w:val="00556DE1"/>
    <w:rsid w:val="00561248"/>
    <w:rsid w:val="00562052"/>
    <w:rsid w:val="00562E5E"/>
    <w:rsid w:val="0056417C"/>
    <w:rsid w:val="005654D6"/>
    <w:rsid w:val="005667A6"/>
    <w:rsid w:val="00567C6D"/>
    <w:rsid w:val="005707B6"/>
    <w:rsid w:val="00572838"/>
    <w:rsid w:val="005728D8"/>
    <w:rsid w:val="00572D5D"/>
    <w:rsid w:val="00572DBD"/>
    <w:rsid w:val="00575AAD"/>
    <w:rsid w:val="00576886"/>
    <w:rsid w:val="0057747A"/>
    <w:rsid w:val="00577488"/>
    <w:rsid w:val="0057799A"/>
    <w:rsid w:val="005804BC"/>
    <w:rsid w:val="005808D6"/>
    <w:rsid w:val="00580CB9"/>
    <w:rsid w:val="00581A37"/>
    <w:rsid w:val="00582542"/>
    <w:rsid w:val="00582B54"/>
    <w:rsid w:val="00584934"/>
    <w:rsid w:val="00586E10"/>
    <w:rsid w:val="00587E31"/>
    <w:rsid w:val="00591765"/>
    <w:rsid w:val="005927FA"/>
    <w:rsid w:val="005950DC"/>
    <w:rsid w:val="00595901"/>
    <w:rsid w:val="0059602C"/>
    <w:rsid w:val="00596816"/>
    <w:rsid w:val="00597A63"/>
    <w:rsid w:val="00597D9B"/>
    <w:rsid w:val="00597ED2"/>
    <w:rsid w:val="005A089F"/>
    <w:rsid w:val="005A2B13"/>
    <w:rsid w:val="005A4EF8"/>
    <w:rsid w:val="005A72C0"/>
    <w:rsid w:val="005B0F67"/>
    <w:rsid w:val="005B140C"/>
    <w:rsid w:val="005B1925"/>
    <w:rsid w:val="005B1954"/>
    <w:rsid w:val="005B3A2C"/>
    <w:rsid w:val="005B57D5"/>
    <w:rsid w:val="005B5885"/>
    <w:rsid w:val="005B5A0B"/>
    <w:rsid w:val="005B5D23"/>
    <w:rsid w:val="005B64A4"/>
    <w:rsid w:val="005B7A8C"/>
    <w:rsid w:val="005C0092"/>
    <w:rsid w:val="005C09AA"/>
    <w:rsid w:val="005C0BE7"/>
    <w:rsid w:val="005C0FCB"/>
    <w:rsid w:val="005C1352"/>
    <w:rsid w:val="005C259D"/>
    <w:rsid w:val="005C4412"/>
    <w:rsid w:val="005C5163"/>
    <w:rsid w:val="005C654B"/>
    <w:rsid w:val="005C7271"/>
    <w:rsid w:val="005D02CB"/>
    <w:rsid w:val="005D04EC"/>
    <w:rsid w:val="005D1757"/>
    <w:rsid w:val="005D1FA2"/>
    <w:rsid w:val="005D27E0"/>
    <w:rsid w:val="005D2C8C"/>
    <w:rsid w:val="005D3017"/>
    <w:rsid w:val="005D340D"/>
    <w:rsid w:val="005D3C65"/>
    <w:rsid w:val="005D4F47"/>
    <w:rsid w:val="005D5025"/>
    <w:rsid w:val="005D5BBC"/>
    <w:rsid w:val="005E0513"/>
    <w:rsid w:val="005E0A2B"/>
    <w:rsid w:val="005E135D"/>
    <w:rsid w:val="005E143B"/>
    <w:rsid w:val="005E166B"/>
    <w:rsid w:val="005E1898"/>
    <w:rsid w:val="005E2AA0"/>
    <w:rsid w:val="005E37BE"/>
    <w:rsid w:val="005E60F4"/>
    <w:rsid w:val="005E6C52"/>
    <w:rsid w:val="005E7BA3"/>
    <w:rsid w:val="005F0291"/>
    <w:rsid w:val="005F175E"/>
    <w:rsid w:val="005F23D2"/>
    <w:rsid w:val="005F241D"/>
    <w:rsid w:val="005F2FA0"/>
    <w:rsid w:val="005F33B6"/>
    <w:rsid w:val="005F3D23"/>
    <w:rsid w:val="005F4506"/>
    <w:rsid w:val="005F4F47"/>
    <w:rsid w:val="005F5AA0"/>
    <w:rsid w:val="005F62A8"/>
    <w:rsid w:val="005F7811"/>
    <w:rsid w:val="005F7D96"/>
    <w:rsid w:val="00600B00"/>
    <w:rsid w:val="00600F9E"/>
    <w:rsid w:val="0060259B"/>
    <w:rsid w:val="006035C4"/>
    <w:rsid w:val="00604227"/>
    <w:rsid w:val="00604F15"/>
    <w:rsid w:val="006055D8"/>
    <w:rsid w:val="0060604F"/>
    <w:rsid w:val="00606149"/>
    <w:rsid w:val="00607051"/>
    <w:rsid w:val="00607876"/>
    <w:rsid w:val="00612035"/>
    <w:rsid w:val="00614D3E"/>
    <w:rsid w:val="00615055"/>
    <w:rsid w:val="00615417"/>
    <w:rsid w:val="0061790C"/>
    <w:rsid w:val="00617F80"/>
    <w:rsid w:val="00617FEA"/>
    <w:rsid w:val="00620ECC"/>
    <w:rsid w:val="00621AB5"/>
    <w:rsid w:val="00621AF9"/>
    <w:rsid w:val="0062222E"/>
    <w:rsid w:val="0062254E"/>
    <w:rsid w:val="006236E4"/>
    <w:rsid w:val="00623780"/>
    <w:rsid w:val="006239C3"/>
    <w:rsid w:val="00623E4D"/>
    <w:rsid w:val="00624120"/>
    <w:rsid w:val="00624BE5"/>
    <w:rsid w:val="00625B4D"/>
    <w:rsid w:val="00625EE0"/>
    <w:rsid w:val="0062602A"/>
    <w:rsid w:val="006262C8"/>
    <w:rsid w:val="00626BDB"/>
    <w:rsid w:val="00627AF3"/>
    <w:rsid w:val="00627D07"/>
    <w:rsid w:val="00630F8F"/>
    <w:rsid w:val="00631C8F"/>
    <w:rsid w:val="00631DFD"/>
    <w:rsid w:val="00634758"/>
    <w:rsid w:val="00635951"/>
    <w:rsid w:val="00636136"/>
    <w:rsid w:val="00636980"/>
    <w:rsid w:val="00636B7C"/>
    <w:rsid w:val="00637A3F"/>
    <w:rsid w:val="00640882"/>
    <w:rsid w:val="00640901"/>
    <w:rsid w:val="00641A69"/>
    <w:rsid w:val="0064299B"/>
    <w:rsid w:val="00642ED2"/>
    <w:rsid w:val="0064311F"/>
    <w:rsid w:val="006435A3"/>
    <w:rsid w:val="00645ACB"/>
    <w:rsid w:val="00645BEC"/>
    <w:rsid w:val="00645DF0"/>
    <w:rsid w:val="00647642"/>
    <w:rsid w:val="00650665"/>
    <w:rsid w:val="006527C2"/>
    <w:rsid w:val="0065326B"/>
    <w:rsid w:val="00653812"/>
    <w:rsid w:val="00654441"/>
    <w:rsid w:val="00655A6C"/>
    <w:rsid w:val="006561C8"/>
    <w:rsid w:val="00656431"/>
    <w:rsid w:val="00656CBA"/>
    <w:rsid w:val="00657481"/>
    <w:rsid w:val="00660F7B"/>
    <w:rsid w:val="00661ABE"/>
    <w:rsid w:val="006631CD"/>
    <w:rsid w:val="00663368"/>
    <w:rsid w:val="00663CD8"/>
    <w:rsid w:val="00664350"/>
    <w:rsid w:val="00664380"/>
    <w:rsid w:val="00666A10"/>
    <w:rsid w:val="00666B7D"/>
    <w:rsid w:val="00666DA4"/>
    <w:rsid w:val="00667E9D"/>
    <w:rsid w:val="00667FA5"/>
    <w:rsid w:val="0067032D"/>
    <w:rsid w:val="00670573"/>
    <w:rsid w:val="00672664"/>
    <w:rsid w:val="0067369A"/>
    <w:rsid w:val="00673D9F"/>
    <w:rsid w:val="006741E9"/>
    <w:rsid w:val="0067440C"/>
    <w:rsid w:val="006755BA"/>
    <w:rsid w:val="006758C9"/>
    <w:rsid w:val="00675EE7"/>
    <w:rsid w:val="00676A14"/>
    <w:rsid w:val="00677328"/>
    <w:rsid w:val="00680091"/>
    <w:rsid w:val="006826DC"/>
    <w:rsid w:val="006829D2"/>
    <w:rsid w:val="00682B68"/>
    <w:rsid w:val="006847D1"/>
    <w:rsid w:val="00684B1F"/>
    <w:rsid w:val="0068587F"/>
    <w:rsid w:val="006872A4"/>
    <w:rsid w:val="00687AF7"/>
    <w:rsid w:val="0069018C"/>
    <w:rsid w:val="00690194"/>
    <w:rsid w:val="00690730"/>
    <w:rsid w:val="00690909"/>
    <w:rsid w:val="006911BD"/>
    <w:rsid w:val="006917E3"/>
    <w:rsid w:val="006918E8"/>
    <w:rsid w:val="00691D3A"/>
    <w:rsid w:val="00691DCE"/>
    <w:rsid w:val="006921DC"/>
    <w:rsid w:val="006941C0"/>
    <w:rsid w:val="00695B16"/>
    <w:rsid w:val="00697418"/>
    <w:rsid w:val="00697743"/>
    <w:rsid w:val="006A01B2"/>
    <w:rsid w:val="006A055F"/>
    <w:rsid w:val="006A2345"/>
    <w:rsid w:val="006A278F"/>
    <w:rsid w:val="006A4F55"/>
    <w:rsid w:val="006A67D0"/>
    <w:rsid w:val="006A6804"/>
    <w:rsid w:val="006A74B3"/>
    <w:rsid w:val="006B1678"/>
    <w:rsid w:val="006B2F4D"/>
    <w:rsid w:val="006B471A"/>
    <w:rsid w:val="006B5A02"/>
    <w:rsid w:val="006B65B6"/>
    <w:rsid w:val="006B7BA9"/>
    <w:rsid w:val="006C1326"/>
    <w:rsid w:val="006C3B61"/>
    <w:rsid w:val="006C6298"/>
    <w:rsid w:val="006C64A6"/>
    <w:rsid w:val="006C6C4A"/>
    <w:rsid w:val="006C6EC5"/>
    <w:rsid w:val="006C7E69"/>
    <w:rsid w:val="006D083B"/>
    <w:rsid w:val="006D0E29"/>
    <w:rsid w:val="006D14FA"/>
    <w:rsid w:val="006D1C12"/>
    <w:rsid w:val="006D1F48"/>
    <w:rsid w:val="006D3B82"/>
    <w:rsid w:val="006D3DD3"/>
    <w:rsid w:val="006D4DAC"/>
    <w:rsid w:val="006D63E1"/>
    <w:rsid w:val="006D72FC"/>
    <w:rsid w:val="006E010F"/>
    <w:rsid w:val="006E025B"/>
    <w:rsid w:val="006E1307"/>
    <w:rsid w:val="006E17F1"/>
    <w:rsid w:val="006E2D79"/>
    <w:rsid w:val="006E2F91"/>
    <w:rsid w:val="006E3589"/>
    <w:rsid w:val="006E393E"/>
    <w:rsid w:val="006E6180"/>
    <w:rsid w:val="006E6468"/>
    <w:rsid w:val="006E79EF"/>
    <w:rsid w:val="006F05BE"/>
    <w:rsid w:val="006F17D1"/>
    <w:rsid w:val="006F319A"/>
    <w:rsid w:val="006F32A6"/>
    <w:rsid w:val="006F5068"/>
    <w:rsid w:val="006F5C2A"/>
    <w:rsid w:val="006F5E73"/>
    <w:rsid w:val="006F6A30"/>
    <w:rsid w:val="006F6A40"/>
    <w:rsid w:val="006F6F1C"/>
    <w:rsid w:val="007004C6"/>
    <w:rsid w:val="007011C1"/>
    <w:rsid w:val="00701A0D"/>
    <w:rsid w:val="00702169"/>
    <w:rsid w:val="00703003"/>
    <w:rsid w:val="00703E51"/>
    <w:rsid w:val="007046A7"/>
    <w:rsid w:val="0070526C"/>
    <w:rsid w:val="00706D0C"/>
    <w:rsid w:val="007075CD"/>
    <w:rsid w:val="007076E0"/>
    <w:rsid w:val="007127B0"/>
    <w:rsid w:val="00712E71"/>
    <w:rsid w:val="00714088"/>
    <w:rsid w:val="007141DB"/>
    <w:rsid w:val="00714EFD"/>
    <w:rsid w:val="0071597E"/>
    <w:rsid w:val="0071717E"/>
    <w:rsid w:val="0071767B"/>
    <w:rsid w:val="00717C96"/>
    <w:rsid w:val="007204C4"/>
    <w:rsid w:val="007206ED"/>
    <w:rsid w:val="007221A0"/>
    <w:rsid w:val="00723D22"/>
    <w:rsid w:val="00724381"/>
    <w:rsid w:val="007247EF"/>
    <w:rsid w:val="00725516"/>
    <w:rsid w:val="00725C79"/>
    <w:rsid w:val="00726043"/>
    <w:rsid w:val="00726F55"/>
    <w:rsid w:val="00727A31"/>
    <w:rsid w:val="00730C09"/>
    <w:rsid w:val="00731266"/>
    <w:rsid w:val="0073175D"/>
    <w:rsid w:val="007317B1"/>
    <w:rsid w:val="00731810"/>
    <w:rsid w:val="007324A3"/>
    <w:rsid w:val="00735274"/>
    <w:rsid w:val="00735ABC"/>
    <w:rsid w:val="00735B7A"/>
    <w:rsid w:val="007363AA"/>
    <w:rsid w:val="00737656"/>
    <w:rsid w:val="00737A75"/>
    <w:rsid w:val="00737B24"/>
    <w:rsid w:val="007409B6"/>
    <w:rsid w:val="0074148D"/>
    <w:rsid w:val="007415F4"/>
    <w:rsid w:val="00743DC5"/>
    <w:rsid w:val="0074603D"/>
    <w:rsid w:val="007506EA"/>
    <w:rsid w:val="00750FCF"/>
    <w:rsid w:val="00751A34"/>
    <w:rsid w:val="0075270C"/>
    <w:rsid w:val="00752CCA"/>
    <w:rsid w:val="0075309B"/>
    <w:rsid w:val="00754A71"/>
    <w:rsid w:val="00754FDF"/>
    <w:rsid w:val="0075516D"/>
    <w:rsid w:val="00755C75"/>
    <w:rsid w:val="007571CD"/>
    <w:rsid w:val="007614D2"/>
    <w:rsid w:val="00761E45"/>
    <w:rsid w:val="00761E5E"/>
    <w:rsid w:val="0076234A"/>
    <w:rsid w:val="007623D4"/>
    <w:rsid w:val="007628EC"/>
    <w:rsid w:val="00763029"/>
    <w:rsid w:val="00763BEE"/>
    <w:rsid w:val="00763D0A"/>
    <w:rsid w:val="00764A11"/>
    <w:rsid w:val="0076592D"/>
    <w:rsid w:val="007659F5"/>
    <w:rsid w:val="0076790C"/>
    <w:rsid w:val="00767CB8"/>
    <w:rsid w:val="00770E3A"/>
    <w:rsid w:val="00771138"/>
    <w:rsid w:val="00771438"/>
    <w:rsid w:val="007716B8"/>
    <w:rsid w:val="00771F58"/>
    <w:rsid w:val="00772465"/>
    <w:rsid w:val="0077346C"/>
    <w:rsid w:val="00775DAC"/>
    <w:rsid w:val="0077759B"/>
    <w:rsid w:val="00780B10"/>
    <w:rsid w:val="00781D10"/>
    <w:rsid w:val="00783DF3"/>
    <w:rsid w:val="00784343"/>
    <w:rsid w:val="0078526B"/>
    <w:rsid w:val="0078554C"/>
    <w:rsid w:val="007858B4"/>
    <w:rsid w:val="00785EFE"/>
    <w:rsid w:val="00786077"/>
    <w:rsid w:val="00787209"/>
    <w:rsid w:val="007875DD"/>
    <w:rsid w:val="00790438"/>
    <w:rsid w:val="00790FAA"/>
    <w:rsid w:val="007922D0"/>
    <w:rsid w:val="00792F81"/>
    <w:rsid w:val="00793013"/>
    <w:rsid w:val="00794884"/>
    <w:rsid w:val="00795B1F"/>
    <w:rsid w:val="00797E42"/>
    <w:rsid w:val="007A17BC"/>
    <w:rsid w:val="007A17E3"/>
    <w:rsid w:val="007A2583"/>
    <w:rsid w:val="007A2714"/>
    <w:rsid w:val="007A2B41"/>
    <w:rsid w:val="007A7319"/>
    <w:rsid w:val="007A735C"/>
    <w:rsid w:val="007B11DB"/>
    <w:rsid w:val="007B1612"/>
    <w:rsid w:val="007B167E"/>
    <w:rsid w:val="007B260D"/>
    <w:rsid w:val="007B2C7E"/>
    <w:rsid w:val="007B3392"/>
    <w:rsid w:val="007B394B"/>
    <w:rsid w:val="007B3F08"/>
    <w:rsid w:val="007B4E28"/>
    <w:rsid w:val="007B5B40"/>
    <w:rsid w:val="007B6DA5"/>
    <w:rsid w:val="007B751D"/>
    <w:rsid w:val="007C02CD"/>
    <w:rsid w:val="007C0755"/>
    <w:rsid w:val="007C1150"/>
    <w:rsid w:val="007C1528"/>
    <w:rsid w:val="007C20B5"/>
    <w:rsid w:val="007C2E77"/>
    <w:rsid w:val="007C3476"/>
    <w:rsid w:val="007C3C36"/>
    <w:rsid w:val="007C570B"/>
    <w:rsid w:val="007C5D13"/>
    <w:rsid w:val="007C6ADC"/>
    <w:rsid w:val="007C6AF7"/>
    <w:rsid w:val="007C7442"/>
    <w:rsid w:val="007D0BFA"/>
    <w:rsid w:val="007D11C4"/>
    <w:rsid w:val="007D409E"/>
    <w:rsid w:val="007D4189"/>
    <w:rsid w:val="007D4875"/>
    <w:rsid w:val="007D529D"/>
    <w:rsid w:val="007D5A62"/>
    <w:rsid w:val="007D5C87"/>
    <w:rsid w:val="007D5D04"/>
    <w:rsid w:val="007D645B"/>
    <w:rsid w:val="007D7CF6"/>
    <w:rsid w:val="007E0191"/>
    <w:rsid w:val="007E168A"/>
    <w:rsid w:val="007E3ACA"/>
    <w:rsid w:val="007E427B"/>
    <w:rsid w:val="007E4B08"/>
    <w:rsid w:val="007E57F8"/>
    <w:rsid w:val="007E658C"/>
    <w:rsid w:val="007E768B"/>
    <w:rsid w:val="007E7E4B"/>
    <w:rsid w:val="007F30FA"/>
    <w:rsid w:val="007F470F"/>
    <w:rsid w:val="007F4FEF"/>
    <w:rsid w:val="007F5109"/>
    <w:rsid w:val="007F5BE2"/>
    <w:rsid w:val="007F6624"/>
    <w:rsid w:val="007F7192"/>
    <w:rsid w:val="007F7636"/>
    <w:rsid w:val="007F7D76"/>
    <w:rsid w:val="00801679"/>
    <w:rsid w:val="008022C2"/>
    <w:rsid w:val="00802C72"/>
    <w:rsid w:val="008036E3"/>
    <w:rsid w:val="00803EF5"/>
    <w:rsid w:val="00804BAA"/>
    <w:rsid w:val="008050ED"/>
    <w:rsid w:val="00805347"/>
    <w:rsid w:val="00806F0A"/>
    <w:rsid w:val="008074B9"/>
    <w:rsid w:val="008075A0"/>
    <w:rsid w:val="00807C47"/>
    <w:rsid w:val="00807E59"/>
    <w:rsid w:val="00807EA9"/>
    <w:rsid w:val="008111F8"/>
    <w:rsid w:val="008114A1"/>
    <w:rsid w:val="0081222D"/>
    <w:rsid w:val="00813A34"/>
    <w:rsid w:val="00814424"/>
    <w:rsid w:val="008146B5"/>
    <w:rsid w:val="00816648"/>
    <w:rsid w:val="008167E5"/>
    <w:rsid w:val="00816A45"/>
    <w:rsid w:val="00817E74"/>
    <w:rsid w:val="00820511"/>
    <w:rsid w:val="00820BF4"/>
    <w:rsid w:val="008212DF"/>
    <w:rsid w:val="00822C9D"/>
    <w:rsid w:val="0082355A"/>
    <w:rsid w:val="0082394C"/>
    <w:rsid w:val="00823CB4"/>
    <w:rsid w:val="00824E0A"/>
    <w:rsid w:val="00825352"/>
    <w:rsid w:val="00826AB8"/>
    <w:rsid w:val="00826E44"/>
    <w:rsid w:val="00827EF5"/>
    <w:rsid w:val="00827F62"/>
    <w:rsid w:val="008300D5"/>
    <w:rsid w:val="00831188"/>
    <w:rsid w:val="0083168F"/>
    <w:rsid w:val="00831C52"/>
    <w:rsid w:val="00832326"/>
    <w:rsid w:val="008341BA"/>
    <w:rsid w:val="008341E2"/>
    <w:rsid w:val="00834332"/>
    <w:rsid w:val="00835567"/>
    <w:rsid w:val="0083572A"/>
    <w:rsid w:val="00835E41"/>
    <w:rsid w:val="00835E48"/>
    <w:rsid w:val="00836ED1"/>
    <w:rsid w:val="00840354"/>
    <w:rsid w:val="00840F3D"/>
    <w:rsid w:val="00841415"/>
    <w:rsid w:val="00843B65"/>
    <w:rsid w:val="00843C76"/>
    <w:rsid w:val="00843F31"/>
    <w:rsid w:val="0084478D"/>
    <w:rsid w:val="008449FF"/>
    <w:rsid w:val="008451CF"/>
    <w:rsid w:val="008460E0"/>
    <w:rsid w:val="00846D71"/>
    <w:rsid w:val="00850281"/>
    <w:rsid w:val="00850C8E"/>
    <w:rsid w:val="0085131D"/>
    <w:rsid w:val="00851555"/>
    <w:rsid w:val="00852386"/>
    <w:rsid w:val="00853DAA"/>
    <w:rsid w:val="00856388"/>
    <w:rsid w:val="00856CD6"/>
    <w:rsid w:val="008627F1"/>
    <w:rsid w:val="00862DCA"/>
    <w:rsid w:val="008631D7"/>
    <w:rsid w:val="00863252"/>
    <w:rsid w:val="00863973"/>
    <w:rsid w:val="00864852"/>
    <w:rsid w:val="0086497B"/>
    <w:rsid w:val="00864E10"/>
    <w:rsid w:val="00864F73"/>
    <w:rsid w:val="00865784"/>
    <w:rsid w:val="00865860"/>
    <w:rsid w:val="008658B6"/>
    <w:rsid w:val="00867096"/>
    <w:rsid w:val="00867AEB"/>
    <w:rsid w:val="008703C2"/>
    <w:rsid w:val="008704FF"/>
    <w:rsid w:val="00870966"/>
    <w:rsid w:val="00870B55"/>
    <w:rsid w:val="00872499"/>
    <w:rsid w:val="00873066"/>
    <w:rsid w:val="0087495C"/>
    <w:rsid w:val="00874CFB"/>
    <w:rsid w:val="00875654"/>
    <w:rsid w:val="0087643F"/>
    <w:rsid w:val="00877587"/>
    <w:rsid w:val="008800AC"/>
    <w:rsid w:val="00880F8E"/>
    <w:rsid w:val="00881C3A"/>
    <w:rsid w:val="00881E0D"/>
    <w:rsid w:val="0088211F"/>
    <w:rsid w:val="00882434"/>
    <w:rsid w:val="0088439F"/>
    <w:rsid w:val="0088509C"/>
    <w:rsid w:val="00885354"/>
    <w:rsid w:val="0088576C"/>
    <w:rsid w:val="00885819"/>
    <w:rsid w:val="00886B76"/>
    <w:rsid w:val="008873A9"/>
    <w:rsid w:val="00890328"/>
    <w:rsid w:val="008909F0"/>
    <w:rsid w:val="00890C0C"/>
    <w:rsid w:val="00890F82"/>
    <w:rsid w:val="00891C3D"/>
    <w:rsid w:val="008920C9"/>
    <w:rsid w:val="00892D69"/>
    <w:rsid w:val="008940A3"/>
    <w:rsid w:val="008943D5"/>
    <w:rsid w:val="00895456"/>
    <w:rsid w:val="00896677"/>
    <w:rsid w:val="00897D5E"/>
    <w:rsid w:val="00897F49"/>
    <w:rsid w:val="008A0E9E"/>
    <w:rsid w:val="008A120F"/>
    <w:rsid w:val="008A1698"/>
    <w:rsid w:val="008A21D6"/>
    <w:rsid w:val="008A3B59"/>
    <w:rsid w:val="008A4E36"/>
    <w:rsid w:val="008A55D3"/>
    <w:rsid w:val="008A650A"/>
    <w:rsid w:val="008A6544"/>
    <w:rsid w:val="008A7334"/>
    <w:rsid w:val="008A7EBF"/>
    <w:rsid w:val="008B24C4"/>
    <w:rsid w:val="008B251C"/>
    <w:rsid w:val="008B400E"/>
    <w:rsid w:val="008B50FE"/>
    <w:rsid w:val="008B55EE"/>
    <w:rsid w:val="008B5E55"/>
    <w:rsid w:val="008B6496"/>
    <w:rsid w:val="008B7085"/>
    <w:rsid w:val="008B7956"/>
    <w:rsid w:val="008B7FD2"/>
    <w:rsid w:val="008C0D61"/>
    <w:rsid w:val="008C1245"/>
    <w:rsid w:val="008C3AAC"/>
    <w:rsid w:val="008C4AC7"/>
    <w:rsid w:val="008C505C"/>
    <w:rsid w:val="008C6210"/>
    <w:rsid w:val="008C6849"/>
    <w:rsid w:val="008C6B0F"/>
    <w:rsid w:val="008C70E9"/>
    <w:rsid w:val="008C7788"/>
    <w:rsid w:val="008D0599"/>
    <w:rsid w:val="008D17FC"/>
    <w:rsid w:val="008D18EB"/>
    <w:rsid w:val="008D19CE"/>
    <w:rsid w:val="008D1F62"/>
    <w:rsid w:val="008D20DF"/>
    <w:rsid w:val="008D2548"/>
    <w:rsid w:val="008D3149"/>
    <w:rsid w:val="008D3DF6"/>
    <w:rsid w:val="008D4692"/>
    <w:rsid w:val="008D4A66"/>
    <w:rsid w:val="008D536F"/>
    <w:rsid w:val="008D5E82"/>
    <w:rsid w:val="008D6917"/>
    <w:rsid w:val="008D7E0A"/>
    <w:rsid w:val="008D7EFD"/>
    <w:rsid w:val="008E0063"/>
    <w:rsid w:val="008E01B1"/>
    <w:rsid w:val="008E0E5A"/>
    <w:rsid w:val="008E31C7"/>
    <w:rsid w:val="008E365F"/>
    <w:rsid w:val="008E40B3"/>
    <w:rsid w:val="008E58F1"/>
    <w:rsid w:val="008E5ABE"/>
    <w:rsid w:val="008E669D"/>
    <w:rsid w:val="008E681F"/>
    <w:rsid w:val="008E6A86"/>
    <w:rsid w:val="008E6C54"/>
    <w:rsid w:val="008E6EFC"/>
    <w:rsid w:val="008E7945"/>
    <w:rsid w:val="008E7E8A"/>
    <w:rsid w:val="008F00C5"/>
    <w:rsid w:val="008F0D1B"/>
    <w:rsid w:val="008F14BF"/>
    <w:rsid w:val="008F1967"/>
    <w:rsid w:val="008F1AC8"/>
    <w:rsid w:val="008F2440"/>
    <w:rsid w:val="008F3CC1"/>
    <w:rsid w:val="008F4855"/>
    <w:rsid w:val="008F4C42"/>
    <w:rsid w:val="008F5DF6"/>
    <w:rsid w:val="008F64FA"/>
    <w:rsid w:val="00901D3A"/>
    <w:rsid w:val="00902DE6"/>
    <w:rsid w:val="00904B43"/>
    <w:rsid w:val="00905589"/>
    <w:rsid w:val="00905AB9"/>
    <w:rsid w:val="009065AC"/>
    <w:rsid w:val="00906F95"/>
    <w:rsid w:val="00907C8F"/>
    <w:rsid w:val="009104CA"/>
    <w:rsid w:val="0091115A"/>
    <w:rsid w:val="00911C03"/>
    <w:rsid w:val="00911D04"/>
    <w:rsid w:val="00912140"/>
    <w:rsid w:val="009126E4"/>
    <w:rsid w:val="00912749"/>
    <w:rsid w:val="00912A6E"/>
    <w:rsid w:val="0091337D"/>
    <w:rsid w:val="0091403A"/>
    <w:rsid w:val="009146DD"/>
    <w:rsid w:val="00914766"/>
    <w:rsid w:val="00914A26"/>
    <w:rsid w:val="00916DD7"/>
    <w:rsid w:val="00917003"/>
    <w:rsid w:val="00917522"/>
    <w:rsid w:val="00917C92"/>
    <w:rsid w:val="00917F7B"/>
    <w:rsid w:val="00920008"/>
    <w:rsid w:val="00920A66"/>
    <w:rsid w:val="00920FCE"/>
    <w:rsid w:val="00921AC5"/>
    <w:rsid w:val="00923112"/>
    <w:rsid w:val="009240C9"/>
    <w:rsid w:val="009242DB"/>
    <w:rsid w:val="009247ED"/>
    <w:rsid w:val="00924F95"/>
    <w:rsid w:val="009251EE"/>
    <w:rsid w:val="009255BB"/>
    <w:rsid w:val="0092672E"/>
    <w:rsid w:val="00926932"/>
    <w:rsid w:val="00927511"/>
    <w:rsid w:val="00930967"/>
    <w:rsid w:val="00931306"/>
    <w:rsid w:val="00932AF2"/>
    <w:rsid w:val="009333B1"/>
    <w:rsid w:val="0093380F"/>
    <w:rsid w:val="00934156"/>
    <w:rsid w:val="0093456B"/>
    <w:rsid w:val="009359C7"/>
    <w:rsid w:val="00935A74"/>
    <w:rsid w:val="00936C31"/>
    <w:rsid w:val="0094028B"/>
    <w:rsid w:val="00940384"/>
    <w:rsid w:val="00940F57"/>
    <w:rsid w:val="009439F5"/>
    <w:rsid w:val="00944D8A"/>
    <w:rsid w:val="00945249"/>
    <w:rsid w:val="00945E23"/>
    <w:rsid w:val="009463AC"/>
    <w:rsid w:val="00947A27"/>
    <w:rsid w:val="00947FCE"/>
    <w:rsid w:val="009507A1"/>
    <w:rsid w:val="009509CB"/>
    <w:rsid w:val="00951907"/>
    <w:rsid w:val="00951A4F"/>
    <w:rsid w:val="00951D7D"/>
    <w:rsid w:val="00951E53"/>
    <w:rsid w:val="00952C48"/>
    <w:rsid w:val="00953D5E"/>
    <w:rsid w:val="00953D88"/>
    <w:rsid w:val="0095426C"/>
    <w:rsid w:val="00955C78"/>
    <w:rsid w:val="00955CDC"/>
    <w:rsid w:val="00955E21"/>
    <w:rsid w:val="00957763"/>
    <w:rsid w:val="00957931"/>
    <w:rsid w:val="00960143"/>
    <w:rsid w:val="009606E5"/>
    <w:rsid w:val="00960F68"/>
    <w:rsid w:val="009619C6"/>
    <w:rsid w:val="00961DE2"/>
    <w:rsid w:val="00961E8D"/>
    <w:rsid w:val="00962336"/>
    <w:rsid w:val="00962A88"/>
    <w:rsid w:val="00962B8F"/>
    <w:rsid w:val="00963DEF"/>
    <w:rsid w:val="0096445D"/>
    <w:rsid w:val="009645FA"/>
    <w:rsid w:val="009662AD"/>
    <w:rsid w:val="00967426"/>
    <w:rsid w:val="009676BA"/>
    <w:rsid w:val="009677BB"/>
    <w:rsid w:val="00970D34"/>
    <w:rsid w:val="009712B8"/>
    <w:rsid w:val="009719CB"/>
    <w:rsid w:val="009727F6"/>
    <w:rsid w:val="00974974"/>
    <w:rsid w:val="009754FF"/>
    <w:rsid w:val="009755E0"/>
    <w:rsid w:val="00975FC0"/>
    <w:rsid w:val="00976B7B"/>
    <w:rsid w:val="00976BBE"/>
    <w:rsid w:val="00976F63"/>
    <w:rsid w:val="00980059"/>
    <w:rsid w:val="00980069"/>
    <w:rsid w:val="00980C8C"/>
    <w:rsid w:val="00981359"/>
    <w:rsid w:val="00981554"/>
    <w:rsid w:val="00983636"/>
    <w:rsid w:val="009846F5"/>
    <w:rsid w:val="00984C50"/>
    <w:rsid w:val="0098503D"/>
    <w:rsid w:val="0098526F"/>
    <w:rsid w:val="0098593C"/>
    <w:rsid w:val="009867E0"/>
    <w:rsid w:val="0098739F"/>
    <w:rsid w:val="009873DE"/>
    <w:rsid w:val="009876EB"/>
    <w:rsid w:val="00990F92"/>
    <w:rsid w:val="0099137F"/>
    <w:rsid w:val="0099154D"/>
    <w:rsid w:val="009921C7"/>
    <w:rsid w:val="00992D97"/>
    <w:rsid w:val="00992E30"/>
    <w:rsid w:val="009930C8"/>
    <w:rsid w:val="00993922"/>
    <w:rsid w:val="00993956"/>
    <w:rsid w:val="00993E35"/>
    <w:rsid w:val="0099405A"/>
    <w:rsid w:val="00994C11"/>
    <w:rsid w:val="00994D31"/>
    <w:rsid w:val="0099526D"/>
    <w:rsid w:val="00996DD2"/>
    <w:rsid w:val="009977DE"/>
    <w:rsid w:val="009A038A"/>
    <w:rsid w:val="009A11ED"/>
    <w:rsid w:val="009A1348"/>
    <w:rsid w:val="009A1B64"/>
    <w:rsid w:val="009A2CB4"/>
    <w:rsid w:val="009A3347"/>
    <w:rsid w:val="009A45EE"/>
    <w:rsid w:val="009A4BCB"/>
    <w:rsid w:val="009A60F3"/>
    <w:rsid w:val="009A62B8"/>
    <w:rsid w:val="009A666B"/>
    <w:rsid w:val="009A6EF7"/>
    <w:rsid w:val="009A7C7E"/>
    <w:rsid w:val="009B04F9"/>
    <w:rsid w:val="009B0F2A"/>
    <w:rsid w:val="009B2033"/>
    <w:rsid w:val="009B25B7"/>
    <w:rsid w:val="009B364C"/>
    <w:rsid w:val="009B4278"/>
    <w:rsid w:val="009B4AF5"/>
    <w:rsid w:val="009B50AE"/>
    <w:rsid w:val="009B56AE"/>
    <w:rsid w:val="009B63A6"/>
    <w:rsid w:val="009B661E"/>
    <w:rsid w:val="009B78DF"/>
    <w:rsid w:val="009C0535"/>
    <w:rsid w:val="009C1096"/>
    <w:rsid w:val="009C132A"/>
    <w:rsid w:val="009C166D"/>
    <w:rsid w:val="009C1817"/>
    <w:rsid w:val="009C1B17"/>
    <w:rsid w:val="009C260D"/>
    <w:rsid w:val="009C2D1F"/>
    <w:rsid w:val="009C389F"/>
    <w:rsid w:val="009C3C96"/>
    <w:rsid w:val="009C5B3A"/>
    <w:rsid w:val="009C5FC2"/>
    <w:rsid w:val="009C64D5"/>
    <w:rsid w:val="009C6B42"/>
    <w:rsid w:val="009C7788"/>
    <w:rsid w:val="009C7EB9"/>
    <w:rsid w:val="009C7F8A"/>
    <w:rsid w:val="009D2106"/>
    <w:rsid w:val="009D2579"/>
    <w:rsid w:val="009D3236"/>
    <w:rsid w:val="009D3C83"/>
    <w:rsid w:val="009D3E6C"/>
    <w:rsid w:val="009D40E2"/>
    <w:rsid w:val="009D479F"/>
    <w:rsid w:val="009D53D9"/>
    <w:rsid w:val="009D5413"/>
    <w:rsid w:val="009D63F3"/>
    <w:rsid w:val="009D659B"/>
    <w:rsid w:val="009E069D"/>
    <w:rsid w:val="009E0D48"/>
    <w:rsid w:val="009E194A"/>
    <w:rsid w:val="009E2A9A"/>
    <w:rsid w:val="009E2AF0"/>
    <w:rsid w:val="009E323A"/>
    <w:rsid w:val="009E36CD"/>
    <w:rsid w:val="009E3A75"/>
    <w:rsid w:val="009E3AC5"/>
    <w:rsid w:val="009E3F00"/>
    <w:rsid w:val="009E41FB"/>
    <w:rsid w:val="009E499C"/>
    <w:rsid w:val="009E4C78"/>
    <w:rsid w:val="009E4EEC"/>
    <w:rsid w:val="009E53F2"/>
    <w:rsid w:val="009E561E"/>
    <w:rsid w:val="009E59CD"/>
    <w:rsid w:val="009E656F"/>
    <w:rsid w:val="009E751C"/>
    <w:rsid w:val="009E787D"/>
    <w:rsid w:val="009E78A8"/>
    <w:rsid w:val="009E7C27"/>
    <w:rsid w:val="009F0A86"/>
    <w:rsid w:val="009F0B03"/>
    <w:rsid w:val="009F226B"/>
    <w:rsid w:val="009F2D7D"/>
    <w:rsid w:val="009F2FB1"/>
    <w:rsid w:val="009F4C18"/>
    <w:rsid w:val="009F4D84"/>
    <w:rsid w:val="009F51A9"/>
    <w:rsid w:val="009F5270"/>
    <w:rsid w:val="009F52F4"/>
    <w:rsid w:val="009F6527"/>
    <w:rsid w:val="009F687D"/>
    <w:rsid w:val="009F7671"/>
    <w:rsid w:val="00A01ADC"/>
    <w:rsid w:val="00A02097"/>
    <w:rsid w:val="00A039D5"/>
    <w:rsid w:val="00A040A9"/>
    <w:rsid w:val="00A066FB"/>
    <w:rsid w:val="00A067F1"/>
    <w:rsid w:val="00A10551"/>
    <w:rsid w:val="00A113E3"/>
    <w:rsid w:val="00A11B68"/>
    <w:rsid w:val="00A11C09"/>
    <w:rsid w:val="00A12DAF"/>
    <w:rsid w:val="00A134A3"/>
    <w:rsid w:val="00A1427B"/>
    <w:rsid w:val="00A1427F"/>
    <w:rsid w:val="00A15C05"/>
    <w:rsid w:val="00A1688E"/>
    <w:rsid w:val="00A16BF4"/>
    <w:rsid w:val="00A1717D"/>
    <w:rsid w:val="00A173F0"/>
    <w:rsid w:val="00A17613"/>
    <w:rsid w:val="00A20213"/>
    <w:rsid w:val="00A23BD0"/>
    <w:rsid w:val="00A23E59"/>
    <w:rsid w:val="00A25C0A"/>
    <w:rsid w:val="00A26105"/>
    <w:rsid w:val="00A275F0"/>
    <w:rsid w:val="00A30BDF"/>
    <w:rsid w:val="00A31610"/>
    <w:rsid w:val="00A322A6"/>
    <w:rsid w:val="00A32535"/>
    <w:rsid w:val="00A33C32"/>
    <w:rsid w:val="00A349A6"/>
    <w:rsid w:val="00A35203"/>
    <w:rsid w:val="00A359AB"/>
    <w:rsid w:val="00A35BFF"/>
    <w:rsid w:val="00A3692B"/>
    <w:rsid w:val="00A36D89"/>
    <w:rsid w:val="00A378CD"/>
    <w:rsid w:val="00A37902"/>
    <w:rsid w:val="00A40139"/>
    <w:rsid w:val="00A4046B"/>
    <w:rsid w:val="00A408BA"/>
    <w:rsid w:val="00A409A2"/>
    <w:rsid w:val="00A41A27"/>
    <w:rsid w:val="00A41E85"/>
    <w:rsid w:val="00A42214"/>
    <w:rsid w:val="00A4272B"/>
    <w:rsid w:val="00A4335E"/>
    <w:rsid w:val="00A434C3"/>
    <w:rsid w:val="00A43C7B"/>
    <w:rsid w:val="00A43E19"/>
    <w:rsid w:val="00A450A7"/>
    <w:rsid w:val="00A456A0"/>
    <w:rsid w:val="00A45A03"/>
    <w:rsid w:val="00A45A80"/>
    <w:rsid w:val="00A45CFA"/>
    <w:rsid w:val="00A46EAC"/>
    <w:rsid w:val="00A47EB2"/>
    <w:rsid w:val="00A50212"/>
    <w:rsid w:val="00A50A99"/>
    <w:rsid w:val="00A514B4"/>
    <w:rsid w:val="00A51F0D"/>
    <w:rsid w:val="00A52205"/>
    <w:rsid w:val="00A53445"/>
    <w:rsid w:val="00A53D76"/>
    <w:rsid w:val="00A54049"/>
    <w:rsid w:val="00A54A54"/>
    <w:rsid w:val="00A55BE9"/>
    <w:rsid w:val="00A56416"/>
    <w:rsid w:val="00A56D79"/>
    <w:rsid w:val="00A579EB"/>
    <w:rsid w:val="00A60772"/>
    <w:rsid w:val="00A60F59"/>
    <w:rsid w:val="00A63328"/>
    <w:rsid w:val="00A66888"/>
    <w:rsid w:val="00A676B8"/>
    <w:rsid w:val="00A67DCE"/>
    <w:rsid w:val="00A708A3"/>
    <w:rsid w:val="00A71FEB"/>
    <w:rsid w:val="00A7306A"/>
    <w:rsid w:val="00A732E1"/>
    <w:rsid w:val="00A73411"/>
    <w:rsid w:val="00A74544"/>
    <w:rsid w:val="00A753FF"/>
    <w:rsid w:val="00A82093"/>
    <w:rsid w:val="00A836EA"/>
    <w:rsid w:val="00A8376B"/>
    <w:rsid w:val="00A844A6"/>
    <w:rsid w:val="00A849AA"/>
    <w:rsid w:val="00A85332"/>
    <w:rsid w:val="00A856CD"/>
    <w:rsid w:val="00A874E1"/>
    <w:rsid w:val="00A906FF"/>
    <w:rsid w:val="00A92E40"/>
    <w:rsid w:val="00A93CF6"/>
    <w:rsid w:val="00A93D7B"/>
    <w:rsid w:val="00A93FA0"/>
    <w:rsid w:val="00A958F9"/>
    <w:rsid w:val="00A95E54"/>
    <w:rsid w:val="00A95FBA"/>
    <w:rsid w:val="00A96145"/>
    <w:rsid w:val="00A96239"/>
    <w:rsid w:val="00A9641C"/>
    <w:rsid w:val="00A96E63"/>
    <w:rsid w:val="00AA00A9"/>
    <w:rsid w:val="00AA04DF"/>
    <w:rsid w:val="00AA0E14"/>
    <w:rsid w:val="00AA14D5"/>
    <w:rsid w:val="00AA1B4D"/>
    <w:rsid w:val="00AA23C8"/>
    <w:rsid w:val="00AA2568"/>
    <w:rsid w:val="00AA42CC"/>
    <w:rsid w:val="00AA4F5E"/>
    <w:rsid w:val="00AA5BEF"/>
    <w:rsid w:val="00AA5E86"/>
    <w:rsid w:val="00AA6424"/>
    <w:rsid w:val="00AB05F4"/>
    <w:rsid w:val="00AB0D83"/>
    <w:rsid w:val="00AB10D0"/>
    <w:rsid w:val="00AB12A3"/>
    <w:rsid w:val="00AB130A"/>
    <w:rsid w:val="00AB1DF7"/>
    <w:rsid w:val="00AB2676"/>
    <w:rsid w:val="00AB4882"/>
    <w:rsid w:val="00AB532B"/>
    <w:rsid w:val="00AB53D2"/>
    <w:rsid w:val="00AB5DDD"/>
    <w:rsid w:val="00AB5F65"/>
    <w:rsid w:val="00AB60E7"/>
    <w:rsid w:val="00AB6CF3"/>
    <w:rsid w:val="00AB6F3F"/>
    <w:rsid w:val="00AB72DA"/>
    <w:rsid w:val="00AB757D"/>
    <w:rsid w:val="00AB7F66"/>
    <w:rsid w:val="00AC0BF3"/>
    <w:rsid w:val="00AC1357"/>
    <w:rsid w:val="00AC1512"/>
    <w:rsid w:val="00AC233B"/>
    <w:rsid w:val="00AC29AD"/>
    <w:rsid w:val="00AC2A06"/>
    <w:rsid w:val="00AC2FF9"/>
    <w:rsid w:val="00AC3EF6"/>
    <w:rsid w:val="00AC440D"/>
    <w:rsid w:val="00AC4577"/>
    <w:rsid w:val="00AC5215"/>
    <w:rsid w:val="00AC5AAA"/>
    <w:rsid w:val="00AC5F29"/>
    <w:rsid w:val="00AD110F"/>
    <w:rsid w:val="00AD1349"/>
    <w:rsid w:val="00AD2354"/>
    <w:rsid w:val="00AD28FF"/>
    <w:rsid w:val="00AD55DE"/>
    <w:rsid w:val="00AD581D"/>
    <w:rsid w:val="00AD5D9E"/>
    <w:rsid w:val="00AD63DD"/>
    <w:rsid w:val="00AD77FE"/>
    <w:rsid w:val="00AD7972"/>
    <w:rsid w:val="00AD7AAE"/>
    <w:rsid w:val="00AE02A5"/>
    <w:rsid w:val="00AE1B0B"/>
    <w:rsid w:val="00AE1BF7"/>
    <w:rsid w:val="00AE269F"/>
    <w:rsid w:val="00AE2861"/>
    <w:rsid w:val="00AE29B2"/>
    <w:rsid w:val="00AE2D08"/>
    <w:rsid w:val="00AE34B2"/>
    <w:rsid w:val="00AE3A83"/>
    <w:rsid w:val="00AE6B8A"/>
    <w:rsid w:val="00AF09E7"/>
    <w:rsid w:val="00AF1D7D"/>
    <w:rsid w:val="00AF2CF0"/>
    <w:rsid w:val="00AF2D16"/>
    <w:rsid w:val="00AF42D5"/>
    <w:rsid w:val="00AF59D0"/>
    <w:rsid w:val="00AF5D65"/>
    <w:rsid w:val="00AF6258"/>
    <w:rsid w:val="00AF64BC"/>
    <w:rsid w:val="00AF6AD4"/>
    <w:rsid w:val="00AF736F"/>
    <w:rsid w:val="00AF7E2E"/>
    <w:rsid w:val="00B00513"/>
    <w:rsid w:val="00B0137B"/>
    <w:rsid w:val="00B017EA"/>
    <w:rsid w:val="00B02478"/>
    <w:rsid w:val="00B02840"/>
    <w:rsid w:val="00B03261"/>
    <w:rsid w:val="00B040C8"/>
    <w:rsid w:val="00B0426B"/>
    <w:rsid w:val="00B045F7"/>
    <w:rsid w:val="00B050B0"/>
    <w:rsid w:val="00B05C54"/>
    <w:rsid w:val="00B077AE"/>
    <w:rsid w:val="00B12F05"/>
    <w:rsid w:val="00B133B1"/>
    <w:rsid w:val="00B1346D"/>
    <w:rsid w:val="00B140E4"/>
    <w:rsid w:val="00B14DA4"/>
    <w:rsid w:val="00B15CFC"/>
    <w:rsid w:val="00B15ED2"/>
    <w:rsid w:val="00B1664E"/>
    <w:rsid w:val="00B1677C"/>
    <w:rsid w:val="00B16C41"/>
    <w:rsid w:val="00B17079"/>
    <w:rsid w:val="00B2029C"/>
    <w:rsid w:val="00B20A23"/>
    <w:rsid w:val="00B20B80"/>
    <w:rsid w:val="00B214BF"/>
    <w:rsid w:val="00B21754"/>
    <w:rsid w:val="00B2299F"/>
    <w:rsid w:val="00B231B9"/>
    <w:rsid w:val="00B235FB"/>
    <w:rsid w:val="00B23CCB"/>
    <w:rsid w:val="00B253F8"/>
    <w:rsid w:val="00B259E8"/>
    <w:rsid w:val="00B3099C"/>
    <w:rsid w:val="00B31366"/>
    <w:rsid w:val="00B31547"/>
    <w:rsid w:val="00B3222F"/>
    <w:rsid w:val="00B32381"/>
    <w:rsid w:val="00B326E8"/>
    <w:rsid w:val="00B32BE8"/>
    <w:rsid w:val="00B32D4E"/>
    <w:rsid w:val="00B33C67"/>
    <w:rsid w:val="00B34DD9"/>
    <w:rsid w:val="00B350DD"/>
    <w:rsid w:val="00B373B9"/>
    <w:rsid w:val="00B37FEF"/>
    <w:rsid w:val="00B4093B"/>
    <w:rsid w:val="00B40C29"/>
    <w:rsid w:val="00B4125B"/>
    <w:rsid w:val="00B41408"/>
    <w:rsid w:val="00B41E75"/>
    <w:rsid w:val="00B44373"/>
    <w:rsid w:val="00B45533"/>
    <w:rsid w:val="00B459BB"/>
    <w:rsid w:val="00B463DF"/>
    <w:rsid w:val="00B464BE"/>
    <w:rsid w:val="00B46BB3"/>
    <w:rsid w:val="00B474CB"/>
    <w:rsid w:val="00B50125"/>
    <w:rsid w:val="00B50A51"/>
    <w:rsid w:val="00B51850"/>
    <w:rsid w:val="00B51905"/>
    <w:rsid w:val="00B52912"/>
    <w:rsid w:val="00B52E70"/>
    <w:rsid w:val="00B539FD"/>
    <w:rsid w:val="00B54167"/>
    <w:rsid w:val="00B54D65"/>
    <w:rsid w:val="00B55F73"/>
    <w:rsid w:val="00B56A4B"/>
    <w:rsid w:val="00B56D54"/>
    <w:rsid w:val="00B5711A"/>
    <w:rsid w:val="00B57A27"/>
    <w:rsid w:val="00B6138C"/>
    <w:rsid w:val="00B62A08"/>
    <w:rsid w:val="00B633CC"/>
    <w:rsid w:val="00B63BBB"/>
    <w:rsid w:val="00B63D97"/>
    <w:rsid w:val="00B640F9"/>
    <w:rsid w:val="00B6414E"/>
    <w:rsid w:val="00B6487F"/>
    <w:rsid w:val="00B64A91"/>
    <w:rsid w:val="00B64C10"/>
    <w:rsid w:val="00B6570C"/>
    <w:rsid w:val="00B6638E"/>
    <w:rsid w:val="00B66411"/>
    <w:rsid w:val="00B6666F"/>
    <w:rsid w:val="00B7050D"/>
    <w:rsid w:val="00B70827"/>
    <w:rsid w:val="00B7088B"/>
    <w:rsid w:val="00B71545"/>
    <w:rsid w:val="00B7178D"/>
    <w:rsid w:val="00B732E3"/>
    <w:rsid w:val="00B7409D"/>
    <w:rsid w:val="00B747C9"/>
    <w:rsid w:val="00B74857"/>
    <w:rsid w:val="00B74DB7"/>
    <w:rsid w:val="00B75958"/>
    <w:rsid w:val="00B76CED"/>
    <w:rsid w:val="00B77A35"/>
    <w:rsid w:val="00B809F7"/>
    <w:rsid w:val="00B81BBB"/>
    <w:rsid w:val="00B8200A"/>
    <w:rsid w:val="00B82374"/>
    <w:rsid w:val="00B826F6"/>
    <w:rsid w:val="00B82FDD"/>
    <w:rsid w:val="00B845D4"/>
    <w:rsid w:val="00B84855"/>
    <w:rsid w:val="00B84CE0"/>
    <w:rsid w:val="00B865A6"/>
    <w:rsid w:val="00B87122"/>
    <w:rsid w:val="00B87890"/>
    <w:rsid w:val="00B87C90"/>
    <w:rsid w:val="00B9080B"/>
    <w:rsid w:val="00B9138E"/>
    <w:rsid w:val="00B930F5"/>
    <w:rsid w:val="00B938AA"/>
    <w:rsid w:val="00B93CEF"/>
    <w:rsid w:val="00B94FE8"/>
    <w:rsid w:val="00B95109"/>
    <w:rsid w:val="00B96975"/>
    <w:rsid w:val="00B96FF1"/>
    <w:rsid w:val="00BA044E"/>
    <w:rsid w:val="00BA1B03"/>
    <w:rsid w:val="00BA2071"/>
    <w:rsid w:val="00BA2945"/>
    <w:rsid w:val="00BA34A6"/>
    <w:rsid w:val="00BA4548"/>
    <w:rsid w:val="00BA4E43"/>
    <w:rsid w:val="00BA50A3"/>
    <w:rsid w:val="00BA5813"/>
    <w:rsid w:val="00BA6335"/>
    <w:rsid w:val="00BA65E0"/>
    <w:rsid w:val="00BB0B61"/>
    <w:rsid w:val="00BB1168"/>
    <w:rsid w:val="00BB207C"/>
    <w:rsid w:val="00BB20E8"/>
    <w:rsid w:val="00BB277D"/>
    <w:rsid w:val="00BB2D7C"/>
    <w:rsid w:val="00BB33E8"/>
    <w:rsid w:val="00BB3521"/>
    <w:rsid w:val="00BB3BB0"/>
    <w:rsid w:val="00BB482C"/>
    <w:rsid w:val="00BB4C59"/>
    <w:rsid w:val="00BB4E3B"/>
    <w:rsid w:val="00BB553C"/>
    <w:rsid w:val="00BB5999"/>
    <w:rsid w:val="00BB7775"/>
    <w:rsid w:val="00BB7CD4"/>
    <w:rsid w:val="00BC068D"/>
    <w:rsid w:val="00BC24F8"/>
    <w:rsid w:val="00BC262A"/>
    <w:rsid w:val="00BC2901"/>
    <w:rsid w:val="00BC566C"/>
    <w:rsid w:val="00BC5DC1"/>
    <w:rsid w:val="00BC66E7"/>
    <w:rsid w:val="00BC68B0"/>
    <w:rsid w:val="00BC70E4"/>
    <w:rsid w:val="00BC7705"/>
    <w:rsid w:val="00BC788F"/>
    <w:rsid w:val="00BD072E"/>
    <w:rsid w:val="00BD2822"/>
    <w:rsid w:val="00BD28ED"/>
    <w:rsid w:val="00BD2E05"/>
    <w:rsid w:val="00BD33DD"/>
    <w:rsid w:val="00BD3F38"/>
    <w:rsid w:val="00BD5900"/>
    <w:rsid w:val="00BD5D82"/>
    <w:rsid w:val="00BD61F4"/>
    <w:rsid w:val="00BD666A"/>
    <w:rsid w:val="00BD7234"/>
    <w:rsid w:val="00BD7D10"/>
    <w:rsid w:val="00BE0928"/>
    <w:rsid w:val="00BE1C07"/>
    <w:rsid w:val="00BE1DD4"/>
    <w:rsid w:val="00BE3742"/>
    <w:rsid w:val="00BE658A"/>
    <w:rsid w:val="00BE71AA"/>
    <w:rsid w:val="00BE7788"/>
    <w:rsid w:val="00BF0739"/>
    <w:rsid w:val="00BF4FFB"/>
    <w:rsid w:val="00BF5680"/>
    <w:rsid w:val="00BF7978"/>
    <w:rsid w:val="00BF7D35"/>
    <w:rsid w:val="00C00E69"/>
    <w:rsid w:val="00C02D7E"/>
    <w:rsid w:val="00C04020"/>
    <w:rsid w:val="00C05065"/>
    <w:rsid w:val="00C05E56"/>
    <w:rsid w:val="00C062F9"/>
    <w:rsid w:val="00C07953"/>
    <w:rsid w:val="00C07AD6"/>
    <w:rsid w:val="00C103FE"/>
    <w:rsid w:val="00C10FDD"/>
    <w:rsid w:val="00C11ECE"/>
    <w:rsid w:val="00C131AC"/>
    <w:rsid w:val="00C1417B"/>
    <w:rsid w:val="00C14951"/>
    <w:rsid w:val="00C17292"/>
    <w:rsid w:val="00C17313"/>
    <w:rsid w:val="00C1777B"/>
    <w:rsid w:val="00C17DFA"/>
    <w:rsid w:val="00C20790"/>
    <w:rsid w:val="00C208AD"/>
    <w:rsid w:val="00C20FD1"/>
    <w:rsid w:val="00C210CD"/>
    <w:rsid w:val="00C21C6D"/>
    <w:rsid w:val="00C23917"/>
    <w:rsid w:val="00C2455D"/>
    <w:rsid w:val="00C247E3"/>
    <w:rsid w:val="00C25617"/>
    <w:rsid w:val="00C269CD"/>
    <w:rsid w:val="00C26B7C"/>
    <w:rsid w:val="00C272EB"/>
    <w:rsid w:val="00C27923"/>
    <w:rsid w:val="00C27A88"/>
    <w:rsid w:val="00C30172"/>
    <w:rsid w:val="00C31B96"/>
    <w:rsid w:val="00C3289B"/>
    <w:rsid w:val="00C3398F"/>
    <w:rsid w:val="00C34CB0"/>
    <w:rsid w:val="00C374C3"/>
    <w:rsid w:val="00C37A33"/>
    <w:rsid w:val="00C4108E"/>
    <w:rsid w:val="00C434B9"/>
    <w:rsid w:val="00C43867"/>
    <w:rsid w:val="00C4461D"/>
    <w:rsid w:val="00C450A8"/>
    <w:rsid w:val="00C47227"/>
    <w:rsid w:val="00C479B7"/>
    <w:rsid w:val="00C47BDD"/>
    <w:rsid w:val="00C5379C"/>
    <w:rsid w:val="00C53CE3"/>
    <w:rsid w:val="00C53FD2"/>
    <w:rsid w:val="00C54AAE"/>
    <w:rsid w:val="00C57631"/>
    <w:rsid w:val="00C577E7"/>
    <w:rsid w:val="00C57B68"/>
    <w:rsid w:val="00C60706"/>
    <w:rsid w:val="00C61446"/>
    <w:rsid w:val="00C61692"/>
    <w:rsid w:val="00C62E05"/>
    <w:rsid w:val="00C63222"/>
    <w:rsid w:val="00C632E0"/>
    <w:rsid w:val="00C675AA"/>
    <w:rsid w:val="00C67FCE"/>
    <w:rsid w:val="00C67FE8"/>
    <w:rsid w:val="00C714E2"/>
    <w:rsid w:val="00C715EE"/>
    <w:rsid w:val="00C73996"/>
    <w:rsid w:val="00C74F8C"/>
    <w:rsid w:val="00C75899"/>
    <w:rsid w:val="00C76F4B"/>
    <w:rsid w:val="00C803E6"/>
    <w:rsid w:val="00C80787"/>
    <w:rsid w:val="00C8117F"/>
    <w:rsid w:val="00C818E4"/>
    <w:rsid w:val="00C81A4A"/>
    <w:rsid w:val="00C821AC"/>
    <w:rsid w:val="00C82320"/>
    <w:rsid w:val="00C82AC5"/>
    <w:rsid w:val="00C82E8C"/>
    <w:rsid w:val="00C83044"/>
    <w:rsid w:val="00C84AA1"/>
    <w:rsid w:val="00C84C30"/>
    <w:rsid w:val="00C84EF6"/>
    <w:rsid w:val="00C85101"/>
    <w:rsid w:val="00C85B37"/>
    <w:rsid w:val="00C85C65"/>
    <w:rsid w:val="00C8739F"/>
    <w:rsid w:val="00C903FB"/>
    <w:rsid w:val="00C90951"/>
    <w:rsid w:val="00C90D20"/>
    <w:rsid w:val="00C90D80"/>
    <w:rsid w:val="00C91F5B"/>
    <w:rsid w:val="00C92059"/>
    <w:rsid w:val="00C92075"/>
    <w:rsid w:val="00C923B5"/>
    <w:rsid w:val="00C92A8C"/>
    <w:rsid w:val="00C92F56"/>
    <w:rsid w:val="00C939B9"/>
    <w:rsid w:val="00C94037"/>
    <w:rsid w:val="00C9643D"/>
    <w:rsid w:val="00C97644"/>
    <w:rsid w:val="00C97801"/>
    <w:rsid w:val="00CA14D6"/>
    <w:rsid w:val="00CA1E94"/>
    <w:rsid w:val="00CA1F5C"/>
    <w:rsid w:val="00CA300E"/>
    <w:rsid w:val="00CA3427"/>
    <w:rsid w:val="00CA3581"/>
    <w:rsid w:val="00CA37BF"/>
    <w:rsid w:val="00CA51F5"/>
    <w:rsid w:val="00CA5453"/>
    <w:rsid w:val="00CA5A2A"/>
    <w:rsid w:val="00CA5F65"/>
    <w:rsid w:val="00CB0248"/>
    <w:rsid w:val="00CB0C2D"/>
    <w:rsid w:val="00CB19C9"/>
    <w:rsid w:val="00CB2657"/>
    <w:rsid w:val="00CB38E7"/>
    <w:rsid w:val="00CB39BC"/>
    <w:rsid w:val="00CB4A0F"/>
    <w:rsid w:val="00CB4CD9"/>
    <w:rsid w:val="00CB4D7F"/>
    <w:rsid w:val="00CB4EF4"/>
    <w:rsid w:val="00CB52AD"/>
    <w:rsid w:val="00CB52CD"/>
    <w:rsid w:val="00CB5959"/>
    <w:rsid w:val="00CB5C38"/>
    <w:rsid w:val="00CB6E4D"/>
    <w:rsid w:val="00CC121C"/>
    <w:rsid w:val="00CC1F25"/>
    <w:rsid w:val="00CC2061"/>
    <w:rsid w:val="00CC212E"/>
    <w:rsid w:val="00CC23B9"/>
    <w:rsid w:val="00CC27CD"/>
    <w:rsid w:val="00CC2BCC"/>
    <w:rsid w:val="00CC39AE"/>
    <w:rsid w:val="00CC3F81"/>
    <w:rsid w:val="00CC470D"/>
    <w:rsid w:val="00CC675A"/>
    <w:rsid w:val="00CC7F3A"/>
    <w:rsid w:val="00CD00D0"/>
    <w:rsid w:val="00CD06E9"/>
    <w:rsid w:val="00CD167F"/>
    <w:rsid w:val="00CD2010"/>
    <w:rsid w:val="00CD324B"/>
    <w:rsid w:val="00CD35FD"/>
    <w:rsid w:val="00CD3C36"/>
    <w:rsid w:val="00CD4243"/>
    <w:rsid w:val="00CD4412"/>
    <w:rsid w:val="00CD4813"/>
    <w:rsid w:val="00CD4B46"/>
    <w:rsid w:val="00CD5469"/>
    <w:rsid w:val="00CD6645"/>
    <w:rsid w:val="00CD6678"/>
    <w:rsid w:val="00CD6751"/>
    <w:rsid w:val="00CD6A0D"/>
    <w:rsid w:val="00CD6EE7"/>
    <w:rsid w:val="00CD7667"/>
    <w:rsid w:val="00CE3904"/>
    <w:rsid w:val="00CE3FEC"/>
    <w:rsid w:val="00CE448C"/>
    <w:rsid w:val="00CE5002"/>
    <w:rsid w:val="00CE59EB"/>
    <w:rsid w:val="00CE5CD3"/>
    <w:rsid w:val="00CE6412"/>
    <w:rsid w:val="00CE670C"/>
    <w:rsid w:val="00CE6B6D"/>
    <w:rsid w:val="00CE746D"/>
    <w:rsid w:val="00CE76F5"/>
    <w:rsid w:val="00CE7A63"/>
    <w:rsid w:val="00CE7E49"/>
    <w:rsid w:val="00CF0039"/>
    <w:rsid w:val="00CF0B03"/>
    <w:rsid w:val="00CF0D3F"/>
    <w:rsid w:val="00CF0F33"/>
    <w:rsid w:val="00CF17C8"/>
    <w:rsid w:val="00CF43B6"/>
    <w:rsid w:val="00CF4EAC"/>
    <w:rsid w:val="00CF57BA"/>
    <w:rsid w:val="00CF6A45"/>
    <w:rsid w:val="00D01E49"/>
    <w:rsid w:val="00D1032F"/>
    <w:rsid w:val="00D10467"/>
    <w:rsid w:val="00D10478"/>
    <w:rsid w:val="00D136BA"/>
    <w:rsid w:val="00D145A8"/>
    <w:rsid w:val="00D14980"/>
    <w:rsid w:val="00D14A48"/>
    <w:rsid w:val="00D14E37"/>
    <w:rsid w:val="00D15B67"/>
    <w:rsid w:val="00D16693"/>
    <w:rsid w:val="00D16ED9"/>
    <w:rsid w:val="00D20075"/>
    <w:rsid w:val="00D2076B"/>
    <w:rsid w:val="00D20D6F"/>
    <w:rsid w:val="00D20ED5"/>
    <w:rsid w:val="00D21899"/>
    <w:rsid w:val="00D21C54"/>
    <w:rsid w:val="00D22134"/>
    <w:rsid w:val="00D2288E"/>
    <w:rsid w:val="00D237D2"/>
    <w:rsid w:val="00D2411D"/>
    <w:rsid w:val="00D241F2"/>
    <w:rsid w:val="00D25A13"/>
    <w:rsid w:val="00D25E6C"/>
    <w:rsid w:val="00D261D7"/>
    <w:rsid w:val="00D2627B"/>
    <w:rsid w:val="00D26592"/>
    <w:rsid w:val="00D26B51"/>
    <w:rsid w:val="00D26FD0"/>
    <w:rsid w:val="00D2748A"/>
    <w:rsid w:val="00D30967"/>
    <w:rsid w:val="00D30BDB"/>
    <w:rsid w:val="00D30DA6"/>
    <w:rsid w:val="00D31265"/>
    <w:rsid w:val="00D31374"/>
    <w:rsid w:val="00D31F44"/>
    <w:rsid w:val="00D32525"/>
    <w:rsid w:val="00D3299C"/>
    <w:rsid w:val="00D33266"/>
    <w:rsid w:val="00D34039"/>
    <w:rsid w:val="00D34403"/>
    <w:rsid w:val="00D35070"/>
    <w:rsid w:val="00D35116"/>
    <w:rsid w:val="00D354EF"/>
    <w:rsid w:val="00D35BB0"/>
    <w:rsid w:val="00D37314"/>
    <w:rsid w:val="00D402D7"/>
    <w:rsid w:val="00D415B4"/>
    <w:rsid w:val="00D4178B"/>
    <w:rsid w:val="00D42E07"/>
    <w:rsid w:val="00D4367B"/>
    <w:rsid w:val="00D4425A"/>
    <w:rsid w:val="00D4445B"/>
    <w:rsid w:val="00D452C0"/>
    <w:rsid w:val="00D452EC"/>
    <w:rsid w:val="00D458DC"/>
    <w:rsid w:val="00D462C9"/>
    <w:rsid w:val="00D46BEE"/>
    <w:rsid w:val="00D46D52"/>
    <w:rsid w:val="00D47488"/>
    <w:rsid w:val="00D47A9F"/>
    <w:rsid w:val="00D51763"/>
    <w:rsid w:val="00D51DCA"/>
    <w:rsid w:val="00D51FE3"/>
    <w:rsid w:val="00D520B2"/>
    <w:rsid w:val="00D524E2"/>
    <w:rsid w:val="00D52CAA"/>
    <w:rsid w:val="00D53AB8"/>
    <w:rsid w:val="00D53FFC"/>
    <w:rsid w:val="00D54008"/>
    <w:rsid w:val="00D5428A"/>
    <w:rsid w:val="00D54BB0"/>
    <w:rsid w:val="00D55803"/>
    <w:rsid w:val="00D55C10"/>
    <w:rsid w:val="00D55E82"/>
    <w:rsid w:val="00D567C9"/>
    <w:rsid w:val="00D56E1D"/>
    <w:rsid w:val="00D6083D"/>
    <w:rsid w:val="00D609FD"/>
    <w:rsid w:val="00D60B24"/>
    <w:rsid w:val="00D60E64"/>
    <w:rsid w:val="00D614E2"/>
    <w:rsid w:val="00D61A42"/>
    <w:rsid w:val="00D61BBF"/>
    <w:rsid w:val="00D61C28"/>
    <w:rsid w:val="00D62808"/>
    <w:rsid w:val="00D63DEE"/>
    <w:rsid w:val="00D64267"/>
    <w:rsid w:val="00D6461B"/>
    <w:rsid w:val="00D650AD"/>
    <w:rsid w:val="00D656A5"/>
    <w:rsid w:val="00D66433"/>
    <w:rsid w:val="00D67AD4"/>
    <w:rsid w:val="00D67D57"/>
    <w:rsid w:val="00D70938"/>
    <w:rsid w:val="00D716B9"/>
    <w:rsid w:val="00D72336"/>
    <w:rsid w:val="00D7295A"/>
    <w:rsid w:val="00D72E70"/>
    <w:rsid w:val="00D733C0"/>
    <w:rsid w:val="00D735F5"/>
    <w:rsid w:val="00D737F7"/>
    <w:rsid w:val="00D748FB"/>
    <w:rsid w:val="00D74FC3"/>
    <w:rsid w:val="00D754DC"/>
    <w:rsid w:val="00D75827"/>
    <w:rsid w:val="00D76572"/>
    <w:rsid w:val="00D7691F"/>
    <w:rsid w:val="00D77298"/>
    <w:rsid w:val="00D77583"/>
    <w:rsid w:val="00D80504"/>
    <w:rsid w:val="00D805F6"/>
    <w:rsid w:val="00D80F3C"/>
    <w:rsid w:val="00D8172B"/>
    <w:rsid w:val="00D81968"/>
    <w:rsid w:val="00D81A10"/>
    <w:rsid w:val="00D81A7C"/>
    <w:rsid w:val="00D827D6"/>
    <w:rsid w:val="00D82D87"/>
    <w:rsid w:val="00D845F6"/>
    <w:rsid w:val="00D8534D"/>
    <w:rsid w:val="00D85BDA"/>
    <w:rsid w:val="00D85F41"/>
    <w:rsid w:val="00D86AE1"/>
    <w:rsid w:val="00D879A7"/>
    <w:rsid w:val="00D87CA4"/>
    <w:rsid w:val="00D938EE"/>
    <w:rsid w:val="00D94001"/>
    <w:rsid w:val="00D94071"/>
    <w:rsid w:val="00D94B0D"/>
    <w:rsid w:val="00D94E7C"/>
    <w:rsid w:val="00D96648"/>
    <w:rsid w:val="00D968E6"/>
    <w:rsid w:val="00D96C52"/>
    <w:rsid w:val="00D977CB"/>
    <w:rsid w:val="00D97CDC"/>
    <w:rsid w:val="00DA0C16"/>
    <w:rsid w:val="00DA1DB9"/>
    <w:rsid w:val="00DA32CD"/>
    <w:rsid w:val="00DA3D01"/>
    <w:rsid w:val="00DA3FDD"/>
    <w:rsid w:val="00DA42DE"/>
    <w:rsid w:val="00DA4C11"/>
    <w:rsid w:val="00DA59F2"/>
    <w:rsid w:val="00DA6106"/>
    <w:rsid w:val="00DA7615"/>
    <w:rsid w:val="00DA7A1B"/>
    <w:rsid w:val="00DA7FA8"/>
    <w:rsid w:val="00DB0163"/>
    <w:rsid w:val="00DB016F"/>
    <w:rsid w:val="00DB08FC"/>
    <w:rsid w:val="00DB1396"/>
    <w:rsid w:val="00DB146F"/>
    <w:rsid w:val="00DB2671"/>
    <w:rsid w:val="00DB364D"/>
    <w:rsid w:val="00DB409B"/>
    <w:rsid w:val="00DB42D8"/>
    <w:rsid w:val="00DB458D"/>
    <w:rsid w:val="00DB45BA"/>
    <w:rsid w:val="00DB6540"/>
    <w:rsid w:val="00DB7777"/>
    <w:rsid w:val="00DC01DB"/>
    <w:rsid w:val="00DC2115"/>
    <w:rsid w:val="00DC307D"/>
    <w:rsid w:val="00DC3D40"/>
    <w:rsid w:val="00DC43DD"/>
    <w:rsid w:val="00DC52EC"/>
    <w:rsid w:val="00DC6ED8"/>
    <w:rsid w:val="00DC6F83"/>
    <w:rsid w:val="00DC7398"/>
    <w:rsid w:val="00DC78B7"/>
    <w:rsid w:val="00DC7CBB"/>
    <w:rsid w:val="00DC7D8F"/>
    <w:rsid w:val="00DD02B2"/>
    <w:rsid w:val="00DD0A5B"/>
    <w:rsid w:val="00DD1F8D"/>
    <w:rsid w:val="00DD215E"/>
    <w:rsid w:val="00DD2CBC"/>
    <w:rsid w:val="00DD382A"/>
    <w:rsid w:val="00DD44DA"/>
    <w:rsid w:val="00DD5CC2"/>
    <w:rsid w:val="00DD6452"/>
    <w:rsid w:val="00DE12C3"/>
    <w:rsid w:val="00DE26F5"/>
    <w:rsid w:val="00DE4234"/>
    <w:rsid w:val="00DE54C6"/>
    <w:rsid w:val="00DE68C7"/>
    <w:rsid w:val="00DE7F6D"/>
    <w:rsid w:val="00DF09DF"/>
    <w:rsid w:val="00DF0B07"/>
    <w:rsid w:val="00DF17CD"/>
    <w:rsid w:val="00DF26B5"/>
    <w:rsid w:val="00DF2FA8"/>
    <w:rsid w:val="00DF326A"/>
    <w:rsid w:val="00DF3877"/>
    <w:rsid w:val="00DF690D"/>
    <w:rsid w:val="00DF6A47"/>
    <w:rsid w:val="00DF6DC5"/>
    <w:rsid w:val="00E00009"/>
    <w:rsid w:val="00E02033"/>
    <w:rsid w:val="00E024DE"/>
    <w:rsid w:val="00E03271"/>
    <w:rsid w:val="00E03509"/>
    <w:rsid w:val="00E03C96"/>
    <w:rsid w:val="00E03FB4"/>
    <w:rsid w:val="00E04744"/>
    <w:rsid w:val="00E0592F"/>
    <w:rsid w:val="00E05A3D"/>
    <w:rsid w:val="00E05BD2"/>
    <w:rsid w:val="00E05BFD"/>
    <w:rsid w:val="00E05F88"/>
    <w:rsid w:val="00E0649B"/>
    <w:rsid w:val="00E06C6D"/>
    <w:rsid w:val="00E11A02"/>
    <w:rsid w:val="00E140B9"/>
    <w:rsid w:val="00E15D37"/>
    <w:rsid w:val="00E17478"/>
    <w:rsid w:val="00E20226"/>
    <w:rsid w:val="00E20555"/>
    <w:rsid w:val="00E21204"/>
    <w:rsid w:val="00E2227F"/>
    <w:rsid w:val="00E239CA"/>
    <w:rsid w:val="00E23FB7"/>
    <w:rsid w:val="00E2427C"/>
    <w:rsid w:val="00E24E85"/>
    <w:rsid w:val="00E24F6F"/>
    <w:rsid w:val="00E259B8"/>
    <w:rsid w:val="00E259CA"/>
    <w:rsid w:val="00E26ADE"/>
    <w:rsid w:val="00E275D6"/>
    <w:rsid w:val="00E308FE"/>
    <w:rsid w:val="00E314AF"/>
    <w:rsid w:val="00E33B8F"/>
    <w:rsid w:val="00E35B17"/>
    <w:rsid w:val="00E36163"/>
    <w:rsid w:val="00E36AD6"/>
    <w:rsid w:val="00E36CE3"/>
    <w:rsid w:val="00E37A36"/>
    <w:rsid w:val="00E4069D"/>
    <w:rsid w:val="00E41C18"/>
    <w:rsid w:val="00E423FD"/>
    <w:rsid w:val="00E441C3"/>
    <w:rsid w:val="00E451AA"/>
    <w:rsid w:val="00E45256"/>
    <w:rsid w:val="00E46771"/>
    <w:rsid w:val="00E46A47"/>
    <w:rsid w:val="00E4784D"/>
    <w:rsid w:val="00E47BCC"/>
    <w:rsid w:val="00E52280"/>
    <w:rsid w:val="00E53A46"/>
    <w:rsid w:val="00E5527B"/>
    <w:rsid w:val="00E5639A"/>
    <w:rsid w:val="00E572A5"/>
    <w:rsid w:val="00E627ED"/>
    <w:rsid w:val="00E62C82"/>
    <w:rsid w:val="00E63083"/>
    <w:rsid w:val="00E63134"/>
    <w:rsid w:val="00E63F75"/>
    <w:rsid w:val="00E65068"/>
    <w:rsid w:val="00E661F3"/>
    <w:rsid w:val="00E671CE"/>
    <w:rsid w:val="00E678ED"/>
    <w:rsid w:val="00E67A91"/>
    <w:rsid w:val="00E67C7E"/>
    <w:rsid w:val="00E71902"/>
    <w:rsid w:val="00E71A31"/>
    <w:rsid w:val="00E72053"/>
    <w:rsid w:val="00E72312"/>
    <w:rsid w:val="00E72F86"/>
    <w:rsid w:val="00E74565"/>
    <w:rsid w:val="00E74914"/>
    <w:rsid w:val="00E75074"/>
    <w:rsid w:val="00E751BD"/>
    <w:rsid w:val="00E755C7"/>
    <w:rsid w:val="00E756AB"/>
    <w:rsid w:val="00E77466"/>
    <w:rsid w:val="00E77701"/>
    <w:rsid w:val="00E8075D"/>
    <w:rsid w:val="00E80DD4"/>
    <w:rsid w:val="00E817EF"/>
    <w:rsid w:val="00E822E1"/>
    <w:rsid w:val="00E839B4"/>
    <w:rsid w:val="00E8409E"/>
    <w:rsid w:val="00E8443B"/>
    <w:rsid w:val="00E84578"/>
    <w:rsid w:val="00E84982"/>
    <w:rsid w:val="00E85868"/>
    <w:rsid w:val="00E86CEF"/>
    <w:rsid w:val="00E87CD2"/>
    <w:rsid w:val="00E91C8B"/>
    <w:rsid w:val="00E92DF0"/>
    <w:rsid w:val="00E93111"/>
    <w:rsid w:val="00E94DF7"/>
    <w:rsid w:val="00E9613E"/>
    <w:rsid w:val="00E961D2"/>
    <w:rsid w:val="00E96523"/>
    <w:rsid w:val="00EA0635"/>
    <w:rsid w:val="00EA09B6"/>
    <w:rsid w:val="00EA1299"/>
    <w:rsid w:val="00EA19C5"/>
    <w:rsid w:val="00EA1CAB"/>
    <w:rsid w:val="00EA2F76"/>
    <w:rsid w:val="00EA2FC9"/>
    <w:rsid w:val="00EA3BF7"/>
    <w:rsid w:val="00EA4FE4"/>
    <w:rsid w:val="00EA60C6"/>
    <w:rsid w:val="00EA63B8"/>
    <w:rsid w:val="00EA64D2"/>
    <w:rsid w:val="00EA6653"/>
    <w:rsid w:val="00EA73D0"/>
    <w:rsid w:val="00EB3DF7"/>
    <w:rsid w:val="00EB492D"/>
    <w:rsid w:val="00EB5712"/>
    <w:rsid w:val="00EB5C70"/>
    <w:rsid w:val="00EB667C"/>
    <w:rsid w:val="00EB7E9D"/>
    <w:rsid w:val="00EC05E2"/>
    <w:rsid w:val="00EC33B6"/>
    <w:rsid w:val="00EC34B3"/>
    <w:rsid w:val="00EC35B2"/>
    <w:rsid w:val="00EC3ABD"/>
    <w:rsid w:val="00EC405A"/>
    <w:rsid w:val="00EC541F"/>
    <w:rsid w:val="00EC5F74"/>
    <w:rsid w:val="00EC649A"/>
    <w:rsid w:val="00ED0905"/>
    <w:rsid w:val="00ED1885"/>
    <w:rsid w:val="00ED1F8F"/>
    <w:rsid w:val="00ED242A"/>
    <w:rsid w:val="00ED27BB"/>
    <w:rsid w:val="00ED29EE"/>
    <w:rsid w:val="00ED344A"/>
    <w:rsid w:val="00ED4C69"/>
    <w:rsid w:val="00ED5FBC"/>
    <w:rsid w:val="00ED6861"/>
    <w:rsid w:val="00ED7CAF"/>
    <w:rsid w:val="00EE0860"/>
    <w:rsid w:val="00EE0CBA"/>
    <w:rsid w:val="00EE1AE8"/>
    <w:rsid w:val="00EE22E7"/>
    <w:rsid w:val="00EE25E1"/>
    <w:rsid w:val="00EE2B28"/>
    <w:rsid w:val="00EE3141"/>
    <w:rsid w:val="00EE611B"/>
    <w:rsid w:val="00EE670F"/>
    <w:rsid w:val="00EE720F"/>
    <w:rsid w:val="00EE765A"/>
    <w:rsid w:val="00EE7859"/>
    <w:rsid w:val="00EE7C75"/>
    <w:rsid w:val="00EF04C9"/>
    <w:rsid w:val="00EF0F26"/>
    <w:rsid w:val="00EF2804"/>
    <w:rsid w:val="00EF2BE8"/>
    <w:rsid w:val="00EF2EEF"/>
    <w:rsid w:val="00EF38EF"/>
    <w:rsid w:val="00EF4B59"/>
    <w:rsid w:val="00EF4CB0"/>
    <w:rsid w:val="00EF5376"/>
    <w:rsid w:val="00EF570D"/>
    <w:rsid w:val="00F01D95"/>
    <w:rsid w:val="00F02265"/>
    <w:rsid w:val="00F02D7B"/>
    <w:rsid w:val="00F03374"/>
    <w:rsid w:val="00F038C9"/>
    <w:rsid w:val="00F03AD2"/>
    <w:rsid w:val="00F04E15"/>
    <w:rsid w:val="00F05E5F"/>
    <w:rsid w:val="00F06765"/>
    <w:rsid w:val="00F072F5"/>
    <w:rsid w:val="00F103F0"/>
    <w:rsid w:val="00F1248C"/>
    <w:rsid w:val="00F13626"/>
    <w:rsid w:val="00F13C7E"/>
    <w:rsid w:val="00F15FF8"/>
    <w:rsid w:val="00F1643D"/>
    <w:rsid w:val="00F16C0F"/>
    <w:rsid w:val="00F171FD"/>
    <w:rsid w:val="00F2269E"/>
    <w:rsid w:val="00F2339D"/>
    <w:rsid w:val="00F239E0"/>
    <w:rsid w:val="00F246DD"/>
    <w:rsid w:val="00F253B2"/>
    <w:rsid w:val="00F25532"/>
    <w:rsid w:val="00F260C2"/>
    <w:rsid w:val="00F2610E"/>
    <w:rsid w:val="00F267C6"/>
    <w:rsid w:val="00F272A1"/>
    <w:rsid w:val="00F2744C"/>
    <w:rsid w:val="00F27468"/>
    <w:rsid w:val="00F275A1"/>
    <w:rsid w:val="00F317DA"/>
    <w:rsid w:val="00F31BA5"/>
    <w:rsid w:val="00F33B0A"/>
    <w:rsid w:val="00F33C99"/>
    <w:rsid w:val="00F33D74"/>
    <w:rsid w:val="00F355E7"/>
    <w:rsid w:val="00F363F6"/>
    <w:rsid w:val="00F3723E"/>
    <w:rsid w:val="00F37401"/>
    <w:rsid w:val="00F3791D"/>
    <w:rsid w:val="00F405A0"/>
    <w:rsid w:val="00F41AA7"/>
    <w:rsid w:val="00F41C2F"/>
    <w:rsid w:val="00F45769"/>
    <w:rsid w:val="00F46BBB"/>
    <w:rsid w:val="00F50784"/>
    <w:rsid w:val="00F50983"/>
    <w:rsid w:val="00F512F2"/>
    <w:rsid w:val="00F51D23"/>
    <w:rsid w:val="00F5341E"/>
    <w:rsid w:val="00F53429"/>
    <w:rsid w:val="00F537A8"/>
    <w:rsid w:val="00F5476E"/>
    <w:rsid w:val="00F55C2B"/>
    <w:rsid w:val="00F55CAA"/>
    <w:rsid w:val="00F56E70"/>
    <w:rsid w:val="00F56F52"/>
    <w:rsid w:val="00F574A8"/>
    <w:rsid w:val="00F60F43"/>
    <w:rsid w:val="00F62102"/>
    <w:rsid w:val="00F62972"/>
    <w:rsid w:val="00F63F1D"/>
    <w:rsid w:val="00F651FC"/>
    <w:rsid w:val="00F669F0"/>
    <w:rsid w:val="00F66EEC"/>
    <w:rsid w:val="00F670D9"/>
    <w:rsid w:val="00F7053F"/>
    <w:rsid w:val="00F7059E"/>
    <w:rsid w:val="00F706DC"/>
    <w:rsid w:val="00F70E48"/>
    <w:rsid w:val="00F717E7"/>
    <w:rsid w:val="00F719CE"/>
    <w:rsid w:val="00F7263D"/>
    <w:rsid w:val="00F73B13"/>
    <w:rsid w:val="00F75704"/>
    <w:rsid w:val="00F76989"/>
    <w:rsid w:val="00F77A09"/>
    <w:rsid w:val="00F77C70"/>
    <w:rsid w:val="00F80282"/>
    <w:rsid w:val="00F8123E"/>
    <w:rsid w:val="00F81549"/>
    <w:rsid w:val="00F81977"/>
    <w:rsid w:val="00F81BB0"/>
    <w:rsid w:val="00F82EC3"/>
    <w:rsid w:val="00F832BF"/>
    <w:rsid w:val="00F8561B"/>
    <w:rsid w:val="00F86553"/>
    <w:rsid w:val="00F867AC"/>
    <w:rsid w:val="00F86F55"/>
    <w:rsid w:val="00F876EA"/>
    <w:rsid w:val="00F87DEA"/>
    <w:rsid w:val="00F908AB"/>
    <w:rsid w:val="00F90F2F"/>
    <w:rsid w:val="00F918AD"/>
    <w:rsid w:val="00F92C8C"/>
    <w:rsid w:val="00F92CA0"/>
    <w:rsid w:val="00F931D9"/>
    <w:rsid w:val="00F94AF9"/>
    <w:rsid w:val="00F95667"/>
    <w:rsid w:val="00F95A85"/>
    <w:rsid w:val="00F976E4"/>
    <w:rsid w:val="00F977A7"/>
    <w:rsid w:val="00F9798C"/>
    <w:rsid w:val="00FA0D91"/>
    <w:rsid w:val="00FA119F"/>
    <w:rsid w:val="00FA1389"/>
    <w:rsid w:val="00FA229F"/>
    <w:rsid w:val="00FA35E2"/>
    <w:rsid w:val="00FA3D8C"/>
    <w:rsid w:val="00FA434A"/>
    <w:rsid w:val="00FA469C"/>
    <w:rsid w:val="00FA5008"/>
    <w:rsid w:val="00FA5440"/>
    <w:rsid w:val="00FA60B0"/>
    <w:rsid w:val="00FA6C86"/>
    <w:rsid w:val="00FA7BFB"/>
    <w:rsid w:val="00FB060E"/>
    <w:rsid w:val="00FB0AC3"/>
    <w:rsid w:val="00FB1507"/>
    <w:rsid w:val="00FB18CF"/>
    <w:rsid w:val="00FB3940"/>
    <w:rsid w:val="00FB445F"/>
    <w:rsid w:val="00FB451F"/>
    <w:rsid w:val="00FB47C9"/>
    <w:rsid w:val="00FB4A79"/>
    <w:rsid w:val="00FB546D"/>
    <w:rsid w:val="00FB5A74"/>
    <w:rsid w:val="00FC07F3"/>
    <w:rsid w:val="00FC08D9"/>
    <w:rsid w:val="00FC09AF"/>
    <w:rsid w:val="00FC0CFA"/>
    <w:rsid w:val="00FC1118"/>
    <w:rsid w:val="00FC1227"/>
    <w:rsid w:val="00FC2429"/>
    <w:rsid w:val="00FC2EC2"/>
    <w:rsid w:val="00FC3357"/>
    <w:rsid w:val="00FC45ED"/>
    <w:rsid w:val="00FC4A33"/>
    <w:rsid w:val="00FC66D0"/>
    <w:rsid w:val="00FC6F4F"/>
    <w:rsid w:val="00FC7656"/>
    <w:rsid w:val="00FC7B9B"/>
    <w:rsid w:val="00FD025A"/>
    <w:rsid w:val="00FD0CD6"/>
    <w:rsid w:val="00FD0EBC"/>
    <w:rsid w:val="00FD0FA9"/>
    <w:rsid w:val="00FD277C"/>
    <w:rsid w:val="00FD3577"/>
    <w:rsid w:val="00FD4D18"/>
    <w:rsid w:val="00FD4EA4"/>
    <w:rsid w:val="00FD5947"/>
    <w:rsid w:val="00FD656C"/>
    <w:rsid w:val="00FD6984"/>
    <w:rsid w:val="00FD70E1"/>
    <w:rsid w:val="00FD7CF4"/>
    <w:rsid w:val="00FE03C0"/>
    <w:rsid w:val="00FE0CDB"/>
    <w:rsid w:val="00FE1196"/>
    <w:rsid w:val="00FE13AB"/>
    <w:rsid w:val="00FE1882"/>
    <w:rsid w:val="00FE32D6"/>
    <w:rsid w:val="00FE3374"/>
    <w:rsid w:val="00FE3DB6"/>
    <w:rsid w:val="00FE66A3"/>
    <w:rsid w:val="00FE783D"/>
    <w:rsid w:val="00FF0777"/>
    <w:rsid w:val="00FF2175"/>
    <w:rsid w:val="00FF2E22"/>
    <w:rsid w:val="00FF2EBD"/>
    <w:rsid w:val="00FF35B4"/>
    <w:rsid w:val="00FF4265"/>
    <w:rsid w:val="00FF503E"/>
    <w:rsid w:val="00FF5713"/>
    <w:rsid w:val="00FF5D71"/>
    <w:rsid w:val="00FF5F8C"/>
    <w:rsid w:val="00FF78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0302E64"/>
  <w15:docId w15:val="{BB8DCEAF-7E1B-4C49-9619-D6413C7BD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2209F"/>
    <w:pPr>
      <w:spacing w:line="360" w:lineRule="auto"/>
    </w:pPr>
    <w:rPr>
      <w:rFonts w:ascii="Verdana" w:hAnsi="Verdana"/>
      <w:szCs w:val="24"/>
      <w:lang w:eastAsia="en-US"/>
    </w:rPr>
  </w:style>
  <w:style w:type="paragraph" w:styleId="Heading1">
    <w:name w:val="heading 1"/>
    <w:aliases w:val="Section heading,MAIN BODY HEADINGS (RED)"/>
    <w:basedOn w:val="Normal"/>
    <w:next w:val="Normal"/>
    <w:link w:val="Heading1Char"/>
    <w:qFormat/>
    <w:rsid w:val="009E41FB"/>
    <w:pPr>
      <w:tabs>
        <w:tab w:val="left" w:pos="2581"/>
      </w:tabs>
      <w:spacing w:after="200" w:line="276" w:lineRule="auto"/>
      <w:outlineLvl w:val="0"/>
    </w:pPr>
    <w:rPr>
      <w:b/>
      <w:color w:val="F68220"/>
      <w:sz w:val="28"/>
    </w:rPr>
  </w:style>
  <w:style w:type="paragraph" w:styleId="Heading2">
    <w:name w:val="heading 2"/>
    <w:aliases w:val="Main Heading - Colour,Sub-heading - Heading 2,Sub-Heading 1 - Bold"/>
    <w:basedOn w:val="Heading1"/>
    <w:next w:val="Normal"/>
    <w:link w:val="Heading2Char"/>
    <w:qFormat/>
    <w:rsid w:val="00077CE0"/>
    <w:pPr>
      <w:spacing w:after="360" w:line="240" w:lineRule="auto"/>
      <w:outlineLvl w:val="1"/>
    </w:pPr>
    <w:rPr>
      <w:color w:val="auto"/>
    </w:rPr>
  </w:style>
  <w:style w:type="paragraph" w:styleId="Heading3">
    <w:name w:val="heading 3"/>
    <w:aliases w:val="Sub-heading 2 - Bold"/>
    <w:basedOn w:val="Heading2"/>
    <w:next w:val="Normal"/>
    <w:link w:val="Heading3Char"/>
    <w:qFormat/>
    <w:rsid w:val="00D33266"/>
    <w:pPr>
      <w:spacing w:after="240"/>
      <w:outlineLvl w:val="2"/>
    </w:pPr>
    <w:rPr>
      <w:sz w:val="20"/>
    </w:rPr>
  </w:style>
  <w:style w:type="paragraph" w:styleId="Heading4">
    <w:name w:val="heading 4"/>
    <w:aliases w:val="Sub-heading 2 - Italic"/>
    <w:basedOn w:val="Heading3"/>
    <w:next w:val="Normal"/>
    <w:link w:val="Heading4Char"/>
    <w:qFormat/>
    <w:rsid w:val="009E2AF0"/>
    <w:pPr>
      <w:outlineLvl w:val="3"/>
    </w:pPr>
    <w:rPr>
      <w:b w:val="0"/>
      <w:i/>
    </w:rPr>
  </w:style>
  <w:style w:type="paragraph" w:styleId="Heading5">
    <w:name w:val="heading 5"/>
    <w:aliases w:val="Sub-heading 3 - Plain"/>
    <w:basedOn w:val="Heading4"/>
    <w:next w:val="Normal"/>
    <w:link w:val="Heading5Char"/>
    <w:qFormat/>
    <w:rsid w:val="009E2AF0"/>
    <w:pPr>
      <w:outlineLvl w:val="4"/>
    </w:pPr>
    <w:rPr>
      <w:i w:val="0"/>
    </w:rPr>
  </w:style>
  <w:style w:type="paragraph" w:styleId="Heading6">
    <w:name w:val="heading 6"/>
    <w:aliases w:val="Heading 6 - Do not use"/>
    <w:basedOn w:val="Normal"/>
    <w:next w:val="Normal"/>
    <w:link w:val="Heading6Char"/>
    <w:qFormat/>
    <w:rsid w:val="009E2AF0"/>
    <w:pPr>
      <w:spacing w:before="240" w:after="60"/>
      <w:outlineLvl w:val="5"/>
    </w:pPr>
    <w:rPr>
      <w:bCs/>
      <w:szCs w:val="22"/>
    </w:rPr>
  </w:style>
  <w:style w:type="paragraph" w:styleId="Heading7">
    <w:name w:val="heading 7"/>
    <w:aliases w:val="Heading 7 - Do not use"/>
    <w:basedOn w:val="Normal"/>
    <w:next w:val="Normal"/>
    <w:link w:val="Heading7Char"/>
    <w:qFormat/>
    <w:rsid w:val="009E2AF0"/>
    <w:pPr>
      <w:spacing w:before="240" w:after="60"/>
      <w:outlineLvl w:val="6"/>
    </w:pPr>
  </w:style>
  <w:style w:type="paragraph" w:styleId="Heading8">
    <w:name w:val="heading 8"/>
    <w:aliases w:val="Heading 8 - Do not use"/>
    <w:basedOn w:val="Normal"/>
    <w:next w:val="Normal"/>
    <w:link w:val="Heading8Char"/>
    <w:qFormat/>
    <w:rsid w:val="009E2AF0"/>
    <w:pPr>
      <w:spacing w:before="240" w:after="60"/>
      <w:outlineLvl w:val="7"/>
    </w:pPr>
    <w:rPr>
      <w:iCs/>
    </w:rPr>
  </w:style>
  <w:style w:type="paragraph" w:styleId="Heading9">
    <w:name w:val="heading 9"/>
    <w:aliases w:val="Heading 9 - Do not use"/>
    <w:basedOn w:val="Normal"/>
    <w:next w:val="Normal"/>
    <w:link w:val="Heading9Char"/>
    <w:qFormat/>
    <w:rsid w:val="009E2AF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heading 2 - Bold Char"/>
    <w:basedOn w:val="DefaultParagraphFont"/>
    <w:link w:val="Heading3"/>
    <w:rsid w:val="00467402"/>
    <w:rPr>
      <w:rFonts w:ascii="Verdana" w:hAnsi="Verdana"/>
      <w:b/>
      <w:szCs w:val="24"/>
      <w:lang w:eastAsia="en-US"/>
    </w:rPr>
  </w:style>
  <w:style w:type="character" w:customStyle="1" w:styleId="Heading5Char">
    <w:name w:val="Heading 5 Char"/>
    <w:aliases w:val="Sub-heading 3 - Plain Char"/>
    <w:basedOn w:val="DefaultParagraphFont"/>
    <w:link w:val="Heading5"/>
    <w:rsid w:val="00467402"/>
    <w:rPr>
      <w:rFonts w:ascii="Verdana" w:hAnsi="Verdana"/>
      <w:szCs w:val="24"/>
      <w:lang w:eastAsia="en-US"/>
    </w:rPr>
  </w:style>
  <w:style w:type="paragraph" w:styleId="Footer">
    <w:name w:val="footer"/>
    <w:basedOn w:val="Normal"/>
    <w:link w:val="FooterChar"/>
    <w:uiPriority w:val="99"/>
    <w:rsid w:val="00FA60B0"/>
    <w:pPr>
      <w:tabs>
        <w:tab w:val="center" w:pos="4320"/>
        <w:tab w:val="right" w:pos="8640"/>
      </w:tabs>
    </w:pPr>
    <w:rPr>
      <w:color w:val="404040" w:themeColor="text1" w:themeTint="BF"/>
      <w:sz w:val="16"/>
    </w:rPr>
  </w:style>
  <w:style w:type="character" w:customStyle="1" w:styleId="FooterChar">
    <w:name w:val="Footer Char"/>
    <w:basedOn w:val="DefaultParagraphFont"/>
    <w:link w:val="Footer"/>
    <w:uiPriority w:val="99"/>
    <w:rsid w:val="00FA60B0"/>
    <w:rPr>
      <w:rFonts w:ascii="Verdana" w:hAnsi="Verdana"/>
      <w:color w:val="404040" w:themeColor="text1" w:themeTint="BF"/>
      <w:sz w:val="16"/>
      <w:szCs w:val="24"/>
      <w:lang w:eastAsia="en-US"/>
    </w:rPr>
  </w:style>
  <w:style w:type="paragraph" w:customStyle="1" w:styleId="Text">
    <w:name w:val="Text"/>
    <w:aliases w:val="Numbered Char Char"/>
    <w:basedOn w:val="Normal"/>
    <w:rsid w:val="009E2AF0"/>
    <w:pPr>
      <w:tabs>
        <w:tab w:val="left" w:pos="2581"/>
      </w:tabs>
    </w:pPr>
  </w:style>
  <w:style w:type="paragraph" w:styleId="BalloonText">
    <w:name w:val="Balloon Text"/>
    <w:basedOn w:val="Normal"/>
    <w:link w:val="BalloonTextChar"/>
    <w:semiHidden/>
    <w:locked/>
    <w:rsid w:val="009E2AF0"/>
    <w:rPr>
      <w:rFonts w:ascii="Tahoma" w:hAnsi="Tahoma" w:cs="Tahoma"/>
      <w:sz w:val="16"/>
      <w:szCs w:val="16"/>
    </w:rPr>
  </w:style>
  <w:style w:type="paragraph" w:customStyle="1" w:styleId="Text-Numbered">
    <w:name w:val="Text - Numbered"/>
    <w:basedOn w:val="Normal"/>
    <w:qFormat/>
    <w:rsid w:val="009E2AF0"/>
    <w:pPr>
      <w:numPr>
        <w:numId w:val="2"/>
      </w:numPr>
    </w:pPr>
  </w:style>
  <w:style w:type="paragraph" w:customStyle="1" w:styleId="Tablehead">
    <w:name w:val="Table_head"/>
    <w:basedOn w:val="Normal"/>
    <w:rsid w:val="009E2AF0"/>
    <w:rPr>
      <w:rFonts w:cs="Arial"/>
      <w:b/>
    </w:rPr>
  </w:style>
  <w:style w:type="paragraph" w:customStyle="1" w:styleId="TableText-LeftAligned">
    <w:name w:val="Table_Text - Left Aligned"/>
    <w:basedOn w:val="Normal"/>
    <w:rsid w:val="009E2AF0"/>
  </w:style>
  <w:style w:type="paragraph" w:customStyle="1" w:styleId="SameasHeading1butdoesnotappearinTableofContents">
    <w:name w:val="Same as Heading 1 but does not appear in Table of Contents"/>
    <w:basedOn w:val="Heading1"/>
    <w:next w:val="Normal"/>
    <w:rsid w:val="00433723"/>
  </w:style>
  <w:style w:type="paragraph" w:customStyle="1" w:styleId="AppendixSection">
    <w:name w:val="Appendix_Section"/>
    <w:basedOn w:val="Normal"/>
    <w:rsid w:val="00666DA4"/>
    <w:pPr>
      <w:numPr>
        <w:numId w:val="7"/>
      </w:numPr>
      <w:tabs>
        <w:tab w:val="left" w:pos="2581"/>
      </w:tabs>
      <w:spacing w:after="200" w:line="276" w:lineRule="auto"/>
      <w:ind w:left="0" w:firstLine="0"/>
    </w:pPr>
    <w:rPr>
      <w:b/>
      <w:color w:val="F68220"/>
      <w:sz w:val="28"/>
    </w:rPr>
  </w:style>
  <w:style w:type="paragraph" w:customStyle="1" w:styleId="Sectiontitle">
    <w:name w:val="Section title"/>
    <w:basedOn w:val="Heading1"/>
    <w:next w:val="Normal"/>
    <w:rsid w:val="009E2AF0"/>
    <w:pPr>
      <w:pageBreakBefore/>
      <w:numPr>
        <w:numId w:val="4"/>
      </w:numPr>
    </w:pPr>
    <w:rPr>
      <w:bCs/>
      <w:szCs w:val="20"/>
    </w:rPr>
  </w:style>
  <w:style w:type="paragraph" w:customStyle="1" w:styleId="Indexhead">
    <w:name w:val="Index head"/>
    <w:basedOn w:val="Normal"/>
    <w:rsid w:val="009E2AF0"/>
    <w:pPr>
      <w:tabs>
        <w:tab w:val="left" w:pos="2581"/>
      </w:tabs>
    </w:pPr>
    <w:rPr>
      <w:b/>
    </w:rPr>
  </w:style>
  <w:style w:type="paragraph" w:styleId="FootnoteText">
    <w:name w:val="footnote text"/>
    <w:aliases w:val="TBG Style,Testo nota a piè di pagina_Rientro,Footnote Text Char Char Char Char,Footnote Text Char Char,Footnote Text Char Char Char Char Char,Footnote Text Char Char Ch,stile 1,Testo nota a piè di pagina Carattere,Reference,fn,stile,o"/>
    <w:link w:val="FootnoteTextChar"/>
    <w:uiPriority w:val="99"/>
    <w:locked/>
    <w:rsid w:val="009E2AF0"/>
    <w:pPr>
      <w:widowControl w:val="0"/>
    </w:pPr>
    <w:rPr>
      <w:rFonts w:ascii="Verdana" w:hAnsi="Verdana"/>
      <w:sz w:val="18"/>
      <w:lang w:eastAsia="en-US"/>
    </w:rPr>
  </w:style>
  <w:style w:type="character" w:customStyle="1" w:styleId="Text-Bold">
    <w:name w:val="Text - Bold"/>
    <w:basedOn w:val="DefaultParagraphFont"/>
    <w:rsid w:val="009E2AF0"/>
    <w:rPr>
      <w:rFonts w:ascii="Verdana" w:hAnsi="Verdana"/>
      <w:b/>
      <w:bCs/>
      <w:sz w:val="20"/>
    </w:rPr>
  </w:style>
  <w:style w:type="paragraph" w:customStyle="1" w:styleId="Tableofcontents">
    <w:name w:val="Table of contents"/>
    <w:basedOn w:val="Normal"/>
    <w:rsid w:val="00305B82"/>
    <w:pPr>
      <w:tabs>
        <w:tab w:val="left" w:pos="2581"/>
      </w:tabs>
      <w:spacing w:after="200"/>
    </w:pPr>
    <w:rPr>
      <w:b/>
      <w:color w:val="F68220"/>
      <w:sz w:val="28"/>
    </w:rPr>
  </w:style>
  <w:style w:type="paragraph" w:styleId="TOC1">
    <w:name w:val="toc 1"/>
    <w:basedOn w:val="Normal"/>
    <w:next w:val="Normal"/>
    <w:uiPriority w:val="39"/>
    <w:rsid w:val="009E2AF0"/>
    <w:pPr>
      <w:spacing w:before="120"/>
    </w:pPr>
    <w:rPr>
      <w:b/>
      <w:sz w:val="22"/>
    </w:rPr>
  </w:style>
  <w:style w:type="character" w:styleId="CommentReference">
    <w:name w:val="annotation reference"/>
    <w:basedOn w:val="DefaultParagraphFont"/>
    <w:uiPriority w:val="99"/>
    <w:locked/>
    <w:rsid w:val="009E2AF0"/>
    <w:rPr>
      <w:sz w:val="16"/>
      <w:szCs w:val="16"/>
    </w:rPr>
  </w:style>
  <w:style w:type="paragraph" w:styleId="CommentText">
    <w:name w:val="annotation text"/>
    <w:basedOn w:val="Normal"/>
    <w:link w:val="CommentTextChar"/>
    <w:uiPriority w:val="99"/>
    <w:locked/>
    <w:rsid w:val="009E2AF0"/>
    <w:rPr>
      <w:szCs w:val="20"/>
    </w:rPr>
  </w:style>
  <w:style w:type="paragraph" w:customStyle="1" w:styleId="GlossaryHead">
    <w:name w:val="Glossary Head"/>
    <w:basedOn w:val="Normal"/>
    <w:rsid w:val="009E2AF0"/>
    <w:rPr>
      <w:rFonts w:cs="Arial"/>
      <w:b/>
      <w:caps/>
      <w:szCs w:val="22"/>
    </w:rPr>
  </w:style>
  <w:style w:type="paragraph" w:customStyle="1" w:styleId="GlossarySub-head">
    <w:name w:val="Glossary Sub-head"/>
    <w:basedOn w:val="GlossaryHead"/>
    <w:rsid w:val="009E2AF0"/>
    <w:rPr>
      <w:b w:val="0"/>
      <w:caps w:val="0"/>
      <w:color w:val="333399"/>
      <w:szCs w:val="20"/>
    </w:rPr>
  </w:style>
  <w:style w:type="paragraph" w:customStyle="1" w:styleId="Glossarytext">
    <w:name w:val="Glossary text"/>
    <w:basedOn w:val="Normal"/>
    <w:rsid w:val="009E2AF0"/>
    <w:rPr>
      <w:rFonts w:cs="Arial"/>
      <w:szCs w:val="17"/>
    </w:rPr>
  </w:style>
  <w:style w:type="paragraph" w:styleId="TOC2">
    <w:name w:val="toc 2"/>
    <w:basedOn w:val="Normal"/>
    <w:next w:val="Normal"/>
    <w:uiPriority w:val="39"/>
    <w:rsid w:val="009E2AF0"/>
    <w:pPr>
      <w:ind w:left="240"/>
    </w:pPr>
  </w:style>
  <w:style w:type="character" w:styleId="Hyperlink">
    <w:name w:val="Hyperlink"/>
    <w:aliases w:val="TOC - Hyperlink"/>
    <w:basedOn w:val="DefaultParagraphFont"/>
    <w:uiPriority w:val="99"/>
    <w:rsid w:val="009255BB"/>
    <w:rPr>
      <w:rFonts w:ascii="Verdana" w:hAnsi="Verdana"/>
      <w:color w:val="191C9D"/>
      <w:sz w:val="20"/>
      <w:u w:val="single"/>
    </w:rPr>
  </w:style>
  <w:style w:type="paragraph" w:styleId="TOC3">
    <w:name w:val="toc 3"/>
    <w:basedOn w:val="Normal"/>
    <w:next w:val="Normal"/>
    <w:uiPriority w:val="39"/>
    <w:rsid w:val="009E2AF0"/>
    <w:pPr>
      <w:ind w:left="480"/>
    </w:pPr>
  </w:style>
  <w:style w:type="paragraph" w:styleId="Header">
    <w:name w:val="header"/>
    <w:basedOn w:val="Normal"/>
    <w:link w:val="HeaderChar"/>
    <w:rsid w:val="009E2AF0"/>
    <w:pPr>
      <w:tabs>
        <w:tab w:val="center" w:pos="4320"/>
        <w:tab w:val="right" w:pos="8640"/>
      </w:tabs>
    </w:pPr>
  </w:style>
  <w:style w:type="paragraph" w:customStyle="1" w:styleId="Text-bulleted">
    <w:name w:val="Text - bulleted"/>
    <w:basedOn w:val="Normal"/>
    <w:link w:val="Text-bulletedChar"/>
    <w:qFormat/>
    <w:rsid w:val="009E2AF0"/>
    <w:pPr>
      <w:numPr>
        <w:numId w:val="6"/>
      </w:numPr>
      <w:tabs>
        <w:tab w:val="left" w:pos="2581"/>
      </w:tabs>
    </w:pPr>
    <w:rPr>
      <w:rFonts w:cs="CGOmega-Regular"/>
    </w:rPr>
  </w:style>
  <w:style w:type="paragraph" w:customStyle="1" w:styleId="Paragraph">
    <w:name w:val="Paragraph"/>
    <w:aliases w:val="numbered"/>
    <w:basedOn w:val="Normal"/>
    <w:qFormat/>
    <w:rsid w:val="009E2AF0"/>
    <w:pPr>
      <w:numPr>
        <w:ilvl w:val="1"/>
        <w:numId w:val="4"/>
      </w:numPr>
      <w:spacing w:before="360" w:after="360"/>
    </w:pPr>
    <w:rPr>
      <w:szCs w:val="20"/>
    </w:rPr>
  </w:style>
  <w:style w:type="character" w:styleId="FootnoteReference">
    <w:name w:val="footnote reference"/>
    <w:aliases w:val="SUPERS,BVI fnr, BVI fnr,Footnote symbol,Footnote,Footnote Reference Superscript,(Footnote Reference),Footnote reference number,note TESI,EN Footnote Reference,Voetnootverwijzing,Times 10 Point,Exposant 3 Point,Appel note de bas de,Not"/>
    <w:basedOn w:val="DefaultParagraphFont"/>
    <w:uiPriority w:val="99"/>
    <w:locked/>
    <w:rsid w:val="009E2AF0"/>
    <w:rPr>
      <w:rFonts w:ascii="Verdana" w:hAnsi="Verdana"/>
      <w:vertAlign w:val="superscript"/>
    </w:rPr>
  </w:style>
  <w:style w:type="paragraph" w:customStyle="1" w:styleId="Text-LeftAilgned">
    <w:name w:val="Text - Left Ailgned"/>
    <w:basedOn w:val="Normal"/>
    <w:link w:val="Text-LeftAilgnedChar"/>
    <w:rsid w:val="009E2AF0"/>
    <w:pPr>
      <w:tabs>
        <w:tab w:val="left" w:pos="2581"/>
      </w:tabs>
    </w:pPr>
  </w:style>
  <w:style w:type="character" w:customStyle="1" w:styleId="Text-LeftAilgnedChar">
    <w:name w:val="Text - Left Ailgned Char"/>
    <w:basedOn w:val="DefaultParagraphFont"/>
    <w:link w:val="Text-LeftAilgned"/>
    <w:rsid w:val="009E2AF0"/>
    <w:rPr>
      <w:rFonts w:ascii="Verdana" w:hAnsi="Verdana"/>
      <w:szCs w:val="24"/>
      <w:lang w:eastAsia="en-US"/>
    </w:rPr>
  </w:style>
  <w:style w:type="paragraph" w:customStyle="1" w:styleId="Text-RightAligned">
    <w:name w:val="Text - Right Aligned"/>
    <w:basedOn w:val="Normal"/>
    <w:rsid w:val="009E2AF0"/>
    <w:pPr>
      <w:tabs>
        <w:tab w:val="left" w:pos="2581"/>
      </w:tabs>
      <w:jc w:val="right"/>
    </w:pPr>
  </w:style>
  <w:style w:type="paragraph" w:customStyle="1" w:styleId="Text-Romannumbered">
    <w:name w:val="Text - Roman numbered"/>
    <w:basedOn w:val="Text-bulleted"/>
    <w:rsid w:val="009E2AF0"/>
    <w:pPr>
      <w:numPr>
        <w:numId w:val="3"/>
      </w:numPr>
    </w:pPr>
  </w:style>
  <w:style w:type="paragraph" w:customStyle="1" w:styleId="Textbox-BulletedBold">
    <w:name w:val="Text box - Bulleted Bold"/>
    <w:basedOn w:val="Normal"/>
    <w:link w:val="Textbox-BulletedBoldChar"/>
    <w:rsid w:val="00305B82"/>
    <w:pPr>
      <w:numPr>
        <w:numId w:val="1"/>
      </w:numPr>
      <w:shd w:val="clear" w:color="auto" w:fill="EFF9FF"/>
    </w:pPr>
    <w:rPr>
      <w:b/>
      <w:bCs/>
      <w:szCs w:val="20"/>
    </w:rPr>
  </w:style>
  <w:style w:type="character" w:customStyle="1" w:styleId="Textbox-BulletedBoldChar">
    <w:name w:val="Text box - Bulleted Bold Char"/>
    <w:basedOn w:val="DefaultParagraphFont"/>
    <w:link w:val="Textbox-BulletedBold"/>
    <w:rsid w:val="00305B82"/>
    <w:rPr>
      <w:rFonts w:ascii="Verdana" w:hAnsi="Verdana"/>
      <w:b/>
      <w:bCs/>
      <w:shd w:val="clear" w:color="auto" w:fill="EFF9FF"/>
      <w:lang w:eastAsia="en-US"/>
    </w:rPr>
  </w:style>
  <w:style w:type="paragraph" w:customStyle="1" w:styleId="Text-bulleted-Bold">
    <w:name w:val="Text - bulleted - Bold"/>
    <w:basedOn w:val="Text-bulleted"/>
    <w:rsid w:val="009E2AF0"/>
    <w:rPr>
      <w:b/>
      <w:bCs/>
    </w:rPr>
  </w:style>
  <w:style w:type="paragraph" w:customStyle="1" w:styleId="ParagrapghBold">
    <w:name w:val="Paragrapgh + Bold"/>
    <w:basedOn w:val="Paragraph"/>
    <w:qFormat/>
    <w:rsid w:val="009E2AF0"/>
    <w:pPr>
      <w:spacing w:before="120"/>
    </w:pPr>
    <w:rPr>
      <w:b/>
      <w:bCs/>
    </w:rPr>
  </w:style>
  <w:style w:type="paragraph" w:customStyle="1" w:styleId="StyleTableText-RightAligned">
    <w:name w:val="Style Table_Text - Right Aligned"/>
    <w:basedOn w:val="TableText-LeftAligned"/>
    <w:rsid w:val="009E2AF0"/>
    <w:pPr>
      <w:jc w:val="right"/>
    </w:pPr>
    <w:rPr>
      <w:szCs w:val="20"/>
    </w:rPr>
  </w:style>
  <w:style w:type="paragraph" w:customStyle="1" w:styleId="TableText-Centered">
    <w:name w:val="Table_Text - Centered"/>
    <w:basedOn w:val="TableText-LeftAligned"/>
    <w:rsid w:val="009E2AF0"/>
    <w:pPr>
      <w:jc w:val="center"/>
    </w:pPr>
    <w:rPr>
      <w:szCs w:val="20"/>
    </w:rPr>
  </w:style>
  <w:style w:type="character" w:styleId="PageNumber">
    <w:name w:val="page number"/>
    <w:basedOn w:val="DefaultParagraphFont"/>
    <w:rsid w:val="009E2AF0"/>
    <w:rPr>
      <w:rFonts w:ascii="Verdana" w:hAnsi="Verdana"/>
      <w:sz w:val="16"/>
    </w:rPr>
  </w:style>
  <w:style w:type="paragraph" w:customStyle="1" w:styleId="Text-Centered">
    <w:name w:val="Text - Centered"/>
    <w:basedOn w:val="TableText-LeftAligned"/>
    <w:rsid w:val="009E2AF0"/>
    <w:pPr>
      <w:jc w:val="center"/>
    </w:pPr>
    <w:rPr>
      <w:szCs w:val="20"/>
    </w:rPr>
  </w:style>
  <w:style w:type="paragraph" w:customStyle="1" w:styleId="TableText-Centered0">
    <w:name w:val="Table Text - Centered"/>
    <w:basedOn w:val="TableText-LeftAligned"/>
    <w:rsid w:val="009E2AF0"/>
    <w:pPr>
      <w:jc w:val="center"/>
    </w:pPr>
    <w:rPr>
      <w:szCs w:val="20"/>
    </w:rPr>
  </w:style>
  <w:style w:type="paragraph" w:customStyle="1" w:styleId="Appendixtext-Numbered">
    <w:name w:val="Appendix text - Numbered"/>
    <w:basedOn w:val="Normal"/>
    <w:link w:val="Appendixtext-NumberedChar"/>
    <w:qFormat/>
    <w:rsid w:val="009E2AF0"/>
    <w:pPr>
      <w:numPr>
        <w:ilvl w:val="1"/>
        <w:numId w:val="7"/>
      </w:numPr>
      <w:spacing w:before="120" w:after="360"/>
    </w:pPr>
  </w:style>
  <w:style w:type="character" w:customStyle="1" w:styleId="Appendixtext-NumberedChar">
    <w:name w:val="Appendix text - Numbered Char"/>
    <w:basedOn w:val="DefaultParagraphFont"/>
    <w:link w:val="Appendixtext-Numbered"/>
    <w:rsid w:val="009E2AF0"/>
    <w:rPr>
      <w:rFonts w:ascii="Verdana" w:hAnsi="Verdana"/>
      <w:szCs w:val="24"/>
      <w:lang w:eastAsia="en-US"/>
    </w:rPr>
  </w:style>
  <w:style w:type="paragraph" w:customStyle="1" w:styleId="ParagrapghItalic">
    <w:name w:val="Paragrapgh + Italic"/>
    <w:basedOn w:val="Paragraph"/>
    <w:qFormat/>
    <w:rsid w:val="009E2AF0"/>
    <w:pPr>
      <w:numPr>
        <w:ilvl w:val="0"/>
        <w:numId w:val="0"/>
      </w:numPr>
      <w:spacing w:before="120"/>
    </w:pPr>
    <w:rPr>
      <w:i/>
      <w:iCs/>
    </w:rPr>
  </w:style>
  <w:style w:type="paragraph" w:customStyle="1" w:styleId="Text-LowerCaseLetter">
    <w:name w:val="Text - Lower Case Letter"/>
    <w:basedOn w:val="Normal"/>
    <w:rsid w:val="009E2AF0"/>
    <w:pPr>
      <w:numPr>
        <w:numId w:val="5"/>
      </w:numPr>
      <w:tabs>
        <w:tab w:val="left" w:pos="2581"/>
      </w:tabs>
    </w:pPr>
  </w:style>
  <w:style w:type="paragraph" w:customStyle="1" w:styleId="ParagrapghUnderline">
    <w:name w:val="Paragrapgh + Underline"/>
    <w:basedOn w:val="Paragraph"/>
    <w:rsid w:val="009E2AF0"/>
    <w:pPr>
      <w:spacing w:before="120"/>
    </w:pPr>
    <w:rPr>
      <w:u w:val="single"/>
    </w:rPr>
  </w:style>
  <w:style w:type="paragraph" w:styleId="CommentSubject">
    <w:name w:val="annotation subject"/>
    <w:basedOn w:val="CommentText"/>
    <w:next w:val="CommentText"/>
    <w:link w:val="CommentSubjectChar"/>
    <w:semiHidden/>
    <w:locked/>
    <w:rsid w:val="009E2AF0"/>
    <w:rPr>
      <w:b/>
      <w:bCs/>
    </w:rPr>
  </w:style>
  <w:style w:type="paragraph" w:styleId="DocumentMap">
    <w:name w:val="Document Map"/>
    <w:basedOn w:val="Normal"/>
    <w:link w:val="DocumentMapChar"/>
    <w:semiHidden/>
    <w:locked/>
    <w:rsid w:val="009E2AF0"/>
    <w:pPr>
      <w:shd w:val="clear" w:color="auto" w:fill="000080"/>
    </w:pPr>
    <w:rPr>
      <w:rFonts w:ascii="Tahoma" w:hAnsi="Tahoma" w:cs="Tahoma"/>
      <w:szCs w:val="20"/>
    </w:rPr>
  </w:style>
  <w:style w:type="paragraph" w:styleId="EndnoteText">
    <w:name w:val="endnote text"/>
    <w:basedOn w:val="Normal"/>
    <w:link w:val="EndnoteTextChar"/>
    <w:semiHidden/>
    <w:locked/>
    <w:rsid w:val="009E2AF0"/>
    <w:rPr>
      <w:szCs w:val="20"/>
    </w:rPr>
  </w:style>
  <w:style w:type="paragraph" w:styleId="Index1">
    <w:name w:val="index 1"/>
    <w:basedOn w:val="Normal"/>
    <w:next w:val="Normal"/>
    <w:semiHidden/>
    <w:locked/>
    <w:rsid w:val="009E2AF0"/>
    <w:pPr>
      <w:ind w:left="200" w:hanging="200"/>
    </w:pPr>
  </w:style>
  <w:style w:type="paragraph" w:styleId="Index2">
    <w:name w:val="index 2"/>
    <w:basedOn w:val="Normal"/>
    <w:next w:val="Normal"/>
    <w:semiHidden/>
    <w:locked/>
    <w:rsid w:val="009E2AF0"/>
    <w:pPr>
      <w:ind w:left="400" w:hanging="200"/>
    </w:pPr>
  </w:style>
  <w:style w:type="paragraph" w:styleId="Index3">
    <w:name w:val="index 3"/>
    <w:basedOn w:val="Normal"/>
    <w:next w:val="Normal"/>
    <w:semiHidden/>
    <w:locked/>
    <w:rsid w:val="009E2AF0"/>
    <w:pPr>
      <w:ind w:left="600" w:hanging="200"/>
    </w:pPr>
  </w:style>
  <w:style w:type="paragraph" w:styleId="Index4">
    <w:name w:val="index 4"/>
    <w:basedOn w:val="Normal"/>
    <w:next w:val="Normal"/>
    <w:semiHidden/>
    <w:locked/>
    <w:rsid w:val="009E2AF0"/>
    <w:pPr>
      <w:ind w:left="800" w:hanging="200"/>
    </w:pPr>
  </w:style>
  <w:style w:type="paragraph" w:styleId="Index5">
    <w:name w:val="index 5"/>
    <w:basedOn w:val="Normal"/>
    <w:next w:val="Normal"/>
    <w:semiHidden/>
    <w:locked/>
    <w:rsid w:val="009E2AF0"/>
    <w:pPr>
      <w:ind w:left="1000" w:hanging="200"/>
    </w:pPr>
  </w:style>
  <w:style w:type="paragraph" w:styleId="Index6">
    <w:name w:val="index 6"/>
    <w:basedOn w:val="Normal"/>
    <w:next w:val="Normal"/>
    <w:semiHidden/>
    <w:locked/>
    <w:rsid w:val="009E2AF0"/>
    <w:pPr>
      <w:ind w:left="1200" w:hanging="200"/>
    </w:pPr>
  </w:style>
  <w:style w:type="paragraph" w:styleId="Index7">
    <w:name w:val="index 7"/>
    <w:basedOn w:val="Normal"/>
    <w:next w:val="Normal"/>
    <w:semiHidden/>
    <w:locked/>
    <w:rsid w:val="009E2AF0"/>
    <w:pPr>
      <w:ind w:left="1400" w:hanging="200"/>
    </w:pPr>
  </w:style>
  <w:style w:type="paragraph" w:styleId="Index8">
    <w:name w:val="index 8"/>
    <w:basedOn w:val="Normal"/>
    <w:next w:val="Normal"/>
    <w:semiHidden/>
    <w:locked/>
    <w:rsid w:val="009E2AF0"/>
    <w:pPr>
      <w:ind w:left="1600" w:hanging="200"/>
    </w:pPr>
  </w:style>
  <w:style w:type="paragraph" w:styleId="Index9">
    <w:name w:val="index 9"/>
    <w:basedOn w:val="Normal"/>
    <w:next w:val="Normal"/>
    <w:semiHidden/>
    <w:locked/>
    <w:rsid w:val="009E2AF0"/>
    <w:pPr>
      <w:ind w:left="1800" w:hanging="200"/>
    </w:pPr>
  </w:style>
  <w:style w:type="paragraph" w:styleId="IndexHeading">
    <w:name w:val="index heading"/>
    <w:basedOn w:val="Normal"/>
    <w:next w:val="Index1"/>
    <w:semiHidden/>
    <w:locked/>
    <w:rsid w:val="009E2AF0"/>
    <w:rPr>
      <w:rFonts w:ascii="Arial" w:hAnsi="Arial" w:cs="Arial"/>
      <w:b/>
      <w:bCs/>
    </w:rPr>
  </w:style>
  <w:style w:type="paragraph" w:styleId="MacroText">
    <w:name w:val="macro"/>
    <w:link w:val="MacroTextChar"/>
    <w:semiHidden/>
    <w:locked/>
    <w:rsid w:val="009E2AF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9E2AF0"/>
    <w:pPr>
      <w:ind w:left="200" w:hanging="200"/>
    </w:pPr>
  </w:style>
  <w:style w:type="paragraph" w:styleId="TableofFigures">
    <w:name w:val="table of figures"/>
    <w:basedOn w:val="Normal"/>
    <w:next w:val="Normal"/>
    <w:semiHidden/>
    <w:locked/>
    <w:rsid w:val="009E2AF0"/>
  </w:style>
  <w:style w:type="paragraph" w:styleId="TOAHeading">
    <w:name w:val="toa heading"/>
    <w:basedOn w:val="Normal"/>
    <w:next w:val="Normal"/>
    <w:semiHidden/>
    <w:rsid w:val="009E2AF0"/>
    <w:pPr>
      <w:spacing w:before="120"/>
    </w:pPr>
    <w:rPr>
      <w:rFonts w:ascii="Arial" w:hAnsi="Arial" w:cs="Arial"/>
      <w:b/>
      <w:bCs/>
      <w:sz w:val="24"/>
    </w:rPr>
  </w:style>
  <w:style w:type="paragraph" w:styleId="TOC4">
    <w:name w:val="toc 4"/>
    <w:basedOn w:val="Normal"/>
    <w:next w:val="Normal"/>
    <w:uiPriority w:val="39"/>
    <w:rsid w:val="009E2AF0"/>
    <w:pPr>
      <w:ind w:left="600"/>
    </w:pPr>
  </w:style>
  <w:style w:type="paragraph" w:styleId="TOC5">
    <w:name w:val="toc 5"/>
    <w:basedOn w:val="Normal"/>
    <w:next w:val="Normal"/>
    <w:uiPriority w:val="39"/>
    <w:rsid w:val="009E2AF0"/>
    <w:pPr>
      <w:ind w:left="800"/>
    </w:pPr>
  </w:style>
  <w:style w:type="paragraph" w:styleId="TOC6">
    <w:name w:val="toc 6"/>
    <w:basedOn w:val="Normal"/>
    <w:next w:val="Normal"/>
    <w:uiPriority w:val="39"/>
    <w:rsid w:val="009E2AF0"/>
    <w:pPr>
      <w:ind w:left="1000"/>
    </w:pPr>
  </w:style>
  <w:style w:type="paragraph" w:styleId="TOC7">
    <w:name w:val="toc 7"/>
    <w:basedOn w:val="Normal"/>
    <w:next w:val="Normal"/>
    <w:uiPriority w:val="39"/>
    <w:rsid w:val="009E2AF0"/>
    <w:pPr>
      <w:ind w:left="1200"/>
    </w:pPr>
  </w:style>
  <w:style w:type="paragraph" w:styleId="TOC8">
    <w:name w:val="toc 8"/>
    <w:basedOn w:val="Normal"/>
    <w:next w:val="Normal"/>
    <w:uiPriority w:val="39"/>
    <w:rsid w:val="009E2AF0"/>
    <w:pPr>
      <w:ind w:left="1400"/>
    </w:pPr>
  </w:style>
  <w:style w:type="paragraph" w:styleId="TOC9">
    <w:name w:val="toc 9"/>
    <w:basedOn w:val="Normal"/>
    <w:next w:val="Normal"/>
    <w:uiPriority w:val="39"/>
    <w:rsid w:val="009E2AF0"/>
    <w:pPr>
      <w:ind w:left="1600"/>
    </w:pPr>
  </w:style>
  <w:style w:type="table" w:styleId="TableGrid">
    <w:name w:val="Table Grid"/>
    <w:basedOn w:val="TableNormal"/>
    <w:locked/>
    <w:rsid w:val="009E2A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measHeading1butlike2inTableofContents">
    <w:name w:val="Same as Heading 1 but like 2 in Table of Contents"/>
    <w:basedOn w:val="Heading1"/>
    <w:next w:val="Normal"/>
    <w:rsid w:val="009E2AF0"/>
  </w:style>
  <w:style w:type="paragraph" w:customStyle="1" w:styleId="StyleTextbox-BulltedTopNoborderBottomNoborderL">
    <w:name w:val="Style Text box - Bullted + Top: (No border) Bottom: (No border) L..."/>
    <w:basedOn w:val="Normal"/>
    <w:rsid w:val="00305B82"/>
    <w:pPr>
      <w:shd w:val="clear" w:color="auto" w:fill="EEECE1"/>
      <w:tabs>
        <w:tab w:val="num" w:pos="360"/>
      </w:tabs>
      <w:ind w:left="360" w:hanging="360"/>
    </w:pPr>
    <w:rPr>
      <w:szCs w:val="20"/>
    </w:rPr>
  </w:style>
  <w:style w:type="paragraph" w:customStyle="1" w:styleId="Textbox-BulletedBoldGrey">
    <w:name w:val="Text box - Bulleted Bold Grey"/>
    <w:basedOn w:val="Normal"/>
    <w:link w:val="Textbox-BulletedBoldGreyChar"/>
    <w:rsid w:val="00305B82"/>
    <w:pPr>
      <w:shd w:val="clear" w:color="auto" w:fill="EEECE1"/>
      <w:tabs>
        <w:tab w:val="num" w:pos="360"/>
      </w:tabs>
      <w:ind w:left="357" w:hanging="357"/>
    </w:pPr>
    <w:rPr>
      <w:b/>
      <w:szCs w:val="20"/>
    </w:rPr>
  </w:style>
  <w:style w:type="character" w:customStyle="1" w:styleId="Textbox-BulletedBoldGreyChar">
    <w:name w:val="Text box - Bulleted Bold Grey Char"/>
    <w:basedOn w:val="DefaultParagraphFont"/>
    <w:link w:val="Textbox-BulletedBoldGrey"/>
    <w:rsid w:val="00305B82"/>
    <w:rPr>
      <w:rFonts w:ascii="Verdana" w:hAnsi="Verdana"/>
      <w:b/>
      <w:shd w:val="clear" w:color="auto" w:fill="EEECE1"/>
      <w:lang w:eastAsia="en-US"/>
    </w:rPr>
  </w:style>
  <w:style w:type="paragraph" w:styleId="ListParagraph">
    <w:name w:val="List Paragraph"/>
    <w:basedOn w:val="Normal"/>
    <w:link w:val="ListParagraphChar"/>
    <w:uiPriority w:val="34"/>
    <w:qFormat/>
    <w:locked/>
    <w:rsid w:val="00A50A99"/>
    <w:pPr>
      <w:ind w:left="720"/>
      <w:contextualSpacing/>
    </w:pPr>
  </w:style>
  <w:style w:type="paragraph" w:customStyle="1" w:styleId="Heading">
    <w:name w:val="Heading"/>
    <w:aliases w:val="Figure heading"/>
    <w:basedOn w:val="Normal"/>
    <w:next w:val="Normal"/>
    <w:rsid w:val="00416416"/>
    <w:rPr>
      <w:b/>
      <w:color w:val="848484"/>
    </w:rPr>
  </w:style>
  <w:style w:type="character" w:customStyle="1" w:styleId="TitleStyle12ptBold">
    <w:name w:val="Title Style 12 pt Bold"/>
    <w:basedOn w:val="DefaultParagraphFont"/>
    <w:rsid w:val="00DE4234"/>
    <w:rPr>
      <w:rFonts w:ascii="Verdana" w:hAnsi="Verdana"/>
      <w:b/>
      <w:bCs/>
      <w:sz w:val="24"/>
    </w:rPr>
  </w:style>
  <w:style w:type="paragraph" w:styleId="TOCHeading">
    <w:name w:val="TOC Heading"/>
    <w:basedOn w:val="Heading1"/>
    <w:next w:val="Normal"/>
    <w:uiPriority w:val="39"/>
    <w:semiHidden/>
    <w:unhideWhenUsed/>
    <w:qFormat/>
    <w:rsid w:val="001B57B3"/>
    <w:pPr>
      <w:keepNext/>
      <w:keepLines/>
      <w:tabs>
        <w:tab w:val="clear" w:pos="2581"/>
      </w:tabs>
      <w:spacing w:before="240" w:after="0" w:line="240" w:lineRule="auto"/>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unhideWhenUsed/>
    <w:locked/>
    <w:rsid w:val="00CA14D6"/>
    <w:rPr>
      <w:color w:val="800080" w:themeColor="followedHyperlink"/>
      <w:u w:val="single"/>
    </w:rPr>
  </w:style>
  <w:style w:type="paragraph" w:styleId="NoSpacing">
    <w:name w:val="No Spacing"/>
    <w:link w:val="NoSpacingChar"/>
    <w:uiPriority w:val="1"/>
    <w:qFormat/>
    <w:locked/>
    <w:rsid w:val="00A514B4"/>
    <w:rPr>
      <w:rFonts w:ascii="Verdana" w:eastAsiaTheme="minorHAnsi" w:hAnsi="Verdana" w:cstheme="minorBidi"/>
      <w:lang w:eastAsia="en-US"/>
    </w:rPr>
  </w:style>
  <w:style w:type="paragraph" w:customStyle="1" w:styleId="NumberedNormal">
    <w:name w:val="Numbered Normal"/>
    <w:basedOn w:val="Normal"/>
    <w:qFormat/>
    <w:rsid w:val="00A514B4"/>
    <w:pPr>
      <w:spacing w:after="300"/>
      <w:ind w:left="652" w:hanging="652"/>
    </w:pPr>
    <w:rPr>
      <w:rFonts w:eastAsiaTheme="minorHAnsi" w:cstheme="minorBidi"/>
      <w:szCs w:val="20"/>
    </w:rPr>
  </w:style>
  <w:style w:type="numbering" w:customStyle="1" w:styleId="OfgemNumbering">
    <w:name w:val="OfgemNumbering"/>
    <w:basedOn w:val="NoList"/>
    <w:uiPriority w:val="99"/>
    <w:rsid w:val="00A514B4"/>
    <w:pPr>
      <w:numPr>
        <w:numId w:val="9"/>
      </w:numPr>
    </w:pPr>
  </w:style>
  <w:style w:type="paragraph" w:customStyle="1" w:styleId="BulletedNormal">
    <w:name w:val="Bulleted Normal"/>
    <w:basedOn w:val="Normal"/>
    <w:uiPriority w:val="1"/>
    <w:qFormat/>
    <w:rsid w:val="00A514B4"/>
    <w:pPr>
      <w:spacing w:after="300"/>
      <w:ind w:left="1077" w:hanging="357"/>
      <w:contextualSpacing/>
    </w:pPr>
    <w:rPr>
      <w:rFonts w:eastAsiaTheme="minorHAnsi" w:cstheme="minorBidi"/>
      <w:szCs w:val="20"/>
    </w:rPr>
  </w:style>
  <w:style w:type="paragraph" w:customStyle="1" w:styleId="ListNormal">
    <w:name w:val="List Normal"/>
    <w:basedOn w:val="BulletedNormal"/>
    <w:uiPriority w:val="1"/>
    <w:qFormat/>
    <w:rsid w:val="00A514B4"/>
  </w:style>
  <w:style w:type="character" w:customStyle="1" w:styleId="CommentTextChar">
    <w:name w:val="Comment Text Char"/>
    <w:basedOn w:val="DefaultParagraphFont"/>
    <w:link w:val="CommentText"/>
    <w:uiPriority w:val="99"/>
    <w:rsid w:val="00A514B4"/>
    <w:rPr>
      <w:rFonts w:ascii="Verdana" w:hAnsi="Verdana"/>
      <w:lang w:eastAsia="en-US"/>
    </w:rPr>
  </w:style>
  <w:style w:type="paragraph" w:customStyle="1" w:styleId="ChapterHeading">
    <w:name w:val="Chapter Heading"/>
    <w:basedOn w:val="Heading1"/>
    <w:next w:val="Normal"/>
    <w:uiPriority w:val="99"/>
    <w:qFormat/>
    <w:rsid w:val="00176201"/>
    <w:pPr>
      <w:pageBreakBefore/>
      <w:pBdr>
        <w:bottom w:val="single" w:sz="24" w:space="1" w:color="365F91"/>
      </w:pBdr>
      <w:ind w:left="360" w:hanging="360"/>
    </w:pPr>
    <w:rPr>
      <w:b w:val="0"/>
      <w:bCs/>
      <w:color w:val="365F91"/>
      <w:sz w:val="40"/>
      <w:szCs w:val="20"/>
    </w:rPr>
  </w:style>
  <w:style w:type="paragraph" w:customStyle="1" w:styleId="Paragrapgh">
    <w:name w:val="Paragrapgh"/>
    <w:basedOn w:val="Normal"/>
    <w:uiPriority w:val="99"/>
    <w:qFormat/>
    <w:rsid w:val="00176201"/>
    <w:pPr>
      <w:tabs>
        <w:tab w:val="num" w:pos="680"/>
      </w:tabs>
      <w:spacing w:before="360" w:after="360" w:line="240" w:lineRule="auto"/>
    </w:pPr>
    <w:rPr>
      <w:szCs w:val="20"/>
    </w:rPr>
  </w:style>
  <w:style w:type="character" w:customStyle="1" w:styleId="FootnoteTextChar">
    <w:name w:val="Footnote Text Char"/>
    <w:aliases w:val="TBG Style Char,Testo nota a piè di pagina_Rientro Char,Footnote Text Char Char Char Char Char1,Footnote Text Char Char Char,Footnote Text Char Char Char Char Char Char,Footnote Text Char Char Ch Char,stile 1 Char,Reference Char,o Char"/>
    <w:basedOn w:val="DefaultParagraphFont"/>
    <w:link w:val="FootnoteText"/>
    <w:uiPriority w:val="99"/>
    <w:rsid w:val="005B5D23"/>
    <w:rPr>
      <w:rFonts w:ascii="Verdana" w:hAnsi="Verdana"/>
      <w:sz w:val="18"/>
      <w:lang w:eastAsia="en-US"/>
    </w:rPr>
  </w:style>
  <w:style w:type="paragraph" w:styleId="Revision">
    <w:name w:val="Revision"/>
    <w:hidden/>
    <w:uiPriority w:val="99"/>
    <w:semiHidden/>
    <w:rsid w:val="00D6083D"/>
    <w:rPr>
      <w:rFonts w:ascii="Verdana" w:hAnsi="Verdana"/>
      <w:szCs w:val="24"/>
      <w:lang w:eastAsia="en-US"/>
    </w:rPr>
  </w:style>
  <w:style w:type="paragraph" w:customStyle="1" w:styleId="Default">
    <w:name w:val="Default"/>
    <w:rsid w:val="002D4625"/>
    <w:pPr>
      <w:autoSpaceDE w:val="0"/>
      <w:autoSpaceDN w:val="0"/>
      <w:adjustRightInd w:val="0"/>
    </w:pPr>
    <w:rPr>
      <w:rFonts w:ascii="Verdana" w:hAnsi="Verdana" w:cs="Verdana"/>
      <w:color w:val="000000"/>
      <w:sz w:val="24"/>
      <w:szCs w:val="24"/>
    </w:rPr>
  </w:style>
  <w:style w:type="paragraph" w:styleId="NormalWeb">
    <w:name w:val="Normal (Web)"/>
    <w:basedOn w:val="Normal"/>
    <w:unhideWhenUsed/>
    <w:rsid w:val="00690909"/>
    <w:pPr>
      <w:spacing w:before="100" w:beforeAutospacing="1" w:after="100" w:afterAutospacing="1" w:line="240" w:lineRule="auto"/>
    </w:pPr>
    <w:rPr>
      <w:rFonts w:ascii="Times New Roman" w:eastAsiaTheme="minorHAnsi" w:hAnsi="Times New Roman"/>
      <w:sz w:val="24"/>
      <w:lang w:eastAsia="en-GB"/>
    </w:rPr>
  </w:style>
  <w:style w:type="paragraph" w:styleId="ListBullet">
    <w:name w:val="List Bullet"/>
    <w:basedOn w:val="Normal"/>
    <w:unhideWhenUsed/>
    <w:rsid w:val="00D261D7"/>
    <w:pPr>
      <w:numPr>
        <w:numId w:val="22"/>
      </w:numPr>
      <w:contextualSpacing/>
    </w:pPr>
  </w:style>
  <w:style w:type="paragraph" w:customStyle="1" w:styleId="ConsultationQuestion">
    <w:name w:val="Consultation Question"/>
    <w:uiPriority w:val="14"/>
    <w:qFormat/>
    <w:rsid w:val="001861FD"/>
    <w:pPr>
      <w:numPr>
        <w:numId w:val="24"/>
      </w:numPr>
      <w:spacing w:after="300" w:line="360" w:lineRule="auto"/>
      <w:contextualSpacing/>
    </w:pPr>
    <w:rPr>
      <w:rFonts w:ascii="Verdana" w:eastAsiaTheme="minorHAnsi" w:hAnsi="Verdana" w:cstheme="minorBidi"/>
      <w:lang w:eastAsia="en-US"/>
    </w:rPr>
  </w:style>
  <w:style w:type="numbering" w:customStyle="1" w:styleId="ConsultationQuestionList">
    <w:name w:val="Consultation Question List"/>
    <w:basedOn w:val="NoList"/>
    <w:uiPriority w:val="99"/>
    <w:rsid w:val="001861FD"/>
    <w:pPr>
      <w:numPr>
        <w:numId w:val="24"/>
      </w:numPr>
    </w:pPr>
  </w:style>
  <w:style w:type="paragraph" w:customStyle="1" w:styleId="Textbox-Bullted">
    <w:name w:val="Text box - Bullted"/>
    <w:basedOn w:val="Normal"/>
    <w:link w:val="Textbox-BulltedChar"/>
    <w:rsid w:val="000C698E"/>
    <w:pPr>
      <w:shd w:val="clear" w:color="auto" w:fill="EFF9FF"/>
      <w:tabs>
        <w:tab w:val="num" w:pos="360"/>
      </w:tabs>
      <w:spacing w:line="240" w:lineRule="auto"/>
      <w:ind w:left="360" w:hanging="360"/>
    </w:pPr>
    <w:rPr>
      <w:szCs w:val="20"/>
    </w:rPr>
  </w:style>
  <w:style w:type="paragraph" w:customStyle="1" w:styleId="StyleParagrapghUnderline">
    <w:name w:val="Style Paragrapgh + Underline"/>
    <w:basedOn w:val="Paragrapgh"/>
    <w:rsid w:val="00C17313"/>
    <w:pPr>
      <w:keepNext/>
      <w:keepLines/>
      <w:tabs>
        <w:tab w:val="clear" w:pos="680"/>
      </w:tabs>
      <w:spacing w:after="240"/>
    </w:pPr>
    <w:rPr>
      <w:u w:val="single"/>
    </w:rPr>
  </w:style>
  <w:style w:type="character" w:styleId="PlaceholderText">
    <w:name w:val="Placeholder Text"/>
    <w:basedOn w:val="DefaultParagraphFont"/>
    <w:uiPriority w:val="99"/>
    <w:semiHidden/>
    <w:locked/>
    <w:rsid w:val="006B471A"/>
    <w:rPr>
      <w:color w:val="808080"/>
    </w:rPr>
  </w:style>
  <w:style w:type="paragraph" w:customStyle="1" w:styleId="CoverTopic">
    <w:name w:val="Cover_Topic"/>
    <w:basedOn w:val="Normal"/>
    <w:link w:val="CoverTopicChar"/>
    <w:rsid w:val="00AA04DF"/>
    <w:pPr>
      <w:spacing w:line="240" w:lineRule="auto"/>
    </w:pPr>
    <w:rPr>
      <w:b/>
      <w:sz w:val="22"/>
    </w:rPr>
  </w:style>
  <w:style w:type="character" w:customStyle="1" w:styleId="CoverTopicChar">
    <w:name w:val="Cover_Topic Char"/>
    <w:basedOn w:val="DefaultParagraphFont"/>
    <w:link w:val="CoverTopic"/>
    <w:rsid w:val="00AA04DF"/>
    <w:rPr>
      <w:rFonts w:ascii="Verdana" w:hAnsi="Verdana"/>
      <w:b/>
      <w:sz w:val="22"/>
      <w:szCs w:val="24"/>
      <w:lang w:eastAsia="en-US"/>
    </w:rPr>
  </w:style>
  <w:style w:type="character" w:customStyle="1" w:styleId="CoverTopicDetails">
    <w:name w:val="Cover_Topic Details"/>
    <w:basedOn w:val="DefaultParagraphFont"/>
    <w:rsid w:val="00AA04DF"/>
    <w:rPr>
      <w:rFonts w:ascii="Verdana" w:hAnsi="Verdana"/>
      <w:sz w:val="20"/>
      <w:szCs w:val="24"/>
      <w:lang w:val="en-US" w:eastAsia="en-US" w:bidi="ar-SA"/>
    </w:rPr>
  </w:style>
  <w:style w:type="character" w:customStyle="1" w:styleId="CoverDocumentTypeexplanation">
    <w:name w:val="Cover_Document Type explanation"/>
    <w:basedOn w:val="DefaultParagraphFont"/>
    <w:rsid w:val="00AA04DF"/>
    <w:rPr>
      <w:rFonts w:ascii="Verdana" w:hAnsi="Verdana"/>
      <w:b/>
      <w:color w:val="808080"/>
      <w:sz w:val="24"/>
      <w:szCs w:val="24"/>
      <w:lang w:val="en-US" w:eastAsia="en-US" w:bidi="ar-SA"/>
    </w:rPr>
  </w:style>
  <w:style w:type="character" w:customStyle="1" w:styleId="Text-Italics">
    <w:name w:val="Text - Italics"/>
    <w:rsid w:val="00AA04DF"/>
    <w:rPr>
      <w:rFonts w:ascii="Verdana" w:hAnsi="Verdana"/>
      <w:i/>
      <w:sz w:val="20"/>
    </w:rPr>
  </w:style>
  <w:style w:type="paragraph" w:customStyle="1" w:styleId="DraftCover">
    <w:name w:val="Draft Cover"/>
    <w:basedOn w:val="Normal"/>
    <w:rsid w:val="00AA04DF"/>
    <w:pPr>
      <w:spacing w:line="240" w:lineRule="auto"/>
    </w:pPr>
    <w:rPr>
      <w:b/>
      <w:sz w:val="28"/>
    </w:rPr>
  </w:style>
  <w:style w:type="character" w:customStyle="1" w:styleId="CoverTopicCharChar">
    <w:name w:val="Cover_Topic Char Char"/>
    <w:basedOn w:val="DefaultParagraphFont"/>
    <w:rsid w:val="00AA04DF"/>
    <w:rPr>
      <w:rFonts w:ascii="Verdana" w:eastAsia="MS Mincho" w:hAnsi="Verdana"/>
      <w:b/>
      <w:sz w:val="22"/>
      <w:szCs w:val="24"/>
      <w:lang w:val="en-US" w:eastAsia="en-US" w:bidi="ar-SA"/>
    </w:rPr>
  </w:style>
  <w:style w:type="paragraph" w:customStyle="1" w:styleId="ChapterSummary">
    <w:name w:val="Chapter Summary"/>
    <w:basedOn w:val="Normal"/>
    <w:rsid w:val="00AA04DF"/>
    <w:pPr>
      <w:numPr>
        <w:numId w:val="36"/>
      </w:numPr>
      <w:pBdr>
        <w:top w:val="single" w:sz="4" w:space="1" w:color="FFCC99"/>
        <w:left w:val="single" w:sz="4" w:space="4" w:color="FFCC99"/>
        <w:bottom w:val="single" w:sz="4" w:space="1" w:color="FFCC99"/>
        <w:right w:val="single" w:sz="4" w:space="4" w:color="FFCC99"/>
      </w:pBdr>
      <w:shd w:val="clear" w:color="auto" w:fill="EFF9FF"/>
      <w:spacing w:line="240" w:lineRule="auto"/>
    </w:pPr>
  </w:style>
  <w:style w:type="character" w:customStyle="1" w:styleId="Textbox-BulltedChar">
    <w:name w:val="Text box - Bullted Char"/>
    <w:basedOn w:val="DefaultParagraphFont"/>
    <w:link w:val="Textbox-Bullted"/>
    <w:rsid w:val="00AA04DF"/>
    <w:rPr>
      <w:rFonts w:ascii="Verdana" w:hAnsi="Verdana"/>
      <w:shd w:val="clear" w:color="auto" w:fill="EFF9FF"/>
      <w:lang w:eastAsia="en-US"/>
    </w:rPr>
  </w:style>
  <w:style w:type="character" w:customStyle="1" w:styleId="Text-underlined">
    <w:name w:val="Text - underlined"/>
    <w:basedOn w:val="DefaultParagraphFont"/>
    <w:rsid w:val="00AA04DF"/>
    <w:rPr>
      <w:rFonts w:ascii="Verdana" w:hAnsi="Verdana"/>
      <w:sz w:val="20"/>
      <w:u w:val="single"/>
    </w:rPr>
  </w:style>
  <w:style w:type="paragraph" w:customStyle="1" w:styleId="FootnoteText1">
    <w:name w:val="Footnote Text1"/>
    <w:rsid w:val="00AA04DF"/>
    <w:rPr>
      <w:rFonts w:ascii="Verdana" w:hAnsi="Verdana"/>
      <w:sz w:val="18"/>
      <w:szCs w:val="16"/>
      <w:lang w:eastAsia="en-US"/>
    </w:rPr>
  </w:style>
  <w:style w:type="paragraph" w:customStyle="1" w:styleId="Textbox">
    <w:name w:val="Text box"/>
    <w:basedOn w:val="Normal"/>
    <w:rsid w:val="00AA04DF"/>
    <w:pPr>
      <w:shd w:val="clear" w:color="auto" w:fill="EFF9FF"/>
      <w:spacing w:line="240" w:lineRule="auto"/>
    </w:pPr>
  </w:style>
  <w:style w:type="character" w:customStyle="1" w:styleId="Text-Italicsbold">
    <w:name w:val="Text - Italics + bold"/>
    <w:basedOn w:val="DefaultParagraphFont"/>
    <w:rsid w:val="00AA04DF"/>
    <w:rPr>
      <w:rFonts w:ascii="Verdana" w:hAnsi="Verdana"/>
      <w:b/>
      <w:i/>
      <w:sz w:val="20"/>
    </w:rPr>
  </w:style>
  <w:style w:type="paragraph" w:customStyle="1" w:styleId="TopSectionHeadings">
    <w:name w:val="Top Section Headings"/>
    <w:basedOn w:val="Normal"/>
    <w:link w:val="TopSectionHeadingsChar"/>
    <w:rsid w:val="00AA04DF"/>
    <w:pPr>
      <w:pBdr>
        <w:bottom w:val="single" w:sz="4" w:space="1" w:color="000000"/>
      </w:pBdr>
      <w:spacing w:line="240" w:lineRule="auto"/>
    </w:pPr>
    <w:rPr>
      <w:sz w:val="28"/>
    </w:rPr>
  </w:style>
  <w:style w:type="character" w:customStyle="1" w:styleId="TopSectionHeadingsChar">
    <w:name w:val="Top Section Headings Char"/>
    <w:basedOn w:val="DefaultParagraphFont"/>
    <w:link w:val="TopSectionHeadings"/>
    <w:rsid w:val="00AA04DF"/>
    <w:rPr>
      <w:rFonts w:ascii="Verdana" w:hAnsi="Verdana"/>
      <w:sz w:val="28"/>
      <w:szCs w:val="24"/>
      <w:lang w:eastAsia="en-US"/>
    </w:rPr>
  </w:style>
  <w:style w:type="paragraph" w:customStyle="1" w:styleId="Frontcoverfooter-bold">
    <w:name w:val="Front cover footer - bold"/>
    <w:basedOn w:val="Normal"/>
    <w:rsid w:val="00AA04DF"/>
    <w:pPr>
      <w:spacing w:line="240" w:lineRule="auto"/>
      <w:jc w:val="right"/>
    </w:pPr>
    <w:rPr>
      <w:b/>
      <w:color w:val="FFFFFF"/>
      <w:spacing w:val="6"/>
      <w:position w:val="10"/>
      <w:szCs w:val="20"/>
    </w:rPr>
  </w:style>
  <w:style w:type="paragraph" w:customStyle="1" w:styleId="Frontcoverpunchline">
    <w:name w:val="Front cover punchline"/>
    <w:basedOn w:val="Normal"/>
    <w:rsid w:val="00AA04DF"/>
    <w:pPr>
      <w:spacing w:line="240" w:lineRule="auto"/>
      <w:jc w:val="right"/>
    </w:pPr>
    <w:rPr>
      <w:color w:val="FFFFFF"/>
      <w:spacing w:val="6"/>
      <w:position w:val="10"/>
      <w:szCs w:val="20"/>
    </w:rPr>
  </w:style>
  <w:style w:type="character" w:customStyle="1" w:styleId="oStyle17ptBold">
    <w:name w:val="oStyle 17 pt Bold"/>
    <w:basedOn w:val="DefaultParagraphFont"/>
    <w:rsid w:val="00AA04DF"/>
    <w:rPr>
      <w:b/>
      <w:bCs/>
      <w:sz w:val="34"/>
    </w:rPr>
  </w:style>
  <w:style w:type="paragraph" w:customStyle="1" w:styleId="oStyle21ptAfter10pt">
    <w:name w:val="oStyle 21 pt After:  10 pt"/>
    <w:basedOn w:val="Normal"/>
    <w:rsid w:val="00AA04DF"/>
    <w:pPr>
      <w:spacing w:after="200" w:line="240" w:lineRule="auto"/>
    </w:pPr>
    <w:rPr>
      <w:sz w:val="42"/>
      <w:szCs w:val="20"/>
    </w:rPr>
  </w:style>
  <w:style w:type="character" w:customStyle="1" w:styleId="oStyle4pt">
    <w:name w:val="oStyle 4 pt"/>
    <w:basedOn w:val="DefaultParagraphFont"/>
    <w:rsid w:val="00AA04DF"/>
    <w:rPr>
      <w:sz w:val="8"/>
    </w:rPr>
  </w:style>
  <w:style w:type="character" w:customStyle="1" w:styleId="oStyle6pt">
    <w:name w:val="oStyle 6 pt"/>
    <w:basedOn w:val="DefaultParagraphFont"/>
    <w:rsid w:val="00AA04DF"/>
    <w:rPr>
      <w:sz w:val="12"/>
    </w:rPr>
  </w:style>
  <w:style w:type="paragraph" w:customStyle="1" w:styleId="LCDefinitionTitle">
    <w:name w:val="LC Definition Title"/>
    <w:basedOn w:val="Normal"/>
    <w:qFormat/>
    <w:rsid w:val="00AA04DF"/>
    <w:pPr>
      <w:tabs>
        <w:tab w:val="left" w:pos="709"/>
        <w:tab w:val="left" w:pos="1418"/>
        <w:tab w:val="left" w:pos="1560"/>
      </w:tabs>
      <w:spacing w:after="240" w:line="240" w:lineRule="auto"/>
    </w:pPr>
    <w:rPr>
      <w:rFonts w:ascii="Times New Roman" w:eastAsia="MS Mincho" w:hAnsi="Times New Roman"/>
      <w:b/>
      <w:bCs/>
      <w:iCs/>
      <w:sz w:val="24"/>
      <w:lang w:eastAsia="en-GB"/>
    </w:rPr>
  </w:style>
  <w:style w:type="paragraph" w:customStyle="1" w:styleId="LCTitle">
    <w:name w:val="LC Title"/>
    <w:basedOn w:val="Normal"/>
    <w:link w:val="LCTitleChar"/>
    <w:qFormat/>
    <w:rsid w:val="00AA04DF"/>
    <w:pPr>
      <w:autoSpaceDE w:val="0"/>
      <w:autoSpaceDN w:val="0"/>
      <w:adjustRightInd w:val="0"/>
      <w:spacing w:after="300" w:line="240" w:lineRule="auto"/>
    </w:pPr>
    <w:rPr>
      <w:rFonts w:ascii="Arial" w:eastAsiaTheme="minorHAnsi" w:hAnsi="Arial" w:cs="Arial"/>
      <w:b/>
      <w:bCs/>
      <w:sz w:val="28"/>
      <w:szCs w:val="28"/>
    </w:rPr>
  </w:style>
  <w:style w:type="character" w:customStyle="1" w:styleId="LCTitleChar">
    <w:name w:val="LC Title Char"/>
    <w:basedOn w:val="DefaultParagraphFont"/>
    <w:link w:val="LCTitle"/>
    <w:rsid w:val="00AA04DF"/>
    <w:rPr>
      <w:rFonts w:ascii="Arial" w:eastAsiaTheme="minorHAnsi" w:hAnsi="Arial" w:cs="Arial"/>
      <w:b/>
      <w:bCs/>
      <w:sz w:val="28"/>
      <w:szCs w:val="28"/>
      <w:lang w:eastAsia="en-US"/>
    </w:rPr>
  </w:style>
  <w:style w:type="paragraph" w:customStyle="1" w:styleId="LCDefinitionText">
    <w:name w:val="LC Definition Text"/>
    <w:basedOn w:val="Normal"/>
    <w:qFormat/>
    <w:rsid w:val="00AA04DF"/>
    <w:pPr>
      <w:tabs>
        <w:tab w:val="left" w:pos="709"/>
        <w:tab w:val="left" w:pos="1418"/>
        <w:tab w:val="left" w:pos="1560"/>
      </w:tabs>
      <w:spacing w:after="220" w:line="240" w:lineRule="auto"/>
    </w:pPr>
    <w:rPr>
      <w:rFonts w:ascii="Times New Roman" w:eastAsia="MS Mincho" w:hAnsi="Times New Roman"/>
      <w:bCs/>
      <w:iCs/>
      <w:sz w:val="24"/>
      <w:lang w:eastAsia="en-GB"/>
    </w:rPr>
  </w:style>
  <w:style w:type="paragraph" w:customStyle="1" w:styleId="LCTableText">
    <w:name w:val="LC Table Text"/>
    <w:basedOn w:val="Normal"/>
    <w:qFormat/>
    <w:rsid w:val="00AA04DF"/>
    <w:pPr>
      <w:tabs>
        <w:tab w:val="left" w:pos="1418"/>
        <w:tab w:val="left" w:pos="1560"/>
      </w:tabs>
      <w:spacing w:before="120" w:after="360" w:line="240" w:lineRule="auto"/>
      <w:jc w:val="both"/>
    </w:pPr>
    <w:rPr>
      <w:rFonts w:ascii="Arial" w:eastAsia="MS Mincho" w:hAnsi="Arial"/>
      <w:bCs/>
      <w:iCs/>
      <w:sz w:val="24"/>
      <w:lang w:eastAsia="en-GB"/>
    </w:rPr>
  </w:style>
  <w:style w:type="character" w:customStyle="1" w:styleId="LCtitleChar0">
    <w:name w:val="LC title Char"/>
    <w:basedOn w:val="DefaultParagraphFont"/>
    <w:link w:val="LCtitle0"/>
    <w:rsid w:val="00AA04DF"/>
    <w:rPr>
      <w:rFonts w:ascii="Arial" w:hAnsi="Arial" w:cs="Arial"/>
      <w:b/>
      <w:bCs/>
      <w:sz w:val="28"/>
      <w:szCs w:val="28"/>
    </w:rPr>
  </w:style>
  <w:style w:type="paragraph" w:customStyle="1" w:styleId="LCtitle0">
    <w:name w:val="LC title"/>
    <w:basedOn w:val="Normal"/>
    <w:link w:val="LCtitleChar0"/>
    <w:autoRedefine/>
    <w:rsid w:val="00AA04DF"/>
    <w:pPr>
      <w:overflowPunct w:val="0"/>
      <w:autoSpaceDE w:val="0"/>
      <w:autoSpaceDN w:val="0"/>
      <w:adjustRightInd w:val="0"/>
      <w:spacing w:after="300" w:line="240" w:lineRule="auto"/>
      <w:textAlignment w:val="baseline"/>
    </w:pPr>
    <w:rPr>
      <w:rFonts w:ascii="Arial" w:hAnsi="Arial" w:cs="Arial"/>
      <w:b/>
      <w:bCs/>
      <w:sz w:val="28"/>
      <w:szCs w:val="28"/>
      <w:lang w:eastAsia="en-GB"/>
    </w:rPr>
  </w:style>
  <w:style w:type="paragraph" w:customStyle="1" w:styleId="Paragraphnumbered">
    <w:name w:val="Paragraph (numbered)"/>
    <w:basedOn w:val="Heading2"/>
    <w:next w:val="TableText-LeftAligned"/>
    <w:rsid w:val="00AA04DF"/>
    <w:pPr>
      <w:tabs>
        <w:tab w:val="clear" w:pos="2581"/>
        <w:tab w:val="num" w:pos="720"/>
      </w:tabs>
      <w:spacing w:before="240" w:after="240"/>
    </w:pPr>
    <w:rPr>
      <w:rFonts w:cs="Arial"/>
      <w:b w:val="0"/>
      <w:bCs/>
      <w:iCs/>
      <w:sz w:val="20"/>
      <w:szCs w:val="28"/>
      <w:lang w:eastAsia="en-GB"/>
    </w:rPr>
  </w:style>
  <w:style w:type="paragraph" w:customStyle="1" w:styleId="StyleParagrapghBefore6ptAfter12pt">
    <w:name w:val="Style Paragrapgh + Before:  6 pt After:  12 pt"/>
    <w:basedOn w:val="Paragrapgh"/>
    <w:rsid w:val="00AA04DF"/>
    <w:pPr>
      <w:tabs>
        <w:tab w:val="clear" w:pos="680"/>
      </w:tabs>
      <w:spacing w:before="120" w:after="240"/>
    </w:pPr>
  </w:style>
  <w:style w:type="character" w:customStyle="1" w:styleId="Heading2Char">
    <w:name w:val="Heading 2 Char"/>
    <w:aliases w:val="Main Heading - Colour Char,Sub-heading - Heading 2 Char,Sub-Heading 1 - Bold Char"/>
    <w:basedOn w:val="DefaultParagraphFont"/>
    <w:link w:val="Heading2"/>
    <w:rsid w:val="00AA04DF"/>
    <w:rPr>
      <w:rFonts w:ascii="Verdana" w:hAnsi="Verdana"/>
      <w:b/>
      <w:sz w:val="28"/>
      <w:szCs w:val="24"/>
      <w:lang w:eastAsia="en-US"/>
    </w:rPr>
  </w:style>
  <w:style w:type="paragraph" w:customStyle="1" w:styleId="RIIOListlevel1">
    <w:name w:val="RIIO List (level 1)"/>
    <w:basedOn w:val="Text"/>
    <w:uiPriority w:val="2"/>
    <w:qFormat/>
    <w:rsid w:val="00AA04DF"/>
    <w:pPr>
      <w:numPr>
        <w:numId w:val="37"/>
      </w:numPr>
      <w:tabs>
        <w:tab w:val="clear" w:pos="2581"/>
      </w:tabs>
      <w:spacing w:after="160" w:line="240" w:lineRule="auto"/>
    </w:pPr>
    <w:rPr>
      <w:rFonts w:ascii="Times New Roman" w:hAnsi="Times New Roman"/>
      <w:sz w:val="24"/>
      <w:szCs w:val="20"/>
      <w:lang w:val="en-US"/>
    </w:rPr>
  </w:style>
  <w:style w:type="paragraph" w:customStyle="1" w:styleId="StyleHeading3Sub-heading2-BoldAfter0pt">
    <w:name w:val="Style Heading 3Sub-heading 2 - Bold + After:  0 pt"/>
    <w:basedOn w:val="Heading3"/>
    <w:rsid w:val="00AA04DF"/>
    <w:pPr>
      <w:keepNext/>
      <w:keepLines/>
      <w:spacing w:before="120" w:after="360"/>
    </w:pPr>
    <w:rPr>
      <w:bCs/>
      <w:szCs w:val="20"/>
    </w:rPr>
  </w:style>
  <w:style w:type="character" w:customStyle="1" w:styleId="BalloonTextChar">
    <w:name w:val="Balloon Text Char"/>
    <w:basedOn w:val="DefaultParagraphFont"/>
    <w:link w:val="BalloonText"/>
    <w:semiHidden/>
    <w:locked/>
    <w:rsid w:val="00AA04DF"/>
    <w:rPr>
      <w:rFonts w:ascii="Tahoma" w:hAnsi="Tahoma" w:cs="Tahoma"/>
      <w:sz w:val="16"/>
      <w:szCs w:val="16"/>
      <w:lang w:eastAsia="en-US"/>
    </w:rPr>
  </w:style>
  <w:style w:type="paragraph" w:customStyle="1" w:styleId="RIIOInterpretation-Termtext">
    <w:name w:val="RIIO Interpretation - Term text"/>
    <w:basedOn w:val="Normal"/>
    <w:uiPriority w:val="3"/>
    <w:qFormat/>
    <w:rsid w:val="00AA04DF"/>
    <w:pPr>
      <w:spacing w:after="120" w:line="240" w:lineRule="auto"/>
    </w:pPr>
    <w:rPr>
      <w:rFonts w:ascii="Times New Roman" w:eastAsiaTheme="minorHAnsi" w:hAnsi="Times New Roman"/>
      <w:spacing w:val="-3"/>
      <w:sz w:val="24"/>
      <w:lang w:eastAsia="en-GB"/>
    </w:rPr>
  </w:style>
  <w:style w:type="paragraph" w:customStyle="1" w:styleId="ListLevel1">
    <w:name w:val="List Level 1"/>
    <w:basedOn w:val="Text-Numbered"/>
    <w:next w:val="Text"/>
    <w:uiPriority w:val="1"/>
    <w:qFormat/>
    <w:rsid w:val="00AA04DF"/>
    <w:pPr>
      <w:numPr>
        <w:numId w:val="38"/>
      </w:numPr>
      <w:spacing w:line="240" w:lineRule="auto"/>
    </w:pPr>
  </w:style>
  <w:style w:type="table" w:customStyle="1" w:styleId="TableGrid1">
    <w:name w:val="Table Grid1"/>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AA04DF"/>
    <w:pPr>
      <w:numPr>
        <w:ilvl w:val="1"/>
      </w:numPr>
      <w:spacing w:line="240" w:lineRule="auto"/>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A04DF"/>
    <w:rPr>
      <w:rFonts w:asciiTheme="majorHAnsi" w:eastAsiaTheme="majorEastAsia" w:hAnsiTheme="majorHAnsi" w:cstheme="majorBidi"/>
      <w:i/>
      <w:iCs/>
      <w:color w:val="4F81BD" w:themeColor="accent1"/>
      <w:spacing w:val="15"/>
      <w:sz w:val="24"/>
      <w:szCs w:val="24"/>
      <w:lang w:eastAsia="en-US"/>
    </w:rPr>
  </w:style>
  <w:style w:type="table" w:customStyle="1" w:styleId="TableGrid2">
    <w:name w:val="Table Grid2"/>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Paragraph">
    <w:name w:val="Main Paragraph"/>
    <w:basedOn w:val="Title"/>
    <w:qFormat/>
    <w:rsid w:val="00AA04DF"/>
    <w:pPr>
      <w:numPr>
        <w:numId w:val="39"/>
      </w:numPr>
      <w:pBdr>
        <w:bottom w:val="none" w:sz="0" w:space="0" w:color="auto"/>
      </w:pBdr>
      <w:tabs>
        <w:tab w:val="num" w:pos="180"/>
      </w:tabs>
      <w:spacing w:after="240" w:line="276" w:lineRule="auto"/>
      <w:ind w:left="180" w:hanging="180"/>
      <w:contextualSpacing w:val="0"/>
      <w:outlineLvl w:val="0"/>
    </w:pPr>
    <w:rPr>
      <w:rFonts w:ascii="Times New Roman" w:eastAsiaTheme="minorHAnsi" w:hAnsi="Times New Roman" w:cs="Times New Roman"/>
      <w:color w:val="auto"/>
      <w:spacing w:val="0"/>
      <w:kern w:val="0"/>
      <w:sz w:val="24"/>
      <w:szCs w:val="24"/>
    </w:rPr>
  </w:style>
  <w:style w:type="paragraph" w:styleId="Title">
    <w:name w:val="Title"/>
    <w:basedOn w:val="Normal"/>
    <w:next w:val="Normal"/>
    <w:link w:val="TitleChar"/>
    <w:qFormat/>
    <w:rsid w:val="00AA04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A04DF"/>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Normalbold">
    <w:name w:val="Normal bold"/>
    <w:basedOn w:val="Normal"/>
    <w:uiPriority w:val="3"/>
    <w:qFormat/>
    <w:rsid w:val="00AA04DF"/>
    <w:pPr>
      <w:spacing w:line="240" w:lineRule="auto"/>
    </w:pPr>
    <w:rPr>
      <w:rFonts w:ascii="Times New Roman" w:hAnsi="Times New Roman"/>
      <w:b/>
      <w:sz w:val="24"/>
    </w:rPr>
  </w:style>
  <w:style w:type="paragraph" w:customStyle="1" w:styleId="Licencepara">
    <w:name w:val="Licence para"/>
    <w:basedOn w:val="Normal"/>
    <w:rsid w:val="00AA04DF"/>
    <w:pPr>
      <w:spacing w:after="240" w:line="276" w:lineRule="auto"/>
      <w:ind w:left="142"/>
    </w:pPr>
    <w:rPr>
      <w:rFonts w:ascii="Times New Roman" w:eastAsiaTheme="minorHAnsi" w:hAnsi="Times New Roman"/>
      <w:sz w:val="24"/>
    </w:rPr>
  </w:style>
  <w:style w:type="character" w:customStyle="1" w:styleId="NoSpacingChar">
    <w:name w:val="No Spacing Char"/>
    <w:basedOn w:val="DefaultParagraphFont"/>
    <w:link w:val="NoSpacing"/>
    <w:uiPriority w:val="1"/>
    <w:rsid w:val="00AA04DF"/>
    <w:rPr>
      <w:rFonts w:ascii="Verdana" w:eastAsiaTheme="minorHAnsi" w:hAnsi="Verdana" w:cstheme="minorBidi"/>
      <w:lang w:eastAsia="en-US"/>
    </w:rPr>
  </w:style>
  <w:style w:type="paragraph" w:customStyle="1" w:styleId="Subscriptx">
    <w:name w:val="Subscript x"/>
    <w:basedOn w:val="Licencepara"/>
    <w:link w:val="SubscriptxChar"/>
    <w:uiPriority w:val="6"/>
    <w:qFormat/>
    <w:rsid w:val="00AA04DF"/>
    <w:pPr>
      <w:outlineLvl w:val="1"/>
    </w:pPr>
    <w:rPr>
      <w:vertAlign w:val="subscript"/>
    </w:rPr>
  </w:style>
  <w:style w:type="character" w:customStyle="1" w:styleId="SubscriptxChar">
    <w:name w:val="Subscript x Char"/>
    <w:basedOn w:val="DefaultParagraphFont"/>
    <w:link w:val="Subscriptx"/>
    <w:uiPriority w:val="6"/>
    <w:rsid w:val="00AA04DF"/>
    <w:rPr>
      <w:rFonts w:eastAsiaTheme="minorHAnsi"/>
      <w:sz w:val="24"/>
      <w:szCs w:val="24"/>
      <w:vertAlign w:val="subscript"/>
      <w:lang w:eastAsia="en-US"/>
    </w:rPr>
  </w:style>
  <w:style w:type="paragraph" w:customStyle="1" w:styleId="RIIOSub-heading">
    <w:name w:val="RIIO Sub-heading"/>
    <w:basedOn w:val="Normal"/>
    <w:qFormat/>
    <w:rsid w:val="00AA04DF"/>
    <w:pPr>
      <w:tabs>
        <w:tab w:val="left" w:pos="-720"/>
      </w:tabs>
      <w:spacing w:after="220" w:line="276" w:lineRule="auto"/>
    </w:pPr>
    <w:rPr>
      <w:rFonts w:ascii="Arial" w:eastAsia="Calibri" w:hAnsi="Arial" w:cs="Arial"/>
      <w:b/>
      <w:spacing w:val="-3"/>
      <w:sz w:val="24"/>
    </w:rPr>
  </w:style>
  <w:style w:type="paragraph" w:customStyle="1" w:styleId="AppendixTitle">
    <w:name w:val="Appendix Title"/>
    <w:basedOn w:val="Heading2"/>
    <w:link w:val="AppendixTitleChar"/>
    <w:uiPriority w:val="4"/>
    <w:qFormat/>
    <w:rsid w:val="00AA04DF"/>
    <w:pPr>
      <w:tabs>
        <w:tab w:val="clear" w:pos="2581"/>
      </w:tabs>
      <w:spacing w:after="80" w:line="276" w:lineRule="auto"/>
      <w:jc w:val="center"/>
    </w:pPr>
    <w:rPr>
      <w:rFonts w:ascii="Arial" w:eastAsiaTheme="minorHAnsi" w:hAnsi="Arial" w:cs="Arial"/>
      <w:szCs w:val="28"/>
    </w:rPr>
  </w:style>
  <w:style w:type="character" w:customStyle="1" w:styleId="AppendixTitleChar">
    <w:name w:val="Appendix Title Char"/>
    <w:basedOn w:val="DefaultParagraphFont"/>
    <w:link w:val="AppendixTitle"/>
    <w:uiPriority w:val="4"/>
    <w:rsid w:val="00AA04DF"/>
    <w:rPr>
      <w:rFonts w:ascii="Arial" w:eastAsiaTheme="minorHAnsi" w:hAnsi="Arial" w:cs="Arial"/>
      <w:b/>
      <w:sz w:val="28"/>
      <w:szCs w:val="28"/>
      <w:lang w:eastAsia="en-US"/>
    </w:rPr>
  </w:style>
  <w:style w:type="character" w:styleId="Emphasis">
    <w:name w:val="Emphasis"/>
    <w:basedOn w:val="DefaultParagraphFont"/>
    <w:qFormat/>
    <w:locked/>
    <w:rsid w:val="00AA04DF"/>
    <w:rPr>
      <w:i/>
      <w:iCs/>
    </w:rPr>
  </w:style>
  <w:style w:type="character" w:customStyle="1" w:styleId="ListParagraphChar">
    <w:name w:val="List Paragraph Char"/>
    <w:basedOn w:val="DefaultParagraphFont"/>
    <w:link w:val="ListParagraph"/>
    <w:uiPriority w:val="34"/>
    <w:rsid w:val="00AA04DF"/>
    <w:rPr>
      <w:rFonts w:ascii="Verdana" w:hAnsi="Verdana"/>
      <w:szCs w:val="24"/>
      <w:lang w:eastAsia="en-US"/>
    </w:rPr>
  </w:style>
  <w:style w:type="paragraph" w:customStyle="1" w:styleId="LicenceConditionText">
    <w:name w:val="Licence Condition Text"/>
    <w:basedOn w:val="Normal"/>
    <w:link w:val="LicenceConditionTextChar"/>
    <w:rsid w:val="00AA04DF"/>
    <w:pPr>
      <w:spacing w:after="120" w:line="240" w:lineRule="auto"/>
      <w:jc w:val="both"/>
    </w:pPr>
    <w:rPr>
      <w:rFonts w:ascii="Arial" w:eastAsia="MS Mincho" w:hAnsi="Arial"/>
      <w:sz w:val="22"/>
      <w:szCs w:val="20"/>
      <w:lang w:eastAsia="en-GB"/>
    </w:rPr>
  </w:style>
  <w:style w:type="character" w:customStyle="1" w:styleId="LicenceConditionTextChar">
    <w:name w:val="Licence Condition Text Char"/>
    <w:basedOn w:val="DefaultParagraphFont"/>
    <w:link w:val="LicenceConditionText"/>
    <w:rsid w:val="00AA04DF"/>
    <w:rPr>
      <w:rFonts w:ascii="Arial" w:eastAsia="MS Mincho" w:hAnsi="Arial"/>
      <w:sz w:val="22"/>
    </w:rPr>
  </w:style>
  <w:style w:type="paragraph" w:customStyle="1" w:styleId="RIIOMainParagraph">
    <w:name w:val="RIIO Main Paragraph"/>
    <w:basedOn w:val="ListParagraph"/>
    <w:qFormat/>
    <w:rsid w:val="00AA04DF"/>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0"/>
      <w:contextualSpacing w:val="0"/>
    </w:pPr>
    <w:rPr>
      <w:rFonts w:ascii="Times New Roman" w:hAnsi="Times New Roman"/>
      <w:spacing w:val="-3"/>
      <w:sz w:val="24"/>
      <w:szCs w:val="20"/>
    </w:rPr>
  </w:style>
  <w:style w:type="paragraph" w:styleId="BodyTextIndent3">
    <w:name w:val="Body Text Indent 3"/>
    <w:basedOn w:val="Normal"/>
    <w:link w:val="BodyTextIndent3Char"/>
    <w:rsid w:val="00AA04DF"/>
    <w:pPr>
      <w:numPr>
        <w:ilvl w:val="12"/>
      </w:numPr>
      <w:tabs>
        <w:tab w:val="left" w:pos="-1440"/>
        <w:tab w:val="left" w:pos="-720"/>
      </w:tabs>
      <w:suppressAutoHyphens/>
      <w:ind w:left="-108" w:hanging="630"/>
      <w:jc w:val="both"/>
    </w:pPr>
    <w:rPr>
      <w:rFonts w:ascii="Times New Roman" w:hAnsi="Times New Roman"/>
      <w:spacing w:val="-3"/>
      <w:sz w:val="24"/>
      <w:szCs w:val="20"/>
      <w:lang w:eastAsia="en-GB"/>
    </w:rPr>
  </w:style>
  <w:style w:type="character" w:customStyle="1" w:styleId="BodyTextIndent3Char">
    <w:name w:val="Body Text Indent 3 Char"/>
    <w:basedOn w:val="DefaultParagraphFont"/>
    <w:link w:val="BodyTextIndent3"/>
    <w:rsid w:val="00AA04DF"/>
    <w:rPr>
      <w:spacing w:val="-3"/>
      <w:sz w:val="24"/>
    </w:rPr>
  </w:style>
  <w:style w:type="character" w:customStyle="1" w:styleId="HeaderChar">
    <w:name w:val="Header Char"/>
    <w:basedOn w:val="DefaultParagraphFont"/>
    <w:link w:val="Header"/>
    <w:rsid w:val="00AA04DF"/>
    <w:rPr>
      <w:rFonts w:ascii="Verdana" w:hAnsi="Verdana"/>
      <w:szCs w:val="24"/>
      <w:lang w:eastAsia="en-US"/>
    </w:rPr>
  </w:style>
  <w:style w:type="character" w:customStyle="1" w:styleId="Heading1Char">
    <w:name w:val="Heading 1 Char"/>
    <w:aliases w:val="Section heading Char,MAIN BODY HEADINGS (RED) Char"/>
    <w:basedOn w:val="DefaultParagraphFont"/>
    <w:link w:val="Heading1"/>
    <w:rsid w:val="00AA04DF"/>
    <w:rPr>
      <w:rFonts w:ascii="Verdana" w:hAnsi="Verdana"/>
      <w:b/>
      <w:color w:val="F68220"/>
      <w:sz w:val="28"/>
      <w:szCs w:val="24"/>
      <w:lang w:eastAsia="en-US"/>
    </w:rPr>
  </w:style>
  <w:style w:type="character" w:customStyle="1" w:styleId="Heading4Char">
    <w:name w:val="Heading 4 Char"/>
    <w:aliases w:val="Sub-heading 2 - Italic Char"/>
    <w:basedOn w:val="DefaultParagraphFont"/>
    <w:link w:val="Heading4"/>
    <w:rsid w:val="00AA04DF"/>
    <w:rPr>
      <w:rFonts w:ascii="Verdana" w:hAnsi="Verdana"/>
      <w:i/>
      <w:szCs w:val="24"/>
      <w:lang w:eastAsia="en-US"/>
    </w:rPr>
  </w:style>
  <w:style w:type="character" w:customStyle="1" w:styleId="Heading6Char">
    <w:name w:val="Heading 6 Char"/>
    <w:aliases w:val="Heading 6 - Do not use Char"/>
    <w:basedOn w:val="DefaultParagraphFont"/>
    <w:link w:val="Heading6"/>
    <w:rsid w:val="00AA04DF"/>
    <w:rPr>
      <w:rFonts w:ascii="Verdana" w:hAnsi="Verdana"/>
      <w:bCs/>
      <w:szCs w:val="22"/>
      <w:lang w:eastAsia="en-US"/>
    </w:rPr>
  </w:style>
  <w:style w:type="character" w:customStyle="1" w:styleId="Heading7Char">
    <w:name w:val="Heading 7 Char"/>
    <w:aliases w:val="Heading 7 - Do not use Char"/>
    <w:basedOn w:val="DefaultParagraphFont"/>
    <w:link w:val="Heading7"/>
    <w:rsid w:val="00AA04DF"/>
    <w:rPr>
      <w:rFonts w:ascii="Verdana" w:hAnsi="Verdana"/>
      <w:szCs w:val="24"/>
      <w:lang w:eastAsia="en-US"/>
    </w:rPr>
  </w:style>
  <w:style w:type="character" w:customStyle="1" w:styleId="Heading8Char">
    <w:name w:val="Heading 8 Char"/>
    <w:aliases w:val="Heading 8 - Do not use Char"/>
    <w:basedOn w:val="DefaultParagraphFont"/>
    <w:link w:val="Heading8"/>
    <w:rsid w:val="00AA04DF"/>
    <w:rPr>
      <w:rFonts w:ascii="Verdana" w:hAnsi="Verdana"/>
      <w:iCs/>
      <w:szCs w:val="24"/>
      <w:lang w:eastAsia="en-US"/>
    </w:rPr>
  </w:style>
  <w:style w:type="character" w:customStyle="1" w:styleId="Heading9Char">
    <w:name w:val="Heading 9 Char"/>
    <w:aliases w:val="Heading 9 - Do not use Char"/>
    <w:basedOn w:val="DefaultParagraphFont"/>
    <w:link w:val="Heading9"/>
    <w:rsid w:val="00AA04DF"/>
    <w:rPr>
      <w:rFonts w:ascii="Arial" w:hAnsi="Arial" w:cs="Arial"/>
      <w:sz w:val="22"/>
      <w:szCs w:val="22"/>
      <w:lang w:eastAsia="en-US"/>
    </w:rPr>
  </w:style>
  <w:style w:type="paragraph" w:customStyle="1" w:styleId="Title1">
    <w:name w:val="Title1"/>
    <w:basedOn w:val="Normal"/>
    <w:rsid w:val="00AA04DF"/>
    <w:pPr>
      <w:spacing w:line="240" w:lineRule="auto"/>
    </w:pPr>
    <w:rPr>
      <w:rFonts w:cs="Arial"/>
      <w:b/>
      <w:szCs w:val="20"/>
      <w:lang w:eastAsia="en-GB"/>
    </w:rPr>
  </w:style>
  <w:style w:type="paragraph" w:customStyle="1" w:styleId="SubHeading">
    <w:name w:val="Sub Heading"/>
    <w:basedOn w:val="Normal"/>
    <w:next w:val="Paragraphnumbered"/>
    <w:rsid w:val="00AA04DF"/>
    <w:pPr>
      <w:spacing w:before="240" w:after="240" w:line="240" w:lineRule="auto"/>
    </w:pPr>
    <w:rPr>
      <w:rFonts w:cs="Arial"/>
      <w:sz w:val="22"/>
      <w:szCs w:val="22"/>
      <w:lang w:eastAsia="en-GB"/>
    </w:rPr>
  </w:style>
  <w:style w:type="paragraph" w:styleId="BlockText">
    <w:name w:val="Block Text"/>
    <w:basedOn w:val="Normal"/>
    <w:rsid w:val="00AA04DF"/>
    <w:pPr>
      <w:spacing w:after="120" w:line="240" w:lineRule="auto"/>
      <w:ind w:left="1440" w:right="1440"/>
    </w:pPr>
    <w:rPr>
      <w:rFonts w:cs="Arial"/>
      <w:szCs w:val="22"/>
      <w:lang w:eastAsia="en-GB"/>
    </w:rPr>
  </w:style>
  <w:style w:type="paragraph" w:styleId="BodyText">
    <w:name w:val="Body Text"/>
    <w:basedOn w:val="Normal"/>
    <w:link w:val="BodyTextChar"/>
    <w:rsid w:val="00AA04DF"/>
    <w:pPr>
      <w:spacing w:after="120" w:line="240" w:lineRule="auto"/>
    </w:pPr>
    <w:rPr>
      <w:rFonts w:cs="Arial"/>
      <w:szCs w:val="22"/>
      <w:lang w:eastAsia="en-GB"/>
    </w:rPr>
  </w:style>
  <w:style w:type="character" w:customStyle="1" w:styleId="BodyTextChar">
    <w:name w:val="Body Text Char"/>
    <w:basedOn w:val="DefaultParagraphFont"/>
    <w:link w:val="BodyText"/>
    <w:rsid w:val="00AA04DF"/>
    <w:rPr>
      <w:rFonts w:ascii="Verdana" w:hAnsi="Verdana" w:cs="Arial"/>
      <w:szCs w:val="22"/>
    </w:rPr>
  </w:style>
  <w:style w:type="paragraph" w:styleId="BodyText2">
    <w:name w:val="Body Text 2"/>
    <w:basedOn w:val="Normal"/>
    <w:link w:val="BodyText2Char"/>
    <w:rsid w:val="00AA04DF"/>
    <w:pPr>
      <w:spacing w:after="120" w:line="480" w:lineRule="auto"/>
    </w:pPr>
    <w:rPr>
      <w:rFonts w:cs="Arial"/>
      <w:szCs w:val="22"/>
      <w:lang w:eastAsia="en-GB"/>
    </w:rPr>
  </w:style>
  <w:style w:type="character" w:customStyle="1" w:styleId="BodyText2Char">
    <w:name w:val="Body Text 2 Char"/>
    <w:basedOn w:val="DefaultParagraphFont"/>
    <w:link w:val="BodyText2"/>
    <w:rsid w:val="00AA04DF"/>
    <w:rPr>
      <w:rFonts w:ascii="Verdana" w:hAnsi="Verdana" w:cs="Arial"/>
      <w:szCs w:val="22"/>
    </w:rPr>
  </w:style>
  <w:style w:type="paragraph" w:styleId="BodyText3">
    <w:name w:val="Body Text 3"/>
    <w:basedOn w:val="Normal"/>
    <w:link w:val="BodyText3Char"/>
    <w:rsid w:val="00AA04DF"/>
    <w:pPr>
      <w:spacing w:after="120" w:line="240" w:lineRule="auto"/>
    </w:pPr>
    <w:rPr>
      <w:rFonts w:cs="Arial"/>
      <w:sz w:val="16"/>
      <w:szCs w:val="16"/>
      <w:lang w:eastAsia="en-GB"/>
    </w:rPr>
  </w:style>
  <w:style w:type="character" w:customStyle="1" w:styleId="BodyText3Char">
    <w:name w:val="Body Text 3 Char"/>
    <w:basedOn w:val="DefaultParagraphFont"/>
    <w:link w:val="BodyText3"/>
    <w:rsid w:val="00AA04DF"/>
    <w:rPr>
      <w:rFonts w:ascii="Verdana" w:hAnsi="Verdana" w:cs="Arial"/>
      <w:sz w:val="16"/>
      <w:szCs w:val="16"/>
    </w:rPr>
  </w:style>
  <w:style w:type="paragraph" w:styleId="BodyTextFirstIndent">
    <w:name w:val="Body Text First Indent"/>
    <w:basedOn w:val="BodyText"/>
    <w:link w:val="BodyTextFirstIndentChar"/>
    <w:rsid w:val="00AA04DF"/>
    <w:pPr>
      <w:ind w:firstLine="210"/>
    </w:pPr>
  </w:style>
  <w:style w:type="character" w:customStyle="1" w:styleId="BodyTextFirstIndentChar">
    <w:name w:val="Body Text First Indent Char"/>
    <w:basedOn w:val="BodyTextChar"/>
    <w:link w:val="BodyTextFirstIndent"/>
    <w:rsid w:val="00AA04DF"/>
    <w:rPr>
      <w:rFonts w:ascii="Verdana" w:hAnsi="Verdana" w:cs="Arial"/>
      <w:szCs w:val="22"/>
    </w:rPr>
  </w:style>
  <w:style w:type="paragraph" w:styleId="BodyTextIndent">
    <w:name w:val="Body Text Indent"/>
    <w:basedOn w:val="Normal"/>
    <w:link w:val="BodyTextIndentChar"/>
    <w:rsid w:val="00AA04DF"/>
    <w:pPr>
      <w:spacing w:after="120" w:line="240" w:lineRule="auto"/>
      <w:ind w:left="283"/>
    </w:pPr>
    <w:rPr>
      <w:rFonts w:cs="Arial"/>
      <w:szCs w:val="22"/>
      <w:lang w:eastAsia="en-GB"/>
    </w:rPr>
  </w:style>
  <w:style w:type="character" w:customStyle="1" w:styleId="BodyTextIndentChar">
    <w:name w:val="Body Text Indent Char"/>
    <w:basedOn w:val="DefaultParagraphFont"/>
    <w:link w:val="BodyTextIndent"/>
    <w:rsid w:val="00AA04DF"/>
    <w:rPr>
      <w:rFonts w:ascii="Verdana" w:hAnsi="Verdana" w:cs="Arial"/>
      <w:szCs w:val="22"/>
    </w:rPr>
  </w:style>
  <w:style w:type="paragraph" w:styleId="BodyTextFirstIndent2">
    <w:name w:val="Body Text First Indent 2"/>
    <w:basedOn w:val="BodyTextIndent"/>
    <w:link w:val="BodyTextFirstIndent2Char"/>
    <w:rsid w:val="00AA04DF"/>
    <w:pPr>
      <w:ind w:firstLine="210"/>
    </w:pPr>
  </w:style>
  <w:style w:type="character" w:customStyle="1" w:styleId="BodyTextFirstIndent2Char">
    <w:name w:val="Body Text First Indent 2 Char"/>
    <w:basedOn w:val="BodyTextIndentChar"/>
    <w:link w:val="BodyTextFirstIndent2"/>
    <w:rsid w:val="00AA04DF"/>
    <w:rPr>
      <w:rFonts w:ascii="Verdana" w:hAnsi="Verdana" w:cs="Arial"/>
      <w:szCs w:val="22"/>
    </w:rPr>
  </w:style>
  <w:style w:type="paragraph" w:styleId="BodyTextIndent2">
    <w:name w:val="Body Text Indent 2"/>
    <w:basedOn w:val="Normal"/>
    <w:link w:val="BodyTextIndent2Char"/>
    <w:rsid w:val="00AA04DF"/>
    <w:pPr>
      <w:spacing w:after="120" w:line="480" w:lineRule="auto"/>
      <w:ind w:left="283"/>
    </w:pPr>
    <w:rPr>
      <w:rFonts w:cs="Arial"/>
      <w:szCs w:val="22"/>
      <w:lang w:eastAsia="en-GB"/>
    </w:rPr>
  </w:style>
  <w:style w:type="character" w:customStyle="1" w:styleId="BodyTextIndent2Char">
    <w:name w:val="Body Text Indent 2 Char"/>
    <w:basedOn w:val="DefaultParagraphFont"/>
    <w:link w:val="BodyTextIndent2"/>
    <w:rsid w:val="00AA04DF"/>
    <w:rPr>
      <w:rFonts w:ascii="Verdana" w:hAnsi="Verdana" w:cs="Arial"/>
      <w:szCs w:val="22"/>
    </w:rPr>
  </w:style>
  <w:style w:type="paragraph" w:styleId="Caption">
    <w:name w:val="caption"/>
    <w:basedOn w:val="Normal"/>
    <w:next w:val="Normal"/>
    <w:qFormat/>
    <w:rsid w:val="00AA04DF"/>
    <w:pPr>
      <w:spacing w:line="240" w:lineRule="auto"/>
    </w:pPr>
    <w:rPr>
      <w:rFonts w:cs="Arial"/>
      <w:b/>
      <w:bCs/>
      <w:szCs w:val="20"/>
      <w:lang w:eastAsia="en-GB"/>
    </w:rPr>
  </w:style>
  <w:style w:type="paragraph" w:styleId="Closing">
    <w:name w:val="Closing"/>
    <w:basedOn w:val="Normal"/>
    <w:link w:val="ClosingChar"/>
    <w:rsid w:val="00AA04DF"/>
    <w:pPr>
      <w:spacing w:line="240" w:lineRule="auto"/>
      <w:ind w:left="4252"/>
    </w:pPr>
    <w:rPr>
      <w:rFonts w:cs="Arial"/>
      <w:szCs w:val="22"/>
      <w:lang w:eastAsia="en-GB"/>
    </w:rPr>
  </w:style>
  <w:style w:type="character" w:customStyle="1" w:styleId="ClosingChar">
    <w:name w:val="Closing Char"/>
    <w:basedOn w:val="DefaultParagraphFont"/>
    <w:link w:val="Closing"/>
    <w:rsid w:val="00AA04DF"/>
    <w:rPr>
      <w:rFonts w:ascii="Verdana" w:hAnsi="Verdana" w:cs="Arial"/>
      <w:szCs w:val="22"/>
    </w:rPr>
  </w:style>
  <w:style w:type="character" w:customStyle="1" w:styleId="CommentSubjectChar">
    <w:name w:val="Comment Subject Char"/>
    <w:basedOn w:val="CommentTextChar"/>
    <w:link w:val="CommentSubject"/>
    <w:semiHidden/>
    <w:rsid w:val="00AA04DF"/>
    <w:rPr>
      <w:rFonts w:ascii="Verdana" w:hAnsi="Verdana"/>
      <w:b/>
      <w:bCs/>
      <w:lang w:eastAsia="en-US"/>
    </w:rPr>
  </w:style>
  <w:style w:type="paragraph" w:styleId="Date">
    <w:name w:val="Date"/>
    <w:basedOn w:val="Normal"/>
    <w:next w:val="Normal"/>
    <w:link w:val="DateChar"/>
    <w:rsid w:val="00AA04DF"/>
    <w:pPr>
      <w:spacing w:line="240" w:lineRule="auto"/>
    </w:pPr>
    <w:rPr>
      <w:rFonts w:cs="Arial"/>
      <w:szCs w:val="22"/>
      <w:lang w:eastAsia="en-GB"/>
    </w:rPr>
  </w:style>
  <w:style w:type="character" w:customStyle="1" w:styleId="DateChar">
    <w:name w:val="Date Char"/>
    <w:basedOn w:val="DefaultParagraphFont"/>
    <w:link w:val="Date"/>
    <w:rsid w:val="00AA04DF"/>
    <w:rPr>
      <w:rFonts w:ascii="Verdana" w:hAnsi="Verdana" w:cs="Arial"/>
      <w:szCs w:val="22"/>
    </w:rPr>
  </w:style>
  <w:style w:type="character" w:customStyle="1" w:styleId="DocumentMapChar">
    <w:name w:val="Document Map Char"/>
    <w:basedOn w:val="DefaultParagraphFont"/>
    <w:link w:val="DocumentMap"/>
    <w:semiHidden/>
    <w:rsid w:val="00AA04DF"/>
    <w:rPr>
      <w:rFonts w:ascii="Tahoma" w:hAnsi="Tahoma" w:cs="Tahoma"/>
      <w:shd w:val="clear" w:color="auto" w:fill="000080"/>
      <w:lang w:eastAsia="en-US"/>
    </w:rPr>
  </w:style>
  <w:style w:type="paragraph" w:styleId="E-mailSignature">
    <w:name w:val="E-mail Signature"/>
    <w:basedOn w:val="Normal"/>
    <w:link w:val="E-mailSignatureChar"/>
    <w:rsid w:val="00AA04DF"/>
    <w:pPr>
      <w:spacing w:line="240" w:lineRule="auto"/>
    </w:pPr>
    <w:rPr>
      <w:rFonts w:cs="Arial"/>
      <w:szCs w:val="22"/>
      <w:lang w:eastAsia="en-GB"/>
    </w:rPr>
  </w:style>
  <w:style w:type="character" w:customStyle="1" w:styleId="E-mailSignatureChar">
    <w:name w:val="E-mail Signature Char"/>
    <w:basedOn w:val="DefaultParagraphFont"/>
    <w:link w:val="E-mailSignature"/>
    <w:rsid w:val="00AA04DF"/>
    <w:rPr>
      <w:rFonts w:ascii="Verdana" w:hAnsi="Verdana" w:cs="Arial"/>
      <w:szCs w:val="22"/>
    </w:rPr>
  </w:style>
  <w:style w:type="character" w:customStyle="1" w:styleId="EndnoteTextChar">
    <w:name w:val="Endnote Text Char"/>
    <w:basedOn w:val="DefaultParagraphFont"/>
    <w:link w:val="EndnoteText"/>
    <w:semiHidden/>
    <w:rsid w:val="00AA04DF"/>
    <w:rPr>
      <w:rFonts w:ascii="Verdana" w:hAnsi="Verdana"/>
      <w:lang w:eastAsia="en-US"/>
    </w:rPr>
  </w:style>
  <w:style w:type="paragraph" w:styleId="EnvelopeAddress">
    <w:name w:val="envelope address"/>
    <w:basedOn w:val="Normal"/>
    <w:rsid w:val="00AA04DF"/>
    <w:pPr>
      <w:framePr w:w="7920" w:h="1980" w:hRule="exact" w:hSpace="180" w:wrap="auto" w:hAnchor="page" w:xAlign="center" w:yAlign="bottom"/>
      <w:spacing w:line="240" w:lineRule="auto"/>
      <w:ind w:left="2880"/>
    </w:pPr>
    <w:rPr>
      <w:rFonts w:ascii="Arial" w:hAnsi="Arial" w:cs="Arial"/>
      <w:sz w:val="24"/>
      <w:lang w:eastAsia="en-GB"/>
    </w:rPr>
  </w:style>
  <w:style w:type="paragraph" w:styleId="EnvelopeReturn">
    <w:name w:val="envelope return"/>
    <w:basedOn w:val="Normal"/>
    <w:rsid w:val="00AA04DF"/>
    <w:pPr>
      <w:spacing w:line="240" w:lineRule="auto"/>
    </w:pPr>
    <w:rPr>
      <w:rFonts w:ascii="Arial" w:hAnsi="Arial" w:cs="Arial"/>
      <w:szCs w:val="20"/>
      <w:lang w:eastAsia="en-GB"/>
    </w:rPr>
  </w:style>
  <w:style w:type="paragraph" w:styleId="HTMLAddress">
    <w:name w:val="HTML Address"/>
    <w:basedOn w:val="Normal"/>
    <w:link w:val="HTMLAddressChar"/>
    <w:rsid w:val="00AA04DF"/>
    <w:pPr>
      <w:spacing w:line="240" w:lineRule="auto"/>
    </w:pPr>
    <w:rPr>
      <w:rFonts w:cs="Arial"/>
      <w:i/>
      <w:iCs/>
      <w:szCs w:val="22"/>
      <w:lang w:eastAsia="en-GB"/>
    </w:rPr>
  </w:style>
  <w:style w:type="character" w:customStyle="1" w:styleId="HTMLAddressChar">
    <w:name w:val="HTML Address Char"/>
    <w:basedOn w:val="DefaultParagraphFont"/>
    <w:link w:val="HTMLAddress"/>
    <w:rsid w:val="00AA04DF"/>
    <w:rPr>
      <w:rFonts w:ascii="Verdana" w:hAnsi="Verdana" w:cs="Arial"/>
      <w:i/>
      <w:iCs/>
      <w:szCs w:val="22"/>
    </w:rPr>
  </w:style>
  <w:style w:type="paragraph" w:styleId="HTMLPreformatted">
    <w:name w:val="HTML Preformatted"/>
    <w:basedOn w:val="Normal"/>
    <w:link w:val="HTMLPreformattedChar"/>
    <w:rsid w:val="00AA04DF"/>
    <w:pPr>
      <w:spacing w:line="240" w:lineRule="auto"/>
    </w:pPr>
    <w:rPr>
      <w:rFonts w:ascii="Courier New" w:hAnsi="Courier New" w:cs="Courier New"/>
      <w:szCs w:val="20"/>
      <w:lang w:eastAsia="en-GB"/>
    </w:rPr>
  </w:style>
  <w:style w:type="character" w:customStyle="1" w:styleId="HTMLPreformattedChar">
    <w:name w:val="HTML Preformatted Char"/>
    <w:basedOn w:val="DefaultParagraphFont"/>
    <w:link w:val="HTMLPreformatted"/>
    <w:rsid w:val="00AA04DF"/>
    <w:rPr>
      <w:rFonts w:ascii="Courier New" w:hAnsi="Courier New" w:cs="Courier New"/>
    </w:rPr>
  </w:style>
  <w:style w:type="paragraph" w:styleId="List">
    <w:name w:val="List"/>
    <w:basedOn w:val="Normal"/>
    <w:rsid w:val="00AA04DF"/>
    <w:pPr>
      <w:spacing w:line="240" w:lineRule="auto"/>
      <w:ind w:left="283" w:hanging="283"/>
    </w:pPr>
    <w:rPr>
      <w:rFonts w:cs="Arial"/>
      <w:szCs w:val="22"/>
      <w:lang w:eastAsia="en-GB"/>
    </w:rPr>
  </w:style>
  <w:style w:type="paragraph" w:styleId="List2">
    <w:name w:val="List 2"/>
    <w:basedOn w:val="Normal"/>
    <w:rsid w:val="00AA04DF"/>
    <w:pPr>
      <w:spacing w:line="240" w:lineRule="auto"/>
      <w:ind w:left="566" w:hanging="283"/>
    </w:pPr>
    <w:rPr>
      <w:rFonts w:cs="Arial"/>
      <w:szCs w:val="22"/>
      <w:lang w:eastAsia="en-GB"/>
    </w:rPr>
  </w:style>
  <w:style w:type="paragraph" w:styleId="List3">
    <w:name w:val="List 3"/>
    <w:basedOn w:val="Normal"/>
    <w:rsid w:val="00AA04DF"/>
    <w:pPr>
      <w:spacing w:line="240" w:lineRule="auto"/>
      <w:ind w:left="849" w:hanging="283"/>
    </w:pPr>
    <w:rPr>
      <w:rFonts w:cs="Arial"/>
      <w:szCs w:val="22"/>
      <w:lang w:eastAsia="en-GB"/>
    </w:rPr>
  </w:style>
  <w:style w:type="paragraph" w:styleId="List4">
    <w:name w:val="List 4"/>
    <w:basedOn w:val="Normal"/>
    <w:rsid w:val="00AA04DF"/>
    <w:pPr>
      <w:spacing w:line="240" w:lineRule="auto"/>
      <w:ind w:left="1132" w:hanging="283"/>
    </w:pPr>
    <w:rPr>
      <w:rFonts w:cs="Arial"/>
      <w:szCs w:val="22"/>
      <w:lang w:eastAsia="en-GB"/>
    </w:rPr>
  </w:style>
  <w:style w:type="paragraph" w:styleId="List5">
    <w:name w:val="List 5"/>
    <w:basedOn w:val="Normal"/>
    <w:rsid w:val="00AA04DF"/>
    <w:pPr>
      <w:spacing w:line="240" w:lineRule="auto"/>
      <w:ind w:left="1415" w:hanging="283"/>
    </w:pPr>
    <w:rPr>
      <w:rFonts w:cs="Arial"/>
      <w:szCs w:val="22"/>
      <w:lang w:eastAsia="en-GB"/>
    </w:rPr>
  </w:style>
  <w:style w:type="paragraph" w:styleId="ListBullet2">
    <w:name w:val="List Bullet 2"/>
    <w:basedOn w:val="Normal"/>
    <w:rsid w:val="00AA04DF"/>
    <w:pPr>
      <w:numPr>
        <w:numId w:val="40"/>
      </w:numPr>
      <w:spacing w:line="240" w:lineRule="auto"/>
    </w:pPr>
    <w:rPr>
      <w:rFonts w:cs="Arial"/>
      <w:szCs w:val="22"/>
      <w:lang w:eastAsia="en-GB"/>
    </w:rPr>
  </w:style>
  <w:style w:type="paragraph" w:styleId="ListBullet3">
    <w:name w:val="List Bullet 3"/>
    <w:basedOn w:val="Normal"/>
    <w:rsid w:val="00AA04DF"/>
    <w:pPr>
      <w:numPr>
        <w:numId w:val="41"/>
      </w:numPr>
      <w:spacing w:line="240" w:lineRule="auto"/>
    </w:pPr>
    <w:rPr>
      <w:rFonts w:cs="Arial"/>
      <w:szCs w:val="22"/>
      <w:lang w:eastAsia="en-GB"/>
    </w:rPr>
  </w:style>
  <w:style w:type="paragraph" w:styleId="ListBullet4">
    <w:name w:val="List Bullet 4"/>
    <w:basedOn w:val="Normal"/>
    <w:rsid w:val="00AA04DF"/>
    <w:pPr>
      <w:numPr>
        <w:numId w:val="42"/>
      </w:numPr>
      <w:spacing w:line="240" w:lineRule="auto"/>
    </w:pPr>
    <w:rPr>
      <w:rFonts w:cs="Arial"/>
      <w:szCs w:val="22"/>
      <w:lang w:eastAsia="en-GB"/>
    </w:rPr>
  </w:style>
  <w:style w:type="paragraph" w:styleId="ListBullet5">
    <w:name w:val="List Bullet 5"/>
    <w:basedOn w:val="Normal"/>
    <w:rsid w:val="00AA04DF"/>
    <w:pPr>
      <w:numPr>
        <w:numId w:val="43"/>
      </w:numPr>
      <w:spacing w:line="240" w:lineRule="auto"/>
    </w:pPr>
    <w:rPr>
      <w:rFonts w:cs="Arial"/>
      <w:szCs w:val="22"/>
      <w:lang w:eastAsia="en-GB"/>
    </w:rPr>
  </w:style>
  <w:style w:type="paragraph" w:styleId="ListContinue">
    <w:name w:val="List Continue"/>
    <w:basedOn w:val="Normal"/>
    <w:rsid w:val="00AA04DF"/>
    <w:pPr>
      <w:spacing w:after="120" w:line="240" w:lineRule="auto"/>
      <w:ind w:left="283"/>
    </w:pPr>
    <w:rPr>
      <w:rFonts w:cs="Arial"/>
      <w:szCs w:val="22"/>
      <w:lang w:eastAsia="en-GB"/>
    </w:rPr>
  </w:style>
  <w:style w:type="paragraph" w:styleId="ListContinue2">
    <w:name w:val="List Continue 2"/>
    <w:basedOn w:val="Normal"/>
    <w:rsid w:val="00AA04DF"/>
    <w:pPr>
      <w:spacing w:after="120" w:line="240" w:lineRule="auto"/>
      <w:ind w:left="566"/>
    </w:pPr>
    <w:rPr>
      <w:rFonts w:cs="Arial"/>
      <w:szCs w:val="22"/>
      <w:lang w:eastAsia="en-GB"/>
    </w:rPr>
  </w:style>
  <w:style w:type="paragraph" w:styleId="ListContinue3">
    <w:name w:val="List Continue 3"/>
    <w:basedOn w:val="Normal"/>
    <w:rsid w:val="00AA04DF"/>
    <w:pPr>
      <w:spacing w:after="120" w:line="240" w:lineRule="auto"/>
      <w:ind w:left="849"/>
    </w:pPr>
    <w:rPr>
      <w:rFonts w:cs="Arial"/>
      <w:szCs w:val="22"/>
      <w:lang w:eastAsia="en-GB"/>
    </w:rPr>
  </w:style>
  <w:style w:type="paragraph" w:styleId="ListContinue4">
    <w:name w:val="List Continue 4"/>
    <w:basedOn w:val="Normal"/>
    <w:rsid w:val="00AA04DF"/>
    <w:pPr>
      <w:spacing w:after="120" w:line="240" w:lineRule="auto"/>
      <w:ind w:left="1132"/>
    </w:pPr>
    <w:rPr>
      <w:rFonts w:cs="Arial"/>
      <w:szCs w:val="22"/>
      <w:lang w:eastAsia="en-GB"/>
    </w:rPr>
  </w:style>
  <w:style w:type="paragraph" w:styleId="ListContinue5">
    <w:name w:val="List Continue 5"/>
    <w:basedOn w:val="Normal"/>
    <w:rsid w:val="00AA04DF"/>
    <w:pPr>
      <w:spacing w:after="120" w:line="240" w:lineRule="auto"/>
      <w:ind w:left="1415"/>
    </w:pPr>
    <w:rPr>
      <w:rFonts w:cs="Arial"/>
      <w:szCs w:val="22"/>
      <w:lang w:eastAsia="en-GB"/>
    </w:rPr>
  </w:style>
  <w:style w:type="paragraph" w:styleId="ListNumber">
    <w:name w:val="List Number"/>
    <w:basedOn w:val="Normal"/>
    <w:rsid w:val="00AA04DF"/>
    <w:pPr>
      <w:numPr>
        <w:numId w:val="44"/>
      </w:numPr>
      <w:spacing w:line="240" w:lineRule="auto"/>
    </w:pPr>
    <w:rPr>
      <w:rFonts w:cs="Arial"/>
      <w:szCs w:val="22"/>
      <w:lang w:eastAsia="en-GB"/>
    </w:rPr>
  </w:style>
  <w:style w:type="paragraph" w:styleId="ListNumber2">
    <w:name w:val="List Number 2"/>
    <w:basedOn w:val="Normal"/>
    <w:rsid w:val="00AA04DF"/>
    <w:pPr>
      <w:numPr>
        <w:numId w:val="45"/>
      </w:numPr>
      <w:spacing w:line="240" w:lineRule="auto"/>
    </w:pPr>
    <w:rPr>
      <w:rFonts w:cs="Arial"/>
      <w:szCs w:val="22"/>
      <w:lang w:eastAsia="en-GB"/>
    </w:rPr>
  </w:style>
  <w:style w:type="paragraph" w:styleId="ListNumber3">
    <w:name w:val="List Number 3"/>
    <w:basedOn w:val="Normal"/>
    <w:rsid w:val="00AA04DF"/>
    <w:pPr>
      <w:numPr>
        <w:numId w:val="46"/>
      </w:numPr>
      <w:spacing w:line="240" w:lineRule="auto"/>
    </w:pPr>
    <w:rPr>
      <w:rFonts w:cs="Arial"/>
      <w:szCs w:val="22"/>
      <w:lang w:eastAsia="en-GB"/>
    </w:rPr>
  </w:style>
  <w:style w:type="paragraph" w:styleId="ListNumber4">
    <w:name w:val="List Number 4"/>
    <w:basedOn w:val="Normal"/>
    <w:rsid w:val="00AA04DF"/>
    <w:pPr>
      <w:numPr>
        <w:numId w:val="47"/>
      </w:numPr>
      <w:spacing w:line="240" w:lineRule="auto"/>
    </w:pPr>
    <w:rPr>
      <w:rFonts w:cs="Arial"/>
      <w:szCs w:val="22"/>
      <w:lang w:eastAsia="en-GB"/>
    </w:rPr>
  </w:style>
  <w:style w:type="paragraph" w:styleId="ListNumber5">
    <w:name w:val="List Number 5"/>
    <w:basedOn w:val="Normal"/>
    <w:rsid w:val="00AA04DF"/>
    <w:pPr>
      <w:numPr>
        <w:numId w:val="48"/>
      </w:numPr>
      <w:spacing w:line="240" w:lineRule="auto"/>
    </w:pPr>
    <w:rPr>
      <w:rFonts w:cs="Arial"/>
      <w:szCs w:val="22"/>
      <w:lang w:eastAsia="en-GB"/>
    </w:rPr>
  </w:style>
  <w:style w:type="character" w:customStyle="1" w:styleId="MacroTextChar">
    <w:name w:val="Macro Text Char"/>
    <w:basedOn w:val="DefaultParagraphFont"/>
    <w:link w:val="MacroText"/>
    <w:semiHidden/>
    <w:rsid w:val="00AA04DF"/>
    <w:rPr>
      <w:rFonts w:ascii="Courier New" w:hAnsi="Courier New" w:cs="Courier New"/>
      <w:lang w:eastAsia="en-US"/>
    </w:rPr>
  </w:style>
  <w:style w:type="paragraph" w:styleId="MessageHeader">
    <w:name w:val="Message Header"/>
    <w:basedOn w:val="Normal"/>
    <w:link w:val="MessageHeaderChar"/>
    <w:rsid w:val="00AA04DF"/>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Arial" w:hAnsi="Arial" w:cs="Arial"/>
      <w:sz w:val="24"/>
      <w:lang w:eastAsia="en-GB"/>
    </w:rPr>
  </w:style>
  <w:style w:type="character" w:customStyle="1" w:styleId="MessageHeaderChar">
    <w:name w:val="Message Header Char"/>
    <w:basedOn w:val="DefaultParagraphFont"/>
    <w:link w:val="MessageHeader"/>
    <w:rsid w:val="00AA04DF"/>
    <w:rPr>
      <w:rFonts w:ascii="Arial" w:hAnsi="Arial" w:cs="Arial"/>
      <w:sz w:val="24"/>
      <w:szCs w:val="24"/>
      <w:shd w:val="pct20" w:color="auto" w:fill="auto"/>
    </w:rPr>
  </w:style>
  <w:style w:type="paragraph" w:styleId="NormalIndent">
    <w:name w:val="Normal Indent"/>
    <w:basedOn w:val="Normal"/>
    <w:rsid w:val="00AA04DF"/>
    <w:pPr>
      <w:spacing w:line="240" w:lineRule="auto"/>
      <w:ind w:left="720"/>
    </w:pPr>
    <w:rPr>
      <w:rFonts w:cs="Arial"/>
      <w:szCs w:val="22"/>
      <w:lang w:eastAsia="en-GB"/>
    </w:rPr>
  </w:style>
  <w:style w:type="paragraph" w:styleId="NoteHeading">
    <w:name w:val="Note Heading"/>
    <w:basedOn w:val="Normal"/>
    <w:next w:val="Normal"/>
    <w:link w:val="NoteHeadingChar"/>
    <w:rsid w:val="00AA04DF"/>
    <w:pPr>
      <w:spacing w:line="240" w:lineRule="auto"/>
    </w:pPr>
    <w:rPr>
      <w:rFonts w:cs="Arial"/>
      <w:szCs w:val="22"/>
      <w:lang w:eastAsia="en-GB"/>
    </w:rPr>
  </w:style>
  <w:style w:type="character" w:customStyle="1" w:styleId="NoteHeadingChar">
    <w:name w:val="Note Heading Char"/>
    <w:basedOn w:val="DefaultParagraphFont"/>
    <w:link w:val="NoteHeading"/>
    <w:rsid w:val="00AA04DF"/>
    <w:rPr>
      <w:rFonts w:ascii="Verdana" w:hAnsi="Verdana" w:cs="Arial"/>
      <w:szCs w:val="22"/>
    </w:rPr>
  </w:style>
  <w:style w:type="paragraph" w:styleId="PlainText">
    <w:name w:val="Plain Text"/>
    <w:basedOn w:val="Normal"/>
    <w:link w:val="PlainTextChar"/>
    <w:rsid w:val="00AA04DF"/>
    <w:pPr>
      <w:spacing w:line="240" w:lineRule="auto"/>
    </w:pPr>
    <w:rPr>
      <w:rFonts w:ascii="Courier New" w:hAnsi="Courier New" w:cs="Courier New"/>
      <w:szCs w:val="20"/>
      <w:lang w:eastAsia="en-GB"/>
    </w:rPr>
  </w:style>
  <w:style w:type="character" w:customStyle="1" w:styleId="PlainTextChar">
    <w:name w:val="Plain Text Char"/>
    <w:basedOn w:val="DefaultParagraphFont"/>
    <w:link w:val="PlainText"/>
    <w:rsid w:val="00AA04DF"/>
    <w:rPr>
      <w:rFonts w:ascii="Courier New" w:hAnsi="Courier New" w:cs="Courier New"/>
    </w:rPr>
  </w:style>
  <w:style w:type="paragraph" w:styleId="Salutation">
    <w:name w:val="Salutation"/>
    <w:basedOn w:val="Normal"/>
    <w:next w:val="Normal"/>
    <w:link w:val="SalutationChar"/>
    <w:rsid w:val="00AA04DF"/>
    <w:pPr>
      <w:spacing w:line="240" w:lineRule="auto"/>
    </w:pPr>
    <w:rPr>
      <w:rFonts w:cs="Arial"/>
      <w:szCs w:val="22"/>
      <w:lang w:eastAsia="en-GB"/>
    </w:rPr>
  </w:style>
  <w:style w:type="character" w:customStyle="1" w:styleId="SalutationChar">
    <w:name w:val="Salutation Char"/>
    <w:basedOn w:val="DefaultParagraphFont"/>
    <w:link w:val="Salutation"/>
    <w:rsid w:val="00AA04DF"/>
    <w:rPr>
      <w:rFonts w:ascii="Verdana" w:hAnsi="Verdana" w:cs="Arial"/>
      <w:szCs w:val="22"/>
    </w:rPr>
  </w:style>
  <w:style w:type="paragraph" w:styleId="Signature">
    <w:name w:val="Signature"/>
    <w:basedOn w:val="Normal"/>
    <w:link w:val="SignatureChar"/>
    <w:rsid w:val="00AA04DF"/>
    <w:pPr>
      <w:spacing w:line="240" w:lineRule="auto"/>
      <w:ind w:left="4252"/>
    </w:pPr>
    <w:rPr>
      <w:rFonts w:cs="Arial"/>
      <w:szCs w:val="22"/>
      <w:lang w:eastAsia="en-GB"/>
    </w:rPr>
  </w:style>
  <w:style w:type="character" w:customStyle="1" w:styleId="SignatureChar">
    <w:name w:val="Signature Char"/>
    <w:basedOn w:val="DefaultParagraphFont"/>
    <w:link w:val="Signature"/>
    <w:rsid w:val="00AA04DF"/>
    <w:rPr>
      <w:rFonts w:ascii="Verdana" w:hAnsi="Verdana" w:cs="Arial"/>
      <w:szCs w:val="22"/>
    </w:rPr>
  </w:style>
  <w:style w:type="character" w:customStyle="1" w:styleId="Text-bulletedChar">
    <w:name w:val="Text - bulleted Char"/>
    <w:basedOn w:val="DefaultParagraphFont"/>
    <w:link w:val="Text-bulleted"/>
    <w:rsid w:val="00AA04DF"/>
    <w:rPr>
      <w:rFonts w:ascii="Verdana" w:hAnsi="Verdana" w:cs="CGOmega-Regular"/>
      <w:szCs w:val="24"/>
      <w:lang w:eastAsia="en-US"/>
    </w:rPr>
  </w:style>
  <w:style w:type="character" w:styleId="Strong">
    <w:name w:val="Strong"/>
    <w:basedOn w:val="DefaultParagraphFont"/>
    <w:uiPriority w:val="22"/>
    <w:qFormat/>
    <w:locked/>
    <w:rsid w:val="009C7EB9"/>
    <w:rPr>
      <w:b/>
      <w:bCs/>
    </w:rPr>
  </w:style>
  <w:style w:type="numbering" w:customStyle="1" w:styleId="ConsultationQuestionList1">
    <w:name w:val="Consultation Question List1"/>
    <w:basedOn w:val="NoList"/>
    <w:uiPriority w:val="99"/>
    <w:rsid w:val="00A836EA"/>
  </w:style>
  <w:style w:type="numbering" w:customStyle="1" w:styleId="LicenceNumbering">
    <w:name w:val="Licence Numbering"/>
    <w:basedOn w:val="NoList"/>
    <w:uiPriority w:val="99"/>
    <w:rsid w:val="00AD28FF"/>
    <w:pPr>
      <w:numPr>
        <w:numId w:val="7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87804">
      <w:bodyDiv w:val="1"/>
      <w:marLeft w:val="0"/>
      <w:marRight w:val="0"/>
      <w:marTop w:val="0"/>
      <w:marBottom w:val="0"/>
      <w:divBdr>
        <w:top w:val="none" w:sz="0" w:space="0" w:color="auto"/>
        <w:left w:val="none" w:sz="0" w:space="0" w:color="auto"/>
        <w:bottom w:val="none" w:sz="0" w:space="0" w:color="auto"/>
        <w:right w:val="none" w:sz="0" w:space="0" w:color="auto"/>
      </w:divBdr>
    </w:div>
    <w:div w:id="91585383">
      <w:bodyDiv w:val="1"/>
      <w:marLeft w:val="0"/>
      <w:marRight w:val="0"/>
      <w:marTop w:val="0"/>
      <w:marBottom w:val="0"/>
      <w:divBdr>
        <w:top w:val="none" w:sz="0" w:space="0" w:color="auto"/>
        <w:left w:val="none" w:sz="0" w:space="0" w:color="auto"/>
        <w:bottom w:val="none" w:sz="0" w:space="0" w:color="auto"/>
        <w:right w:val="none" w:sz="0" w:space="0" w:color="auto"/>
      </w:divBdr>
    </w:div>
    <w:div w:id="167454004">
      <w:bodyDiv w:val="1"/>
      <w:marLeft w:val="0"/>
      <w:marRight w:val="0"/>
      <w:marTop w:val="0"/>
      <w:marBottom w:val="0"/>
      <w:divBdr>
        <w:top w:val="none" w:sz="0" w:space="0" w:color="auto"/>
        <w:left w:val="none" w:sz="0" w:space="0" w:color="auto"/>
        <w:bottom w:val="none" w:sz="0" w:space="0" w:color="auto"/>
        <w:right w:val="none" w:sz="0" w:space="0" w:color="auto"/>
      </w:divBdr>
    </w:div>
    <w:div w:id="286202189">
      <w:bodyDiv w:val="1"/>
      <w:marLeft w:val="0"/>
      <w:marRight w:val="0"/>
      <w:marTop w:val="0"/>
      <w:marBottom w:val="0"/>
      <w:divBdr>
        <w:top w:val="none" w:sz="0" w:space="0" w:color="auto"/>
        <w:left w:val="none" w:sz="0" w:space="0" w:color="auto"/>
        <w:bottom w:val="none" w:sz="0" w:space="0" w:color="auto"/>
        <w:right w:val="none" w:sz="0" w:space="0" w:color="auto"/>
      </w:divBdr>
    </w:div>
    <w:div w:id="406534052">
      <w:bodyDiv w:val="1"/>
      <w:marLeft w:val="0"/>
      <w:marRight w:val="0"/>
      <w:marTop w:val="0"/>
      <w:marBottom w:val="0"/>
      <w:divBdr>
        <w:top w:val="none" w:sz="0" w:space="0" w:color="auto"/>
        <w:left w:val="none" w:sz="0" w:space="0" w:color="auto"/>
        <w:bottom w:val="none" w:sz="0" w:space="0" w:color="auto"/>
        <w:right w:val="none" w:sz="0" w:space="0" w:color="auto"/>
      </w:divBdr>
    </w:div>
    <w:div w:id="424226282">
      <w:bodyDiv w:val="1"/>
      <w:marLeft w:val="0"/>
      <w:marRight w:val="0"/>
      <w:marTop w:val="0"/>
      <w:marBottom w:val="0"/>
      <w:divBdr>
        <w:top w:val="none" w:sz="0" w:space="0" w:color="auto"/>
        <w:left w:val="none" w:sz="0" w:space="0" w:color="auto"/>
        <w:bottom w:val="none" w:sz="0" w:space="0" w:color="auto"/>
        <w:right w:val="none" w:sz="0" w:space="0" w:color="auto"/>
      </w:divBdr>
    </w:div>
    <w:div w:id="465854118">
      <w:bodyDiv w:val="1"/>
      <w:marLeft w:val="0"/>
      <w:marRight w:val="0"/>
      <w:marTop w:val="0"/>
      <w:marBottom w:val="0"/>
      <w:divBdr>
        <w:top w:val="none" w:sz="0" w:space="0" w:color="auto"/>
        <w:left w:val="none" w:sz="0" w:space="0" w:color="auto"/>
        <w:bottom w:val="none" w:sz="0" w:space="0" w:color="auto"/>
        <w:right w:val="none" w:sz="0" w:space="0" w:color="auto"/>
      </w:divBdr>
    </w:div>
    <w:div w:id="526717460">
      <w:bodyDiv w:val="1"/>
      <w:marLeft w:val="0"/>
      <w:marRight w:val="0"/>
      <w:marTop w:val="0"/>
      <w:marBottom w:val="0"/>
      <w:divBdr>
        <w:top w:val="none" w:sz="0" w:space="0" w:color="auto"/>
        <w:left w:val="none" w:sz="0" w:space="0" w:color="auto"/>
        <w:bottom w:val="none" w:sz="0" w:space="0" w:color="auto"/>
        <w:right w:val="none" w:sz="0" w:space="0" w:color="auto"/>
      </w:divBdr>
    </w:div>
    <w:div w:id="531112511">
      <w:bodyDiv w:val="1"/>
      <w:marLeft w:val="0"/>
      <w:marRight w:val="0"/>
      <w:marTop w:val="0"/>
      <w:marBottom w:val="0"/>
      <w:divBdr>
        <w:top w:val="none" w:sz="0" w:space="0" w:color="auto"/>
        <w:left w:val="none" w:sz="0" w:space="0" w:color="auto"/>
        <w:bottom w:val="none" w:sz="0" w:space="0" w:color="auto"/>
        <w:right w:val="none" w:sz="0" w:space="0" w:color="auto"/>
      </w:divBdr>
    </w:div>
    <w:div w:id="533808652">
      <w:bodyDiv w:val="1"/>
      <w:marLeft w:val="0"/>
      <w:marRight w:val="0"/>
      <w:marTop w:val="0"/>
      <w:marBottom w:val="0"/>
      <w:divBdr>
        <w:top w:val="none" w:sz="0" w:space="0" w:color="auto"/>
        <w:left w:val="none" w:sz="0" w:space="0" w:color="auto"/>
        <w:bottom w:val="none" w:sz="0" w:space="0" w:color="auto"/>
        <w:right w:val="none" w:sz="0" w:space="0" w:color="auto"/>
      </w:divBdr>
    </w:div>
    <w:div w:id="619067946">
      <w:bodyDiv w:val="1"/>
      <w:marLeft w:val="0"/>
      <w:marRight w:val="0"/>
      <w:marTop w:val="0"/>
      <w:marBottom w:val="0"/>
      <w:divBdr>
        <w:top w:val="none" w:sz="0" w:space="0" w:color="auto"/>
        <w:left w:val="none" w:sz="0" w:space="0" w:color="auto"/>
        <w:bottom w:val="none" w:sz="0" w:space="0" w:color="auto"/>
        <w:right w:val="none" w:sz="0" w:space="0" w:color="auto"/>
      </w:divBdr>
    </w:div>
    <w:div w:id="632444225">
      <w:bodyDiv w:val="1"/>
      <w:marLeft w:val="0"/>
      <w:marRight w:val="0"/>
      <w:marTop w:val="0"/>
      <w:marBottom w:val="0"/>
      <w:divBdr>
        <w:top w:val="none" w:sz="0" w:space="0" w:color="auto"/>
        <w:left w:val="none" w:sz="0" w:space="0" w:color="auto"/>
        <w:bottom w:val="none" w:sz="0" w:space="0" w:color="auto"/>
        <w:right w:val="none" w:sz="0" w:space="0" w:color="auto"/>
      </w:divBdr>
    </w:div>
    <w:div w:id="632709517">
      <w:bodyDiv w:val="1"/>
      <w:marLeft w:val="0"/>
      <w:marRight w:val="0"/>
      <w:marTop w:val="0"/>
      <w:marBottom w:val="0"/>
      <w:divBdr>
        <w:top w:val="none" w:sz="0" w:space="0" w:color="auto"/>
        <w:left w:val="none" w:sz="0" w:space="0" w:color="auto"/>
        <w:bottom w:val="none" w:sz="0" w:space="0" w:color="auto"/>
        <w:right w:val="none" w:sz="0" w:space="0" w:color="auto"/>
      </w:divBdr>
    </w:div>
    <w:div w:id="710032145">
      <w:bodyDiv w:val="1"/>
      <w:marLeft w:val="0"/>
      <w:marRight w:val="0"/>
      <w:marTop w:val="0"/>
      <w:marBottom w:val="0"/>
      <w:divBdr>
        <w:top w:val="none" w:sz="0" w:space="0" w:color="auto"/>
        <w:left w:val="none" w:sz="0" w:space="0" w:color="auto"/>
        <w:bottom w:val="none" w:sz="0" w:space="0" w:color="auto"/>
        <w:right w:val="none" w:sz="0" w:space="0" w:color="auto"/>
      </w:divBdr>
    </w:div>
    <w:div w:id="768240758">
      <w:bodyDiv w:val="1"/>
      <w:marLeft w:val="0"/>
      <w:marRight w:val="0"/>
      <w:marTop w:val="0"/>
      <w:marBottom w:val="0"/>
      <w:divBdr>
        <w:top w:val="none" w:sz="0" w:space="0" w:color="auto"/>
        <w:left w:val="none" w:sz="0" w:space="0" w:color="auto"/>
        <w:bottom w:val="none" w:sz="0" w:space="0" w:color="auto"/>
        <w:right w:val="none" w:sz="0" w:space="0" w:color="auto"/>
      </w:divBdr>
    </w:div>
    <w:div w:id="808942302">
      <w:bodyDiv w:val="1"/>
      <w:marLeft w:val="0"/>
      <w:marRight w:val="0"/>
      <w:marTop w:val="0"/>
      <w:marBottom w:val="0"/>
      <w:divBdr>
        <w:top w:val="none" w:sz="0" w:space="0" w:color="auto"/>
        <w:left w:val="none" w:sz="0" w:space="0" w:color="auto"/>
        <w:bottom w:val="none" w:sz="0" w:space="0" w:color="auto"/>
        <w:right w:val="none" w:sz="0" w:space="0" w:color="auto"/>
      </w:divBdr>
    </w:div>
    <w:div w:id="858422751">
      <w:bodyDiv w:val="1"/>
      <w:marLeft w:val="0"/>
      <w:marRight w:val="0"/>
      <w:marTop w:val="0"/>
      <w:marBottom w:val="0"/>
      <w:divBdr>
        <w:top w:val="none" w:sz="0" w:space="0" w:color="auto"/>
        <w:left w:val="none" w:sz="0" w:space="0" w:color="auto"/>
        <w:bottom w:val="none" w:sz="0" w:space="0" w:color="auto"/>
        <w:right w:val="none" w:sz="0" w:space="0" w:color="auto"/>
      </w:divBdr>
    </w:div>
    <w:div w:id="860974221">
      <w:bodyDiv w:val="1"/>
      <w:marLeft w:val="0"/>
      <w:marRight w:val="0"/>
      <w:marTop w:val="0"/>
      <w:marBottom w:val="0"/>
      <w:divBdr>
        <w:top w:val="none" w:sz="0" w:space="0" w:color="auto"/>
        <w:left w:val="none" w:sz="0" w:space="0" w:color="auto"/>
        <w:bottom w:val="none" w:sz="0" w:space="0" w:color="auto"/>
        <w:right w:val="none" w:sz="0" w:space="0" w:color="auto"/>
      </w:divBdr>
    </w:div>
    <w:div w:id="897477719">
      <w:bodyDiv w:val="1"/>
      <w:marLeft w:val="0"/>
      <w:marRight w:val="0"/>
      <w:marTop w:val="0"/>
      <w:marBottom w:val="0"/>
      <w:divBdr>
        <w:top w:val="none" w:sz="0" w:space="0" w:color="auto"/>
        <w:left w:val="none" w:sz="0" w:space="0" w:color="auto"/>
        <w:bottom w:val="none" w:sz="0" w:space="0" w:color="auto"/>
        <w:right w:val="none" w:sz="0" w:space="0" w:color="auto"/>
      </w:divBdr>
    </w:div>
    <w:div w:id="1028872663">
      <w:bodyDiv w:val="1"/>
      <w:marLeft w:val="0"/>
      <w:marRight w:val="0"/>
      <w:marTop w:val="0"/>
      <w:marBottom w:val="0"/>
      <w:divBdr>
        <w:top w:val="none" w:sz="0" w:space="0" w:color="auto"/>
        <w:left w:val="none" w:sz="0" w:space="0" w:color="auto"/>
        <w:bottom w:val="none" w:sz="0" w:space="0" w:color="auto"/>
        <w:right w:val="none" w:sz="0" w:space="0" w:color="auto"/>
      </w:divBdr>
    </w:div>
    <w:div w:id="1050763043">
      <w:bodyDiv w:val="1"/>
      <w:marLeft w:val="0"/>
      <w:marRight w:val="0"/>
      <w:marTop w:val="0"/>
      <w:marBottom w:val="0"/>
      <w:divBdr>
        <w:top w:val="none" w:sz="0" w:space="0" w:color="auto"/>
        <w:left w:val="none" w:sz="0" w:space="0" w:color="auto"/>
        <w:bottom w:val="none" w:sz="0" w:space="0" w:color="auto"/>
        <w:right w:val="none" w:sz="0" w:space="0" w:color="auto"/>
      </w:divBdr>
    </w:div>
    <w:div w:id="1069033330">
      <w:bodyDiv w:val="1"/>
      <w:marLeft w:val="0"/>
      <w:marRight w:val="0"/>
      <w:marTop w:val="0"/>
      <w:marBottom w:val="0"/>
      <w:divBdr>
        <w:top w:val="none" w:sz="0" w:space="0" w:color="auto"/>
        <w:left w:val="none" w:sz="0" w:space="0" w:color="auto"/>
        <w:bottom w:val="none" w:sz="0" w:space="0" w:color="auto"/>
        <w:right w:val="none" w:sz="0" w:space="0" w:color="auto"/>
      </w:divBdr>
    </w:div>
    <w:div w:id="1213421738">
      <w:bodyDiv w:val="1"/>
      <w:marLeft w:val="0"/>
      <w:marRight w:val="0"/>
      <w:marTop w:val="0"/>
      <w:marBottom w:val="0"/>
      <w:divBdr>
        <w:top w:val="none" w:sz="0" w:space="0" w:color="auto"/>
        <w:left w:val="none" w:sz="0" w:space="0" w:color="auto"/>
        <w:bottom w:val="none" w:sz="0" w:space="0" w:color="auto"/>
        <w:right w:val="none" w:sz="0" w:space="0" w:color="auto"/>
      </w:divBdr>
    </w:div>
    <w:div w:id="1314678302">
      <w:bodyDiv w:val="1"/>
      <w:marLeft w:val="0"/>
      <w:marRight w:val="0"/>
      <w:marTop w:val="0"/>
      <w:marBottom w:val="0"/>
      <w:divBdr>
        <w:top w:val="none" w:sz="0" w:space="0" w:color="auto"/>
        <w:left w:val="none" w:sz="0" w:space="0" w:color="auto"/>
        <w:bottom w:val="none" w:sz="0" w:space="0" w:color="auto"/>
        <w:right w:val="none" w:sz="0" w:space="0" w:color="auto"/>
      </w:divBdr>
    </w:div>
    <w:div w:id="1383093099">
      <w:bodyDiv w:val="1"/>
      <w:marLeft w:val="0"/>
      <w:marRight w:val="0"/>
      <w:marTop w:val="0"/>
      <w:marBottom w:val="0"/>
      <w:divBdr>
        <w:top w:val="none" w:sz="0" w:space="0" w:color="auto"/>
        <w:left w:val="none" w:sz="0" w:space="0" w:color="auto"/>
        <w:bottom w:val="none" w:sz="0" w:space="0" w:color="auto"/>
        <w:right w:val="none" w:sz="0" w:space="0" w:color="auto"/>
      </w:divBdr>
    </w:div>
    <w:div w:id="1483885210">
      <w:bodyDiv w:val="1"/>
      <w:marLeft w:val="0"/>
      <w:marRight w:val="0"/>
      <w:marTop w:val="0"/>
      <w:marBottom w:val="0"/>
      <w:divBdr>
        <w:top w:val="none" w:sz="0" w:space="0" w:color="auto"/>
        <w:left w:val="none" w:sz="0" w:space="0" w:color="auto"/>
        <w:bottom w:val="none" w:sz="0" w:space="0" w:color="auto"/>
        <w:right w:val="none" w:sz="0" w:space="0" w:color="auto"/>
      </w:divBdr>
    </w:div>
    <w:div w:id="1607690997">
      <w:bodyDiv w:val="1"/>
      <w:marLeft w:val="0"/>
      <w:marRight w:val="0"/>
      <w:marTop w:val="0"/>
      <w:marBottom w:val="0"/>
      <w:divBdr>
        <w:top w:val="none" w:sz="0" w:space="0" w:color="auto"/>
        <w:left w:val="none" w:sz="0" w:space="0" w:color="auto"/>
        <w:bottom w:val="none" w:sz="0" w:space="0" w:color="auto"/>
        <w:right w:val="none" w:sz="0" w:space="0" w:color="auto"/>
      </w:divBdr>
    </w:div>
    <w:div w:id="1641032893">
      <w:bodyDiv w:val="1"/>
      <w:marLeft w:val="0"/>
      <w:marRight w:val="0"/>
      <w:marTop w:val="0"/>
      <w:marBottom w:val="0"/>
      <w:divBdr>
        <w:top w:val="none" w:sz="0" w:space="0" w:color="auto"/>
        <w:left w:val="none" w:sz="0" w:space="0" w:color="auto"/>
        <w:bottom w:val="none" w:sz="0" w:space="0" w:color="auto"/>
        <w:right w:val="none" w:sz="0" w:space="0" w:color="auto"/>
      </w:divBdr>
    </w:div>
    <w:div w:id="1732653954">
      <w:bodyDiv w:val="1"/>
      <w:marLeft w:val="0"/>
      <w:marRight w:val="0"/>
      <w:marTop w:val="0"/>
      <w:marBottom w:val="0"/>
      <w:divBdr>
        <w:top w:val="none" w:sz="0" w:space="0" w:color="auto"/>
        <w:left w:val="none" w:sz="0" w:space="0" w:color="auto"/>
        <w:bottom w:val="none" w:sz="0" w:space="0" w:color="auto"/>
        <w:right w:val="none" w:sz="0" w:space="0" w:color="auto"/>
      </w:divBdr>
    </w:div>
    <w:div w:id="1773159655">
      <w:bodyDiv w:val="1"/>
      <w:marLeft w:val="0"/>
      <w:marRight w:val="0"/>
      <w:marTop w:val="0"/>
      <w:marBottom w:val="0"/>
      <w:divBdr>
        <w:top w:val="none" w:sz="0" w:space="0" w:color="auto"/>
        <w:left w:val="none" w:sz="0" w:space="0" w:color="auto"/>
        <w:bottom w:val="none" w:sz="0" w:space="0" w:color="auto"/>
        <w:right w:val="none" w:sz="0" w:space="0" w:color="auto"/>
      </w:divBdr>
    </w:div>
    <w:div w:id="1794514352">
      <w:bodyDiv w:val="1"/>
      <w:marLeft w:val="0"/>
      <w:marRight w:val="0"/>
      <w:marTop w:val="0"/>
      <w:marBottom w:val="0"/>
      <w:divBdr>
        <w:top w:val="none" w:sz="0" w:space="0" w:color="auto"/>
        <w:left w:val="none" w:sz="0" w:space="0" w:color="auto"/>
        <w:bottom w:val="none" w:sz="0" w:space="0" w:color="auto"/>
        <w:right w:val="none" w:sz="0" w:space="0" w:color="auto"/>
      </w:divBdr>
    </w:div>
    <w:div w:id="1804540681">
      <w:bodyDiv w:val="1"/>
      <w:marLeft w:val="0"/>
      <w:marRight w:val="0"/>
      <w:marTop w:val="0"/>
      <w:marBottom w:val="0"/>
      <w:divBdr>
        <w:top w:val="none" w:sz="0" w:space="0" w:color="auto"/>
        <w:left w:val="none" w:sz="0" w:space="0" w:color="auto"/>
        <w:bottom w:val="none" w:sz="0" w:space="0" w:color="auto"/>
        <w:right w:val="none" w:sz="0" w:space="0" w:color="auto"/>
      </w:divBdr>
    </w:div>
    <w:div w:id="1866090786">
      <w:bodyDiv w:val="1"/>
      <w:marLeft w:val="0"/>
      <w:marRight w:val="0"/>
      <w:marTop w:val="0"/>
      <w:marBottom w:val="0"/>
      <w:divBdr>
        <w:top w:val="none" w:sz="0" w:space="0" w:color="auto"/>
        <w:left w:val="none" w:sz="0" w:space="0" w:color="auto"/>
        <w:bottom w:val="none" w:sz="0" w:space="0" w:color="auto"/>
        <w:right w:val="none" w:sz="0" w:space="0" w:color="auto"/>
      </w:divBdr>
    </w:div>
    <w:div w:id="1874341460">
      <w:bodyDiv w:val="1"/>
      <w:marLeft w:val="0"/>
      <w:marRight w:val="0"/>
      <w:marTop w:val="0"/>
      <w:marBottom w:val="0"/>
      <w:divBdr>
        <w:top w:val="none" w:sz="0" w:space="0" w:color="auto"/>
        <w:left w:val="none" w:sz="0" w:space="0" w:color="auto"/>
        <w:bottom w:val="none" w:sz="0" w:space="0" w:color="auto"/>
        <w:right w:val="none" w:sz="0" w:space="0" w:color="auto"/>
      </w:divBdr>
    </w:div>
    <w:div w:id="2003580262">
      <w:bodyDiv w:val="1"/>
      <w:marLeft w:val="0"/>
      <w:marRight w:val="0"/>
      <w:marTop w:val="0"/>
      <w:marBottom w:val="0"/>
      <w:divBdr>
        <w:top w:val="none" w:sz="0" w:space="0" w:color="auto"/>
        <w:left w:val="none" w:sz="0" w:space="0" w:color="auto"/>
        <w:bottom w:val="none" w:sz="0" w:space="0" w:color="auto"/>
        <w:right w:val="none" w:sz="0" w:space="0" w:color="auto"/>
      </w:divBdr>
    </w:div>
    <w:div w:id="2067339461">
      <w:bodyDiv w:val="1"/>
      <w:marLeft w:val="0"/>
      <w:marRight w:val="0"/>
      <w:marTop w:val="0"/>
      <w:marBottom w:val="0"/>
      <w:divBdr>
        <w:top w:val="none" w:sz="0" w:space="0" w:color="auto"/>
        <w:left w:val="none" w:sz="0" w:space="0" w:color="auto"/>
        <w:bottom w:val="none" w:sz="0" w:space="0" w:color="auto"/>
        <w:right w:val="none" w:sz="0" w:space="0" w:color="auto"/>
      </w:divBdr>
    </w:div>
    <w:div w:id="2075812250">
      <w:bodyDiv w:val="1"/>
      <w:marLeft w:val="0"/>
      <w:marRight w:val="0"/>
      <w:marTop w:val="0"/>
      <w:marBottom w:val="0"/>
      <w:divBdr>
        <w:top w:val="none" w:sz="0" w:space="0" w:color="auto"/>
        <w:left w:val="none" w:sz="0" w:space="0" w:color="auto"/>
        <w:bottom w:val="none" w:sz="0" w:space="0" w:color="auto"/>
        <w:right w:val="none" w:sz="0" w:space="0" w:color="auto"/>
      </w:divBdr>
    </w:div>
    <w:div w:id="212017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fgem.gov.uk" TargetMode="External"/><Relationship Id="rId18" Type="http://schemas.openxmlformats.org/officeDocument/2006/relationships/hyperlink" Target="http://www.ofgem.gov.uk"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nationalarchives.gov.uk/doc/open-government-licence/version/3/" TargetMode="External"/><Relationship Id="rId17" Type="http://schemas.openxmlformats.org/officeDocument/2006/relationships/hyperlink" Target="http://www.nationalarchives.gov.uk/doc/open-government-licence/version/3/" TargetMode="External"/><Relationship Id="rId25" Type="http://schemas.openxmlformats.org/officeDocument/2006/relationships/footer" Target="footer3.xml"/><Relationship Id="rId2" Type="http://schemas.openxmlformats.org/officeDocument/2006/relationships/customXml" Target="../customXml/item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psi@nationalarchives.gsi.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si@nationalarchives.gsi.gov.uk" TargetMode="External"/><Relationship Id="rId22" Type="http://schemas.openxmlformats.org/officeDocument/2006/relationships/footer" Target="foot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8" Type="http://schemas.openxmlformats.org/officeDocument/2006/relationships/hyperlink" Target="http://www.ofgem.gov.uk/Pages/MoreInformation.aspx?docid=49&amp;refer=Networks" TargetMode="External"/><Relationship Id="rId3" Type="http://schemas.openxmlformats.org/officeDocument/2006/relationships/hyperlink" Target="https://www.bankofengland.co.uk/" TargetMode="External"/><Relationship Id="rId7" Type="http://schemas.openxmlformats.org/officeDocument/2006/relationships/hyperlink" Target="https://www.gov.uk/hmrc-internal-manuals/company-taxation-manual/ctm80530" TargetMode="External"/><Relationship Id="rId2" Type="http://schemas.openxmlformats.org/officeDocument/2006/relationships/hyperlink" Target="https://www.ons.gov.uk/economy/inflationandpriceindices/timeseries/l522/mm23" TargetMode="External"/><Relationship Id="rId1" Type="http://schemas.openxmlformats.org/officeDocument/2006/relationships/hyperlink" Target="https://www.ons.gov.uk/economy/inflationandpriceindices/timeseries/chaw/mm23" TargetMode="External"/><Relationship Id="rId6" Type="http://schemas.openxmlformats.org/officeDocument/2006/relationships/hyperlink" Target="https://obr.uk" TargetMode="External"/><Relationship Id="rId11" Type="http://schemas.openxmlformats.org/officeDocument/2006/relationships/hyperlink" Target="https://www.ofgem.gov.uk/system/files/docs/2017/04/decision_on_policy_for_funding_pseds.pdf" TargetMode="External"/><Relationship Id="rId5" Type="http://schemas.openxmlformats.org/officeDocument/2006/relationships/hyperlink" Target="https://www.bankofengland.co.uk/" TargetMode="External"/><Relationship Id="rId10" Type="http://schemas.openxmlformats.org/officeDocument/2006/relationships/hyperlink" Target="https://authors.ofgem.gov.uk/publications-and-updates/notice-modify-regulatory-instructions-and-guidance-held-network-operators" TargetMode="External"/><Relationship Id="rId4" Type="http://schemas.openxmlformats.org/officeDocument/2006/relationships/hyperlink" Target="https://obr.uk" TargetMode="External"/><Relationship Id="rId9" Type="http://schemas.openxmlformats.org/officeDocument/2006/relationships/hyperlink" Target="https://www.ofgem.gov.uk/system/files/docs/2017/04/decision_on_policy_for_funding_pseds.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973096ae-7329-4b3b-9368-47aeba6959e1">
  <element uid="id_classification_nonbusiness" value=""/>
  <element uid="461a45b0-9ad9-406b-bcd9-542300f614ae"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A5FFB-22EF-47B0-942B-901F75292563}">
  <ds:schemaRefs>
    <ds:schemaRef ds:uri="http://schemas.microsoft.com/sharepoint/v3/contenttype/forms"/>
  </ds:schemaRefs>
</ds:datastoreItem>
</file>

<file path=customXml/itemProps2.xml><?xml version="1.0" encoding="utf-8"?>
<ds:datastoreItem xmlns:ds="http://schemas.openxmlformats.org/officeDocument/2006/customXml" ds:itemID="{9DAA273F-D8B5-481F-801F-07A11E0D5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CB13FB-3EE8-4291-86AE-356C43909B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74C361-8908-44B1-B8D9-66469C76B0AF}">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47D879D2-1E97-4BE1-8415-FF03BA8CD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17161</Words>
  <Characters>91131</Characters>
  <Application>Microsoft Office Word</Application>
  <DocSecurity>0</DocSecurity>
  <Lines>2463</Lines>
  <Paragraphs>1370</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106922</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Guidance</dc:subject>
  <dc:creator>Ofgem</dc:creator>
  <cp:keywords/>
  <dc:description/>
  <cp:lastModifiedBy>Judy Wilson</cp:lastModifiedBy>
  <cp:revision>4</cp:revision>
  <cp:lastPrinted>2011-01-24T15:32:00Z</cp:lastPrinted>
  <dcterms:created xsi:type="dcterms:W3CDTF">2020-09-30T11:33:00Z</dcterms:created>
  <dcterms:modified xsi:type="dcterms:W3CDTF">2020-09-30T15:38:00Z</dcterms:modified>
  <cp:category>Guidance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466b24fc-77d2-4fe2-bb5b-c37b6742c879</vt:lpwstr>
  </property>
  <property fmtid="{D5CDD505-2E9C-101B-9397-08002B2CF9AE}" pid="3" name="bjSaver">
    <vt:lpwstr>JFqlsOTkwRVacl8PSat7KL1bBgwaDqzV</vt:lpwstr>
  </property>
  <property fmtid="{D5CDD505-2E9C-101B-9397-08002B2CF9AE}" pid="4" name="ContentTypeId">
    <vt:lpwstr>0x0101003D6E278D99252B4B99C7589ABDD35CB5</vt:lpwstr>
  </property>
  <property fmtid="{D5CDD505-2E9C-101B-9397-08002B2CF9AE}" pid="5" name="Order">
    <vt:r8>3200</vt:r8>
  </property>
  <property fmtid="{D5CDD505-2E9C-101B-9397-08002B2CF9AE}" pid="6" name="SubGroup1">
    <vt:lpwstr/>
  </property>
  <property fmtid="{D5CDD505-2E9C-101B-9397-08002B2CF9AE}" pid="7" name="SubGroup3">
    <vt:lpwstr/>
  </property>
  <property fmtid="{D5CDD505-2E9C-101B-9397-08002B2CF9AE}" pid="8" name="SubGroup2">
    <vt:lpwstr/>
  </property>
  <property fmtid="{D5CDD505-2E9C-101B-9397-08002B2CF9AE}" pid="9" name="OIAssociatedTeam">
    <vt:lpwstr/>
  </property>
  <property fmtid="{D5CDD505-2E9C-101B-9397-08002B2CF9AE}" pid="10" name="BJSCc5a055b0-1bed-4579_x">
    <vt:lpwstr>No</vt:lpwstr>
  </property>
  <property fmtid="{D5CDD505-2E9C-101B-9397-08002B2CF9AE}" pid="11" name="BJSCdd9eba61-d6b9-469b_x">
    <vt:lpwstr/>
  </property>
  <property fmtid="{D5CDD505-2E9C-101B-9397-08002B2CF9AE}" pid="12" name="BJSCSummaryMarking">
    <vt:lpwstr>OFFICIAL</vt:lpwstr>
  </property>
  <property fmtid="{D5CDD505-2E9C-101B-9397-08002B2CF9AE}" pid="13"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4" name="bjDocumentLabelXM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5" name="bjDocumentLabelXML-0">
    <vt:lpwstr>nternal/label"&gt;&lt;element uid="id_classification_nonbusiness" value="" /&gt;&lt;element uid="461a45b0-9ad9-406b-bcd9-542300f614ae" value="" /&gt;&lt;/sisl&gt;</vt:lpwstr>
  </property>
  <property fmtid="{D5CDD505-2E9C-101B-9397-08002B2CF9AE}" pid="16" name="bjDocumentSecurityLabel">
    <vt:lpwstr>OFFICIAL</vt:lpwstr>
  </property>
</Properties>
</file>