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131"/>
        <w:tblW w:w="96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2726"/>
        <w:gridCol w:w="3291"/>
      </w:tblGrid>
      <w:tr w:rsidR="00F92DE6" w14:paraId="247D903F" w14:textId="77777777" w:rsidTr="009C03FE">
        <w:trPr>
          <w:cantSplit/>
          <w:trHeight w:hRule="exact" w:val="16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F58220"/>
            <w:tcMar>
              <w:left w:w="216" w:type="dxa"/>
              <w:right w:w="216" w:type="dxa"/>
            </w:tcMar>
            <w:vAlign w:val="center"/>
          </w:tcPr>
          <w:p w14:paraId="3C4BA80A" w14:textId="77777777" w:rsidR="00F92DE6" w:rsidRPr="002A27A4" w:rsidRDefault="00F92DE6" w:rsidP="00D83B05">
            <w:pPr>
              <w:rPr>
                <w:b/>
                <w:noProof/>
                <w:color w:val="1D1D1B"/>
              </w:rPr>
            </w:pPr>
            <w:bookmarkStart w:id="0" w:name="_GoBack"/>
            <w:bookmarkEnd w:id="0"/>
          </w:p>
        </w:tc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shd w:val="clear" w:color="auto" w:fill="F58220"/>
            <w:tcMar>
              <w:left w:w="144" w:type="dxa"/>
              <w:right w:w="144" w:type="dxa"/>
            </w:tcMar>
            <w:vAlign w:val="center"/>
          </w:tcPr>
          <w:p w14:paraId="3D7A6C30" w14:textId="77777777" w:rsidR="00F92DE6" w:rsidRDefault="00F92DE6" w:rsidP="00D83B05">
            <w:pPr>
              <w:rPr>
                <w:noProof/>
                <w:color w:val="1D1D1B"/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58220"/>
            <w:tcMar>
              <w:left w:w="216" w:type="dxa"/>
              <w:right w:w="216" w:type="dxa"/>
            </w:tcMar>
            <w:vAlign w:val="center"/>
          </w:tcPr>
          <w:p w14:paraId="1C953E23" w14:textId="77777777" w:rsidR="00F92DE6" w:rsidRPr="00E21BF6" w:rsidRDefault="00F92DE6" w:rsidP="00D83B05">
            <w:pPr>
              <w:rPr>
                <w:noProof/>
                <w:color w:val="1D1D1B"/>
                <w:sz w:val="22"/>
                <w:szCs w:val="22"/>
              </w:rPr>
            </w:pPr>
          </w:p>
        </w:tc>
      </w:tr>
      <w:tr w:rsidR="00C570BB" w14:paraId="05EDDF41" w14:textId="77777777" w:rsidTr="009C03FE">
        <w:trPr>
          <w:cantSplit/>
          <w:trHeight w:hRule="exact" w:val="1525"/>
        </w:trPr>
        <w:tc>
          <w:tcPr>
            <w:tcW w:w="9618" w:type="dxa"/>
            <w:gridSpan w:val="3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shd w:val="clear" w:color="auto" w:fill="EEF0F2"/>
            <w:tcMar>
              <w:left w:w="216" w:type="dxa"/>
              <w:right w:w="216" w:type="dxa"/>
            </w:tcMar>
            <w:vAlign w:val="center"/>
          </w:tcPr>
          <w:p w14:paraId="001377F7" w14:textId="5077149C" w:rsidR="00D217DF" w:rsidRPr="002A27A4" w:rsidRDefault="009C03FE" w:rsidP="009C03FE">
            <w:pPr>
              <w:rPr>
                <w:noProof/>
              </w:rPr>
            </w:pP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Covering form </w:t>
            </w:r>
            <w:r w:rsidR="00684742">
              <w:rPr>
                <w:rFonts w:asciiTheme="minorHAnsi" w:hAnsiTheme="minorHAnsi" w:cstheme="minorHAnsi"/>
                <w:b/>
                <w:sz w:val="30"/>
                <w:szCs w:val="30"/>
              </w:rPr>
              <w:t>for</w:t>
            </w: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a</w:t>
            </w:r>
            <w:r w:rsidR="00846244">
              <w:rPr>
                <w:rFonts w:asciiTheme="minorHAnsi" w:hAnsiTheme="minorHAnsi" w:cstheme="minorHAnsi"/>
                <w:b/>
                <w:sz w:val="30"/>
                <w:szCs w:val="30"/>
              </w:rPr>
              <w:t>mended</w:t>
            </w:r>
            <w:r w:rsidR="00D83B05" w:rsidRPr="00D83B05"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 </w:t>
            </w:r>
            <w:r w:rsidR="00B212AF">
              <w:rPr>
                <w:rFonts w:asciiTheme="minorHAnsi" w:hAnsiTheme="minorHAnsi" w:cstheme="minorHAnsi"/>
                <w:b/>
                <w:sz w:val="30"/>
                <w:szCs w:val="30"/>
              </w:rPr>
              <w:t>F</w:t>
            </w:r>
            <w:r>
              <w:rPr>
                <w:rFonts w:asciiTheme="minorHAnsi" w:hAnsiTheme="minorHAnsi" w:cstheme="minorHAnsi"/>
                <w:b/>
                <w:sz w:val="30"/>
                <w:szCs w:val="30"/>
              </w:rPr>
              <w:t xml:space="preserve">uel Measurement &amp; Sampling (FMS) Questionnaires under the </w:t>
            </w:r>
            <w:r w:rsidR="00D83B05" w:rsidRPr="00954BC4">
              <w:rPr>
                <w:rFonts w:asciiTheme="minorHAnsi" w:hAnsiTheme="minorHAnsi" w:cstheme="minorHAnsi"/>
                <w:b/>
                <w:sz w:val="28"/>
                <w:szCs w:val="28"/>
              </w:rPr>
              <w:t>Renewable Heat Incentive (RHI)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 w:rsidR="00D83B05" w:rsidRPr="00954BC4">
              <w:rPr>
                <w:rFonts w:asciiTheme="minorHAnsi" w:hAnsiTheme="minorHAnsi" w:cstheme="minorHAnsi"/>
                <w:b/>
                <w:sz w:val="28"/>
                <w:szCs w:val="28"/>
              </w:rPr>
              <w:t>Renewable Obligation (RO)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, Feed-in Tariffs (FIT), Renewable Energy Guarantees of Origin (REGO) and Smart Export Guarantee (SEG) schemes.</w:t>
            </w:r>
          </w:p>
        </w:tc>
      </w:tr>
    </w:tbl>
    <w:p w14:paraId="119A6DA6" w14:textId="31132565" w:rsidR="00FD689B" w:rsidRDefault="00FD689B" w:rsidP="00C5030B">
      <w:pPr>
        <w:rPr>
          <w:rFonts w:asciiTheme="minorHAnsi" w:hAnsiTheme="minorHAnsi" w:cstheme="minorHAnsi"/>
          <w:sz w:val="22"/>
          <w:szCs w:val="22"/>
        </w:rPr>
      </w:pPr>
    </w:p>
    <w:p w14:paraId="486E5213" w14:textId="610D8CDF" w:rsidR="009C03FE" w:rsidRPr="009C03FE" w:rsidRDefault="009C03FE" w:rsidP="00C5030B">
      <w:pPr>
        <w:rPr>
          <w:rFonts w:asciiTheme="minorHAnsi" w:hAnsiTheme="minorHAnsi" w:cstheme="minorHAnsi"/>
          <w:b/>
          <w:sz w:val="22"/>
          <w:szCs w:val="22"/>
        </w:rPr>
      </w:pPr>
      <w:r w:rsidRPr="009C03FE">
        <w:rPr>
          <w:rFonts w:asciiTheme="minorHAnsi" w:hAnsiTheme="minorHAnsi" w:cstheme="minorHAnsi"/>
          <w:b/>
          <w:sz w:val="22"/>
          <w:szCs w:val="22"/>
        </w:rPr>
        <w:t>Introduction</w:t>
      </w:r>
    </w:p>
    <w:p w14:paraId="393FEEA0" w14:textId="695D5219" w:rsidR="009C03FE" w:rsidRDefault="009C03FE" w:rsidP="00C503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form should be completed by participants of the above schemes when submitting amended FMS procedures</w:t>
      </w:r>
      <w:r w:rsidR="004A6DF4">
        <w:rPr>
          <w:rFonts w:asciiTheme="minorHAnsi" w:hAnsiTheme="minorHAnsi" w:cstheme="minorHAnsi"/>
          <w:sz w:val="22"/>
          <w:szCs w:val="22"/>
        </w:rPr>
        <w:t xml:space="preserve"> to Ofgem for review</w:t>
      </w:r>
      <w:r>
        <w:rPr>
          <w:rFonts w:asciiTheme="minorHAnsi" w:hAnsiTheme="minorHAnsi" w:cstheme="minorHAnsi"/>
          <w:sz w:val="22"/>
          <w:szCs w:val="22"/>
        </w:rPr>
        <w:t xml:space="preserve">. The form will allow us to quickly identify the type of FMS amendment </w:t>
      </w:r>
      <w:r w:rsidR="004A6DF4">
        <w:rPr>
          <w:rFonts w:asciiTheme="minorHAnsi" w:hAnsiTheme="minorHAnsi" w:cstheme="minorHAnsi"/>
          <w:sz w:val="22"/>
          <w:szCs w:val="22"/>
        </w:rPr>
        <w:t xml:space="preserve">being proposed and it </w:t>
      </w:r>
      <w:r>
        <w:rPr>
          <w:rFonts w:asciiTheme="minorHAnsi" w:hAnsiTheme="minorHAnsi" w:cstheme="minorHAnsi"/>
          <w:sz w:val="22"/>
          <w:szCs w:val="22"/>
        </w:rPr>
        <w:t xml:space="preserve">should be submitted alongside the </w:t>
      </w:r>
      <w:r w:rsidR="004A6DF4">
        <w:rPr>
          <w:rFonts w:asciiTheme="minorHAnsi" w:hAnsiTheme="minorHAnsi" w:cstheme="minorHAnsi"/>
          <w:sz w:val="22"/>
          <w:szCs w:val="22"/>
        </w:rPr>
        <w:t xml:space="preserve">relevant </w:t>
      </w:r>
      <w:r>
        <w:rPr>
          <w:rFonts w:asciiTheme="minorHAnsi" w:hAnsiTheme="minorHAnsi" w:cstheme="minorHAnsi"/>
          <w:sz w:val="22"/>
          <w:szCs w:val="22"/>
        </w:rPr>
        <w:t>amended FMS questionnaire and</w:t>
      </w:r>
      <w:r w:rsidR="004A6DF4">
        <w:rPr>
          <w:rFonts w:asciiTheme="minorHAnsi" w:hAnsiTheme="minorHAnsi" w:cstheme="minorHAnsi"/>
          <w:sz w:val="22"/>
          <w:szCs w:val="22"/>
        </w:rPr>
        <w:t xml:space="preserve"> any </w:t>
      </w:r>
      <w:r>
        <w:rPr>
          <w:rFonts w:asciiTheme="minorHAnsi" w:hAnsiTheme="minorHAnsi" w:cstheme="minorHAnsi"/>
          <w:sz w:val="22"/>
          <w:szCs w:val="22"/>
        </w:rPr>
        <w:t>assoc</w:t>
      </w:r>
      <w:r w:rsidR="004A6DF4">
        <w:rPr>
          <w:rFonts w:asciiTheme="minorHAnsi" w:hAnsiTheme="minorHAnsi" w:cstheme="minorHAnsi"/>
          <w:sz w:val="22"/>
          <w:szCs w:val="22"/>
        </w:rPr>
        <w:t>iated supporting documentation.</w:t>
      </w:r>
    </w:p>
    <w:p w14:paraId="3C237474" w14:textId="37376B25" w:rsidR="009C7B7B" w:rsidRDefault="009C7B7B" w:rsidP="00C5030B">
      <w:pPr>
        <w:rPr>
          <w:rFonts w:asciiTheme="minorHAnsi" w:hAnsiTheme="minorHAnsi" w:cstheme="minorHAnsi"/>
          <w:sz w:val="22"/>
          <w:szCs w:val="22"/>
        </w:rPr>
      </w:pPr>
    </w:p>
    <w:p w14:paraId="5CA50198" w14:textId="4EAD7E7E" w:rsidR="009C7B7B" w:rsidRPr="00AB77C5" w:rsidRDefault="009C7B7B" w:rsidP="009C7B7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77C5">
        <w:rPr>
          <w:rFonts w:asciiTheme="minorHAnsi" w:hAnsiTheme="minorHAnsi" w:cstheme="minorHAnsi"/>
          <w:sz w:val="22"/>
          <w:szCs w:val="22"/>
        </w:rPr>
        <w:t xml:space="preserve">When answering the below questions, </w:t>
      </w:r>
      <w:r w:rsidRPr="00AB77C5">
        <w:rPr>
          <w:rFonts w:asciiTheme="minorHAnsi" w:hAnsiTheme="minorHAnsi" w:cstheme="minorHAnsi"/>
          <w:color w:val="000000"/>
          <w:sz w:val="22"/>
          <w:szCs w:val="22"/>
        </w:rPr>
        <w:t xml:space="preserve">please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ensure you consider </w:t>
      </w:r>
      <w:r w:rsidRPr="00AB77C5">
        <w:rPr>
          <w:rFonts w:asciiTheme="minorHAnsi" w:hAnsiTheme="minorHAnsi" w:cstheme="minorHAnsi"/>
          <w:color w:val="000000"/>
          <w:sz w:val="22"/>
          <w:szCs w:val="22"/>
        </w:rPr>
        <w:t>our</w:t>
      </w:r>
      <w:r w:rsidR="00654905">
        <w:rPr>
          <w:rFonts w:asciiTheme="minorHAnsi" w:hAnsiTheme="minorHAnsi" w:cstheme="minorHAnsi"/>
          <w:color w:val="000000"/>
          <w:sz w:val="22"/>
          <w:szCs w:val="22"/>
        </w:rPr>
        <w:t xml:space="preserve"> FMS guidance available on our website. Please also consider our list of </w:t>
      </w:r>
      <w:r w:rsidRPr="00654905">
        <w:rPr>
          <w:rFonts w:asciiTheme="minorHAnsi" w:hAnsiTheme="minorHAnsi" w:cstheme="minorHAnsi"/>
          <w:color w:val="000000"/>
          <w:sz w:val="22"/>
          <w:szCs w:val="22"/>
        </w:rPr>
        <w:t>common fuel classification</w:t>
      </w:r>
      <w:r w:rsidR="00654905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65490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outlined in our g</w:t>
      </w:r>
      <w:r w:rsidRPr="00AB77C5">
        <w:rPr>
          <w:rFonts w:asciiTheme="minorHAnsi" w:hAnsiTheme="minorHAnsi" w:cstheme="minorHAnsi"/>
          <w:color w:val="000000"/>
          <w:sz w:val="22"/>
          <w:szCs w:val="22"/>
        </w:rPr>
        <w:t>uidance</w:t>
      </w:r>
      <w:r w:rsidR="00654905">
        <w:rPr>
          <w:rFonts w:asciiTheme="minorHAnsi" w:hAnsiTheme="minorHAnsi" w:cstheme="minorHAnsi"/>
          <w:color w:val="000000"/>
          <w:sz w:val="22"/>
          <w:szCs w:val="22"/>
        </w:rPr>
        <w:t xml:space="preserve"> documentation</w:t>
      </w:r>
      <w:r>
        <w:rPr>
          <w:rFonts w:asciiTheme="minorHAnsi" w:hAnsiTheme="minorHAnsi" w:cstheme="minorHAnsi"/>
          <w:color w:val="000000"/>
          <w:sz w:val="22"/>
          <w:szCs w:val="22"/>
        </w:rPr>
        <w:t>, available of our website at the following links</w:t>
      </w:r>
      <w:r w:rsidR="00654905">
        <w:rPr>
          <w:rFonts w:asciiTheme="minorHAnsi" w:hAnsiTheme="minorHAnsi" w:cstheme="minorHAnsi"/>
          <w:color w:val="000000"/>
          <w:sz w:val="22"/>
          <w:szCs w:val="22"/>
        </w:rPr>
        <w:t xml:space="preserve"> for RHI,</w:t>
      </w:r>
      <w:r w:rsidR="006C62B7">
        <w:rPr>
          <w:rFonts w:asciiTheme="minorHAnsi" w:hAnsiTheme="minorHAnsi" w:cstheme="minorHAnsi"/>
          <w:color w:val="000000"/>
          <w:sz w:val="22"/>
          <w:szCs w:val="22"/>
        </w:rPr>
        <w:t xml:space="preserve"> RO,</w:t>
      </w:r>
      <w:r w:rsidR="00654905">
        <w:rPr>
          <w:rFonts w:asciiTheme="minorHAnsi" w:hAnsiTheme="minorHAnsi" w:cstheme="minorHAnsi"/>
          <w:color w:val="000000"/>
          <w:sz w:val="22"/>
          <w:szCs w:val="22"/>
        </w:rPr>
        <w:t xml:space="preserve"> FITs and SEG</w:t>
      </w:r>
      <w:r w:rsidRPr="00AB77C5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757A35E7" w14:textId="77777777" w:rsidR="009C7B7B" w:rsidRDefault="00B83321" w:rsidP="009C7B7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14" w:history="1">
        <w:r w:rsidR="009C7B7B" w:rsidRPr="00AB77C5">
          <w:rPr>
            <w:rStyle w:val="Hyperlink"/>
            <w:rFonts w:asciiTheme="minorHAnsi" w:hAnsiTheme="minorHAnsi" w:cstheme="minorHAnsi"/>
            <w:sz w:val="22"/>
            <w:szCs w:val="22"/>
          </w:rPr>
          <w:t>RHI Sustainability Self-Reporting</w:t>
        </w:r>
      </w:hyperlink>
      <w:r w:rsidR="009C7B7B" w:rsidRPr="00AB77C5">
        <w:rPr>
          <w:rFonts w:asciiTheme="minorHAnsi" w:hAnsiTheme="minorHAnsi" w:cstheme="minorHAnsi"/>
          <w:color w:val="000000"/>
          <w:sz w:val="22"/>
          <w:szCs w:val="22"/>
        </w:rPr>
        <w:t xml:space="preserve"> (Appendix 2)</w:t>
      </w:r>
    </w:p>
    <w:p w14:paraId="64163E96" w14:textId="22797C1B" w:rsidR="009C7B7B" w:rsidRDefault="00B83321" w:rsidP="009C7B7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15" w:history="1">
        <w:r w:rsidR="009C7B7B" w:rsidRPr="009C7B7B">
          <w:rPr>
            <w:rStyle w:val="Hyperlink"/>
            <w:rFonts w:asciiTheme="minorHAnsi" w:hAnsiTheme="minorHAnsi" w:cstheme="minorHAnsi"/>
            <w:sz w:val="22"/>
            <w:szCs w:val="22"/>
          </w:rPr>
          <w:t>RO Sustainability Criteria guidance</w:t>
        </w:r>
      </w:hyperlink>
      <w:r w:rsidR="009C7B7B" w:rsidRPr="009C7B7B">
        <w:rPr>
          <w:rFonts w:asciiTheme="minorHAnsi" w:hAnsiTheme="minorHAnsi" w:cstheme="minorHAnsi"/>
          <w:color w:val="000000"/>
          <w:sz w:val="22"/>
          <w:szCs w:val="22"/>
        </w:rPr>
        <w:t xml:space="preserve"> (Appendix 3)</w:t>
      </w:r>
    </w:p>
    <w:p w14:paraId="299AE97B" w14:textId="4950BDE9" w:rsidR="0040220F" w:rsidRDefault="00B83321" w:rsidP="0040220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16" w:history="1">
        <w:r w:rsidR="0040220F" w:rsidRPr="0040220F">
          <w:rPr>
            <w:rStyle w:val="Hyperlink"/>
            <w:rFonts w:asciiTheme="minorHAnsi" w:hAnsiTheme="minorHAnsi" w:cstheme="minorHAnsi"/>
            <w:sz w:val="22"/>
            <w:szCs w:val="22"/>
          </w:rPr>
          <w:t>Feed-in Tariffs: Guidance on sustainability criteria and feedstock restrictions</w:t>
        </w:r>
      </w:hyperlink>
      <w:r w:rsidR="0040220F" w:rsidRPr="0040220F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40220F">
        <w:rPr>
          <w:rFonts w:asciiTheme="minorHAnsi" w:hAnsiTheme="minorHAnsi" w:cstheme="minorHAnsi"/>
          <w:color w:val="000000"/>
          <w:sz w:val="22"/>
          <w:szCs w:val="22"/>
        </w:rPr>
        <w:t>Appendix</w:t>
      </w:r>
      <w:r w:rsidR="0040220F" w:rsidRPr="0040220F">
        <w:rPr>
          <w:rFonts w:asciiTheme="minorHAnsi" w:hAnsiTheme="minorHAnsi" w:cstheme="minorHAnsi"/>
          <w:color w:val="000000"/>
          <w:sz w:val="22"/>
          <w:szCs w:val="22"/>
        </w:rPr>
        <w:t xml:space="preserve"> 2)</w:t>
      </w:r>
    </w:p>
    <w:p w14:paraId="399277D3" w14:textId="378E5282" w:rsidR="0040220F" w:rsidRPr="009C7B7B" w:rsidRDefault="00B83321" w:rsidP="0040220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hyperlink r:id="rId17" w:history="1">
        <w:r w:rsidR="0040220F" w:rsidRPr="0040220F">
          <w:rPr>
            <w:rStyle w:val="Hyperlink"/>
            <w:rFonts w:asciiTheme="minorHAnsi" w:hAnsiTheme="minorHAnsi" w:cstheme="minorHAnsi"/>
            <w:sz w:val="22"/>
            <w:szCs w:val="22"/>
          </w:rPr>
          <w:t>Guidance for Anaerobic Digestion generators: SEG sustainability criteria and reporting requirements</w:t>
        </w:r>
      </w:hyperlink>
      <w:r w:rsidR="0040220F">
        <w:rPr>
          <w:rFonts w:asciiTheme="minorHAnsi" w:hAnsiTheme="minorHAnsi" w:cstheme="minorHAnsi"/>
          <w:color w:val="000000"/>
          <w:sz w:val="22"/>
          <w:szCs w:val="22"/>
        </w:rPr>
        <w:t xml:space="preserve"> (Appendix 2)</w:t>
      </w:r>
    </w:p>
    <w:p w14:paraId="1B0E3C72" w14:textId="77777777" w:rsidR="009C03FE" w:rsidRPr="00AB77C5" w:rsidRDefault="009C03FE" w:rsidP="00C5030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24"/>
      </w:tblGrid>
      <w:tr w:rsidR="00D83B05" w:rsidRPr="00AB77C5" w14:paraId="50470995" w14:textId="77777777" w:rsidTr="00D83B05">
        <w:trPr>
          <w:jc w:val="center"/>
        </w:trPr>
        <w:tc>
          <w:tcPr>
            <w:tcW w:w="3964" w:type="dxa"/>
          </w:tcPr>
          <w:p w14:paraId="0F10E9EE" w14:textId="13C45C9A" w:rsidR="00D83B05" w:rsidRPr="009C7B7B" w:rsidRDefault="009C7B7B" w:rsidP="009C7B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7B7B">
              <w:rPr>
                <w:rFonts w:asciiTheme="minorHAnsi" w:hAnsiTheme="minorHAnsi" w:cstheme="minorHAnsi"/>
                <w:b/>
                <w:sz w:val="22"/>
                <w:szCs w:val="22"/>
              </w:rPr>
              <w:t>1)</w:t>
            </w:r>
            <w:r>
              <w:t xml:space="preserve"> </w:t>
            </w:r>
            <w:r w:rsidR="009C03FE" w:rsidRPr="009C7B7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="00D83B05" w:rsidRPr="009C7B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nstallation </w:t>
            </w:r>
            <w:r w:rsidR="009C03FE" w:rsidRPr="009C7B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generating station </w:t>
            </w:r>
            <w:r w:rsidR="006D6A5F" w:rsidRPr="009C7B7B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9C03FE" w:rsidRPr="009C7B7B">
              <w:rPr>
                <w:rFonts w:asciiTheme="minorHAnsi" w:hAnsiTheme="minorHAnsi" w:cstheme="minorHAnsi"/>
                <w:b/>
                <w:sz w:val="22"/>
                <w:szCs w:val="22"/>
              </w:rPr>
              <w:t>ame</w:t>
            </w:r>
          </w:p>
        </w:tc>
        <w:tc>
          <w:tcPr>
            <w:tcW w:w="5324" w:type="dxa"/>
          </w:tcPr>
          <w:p w14:paraId="16EAFF0B" w14:textId="77777777" w:rsidR="00D83B05" w:rsidRPr="00AB77C5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3B05" w:rsidRPr="00AB77C5" w14:paraId="61B48572" w14:textId="77777777" w:rsidTr="00D83B05">
        <w:trPr>
          <w:jc w:val="center"/>
        </w:trPr>
        <w:tc>
          <w:tcPr>
            <w:tcW w:w="3964" w:type="dxa"/>
          </w:tcPr>
          <w:p w14:paraId="504788FF" w14:textId="65C059A4" w:rsidR="00D83B05" w:rsidRPr="00AB77C5" w:rsidRDefault="009C7B7B" w:rsidP="009C03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2) </w:t>
            </w:r>
            <w:r w:rsidR="00D83B05" w:rsidRPr="00AB77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RHI </w:t>
            </w:r>
            <w:r w:rsidR="006D6A5F" w:rsidRPr="00AB77C5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9C03FE">
              <w:rPr>
                <w:rFonts w:asciiTheme="minorHAnsi" w:hAnsiTheme="minorHAnsi" w:cstheme="minorHAnsi"/>
                <w:b/>
                <w:sz w:val="22"/>
                <w:szCs w:val="22"/>
              </w:rPr>
              <w:t>umber /</w:t>
            </w:r>
            <w:r w:rsidR="00D83B05" w:rsidRPr="00AB77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74608" w:rsidRPr="00AB77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accreditation </w:t>
            </w:r>
            <w:r w:rsidR="009C03FE">
              <w:rPr>
                <w:rFonts w:asciiTheme="minorHAnsi" w:hAnsiTheme="minorHAnsi" w:cstheme="minorHAnsi"/>
                <w:b/>
                <w:sz w:val="22"/>
                <w:szCs w:val="22"/>
              </w:rPr>
              <w:t>ID</w:t>
            </w:r>
          </w:p>
        </w:tc>
        <w:tc>
          <w:tcPr>
            <w:tcW w:w="5324" w:type="dxa"/>
          </w:tcPr>
          <w:p w14:paraId="635F7FBE" w14:textId="77777777" w:rsidR="00D83B05" w:rsidRPr="00AB77C5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6244" w:rsidRPr="00AB77C5" w14:paraId="20DE4C85" w14:textId="77777777" w:rsidTr="00D83B05">
        <w:trPr>
          <w:jc w:val="center"/>
        </w:trPr>
        <w:tc>
          <w:tcPr>
            <w:tcW w:w="3964" w:type="dxa"/>
          </w:tcPr>
          <w:p w14:paraId="77B42978" w14:textId="7B8BE88F" w:rsidR="00846244" w:rsidRPr="00AB77C5" w:rsidRDefault="009C7B7B" w:rsidP="009C03F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3) </w:t>
            </w:r>
            <w:r w:rsidR="009C03FE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846244" w:rsidRPr="00AB77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echnology type </w:t>
            </w:r>
            <w:r w:rsidR="009C03FE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970511" w:rsidRPr="00AB77C5">
              <w:rPr>
                <w:rFonts w:asciiTheme="minorHAnsi" w:hAnsiTheme="minorHAnsi" w:cstheme="minorHAnsi"/>
                <w:b/>
                <w:sz w:val="22"/>
                <w:szCs w:val="22"/>
              </w:rPr>
              <w:t>e.g.</w:t>
            </w:r>
            <w:r w:rsidR="009C03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Solid Biomass</w:t>
            </w:r>
            <w:r w:rsidR="00846244" w:rsidRPr="00AB77C5">
              <w:rPr>
                <w:rFonts w:asciiTheme="minorHAnsi" w:hAnsiTheme="minorHAnsi" w:cstheme="minorHAnsi"/>
                <w:b/>
                <w:sz w:val="22"/>
                <w:szCs w:val="22"/>
              </w:rPr>
              <w:t>, Biogas, Gasification, Biomethane</w:t>
            </w:r>
            <w:r w:rsidR="009C03FE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324" w:type="dxa"/>
          </w:tcPr>
          <w:p w14:paraId="55A7C931" w14:textId="77777777" w:rsidR="00846244" w:rsidRPr="00AB77C5" w:rsidRDefault="00846244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7B7B" w:rsidRPr="00AB77C5" w14:paraId="39E2BC9D" w14:textId="77777777" w:rsidTr="00D83B05">
        <w:trPr>
          <w:jc w:val="center"/>
        </w:trPr>
        <w:tc>
          <w:tcPr>
            <w:tcW w:w="3964" w:type="dxa"/>
          </w:tcPr>
          <w:p w14:paraId="2A2143EB" w14:textId="4E5E0131" w:rsidR="009C7B7B" w:rsidRDefault="009C7B7B" w:rsidP="009C7B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4) Please state the date that these amended FMS procedures will apply from</w:t>
            </w:r>
          </w:p>
        </w:tc>
        <w:tc>
          <w:tcPr>
            <w:tcW w:w="5324" w:type="dxa"/>
          </w:tcPr>
          <w:p w14:paraId="59374F1C" w14:textId="77777777" w:rsidR="009C7B7B" w:rsidRPr="00AB77C5" w:rsidRDefault="009C7B7B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7B7B" w:rsidRPr="00AB77C5" w14:paraId="46C4482C" w14:textId="77777777" w:rsidTr="00D83B05">
        <w:trPr>
          <w:jc w:val="center"/>
        </w:trPr>
        <w:tc>
          <w:tcPr>
            <w:tcW w:w="3964" w:type="dxa"/>
          </w:tcPr>
          <w:p w14:paraId="4A6AABE6" w14:textId="4D5007F8" w:rsidR="009C7B7B" w:rsidRDefault="009C7B7B" w:rsidP="004455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5) Is the installation / generating station adding a new consignment of fuel? </w:t>
            </w:r>
            <w:r w:rsidR="004455B9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lease state either ‘Yes’ or ‘No’</w:t>
            </w:r>
            <w:r w:rsidR="006549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 your answer</w:t>
            </w:r>
          </w:p>
        </w:tc>
        <w:tc>
          <w:tcPr>
            <w:tcW w:w="5324" w:type="dxa"/>
          </w:tcPr>
          <w:p w14:paraId="66C23639" w14:textId="77777777" w:rsidR="009C7B7B" w:rsidRDefault="009C7B7B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EDBA6D" w14:textId="77777777" w:rsidR="00C93438" w:rsidRDefault="00C93438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C4137E" w14:textId="2B910BAF" w:rsidR="00C93438" w:rsidRDefault="00C93438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5180BA" w14:textId="455B585E" w:rsidR="00C93438" w:rsidRPr="00AB77C5" w:rsidRDefault="00C93438" w:rsidP="00617B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32C0647" w14:textId="77777777" w:rsidR="00617B88" w:rsidRDefault="00617B88" w:rsidP="00617B88">
      <w:pPr>
        <w:rPr>
          <w:rFonts w:asciiTheme="minorHAnsi" w:hAnsiTheme="minorHAnsi" w:cstheme="minorHAnsi"/>
          <w:b/>
          <w:sz w:val="22"/>
          <w:szCs w:val="22"/>
        </w:rPr>
      </w:pPr>
    </w:p>
    <w:p w14:paraId="552274C6" w14:textId="2A89A597" w:rsidR="00617B88" w:rsidRDefault="00617B88" w:rsidP="00617B8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If your answer to question 5 is ‘Yes’, please complete the below questions 6 to 1</w:t>
      </w:r>
      <w:r w:rsidR="00413A63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590C9601" w14:textId="68252DF9" w:rsidR="00617B88" w:rsidRDefault="00617B88" w:rsidP="00617B8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If your answer to question 5 is ‘No’, please skip to questions </w:t>
      </w:r>
      <w:r w:rsidR="00413A63">
        <w:rPr>
          <w:rFonts w:asciiTheme="minorHAnsi" w:hAnsiTheme="minorHAnsi" w:cstheme="minorHAnsi"/>
          <w:b/>
          <w:sz w:val="22"/>
          <w:szCs w:val="22"/>
        </w:rPr>
        <w:t>13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4B5277CF" w14:textId="620EF11F" w:rsidR="00617B88" w:rsidRDefault="00617B88" w:rsidP="00617B8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If you are adding more than 1 consignment of fuel, please list the various consignments in answer to questions 6 to 12.</w:t>
      </w:r>
    </w:p>
    <w:p w14:paraId="05259544" w14:textId="77777777" w:rsidR="00617B88" w:rsidRDefault="00617B88" w:rsidP="00617B8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24"/>
      </w:tblGrid>
      <w:tr w:rsidR="00617B88" w:rsidRPr="00AB77C5" w14:paraId="645FB60F" w14:textId="77777777" w:rsidTr="006350A7">
        <w:trPr>
          <w:jc w:val="center"/>
        </w:trPr>
        <w:tc>
          <w:tcPr>
            <w:tcW w:w="3964" w:type="dxa"/>
          </w:tcPr>
          <w:p w14:paraId="33E62B93" w14:textId="6FC1A620" w:rsidR="00617B88" w:rsidRPr="009C7B7B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6) </w:t>
            </w:r>
            <w:r w:rsidRPr="00AB77C5">
              <w:rPr>
                <w:rFonts w:asciiTheme="minorHAnsi" w:hAnsiTheme="minorHAnsi" w:cstheme="minorHAnsi"/>
                <w:b/>
                <w:sz w:val="22"/>
                <w:szCs w:val="22"/>
              </w:rPr>
              <w:t>Con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signment n</w:t>
            </w:r>
            <w:r w:rsidRPr="00AB77C5">
              <w:rPr>
                <w:rFonts w:asciiTheme="minorHAnsi" w:hAnsiTheme="minorHAnsi" w:cstheme="minorHAnsi"/>
                <w:b/>
                <w:sz w:val="22"/>
                <w:szCs w:val="22"/>
              </w:rPr>
              <w:t>ame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type (for example, ‘diesel fuel oil’ or ‘biomass – wood pellets’</w:t>
            </w:r>
            <w:r w:rsidR="008D0F0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324" w:type="dxa"/>
          </w:tcPr>
          <w:p w14:paraId="20227142" w14:textId="77777777" w:rsidR="00617B88" w:rsidRPr="00AB77C5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B88" w:rsidRPr="00AB77C5" w14:paraId="072FB185" w14:textId="77777777" w:rsidTr="006350A7">
        <w:trPr>
          <w:jc w:val="center"/>
        </w:trPr>
        <w:tc>
          <w:tcPr>
            <w:tcW w:w="3964" w:type="dxa"/>
          </w:tcPr>
          <w:p w14:paraId="46D8496C" w14:textId="239E3FF0" w:rsidR="00617B88" w:rsidRPr="00AB77C5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7) Fuel s</w:t>
            </w:r>
            <w:r w:rsidRPr="00AB77C5">
              <w:rPr>
                <w:rFonts w:asciiTheme="minorHAnsi" w:hAnsiTheme="minorHAnsi" w:cstheme="minorHAnsi"/>
                <w:b/>
                <w:sz w:val="22"/>
                <w:szCs w:val="22"/>
              </w:rPr>
              <w:t>tate</w:t>
            </w:r>
            <w:r w:rsidRPr="00AB77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17B88">
              <w:rPr>
                <w:rFonts w:asciiTheme="minorHAnsi" w:hAnsiTheme="minorHAnsi" w:cstheme="minorHAnsi"/>
                <w:b/>
                <w:sz w:val="22"/>
                <w:szCs w:val="22"/>
              </w:rPr>
              <w:t>(e.g. Solid or liquid)</w:t>
            </w:r>
          </w:p>
        </w:tc>
        <w:tc>
          <w:tcPr>
            <w:tcW w:w="5324" w:type="dxa"/>
          </w:tcPr>
          <w:p w14:paraId="72858441" w14:textId="77777777" w:rsidR="00617B88" w:rsidRPr="00AB77C5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B88" w:rsidRPr="00AB77C5" w14:paraId="795F25C2" w14:textId="77777777" w:rsidTr="006350A7">
        <w:trPr>
          <w:jc w:val="center"/>
        </w:trPr>
        <w:tc>
          <w:tcPr>
            <w:tcW w:w="3964" w:type="dxa"/>
          </w:tcPr>
          <w:p w14:paraId="4BB9F131" w14:textId="3AD6CEE2" w:rsidR="00617B88" w:rsidRPr="00AB77C5" w:rsidRDefault="00617B88" w:rsidP="00617B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8) Will the additional consignment(s) follow the currently agreed FMS procedures in place at the installation / generating station? If the procedures for capturing the quantity, Gross Calorific Value</w:t>
            </w:r>
            <w:r w:rsidR="006549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(GCV)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contamination procedures will change for the additional consignment(s), please ou</w:t>
            </w:r>
            <w:r w:rsidR="008D0F0B">
              <w:rPr>
                <w:rFonts w:asciiTheme="minorHAnsi" w:hAnsiTheme="minorHAnsi" w:cstheme="minorHAnsi"/>
                <w:b/>
                <w:sz w:val="22"/>
                <w:szCs w:val="22"/>
              </w:rPr>
              <w:t>tline what changes will be made</w:t>
            </w:r>
          </w:p>
        </w:tc>
        <w:tc>
          <w:tcPr>
            <w:tcW w:w="5324" w:type="dxa"/>
          </w:tcPr>
          <w:p w14:paraId="3766AF48" w14:textId="77777777" w:rsidR="00617B88" w:rsidRPr="00AB77C5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B88" w:rsidRPr="00AB77C5" w14:paraId="699D77F1" w14:textId="77777777" w:rsidTr="006350A7">
        <w:trPr>
          <w:jc w:val="center"/>
        </w:trPr>
        <w:tc>
          <w:tcPr>
            <w:tcW w:w="3964" w:type="dxa"/>
          </w:tcPr>
          <w:p w14:paraId="5238840D" w14:textId="0ED2B12F" w:rsidR="00413A63" w:rsidRDefault="00617B88" w:rsidP="008D0F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9) Please list </w:t>
            </w:r>
            <w:r w:rsidR="008D0F0B">
              <w:rPr>
                <w:rFonts w:asciiTheme="minorHAnsi" w:hAnsiTheme="minorHAnsi" w:cstheme="minorHAnsi"/>
                <w:b/>
                <w:sz w:val="22"/>
                <w:szCs w:val="22"/>
              </w:rPr>
              <w:t>the 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roposed fuel classification </w:t>
            </w:r>
            <w:r w:rsidR="008D0F0B">
              <w:rPr>
                <w:rFonts w:asciiTheme="minorHAnsi" w:hAnsiTheme="minorHAnsi" w:cstheme="minorHAnsi"/>
                <w:b/>
                <w:sz w:val="22"/>
                <w:szCs w:val="22"/>
              </w:rPr>
              <w:t>of the additional consignment(s) (e.g. product, processing residue or waste)</w:t>
            </w:r>
          </w:p>
        </w:tc>
        <w:tc>
          <w:tcPr>
            <w:tcW w:w="5324" w:type="dxa"/>
          </w:tcPr>
          <w:p w14:paraId="5D2EDB3C" w14:textId="77777777" w:rsidR="00617B88" w:rsidRPr="00AB77C5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13A63" w:rsidRPr="00AB77C5" w14:paraId="7CE1F93A" w14:textId="77777777" w:rsidTr="006350A7">
        <w:trPr>
          <w:jc w:val="center"/>
        </w:trPr>
        <w:tc>
          <w:tcPr>
            <w:tcW w:w="3964" w:type="dxa"/>
          </w:tcPr>
          <w:p w14:paraId="36FA81A9" w14:textId="5C0667C7" w:rsidR="00413A63" w:rsidRDefault="00413A63" w:rsidP="00413A6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10) Is the proposed fuel classification stated above in line with our c</w:t>
            </w:r>
            <w:r w:rsidRPr="00413A63">
              <w:rPr>
                <w:rFonts w:asciiTheme="minorHAnsi" w:hAnsiTheme="minorHAnsi" w:cstheme="minorHAnsi"/>
                <w:b/>
                <w:sz w:val="22"/>
                <w:szCs w:val="22"/>
              </w:rPr>
              <w:t>ommon fuel classifications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published in our guidance? If not, we will likely require you to submit a ‘Fuel Classification Considerations’ questionnaire.</w:t>
            </w:r>
          </w:p>
        </w:tc>
        <w:tc>
          <w:tcPr>
            <w:tcW w:w="5324" w:type="dxa"/>
          </w:tcPr>
          <w:p w14:paraId="434D05BD" w14:textId="77777777" w:rsidR="00413A63" w:rsidRPr="00AB77C5" w:rsidRDefault="00413A63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B88" w:rsidRPr="00AB77C5" w14:paraId="6BBC6D1C" w14:textId="77777777" w:rsidTr="006350A7">
        <w:trPr>
          <w:jc w:val="center"/>
        </w:trPr>
        <w:tc>
          <w:tcPr>
            <w:tcW w:w="3964" w:type="dxa"/>
          </w:tcPr>
          <w:p w14:paraId="590F4F03" w14:textId="39C503F8" w:rsidR="00617B88" w:rsidRDefault="008D0F0B" w:rsidP="008D0F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13A6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 If adding a fuel under the RHI, please outline if the additional consignment is approved under the Biomass Suppliers List or Sustainable Fuel Register</w:t>
            </w:r>
            <w:r w:rsidR="009B1C1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324" w:type="dxa"/>
          </w:tcPr>
          <w:p w14:paraId="3B570699" w14:textId="77777777" w:rsidR="00617B88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A4F3A0" w14:textId="77777777" w:rsidR="00617B88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80BC16" w14:textId="77777777" w:rsidR="00617B88" w:rsidRPr="00AB77C5" w:rsidRDefault="00617B88" w:rsidP="00617B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0F0B" w:rsidRPr="00AB77C5" w14:paraId="43CB28B6" w14:textId="77777777" w:rsidTr="006350A7">
        <w:trPr>
          <w:jc w:val="center"/>
        </w:trPr>
        <w:tc>
          <w:tcPr>
            <w:tcW w:w="3964" w:type="dxa"/>
          </w:tcPr>
          <w:p w14:paraId="2B2D3EAD" w14:textId="3BD1BCC7" w:rsidR="008D0F0B" w:rsidRDefault="00413A63" w:rsidP="006A7C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8D0F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</w:t>
            </w:r>
            <w:r w:rsidR="006A7C5C">
              <w:rPr>
                <w:rFonts w:asciiTheme="minorHAnsi" w:hAnsiTheme="minorHAnsi" w:cstheme="minorHAnsi"/>
                <w:b/>
                <w:sz w:val="22"/>
                <w:szCs w:val="22"/>
              </w:rPr>
              <w:t>Will the additional consignment contain fossil derived contaminants?</w:t>
            </w:r>
          </w:p>
        </w:tc>
        <w:tc>
          <w:tcPr>
            <w:tcW w:w="5324" w:type="dxa"/>
          </w:tcPr>
          <w:p w14:paraId="01CA2A73" w14:textId="77777777" w:rsidR="008D0F0B" w:rsidRDefault="008D0F0B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B0B812" w14:textId="75C7B3AF" w:rsidR="006A7C5C" w:rsidRDefault="006A7C5C" w:rsidP="006A7C5C">
      <w:pPr>
        <w:rPr>
          <w:rFonts w:asciiTheme="minorHAnsi" w:hAnsiTheme="minorHAnsi" w:cstheme="minorHAnsi"/>
          <w:b/>
          <w:sz w:val="22"/>
          <w:szCs w:val="22"/>
        </w:rPr>
      </w:pPr>
    </w:p>
    <w:p w14:paraId="4FEAE97E" w14:textId="0E3BDFA5" w:rsidR="00211425" w:rsidRDefault="00211425" w:rsidP="006A7C5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If your answer to question 5 is ‘No’ or you are making further changes to your FMS procedures, please answer the below questions. If </w:t>
      </w:r>
      <w:r w:rsidR="00654905">
        <w:rPr>
          <w:rFonts w:asciiTheme="minorHAnsi" w:hAnsiTheme="minorHAnsi" w:cstheme="minorHAnsi"/>
          <w:b/>
          <w:sz w:val="22"/>
          <w:szCs w:val="22"/>
        </w:rPr>
        <w:t xml:space="preserve">the answer to any of the below questions is ‘Yes’, </w:t>
      </w:r>
      <w:r>
        <w:rPr>
          <w:rFonts w:asciiTheme="minorHAnsi" w:hAnsiTheme="minorHAnsi" w:cstheme="minorHAnsi"/>
          <w:b/>
          <w:sz w:val="22"/>
          <w:szCs w:val="22"/>
        </w:rPr>
        <w:t>please provide a brief description of the changes being proposed</w:t>
      </w:r>
      <w:r w:rsidR="00654905">
        <w:rPr>
          <w:rFonts w:asciiTheme="minorHAnsi" w:hAnsiTheme="minorHAnsi" w:cstheme="minorHAnsi"/>
          <w:b/>
          <w:sz w:val="22"/>
          <w:szCs w:val="22"/>
        </w:rPr>
        <w:t xml:space="preserve"> in your answer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32EB55CA" w14:textId="77777777" w:rsidR="00211425" w:rsidRDefault="00211425" w:rsidP="006A7C5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24"/>
      </w:tblGrid>
      <w:tr w:rsidR="00211425" w:rsidRPr="00AB77C5" w14:paraId="21CC974F" w14:textId="77777777" w:rsidTr="006350A7">
        <w:trPr>
          <w:jc w:val="center"/>
        </w:trPr>
        <w:tc>
          <w:tcPr>
            <w:tcW w:w="3964" w:type="dxa"/>
          </w:tcPr>
          <w:p w14:paraId="4872BCC6" w14:textId="68139E97" w:rsidR="00211425" w:rsidRPr="009C7B7B" w:rsidRDefault="00211425" w:rsidP="002114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13) Are you proposing any changes to the weighing methodology to obtain </w:t>
            </w:r>
            <w:r w:rsidR="006549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quantities of fuels</w:t>
            </w:r>
            <w:r w:rsidR="006549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reported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? </w:t>
            </w:r>
          </w:p>
        </w:tc>
        <w:tc>
          <w:tcPr>
            <w:tcW w:w="5324" w:type="dxa"/>
          </w:tcPr>
          <w:p w14:paraId="74C0C182" w14:textId="77777777" w:rsidR="00211425" w:rsidRPr="00AB77C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:rsidRPr="00AB77C5" w14:paraId="6F7372B4" w14:textId="77777777" w:rsidTr="006350A7">
        <w:trPr>
          <w:jc w:val="center"/>
        </w:trPr>
        <w:tc>
          <w:tcPr>
            <w:tcW w:w="3964" w:type="dxa"/>
          </w:tcPr>
          <w:p w14:paraId="40D56793" w14:textId="5872FEE1" w:rsidR="00211425" w:rsidRPr="00AB77C5" w:rsidRDefault="00211425" w:rsidP="002114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14) Are you proposing any changes to your mass balance</w:t>
            </w:r>
            <w:r w:rsidR="006549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procedures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5324" w:type="dxa"/>
          </w:tcPr>
          <w:p w14:paraId="55F33CE1" w14:textId="77777777" w:rsidR="00211425" w:rsidRPr="00AB77C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:rsidRPr="00AB77C5" w14:paraId="579608AB" w14:textId="77777777" w:rsidTr="006350A7">
        <w:trPr>
          <w:jc w:val="center"/>
        </w:trPr>
        <w:tc>
          <w:tcPr>
            <w:tcW w:w="3964" w:type="dxa"/>
          </w:tcPr>
          <w:p w14:paraId="3B0463F8" w14:textId="39F3ABC9" w:rsidR="00211425" w:rsidRPr="00AB77C5" w:rsidRDefault="00211425" w:rsidP="002114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15) Are you proposing any changes to the sampling and determination of the GCV of fuels (</w:t>
            </w:r>
            <w:r w:rsidRPr="0021142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either for </w:t>
            </w:r>
            <w:r w:rsidR="006549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 w:rsidRPr="00211425">
              <w:rPr>
                <w:rFonts w:asciiTheme="minorHAnsi" w:hAnsiTheme="minorHAnsi" w:cstheme="minorHAnsi"/>
                <w:b/>
                <w:sz w:val="22"/>
                <w:szCs w:val="22"/>
              </w:rPr>
              <w:t>final fuel or for the feedstock used to create the final fuel)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  <w:tc>
          <w:tcPr>
            <w:tcW w:w="5324" w:type="dxa"/>
          </w:tcPr>
          <w:p w14:paraId="327BEF3F" w14:textId="77777777" w:rsidR="00211425" w:rsidRPr="00AB77C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:rsidRPr="00AB77C5" w14:paraId="6CDF1741" w14:textId="77777777" w:rsidTr="006350A7">
        <w:trPr>
          <w:jc w:val="center"/>
        </w:trPr>
        <w:tc>
          <w:tcPr>
            <w:tcW w:w="3964" w:type="dxa"/>
          </w:tcPr>
          <w:p w14:paraId="31D77E95" w14:textId="7A8565F2" w:rsidR="00211425" w:rsidRPr="00211425" w:rsidRDefault="00211425" w:rsidP="002114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16) Are you proposing any changes to the sampling and determination of any contamination of the fuels?</w:t>
            </w:r>
          </w:p>
        </w:tc>
        <w:tc>
          <w:tcPr>
            <w:tcW w:w="5324" w:type="dxa"/>
          </w:tcPr>
          <w:p w14:paraId="331FFAA3" w14:textId="77777777" w:rsidR="00211425" w:rsidRPr="00AB77C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:rsidRPr="00AB77C5" w14:paraId="50D2C99E" w14:textId="77777777" w:rsidTr="006350A7">
        <w:trPr>
          <w:jc w:val="center"/>
        </w:trPr>
        <w:tc>
          <w:tcPr>
            <w:tcW w:w="3964" w:type="dxa"/>
          </w:tcPr>
          <w:p w14:paraId="458C02DD" w14:textId="760DA140" w:rsidR="00211425" w:rsidRDefault="00211425" w:rsidP="002114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17) Are you proposing any changes to the determination of biogas yields?</w:t>
            </w:r>
          </w:p>
        </w:tc>
        <w:tc>
          <w:tcPr>
            <w:tcW w:w="5324" w:type="dxa"/>
          </w:tcPr>
          <w:p w14:paraId="2756A1A4" w14:textId="77777777" w:rsidR="0021142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C5080D" w14:textId="03F00492" w:rsidR="00211425" w:rsidRPr="00AB77C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14:paraId="38CF4B64" w14:textId="77777777" w:rsidTr="006350A7">
        <w:trPr>
          <w:jc w:val="center"/>
        </w:trPr>
        <w:tc>
          <w:tcPr>
            <w:tcW w:w="3964" w:type="dxa"/>
          </w:tcPr>
          <w:p w14:paraId="418D85A5" w14:textId="3BECEE20" w:rsidR="00211425" w:rsidRDefault="00211425" w:rsidP="0021142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18) Are you proposing any changes to the use of fossil fuels or any fossil fuel reporting?</w:t>
            </w:r>
          </w:p>
        </w:tc>
        <w:tc>
          <w:tcPr>
            <w:tcW w:w="5324" w:type="dxa"/>
          </w:tcPr>
          <w:p w14:paraId="6D4CDD36" w14:textId="77777777" w:rsidR="0021142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14:paraId="0A6C44B2" w14:textId="77777777" w:rsidTr="006350A7">
        <w:trPr>
          <w:jc w:val="center"/>
        </w:trPr>
        <w:tc>
          <w:tcPr>
            <w:tcW w:w="3964" w:type="dxa"/>
          </w:tcPr>
          <w:p w14:paraId="6F8FC48F" w14:textId="69911B42" w:rsidR="00211425" w:rsidRDefault="00211425" w:rsidP="006549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19) Please provide any </w:t>
            </w:r>
            <w:r w:rsidR="006549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further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information which may assist in our review of the amended FMS procedures</w:t>
            </w:r>
          </w:p>
        </w:tc>
        <w:tc>
          <w:tcPr>
            <w:tcW w:w="5324" w:type="dxa"/>
          </w:tcPr>
          <w:p w14:paraId="7974A1B3" w14:textId="77777777" w:rsidR="0021142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87CDDC" w14:textId="7B25F484" w:rsidR="00211425" w:rsidRDefault="00211425" w:rsidP="006A7C5C">
      <w:pPr>
        <w:rPr>
          <w:rFonts w:asciiTheme="minorHAnsi" w:hAnsiTheme="minorHAnsi" w:cstheme="minorHAnsi"/>
          <w:b/>
          <w:sz w:val="22"/>
          <w:szCs w:val="22"/>
        </w:rPr>
      </w:pPr>
    </w:p>
    <w:p w14:paraId="67ECF4BB" w14:textId="0D25E405" w:rsidR="0001065E" w:rsidRPr="005930E4" w:rsidRDefault="007D6E78" w:rsidP="007D6E78">
      <w:pPr>
        <w:spacing w:after="20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B77C5">
        <w:rPr>
          <w:rFonts w:asciiTheme="minorHAnsi" w:hAnsiTheme="minorHAnsi" w:cstheme="minorHAnsi"/>
          <w:b/>
          <w:sz w:val="22"/>
          <w:szCs w:val="22"/>
        </w:rPr>
        <w:t>Please note:</w:t>
      </w:r>
      <w:r w:rsidRPr="00AB77C5">
        <w:rPr>
          <w:rFonts w:asciiTheme="minorHAnsi" w:hAnsiTheme="minorHAnsi" w:cstheme="minorHAnsi"/>
          <w:sz w:val="22"/>
          <w:szCs w:val="22"/>
        </w:rPr>
        <w:t xml:space="preserve"> </w:t>
      </w:r>
      <w:r w:rsidR="00C86C7B" w:rsidRPr="00AB77C5">
        <w:rPr>
          <w:rFonts w:asciiTheme="minorHAnsi" w:hAnsiTheme="minorHAnsi" w:cstheme="minorHAnsi"/>
          <w:sz w:val="22"/>
          <w:szCs w:val="22"/>
        </w:rPr>
        <w:t xml:space="preserve">The Fuelling and </w:t>
      </w:r>
      <w:r w:rsidR="00C86C7B">
        <w:rPr>
          <w:rFonts w:asciiTheme="minorHAnsi" w:hAnsiTheme="minorHAnsi" w:cstheme="minorHAnsi"/>
          <w:sz w:val="22"/>
          <w:szCs w:val="22"/>
        </w:rPr>
        <w:t>S</w:t>
      </w:r>
      <w:r w:rsidR="00C86C7B" w:rsidRPr="00AB77C5">
        <w:rPr>
          <w:rFonts w:asciiTheme="minorHAnsi" w:hAnsiTheme="minorHAnsi" w:cstheme="minorHAnsi"/>
          <w:sz w:val="22"/>
          <w:szCs w:val="22"/>
        </w:rPr>
        <w:t xml:space="preserve">ustainability team will use this document to </w:t>
      </w:r>
      <w:r w:rsidR="00C86C7B">
        <w:rPr>
          <w:rFonts w:asciiTheme="minorHAnsi" w:hAnsiTheme="minorHAnsi" w:cstheme="minorHAnsi"/>
          <w:sz w:val="22"/>
          <w:szCs w:val="22"/>
        </w:rPr>
        <w:t xml:space="preserve">process the amended FMS submission. </w:t>
      </w:r>
      <w:r w:rsidR="00B52057" w:rsidRPr="00AB77C5">
        <w:rPr>
          <w:rFonts w:asciiTheme="minorHAnsi" w:hAnsiTheme="minorHAnsi" w:cstheme="minorHAnsi"/>
          <w:sz w:val="22"/>
          <w:szCs w:val="22"/>
        </w:rPr>
        <w:t xml:space="preserve">The submission of this document does not guarantee </w:t>
      </w:r>
      <w:r w:rsidR="00211425">
        <w:rPr>
          <w:rFonts w:asciiTheme="minorHAnsi" w:hAnsiTheme="minorHAnsi" w:cstheme="minorHAnsi"/>
          <w:sz w:val="22"/>
          <w:szCs w:val="22"/>
        </w:rPr>
        <w:t xml:space="preserve">the </w:t>
      </w:r>
      <w:r w:rsidR="00B52057" w:rsidRPr="00AB77C5">
        <w:rPr>
          <w:rFonts w:asciiTheme="minorHAnsi" w:hAnsiTheme="minorHAnsi" w:cstheme="minorHAnsi"/>
          <w:sz w:val="22"/>
          <w:szCs w:val="22"/>
        </w:rPr>
        <w:t xml:space="preserve">approval of </w:t>
      </w:r>
      <w:r w:rsidR="00211425">
        <w:rPr>
          <w:rFonts w:asciiTheme="minorHAnsi" w:hAnsiTheme="minorHAnsi" w:cstheme="minorHAnsi"/>
          <w:sz w:val="22"/>
          <w:szCs w:val="22"/>
        </w:rPr>
        <w:t>an amended FMS</w:t>
      </w:r>
      <w:r w:rsidR="00B52057" w:rsidRPr="00AB77C5">
        <w:rPr>
          <w:rFonts w:asciiTheme="minorHAnsi" w:hAnsiTheme="minorHAnsi" w:cstheme="minorHAnsi"/>
          <w:sz w:val="22"/>
          <w:szCs w:val="22"/>
        </w:rPr>
        <w:t xml:space="preserve"> </w:t>
      </w:r>
      <w:r w:rsidR="004455B9">
        <w:rPr>
          <w:rFonts w:asciiTheme="minorHAnsi" w:hAnsiTheme="minorHAnsi" w:cstheme="minorHAnsi"/>
          <w:sz w:val="22"/>
          <w:szCs w:val="22"/>
        </w:rPr>
        <w:t>and we will review the information provide</w:t>
      </w:r>
      <w:r w:rsidR="00C86C7B">
        <w:rPr>
          <w:rFonts w:asciiTheme="minorHAnsi" w:hAnsiTheme="minorHAnsi" w:cstheme="minorHAnsi"/>
          <w:sz w:val="22"/>
          <w:szCs w:val="22"/>
        </w:rPr>
        <w:t>d. If we identify any queries or have any questions over the information provided, we will outline these to you</w:t>
      </w:r>
      <w:r w:rsidR="00B52057" w:rsidRPr="00AB77C5">
        <w:rPr>
          <w:rFonts w:asciiTheme="minorHAnsi" w:hAnsiTheme="minorHAnsi" w:cstheme="minorHAnsi"/>
          <w:sz w:val="22"/>
          <w:szCs w:val="22"/>
        </w:rPr>
        <w:t xml:space="preserve">. </w:t>
      </w:r>
      <w:r w:rsidR="00AB77C5" w:rsidRPr="00AB77C5">
        <w:rPr>
          <w:rFonts w:asciiTheme="minorHAnsi" w:hAnsiTheme="minorHAnsi" w:cstheme="minorHAnsi"/>
          <w:sz w:val="22"/>
          <w:szCs w:val="22"/>
        </w:rPr>
        <w:t xml:space="preserve">Please </w:t>
      </w:r>
      <w:r w:rsidR="00AB77C5" w:rsidRPr="005930E4">
        <w:rPr>
          <w:rFonts w:asciiTheme="minorHAnsi" w:hAnsiTheme="minorHAnsi" w:cstheme="minorHAnsi"/>
          <w:bCs/>
          <w:sz w:val="22"/>
          <w:szCs w:val="22"/>
        </w:rPr>
        <w:t xml:space="preserve">submit this </w:t>
      </w:r>
      <w:r w:rsidR="004455B9">
        <w:rPr>
          <w:rFonts w:asciiTheme="minorHAnsi" w:hAnsiTheme="minorHAnsi" w:cstheme="minorHAnsi"/>
          <w:bCs/>
          <w:sz w:val="22"/>
          <w:szCs w:val="22"/>
        </w:rPr>
        <w:t xml:space="preserve">completed document </w:t>
      </w:r>
      <w:r w:rsidR="00AB77C5" w:rsidRPr="005930E4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C86C7B">
        <w:rPr>
          <w:rFonts w:asciiTheme="minorHAnsi" w:hAnsiTheme="minorHAnsi" w:cstheme="minorHAnsi"/>
          <w:bCs/>
          <w:sz w:val="22"/>
          <w:szCs w:val="22"/>
        </w:rPr>
        <w:t xml:space="preserve">your amended FMS </w:t>
      </w:r>
      <w:r w:rsidR="001A21B1">
        <w:rPr>
          <w:rFonts w:asciiTheme="minorHAnsi" w:hAnsiTheme="minorHAnsi" w:cstheme="minorHAnsi"/>
          <w:bCs/>
          <w:sz w:val="22"/>
          <w:szCs w:val="22"/>
        </w:rPr>
        <w:t>Questionnaire</w:t>
      </w:r>
      <w:r w:rsidR="00AB77C5" w:rsidRPr="005930E4">
        <w:rPr>
          <w:rFonts w:asciiTheme="minorHAnsi" w:hAnsiTheme="minorHAnsi" w:cstheme="minorHAnsi"/>
          <w:bCs/>
          <w:sz w:val="22"/>
          <w:szCs w:val="22"/>
        </w:rPr>
        <w:t xml:space="preserve"> to the following emails:</w:t>
      </w:r>
    </w:p>
    <w:p w14:paraId="29CBB7D4" w14:textId="7C0977C7" w:rsidR="00AB77C5" w:rsidRDefault="00AB77C5" w:rsidP="007D6E78">
      <w:pPr>
        <w:spacing w:after="200" w:line="276" w:lineRule="auto"/>
        <w:jc w:val="both"/>
        <w:rPr>
          <w:rStyle w:val="Hyperlink"/>
          <w:rFonts w:asciiTheme="minorHAnsi" w:hAnsiTheme="minorHAnsi" w:cstheme="minorHAnsi"/>
          <w:sz w:val="22"/>
          <w:szCs w:val="22"/>
        </w:rPr>
      </w:pPr>
      <w:r w:rsidRPr="00AB77C5">
        <w:rPr>
          <w:rFonts w:asciiTheme="minorHAnsi" w:hAnsiTheme="minorHAnsi" w:cstheme="minorHAnsi"/>
          <w:b/>
          <w:bCs/>
          <w:sz w:val="22"/>
          <w:szCs w:val="22"/>
        </w:rPr>
        <w:t xml:space="preserve">Non-Domestic </w:t>
      </w:r>
      <w:r w:rsidR="004455B9">
        <w:rPr>
          <w:rFonts w:asciiTheme="minorHAnsi" w:hAnsiTheme="minorHAnsi" w:cstheme="minorHAnsi"/>
          <w:b/>
          <w:bCs/>
          <w:sz w:val="22"/>
          <w:szCs w:val="22"/>
        </w:rPr>
        <w:t>RHI</w:t>
      </w:r>
      <w:r w:rsidR="00970511" w:rsidRPr="00AB77C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AB77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8" w:history="1">
        <w:r w:rsidRPr="00AB77C5">
          <w:rPr>
            <w:rStyle w:val="Hyperlink"/>
            <w:rFonts w:asciiTheme="minorHAnsi" w:hAnsiTheme="minorHAnsi" w:cstheme="minorHAnsi"/>
            <w:sz w:val="22"/>
            <w:szCs w:val="22"/>
          </w:rPr>
          <w:t>rhi.biomass-sustainability@ofgem.gov.uk</w:t>
        </w:r>
      </w:hyperlink>
    </w:p>
    <w:p w14:paraId="365BFBC4" w14:textId="71E854B2" w:rsidR="004D5FA0" w:rsidRPr="004455B9" w:rsidRDefault="004455B9" w:rsidP="004455B9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RO, FITs, REGO and SEG</w:t>
      </w:r>
      <w:r w:rsidR="009B1C13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>:</w:t>
      </w:r>
      <w:r w:rsidR="00484147" w:rsidRPr="00117CEF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19" w:history="1">
        <w:r w:rsidR="00484147" w:rsidRPr="00117CEF">
          <w:rPr>
            <w:rStyle w:val="Hyperlink"/>
            <w:rFonts w:asciiTheme="minorHAnsi" w:hAnsiTheme="minorHAnsi" w:cstheme="minorHAnsi"/>
            <w:sz w:val="22"/>
            <w:szCs w:val="22"/>
          </w:rPr>
          <w:t>FuellingandSustainability@Ofgem.gov.uk</w:t>
        </w:r>
      </w:hyperlink>
      <w:r w:rsidR="00484147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</w:rPr>
        <w:t xml:space="preserve"> </w:t>
      </w:r>
    </w:p>
    <w:sectPr w:rsidR="004D5FA0" w:rsidRPr="004455B9" w:rsidSect="00265B9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84AD0" w14:textId="77777777" w:rsidR="0089032C" w:rsidRDefault="0089032C" w:rsidP="00000C82">
      <w:r>
        <w:separator/>
      </w:r>
    </w:p>
  </w:endnote>
  <w:endnote w:type="continuationSeparator" w:id="0">
    <w:p w14:paraId="74AD2F3F" w14:textId="77777777" w:rsidR="0089032C" w:rsidRDefault="0089032C" w:rsidP="000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972548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5D8EE" w14:textId="77777777" w:rsidR="00000C82" w:rsidRDefault="00000C82" w:rsidP="00D83B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EB71" w14:textId="77777777" w:rsidR="00000C82" w:rsidRDefault="00000C82" w:rsidP="00000C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C2667" w14:textId="77777777" w:rsidR="0040220F" w:rsidRDefault="004022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FFF15" w14:textId="77777777" w:rsidR="0040220F" w:rsidRDefault="00402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33BA" w14:textId="77777777" w:rsidR="0089032C" w:rsidRDefault="0089032C" w:rsidP="00000C82">
      <w:r>
        <w:separator/>
      </w:r>
    </w:p>
  </w:footnote>
  <w:footnote w:type="continuationSeparator" w:id="0">
    <w:p w14:paraId="101CE706" w14:textId="77777777" w:rsidR="0089032C" w:rsidRDefault="0089032C" w:rsidP="0000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75AA1" w14:textId="77777777" w:rsidR="0040220F" w:rsidRDefault="00402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4A6A" w14:textId="77777777" w:rsidR="00000C82" w:rsidRDefault="00000C8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80A6332" wp14:editId="167397A6">
          <wp:simplePos x="0" y="0"/>
          <wp:positionH relativeFrom="column">
            <wp:posOffset>4660900</wp:posOffset>
          </wp:positionH>
          <wp:positionV relativeFrom="paragraph">
            <wp:posOffset>0</wp:posOffset>
          </wp:positionV>
          <wp:extent cx="1554480" cy="905256"/>
          <wp:effectExtent l="0" t="0" r="0" b="0"/>
          <wp:wrapNone/>
          <wp:docPr id="2" name="Picture 2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912B" w14:textId="77777777" w:rsidR="0040220F" w:rsidRDefault="00402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D97"/>
    <w:multiLevelType w:val="hybridMultilevel"/>
    <w:tmpl w:val="B63CC482"/>
    <w:lvl w:ilvl="0" w:tplc="08090017">
      <w:start w:val="1"/>
      <w:numFmt w:val="lowerLetter"/>
      <w:lvlText w:val="%1)"/>
      <w:lvlJc w:val="left"/>
      <w:pPr>
        <w:ind w:left="1688" w:hanging="360"/>
      </w:pPr>
    </w:lvl>
    <w:lvl w:ilvl="1" w:tplc="08090019" w:tentative="1">
      <w:start w:val="1"/>
      <w:numFmt w:val="lowerLetter"/>
      <w:lvlText w:val="%2."/>
      <w:lvlJc w:val="left"/>
      <w:pPr>
        <w:ind w:left="2408" w:hanging="360"/>
      </w:pPr>
    </w:lvl>
    <w:lvl w:ilvl="2" w:tplc="0809001B" w:tentative="1">
      <w:start w:val="1"/>
      <w:numFmt w:val="lowerRoman"/>
      <w:lvlText w:val="%3."/>
      <w:lvlJc w:val="right"/>
      <w:pPr>
        <w:ind w:left="3128" w:hanging="180"/>
      </w:pPr>
    </w:lvl>
    <w:lvl w:ilvl="3" w:tplc="0809000F" w:tentative="1">
      <w:start w:val="1"/>
      <w:numFmt w:val="decimal"/>
      <w:lvlText w:val="%4."/>
      <w:lvlJc w:val="left"/>
      <w:pPr>
        <w:ind w:left="3848" w:hanging="360"/>
      </w:pPr>
    </w:lvl>
    <w:lvl w:ilvl="4" w:tplc="08090019" w:tentative="1">
      <w:start w:val="1"/>
      <w:numFmt w:val="lowerLetter"/>
      <w:lvlText w:val="%5."/>
      <w:lvlJc w:val="left"/>
      <w:pPr>
        <w:ind w:left="4568" w:hanging="360"/>
      </w:pPr>
    </w:lvl>
    <w:lvl w:ilvl="5" w:tplc="0809001B" w:tentative="1">
      <w:start w:val="1"/>
      <w:numFmt w:val="lowerRoman"/>
      <w:lvlText w:val="%6."/>
      <w:lvlJc w:val="right"/>
      <w:pPr>
        <w:ind w:left="5288" w:hanging="180"/>
      </w:pPr>
    </w:lvl>
    <w:lvl w:ilvl="6" w:tplc="0809000F" w:tentative="1">
      <w:start w:val="1"/>
      <w:numFmt w:val="decimal"/>
      <w:lvlText w:val="%7."/>
      <w:lvlJc w:val="left"/>
      <w:pPr>
        <w:ind w:left="6008" w:hanging="360"/>
      </w:pPr>
    </w:lvl>
    <w:lvl w:ilvl="7" w:tplc="08090019" w:tentative="1">
      <w:start w:val="1"/>
      <w:numFmt w:val="lowerLetter"/>
      <w:lvlText w:val="%8."/>
      <w:lvlJc w:val="left"/>
      <w:pPr>
        <w:ind w:left="6728" w:hanging="360"/>
      </w:pPr>
    </w:lvl>
    <w:lvl w:ilvl="8" w:tplc="0809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1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2DC"/>
    <w:multiLevelType w:val="hybridMultilevel"/>
    <w:tmpl w:val="667AF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67FE"/>
    <w:multiLevelType w:val="hybridMultilevel"/>
    <w:tmpl w:val="88A257FA"/>
    <w:lvl w:ilvl="0" w:tplc="0809000F">
      <w:start w:val="1"/>
      <w:numFmt w:val="decimal"/>
      <w:lvlText w:val="%1."/>
      <w:lvlJc w:val="left"/>
      <w:pPr>
        <w:ind w:left="968" w:hanging="360"/>
      </w:pPr>
    </w:lvl>
    <w:lvl w:ilvl="1" w:tplc="08090019" w:tentative="1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" w15:restartNumberingAfterBreak="0">
    <w:nsid w:val="39151049"/>
    <w:multiLevelType w:val="hybridMultilevel"/>
    <w:tmpl w:val="B0C64D7A"/>
    <w:lvl w:ilvl="0" w:tplc="66987656">
      <w:start w:val="1"/>
      <w:numFmt w:val="decimal"/>
      <w:lvlText w:val="%1."/>
      <w:lvlJc w:val="left"/>
      <w:pPr>
        <w:ind w:left="502" w:hanging="360"/>
      </w:pPr>
      <w:rPr>
        <w:rFonts w:ascii="Verdana" w:hAnsi="Verdana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CC441D"/>
    <w:multiLevelType w:val="hybridMultilevel"/>
    <w:tmpl w:val="9F2E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67CD"/>
    <w:multiLevelType w:val="hybridMultilevel"/>
    <w:tmpl w:val="A15E2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51363"/>
    <w:multiLevelType w:val="hybridMultilevel"/>
    <w:tmpl w:val="E4649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583"/>
    <w:multiLevelType w:val="hybridMultilevel"/>
    <w:tmpl w:val="2F7C0B60"/>
    <w:lvl w:ilvl="0" w:tplc="0809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3NLA0MbewNDE0NDNT0lEKTi0uzszPAykwrgUABaaTXCwAAAA="/>
  </w:docVars>
  <w:rsids>
    <w:rsidRoot w:val="00000C82"/>
    <w:rsid w:val="00000C82"/>
    <w:rsid w:val="0001065E"/>
    <w:rsid w:val="00016571"/>
    <w:rsid w:val="00041825"/>
    <w:rsid w:val="00066A80"/>
    <w:rsid w:val="00087FA2"/>
    <w:rsid w:val="000F4635"/>
    <w:rsid w:val="00117CEF"/>
    <w:rsid w:val="001431F3"/>
    <w:rsid w:val="00177460"/>
    <w:rsid w:val="001A21B1"/>
    <w:rsid w:val="001A68F2"/>
    <w:rsid w:val="001C06F4"/>
    <w:rsid w:val="00211425"/>
    <w:rsid w:val="00265B97"/>
    <w:rsid w:val="002A27A4"/>
    <w:rsid w:val="002C1F7A"/>
    <w:rsid w:val="002E03A8"/>
    <w:rsid w:val="002F48C3"/>
    <w:rsid w:val="00331426"/>
    <w:rsid w:val="00381C78"/>
    <w:rsid w:val="003C73BC"/>
    <w:rsid w:val="003D0181"/>
    <w:rsid w:val="003E0EED"/>
    <w:rsid w:val="0040220F"/>
    <w:rsid w:val="00413A63"/>
    <w:rsid w:val="004412D0"/>
    <w:rsid w:val="004455B9"/>
    <w:rsid w:val="004824AC"/>
    <w:rsid w:val="00484147"/>
    <w:rsid w:val="004A6DF4"/>
    <w:rsid w:val="004D4408"/>
    <w:rsid w:val="004D4F99"/>
    <w:rsid w:val="004D5FA0"/>
    <w:rsid w:val="005331D0"/>
    <w:rsid w:val="00536E5B"/>
    <w:rsid w:val="005930E4"/>
    <w:rsid w:val="005B0E8E"/>
    <w:rsid w:val="005D4DAC"/>
    <w:rsid w:val="005F0460"/>
    <w:rsid w:val="00617B88"/>
    <w:rsid w:val="00654905"/>
    <w:rsid w:val="00665B8F"/>
    <w:rsid w:val="00684742"/>
    <w:rsid w:val="006A7C5C"/>
    <w:rsid w:val="006B66D1"/>
    <w:rsid w:val="006C1C4E"/>
    <w:rsid w:val="006C62B7"/>
    <w:rsid w:val="006D211B"/>
    <w:rsid w:val="006D3E62"/>
    <w:rsid w:val="006D6A5F"/>
    <w:rsid w:val="007A4F15"/>
    <w:rsid w:val="007C7E9B"/>
    <w:rsid w:val="007D6A38"/>
    <w:rsid w:val="007D6E78"/>
    <w:rsid w:val="007F1075"/>
    <w:rsid w:val="007F1638"/>
    <w:rsid w:val="00846244"/>
    <w:rsid w:val="008517F4"/>
    <w:rsid w:val="0086475A"/>
    <w:rsid w:val="0089032C"/>
    <w:rsid w:val="008D0833"/>
    <w:rsid w:val="008D0F0B"/>
    <w:rsid w:val="00970511"/>
    <w:rsid w:val="00974608"/>
    <w:rsid w:val="009944E4"/>
    <w:rsid w:val="009B1C13"/>
    <w:rsid w:val="009B7453"/>
    <w:rsid w:val="009C03FE"/>
    <w:rsid w:val="009C7B7B"/>
    <w:rsid w:val="009E3A25"/>
    <w:rsid w:val="009F1D76"/>
    <w:rsid w:val="00AA4841"/>
    <w:rsid w:val="00AB6994"/>
    <w:rsid w:val="00AB77C5"/>
    <w:rsid w:val="00B212AF"/>
    <w:rsid w:val="00B52057"/>
    <w:rsid w:val="00B56D6C"/>
    <w:rsid w:val="00B83321"/>
    <w:rsid w:val="00C11FBD"/>
    <w:rsid w:val="00C1403F"/>
    <w:rsid w:val="00C4624C"/>
    <w:rsid w:val="00C5030B"/>
    <w:rsid w:val="00C570BB"/>
    <w:rsid w:val="00C5784D"/>
    <w:rsid w:val="00C86C7B"/>
    <w:rsid w:val="00C93438"/>
    <w:rsid w:val="00D217DF"/>
    <w:rsid w:val="00D61087"/>
    <w:rsid w:val="00D63662"/>
    <w:rsid w:val="00D82FB9"/>
    <w:rsid w:val="00D83B05"/>
    <w:rsid w:val="00D9049B"/>
    <w:rsid w:val="00D93F70"/>
    <w:rsid w:val="00D948CF"/>
    <w:rsid w:val="00D94E5E"/>
    <w:rsid w:val="00DC00BF"/>
    <w:rsid w:val="00E21BF6"/>
    <w:rsid w:val="00E60B51"/>
    <w:rsid w:val="00E64575"/>
    <w:rsid w:val="00E73F40"/>
    <w:rsid w:val="00E75F67"/>
    <w:rsid w:val="00F350D4"/>
    <w:rsid w:val="00F53EB9"/>
    <w:rsid w:val="00F61FF0"/>
    <w:rsid w:val="00F64250"/>
    <w:rsid w:val="00F90EF8"/>
    <w:rsid w:val="00F92DE6"/>
    <w:rsid w:val="00FA0650"/>
    <w:rsid w:val="00FD689B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61CB48A4"/>
  <w15:chartTrackingRefBased/>
  <w15:docId w15:val="{8CC8864E-C039-418D-8D21-D2C09DB2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1F3"/>
    <w:rPr>
      <w:rFonts w:ascii="Verdana" w:hAnsi="Verdana"/>
      <w:sz w:val="20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4824AC"/>
    <w:pPr>
      <w:keepNext/>
      <w:keepLines/>
      <w:spacing w:before="240" w:after="3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4824AC"/>
    <w:pPr>
      <w:keepNext/>
      <w:keepLines/>
      <w:spacing w:before="40" w:after="18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5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7DF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7DF"/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824AC"/>
    <w:rPr>
      <w:rFonts w:ascii="Verdana" w:eastAsiaTheme="majorEastAsia" w:hAnsi="Verdana" w:cstheme="majorBidi"/>
      <w:b/>
      <w:sz w:val="28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4824AC"/>
    <w:rPr>
      <w:rFonts w:ascii="Verdana" w:eastAsiaTheme="majorEastAsia" w:hAnsi="Verdana" w:cstheme="majorBidi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A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3C7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3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3B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3BC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B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rhi.biomass-sustainability@ofgem.gov.uk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ofgem.gov.uk/system/files/docs/2019/12/seg_sustainability_guidance_final_0.pdf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fgem.gov.uk/system/files/docs/2018/06/sustainability_and_feedstock_guidance_version_2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fgem.gov.uk/publications-and-updates/renewables-obligation-sustainability-criteria" TargetMode="External"/><Relationship Id="rId23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yperlink" Target="mailto:FuellingandSustainability@Ofgem.gov.uk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ofgem.gov.uk/publications-and-updates/non-domestic-rhi-main-guidanc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4057E20A10A9034A85B1CCAEC5922104000EA39A293CC32D409EDFB08C8FF6F2DA" ma:contentTypeVersion="16" ma:contentTypeDescription="This should be used for producing agendas" ma:contentTypeScope="" ma:versionID="1e6e35d2d17e6bd412267b101dd53e06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xmlns:ns4="207cba57-4b93-415b-a57b-602c6ed2f38f" targetNamespace="http://schemas.microsoft.com/office/2006/metadata/properties" ma:root="true" ma:fieldsID="c972869c758cb29eb64d5421de981ea0" ns2:_="" ns3:_="" ns4:_="">
    <xsd:import namespace="http://schemas.microsoft.com/sharepoint/v3/fields"/>
    <xsd:import namespace="631298fc-6a88-4548-b7d9-3b164918c4a3"/>
    <xsd:import namespace="207cba57-4b93-415b-a57b-602c6ed2f38f"/>
    <xsd:element name="properties">
      <xsd:complexType>
        <xsd:sequence>
          <xsd:element name="documentManagement">
            <xsd:complexType>
              <xsd:all>
                <xsd:element ref="ns3:Meeting_x0020_Date" minOccurs="0"/>
                <xsd:element ref="ns3:Recipient" minOccurs="0"/>
                <xsd:element ref="ns3:Organisation" minOccurs="0"/>
                <xsd:element ref="ns2:_Status" minOccurs="0"/>
                <xsd:element ref="ns3:Classification" minOccurs="0"/>
                <xsd:element ref="ns3:Descripto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2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9" nillable="true" ma:displayName="Meeting Date" ma:description="Enter the date as DD/MM/YYYY" ma:format="DateOnly" ma:internalName="Meeting_x0020_Date">
      <xsd:simpleType>
        <xsd:restriction base="dms:DateTime"/>
      </xsd:simpleType>
    </xsd:element>
    <xsd:element name="Recipient" ma:index="10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Organisation" ma:index="11" nillable="true" ma:displayName="Organisation" ma:default="Choose an Organisation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ba57-4b93-415b-a57b-602c6ed2f38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Meeting_x0020_Date xmlns="631298fc-6a88-4548-b7d9-3b164918c4a3" xsi:nil="true"/>
    <Descriptor xmlns="631298fc-6a88-4548-b7d9-3b164918c4a3" xsi:nil="true"/>
    <Classification xmlns="631298fc-6a88-4548-b7d9-3b164918c4a3">Unclassified</Classification>
    <Recipient xmlns="631298fc-6a88-4548-b7d9-3b164918c4a3" xsi:nil="true"/>
    <Organisation xmlns="631298fc-6a88-4548-b7d9-3b164918c4a3">Choose an Organisation</Organis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a9306fc-8436-45f0-b931-e34f519be3a3" ContentTypeId="0x0101004057E20A10A9034A85B1CCAEC5922104" PreviousValue="tru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2CBE-96CB-4B9E-8329-F1DD1625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207cba57-4b93-415b-a57b-602c6ed2f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6FF5B-3AEB-4958-8F9A-3BECEC9B70F1}">
  <ds:schemaRefs>
    <ds:schemaRef ds:uri="http://schemas.microsoft.com/office/2006/metadata/properties"/>
    <ds:schemaRef ds:uri="207cba57-4b93-415b-a57b-602c6ed2f38f"/>
    <ds:schemaRef ds:uri="631298fc-6a88-4548-b7d9-3b164918c4a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A55783D-6ADA-4A21-A049-7D1E54396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91456-398E-4B1F-996B-D0A93A5D8E3C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770484B0-73B0-4517-9F0D-56B17BF3E1F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1F0B1DC-53A6-42A8-BED9-ABDB28272AE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8C047673-456B-4F3D-835F-7EC75EFD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4230</Characters>
  <Application>Microsoft Office Word</Application>
  <DocSecurity>0</DocSecurity>
  <Lines>151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Ofgem</dc:creator>
  <cp:keywords/>
  <dc:description/>
  <cp:lastModifiedBy>Meghana Shukla</cp:lastModifiedBy>
  <cp:revision>2</cp:revision>
  <dcterms:created xsi:type="dcterms:W3CDTF">2020-07-31T13:01:00Z</dcterms:created>
  <dcterms:modified xsi:type="dcterms:W3CDTF">2020-07-31T13:01:00Z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0x0101004057E20A10A9034A85B1CCAEC5922104000EA39A293CC32D409EDFB08C8FF6F2DA</vt:lpwstr>
  </property>
  <property fmtid="{D5CDD505-2E9C-101B-9397-08002B2CF9AE}" pid="3" name="docIndexRef">
    <vt:lpwstr>a58c36e5-9455-4796-b569-1033afbe054a</vt:lpwstr>
  </property>
  <property fmtid="{D5CDD505-2E9C-101B-9397-08002B2CF9AE}" pid="4" name="bjSaver">
    <vt:lpwstr>WXoYCeGbFqQc8FZh5Mhj3Bj0oqW2Gt1E</vt:lpwstr>
  </property>
  <property fmtid="{D5CDD505-2E9C-101B-9397-08002B2CF9AE}" pid="5" name="BJSCc5a055b0-1bed-4579_x">
    <vt:lpwstr/>
  </property>
  <property fmtid="{D5CDD505-2E9C-101B-9397-08002B2CF9AE}" pid="6" name="BJSCdd9eba61-d6b9-469b_x">
    <vt:lpwstr/>
  </property>
  <property fmtid="{D5CDD505-2E9C-101B-9397-08002B2CF9AE}" pid="7" name="BJSCSummaryMarking">
    <vt:lpwstr>This item has no classification</vt:lpwstr>
  </property>
  <property fmtid="{D5CDD505-2E9C-101B-9397-08002B2CF9AE}" pid="8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  <property fmtid="{D5CDD505-2E9C-101B-9397-08002B2CF9AE}" pid="9" name="bjDocumentSecurityLabel">
    <vt:lpwstr>This item has no classification</vt:lpwstr>
  </property>
</Properties>
</file>