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2C4FAA" w14:textId="0FF407AF" w:rsidR="00B84AE8" w:rsidRPr="00C30FDC" w:rsidRDefault="00C452C2">
      <w:pPr>
        <w:rPr>
          <w:b/>
        </w:rPr>
      </w:pPr>
      <w:bookmarkStart w:id="0" w:name="_Hlk479584685"/>
      <w:bookmarkStart w:id="1" w:name="_GoBack"/>
      <w:bookmarkEnd w:id="0"/>
      <w:bookmarkEnd w:id="1"/>
      <w:r>
        <w:rPr>
          <w:b/>
        </w:rPr>
        <w:tab/>
      </w:r>
      <w:r>
        <w:rPr>
          <w:b/>
        </w:rPr>
        <w:tab/>
      </w:r>
      <w:r>
        <w:rPr>
          <w:b/>
        </w:rPr>
        <w:tab/>
      </w:r>
      <w:r w:rsidR="00311651" w:rsidRPr="00C30FDC">
        <w:rPr>
          <w:b/>
        </w:rPr>
        <w:tab/>
      </w:r>
      <w:r w:rsidR="00311651" w:rsidRPr="00C30FDC">
        <w:rPr>
          <w:b/>
        </w:rPr>
        <w:tab/>
      </w:r>
      <w:r w:rsidR="00311651" w:rsidRPr="00C30FDC">
        <w:rPr>
          <w:b/>
        </w:rPr>
        <w:tab/>
      </w:r>
      <w:r w:rsidR="00311651" w:rsidRPr="00C30FDC">
        <w:rPr>
          <w:b/>
        </w:rPr>
        <w:tab/>
      </w:r>
      <w:r w:rsidR="00994CA9">
        <w:rPr>
          <w:b/>
        </w:rPr>
        <w:tab/>
      </w:r>
      <w:r w:rsidR="00311651" w:rsidRPr="00C30FDC">
        <w:rPr>
          <w:b/>
        </w:rPr>
        <w:tab/>
      </w:r>
      <w:r w:rsidR="003F1987">
        <w:rPr>
          <w:b/>
          <w:noProof/>
          <w:sz w:val="28"/>
          <w:szCs w:val="28"/>
          <w:lang w:eastAsia="en-GB"/>
        </w:rPr>
        <w:drawing>
          <wp:inline distT="0" distB="0" distL="0" distR="0" wp14:anchorId="15486DD7" wp14:editId="36E86B6A">
            <wp:extent cx="1503218" cy="496241"/>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8066" cy="507745"/>
                    </a:xfrm>
                    <a:prstGeom prst="rect">
                      <a:avLst/>
                    </a:prstGeom>
                    <a:noFill/>
                  </pic:spPr>
                </pic:pic>
              </a:graphicData>
            </a:graphic>
          </wp:inline>
        </w:drawing>
      </w:r>
    </w:p>
    <w:tbl>
      <w:tblPr>
        <w:tblStyle w:val="TableGrid"/>
        <w:tblW w:w="0" w:type="auto"/>
        <w:tblBorders>
          <w:top w:val="single" w:sz="8" w:space="0" w:color="BFBFBF" w:themeColor="background1" w:themeShade="BF"/>
          <w:left w:val="none" w:sz="0" w:space="0" w:color="auto"/>
          <w:bottom w:val="none" w:sz="0" w:space="0" w:color="auto"/>
          <w:right w:val="none" w:sz="0" w:space="0" w:color="auto"/>
          <w:insideH w:val="none" w:sz="0" w:space="0" w:color="auto"/>
          <w:insideV w:val="none" w:sz="0" w:space="0" w:color="auto"/>
        </w:tblBorders>
        <w:tblCellMar>
          <w:top w:w="28" w:type="dxa"/>
          <w:left w:w="0" w:type="dxa"/>
          <w:right w:w="0" w:type="dxa"/>
        </w:tblCellMar>
        <w:tblLook w:val="04A0" w:firstRow="1" w:lastRow="0" w:firstColumn="1" w:lastColumn="0" w:noHBand="0" w:noVBand="1"/>
      </w:tblPr>
      <w:tblGrid>
        <w:gridCol w:w="8600"/>
      </w:tblGrid>
      <w:tr w:rsidR="00F611F9" w:rsidRPr="00595815" w14:paraId="5F75EB44" w14:textId="77777777" w:rsidTr="009D474E">
        <w:trPr>
          <w:trHeight w:val="131"/>
        </w:trPr>
        <w:tc>
          <w:tcPr>
            <w:tcW w:w="8600" w:type="dxa"/>
          </w:tcPr>
          <w:p w14:paraId="59F90D7D" w14:textId="77777777" w:rsidR="00B84AE8" w:rsidRPr="00595815" w:rsidRDefault="00B84AE8" w:rsidP="00B84AE8">
            <w:pPr>
              <w:pStyle w:val="StyleNoSpacing6ptBackground1"/>
              <w:spacing w:line="240" w:lineRule="atLeast"/>
              <w:jc w:val="both"/>
              <w:rPr>
                <w:b/>
                <w:color w:val="2E74B5" w:themeColor="accent1" w:themeShade="BF"/>
                <w:sz w:val="22"/>
                <w:szCs w:val="22"/>
                <w:lang w:val="en-GB"/>
              </w:rPr>
            </w:pPr>
          </w:p>
          <w:p w14:paraId="2EF47AFF" w14:textId="14A179A0" w:rsidR="00421254" w:rsidRPr="00595815" w:rsidRDefault="00C65C0D" w:rsidP="00421254">
            <w:pPr>
              <w:pStyle w:val="Header"/>
              <w:jc w:val="center"/>
              <w:rPr>
                <w:b/>
                <w:i/>
                <w:color w:val="0070C0"/>
                <w:sz w:val="26"/>
                <w:szCs w:val="26"/>
                <w:lang w:val="en-GB"/>
              </w:rPr>
            </w:pPr>
            <w:r w:rsidRPr="00595815">
              <w:rPr>
                <w:b/>
                <w:color w:val="0070C0"/>
                <w:sz w:val="26"/>
                <w:szCs w:val="26"/>
                <w:lang w:val="en-GB"/>
              </w:rPr>
              <w:t>E</w:t>
            </w:r>
            <w:r w:rsidR="00B84AE8" w:rsidRPr="00595815">
              <w:rPr>
                <w:b/>
                <w:color w:val="0070C0"/>
                <w:sz w:val="26"/>
                <w:szCs w:val="26"/>
                <w:lang w:val="en-GB"/>
              </w:rPr>
              <w:t xml:space="preserve">nergy Systems Catapult Response to </w:t>
            </w:r>
            <w:r w:rsidR="00DE382A" w:rsidRPr="00595815">
              <w:rPr>
                <w:b/>
                <w:color w:val="0070C0"/>
                <w:sz w:val="26"/>
                <w:szCs w:val="26"/>
                <w:lang w:val="en-GB"/>
              </w:rPr>
              <w:t>Ofgem consultation:</w:t>
            </w:r>
            <w:r w:rsidR="00216551" w:rsidRPr="00595815">
              <w:rPr>
                <w:b/>
                <w:color w:val="0070C0"/>
                <w:sz w:val="26"/>
                <w:szCs w:val="26"/>
                <w:lang w:val="en-GB"/>
              </w:rPr>
              <w:t xml:space="preserve"> </w:t>
            </w:r>
            <w:r w:rsidR="00DE382A" w:rsidRPr="00595815">
              <w:rPr>
                <w:b/>
                <w:i/>
                <w:color w:val="0070C0"/>
                <w:sz w:val="26"/>
                <w:szCs w:val="26"/>
                <w:lang w:val="en-GB"/>
              </w:rPr>
              <w:t>Consultation on licence conditions and guidance for network operators to support an efficient, coordinated, and economical Whole System</w:t>
            </w:r>
          </w:p>
          <w:p w14:paraId="255422F9" w14:textId="77777777" w:rsidR="00842336" w:rsidRPr="00595815" w:rsidRDefault="00842336" w:rsidP="00B84AE8">
            <w:pPr>
              <w:pStyle w:val="StyleNoSpacing6ptBackground1"/>
              <w:spacing w:line="240" w:lineRule="atLeast"/>
              <w:jc w:val="both"/>
              <w:rPr>
                <w:b/>
                <w:color w:val="2E74B5" w:themeColor="accent1" w:themeShade="BF"/>
                <w:sz w:val="22"/>
                <w:szCs w:val="22"/>
                <w:lang w:val="en-GB"/>
              </w:rPr>
            </w:pPr>
          </w:p>
          <w:p w14:paraId="1FB7A68F" w14:textId="1914CF4A" w:rsidR="00B84AE8" w:rsidRPr="00595815" w:rsidRDefault="00740972" w:rsidP="00B84AE8">
            <w:pPr>
              <w:pStyle w:val="StyleNoSpacing6ptBackground1"/>
              <w:spacing w:line="240" w:lineRule="atLeast"/>
              <w:jc w:val="both"/>
              <w:rPr>
                <w:b/>
                <w:color w:val="0070C0"/>
                <w:sz w:val="24"/>
                <w:szCs w:val="24"/>
                <w:lang w:val="en-GB"/>
              </w:rPr>
            </w:pPr>
            <w:r w:rsidRPr="00595815">
              <w:rPr>
                <w:b/>
                <w:color w:val="0070C0"/>
                <w:sz w:val="24"/>
                <w:szCs w:val="24"/>
                <w:lang w:val="en-GB"/>
              </w:rPr>
              <w:t>Introduction</w:t>
            </w:r>
          </w:p>
          <w:p w14:paraId="4E60FDBC" w14:textId="79F2E372" w:rsidR="005E0394" w:rsidRPr="00595815" w:rsidRDefault="005E0394" w:rsidP="00B84AE8">
            <w:pPr>
              <w:pStyle w:val="StyleNoSpacing6ptBackground1"/>
              <w:spacing w:line="240" w:lineRule="atLeast"/>
              <w:jc w:val="both"/>
              <w:rPr>
                <w:b/>
                <w:color w:val="0070C0"/>
                <w:sz w:val="24"/>
                <w:szCs w:val="24"/>
                <w:lang w:val="en-GB"/>
              </w:rPr>
            </w:pPr>
          </w:p>
          <w:p w14:paraId="2BCC64B9" w14:textId="1D893850" w:rsidR="005E0394" w:rsidRPr="00595815" w:rsidRDefault="005E0394" w:rsidP="005E0394">
            <w:pPr>
              <w:spacing w:after="0"/>
              <w:jc w:val="both"/>
              <w:rPr>
                <w:sz w:val="22"/>
                <w:szCs w:val="22"/>
                <w:lang w:val="en-GB"/>
              </w:rPr>
            </w:pPr>
            <w:r w:rsidRPr="00595815">
              <w:rPr>
                <w:sz w:val="22"/>
                <w:szCs w:val="22"/>
                <w:lang w:val="en-GB"/>
              </w:rPr>
              <w:t>The Energy Systems Catapult (ESC) was set up to help navigate the transformation of the UK’s energy system. We work across the energy sector to ensure businesses and consumers grasp the opportunities of the shift to a low carbon economy. The ESC is an independent centre of excellence that bridges the gap between business, government, academia and research. We take a whole</w:t>
            </w:r>
            <w:r w:rsidR="005D36F9" w:rsidRPr="00595815">
              <w:rPr>
                <w:sz w:val="22"/>
                <w:szCs w:val="22"/>
                <w:lang w:val="en-GB"/>
              </w:rPr>
              <w:t>-</w:t>
            </w:r>
            <w:r w:rsidRPr="00595815">
              <w:rPr>
                <w:sz w:val="22"/>
                <w:szCs w:val="22"/>
                <w:lang w:val="en-GB"/>
              </w:rPr>
              <w:t xml:space="preserve">systems view of energy markets, helping us to identify and address innovation priorities and market barriers, in order to accelerate the decarbonisation of the energy system at the lowest cost. </w:t>
            </w:r>
          </w:p>
          <w:p w14:paraId="3442284F" w14:textId="691130F8" w:rsidR="005E4DDD" w:rsidRPr="00595815" w:rsidRDefault="005E4DDD" w:rsidP="005E0394">
            <w:pPr>
              <w:spacing w:after="0"/>
              <w:jc w:val="both"/>
              <w:rPr>
                <w:sz w:val="22"/>
                <w:szCs w:val="22"/>
                <w:lang w:val="en-GB"/>
              </w:rPr>
            </w:pPr>
          </w:p>
          <w:p w14:paraId="64D4A56E" w14:textId="44DB2E32" w:rsidR="00C65C0D" w:rsidRPr="00595815" w:rsidRDefault="00C65C0D" w:rsidP="00C65C0D">
            <w:pPr>
              <w:spacing w:after="0"/>
              <w:jc w:val="both"/>
              <w:rPr>
                <w:rStyle w:val="Hyperlink"/>
                <w:color w:val="auto"/>
                <w:sz w:val="22"/>
                <w:szCs w:val="22"/>
                <w:u w:val="none"/>
                <w:lang w:val="en-GB"/>
              </w:rPr>
            </w:pPr>
            <w:r w:rsidRPr="00595815">
              <w:rPr>
                <w:sz w:val="22"/>
                <w:szCs w:val="22"/>
                <w:lang w:val="en-GB"/>
              </w:rPr>
              <w:t xml:space="preserve">We would be happy to discuss these issues in more detail if helpful. Please contact Tony Dicicco at: </w:t>
            </w:r>
            <w:hyperlink r:id="rId13" w:history="1">
              <w:r w:rsidRPr="00595815">
                <w:rPr>
                  <w:rStyle w:val="Hyperlink"/>
                  <w:sz w:val="22"/>
                  <w:szCs w:val="22"/>
                  <w:lang w:val="en-GB"/>
                </w:rPr>
                <w:t>tony.dicicco@es.catapult.org.uk</w:t>
              </w:r>
            </w:hyperlink>
          </w:p>
          <w:p w14:paraId="7FBF3156" w14:textId="77777777" w:rsidR="00C65C0D" w:rsidRPr="00595815" w:rsidRDefault="00C65C0D" w:rsidP="005E0394">
            <w:pPr>
              <w:spacing w:after="0"/>
              <w:jc w:val="both"/>
              <w:rPr>
                <w:sz w:val="22"/>
                <w:szCs w:val="22"/>
                <w:lang w:val="en-GB"/>
              </w:rPr>
            </w:pPr>
          </w:p>
          <w:p w14:paraId="5B40D211" w14:textId="7ACCAC27" w:rsidR="005E0394" w:rsidRPr="00595815" w:rsidRDefault="005E0394" w:rsidP="005E0394">
            <w:pPr>
              <w:spacing w:after="0"/>
              <w:jc w:val="both"/>
              <w:rPr>
                <w:sz w:val="22"/>
                <w:szCs w:val="22"/>
                <w:lang w:val="en-GB"/>
              </w:rPr>
            </w:pPr>
          </w:p>
          <w:p w14:paraId="08258FD1" w14:textId="187ABE1E" w:rsidR="005E0394" w:rsidRPr="00595815" w:rsidRDefault="00C65C0D" w:rsidP="009D474E">
            <w:pPr>
              <w:pStyle w:val="StyleNoSpacing6ptBackground1"/>
              <w:spacing w:line="240" w:lineRule="atLeast"/>
              <w:ind w:left="423" w:hanging="428"/>
              <w:jc w:val="both"/>
              <w:rPr>
                <w:b/>
                <w:color w:val="0070C0"/>
                <w:sz w:val="24"/>
                <w:szCs w:val="24"/>
                <w:lang w:val="en-GB"/>
              </w:rPr>
            </w:pPr>
            <w:r w:rsidRPr="00595815">
              <w:rPr>
                <w:b/>
                <w:color w:val="0070C0"/>
                <w:sz w:val="24"/>
                <w:szCs w:val="24"/>
                <w:lang w:val="en-GB"/>
              </w:rPr>
              <w:t>Key Points</w:t>
            </w:r>
          </w:p>
          <w:p w14:paraId="637D781D" w14:textId="77777777" w:rsidR="00B84AE8" w:rsidRPr="00595815" w:rsidRDefault="00B84AE8" w:rsidP="00B84AE8">
            <w:pPr>
              <w:pStyle w:val="StyleNoSpacing6ptBackground1"/>
              <w:spacing w:line="240" w:lineRule="atLeast"/>
              <w:jc w:val="both"/>
              <w:rPr>
                <w:b/>
                <w:color w:val="2E74B5" w:themeColor="accent1" w:themeShade="BF"/>
                <w:sz w:val="22"/>
                <w:szCs w:val="22"/>
                <w:lang w:val="en-GB"/>
              </w:rPr>
            </w:pPr>
          </w:p>
        </w:tc>
      </w:tr>
    </w:tbl>
    <w:p w14:paraId="56BE8EA4" w14:textId="063B8489" w:rsidR="001C621A" w:rsidRPr="00377427" w:rsidRDefault="001C621A" w:rsidP="00377427">
      <w:pPr>
        <w:autoSpaceDE w:val="0"/>
        <w:autoSpaceDN w:val="0"/>
        <w:adjustRightInd w:val="0"/>
        <w:spacing w:after="0"/>
        <w:jc w:val="both"/>
      </w:pPr>
      <w:r w:rsidRPr="00377427">
        <w:rPr>
          <w:b/>
          <w:i/>
        </w:rPr>
        <w:t xml:space="preserve">  </w:t>
      </w:r>
    </w:p>
    <w:p w14:paraId="41F89862" w14:textId="35671D94" w:rsidR="00377427" w:rsidRPr="00235623" w:rsidRDefault="00377427" w:rsidP="00377427">
      <w:pPr>
        <w:pStyle w:val="ListParagraph"/>
        <w:numPr>
          <w:ilvl w:val="0"/>
          <w:numId w:val="8"/>
        </w:numPr>
        <w:autoSpaceDE w:val="0"/>
        <w:autoSpaceDN w:val="0"/>
        <w:adjustRightInd w:val="0"/>
        <w:spacing w:after="0"/>
        <w:ind w:left="360"/>
        <w:jc w:val="both"/>
        <w:rPr>
          <w:rFonts w:ascii="Arial" w:hAnsi="Arial"/>
        </w:rPr>
      </w:pPr>
      <w:r w:rsidRPr="00B67784">
        <w:rPr>
          <w:rFonts w:ascii="Arial" w:hAnsi="Arial"/>
          <w:b/>
          <w:i/>
        </w:rPr>
        <w:t xml:space="preserve">We support the proposal to </w:t>
      </w:r>
      <w:r>
        <w:rPr>
          <w:rFonts w:ascii="Arial" w:hAnsi="Arial"/>
          <w:b/>
          <w:i/>
        </w:rPr>
        <w:t xml:space="preserve">introduce licence conditions relating to </w:t>
      </w:r>
      <w:r w:rsidRPr="00B67784">
        <w:rPr>
          <w:rFonts w:ascii="Arial" w:hAnsi="Arial"/>
          <w:b/>
          <w:i/>
        </w:rPr>
        <w:t>whole system responsibilit</w:t>
      </w:r>
      <w:r>
        <w:rPr>
          <w:rFonts w:ascii="Arial" w:hAnsi="Arial"/>
          <w:b/>
          <w:i/>
        </w:rPr>
        <w:t>ies</w:t>
      </w:r>
      <w:r w:rsidRPr="00B67784">
        <w:rPr>
          <w:rFonts w:ascii="Arial" w:hAnsi="Arial"/>
          <w:b/>
          <w:i/>
        </w:rPr>
        <w:t xml:space="preserve"> for electricity network companies</w:t>
      </w:r>
      <w:r>
        <w:rPr>
          <w:rFonts w:ascii="Arial" w:hAnsi="Arial"/>
          <w:b/>
          <w:i/>
        </w:rPr>
        <w:t xml:space="preserve">.  </w:t>
      </w:r>
      <w:r w:rsidRPr="00235623">
        <w:rPr>
          <w:rFonts w:ascii="Arial" w:hAnsi="Arial"/>
        </w:rPr>
        <w:t>We welcome this as a first step in in promoting a whole energy system perspective across firms with responsibilities for regulated energy networks (this may in future include networks for other energy vectors such as natural gas, hydrogen or heat networks).</w:t>
      </w:r>
    </w:p>
    <w:p w14:paraId="4FE6831E" w14:textId="77777777" w:rsidR="00377427" w:rsidRPr="00377427" w:rsidRDefault="00377427" w:rsidP="00377427">
      <w:pPr>
        <w:pStyle w:val="ListParagraph"/>
        <w:autoSpaceDE w:val="0"/>
        <w:autoSpaceDN w:val="0"/>
        <w:adjustRightInd w:val="0"/>
        <w:spacing w:after="0"/>
        <w:ind w:left="360"/>
        <w:jc w:val="both"/>
        <w:rPr>
          <w:rFonts w:ascii="Arial" w:hAnsi="Arial"/>
        </w:rPr>
      </w:pPr>
    </w:p>
    <w:p w14:paraId="208FC285" w14:textId="7B1569CE" w:rsidR="00F20BCB" w:rsidRPr="00377427" w:rsidRDefault="001C621A" w:rsidP="00377427">
      <w:pPr>
        <w:pStyle w:val="ListParagraph"/>
        <w:numPr>
          <w:ilvl w:val="0"/>
          <w:numId w:val="8"/>
        </w:numPr>
        <w:autoSpaceDE w:val="0"/>
        <w:autoSpaceDN w:val="0"/>
        <w:adjustRightInd w:val="0"/>
        <w:spacing w:after="0"/>
        <w:ind w:left="360"/>
        <w:jc w:val="both"/>
        <w:rPr>
          <w:rFonts w:ascii="Arial" w:hAnsi="Arial"/>
        </w:rPr>
      </w:pPr>
      <w:r w:rsidRPr="001C621A">
        <w:rPr>
          <w:rFonts w:ascii="Arial" w:hAnsi="Arial"/>
          <w:b/>
          <w:i/>
        </w:rPr>
        <w:t xml:space="preserve">We also welcome </w:t>
      </w:r>
      <w:r w:rsidR="00E84C9C" w:rsidRPr="001C621A">
        <w:rPr>
          <w:rFonts w:ascii="Arial" w:hAnsi="Arial"/>
          <w:b/>
          <w:i/>
        </w:rPr>
        <w:t xml:space="preserve">the recognition in the Guidance that </w:t>
      </w:r>
      <w:r w:rsidRPr="001C621A">
        <w:rPr>
          <w:rFonts w:ascii="Arial" w:hAnsi="Arial"/>
          <w:b/>
          <w:i/>
        </w:rPr>
        <w:t>stakeholders</w:t>
      </w:r>
      <w:r>
        <w:rPr>
          <w:rFonts w:ascii="Arial" w:hAnsi="Arial"/>
          <w:b/>
          <w:i/>
        </w:rPr>
        <w:t xml:space="preserve"> </w:t>
      </w:r>
      <w:r w:rsidRPr="00377427">
        <w:rPr>
          <w:rFonts w:ascii="Arial" w:hAnsi="Arial"/>
          <w:b/>
          <w:i/>
        </w:rPr>
        <w:t>might also include parties with interests in gas, transport or heating, for example, who may be impacted by a decision, or who may be able to contribute to identifying or assessing the benefits of alternative solutions.</w:t>
      </w:r>
      <w:r w:rsidR="007254D4" w:rsidRPr="001C621A">
        <w:rPr>
          <w:rFonts w:ascii="Arial" w:hAnsi="Arial"/>
        </w:rPr>
        <w:t xml:space="preserve"> </w:t>
      </w:r>
      <w:r w:rsidR="00E84C9C" w:rsidRPr="001C621A">
        <w:rPr>
          <w:rFonts w:ascii="Arial" w:hAnsi="Arial"/>
        </w:rPr>
        <w:t xml:space="preserve">We highlight that adopting a ‘whole system’ perspective </w:t>
      </w:r>
      <w:r w:rsidR="00E84C9C" w:rsidRPr="00377427">
        <w:rPr>
          <w:rFonts w:ascii="Arial" w:hAnsi="Arial"/>
        </w:rPr>
        <w:t>implies understanding interactions between multiple vectors such as heat, gas, electricity and transport and how they are changing as a result of new technologies and digitalisation.</w:t>
      </w:r>
      <w:r w:rsidR="00D77090" w:rsidRPr="00377427">
        <w:rPr>
          <w:rFonts w:ascii="Arial" w:hAnsi="Arial"/>
        </w:rPr>
        <w:t xml:space="preserve"> Whole system thinking and action must also include ‘both sides of the customer meter’</w:t>
      </w:r>
      <w:r>
        <w:rPr>
          <w:rFonts w:ascii="Arial" w:hAnsi="Arial"/>
        </w:rPr>
        <w:t xml:space="preserve">, and not </w:t>
      </w:r>
      <w:r w:rsidR="00D77090" w:rsidRPr="00377427">
        <w:rPr>
          <w:rFonts w:ascii="Arial" w:hAnsi="Arial"/>
        </w:rPr>
        <w:t>not be limited in definition to be transmission and distribution networks.</w:t>
      </w:r>
    </w:p>
    <w:p w14:paraId="5D388B82" w14:textId="77777777" w:rsidR="00A23BFF" w:rsidRPr="00AC25E1" w:rsidRDefault="00A23BFF" w:rsidP="00377427">
      <w:pPr>
        <w:pStyle w:val="ListParagraph"/>
        <w:spacing w:after="0"/>
        <w:ind w:left="491" w:hanging="425"/>
        <w:contextualSpacing w:val="0"/>
        <w:jc w:val="both"/>
        <w:rPr>
          <w:rFonts w:ascii="Arial" w:eastAsia="Times New Roman" w:hAnsi="Arial"/>
        </w:rPr>
      </w:pPr>
    </w:p>
    <w:p w14:paraId="4AF00E0A" w14:textId="3A6CAF18" w:rsidR="00A23BFF" w:rsidRDefault="00B438C9" w:rsidP="00377427">
      <w:pPr>
        <w:pStyle w:val="ListParagraph"/>
        <w:numPr>
          <w:ilvl w:val="0"/>
          <w:numId w:val="9"/>
        </w:numPr>
        <w:spacing w:after="0"/>
        <w:ind w:left="491" w:hanging="425"/>
        <w:jc w:val="both"/>
        <w:rPr>
          <w:rFonts w:ascii="Arial" w:hAnsi="Arial"/>
        </w:rPr>
      </w:pPr>
      <w:r w:rsidRPr="00A23BFF">
        <w:rPr>
          <w:rFonts w:ascii="Arial" w:hAnsi="Arial"/>
          <w:b/>
          <w:i/>
        </w:rPr>
        <w:t xml:space="preserve">At the local level, </w:t>
      </w:r>
      <w:r w:rsidR="00A23BFF" w:rsidRPr="00A23BFF">
        <w:rPr>
          <w:rFonts w:ascii="Arial" w:hAnsi="Arial"/>
          <w:b/>
          <w:i/>
        </w:rPr>
        <w:t>Local Area Energy Planning (LAEP)</w:t>
      </w:r>
      <w:r w:rsidR="00A23BFF">
        <w:rPr>
          <w:rFonts w:ascii="Arial" w:hAnsi="Arial"/>
          <w:b/>
          <w:i/>
        </w:rPr>
        <w:t xml:space="preserve"> can be</w:t>
      </w:r>
      <w:r w:rsidR="00A23BFF" w:rsidRPr="00A23BFF">
        <w:rPr>
          <w:rFonts w:ascii="Arial" w:hAnsi="Arial"/>
          <w:b/>
          <w:i/>
        </w:rPr>
        <w:t xml:space="preserve"> a key tool for building coherent transition plans that meet government targets, rather than just uncoordinated opportunistic projects. </w:t>
      </w:r>
      <w:bookmarkStart w:id="2" w:name="_Hlk528449"/>
      <w:r w:rsidR="00A23BFF" w:rsidRPr="00A23BFF">
        <w:rPr>
          <w:rFonts w:ascii="Arial" w:hAnsi="Arial"/>
          <w:lang w:eastAsia="ja-JP"/>
        </w:rPr>
        <w:t xml:space="preserve">Pilot studies (documented in the </w:t>
      </w:r>
      <w:r w:rsidR="00A23BFF" w:rsidRPr="00A23BFF">
        <w:rPr>
          <w:rFonts w:ascii="Arial" w:hAnsi="Arial"/>
        </w:rPr>
        <w:t>ETI/ESC report</w:t>
      </w:r>
      <w:r w:rsidR="00A23BFF" w:rsidRPr="00A23BFF">
        <w:rPr>
          <w:rStyle w:val="FootnoteReference"/>
          <w:rFonts w:ascii="Arial" w:hAnsi="Arial"/>
        </w:rPr>
        <w:footnoteReference w:id="1"/>
      </w:r>
      <w:r w:rsidR="00A23BFF" w:rsidRPr="00A23BFF">
        <w:rPr>
          <w:rFonts w:ascii="Arial" w:hAnsi="Arial"/>
          <w:i/>
        </w:rPr>
        <w:t>: ‘Local Area Energy Planning: D11 Insight report 3: implications for government)</w:t>
      </w:r>
      <w:r w:rsidR="00A23BFF" w:rsidRPr="00A23BFF">
        <w:rPr>
          <w:rFonts w:ascii="Arial" w:hAnsi="Arial"/>
          <w:lang w:eastAsia="ja-JP"/>
        </w:rPr>
        <w:t xml:space="preserve"> </w:t>
      </w:r>
      <w:r w:rsidR="00A23BFF" w:rsidRPr="00A23BFF">
        <w:rPr>
          <w:rFonts w:ascii="Arial" w:hAnsi="Arial"/>
          <w:lang w:eastAsia="ja-JP"/>
        </w:rPr>
        <w:lastRenderedPageBreak/>
        <w:t>conducted by the ETI/ESC in Newcastle, Bridgend and Bury (using the EnergyPath</w:t>
      </w:r>
      <w:r w:rsidR="00A23BFF" w:rsidRPr="00A23BFF">
        <w:rPr>
          <w:rFonts w:ascii="Arial" w:hAnsi="Arial"/>
          <w:vertAlign w:val="superscript"/>
          <w:lang w:eastAsia="ja-JP"/>
        </w:rPr>
        <w:t>TM</w:t>
      </w:r>
      <w:r w:rsidR="00A23BFF" w:rsidRPr="00A23BFF">
        <w:rPr>
          <w:rFonts w:ascii="Arial" w:hAnsi="Arial"/>
          <w:lang w:eastAsia="ja-JP"/>
        </w:rPr>
        <w:t xml:space="preserve"> Networks (EPN) modelling framework) have shown the potential of LAEP to </w:t>
      </w:r>
      <w:r w:rsidR="00A23BFF" w:rsidRPr="00A23BFF">
        <w:rPr>
          <w:rFonts w:ascii="Arial" w:hAnsi="Arial"/>
        </w:rPr>
        <w:t>provide the evidence, guidance and framework to enable the long-term transition to a low carbon energy system. LAEP considers the unique characteristics of the local area and its existing energy system to guide the transition; aid decision making; prioritise resources; and support project and investment decisions.</w:t>
      </w:r>
      <w:bookmarkEnd w:id="2"/>
      <w:r w:rsidR="00377427">
        <w:rPr>
          <w:rFonts w:ascii="Arial" w:hAnsi="Arial"/>
        </w:rPr>
        <w:t xml:space="preserve">  We believe that Ofgem should consider the case for requiring licensees to demonstrate that their investment planning is informed by suitable local area energy planning, taking account of multi-vector dimensions.</w:t>
      </w:r>
    </w:p>
    <w:p w14:paraId="7685F200" w14:textId="77777777" w:rsidR="00CA45D2" w:rsidRDefault="00CA45D2" w:rsidP="00CA45D2">
      <w:pPr>
        <w:pStyle w:val="ListParagraph"/>
        <w:spacing w:after="0"/>
        <w:ind w:left="491"/>
        <w:jc w:val="both"/>
        <w:rPr>
          <w:rFonts w:ascii="Arial" w:hAnsi="Arial"/>
        </w:rPr>
      </w:pPr>
    </w:p>
    <w:p w14:paraId="484B8962" w14:textId="3010A07A" w:rsidR="00CA45D2" w:rsidRPr="00CA45D2" w:rsidRDefault="00CA45D2" w:rsidP="00377427">
      <w:pPr>
        <w:pStyle w:val="ListParagraph"/>
        <w:numPr>
          <w:ilvl w:val="0"/>
          <w:numId w:val="9"/>
        </w:numPr>
        <w:spacing w:after="0"/>
        <w:ind w:left="491" w:hanging="425"/>
        <w:jc w:val="both"/>
        <w:rPr>
          <w:rFonts w:ascii="Arial" w:hAnsi="Arial"/>
        </w:rPr>
      </w:pPr>
      <w:r>
        <w:rPr>
          <w:rFonts w:ascii="Arial" w:hAnsi="Arial"/>
          <w:b/>
          <w:i/>
        </w:rPr>
        <w:t>More generally we believe that Ofgem should give further consideration to the expectations and evidence it will require from licensees in their business plans and price review submissions, to demonstrate sufficient focus on whole system considerations and responsibilities in serving their customers.</w:t>
      </w:r>
      <w:r>
        <w:rPr>
          <w:rFonts w:ascii="Arial" w:hAnsi="Arial"/>
          <w:b/>
        </w:rPr>
        <w:t xml:space="preserve"> </w:t>
      </w:r>
      <w:r w:rsidRPr="00CA45D2">
        <w:rPr>
          <w:rFonts w:ascii="Arial" w:hAnsi="Arial"/>
        </w:rPr>
        <w:t xml:space="preserve">While licence conditions and guidance provide a useful directional signal and legal backstop, in practice it may be Ofgem’s approach to setting network price controls and monitoring output delivery that provide the strongest </w:t>
      </w:r>
      <w:r>
        <w:rPr>
          <w:rFonts w:ascii="Arial" w:hAnsi="Arial"/>
        </w:rPr>
        <w:t xml:space="preserve">targeted </w:t>
      </w:r>
      <w:r w:rsidRPr="00CA45D2">
        <w:rPr>
          <w:rFonts w:ascii="Arial" w:hAnsi="Arial"/>
        </w:rPr>
        <w:t>levers to secure changed behaviours and management focus.</w:t>
      </w:r>
    </w:p>
    <w:p w14:paraId="68008513" w14:textId="7112CA37" w:rsidR="00B67784" w:rsidRDefault="00B67784">
      <w:pPr>
        <w:spacing w:after="160" w:line="259" w:lineRule="auto"/>
        <w:rPr>
          <w:rFonts w:asciiTheme="majorHAnsi" w:hAnsiTheme="majorHAnsi"/>
          <w:color w:val="000000"/>
        </w:rPr>
      </w:pPr>
    </w:p>
    <w:p w14:paraId="21A50A65" w14:textId="5862A13A" w:rsidR="007D67AE" w:rsidRPr="00595815" w:rsidRDefault="007F23A9" w:rsidP="007D67AE">
      <w:pPr>
        <w:autoSpaceDE w:val="0"/>
        <w:autoSpaceDN w:val="0"/>
        <w:adjustRightInd w:val="0"/>
        <w:spacing w:after="0"/>
        <w:jc w:val="both"/>
        <w:rPr>
          <w:color w:val="000000"/>
        </w:rPr>
      </w:pPr>
      <w:r w:rsidRPr="00595815">
        <w:rPr>
          <w:b/>
          <w:color w:val="0070C0"/>
          <w:sz w:val="24"/>
          <w:szCs w:val="24"/>
        </w:rPr>
        <w:t xml:space="preserve">Detailed Response to Questions: </w:t>
      </w:r>
    </w:p>
    <w:p w14:paraId="1A648311" w14:textId="77777777" w:rsidR="00FC4525" w:rsidRPr="00595815" w:rsidRDefault="00FC4525" w:rsidP="00974185">
      <w:pPr>
        <w:spacing w:after="0"/>
        <w:jc w:val="both"/>
        <w:rPr>
          <w:b/>
          <w:sz w:val="24"/>
          <w:szCs w:val="24"/>
        </w:rPr>
      </w:pPr>
    </w:p>
    <w:p w14:paraId="3DA37E58" w14:textId="61520E61" w:rsidR="00216551" w:rsidRPr="00595815" w:rsidRDefault="00595815" w:rsidP="007B5898">
      <w:pPr>
        <w:shd w:val="clear" w:color="auto" w:fill="FFFFFF"/>
        <w:tabs>
          <w:tab w:val="left" w:pos="450"/>
        </w:tabs>
        <w:spacing w:after="150"/>
        <w:jc w:val="both"/>
        <w:textAlignment w:val="baseline"/>
        <w:rPr>
          <w:b/>
          <w:sz w:val="24"/>
          <w:szCs w:val="24"/>
        </w:rPr>
      </w:pPr>
      <w:r w:rsidRPr="00595815">
        <w:rPr>
          <w:b/>
          <w:sz w:val="24"/>
          <w:szCs w:val="24"/>
        </w:rPr>
        <w:t>Objectives</w:t>
      </w:r>
      <w:r w:rsidR="00216551" w:rsidRPr="00595815">
        <w:rPr>
          <w:b/>
          <w:sz w:val="24"/>
          <w:szCs w:val="24"/>
        </w:rPr>
        <w:t>:</w:t>
      </w:r>
    </w:p>
    <w:p w14:paraId="7B7800B5" w14:textId="77777777" w:rsidR="00595815" w:rsidRPr="00595815" w:rsidRDefault="00C12421" w:rsidP="00595815">
      <w:pPr>
        <w:shd w:val="clear" w:color="auto" w:fill="FFFFFF"/>
        <w:tabs>
          <w:tab w:val="left" w:pos="450"/>
        </w:tabs>
        <w:spacing w:after="150"/>
        <w:jc w:val="both"/>
        <w:textAlignment w:val="baseline"/>
        <w:rPr>
          <w:b/>
          <w:i/>
        </w:rPr>
      </w:pPr>
      <w:r w:rsidRPr="00595815">
        <w:rPr>
          <w:b/>
          <w:i/>
        </w:rPr>
        <w:t xml:space="preserve">Q1: </w:t>
      </w:r>
      <w:r w:rsidR="00595815" w:rsidRPr="00595815">
        <w:rPr>
          <w:b/>
          <w:i/>
        </w:rPr>
        <w:t xml:space="preserve">Do you agree with the proposal to clarify Whole System responsibilities through licence and supporting Guidance? Where possible, please provide evidence and examples to support your views. In particular please describe: </w:t>
      </w:r>
    </w:p>
    <w:p w14:paraId="742B8EBA" w14:textId="45C015C4" w:rsidR="00C12421" w:rsidRPr="00595815" w:rsidRDefault="00595815" w:rsidP="00595815">
      <w:pPr>
        <w:shd w:val="clear" w:color="auto" w:fill="FFFFFF"/>
        <w:tabs>
          <w:tab w:val="left" w:pos="450"/>
        </w:tabs>
        <w:spacing w:after="150"/>
        <w:jc w:val="both"/>
        <w:textAlignment w:val="baseline"/>
        <w:rPr>
          <w:b/>
          <w:i/>
        </w:rPr>
      </w:pPr>
      <w:r w:rsidRPr="00595815">
        <w:rPr>
          <w:b/>
          <w:i/>
        </w:rPr>
        <w:t>a.</w:t>
      </w:r>
      <w:r w:rsidRPr="00595815">
        <w:rPr>
          <w:b/>
          <w:i/>
        </w:rPr>
        <w:tab/>
        <w:t>The potential benefits you might expect to result from these proposals?</w:t>
      </w:r>
    </w:p>
    <w:p w14:paraId="461A2481" w14:textId="526CD4A6" w:rsidR="00595815" w:rsidRDefault="00595815" w:rsidP="00A23BFF">
      <w:pPr>
        <w:pStyle w:val="ListParagraph"/>
        <w:numPr>
          <w:ilvl w:val="0"/>
          <w:numId w:val="4"/>
        </w:numPr>
        <w:spacing w:after="0"/>
        <w:ind w:left="426" w:hanging="426"/>
        <w:jc w:val="both"/>
        <w:rPr>
          <w:rFonts w:ascii="Arial" w:hAnsi="Arial"/>
        </w:rPr>
      </w:pPr>
      <w:r w:rsidRPr="00595815">
        <w:rPr>
          <w:rFonts w:ascii="Arial" w:hAnsi="Arial"/>
        </w:rPr>
        <w:t>We support the proposal to clarify whole system responsibility for electricity network companies (TOs, IDNOs, distribution licence holders). We expect that providing clarity on the need to cooperate and consider wider system impacts could unlock efficiency in resource planning and use across the electricity system, and lead to potential cost savings for end users.</w:t>
      </w:r>
    </w:p>
    <w:p w14:paraId="3426CA6F" w14:textId="77777777" w:rsidR="00595815" w:rsidRPr="00595815" w:rsidRDefault="00595815" w:rsidP="00313D04">
      <w:pPr>
        <w:pStyle w:val="ListParagraph"/>
        <w:spacing w:after="0"/>
        <w:ind w:left="-360"/>
        <w:jc w:val="both"/>
        <w:rPr>
          <w:rFonts w:ascii="Arial" w:hAnsi="Arial"/>
        </w:rPr>
      </w:pPr>
    </w:p>
    <w:p w14:paraId="30DE3B94" w14:textId="536D8339" w:rsidR="00595815" w:rsidRDefault="00595815" w:rsidP="00A23BFF">
      <w:pPr>
        <w:pStyle w:val="ListParagraph"/>
        <w:numPr>
          <w:ilvl w:val="0"/>
          <w:numId w:val="4"/>
        </w:numPr>
        <w:spacing w:after="0"/>
        <w:jc w:val="both"/>
        <w:rPr>
          <w:rFonts w:ascii="Arial" w:hAnsi="Arial"/>
        </w:rPr>
      </w:pPr>
      <w:r w:rsidRPr="00595815">
        <w:rPr>
          <w:rFonts w:ascii="Arial" w:hAnsi="Arial"/>
        </w:rPr>
        <w:t xml:space="preserve">This might be especially relevant for neighbouring </w:t>
      </w:r>
      <w:r w:rsidR="00A23BFF">
        <w:rPr>
          <w:rFonts w:ascii="Arial" w:hAnsi="Arial"/>
        </w:rPr>
        <w:t>networks</w:t>
      </w:r>
      <w:r w:rsidRPr="00595815">
        <w:rPr>
          <w:rFonts w:ascii="Arial" w:hAnsi="Arial"/>
        </w:rPr>
        <w:t xml:space="preserve">, </w:t>
      </w:r>
      <w:r>
        <w:rPr>
          <w:rFonts w:ascii="Arial" w:hAnsi="Arial"/>
        </w:rPr>
        <w:t>which might</w:t>
      </w:r>
      <w:r w:rsidRPr="00595815">
        <w:rPr>
          <w:rFonts w:ascii="Arial" w:hAnsi="Arial"/>
        </w:rPr>
        <w:t xml:space="preserve"> </w:t>
      </w:r>
      <w:r>
        <w:rPr>
          <w:rFonts w:ascii="Arial" w:hAnsi="Arial"/>
        </w:rPr>
        <w:t>host</w:t>
      </w:r>
      <w:r w:rsidRPr="00595815">
        <w:rPr>
          <w:rFonts w:ascii="Arial" w:hAnsi="Arial"/>
        </w:rPr>
        <w:t xml:space="preserve"> distributed resources with capability to support different</w:t>
      </w:r>
      <w:r>
        <w:rPr>
          <w:rFonts w:ascii="Arial" w:hAnsi="Arial"/>
        </w:rPr>
        <w:t xml:space="preserve"> distribution licence holders</w:t>
      </w:r>
      <w:r w:rsidRPr="00595815">
        <w:rPr>
          <w:rFonts w:ascii="Arial" w:hAnsi="Arial"/>
        </w:rPr>
        <w:t xml:space="preserve">. Sharing knowledge about </w:t>
      </w:r>
      <w:r>
        <w:rPr>
          <w:rFonts w:ascii="Arial" w:hAnsi="Arial"/>
        </w:rPr>
        <w:t>such</w:t>
      </w:r>
      <w:r w:rsidRPr="00595815">
        <w:rPr>
          <w:rFonts w:ascii="Arial" w:hAnsi="Arial"/>
        </w:rPr>
        <w:t xml:space="preserve"> resources and </w:t>
      </w:r>
      <w:r>
        <w:rPr>
          <w:rFonts w:ascii="Arial" w:hAnsi="Arial"/>
        </w:rPr>
        <w:t>cooperating in the organisation of</w:t>
      </w:r>
      <w:r w:rsidRPr="00595815">
        <w:rPr>
          <w:rFonts w:ascii="Arial" w:hAnsi="Arial"/>
        </w:rPr>
        <w:t xml:space="preserve"> transparent decision-making mechanisms (e.g. markets) in which those resources can easily engage can stimulate </w:t>
      </w:r>
      <w:r>
        <w:rPr>
          <w:rFonts w:ascii="Arial" w:hAnsi="Arial"/>
        </w:rPr>
        <w:t xml:space="preserve">efficient use and </w:t>
      </w:r>
      <w:r w:rsidRPr="00595815">
        <w:rPr>
          <w:rFonts w:ascii="Arial" w:hAnsi="Arial"/>
        </w:rPr>
        <w:t>appropriate system-wide investment.</w:t>
      </w:r>
    </w:p>
    <w:p w14:paraId="01727969" w14:textId="77777777" w:rsidR="00E84C9C" w:rsidRPr="00E84C9C" w:rsidRDefault="00E84C9C" w:rsidP="00E84C9C">
      <w:pPr>
        <w:pStyle w:val="ListParagraph"/>
        <w:rPr>
          <w:rFonts w:ascii="Arial" w:hAnsi="Arial"/>
        </w:rPr>
      </w:pPr>
    </w:p>
    <w:p w14:paraId="5C31F9CC" w14:textId="3336F6AB" w:rsidR="00693FB1" w:rsidRDefault="00595815" w:rsidP="00A23BFF">
      <w:pPr>
        <w:pStyle w:val="ListParagraph"/>
        <w:numPr>
          <w:ilvl w:val="0"/>
          <w:numId w:val="4"/>
        </w:numPr>
        <w:spacing w:after="0"/>
        <w:jc w:val="both"/>
        <w:rPr>
          <w:rFonts w:ascii="Arial" w:hAnsi="Arial"/>
        </w:rPr>
      </w:pPr>
      <w:r w:rsidRPr="00595815">
        <w:rPr>
          <w:rFonts w:ascii="Arial" w:hAnsi="Arial"/>
          <w:b/>
        </w:rPr>
        <w:t>We also welcome the recognition in the Guidance that relevant stakeholders include actors outside the electricity system and stress the importance of engaging across the wider energy landscape to include gas, transport, and heat</w:t>
      </w:r>
      <w:r w:rsidRPr="00595815">
        <w:rPr>
          <w:rFonts w:ascii="Arial" w:hAnsi="Arial"/>
        </w:rPr>
        <w:t>.  In the longer term, we expect the whole energy system to become more closely interlinked with increasing co-dependence of energy vectors and believe that extending the responsibility for whole system outcomes outside the electricity sector would be necessary. We support Ofgem’s assessment that those linkages need to be better understood</w:t>
      </w:r>
      <w:r>
        <w:rPr>
          <w:rFonts w:ascii="Arial" w:hAnsi="Arial"/>
        </w:rPr>
        <w:t>.</w:t>
      </w:r>
      <w:r w:rsidR="00693FB1" w:rsidRPr="00595815">
        <w:rPr>
          <w:rFonts w:ascii="Arial" w:hAnsi="Arial"/>
        </w:rPr>
        <w:t xml:space="preserve"> </w:t>
      </w:r>
    </w:p>
    <w:p w14:paraId="7F79E5F8" w14:textId="77777777" w:rsidR="004818F0" w:rsidRPr="004818F0" w:rsidRDefault="004818F0" w:rsidP="004818F0">
      <w:pPr>
        <w:pStyle w:val="ListParagraph"/>
        <w:rPr>
          <w:rFonts w:ascii="Arial" w:hAnsi="Arial"/>
        </w:rPr>
      </w:pPr>
    </w:p>
    <w:p w14:paraId="5EA1C7C6" w14:textId="551D72E2" w:rsidR="004818F0" w:rsidRPr="004818F0" w:rsidRDefault="004818F0" w:rsidP="004818F0">
      <w:pPr>
        <w:shd w:val="clear" w:color="auto" w:fill="FFFFFF"/>
        <w:tabs>
          <w:tab w:val="left" w:pos="450"/>
        </w:tabs>
        <w:spacing w:after="150"/>
        <w:jc w:val="both"/>
        <w:textAlignment w:val="baseline"/>
        <w:rPr>
          <w:b/>
          <w:i/>
        </w:rPr>
      </w:pPr>
      <w:r w:rsidRPr="004818F0">
        <w:rPr>
          <w:b/>
          <w:i/>
        </w:rPr>
        <w:lastRenderedPageBreak/>
        <w:t>b.</w:t>
      </w:r>
      <w:r w:rsidRPr="004818F0">
        <w:rPr>
          <w:b/>
          <w:i/>
        </w:rPr>
        <w:tab/>
        <w:t>If there are any material costs or issues for you in relation to these proposals?</w:t>
      </w:r>
    </w:p>
    <w:p w14:paraId="04E34316" w14:textId="73D12C95" w:rsidR="006D072F" w:rsidRPr="00DF215A" w:rsidRDefault="004818F0" w:rsidP="00A23BFF">
      <w:pPr>
        <w:pStyle w:val="ListParagraph"/>
        <w:numPr>
          <w:ilvl w:val="0"/>
          <w:numId w:val="4"/>
        </w:numPr>
        <w:rPr>
          <w:rFonts w:ascii="Arial" w:hAnsi="Arial"/>
        </w:rPr>
      </w:pPr>
      <w:r w:rsidRPr="00DF215A">
        <w:rPr>
          <w:rFonts w:ascii="Arial" w:hAnsi="Arial"/>
        </w:rPr>
        <w:t xml:space="preserve">Not applicable. </w:t>
      </w:r>
    </w:p>
    <w:p w14:paraId="57EE018C" w14:textId="77777777" w:rsidR="00377427" w:rsidRDefault="00377427" w:rsidP="004818F0">
      <w:pPr>
        <w:jc w:val="both"/>
        <w:rPr>
          <w:b/>
          <w:sz w:val="24"/>
          <w:szCs w:val="24"/>
        </w:rPr>
      </w:pPr>
    </w:p>
    <w:p w14:paraId="70E35536" w14:textId="567B6C13" w:rsidR="004818F0" w:rsidRPr="004818F0" w:rsidRDefault="004818F0" w:rsidP="004818F0">
      <w:pPr>
        <w:jc w:val="both"/>
      </w:pPr>
      <w:r w:rsidRPr="004818F0">
        <w:rPr>
          <w:b/>
          <w:sz w:val="24"/>
          <w:szCs w:val="24"/>
        </w:rPr>
        <w:t>Draft licence conditions and guidance</w:t>
      </w:r>
    </w:p>
    <w:p w14:paraId="31BFB127" w14:textId="77777777" w:rsidR="0012537A" w:rsidRPr="00595815" w:rsidRDefault="0012537A" w:rsidP="0012537A">
      <w:pPr>
        <w:pStyle w:val="ListParagraph"/>
        <w:autoSpaceDE w:val="0"/>
        <w:autoSpaceDN w:val="0"/>
        <w:adjustRightInd w:val="0"/>
        <w:spacing w:after="0"/>
        <w:ind w:left="425"/>
        <w:contextualSpacing w:val="0"/>
        <w:jc w:val="both"/>
      </w:pPr>
    </w:p>
    <w:p w14:paraId="616E9B4D" w14:textId="677D8733" w:rsidR="004818F0" w:rsidRPr="004818F0" w:rsidRDefault="004818F0" w:rsidP="004818F0">
      <w:pPr>
        <w:shd w:val="clear" w:color="auto" w:fill="FFFFFF"/>
        <w:tabs>
          <w:tab w:val="left" w:pos="450"/>
        </w:tabs>
        <w:spacing w:after="150"/>
        <w:jc w:val="both"/>
        <w:textAlignment w:val="baseline"/>
        <w:rPr>
          <w:b/>
          <w:i/>
        </w:rPr>
      </w:pPr>
      <w:r w:rsidRPr="004818F0">
        <w:rPr>
          <w:b/>
          <w:i/>
        </w:rPr>
        <w:t xml:space="preserve">Q2: Do you agree with the proposed scope and content of these licence conditions and Guidance? Please provide any specific comments you have on the attached draft, including illustrative examples, and where possible, please provide reasons and evidence to support your response, in particular: </w:t>
      </w:r>
    </w:p>
    <w:p w14:paraId="18EDC20C" w14:textId="0618FFA8" w:rsidR="004818F0" w:rsidRDefault="004818F0" w:rsidP="00A23BFF">
      <w:pPr>
        <w:pStyle w:val="ListParagraph"/>
        <w:numPr>
          <w:ilvl w:val="0"/>
          <w:numId w:val="5"/>
        </w:numPr>
        <w:shd w:val="clear" w:color="auto" w:fill="FFFFFF"/>
        <w:tabs>
          <w:tab w:val="left" w:pos="450"/>
        </w:tabs>
        <w:spacing w:after="150"/>
        <w:jc w:val="both"/>
        <w:textAlignment w:val="baseline"/>
        <w:rPr>
          <w:rFonts w:ascii="Arial" w:hAnsi="Arial"/>
          <w:b/>
          <w:i/>
        </w:rPr>
      </w:pPr>
      <w:r w:rsidRPr="004818F0">
        <w:rPr>
          <w:rFonts w:ascii="Arial" w:hAnsi="Arial"/>
          <w:b/>
          <w:i/>
        </w:rPr>
        <w:t xml:space="preserve">Are there other examples or areas of activity which you consider should be highlighted, or do you see the need for further clarity in any area? </w:t>
      </w:r>
    </w:p>
    <w:p w14:paraId="0814720D" w14:textId="13682209" w:rsidR="004818F0" w:rsidRDefault="004818F0" w:rsidP="00313D04">
      <w:pPr>
        <w:pStyle w:val="ListParagraph"/>
        <w:shd w:val="clear" w:color="auto" w:fill="FFFFFF"/>
        <w:tabs>
          <w:tab w:val="left" w:pos="450"/>
        </w:tabs>
        <w:spacing w:after="150"/>
        <w:ind w:left="0"/>
        <w:jc w:val="both"/>
        <w:textAlignment w:val="baseline"/>
        <w:rPr>
          <w:rFonts w:ascii="Arial" w:hAnsi="Arial"/>
          <w:b/>
          <w:i/>
        </w:rPr>
      </w:pPr>
    </w:p>
    <w:p w14:paraId="59216E43" w14:textId="011541C3" w:rsidR="00313D04" w:rsidRDefault="002B72F8" w:rsidP="00A23BFF">
      <w:pPr>
        <w:pStyle w:val="ListParagraph"/>
        <w:numPr>
          <w:ilvl w:val="0"/>
          <w:numId w:val="4"/>
        </w:numPr>
        <w:spacing w:after="0"/>
        <w:jc w:val="both"/>
        <w:rPr>
          <w:rFonts w:ascii="Arial" w:hAnsi="Arial"/>
        </w:rPr>
      </w:pPr>
      <w:r>
        <w:rPr>
          <w:rFonts w:ascii="Arial" w:hAnsi="Arial"/>
        </w:rPr>
        <w:t xml:space="preserve">We </w:t>
      </w:r>
      <w:r w:rsidR="005A5536">
        <w:rPr>
          <w:rFonts w:ascii="Arial" w:hAnsi="Arial"/>
        </w:rPr>
        <w:t xml:space="preserve">broadly </w:t>
      </w:r>
      <w:r w:rsidR="00C34E3C">
        <w:rPr>
          <w:rFonts w:ascii="Arial" w:hAnsi="Arial"/>
        </w:rPr>
        <w:t>agree with the proposed scope and content of the licence conditions</w:t>
      </w:r>
      <w:r>
        <w:rPr>
          <w:rFonts w:ascii="Arial" w:hAnsi="Arial"/>
        </w:rPr>
        <w:t xml:space="preserve">. We consider that </w:t>
      </w:r>
      <w:r w:rsidR="00C34E3C">
        <w:rPr>
          <w:rFonts w:ascii="Arial" w:hAnsi="Arial"/>
        </w:rPr>
        <w:t>engagement between</w:t>
      </w:r>
      <w:r w:rsidRPr="002B72F8">
        <w:rPr>
          <w:rFonts w:ascii="Arial" w:hAnsi="Arial"/>
        </w:rPr>
        <w:t xml:space="preserve"> </w:t>
      </w:r>
      <w:r w:rsidR="00C34E3C">
        <w:rPr>
          <w:rFonts w:ascii="Arial" w:hAnsi="Arial"/>
        </w:rPr>
        <w:t>L</w:t>
      </w:r>
      <w:r w:rsidRPr="002B72F8">
        <w:rPr>
          <w:rFonts w:ascii="Arial" w:hAnsi="Arial"/>
        </w:rPr>
        <w:t>icensees</w:t>
      </w:r>
      <w:r w:rsidR="00C34E3C">
        <w:rPr>
          <w:rFonts w:ascii="Arial" w:hAnsi="Arial"/>
        </w:rPr>
        <w:t xml:space="preserve"> and broader Stakeholders is key in supporting whole electricity system outcomes. </w:t>
      </w:r>
      <w:r w:rsidR="005A5536">
        <w:rPr>
          <w:rFonts w:ascii="Arial" w:hAnsi="Arial"/>
        </w:rPr>
        <w:t>In that context we</w:t>
      </w:r>
      <w:r w:rsidR="00C34E3C">
        <w:rPr>
          <w:rFonts w:ascii="Arial" w:hAnsi="Arial"/>
        </w:rPr>
        <w:t xml:space="preserve"> welcome the requirements</w:t>
      </w:r>
      <w:r w:rsidR="00C34E3C" w:rsidRPr="002B72F8">
        <w:rPr>
          <w:rFonts w:ascii="Arial" w:hAnsi="Arial"/>
        </w:rPr>
        <w:t xml:space="preserve"> </w:t>
      </w:r>
      <w:r w:rsidR="00C34E3C">
        <w:rPr>
          <w:rFonts w:ascii="Arial" w:hAnsi="Arial"/>
        </w:rPr>
        <w:t xml:space="preserve">set under section 2 of the licence conditions </w:t>
      </w:r>
      <w:r>
        <w:rPr>
          <w:rFonts w:ascii="Arial" w:hAnsi="Arial"/>
        </w:rPr>
        <w:t xml:space="preserve">for Licensees </w:t>
      </w:r>
      <w:r w:rsidRPr="002B72F8">
        <w:rPr>
          <w:rFonts w:ascii="Arial" w:hAnsi="Arial"/>
        </w:rPr>
        <w:t>to engage with each other, to consider system impacts</w:t>
      </w:r>
      <w:r>
        <w:rPr>
          <w:rFonts w:ascii="Arial" w:hAnsi="Arial"/>
        </w:rPr>
        <w:t xml:space="preserve">, </w:t>
      </w:r>
      <w:r w:rsidRPr="002B72F8">
        <w:rPr>
          <w:rFonts w:ascii="Arial" w:hAnsi="Arial"/>
        </w:rPr>
        <w:t>to develop a transparent decision-making and operational framework, to consider alternative actions available to other stakeholders, to work with ESO to optimise synergies</w:t>
      </w:r>
      <w:r w:rsidR="00C34E3C">
        <w:rPr>
          <w:rFonts w:ascii="Arial" w:hAnsi="Arial"/>
        </w:rPr>
        <w:t xml:space="preserve">. </w:t>
      </w:r>
    </w:p>
    <w:p w14:paraId="3E82891E" w14:textId="77777777" w:rsidR="00313D04" w:rsidRDefault="00313D04" w:rsidP="00313D04">
      <w:pPr>
        <w:pStyle w:val="ListParagraph"/>
        <w:spacing w:after="0"/>
        <w:ind w:left="360"/>
        <w:jc w:val="both"/>
        <w:rPr>
          <w:rFonts w:ascii="Arial" w:hAnsi="Arial"/>
        </w:rPr>
      </w:pPr>
    </w:p>
    <w:p w14:paraId="1CEE676C" w14:textId="288323F7" w:rsidR="004818F0" w:rsidRDefault="004818F0" w:rsidP="00A23BFF">
      <w:pPr>
        <w:pStyle w:val="ListParagraph"/>
        <w:numPr>
          <w:ilvl w:val="0"/>
          <w:numId w:val="4"/>
        </w:numPr>
        <w:spacing w:after="0"/>
        <w:jc w:val="both"/>
        <w:rPr>
          <w:rFonts w:ascii="Arial" w:hAnsi="Arial"/>
        </w:rPr>
      </w:pPr>
      <w:r w:rsidRPr="004818F0">
        <w:rPr>
          <w:rFonts w:ascii="Arial" w:hAnsi="Arial"/>
        </w:rPr>
        <w:t>We consider that section 1.16. of the Guidance could be more explicit in mentioning consumers/consumer groups as a</w:t>
      </w:r>
      <w:r w:rsidR="005A5536">
        <w:rPr>
          <w:rFonts w:ascii="Arial" w:hAnsi="Arial"/>
        </w:rPr>
        <w:t xml:space="preserve"> key </w:t>
      </w:r>
      <w:r w:rsidRPr="004818F0">
        <w:rPr>
          <w:rFonts w:ascii="Arial" w:hAnsi="Arial"/>
        </w:rPr>
        <w:t xml:space="preserve">stakeholder </w:t>
      </w:r>
      <w:r w:rsidR="005A5536">
        <w:rPr>
          <w:rFonts w:ascii="Arial" w:hAnsi="Arial"/>
        </w:rPr>
        <w:t xml:space="preserve">to engage with, and </w:t>
      </w:r>
      <w:r w:rsidRPr="004818F0">
        <w:rPr>
          <w:rFonts w:ascii="Arial" w:hAnsi="Arial"/>
        </w:rPr>
        <w:t xml:space="preserve">with </w:t>
      </w:r>
      <w:r w:rsidR="00313D04" w:rsidRPr="004818F0">
        <w:rPr>
          <w:rFonts w:ascii="Arial" w:hAnsi="Arial"/>
        </w:rPr>
        <w:t xml:space="preserve">potential </w:t>
      </w:r>
      <w:r w:rsidRPr="004818F0">
        <w:rPr>
          <w:rFonts w:ascii="Arial" w:hAnsi="Arial"/>
        </w:rPr>
        <w:t xml:space="preserve">for provision of alternative solutions. </w:t>
      </w:r>
      <w:r w:rsidR="005A5536">
        <w:rPr>
          <w:rFonts w:ascii="Arial" w:hAnsi="Arial"/>
        </w:rPr>
        <w:t>We consider that in an increasingly</w:t>
      </w:r>
      <w:r w:rsidRPr="004818F0">
        <w:rPr>
          <w:rFonts w:ascii="Arial" w:hAnsi="Arial"/>
        </w:rPr>
        <w:t xml:space="preserve"> smart </w:t>
      </w:r>
      <w:r w:rsidR="005A5536">
        <w:rPr>
          <w:rFonts w:ascii="Arial" w:hAnsi="Arial"/>
        </w:rPr>
        <w:t>energy system</w:t>
      </w:r>
      <w:r w:rsidRPr="004818F0">
        <w:rPr>
          <w:rFonts w:ascii="Arial" w:hAnsi="Arial"/>
        </w:rPr>
        <w:t xml:space="preserve">, there </w:t>
      </w:r>
      <w:r w:rsidR="00C34E3C">
        <w:rPr>
          <w:rFonts w:ascii="Arial" w:hAnsi="Arial"/>
        </w:rPr>
        <w:t>would be increased</w:t>
      </w:r>
      <w:r w:rsidRPr="004818F0">
        <w:rPr>
          <w:rFonts w:ascii="Arial" w:hAnsi="Arial"/>
        </w:rPr>
        <w:t xml:space="preserve"> potential for either direct engagement </w:t>
      </w:r>
      <w:r w:rsidR="00C34E3C">
        <w:rPr>
          <w:rFonts w:ascii="Arial" w:hAnsi="Arial"/>
        </w:rPr>
        <w:t xml:space="preserve">with customers </w:t>
      </w:r>
      <w:r w:rsidRPr="004818F0">
        <w:rPr>
          <w:rFonts w:ascii="Arial" w:hAnsi="Arial"/>
        </w:rPr>
        <w:t xml:space="preserve">or engagement via service providers to unlock </w:t>
      </w:r>
      <w:r w:rsidR="005A5536">
        <w:rPr>
          <w:rFonts w:ascii="Arial" w:hAnsi="Arial"/>
        </w:rPr>
        <w:t xml:space="preserve">smaller scale </w:t>
      </w:r>
      <w:r w:rsidRPr="004818F0">
        <w:rPr>
          <w:rFonts w:ascii="Arial" w:hAnsi="Arial"/>
        </w:rPr>
        <w:t>end user demand-side management.</w:t>
      </w:r>
    </w:p>
    <w:p w14:paraId="07393B30" w14:textId="77777777" w:rsidR="00313D04" w:rsidRPr="004818F0" w:rsidRDefault="00313D04" w:rsidP="00313D04">
      <w:pPr>
        <w:pStyle w:val="ListParagraph"/>
        <w:spacing w:after="0"/>
        <w:jc w:val="both"/>
        <w:rPr>
          <w:rFonts w:ascii="Arial" w:hAnsi="Arial"/>
        </w:rPr>
      </w:pPr>
    </w:p>
    <w:p w14:paraId="1B72AF4F" w14:textId="5078F384" w:rsidR="004818F0" w:rsidRDefault="004818F0" w:rsidP="00A23BFF">
      <w:pPr>
        <w:pStyle w:val="ListParagraph"/>
        <w:numPr>
          <w:ilvl w:val="0"/>
          <w:numId w:val="5"/>
        </w:numPr>
        <w:rPr>
          <w:rFonts w:ascii="Arial" w:hAnsi="Arial"/>
          <w:b/>
          <w:i/>
        </w:rPr>
      </w:pPr>
      <w:r w:rsidRPr="004818F0">
        <w:rPr>
          <w:rFonts w:ascii="Arial" w:hAnsi="Arial"/>
          <w:b/>
          <w:i/>
        </w:rPr>
        <w:t>Do you consider these would be beneficial and proportionate? Are there any aspects which should not be included?</w:t>
      </w:r>
    </w:p>
    <w:p w14:paraId="4B22F96D" w14:textId="77777777" w:rsidR="005A5536" w:rsidRPr="004818F0" w:rsidRDefault="005A5536" w:rsidP="005A5536">
      <w:pPr>
        <w:pStyle w:val="ListParagraph"/>
        <w:ind w:left="360"/>
        <w:rPr>
          <w:rFonts w:ascii="Arial" w:hAnsi="Arial"/>
          <w:b/>
          <w:i/>
        </w:rPr>
      </w:pPr>
    </w:p>
    <w:p w14:paraId="77703131" w14:textId="20D01CA0" w:rsidR="00647492" w:rsidRDefault="005A5536" w:rsidP="00A23BFF">
      <w:pPr>
        <w:pStyle w:val="ListParagraph"/>
        <w:numPr>
          <w:ilvl w:val="0"/>
          <w:numId w:val="4"/>
        </w:numPr>
        <w:spacing w:after="0"/>
        <w:jc w:val="both"/>
        <w:rPr>
          <w:rFonts w:ascii="Arial" w:hAnsi="Arial"/>
        </w:rPr>
      </w:pPr>
      <w:r w:rsidRPr="00B67784">
        <w:rPr>
          <w:rFonts w:ascii="Arial" w:hAnsi="Arial"/>
        </w:rPr>
        <w:t>We</w:t>
      </w:r>
      <w:r w:rsidR="00BC251E" w:rsidRPr="00B67784">
        <w:rPr>
          <w:rFonts w:ascii="Arial" w:hAnsi="Arial"/>
        </w:rPr>
        <w:t xml:space="preserve"> consider the introduction of the proposed licence conditions for licence holders in the electricity sector is a first step in the process of introducing whole system obligations in the energy system. We</w:t>
      </w:r>
      <w:r w:rsidRPr="00B67784">
        <w:rPr>
          <w:rFonts w:ascii="Arial" w:hAnsi="Arial"/>
        </w:rPr>
        <w:t xml:space="preserve"> believe that </w:t>
      </w:r>
      <w:r w:rsidR="00BC251E" w:rsidRPr="00B67784">
        <w:rPr>
          <w:rFonts w:ascii="Arial" w:hAnsi="Arial"/>
        </w:rPr>
        <w:t>whole system outcomes</w:t>
      </w:r>
      <w:r w:rsidRPr="00B67784">
        <w:rPr>
          <w:rFonts w:ascii="Arial" w:hAnsi="Arial"/>
        </w:rPr>
        <w:t xml:space="preserve"> should </w:t>
      </w:r>
      <w:r w:rsidR="00BC251E" w:rsidRPr="00B67784">
        <w:rPr>
          <w:rFonts w:ascii="Arial" w:hAnsi="Arial"/>
        </w:rPr>
        <w:t xml:space="preserve">be considered by all entities in the energy system and over time should be extended beyond distribution and transmission licence holders </w:t>
      </w:r>
      <w:r w:rsidR="0009212B" w:rsidRPr="00B67784">
        <w:rPr>
          <w:rFonts w:ascii="Arial" w:hAnsi="Arial"/>
        </w:rPr>
        <w:t>in the electricity sector</w:t>
      </w:r>
      <w:r w:rsidR="00BC251E" w:rsidRPr="00B67784">
        <w:rPr>
          <w:rFonts w:ascii="Arial" w:hAnsi="Arial"/>
        </w:rPr>
        <w:t xml:space="preserve">. In that context, the balance of </w:t>
      </w:r>
      <w:r w:rsidR="0009212B" w:rsidRPr="00B67784">
        <w:rPr>
          <w:rFonts w:ascii="Arial" w:hAnsi="Arial"/>
        </w:rPr>
        <w:t xml:space="preserve">obligations to engage within the sector and with wider stakeholders seems appropriate. </w:t>
      </w:r>
      <w:r w:rsidR="00467181" w:rsidRPr="00B67784">
        <w:rPr>
          <w:rFonts w:ascii="Arial" w:hAnsi="Arial"/>
        </w:rPr>
        <w:t xml:space="preserve"> </w:t>
      </w:r>
      <w:r w:rsidR="0009212B" w:rsidRPr="00B67784">
        <w:rPr>
          <w:rFonts w:ascii="Arial" w:hAnsi="Arial"/>
        </w:rPr>
        <w:t xml:space="preserve">The draft licence conditions and Guidance seems to provide </w:t>
      </w:r>
      <w:r w:rsidR="00536201" w:rsidRPr="00B67784">
        <w:rPr>
          <w:rFonts w:ascii="Arial" w:hAnsi="Arial"/>
        </w:rPr>
        <w:t xml:space="preserve">sufficient </w:t>
      </w:r>
      <w:r w:rsidR="0009212B" w:rsidRPr="00B67784">
        <w:rPr>
          <w:rFonts w:ascii="Arial" w:hAnsi="Arial"/>
        </w:rPr>
        <w:t>flexibility for engagement by licensees.</w:t>
      </w:r>
      <w:r w:rsidR="00467181" w:rsidRPr="00B67784">
        <w:rPr>
          <w:rFonts w:ascii="Arial" w:hAnsi="Arial"/>
        </w:rPr>
        <w:t xml:space="preserve"> </w:t>
      </w:r>
    </w:p>
    <w:p w14:paraId="6AE6DC4C" w14:textId="77777777" w:rsidR="00B67784" w:rsidRPr="00B67784" w:rsidRDefault="00B67784" w:rsidP="00B67784">
      <w:pPr>
        <w:pStyle w:val="ListParagraph"/>
        <w:spacing w:after="0"/>
        <w:ind w:left="360"/>
        <w:jc w:val="both"/>
        <w:rPr>
          <w:rFonts w:ascii="Arial" w:hAnsi="Arial"/>
        </w:rPr>
      </w:pPr>
    </w:p>
    <w:p w14:paraId="26E8697D" w14:textId="3E468406" w:rsidR="00C34E3C" w:rsidRPr="00567DE8" w:rsidRDefault="00C34E3C" w:rsidP="00567DE8">
      <w:pPr>
        <w:spacing w:after="0"/>
        <w:jc w:val="both"/>
      </w:pPr>
    </w:p>
    <w:p w14:paraId="28EB0F9D" w14:textId="488758F8" w:rsidR="00C12421" w:rsidRDefault="00C12421" w:rsidP="004818F0">
      <w:pPr>
        <w:shd w:val="clear" w:color="auto" w:fill="FFFFFF"/>
        <w:tabs>
          <w:tab w:val="left" w:pos="450"/>
        </w:tabs>
        <w:spacing w:after="150"/>
        <w:jc w:val="both"/>
        <w:textAlignment w:val="baseline"/>
        <w:rPr>
          <w:b/>
          <w:i/>
        </w:rPr>
      </w:pPr>
      <w:r w:rsidRPr="004818F0">
        <w:rPr>
          <w:b/>
          <w:i/>
        </w:rPr>
        <w:t>Q</w:t>
      </w:r>
      <w:r w:rsidR="00313D04">
        <w:rPr>
          <w:b/>
          <w:i/>
        </w:rPr>
        <w:t>3</w:t>
      </w:r>
      <w:r w:rsidRPr="004818F0">
        <w:rPr>
          <w:b/>
          <w:i/>
        </w:rPr>
        <w:t xml:space="preserve">: </w:t>
      </w:r>
      <w:r w:rsidR="00313D04" w:rsidRPr="00313D04">
        <w:rPr>
          <w:b/>
          <w:i/>
        </w:rPr>
        <w:t>These proposals require licensees to engage and coordinate with Stakeholders. This recognises that a range of parties may have an interest in different aspects of the system, and the licensees should seek to engage with those with an interest in a given situation. Do you agree with this approach?</w:t>
      </w:r>
    </w:p>
    <w:p w14:paraId="022E628C" w14:textId="2B3117F1" w:rsidR="00313D04" w:rsidRPr="00E84C9C" w:rsidRDefault="00313D04" w:rsidP="00A23BFF">
      <w:pPr>
        <w:pStyle w:val="ListParagraph"/>
        <w:numPr>
          <w:ilvl w:val="0"/>
          <w:numId w:val="4"/>
        </w:numPr>
        <w:spacing w:after="0"/>
        <w:ind w:left="357"/>
        <w:jc w:val="both"/>
        <w:rPr>
          <w:rFonts w:ascii="Arial" w:hAnsi="Arial"/>
        </w:rPr>
      </w:pPr>
      <w:r w:rsidRPr="00567DE8">
        <w:rPr>
          <w:rFonts w:ascii="Arial" w:hAnsi="Arial"/>
          <w:b/>
        </w:rPr>
        <w:lastRenderedPageBreak/>
        <w:t>We</w:t>
      </w:r>
      <w:r w:rsidR="00C34E3C" w:rsidRPr="00567DE8">
        <w:rPr>
          <w:rFonts w:ascii="Arial" w:hAnsi="Arial"/>
          <w:b/>
        </w:rPr>
        <w:t xml:space="preserve"> strongly</w:t>
      </w:r>
      <w:r w:rsidRPr="00567DE8">
        <w:rPr>
          <w:rFonts w:ascii="Arial" w:hAnsi="Arial"/>
          <w:b/>
        </w:rPr>
        <w:t xml:space="preserve"> support the approach and believe that a whole system perspective is essential to deliver an efficient UK energy transition</w:t>
      </w:r>
      <w:r w:rsidRPr="00567DE8">
        <w:rPr>
          <w:rFonts w:ascii="Arial" w:hAnsi="Arial"/>
        </w:rPr>
        <w:t>.</w:t>
      </w:r>
      <w:r w:rsidR="00567DE8" w:rsidRPr="00567DE8">
        <w:rPr>
          <w:rFonts w:ascii="Arial" w:hAnsi="Arial"/>
        </w:rPr>
        <w:t xml:space="preserve"> We believe that a whole system perspective should discover the best value, most effective transition for society including the optimal allocation of resources and distribution of the costs and the efficient direction of incentives.</w:t>
      </w:r>
      <w:r w:rsidR="00567DE8" w:rsidRPr="00567DE8">
        <w:t xml:space="preserve"> </w:t>
      </w:r>
      <w:r w:rsidR="00A56CAC" w:rsidRPr="00A56CAC">
        <w:rPr>
          <w:rFonts w:ascii="Arial" w:hAnsi="Arial"/>
        </w:rPr>
        <w:t>However, a</w:t>
      </w:r>
      <w:r w:rsidR="00836F30" w:rsidRPr="00A56CAC">
        <w:rPr>
          <w:rFonts w:ascii="Arial" w:hAnsi="Arial"/>
        </w:rPr>
        <w:t xml:space="preserve"> </w:t>
      </w:r>
      <w:r w:rsidR="00A56CAC" w:rsidRPr="00A56CAC">
        <w:rPr>
          <w:rFonts w:ascii="Arial" w:hAnsi="Arial"/>
        </w:rPr>
        <w:t xml:space="preserve">major </w:t>
      </w:r>
      <w:r w:rsidR="00836F30" w:rsidRPr="00A56CAC">
        <w:rPr>
          <w:rFonts w:ascii="Arial" w:hAnsi="Arial"/>
        </w:rPr>
        <w:t xml:space="preserve">barrier to </w:t>
      </w:r>
      <w:r w:rsidR="00A56CAC" w:rsidRPr="00A56CAC">
        <w:rPr>
          <w:rFonts w:ascii="Arial" w:hAnsi="Arial"/>
        </w:rPr>
        <w:t xml:space="preserve">whole system innovation is the </w:t>
      </w:r>
      <w:r w:rsidR="00836F30" w:rsidRPr="00A56CAC">
        <w:rPr>
          <w:rFonts w:ascii="Arial" w:hAnsi="Arial"/>
        </w:rPr>
        <w:t xml:space="preserve">difficulty </w:t>
      </w:r>
      <w:r w:rsidR="00A56CAC" w:rsidRPr="00A56CAC">
        <w:rPr>
          <w:rFonts w:ascii="Arial" w:hAnsi="Arial"/>
        </w:rPr>
        <w:t>obtaining</w:t>
      </w:r>
      <w:r w:rsidR="00836F30" w:rsidRPr="00A56CAC">
        <w:rPr>
          <w:rFonts w:ascii="Arial" w:hAnsi="Arial"/>
        </w:rPr>
        <w:t xml:space="preserve"> network data from </w:t>
      </w:r>
      <w:r w:rsidR="00A56CAC" w:rsidRPr="00A56CAC">
        <w:rPr>
          <w:rFonts w:ascii="Arial" w:hAnsi="Arial"/>
        </w:rPr>
        <w:t>Distribution Network Operators – this needs to be addressed.</w:t>
      </w:r>
      <w:r w:rsidR="00836F30">
        <w:t xml:space="preserve"> </w:t>
      </w:r>
    </w:p>
    <w:p w14:paraId="1632777E" w14:textId="77777777" w:rsidR="00E84C9C" w:rsidRPr="00E84C9C" w:rsidRDefault="00E84C9C" w:rsidP="00E84C9C">
      <w:pPr>
        <w:pStyle w:val="ListParagraph"/>
        <w:spacing w:after="0"/>
        <w:ind w:left="357"/>
        <w:jc w:val="both"/>
        <w:rPr>
          <w:rFonts w:ascii="Arial" w:hAnsi="Arial"/>
        </w:rPr>
      </w:pPr>
    </w:p>
    <w:p w14:paraId="1B2985D2" w14:textId="77777777" w:rsidR="00E84C9C" w:rsidRDefault="00E84C9C" w:rsidP="00A23BFF">
      <w:pPr>
        <w:pStyle w:val="ListParagraph"/>
        <w:numPr>
          <w:ilvl w:val="0"/>
          <w:numId w:val="4"/>
        </w:numPr>
        <w:autoSpaceDE w:val="0"/>
        <w:autoSpaceDN w:val="0"/>
        <w:adjustRightInd w:val="0"/>
        <w:spacing w:after="0"/>
        <w:jc w:val="both"/>
        <w:rPr>
          <w:rFonts w:ascii="Arial" w:hAnsi="Arial"/>
        </w:rPr>
      </w:pPr>
      <w:r w:rsidRPr="00BC02BC">
        <w:rPr>
          <w:rFonts w:ascii="Arial" w:hAnsi="Arial"/>
        </w:rPr>
        <w:t xml:space="preserve">We welcome the requirements set under section 2 of the licence conditions for Licensees to engage with each other, to consider system impacts, to develop a transparent decision-making and operational framework, to consider alternative actions available to other stakeholders, to work with ESO to optimise synergies. </w:t>
      </w:r>
    </w:p>
    <w:p w14:paraId="712DF1F1" w14:textId="77777777" w:rsidR="00F565E4" w:rsidRPr="00F565E4" w:rsidRDefault="00F565E4" w:rsidP="00E84C9C">
      <w:pPr>
        <w:pStyle w:val="ListParagraph"/>
        <w:spacing w:after="0"/>
        <w:ind w:left="357"/>
        <w:jc w:val="both"/>
        <w:rPr>
          <w:rFonts w:ascii="Arial" w:hAnsi="Arial"/>
        </w:rPr>
      </w:pPr>
    </w:p>
    <w:p w14:paraId="2010F18C" w14:textId="159F86E0" w:rsidR="00F565E4" w:rsidRDefault="00F565E4" w:rsidP="00A23BFF">
      <w:pPr>
        <w:pStyle w:val="ListParagraph"/>
        <w:numPr>
          <w:ilvl w:val="0"/>
          <w:numId w:val="4"/>
        </w:numPr>
        <w:spacing w:after="160"/>
        <w:jc w:val="both"/>
        <w:rPr>
          <w:rFonts w:ascii="Arial" w:hAnsi="Arial"/>
        </w:rPr>
      </w:pPr>
      <w:r w:rsidRPr="00F565E4">
        <w:rPr>
          <w:rFonts w:ascii="Arial" w:hAnsi="Arial"/>
        </w:rPr>
        <w:t xml:space="preserve">Demands placed on future electricity generation and networks will depend crucially on heat and transport demand electrification. </w:t>
      </w:r>
      <w:r>
        <w:rPr>
          <w:rFonts w:ascii="Arial" w:hAnsi="Arial"/>
        </w:rPr>
        <w:t>E</w:t>
      </w:r>
      <w:r w:rsidRPr="00F565E4">
        <w:rPr>
          <w:rFonts w:ascii="Arial" w:hAnsi="Arial"/>
        </w:rPr>
        <w:t xml:space="preserve">lectricity policy </w:t>
      </w:r>
      <w:r>
        <w:rPr>
          <w:rFonts w:ascii="Arial" w:hAnsi="Arial"/>
        </w:rPr>
        <w:t xml:space="preserve">cannot be designed in </w:t>
      </w:r>
      <w:r w:rsidR="00B67784">
        <w:rPr>
          <w:rFonts w:ascii="Arial" w:hAnsi="Arial"/>
        </w:rPr>
        <w:t>isolation</w:t>
      </w:r>
      <w:r>
        <w:rPr>
          <w:rFonts w:ascii="Arial" w:hAnsi="Arial"/>
        </w:rPr>
        <w:t xml:space="preserve"> </w:t>
      </w:r>
      <w:r w:rsidRPr="00F565E4">
        <w:rPr>
          <w:rFonts w:ascii="Arial" w:hAnsi="Arial"/>
        </w:rPr>
        <w:t>without considering links to other vectors. For example, flexibility could be provided to the electricity system by enabling heat storage.</w:t>
      </w:r>
    </w:p>
    <w:p w14:paraId="212F8BEE" w14:textId="77777777" w:rsidR="00F565E4" w:rsidRPr="00F565E4" w:rsidRDefault="00F565E4" w:rsidP="00E84C9C">
      <w:pPr>
        <w:pStyle w:val="ListParagraph"/>
        <w:spacing w:after="160"/>
        <w:ind w:left="357"/>
        <w:jc w:val="both"/>
        <w:rPr>
          <w:rFonts w:ascii="Arial" w:hAnsi="Arial"/>
        </w:rPr>
      </w:pPr>
    </w:p>
    <w:p w14:paraId="66127581" w14:textId="662590F5" w:rsidR="00F565E4" w:rsidRPr="00567DE8" w:rsidRDefault="00F565E4" w:rsidP="00A23BFF">
      <w:pPr>
        <w:pStyle w:val="ListParagraph"/>
        <w:numPr>
          <w:ilvl w:val="0"/>
          <w:numId w:val="4"/>
        </w:numPr>
        <w:spacing w:after="0"/>
        <w:jc w:val="both"/>
        <w:rPr>
          <w:rFonts w:ascii="Arial" w:hAnsi="Arial"/>
        </w:rPr>
      </w:pPr>
      <w:r>
        <w:rPr>
          <w:rFonts w:ascii="Arial" w:hAnsi="Arial"/>
        </w:rPr>
        <w:t xml:space="preserve">This is likely to become increasingly important in future, and a </w:t>
      </w:r>
      <w:r w:rsidRPr="00F565E4">
        <w:rPr>
          <w:rFonts w:ascii="Arial" w:hAnsi="Arial"/>
        </w:rPr>
        <w:t>whole system perspective shows the importance of</w:t>
      </w:r>
      <w:r>
        <w:rPr>
          <w:rFonts w:ascii="Arial" w:hAnsi="Arial"/>
        </w:rPr>
        <w:t xml:space="preserve"> a broad set of technologies, including</w:t>
      </w:r>
      <w:r w:rsidRPr="00F565E4">
        <w:rPr>
          <w:rFonts w:ascii="Arial" w:hAnsi="Arial"/>
        </w:rPr>
        <w:t xml:space="preserve"> Carbon Capture Usage and Storage (CCUS) for industrial decarbonisation, </w:t>
      </w:r>
      <w:r>
        <w:rPr>
          <w:rFonts w:ascii="Arial" w:hAnsi="Arial"/>
        </w:rPr>
        <w:t>and potentially</w:t>
      </w:r>
      <w:r w:rsidRPr="00F565E4">
        <w:rPr>
          <w:rFonts w:ascii="Arial" w:hAnsi="Arial"/>
        </w:rPr>
        <w:t xml:space="preserve"> enabling hydrogen as an option. </w:t>
      </w:r>
      <w:r>
        <w:rPr>
          <w:rFonts w:ascii="Arial" w:hAnsi="Arial"/>
        </w:rPr>
        <w:t xml:space="preserve">Broad stakeholder coordination and engagement is needed, and energy vectors should not be considered in isolation to achieve </w:t>
      </w:r>
      <w:r w:rsidRPr="00F565E4">
        <w:rPr>
          <w:rFonts w:ascii="Arial" w:hAnsi="Arial"/>
        </w:rPr>
        <w:t>efficient, coordinated and economical</w:t>
      </w:r>
      <w:r>
        <w:rPr>
          <w:rFonts w:ascii="Arial" w:hAnsi="Arial"/>
        </w:rPr>
        <w:t xml:space="preserve"> Whole </w:t>
      </w:r>
      <w:r w:rsidRPr="00F565E4">
        <w:rPr>
          <w:rFonts w:ascii="Arial" w:hAnsi="Arial"/>
          <w:i/>
        </w:rPr>
        <w:t>Energy</w:t>
      </w:r>
      <w:r>
        <w:rPr>
          <w:rFonts w:ascii="Arial" w:hAnsi="Arial"/>
        </w:rPr>
        <w:t xml:space="preserve"> System. </w:t>
      </w:r>
    </w:p>
    <w:p w14:paraId="68A7B729" w14:textId="5F9A40CD" w:rsidR="00C12421" w:rsidRDefault="00C12421" w:rsidP="00F565E4">
      <w:pPr>
        <w:rPr>
          <w:rFonts w:eastAsia="Times New Roman"/>
          <w:color w:val="000000"/>
        </w:rPr>
      </w:pPr>
    </w:p>
    <w:p w14:paraId="35333451" w14:textId="77777777" w:rsidR="00DF215A" w:rsidRDefault="00DF215A" w:rsidP="005858BB">
      <w:pPr>
        <w:jc w:val="both"/>
        <w:rPr>
          <w:b/>
          <w:i/>
        </w:rPr>
      </w:pPr>
      <w:r w:rsidRPr="00DF215A">
        <w:rPr>
          <w:b/>
          <w:i/>
        </w:rPr>
        <w:t xml:space="preserve">Q4: Do you consider any changes or clarifications are needed in relation to industry code objectives, notably the Distribution Code and the Grid Code, to support the delivery of Whole System outcomes? Specifically, </w:t>
      </w:r>
    </w:p>
    <w:p w14:paraId="3BB4D456" w14:textId="20010E4F" w:rsidR="00DF215A" w:rsidRDefault="00DF215A" w:rsidP="00A23BFF">
      <w:pPr>
        <w:pStyle w:val="ListParagraph"/>
        <w:numPr>
          <w:ilvl w:val="0"/>
          <w:numId w:val="6"/>
        </w:numPr>
        <w:jc w:val="both"/>
        <w:rPr>
          <w:rFonts w:ascii="Arial" w:hAnsi="Arial"/>
          <w:b/>
          <w:i/>
        </w:rPr>
      </w:pPr>
      <w:r w:rsidRPr="00DF215A">
        <w:rPr>
          <w:rFonts w:ascii="Arial" w:hAnsi="Arial"/>
          <w:b/>
          <w:i/>
        </w:rPr>
        <w:t>Do you see the need for further change or clarification to the code objectives themselves, or their interpretation, e</w:t>
      </w:r>
      <w:r>
        <w:rPr>
          <w:rFonts w:ascii="Arial" w:hAnsi="Arial"/>
          <w:b/>
          <w:i/>
        </w:rPr>
        <w:t>.</w:t>
      </w:r>
      <w:r w:rsidRPr="00DF215A">
        <w:rPr>
          <w:rFonts w:ascii="Arial" w:hAnsi="Arial"/>
          <w:b/>
          <w:i/>
        </w:rPr>
        <w:t>g</w:t>
      </w:r>
      <w:r>
        <w:rPr>
          <w:rFonts w:ascii="Arial" w:hAnsi="Arial"/>
          <w:b/>
          <w:i/>
        </w:rPr>
        <w:t>.</w:t>
      </w:r>
      <w:r w:rsidRPr="00DF215A">
        <w:rPr>
          <w:rFonts w:ascii="Arial" w:hAnsi="Arial"/>
          <w:b/>
          <w:i/>
        </w:rPr>
        <w:t xml:space="preserve"> through introduction of a specific relevant objective in relation to Whole System actions?</w:t>
      </w:r>
    </w:p>
    <w:p w14:paraId="638EC137" w14:textId="769756FC" w:rsidR="009B48D2" w:rsidRDefault="009B48D2" w:rsidP="009B48D2">
      <w:pPr>
        <w:pStyle w:val="ListParagraph"/>
        <w:ind w:left="360"/>
        <w:rPr>
          <w:rFonts w:ascii="Arial" w:hAnsi="Arial"/>
          <w:b/>
          <w:i/>
        </w:rPr>
      </w:pPr>
    </w:p>
    <w:p w14:paraId="764C52A5" w14:textId="0EFEA244" w:rsidR="0075402B" w:rsidRPr="0075402B" w:rsidRDefault="005858BB" w:rsidP="00A23BFF">
      <w:pPr>
        <w:pStyle w:val="ListParagraph"/>
        <w:numPr>
          <w:ilvl w:val="0"/>
          <w:numId w:val="4"/>
        </w:numPr>
        <w:spacing w:after="160"/>
        <w:ind w:left="357" w:hanging="357"/>
        <w:jc w:val="both"/>
        <w:rPr>
          <w:rFonts w:ascii="Arial" w:hAnsi="Arial"/>
        </w:rPr>
      </w:pPr>
      <w:r>
        <w:rPr>
          <w:rFonts w:ascii="Arial" w:hAnsi="Arial"/>
          <w:color w:val="000000"/>
        </w:rPr>
        <w:t xml:space="preserve">The delivery of whole system outcomes will require coordination across network boundaries and a more holistic treatment of Distributed Energy Resources (DER). For example, the siting of DER on the electricity distribution system could have a significant impact on the electricity transmission system, in terms of electrical flows and the provision of ancillary services to support the network. This will require the recognition of a whole system approach through changes to the code objectives and modifications to the codes.    </w:t>
      </w:r>
      <w:r w:rsidR="0075402B">
        <w:rPr>
          <w:rFonts w:ascii="Arial" w:hAnsi="Arial"/>
          <w:color w:val="000000"/>
        </w:rPr>
        <w:t xml:space="preserve"> </w:t>
      </w:r>
      <w:r>
        <w:rPr>
          <w:rFonts w:ascii="Arial" w:hAnsi="Arial"/>
          <w:color w:val="000000"/>
        </w:rPr>
        <w:t>C</w:t>
      </w:r>
      <w:r w:rsidR="0075402B">
        <w:rPr>
          <w:rFonts w:ascii="Arial" w:hAnsi="Arial"/>
          <w:color w:val="000000"/>
        </w:rPr>
        <w:t>hanges, such as the development of a more flexible and smart energy system will require significant changes to the operation of the wholesale and balancing mechanisms and network charging arrangements, as well as the introduction of new smart appliances. This will require major modifications to</w:t>
      </w:r>
      <w:r>
        <w:rPr>
          <w:rFonts w:ascii="Arial" w:hAnsi="Arial"/>
          <w:color w:val="000000"/>
        </w:rPr>
        <w:t xml:space="preserve"> other codes such as the</w:t>
      </w:r>
      <w:r w:rsidR="0075402B">
        <w:rPr>
          <w:rFonts w:ascii="Arial" w:hAnsi="Arial"/>
          <w:color w:val="000000"/>
        </w:rPr>
        <w:t xml:space="preserve"> CUSC</w:t>
      </w:r>
      <w:r>
        <w:rPr>
          <w:rFonts w:ascii="Arial" w:hAnsi="Arial"/>
          <w:color w:val="000000"/>
        </w:rPr>
        <w:t xml:space="preserve"> and</w:t>
      </w:r>
      <w:r w:rsidR="0075402B">
        <w:rPr>
          <w:rFonts w:ascii="Arial" w:hAnsi="Arial"/>
          <w:color w:val="000000"/>
        </w:rPr>
        <w:t xml:space="preserve"> BSC</w:t>
      </w:r>
      <w:r>
        <w:rPr>
          <w:rFonts w:ascii="Arial" w:hAnsi="Arial"/>
          <w:color w:val="000000"/>
        </w:rPr>
        <w:t xml:space="preserve"> as well as the</w:t>
      </w:r>
      <w:r w:rsidR="0075402B">
        <w:rPr>
          <w:rFonts w:ascii="Arial" w:hAnsi="Arial"/>
          <w:color w:val="000000"/>
        </w:rPr>
        <w:t>, Grid and Distribution Codes</w:t>
      </w:r>
      <w:r>
        <w:rPr>
          <w:rFonts w:ascii="Arial" w:hAnsi="Arial"/>
          <w:color w:val="000000"/>
        </w:rPr>
        <w:t>.</w:t>
      </w:r>
    </w:p>
    <w:p w14:paraId="2077C22E" w14:textId="77777777" w:rsidR="0075402B" w:rsidRDefault="0075402B" w:rsidP="0075402B">
      <w:pPr>
        <w:pStyle w:val="ListParagraph"/>
        <w:spacing w:after="160"/>
        <w:ind w:left="357"/>
        <w:jc w:val="both"/>
        <w:rPr>
          <w:rFonts w:ascii="Arial" w:hAnsi="Arial"/>
        </w:rPr>
      </w:pPr>
    </w:p>
    <w:p w14:paraId="5B091EC4" w14:textId="39CFC271" w:rsidR="00DF215A" w:rsidRDefault="00DF215A" w:rsidP="00A23BFF">
      <w:pPr>
        <w:pStyle w:val="ListParagraph"/>
        <w:numPr>
          <w:ilvl w:val="0"/>
          <w:numId w:val="6"/>
        </w:numPr>
        <w:jc w:val="both"/>
        <w:rPr>
          <w:rFonts w:ascii="Arial" w:hAnsi="Arial"/>
          <w:b/>
          <w:i/>
        </w:rPr>
      </w:pPr>
      <w:r w:rsidRPr="00DF215A">
        <w:rPr>
          <w:rFonts w:ascii="Arial" w:hAnsi="Arial"/>
          <w:b/>
          <w:i/>
        </w:rPr>
        <w:t>Have you identified any interactions of these provisions with wider aspects of industry arrangements which should be considered in developing them?</w:t>
      </w:r>
    </w:p>
    <w:p w14:paraId="7263333A" w14:textId="77777777" w:rsidR="00DF215A" w:rsidRPr="00DF215A" w:rsidRDefault="00DF215A" w:rsidP="00DF215A">
      <w:pPr>
        <w:pStyle w:val="ListParagraph"/>
        <w:ind w:left="360"/>
        <w:rPr>
          <w:rFonts w:ascii="Arial" w:hAnsi="Arial"/>
          <w:b/>
          <w:i/>
        </w:rPr>
      </w:pPr>
    </w:p>
    <w:p w14:paraId="3315496F" w14:textId="52AEF865" w:rsidR="008A2FB9" w:rsidRPr="008A2FB9" w:rsidRDefault="00DF215A" w:rsidP="00A23BFF">
      <w:pPr>
        <w:pStyle w:val="ListParagraph"/>
        <w:numPr>
          <w:ilvl w:val="0"/>
          <w:numId w:val="4"/>
        </w:numPr>
        <w:jc w:val="both"/>
        <w:rPr>
          <w:rFonts w:ascii="Arial" w:eastAsia="Times New Roman" w:hAnsi="Arial"/>
          <w:color w:val="000000"/>
        </w:rPr>
      </w:pPr>
      <w:r w:rsidRPr="00DF215A">
        <w:rPr>
          <w:rFonts w:ascii="Arial" w:hAnsi="Arial"/>
        </w:rPr>
        <w:t xml:space="preserve">The decarbonisation of electricity generation, heating and transport will require more cross-vector coordination and changes to a number of different codes simultaneously. For instance, the implementation of heat networks, fuelled by gas-fired CHP plant, could require changes to the BSC, CUSC, Distribution Code, UNC (and/or IGTUNC) and any associated codes developed for the supply and trading of heat. </w:t>
      </w:r>
    </w:p>
    <w:p w14:paraId="1D7C2910" w14:textId="77777777" w:rsidR="008A2FB9" w:rsidRPr="008A2FB9" w:rsidRDefault="008A2FB9" w:rsidP="00B67784">
      <w:pPr>
        <w:pStyle w:val="ListParagraph"/>
        <w:ind w:left="426" w:hanging="426"/>
        <w:jc w:val="both"/>
        <w:rPr>
          <w:rFonts w:ascii="Arial" w:eastAsia="Times New Roman" w:hAnsi="Arial"/>
          <w:color w:val="000000"/>
        </w:rPr>
      </w:pPr>
    </w:p>
    <w:p w14:paraId="104AA505" w14:textId="558E2EA8" w:rsidR="00BC280F" w:rsidRPr="00BE20C8" w:rsidRDefault="00DF215A" w:rsidP="00A23BFF">
      <w:pPr>
        <w:pStyle w:val="ListParagraph"/>
        <w:numPr>
          <w:ilvl w:val="0"/>
          <w:numId w:val="4"/>
        </w:numPr>
        <w:jc w:val="both"/>
        <w:rPr>
          <w:rFonts w:ascii="Arial" w:eastAsia="Times New Roman" w:hAnsi="Arial"/>
          <w:color w:val="000000"/>
        </w:rPr>
      </w:pPr>
      <w:r w:rsidRPr="00DF215A">
        <w:rPr>
          <w:rFonts w:ascii="Arial" w:hAnsi="Arial"/>
        </w:rPr>
        <w:t>Many of these changes will have technical aspects to them. As a simple example, there will be tension between the electric vehicle manufacturers’ desire that their vehicles will be able to charge rapidly and the network operators’ desire to limit the impact on their networks. This implies the requirement for a level of technical expertise and horizon scanning from both the Code Managers and, especially, those developing the strategic direction. Therefore, developing a coherent strategic direction to drive the development of the industry will be key to effecting the significant changes required to existing market and trading arrangements</w:t>
      </w:r>
      <w:r w:rsidRPr="00DF215A">
        <w:rPr>
          <w:rFonts w:eastAsia="Times New Roman"/>
          <w:color w:val="000000"/>
        </w:rPr>
        <w:t>.</w:t>
      </w:r>
    </w:p>
    <w:p w14:paraId="15D34DA8" w14:textId="77777777" w:rsidR="00BE20C8" w:rsidRPr="00BE20C8" w:rsidRDefault="00BE20C8" w:rsidP="00BE20C8">
      <w:pPr>
        <w:pStyle w:val="ListParagraph"/>
        <w:rPr>
          <w:rFonts w:ascii="Arial" w:eastAsia="Times New Roman" w:hAnsi="Arial"/>
          <w:color w:val="000000"/>
        </w:rPr>
      </w:pPr>
    </w:p>
    <w:p w14:paraId="13BC1FE8" w14:textId="1370AFCA" w:rsidR="00BE20C8" w:rsidRPr="00BE20C8" w:rsidRDefault="00BE20C8" w:rsidP="00BE20C8">
      <w:pPr>
        <w:shd w:val="clear" w:color="auto" w:fill="FFFFFF"/>
        <w:tabs>
          <w:tab w:val="left" w:pos="450"/>
        </w:tabs>
        <w:spacing w:after="150"/>
        <w:jc w:val="both"/>
        <w:textAlignment w:val="baseline"/>
        <w:rPr>
          <w:b/>
          <w:i/>
        </w:rPr>
      </w:pPr>
      <w:r w:rsidRPr="00BE20C8">
        <w:rPr>
          <w:b/>
          <w:i/>
        </w:rPr>
        <w:t xml:space="preserve">Q5: Do you believe further, specific guidance in any area, and in particular in relation to efficient connections and constraint management (eg in preparedness for electric vehicles or increasing distributed generation) would be beneficial? Please provide reasons and, where possible, evidence to support your answer. </w:t>
      </w:r>
    </w:p>
    <w:p w14:paraId="65148E41" w14:textId="77777777" w:rsidR="00BE20C8" w:rsidRPr="00BE20C8" w:rsidRDefault="00BE20C8" w:rsidP="00BE20C8">
      <w:pPr>
        <w:pStyle w:val="ListParagraph"/>
        <w:ind w:left="360"/>
        <w:jc w:val="both"/>
        <w:rPr>
          <w:rFonts w:ascii="Arial" w:hAnsi="Arial"/>
        </w:rPr>
      </w:pPr>
    </w:p>
    <w:p w14:paraId="3320C5FF" w14:textId="7706D1DE" w:rsidR="00BE20C8" w:rsidRDefault="00BE20C8" w:rsidP="00A23BFF">
      <w:pPr>
        <w:pStyle w:val="ListParagraph"/>
        <w:numPr>
          <w:ilvl w:val="0"/>
          <w:numId w:val="4"/>
        </w:numPr>
        <w:jc w:val="both"/>
        <w:rPr>
          <w:rFonts w:ascii="Arial" w:hAnsi="Arial"/>
        </w:rPr>
      </w:pPr>
      <w:r w:rsidRPr="00BE20C8">
        <w:rPr>
          <w:rFonts w:ascii="Arial" w:hAnsi="Arial"/>
        </w:rPr>
        <w:t xml:space="preserve">We recognise that efficient connection/constraint management in the face of rising electric vehicles/heating demand and distributed generation will become </w:t>
      </w:r>
      <w:r>
        <w:rPr>
          <w:rFonts w:ascii="Arial" w:hAnsi="Arial"/>
        </w:rPr>
        <w:t>a crucial part</w:t>
      </w:r>
      <w:r w:rsidRPr="00BE20C8">
        <w:rPr>
          <w:rFonts w:ascii="Arial" w:hAnsi="Arial"/>
        </w:rPr>
        <w:t xml:space="preserve"> </w:t>
      </w:r>
      <w:r>
        <w:rPr>
          <w:rFonts w:ascii="Arial" w:hAnsi="Arial"/>
        </w:rPr>
        <w:t>of</w:t>
      </w:r>
      <w:r w:rsidRPr="00BE20C8">
        <w:rPr>
          <w:rFonts w:ascii="Arial" w:hAnsi="Arial"/>
        </w:rPr>
        <w:t xml:space="preserve"> managing overall system </w:t>
      </w:r>
      <w:r>
        <w:rPr>
          <w:rFonts w:ascii="Arial" w:hAnsi="Arial"/>
        </w:rPr>
        <w:t xml:space="preserve">operation and </w:t>
      </w:r>
      <w:r w:rsidRPr="00BE20C8">
        <w:rPr>
          <w:rFonts w:ascii="Arial" w:hAnsi="Arial"/>
        </w:rPr>
        <w:t xml:space="preserve">cost. </w:t>
      </w:r>
      <w:r w:rsidRPr="00BE20C8">
        <w:rPr>
          <w:rFonts w:ascii="Arial" w:hAnsi="Arial"/>
          <w:b/>
        </w:rPr>
        <w:t xml:space="preserve">Nevertheless, we believe licensees should develop approaches to achieve the outcomes specified in section 1 </w:t>
      </w:r>
      <w:r>
        <w:rPr>
          <w:rFonts w:ascii="Arial" w:hAnsi="Arial"/>
          <w:b/>
        </w:rPr>
        <w:t xml:space="preserve">of the licence conditions </w:t>
      </w:r>
      <w:r w:rsidRPr="00BE20C8">
        <w:rPr>
          <w:rFonts w:ascii="Arial" w:hAnsi="Arial"/>
          <w:b/>
        </w:rPr>
        <w:t>regardless of the</w:t>
      </w:r>
      <w:r>
        <w:rPr>
          <w:rFonts w:ascii="Arial" w:hAnsi="Arial"/>
          <w:b/>
        </w:rPr>
        <w:t xml:space="preserve"> specific</w:t>
      </w:r>
      <w:r w:rsidRPr="00BE20C8">
        <w:rPr>
          <w:rFonts w:ascii="Arial" w:hAnsi="Arial"/>
          <w:b/>
        </w:rPr>
        <w:t xml:space="preserve"> </w:t>
      </w:r>
      <w:r w:rsidR="00A57A66">
        <w:rPr>
          <w:rFonts w:ascii="Arial" w:hAnsi="Arial"/>
          <w:b/>
        </w:rPr>
        <w:t>area</w:t>
      </w:r>
      <w:r w:rsidRPr="00BE20C8">
        <w:rPr>
          <w:rFonts w:ascii="Arial" w:hAnsi="Arial"/>
          <w:b/>
        </w:rPr>
        <w:t xml:space="preserve"> </w:t>
      </w:r>
      <w:r w:rsidR="00A57A66">
        <w:rPr>
          <w:rFonts w:ascii="Arial" w:hAnsi="Arial"/>
          <w:b/>
        </w:rPr>
        <w:t>of concern</w:t>
      </w:r>
      <w:r w:rsidRPr="00BE20C8">
        <w:rPr>
          <w:rFonts w:ascii="Arial" w:hAnsi="Arial"/>
        </w:rPr>
        <w:t xml:space="preserve">.  </w:t>
      </w:r>
      <w:r w:rsidR="00A57A66">
        <w:rPr>
          <w:rFonts w:ascii="Arial" w:hAnsi="Arial"/>
        </w:rPr>
        <w:t>We believe the provision of</w:t>
      </w:r>
      <w:r w:rsidRPr="00BE20C8">
        <w:rPr>
          <w:rFonts w:ascii="Arial" w:hAnsi="Arial"/>
        </w:rPr>
        <w:t xml:space="preserve"> specific guidance </w:t>
      </w:r>
      <w:r w:rsidR="00A57A66">
        <w:rPr>
          <w:rFonts w:ascii="Arial" w:hAnsi="Arial"/>
        </w:rPr>
        <w:t>could lead to</w:t>
      </w:r>
      <w:r w:rsidRPr="00BE20C8">
        <w:rPr>
          <w:rFonts w:ascii="Arial" w:hAnsi="Arial"/>
        </w:rPr>
        <w:t xml:space="preserve"> potentially unnecessary complications in implementation and </w:t>
      </w:r>
      <w:r w:rsidR="00A57A66" w:rsidRPr="00BE20C8">
        <w:rPr>
          <w:rFonts w:ascii="Arial" w:hAnsi="Arial"/>
        </w:rPr>
        <w:t>slowdown</w:t>
      </w:r>
      <w:r w:rsidRPr="00BE20C8">
        <w:rPr>
          <w:rFonts w:ascii="Arial" w:hAnsi="Arial"/>
        </w:rPr>
        <w:t xml:space="preserve"> </w:t>
      </w:r>
      <w:r w:rsidR="00A57A66">
        <w:rPr>
          <w:rFonts w:ascii="Arial" w:hAnsi="Arial"/>
        </w:rPr>
        <w:t xml:space="preserve">in </w:t>
      </w:r>
      <w:r w:rsidRPr="00BE20C8">
        <w:rPr>
          <w:rFonts w:ascii="Arial" w:hAnsi="Arial"/>
        </w:rPr>
        <w:t xml:space="preserve">industry development – e.g. </w:t>
      </w:r>
      <w:r>
        <w:rPr>
          <w:rFonts w:ascii="Arial" w:hAnsi="Arial"/>
        </w:rPr>
        <w:t>by creating</w:t>
      </w:r>
      <w:r w:rsidRPr="00BE20C8">
        <w:rPr>
          <w:rFonts w:ascii="Arial" w:hAnsi="Arial"/>
        </w:rPr>
        <w:t xml:space="preserve"> differences in procedure depending on whether a constraint management concern emerges due to large number of connecting EVs or new buildings. </w:t>
      </w:r>
    </w:p>
    <w:p w14:paraId="7C0EDD1F" w14:textId="77777777" w:rsidR="00BE20C8" w:rsidRDefault="00BE20C8" w:rsidP="00596868">
      <w:pPr>
        <w:pStyle w:val="ListParagraph"/>
        <w:ind w:left="426" w:hanging="426"/>
        <w:jc w:val="both"/>
        <w:rPr>
          <w:rFonts w:ascii="Arial" w:hAnsi="Arial"/>
        </w:rPr>
      </w:pPr>
    </w:p>
    <w:p w14:paraId="65C3F824" w14:textId="2FD970C0" w:rsidR="00A57A66" w:rsidRDefault="00A57A66" w:rsidP="00A57A66">
      <w:pPr>
        <w:jc w:val="both"/>
        <w:rPr>
          <w:rFonts w:ascii="Segoe UI" w:hAnsi="Segoe UI"/>
        </w:rPr>
      </w:pPr>
      <w:r>
        <w:rPr>
          <w:b/>
        </w:rPr>
        <w:t>Q6</w:t>
      </w:r>
      <w:r>
        <w:t xml:space="preserve">: </w:t>
      </w:r>
      <w:r w:rsidRPr="00A57A66">
        <w:rPr>
          <w:b/>
          <w:i/>
        </w:rPr>
        <w:t>For which relevant datasets or information do you consider the need for availability and accessibility is greatest, in order to deliver Whole System benefits? Do you consider there to be any significant barriers to sharing these? Please provide specific suggestions for what you consider to be effective sharing arrangements, including required enablers and governance, such as the development of any industry standards?</w:t>
      </w:r>
    </w:p>
    <w:p w14:paraId="18829E66" w14:textId="66035CFC" w:rsidR="00C417F6" w:rsidRPr="00A57A66" w:rsidRDefault="00C417F6" w:rsidP="00A57A66">
      <w:pPr>
        <w:spacing w:after="0"/>
        <w:jc w:val="both"/>
      </w:pPr>
    </w:p>
    <w:p w14:paraId="7849BA2C" w14:textId="034E15A2" w:rsidR="00A57A66" w:rsidRDefault="00A57A66" w:rsidP="00A23BFF">
      <w:pPr>
        <w:pStyle w:val="ListParagraph"/>
        <w:numPr>
          <w:ilvl w:val="0"/>
          <w:numId w:val="4"/>
        </w:numPr>
        <w:jc w:val="both"/>
        <w:rPr>
          <w:rFonts w:ascii="Arial" w:hAnsi="Arial"/>
        </w:rPr>
      </w:pPr>
      <w:r w:rsidRPr="00A57A66">
        <w:rPr>
          <w:rFonts w:ascii="Arial" w:hAnsi="Arial"/>
        </w:rPr>
        <w:t xml:space="preserve">Many of the challenges facing future networks are being considered through the Future Power Systems Architecture (FPSA) project, being managed jointly by the ESC and Institution of Engineering and Technology (IET). </w:t>
      </w:r>
      <w:r w:rsidRPr="00A57A66">
        <w:rPr>
          <w:rFonts w:ascii="Arial" w:hAnsi="Arial"/>
          <w:b/>
        </w:rPr>
        <w:t>The findings of the FPSA work suggest the importance of flexible and agile governance and change management mechanisms to keep pace with emerging trends in the market and new technologies</w:t>
      </w:r>
      <w:r w:rsidRPr="00A57A66">
        <w:rPr>
          <w:rFonts w:ascii="Arial" w:hAnsi="Arial"/>
        </w:rPr>
        <w:t>.</w:t>
      </w:r>
    </w:p>
    <w:p w14:paraId="65A0A7EA" w14:textId="77777777" w:rsidR="00A57A66" w:rsidRDefault="00A57A66" w:rsidP="00596868">
      <w:pPr>
        <w:pStyle w:val="ListParagraph"/>
        <w:ind w:left="426" w:hanging="426"/>
        <w:jc w:val="both"/>
        <w:rPr>
          <w:rFonts w:ascii="Arial" w:hAnsi="Arial"/>
        </w:rPr>
      </w:pPr>
    </w:p>
    <w:p w14:paraId="19FFD319" w14:textId="004D22B4" w:rsidR="00C404D6" w:rsidRPr="00B67784" w:rsidRDefault="00B67784" w:rsidP="00A23BFF">
      <w:pPr>
        <w:pStyle w:val="ListParagraph"/>
        <w:numPr>
          <w:ilvl w:val="0"/>
          <w:numId w:val="4"/>
        </w:numPr>
        <w:jc w:val="both"/>
        <w:rPr>
          <w:rFonts w:ascii="Arial" w:hAnsi="Arial"/>
        </w:rPr>
      </w:pPr>
      <w:r w:rsidRPr="00B67784">
        <w:rPr>
          <w:rFonts w:ascii="Arial" w:hAnsi="Arial"/>
          <w:b/>
        </w:rPr>
        <w:t>The ESC is leading</w:t>
      </w:r>
      <w:r w:rsidR="00A57A66" w:rsidRPr="00B67784">
        <w:rPr>
          <w:rFonts w:ascii="Arial" w:hAnsi="Arial"/>
          <w:b/>
        </w:rPr>
        <w:t xml:space="preserve"> the Energy Data Taskforce</w:t>
      </w:r>
      <w:r w:rsidRPr="00B67784">
        <w:rPr>
          <w:rFonts w:ascii="Arial" w:hAnsi="Arial"/>
          <w:b/>
        </w:rPr>
        <w:t>:</w:t>
      </w:r>
      <w:r w:rsidR="00A57A66" w:rsidRPr="00B67784">
        <w:rPr>
          <w:rFonts w:ascii="Arial" w:hAnsi="Arial"/>
          <w:b/>
        </w:rPr>
        <w:t xml:space="preserve"> we</w:t>
      </w:r>
      <w:r w:rsidR="00C404D6" w:rsidRPr="00B67784">
        <w:rPr>
          <w:rFonts w:ascii="Arial" w:hAnsi="Arial"/>
          <w:b/>
        </w:rPr>
        <w:t xml:space="preserve"> would</w:t>
      </w:r>
      <w:r w:rsidR="00A57A66" w:rsidRPr="00B67784">
        <w:rPr>
          <w:rFonts w:ascii="Arial" w:hAnsi="Arial"/>
          <w:b/>
        </w:rPr>
        <w:t xml:space="preserve"> refer to the forum’s output for </w:t>
      </w:r>
      <w:r w:rsidR="00C404D6" w:rsidRPr="00B67784">
        <w:rPr>
          <w:rFonts w:ascii="Arial" w:hAnsi="Arial"/>
          <w:b/>
        </w:rPr>
        <w:t>the identification of gaps</w:t>
      </w:r>
      <w:r w:rsidR="00A57A66" w:rsidRPr="00B67784">
        <w:rPr>
          <w:rFonts w:ascii="Arial" w:hAnsi="Arial"/>
          <w:b/>
        </w:rPr>
        <w:t xml:space="preserve"> and recommendations </w:t>
      </w:r>
      <w:r w:rsidR="00C404D6" w:rsidRPr="00B67784">
        <w:rPr>
          <w:rFonts w:ascii="Arial" w:hAnsi="Arial"/>
          <w:b/>
        </w:rPr>
        <w:t xml:space="preserve">on </w:t>
      </w:r>
      <w:r w:rsidR="00A57A66" w:rsidRPr="00B67784">
        <w:rPr>
          <w:rFonts w:ascii="Arial" w:hAnsi="Arial"/>
          <w:b/>
        </w:rPr>
        <w:t>effective</w:t>
      </w:r>
      <w:r w:rsidR="00C404D6" w:rsidRPr="00B67784">
        <w:rPr>
          <w:rFonts w:ascii="Arial" w:hAnsi="Arial"/>
          <w:b/>
        </w:rPr>
        <w:t xml:space="preserve"> data use and sharing</w:t>
      </w:r>
      <w:r w:rsidR="00A57A66" w:rsidRPr="00B67784">
        <w:rPr>
          <w:rFonts w:ascii="Arial" w:hAnsi="Arial"/>
          <w:b/>
        </w:rPr>
        <w:t xml:space="preserve"> in the energy system</w:t>
      </w:r>
      <w:r w:rsidR="00C404D6" w:rsidRPr="00B67784">
        <w:rPr>
          <w:rFonts w:ascii="Arial" w:hAnsi="Arial"/>
        </w:rPr>
        <w:t>. As specified in the taskforce’s terms of reference, the taskforce’s objective</w:t>
      </w:r>
      <w:r w:rsidRPr="00B67784">
        <w:rPr>
          <w:rFonts w:ascii="Arial" w:hAnsi="Arial"/>
        </w:rPr>
        <w:t>s are to</w:t>
      </w:r>
      <w:r w:rsidR="00C404D6" w:rsidRPr="00B67784">
        <w:rPr>
          <w:rFonts w:ascii="Arial" w:hAnsi="Arial"/>
        </w:rPr>
        <w:t xml:space="preserve"> provide:</w:t>
      </w:r>
    </w:p>
    <w:p w14:paraId="1799E9E4" w14:textId="77777777" w:rsidR="00C404D6" w:rsidRPr="00B67784" w:rsidRDefault="00C404D6" w:rsidP="00596868">
      <w:pPr>
        <w:pStyle w:val="ListParagraph"/>
        <w:ind w:left="426" w:hanging="426"/>
        <w:jc w:val="both"/>
        <w:rPr>
          <w:rFonts w:ascii="Arial" w:hAnsi="Arial"/>
        </w:rPr>
      </w:pPr>
    </w:p>
    <w:p w14:paraId="1CBFD02C" w14:textId="5ED40623" w:rsidR="00C404D6" w:rsidRPr="00B67784" w:rsidRDefault="00B67784" w:rsidP="00A23BFF">
      <w:pPr>
        <w:pStyle w:val="ListParagraph"/>
        <w:numPr>
          <w:ilvl w:val="0"/>
          <w:numId w:val="8"/>
        </w:numPr>
        <w:ind w:left="851" w:hanging="425"/>
        <w:jc w:val="both"/>
        <w:rPr>
          <w:rFonts w:ascii="Arial" w:hAnsi="Arial"/>
        </w:rPr>
      </w:pPr>
      <w:r>
        <w:rPr>
          <w:rFonts w:ascii="Arial" w:hAnsi="Arial"/>
        </w:rPr>
        <w:t xml:space="preserve">A </w:t>
      </w:r>
      <w:r w:rsidR="00C404D6" w:rsidRPr="00B67784">
        <w:rPr>
          <w:rFonts w:ascii="Arial" w:hAnsi="Arial"/>
        </w:rPr>
        <w:t xml:space="preserve">list of the key data or data sets that are held by industry, Ofgem, Government or other parties, their main attributes and who would benefit from accessing them, and which should be made public; </w:t>
      </w:r>
    </w:p>
    <w:p w14:paraId="12974F37" w14:textId="18E0739A" w:rsidR="00C404D6" w:rsidRPr="00B67784" w:rsidRDefault="00B67784" w:rsidP="00A23BFF">
      <w:pPr>
        <w:pStyle w:val="ListParagraph"/>
        <w:numPr>
          <w:ilvl w:val="0"/>
          <w:numId w:val="7"/>
        </w:numPr>
        <w:ind w:left="851" w:hanging="425"/>
        <w:jc w:val="both"/>
        <w:rPr>
          <w:rFonts w:ascii="Arial" w:hAnsi="Arial"/>
        </w:rPr>
      </w:pPr>
      <w:r>
        <w:rPr>
          <w:rFonts w:ascii="Arial" w:hAnsi="Arial"/>
        </w:rPr>
        <w:t xml:space="preserve">A </w:t>
      </w:r>
      <w:r w:rsidR="00C404D6" w:rsidRPr="00B67784">
        <w:rPr>
          <w:rFonts w:ascii="Arial" w:hAnsi="Arial"/>
        </w:rPr>
        <w:t>list of specific data or data sets that need to be improved or do not yet exist but whose existence would make the energy system work more effectively;</w:t>
      </w:r>
    </w:p>
    <w:p w14:paraId="51C6A2F5" w14:textId="54932B31" w:rsidR="00C404D6" w:rsidRPr="00B67784" w:rsidRDefault="00B67784" w:rsidP="00A23BFF">
      <w:pPr>
        <w:pStyle w:val="ListParagraph"/>
        <w:numPr>
          <w:ilvl w:val="0"/>
          <w:numId w:val="7"/>
        </w:numPr>
        <w:ind w:left="851" w:hanging="425"/>
        <w:jc w:val="both"/>
        <w:rPr>
          <w:rFonts w:ascii="Arial" w:hAnsi="Arial"/>
        </w:rPr>
      </w:pPr>
      <w:r>
        <w:rPr>
          <w:rFonts w:ascii="Arial" w:hAnsi="Arial"/>
        </w:rPr>
        <w:t>P</w:t>
      </w:r>
      <w:r w:rsidR="00C404D6" w:rsidRPr="00B67784">
        <w:rPr>
          <w:rFonts w:ascii="Arial" w:hAnsi="Arial"/>
        </w:rPr>
        <w:t>roposals or options for data architectures (e.g. optimising data flows or modes of transfer between energy system participants) and data formats (e.g. standardisation, interoperability, the level of granularity and frequency it is updated);</w:t>
      </w:r>
    </w:p>
    <w:p w14:paraId="4C6670C3" w14:textId="17F5483F" w:rsidR="00C404D6" w:rsidRPr="00B67784" w:rsidRDefault="00B67784" w:rsidP="00A23BFF">
      <w:pPr>
        <w:pStyle w:val="ListParagraph"/>
        <w:numPr>
          <w:ilvl w:val="0"/>
          <w:numId w:val="7"/>
        </w:numPr>
        <w:ind w:left="851" w:hanging="425"/>
        <w:jc w:val="both"/>
        <w:rPr>
          <w:rFonts w:ascii="Arial" w:hAnsi="Arial"/>
        </w:rPr>
      </w:pPr>
      <w:r>
        <w:rPr>
          <w:rFonts w:ascii="Arial" w:hAnsi="Arial"/>
        </w:rPr>
        <w:t>P</w:t>
      </w:r>
      <w:r w:rsidR="00C404D6" w:rsidRPr="00B67784">
        <w:rPr>
          <w:rFonts w:ascii="Arial" w:hAnsi="Arial"/>
        </w:rPr>
        <w:t>roposals or options for the roles of different parties in governing data in the energy system;</w:t>
      </w:r>
    </w:p>
    <w:p w14:paraId="1100C7ED" w14:textId="5CB6755D" w:rsidR="00C404D6" w:rsidRPr="00B67784" w:rsidRDefault="00B67784" w:rsidP="00A23BFF">
      <w:pPr>
        <w:pStyle w:val="ListParagraph"/>
        <w:numPr>
          <w:ilvl w:val="0"/>
          <w:numId w:val="7"/>
        </w:numPr>
        <w:ind w:left="851" w:hanging="425"/>
        <w:jc w:val="both"/>
        <w:rPr>
          <w:rFonts w:ascii="Arial" w:hAnsi="Arial"/>
        </w:rPr>
      </w:pPr>
      <w:r>
        <w:rPr>
          <w:rFonts w:ascii="Arial" w:hAnsi="Arial"/>
        </w:rPr>
        <w:t>P</w:t>
      </w:r>
      <w:r w:rsidR="00C404D6" w:rsidRPr="00B67784">
        <w:rPr>
          <w:rFonts w:ascii="Arial" w:hAnsi="Arial"/>
        </w:rPr>
        <w:t>roposals or options for managing risks associated with data in the energy system.</w:t>
      </w:r>
    </w:p>
    <w:p w14:paraId="1B413941" w14:textId="77777777" w:rsidR="00C417F6" w:rsidRPr="00AB0193" w:rsidRDefault="00C417F6" w:rsidP="00AB0193">
      <w:pPr>
        <w:spacing w:after="0"/>
        <w:jc w:val="both"/>
      </w:pPr>
    </w:p>
    <w:p w14:paraId="6FD6DA1D" w14:textId="77777777" w:rsidR="00AB0193" w:rsidRDefault="00AB0193" w:rsidP="00AB0193">
      <w:pPr>
        <w:rPr>
          <w:b/>
          <w:sz w:val="24"/>
          <w:szCs w:val="24"/>
        </w:rPr>
      </w:pPr>
      <w:r w:rsidRPr="00AB0193">
        <w:rPr>
          <w:b/>
          <w:sz w:val="24"/>
          <w:szCs w:val="24"/>
        </w:rPr>
        <w:t>Scope of application</w:t>
      </w:r>
      <w:r w:rsidRPr="00AB0193">
        <w:rPr>
          <w:b/>
          <w:sz w:val="24"/>
          <w:szCs w:val="24"/>
        </w:rPr>
        <w:cr/>
      </w:r>
    </w:p>
    <w:p w14:paraId="34756B34" w14:textId="4CF3EB52" w:rsidR="00C84D85" w:rsidRDefault="00AB0193" w:rsidP="005858BB">
      <w:pPr>
        <w:jc w:val="both"/>
        <w:rPr>
          <w:b/>
          <w:i/>
        </w:rPr>
      </w:pPr>
      <w:r w:rsidRPr="00AB0193">
        <w:rPr>
          <w:b/>
          <w:i/>
        </w:rPr>
        <w:t>Q7: Do you agree with the proposal to apply these provisions to all electricity distribution licence holders, including IDNOs, and onshore TOs, and to exclude the ESO, offshore TOs and interconnectors? Where possible, please provide reasons and evidence to support your response</w:t>
      </w:r>
      <w:r w:rsidR="008E2439">
        <w:rPr>
          <w:b/>
          <w:i/>
        </w:rPr>
        <w:t>.</w:t>
      </w:r>
    </w:p>
    <w:p w14:paraId="44979882" w14:textId="77777777" w:rsidR="008E2439" w:rsidRDefault="008E2439" w:rsidP="00AB0193">
      <w:pPr>
        <w:rPr>
          <w:b/>
          <w:i/>
        </w:rPr>
      </w:pPr>
    </w:p>
    <w:p w14:paraId="22543E90" w14:textId="77777777" w:rsidR="008E2439" w:rsidRPr="008E2439" w:rsidRDefault="008E2439" w:rsidP="00A23BFF">
      <w:pPr>
        <w:pStyle w:val="ListParagraph"/>
        <w:numPr>
          <w:ilvl w:val="0"/>
          <w:numId w:val="4"/>
        </w:numPr>
        <w:jc w:val="both"/>
        <w:rPr>
          <w:rFonts w:ascii="Arial" w:hAnsi="Arial"/>
        </w:rPr>
      </w:pPr>
      <w:r w:rsidRPr="008E2439">
        <w:rPr>
          <w:rFonts w:ascii="Arial" w:hAnsi="Arial"/>
        </w:rPr>
        <w:t xml:space="preserve">We support proposal to apply to all onshore TOs and IDNOs, and the exclusion of ESO which is already covered by similar responsibilities. We believe the inclusion of offshore TOs and interconnectors warrants further investigation, since their role in the future system is likely to increase.  </w:t>
      </w:r>
    </w:p>
    <w:p w14:paraId="696628BC" w14:textId="77777777" w:rsidR="008E2439" w:rsidRPr="00AB0193" w:rsidRDefault="008E2439" w:rsidP="00AB0193"/>
    <w:sectPr w:rsidR="008E2439" w:rsidRPr="00AB0193">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70166" w14:textId="77777777" w:rsidR="007254D4" w:rsidRDefault="007254D4" w:rsidP="00B84AE8">
      <w:pPr>
        <w:spacing w:after="0" w:line="240" w:lineRule="auto"/>
      </w:pPr>
      <w:r>
        <w:separator/>
      </w:r>
    </w:p>
  </w:endnote>
  <w:endnote w:type="continuationSeparator" w:id="0">
    <w:p w14:paraId="026443DB" w14:textId="77777777" w:rsidR="007254D4" w:rsidRDefault="007254D4" w:rsidP="00B84A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raxis LT Pro">
    <w:altName w:val="Calibri"/>
    <w:panose1 w:val="00000000000000000000"/>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38D06" w14:textId="77777777" w:rsidR="00E43D92" w:rsidRDefault="00E43D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DF5E4" w14:textId="0EF5B09A" w:rsidR="007254D4" w:rsidRDefault="00E43D92">
    <w:pPr>
      <w:pStyle w:val="Footer"/>
    </w:pPr>
    <w:r>
      <w:rPr>
        <w:noProof/>
        <w:lang w:eastAsia="en-GB"/>
      </w:rPr>
      <mc:AlternateContent>
        <mc:Choice Requires="wps">
          <w:drawing>
            <wp:anchor distT="0" distB="0" distL="114300" distR="114300" simplePos="0" relativeHeight="251659264" behindDoc="0" locked="0" layoutInCell="0" allowOverlap="1" wp14:anchorId="37F108E0" wp14:editId="0BC6EEDA">
              <wp:simplePos x="0" y="0"/>
              <wp:positionH relativeFrom="page">
                <wp:posOffset>0</wp:posOffset>
              </wp:positionH>
              <wp:positionV relativeFrom="page">
                <wp:posOffset>10020300</wp:posOffset>
              </wp:positionV>
              <wp:extent cx="7560310" cy="480695"/>
              <wp:effectExtent l="0" t="0" r="0" b="14605"/>
              <wp:wrapNone/>
              <wp:docPr id="1" name="MSIPCMfa714ad4ae9817b9cff28b31" descr="{&quot;HashCode&quot;:-125137164,&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4806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01176A" w14:textId="77777777" w:rsidR="00E43D92" w:rsidRPr="00E43D92" w:rsidRDefault="00E43D92" w:rsidP="00E43D92">
                          <w:pPr>
                            <w:spacing w:after="0"/>
                            <w:rPr>
                              <w:rFonts w:ascii="Calibri" w:hAnsi="Calibri" w:cs="Calibri"/>
                              <w:color w:val="000000"/>
                              <w:sz w:val="20"/>
                            </w:rPr>
                          </w:pPr>
                        </w:p>
                        <w:p w14:paraId="45568B7D" w14:textId="77777777" w:rsidR="00E43D92" w:rsidRPr="00E43D92" w:rsidRDefault="00E43D92" w:rsidP="00E43D92">
                          <w:pPr>
                            <w:spacing w:after="0"/>
                            <w:rPr>
                              <w:rFonts w:ascii="Calibri" w:hAnsi="Calibri" w:cs="Calibri"/>
                              <w:color w:val="000000"/>
                              <w:sz w:val="20"/>
                            </w:rPr>
                          </w:pPr>
                          <w:r w:rsidRPr="00E43D92">
                            <w:rPr>
                              <w:rFonts w:ascii="Calibri" w:hAnsi="Calibri" w:cs="Calibri"/>
                              <w:color w:val="000000"/>
                              <w:sz w:val="20"/>
                            </w:rPr>
                            <w:t>--------------------------------------------------------</w:t>
                          </w:r>
                        </w:p>
                        <w:p w14:paraId="3679B0F6" w14:textId="24320890" w:rsidR="00E43D92" w:rsidRPr="00E43D92" w:rsidRDefault="00E43D92" w:rsidP="00E43D92">
                          <w:pPr>
                            <w:spacing w:after="0"/>
                            <w:rPr>
                              <w:rFonts w:ascii="Calibri" w:hAnsi="Calibri" w:cs="Calibri"/>
                              <w:color w:val="000000"/>
                              <w:sz w:val="20"/>
                            </w:rPr>
                          </w:pPr>
                          <w:r w:rsidRPr="00E43D92">
                            <w:rPr>
                              <w:rFonts w:ascii="Calibri" w:hAnsi="Calibri" w:cs="Calibri"/>
                              <w:color w:val="000000"/>
                              <w:sz w:val="20"/>
                            </w:rPr>
                            <w:t>This document is marked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7F108E0" id="_x0000_t202" coordsize="21600,21600" o:spt="202" path="m,l,21600r21600,l21600,xe">
              <v:stroke joinstyle="miter"/>
              <v:path gradientshapeok="t" o:connecttype="rect"/>
            </v:shapetype>
            <v:shape id="MSIPCMfa714ad4ae9817b9cff28b31" o:spid="_x0000_s1026" type="#_x0000_t202" alt="{&quot;HashCode&quot;:-125137164,&quot;Height&quot;:841.0,&quot;Width&quot;:595.0,&quot;Placement&quot;:&quot;Footer&quot;,&quot;Index&quot;:&quot;Primary&quot;,&quot;Section&quot;:1,&quot;Top&quot;:0.0,&quot;Left&quot;:0.0}" style="position:absolute;margin-left:0;margin-top:789pt;width:595.3pt;height:37.8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" o:allowincell="f" filled="f" stroked="f" strokeweight=".5pt">
              <v:fill o:detectmouseclick="t"/>
              <v:textbox inset="20pt,0,,0">
                <w:txbxContent>
                  <w:p w14:paraId="7B01176A" w14:textId="77777777" w:rsidR="00E43D92" w:rsidRPr="00E43D92" w:rsidRDefault="00E43D92" w:rsidP="00E43D92">
                    <w:pPr>
                      <w:spacing w:after="0"/>
                      <w:rPr>
                        <w:rFonts w:ascii="Calibri" w:hAnsi="Calibri" w:cs="Calibri"/>
                        <w:color w:val="000000"/>
                        <w:sz w:val="20"/>
                      </w:rPr>
                    </w:pPr>
                  </w:p>
                  <w:p w14:paraId="45568B7D" w14:textId="77777777" w:rsidR="00E43D92" w:rsidRPr="00E43D92" w:rsidRDefault="00E43D92" w:rsidP="00E43D92">
                    <w:pPr>
                      <w:spacing w:after="0"/>
                      <w:rPr>
                        <w:rFonts w:ascii="Calibri" w:hAnsi="Calibri" w:cs="Calibri"/>
                        <w:color w:val="000000"/>
                        <w:sz w:val="20"/>
                      </w:rPr>
                    </w:pPr>
                    <w:r w:rsidRPr="00E43D92">
                      <w:rPr>
                        <w:rFonts w:ascii="Calibri" w:hAnsi="Calibri" w:cs="Calibri"/>
                        <w:color w:val="000000"/>
                        <w:sz w:val="20"/>
                      </w:rPr>
                      <w:t>--------------------------------------------------------</w:t>
                    </w:r>
                  </w:p>
                  <w:p w14:paraId="3679B0F6" w14:textId="24320890" w:rsidR="00E43D92" w:rsidRPr="00E43D92" w:rsidRDefault="00E43D92" w:rsidP="00E43D92">
                    <w:pPr>
                      <w:spacing w:after="0"/>
                      <w:rPr>
                        <w:rFonts w:ascii="Calibri" w:hAnsi="Calibri" w:cs="Calibri"/>
                        <w:color w:val="000000"/>
                        <w:sz w:val="20"/>
                      </w:rPr>
                    </w:pPr>
                    <w:r w:rsidRPr="00E43D92">
                      <w:rPr>
                        <w:rFonts w:ascii="Calibri" w:hAnsi="Calibri" w:cs="Calibri"/>
                        <w:color w:val="000000"/>
                        <w:sz w:val="20"/>
                      </w:rPr>
                      <w:t>This document is marked as confidential</w:t>
                    </w:r>
                  </w:p>
                </w:txbxContent>
              </v:textbox>
              <w10:wrap anchorx="page" anchory="page"/>
            </v:shape>
          </w:pict>
        </mc:Fallback>
      </mc:AlternateContent>
    </w:r>
    <w:sdt>
      <w:sdtPr>
        <w:id w:val="1512946410"/>
        <w:docPartObj>
          <w:docPartGallery w:val="Page Numbers (Bottom of Page)"/>
          <w:docPartUnique/>
        </w:docPartObj>
      </w:sdtPr>
      <w:sdtEndPr>
        <w:rPr>
          <w:noProof/>
        </w:rPr>
      </w:sdtEndPr>
      <w:sdtContent>
        <w:r w:rsidR="007254D4">
          <w:t xml:space="preserve">Page | </w:t>
        </w:r>
        <w:r w:rsidR="007254D4">
          <w:fldChar w:fldCharType="begin"/>
        </w:r>
        <w:r w:rsidR="007254D4">
          <w:instrText xml:space="preserve"> PAGE   \* MERGEFORMAT </w:instrText>
        </w:r>
        <w:r w:rsidR="007254D4">
          <w:fldChar w:fldCharType="separate"/>
        </w:r>
        <w:r w:rsidR="006928F2">
          <w:rPr>
            <w:noProof/>
          </w:rPr>
          <w:t>2</w:t>
        </w:r>
        <w:r w:rsidR="007254D4">
          <w:rPr>
            <w:noProof/>
          </w:rPr>
          <w:fldChar w:fldCharType="end"/>
        </w:r>
      </w:sdtContent>
    </w:sdt>
  </w:p>
  <w:p w14:paraId="3F7F0B70" w14:textId="77777777" w:rsidR="007254D4" w:rsidRDefault="007254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88C63B" w14:textId="77777777" w:rsidR="00E43D92" w:rsidRDefault="00E43D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7ABE4E" w14:textId="77777777" w:rsidR="007254D4" w:rsidRDefault="007254D4" w:rsidP="00B84AE8">
      <w:pPr>
        <w:spacing w:after="0" w:line="240" w:lineRule="auto"/>
      </w:pPr>
      <w:r>
        <w:separator/>
      </w:r>
    </w:p>
  </w:footnote>
  <w:footnote w:type="continuationSeparator" w:id="0">
    <w:p w14:paraId="092D9666" w14:textId="77777777" w:rsidR="007254D4" w:rsidRDefault="007254D4" w:rsidP="00B84AE8">
      <w:pPr>
        <w:spacing w:after="0" w:line="240" w:lineRule="auto"/>
      </w:pPr>
      <w:r>
        <w:continuationSeparator/>
      </w:r>
    </w:p>
  </w:footnote>
  <w:footnote w:id="1">
    <w:p w14:paraId="305F5182" w14:textId="77777777" w:rsidR="007254D4" w:rsidRDefault="007254D4" w:rsidP="00A23BFF">
      <w:pPr>
        <w:pStyle w:val="FootnoteText"/>
      </w:pPr>
      <w:r>
        <w:rPr>
          <w:rStyle w:val="FootnoteReference"/>
        </w:rPr>
        <w:footnoteRef/>
      </w:r>
      <w:r>
        <w:t xml:space="preserve"> </w:t>
      </w:r>
      <w:r w:rsidRPr="001F2F5A">
        <w:t>ETI (2018</w:t>
      </w:r>
      <w:r w:rsidRPr="001F2F5A">
        <w:rPr>
          <w:i/>
        </w:rPr>
        <w:t>): ‘Local Area Energy Planning: D11 Insight report 3: implications for government</w:t>
      </w:r>
      <w:r>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77849" w14:textId="77777777" w:rsidR="00E43D92" w:rsidRDefault="00E43D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7701F" w14:textId="77777777" w:rsidR="00E43D92" w:rsidRDefault="00E43D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6D49B" w14:textId="77777777" w:rsidR="00E43D92" w:rsidRDefault="00E43D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AC65F3"/>
    <w:multiLevelType w:val="hybridMultilevel"/>
    <w:tmpl w:val="934EA2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02413BD"/>
    <w:multiLevelType w:val="hybridMultilevel"/>
    <w:tmpl w:val="8F7E373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48245F60"/>
    <w:multiLevelType w:val="hybridMultilevel"/>
    <w:tmpl w:val="E3FA722C"/>
    <w:lvl w:ilvl="0" w:tplc="084A4164">
      <w:start w:val="1"/>
      <w:numFmt w:val="bullet"/>
      <w:pStyle w:val="Bulletpoints"/>
      <w:lvlText w:val=""/>
      <w:lvlJc w:val="left"/>
      <w:pPr>
        <w:ind w:left="720" w:hanging="360"/>
      </w:pPr>
      <w:rPr>
        <w:rFonts w:ascii="Symbol" w:hAnsi="Symbol" w:hint="default"/>
        <w:color w:val="FF44B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A9029D3"/>
    <w:multiLevelType w:val="hybridMultilevel"/>
    <w:tmpl w:val="9974958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571" w:hanging="360"/>
      </w:pPr>
      <w:rPr>
        <w:rFonts w:ascii="Symbol" w:hAnsi="Symbol" w:hint="default"/>
      </w:r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abstractNum w:abstractNumId="4" w15:restartNumberingAfterBreak="0">
    <w:nsid w:val="4BA423E8"/>
    <w:multiLevelType w:val="hybridMultilevel"/>
    <w:tmpl w:val="61A4563A"/>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569C792B"/>
    <w:multiLevelType w:val="hybridMultilevel"/>
    <w:tmpl w:val="D758D95A"/>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68DD2311"/>
    <w:multiLevelType w:val="hybridMultilevel"/>
    <w:tmpl w:val="AA20FD02"/>
    <w:lvl w:ilvl="0" w:tplc="0809000F">
      <w:start w:val="1"/>
      <w:numFmt w:val="decimal"/>
      <w:lvlText w:val="%1."/>
      <w:lvlJc w:val="left"/>
      <w:pPr>
        <w:ind w:left="360" w:hanging="360"/>
      </w:pPr>
    </w:lvl>
    <w:lvl w:ilvl="1" w:tplc="08090001">
      <w:start w:val="1"/>
      <w:numFmt w:val="bullet"/>
      <w:lvlText w:val=""/>
      <w:lvlJc w:val="left"/>
      <w:pPr>
        <w:ind w:left="2741" w:hanging="360"/>
      </w:pPr>
      <w:rPr>
        <w:rFonts w:ascii="Symbol" w:hAnsi="Symbol" w:hint="default"/>
      </w:rPr>
    </w:lvl>
    <w:lvl w:ilvl="2" w:tplc="0809001B" w:tentative="1">
      <w:start w:val="1"/>
      <w:numFmt w:val="lowerRoman"/>
      <w:lvlText w:val="%3."/>
      <w:lvlJc w:val="right"/>
      <w:pPr>
        <w:ind w:left="4950" w:hanging="180"/>
      </w:pPr>
    </w:lvl>
    <w:lvl w:ilvl="3" w:tplc="0809000F" w:tentative="1">
      <w:start w:val="1"/>
      <w:numFmt w:val="decimal"/>
      <w:lvlText w:val="%4."/>
      <w:lvlJc w:val="left"/>
      <w:pPr>
        <w:ind w:left="5670" w:hanging="360"/>
      </w:pPr>
    </w:lvl>
    <w:lvl w:ilvl="4" w:tplc="08090019" w:tentative="1">
      <w:start w:val="1"/>
      <w:numFmt w:val="lowerLetter"/>
      <w:lvlText w:val="%5."/>
      <w:lvlJc w:val="left"/>
      <w:pPr>
        <w:ind w:left="6390" w:hanging="360"/>
      </w:pPr>
    </w:lvl>
    <w:lvl w:ilvl="5" w:tplc="0809001B" w:tentative="1">
      <w:start w:val="1"/>
      <w:numFmt w:val="lowerRoman"/>
      <w:lvlText w:val="%6."/>
      <w:lvlJc w:val="right"/>
      <w:pPr>
        <w:ind w:left="7110" w:hanging="180"/>
      </w:pPr>
    </w:lvl>
    <w:lvl w:ilvl="6" w:tplc="0809000F" w:tentative="1">
      <w:start w:val="1"/>
      <w:numFmt w:val="decimal"/>
      <w:lvlText w:val="%7."/>
      <w:lvlJc w:val="left"/>
      <w:pPr>
        <w:ind w:left="7830" w:hanging="360"/>
      </w:pPr>
    </w:lvl>
    <w:lvl w:ilvl="7" w:tplc="08090019" w:tentative="1">
      <w:start w:val="1"/>
      <w:numFmt w:val="lowerLetter"/>
      <w:lvlText w:val="%8."/>
      <w:lvlJc w:val="left"/>
      <w:pPr>
        <w:ind w:left="8550" w:hanging="360"/>
      </w:pPr>
    </w:lvl>
    <w:lvl w:ilvl="8" w:tplc="0809001B" w:tentative="1">
      <w:start w:val="1"/>
      <w:numFmt w:val="lowerRoman"/>
      <w:lvlText w:val="%9."/>
      <w:lvlJc w:val="right"/>
      <w:pPr>
        <w:ind w:left="9270" w:hanging="180"/>
      </w:pPr>
    </w:lvl>
  </w:abstractNum>
  <w:abstractNum w:abstractNumId="7" w15:restartNumberingAfterBreak="0">
    <w:nsid w:val="70554ECD"/>
    <w:multiLevelType w:val="hybridMultilevel"/>
    <w:tmpl w:val="9ED03572"/>
    <w:lvl w:ilvl="0" w:tplc="DA9402D8">
      <w:start w:val="1"/>
      <w:numFmt w:val="bullet"/>
      <w:pStyle w:val="Bulletlevel1"/>
      <w:lvlText w:val=""/>
      <w:lvlJc w:val="left"/>
      <w:pPr>
        <w:ind w:left="36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D446B7E"/>
    <w:multiLevelType w:val="hybridMultilevel"/>
    <w:tmpl w:val="C61837B4"/>
    <w:lvl w:ilvl="0" w:tplc="82C2D4CE">
      <w:start w:val="1"/>
      <w:numFmt w:val="decimal"/>
      <w:pStyle w:val="Board-numberedbullets"/>
      <w:lvlText w:val="%1."/>
      <w:lvlJc w:val="left"/>
      <w:pPr>
        <w:ind w:left="360" w:hanging="360"/>
      </w:pPr>
      <w:rPr>
        <w:color w:val="auto"/>
        <w:sz w:val="22"/>
        <w:szCs w:val="22"/>
      </w:rPr>
    </w:lvl>
    <w:lvl w:ilvl="1" w:tplc="08090003">
      <w:start w:val="1"/>
      <w:numFmt w:val="bullet"/>
      <w:lvlText w:val="o"/>
      <w:lvlJc w:val="left"/>
      <w:pPr>
        <w:ind w:left="513" w:hanging="360"/>
      </w:pPr>
      <w:rPr>
        <w:rFonts w:ascii="Courier New" w:hAnsi="Courier New" w:cs="Courier New" w:hint="default"/>
      </w:rPr>
    </w:lvl>
    <w:lvl w:ilvl="2" w:tplc="08090005">
      <w:start w:val="1"/>
      <w:numFmt w:val="bullet"/>
      <w:lvlText w:val=""/>
      <w:lvlJc w:val="left"/>
      <w:pPr>
        <w:ind w:left="1233" w:hanging="360"/>
      </w:pPr>
      <w:rPr>
        <w:rFonts w:ascii="Wingdings" w:hAnsi="Wingdings" w:hint="default"/>
      </w:rPr>
    </w:lvl>
    <w:lvl w:ilvl="3" w:tplc="08090001">
      <w:start w:val="1"/>
      <w:numFmt w:val="bullet"/>
      <w:lvlText w:val=""/>
      <w:lvlJc w:val="left"/>
      <w:pPr>
        <w:ind w:left="1953" w:hanging="360"/>
      </w:pPr>
      <w:rPr>
        <w:rFonts w:ascii="Symbol" w:hAnsi="Symbol" w:hint="default"/>
      </w:rPr>
    </w:lvl>
    <w:lvl w:ilvl="4" w:tplc="08090003">
      <w:start w:val="1"/>
      <w:numFmt w:val="bullet"/>
      <w:lvlText w:val="o"/>
      <w:lvlJc w:val="left"/>
      <w:pPr>
        <w:ind w:left="2673" w:hanging="360"/>
      </w:pPr>
      <w:rPr>
        <w:rFonts w:ascii="Courier New" w:hAnsi="Courier New" w:cs="Courier New" w:hint="default"/>
      </w:rPr>
    </w:lvl>
    <w:lvl w:ilvl="5" w:tplc="08090005">
      <w:start w:val="1"/>
      <w:numFmt w:val="bullet"/>
      <w:lvlText w:val=""/>
      <w:lvlJc w:val="left"/>
      <w:pPr>
        <w:ind w:left="3393" w:hanging="360"/>
      </w:pPr>
      <w:rPr>
        <w:rFonts w:ascii="Wingdings" w:hAnsi="Wingdings" w:hint="default"/>
      </w:rPr>
    </w:lvl>
    <w:lvl w:ilvl="6" w:tplc="08090001">
      <w:start w:val="1"/>
      <w:numFmt w:val="bullet"/>
      <w:lvlText w:val=""/>
      <w:lvlJc w:val="left"/>
      <w:pPr>
        <w:ind w:left="4113" w:hanging="360"/>
      </w:pPr>
      <w:rPr>
        <w:rFonts w:ascii="Symbol" w:hAnsi="Symbol" w:hint="default"/>
      </w:rPr>
    </w:lvl>
    <w:lvl w:ilvl="7" w:tplc="08090003">
      <w:start w:val="1"/>
      <w:numFmt w:val="bullet"/>
      <w:lvlText w:val="o"/>
      <w:lvlJc w:val="left"/>
      <w:pPr>
        <w:ind w:left="4833" w:hanging="360"/>
      </w:pPr>
      <w:rPr>
        <w:rFonts w:ascii="Courier New" w:hAnsi="Courier New" w:cs="Courier New" w:hint="default"/>
      </w:rPr>
    </w:lvl>
    <w:lvl w:ilvl="8" w:tplc="08090005">
      <w:start w:val="1"/>
      <w:numFmt w:val="bullet"/>
      <w:lvlText w:val=""/>
      <w:lvlJc w:val="left"/>
      <w:pPr>
        <w:ind w:left="5553" w:hanging="360"/>
      </w:pPr>
      <w:rPr>
        <w:rFonts w:ascii="Wingdings" w:hAnsi="Wingdings" w:hint="default"/>
      </w:rPr>
    </w:lvl>
  </w:abstractNum>
  <w:num w:numId="1">
    <w:abstractNumId w:val="8"/>
  </w:num>
  <w:num w:numId="2">
    <w:abstractNumId w:val="7"/>
  </w:num>
  <w:num w:numId="3">
    <w:abstractNumId w:val="2"/>
  </w:num>
  <w:num w:numId="4">
    <w:abstractNumId w:val="6"/>
  </w:num>
  <w:num w:numId="5">
    <w:abstractNumId w:val="4"/>
  </w:num>
  <w:num w:numId="6">
    <w:abstractNumId w:val="5"/>
  </w:num>
  <w:num w:numId="7">
    <w:abstractNumId w:val="3"/>
  </w:num>
  <w:num w:numId="8">
    <w:abstractNumId w:val="0"/>
  </w:num>
  <w:num w:numId="9">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AE8"/>
    <w:rsid w:val="00002DCF"/>
    <w:rsid w:val="00002DE2"/>
    <w:rsid w:val="00003D92"/>
    <w:rsid w:val="00004550"/>
    <w:rsid w:val="00004A59"/>
    <w:rsid w:val="00004B7C"/>
    <w:rsid w:val="00005A58"/>
    <w:rsid w:val="000110C2"/>
    <w:rsid w:val="00012164"/>
    <w:rsid w:val="00017996"/>
    <w:rsid w:val="00017D6F"/>
    <w:rsid w:val="00017EF3"/>
    <w:rsid w:val="000225A1"/>
    <w:rsid w:val="00023B92"/>
    <w:rsid w:val="00024802"/>
    <w:rsid w:val="00033EAB"/>
    <w:rsid w:val="00036939"/>
    <w:rsid w:val="00042C83"/>
    <w:rsid w:val="00043AE3"/>
    <w:rsid w:val="00044DA4"/>
    <w:rsid w:val="000468FA"/>
    <w:rsid w:val="00047429"/>
    <w:rsid w:val="00051A61"/>
    <w:rsid w:val="000527CC"/>
    <w:rsid w:val="00055FA1"/>
    <w:rsid w:val="00062F44"/>
    <w:rsid w:val="00064AA0"/>
    <w:rsid w:val="00067B90"/>
    <w:rsid w:val="0007283B"/>
    <w:rsid w:val="00075322"/>
    <w:rsid w:val="00075EF7"/>
    <w:rsid w:val="00076286"/>
    <w:rsid w:val="00077A07"/>
    <w:rsid w:val="00082272"/>
    <w:rsid w:val="00083631"/>
    <w:rsid w:val="00087907"/>
    <w:rsid w:val="00090965"/>
    <w:rsid w:val="00091710"/>
    <w:rsid w:val="0009212B"/>
    <w:rsid w:val="00092720"/>
    <w:rsid w:val="00094546"/>
    <w:rsid w:val="0009727C"/>
    <w:rsid w:val="000A05AF"/>
    <w:rsid w:val="000A205E"/>
    <w:rsid w:val="000A3465"/>
    <w:rsid w:val="000A3B53"/>
    <w:rsid w:val="000A5255"/>
    <w:rsid w:val="000A7AEB"/>
    <w:rsid w:val="000B17EE"/>
    <w:rsid w:val="000B22EA"/>
    <w:rsid w:val="000B34DB"/>
    <w:rsid w:val="000B3C9E"/>
    <w:rsid w:val="000B412B"/>
    <w:rsid w:val="000B6217"/>
    <w:rsid w:val="000C4CE7"/>
    <w:rsid w:val="000C5A72"/>
    <w:rsid w:val="000D23A0"/>
    <w:rsid w:val="000E1BEF"/>
    <w:rsid w:val="000E3D99"/>
    <w:rsid w:val="000E53C9"/>
    <w:rsid w:val="000E6008"/>
    <w:rsid w:val="000E75FC"/>
    <w:rsid w:val="000F2016"/>
    <w:rsid w:val="000F3014"/>
    <w:rsid w:val="000F4194"/>
    <w:rsid w:val="0010373C"/>
    <w:rsid w:val="00112AA3"/>
    <w:rsid w:val="001130F4"/>
    <w:rsid w:val="00115210"/>
    <w:rsid w:val="00115EE8"/>
    <w:rsid w:val="001209C3"/>
    <w:rsid w:val="001228BC"/>
    <w:rsid w:val="00122BB9"/>
    <w:rsid w:val="00123715"/>
    <w:rsid w:val="001248FA"/>
    <w:rsid w:val="0012537A"/>
    <w:rsid w:val="00126C9A"/>
    <w:rsid w:val="00127DBE"/>
    <w:rsid w:val="00131AE7"/>
    <w:rsid w:val="001348B3"/>
    <w:rsid w:val="00136115"/>
    <w:rsid w:val="001404DC"/>
    <w:rsid w:val="00142AE3"/>
    <w:rsid w:val="00143DC6"/>
    <w:rsid w:val="001441DE"/>
    <w:rsid w:val="00144748"/>
    <w:rsid w:val="00145CC6"/>
    <w:rsid w:val="00146CE3"/>
    <w:rsid w:val="00147D26"/>
    <w:rsid w:val="00153C4F"/>
    <w:rsid w:val="00155722"/>
    <w:rsid w:val="00156127"/>
    <w:rsid w:val="00156905"/>
    <w:rsid w:val="00156EF2"/>
    <w:rsid w:val="0016025C"/>
    <w:rsid w:val="00161CC2"/>
    <w:rsid w:val="00162680"/>
    <w:rsid w:val="00162D0D"/>
    <w:rsid w:val="0016375D"/>
    <w:rsid w:val="00163761"/>
    <w:rsid w:val="0016431F"/>
    <w:rsid w:val="001651D6"/>
    <w:rsid w:val="00165643"/>
    <w:rsid w:val="00166AF1"/>
    <w:rsid w:val="00166C5A"/>
    <w:rsid w:val="00171DCA"/>
    <w:rsid w:val="00173FED"/>
    <w:rsid w:val="001753C6"/>
    <w:rsid w:val="00180034"/>
    <w:rsid w:val="0018258F"/>
    <w:rsid w:val="0018617C"/>
    <w:rsid w:val="00186B4F"/>
    <w:rsid w:val="00187B78"/>
    <w:rsid w:val="00190E12"/>
    <w:rsid w:val="00191B1E"/>
    <w:rsid w:val="00192C5F"/>
    <w:rsid w:val="001930AA"/>
    <w:rsid w:val="001934F1"/>
    <w:rsid w:val="00194325"/>
    <w:rsid w:val="00195E8C"/>
    <w:rsid w:val="001A2BF3"/>
    <w:rsid w:val="001A5452"/>
    <w:rsid w:val="001A7047"/>
    <w:rsid w:val="001B34F4"/>
    <w:rsid w:val="001C1264"/>
    <w:rsid w:val="001C1C99"/>
    <w:rsid w:val="001C31A5"/>
    <w:rsid w:val="001C3464"/>
    <w:rsid w:val="001C621A"/>
    <w:rsid w:val="001C66E7"/>
    <w:rsid w:val="001C7888"/>
    <w:rsid w:val="001D4E2A"/>
    <w:rsid w:val="001D56F1"/>
    <w:rsid w:val="001D794C"/>
    <w:rsid w:val="001E1079"/>
    <w:rsid w:val="001E13A2"/>
    <w:rsid w:val="001E3D71"/>
    <w:rsid w:val="001E7EED"/>
    <w:rsid w:val="001F0666"/>
    <w:rsid w:val="001F0A93"/>
    <w:rsid w:val="001F3AB2"/>
    <w:rsid w:val="001F4FCB"/>
    <w:rsid w:val="001F70E2"/>
    <w:rsid w:val="001F7E74"/>
    <w:rsid w:val="00200B9B"/>
    <w:rsid w:val="0020158E"/>
    <w:rsid w:val="00203596"/>
    <w:rsid w:val="00203B4A"/>
    <w:rsid w:val="002047E4"/>
    <w:rsid w:val="002073E2"/>
    <w:rsid w:val="00211DF9"/>
    <w:rsid w:val="00212415"/>
    <w:rsid w:val="00215E0A"/>
    <w:rsid w:val="00216551"/>
    <w:rsid w:val="002208F4"/>
    <w:rsid w:val="0022253E"/>
    <w:rsid w:val="00222F54"/>
    <w:rsid w:val="00223756"/>
    <w:rsid w:val="00223F0F"/>
    <w:rsid w:val="00224FF6"/>
    <w:rsid w:val="00225849"/>
    <w:rsid w:val="002266DC"/>
    <w:rsid w:val="002272A6"/>
    <w:rsid w:val="00230B58"/>
    <w:rsid w:val="00230E41"/>
    <w:rsid w:val="00232A51"/>
    <w:rsid w:val="00235623"/>
    <w:rsid w:val="002408F5"/>
    <w:rsid w:val="00243059"/>
    <w:rsid w:val="0024344C"/>
    <w:rsid w:val="00247450"/>
    <w:rsid w:val="0025509B"/>
    <w:rsid w:val="002557CF"/>
    <w:rsid w:val="00257A73"/>
    <w:rsid w:val="00260DFE"/>
    <w:rsid w:val="00263DA8"/>
    <w:rsid w:val="00264548"/>
    <w:rsid w:val="00265D63"/>
    <w:rsid w:val="00271BC8"/>
    <w:rsid w:val="002726A5"/>
    <w:rsid w:val="0027481E"/>
    <w:rsid w:val="00275E31"/>
    <w:rsid w:val="00276644"/>
    <w:rsid w:val="00276E38"/>
    <w:rsid w:val="00281532"/>
    <w:rsid w:val="00281820"/>
    <w:rsid w:val="00286EC6"/>
    <w:rsid w:val="00287354"/>
    <w:rsid w:val="00290BDB"/>
    <w:rsid w:val="002923D9"/>
    <w:rsid w:val="002A1898"/>
    <w:rsid w:val="002A3CC1"/>
    <w:rsid w:val="002B11B2"/>
    <w:rsid w:val="002B229E"/>
    <w:rsid w:val="002B250C"/>
    <w:rsid w:val="002B3553"/>
    <w:rsid w:val="002B72F8"/>
    <w:rsid w:val="002B7B39"/>
    <w:rsid w:val="002B7D9F"/>
    <w:rsid w:val="002C0ED7"/>
    <w:rsid w:val="002C1EB1"/>
    <w:rsid w:val="002C45B7"/>
    <w:rsid w:val="002C4833"/>
    <w:rsid w:val="002C5EE8"/>
    <w:rsid w:val="002C6DA2"/>
    <w:rsid w:val="002D0590"/>
    <w:rsid w:val="002D094E"/>
    <w:rsid w:val="002D18E8"/>
    <w:rsid w:val="002D620A"/>
    <w:rsid w:val="002D6290"/>
    <w:rsid w:val="002D759A"/>
    <w:rsid w:val="002E290C"/>
    <w:rsid w:val="002E4B22"/>
    <w:rsid w:val="002E50CA"/>
    <w:rsid w:val="002E7823"/>
    <w:rsid w:val="002E7D47"/>
    <w:rsid w:val="002F53E3"/>
    <w:rsid w:val="002F5B30"/>
    <w:rsid w:val="002F662F"/>
    <w:rsid w:val="002F6B0F"/>
    <w:rsid w:val="002F76E0"/>
    <w:rsid w:val="003026E5"/>
    <w:rsid w:val="0030633D"/>
    <w:rsid w:val="00307B2C"/>
    <w:rsid w:val="00311651"/>
    <w:rsid w:val="00313AF6"/>
    <w:rsid w:val="00313D04"/>
    <w:rsid w:val="0031497A"/>
    <w:rsid w:val="0031756F"/>
    <w:rsid w:val="00317BB4"/>
    <w:rsid w:val="00321787"/>
    <w:rsid w:val="00324199"/>
    <w:rsid w:val="0032422A"/>
    <w:rsid w:val="00326AD8"/>
    <w:rsid w:val="0032782B"/>
    <w:rsid w:val="00327CE9"/>
    <w:rsid w:val="00330F0B"/>
    <w:rsid w:val="00332F90"/>
    <w:rsid w:val="00333B72"/>
    <w:rsid w:val="003349DE"/>
    <w:rsid w:val="0033669A"/>
    <w:rsid w:val="003401F0"/>
    <w:rsid w:val="003412AC"/>
    <w:rsid w:val="0034145B"/>
    <w:rsid w:val="00342AB5"/>
    <w:rsid w:val="00343159"/>
    <w:rsid w:val="00343AF0"/>
    <w:rsid w:val="0034540F"/>
    <w:rsid w:val="00352A9C"/>
    <w:rsid w:val="00354A94"/>
    <w:rsid w:val="00354D2E"/>
    <w:rsid w:val="003554E7"/>
    <w:rsid w:val="003555B8"/>
    <w:rsid w:val="0035638A"/>
    <w:rsid w:val="003575C8"/>
    <w:rsid w:val="00361A81"/>
    <w:rsid w:val="00361E37"/>
    <w:rsid w:val="0036225E"/>
    <w:rsid w:val="00362A31"/>
    <w:rsid w:val="00364D9C"/>
    <w:rsid w:val="003708F8"/>
    <w:rsid w:val="00372903"/>
    <w:rsid w:val="0037393F"/>
    <w:rsid w:val="00375259"/>
    <w:rsid w:val="00376BB8"/>
    <w:rsid w:val="00377330"/>
    <w:rsid w:val="00377427"/>
    <w:rsid w:val="0038152C"/>
    <w:rsid w:val="00383C49"/>
    <w:rsid w:val="00384DF3"/>
    <w:rsid w:val="00385A2D"/>
    <w:rsid w:val="0039069B"/>
    <w:rsid w:val="003949E6"/>
    <w:rsid w:val="003950FF"/>
    <w:rsid w:val="00396C4A"/>
    <w:rsid w:val="003A077E"/>
    <w:rsid w:val="003A6A89"/>
    <w:rsid w:val="003B1952"/>
    <w:rsid w:val="003B24A0"/>
    <w:rsid w:val="003B3B8B"/>
    <w:rsid w:val="003B7803"/>
    <w:rsid w:val="003C0AAF"/>
    <w:rsid w:val="003C2760"/>
    <w:rsid w:val="003C2F9B"/>
    <w:rsid w:val="003C3D12"/>
    <w:rsid w:val="003C4ED6"/>
    <w:rsid w:val="003C72EF"/>
    <w:rsid w:val="003D2832"/>
    <w:rsid w:val="003D4337"/>
    <w:rsid w:val="003D5A47"/>
    <w:rsid w:val="003D77DC"/>
    <w:rsid w:val="003E0B4D"/>
    <w:rsid w:val="003E2E46"/>
    <w:rsid w:val="003F1987"/>
    <w:rsid w:val="003F1F2F"/>
    <w:rsid w:val="003F2DF9"/>
    <w:rsid w:val="003F3849"/>
    <w:rsid w:val="003F3D83"/>
    <w:rsid w:val="003F4377"/>
    <w:rsid w:val="003F50D1"/>
    <w:rsid w:val="003F526C"/>
    <w:rsid w:val="00400E74"/>
    <w:rsid w:val="00401552"/>
    <w:rsid w:val="00402607"/>
    <w:rsid w:val="00406170"/>
    <w:rsid w:val="0040716C"/>
    <w:rsid w:val="00411AA7"/>
    <w:rsid w:val="00414335"/>
    <w:rsid w:val="00414754"/>
    <w:rsid w:val="0041683E"/>
    <w:rsid w:val="00421254"/>
    <w:rsid w:val="00423218"/>
    <w:rsid w:val="0042448A"/>
    <w:rsid w:val="0042626A"/>
    <w:rsid w:val="00427A06"/>
    <w:rsid w:val="00430A76"/>
    <w:rsid w:val="00430DF3"/>
    <w:rsid w:val="00441E8F"/>
    <w:rsid w:val="00445299"/>
    <w:rsid w:val="00447C67"/>
    <w:rsid w:val="00450026"/>
    <w:rsid w:val="004518F8"/>
    <w:rsid w:val="00451D25"/>
    <w:rsid w:val="0045353E"/>
    <w:rsid w:val="00453D47"/>
    <w:rsid w:val="00454FFE"/>
    <w:rsid w:val="00460DE9"/>
    <w:rsid w:val="00467181"/>
    <w:rsid w:val="00467F81"/>
    <w:rsid w:val="00471DAF"/>
    <w:rsid w:val="00475240"/>
    <w:rsid w:val="00477E65"/>
    <w:rsid w:val="004818F0"/>
    <w:rsid w:val="00484DE5"/>
    <w:rsid w:val="00486017"/>
    <w:rsid w:val="00487F41"/>
    <w:rsid w:val="00490417"/>
    <w:rsid w:val="00492094"/>
    <w:rsid w:val="0049302D"/>
    <w:rsid w:val="00493C2B"/>
    <w:rsid w:val="00494B28"/>
    <w:rsid w:val="00495E80"/>
    <w:rsid w:val="0049678F"/>
    <w:rsid w:val="004A1141"/>
    <w:rsid w:val="004A161A"/>
    <w:rsid w:val="004A23E7"/>
    <w:rsid w:val="004A3646"/>
    <w:rsid w:val="004A67CE"/>
    <w:rsid w:val="004A7A0F"/>
    <w:rsid w:val="004B222A"/>
    <w:rsid w:val="004C1E77"/>
    <w:rsid w:val="004C3347"/>
    <w:rsid w:val="004C5F8C"/>
    <w:rsid w:val="004D515E"/>
    <w:rsid w:val="004D77B2"/>
    <w:rsid w:val="004E2016"/>
    <w:rsid w:val="004E4054"/>
    <w:rsid w:val="004E7789"/>
    <w:rsid w:val="004F111E"/>
    <w:rsid w:val="004F125C"/>
    <w:rsid w:val="004F5956"/>
    <w:rsid w:val="004F6DAB"/>
    <w:rsid w:val="004F77B6"/>
    <w:rsid w:val="00500E68"/>
    <w:rsid w:val="005023F6"/>
    <w:rsid w:val="00504099"/>
    <w:rsid w:val="005058D8"/>
    <w:rsid w:val="00505A5A"/>
    <w:rsid w:val="005072BA"/>
    <w:rsid w:val="00514B4E"/>
    <w:rsid w:val="00515333"/>
    <w:rsid w:val="005153BA"/>
    <w:rsid w:val="005156FF"/>
    <w:rsid w:val="00515736"/>
    <w:rsid w:val="00515C37"/>
    <w:rsid w:val="00515C93"/>
    <w:rsid w:val="005177EB"/>
    <w:rsid w:val="0052074F"/>
    <w:rsid w:val="00521B26"/>
    <w:rsid w:val="00523275"/>
    <w:rsid w:val="005233CE"/>
    <w:rsid w:val="0052467B"/>
    <w:rsid w:val="00525081"/>
    <w:rsid w:val="00525172"/>
    <w:rsid w:val="00525383"/>
    <w:rsid w:val="005327BD"/>
    <w:rsid w:val="00532D1E"/>
    <w:rsid w:val="00533E3A"/>
    <w:rsid w:val="0053521F"/>
    <w:rsid w:val="00536201"/>
    <w:rsid w:val="00540740"/>
    <w:rsid w:val="00541AED"/>
    <w:rsid w:val="00542934"/>
    <w:rsid w:val="00542B82"/>
    <w:rsid w:val="00544775"/>
    <w:rsid w:val="00545A75"/>
    <w:rsid w:val="005468B5"/>
    <w:rsid w:val="00550A2F"/>
    <w:rsid w:val="0055286B"/>
    <w:rsid w:val="00554760"/>
    <w:rsid w:val="00554BED"/>
    <w:rsid w:val="005561A3"/>
    <w:rsid w:val="0056382F"/>
    <w:rsid w:val="005646A1"/>
    <w:rsid w:val="00567DE8"/>
    <w:rsid w:val="005707F1"/>
    <w:rsid w:val="00572375"/>
    <w:rsid w:val="0057266B"/>
    <w:rsid w:val="005739B3"/>
    <w:rsid w:val="00574F73"/>
    <w:rsid w:val="00580E82"/>
    <w:rsid w:val="005858BB"/>
    <w:rsid w:val="005878EA"/>
    <w:rsid w:val="00587AB3"/>
    <w:rsid w:val="00592D0E"/>
    <w:rsid w:val="00593DC6"/>
    <w:rsid w:val="00595815"/>
    <w:rsid w:val="00596868"/>
    <w:rsid w:val="00596D14"/>
    <w:rsid w:val="005A16C9"/>
    <w:rsid w:val="005A5536"/>
    <w:rsid w:val="005A7A09"/>
    <w:rsid w:val="005A7B57"/>
    <w:rsid w:val="005A7C00"/>
    <w:rsid w:val="005B189E"/>
    <w:rsid w:val="005C044B"/>
    <w:rsid w:val="005C23B9"/>
    <w:rsid w:val="005C2563"/>
    <w:rsid w:val="005C2A42"/>
    <w:rsid w:val="005C31D2"/>
    <w:rsid w:val="005C353D"/>
    <w:rsid w:val="005C3602"/>
    <w:rsid w:val="005C3808"/>
    <w:rsid w:val="005C45E3"/>
    <w:rsid w:val="005C5665"/>
    <w:rsid w:val="005C5F96"/>
    <w:rsid w:val="005C60DB"/>
    <w:rsid w:val="005C6549"/>
    <w:rsid w:val="005D071E"/>
    <w:rsid w:val="005D195E"/>
    <w:rsid w:val="005D2BAD"/>
    <w:rsid w:val="005D339A"/>
    <w:rsid w:val="005D36F9"/>
    <w:rsid w:val="005D3766"/>
    <w:rsid w:val="005D6C6F"/>
    <w:rsid w:val="005D79C8"/>
    <w:rsid w:val="005E0394"/>
    <w:rsid w:val="005E3B05"/>
    <w:rsid w:val="005E45A9"/>
    <w:rsid w:val="005E4DDD"/>
    <w:rsid w:val="005E7412"/>
    <w:rsid w:val="005F5BB5"/>
    <w:rsid w:val="005F6184"/>
    <w:rsid w:val="005F6F85"/>
    <w:rsid w:val="00600786"/>
    <w:rsid w:val="0060096E"/>
    <w:rsid w:val="00600A8F"/>
    <w:rsid w:val="00601817"/>
    <w:rsid w:val="00614661"/>
    <w:rsid w:val="00615BE0"/>
    <w:rsid w:val="00622162"/>
    <w:rsid w:val="00623B66"/>
    <w:rsid w:val="00623DFF"/>
    <w:rsid w:val="00624009"/>
    <w:rsid w:val="00632853"/>
    <w:rsid w:val="006360F9"/>
    <w:rsid w:val="00637A3A"/>
    <w:rsid w:val="006403FE"/>
    <w:rsid w:val="0064160D"/>
    <w:rsid w:val="0064237B"/>
    <w:rsid w:val="00642ABA"/>
    <w:rsid w:val="006454D2"/>
    <w:rsid w:val="006457D7"/>
    <w:rsid w:val="00647492"/>
    <w:rsid w:val="00657311"/>
    <w:rsid w:val="00660334"/>
    <w:rsid w:val="00667BEE"/>
    <w:rsid w:val="00670E58"/>
    <w:rsid w:val="00671807"/>
    <w:rsid w:val="00672859"/>
    <w:rsid w:val="00672A13"/>
    <w:rsid w:val="0067322C"/>
    <w:rsid w:val="00673334"/>
    <w:rsid w:val="00676476"/>
    <w:rsid w:val="00676957"/>
    <w:rsid w:val="00676E09"/>
    <w:rsid w:val="006802E9"/>
    <w:rsid w:val="00683975"/>
    <w:rsid w:val="00685304"/>
    <w:rsid w:val="006855DB"/>
    <w:rsid w:val="0068727A"/>
    <w:rsid w:val="00687A5D"/>
    <w:rsid w:val="0069019D"/>
    <w:rsid w:val="006904BB"/>
    <w:rsid w:val="006906CB"/>
    <w:rsid w:val="006906DD"/>
    <w:rsid w:val="006928F2"/>
    <w:rsid w:val="0069357A"/>
    <w:rsid w:val="00693FB1"/>
    <w:rsid w:val="006954A0"/>
    <w:rsid w:val="006966A2"/>
    <w:rsid w:val="00696C4D"/>
    <w:rsid w:val="006974C0"/>
    <w:rsid w:val="006A0A99"/>
    <w:rsid w:val="006A1739"/>
    <w:rsid w:val="006A2AD1"/>
    <w:rsid w:val="006A4092"/>
    <w:rsid w:val="006A486A"/>
    <w:rsid w:val="006A5143"/>
    <w:rsid w:val="006A5BFD"/>
    <w:rsid w:val="006B00F2"/>
    <w:rsid w:val="006B2579"/>
    <w:rsid w:val="006B42A2"/>
    <w:rsid w:val="006B5228"/>
    <w:rsid w:val="006B6328"/>
    <w:rsid w:val="006B6C69"/>
    <w:rsid w:val="006B7BAA"/>
    <w:rsid w:val="006C094B"/>
    <w:rsid w:val="006C1C28"/>
    <w:rsid w:val="006C36D7"/>
    <w:rsid w:val="006D072F"/>
    <w:rsid w:val="006D187E"/>
    <w:rsid w:val="006E218D"/>
    <w:rsid w:val="006E2C6C"/>
    <w:rsid w:val="006E5198"/>
    <w:rsid w:val="006E51A9"/>
    <w:rsid w:val="006E5B5B"/>
    <w:rsid w:val="006E5CF3"/>
    <w:rsid w:val="006E7B46"/>
    <w:rsid w:val="00700D53"/>
    <w:rsid w:val="007041FC"/>
    <w:rsid w:val="00706725"/>
    <w:rsid w:val="00715276"/>
    <w:rsid w:val="0071750C"/>
    <w:rsid w:val="00720438"/>
    <w:rsid w:val="00721B23"/>
    <w:rsid w:val="007254D4"/>
    <w:rsid w:val="007259AD"/>
    <w:rsid w:val="00725AC4"/>
    <w:rsid w:val="00725B7E"/>
    <w:rsid w:val="0072646F"/>
    <w:rsid w:val="00726503"/>
    <w:rsid w:val="00726A0B"/>
    <w:rsid w:val="007270C5"/>
    <w:rsid w:val="00727786"/>
    <w:rsid w:val="00731107"/>
    <w:rsid w:val="007319C5"/>
    <w:rsid w:val="00734310"/>
    <w:rsid w:val="00740901"/>
    <w:rsid w:val="00740972"/>
    <w:rsid w:val="00744403"/>
    <w:rsid w:val="0074548C"/>
    <w:rsid w:val="007462F0"/>
    <w:rsid w:val="0075109F"/>
    <w:rsid w:val="0075402B"/>
    <w:rsid w:val="007568B8"/>
    <w:rsid w:val="00756904"/>
    <w:rsid w:val="007569E3"/>
    <w:rsid w:val="00756A64"/>
    <w:rsid w:val="00762402"/>
    <w:rsid w:val="007645A9"/>
    <w:rsid w:val="00764F6B"/>
    <w:rsid w:val="007650BC"/>
    <w:rsid w:val="007678C6"/>
    <w:rsid w:val="00770F01"/>
    <w:rsid w:val="00771908"/>
    <w:rsid w:val="00771BEB"/>
    <w:rsid w:val="007723AD"/>
    <w:rsid w:val="00772B0C"/>
    <w:rsid w:val="0077338F"/>
    <w:rsid w:val="007738D0"/>
    <w:rsid w:val="00775341"/>
    <w:rsid w:val="00775695"/>
    <w:rsid w:val="00776ACE"/>
    <w:rsid w:val="00777713"/>
    <w:rsid w:val="0078208C"/>
    <w:rsid w:val="0078251A"/>
    <w:rsid w:val="00783F02"/>
    <w:rsid w:val="0079046A"/>
    <w:rsid w:val="007906DE"/>
    <w:rsid w:val="00790C9B"/>
    <w:rsid w:val="00791077"/>
    <w:rsid w:val="00793E19"/>
    <w:rsid w:val="007A3826"/>
    <w:rsid w:val="007B0D70"/>
    <w:rsid w:val="007B5499"/>
    <w:rsid w:val="007B5898"/>
    <w:rsid w:val="007B704F"/>
    <w:rsid w:val="007B7D6E"/>
    <w:rsid w:val="007C593F"/>
    <w:rsid w:val="007D0C85"/>
    <w:rsid w:val="007D606E"/>
    <w:rsid w:val="007D67AE"/>
    <w:rsid w:val="007E2571"/>
    <w:rsid w:val="007E434D"/>
    <w:rsid w:val="007E440C"/>
    <w:rsid w:val="007F106F"/>
    <w:rsid w:val="007F23A9"/>
    <w:rsid w:val="007F7F77"/>
    <w:rsid w:val="0080305B"/>
    <w:rsid w:val="00806524"/>
    <w:rsid w:val="00812CE8"/>
    <w:rsid w:val="008140B8"/>
    <w:rsid w:val="0081593C"/>
    <w:rsid w:val="008168AF"/>
    <w:rsid w:val="00824050"/>
    <w:rsid w:val="00825372"/>
    <w:rsid w:val="00825A09"/>
    <w:rsid w:val="00825DC4"/>
    <w:rsid w:val="00831640"/>
    <w:rsid w:val="00832B47"/>
    <w:rsid w:val="0083423F"/>
    <w:rsid w:val="00834C7A"/>
    <w:rsid w:val="00835383"/>
    <w:rsid w:val="00835D01"/>
    <w:rsid w:val="00836F30"/>
    <w:rsid w:val="00837ED6"/>
    <w:rsid w:val="00840EE6"/>
    <w:rsid w:val="008416D8"/>
    <w:rsid w:val="00842336"/>
    <w:rsid w:val="0084241C"/>
    <w:rsid w:val="008431E2"/>
    <w:rsid w:val="0085409C"/>
    <w:rsid w:val="00861255"/>
    <w:rsid w:val="008649DB"/>
    <w:rsid w:val="00864E98"/>
    <w:rsid w:val="008652AA"/>
    <w:rsid w:val="00870351"/>
    <w:rsid w:val="00877767"/>
    <w:rsid w:val="00877B61"/>
    <w:rsid w:val="008832DB"/>
    <w:rsid w:val="00884E56"/>
    <w:rsid w:val="00885191"/>
    <w:rsid w:val="00892498"/>
    <w:rsid w:val="008A0F71"/>
    <w:rsid w:val="008A1068"/>
    <w:rsid w:val="008A2FB9"/>
    <w:rsid w:val="008A3D85"/>
    <w:rsid w:val="008A7217"/>
    <w:rsid w:val="008B2160"/>
    <w:rsid w:val="008B3B15"/>
    <w:rsid w:val="008B4459"/>
    <w:rsid w:val="008B6656"/>
    <w:rsid w:val="008B71D5"/>
    <w:rsid w:val="008B74EA"/>
    <w:rsid w:val="008C31CB"/>
    <w:rsid w:val="008C45A2"/>
    <w:rsid w:val="008C5637"/>
    <w:rsid w:val="008C5920"/>
    <w:rsid w:val="008D21A7"/>
    <w:rsid w:val="008D2D1D"/>
    <w:rsid w:val="008D5391"/>
    <w:rsid w:val="008D7DF4"/>
    <w:rsid w:val="008E2439"/>
    <w:rsid w:val="008E2A7D"/>
    <w:rsid w:val="008E2FC2"/>
    <w:rsid w:val="008E6B98"/>
    <w:rsid w:val="008F1DFE"/>
    <w:rsid w:val="008F2276"/>
    <w:rsid w:val="008F486F"/>
    <w:rsid w:val="008F4E94"/>
    <w:rsid w:val="008F58B5"/>
    <w:rsid w:val="008F68D0"/>
    <w:rsid w:val="008F6F20"/>
    <w:rsid w:val="008F7206"/>
    <w:rsid w:val="009012CB"/>
    <w:rsid w:val="0090170D"/>
    <w:rsid w:val="0090287B"/>
    <w:rsid w:val="00902B4F"/>
    <w:rsid w:val="0090384E"/>
    <w:rsid w:val="00904D88"/>
    <w:rsid w:val="00906F82"/>
    <w:rsid w:val="00907B30"/>
    <w:rsid w:val="00907E73"/>
    <w:rsid w:val="00911002"/>
    <w:rsid w:val="00911021"/>
    <w:rsid w:val="009139BB"/>
    <w:rsid w:val="00913E32"/>
    <w:rsid w:val="009160D1"/>
    <w:rsid w:val="00917369"/>
    <w:rsid w:val="00917B74"/>
    <w:rsid w:val="009240EA"/>
    <w:rsid w:val="009252F7"/>
    <w:rsid w:val="0092567B"/>
    <w:rsid w:val="009257CC"/>
    <w:rsid w:val="009312CF"/>
    <w:rsid w:val="009326C8"/>
    <w:rsid w:val="0093297F"/>
    <w:rsid w:val="00934C99"/>
    <w:rsid w:val="009410DD"/>
    <w:rsid w:val="00941169"/>
    <w:rsid w:val="0094195E"/>
    <w:rsid w:val="00944720"/>
    <w:rsid w:val="0094689A"/>
    <w:rsid w:val="00947726"/>
    <w:rsid w:val="00950A30"/>
    <w:rsid w:val="00951ED0"/>
    <w:rsid w:val="009536FB"/>
    <w:rsid w:val="00953A3F"/>
    <w:rsid w:val="00953CAF"/>
    <w:rsid w:val="0095470C"/>
    <w:rsid w:val="009563B8"/>
    <w:rsid w:val="00965D45"/>
    <w:rsid w:val="0097125E"/>
    <w:rsid w:val="00973563"/>
    <w:rsid w:val="00974185"/>
    <w:rsid w:val="00981B1B"/>
    <w:rsid w:val="0098423F"/>
    <w:rsid w:val="009848F3"/>
    <w:rsid w:val="00985118"/>
    <w:rsid w:val="0098517A"/>
    <w:rsid w:val="00985C59"/>
    <w:rsid w:val="00986E6D"/>
    <w:rsid w:val="00991ACA"/>
    <w:rsid w:val="009921B3"/>
    <w:rsid w:val="00992E2B"/>
    <w:rsid w:val="009948F5"/>
    <w:rsid w:val="00994CA9"/>
    <w:rsid w:val="00997871"/>
    <w:rsid w:val="00997B7D"/>
    <w:rsid w:val="009A403C"/>
    <w:rsid w:val="009A4857"/>
    <w:rsid w:val="009A61C3"/>
    <w:rsid w:val="009A718B"/>
    <w:rsid w:val="009B28A5"/>
    <w:rsid w:val="009B2F15"/>
    <w:rsid w:val="009B33E7"/>
    <w:rsid w:val="009B4239"/>
    <w:rsid w:val="009B45BA"/>
    <w:rsid w:val="009B48D2"/>
    <w:rsid w:val="009B5A4A"/>
    <w:rsid w:val="009B69ED"/>
    <w:rsid w:val="009C0DC9"/>
    <w:rsid w:val="009C3FB0"/>
    <w:rsid w:val="009C736F"/>
    <w:rsid w:val="009C751E"/>
    <w:rsid w:val="009D27EF"/>
    <w:rsid w:val="009D2CA6"/>
    <w:rsid w:val="009D390F"/>
    <w:rsid w:val="009D474E"/>
    <w:rsid w:val="009D5997"/>
    <w:rsid w:val="009D6209"/>
    <w:rsid w:val="009E32E7"/>
    <w:rsid w:val="009E357C"/>
    <w:rsid w:val="009E4392"/>
    <w:rsid w:val="009E4633"/>
    <w:rsid w:val="009E7336"/>
    <w:rsid w:val="009F0014"/>
    <w:rsid w:val="009F3A20"/>
    <w:rsid w:val="009F5EC8"/>
    <w:rsid w:val="009F62FA"/>
    <w:rsid w:val="009F712F"/>
    <w:rsid w:val="00A0019F"/>
    <w:rsid w:val="00A01C5E"/>
    <w:rsid w:val="00A039DE"/>
    <w:rsid w:val="00A052FA"/>
    <w:rsid w:val="00A11031"/>
    <w:rsid w:val="00A12C78"/>
    <w:rsid w:val="00A154CF"/>
    <w:rsid w:val="00A211F3"/>
    <w:rsid w:val="00A21F81"/>
    <w:rsid w:val="00A23BFF"/>
    <w:rsid w:val="00A261B4"/>
    <w:rsid w:val="00A27BD4"/>
    <w:rsid w:val="00A309FE"/>
    <w:rsid w:val="00A30E4C"/>
    <w:rsid w:val="00A336C9"/>
    <w:rsid w:val="00A3482C"/>
    <w:rsid w:val="00A35AAF"/>
    <w:rsid w:val="00A40D17"/>
    <w:rsid w:val="00A43EBA"/>
    <w:rsid w:val="00A53702"/>
    <w:rsid w:val="00A54298"/>
    <w:rsid w:val="00A54765"/>
    <w:rsid w:val="00A56CAC"/>
    <w:rsid w:val="00A57A66"/>
    <w:rsid w:val="00A60FC6"/>
    <w:rsid w:val="00A6225D"/>
    <w:rsid w:val="00A63077"/>
    <w:rsid w:val="00A70A89"/>
    <w:rsid w:val="00A715E3"/>
    <w:rsid w:val="00A76D32"/>
    <w:rsid w:val="00A77191"/>
    <w:rsid w:val="00A805BC"/>
    <w:rsid w:val="00A831B4"/>
    <w:rsid w:val="00A838EB"/>
    <w:rsid w:val="00A856ED"/>
    <w:rsid w:val="00A85E4E"/>
    <w:rsid w:val="00A87412"/>
    <w:rsid w:val="00A91122"/>
    <w:rsid w:val="00A92BD8"/>
    <w:rsid w:val="00AA14FA"/>
    <w:rsid w:val="00AA5391"/>
    <w:rsid w:val="00AA53B3"/>
    <w:rsid w:val="00AA5F24"/>
    <w:rsid w:val="00AA62C7"/>
    <w:rsid w:val="00AA70D2"/>
    <w:rsid w:val="00AA7829"/>
    <w:rsid w:val="00AB0193"/>
    <w:rsid w:val="00AB17D6"/>
    <w:rsid w:val="00AB18A3"/>
    <w:rsid w:val="00AB29B5"/>
    <w:rsid w:val="00AB343E"/>
    <w:rsid w:val="00AB5F04"/>
    <w:rsid w:val="00AC25E1"/>
    <w:rsid w:val="00AC2E2A"/>
    <w:rsid w:val="00AC5106"/>
    <w:rsid w:val="00AC584D"/>
    <w:rsid w:val="00AC5B9C"/>
    <w:rsid w:val="00AC603F"/>
    <w:rsid w:val="00AC6438"/>
    <w:rsid w:val="00AC7A4D"/>
    <w:rsid w:val="00AC7C82"/>
    <w:rsid w:val="00AD0EAA"/>
    <w:rsid w:val="00AD1EAF"/>
    <w:rsid w:val="00AD48B6"/>
    <w:rsid w:val="00AD68EA"/>
    <w:rsid w:val="00AE0EC9"/>
    <w:rsid w:val="00AE1475"/>
    <w:rsid w:val="00AE1A35"/>
    <w:rsid w:val="00AE2FE7"/>
    <w:rsid w:val="00AF0D26"/>
    <w:rsid w:val="00AF1D1C"/>
    <w:rsid w:val="00AF37A4"/>
    <w:rsid w:val="00AF4C82"/>
    <w:rsid w:val="00AF542A"/>
    <w:rsid w:val="00AF600D"/>
    <w:rsid w:val="00AF6776"/>
    <w:rsid w:val="00AF6F12"/>
    <w:rsid w:val="00B00930"/>
    <w:rsid w:val="00B0111F"/>
    <w:rsid w:val="00B0170D"/>
    <w:rsid w:val="00B03235"/>
    <w:rsid w:val="00B037AE"/>
    <w:rsid w:val="00B057ED"/>
    <w:rsid w:val="00B079AC"/>
    <w:rsid w:val="00B115B4"/>
    <w:rsid w:val="00B11E09"/>
    <w:rsid w:val="00B12694"/>
    <w:rsid w:val="00B14AD3"/>
    <w:rsid w:val="00B211F9"/>
    <w:rsid w:val="00B22581"/>
    <w:rsid w:val="00B24513"/>
    <w:rsid w:val="00B25C85"/>
    <w:rsid w:val="00B3087B"/>
    <w:rsid w:val="00B31335"/>
    <w:rsid w:val="00B4154B"/>
    <w:rsid w:val="00B438C9"/>
    <w:rsid w:val="00B4577F"/>
    <w:rsid w:val="00B46069"/>
    <w:rsid w:val="00B46E87"/>
    <w:rsid w:val="00B4712D"/>
    <w:rsid w:val="00B472A0"/>
    <w:rsid w:val="00B478AC"/>
    <w:rsid w:val="00B50207"/>
    <w:rsid w:val="00B50EAC"/>
    <w:rsid w:val="00B55F3A"/>
    <w:rsid w:val="00B55FC7"/>
    <w:rsid w:val="00B6417C"/>
    <w:rsid w:val="00B65B8A"/>
    <w:rsid w:val="00B66202"/>
    <w:rsid w:val="00B67561"/>
    <w:rsid w:val="00B67784"/>
    <w:rsid w:val="00B678B5"/>
    <w:rsid w:val="00B67B14"/>
    <w:rsid w:val="00B75AF4"/>
    <w:rsid w:val="00B83C54"/>
    <w:rsid w:val="00B84AE8"/>
    <w:rsid w:val="00B84B3B"/>
    <w:rsid w:val="00B84C22"/>
    <w:rsid w:val="00B85A81"/>
    <w:rsid w:val="00B8750C"/>
    <w:rsid w:val="00B90E68"/>
    <w:rsid w:val="00B91CF8"/>
    <w:rsid w:val="00B92608"/>
    <w:rsid w:val="00B92716"/>
    <w:rsid w:val="00B97363"/>
    <w:rsid w:val="00B97CF3"/>
    <w:rsid w:val="00BA0EC6"/>
    <w:rsid w:val="00BA4D13"/>
    <w:rsid w:val="00BA743D"/>
    <w:rsid w:val="00BA7DA0"/>
    <w:rsid w:val="00BB79A9"/>
    <w:rsid w:val="00BC0167"/>
    <w:rsid w:val="00BC02BC"/>
    <w:rsid w:val="00BC251E"/>
    <w:rsid w:val="00BC280F"/>
    <w:rsid w:val="00BC47C1"/>
    <w:rsid w:val="00BC4970"/>
    <w:rsid w:val="00BC49D0"/>
    <w:rsid w:val="00BC506C"/>
    <w:rsid w:val="00BC5304"/>
    <w:rsid w:val="00BC5E2A"/>
    <w:rsid w:val="00BD3449"/>
    <w:rsid w:val="00BD360D"/>
    <w:rsid w:val="00BD4335"/>
    <w:rsid w:val="00BD6F9E"/>
    <w:rsid w:val="00BD7DD0"/>
    <w:rsid w:val="00BE0217"/>
    <w:rsid w:val="00BE03C7"/>
    <w:rsid w:val="00BE20C8"/>
    <w:rsid w:val="00BE2260"/>
    <w:rsid w:val="00BE394E"/>
    <w:rsid w:val="00BE3D4F"/>
    <w:rsid w:val="00BE4335"/>
    <w:rsid w:val="00BF1150"/>
    <w:rsid w:val="00BF2938"/>
    <w:rsid w:val="00BF2CD3"/>
    <w:rsid w:val="00C0421F"/>
    <w:rsid w:val="00C06319"/>
    <w:rsid w:val="00C07E4C"/>
    <w:rsid w:val="00C11568"/>
    <w:rsid w:val="00C1220E"/>
    <w:rsid w:val="00C12421"/>
    <w:rsid w:val="00C1355F"/>
    <w:rsid w:val="00C147B6"/>
    <w:rsid w:val="00C1708D"/>
    <w:rsid w:val="00C17FCD"/>
    <w:rsid w:val="00C2077E"/>
    <w:rsid w:val="00C20CF2"/>
    <w:rsid w:val="00C2192C"/>
    <w:rsid w:val="00C21B89"/>
    <w:rsid w:val="00C26122"/>
    <w:rsid w:val="00C264AD"/>
    <w:rsid w:val="00C30E75"/>
    <w:rsid w:val="00C30FDC"/>
    <w:rsid w:val="00C31C06"/>
    <w:rsid w:val="00C33177"/>
    <w:rsid w:val="00C34761"/>
    <w:rsid w:val="00C34E3C"/>
    <w:rsid w:val="00C367AE"/>
    <w:rsid w:val="00C36CC3"/>
    <w:rsid w:val="00C404D6"/>
    <w:rsid w:val="00C417F6"/>
    <w:rsid w:val="00C41E82"/>
    <w:rsid w:val="00C437A3"/>
    <w:rsid w:val="00C44421"/>
    <w:rsid w:val="00C452C2"/>
    <w:rsid w:val="00C46049"/>
    <w:rsid w:val="00C46054"/>
    <w:rsid w:val="00C47048"/>
    <w:rsid w:val="00C51265"/>
    <w:rsid w:val="00C5185D"/>
    <w:rsid w:val="00C5317B"/>
    <w:rsid w:val="00C53B6B"/>
    <w:rsid w:val="00C57D60"/>
    <w:rsid w:val="00C607D0"/>
    <w:rsid w:val="00C607F0"/>
    <w:rsid w:val="00C61517"/>
    <w:rsid w:val="00C627D5"/>
    <w:rsid w:val="00C65C0D"/>
    <w:rsid w:val="00C7021F"/>
    <w:rsid w:val="00C73570"/>
    <w:rsid w:val="00C75BC5"/>
    <w:rsid w:val="00C76849"/>
    <w:rsid w:val="00C84D85"/>
    <w:rsid w:val="00C91B61"/>
    <w:rsid w:val="00C91E6C"/>
    <w:rsid w:val="00C931D4"/>
    <w:rsid w:val="00C934C7"/>
    <w:rsid w:val="00C94776"/>
    <w:rsid w:val="00C947F0"/>
    <w:rsid w:val="00C94AEC"/>
    <w:rsid w:val="00C97B81"/>
    <w:rsid w:val="00CA2673"/>
    <w:rsid w:val="00CA4320"/>
    <w:rsid w:val="00CA45D2"/>
    <w:rsid w:val="00CA6FE7"/>
    <w:rsid w:val="00CB0F20"/>
    <w:rsid w:val="00CB372A"/>
    <w:rsid w:val="00CC0FC1"/>
    <w:rsid w:val="00CC1834"/>
    <w:rsid w:val="00CC1AC0"/>
    <w:rsid w:val="00CC7FE9"/>
    <w:rsid w:val="00CD036A"/>
    <w:rsid w:val="00CD285D"/>
    <w:rsid w:val="00CD5166"/>
    <w:rsid w:val="00CD7452"/>
    <w:rsid w:val="00CD7544"/>
    <w:rsid w:val="00CD7C2D"/>
    <w:rsid w:val="00CE07E5"/>
    <w:rsid w:val="00CE0A9F"/>
    <w:rsid w:val="00CE386E"/>
    <w:rsid w:val="00CE4B70"/>
    <w:rsid w:val="00CE5F2B"/>
    <w:rsid w:val="00CE6907"/>
    <w:rsid w:val="00CE6A57"/>
    <w:rsid w:val="00CF00CF"/>
    <w:rsid w:val="00CF210F"/>
    <w:rsid w:val="00CF4CB3"/>
    <w:rsid w:val="00CF6F27"/>
    <w:rsid w:val="00CF756A"/>
    <w:rsid w:val="00D026E7"/>
    <w:rsid w:val="00D0403B"/>
    <w:rsid w:val="00D05153"/>
    <w:rsid w:val="00D0534A"/>
    <w:rsid w:val="00D06C3C"/>
    <w:rsid w:val="00D10D95"/>
    <w:rsid w:val="00D141E0"/>
    <w:rsid w:val="00D1614D"/>
    <w:rsid w:val="00D169A7"/>
    <w:rsid w:val="00D210DA"/>
    <w:rsid w:val="00D2389E"/>
    <w:rsid w:val="00D241D3"/>
    <w:rsid w:val="00D26486"/>
    <w:rsid w:val="00D26E25"/>
    <w:rsid w:val="00D27587"/>
    <w:rsid w:val="00D30D71"/>
    <w:rsid w:val="00D32290"/>
    <w:rsid w:val="00D361A4"/>
    <w:rsid w:val="00D4030C"/>
    <w:rsid w:val="00D40A34"/>
    <w:rsid w:val="00D43478"/>
    <w:rsid w:val="00D43DA1"/>
    <w:rsid w:val="00D4469A"/>
    <w:rsid w:val="00D44B11"/>
    <w:rsid w:val="00D456E8"/>
    <w:rsid w:val="00D47C69"/>
    <w:rsid w:val="00D521D1"/>
    <w:rsid w:val="00D52A2C"/>
    <w:rsid w:val="00D61D4C"/>
    <w:rsid w:val="00D70AD8"/>
    <w:rsid w:val="00D734C6"/>
    <w:rsid w:val="00D743D0"/>
    <w:rsid w:val="00D75033"/>
    <w:rsid w:val="00D75386"/>
    <w:rsid w:val="00D77090"/>
    <w:rsid w:val="00D773AA"/>
    <w:rsid w:val="00D77FCA"/>
    <w:rsid w:val="00D8167B"/>
    <w:rsid w:val="00D81F7C"/>
    <w:rsid w:val="00D8500F"/>
    <w:rsid w:val="00D87127"/>
    <w:rsid w:val="00D90243"/>
    <w:rsid w:val="00D908E1"/>
    <w:rsid w:val="00D90AA5"/>
    <w:rsid w:val="00D92BAA"/>
    <w:rsid w:val="00D934CE"/>
    <w:rsid w:val="00D9467A"/>
    <w:rsid w:val="00DA05F9"/>
    <w:rsid w:val="00DA589D"/>
    <w:rsid w:val="00DA5E87"/>
    <w:rsid w:val="00DA73E5"/>
    <w:rsid w:val="00DA7707"/>
    <w:rsid w:val="00DB010D"/>
    <w:rsid w:val="00DB4318"/>
    <w:rsid w:val="00DB4409"/>
    <w:rsid w:val="00DC01CB"/>
    <w:rsid w:val="00DC1800"/>
    <w:rsid w:val="00DC2DDB"/>
    <w:rsid w:val="00DC31F8"/>
    <w:rsid w:val="00DC3269"/>
    <w:rsid w:val="00DC5481"/>
    <w:rsid w:val="00DC5FFA"/>
    <w:rsid w:val="00DC6DEC"/>
    <w:rsid w:val="00DC6FE6"/>
    <w:rsid w:val="00DC75B0"/>
    <w:rsid w:val="00DD2153"/>
    <w:rsid w:val="00DD21FA"/>
    <w:rsid w:val="00DD2D76"/>
    <w:rsid w:val="00DD73CC"/>
    <w:rsid w:val="00DE119D"/>
    <w:rsid w:val="00DE382A"/>
    <w:rsid w:val="00DE3BD4"/>
    <w:rsid w:val="00DE467B"/>
    <w:rsid w:val="00DE53C4"/>
    <w:rsid w:val="00DE53E0"/>
    <w:rsid w:val="00DF0513"/>
    <w:rsid w:val="00DF215A"/>
    <w:rsid w:val="00DF3E90"/>
    <w:rsid w:val="00DF4F6E"/>
    <w:rsid w:val="00DF564D"/>
    <w:rsid w:val="00DF57D2"/>
    <w:rsid w:val="00DF5DBE"/>
    <w:rsid w:val="00DF6A98"/>
    <w:rsid w:val="00DF7349"/>
    <w:rsid w:val="00E01257"/>
    <w:rsid w:val="00E03B12"/>
    <w:rsid w:val="00E03EEF"/>
    <w:rsid w:val="00E05B1E"/>
    <w:rsid w:val="00E07027"/>
    <w:rsid w:val="00E12FE8"/>
    <w:rsid w:val="00E156FF"/>
    <w:rsid w:val="00E17797"/>
    <w:rsid w:val="00E23DC5"/>
    <w:rsid w:val="00E26FA9"/>
    <w:rsid w:val="00E2737F"/>
    <w:rsid w:val="00E30408"/>
    <w:rsid w:val="00E3235A"/>
    <w:rsid w:val="00E40E28"/>
    <w:rsid w:val="00E43D92"/>
    <w:rsid w:val="00E44D48"/>
    <w:rsid w:val="00E46405"/>
    <w:rsid w:val="00E46628"/>
    <w:rsid w:val="00E4688A"/>
    <w:rsid w:val="00E47615"/>
    <w:rsid w:val="00E50379"/>
    <w:rsid w:val="00E50872"/>
    <w:rsid w:val="00E5088F"/>
    <w:rsid w:val="00E52A62"/>
    <w:rsid w:val="00E566EA"/>
    <w:rsid w:val="00E57E8A"/>
    <w:rsid w:val="00E60636"/>
    <w:rsid w:val="00E621F5"/>
    <w:rsid w:val="00E640B7"/>
    <w:rsid w:val="00E657FC"/>
    <w:rsid w:val="00E66ACE"/>
    <w:rsid w:val="00E702DF"/>
    <w:rsid w:val="00E73C3F"/>
    <w:rsid w:val="00E76D9E"/>
    <w:rsid w:val="00E8029B"/>
    <w:rsid w:val="00E803D3"/>
    <w:rsid w:val="00E81281"/>
    <w:rsid w:val="00E83EBB"/>
    <w:rsid w:val="00E84C9C"/>
    <w:rsid w:val="00E86DFC"/>
    <w:rsid w:val="00E92095"/>
    <w:rsid w:val="00E97BFF"/>
    <w:rsid w:val="00EA0F85"/>
    <w:rsid w:val="00EA3726"/>
    <w:rsid w:val="00EA5312"/>
    <w:rsid w:val="00EA58CF"/>
    <w:rsid w:val="00EA5FFF"/>
    <w:rsid w:val="00EA66AB"/>
    <w:rsid w:val="00EA693F"/>
    <w:rsid w:val="00EA6C1A"/>
    <w:rsid w:val="00EA6D7B"/>
    <w:rsid w:val="00EA7375"/>
    <w:rsid w:val="00EA7518"/>
    <w:rsid w:val="00EA7F86"/>
    <w:rsid w:val="00EB29E7"/>
    <w:rsid w:val="00EB6253"/>
    <w:rsid w:val="00EB6303"/>
    <w:rsid w:val="00EB7147"/>
    <w:rsid w:val="00EB72AC"/>
    <w:rsid w:val="00EC0343"/>
    <w:rsid w:val="00EC0C93"/>
    <w:rsid w:val="00EC2426"/>
    <w:rsid w:val="00EC3117"/>
    <w:rsid w:val="00EC5318"/>
    <w:rsid w:val="00ED6927"/>
    <w:rsid w:val="00ED6D7E"/>
    <w:rsid w:val="00EE0BC5"/>
    <w:rsid w:val="00EE3485"/>
    <w:rsid w:val="00EE47C5"/>
    <w:rsid w:val="00EE6446"/>
    <w:rsid w:val="00EE6760"/>
    <w:rsid w:val="00EE7FE7"/>
    <w:rsid w:val="00EF0CC1"/>
    <w:rsid w:val="00EF3EEA"/>
    <w:rsid w:val="00EF6B76"/>
    <w:rsid w:val="00EF73AA"/>
    <w:rsid w:val="00EF7A73"/>
    <w:rsid w:val="00F20BCB"/>
    <w:rsid w:val="00F22DC7"/>
    <w:rsid w:val="00F23071"/>
    <w:rsid w:val="00F25387"/>
    <w:rsid w:val="00F26832"/>
    <w:rsid w:val="00F301C2"/>
    <w:rsid w:val="00F30D8F"/>
    <w:rsid w:val="00F31B06"/>
    <w:rsid w:val="00F34C85"/>
    <w:rsid w:val="00F40965"/>
    <w:rsid w:val="00F41963"/>
    <w:rsid w:val="00F4239E"/>
    <w:rsid w:val="00F43089"/>
    <w:rsid w:val="00F437F1"/>
    <w:rsid w:val="00F43D4B"/>
    <w:rsid w:val="00F453BA"/>
    <w:rsid w:val="00F46470"/>
    <w:rsid w:val="00F46632"/>
    <w:rsid w:val="00F4793C"/>
    <w:rsid w:val="00F51AE7"/>
    <w:rsid w:val="00F51D41"/>
    <w:rsid w:val="00F51DCC"/>
    <w:rsid w:val="00F51E45"/>
    <w:rsid w:val="00F523E3"/>
    <w:rsid w:val="00F5356C"/>
    <w:rsid w:val="00F54CEE"/>
    <w:rsid w:val="00F55C72"/>
    <w:rsid w:val="00F565E4"/>
    <w:rsid w:val="00F611F9"/>
    <w:rsid w:val="00F61F38"/>
    <w:rsid w:val="00F65FF7"/>
    <w:rsid w:val="00F66267"/>
    <w:rsid w:val="00F6627F"/>
    <w:rsid w:val="00F671E8"/>
    <w:rsid w:val="00F673B1"/>
    <w:rsid w:val="00F713AC"/>
    <w:rsid w:val="00F7446D"/>
    <w:rsid w:val="00F74C42"/>
    <w:rsid w:val="00F765E8"/>
    <w:rsid w:val="00F814F8"/>
    <w:rsid w:val="00F82375"/>
    <w:rsid w:val="00F839D1"/>
    <w:rsid w:val="00F83C43"/>
    <w:rsid w:val="00F8759F"/>
    <w:rsid w:val="00F90239"/>
    <w:rsid w:val="00F925BE"/>
    <w:rsid w:val="00F92D31"/>
    <w:rsid w:val="00F94C5B"/>
    <w:rsid w:val="00F9567E"/>
    <w:rsid w:val="00F978FA"/>
    <w:rsid w:val="00FA0433"/>
    <w:rsid w:val="00FA2996"/>
    <w:rsid w:val="00FA2FB7"/>
    <w:rsid w:val="00FA3F21"/>
    <w:rsid w:val="00FA5105"/>
    <w:rsid w:val="00FA7E67"/>
    <w:rsid w:val="00FB07DF"/>
    <w:rsid w:val="00FB4DDB"/>
    <w:rsid w:val="00FB4EBE"/>
    <w:rsid w:val="00FC0660"/>
    <w:rsid w:val="00FC0E08"/>
    <w:rsid w:val="00FC25F9"/>
    <w:rsid w:val="00FC2A06"/>
    <w:rsid w:val="00FC4525"/>
    <w:rsid w:val="00FD3992"/>
    <w:rsid w:val="00FD5FEC"/>
    <w:rsid w:val="00FD6CD2"/>
    <w:rsid w:val="00FE1C0C"/>
    <w:rsid w:val="00FE5852"/>
    <w:rsid w:val="00FE6E03"/>
    <w:rsid w:val="00FE72D6"/>
    <w:rsid w:val="00FE7D61"/>
    <w:rsid w:val="00FF09ED"/>
    <w:rsid w:val="00FF30CA"/>
    <w:rsid w:val="00FF4C4E"/>
    <w:rsid w:val="00FF6C0B"/>
    <w:rsid w:val="00FF7060"/>
    <w:rsid w:val="00FF76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E526CAA"/>
  <w15:chartTrackingRefBased/>
  <w15:docId w15:val="{E9A7B4C9-EBBC-43BF-A83B-D6CF7E42D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4AE8"/>
    <w:pPr>
      <w:spacing w:after="120" w:line="276" w:lineRule="auto"/>
    </w:pPr>
    <w:rPr>
      <w:rFonts w:ascii="Arial" w:hAnsi="Arial" w:cs="Arial"/>
    </w:rPr>
  </w:style>
  <w:style w:type="paragraph" w:styleId="Heading1">
    <w:name w:val="heading 1"/>
    <w:basedOn w:val="Normal"/>
    <w:next w:val="Normal"/>
    <w:link w:val="Heading1Char"/>
    <w:uiPriority w:val="9"/>
    <w:qFormat/>
    <w:rsid w:val="00B9736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 Para 1,Dot pt,No Spacing1,List Paragraph Char Char Char,Indicator Text,List Paragraph1,Bullet 1,Bullet Points,MAIN CONTENT,List Paragraph12,Bullet Style,F5 List Paragraph,OBC Bullet,Colorful List - Accent 11,Normal numbered"/>
    <w:basedOn w:val="Normal"/>
    <w:link w:val="ListParagraphChar"/>
    <w:uiPriority w:val="34"/>
    <w:qFormat/>
    <w:rsid w:val="00B84AE8"/>
    <w:pPr>
      <w:ind w:left="720"/>
      <w:contextualSpacing/>
    </w:pPr>
    <w:rPr>
      <w:rFonts w:asciiTheme="majorHAnsi" w:hAnsiTheme="majorHAnsi"/>
    </w:rPr>
  </w:style>
  <w:style w:type="table" w:styleId="TableGrid">
    <w:name w:val="Table Grid"/>
    <w:basedOn w:val="TableNormal"/>
    <w:uiPriority w:val="39"/>
    <w:rsid w:val="00B84AE8"/>
    <w:pPr>
      <w:spacing w:after="0" w:line="240" w:lineRule="auto"/>
    </w:pPr>
    <w:rPr>
      <w:rFonts w:ascii="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NoSpacing6ptBackground1">
    <w:name w:val="Style No Spacing + 6 pt Background 1"/>
    <w:basedOn w:val="NoSpacing"/>
    <w:rsid w:val="00B84AE8"/>
    <w:rPr>
      <w:color w:val="BFBFBF" w:themeColor="background1" w:themeShade="BF"/>
      <w:sz w:val="12"/>
    </w:rPr>
  </w:style>
  <w:style w:type="character" w:customStyle="1" w:styleId="ListParagraphChar">
    <w:name w:val="List Paragraph Char"/>
    <w:aliases w:val="Numbered Para 1 Char,Dot pt Char,No Spacing1 Char,List Paragraph Char Char Char Char,Indicator Text Char,List Paragraph1 Char,Bullet 1 Char,Bullet Points Char,MAIN CONTENT Char,List Paragraph12 Char,Bullet Style Char,OBC Bullet Char"/>
    <w:basedOn w:val="DefaultParagraphFont"/>
    <w:link w:val="ListParagraph"/>
    <w:uiPriority w:val="34"/>
    <w:qFormat/>
    <w:locked/>
    <w:rsid w:val="00B84AE8"/>
    <w:rPr>
      <w:rFonts w:asciiTheme="majorHAnsi" w:hAnsiTheme="majorHAnsi" w:cs="Arial"/>
    </w:rPr>
  </w:style>
  <w:style w:type="paragraph" w:styleId="FootnoteText">
    <w:name w:val="footnote text"/>
    <w:aliases w:val="Fußnotentext Char,Fußnotentext Char2 Char,Fußnotentext Char1 Char Char,Fußnotentext Char Char Char Char,Fußnotentext Char Char1 Char,Fußnotentext Char2,Fußnotentext Char1 Char,Fußnotentext Char Char Char,Fußnotentext Char Char1,Fußnote,nt"/>
    <w:basedOn w:val="Normal"/>
    <w:link w:val="FootnoteTextChar"/>
    <w:uiPriority w:val="99"/>
    <w:unhideWhenUsed/>
    <w:qFormat/>
    <w:rsid w:val="00B84AE8"/>
    <w:pPr>
      <w:spacing w:after="0" w:line="240" w:lineRule="auto"/>
      <w:ind w:left="10" w:right="293" w:hanging="10"/>
    </w:pPr>
    <w:rPr>
      <w:rFonts w:eastAsia="Arial"/>
      <w:color w:val="000000"/>
      <w:sz w:val="20"/>
      <w:szCs w:val="20"/>
      <w:lang w:eastAsia="en-GB"/>
    </w:rPr>
  </w:style>
  <w:style w:type="character" w:customStyle="1" w:styleId="FootnoteTextChar">
    <w:name w:val="Footnote Text Char"/>
    <w:aliases w:val="Fußnotentext Char Char,Fußnotentext Char2 Char Char,Fußnotentext Char1 Char Char Char,Fußnotentext Char Char Char Char Char,Fußnotentext Char Char1 Char Char,Fußnotentext Char2 Char1,Fußnotentext Char1 Char Char1,Fußnote Char,nt Char"/>
    <w:basedOn w:val="DefaultParagraphFont"/>
    <w:link w:val="FootnoteText"/>
    <w:uiPriority w:val="99"/>
    <w:rsid w:val="00B84AE8"/>
    <w:rPr>
      <w:rFonts w:ascii="Arial" w:eastAsia="Arial" w:hAnsi="Arial" w:cs="Arial"/>
      <w:color w:val="000000"/>
      <w:sz w:val="20"/>
      <w:szCs w:val="20"/>
      <w:lang w:eastAsia="en-GB"/>
    </w:rPr>
  </w:style>
  <w:style w:type="character" w:styleId="FootnoteReference">
    <w:name w:val="footnote reference"/>
    <w:aliases w:val="fr,(Diplomarbeit FZ),-E Fußnotenzeichen,SUPERS,EN Footnote Reference,number,B_Footnote Reference"/>
    <w:basedOn w:val="DefaultParagraphFont"/>
    <w:uiPriority w:val="99"/>
    <w:unhideWhenUsed/>
    <w:rsid w:val="00B84AE8"/>
    <w:rPr>
      <w:vertAlign w:val="superscript"/>
    </w:rPr>
  </w:style>
  <w:style w:type="character" w:styleId="CommentReference">
    <w:name w:val="annotation reference"/>
    <w:basedOn w:val="DefaultParagraphFont"/>
    <w:uiPriority w:val="99"/>
    <w:unhideWhenUsed/>
    <w:rsid w:val="00B84AE8"/>
    <w:rPr>
      <w:sz w:val="16"/>
      <w:szCs w:val="16"/>
    </w:rPr>
  </w:style>
  <w:style w:type="paragraph" w:styleId="NoSpacing">
    <w:name w:val="No Spacing"/>
    <w:uiPriority w:val="1"/>
    <w:qFormat/>
    <w:rsid w:val="00B84AE8"/>
    <w:pPr>
      <w:spacing w:after="0" w:line="240" w:lineRule="auto"/>
    </w:pPr>
    <w:rPr>
      <w:rFonts w:ascii="Arial" w:hAnsi="Arial" w:cs="Arial"/>
    </w:rPr>
  </w:style>
  <w:style w:type="paragraph" w:styleId="Header">
    <w:name w:val="header"/>
    <w:basedOn w:val="Normal"/>
    <w:link w:val="HeaderChar"/>
    <w:uiPriority w:val="99"/>
    <w:unhideWhenUsed/>
    <w:rsid w:val="00B84AE8"/>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4AE8"/>
    <w:rPr>
      <w:rFonts w:ascii="Arial" w:hAnsi="Arial" w:cs="Arial"/>
    </w:rPr>
  </w:style>
  <w:style w:type="paragraph" w:styleId="Footer">
    <w:name w:val="footer"/>
    <w:basedOn w:val="Normal"/>
    <w:link w:val="FooterChar"/>
    <w:uiPriority w:val="99"/>
    <w:unhideWhenUsed/>
    <w:rsid w:val="00B84AE8"/>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4AE8"/>
    <w:rPr>
      <w:rFonts w:ascii="Arial" w:hAnsi="Arial" w:cs="Arial"/>
    </w:rPr>
  </w:style>
  <w:style w:type="character" w:styleId="Hyperlink">
    <w:name w:val="Hyperlink"/>
    <w:basedOn w:val="DefaultParagraphFont"/>
    <w:uiPriority w:val="99"/>
    <w:unhideWhenUsed/>
    <w:rsid w:val="00B55FC7"/>
    <w:rPr>
      <w:color w:val="0563C1" w:themeColor="hyperlink"/>
      <w:u w:val="single"/>
    </w:rPr>
  </w:style>
  <w:style w:type="paragraph" w:styleId="NormalWeb">
    <w:name w:val="Normal (Web)"/>
    <w:basedOn w:val="Normal"/>
    <w:uiPriority w:val="99"/>
    <w:unhideWhenUsed/>
    <w:rsid w:val="00B55FC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CommentText">
    <w:name w:val="annotation text"/>
    <w:basedOn w:val="Normal"/>
    <w:link w:val="CommentTextChar"/>
    <w:uiPriority w:val="99"/>
    <w:unhideWhenUsed/>
    <w:rsid w:val="00494B28"/>
    <w:pPr>
      <w:spacing w:after="200" w:line="240" w:lineRule="auto"/>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rsid w:val="00494B28"/>
    <w:rPr>
      <w:sz w:val="20"/>
      <w:szCs w:val="20"/>
    </w:rPr>
  </w:style>
  <w:style w:type="paragraph" w:styleId="BalloonText">
    <w:name w:val="Balloon Text"/>
    <w:basedOn w:val="Normal"/>
    <w:link w:val="BalloonTextChar"/>
    <w:uiPriority w:val="99"/>
    <w:semiHidden/>
    <w:unhideWhenUsed/>
    <w:rsid w:val="00494B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4B28"/>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7F106F"/>
    <w:pPr>
      <w:spacing w:after="120"/>
    </w:pPr>
    <w:rPr>
      <w:rFonts w:ascii="Arial" w:hAnsi="Arial" w:cs="Arial"/>
      <w:b/>
      <w:bCs/>
    </w:rPr>
  </w:style>
  <w:style w:type="character" w:customStyle="1" w:styleId="CommentSubjectChar">
    <w:name w:val="Comment Subject Char"/>
    <w:basedOn w:val="CommentTextChar"/>
    <w:link w:val="CommentSubject"/>
    <w:uiPriority w:val="99"/>
    <w:semiHidden/>
    <w:rsid w:val="007F106F"/>
    <w:rPr>
      <w:rFonts w:ascii="Arial" w:hAnsi="Arial" w:cs="Arial"/>
      <w:b/>
      <w:bCs/>
      <w:sz w:val="20"/>
      <w:szCs w:val="20"/>
    </w:rPr>
  </w:style>
  <w:style w:type="paragraph" w:customStyle="1" w:styleId="Default">
    <w:name w:val="Default"/>
    <w:rsid w:val="00223756"/>
    <w:pPr>
      <w:autoSpaceDE w:val="0"/>
      <w:autoSpaceDN w:val="0"/>
      <w:adjustRightInd w:val="0"/>
      <w:spacing w:after="0" w:line="240" w:lineRule="auto"/>
    </w:pPr>
    <w:rPr>
      <w:rFonts w:ascii="Arial" w:hAnsi="Arial" w:cs="Arial"/>
      <w:color w:val="000000"/>
      <w:sz w:val="24"/>
      <w:szCs w:val="24"/>
    </w:rPr>
  </w:style>
  <w:style w:type="paragraph" w:customStyle="1" w:styleId="Board-numberedbullets">
    <w:name w:val="Board - numbered bullets"/>
    <w:basedOn w:val="Normal"/>
    <w:qFormat/>
    <w:rsid w:val="000B6217"/>
    <w:pPr>
      <w:keepLines/>
      <w:numPr>
        <w:numId w:val="1"/>
      </w:numPr>
      <w:spacing w:before="120" w:after="0"/>
    </w:pPr>
    <w:rPr>
      <w:rFonts w:eastAsia="Times New Roman" w:cs="Times New Roman"/>
      <w:szCs w:val="24"/>
      <w:lang w:eastAsia="en-GB"/>
    </w:rPr>
  </w:style>
  <w:style w:type="paragraph" w:styleId="EndnoteText">
    <w:name w:val="endnote text"/>
    <w:basedOn w:val="Normal"/>
    <w:link w:val="EndnoteTextChar"/>
    <w:uiPriority w:val="99"/>
    <w:semiHidden/>
    <w:unhideWhenUsed/>
    <w:rsid w:val="00343AF0"/>
    <w:pPr>
      <w:spacing w:after="0" w:line="240" w:lineRule="auto"/>
      <w:ind w:left="10" w:right="293" w:hanging="10"/>
    </w:pPr>
    <w:rPr>
      <w:rFonts w:eastAsia="Arial"/>
      <w:color w:val="000000"/>
      <w:sz w:val="20"/>
      <w:szCs w:val="20"/>
      <w:lang w:eastAsia="en-GB"/>
    </w:rPr>
  </w:style>
  <w:style w:type="character" w:customStyle="1" w:styleId="EndnoteTextChar">
    <w:name w:val="Endnote Text Char"/>
    <w:basedOn w:val="DefaultParagraphFont"/>
    <w:link w:val="EndnoteText"/>
    <w:uiPriority w:val="99"/>
    <w:semiHidden/>
    <w:rsid w:val="00343AF0"/>
    <w:rPr>
      <w:rFonts w:ascii="Arial" w:eastAsia="Arial" w:hAnsi="Arial" w:cs="Arial"/>
      <w:color w:val="000000"/>
      <w:sz w:val="20"/>
      <w:szCs w:val="20"/>
      <w:lang w:eastAsia="en-GB"/>
    </w:rPr>
  </w:style>
  <w:style w:type="paragraph" w:customStyle="1" w:styleId="Bulletlevel1">
    <w:name w:val="Bullet level 1"/>
    <w:basedOn w:val="Normal"/>
    <w:link w:val="Bulletlevel1Char"/>
    <w:qFormat/>
    <w:rsid w:val="00B50EAC"/>
    <w:pPr>
      <w:numPr>
        <w:numId w:val="2"/>
      </w:numPr>
      <w:suppressAutoHyphens/>
      <w:autoSpaceDE w:val="0"/>
      <w:autoSpaceDN w:val="0"/>
      <w:adjustRightInd w:val="0"/>
      <w:spacing w:line="264" w:lineRule="auto"/>
      <w:contextualSpacing/>
      <w:jc w:val="both"/>
      <w:textAlignment w:val="center"/>
    </w:pPr>
    <w:rPr>
      <w:rFonts w:asciiTheme="minorHAnsi" w:hAnsiTheme="minorHAnsi" w:cs="Calibri"/>
      <w:color w:val="000000" w:themeColor="text1"/>
      <w:szCs w:val="18"/>
    </w:rPr>
  </w:style>
  <w:style w:type="character" w:customStyle="1" w:styleId="Bulletlevel1Char">
    <w:name w:val="Bullet level 1 Char"/>
    <w:basedOn w:val="DefaultParagraphFont"/>
    <w:link w:val="Bulletlevel1"/>
    <w:rsid w:val="00B50EAC"/>
    <w:rPr>
      <w:rFonts w:cs="Calibri"/>
      <w:color w:val="000000" w:themeColor="text1"/>
      <w:szCs w:val="18"/>
    </w:rPr>
  </w:style>
  <w:style w:type="character" w:customStyle="1" w:styleId="Heading1Char">
    <w:name w:val="Heading 1 Char"/>
    <w:basedOn w:val="DefaultParagraphFont"/>
    <w:link w:val="Heading1"/>
    <w:rsid w:val="00B97363"/>
    <w:rPr>
      <w:rFonts w:asciiTheme="majorHAnsi" w:eastAsiaTheme="majorEastAsia" w:hAnsiTheme="majorHAnsi" w:cstheme="majorBidi"/>
      <w:color w:val="2E74B5" w:themeColor="accent1" w:themeShade="BF"/>
      <w:sz w:val="32"/>
      <w:szCs w:val="32"/>
    </w:rPr>
  </w:style>
  <w:style w:type="table" w:customStyle="1" w:styleId="TableGrid0">
    <w:name w:val="TableGrid"/>
    <w:rsid w:val="00720438"/>
    <w:pPr>
      <w:spacing w:after="0" w:line="240" w:lineRule="auto"/>
    </w:pPr>
    <w:rPr>
      <w:rFonts w:eastAsiaTheme="minorEastAsia"/>
      <w:lang w:val="en-US"/>
    </w:rPr>
    <w:tblPr>
      <w:tblCellMar>
        <w:top w:w="0" w:type="dxa"/>
        <w:left w:w="0" w:type="dxa"/>
        <w:bottom w:w="0" w:type="dxa"/>
        <w:right w:w="0" w:type="dxa"/>
      </w:tblCellMar>
    </w:tblPr>
  </w:style>
  <w:style w:type="paragraph" w:customStyle="1" w:styleId="KeyMessage">
    <w:name w:val="Key Message"/>
    <w:basedOn w:val="Normal"/>
    <w:uiPriority w:val="2"/>
    <w:qFormat/>
    <w:rsid w:val="003B7803"/>
    <w:pPr>
      <w:suppressAutoHyphens/>
      <w:spacing w:after="160"/>
    </w:pPr>
    <w:rPr>
      <w:rFonts w:ascii="Praxis LT Pro" w:eastAsia="Praxis LT Pro" w:hAnsi="Praxis LT Pro"/>
      <w:color w:val="000000" w:themeColor="text1"/>
      <w:lang w:eastAsia="en-GB"/>
    </w:rPr>
  </w:style>
  <w:style w:type="character" w:customStyle="1" w:styleId="Bold">
    <w:name w:val="Bold"/>
    <w:uiPriority w:val="6"/>
    <w:qFormat/>
    <w:locked/>
    <w:rsid w:val="005023F6"/>
    <w:rPr>
      <w:b/>
    </w:rPr>
  </w:style>
  <w:style w:type="character" w:styleId="Strong">
    <w:name w:val="Strong"/>
    <w:basedOn w:val="DefaultParagraphFont"/>
    <w:uiPriority w:val="22"/>
    <w:qFormat/>
    <w:rsid w:val="005023F6"/>
    <w:rPr>
      <w:b/>
      <w:bCs/>
    </w:rPr>
  </w:style>
  <w:style w:type="character" w:customStyle="1" w:styleId="UnresolvedMention1">
    <w:name w:val="Unresolved Mention1"/>
    <w:basedOn w:val="DefaultParagraphFont"/>
    <w:uiPriority w:val="99"/>
    <w:semiHidden/>
    <w:unhideWhenUsed/>
    <w:rsid w:val="00DE53C4"/>
    <w:rPr>
      <w:color w:val="808080"/>
      <w:shd w:val="clear" w:color="auto" w:fill="E6E6E6"/>
    </w:rPr>
  </w:style>
  <w:style w:type="character" w:styleId="FollowedHyperlink">
    <w:name w:val="FollowedHyperlink"/>
    <w:basedOn w:val="DefaultParagraphFont"/>
    <w:uiPriority w:val="99"/>
    <w:semiHidden/>
    <w:unhideWhenUsed/>
    <w:rsid w:val="007D606E"/>
    <w:rPr>
      <w:color w:val="954F72" w:themeColor="followedHyperlink"/>
      <w:u w:val="single"/>
    </w:rPr>
  </w:style>
  <w:style w:type="paragraph" w:customStyle="1" w:styleId="Bulletpoints">
    <w:name w:val="Bullet points"/>
    <w:basedOn w:val="ListParagraph"/>
    <w:link w:val="BulletpointsChar"/>
    <w:qFormat/>
    <w:rsid w:val="00E566EA"/>
    <w:pPr>
      <w:numPr>
        <w:numId w:val="3"/>
      </w:numPr>
      <w:suppressAutoHyphens/>
      <w:spacing w:line="240" w:lineRule="auto"/>
    </w:pPr>
    <w:rPr>
      <w:rFonts w:ascii="Segoe UI" w:eastAsia="Praxis LT Pro" w:hAnsi="Segoe UI"/>
    </w:rPr>
  </w:style>
  <w:style w:type="character" w:customStyle="1" w:styleId="BulletpointsChar">
    <w:name w:val="Bullet points Char"/>
    <w:basedOn w:val="ListParagraphChar"/>
    <w:link w:val="Bulletpoints"/>
    <w:rsid w:val="00E566EA"/>
    <w:rPr>
      <w:rFonts w:ascii="Segoe UI" w:eastAsia="Praxis LT Pro" w:hAnsi="Segoe UI" w:cs="Arial"/>
    </w:rPr>
  </w:style>
  <w:style w:type="paragraph" w:customStyle="1" w:styleId="Header-Orange">
    <w:name w:val="Header - Orange"/>
    <w:basedOn w:val="Normal"/>
    <w:link w:val="Header-OrangeChar"/>
    <w:uiPriority w:val="99"/>
    <w:semiHidden/>
    <w:locked/>
    <w:rsid w:val="00861255"/>
    <w:pPr>
      <w:spacing w:after="0"/>
    </w:pPr>
    <w:rPr>
      <w:rFonts w:ascii="Segoe UI" w:eastAsia="Praxis LT Pro" w:hAnsi="Segoe UI"/>
      <w:color w:val="FF6600"/>
      <w:sz w:val="18"/>
      <w:szCs w:val="16"/>
    </w:rPr>
  </w:style>
  <w:style w:type="character" w:customStyle="1" w:styleId="Header-OrangeChar">
    <w:name w:val="Header - Orange Char"/>
    <w:link w:val="Header-Orange"/>
    <w:uiPriority w:val="99"/>
    <w:semiHidden/>
    <w:rsid w:val="00861255"/>
    <w:rPr>
      <w:rFonts w:ascii="Segoe UI" w:eastAsia="Praxis LT Pro" w:hAnsi="Segoe UI" w:cs="Arial"/>
      <w:color w:val="FF6600"/>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24031">
      <w:bodyDiv w:val="1"/>
      <w:marLeft w:val="0"/>
      <w:marRight w:val="0"/>
      <w:marTop w:val="0"/>
      <w:marBottom w:val="0"/>
      <w:divBdr>
        <w:top w:val="none" w:sz="0" w:space="0" w:color="auto"/>
        <w:left w:val="none" w:sz="0" w:space="0" w:color="auto"/>
        <w:bottom w:val="none" w:sz="0" w:space="0" w:color="auto"/>
        <w:right w:val="none" w:sz="0" w:space="0" w:color="auto"/>
      </w:divBdr>
    </w:div>
    <w:div w:id="62408904">
      <w:bodyDiv w:val="1"/>
      <w:marLeft w:val="0"/>
      <w:marRight w:val="0"/>
      <w:marTop w:val="0"/>
      <w:marBottom w:val="0"/>
      <w:divBdr>
        <w:top w:val="none" w:sz="0" w:space="0" w:color="auto"/>
        <w:left w:val="none" w:sz="0" w:space="0" w:color="auto"/>
        <w:bottom w:val="none" w:sz="0" w:space="0" w:color="auto"/>
        <w:right w:val="none" w:sz="0" w:space="0" w:color="auto"/>
      </w:divBdr>
    </w:div>
    <w:div w:id="74087141">
      <w:bodyDiv w:val="1"/>
      <w:marLeft w:val="0"/>
      <w:marRight w:val="0"/>
      <w:marTop w:val="0"/>
      <w:marBottom w:val="0"/>
      <w:divBdr>
        <w:top w:val="none" w:sz="0" w:space="0" w:color="auto"/>
        <w:left w:val="none" w:sz="0" w:space="0" w:color="auto"/>
        <w:bottom w:val="none" w:sz="0" w:space="0" w:color="auto"/>
        <w:right w:val="none" w:sz="0" w:space="0" w:color="auto"/>
      </w:divBdr>
    </w:div>
    <w:div w:id="78603876">
      <w:bodyDiv w:val="1"/>
      <w:marLeft w:val="0"/>
      <w:marRight w:val="0"/>
      <w:marTop w:val="0"/>
      <w:marBottom w:val="0"/>
      <w:divBdr>
        <w:top w:val="none" w:sz="0" w:space="0" w:color="auto"/>
        <w:left w:val="none" w:sz="0" w:space="0" w:color="auto"/>
        <w:bottom w:val="none" w:sz="0" w:space="0" w:color="auto"/>
        <w:right w:val="none" w:sz="0" w:space="0" w:color="auto"/>
      </w:divBdr>
      <w:divsChild>
        <w:div w:id="366177404">
          <w:marLeft w:val="1080"/>
          <w:marRight w:val="0"/>
          <w:marTop w:val="100"/>
          <w:marBottom w:val="0"/>
          <w:divBdr>
            <w:top w:val="none" w:sz="0" w:space="0" w:color="auto"/>
            <w:left w:val="none" w:sz="0" w:space="0" w:color="auto"/>
            <w:bottom w:val="none" w:sz="0" w:space="0" w:color="auto"/>
            <w:right w:val="none" w:sz="0" w:space="0" w:color="auto"/>
          </w:divBdr>
        </w:div>
        <w:div w:id="881791595">
          <w:marLeft w:val="360"/>
          <w:marRight w:val="0"/>
          <w:marTop w:val="200"/>
          <w:marBottom w:val="0"/>
          <w:divBdr>
            <w:top w:val="none" w:sz="0" w:space="0" w:color="auto"/>
            <w:left w:val="none" w:sz="0" w:space="0" w:color="auto"/>
            <w:bottom w:val="none" w:sz="0" w:space="0" w:color="auto"/>
            <w:right w:val="none" w:sz="0" w:space="0" w:color="auto"/>
          </w:divBdr>
        </w:div>
        <w:div w:id="1939943365">
          <w:marLeft w:val="1080"/>
          <w:marRight w:val="0"/>
          <w:marTop w:val="100"/>
          <w:marBottom w:val="0"/>
          <w:divBdr>
            <w:top w:val="none" w:sz="0" w:space="0" w:color="auto"/>
            <w:left w:val="none" w:sz="0" w:space="0" w:color="auto"/>
            <w:bottom w:val="none" w:sz="0" w:space="0" w:color="auto"/>
            <w:right w:val="none" w:sz="0" w:space="0" w:color="auto"/>
          </w:divBdr>
        </w:div>
      </w:divsChild>
    </w:div>
    <w:div w:id="175001123">
      <w:bodyDiv w:val="1"/>
      <w:marLeft w:val="0"/>
      <w:marRight w:val="0"/>
      <w:marTop w:val="0"/>
      <w:marBottom w:val="0"/>
      <w:divBdr>
        <w:top w:val="none" w:sz="0" w:space="0" w:color="auto"/>
        <w:left w:val="none" w:sz="0" w:space="0" w:color="auto"/>
        <w:bottom w:val="none" w:sz="0" w:space="0" w:color="auto"/>
        <w:right w:val="none" w:sz="0" w:space="0" w:color="auto"/>
      </w:divBdr>
    </w:div>
    <w:div w:id="248002765">
      <w:bodyDiv w:val="1"/>
      <w:marLeft w:val="0"/>
      <w:marRight w:val="0"/>
      <w:marTop w:val="0"/>
      <w:marBottom w:val="0"/>
      <w:divBdr>
        <w:top w:val="none" w:sz="0" w:space="0" w:color="auto"/>
        <w:left w:val="none" w:sz="0" w:space="0" w:color="auto"/>
        <w:bottom w:val="none" w:sz="0" w:space="0" w:color="auto"/>
        <w:right w:val="none" w:sz="0" w:space="0" w:color="auto"/>
      </w:divBdr>
    </w:div>
    <w:div w:id="250242139">
      <w:bodyDiv w:val="1"/>
      <w:marLeft w:val="0"/>
      <w:marRight w:val="0"/>
      <w:marTop w:val="0"/>
      <w:marBottom w:val="0"/>
      <w:divBdr>
        <w:top w:val="none" w:sz="0" w:space="0" w:color="auto"/>
        <w:left w:val="none" w:sz="0" w:space="0" w:color="auto"/>
        <w:bottom w:val="none" w:sz="0" w:space="0" w:color="auto"/>
        <w:right w:val="none" w:sz="0" w:space="0" w:color="auto"/>
      </w:divBdr>
    </w:div>
    <w:div w:id="351881553">
      <w:bodyDiv w:val="1"/>
      <w:marLeft w:val="0"/>
      <w:marRight w:val="0"/>
      <w:marTop w:val="0"/>
      <w:marBottom w:val="0"/>
      <w:divBdr>
        <w:top w:val="none" w:sz="0" w:space="0" w:color="auto"/>
        <w:left w:val="none" w:sz="0" w:space="0" w:color="auto"/>
        <w:bottom w:val="none" w:sz="0" w:space="0" w:color="auto"/>
        <w:right w:val="none" w:sz="0" w:space="0" w:color="auto"/>
      </w:divBdr>
    </w:div>
    <w:div w:id="404257637">
      <w:bodyDiv w:val="1"/>
      <w:marLeft w:val="0"/>
      <w:marRight w:val="0"/>
      <w:marTop w:val="0"/>
      <w:marBottom w:val="0"/>
      <w:divBdr>
        <w:top w:val="none" w:sz="0" w:space="0" w:color="auto"/>
        <w:left w:val="none" w:sz="0" w:space="0" w:color="auto"/>
        <w:bottom w:val="none" w:sz="0" w:space="0" w:color="auto"/>
        <w:right w:val="none" w:sz="0" w:space="0" w:color="auto"/>
      </w:divBdr>
    </w:div>
    <w:div w:id="425229598">
      <w:bodyDiv w:val="1"/>
      <w:marLeft w:val="0"/>
      <w:marRight w:val="0"/>
      <w:marTop w:val="0"/>
      <w:marBottom w:val="0"/>
      <w:divBdr>
        <w:top w:val="none" w:sz="0" w:space="0" w:color="auto"/>
        <w:left w:val="none" w:sz="0" w:space="0" w:color="auto"/>
        <w:bottom w:val="none" w:sz="0" w:space="0" w:color="auto"/>
        <w:right w:val="none" w:sz="0" w:space="0" w:color="auto"/>
      </w:divBdr>
    </w:div>
    <w:div w:id="553780288">
      <w:bodyDiv w:val="1"/>
      <w:marLeft w:val="0"/>
      <w:marRight w:val="0"/>
      <w:marTop w:val="0"/>
      <w:marBottom w:val="0"/>
      <w:divBdr>
        <w:top w:val="none" w:sz="0" w:space="0" w:color="auto"/>
        <w:left w:val="none" w:sz="0" w:space="0" w:color="auto"/>
        <w:bottom w:val="none" w:sz="0" w:space="0" w:color="auto"/>
        <w:right w:val="none" w:sz="0" w:space="0" w:color="auto"/>
      </w:divBdr>
    </w:div>
    <w:div w:id="588853750">
      <w:bodyDiv w:val="1"/>
      <w:marLeft w:val="0"/>
      <w:marRight w:val="0"/>
      <w:marTop w:val="0"/>
      <w:marBottom w:val="0"/>
      <w:divBdr>
        <w:top w:val="none" w:sz="0" w:space="0" w:color="auto"/>
        <w:left w:val="none" w:sz="0" w:space="0" w:color="auto"/>
        <w:bottom w:val="none" w:sz="0" w:space="0" w:color="auto"/>
        <w:right w:val="none" w:sz="0" w:space="0" w:color="auto"/>
      </w:divBdr>
    </w:div>
    <w:div w:id="590427290">
      <w:bodyDiv w:val="1"/>
      <w:marLeft w:val="0"/>
      <w:marRight w:val="0"/>
      <w:marTop w:val="0"/>
      <w:marBottom w:val="0"/>
      <w:divBdr>
        <w:top w:val="none" w:sz="0" w:space="0" w:color="auto"/>
        <w:left w:val="none" w:sz="0" w:space="0" w:color="auto"/>
        <w:bottom w:val="none" w:sz="0" w:space="0" w:color="auto"/>
        <w:right w:val="none" w:sz="0" w:space="0" w:color="auto"/>
      </w:divBdr>
    </w:div>
    <w:div w:id="608975527">
      <w:bodyDiv w:val="1"/>
      <w:marLeft w:val="0"/>
      <w:marRight w:val="0"/>
      <w:marTop w:val="0"/>
      <w:marBottom w:val="0"/>
      <w:divBdr>
        <w:top w:val="none" w:sz="0" w:space="0" w:color="auto"/>
        <w:left w:val="none" w:sz="0" w:space="0" w:color="auto"/>
        <w:bottom w:val="none" w:sz="0" w:space="0" w:color="auto"/>
        <w:right w:val="none" w:sz="0" w:space="0" w:color="auto"/>
      </w:divBdr>
      <w:divsChild>
        <w:div w:id="1439908284">
          <w:marLeft w:val="360"/>
          <w:marRight w:val="0"/>
          <w:marTop w:val="200"/>
          <w:marBottom w:val="0"/>
          <w:divBdr>
            <w:top w:val="none" w:sz="0" w:space="0" w:color="auto"/>
            <w:left w:val="none" w:sz="0" w:space="0" w:color="auto"/>
            <w:bottom w:val="none" w:sz="0" w:space="0" w:color="auto"/>
            <w:right w:val="none" w:sz="0" w:space="0" w:color="auto"/>
          </w:divBdr>
        </w:div>
        <w:div w:id="1964849627">
          <w:marLeft w:val="360"/>
          <w:marRight w:val="0"/>
          <w:marTop w:val="200"/>
          <w:marBottom w:val="0"/>
          <w:divBdr>
            <w:top w:val="none" w:sz="0" w:space="0" w:color="auto"/>
            <w:left w:val="none" w:sz="0" w:space="0" w:color="auto"/>
            <w:bottom w:val="none" w:sz="0" w:space="0" w:color="auto"/>
            <w:right w:val="none" w:sz="0" w:space="0" w:color="auto"/>
          </w:divBdr>
        </w:div>
      </w:divsChild>
    </w:div>
    <w:div w:id="613949614">
      <w:bodyDiv w:val="1"/>
      <w:marLeft w:val="0"/>
      <w:marRight w:val="0"/>
      <w:marTop w:val="0"/>
      <w:marBottom w:val="0"/>
      <w:divBdr>
        <w:top w:val="none" w:sz="0" w:space="0" w:color="auto"/>
        <w:left w:val="none" w:sz="0" w:space="0" w:color="auto"/>
        <w:bottom w:val="none" w:sz="0" w:space="0" w:color="auto"/>
        <w:right w:val="none" w:sz="0" w:space="0" w:color="auto"/>
      </w:divBdr>
    </w:div>
    <w:div w:id="641155388">
      <w:bodyDiv w:val="1"/>
      <w:marLeft w:val="0"/>
      <w:marRight w:val="0"/>
      <w:marTop w:val="0"/>
      <w:marBottom w:val="0"/>
      <w:divBdr>
        <w:top w:val="none" w:sz="0" w:space="0" w:color="auto"/>
        <w:left w:val="none" w:sz="0" w:space="0" w:color="auto"/>
        <w:bottom w:val="none" w:sz="0" w:space="0" w:color="auto"/>
        <w:right w:val="none" w:sz="0" w:space="0" w:color="auto"/>
      </w:divBdr>
    </w:div>
    <w:div w:id="662465230">
      <w:bodyDiv w:val="1"/>
      <w:marLeft w:val="0"/>
      <w:marRight w:val="0"/>
      <w:marTop w:val="0"/>
      <w:marBottom w:val="0"/>
      <w:divBdr>
        <w:top w:val="none" w:sz="0" w:space="0" w:color="auto"/>
        <w:left w:val="none" w:sz="0" w:space="0" w:color="auto"/>
        <w:bottom w:val="none" w:sz="0" w:space="0" w:color="auto"/>
        <w:right w:val="none" w:sz="0" w:space="0" w:color="auto"/>
      </w:divBdr>
      <w:divsChild>
        <w:div w:id="1538154517">
          <w:marLeft w:val="360"/>
          <w:marRight w:val="0"/>
          <w:marTop w:val="200"/>
          <w:marBottom w:val="0"/>
          <w:divBdr>
            <w:top w:val="none" w:sz="0" w:space="0" w:color="auto"/>
            <w:left w:val="none" w:sz="0" w:space="0" w:color="auto"/>
            <w:bottom w:val="none" w:sz="0" w:space="0" w:color="auto"/>
            <w:right w:val="none" w:sz="0" w:space="0" w:color="auto"/>
          </w:divBdr>
        </w:div>
      </w:divsChild>
    </w:div>
    <w:div w:id="748817803">
      <w:bodyDiv w:val="1"/>
      <w:marLeft w:val="0"/>
      <w:marRight w:val="0"/>
      <w:marTop w:val="0"/>
      <w:marBottom w:val="0"/>
      <w:divBdr>
        <w:top w:val="none" w:sz="0" w:space="0" w:color="auto"/>
        <w:left w:val="none" w:sz="0" w:space="0" w:color="auto"/>
        <w:bottom w:val="none" w:sz="0" w:space="0" w:color="auto"/>
        <w:right w:val="none" w:sz="0" w:space="0" w:color="auto"/>
      </w:divBdr>
    </w:div>
    <w:div w:id="754590682">
      <w:bodyDiv w:val="1"/>
      <w:marLeft w:val="0"/>
      <w:marRight w:val="0"/>
      <w:marTop w:val="0"/>
      <w:marBottom w:val="0"/>
      <w:divBdr>
        <w:top w:val="none" w:sz="0" w:space="0" w:color="auto"/>
        <w:left w:val="none" w:sz="0" w:space="0" w:color="auto"/>
        <w:bottom w:val="none" w:sz="0" w:space="0" w:color="auto"/>
        <w:right w:val="none" w:sz="0" w:space="0" w:color="auto"/>
      </w:divBdr>
    </w:div>
    <w:div w:id="771515351">
      <w:bodyDiv w:val="1"/>
      <w:marLeft w:val="0"/>
      <w:marRight w:val="0"/>
      <w:marTop w:val="0"/>
      <w:marBottom w:val="0"/>
      <w:divBdr>
        <w:top w:val="none" w:sz="0" w:space="0" w:color="auto"/>
        <w:left w:val="none" w:sz="0" w:space="0" w:color="auto"/>
        <w:bottom w:val="none" w:sz="0" w:space="0" w:color="auto"/>
        <w:right w:val="none" w:sz="0" w:space="0" w:color="auto"/>
      </w:divBdr>
    </w:div>
    <w:div w:id="858197107">
      <w:bodyDiv w:val="1"/>
      <w:marLeft w:val="0"/>
      <w:marRight w:val="0"/>
      <w:marTop w:val="0"/>
      <w:marBottom w:val="0"/>
      <w:divBdr>
        <w:top w:val="none" w:sz="0" w:space="0" w:color="auto"/>
        <w:left w:val="none" w:sz="0" w:space="0" w:color="auto"/>
        <w:bottom w:val="none" w:sz="0" w:space="0" w:color="auto"/>
        <w:right w:val="none" w:sz="0" w:space="0" w:color="auto"/>
      </w:divBdr>
    </w:div>
    <w:div w:id="866798338">
      <w:bodyDiv w:val="1"/>
      <w:marLeft w:val="0"/>
      <w:marRight w:val="0"/>
      <w:marTop w:val="0"/>
      <w:marBottom w:val="0"/>
      <w:divBdr>
        <w:top w:val="none" w:sz="0" w:space="0" w:color="auto"/>
        <w:left w:val="none" w:sz="0" w:space="0" w:color="auto"/>
        <w:bottom w:val="none" w:sz="0" w:space="0" w:color="auto"/>
        <w:right w:val="none" w:sz="0" w:space="0" w:color="auto"/>
      </w:divBdr>
      <w:divsChild>
        <w:div w:id="632716668">
          <w:marLeft w:val="360"/>
          <w:marRight w:val="0"/>
          <w:marTop w:val="200"/>
          <w:marBottom w:val="0"/>
          <w:divBdr>
            <w:top w:val="none" w:sz="0" w:space="0" w:color="auto"/>
            <w:left w:val="none" w:sz="0" w:space="0" w:color="auto"/>
            <w:bottom w:val="none" w:sz="0" w:space="0" w:color="auto"/>
            <w:right w:val="none" w:sz="0" w:space="0" w:color="auto"/>
          </w:divBdr>
        </w:div>
      </w:divsChild>
    </w:div>
    <w:div w:id="905921673">
      <w:bodyDiv w:val="1"/>
      <w:marLeft w:val="0"/>
      <w:marRight w:val="0"/>
      <w:marTop w:val="0"/>
      <w:marBottom w:val="0"/>
      <w:divBdr>
        <w:top w:val="none" w:sz="0" w:space="0" w:color="auto"/>
        <w:left w:val="none" w:sz="0" w:space="0" w:color="auto"/>
        <w:bottom w:val="none" w:sz="0" w:space="0" w:color="auto"/>
        <w:right w:val="none" w:sz="0" w:space="0" w:color="auto"/>
      </w:divBdr>
    </w:div>
    <w:div w:id="930311386">
      <w:bodyDiv w:val="1"/>
      <w:marLeft w:val="0"/>
      <w:marRight w:val="0"/>
      <w:marTop w:val="0"/>
      <w:marBottom w:val="0"/>
      <w:divBdr>
        <w:top w:val="none" w:sz="0" w:space="0" w:color="auto"/>
        <w:left w:val="none" w:sz="0" w:space="0" w:color="auto"/>
        <w:bottom w:val="none" w:sz="0" w:space="0" w:color="auto"/>
        <w:right w:val="none" w:sz="0" w:space="0" w:color="auto"/>
      </w:divBdr>
    </w:div>
    <w:div w:id="932208267">
      <w:bodyDiv w:val="1"/>
      <w:marLeft w:val="0"/>
      <w:marRight w:val="0"/>
      <w:marTop w:val="0"/>
      <w:marBottom w:val="0"/>
      <w:divBdr>
        <w:top w:val="none" w:sz="0" w:space="0" w:color="auto"/>
        <w:left w:val="none" w:sz="0" w:space="0" w:color="auto"/>
        <w:bottom w:val="none" w:sz="0" w:space="0" w:color="auto"/>
        <w:right w:val="none" w:sz="0" w:space="0" w:color="auto"/>
      </w:divBdr>
      <w:divsChild>
        <w:div w:id="1912277014">
          <w:marLeft w:val="360"/>
          <w:marRight w:val="0"/>
          <w:marTop w:val="200"/>
          <w:marBottom w:val="0"/>
          <w:divBdr>
            <w:top w:val="none" w:sz="0" w:space="0" w:color="auto"/>
            <w:left w:val="none" w:sz="0" w:space="0" w:color="auto"/>
            <w:bottom w:val="none" w:sz="0" w:space="0" w:color="auto"/>
            <w:right w:val="none" w:sz="0" w:space="0" w:color="auto"/>
          </w:divBdr>
        </w:div>
      </w:divsChild>
    </w:div>
    <w:div w:id="1090853420">
      <w:bodyDiv w:val="1"/>
      <w:marLeft w:val="0"/>
      <w:marRight w:val="0"/>
      <w:marTop w:val="0"/>
      <w:marBottom w:val="0"/>
      <w:divBdr>
        <w:top w:val="none" w:sz="0" w:space="0" w:color="auto"/>
        <w:left w:val="none" w:sz="0" w:space="0" w:color="auto"/>
        <w:bottom w:val="none" w:sz="0" w:space="0" w:color="auto"/>
        <w:right w:val="none" w:sz="0" w:space="0" w:color="auto"/>
      </w:divBdr>
    </w:div>
    <w:div w:id="1099982483">
      <w:bodyDiv w:val="1"/>
      <w:marLeft w:val="0"/>
      <w:marRight w:val="0"/>
      <w:marTop w:val="0"/>
      <w:marBottom w:val="0"/>
      <w:divBdr>
        <w:top w:val="none" w:sz="0" w:space="0" w:color="auto"/>
        <w:left w:val="none" w:sz="0" w:space="0" w:color="auto"/>
        <w:bottom w:val="none" w:sz="0" w:space="0" w:color="auto"/>
        <w:right w:val="none" w:sz="0" w:space="0" w:color="auto"/>
      </w:divBdr>
    </w:div>
    <w:div w:id="1117289605">
      <w:bodyDiv w:val="1"/>
      <w:marLeft w:val="0"/>
      <w:marRight w:val="0"/>
      <w:marTop w:val="0"/>
      <w:marBottom w:val="0"/>
      <w:divBdr>
        <w:top w:val="none" w:sz="0" w:space="0" w:color="auto"/>
        <w:left w:val="none" w:sz="0" w:space="0" w:color="auto"/>
        <w:bottom w:val="none" w:sz="0" w:space="0" w:color="auto"/>
        <w:right w:val="none" w:sz="0" w:space="0" w:color="auto"/>
      </w:divBdr>
    </w:div>
    <w:div w:id="1128818684">
      <w:bodyDiv w:val="1"/>
      <w:marLeft w:val="0"/>
      <w:marRight w:val="0"/>
      <w:marTop w:val="0"/>
      <w:marBottom w:val="0"/>
      <w:divBdr>
        <w:top w:val="none" w:sz="0" w:space="0" w:color="auto"/>
        <w:left w:val="none" w:sz="0" w:space="0" w:color="auto"/>
        <w:bottom w:val="none" w:sz="0" w:space="0" w:color="auto"/>
        <w:right w:val="none" w:sz="0" w:space="0" w:color="auto"/>
      </w:divBdr>
    </w:div>
    <w:div w:id="1146439364">
      <w:bodyDiv w:val="1"/>
      <w:marLeft w:val="0"/>
      <w:marRight w:val="0"/>
      <w:marTop w:val="0"/>
      <w:marBottom w:val="0"/>
      <w:divBdr>
        <w:top w:val="none" w:sz="0" w:space="0" w:color="auto"/>
        <w:left w:val="none" w:sz="0" w:space="0" w:color="auto"/>
        <w:bottom w:val="none" w:sz="0" w:space="0" w:color="auto"/>
        <w:right w:val="none" w:sz="0" w:space="0" w:color="auto"/>
      </w:divBdr>
      <w:divsChild>
        <w:div w:id="768114275">
          <w:marLeft w:val="360"/>
          <w:marRight w:val="0"/>
          <w:marTop w:val="200"/>
          <w:marBottom w:val="0"/>
          <w:divBdr>
            <w:top w:val="none" w:sz="0" w:space="0" w:color="auto"/>
            <w:left w:val="none" w:sz="0" w:space="0" w:color="auto"/>
            <w:bottom w:val="none" w:sz="0" w:space="0" w:color="auto"/>
            <w:right w:val="none" w:sz="0" w:space="0" w:color="auto"/>
          </w:divBdr>
        </w:div>
      </w:divsChild>
    </w:div>
    <w:div w:id="1196845533">
      <w:bodyDiv w:val="1"/>
      <w:marLeft w:val="0"/>
      <w:marRight w:val="0"/>
      <w:marTop w:val="0"/>
      <w:marBottom w:val="0"/>
      <w:divBdr>
        <w:top w:val="none" w:sz="0" w:space="0" w:color="auto"/>
        <w:left w:val="none" w:sz="0" w:space="0" w:color="auto"/>
        <w:bottom w:val="none" w:sz="0" w:space="0" w:color="auto"/>
        <w:right w:val="none" w:sz="0" w:space="0" w:color="auto"/>
      </w:divBdr>
    </w:div>
    <w:div w:id="1243028241">
      <w:bodyDiv w:val="1"/>
      <w:marLeft w:val="0"/>
      <w:marRight w:val="0"/>
      <w:marTop w:val="0"/>
      <w:marBottom w:val="0"/>
      <w:divBdr>
        <w:top w:val="none" w:sz="0" w:space="0" w:color="auto"/>
        <w:left w:val="none" w:sz="0" w:space="0" w:color="auto"/>
        <w:bottom w:val="none" w:sz="0" w:space="0" w:color="auto"/>
        <w:right w:val="none" w:sz="0" w:space="0" w:color="auto"/>
      </w:divBdr>
    </w:div>
    <w:div w:id="1268350498">
      <w:bodyDiv w:val="1"/>
      <w:marLeft w:val="0"/>
      <w:marRight w:val="0"/>
      <w:marTop w:val="0"/>
      <w:marBottom w:val="0"/>
      <w:divBdr>
        <w:top w:val="none" w:sz="0" w:space="0" w:color="auto"/>
        <w:left w:val="none" w:sz="0" w:space="0" w:color="auto"/>
        <w:bottom w:val="none" w:sz="0" w:space="0" w:color="auto"/>
        <w:right w:val="none" w:sz="0" w:space="0" w:color="auto"/>
      </w:divBdr>
    </w:div>
    <w:div w:id="1284460042">
      <w:bodyDiv w:val="1"/>
      <w:marLeft w:val="0"/>
      <w:marRight w:val="0"/>
      <w:marTop w:val="0"/>
      <w:marBottom w:val="0"/>
      <w:divBdr>
        <w:top w:val="none" w:sz="0" w:space="0" w:color="auto"/>
        <w:left w:val="none" w:sz="0" w:space="0" w:color="auto"/>
        <w:bottom w:val="none" w:sz="0" w:space="0" w:color="auto"/>
        <w:right w:val="none" w:sz="0" w:space="0" w:color="auto"/>
      </w:divBdr>
    </w:div>
    <w:div w:id="1285307543">
      <w:bodyDiv w:val="1"/>
      <w:marLeft w:val="0"/>
      <w:marRight w:val="0"/>
      <w:marTop w:val="0"/>
      <w:marBottom w:val="0"/>
      <w:divBdr>
        <w:top w:val="none" w:sz="0" w:space="0" w:color="auto"/>
        <w:left w:val="none" w:sz="0" w:space="0" w:color="auto"/>
        <w:bottom w:val="none" w:sz="0" w:space="0" w:color="auto"/>
        <w:right w:val="none" w:sz="0" w:space="0" w:color="auto"/>
      </w:divBdr>
    </w:div>
    <w:div w:id="1300839158">
      <w:bodyDiv w:val="1"/>
      <w:marLeft w:val="0"/>
      <w:marRight w:val="0"/>
      <w:marTop w:val="0"/>
      <w:marBottom w:val="0"/>
      <w:divBdr>
        <w:top w:val="none" w:sz="0" w:space="0" w:color="auto"/>
        <w:left w:val="none" w:sz="0" w:space="0" w:color="auto"/>
        <w:bottom w:val="none" w:sz="0" w:space="0" w:color="auto"/>
        <w:right w:val="none" w:sz="0" w:space="0" w:color="auto"/>
      </w:divBdr>
      <w:divsChild>
        <w:div w:id="38551329">
          <w:marLeft w:val="0"/>
          <w:marRight w:val="0"/>
          <w:marTop w:val="0"/>
          <w:marBottom w:val="60"/>
          <w:divBdr>
            <w:top w:val="none" w:sz="0" w:space="0" w:color="auto"/>
            <w:left w:val="none" w:sz="0" w:space="0" w:color="auto"/>
            <w:bottom w:val="none" w:sz="0" w:space="0" w:color="auto"/>
            <w:right w:val="none" w:sz="0" w:space="0" w:color="auto"/>
          </w:divBdr>
        </w:div>
        <w:div w:id="599262933">
          <w:marLeft w:val="0"/>
          <w:marRight w:val="0"/>
          <w:marTop w:val="0"/>
          <w:marBottom w:val="60"/>
          <w:divBdr>
            <w:top w:val="none" w:sz="0" w:space="0" w:color="auto"/>
            <w:left w:val="none" w:sz="0" w:space="0" w:color="auto"/>
            <w:bottom w:val="none" w:sz="0" w:space="0" w:color="auto"/>
            <w:right w:val="none" w:sz="0" w:space="0" w:color="auto"/>
          </w:divBdr>
        </w:div>
        <w:div w:id="921599128">
          <w:marLeft w:val="0"/>
          <w:marRight w:val="0"/>
          <w:marTop w:val="0"/>
          <w:marBottom w:val="60"/>
          <w:divBdr>
            <w:top w:val="none" w:sz="0" w:space="0" w:color="auto"/>
            <w:left w:val="none" w:sz="0" w:space="0" w:color="auto"/>
            <w:bottom w:val="none" w:sz="0" w:space="0" w:color="auto"/>
            <w:right w:val="none" w:sz="0" w:space="0" w:color="auto"/>
          </w:divBdr>
        </w:div>
        <w:div w:id="1009916758">
          <w:marLeft w:val="0"/>
          <w:marRight w:val="0"/>
          <w:marTop w:val="0"/>
          <w:marBottom w:val="60"/>
          <w:divBdr>
            <w:top w:val="none" w:sz="0" w:space="0" w:color="auto"/>
            <w:left w:val="none" w:sz="0" w:space="0" w:color="auto"/>
            <w:bottom w:val="none" w:sz="0" w:space="0" w:color="auto"/>
            <w:right w:val="none" w:sz="0" w:space="0" w:color="auto"/>
          </w:divBdr>
        </w:div>
        <w:div w:id="1888026739">
          <w:marLeft w:val="0"/>
          <w:marRight w:val="0"/>
          <w:marTop w:val="0"/>
          <w:marBottom w:val="60"/>
          <w:divBdr>
            <w:top w:val="none" w:sz="0" w:space="0" w:color="auto"/>
            <w:left w:val="none" w:sz="0" w:space="0" w:color="auto"/>
            <w:bottom w:val="none" w:sz="0" w:space="0" w:color="auto"/>
            <w:right w:val="none" w:sz="0" w:space="0" w:color="auto"/>
          </w:divBdr>
        </w:div>
      </w:divsChild>
    </w:div>
    <w:div w:id="1398555282">
      <w:bodyDiv w:val="1"/>
      <w:marLeft w:val="0"/>
      <w:marRight w:val="0"/>
      <w:marTop w:val="0"/>
      <w:marBottom w:val="0"/>
      <w:divBdr>
        <w:top w:val="none" w:sz="0" w:space="0" w:color="auto"/>
        <w:left w:val="none" w:sz="0" w:space="0" w:color="auto"/>
        <w:bottom w:val="none" w:sz="0" w:space="0" w:color="auto"/>
        <w:right w:val="none" w:sz="0" w:space="0" w:color="auto"/>
      </w:divBdr>
    </w:div>
    <w:div w:id="1403528339">
      <w:bodyDiv w:val="1"/>
      <w:marLeft w:val="0"/>
      <w:marRight w:val="0"/>
      <w:marTop w:val="0"/>
      <w:marBottom w:val="0"/>
      <w:divBdr>
        <w:top w:val="none" w:sz="0" w:space="0" w:color="auto"/>
        <w:left w:val="none" w:sz="0" w:space="0" w:color="auto"/>
        <w:bottom w:val="none" w:sz="0" w:space="0" w:color="auto"/>
        <w:right w:val="none" w:sz="0" w:space="0" w:color="auto"/>
      </w:divBdr>
    </w:div>
    <w:div w:id="1414163278">
      <w:bodyDiv w:val="1"/>
      <w:marLeft w:val="0"/>
      <w:marRight w:val="0"/>
      <w:marTop w:val="0"/>
      <w:marBottom w:val="0"/>
      <w:divBdr>
        <w:top w:val="none" w:sz="0" w:space="0" w:color="auto"/>
        <w:left w:val="none" w:sz="0" w:space="0" w:color="auto"/>
        <w:bottom w:val="none" w:sz="0" w:space="0" w:color="auto"/>
        <w:right w:val="none" w:sz="0" w:space="0" w:color="auto"/>
      </w:divBdr>
      <w:divsChild>
        <w:div w:id="1781411502">
          <w:marLeft w:val="274"/>
          <w:marRight w:val="0"/>
          <w:marTop w:val="0"/>
          <w:marBottom w:val="120"/>
          <w:divBdr>
            <w:top w:val="none" w:sz="0" w:space="0" w:color="auto"/>
            <w:left w:val="none" w:sz="0" w:space="0" w:color="auto"/>
            <w:bottom w:val="none" w:sz="0" w:space="0" w:color="auto"/>
            <w:right w:val="none" w:sz="0" w:space="0" w:color="auto"/>
          </w:divBdr>
        </w:div>
        <w:div w:id="1784495235">
          <w:marLeft w:val="274"/>
          <w:marRight w:val="0"/>
          <w:marTop w:val="0"/>
          <w:marBottom w:val="120"/>
          <w:divBdr>
            <w:top w:val="none" w:sz="0" w:space="0" w:color="auto"/>
            <w:left w:val="none" w:sz="0" w:space="0" w:color="auto"/>
            <w:bottom w:val="none" w:sz="0" w:space="0" w:color="auto"/>
            <w:right w:val="none" w:sz="0" w:space="0" w:color="auto"/>
          </w:divBdr>
        </w:div>
        <w:div w:id="1840925693">
          <w:marLeft w:val="274"/>
          <w:marRight w:val="0"/>
          <w:marTop w:val="0"/>
          <w:marBottom w:val="120"/>
          <w:divBdr>
            <w:top w:val="none" w:sz="0" w:space="0" w:color="auto"/>
            <w:left w:val="none" w:sz="0" w:space="0" w:color="auto"/>
            <w:bottom w:val="none" w:sz="0" w:space="0" w:color="auto"/>
            <w:right w:val="none" w:sz="0" w:space="0" w:color="auto"/>
          </w:divBdr>
        </w:div>
        <w:div w:id="1870292858">
          <w:marLeft w:val="274"/>
          <w:marRight w:val="0"/>
          <w:marTop w:val="0"/>
          <w:marBottom w:val="120"/>
          <w:divBdr>
            <w:top w:val="none" w:sz="0" w:space="0" w:color="auto"/>
            <w:left w:val="none" w:sz="0" w:space="0" w:color="auto"/>
            <w:bottom w:val="none" w:sz="0" w:space="0" w:color="auto"/>
            <w:right w:val="none" w:sz="0" w:space="0" w:color="auto"/>
          </w:divBdr>
        </w:div>
      </w:divsChild>
    </w:div>
    <w:div w:id="1437941318">
      <w:bodyDiv w:val="1"/>
      <w:marLeft w:val="0"/>
      <w:marRight w:val="0"/>
      <w:marTop w:val="0"/>
      <w:marBottom w:val="0"/>
      <w:divBdr>
        <w:top w:val="none" w:sz="0" w:space="0" w:color="auto"/>
        <w:left w:val="none" w:sz="0" w:space="0" w:color="auto"/>
        <w:bottom w:val="none" w:sz="0" w:space="0" w:color="auto"/>
        <w:right w:val="none" w:sz="0" w:space="0" w:color="auto"/>
      </w:divBdr>
    </w:div>
    <w:div w:id="1439105156">
      <w:bodyDiv w:val="1"/>
      <w:marLeft w:val="0"/>
      <w:marRight w:val="0"/>
      <w:marTop w:val="0"/>
      <w:marBottom w:val="0"/>
      <w:divBdr>
        <w:top w:val="none" w:sz="0" w:space="0" w:color="auto"/>
        <w:left w:val="none" w:sz="0" w:space="0" w:color="auto"/>
        <w:bottom w:val="none" w:sz="0" w:space="0" w:color="auto"/>
        <w:right w:val="none" w:sz="0" w:space="0" w:color="auto"/>
      </w:divBdr>
    </w:div>
    <w:div w:id="1506438855">
      <w:bodyDiv w:val="1"/>
      <w:marLeft w:val="0"/>
      <w:marRight w:val="0"/>
      <w:marTop w:val="0"/>
      <w:marBottom w:val="0"/>
      <w:divBdr>
        <w:top w:val="none" w:sz="0" w:space="0" w:color="auto"/>
        <w:left w:val="none" w:sz="0" w:space="0" w:color="auto"/>
        <w:bottom w:val="none" w:sz="0" w:space="0" w:color="auto"/>
        <w:right w:val="none" w:sz="0" w:space="0" w:color="auto"/>
      </w:divBdr>
    </w:div>
    <w:div w:id="1527330328">
      <w:bodyDiv w:val="1"/>
      <w:marLeft w:val="0"/>
      <w:marRight w:val="0"/>
      <w:marTop w:val="0"/>
      <w:marBottom w:val="0"/>
      <w:divBdr>
        <w:top w:val="none" w:sz="0" w:space="0" w:color="auto"/>
        <w:left w:val="none" w:sz="0" w:space="0" w:color="auto"/>
        <w:bottom w:val="none" w:sz="0" w:space="0" w:color="auto"/>
        <w:right w:val="none" w:sz="0" w:space="0" w:color="auto"/>
      </w:divBdr>
      <w:divsChild>
        <w:div w:id="223151010">
          <w:marLeft w:val="360"/>
          <w:marRight w:val="0"/>
          <w:marTop w:val="200"/>
          <w:marBottom w:val="0"/>
          <w:divBdr>
            <w:top w:val="none" w:sz="0" w:space="0" w:color="auto"/>
            <w:left w:val="none" w:sz="0" w:space="0" w:color="auto"/>
            <w:bottom w:val="none" w:sz="0" w:space="0" w:color="auto"/>
            <w:right w:val="none" w:sz="0" w:space="0" w:color="auto"/>
          </w:divBdr>
        </w:div>
      </w:divsChild>
    </w:div>
    <w:div w:id="1565946443">
      <w:bodyDiv w:val="1"/>
      <w:marLeft w:val="0"/>
      <w:marRight w:val="0"/>
      <w:marTop w:val="0"/>
      <w:marBottom w:val="0"/>
      <w:divBdr>
        <w:top w:val="none" w:sz="0" w:space="0" w:color="auto"/>
        <w:left w:val="none" w:sz="0" w:space="0" w:color="auto"/>
        <w:bottom w:val="none" w:sz="0" w:space="0" w:color="auto"/>
        <w:right w:val="none" w:sz="0" w:space="0" w:color="auto"/>
      </w:divBdr>
    </w:div>
    <w:div w:id="1601137686">
      <w:bodyDiv w:val="1"/>
      <w:marLeft w:val="0"/>
      <w:marRight w:val="0"/>
      <w:marTop w:val="0"/>
      <w:marBottom w:val="0"/>
      <w:divBdr>
        <w:top w:val="none" w:sz="0" w:space="0" w:color="auto"/>
        <w:left w:val="none" w:sz="0" w:space="0" w:color="auto"/>
        <w:bottom w:val="none" w:sz="0" w:space="0" w:color="auto"/>
        <w:right w:val="none" w:sz="0" w:space="0" w:color="auto"/>
      </w:divBdr>
    </w:div>
    <w:div w:id="1684623787">
      <w:bodyDiv w:val="1"/>
      <w:marLeft w:val="0"/>
      <w:marRight w:val="0"/>
      <w:marTop w:val="0"/>
      <w:marBottom w:val="0"/>
      <w:divBdr>
        <w:top w:val="none" w:sz="0" w:space="0" w:color="auto"/>
        <w:left w:val="none" w:sz="0" w:space="0" w:color="auto"/>
        <w:bottom w:val="none" w:sz="0" w:space="0" w:color="auto"/>
        <w:right w:val="none" w:sz="0" w:space="0" w:color="auto"/>
      </w:divBdr>
      <w:divsChild>
        <w:div w:id="2081633713">
          <w:marLeft w:val="360"/>
          <w:marRight w:val="0"/>
          <w:marTop w:val="200"/>
          <w:marBottom w:val="0"/>
          <w:divBdr>
            <w:top w:val="none" w:sz="0" w:space="0" w:color="auto"/>
            <w:left w:val="none" w:sz="0" w:space="0" w:color="auto"/>
            <w:bottom w:val="none" w:sz="0" w:space="0" w:color="auto"/>
            <w:right w:val="none" w:sz="0" w:space="0" w:color="auto"/>
          </w:divBdr>
        </w:div>
      </w:divsChild>
    </w:div>
    <w:div w:id="1748305237">
      <w:bodyDiv w:val="1"/>
      <w:marLeft w:val="0"/>
      <w:marRight w:val="0"/>
      <w:marTop w:val="0"/>
      <w:marBottom w:val="0"/>
      <w:divBdr>
        <w:top w:val="none" w:sz="0" w:space="0" w:color="auto"/>
        <w:left w:val="none" w:sz="0" w:space="0" w:color="auto"/>
        <w:bottom w:val="none" w:sz="0" w:space="0" w:color="auto"/>
        <w:right w:val="none" w:sz="0" w:space="0" w:color="auto"/>
      </w:divBdr>
    </w:div>
    <w:div w:id="1765370836">
      <w:bodyDiv w:val="1"/>
      <w:marLeft w:val="0"/>
      <w:marRight w:val="0"/>
      <w:marTop w:val="0"/>
      <w:marBottom w:val="0"/>
      <w:divBdr>
        <w:top w:val="none" w:sz="0" w:space="0" w:color="auto"/>
        <w:left w:val="none" w:sz="0" w:space="0" w:color="auto"/>
        <w:bottom w:val="none" w:sz="0" w:space="0" w:color="auto"/>
        <w:right w:val="none" w:sz="0" w:space="0" w:color="auto"/>
      </w:divBdr>
    </w:div>
    <w:div w:id="1783067274">
      <w:bodyDiv w:val="1"/>
      <w:marLeft w:val="0"/>
      <w:marRight w:val="0"/>
      <w:marTop w:val="0"/>
      <w:marBottom w:val="0"/>
      <w:divBdr>
        <w:top w:val="none" w:sz="0" w:space="0" w:color="auto"/>
        <w:left w:val="none" w:sz="0" w:space="0" w:color="auto"/>
        <w:bottom w:val="none" w:sz="0" w:space="0" w:color="auto"/>
        <w:right w:val="none" w:sz="0" w:space="0" w:color="auto"/>
      </w:divBdr>
      <w:divsChild>
        <w:div w:id="12003147">
          <w:marLeft w:val="360"/>
          <w:marRight w:val="0"/>
          <w:marTop w:val="200"/>
          <w:marBottom w:val="0"/>
          <w:divBdr>
            <w:top w:val="none" w:sz="0" w:space="0" w:color="auto"/>
            <w:left w:val="none" w:sz="0" w:space="0" w:color="auto"/>
            <w:bottom w:val="none" w:sz="0" w:space="0" w:color="auto"/>
            <w:right w:val="none" w:sz="0" w:space="0" w:color="auto"/>
          </w:divBdr>
        </w:div>
        <w:div w:id="18775841">
          <w:marLeft w:val="360"/>
          <w:marRight w:val="0"/>
          <w:marTop w:val="200"/>
          <w:marBottom w:val="0"/>
          <w:divBdr>
            <w:top w:val="none" w:sz="0" w:space="0" w:color="auto"/>
            <w:left w:val="none" w:sz="0" w:space="0" w:color="auto"/>
            <w:bottom w:val="none" w:sz="0" w:space="0" w:color="auto"/>
            <w:right w:val="none" w:sz="0" w:space="0" w:color="auto"/>
          </w:divBdr>
        </w:div>
        <w:div w:id="545486670">
          <w:marLeft w:val="360"/>
          <w:marRight w:val="0"/>
          <w:marTop w:val="200"/>
          <w:marBottom w:val="0"/>
          <w:divBdr>
            <w:top w:val="none" w:sz="0" w:space="0" w:color="auto"/>
            <w:left w:val="none" w:sz="0" w:space="0" w:color="auto"/>
            <w:bottom w:val="none" w:sz="0" w:space="0" w:color="auto"/>
            <w:right w:val="none" w:sz="0" w:space="0" w:color="auto"/>
          </w:divBdr>
        </w:div>
        <w:div w:id="1578906799">
          <w:marLeft w:val="360"/>
          <w:marRight w:val="0"/>
          <w:marTop w:val="200"/>
          <w:marBottom w:val="0"/>
          <w:divBdr>
            <w:top w:val="none" w:sz="0" w:space="0" w:color="auto"/>
            <w:left w:val="none" w:sz="0" w:space="0" w:color="auto"/>
            <w:bottom w:val="none" w:sz="0" w:space="0" w:color="auto"/>
            <w:right w:val="none" w:sz="0" w:space="0" w:color="auto"/>
          </w:divBdr>
        </w:div>
      </w:divsChild>
    </w:div>
    <w:div w:id="1888758675">
      <w:bodyDiv w:val="1"/>
      <w:marLeft w:val="0"/>
      <w:marRight w:val="0"/>
      <w:marTop w:val="0"/>
      <w:marBottom w:val="0"/>
      <w:divBdr>
        <w:top w:val="none" w:sz="0" w:space="0" w:color="auto"/>
        <w:left w:val="none" w:sz="0" w:space="0" w:color="auto"/>
        <w:bottom w:val="none" w:sz="0" w:space="0" w:color="auto"/>
        <w:right w:val="none" w:sz="0" w:space="0" w:color="auto"/>
      </w:divBdr>
    </w:div>
    <w:div w:id="1959556416">
      <w:bodyDiv w:val="1"/>
      <w:marLeft w:val="0"/>
      <w:marRight w:val="0"/>
      <w:marTop w:val="0"/>
      <w:marBottom w:val="0"/>
      <w:divBdr>
        <w:top w:val="none" w:sz="0" w:space="0" w:color="auto"/>
        <w:left w:val="none" w:sz="0" w:space="0" w:color="auto"/>
        <w:bottom w:val="none" w:sz="0" w:space="0" w:color="auto"/>
        <w:right w:val="none" w:sz="0" w:space="0" w:color="auto"/>
      </w:divBdr>
    </w:div>
    <w:div w:id="2062751875">
      <w:bodyDiv w:val="1"/>
      <w:marLeft w:val="0"/>
      <w:marRight w:val="0"/>
      <w:marTop w:val="0"/>
      <w:marBottom w:val="0"/>
      <w:divBdr>
        <w:top w:val="none" w:sz="0" w:space="0" w:color="auto"/>
        <w:left w:val="none" w:sz="0" w:space="0" w:color="auto"/>
        <w:bottom w:val="none" w:sz="0" w:space="0" w:color="auto"/>
        <w:right w:val="none" w:sz="0" w:space="0" w:color="auto"/>
      </w:divBdr>
    </w:div>
    <w:div w:id="2064019674">
      <w:bodyDiv w:val="1"/>
      <w:marLeft w:val="0"/>
      <w:marRight w:val="0"/>
      <w:marTop w:val="0"/>
      <w:marBottom w:val="0"/>
      <w:divBdr>
        <w:top w:val="none" w:sz="0" w:space="0" w:color="auto"/>
        <w:left w:val="none" w:sz="0" w:space="0" w:color="auto"/>
        <w:bottom w:val="none" w:sz="0" w:space="0" w:color="auto"/>
        <w:right w:val="none" w:sz="0" w:space="0" w:color="auto"/>
      </w:divBdr>
    </w:div>
    <w:div w:id="2143644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tony.dicicco@es.catapult.org.uk"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xternal Document" ma:contentTypeID="0x010100728A6C48D06C0D459BAA78C74513A0FC00DDC3BBBDE3450647B0654EB7FF55A68C" ma:contentTypeVersion="8" ma:contentTypeDescription="Documents not produced by Ofgem" ma:contentTypeScope="" ma:versionID="5145a0e4cc9a50585d7f98e284228e0e">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5d50939eea093ce96ff9468dbf8bf3f2" ns2:_="" ns3:_="">
    <xsd:import namespace="631298fc-6a88-4548-b7d9-3b164918c4a3"/>
    <xsd:import namespace="http://schemas.microsoft.com/sharepoint/v3/fields"/>
    <xsd:element name="properties">
      <xsd:complexType>
        <xsd:sequence>
          <xsd:element name="documentManagement">
            <xsd:complexType>
              <xsd:all>
                <xsd:element ref="ns2:Organisation" minOccurs="0"/>
                <xsd:element ref="ns3:_Status" minOccurs="0"/>
                <xsd:element ref="ns2:Ref_x0020_No" minOccurs="0"/>
                <xsd:element ref="ns2:Publication_x0020_Date_x003a_" minOccurs="0"/>
                <xsd:element ref="ns2:_x003a_" minOccurs="0"/>
                <xsd:element ref="ns2:_x003a__x003a_" minOccurs="0"/>
                <xsd:element ref="ns2:Applicable_x0020_Start_x0020_Date" minOccurs="0"/>
                <xsd:element ref="ns2:Applicable_x0020_Duration" minOccurs="0"/>
                <xsd:element ref="ns2:Meeting_x0020_Dat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8" nillable="true" ma:displayName="Organisation" ma:default="Choose an Organisation"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Wales &amp; West Utilities"/>
              <xsd:enumeration value="Welsh Assembly"/>
              <xsd:enumeration value="WPD"/>
              <xsd:enumeration value="Xoserve"/>
              <xsd:enumeration value="-"/>
            </xsd:restriction>
          </xsd:simpleType>
        </xsd:union>
      </xsd:simpleType>
    </xsd:element>
    <xsd:element name="Ref_x0020_No" ma:index="11" nillable="true" ma:displayName="Ref No" ma:internalName="Ref_x0020_No">
      <xsd:simpleType>
        <xsd:restriction base="dms:Text">
          <xsd:maxLength value="255"/>
        </xsd:restriction>
      </xsd:simpleType>
    </xsd:element>
    <xsd:element name="Publication_x0020_Date_x003a_" ma:index="12" nillable="true" ma:displayName="Publication Date:" ma:default="[today]" ma:description="The Publication Date" ma:format="DateOnly" ma:internalName="Publication_x0020_Date_x003A_">
      <xsd:simpleType>
        <xsd:restriction base="dms:DateTime"/>
      </xsd:simpleType>
    </xsd:element>
    <xsd:element name="_x003a_" ma:index="13"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4"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Applicable_x0020_Start_x0020_Date" ma:index="15" nillable="true" ma:displayName="Applicable Start Date" ma:description="The Starting Date for the work - format is DD/MM/YYYY" ma:format="DateOnly" ma:internalName="Applicable_x0020_Start_x0020_Date">
      <xsd:simpleType>
        <xsd:restriction base="dms:DateTime"/>
      </xsd:simpleType>
    </xsd:element>
    <xsd:element name="Applicable_x0020_Duration" ma:index="16" nillable="true" ma:displayName="Applicable Duration" ma:default="-" ma:description="For how long is this document applicable, from the Applicable Start Date?" ma:format="Dropdown" ma:internalName="Applicable_x0020_Duration">
      <xsd:simpleType>
        <xsd:restriction base="dms:Choice">
          <xsd:enumeration value="-"/>
          <xsd:enumeration value="Day"/>
          <xsd:enumeration value="Week"/>
          <xsd:enumeration value="Month"/>
          <xsd:enumeration value="Quarter"/>
          <xsd:enumeration value="6 Months"/>
          <xsd:enumeration value="Winter"/>
          <xsd:enumeration value="Summer"/>
          <xsd:enumeration value="1 Year"/>
          <xsd:enumeration value="2 Years"/>
          <xsd:enumeration value="3 Years"/>
          <xsd:enumeration value="5 Years"/>
          <xsd:enumeration value="6 - 10 Years"/>
          <xsd:enumeration value="Enduring"/>
        </xsd:restriction>
      </xsd:simpleType>
    </xsd:element>
    <xsd:element name="Meeting_x0020_Date" ma:index="17" nillable="true" ma:displayName="Meeting Date" ma:description="Enter the date as DD/MM/YYYY" ma:format="DateOnly" ma:internalName="Meeting_x0020_Date">
      <xsd:simpleType>
        <xsd:restriction base="dms:DateTime"/>
      </xsd:simpleType>
    </xsd:element>
    <xsd:element name="Classification" ma:index="18"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9"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0"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9"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ca9306fc-8436-45f0-b931-e34f519be3a3" ContentTypeId="0x010100728A6C48D06C0D459BAA78C74513A0FC" PreviousValue="tru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pplicable_x0020_Start_x0020_Date xmlns="631298fc-6a88-4548-b7d9-3b164918c4a3" xsi:nil="true"/>
    <_Status xmlns="http://schemas.microsoft.com/sharepoint/v3/fields">Draft</_Status>
    <Meeting_x0020_Date xmlns="631298fc-6a88-4548-b7d9-3b164918c4a3" xsi:nil="true"/>
    <Ref_x0020_No xmlns="631298fc-6a88-4548-b7d9-3b164918c4a3" xsi:nil="true"/>
    <Descriptor xmlns="631298fc-6a88-4548-b7d9-3b164918c4a3" xsi:nil="true"/>
    <_x003a_ xmlns="631298fc-6a88-4548-b7d9-3b164918c4a3" xsi:nil="true"/>
    <Classification xmlns="631298fc-6a88-4548-b7d9-3b164918c4a3">Unclassified</Classification>
    <_x003a__x003a_ xmlns="631298fc-6a88-4548-b7d9-3b164918c4a3">-Main Document</_x003a__x003a_>
    <Applicable_x0020_Duration xmlns="631298fc-6a88-4548-b7d9-3b164918c4a3">-</Applicable_x0020_Duration>
    <Organisation xmlns="631298fc-6a88-4548-b7d9-3b164918c4a3">Choose an Organisation</Organisation>
    <Publication_x0020_Date_x003a_ xmlns="631298fc-6a88-4548-b7d9-3b164918c4a3">2019-10-31T14:27:45+00:00</Publication_x0020_Date_x003a_>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C99088-3E6E-4D28-BE4C-119B547263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37967A-8D64-4A5E-A63B-22C2176F7478}">
  <ds:schemaRefs>
    <ds:schemaRef ds:uri="Microsoft.SharePoint.Taxonomy.ContentTypeSync"/>
  </ds:schemaRefs>
</ds:datastoreItem>
</file>

<file path=customXml/itemProps3.xml><?xml version="1.0" encoding="utf-8"?>
<ds:datastoreItem xmlns:ds="http://schemas.openxmlformats.org/officeDocument/2006/customXml" ds:itemID="{7DD45396-94B6-41A9-8E64-B27B39A89CB3}">
  <ds:schemaRefs>
    <ds:schemaRef ds:uri="http://schemas.microsoft.com/sharepoint/v3/contenttype/forms"/>
  </ds:schemaRefs>
</ds:datastoreItem>
</file>

<file path=customXml/itemProps4.xml><?xml version="1.0" encoding="utf-8"?>
<ds:datastoreItem xmlns:ds="http://schemas.openxmlformats.org/officeDocument/2006/customXml" ds:itemID="{1E838F30-4499-45F9-81CE-5AD5E4784C20}">
  <ds:schemaRefs>
    <ds:schemaRef ds:uri="http://schemas.microsoft.com/office/infopath/2007/PartnerControls"/>
    <ds:schemaRef ds:uri="http://purl.org/dc/elements/1.1/"/>
    <ds:schemaRef ds:uri="http://schemas.microsoft.com/office/2006/metadata/properties"/>
    <ds:schemaRef ds:uri="631298fc-6a88-4548-b7d9-3b164918c4a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5.xml><?xml version="1.0" encoding="utf-8"?>
<ds:datastoreItem xmlns:ds="http://schemas.openxmlformats.org/officeDocument/2006/customXml" ds:itemID="{5BA01583-6A3A-403E-A656-31A819D37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2342</Words>
  <Characters>13355</Characters>
  <Application>Microsoft Office Word</Application>
  <DocSecurity>4</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Dicicco</dc:creator>
  <cp:keywords/>
  <dc:description/>
  <cp:lastModifiedBy>Flo Silver</cp:lastModifiedBy>
  <cp:revision>2</cp:revision>
  <cp:lastPrinted>2018-12-17T08:30:00Z</cp:lastPrinted>
  <dcterms:created xsi:type="dcterms:W3CDTF">2019-10-31T14:27:00Z</dcterms:created>
  <dcterms:modified xsi:type="dcterms:W3CDTF">2019-10-31T14:27:00Z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bb19938-abdf-4bf9-b36f-6fa56c0e1ffb_Enabled">
    <vt:lpwstr>True</vt:lpwstr>
  </property>
  <property fmtid="{D5CDD505-2E9C-101B-9397-08002B2CF9AE}" pid="3" name="MSIP_Label_dbb19938-abdf-4bf9-b36f-6fa56c0e1ffb_SiteId">
    <vt:lpwstr>532a5fd0-268c-48ff-b181-14740d5d430b</vt:lpwstr>
  </property>
  <property fmtid="{D5CDD505-2E9C-101B-9397-08002B2CF9AE}" pid="4" name="MSIP_Label_dbb19938-abdf-4bf9-b36f-6fa56c0e1ffb_Ref">
    <vt:lpwstr>https://api.informationprotection.azure.com/api/532a5fd0-268c-48ff-b181-14740d5d430b</vt:lpwstr>
  </property>
  <property fmtid="{D5CDD505-2E9C-101B-9397-08002B2CF9AE}" pid="5" name="MSIP_Label_dbb19938-abdf-4bf9-b36f-6fa56c0e1ffb_SetBy">
    <vt:lpwstr>George.Day@es.catapult.org.uk</vt:lpwstr>
  </property>
  <property fmtid="{D5CDD505-2E9C-101B-9397-08002B2CF9AE}" pid="6" name="MSIP_Label_dbb19938-abdf-4bf9-b36f-6fa56c0e1ffb_SetDate">
    <vt:lpwstr>2017-12-22T10:58:35.1672650+00:00</vt:lpwstr>
  </property>
  <property fmtid="{D5CDD505-2E9C-101B-9397-08002B2CF9AE}" pid="7" name="MSIP_Label_dbb19938-abdf-4bf9-b36f-6fa56c0e1ffb_Name">
    <vt:lpwstr>Confidential</vt:lpwstr>
  </property>
  <property fmtid="{D5CDD505-2E9C-101B-9397-08002B2CF9AE}" pid="8" name="MSIP_Label_dbb19938-abdf-4bf9-b36f-6fa56c0e1ffb_Application">
    <vt:lpwstr>Microsoft Azure Information Protection</vt:lpwstr>
  </property>
  <property fmtid="{D5CDD505-2E9C-101B-9397-08002B2CF9AE}" pid="9" name="MSIP_Label_dbb19938-abdf-4bf9-b36f-6fa56c0e1ffb_Extended_MSFT_Method">
    <vt:lpwstr>Automatic</vt:lpwstr>
  </property>
  <property fmtid="{D5CDD505-2E9C-101B-9397-08002B2CF9AE}" pid="10" name="Sensitivity">
    <vt:lpwstr>Confidential</vt:lpwstr>
  </property>
  <property fmtid="{D5CDD505-2E9C-101B-9397-08002B2CF9AE}" pid="11" name="ContentTypeId">
    <vt:lpwstr>0x010100728A6C48D06C0D459BAA78C74513A0FC00DDC3BBBDE3450647B0654EB7FF55A68C</vt:lpwstr>
  </property>
  <property fmtid="{D5CDD505-2E9C-101B-9397-08002B2CF9AE}" pid="12" name="BJSCc5a055b0-1bed-4579_x">
    <vt:lpwstr/>
  </property>
  <property fmtid="{D5CDD505-2E9C-101B-9397-08002B2CF9AE}" pid="13" name="BJSCSummaryMarking">
    <vt:lpwstr>This item has no classification</vt:lpwstr>
  </property>
  <property fmtid="{D5CDD505-2E9C-101B-9397-08002B2CF9AE}" pid="14"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15" name="BJSCdd9eba61-d6b9-469b_x">
    <vt:lpwstr/>
  </property>
</Properties>
</file>