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538" w:rsidRPr="004241A3" w:rsidRDefault="00125ECA" w:rsidP="00C74B57">
      <w:pPr>
        <w:spacing w:after="0" w:line="240" w:lineRule="auto"/>
        <w:rPr>
          <w:b/>
          <w:sz w:val="32"/>
        </w:rPr>
      </w:pPr>
      <w:bookmarkStart w:id="0" w:name="_GoBack"/>
      <w:bookmarkEnd w:id="0"/>
      <w:r w:rsidRPr="004241A3">
        <w:rPr>
          <w:b/>
          <w:sz w:val="32"/>
        </w:rPr>
        <w:t>Getting more out of our electricity networks by reforming access and forward-looking charging arrangements</w:t>
      </w:r>
    </w:p>
    <w:p w:rsidR="00C74B57" w:rsidRPr="004241A3" w:rsidRDefault="00C74B57" w:rsidP="00C74B57">
      <w:pPr>
        <w:spacing w:after="0" w:line="240" w:lineRule="auto"/>
        <w:rPr>
          <w:i/>
        </w:rPr>
      </w:pPr>
    </w:p>
    <w:p w:rsidR="00C74B57" w:rsidRPr="00291866" w:rsidRDefault="00FD7C5F" w:rsidP="00C74B57">
      <w:pPr>
        <w:spacing w:after="0" w:line="240" w:lineRule="auto"/>
        <w:rPr>
          <w:i/>
        </w:rPr>
      </w:pPr>
      <w:r w:rsidRPr="00291866">
        <w:rPr>
          <w:i/>
        </w:rPr>
        <w:t>NextEnergy Capital</w:t>
      </w:r>
      <w:r w:rsidR="00E060C3">
        <w:rPr>
          <w:i/>
        </w:rPr>
        <w:t xml:space="preserve"> response to consultation</w:t>
      </w:r>
      <w:r w:rsidRPr="00291866">
        <w:rPr>
          <w:i/>
        </w:rPr>
        <w:t>, September 2018</w:t>
      </w:r>
    </w:p>
    <w:p w:rsidR="00125ECA" w:rsidRDefault="00125ECA" w:rsidP="00C74B57">
      <w:pPr>
        <w:spacing w:after="0" w:line="240" w:lineRule="auto"/>
      </w:pPr>
    </w:p>
    <w:p w:rsidR="00E060C3" w:rsidRDefault="00E060C3" w:rsidP="00C74B57">
      <w:pPr>
        <w:spacing w:after="0" w:line="240" w:lineRule="auto"/>
      </w:pPr>
    </w:p>
    <w:p w:rsidR="00D95E39" w:rsidRPr="00291866" w:rsidRDefault="00D95E39" w:rsidP="00C74B57">
      <w:pPr>
        <w:spacing w:after="0" w:line="240" w:lineRule="auto"/>
        <w:rPr>
          <w:b/>
          <w:u w:val="single"/>
        </w:rPr>
      </w:pPr>
      <w:r w:rsidRPr="00291866">
        <w:rPr>
          <w:b/>
          <w:u w:val="single"/>
        </w:rPr>
        <w:t>Introduction</w:t>
      </w:r>
    </w:p>
    <w:p w:rsidR="00D95E39" w:rsidRDefault="00D95E39" w:rsidP="00C74B57">
      <w:pPr>
        <w:spacing w:after="0" w:line="240" w:lineRule="auto"/>
      </w:pPr>
    </w:p>
    <w:p w:rsidR="00FD0DF0" w:rsidRDefault="00FD0DF0" w:rsidP="00C74B57">
      <w:pPr>
        <w:spacing w:after="0" w:line="240" w:lineRule="auto"/>
      </w:pPr>
      <w:r>
        <w:t xml:space="preserve">NextEnergy Capital welcomes the opportunity to </w:t>
      </w:r>
      <w:r w:rsidR="00877ABE">
        <w:t>respond</w:t>
      </w:r>
      <w:r>
        <w:t xml:space="preserve"> to this consultation. The energy system is undergoing a radical </w:t>
      </w:r>
      <w:r w:rsidRPr="00FD0DF0">
        <w:t>transformation, with</w:t>
      </w:r>
      <w:r>
        <w:t xml:space="preserve"> the advent of </w:t>
      </w:r>
      <w:r w:rsidRPr="00FD0DF0">
        <w:t xml:space="preserve">new technologies </w:t>
      </w:r>
      <w:r>
        <w:t xml:space="preserve">and how they interact with the system. Due to the </w:t>
      </w:r>
      <w:r w:rsidR="00E060C3">
        <w:t xml:space="preserve">scale </w:t>
      </w:r>
      <w:r w:rsidR="00292025">
        <w:t>of changing</w:t>
      </w:r>
      <w:r>
        <w:t xml:space="preserve"> consumption patterns </w:t>
      </w:r>
      <w:r w:rsidRPr="00FD0DF0">
        <w:t>the energy system will require a considerable redesign, particularly in relation to how en</w:t>
      </w:r>
      <w:r w:rsidR="00292025">
        <w:t xml:space="preserve">ergy is supplied to consumers. </w:t>
      </w:r>
      <w:r>
        <w:t xml:space="preserve">As such NextEnergy Capital supports Ofgem’s decision to consult on how the </w:t>
      </w:r>
      <w:r w:rsidRPr="00FD0DF0">
        <w:t xml:space="preserve">current </w:t>
      </w:r>
      <w:r w:rsidR="00292025">
        <w:t>approach</w:t>
      </w:r>
      <w:r w:rsidRPr="00FD0DF0">
        <w:t xml:space="preserve"> to</w:t>
      </w:r>
      <w:r>
        <w:t xml:space="preserve"> allocating and using capacity</w:t>
      </w:r>
      <w:r w:rsidR="00292025">
        <w:t xml:space="preserve">, as well as </w:t>
      </w:r>
      <w:r w:rsidRPr="00FD0DF0">
        <w:t>charging for the associated network usage</w:t>
      </w:r>
      <w:r w:rsidR="00292025">
        <w:t>,</w:t>
      </w:r>
      <w:r w:rsidRPr="00FD0DF0">
        <w:t xml:space="preserve"> </w:t>
      </w:r>
      <w:r>
        <w:t xml:space="preserve">might be changed in order to meet these challenges. </w:t>
      </w:r>
    </w:p>
    <w:p w:rsidR="00FD0DF0" w:rsidRDefault="00FD0DF0" w:rsidP="00C74B57">
      <w:pPr>
        <w:spacing w:after="0" w:line="240" w:lineRule="auto"/>
      </w:pPr>
    </w:p>
    <w:p w:rsidR="004241A3" w:rsidRDefault="00FD0DF0" w:rsidP="004241A3">
      <w:pPr>
        <w:spacing w:after="0" w:line="240" w:lineRule="auto"/>
      </w:pPr>
      <w:r>
        <w:t xml:space="preserve">In this response, NextEnergy Capital outlines its thinking and views on the case for change </w:t>
      </w:r>
      <w:r w:rsidR="00E060C3">
        <w:t>as outlined by Ofgem</w:t>
      </w:r>
      <w:r w:rsidR="00292025">
        <w:t xml:space="preserve">; </w:t>
      </w:r>
      <w:r>
        <w:t xml:space="preserve">the specific proposals for </w:t>
      </w:r>
      <w:r w:rsidR="004241A3" w:rsidRPr="00291866">
        <w:t>the scope of review of access arrangements</w:t>
      </w:r>
      <w:r w:rsidR="00292025">
        <w:t xml:space="preserve">; </w:t>
      </w:r>
      <w:r>
        <w:t>access for both small and large users</w:t>
      </w:r>
      <w:r w:rsidR="00292025">
        <w:t>;</w:t>
      </w:r>
      <w:r>
        <w:t xml:space="preserve"> and improving the allocation of access rights. Views on the significant code review and the leadership of that review are also </w:t>
      </w:r>
      <w:r w:rsidR="00292025">
        <w:t>included</w:t>
      </w:r>
      <w:r w:rsidR="00E060C3">
        <w:t>.</w:t>
      </w:r>
      <w:r>
        <w:t xml:space="preserve"> </w:t>
      </w:r>
    </w:p>
    <w:p w:rsidR="002F65E5" w:rsidRDefault="002F65E5" w:rsidP="002F65E5">
      <w:pPr>
        <w:spacing w:after="0" w:line="240" w:lineRule="auto"/>
      </w:pPr>
    </w:p>
    <w:p w:rsidR="002F65E5" w:rsidRDefault="002F65E5" w:rsidP="002F65E5">
      <w:pPr>
        <w:spacing w:after="0" w:line="240" w:lineRule="auto"/>
      </w:pPr>
      <w:r>
        <w:t>This document also outlines NextEnergy Capital’s position that any changes to network access cannot be retroactive as such changes would negatively affect the terms on which investments into any asset or technology within a 30 year period have been made. Retroactive changes of this nature would thus have a negative impact on investor confidence and would significantly increase the cost of private sector investment in the future.</w:t>
      </w:r>
    </w:p>
    <w:p w:rsidR="00E060C3" w:rsidRDefault="00E060C3" w:rsidP="004241A3">
      <w:pPr>
        <w:spacing w:after="0" w:line="240" w:lineRule="auto"/>
      </w:pPr>
    </w:p>
    <w:p w:rsidR="002F65E5" w:rsidRPr="00291866" w:rsidRDefault="002F65E5" w:rsidP="004241A3">
      <w:pPr>
        <w:spacing w:after="0" w:line="240" w:lineRule="auto"/>
      </w:pPr>
    </w:p>
    <w:p w:rsidR="000E3F58" w:rsidRPr="00291866" w:rsidRDefault="000E3F58" w:rsidP="000E3F58">
      <w:pPr>
        <w:spacing w:line="256" w:lineRule="auto"/>
        <w:rPr>
          <w:rFonts w:ascii="Calibri" w:eastAsia="Calibri" w:hAnsi="Calibri" w:cs="Calibri"/>
          <w:b/>
          <w:u w:val="single"/>
        </w:rPr>
      </w:pPr>
      <w:r w:rsidRPr="00291866">
        <w:rPr>
          <w:rFonts w:ascii="Calibri" w:eastAsia="Calibri" w:hAnsi="Calibri" w:cs="Calibri"/>
          <w:b/>
          <w:u w:val="single"/>
        </w:rPr>
        <w:t>About NextEnergy Capital</w:t>
      </w:r>
    </w:p>
    <w:p w:rsidR="000E3F58" w:rsidRPr="000E3F58" w:rsidRDefault="000E3F58" w:rsidP="000E3F58">
      <w:pPr>
        <w:spacing w:line="256" w:lineRule="auto"/>
        <w:rPr>
          <w:rFonts w:ascii="Calibri" w:eastAsia="Calibri" w:hAnsi="Calibri" w:cs="Calibri"/>
        </w:rPr>
      </w:pPr>
      <w:r w:rsidRPr="000E3F58">
        <w:rPr>
          <w:rFonts w:ascii="Calibri" w:eastAsia="Calibri" w:hAnsi="Calibri" w:cs="Calibri"/>
        </w:rPr>
        <w:t xml:space="preserve">NextEnergy Capital is one the leading international investment and asset managers focussed on the solar sector. Headquartered in London, NextEnergy Capital Group manages over 1,700 solar plants around the globe, which equates to more than €5 billion worth of investment. In the UK, the NextEnergy Solar Fund is listed on the London Stock Exchange and has invested over £894 million into operating solar assets, amassing a portfolio of 87 operational sites, with a total capacity of 691 MW. </w:t>
      </w:r>
    </w:p>
    <w:p w:rsidR="004241A3" w:rsidRPr="00291866" w:rsidRDefault="004241A3" w:rsidP="00C74B57">
      <w:pPr>
        <w:spacing w:after="0" w:line="240" w:lineRule="auto"/>
      </w:pPr>
    </w:p>
    <w:p w:rsidR="00D607C2" w:rsidRPr="00291866" w:rsidRDefault="00D607C2" w:rsidP="00C74B57">
      <w:pPr>
        <w:spacing w:after="0" w:line="240" w:lineRule="auto"/>
      </w:pPr>
    </w:p>
    <w:p w:rsidR="00E060C3" w:rsidRDefault="00E060C3">
      <w:pPr>
        <w:rPr>
          <w:b/>
          <w:u w:val="single"/>
        </w:rPr>
      </w:pPr>
      <w:r>
        <w:rPr>
          <w:b/>
          <w:u w:val="single"/>
        </w:rPr>
        <w:br w:type="page"/>
      </w:r>
    </w:p>
    <w:p w:rsidR="00DC6137" w:rsidRPr="00291866" w:rsidRDefault="004241A3" w:rsidP="00C74B57">
      <w:pPr>
        <w:spacing w:after="0" w:line="240" w:lineRule="auto"/>
        <w:rPr>
          <w:b/>
        </w:rPr>
      </w:pPr>
      <w:r w:rsidRPr="00291866">
        <w:rPr>
          <w:b/>
          <w:u w:val="single"/>
        </w:rPr>
        <w:lastRenderedPageBreak/>
        <w:t xml:space="preserve">Answers to </w:t>
      </w:r>
      <w:r w:rsidR="00DC6137" w:rsidRPr="00291866">
        <w:rPr>
          <w:b/>
          <w:u w:val="single"/>
        </w:rPr>
        <w:t>consultation questions</w:t>
      </w:r>
      <w:r w:rsidR="00DC6137" w:rsidRPr="00291866">
        <w:rPr>
          <w:b/>
        </w:rPr>
        <w:t>:</w:t>
      </w:r>
    </w:p>
    <w:p w:rsidR="00C74B57" w:rsidRPr="00291866" w:rsidRDefault="00C74B57" w:rsidP="00C74B57">
      <w:pPr>
        <w:spacing w:after="0" w:line="240" w:lineRule="auto"/>
        <w:rPr>
          <w:i/>
        </w:rPr>
      </w:pPr>
    </w:p>
    <w:p w:rsidR="00DC6137" w:rsidRPr="00291866" w:rsidRDefault="00DC6137" w:rsidP="005D726D">
      <w:pPr>
        <w:spacing w:after="0" w:line="240" w:lineRule="auto"/>
        <w:rPr>
          <w:b/>
          <w:i/>
        </w:rPr>
      </w:pPr>
      <w:r w:rsidRPr="00291866">
        <w:rPr>
          <w:b/>
          <w:i/>
        </w:rPr>
        <w:t>Question 1: Do you agree with the case for change as set out in this chapter? Please give reasons for your response, and include evidence to support this where possible.</w:t>
      </w:r>
    </w:p>
    <w:p w:rsidR="00D94DD7" w:rsidRPr="00291866" w:rsidRDefault="00D94DD7" w:rsidP="005D726D">
      <w:pPr>
        <w:spacing w:after="0" w:line="240" w:lineRule="auto"/>
      </w:pPr>
    </w:p>
    <w:p w:rsidR="007F729A" w:rsidRPr="00291866" w:rsidRDefault="00DF65CD" w:rsidP="00291866">
      <w:pPr>
        <w:spacing w:after="0" w:line="240" w:lineRule="auto"/>
      </w:pPr>
      <w:r w:rsidRPr="00291866">
        <w:t>NextEnergy Capital</w:t>
      </w:r>
      <w:r w:rsidR="007F729A" w:rsidRPr="00291866">
        <w:t xml:space="preserve"> agree</w:t>
      </w:r>
      <w:r w:rsidRPr="00291866">
        <w:t>s</w:t>
      </w:r>
      <w:r w:rsidR="007F729A" w:rsidRPr="00291866">
        <w:t xml:space="preserve"> </w:t>
      </w:r>
      <w:r w:rsidRPr="00291866">
        <w:t xml:space="preserve">with the case for change as outlined by Ofgem. </w:t>
      </w:r>
      <w:r w:rsidR="00A06196" w:rsidRPr="00291866">
        <w:t>New</w:t>
      </w:r>
      <w:r w:rsidRPr="00291866">
        <w:t xml:space="preserve"> energy</w:t>
      </w:r>
      <w:r w:rsidR="00A06196" w:rsidRPr="00291866">
        <w:t xml:space="preserve"> technologies </w:t>
      </w:r>
      <w:r w:rsidRPr="00291866">
        <w:t>as well as</w:t>
      </w:r>
      <w:r w:rsidR="00E060C3">
        <w:t xml:space="preserve"> changes to</w:t>
      </w:r>
      <w:r w:rsidRPr="00291866">
        <w:t xml:space="preserve"> </w:t>
      </w:r>
      <w:r w:rsidR="00A06196" w:rsidRPr="00291866">
        <w:t>consumption</w:t>
      </w:r>
      <w:r w:rsidRPr="00291866">
        <w:t xml:space="preserve"> trends means that the energy system will </w:t>
      </w:r>
      <w:r w:rsidR="00A06196" w:rsidRPr="00291866">
        <w:t>require</w:t>
      </w:r>
      <w:r w:rsidRPr="00291866">
        <w:t xml:space="preserve"> a considerable</w:t>
      </w:r>
      <w:r w:rsidR="00A06196" w:rsidRPr="00291866">
        <w:t xml:space="preserve"> redesign</w:t>
      </w:r>
      <w:r w:rsidRPr="00291866">
        <w:t xml:space="preserve">, particularly in relation to how energy is supplied to consumers. </w:t>
      </w:r>
      <w:r w:rsidR="00A06196" w:rsidRPr="00291866">
        <w:t xml:space="preserve"> </w:t>
      </w:r>
    </w:p>
    <w:p w:rsidR="00DF65CD" w:rsidRPr="00291866" w:rsidRDefault="00DF65CD" w:rsidP="00291866">
      <w:pPr>
        <w:spacing w:after="0" w:line="240" w:lineRule="auto"/>
      </w:pPr>
    </w:p>
    <w:p w:rsidR="00A06196" w:rsidRPr="00291866" w:rsidRDefault="00DF65CD" w:rsidP="00291866">
      <w:pPr>
        <w:spacing w:after="0" w:line="240" w:lineRule="auto"/>
      </w:pPr>
      <w:r w:rsidRPr="00291866">
        <w:t>In particular, the continued g</w:t>
      </w:r>
      <w:r w:rsidR="00A06196" w:rsidRPr="00291866">
        <w:t xml:space="preserve">rowth of </w:t>
      </w:r>
      <w:r w:rsidRPr="00291866">
        <w:t xml:space="preserve">energy capacity from </w:t>
      </w:r>
      <w:r w:rsidR="00A06196" w:rsidRPr="00291866">
        <w:t>renewable</w:t>
      </w:r>
      <w:r w:rsidRPr="00291866">
        <w:t xml:space="preserve"> sources as well as the deployment of new low carbon</w:t>
      </w:r>
      <w:r w:rsidR="00A06196" w:rsidRPr="00291866">
        <w:t xml:space="preserve"> technologies</w:t>
      </w:r>
      <w:r w:rsidR="00E060C3">
        <w:t xml:space="preserve"> which is</w:t>
      </w:r>
      <w:r w:rsidR="00A06196" w:rsidRPr="00291866">
        <w:t xml:space="preserve"> </w:t>
      </w:r>
      <w:r w:rsidRPr="00291866">
        <w:t xml:space="preserve">needed in order to achieve </w:t>
      </w:r>
      <w:r w:rsidR="00A06196" w:rsidRPr="00291866">
        <w:t>decarboni</w:t>
      </w:r>
      <w:r w:rsidRPr="00291866">
        <w:t>s</w:t>
      </w:r>
      <w:r w:rsidR="00A06196" w:rsidRPr="00291866">
        <w:t>ation</w:t>
      </w:r>
      <w:r w:rsidRPr="00291866">
        <w:t xml:space="preserve"> – and also the growing deployment of these technologies </w:t>
      </w:r>
      <w:r w:rsidR="00A06196" w:rsidRPr="00291866">
        <w:t>without subsid</w:t>
      </w:r>
      <w:r w:rsidRPr="00291866">
        <w:t xml:space="preserve">y – will </w:t>
      </w:r>
      <w:r w:rsidR="00A06196" w:rsidRPr="00291866">
        <w:t xml:space="preserve">require a </w:t>
      </w:r>
      <w:r w:rsidRPr="00291866">
        <w:t xml:space="preserve">much </w:t>
      </w:r>
      <w:r w:rsidR="00A06196" w:rsidRPr="00291866">
        <w:t>more efficient use of</w:t>
      </w:r>
      <w:r w:rsidRPr="00291866">
        <w:t xml:space="preserve"> </w:t>
      </w:r>
      <w:r w:rsidR="00292025">
        <w:t>grid</w:t>
      </w:r>
      <w:r w:rsidRPr="00291866">
        <w:t xml:space="preserve"> infrastructure as well as </w:t>
      </w:r>
      <w:r w:rsidR="00A06196" w:rsidRPr="00291866">
        <w:t>cost reduction</w:t>
      </w:r>
      <w:r w:rsidR="00E060C3">
        <w:t>s</w:t>
      </w:r>
      <w:r w:rsidR="00A06196" w:rsidRPr="00291866">
        <w:t xml:space="preserve"> on the access tolls.</w:t>
      </w:r>
    </w:p>
    <w:p w:rsidR="00DF65CD" w:rsidRPr="00291866" w:rsidRDefault="00DF65CD" w:rsidP="00291866">
      <w:pPr>
        <w:spacing w:after="0" w:line="240" w:lineRule="auto"/>
      </w:pPr>
    </w:p>
    <w:p w:rsidR="00EB4C46" w:rsidRPr="00291866" w:rsidRDefault="00DF65CD" w:rsidP="00291866">
      <w:pPr>
        <w:spacing w:after="0" w:line="240" w:lineRule="auto"/>
      </w:pPr>
      <w:r w:rsidRPr="00291866">
        <w:t xml:space="preserve">However, NextEnergy Capital opposes any </w:t>
      </w:r>
      <w:r w:rsidR="00292025">
        <w:t>retroactive changes</w:t>
      </w:r>
      <w:r w:rsidRPr="00291866">
        <w:t xml:space="preserve">, namely </w:t>
      </w:r>
      <w:r w:rsidR="00292025">
        <w:t>those</w:t>
      </w:r>
      <w:r w:rsidRPr="00291866">
        <w:t xml:space="preserve"> </w:t>
      </w:r>
      <w:r w:rsidR="00292025">
        <w:t>affecting</w:t>
      </w:r>
      <w:r w:rsidRPr="00291866">
        <w:t xml:space="preserve"> the </w:t>
      </w:r>
      <w:r w:rsidR="00EB4C46" w:rsidRPr="00291866">
        <w:t xml:space="preserve">terms on which </w:t>
      </w:r>
      <w:r w:rsidRPr="00291866">
        <w:t>i</w:t>
      </w:r>
      <w:r w:rsidR="00EB4C46" w:rsidRPr="00291866">
        <w:t>nvestment</w:t>
      </w:r>
      <w:r w:rsidRPr="00291866">
        <w:t xml:space="preserve">s into any </w:t>
      </w:r>
      <w:r w:rsidR="00EB4C46" w:rsidRPr="00291866">
        <w:t xml:space="preserve">asset </w:t>
      </w:r>
      <w:r w:rsidRPr="00291866">
        <w:t xml:space="preserve">or technology </w:t>
      </w:r>
      <w:r w:rsidR="00EB4C46" w:rsidRPr="00291866">
        <w:t>with</w:t>
      </w:r>
      <w:r w:rsidRPr="00291866">
        <w:t>in</w:t>
      </w:r>
      <w:r w:rsidR="00292025">
        <w:t xml:space="preserve"> a 30 y</w:t>
      </w:r>
      <w:r w:rsidR="00EB4C46" w:rsidRPr="00291866">
        <w:t xml:space="preserve">ear </w:t>
      </w:r>
      <w:r w:rsidRPr="00291866">
        <w:t>period</w:t>
      </w:r>
      <w:r w:rsidR="00E060C3">
        <w:t xml:space="preserve"> </w:t>
      </w:r>
      <w:r w:rsidR="00292025">
        <w:t>have been</w:t>
      </w:r>
      <w:r w:rsidR="00E060C3">
        <w:t xml:space="preserve"> made</w:t>
      </w:r>
      <w:r w:rsidR="00EB4C46" w:rsidRPr="00291866">
        <w:t>.</w:t>
      </w:r>
      <w:r w:rsidRPr="00291866">
        <w:t xml:space="preserve"> Retroactive changes of this nature would have a </w:t>
      </w:r>
      <w:r w:rsidR="00EB4C46" w:rsidRPr="00291866">
        <w:t xml:space="preserve">negative impact on investor confidence and could increase the cost of </w:t>
      </w:r>
      <w:r w:rsidR="00582E64">
        <w:t>private sector investment</w:t>
      </w:r>
      <w:r w:rsidR="00EB4C46" w:rsidRPr="00291866">
        <w:t xml:space="preserve"> in the </w:t>
      </w:r>
      <w:r w:rsidR="00E060C3">
        <w:t>future</w:t>
      </w:r>
      <w:r w:rsidR="00FB6F8D" w:rsidRPr="00291866">
        <w:t>.</w:t>
      </w:r>
    </w:p>
    <w:p w:rsidR="003719CF" w:rsidRPr="00291866" w:rsidRDefault="003719CF" w:rsidP="00C74B57">
      <w:pPr>
        <w:spacing w:after="0" w:line="240" w:lineRule="auto"/>
      </w:pPr>
    </w:p>
    <w:p w:rsidR="00603A3E" w:rsidRDefault="00603A3E" w:rsidP="00C74B57">
      <w:pPr>
        <w:spacing w:after="0" w:line="240" w:lineRule="auto"/>
        <w:rPr>
          <w:b/>
          <w:i/>
        </w:rPr>
      </w:pPr>
    </w:p>
    <w:p w:rsidR="00DC6137" w:rsidRPr="00291866" w:rsidRDefault="00DC6137" w:rsidP="00C74B57">
      <w:pPr>
        <w:spacing w:after="0" w:line="240" w:lineRule="auto"/>
        <w:rPr>
          <w:b/>
          <w:i/>
        </w:rPr>
      </w:pPr>
      <w:r w:rsidRPr="00291866">
        <w:rPr>
          <w:b/>
          <w:i/>
        </w:rPr>
        <w:t xml:space="preserve">Question 2: Do you agree with our proposal that access rights should be reviewed, with the aim to improve their definition and choice? Please provide reasons for your response and, where possible, evidence to support your views. </w:t>
      </w:r>
    </w:p>
    <w:p w:rsidR="00A06196" w:rsidRPr="00291866" w:rsidRDefault="00A06196" w:rsidP="00C74B57">
      <w:pPr>
        <w:spacing w:after="0" w:line="240" w:lineRule="auto"/>
      </w:pPr>
    </w:p>
    <w:p w:rsidR="00D27A50" w:rsidRPr="00291866" w:rsidRDefault="00FB6F8D" w:rsidP="00291866">
      <w:pPr>
        <w:spacing w:after="0" w:line="240" w:lineRule="auto"/>
      </w:pPr>
      <w:r w:rsidRPr="00291866">
        <w:t>NextEnergy Capital agrees with the proposal to review access rights for small and large users, as well as to improve the allocation of access rights.</w:t>
      </w:r>
      <w:r w:rsidR="0040401A" w:rsidRPr="00291866">
        <w:t xml:space="preserve"> </w:t>
      </w:r>
      <w:r w:rsidRPr="00291866">
        <w:t xml:space="preserve">Access rights conditions are not binding, and both obligations and rights under the system create a degree of uncertainty. </w:t>
      </w:r>
      <w:r w:rsidR="00D27A50" w:rsidRPr="00291866">
        <w:t xml:space="preserve">As such, access rights and offers need to be reviewed </w:t>
      </w:r>
      <w:r w:rsidR="00582E64">
        <w:t>so that they may</w:t>
      </w:r>
      <w:r w:rsidR="00D27A50" w:rsidRPr="00291866">
        <w:t xml:space="preserve"> consider co-location of differing types of energy generation. Finally, access rights coupled with a bespoke definition to each type of energy generation should be considered in order to enhance renewable energy connections.</w:t>
      </w:r>
    </w:p>
    <w:p w:rsidR="00B35495" w:rsidRPr="00291866" w:rsidRDefault="00B35495" w:rsidP="00C74B57">
      <w:pPr>
        <w:spacing w:after="0" w:line="240" w:lineRule="auto"/>
      </w:pPr>
    </w:p>
    <w:p w:rsidR="00603A3E" w:rsidRDefault="00603A3E" w:rsidP="00C74B57">
      <w:pPr>
        <w:spacing w:after="0" w:line="240" w:lineRule="auto"/>
        <w:rPr>
          <w:b/>
          <w:i/>
        </w:rPr>
      </w:pPr>
    </w:p>
    <w:p w:rsidR="00DC6137" w:rsidRPr="00291866" w:rsidRDefault="00DC6137" w:rsidP="00C74B57">
      <w:pPr>
        <w:spacing w:after="0" w:line="240" w:lineRule="auto"/>
        <w:rPr>
          <w:b/>
          <w:i/>
        </w:rPr>
      </w:pPr>
      <w:r w:rsidRPr="00291866">
        <w:rPr>
          <w:b/>
          <w:i/>
        </w:rPr>
        <w:t xml:space="preserve">Question 3: Specifically, do you have views on whether options should be developed in the following areas as part of a review? Please give reasons for your response, and where possible, please provide evidence to support your views: </w:t>
      </w:r>
    </w:p>
    <w:p w:rsidR="0065428F" w:rsidRPr="00291866" w:rsidRDefault="0065428F" w:rsidP="00C74B57">
      <w:pPr>
        <w:spacing w:after="0" w:line="240" w:lineRule="auto"/>
      </w:pPr>
    </w:p>
    <w:p w:rsidR="00DC6137" w:rsidRPr="00291866" w:rsidRDefault="00FD7C5F" w:rsidP="00291866">
      <w:pPr>
        <w:pStyle w:val="ListParagraph"/>
        <w:spacing w:after="0" w:line="240" w:lineRule="auto"/>
        <w:ind w:left="0"/>
        <w:rPr>
          <w:i/>
        </w:rPr>
      </w:pPr>
      <w:r w:rsidRPr="00291866">
        <w:rPr>
          <w:i/>
        </w:rPr>
        <w:t xml:space="preserve">(b) </w:t>
      </w:r>
      <w:r w:rsidR="00DC6137" w:rsidRPr="00291866">
        <w:rPr>
          <w:i/>
        </w:rPr>
        <w:t xml:space="preserve">Firm/non-firm and time-profiled access – do you agree with our proposal outlined in paragraphs 3.15-3.21 that these options should be developed? </w:t>
      </w:r>
    </w:p>
    <w:p w:rsidR="00121899" w:rsidRPr="00291866" w:rsidRDefault="00121899" w:rsidP="00AA632B">
      <w:pPr>
        <w:pStyle w:val="ListParagraph"/>
        <w:spacing w:after="0" w:line="240" w:lineRule="auto"/>
        <w:rPr>
          <w:i/>
        </w:rPr>
      </w:pPr>
    </w:p>
    <w:p w:rsidR="00EB4C46" w:rsidRPr="00291866" w:rsidRDefault="00E060C3" w:rsidP="00291866">
      <w:pPr>
        <w:pStyle w:val="ListParagraph"/>
        <w:spacing w:after="0" w:line="240" w:lineRule="auto"/>
        <w:ind w:left="0"/>
      </w:pPr>
      <w:r>
        <w:t>The</w:t>
      </w:r>
      <w:r w:rsidR="00121899" w:rsidRPr="00291866">
        <w:t xml:space="preserve"> proposed changes in relation to fi</w:t>
      </w:r>
      <w:r>
        <w:t>r</w:t>
      </w:r>
      <w:r w:rsidR="00C41F77">
        <w:t>m/non-firm and time-</w:t>
      </w:r>
      <w:r w:rsidR="00121899" w:rsidRPr="00291866">
        <w:t>profiled access</w:t>
      </w:r>
      <w:r>
        <w:t xml:space="preserve"> should be implemented</w:t>
      </w:r>
      <w:r w:rsidR="00121899" w:rsidRPr="00291866">
        <w:t>. F</w:t>
      </w:r>
      <w:r w:rsidR="00945FA2" w:rsidRPr="00291866">
        <w:t xml:space="preserve">urther clarity on the </w:t>
      </w:r>
      <w:r w:rsidR="00121899" w:rsidRPr="00291866">
        <w:t>c</w:t>
      </w:r>
      <w:r w:rsidR="00945FA2" w:rsidRPr="00291866">
        <w:t xml:space="preserve">urtailment risk profile is </w:t>
      </w:r>
      <w:r>
        <w:t>needed, especially in cases</w:t>
      </w:r>
      <w:r w:rsidR="00945FA2" w:rsidRPr="00291866">
        <w:t xml:space="preserve"> when access rights are given </w:t>
      </w:r>
      <w:r w:rsidR="00121899" w:rsidRPr="00291866">
        <w:t xml:space="preserve">in order to adjust </w:t>
      </w:r>
      <w:r>
        <w:t xml:space="preserve">for </w:t>
      </w:r>
      <w:r w:rsidR="00121899" w:rsidRPr="00291866">
        <w:t xml:space="preserve">technology. </w:t>
      </w:r>
      <w:r w:rsidR="00945FA2" w:rsidRPr="00C41F77">
        <w:t xml:space="preserve">Renewable </w:t>
      </w:r>
      <w:r w:rsidR="00121899" w:rsidRPr="00C41F77">
        <w:t>g</w:t>
      </w:r>
      <w:r w:rsidR="00945FA2" w:rsidRPr="00C41F77">
        <w:t xml:space="preserve">enerators </w:t>
      </w:r>
      <w:r w:rsidR="00C41F77" w:rsidRPr="00C41F77">
        <w:t>have specific time-</w:t>
      </w:r>
      <w:r w:rsidR="00945FA2" w:rsidRPr="00C41F77">
        <w:t>profile</w:t>
      </w:r>
      <w:r w:rsidR="00121899" w:rsidRPr="00C41F77">
        <w:t>s</w:t>
      </w:r>
      <w:r w:rsidR="00945FA2" w:rsidRPr="00C41F77">
        <w:t xml:space="preserve"> and access rights</w:t>
      </w:r>
      <w:r w:rsidR="00C41F77" w:rsidRPr="00C41F77">
        <w:t xml:space="preserve">, and as such Ofgem should consider </w:t>
      </w:r>
      <w:r w:rsidR="00945FA2" w:rsidRPr="00C41F77">
        <w:t>th</w:t>
      </w:r>
      <w:r w:rsidR="00121899" w:rsidRPr="00C41F77">
        <w:t>is curtailment risk profile</w:t>
      </w:r>
      <w:r w:rsidR="00945FA2" w:rsidRPr="00C41F77">
        <w:t xml:space="preserve"> on </w:t>
      </w:r>
      <w:r w:rsidR="00C41F77" w:rsidRPr="00C41F77">
        <w:t xml:space="preserve">both the </w:t>
      </w:r>
      <w:r w:rsidR="00945FA2" w:rsidRPr="00C41F77">
        <w:t xml:space="preserve">cost and </w:t>
      </w:r>
      <w:r w:rsidR="00121899" w:rsidRPr="00C41F77">
        <w:t xml:space="preserve">service </w:t>
      </w:r>
      <w:r w:rsidR="00945FA2" w:rsidRPr="00C41F77">
        <w:t>offer</w:t>
      </w:r>
      <w:r w:rsidR="00121899" w:rsidRPr="00C41F77">
        <w:t>ing</w:t>
      </w:r>
      <w:r w:rsidR="00C41F77" w:rsidRPr="00C41F77">
        <w:t xml:space="preserve"> of renewable generators</w:t>
      </w:r>
      <w:r w:rsidR="00945FA2" w:rsidRPr="00C41F77">
        <w:t>.</w:t>
      </w:r>
      <w:r w:rsidR="00121899" w:rsidRPr="00291866">
        <w:t xml:space="preserve"> </w:t>
      </w:r>
      <w:r w:rsidR="00945FA2" w:rsidRPr="00291866">
        <w:t xml:space="preserve">Access rights should </w:t>
      </w:r>
      <w:r w:rsidR="00121899" w:rsidRPr="00291866">
        <w:t xml:space="preserve">also </w:t>
      </w:r>
      <w:r w:rsidR="00945FA2" w:rsidRPr="00291866">
        <w:t xml:space="preserve">be less restrictive and include optionality </w:t>
      </w:r>
      <w:r w:rsidR="00C41F77">
        <w:t>for</w:t>
      </w:r>
      <w:r w:rsidR="00945FA2" w:rsidRPr="00291866">
        <w:t xml:space="preserve"> multiple technologies and easier </w:t>
      </w:r>
      <w:r w:rsidR="00121899" w:rsidRPr="00291866">
        <w:t>amendments. I</w:t>
      </w:r>
      <w:r w:rsidR="00EB4C46" w:rsidRPr="00291866">
        <w:t>f there is a need for curtailment</w:t>
      </w:r>
      <w:r w:rsidR="00C41F77">
        <w:t>,</w:t>
      </w:r>
      <w:r w:rsidR="00EB4C46" w:rsidRPr="00291866">
        <w:t xml:space="preserve"> then </w:t>
      </w:r>
      <w:r w:rsidR="00C41F77">
        <w:t>renewable</w:t>
      </w:r>
      <w:r w:rsidR="00121899" w:rsidRPr="00291866">
        <w:t xml:space="preserve"> generation ought to be </w:t>
      </w:r>
      <w:r w:rsidR="00EB4C46" w:rsidRPr="00291866">
        <w:t xml:space="preserve">compensated </w:t>
      </w:r>
      <w:r w:rsidR="00121899" w:rsidRPr="00291866">
        <w:t xml:space="preserve">in the same way </w:t>
      </w:r>
      <w:r w:rsidR="00C41F77">
        <w:t>as conventional energy</w:t>
      </w:r>
      <w:r w:rsidR="00EB4C46" w:rsidRPr="00291866">
        <w:t xml:space="preserve"> gene</w:t>
      </w:r>
      <w:r w:rsidR="00C41F77">
        <w:t>ration (e.g. gas).</w:t>
      </w:r>
    </w:p>
    <w:p w:rsidR="003909AD" w:rsidRPr="00291866" w:rsidRDefault="003909AD" w:rsidP="008B2571">
      <w:pPr>
        <w:pStyle w:val="ListParagraph"/>
        <w:spacing w:after="0" w:line="240" w:lineRule="auto"/>
      </w:pPr>
    </w:p>
    <w:p w:rsidR="00C41F77" w:rsidRDefault="00C41F77">
      <w:pPr>
        <w:rPr>
          <w:i/>
        </w:rPr>
      </w:pPr>
      <w:r>
        <w:rPr>
          <w:i/>
        </w:rPr>
        <w:br w:type="page"/>
      </w:r>
    </w:p>
    <w:p w:rsidR="00DC6137" w:rsidRPr="00291866" w:rsidRDefault="00FD7C5F" w:rsidP="00291866">
      <w:pPr>
        <w:pStyle w:val="ListParagraph"/>
        <w:spacing w:after="0" w:line="240" w:lineRule="auto"/>
        <w:ind w:left="0"/>
        <w:rPr>
          <w:i/>
        </w:rPr>
      </w:pPr>
      <w:r w:rsidRPr="00291866">
        <w:rPr>
          <w:i/>
        </w:rPr>
        <w:lastRenderedPageBreak/>
        <w:t xml:space="preserve">(c) </w:t>
      </w:r>
      <w:r w:rsidR="00DC6137" w:rsidRPr="00291866">
        <w:rPr>
          <w:i/>
        </w:rPr>
        <w:t xml:space="preserve">Duration and depth of access, discussed in paragraph 3.25-3.32 - would these options be feasible and beneficial? </w:t>
      </w:r>
    </w:p>
    <w:p w:rsidR="00121899" w:rsidRPr="00291866" w:rsidRDefault="00121899" w:rsidP="00291866">
      <w:pPr>
        <w:pStyle w:val="ListParagraph"/>
        <w:spacing w:after="0" w:line="240" w:lineRule="auto"/>
        <w:rPr>
          <w:i/>
        </w:rPr>
      </w:pPr>
    </w:p>
    <w:p w:rsidR="00945FA2" w:rsidRPr="00291866" w:rsidRDefault="00945FA2" w:rsidP="00291866">
      <w:pPr>
        <w:spacing w:after="0" w:line="240" w:lineRule="auto"/>
      </w:pPr>
      <w:r w:rsidRPr="00291866">
        <w:t>These</w:t>
      </w:r>
      <w:r w:rsidR="00121899" w:rsidRPr="00291866">
        <w:t xml:space="preserve"> options </w:t>
      </w:r>
      <w:r w:rsidRPr="00291866">
        <w:t>would be beneficial</w:t>
      </w:r>
      <w:r w:rsidR="00C41F77">
        <w:t xml:space="preserve"> – </w:t>
      </w:r>
      <w:r w:rsidRPr="00291866">
        <w:t xml:space="preserve">as would </w:t>
      </w:r>
      <w:r w:rsidR="00121899" w:rsidRPr="00291866">
        <w:t xml:space="preserve">the </w:t>
      </w:r>
      <w:r w:rsidRPr="00291866">
        <w:t>enhanc</w:t>
      </w:r>
      <w:r w:rsidR="00121899" w:rsidRPr="00291866">
        <w:t xml:space="preserve">ement of </w:t>
      </w:r>
      <w:r w:rsidRPr="00291866">
        <w:t xml:space="preserve">repowering and revamping </w:t>
      </w:r>
      <w:r w:rsidR="00121899" w:rsidRPr="00291866">
        <w:t xml:space="preserve">energy generation </w:t>
      </w:r>
      <w:r w:rsidRPr="00291866">
        <w:t>sites</w:t>
      </w:r>
      <w:r w:rsidR="00C41F77">
        <w:t xml:space="preserve"> – leading to an increase in the</w:t>
      </w:r>
      <w:r w:rsidR="00121899" w:rsidRPr="00291866">
        <w:t xml:space="preserve"> f</w:t>
      </w:r>
      <w:r w:rsidRPr="00291866">
        <w:t>inancial valuation of investment</w:t>
      </w:r>
      <w:r w:rsidR="00121899" w:rsidRPr="00291866">
        <w:t xml:space="preserve"> </w:t>
      </w:r>
      <w:r w:rsidR="009D7A32">
        <w:t>for</w:t>
      </w:r>
      <w:r w:rsidR="00121899" w:rsidRPr="00291866">
        <w:t xml:space="preserve"> these assets</w:t>
      </w:r>
      <w:r w:rsidRPr="00291866">
        <w:t>.</w:t>
      </w:r>
      <w:r w:rsidR="00121899" w:rsidRPr="00291866">
        <w:t xml:space="preserve"> Furthermore, v</w:t>
      </w:r>
      <w:r w:rsidRPr="00291866">
        <w:t xml:space="preserve">isibility on the </w:t>
      </w:r>
      <w:r w:rsidR="00121899" w:rsidRPr="00291866">
        <w:t xml:space="preserve">access </w:t>
      </w:r>
      <w:r w:rsidRPr="00291866">
        <w:t>rights would</w:t>
      </w:r>
      <w:r w:rsidR="00121899" w:rsidRPr="00291866">
        <w:t xml:space="preserve"> also</w:t>
      </w:r>
      <w:r w:rsidRPr="00291866">
        <w:t xml:space="preserve"> contribute to better management of the required </w:t>
      </w:r>
      <w:r w:rsidR="00121899" w:rsidRPr="00291866">
        <w:t>g</w:t>
      </w:r>
      <w:r w:rsidRPr="00291866">
        <w:t>rid maintenance works.</w:t>
      </w:r>
      <w:r w:rsidR="00121899" w:rsidRPr="00291866">
        <w:t xml:space="preserve"> </w:t>
      </w:r>
      <w:r w:rsidR="00F96620" w:rsidRPr="00291866">
        <w:t>Lastly, s</w:t>
      </w:r>
      <w:r w:rsidRPr="00291866">
        <w:t xml:space="preserve">hort term access rights </w:t>
      </w:r>
      <w:r w:rsidR="00E060C3">
        <w:t>with</w:t>
      </w:r>
      <w:r w:rsidR="00F96620" w:rsidRPr="00291866">
        <w:t xml:space="preserve"> extension options</w:t>
      </w:r>
      <w:r w:rsidR="000A338C" w:rsidRPr="00291866">
        <w:t xml:space="preserve"> would reduce uncertainty </w:t>
      </w:r>
      <w:r w:rsidR="00F96620" w:rsidRPr="00291866">
        <w:t xml:space="preserve">over the </w:t>
      </w:r>
      <w:r w:rsidR="000A338C" w:rsidRPr="00291866">
        <w:t xml:space="preserve">investment and positively contribute to </w:t>
      </w:r>
      <w:r w:rsidR="00F96620" w:rsidRPr="00291866">
        <w:t>the financing of such projects</w:t>
      </w:r>
      <w:r w:rsidR="000A338C" w:rsidRPr="00291866">
        <w:t>.</w:t>
      </w:r>
    </w:p>
    <w:p w:rsidR="000A338C" w:rsidRPr="00291866" w:rsidRDefault="000A338C" w:rsidP="000A338C">
      <w:pPr>
        <w:pStyle w:val="ListParagraph"/>
        <w:spacing w:after="0" w:line="240" w:lineRule="auto"/>
        <w:ind w:left="1440"/>
      </w:pPr>
    </w:p>
    <w:p w:rsidR="00DC6137" w:rsidRPr="00291866" w:rsidRDefault="00FD7C5F" w:rsidP="00291866">
      <w:pPr>
        <w:pStyle w:val="ListParagraph"/>
        <w:spacing w:after="0" w:line="240" w:lineRule="auto"/>
        <w:ind w:left="0"/>
        <w:rPr>
          <w:i/>
        </w:rPr>
      </w:pPr>
      <w:r w:rsidRPr="00291866">
        <w:rPr>
          <w:i/>
        </w:rPr>
        <w:t xml:space="preserve">(d) </w:t>
      </w:r>
      <w:r w:rsidR="00DC6137" w:rsidRPr="00291866">
        <w:rPr>
          <w:i/>
        </w:rPr>
        <w:t xml:space="preserve">At transmission or distribution in particular, or are both equally important – as discussed in this chapter? </w:t>
      </w:r>
    </w:p>
    <w:p w:rsidR="00121899" w:rsidRPr="00291866" w:rsidRDefault="00121899" w:rsidP="00291866">
      <w:pPr>
        <w:pStyle w:val="ListParagraph"/>
        <w:spacing w:after="0" w:line="240" w:lineRule="auto"/>
        <w:rPr>
          <w:i/>
        </w:rPr>
      </w:pPr>
    </w:p>
    <w:p w:rsidR="00B667D0" w:rsidRPr="00291866" w:rsidRDefault="00F96620" w:rsidP="00291866">
      <w:pPr>
        <w:spacing w:after="0" w:line="240" w:lineRule="auto"/>
      </w:pPr>
      <w:r w:rsidRPr="00291866">
        <w:t>Distribution is a considerably more important issue from the perspective of renewable energy, and considering the overall trend of growth in renewable energy, distribution will likely retain that importance in the future. However, the impacts on transmission also need</w:t>
      </w:r>
      <w:r w:rsidR="009D7A32">
        <w:t>s</w:t>
      </w:r>
      <w:r w:rsidRPr="00291866">
        <w:t xml:space="preserve"> to be considered. </w:t>
      </w:r>
    </w:p>
    <w:p w:rsidR="00DC6137" w:rsidRPr="00291866" w:rsidRDefault="00DC6137" w:rsidP="00C74B57">
      <w:pPr>
        <w:spacing w:after="0" w:line="240" w:lineRule="auto"/>
        <w:rPr>
          <w:i/>
        </w:rPr>
      </w:pPr>
    </w:p>
    <w:p w:rsidR="00603A3E" w:rsidRDefault="00603A3E" w:rsidP="00C74B57">
      <w:pPr>
        <w:spacing w:after="0" w:line="240" w:lineRule="auto"/>
        <w:rPr>
          <w:b/>
          <w:i/>
        </w:rPr>
      </w:pPr>
    </w:p>
    <w:p w:rsidR="00DC6137" w:rsidRPr="00291866" w:rsidRDefault="00DC6137" w:rsidP="00C74B57">
      <w:pPr>
        <w:spacing w:after="0" w:line="240" w:lineRule="auto"/>
        <w:rPr>
          <w:b/>
          <w:i/>
        </w:rPr>
      </w:pPr>
      <w:r w:rsidRPr="00291866">
        <w:rPr>
          <w:b/>
          <w:i/>
        </w:rPr>
        <w:t xml:space="preserve">Question 4: Do you agree with the key links between access and charging we have identified in table 1? Why or why not? Do you think there are other key links we have not identified? Where possible, please provide evidence to support your views. </w:t>
      </w:r>
    </w:p>
    <w:p w:rsidR="00F96620" w:rsidRPr="00291866" w:rsidRDefault="00F96620" w:rsidP="00C74B57">
      <w:pPr>
        <w:spacing w:after="0" w:line="240" w:lineRule="auto"/>
      </w:pPr>
    </w:p>
    <w:p w:rsidR="000D0D67" w:rsidRPr="00291866" w:rsidRDefault="00D6432B" w:rsidP="00291866">
      <w:pPr>
        <w:spacing w:after="0" w:line="240" w:lineRule="auto"/>
      </w:pPr>
      <w:r w:rsidRPr="00291866">
        <w:t>Technology and capacity charges should also be considered</w:t>
      </w:r>
      <w:r w:rsidR="00603A3E">
        <w:t>,</w:t>
      </w:r>
      <w:r w:rsidRPr="00291866">
        <w:t xml:space="preserve"> due to the</w:t>
      </w:r>
      <w:r w:rsidR="0040401A" w:rsidRPr="00291866">
        <w:t>ir</w:t>
      </w:r>
      <w:r w:rsidRPr="00291866">
        <w:t xml:space="preserve"> impact on supply a</w:t>
      </w:r>
      <w:r w:rsidR="00F96620" w:rsidRPr="00291866">
        <w:t>s well as the</w:t>
      </w:r>
      <w:r w:rsidRPr="00291866">
        <w:t xml:space="preserve"> </w:t>
      </w:r>
      <w:r w:rsidR="00F96620" w:rsidRPr="00291866">
        <w:t>g</w:t>
      </w:r>
      <w:r w:rsidRPr="00291866">
        <w:t>rid stabili</w:t>
      </w:r>
      <w:r w:rsidR="00F96620" w:rsidRPr="00291866">
        <w:t>s</w:t>
      </w:r>
      <w:r w:rsidRPr="00291866">
        <w:t>ation and management required as a consequence of these concepts.</w:t>
      </w:r>
    </w:p>
    <w:p w:rsidR="00DC6137" w:rsidRPr="00291866" w:rsidRDefault="00DC6137" w:rsidP="00C74B57">
      <w:pPr>
        <w:spacing w:after="0" w:line="240" w:lineRule="auto"/>
      </w:pPr>
    </w:p>
    <w:p w:rsidR="00603A3E" w:rsidRDefault="00603A3E" w:rsidP="00C74B57">
      <w:pPr>
        <w:spacing w:after="0" w:line="240" w:lineRule="auto"/>
        <w:rPr>
          <w:b/>
          <w:i/>
        </w:rPr>
      </w:pPr>
    </w:p>
    <w:p w:rsidR="00DC6137" w:rsidRPr="00291866" w:rsidRDefault="00DC6137" w:rsidP="00C74B57">
      <w:pPr>
        <w:spacing w:after="0" w:line="240" w:lineRule="auto"/>
        <w:rPr>
          <w:b/>
          <w:i/>
        </w:rPr>
      </w:pPr>
      <w:r w:rsidRPr="00291866">
        <w:rPr>
          <w:b/>
          <w:i/>
        </w:rPr>
        <w:t xml:space="preserve">Question 5: Do you agree with our proposal that targeted areas of allocation of access should be reviewed? Please give any specific views on the areas below, together with reasons for your response. Where possible, please provide evidence to support your views: </w:t>
      </w:r>
    </w:p>
    <w:p w:rsidR="0065428F" w:rsidRPr="00291866" w:rsidRDefault="0065428F" w:rsidP="00C74B57">
      <w:pPr>
        <w:spacing w:after="0" w:line="240" w:lineRule="auto"/>
      </w:pPr>
    </w:p>
    <w:p w:rsidR="00E6113C" w:rsidRPr="00E060C3" w:rsidRDefault="00E060C3" w:rsidP="00E060C3">
      <w:pPr>
        <w:spacing w:after="0" w:line="240" w:lineRule="auto"/>
        <w:rPr>
          <w:i/>
        </w:rPr>
      </w:pPr>
      <w:r w:rsidRPr="00E060C3">
        <w:rPr>
          <w:i/>
        </w:rPr>
        <w:t xml:space="preserve">(a) </w:t>
      </w:r>
      <w:r w:rsidR="00DC6137" w:rsidRPr="00E060C3">
        <w:rPr>
          <w:i/>
        </w:rPr>
        <w:t xml:space="preserve">Improved queue management as the priority area for improving initial allocation of access, as outlined in paragraphs 3.41-3.44? </w:t>
      </w:r>
    </w:p>
    <w:p w:rsidR="005449F6" w:rsidRPr="00291866" w:rsidRDefault="005449F6" w:rsidP="00291866">
      <w:pPr>
        <w:pStyle w:val="ListParagraph"/>
        <w:spacing w:after="0" w:line="240" w:lineRule="auto"/>
        <w:ind w:left="1440"/>
      </w:pPr>
    </w:p>
    <w:p w:rsidR="00D6432B" w:rsidRPr="00291866" w:rsidRDefault="005449F6" w:rsidP="00E060C3">
      <w:pPr>
        <w:spacing w:after="0" w:line="240" w:lineRule="auto"/>
      </w:pPr>
      <w:r w:rsidRPr="00291866">
        <w:t xml:space="preserve">It is necessary to improve queue management in order to </w:t>
      </w:r>
      <w:r w:rsidR="00D6432B" w:rsidRPr="00291866">
        <w:t>enhance</w:t>
      </w:r>
      <w:r w:rsidR="000E0C05" w:rsidRPr="00291866">
        <w:t xml:space="preserve"> decarboni</w:t>
      </w:r>
      <w:r w:rsidRPr="00291866">
        <w:t>s</w:t>
      </w:r>
      <w:r w:rsidR="000E0C05" w:rsidRPr="00291866">
        <w:t>ation</w:t>
      </w:r>
      <w:r w:rsidR="00603A3E">
        <w:t>,</w:t>
      </w:r>
      <w:r w:rsidR="000E0C05" w:rsidRPr="00291866">
        <w:t xml:space="preserve"> </w:t>
      </w:r>
      <w:r w:rsidRPr="00291866">
        <w:t xml:space="preserve">as well as enabling the </w:t>
      </w:r>
      <w:r w:rsidR="000E0C05" w:rsidRPr="00291866">
        <w:t xml:space="preserve">connection of </w:t>
      </w:r>
      <w:r w:rsidRPr="00291866">
        <w:t>s</w:t>
      </w:r>
      <w:r w:rsidR="000E0C05" w:rsidRPr="00291866">
        <w:t xml:space="preserve">ubsidy free </w:t>
      </w:r>
      <w:r w:rsidRPr="00291866">
        <w:t>r</w:t>
      </w:r>
      <w:r w:rsidR="000E0C05" w:rsidRPr="00291866">
        <w:t xml:space="preserve">enewable energy </w:t>
      </w:r>
      <w:r w:rsidRPr="00291866">
        <w:t>g</w:t>
      </w:r>
      <w:r w:rsidR="000E0C05" w:rsidRPr="00291866">
        <w:t>enerators</w:t>
      </w:r>
      <w:r w:rsidRPr="00291866">
        <w:t xml:space="preserve"> to the grid</w:t>
      </w:r>
      <w:r w:rsidR="000E0C05" w:rsidRPr="00291866">
        <w:t>.</w:t>
      </w:r>
    </w:p>
    <w:p w:rsidR="005449F6" w:rsidRPr="00291866" w:rsidRDefault="005449F6" w:rsidP="00291866">
      <w:pPr>
        <w:pStyle w:val="ListParagraph"/>
        <w:spacing w:after="0" w:line="240" w:lineRule="auto"/>
        <w:ind w:left="1440"/>
      </w:pPr>
    </w:p>
    <w:p w:rsidR="00DC6137" w:rsidRPr="00E060C3" w:rsidRDefault="00E060C3" w:rsidP="00E060C3">
      <w:pPr>
        <w:spacing w:after="0" w:line="240" w:lineRule="auto"/>
        <w:rPr>
          <w:i/>
        </w:rPr>
      </w:pPr>
      <w:r w:rsidRPr="00E060C3">
        <w:rPr>
          <w:i/>
        </w:rPr>
        <w:t xml:space="preserve">(b) </w:t>
      </w:r>
      <w:r w:rsidR="00DC6137" w:rsidRPr="00E060C3">
        <w:rPr>
          <w:i/>
        </w:rPr>
        <w:t xml:space="preserve">Not to consider the potential role of auctions for initial allocation of access as part of a review at this time, as discussed in paragraph 3.44? </w:t>
      </w:r>
    </w:p>
    <w:p w:rsidR="005449F6" w:rsidRPr="00291866" w:rsidRDefault="005449F6" w:rsidP="00291866">
      <w:pPr>
        <w:pStyle w:val="ListParagraph"/>
        <w:spacing w:after="0" w:line="240" w:lineRule="auto"/>
        <w:ind w:left="1440"/>
      </w:pPr>
    </w:p>
    <w:p w:rsidR="005449F6" w:rsidRPr="00291866" w:rsidRDefault="005449F6" w:rsidP="00E060C3">
      <w:pPr>
        <w:spacing w:after="0" w:line="240" w:lineRule="auto"/>
      </w:pPr>
      <w:r w:rsidRPr="00291866">
        <w:t xml:space="preserve">NextEnergy Capital agrees with this proposal. </w:t>
      </w:r>
    </w:p>
    <w:p w:rsidR="005449F6" w:rsidRPr="00291866" w:rsidRDefault="005449F6" w:rsidP="00291866">
      <w:pPr>
        <w:pStyle w:val="ListParagraph"/>
        <w:spacing w:after="0" w:line="240" w:lineRule="auto"/>
        <w:ind w:left="1440"/>
      </w:pPr>
    </w:p>
    <w:p w:rsidR="00DC6137" w:rsidRPr="00E060C3" w:rsidRDefault="00E060C3" w:rsidP="00E060C3">
      <w:pPr>
        <w:spacing w:after="0" w:line="240" w:lineRule="auto"/>
        <w:rPr>
          <w:i/>
        </w:rPr>
      </w:pPr>
      <w:r w:rsidRPr="00E060C3">
        <w:rPr>
          <w:i/>
        </w:rPr>
        <w:t xml:space="preserve">(c) </w:t>
      </w:r>
      <w:r w:rsidR="00E6113C" w:rsidRPr="00E060C3">
        <w:rPr>
          <w:i/>
        </w:rPr>
        <w:t>T</w:t>
      </w:r>
      <w:r w:rsidR="00DC6137" w:rsidRPr="00E060C3">
        <w:rPr>
          <w:i/>
        </w:rPr>
        <w:t>o review the areas outlined in paragraphs 3.45-3.48 to support re-allocation of access?</w:t>
      </w:r>
    </w:p>
    <w:p w:rsidR="005449F6" w:rsidRPr="00291866" w:rsidRDefault="005449F6" w:rsidP="00291866">
      <w:pPr>
        <w:pStyle w:val="ListParagraph"/>
        <w:spacing w:after="0" w:line="240" w:lineRule="auto"/>
        <w:ind w:left="1440"/>
      </w:pPr>
    </w:p>
    <w:p w:rsidR="000E0C05" w:rsidRPr="00291866" w:rsidRDefault="005449F6" w:rsidP="00E060C3">
      <w:pPr>
        <w:spacing w:after="0" w:line="240" w:lineRule="auto"/>
      </w:pPr>
      <w:r w:rsidRPr="00291866">
        <w:t xml:space="preserve">The area outlined in paragraph </w:t>
      </w:r>
      <w:r w:rsidR="000E0C05" w:rsidRPr="00291866">
        <w:t xml:space="preserve">3.45 </w:t>
      </w:r>
      <w:r w:rsidRPr="00291866">
        <w:t>(</w:t>
      </w:r>
      <w:r w:rsidR="000E0C05" w:rsidRPr="00291866">
        <w:t>a</w:t>
      </w:r>
      <w:r w:rsidRPr="00291866">
        <w:t>) is already i</w:t>
      </w:r>
      <w:r w:rsidR="000E0C05" w:rsidRPr="00291866">
        <w:t>n place</w:t>
      </w:r>
      <w:r w:rsidRPr="00291866">
        <w:t xml:space="preserve"> as described in the consultation document. On the other two points raised relating to improvement of increasing efficiency and securing the quicker amortisation of the connection costs, NextEnergy Capital supports these proposals. </w:t>
      </w:r>
      <w:r w:rsidR="000E0C05" w:rsidRPr="00291866">
        <w:t xml:space="preserve"> </w:t>
      </w:r>
    </w:p>
    <w:p w:rsidR="00603A3E" w:rsidRDefault="00603A3E">
      <w:pPr>
        <w:rPr>
          <w:b/>
          <w:i/>
        </w:rPr>
      </w:pPr>
      <w:r>
        <w:rPr>
          <w:b/>
          <w:i/>
        </w:rPr>
        <w:br w:type="page"/>
      </w:r>
    </w:p>
    <w:p w:rsidR="0003593F" w:rsidRPr="00291866" w:rsidRDefault="0003593F" w:rsidP="00A369EB">
      <w:pPr>
        <w:spacing w:after="0" w:line="240" w:lineRule="auto"/>
        <w:rPr>
          <w:b/>
          <w:i/>
        </w:rPr>
      </w:pPr>
      <w:r w:rsidRPr="00291866">
        <w:rPr>
          <w:b/>
          <w:i/>
        </w:rPr>
        <w:lastRenderedPageBreak/>
        <w:t xml:space="preserve">Question 6: Do you agree that a comprehensive review of forward-looking DUoS charging methodologies, as outlined in paragraphs 4.3-4.7, should be undertaken? Please provide reasons for your response and, where possible, evidence to support your position. </w:t>
      </w:r>
    </w:p>
    <w:p w:rsidR="005449F6" w:rsidRDefault="005449F6" w:rsidP="00A369EB">
      <w:pPr>
        <w:spacing w:after="0" w:line="240" w:lineRule="auto"/>
      </w:pPr>
    </w:p>
    <w:p w:rsidR="00FD0DF0" w:rsidRPr="00FD0DF0" w:rsidRDefault="00FD0DF0" w:rsidP="00FD0DF0">
      <w:pPr>
        <w:spacing w:after="0" w:line="240" w:lineRule="auto"/>
      </w:pPr>
      <w:r w:rsidRPr="00FD0DF0">
        <w:t xml:space="preserve">If a Significant Code Review (SCR) is being planned by Ofgem, the proposals as outlined for the scope of review </w:t>
      </w:r>
      <w:r w:rsidR="00603A3E">
        <w:t>on</w:t>
      </w:r>
      <w:r w:rsidRPr="00FD0DF0">
        <w:t xml:space="preserve"> forward-looking network charging around Distributed Use of System (DUoS) charging, connection charging boundary, Transmission Network Use of System (TNUoS) and Balancing Services Use of System (BSUoS) charges should not be changed at this point</w:t>
      </w:r>
      <w:r w:rsidR="00E060C3">
        <w:t>. These</w:t>
      </w:r>
      <w:r w:rsidRPr="00FD0DF0">
        <w:t xml:space="preserve"> should instead </w:t>
      </w:r>
      <w:r w:rsidR="00E060C3">
        <w:t>be wrapped up in the wider SCR,</w:t>
      </w:r>
      <w:r w:rsidRPr="00FD0DF0">
        <w:t xml:space="preserve"> </w:t>
      </w:r>
      <w:r w:rsidR="00E060C3">
        <w:t>o</w:t>
      </w:r>
      <w:r w:rsidRPr="00FD0DF0">
        <w:t>therwise there is a danger of damaging investor confidence twice, due to the potential for</w:t>
      </w:r>
      <w:r w:rsidR="00E060C3">
        <w:t xml:space="preserve"> multiple or repeated</w:t>
      </w:r>
      <w:r w:rsidRPr="00FD0DF0">
        <w:t xml:space="preserve"> changes to the regulatory environment. </w:t>
      </w:r>
    </w:p>
    <w:p w:rsidR="00FD0DF0" w:rsidRPr="00291866" w:rsidRDefault="00FD0DF0" w:rsidP="00A369EB">
      <w:pPr>
        <w:spacing w:after="0" w:line="240" w:lineRule="auto"/>
      </w:pPr>
    </w:p>
    <w:p w:rsidR="00564B56" w:rsidRPr="00291866" w:rsidRDefault="00E060C3" w:rsidP="00291866">
      <w:pPr>
        <w:spacing w:after="0" w:line="240" w:lineRule="auto"/>
      </w:pPr>
      <w:r>
        <w:t>T</w:t>
      </w:r>
      <w:r w:rsidR="00291866" w:rsidRPr="00291866">
        <w:t xml:space="preserve">he review should be structured so that it is not </w:t>
      </w:r>
      <w:r w:rsidR="00F941AC" w:rsidRPr="00291866">
        <w:t xml:space="preserve">considered to be retrospective in nature, as this would </w:t>
      </w:r>
      <w:r>
        <w:t xml:space="preserve">also </w:t>
      </w:r>
      <w:r w:rsidR="00F941AC" w:rsidRPr="00291866">
        <w:t xml:space="preserve">have a negative impact on the </w:t>
      </w:r>
      <w:r w:rsidR="00564B56" w:rsidRPr="00291866">
        <w:t xml:space="preserve">financial assumptions </w:t>
      </w:r>
      <w:r w:rsidR="00291866" w:rsidRPr="00291866">
        <w:t>used by investors</w:t>
      </w:r>
      <w:r w:rsidR="00564B56" w:rsidRPr="00291866">
        <w:t xml:space="preserve"> </w:t>
      </w:r>
      <w:r w:rsidR="00291866" w:rsidRPr="00291866">
        <w:t xml:space="preserve">in relation to </w:t>
      </w:r>
      <w:r w:rsidR="00564B56" w:rsidRPr="00291866">
        <w:t xml:space="preserve">existing </w:t>
      </w:r>
      <w:r w:rsidR="00291866" w:rsidRPr="00291866">
        <w:t>distributed generation</w:t>
      </w:r>
      <w:r w:rsidR="00564B56" w:rsidRPr="00291866">
        <w:t>.</w:t>
      </w:r>
    </w:p>
    <w:p w:rsidR="00F941AC" w:rsidRPr="00291866" w:rsidRDefault="00F941AC" w:rsidP="00291866">
      <w:pPr>
        <w:spacing w:after="0" w:line="240" w:lineRule="auto"/>
      </w:pPr>
    </w:p>
    <w:p w:rsidR="00BF754B" w:rsidRPr="00291866" w:rsidRDefault="00291866" w:rsidP="00291866">
      <w:pPr>
        <w:spacing w:after="0" w:line="240" w:lineRule="auto"/>
      </w:pPr>
      <w:r w:rsidRPr="00291866">
        <w:t>The g</w:t>
      </w:r>
      <w:r w:rsidR="00F941AC" w:rsidRPr="00291866">
        <w:t>ranularity on</w:t>
      </w:r>
      <w:r w:rsidRPr="00291866">
        <w:t xml:space="preserve"> the DUoS charging methodology </w:t>
      </w:r>
      <w:r w:rsidR="00603A3E">
        <w:t xml:space="preserve">(Common Distribution Charging Methodology – </w:t>
      </w:r>
      <w:r w:rsidR="00603A3E" w:rsidRPr="00291866">
        <w:t>CDCM</w:t>
      </w:r>
      <w:r w:rsidR="00603A3E">
        <w:t>)</w:t>
      </w:r>
      <w:r w:rsidR="00F941AC" w:rsidRPr="00291866">
        <w:t xml:space="preserve"> should be increased in order to facilitate a better understanding of the charges and their</w:t>
      </w:r>
      <w:r w:rsidRPr="00291866">
        <w:t xml:space="preserve"> impact. Improvements to</w:t>
      </w:r>
      <w:r w:rsidR="00F941AC" w:rsidRPr="00291866">
        <w:t xml:space="preserve"> </w:t>
      </w:r>
      <w:r w:rsidRPr="00291866">
        <w:t xml:space="preserve">the DUoS charging methodology </w:t>
      </w:r>
      <w:r w:rsidR="00F941AC" w:rsidRPr="00291866">
        <w:t>signal</w:t>
      </w:r>
      <w:r w:rsidR="00603A3E">
        <w:t xml:space="preserve"> (Extra High Voltage Charging Methodology – </w:t>
      </w:r>
      <w:r w:rsidR="00F941AC" w:rsidRPr="00291866">
        <w:t>EDCM</w:t>
      </w:r>
      <w:r w:rsidR="00603A3E">
        <w:t>)</w:t>
      </w:r>
      <w:r w:rsidR="00F941AC" w:rsidRPr="00291866">
        <w:t xml:space="preserve">, would allow for further predictability and forecasting, which can be combined with privative maintenance in order to ensure greater efficiencies. </w:t>
      </w:r>
    </w:p>
    <w:p w:rsidR="0003593F" w:rsidRPr="00291866" w:rsidRDefault="0003593F" w:rsidP="00A369EB">
      <w:pPr>
        <w:spacing w:after="0" w:line="240" w:lineRule="auto"/>
      </w:pPr>
    </w:p>
    <w:p w:rsidR="00603A3E" w:rsidRDefault="00603A3E" w:rsidP="00A369EB">
      <w:pPr>
        <w:spacing w:after="0" w:line="240" w:lineRule="auto"/>
        <w:rPr>
          <w:b/>
          <w:i/>
        </w:rPr>
      </w:pPr>
    </w:p>
    <w:p w:rsidR="0003593F" w:rsidRPr="00291866" w:rsidRDefault="0003593F" w:rsidP="00A369EB">
      <w:pPr>
        <w:spacing w:after="0" w:line="240" w:lineRule="auto"/>
        <w:rPr>
          <w:b/>
          <w:i/>
        </w:rPr>
      </w:pPr>
      <w:r w:rsidRPr="00291866">
        <w:rPr>
          <w:b/>
          <w:i/>
        </w:rPr>
        <w:t xml:space="preserve">Question 7: Do you agree that the distribution connection charging boundary should be reviewed, but not the transmission connection boundary? Please provide reasons for your response and, where possible, evidence to support your position. </w:t>
      </w:r>
    </w:p>
    <w:p w:rsidR="00FD7C5F" w:rsidRPr="00291866" w:rsidRDefault="00FD7C5F" w:rsidP="00291866">
      <w:pPr>
        <w:spacing w:after="0" w:line="240" w:lineRule="auto"/>
      </w:pPr>
    </w:p>
    <w:p w:rsidR="00DB2D30" w:rsidRPr="00291866" w:rsidRDefault="00FD7C5F" w:rsidP="00291866">
      <w:pPr>
        <w:spacing w:after="0" w:line="240" w:lineRule="auto"/>
      </w:pPr>
      <w:r w:rsidRPr="00291866">
        <w:t>D</w:t>
      </w:r>
      <w:r w:rsidR="00DB2D30" w:rsidRPr="00291866">
        <w:t>ue to t</w:t>
      </w:r>
      <w:r w:rsidR="00E060C3">
        <w:t xml:space="preserve">he existing constraints </w:t>
      </w:r>
      <w:r w:rsidR="00E92FB0">
        <w:t>on</w:t>
      </w:r>
      <w:r w:rsidR="00E060C3">
        <w:t xml:space="preserve"> the distribution n</w:t>
      </w:r>
      <w:r w:rsidR="00DB2D30" w:rsidRPr="00291866">
        <w:t>etwork and high upfront reinforcement cost on new connections</w:t>
      </w:r>
      <w:r w:rsidRPr="00291866">
        <w:t xml:space="preserve">, </w:t>
      </w:r>
      <w:r w:rsidR="00E060C3">
        <w:t xml:space="preserve">the </w:t>
      </w:r>
      <w:r w:rsidRPr="00291866">
        <w:t>distribution connection charging boundary should be reviewed.</w:t>
      </w:r>
    </w:p>
    <w:p w:rsidR="00431AB7" w:rsidRPr="00291866" w:rsidRDefault="00431AB7" w:rsidP="00D72FA6">
      <w:pPr>
        <w:spacing w:after="0" w:line="240" w:lineRule="auto"/>
      </w:pPr>
    </w:p>
    <w:p w:rsidR="00603A3E" w:rsidRDefault="00603A3E" w:rsidP="00431AB7">
      <w:pPr>
        <w:spacing w:after="0" w:line="240" w:lineRule="auto"/>
        <w:rPr>
          <w:b/>
          <w:i/>
        </w:rPr>
      </w:pPr>
    </w:p>
    <w:p w:rsidR="00431AB7" w:rsidRPr="00291866" w:rsidRDefault="00431AB7" w:rsidP="00431AB7">
      <w:pPr>
        <w:spacing w:after="0" w:line="240" w:lineRule="auto"/>
        <w:rPr>
          <w:b/>
          <w:i/>
        </w:rPr>
      </w:pPr>
      <w:r w:rsidRPr="00291866">
        <w:rPr>
          <w:b/>
          <w:i/>
        </w:rPr>
        <w:t xml:space="preserve">Question 11: What are your views on whether Ofgem or the industry should lead the review of different areas? Please specify which of SCR scope options A-C you favour, or describe your alternative proposal if applicable. Please give reasons for your view. </w:t>
      </w:r>
    </w:p>
    <w:p w:rsidR="002975AB" w:rsidRPr="00291866" w:rsidRDefault="002975AB" w:rsidP="00291866">
      <w:pPr>
        <w:spacing w:after="0" w:line="240" w:lineRule="auto"/>
      </w:pPr>
    </w:p>
    <w:p w:rsidR="0083763D" w:rsidRPr="00291866" w:rsidRDefault="00E92FB0" w:rsidP="00291866">
      <w:pPr>
        <w:spacing w:after="0" w:line="240" w:lineRule="auto"/>
      </w:pPr>
      <w:r>
        <w:t>The</w:t>
      </w:r>
      <w:r w:rsidR="002975AB" w:rsidRPr="00291866">
        <w:t xml:space="preserve"> review proposed </w:t>
      </w:r>
      <w:r>
        <w:t>as part of</w:t>
      </w:r>
      <w:r w:rsidR="002975AB" w:rsidRPr="00291866">
        <w:t xml:space="preserve"> this consultation should be jointly led by Ofgem and industry. This </w:t>
      </w:r>
      <w:r>
        <w:t xml:space="preserve">will </w:t>
      </w:r>
      <w:r w:rsidR="002975AB" w:rsidRPr="00291866">
        <w:t xml:space="preserve">ensure that the review is balanced and </w:t>
      </w:r>
      <w:r w:rsidR="00823745" w:rsidRPr="00291866">
        <w:t xml:space="preserve">full visibility of </w:t>
      </w:r>
      <w:r w:rsidR="002975AB" w:rsidRPr="00291866">
        <w:t xml:space="preserve">the </w:t>
      </w:r>
      <w:r w:rsidR="00823745" w:rsidRPr="00291866">
        <w:t xml:space="preserve">market situation and </w:t>
      </w:r>
      <w:r w:rsidR="00E060C3">
        <w:t xml:space="preserve">market </w:t>
      </w:r>
      <w:r w:rsidR="00823745" w:rsidRPr="00291866">
        <w:t>interests</w:t>
      </w:r>
      <w:r w:rsidR="002975AB" w:rsidRPr="00291866">
        <w:t xml:space="preserve"> </w:t>
      </w:r>
      <w:r w:rsidR="00E060C3">
        <w:t>are</w:t>
      </w:r>
      <w:r w:rsidR="002975AB" w:rsidRPr="00291866">
        <w:t xml:space="preserve"> upheld throughout the review process</w:t>
      </w:r>
      <w:r w:rsidR="00823745" w:rsidRPr="00291866">
        <w:t>.</w:t>
      </w:r>
    </w:p>
    <w:p w:rsidR="002975AB" w:rsidRPr="00291866" w:rsidRDefault="002975AB" w:rsidP="00291866">
      <w:pPr>
        <w:spacing w:after="0" w:line="240" w:lineRule="auto"/>
      </w:pPr>
    </w:p>
    <w:p w:rsidR="00823745" w:rsidRPr="00291866" w:rsidRDefault="00010B95" w:rsidP="00291866">
      <w:pPr>
        <w:spacing w:after="0" w:line="240" w:lineRule="auto"/>
      </w:pPr>
      <w:r w:rsidRPr="00291866">
        <w:t xml:space="preserve">The preferred route for this review is </w:t>
      </w:r>
      <w:r w:rsidR="00823745" w:rsidRPr="00291866">
        <w:t>Option A</w:t>
      </w:r>
      <w:r w:rsidRPr="00291866">
        <w:t>,</w:t>
      </w:r>
      <w:r w:rsidR="00823745" w:rsidRPr="00291866">
        <w:t xml:space="preserve"> as </w:t>
      </w:r>
      <w:r w:rsidR="00E92FB0">
        <w:t>this ensures</w:t>
      </w:r>
      <w:r w:rsidRPr="00291866">
        <w:t xml:space="preserve"> that </w:t>
      </w:r>
      <w:r w:rsidR="00823745" w:rsidRPr="00291866">
        <w:t>Ofgem will act on behalf of small users and consumers</w:t>
      </w:r>
      <w:r w:rsidRPr="00291866">
        <w:t>. I</w:t>
      </w:r>
      <w:r w:rsidR="00823745" w:rsidRPr="00291866">
        <w:t xml:space="preserve">n relation to large </w:t>
      </w:r>
      <w:r w:rsidRPr="00291866">
        <w:t>energy g</w:t>
      </w:r>
      <w:r w:rsidR="00823745" w:rsidRPr="00291866">
        <w:t>enerators</w:t>
      </w:r>
      <w:r w:rsidRPr="00291866">
        <w:t xml:space="preserve">, the review </w:t>
      </w:r>
      <w:r w:rsidR="00642F3E" w:rsidRPr="00291866">
        <w:t xml:space="preserve">and any proposed </w:t>
      </w:r>
      <w:r w:rsidR="00823745" w:rsidRPr="00291866">
        <w:t xml:space="preserve">changes should be led by </w:t>
      </w:r>
      <w:r w:rsidR="00642F3E" w:rsidRPr="00291866">
        <w:t>i</w:t>
      </w:r>
      <w:r w:rsidR="00823745" w:rsidRPr="00291866">
        <w:t>ndustry</w:t>
      </w:r>
      <w:r w:rsidR="00642F3E" w:rsidRPr="00291866">
        <w:t xml:space="preserve">, as it is better placed to understand and consider the </w:t>
      </w:r>
      <w:r w:rsidR="00823745" w:rsidRPr="00291866">
        <w:t xml:space="preserve">needs </w:t>
      </w:r>
      <w:r w:rsidR="00642F3E" w:rsidRPr="00291866">
        <w:t>of large scale energy generation</w:t>
      </w:r>
      <w:r w:rsidR="00823745" w:rsidRPr="00291866">
        <w:t>.</w:t>
      </w:r>
    </w:p>
    <w:p w:rsidR="00431AB7" w:rsidRPr="00291866" w:rsidRDefault="00431AB7" w:rsidP="00431AB7">
      <w:pPr>
        <w:spacing w:after="0" w:line="240" w:lineRule="auto"/>
      </w:pPr>
    </w:p>
    <w:p w:rsidR="00603A3E" w:rsidRDefault="00603A3E" w:rsidP="00431AB7">
      <w:pPr>
        <w:spacing w:after="0" w:line="240" w:lineRule="auto"/>
        <w:rPr>
          <w:b/>
          <w:i/>
        </w:rPr>
      </w:pPr>
    </w:p>
    <w:p w:rsidR="00431AB7" w:rsidRPr="00291866" w:rsidRDefault="00431AB7" w:rsidP="00431AB7">
      <w:pPr>
        <w:spacing w:after="0" w:line="240" w:lineRule="auto"/>
        <w:rPr>
          <w:b/>
          <w:i/>
        </w:rPr>
      </w:pPr>
      <w:r w:rsidRPr="00291866">
        <w:rPr>
          <w:b/>
          <w:i/>
        </w:rPr>
        <w:t xml:space="preserve">Question 12: Do you agree with our proposal to launch an ‘Option 1’ SCR for areas of review that we lead on? Please give reasons for your view. </w:t>
      </w:r>
    </w:p>
    <w:p w:rsidR="00FF0C77" w:rsidRPr="00291866" w:rsidRDefault="00FF0C77" w:rsidP="00291866">
      <w:pPr>
        <w:spacing w:after="0" w:line="240" w:lineRule="auto"/>
      </w:pPr>
    </w:p>
    <w:p w:rsidR="00823745" w:rsidRPr="00291866" w:rsidRDefault="00E060C3" w:rsidP="00291866">
      <w:pPr>
        <w:spacing w:after="0" w:line="240" w:lineRule="auto"/>
      </w:pPr>
      <w:r>
        <w:t>See response</w:t>
      </w:r>
      <w:r w:rsidR="004241A3">
        <w:t xml:space="preserve"> to question 11. </w:t>
      </w:r>
    </w:p>
    <w:p w:rsidR="00431AB7" w:rsidRPr="00291866" w:rsidRDefault="00431AB7" w:rsidP="00431AB7">
      <w:pPr>
        <w:spacing w:after="0" w:line="240" w:lineRule="auto"/>
      </w:pPr>
    </w:p>
    <w:p w:rsidR="00431AB7" w:rsidRPr="00291866" w:rsidRDefault="00431AB7" w:rsidP="00431AB7">
      <w:pPr>
        <w:spacing w:after="0" w:line="240" w:lineRule="auto"/>
        <w:rPr>
          <w:b/>
          <w:i/>
        </w:rPr>
      </w:pPr>
      <w:r w:rsidRPr="00291866">
        <w:rPr>
          <w:b/>
          <w:i/>
        </w:rPr>
        <w:t xml:space="preserve">Question 13: 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 </w:t>
      </w:r>
    </w:p>
    <w:p w:rsidR="00FF0C77" w:rsidRPr="00291866" w:rsidRDefault="00FF0C77" w:rsidP="00291866">
      <w:pPr>
        <w:spacing w:after="0" w:line="240" w:lineRule="auto"/>
      </w:pPr>
    </w:p>
    <w:p w:rsidR="001E49E1" w:rsidRPr="00291866" w:rsidRDefault="00FF0C77" w:rsidP="00291866">
      <w:pPr>
        <w:spacing w:after="0" w:line="240" w:lineRule="auto"/>
      </w:pPr>
      <w:r w:rsidRPr="00291866">
        <w:t>NextEnergy Capital supports the intro</w:t>
      </w:r>
      <w:r w:rsidR="00E92FB0">
        <w:t xml:space="preserve">duction of a licence condition </w:t>
      </w:r>
      <w:r w:rsidRPr="00291866">
        <w:t xml:space="preserve">as outlined </w:t>
      </w:r>
      <w:r w:rsidR="00E92FB0">
        <w:t>in this</w:t>
      </w:r>
      <w:r w:rsidRPr="00291866">
        <w:t xml:space="preserve"> consultation. </w:t>
      </w:r>
      <w:r w:rsidR="00E92FB0">
        <w:t>T</w:t>
      </w:r>
      <w:r w:rsidR="00E92FB0" w:rsidRPr="00291866">
        <w:t>he intro</w:t>
      </w:r>
      <w:r w:rsidR="00E92FB0">
        <w:t xml:space="preserve">duction of a licence condition </w:t>
      </w:r>
      <w:r w:rsidRPr="00291866">
        <w:t xml:space="preserve">will </w:t>
      </w:r>
      <w:r w:rsidR="001E49E1" w:rsidRPr="00291866">
        <w:t>increase efficiency in the process</w:t>
      </w:r>
      <w:r w:rsidRPr="00291866">
        <w:t>.</w:t>
      </w:r>
      <w:r w:rsidR="001E49E1" w:rsidRPr="00291866">
        <w:t xml:space="preserve"> </w:t>
      </w:r>
      <w:r w:rsidRPr="00291866">
        <w:t xml:space="preserve">Additionally, </w:t>
      </w:r>
      <w:r w:rsidR="00E92FB0">
        <w:t>the proposed</w:t>
      </w:r>
      <w:r w:rsidRPr="00291866">
        <w:t xml:space="preserve"> changes </w:t>
      </w:r>
      <w:r w:rsidR="001E49E1" w:rsidRPr="00291866">
        <w:t xml:space="preserve">would benefit the future implementation of </w:t>
      </w:r>
      <w:r w:rsidR="00E92FB0">
        <w:t>the license condition</w:t>
      </w:r>
      <w:r w:rsidR="001E49E1" w:rsidRPr="00291866">
        <w:t xml:space="preserve"> and allow for a better representation of the users</w:t>
      </w:r>
      <w:r w:rsidR="00E92FB0">
        <w:t>’</w:t>
      </w:r>
      <w:r w:rsidR="001E49E1" w:rsidRPr="00291866">
        <w:t xml:space="preserve"> interest.</w:t>
      </w:r>
    </w:p>
    <w:p w:rsidR="00431AB7" w:rsidRPr="00291866" w:rsidRDefault="00431AB7" w:rsidP="00431AB7">
      <w:pPr>
        <w:spacing w:after="0" w:line="240" w:lineRule="auto"/>
      </w:pPr>
    </w:p>
    <w:p w:rsidR="00603A3E" w:rsidRDefault="00603A3E" w:rsidP="00431AB7">
      <w:pPr>
        <w:spacing w:after="0" w:line="240" w:lineRule="auto"/>
        <w:rPr>
          <w:b/>
          <w:i/>
        </w:rPr>
      </w:pPr>
    </w:p>
    <w:p w:rsidR="00431AB7" w:rsidRPr="00291866" w:rsidRDefault="00431AB7" w:rsidP="00431AB7">
      <w:pPr>
        <w:spacing w:after="0" w:line="240" w:lineRule="auto"/>
        <w:rPr>
          <w:b/>
          <w:i/>
        </w:rPr>
      </w:pPr>
      <w:r w:rsidRPr="00291866">
        <w:rPr>
          <w:b/>
          <w:i/>
        </w:rPr>
        <w:t>Question 14: Do you have any comments on the draft wording of the outline licence condition included at Appendix 5b? Please give reasons for your view.</w:t>
      </w:r>
      <w:r w:rsidR="001E005A" w:rsidRPr="00291866">
        <w:rPr>
          <w:b/>
          <w:i/>
        </w:rPr>
        <w:t xml:space="preserve"> </w:t>
      </w:r>
    </w:p>
    <w:p w:rsidR="00FF0C77" w:rsidRPr="00291866" w:rsidRDefault="00FF0C77" w:rsidP="00291866">
      <w:pPr>
        <w:spacing w:after="0" w:line="240" w:lineRule="auto"/>
      </w:pPr>
    </w:p>
    <w:p w:rsidR="00667F23" w:rsidRPr="00291866" w:rsidRDefault="00E060C3" w:rsidP="00291866">
      <w:pPr>
        <w:spacing w:after="0" w:line="240" w:lineRule="auto"/>
      </w:pPr>
      <w:r>
        <w:t xml:space="preserve">The </w:t>
      </w:r>
      <w:r w:rsidR="00FF0C77" w:rsidRPr="00291866">
        <w:t>draft w</w:t>
      </w:r>
      <w:r w:rsidR="00E92FB0">
        <w:t>ording of the licence condition</w:t>
      </w:r>
      <w:r w:rsidR="00FF0C77" w:rsidRPr="00291866">
        <w:t xml:space="preserve"> outlined in Appendix 5b </w:t>
      </w:r>
      <w:r w:rsidR="00E92FB0">
        <w:t>appears to be</w:t>
      </w:r>
      <w:r w:rsidR="00FF0C77" w:rsidRPr="00291866">
        <w:t xml:space="preserve"> comprehensive in relation to both </w:t>
      </w:r>
      <w:r>
        <w:t xml:space="preserve">the </w:t>
      </w:r>
      <w:r w:rsidR="00FF0C77" w:rsidRPr="00291866">
        <w:t>p</w:t>
      </w:r>
      <w:r w:rsidR="00667F23" w:rsidRPr="00291866">
        <w:t>rocess and</w:t>
      </w:r>
      <w:r w:rsidR="00FF0C77" w:rsidRPr="00291866">
        <w:t xml:space="preserve"> condition</w:t>
      </w:r>
      <w:r w:rsidR="00667F23" w:rsidRPr="00291866">
        <w:t xml:space="preserve"> </w:t>
      </w:r>
      <w:r w:rsidR="00584488" w:rsidRPr="00291866">
        <w:t>requirements.</w:t>
      </w:r>
      <w:r w:rsidR="00FF0C77" w:rsidRPr="00291866">
        <w:t xml:space="preserve"> However, the co</w:t>
      </w:r>
      <w:r w:rsidR="00667F23" w:rsidRPr="00291866">
        <w:t>nsultation an</w:t>
      </w:r>
      <w:r w:rsidR="00584488" w:rsidRPr="00291866">
        <w:t>d</w:t>
      </w:r>
      <w:r w:rsidR="00FF0C77" w:rsidRPr="00291866">
        <w:t xml:space="preserve"> any</w:t>
      </w:r>
      <w:r w:rsidR="00584488" w:rsidRPr="00291866">
        <w:t xml:space="preserve"> information </w:t>
      </w:r>
      <w:r w:rsidR="00FF0C77" w:rsidRPr="00291866">
        <w:t xml:space="preserve">to be provided to </w:t>
      </w:r>
      <w:r w:rsidR="00584488" w:rsidRPr="00291866">
        <w:t>affected parties should be included as part of</w:t>
      </w:r>
      <w:r>
        <w:t xml:space="preserve"> the</w:t>
      </w:r>
      <w:r w:rsidR="00584488" w:rsidRPr="00291866">
        <w:t xml:space="preserve"> obligations and process.</w:t>
      </w:r>
    </w:p>
    <w:p w:rsidR="00FF0C77" w:rsidRPr="00291866" w:rsidRDefault="00FF0C77" w:rsidP="00291866">
      <w:pPr>
        <w:spacing w:after="0" w:line="240" w:lineRule="auto"/>
      </w:pPr>
    </w:p>
    <w:p w:rsidR="00603A3E" w:rsidRDefault="00603A3E" w:rsidP="00431AB7">
      <w:pPr>
        <w:spacing w:after="0" w:line="240" w:lineRule="auto"/>
        <w:rPr>
          <w:b/>
          <w:i/>
        </w:rPr>
      </w:pPr>
    </w:p>
    <w:p w:rsidR="00431AB7" w:rsidRPr="00291866" w:rsidRDefault="00431AB7" w:rsidP="00431AB7">
      <w:pPr>
        <w:spacing w:after="0" w:line="240" w:lineRule="auto"/>
        <w:rPr>
          <w:b/>
          <w:i/>
        </w:rPr>
      </w:pPr>
      <w:r w:rsidRPr="00291866">
        <w:rPr>
          <w:b/>
          <w:i/>
        </w:rPr>
        <w:t xml:space="preserve">Question 15: What are your views on our indicative timelines? Do you foresee any potential challenges to, or implications of, the proposed timelines and how could these be mitigated? </w:t>
      </w:r>
    </w:p>
    <w:p w:rsidR="00FF0C77" w:rsidRPr="00291866" w:rsidRDefault="00FF0C77" w:rsidP="00291866">
      <w:pPr>
        <w:spacing w:after="0" w:line="240" w:lineRule="auto"/>
      </w:pPr>
    </w:p>
    <w:p w:rsidR="00584488" w:rsidRPr="00291866" w:rsidRDefault="00FF0C77" w:rsidP="00291866">
      <w:pPr>
        <w:spacing w:after="0" w:line="240" w:lineRule="auto"/>
      </w:pPr>
      <w:r w:rsidRPr="00291866">
        <w:t xml:space="preserve">The short term nature of these timelines would likely be a challenge, as they could </w:t>
      </w:r>
      <w:r w:rsidR="00584488" w:rsidRPr="00291866">
        <w:t xml:space="preserve">negatively affect </w:t>
      </w:r>
      <w:r w:rsidRPr="00291866">
        <w:t xml:space="preserve">both the </w:t>
      </w:r>
      <w:r w:rsidR="00584488" w:rsidRPr="00291866">
        <w:t>development and deployment o</w:t>
      </w:r>
      <w:r w:rsidRPr="00291866">
        <w:t>f</w:t>
      </w:r>
      <w:r w:rsidR="00584488" w:rsidRPr="00291866">
        <w:t xml:space="preserve"> </w:t>
      </w:r>
      <w:r w:rsidRPr="00291866">
        <w:t>s</w:t>
      </w:r>
      <w:r w:rsidR="00584488" w:rsidRPr="00291866">
        <w:t xml:space="preserve">ubsidy </w:t>
      </w:r>
      <w:r w:rsidRPr="00291866">
        <w:t>f</w:t>
      </w:r>
      <w:r w:rsidR="00584488" w:rsidRPr="00291866">
        <w:t xml:space="preserve">ree </w:t>
      </w:r>
      <w:r w:rsidRPr="00291866">
        <w:t>p</w:t>
      </w:r>
      <w:r w:rsidR="00584488" w:rsidRPr="00291866">
        <w:t xml:space="preserve">rojects </w:t>
      </w:r>
      <w:r w:rsidR="00E92FB0">
        <w:t>in the short term</w:t>
      </w:r>
      <w:r w:rsidR="00584488" w:rsidRPr="00291866">
        <w:t>.</w:t>
      </w:r>
    </w:p>
    <w:p w:rsidR="00431AB7" w:rsidRPr="00291866" w:rsidRDefault="00431AB7" w:rsidP="00431AB7">
      <w:pPr>
        <w:spacing w:after="0" w:line="240" w:lineRule="auto"/>
      </w:pPr>
    </w:p>
    <w:p w:rsidR="00603A3E" w:rsidRDefault="00603A3E" w:rsidP="00431AB7">
      <w:pPr>
        <w:spacing w:after="0" w:line="240" w:lineRule="auto"/>
        <w:rPr>
          <w:b/>
          <w:i/>
        </w:rPr>
      </w:pPr>
    </w:p>
    <w:p w:rsidR="00431AB7" w:rsidRPr="00291866" w:rsidRDefault="00431AB7" w:rsidP="00431AB7">
      <w:pPr>
        <w:spacing w:after="0" w:line="240" w:lineRule="auto"/>
        <w:rPr>
          <w:b/>
          <w:i/>
        </w:rPr>
      </w:pPr>
      <w:r w:rsidRPr="00291866">
        <w:rPr>
          <w:b/>
          <w:i/>
        </w:rPr>
        <w:t>Question 16: What are your views on our proposals for coordinating and engaging stakeholders in this work?</w:t>
      </w:r>
    </w:p>
    <w:p w:rsidR="00FF0C77" w:rsidRPr="00291866" w:rsidRDefault="00FF0C77" w:rsidP="00291866">
      <w:pPr>
        <w:spacing w:after="0" w:line="240" w:lineRule="auto"/>
      </w:pPr>
    </w:p>
    <w:p w:rsidR="00E060C3" w:rsidRDefault="00B667D0" w:rsidP="00291866">
      <w:pPr>
        <w:spacing w:after="0" w:line="240" w:lineRule="auto"/>
      </w:pPr>
      <w:r w:rsidRPr="00291866">
        <w:t xml:space="preserve">The </w:t>
      </w:r>
      <w:r w:rsidR="00FF0C77" w:rsidRPr="00291866">
        <w:t>S</w:t>
      </w:r>
      <w:r w:rsidRPr="00291866">
        <w:t xml:space="preserve">olar </w:t>
      </w:r>
      <w:r w:rsidR="00FF0C77" w:rsidRPr="00291866">
        <w:t>T</w:t>
      </w:r>
      <w:r w:rsidRPr="00291866">
        <w:t xml:space="preserve">rade </w:t>
      </w:r>
      <w:r w:rsidR="00FF0C77" w:rsidRPr="00291866">
        <w:t>A</w:t>
      </w:r>
      <w:r w:rsidRPr="00291866">
        <w:t>ssociation</w:t>
      </w:r>
      <w:r w:rsidR="00FF0C77" w:rsidRPr="00291866">
        <w:t xml:space="preserve"> (STA)</w:t>
      </w:r>
      <w:r w:rsidRPr="00291866">
        <w:t xml:space="preserve"> </w:t>
      </w:r>
      <w:r w:rsidR="00FF0C77" w:rsidRPr="00291866">
        <w:t xml:space="preserve">is best positioned to </w:t>
      </w:r>
      <w:r w:rsidRPr="00291866">
        <w:t>lead and coordinate the response from the solar PV industry</w:t>
      </w:r>
      <w:r w:rsidR="00A91058" w:rsidRPr="00291866">
        <w:t>. The</w:t>
      </w:r>
      <w:r w:rsidRPr="00291866">
        <w:t xml:space="preserve"> </w:t>
      </w:r>
      <w:r w:rsidR="00FF0C77" w:rsidRPr="00291866">
        <w:t xml:space="preserve">membership of the </w:t>
      </w:r>
      <w:r w:rsidR="00A91058" w:rsidRPr="00291866">
        <w:t>STA</w:t>
      </w:r>
      <w:r w:rsidRPr="00291866">
        <w:t xml:space="preserve"> </w:t>
      </w:r>
      <w:r w:rsidR="00A91058" w:rsidRPr="00291866">
        <w:t xml:space="preserve">range from </w:t>
      </w:r>
      <w:r w:rsidRPr="00291866">
        <w:t xml:space="preserve">small installers </w:t>
      </w:r>
      <w:r w:rsidR="00A91058" w:rsidRPr="00291866">
        <w:t>to</w:t>
      </w:r>
      <w:r w:rsidRPr="00291866">
        <w:t xml:space="preserve"> large scale asset owners</w:t>
      </w:r>
      <w:r w:rsidR="00E060C3">
        <w:t>, making the STA the ideal body to convey the range of views from across the solar industry</w:t>
      </w:r>
      <w:r w:rsidRPr="00291866">
        <w:t xml:space="preserve">. </w:t>
      </w:r>
    </w:p>
    <w:p w:rsidR="00E060C3" w:rsidRDefault="00E060C3" w:rsidP="00291866">
      <w:pPr>
        <w:spacing w:after="0" w:line="240" w:lineRule="auto"/>
      </w:pPr>
    </w:p>
    <w:p w:rsidR="001E005A" w:rsidRPr="00291866" w:rsidRDefault="00E060C3" w:rsidP="00291866">
      <w:pPr>
        <w:spacing w:after="0" w:line="240" w:lineRule="auto"/>
      </w:pPr>
      <w:r>
        <w:t>Additionally, a</w:t>
      </w:r>
      <w:r w:rsidR="00FF0C77" w:rsidRPr="00291866">
        <w:t>s a</w:t>
      </w:r>
      <w:r w:rsidR="00B667D0" w:rsidRPr="00291866">
        <w:t xml:space="preserve"> significant proportion of the 15</w:t>
      </w:r>
      <w:r w:rsidR="00E92FB0">
        <w:t xml:space="preserve"> </w:t>
      </w:r>
      <w:r w:rsidR="00B667D0" w:rsidRPr="00291866">
        <w:t>GW of solar</w:t>
      </w:r>
      <w:r w:rsidR="00FF0C77" w:rsidRPr="00291866">
        <w:t xml:space="preserve"> generation that is currently deployed</w:t>
      </w:r>
      <w:r w:rsidR="00B667D0" w:rsidRPr="00291866">
        <w:t xml:space="preserve"> in the UK is owned by institutional investors it is imperative to</w:t>
      </w:r>
      <w:r w:rsidR="004241A3" w:rsidRPr="00291866">
        <w:t xml:space="preserve"> ensure the views of these organisations are accounted for. The views of </w:t>
      </w:r>
      <w:r w:rsidR="00B667D0" w:rsidRPr="00291866">
        <w:t>the installers of smaller residential</w:t>
      </w:r>
      <w:r w:rsidR="004241A3" w:rsidRPr="00291866">
        <w:t>,</w:t>
      </w:r>
      <w:r w:rsidR="00B667D0" w:rsidRPr="00291866">
        <w:t xml:space="preserve"> commercial and industrial </w:t>
      </w:r>
      <w:r w:rsidR="004241A3" w:rsidRPr="00291866">
        <w:t xml:space="preserve">solar generation should also be sought as part of any stakeholder engagement undertaken by Ofgem’s review process. </w:t>
      </w:r>
    </w:p>
    <w:p w:rsidR="001E005A" w:rsidRDefault="001E005A" w:rsidP="00431AB7">
      <w:pPr>
        <w:spacing w:after="0" w:line="240" w:lineRule="auto"/>
      </w:pPr>
    </w:p>
    <w:p w:rsidR="001E005A" w:rsidRPr="001E005A" w:rsidRDefault="001E005A" w:rsidP="001E005A">
      <w:pPr>
        <w:spacing w:after="0" w:line="240" w:lineRule="auto"/>
      </w:pPr>
    </w:p>
    <w:sectPr w:rsidR="001E005A" w:rsidRPr="001E005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E39" w:rsidRDefault="00D95E39" w:rsidP="0003593F">
      <w:pPr>
        <w:spacing w:after="0" w:line="240" w:lineRule="auto"/>
      </w:pPr>
      <w:r>
        <w:separator/>
      </w:r>
    </w:p>
  </w:endnote>
  <w:endnote w:type="continuationSeparator" w:id="0">
    <w:p w:rsidR="00D95E39" w:rsidRDefault="00D95E39" w:rsidP="0003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484324"/>
      <w:docPartObj>
        <w:docPartGallery w:val="Page Numbers (Bottom of Page)"/>
        <w:docPartUnique/>
      </w:docPartObj>
    </w:sdtPr>
    <w:sdtEndPr>
      <w:rPr>
        <w:noProof/>
      </w:rPr>
    </w:sdtEndPr>
    <w:sdtContent>
      <w:p w:rsidR="00D95E39" w:rsidRDefault="00D95E39">
        <w:pPr>
          <w:pStyle w:val="Footer"/>
          <w:jc w:val="right"/>
        </w:pPr>
        <w:r>
          <w:fldChar w:fldCharType="begin"/>
        </w:r>
        <w:r>
          <w:instrText xml:space="preserve"> PAGE   \* MERGEFORMAT </w:instrText>
        </w:r>
        <w:r>
          <w:fldChar w:fldCharType="separate"/>
        </w:r>
        <w:r w:rsidR="0037575D">
          <w:rPr>
            <w:noProof/>
          </w:rPr>
          <w:t>2</w:t>
        </w:r>
        <w:r>
          <w:rPr>
            <w:noProof/>
          </w:rPr>
          <w:fldChar w:fldCharType="end"/>
        </w:r>
      </w:p>
    </w:sdtContent>
  </w:sdt>
  <w:p w:rsidR="00D95E39" w:rsidRDefault="00D95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E39" w:rsidRDefault="00D95E39" w:rsidP="0003593F">
      <w:pPr>
        <w:spacing w:after="0" w:line="240" w:lineRule="auto"/>
      </w:pPr>
      <w:r>
        <w:separator/>
      </w:r>
    </w:p>
  </w:footnote>
  <w:footnote w:type="continuationSeparator" w:id="0">
    <w:p w:rsidR="00D95E39" w:rsidRDefault="00D95E39" w:rsidP="00035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39" w:rsidRDefault="00D95E39" w:rsidP="00F558D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BD5"/>
    <w:multiLevelType w:val="hybridMultilevel"/>
    <w:tmpl w:val="A418C8A8"/>
    <w:lvl w:ilvl="0" w:tplc="8AFA130A">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75B72"/>
    <w:multiLevelType w:val="hybridMultilevel"/>
    <w:tmpl w:val="CA28E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22D8"/>
    <w:multiLevelType w:val="hybridMultilevel"/>
    <w:tmpl w:val="841EF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A5E1B"/>
    <w:multiLevelType w:val="hybridMultilevel"/>
    <w:tmpl w:val="F22AF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923DA"/>
    <w:multiLevelType w:val="hybridMultilevel"/>
    <w:tmpl w:val="382A09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5D2550"/>
    <w:multiLevelType w:val="hybridMultilevel"/>
    <w:tmpl w:val="311448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F68E9"/>
    <w:multiLevelType w:val="hybridMultilevel"/>
    <w:tmpl w:val="C42075CE"/>
    <w:lvl w:ilvl="0" w:tplc="EB803C62">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56779F"/>
    <w:multiLevelType w:val="hybridMultilevel"/>
    <w:tmpl w:val="E23245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0063D45"/>
    <w:multiLevelType w:val="hybridMultilevel"/>
    <w:tmpl w:val="8F423B02"/>
    <w:lvl w:ilvl="0" w:tplc="674A031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E11D0C"/>
    <w:multiLevelType w:val="hybridMultilevel"/>
    <w:tmpl w:val="80AA7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C59E8"/>
    <w:multiLevelType w:val="hybridMultilevel"/>
    <w:tmpl w:val="8F1811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A681BB2"/>
    <w:multiLevelType w:val="hybridMultilevel"/>
    <w:tmpl w:val="5BD45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B0386C"/>
    <w:multiLevelType w:val="hybridMultilevel"/>
    <w:tmpl w:val="257A3182"/>
    <w:lvl w:ilvl="0" w:tplc="5FACE6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77047B"/>
    <w:multiLevelType w:val="hybridMultilevel"/>
    <w:tmpl w:val="2BF81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7F24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8A67124"/>
    <w:multiLevelType w:val="hybridMultilevel"/>
    <w:tmpl w:val="971CA0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C3D2F9D"/>
    <w:multiLevelType w:val="hybridMultilevel"/>
    <w:tmpl w:val="9AD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7A65AB"/>
    <w:multiLevelType w:val="hybridMultilevel"/>
    <w:tmpl w:val="1E94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6A2C12"/>
    <w:multiLevelType w:val="hybridMultilevel"/>
    <w:tmpl w:val="B9162FA8"/>
    <w:lvl w:ilvl="0" w:tplc="55D2CA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C24C04"/>
    <w:multiLevelType w:val="hybridMultilevel"/>
    <w:tmpl w:val="E260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057582"/>
    <w:multiLevelType w:val="hybridMultilevel"/>
    <w:tmpl w:val="AAC0FB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B03F4"/>
    <w:multiLevelType w:val="hybridMultilevel"/>
    <w:tmpl w:val="A99E97AE"/>
    <w:lvl w:ilvl="0" w:tplc="EB803C62">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0445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890865"/>
    <w:multiLevelType w:val="hybridMultilevel"/>
    <w:tmpl w:val="583EAB32"/>
    <w:lvl w:ilvl="0" w:tplc="243EC14C">
      <w:start w:val="1"/>
      <w:numFmt w:val="lowerRoman"/>
      <w:lvlText w:val="(%1)"/>
      <w:lvlJc w:val="left"/>
      <w:pPr>
        <w:ind w:left="1080" w:hanging="720"/>
      </w:pPr>
      <w:rPr>
        <w:rFonts w:hint="default"/>
      </w:rPr>
    </w:lvl>
    <w:lvl w:ilvl="1" w:tplc="43847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D220A1"/>
    <w:multiLevelType w:val="hybridMultilevel"/>
    <w:tmpl w:val="DBC21AA2"/>
    <w:lvl w:ilvl="0" w:tplc="E6ECAF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2E15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65D01BA"/>
    <w:multiLevelType w:val="hybridMultilevel"/>
    <w:tmpl w:val="F81CE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E69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D030A1A"/>
    <w:multiLevelType w:val="hybridMultilevel"/>
    <w:tmpl w:val="551A1D72"/>
    <w:lvl w:ilvl="0" w:tplc="E5405A08">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F32427F"/>
    <w:multiLevelType w:val="hybridMultilevel"/>
    <w:tmpl w:val="3CEECA0C"/>
    <w:lvl w:ilvl="0" w:tplc="921CCA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97411D"/>
    <w:multiLevelType w:val="hybridMultilevel"/>
    <w:tmpl w:val="71EE2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F702F9"/>
    <w:multiLevelType w:val="hybridMultilevel"/>
    <w:tmpl w:val="98F6B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4C2A0F"/>
    <w:multiLevelType w:val="hybridMultilevel"/>
    <w:tmpl w:val="941A465A"/>
    <w:lvl w:ilvl="0" w:tplc="EB803C62">
      <w:start w:val="1"/>
      <w:numFmt w:val="bullet"/>
      <w:lvlText w:val=""/>
      <w:lvlJc w:val="left"/>
      <w:pPr>
        <w:ind w:left="773" w:hanging="360"/>
      </w:pPr>
      <w:rPr>
        <w:rFonts w:ascii="Symbol" w:hAnsi="Symbol" w:hint="default"/>
        <w:color w:val="FF0000"/>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3" w15:restartNumberingAfterBreak="0">
    <w:nsid w:val="707220CE"/>
    <w:multiLevelType w:val="hybridMultilevel"/>
    <w:tmpl w:val="58BE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EE3CD7"/>
    <w:multiLevelType w:val="hybridMultilevel"/>
    <w:tmpl w:val="76B8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CF43F5"/>
    <w:multiLevelType w:val="hybridMultilevel"/>
    <w:tmpl w:val="B8B8E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2"/>
  </w:num>
  <w:num w:numId="4">
    <w:abstractNumId w:val="16"/>
  </w:num>
  <w:num w:numId="5">
    <w:abstractNumId w:val="1"/>
  </w:num>
  <w:num w:numId="6">
    <w:abstractNumId w:val="4"/>
  </w:num>
  <w:num w:numId="7">
    <w:abstractNumId w:val="5"/>
  </w:num>
  <w:num w:numId="8">
    <w:abstractNumId w:val="20"/>
  </w:num>
  <w:num w:numId="9">
    <w:abstractNumId w:val="33"/>
  </w:num>
  <w:num w:numId="10">
    <w:abstractNumId w:val="34"/>
  </w:num>
  <w:num w:numId="11">
    <w:abstractNumId w:val="19"/>
  </w:num>
  <w:num w:numId="12">
    <w:abstractNumId w:val="26"/>
  </w:num>
  <w:num w:numId="13">
    <w:abstractNumId w:val="27"/>
  </w:num>
  <w:num w:numId="14">
    <w:abstractNumId w:val="3"/>
  </w:num>
  <w:num w:numId="15">
    <w:abstractNumId w:val="17"/>
  </w:num>
  <w:num w:numId="16">
    <w:abstractNumId w:val="11"/>
  </w:num>
  <w:num w:numId="17">
    <w:abstractNumId w:val="25"/>
  </w:num>
  <w:num w:numId="18">
    <w:abstractNumId w:val="22"/>
  </w:num>
  <w:num w:numId="19">
    <w:abstractNumId w:val="29"/>
  </w:num>
  <w:num w:numId="20">
    <w:abstractNumId w:val="12"/>
  </w:num>
  <w:num w:numId="21">
    <w:abstractNumId w:val="14"/>
  </w:num>
  <w:num w:numId="22">
    <w:abstractNumId w:val="18"/>
  </w:num>
  <w:num w:numId="23">
    <w:abstractNumId w:val="23"/>
  </w:num>
  <w:num w:numId="24">
    <w:abstractNumId w:val="24"/>
  </w:num>
  <w:num w:numId="25">
    <w:abstractNumId w:val="8"/>
  </w:num>
  <w:num w:numId="26">
    <w:abstractNumId w:val="13"/>
  </w:num>
  <w:num w:numId="27">
    <w:abstractNumId w:val="15"/>
  </w:num>
  <w:num w:numId="28">
    <w:abstractNumId w:val="10"/>
  </w:num>
  <w:num w:numId="29">
    <w:abstractNumId w:val="28"/>
  </w:num>
  <w:num w:numId="30">
    <w:abstractNumId w:val="7"/>
  </w:num>
  <w:num w:numId="31">
    <w:abstractNumId w:val="31"/>
  </w:num>
  <w:num w:numId="32">
    <w:abstractNumId w:val="0"/>
  </w:num>
  <w:num w:numId="33">
    <w:abstractNumId w:val="35"/>
  </w:num>
  <w:num w:numId="34">
    <w:abstractNumId w:val="6"/>
  </w:num>
  <w:num w:numId="35">
    <w:abstractNumId w:val="32"/>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538"/>
    <w:rsid w:val="00010B95"/>
    <w:rsid w:val="0003593F"/>
    <w:rsid w:val="000A338C"/>
    <w:rsid w:val="000B72DC"/>
    <w:rsid w:val="000D0D67"/>
    <w:rsid w:val="000E0C05"/>
    <w:rsid w:val="000E3F58"/>
    <w:rsid w:val="00121899"/>
    <w:rsid w:val="00125ECA"/>
    <w:rsid w:val="001C10D9"/>
    <w:rsid w:val="001E005A"/>
    <w:rsid w:val="001E49E1"/>
    <w:rsid w:val="00245A0F"/>
    <w:rsid w:val="00255C79"/>
    <w:rsid w:val="00291866"/>
    <w:rsid w:val="00292025"/>
    <w:rsid w:val="002975AB"/>
    <w:rsid w:val="002F65E5"/>
    <w:rsid w:val="00370903"/>
    <w:rsid w:val="003719CF"/>
    <w:rsid w:val="0037575D"/>
    <w:rsid w:val="003909AD"/>
    <w:rsid w:val="003A0855"/>
    <w:rsid w:val="003D7620"/>
    <w:rsid w:val="003F5538"/>
    <w:rsid w:val="0040401A"/>
    <w:rsid w:val="00422E16"/>
    <w:rsid w:val="004241A3"/>
    <w:rsid w:val="00431AB7"/>
    <w:rsid w:val="004E14A3"/>
    <w:rsid w:val="005449F6"/>
    <w:rsid w:val="00564B56"/>
    <w:rsid w:val="00582E64"/>
    <w:rsid w:val="00584488"/>
    <w:rsid w:val="00587961"/>
    <w:rsid w:val="005D1E21"/>
    <w:rsid w:val="005D726D"/>
    <w:rsid w:val="00603224"/>
    <w:rsid w:val="00603A3E"/>
    <w:rsid w:val="00642F3E"/>
    <w:rsid w:val="0065428F"/>
    <w:rsid w:val="00667F23"/>
    <w:rsid w:val="00693F2F"/>
    <w:rsid w:val="00787E94"/>
    <w:rsid w:val="0079756A"/>
    <w:rsid w:val="007F729A"/>
    <w:rsid w:val="00823745"/>
    <w:rsid w:val="0083763D"/>
    <w:rsid w:val="00877ABE"/>
    <w:rsid w:val="00877E35"/>
    <w:rsid w:val="008B2571"/>
    <w:rsid w:val="00945FA2"/>
    <w:rsid w:val="00970A4F"/>
    <w:rsid w:val="009B2E26"/>
    <w:rsid w:val="009D7A32"/>
    <w:rsid w:val="00A06196"/>
    <w:rsid w:val="00A369EB"/>
    <w:rsid w:val="00A91058"/>
    <w:rsid w:val="00AA632B"/>
    <w:rsid w:val="00B35495"/>
    <w:rsid w:val="00B667D0"/>
    <w:rsid w:val="00B66D9D"/>
    <w:rsid w:val="00BA5232"/>
    <w:rsid w:val="00BF754B"/>
    <w:rsid w:val="00C41F77"/>
    <w:rsid w:val="00C74B57"/>
    <w:rsid w:val="00D27A50"/>
    <w:rsid w:val="00D40551"/>
    <w:rsid w:val="00D40610"/>
    <w:rsid w:val="00D607C2"/>
    <w:rsid w:val="00D6432B"/>
    <w:rsid w:val="00D72FA6"/>
    <w:rsid w:val="00D94DD7"/>
    <w:rsid w:val="00D95E39"/>
    <w:rsid w:val="00DB2D30"/>
    <w:rsid w:val="00DC6137"/>
    <w:rsid w:val="00DF65CD"/>
    <w:rsid w:val="00E060C3"/>
    <w:rsid w:val="00E6113C"/>
    <w:rsid w:val="00E92FB0"/>
    <w:rsid w:val="00EB4C46"/>
    <w:rsid w:val="00EE1275"/>
    <w:rsid w:val="00EF5812"/>
    <w:rsid w:val="00EF63F4"/>
    <w:rsid w:val="00F558D9"/>
    <w:rsid w:val="00F678EB"/>
    <w:rsid w:val="00F941AC"/>
    <w:rsid w:val="00F96620"/>
    <w:rsid w:val="00FB6F8D"/>
    <w:rsid w:val="00FD0DF0"/>
    <w:rsid w:val="00FD7C5F"/>
    <w:rsid w:val="00FF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D64ADEE-4858-45A7-B634-A700431AF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8EB"/>
    <w:pPr>
      <w:ind w:left="720"/>
      <w:contextualSpacing/>
    </w:pPr>
  </w:style>
  <w:style w:type="paragraph" w:styleId="Header">
    <w:name w:val="header"/>
    <w:basedOn w:val="Normal"/>
    <w:link w:val="HeaderChar"/>
    <w:uiPriority w:val="99"/>
    <w:unhideWhenUsed/>
    <w:rsid w:val="00035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93F"/>
    <w:rPr>
      <w:lang w:val="en-GB"/>
    </w:rPr>
  </w:style>
  <w:style w:type="paragraph" w:styleId="Footer">
    <w:name w:val="footer"/>
    <w:basedOn w:val="Normal"/>
    <w:link w:val="FooterChar"/>
    <w:uiPriority w:val="99"/>
    <w:unhideWhenUsed/>
    <w:rsid w:val="00035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93F"/>
    <w:rPr>
      <w:lang w:val="en-GB"/>
    </w:rPr>
  </w:style>
  <w:style w:type="table" w:styleId="TableGrid">
    <w:name w:val="Table Grid"/>
    <w:basedOn w:val="TableNormal"/>
    <w:uiPriority w:val="39"/>
    <w:rsid w:val="00BA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7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26D"/>
    <w:rPr>
      <w:rFonts w:ascii="Segoe UI" w:hAnsi="Segoe UI" w:cs="Segoe UI"/>
      <w:sz w:val="18"/>
      <w:szCs w:val="18"/>
      <w:lang w:val="en-GB"/>
    </w:rPr>
  </w:style>
  <w:style w:type="character" w:styleId="CommentReference">
    <w:name w:val="annotation reference"/>
    <w:basedOn w:val="DefaultParagraphFont"/>
    <w:uiPriority w:val="99"/>
    <w:semiHidden/>
    <w:unhideWhenUsed/>
    <w:rsid w:val="00292025"/>
    <w:rPr>
      <w:sz w:val="16"/>
      <w:szCs w:val="16"/>
    </w:rPr>
  </w:style>
  <w:style w:type="paragraph" w:styleId="CommentText">
    <w:name w:val="annotation text"/>
    <w:basedOn w:val="Normal"/>
    <w:link w:val="CommentTextChar"/>
    <w:uiPriority w:val="99"/>
    <w:semiHidden/>
    <w:unhideWhenUsed/>
    <w:rsid w:val="00292025"/>
    <w:pPr>
      <w:spacing w:line="240" w:lineRule="auto"/>
    </w:pPr>
    <w:rPr>
      <w:sz w:val="20"/>
      <w:szCs w:val="20"/>
    </w:rPr>
  </w:style>
  <w:style w:type="character" w:customStyle="1" w:styleId="CommentTextChar">
    <w:name w:val="Comment Text Char"/>
    <w:basedOn w:val="DefaultParagraphFont"/>
    <w:link w:val="CommentText"/>
    <w:uiPriority w:val="99"/>
    <w:semiHidden/>
    <w:rsid w:val="00292025"/>
    <w:rPr>
      <w:sz w:val="20"/>
      <w:szCs w:val="20"/>
      <w:lang w:val="en-GB"/>
    </w:rPr>
  </w:style>
  <w:style w:type="paragraph" w:styleId="CommentSubject">
    <w:name w:val="annotation subject"/>
    <w:basedOn w:val="CommentText"/>
    <w:next w:val="CommentText"/>
    <w:link w:val="CommentSubjectChar"/>
    <w:uiPriority w:val="99"/>
    <w:semiHidden/>
    <w:unhideWhenUsed/>
    <w:rsid w:val="00292025"/>
    <w:rPr>
      <w:b/>
      <w:bCs/>
    </w:rPr>
  </w:style>
  <w:style w:type="character" w:customStyle="1" w:styleId="CommentSubjectChar">
    <w:name w:val="Comment Subject Char"/>
    <w:basedOn w:val="CommentTextChar"/>
    <w:link w:val="CommentSubject"/>
    <w:uiPriority w:val="99"/>
    <w:semiHidden/>
    <w:rsid w:val="00292025"/>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69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1952</Words>
  <Characters>11129</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Groupe Conseil RES PUBLICA</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Byrne</dc:creator>
  <cp:keywords/>
  <dc:description/>
  <cp:lastModifiedBy>Andrew Conway</cp:lastModifiedBy>
  <cp:revision>2</cp:revision>
  <cp:lastPrinted>2018-09-17T10:30:00Z</cp:lastPrinted>
  <dcterms:created xsi:type="dcterms:W3CDTF">2018-12-12T15:19:00Z</dcterms:created>
  <dcterms:modified xsi:type="dcterms:W3CDTF">2018-12-12T15:19:00Z</dcterms:modified>
</cp:coreProperties>
</file>