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33429" w:rsidRDefault="00641737" w:rsidP="00641737">
      <w:pPr>
        <w:jc w:val="center"/>
        <w:rPr>
          <w:u w:val="single"/>
          <w:lang w:val="en-US"/>
        </w:rPr>
      </w:pPr>
      <w:r w:rsidRPr="000E2DD2">
        <w:rPr>
          <w:u w:val="single"/>
          <w:lang w:val="en-US"/>
        </w:rPr>
        <w:t>Customer Communication Rulebook Reform – Statutory Consultation</w:t>
      </w:r>
    </w:p>
    <w:p w:rsidR="00641737" w:rsidRDefault="00641737" w:rsidP="00641737">
      <w:pPr>
        <w:jc w:val="center"/>
        <w:rPr>
          <w:u w:val="single"/>
          <w:lang w:val="en-US"/>
        </w:rPr>
      </w:pPr>
      <w:r>
        <w:rPr>
          <w:u w:val="single"/>
          <w:lang w:val="en-US"/>
        </w:rPr>
        <w:t xml:space="preserve">Foxglove Energy Supply Limited Response </w:t>
      </w:r>
    </w:p>
    <w:p w:rsidR="00C33429" w:rsidRDefault="00C33429" w:rsidP="00641737"/>
    <w:p w:rsidR="00C33429" w:rsidRPr="00C33429" w:rsidRDefault="00C33429" w:rsidP="00641737">
      <w:pPr>
        <w:rPr>
          <w:u w:val="single"/>
        </w:rPr>
      </w:pPr>
      <w:r w:rsidRPr="00C33429">
        <w:rPr>
          <w:u w:val="single"/>
        </w:rPr>
        <w:t xml:space="preserve">Question 1: </w:t>
      </w:r>
    </w:p>
    <w:p w:rsidR="00C33429" w:rsidRDefault="00C33429" w:rsidP="00641737">
      <w:r>
        <w:t xml:space="preserve">Do you consider that a direction is required to enable suppliers to make changes to existing fixed-term contracts, so that those customers can benefit from our rule changes sooner? If yes, please: </w:t>
      </w:r>
    </w:p>
    <w:p w:rsidR="001B042C" w:rsidRDefault="00C33429" w:rsidP="001B042C">
      <w:pPr>
        <w:pStyle w:val="ListParagraph"/>
        <w:numPr>
          <w:ilvl w:val="0"/>
          <w:numId w:val="2"/>
        </w:numPr>
      </w:pPr>
      <w:r>
        <w:t>provide examples of specific clauses in your T&amp;Cs that would require such a direction (suppliers only); and/o</w:t>
      </w:r>
      <w:r w:rsidR="00820DD2">
        <w:t xml:space="preserve">r </w:t>
      </w:r>
    </w:p>
    <w:p w:rsidR="00C33429" w:rsidRDefault="00C33429" w:rsidP="00C33429">
      <w:pPr>
        <w:pStyle w:val="ListParagraph"/>
      </w:pPr>
    </w:p>
    <w:p w:rsidR="00C33429" w:rsidRDefault="00C33429" w:rsidP="00C33429">
      <w:pPr>
        <w:pStyle w:val="ListParagraph"/>
        <w:numPr>
          <w:ilvl w:val="0"/>
          <w:numId w:val="2"/>
        </w:numPr>
      </w:pPr>
      <w:r>
        <w:t>provide suggestions for how the scope of the direction should be drafted to achieve our policy intent (set out in paragraphs 2.37-2.41 of this document).</w:t>
      </w:r>
    </w:p>
    <w:p w:rsidR="00981E7C" w:rsidRPr="001B042C" w:rsidRDefault="005D560D" w:rsidP="00981E7C">
      <w:r>
        <w:rPr>
          <w:i/>
          <w:u w:val="single"/>
        </w:rPr>
        <w:t>O</w:t>
      </w:r>
      <w:r w:rsidR="00981E7C" w:rsidRPr="001B042C">
        <w:rPr>
          <w:i/>
          <w:u w:val="single"/>
        </w:rPr>
        <w:t xml:space="preserve">ur Response: </w:t>
      </w:r>
    </w:p>
    <w:p w:rsidR="00981E7C" w:rsidRDefault="00981E7C" w:rsidP="00981E7C">
      <w:r>
        <w:t xml:space="preserve">Foxglove Energy Supply Limited do not offer any fixed term contracts. </w:t>
      </w:r>
    </w:p>
    <w:p w:rsidR="001B042C" w:rsidRPr="005D560D" w:rsidRDefault="001B042C" w:rsidP="001B042C">
      <w:pPr>
        <w:rPr>
          <w:u w:val="single"/>
        </w:rPr>
      </w:pPr>
      <w:r w:rsidRPr="005D560D">
        <w:rPr>
          <w:u w:val="single"/>
        </w:rPr>
        <w:t>Question 2:</w:t>
      </w:r>
    </w:p>
    <w:p w:rsidR="001B042C" w:rsidRDefault="001B042C" w:rsidP="001B042C">
      <w:r w:rsidRPr="005D560D">
        <w:t>Are there any other consequential amendments to the licences that we haven’t proposed in annexes 1-2 that you consider would be needed in light of our proposed changes?</w:t>
      </w:r>
    </w:p>
    <w:p w:rsidR="005D560D" w:rsidRDefault="005D560D" w:rsidP="001B042C">
      <w:pPr>
        <w:rPr>
          <w:i/>
          <w:u w:val="single"/>
        </w:rPr>
      </w:pPr>
      <w:r w:rsidRPr="005D560D">
        <w:rPr>
          <w:i/>
          <w:u w:val="single"/>
        </w:rPr>
        <w:t>Our Response:</w:t>
      </w:r>
    </w:p>
    <w:p w:rsidR="005D560D" w:rsidRPr="00D832F2" w:rsidRDefault="005D560D" w:rsidP="001B042C">
      <w:r w:rsidRPr="00D832F2">
        <w:t>We believe that some of the definitions which have been removed should be replaced, amended or re-</w:t>
      </w:r>
      <w:r w:rsidR="00D832F2" w:rsidRPr="00D832F2">
        <w:t>implemented</w:t>
      </w:r>
      <w:r w:rsidRPr="00D832F2">
        <w:t xml:space="preserve"> to remove the </w:t>
      </w:r>
      <w:r w:rsidR="00D832F2">
        <w:t>possibility of ambiguity or potential for individual interpretation.</w:t>
      </w:r>
    </w:p>
    <w:p w:rsidR="00981E7C" w:rsidRPr="00981E7C" w:rsidRDefault="001B042C" w:rsidP="001B042C">
      <w:pPr>
        <w:rPr>
          <w:u w:val="single"/>
        </w:rPr>
      </w:pPr>
      <w:r w:rsidRPr="00981E7C">
        <w:rPr>
          <w:u w:val="single"/>
        </w:rPr>
        <w:t xml:space="preserve">Question 3: </w:t>
      </w:r>
    </w:p>
    <w:p w:rsidR="001B042C" w:rsidRDefault="001B042C" w:rsidP="001B042C">
      <w:r>
        <w:t>Do you agree that our proposals reflect our policy intent relating to encouraging and enabling engagement?</w:t>
      </w:r>
    </w:p>
    <w:p w:rsidR="00981E7C" w:rsidRPr="00981E7C" w:rsidRDefault="00981E7C" w:rsidP="001B042C">
      <w:pPr>
        <w:rPr>
          <w:i/>
          <w:u w:val="single"/>
        </w:rPr>
      </w:pPr>
      <w:r w:rsidRPr="00981E7C">
        <w:rPr>
          <w:i/>
          <w:u w:val="single"/>
        </w:rPr>
        <w:t xml:space="preserve">Our Response </w:t>
      </w:r>
    </w:p>
    <w:p w:rsidR="00981E7C" w:rsidRDefault="001B042C" w:rsidP="001B042C">
      <w:r>
        <w:t xml:space="preserve">In regards to the proposals themselves, Foxglove Energy Supply Limited feel this is an appropriate approach </w:t>
      </w:r>
      <w:r w:rsidRPr="00F03EA2">
        <w:t>toward</w:t>
      </w:r>
      <w:r w:rsidR="00993AD6" w:rsidRPr="00F03EA2">
        <w:t>s</w:t>
      </w:r>
      <w:r w:rsidRPr="00F03EA2">
        <w:t xml:space="preserve"> </w:t>
      </w:r>
      <w:r>
        <w:t xml:space="preserve">enabling and encouraging customer engagement, however, as definitions have been removed from the Standard Licence Conditions, the requirements are now open to interpretation and ambiguity. </w:t>
      </w:r>
    </w:p>
    <w:p w:rsidR="00B218EB" w:rsidRDefault="00B218EB" w:rsidP="001B042C">
      <w:r>
        <w:t xml:space="preserve">Giving suppliers the option to inform </w:t>
      </w:r>
      <w:r w:rsidR="00E03552">
        <w:t xml:space="preserve">customers of certain information at a time of their choosing may have an alternative effect. Supplier can interpret ‘Key Prompt Points’ in any way they wish. Therefore, consumers may be </w:t>
      </w:r>
      <w:r w:rsidR="00E03552" w:rsidRPr="00F03EA2">
        <w:t>less</w:t>
      </w:r>
      <w:r w:rsidR="00F03EA2" w:rsidRPr="00F03EA2">
        <w:t xml:space="preserve"> l</w:t>
      </w:r>
      <w:r w:rsidR="00E03552">
        <w:t xml:space="preserve">ikely engage with the energy market or their supplier. </w:t>
      </w:r>
    </w:p>
    <w:p w:rsidR="00981E7C" w:rsidRDefault="00981E7C" w:rsidP="001B042C">
      <w:r w:rsidRPr="00981E7C">
        <w:rPr>
          <w:u w:val="single"/>
        </w:rPr>
        <w:t>Question 4</w:t>
      </w:r>
      <w:r>
        <w:t xml:space="preserve">: </w:t>
      </w:r>
    </w:p>
    <w:p w:rsidR="00981E7C" w:rsidRDefault="00981E7C" w:rsidP="001B042C">
      <w:r>
        <w:t>What are your views on our proposal (set out in paragraphs 3.35- 3.36) to move the rules around engagement prompts into a direction separate from the supply licences?</w:t>
      </w:r>
    </w:p>
    <w:p w:rsidR="00981E7C" w:rsidRDefault="00A16CB5" w:rsidP="001B042C">
      <w:pPr>
        <w:rPr>
          <w:i/>
          <w:u w:val="single"/>
        </w:rPr>
      </w:pPr>
      <w:r w:rsidRPr="00A16CB5">
        <w:rPr>
          <w:i/>
          <w:u w:val="single"/>
        </w:rPr>
        <w:t xml:space="preserve">Our Response: </w:t>
      </w:r>
    </w:p>
    <w:p w:rsidR="00A16CB5" w:rsidRDefault="00A16CB5" w:rsidP="001B042C">
      <w:r w:rsidRPr="00A16CB5">
        <w:t xml:space="preserve">Foxglove Energy Supply Limited agree with the reasoning behind the purpose of having a direction separate from the licence. We feel this is more effective and efficient to update the obligations as </w:t>
      </w:r>
      <w:r w:rsidRPr="00A16CB5">
        <w:lastRenderedPageBreak/>
        <w:t>the market and customer communication needs change</w:t>
      </w:r>
      <w:r>
        <w:t xml:space="preserve"> over time, rather than making amendments to the Standard Licence Conditions themselves. </w:t>
      </w:r>
    </w:p>
    <w:p w:rsidR="00A16CB5" w:rsidRPr="004C1E2B" w:rsidRDefault="00A16CB5" w:rsidP="00A16CB5">
      <w:pPr>
        <w:pStyle w:val="NoSpacing"/>
        <w:rPr>
          <w:u w:val="single"/>
          <w:lang w:val="en-US"/>
        </w:rPr>
      </w:pPr>
      <w:r w:rsidRPr="004C1E2B">
        <w:rPr>
          <w:u w:val="single"/>
          <w:lang w:val="en-US"/>
        </w:rPr>
        <w:t>Question 5:</w:t>
      </w:r>
    </w:p>
    <w:p w:rsidR="00A16CB5" w:rsidRDefault="00BB3A0A" w:rsidP="001B042C">
      <w:r>
        <w:t>Do you agree that our proposals reflect our policy intent relating to assistance and advice information?</w:t>
      </w:r>
    </w:p>
    <w:p w:rsidR="00BB3A0A" w:rsidRDefault="00BB3A0A" w:rsidP="001B042C">
      <w:pPr>
        <w:rPr>
          <w:i/>
          <w:u w:val="single"/>
        </w:rPr>
      </w:pPr>
      <w:r w:rsidRPr="00BB3A0A">
        <w:rPr>
          <w:i/>
          <w:u w:val="single"/>
        </w:rPr>
        <w:t xml:space="preserve">Our Response: </w:t>
      </w:r>
    </w:p>
    <w:p w:rsidR="00B218EB" w:rsidRDefault="00BB3A0A" w:rsidP="001B042C">
      <w:r w:rsidRPr="00B218EB">
        <w:t xml:space="preserve">For assistance and advice information, Foxglove Energy Supply Limited find it appropriate to ensure customers know who and how to contact the Relevant Parties where required, however, the wording in regards to this is open to interpretation. Wording such as “about a problem, question, or any other request for assistance. This includes queries, complaints, disputes or emergencies”. This does not stipulate the circumstances or conditions </w:t>
      </w:r>
      <w:r w:rsidRPr="00F03EA2">
        <w:t>around</w:t>
      </w:r>
      <w:r w:rsidRPr="00B218EB">
        <w:t xml:space="preserve"> which information needs to be provided. Energy suppliers are able to </w:t>
      </w:r>
      <w:r w:rsidR="00B218EB" w:rsidRPr="00B218EB">
        <w:t>interpret</w:t>
      </w:r>
      <w:r w:rsidRPr="00B218EB">
        <w:t xml:space="preserve"> things such as ‘emergencies’, ‘a problem’ or </w:t>
      </w:r>
      <w:r w:rsidR="00B218EB" w:rsidRPr="00B218EB">
        <w:t xml:space="preserve">‘request for assistance’ in different ways, this will limit consistency and clarity </w:t>
      </w:r>
      <w:r w:rsidR="00B218EB">
        <w:t>for consumers who change suppliers and do not receive the same/equal information.</w:t>
      </w:r>
    </w:p>
    <w:p w:rsidR="00B218EB" w:rsidRPr="00B218EB" w:rsidRDefault="00B218EB" w:rsidP="00B218EB">
      <w:pPr>
        <w:pStyle w:val="NoSpacing"/>
        <w:rPr>
          <w:u w:val="single"/>
        </w:rPr>
      </w:pPr>
      <w:r w:rsidRPr="00B218EB">
        <w:rPr>
          <w:u w:val="single"/>
        </w:rPr>
        <w:t xml:space="preserve">Question 6: </w:t>
      </w:r>
    </w:p>
    <w:p w:rsidR="00B218EB" w:rsidRDefault="00B218EB" w:rsidP="00B218EB">
      <w:pPr>
        <w:pStyle w:val="NoSpacing"/>
      </w:pPr>
      <w:r>
        <w:t>Do you agree that our proposals reflect our policy intent relating to Bills and billing information?</w:t>
      </w:r>
    </w:p>
    <w:p w:rsidR="00405FF3" w:rsidRDefault="00405FF3" w:rsidP="00B218EB">
      <w:pPr>
        <w:pStyle w:val="NoSpacing"/>
      </w:pPr>
    </w:p>
    <w:p w:rsidR="00405FF3" w:rsidRDefault="00405FF3" w:rsidP="00B218EB">
      <w:pPr>
        <w:pStyle w:val="NoSpacing"/>
        <w:rPr>
          <w:i/>
          <w:u w:val="single"/>
        </w:rPr>
      </w:pPr>
      <w:r w:rsidRPr="00405FF3">
        <w:rPr>
          <w:i/>
          <w:u w:val="single"/>
        </w:rPr>
        <w:t xml:space="preserve">Our Response </w:t>
      </w:r>
    </w:p>
    <w:p w:rsidR="00405FF3" w:rsidRPr="000F2966" w:rsidRDefault="00405FF3" w:rsidP="00B218EB">
      <w:pPr>
        <w:pStyle w:val="NoSpacing"/>
      </w:pPr>
      <w:r w:rsidRPr="000F2966">
        <w:t xml:space="preserve">Foxglove Energy Supply Limited </w:t>
      </w:r>
      <w:r w:rsidR="000F2966" w:rsidRPr="000F2966">
        <w:t>approve</w:t>
      </w:r>
      <w:r w:rsidR="000F2966">
        <w:t>s</w:t>
      </w:r>
      <w:r w:rsidR="000F2966" w:rsidRPr="000F2966">
        <w:t xml:space="preserve"> of the simplicity in regards to the billing and billing information. We find that providing only relevant information on bills will enable customers to understand their charges and make informed decisions on their energy and energy costs. </w:t>
      </w:r>
    </w:p>
    <w:p w:rsidR="00E03552" w:rsidRDefault="00E03552" w:rsidP="00B218EB">
      <w:pPr>
        <w:pStyle w:val="NoSpacing"/>
      </w:pPr>
    </w:p>
    <w:p w:rsidR="000F2966" w:rsidRPr="00393CB6" w:rsidRDefault="000F2966" w:rsidP="00B218EB">
      <w:pPr>
        <w:pStyle w:val="NoSpacing"/>
        <w:rPr>
          <w:u w:val="single"/>
        </w:rPr>
      </w:pPr>
      <w:r w:rsidRPr="00393CB6">
        <w:rPr>
          <w:u w:val="single"/>
        </w:rPr>
        <w:t xml:space="preserve">Question 7: </w:t>
      </w:r>
    </w:p>
    <w:p w:rsidR="000F2966" w:rsidRDefault="000F2966" w:rsidP="00B218EB">
      <w:pPr>
        <w:pStyle w:val="NoSpacing"/>
      </w:pPr>
      <w:r>
        <w:t>Do you agree that our proposals reflect our policy intent relating to contract changes?</w:t>
      </w:r>
    </w:p>
    <w:p w:rsidR="00393CB6" w:rsidRDefault="00393CB6" w:rsidP="00B218EB">
      <w:pPr>
        <w:pStyle w:val="NoSpacing"/>
      </w:pPr>
    </w:p>
    <w:p w:rsidR="00393CB6" w:rsidRPr="00393CB6" w:rsidRDefault="00393CB6" w:rsidP="00B218EB">
      <w:pPr>
        <w:pStyle w:val="NoSpacing"/>
        <w:rPr>
          <w:i/>
          <w:u w:val="single"/>
        </w:rPr>
      </w:pPr>
      <w:r w:rsidRPr="00393CB6">
        <w:rPr>
          <w:i/>
          <w:u w:val="single"/>
        </w:rPr>
        <w:t xml:space="preserve">Our Response: </w:t>
      </w:r>
    </w:p>
    <w:p w:rsidR="00393CB6" w:rsidRDefault="00393CB6" w:rsidP="00B218EB">
      <w:pPr>
        <w:pStyle w:val="NoSpacing"/>
      </w:pPr>
      <w:r>
        <w:t xml:space="preserve">For Contract changes information (notifications of price increases, disadvantageous unilateral variations and end of fixed-term contracts), Foxglove Energy Supply Limited </w:t>
      </w:r>
      <w:r w:rsidRPr="00993AD6">
        <w:rPr>
          <w:strike/>
        </w:rPr>
        <w:t>we</w:t>
      </w:r>
      <w:r>
        <w:t xml:space="preserve"> agree that the form and context needs to prompt Domestic Customers to make an informed choice in regards to the changes that will occur. This will ensure customers are in control and can make informed decisions in regards to their consumption, contract and costs. </w:t>
      </w:r>
      <w:r w:rsidR="005A640D">
        <w:t xml:space="preserve">We agree that information regarding contract changes, disadvantageous unilateral variations and end of fixed-erm contracts should not be sent in conjunction with any other information, marketing material or bills or statements of account. This will </w:t>
      </w:r>
      <w:r w:rsidR="00F03EA2" w:rsidRPr="00F03EA2">
        <w:t>reduce</w:t>
      </w:r>
      <w:r w:rsidR="005A640D">
        <w:t xml:space="preserve"> the chances of the information being missed or shadowed by other information. We feel the definition for the ‘Switching Window’ provides more clarity and understanding. </w:t>
      </w:r>
    </w:p>
    <w:p w:rsidR="005A640D" w:rsidRDefault="005A640D" w:rsidP="00B218EB">
      <w:pPr>
        <w:pStyle w:val="NoSpacing"/>
      </w:pPr>
    </w:p>
    <w:p w:rsidR="00393CB6" w:rsidRDefault="00393CB6" w:rsidP="00B218EB">
      <w:pPr>
        <w:pStyle w:val="NoSpacing"/>
        <w:rPr>
          <w:u w:val="single"/>
        </w:rPr>
      </w:pPr>
    </w:p>
    <w:p w:rsidR="000B2A6E" w:rsidRDefault="000B2A6E" w:rsidP="00B218EB">
      <w:pPr>
        <w:pStyle w:val="NoSpacing"/>
      </w:pPr>
    </w:p>
    <w:p w:rsidR="000B2A6E" w:rsidRDefault="000B2A6E" w:rsidP="00B218EB">
      <w:pPr>
        <w:pStyle w:val="NoSpacing"/>
      </w:pPr>
      <w:r>
        <w:t>Kind regards</w:t>
      </w:r>
    </w:p>
    <w:p w:rsidR="000B2A6E" w:rsidRDefault="000B2A6E" w:rsidP="00B218EB">
      <w:pPr>
        <w:pStyle w:val="NoSpacing"/>
      </w:pPr>
    </w:p>
    <w:p w:rsidR="000B2A6E" w:rsidRDefault="000B2A6E" w:rsidP="00B218EB">
      <w:pPr>
        <w:pStyle w:val="NoSpacing"/>
      </w:pPr>
    </w:p>
    <w:p w:rsidR="000B2A6E" w:rsidRDefault="000B2A6E" w:rsidP="00B218EB">
      <w:pPr>
        <w:pStyle w:val="NoSpacing"/>
      </w:pPr>
    </w:p>
    <w:p w:rsidR="000B2A6E" w:rsidRDefault="000B2A6E" w:rsidP="00B218EB">
      <w:pPr>
        <w:pStyle w:val="NoSpacing"/>
      </w:pPr>
      <w:r>
        <w:t xml:space="preserve">Shauna Ready </w:t>
      </w:r>
    </w:p>
    <w:p w:rsidR="000B2A6E" w:rsidRPr="00B218EB" w:rsidRDefault="000B2A6E" w:rsidP="00B218EB">
      <w:pPr>
        <w:pStyle w:val="NoSpacing"/>
      </w:pPr>
      <w:r>
        <w:t>Compliance, Policy and Risk Analyst</w:t>
      </w:r>
      <w:bookmarkStart w:id="0" w:name="_GoBack"/>
      <w:bookmarkEnd w:id="0"/>
    </w:p>
    <w:sectPr w:rsidR="000B2A6E" w:rsidRPr="00B218EB">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D5BB9" w:rsidRDefault="005D5BB9" w:rsidP="00641737">
      <w:pPr>
        <w:spacing w:after="0" w:line="240" w:lineRule="auto"/>
      </w:pPr>
      <w:r>
        <w:separator/>
      </w:r>
    </w:p>
  </w:endnote>
  <w:endnote w:type="continuationSeparator" w:id="0">
    <w:p w:rsidR="005D5BB9" w:rsidRDefault="005D5BB9" w:rsidP="006417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D5BB9" w:rsidRDefault="005D5BB9" w:rsidP="00641737">
      <w:pPr>
        <w:spacing w:after="0" w:line="240" w:lineRule="auto"/>
      </w:pPr>
      <w:r>
        <w:separator/>
      </w:r>
    </w:p>
  </w:footnote>
  <w:footnote w:type="continuationSeparator" w:id="0">
    <w:p w:rsidR="005D5BB9" w:rsidRDefault="005D5BB9" w:rsidP="0064173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41737" w:rsidRPr="00641737" w:rsidRDefault="00641737" w:rsidP="00641737">
    <w:pPr>
      <w:pStyle w:val="Header"/>
      <w:jc w:val="right"/>
      <w:rPr>
        <w:lang w:val="en-US"/>
      </w:rPr>
    </w:pPr>
    <w:r>
      <w:rPr>
        <w:lang w:val="en-US"/>
      </w:rPr>
      <w:t xml:space="preserve">17 October 2018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3993DCD"/>
    <w:multiLevelType w:val="hybridMultilevel"/>
    <w:tmpl w:val="48263FDE"/>
    <w:lvl w:ilvl="0" w:tplc="22DA547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5C4422"/>
    <w:multiLevelType w:val="hybridMultilevel"/>
    <w:tmpl w:val="04E8AC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1737"/>
    <w:rsid w:val="000B2A6E"/>
    <w:rsid w:val="000F2966"/>
    <w:rsid w:val="001B042C"/>
    <w:rsid w:val="00393CB6"/>
    <w:rsid w:val="00405FF3"/>
    <w:rsid w:val="005A640D"/>
    <w:rsid w:val="005D560D"/>
    <w:rsid w:val="005D5BB9"/>
    <w:rsid w:val="00641737"/>
    <w:rsid w:val="00820DD2"/>
    <w:rsid w:val="00981E7C"/>
    <w:rsid w:val="00993AD6"/>
    <w:rsid w:val="009E7BFE"/>
    <w:rsid w:val="00A16CB5"/>
    <w:rsid w:val="00B218EB"/>
    <w:rsid w:val="00BB3A0A"/>
    <w:rsid w:val="00C33429"/>
    <w:rsid w:val="00D832F2"/>
    <w:rsid w:val="00E03552"/>
    <w:rsid w:val="00F03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9B9A1"/>
  <w15:chartTrackingRefBased/>
  <w15:docId w15:val="{9F19FF32-2BA7-4E3D-BDB8-A9A47780A8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4173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6417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641737"/>
  </w:style>
  <w:style w:type="paragraph" w:styleId="Footer">
    <w:name w:val="footer"/>
    <w:basedOn w:val="Normal"/>
    <w:link w:val="FooterChar"/>
    <w:uiPriority w:val="99"/>
    <w:unhideWhenUsed/>
    <w:rsid w:val="006417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641737"/>
  </w:style>
  <w:style w:type="paragraph" w:styleId="ListParagraph">
    <w:name w:val="List Paragraph"/>
    <w:basedOn w:val="Normal"/>
    <w:uiPriority w:val="34"/>
    <w:qFormat/>
    <w:rsid w:val="00C33429"/>
    <w:pPr>
      <w:ind w:left="720"/>
      <w:contextualSpacing/>
    </w:pPr>
  </w:style>
  <w:style w:type="paragraph" w:styleId="NoSpacing">
    <w:name w:val="No Spacing"/>
    <w:uiPriority w:val="1"/>
    <w:qFormat/>
    <w:rsid w:val="00A16CB5"/>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SEN_CT" ma:contentTypeID="0x010100EC73C7092A886D44A500C00678A18ADB000DACD5D1CE79EE4F94C4E91052AF752D" ma:contentTypeVersion="8" ma:contentTypeDescription="" ma:contentTypeScope="" ma:versionID="a2b6426f5c7cff0bb193e43ad50a8c01">
  <xsd:schema xmlns:xsd="http://www.w3.org/2001/XMLSchema" xmlns:xs="http://www.w3.org/2001/XMLSchema" xmlns:p="http://schemas.microsoft.com/office/2006/metadata/properties" xmlns:ns2="e74cc2c7-a889-478e-b9db-0fad7631f9b3" xmlns:ns3="58a01221-2acd-43ea-8625-fe443efd6752" xmlns:ns4="631298fc-6a88-4548-b7d9-3b164918c4a3" targetNamespace="http://schemas.microsoft.com/office/2006/metadata/properties" ma:root="true" ma:fieldsID="c61c62442f6ba4081bc6f073040c139e" ns2:_="" ns3:_="" ns4:_="">
    <xsd:import namespace="e74cc2c7-a889-478e-b9db-0fad7631f9b3"/>
    <xsd:import namespace="58a01221-2acd-43ea-8625-fe443efd6752"/>
    <xsd:import namespace="631298fc-6a88-4548-b7d9-3b164918c4a3"/>
    <xsd:element name="properties">
      <xsd:complexType>
        <xsd:sequence>
          <xsd:element name="documentManagement">
            <xsd:complexType>
              <xsd:all>
                <xsd:element ref="ns2:Engagement"/>
                <xsd:element ref="ns2:Type_x0020_of_x0020_Engagement"/>
                <xsd:element ref="ns2:Workstream_x0020_applicable"/>
                <xsd:element ref="ns2:Organisation_x0020_Type"/>
                <xsd:element ref="ns3:m19d1e3f04084389ac710b8a38bea5ea" minOccurs="0"/>
                <xsd:element ref="ns4:TaxCatchAll" minOccurs="0"/>
                <xsd:element ref="ns4: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4cc2c7-a889-478e-b9db-0fad7631f9b3" elementFormDefault="qualified">
    <xsd:import namespace="http://schemas.microsoft.com/office/2006/documentManagement/types"/>
    <xsd:import namespace="http://schemas.microsoft.com/office/infopath/2007/PartnerControls"/>
    <xsd:element name="Engagement" ma:index="8" ma:displayName="Engagement" ma:format="Dropdown" ma:internalName="Engagement">
      <xsd:simpleType>
        <xsd:restriction base="dms:Choice">
          <xsd:enumeration value="Internal"/>
          <xsd:enumeration value="External"/>
        </xsd:restriction>
      </xsd:simpleType>
    </xsd:element>
    <xsd:element name="Type_x0020_of_x0020_Engagement" ma:index="9" ma:displayName="Type of Engagement" ma:format="Dropdown" ma:internalName="Type_x0020_of_x0020_Engagement">
      <xsd:simpleType>
        <xsd:restriction base="dms:Choice">
          <xsd:enumeration value="Slide"/>
          <xsd:enumeration value="Bilateral meeting"/>
          <xsd:enumeration value="Consultation responses"/>
          <xsd:enumeration value="Dedicated workshop"/>
          <xsd:enumeration value="External event"/>
          <xsd:enumeration value="Meeting"/>
          <xsd:enumeration value="Ofgem event"/>
          <xsd:enumeration value="Phone call"/>
          <xsd:enumeration value="Site visit"/>
          <xsd:enumeration value="Teach in"/>
          <xsd:enumeration value="Teleconference"/>
        </xsd:restriction>
      </xsd:simpleType>
    </xsd:element>
    <xsd:element name="Workstream_x0020_applicable" ma:index="10" ma:displayName="Workstream applicable" ma:format="Dropdown" ma:internalName="Workstream_x0020_applicable">
      <xsd:simpleType>
        <xsd:restriction base="dms:Choice">
          <xsd:enumeration value="Standards of Conduct"/>
          <xsd:enumeration value="Rulebook accessibility"/>
          <xsd:enumeration value="Customer Comms"/>
          <xsd:enumeration value="Personal Projections"/>
          <xsd:enumeration value="Auto rollovers"/>
          <xsd:enumeration value="Evaluation"/>
          <xsd:enumeration value="All workstreams"/>
        </xsd:restriction>
      </xsd:simpleType>
    </xsd:element>
    <xsd:element name="Organisation_x0020_Type" ma:index="11" ma:displayName="Organisation Type" ma:format="Dropdown" ma:internalName="Organisation_x0020_Type">
      <xsd:simpleType>
        <xsd:restriction base="dms:Choice">
          <xsd:enumeration value="Academic"/>
          <xsd:enumeration value="All suppliers"/>
          <xsd:enumeration value="Big six"/>
          <xsd:enumeration value="Consumer Groups"/>
          <xsd:enumeration value="Government"/>
          <xsd:enumeration value="Independent supplier"/>
          <xsd:enumeration value="Independent suppliers"/>
          <xsd:enumeration value="Industry body"/>
          <xsd:enumeration value="Medium tier supplier"/>
          <xsd:enumeration value="Ofgem (Internal engagement)"/>
          <xsd:enumeration value="Other regulator/oversight body"/>
          <xsd:enumeration value="Various"/>
        </xsd:restriction>
      </xsd:simpleType>
    </xsd:element>
  </xsd:schema>
  <xsd:schema xmlns:xsd="http://www.w3.org/2001/XMLSchema" xmlns:xs="http://www.w3.org/2001/XMLSchema" xmlns:dms="http://schemas.microsoft.com/office/2006/documentManagement/types" xmlns:pc="http://schemas.microsoft.com/office/infopath/2007/PartnerControls" targetNamespace="58a01221-2acd-43ea-8625-fe443efd6752" elementFormDefault="qualified">
    <xsd:import namespace="http://schemas.microsoft.com/office/2006/documentManagement/types"/>
    <xsd:import namespace="http://schemas.microsoft.com/office/infopath/2007/PartnerControls"/>
    <xsd:element name="m19d1e3f04084389ac710b8a38bea5ea" ma:index="12" ma:taxonomy="true" ma:internalName="m19d1e3f04084389ac710b8a38bea5ea" ma:taxonomyFieldName="Organisation_" ma:displayName="Organisation_" ma:readOnly="false" ma:default="31;#Ofgem|8b4368c1-752b-461b-aa1f-79fb1ab95926" ma:fieldId="{619d1e3f-0408-4389-ac71-0b8a38bea5ea}" ma:taxonomyMulti="true" ma:sspId="ca9306fc-8436-45f0-b931-e34f519be3a3" ma:termSetId="198f4597-1449-4407-9082-75aad48ce812"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31298fc-6a88-4548-b7d9-3b164918c4a3"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86dd02d-cfbb-4e4c-bc8f-e94f392a393f}" ma:internalName="TaxCatchAll" ma:showField="CatchAllData" ma:web="58a01221-2acd-43ea-8625-fe443efd6752">
      <xsd:complexType>
        <xsd:complexContent>
          <xsd:extension base="dms:MultiChoiceLookup">
            <xsd:sequence>
              <xsd:element name="Value" type="dms:Lookup" maxOccurs="unbounded" minOccurs="0" nillable="true"/>
            </xsd:sequence>
          </xsd:extension>
        </xsd:complexContent>
      </xsd:complexType>
    </xsd:element>
    <xsd:element name="TaxCatchAllLabel" ma:index="14" nillable="true" ma:displayName="Taxonomy Catch All Column1" ma:hidden="true" ma:list="{a86dd02d-cfbb-4e4c-bc8f-e94f392a393f}" ma:internalName="TaxCatchAllLabel" ma:readOnly="true" ma:showField="CatchAllDataLabel" ma:web="58a01221-2acd-43ea-8625-fe443efd67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31298fc-6a88-4548-b7d9-3b164918c4a3">
      <Value>31</Value>
    </TaxCatchAll>
    <Organisation_x0020_Type xmlns="e74cc2c7-a889-478e-b9db-0fad7631f9b3">Independent supplier</Organisation_x0020_Type>
    <Type_x0020_of_x0020_Engagement xmlns="e74cc2c7-a889-478e-b9db-0fad7631f9b3">Consultation responses</Type_x0020_of_x0020_Engagement>
    <Workstream_x0020_applicable xmlns="e74cc2c7-a889-478e-b9db-0fad7631f9b3">Customer Comms</Workstream_x0020_applicable>
    <Engagement xmlns="e74cc2c7-a889-478e-b9db-0fad7631f9b3">External</Engagement>
    <m19d1e3f04084389ac710b8a38bea5ea xmlns="58a01221-2acd-43ea-8625-fe443efd6752">
      <Terms xmlns="http://schemas.microsoft.com/office/infopath/2007/PartnerControls">
        <TermInfo xmlns="http://schemas.microsoft.com/office/infopath/2007/PartnerControls">
          <TermName xmlns="http://schemas.microsoft.com/office/infopath/2007/PartnerControls">Ofgem</TermName>
          <TermId xmlns="http://schemas.microsoft.com/office/infopath/2007/PartnerControls">8b4368c1-752b-461b-aa1f-79fb1ab95926</TermId>
        </TermInfo>
      </Terms>
    </m19d1e3f04084389ac710b8a38bea5ea>
  </documentManagement>
</p:properties>
</file>

<file path=customXml/itemProps1.xml><?xml version="1.0" encoding="utf-8"?>
<ds:datastoreItem xmlns:ds="http://schemas.openxmlformats.org/officeDocument/2006/customXml" ds:itemID="{3F4C643D-8A7B-4119-AEE0-FC702ED87DE5}"/>
</file>

<file path=customXml/itemProps2.xml><?xml version="1.0" encoding="utf-8"?>
<ds:datastoreItem xmlns:ds="http://schemas.openxmlformats.org/officeDocument/2006/customXml" ds:itemID="{AACF0582-C775-4334-9B34-15E4CEED6ED9}"/>
</file>

<file path=customXml/itemProps3.xml><?xml version="1.0" encoding="utf-8"?>
<ds:datastoreItem xmlns:ds="http://schemas.openxmlformats.org/officeDocument/2006/customXml" ds:itemID="{CA82D428-C2D8-424C-B34E-D220F45BF0F7}"/>
</file>

<file path=docProps/app.xml><?xml version="1.0" encoding="utf-8"?>
<Properties xmlns="http://schemas.openxmlformats.org/officeDocument/2006/extended-properties" xmlns:vt="http://schemas.openxmlformats.org/officeDocument/2006/docPropsVTypes">
  <Template>Normal</Template>
  <TotalTime>1</TotalTime>
  <Pages>2</Pages>
  <Words>693</Words>
  <Characters>3953</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Customer Comms Reform Book_ (002)</dc:title>
  <dc:subject/>
  <dc:creator>Shauna.Ready@fischerenergy.co.uk</dc:creator>
  <cp:keywords/>
  <dc:description/>
  <cp:lastModifiedBy>Shauna.Ready@fischerenergy.co.uk</cp:lastModifiedBy>
  <cp:revision>2</cp:revision>
  <cp:lastPrinted>2018-10-17T16:22:00Z</cp:lastPrinted>
  <dcterms:created xsi:type="dcterms:W3CDTF">2018-10-17T16:23:00Z</dcterms:created>
  <dcterms:modified xsi:type="dcterms:W3CDTF">2018-10-17T16:23:00Z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0x010100EC73C7092A886D44A500C00678A18ADB000DACD5D1CE79EE4F94C4E91052AF752D</vt:lpwstr>
  </property>
  <property fmtid="{D5CDD505-2E9C-101B-9397-08002B2CF9AE}" pid="3" name="Order">
    <vt:r8>9400</vt:r8>
  </property>
  <property fmtid="{D5CDD505-2E9C-101B-9397-08002B2CF9AE}" pid="4" name="Folksonomy">
    <vt:lpwstr/>
  </property>
  <property fmtid="{D5CDD505-2E9C-101B-9397-08002B2CF9AE}" pid="5" name="Organisation_">
    <vt:lpwstr>31;#Ofgem|8b4368c1-752b-461b-aa1f-79fb1ab95926</vt:lpwstr>
  </property>
  <property fmtid="{D5CDD505-2E9C-101B-9397-08002B2CF9AE}" pid="6" name="f909fd3217994141865d4e159542fe6d">
    <vt:lpwstr/>
  </property>
  <property fmtid="{D5CDD505-2E9C-101B-9397-08002B2CF9AE}" pid="7" name="Organisation_DRMP">
    <vt:lpwstr/>
  </property>
</Properties>
</file>