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1E6B" w14:textId="77777777" w:rsidR="00F12ACC" w:rsidRPr="00F12ACC" w:rsidRDefault="00F12ACC" w:rsidP="00A15E96">
      <w:pPr>
        <w:spacing w:after="0"/>
        <w:ind w:left="567"/>
      </w:pPr>
    </w:p>
    <w:p w14:paraId="59E6F659" w14:textId="77777777" w:rsidR="00997AC9" w:rsidRDefault="00997AC9" w:rsidP="00A15E96">
      <w:pPr>
        <w:spacing w:after="0"/>
        <w:ind w:left="567"/>
        <w:jc w:val="center"/>
      </w:pPr>
    </w:p>
    <w:p w14:paraId="6DB69BFA" w14:textId="77777777" w:rsidR="00A716A4" w:rsidRDefault="00A716A4" w:rsidP="00A716A4">
      <w:pPr>
        <w:spacing w:after="0"/>
      </w:pPr>
      <w:r w:rsidRPr="00976FBB">
        <w:t>Katherine Harris and Ruth Saunders</w:t>
      </w:r>
    </w:p>
    <w:p w14:paraId="118AB34B" w14:textId="77777777" w:rsidR="00A716A4" w:rsidRDefault="00A716A4" w:rsidP="00A716A4">
      <w:pPr>
        <w:spacing w:after="0"/>
      </w:pPr>
      <w:r>
        <w:t>Future Retail Regulation</w:t>
      </w:r>
    </w:p>
    <w:p w14:paraId="110D0643" w14:textId="77777777" w:rsidR="00A716A4" w:rsidRDefault="00A716A4" w:rsidP="00A716A4">
      <w:pPr>
        <w:spacing w:after="0"/>
      </w:pPr>
      <w:proofErr w:type="spellStart"/>
      <w:r>
        <w:t>Ofgem</w:t>
      </w:r>
      <w:proofErr w:type="spellEnd"/>
    </w:p>
    <w:p w14:paraId="3BB5ECCA" w14:textId="77777777" w:rsidR="00A716A4" w:rsidRDefault="00A716A4" w:rsidP="00A716A4">
      <w:pPr>
        <w:spacing w:after="0"/>
      </w:pPr>
      <w:r>
        <w:t>10 South Colonnade</w:t>
      </w:r>
    </w:p>
    <w:p w14:paraId="4D49E0EA" w14:textId="77777777" w:rsidR="00A716A4" w:rsidRDefault="00A716A4" w:rsidP="00A716A4">
      <w:pPr>
        <w:spacing w:after="0"/>
      </w:pPr>
      <w:r>
        <w:t>Canary Wharf</w:t>
      </w:r>
    </w:p>
    <w:p w14:paraId="2646618D" w14:textId="77777777" w:rsidR="00A716A4" w:rsidRDefault="00A716A4" w:rsidP="00A716A4">
      <w:pPr>
        <w:spacing w:after="0"/>
      </w:pPr>
      <w:r>
        <w:t>London</w:t>
      </w:r>
    </w:p>
    <w:p w14:paraId="75193151" w14:textId="77777777" w:rsidR="00A716A4" w:rsidRDefault="00A716A4" w:rsidP="00A716A4">
      <w:pPr>
        <w:spacing w:after="0"/>
      </w:pPr>
      <w:r>
        <w:t>E14 4PU</w:t>
      </w:r>
    </w:p>
    <w:p w14:paraId="6285DB1F" w14:textId="77777777" w:rsidR="00A716A4" w:rsidRDefault="00A716A4" w:rsidP="00A716A4">
      <w:pPr>
        <w:spacing w:after="0"/>
      </w:pPr>
    </w:p>
    <w:p w14:paraId="44342747" w14:textId="14F982E6" w:rsidR="00A716A4" w:rsidRDefault="00A716A4" w:rsidP="00A716A4">
      <w:r w:rsidRPr="00976FBB">
        <w:t xml:space="preserve">Email: </w:t>
      </w:r>
      <w:hyperlink r:id="rId8" w:history="1">
        <w:r w:rsidRPr="00336459">
          <w:rPr>
            <w:rStyle w:val="Hyperlink"/>
          </w:rPr>
          <w:t>futureretailregulation@ofgem.gov.uk</w:t>
        </w:r>
      </w:hyperlink>
      <w:r w:rsidR="00E837D5">
        <w:tab/>
      </w:r>
      <w:r w:rsidR="00E837D5">
        <w:tab/>
      </w:r>
      <w:r w:rsidR="00E837D5">
        <w:tab/>
      </w:r>
      <w:r w:rsidR="00E837D5">
        <w:tab/>
        <w:t xml:space="preserve">       18</w:t>
      </w:r>
      <w:r w:rsidRPr="00976FBB">
        <w:rPr>
          <w:vertAlign w:val="superscript"/>
        </w:rPr>
        <w:t>th</w:t>
      </w:r>
      <w:r>
        <w:t xml:space="preserve"> October 2018</w:t>
      </w:r>
    </w:p>
    <w:p w14:paraId="1FD3A1AA" w14:textId="77777777" w:rsidR="00A716A4" w:rsidRDefault="00A716A4" w:rsidP="00A716A4"/>
    <w:p w14:paraId="14EDCC8E" w14:textId="77777777" w:rsidR="00A716A4" w:rsidRDefault="00A716A4" w:rsidP="00A716A4">
      <w:r>
        <w:t>Dear Katherine and Ruth,</w:t>
      </w:r>
    </w:p>
    <w:p w14:paraId="01CD163E" w14:textId="77777777" w:rsidR="00A716A4" w:rsidRDefault="00A716A4" w:rsidP="00A716A4">
      <w:r w:rsidRPr="00976FBB">
        <w:t>Thank you for the opportunity to comment on your consultation</w:t>
      </w:r>
      <w:r>
        <w:t xml:space="preserve"> </w:t>
      </w:r>
      <w:r w:rsidRPr="00976FBB">
        <w:t>Domestic supplier-customer communications rulebook reforms</w:t>
      </w:r>
      <w:r>
        <w:t>, dated 20</w:t>
      </w:r>
      <w:r w:rsidRPr="00976FBB">
        <w:rPr>
          <w:vertAlign w:val="superscript"/>
        </w:rPr>
        <w:t>th</w:t>
      </w:r>
      <w:r>
        <w:t xml:space="preserve"> September 2018. </w:t>
      </w:r>
    </w:p>
    <w:p w14:paraId="33DAF3E8" w14:textId="77777777" w:rsidR="00A716A4" w:rsidRDefault="00A716A4" w:rsidP="00A716A4">
      <w:proofErr w:type="spellStart"/>
      <w:r>
        <w:t>Extraenergy</w:t>
      </w:r>
      <w:proofErr w:type="spellEnd"/>
      <w:r>
        <w:t xml:space="preserve"> welcomes the proposals in this consultation in general, and continue to welcome </w:t>
      </w:r>
      <w:proofErr w:type="spellStart"/>
      <w:r>
        <w:t>Ofgem’s</w:t>
      </w:r>
      <w:proofErr w:type="spellEnd"/>
      <w:r>
        <w:t xml:space="preserve"> move towards principals based regulation. While we recognise prescriptive regulation is required under certain circumstances we believe principal based regulation should be used where ever possible. Principles based regulation encourages supplier diversity and allows for increased </w:t>
      </w:r>
      <w:bookmarkStart w:id="0" w:name="_GoBack"/>
      <w:bookmarkEnd w:id="0"/>
      <w:r>
        <w:t>flexibility, whilst prescriptive regulation cannot easily consider the often extensive customer variations that exist.</w:t>
      </w:r>
    </w:p>
    <w:p w14:paraId="71CBEBA3" w14:textId="77777777" w:rsidR="00A716A4" w:rsidRDefault="00A716A4" w:rsidP="00A716A4">
      <w:r>
        <w:t xml:space="preserve">However, we have some concerns as noted below in our response. In particular we are concerned with </w:t>
      </w:r>
      <w:proofErr w:type="spellStart"/>
      <w:r>
        <w:t>Ofgem</w:t>
      </w:r>
      <w:proofErr w:type="spellEnd"/>
      <w:r>
        <w:t xml:space="preserve"> wishing to provide directions at a later date and at their discretion, which we feel would move us back to a prescriptive regulatory environment. This would be contrary to the proposals that have been put forward in this consultation. We also think </w:t>
      </w:r>
      <w:proofErr w:type="spellStart"/>
      <w:r>
        <w:t>Ofgem</w:t>
      </w:r>
      <w:proofErr w:type="spellEnd"/>
      <w:r>
        <w:t xml:space="preserve"> could provide further clarity on some of the proposals before their decision is published, as this would avoid uncertainties for suppliers and would stop any customer detriment arising out of it. </w:t>
      </w:r>
    </w:p>
    <w:p w14:paraId="371BD3B0" w14:textId="77777777" w:rsidR="00A716A4" w:rsidRDefault="00A716A4" w:rsidP="00A716A4">
      <w:r>
        <w:t xml:space="preserve">Please find our detailed responses to the consultation questions below. </w:t>
      </w:r>
    </w:p>
    <w:p w14:paraId="4194CA00" w14:textId="77777777" w:rsidR="00A716A4" w:rsidRPr="00425A55" w:rsidRDefault="00A716A4" w:rsidP="00A716A4">
      <w:pPr>
        <w:rPr>
          <w:b/>
        </w:rPr>
      </w:pPr>
      <w:r w:rsidRPr="00425A55">
        <w:rPr>
          <w:b/>
        </w:rPr>
        <w:t>Chapter 2: Our final package of proposals</w:t>
      </w:r>
    </w:p>
    <w:p w14:paraId="04162B49"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 xml:space="preserve">Do you consider that a direction is required to enable suppliers to make changes to existing fixed-term contracts, so that those customers can benefit from our rule changes sooner? If yes, please: (a) provide examples of specific clauses in your T&amp;Cs that would require such a direction (suppliers only); and/or (b) provide suggestions for how the scope of the direction should be drafted to achieve our policy intent (set out in paragraphs 2.37-2.41 of this document). </w:t>
      </w:r>
    </w:p>
    <w:p w14:paraId="6187355B" w14:textId="77777777" w:rsidR="00A716A4" w:rsidRDefault="00A716A4" w:rsidP="00A716A4">
      <w:pPr>
        <w:ind w:left="720"/>
        <w:contextualSpacing/>
      </w:pPr>
    </w:p>
    <w:p w14:paraId="1B16D9D9" w14:textId="77777777" w:rsidR="00A716A4" w:rsidRDefault="00A716A4" w:rsidP="00A716A4">
      <w:pPr>
        <w:ind w:left="720"/>
        <w:contextualSpacing/>
      </w:pPr>
      <w:r>
        <w:t xml:space="preserve">We do not think we need further direction from </w:t>
      </w:r>
      <w:proofErr w:type="spellStart"/>
      <w:r>
        <w:t>Ofgem</w:t>
      </w:r>
      <w:proofErr w:type="spellEnd"/>
      <w:r>
        <w:t xml:space="preserve"> to make changes to our existing fixed term contracts so that they reflect the proposals set out in this consultation. Whilst we appreciate </w:t>
      </w:r>
      <w:proofErr w:type="spellStart"/>
      <w:r>
        <w:t>Ofgem’s</w:t>
      </w:r>
      <w:proofErr w:type="spellEnd"/>
      <w:r>
        <w:t xml:space="preserve"> offer to provide this, we are of the opinion that this would be counter-productive to the aim of the proposals put forward here, which gives suppliers the ability to make changes to customer communications and our engagement in regards to marketing tariffs or billing. </w:t>
      </w:r>
    </w:p>
    <w:p w14:paraId="56B021FD" w14:textId="77777777" w:rsidR="00A716A4" w:rsidRDefault="00A716A4" w:rsidP="00A716A4">
      <w:pPr>
        <w:ind w:left="720"/>
        <w:contextualSpacing/>
      </w:pPr>
    </w:p>
    <w:p w14:paraId="6C04D323" w14:textId="77777777" w:rsidR="00A716A4" w:rsidRDefault="00A716A4" w:rsidP="00A716A4">
      <w:pPr>
        <w:ind w:left="720"/>
        <w:contextualSpacing/>
      </w:pPr>
    </w:p>
    <w:p w14:paraId="1024E8C5" w14:textId="77777777" w:rsidR="00A716A4" w:rsidRDefault="00A716A4" w:rsidP="00A716A4">
      <w:pPr>
        <w:ind w:left="720"/>
        <w:contextualSpacing/>
      </w:pPr>
    </w:p>
    <w:p w14:paraId="73027533" w14:textId="77777777" w:rsidR="00A716A4" w:rsidRDefault="00A716A4" w:rsidP="00A716A4">
      <w:pPr>
        <w:ind w:left="720"/>
        <w:contextualSpacing/>
      </w:pPr>
    </w:p>
    <w:p w14:paraId="3E14BDAD" w14:textId="77777777" w:rsidR="00A716A4" w:rsidRDefault="00A716A4" w:rsidP="00A716A4">
      <w:pPr>
        <w:ind w:left="720"/>
        <w:contextualSpacing/>
      </w:pPr>
      <w:r>
        <w:t xml:space="preserve">We also would like to emphasise that if any direction is provided by </w:t>
      </w:r>
      <w:proofErr w:type="spellStart"/>
      <w:r>
        <w:t>Ofgem</w:t>
      </w:r>
      <w:proofErr w:type="spellEnd"/>
      <w:r>
        <w:t xml:space="preserve"> on this matter, it should be limited to enabling suppliers to alter existing fixed term contracts, but should not force suppliers to make changes. This would essentially undermine the move towards a principles based regulation approach of allowing suppliers to make decisions in the best interests of their customers.</w:t>
      </w:r>
    </w:p>
    <w:p w14:paraId="3CBD7CBA" w14:textId="77777777" w:rsidR="00A716A4" w:rsidRDefault="00A716A4" w:rsidP="00A716A4">
      <w:pPr>
        <w:ind w:left="720"/>
        <w:contextualSpacing/>
      </w:pPr>
    </w:p>
    <w:p w14:paraId="4C66AE1B" w14:textId="77777777" w:rsidR="00A716A4" w:rsidRDefault="00A716A4" w:rsidP="00A716A4">
      <w:pPr>
        <w:ind w:left="720"/>
        <w:contextualSpacing/>
      </w:pPr>
      <w:r>
        <w:t xml:space="preserve">We accept and encourage </w:t>
      </w:r>
      <w:proofErr w:type="spellStart"/>
      <w:r>
        <w:t>Ofgem’s</w:t>
      </w:r>
      <w:proofErr w:type="spellEnd"/>
      <w:r>
        <w:t xml:space="preserve"> view that suppliers should make any necessary changes to their fixed term contracts as per these proposals, and can also confirm that our T&amp;Cs do not prohibit us from making such changes. We would like to stress that we do not foresee changing existing fixed term contracts to a customer’s detriment, or against their wishes. Changes, as proposed in this consultation, would only be implemented to a fixed term contract if a customer is happy to consent to such changes. </w:t>
      </w:r>
    </w:p>
    <w:p w14:paraId="1A32270A" w14:textId="77777777" w:rsidR="00A716A4" w:rsidRDefault="00A716A4" w:rsidP="00A716A4">
      <w:pPr>
        <w:ind w:left="720"/>
        <w:contextualSpacing/>
      </w:pPr>
    </w:p>
    <w:p w14:paraId="11106D52" w14:textId="77777777" w:rsidR="00A716A4" w:rsidRDefault="00A716A4" w:rsidP="00A716A4">
      <w:pPr>
        <w:ind w:left="720"/>
        <w:contextualSpacing/>
      </w:pPr>
      <w:r>
        <w:t xml:space="preserve">We are however concerned about </w:t>
      </w:r>
      <w:proofErr w:type="spellStart"/>
      <w:r>
        <w:t>Ofgem</w:t>
      </w:r>
      <w:proofErr w:type="spellEnd"/>
      <w:r>
        <w:t xml:space="preserve"> reserving the right to issue a direction under SLC22C.10 at their discretion, as this would allow </w:t>
      </w:r>
      <w:proofErr w:type="spellStart"/>
      <w:r>
        <w:t>Ofgem</w:t>
      </w:r>
      <w:proofErr w:type="spellEnd"/>
      <w:r>
        <w:t xml:space="preserve"> to make changes to suppliers fixed term contracts. We strongly believe that this would be retrograde step, moving back to prescriptive rules and is inconsistent with proposals in this consultation. We therefore do not support </w:t>
      </w:r>
      <w:proofErr w:type="spellStart"/>
      <w:r>
        <w:t>Ofgem</w:t>
      </w:r>
      <w:proofErr w:type="spellEnd"/>
      <w:r>
        <w:t xml:space="preserve"> moving the rules around consumer engagement from the SLCs into to a future direction. This will undermine the transparency of </w:t>
      </w:r>
      <w:proofErr w:type="spellStart"/>
      <w:r>
        <w:t>Ofgem’s</w:t>
      </w:r>
      <w:proofErr w:type="spellEnd"/>
      <w:r>
        <w:t xml:space="preserve"> decision making process and create uncertainty for both Suppliers and customers.  </w:t>
      </w:r>
    </w:p>
    <w:p w14:paraId="3E3EAF97" w14:textId="77777777" w:rsidR="00A716A4" w:rsidRDefault="00A716A4" w:rsidP="00A716A4">
      <w:pPr>
        <w:ind w:left="720"/>
        <w:contextualSpacing/>
      </w:pPr>
    </w:p>
    <w:p w14:paraId="05E314AB" w14:textId="77777777" w:rsidR="00A716A4" w:rsidRDefault="00A716A4" w:rsidP="00A716A4">
      <w:pPr>
        <w:ind w:left="720"/>
        <w:contextualSpacing/>
      </w:pPr>
      <w:r>
        <w:t xml:space="preserve">We would also be more comfortable if we had a clearer view of the scope of such a direction. We accept that at present, without further views from suppliers who may need to make changes to their T&amp;Cs this is a difficult task for </w:t>
      </w:r>
      <w:proofErr w:type="spellStart"/>
      <w:r>
        <w:t>Ofgem</w:t>
      </w:r>
      <w:proofErr w:type="spellEnd"/>
      <w:r>
        <w:t>. However, any further clarity that can be provided on this matter, as early as possible, is welcome.</w:t>
      </w:r>
    </w:p>
    <w:p w14:paraId="739C8B4E" w14:textId="77777777" w:rsidR="00A716A4" w:rsidRPr="00E953A2" w:rsidRDefault="00A716A4" w:rsidP="00A716A4">
      <w:pPr>
        <w:ind w:left="720"/>
        <w:contextualSpacing/>
      </w:pPr>
    </w:p>
    <w:p w14:paraId="57992F76"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Are there any other consequential amendments to the licences that we haven’t proposed in annexes 1-2 that you consider would be needed in light of our proposed changes?</w:t>
      </w:r>
    </w:p>
    <w:p w14:paraId="2ABEB316" w14:textId="77777777" w:rsidR="00A716A4" w:rsidRPr="00E953A2" w:rsidRDefault="00A716A4" w:rsidP="00A716A4">
      <w:pPr>
        <w:ind w:left="720"/>
        <w:contextualSpacing/>
      </w:pPr>
    </w:p>
    <w:p w14:paraId="70E91813" w14:textId="77777777" w:rsidR="00A716A4" w:rsidRPr="00E953A2" w:rsidRDefault="00A716A4" w:rsidP="00A716A4">
      <w:pPr>
        <w:ind w:left="720"/>
        <w:contextualSpacing/>
      </w:pPr>
      <w:r w:rsidRPr="00E953A2">
        <w:t xml:space="preserve">We are satisfied at this time that the amendments to the licences drafted by </w:t>
      </w:r>
      <w:proofErr w:type="spellStart"/>
      <w:r w:rsidRPr="00E953A2">
        <w:t>Ofgem</w:t>
      </w:r>
      <w:proofErr w:type="spellEnd"/>
      <w:r w:rsidRPr="00E953A2">
        <w:t xml:space="preserve"> cover the proposed changes in this consultation, and have no further amendments to suggest. </w:t>
      </w:r>
    </w:p>
    <w:p w14:paraId="394D7CE0" w14:textId="77777777" w:rsidR="00A716A4" w:rsidRPr="00E953A2" w:rsidRDefault="00A716A4" w:rsidP="00A716A4">
      <w:pPr>
        <w:ind w:left="720"/>
        <w:contextualSpacing/>
      </w:pPr>
    </w:p>
    <w:p w14:paraId="6CBC6D79" w14:textId="77777777" w:rsidR="00A716A4" w:rsidRPr="00E953A2" w:rsidRDefault="00A716A4" w:rsidP="00A716A4">
      <w:pPr>
        <w:rPr>
          <w:b/>
        </w:rPr>
      </w:pPr>
      <w:r w:rsidRPr="00E953A2">
        <w:rPr>
          <w:b/>
        </w:rPr>
        <w:t>Chapter 3: Encouraging and enabling engagement</w:t>
      </w:r>
    </w:p>
    <w:p w14:paraId="13C09B78"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Do you agree that our proposals (summarised in boxes 1 and 2 on pages 29 and 31-32) reflect our policy intent relating to encouraging and enabling engagement?</w:t>
      </w:r>
    </w:p>
    <w:p w14:paraId="5F18FC45" w14:textId="77777777" w:rsidR="00A716A4" w:rsidRPr="00E953A2" w:rsidRDefault="00A716A4" w:rsidP="00A716A4">
      <w:pPr>
        <w:ind w:left="720"/>
        <w:contextualSpacing/>
      </w:pPr>
    </w:p>
    <w:p w14:paraId="5C92CD50" w14:textId="77777777" w:rsidR="00A716A4" w:rsidRPr="00E953A2" w:rsidRDefault="00A716A4" w:rsidP="00A716A4">
      <w:pPr>
        <w:ind w:left="720"/>
        <w:contextualSpacing/>
      </w:pPr>
      <w:r w:rsidRPr="00E953A2">
        <w:t>We are supportive of the proposals put forward</w:t>
      </w:r>
      <w:r>
        <w:t xml:space="preserve">, and believe they reflect </w:t>
      </w:r>
      <w:proofErr w:type="spellStart"/>
      <w:r>
        <w:t>Ofgem’s</w:t>
      </w:r>
      <w:proofErr w:type="spellEnd"/>
      <w:r>
        <w:t xml:space="preserve"> policy intent</w:t>
      </w:r>
      <w:r w:rsidRPr="00E953A2">
        <w:t xml:space="preserve"> in</w:t>
      </w:r>
      <w:r>
        <w:t xml:space="preserve"> terms of</w:t>
      </w:r>
      <w:r w:rsidRPr="00E953A2">
        <w:t xml:space="preserve"> </w:t>
      </w:r>
      <w:r>
        <w:t>improving</w:t>
      </w:r>
      <w:r w:rsidRPr="00E953A2">
        <w:t xml:space="preserve"> customer engagement. </w:t>
      </w:r>
    </w:p>
    <w:p w14:paraId="06DB65A2" w14:textId="77777777" w:rsidR="00A716A4" w:rsidRPr="00E953A2" w:rsidRDefault="00A716A4" w:rsidP="00A716A4">
      <w:pPr>
        <w:ind w:left="720"/>
        <w:contextualSpacing/>
      </w:pPr>
    </w:p>
    <w:p w14:paraId="29D6BD16" w14:textId="77777777" w:rsidR="00A716A4" w:rsidRPr="00E953A2" w:rsidRDefault="00A716A4" w:rsidP="00A716A4">
      <w:pPr>
        <w:ind w:left="720"/>
        <w:contextualSpacing/>
      </w:pPr>
      <w:r w:rsidRPr="00E953A2">
        <w:t xml:space="preserve">We agree that improving consumer engagement </w:t>
      </w:r>
      <w:r>
        <w:t>should be a high priority</w:t>
      </w:r>
      <w:r w:rsidRPr="00E953A2">
        <w:t xml:space="preserve">. </w:t>
      </w:r>
      <w:r>
        <w:t>We welcome changes that will allow us to adjust our communication so as to keep consumers more easily informed. C</w:t>
      </w:r>
      <w:r w:rsidRPr="00E953A2">
        <w:t>urrent prescriptive rules around customer engagement and the provision of information</w:t>
      </w:r>
      <w:r>
        <w:t xml:space="preserve"> constrains suppliers ability to innovate; the changes proposed </w:t>
      </w:r>
      <w:r w:rsidRPr="00E953A2">
        <w:t xml:space="preserve"> are likely to </w:t>
      </w:r>
      <w:r>
        <w:t>result in</w:t>
      </w:r>
      <w:r w:rsidRPr="00E953A2">
        <w:t xml:space="preserve"> greater level of engagement </w:t>
      </w:r>
      <w:r>
        <w:t>as suppliers</w:t>
      </w:r>
      <w:r w:rsidRPr="00E953A2">
        <w:t xml:space="preserve"> innovate and improve their communications. </w:t>
      </w:r>
    </w:p>
    <w:p w14:paraId="2E20C88A" w14:textId="77777777" w:rsidR="00A716A4" w:rsidRDefault="00A716A4" w:rsidP="00A716A4">
      <w:pPr>
        <w:contextualSpacing/>
      </w:pPr>
    </w:p>
    <w:p w14:paraId="4057291A" w14:textId="77777777" w:rsidR="00A716A4" w:rsidRPr="00E953A2" w:rsidRDefault="00A716A4" w:rsidP="00A716A4">
      <w:pPr>
        <w:contextualSpacing/>
      </w:pPr>
    </w:p>
    <w:p w14:paraId="3ABA1DEA"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What are your views on our proposal (set out in paragraphs 3.35- 3.36) to move the rules around engagement prompts into a direction separate from the supply licences?</w:t>
      </w:r>
    </w:p>
    <w:p w14:paraId="111A744D" w14:textId="77777777" w:rsidR="00A716A4" w:rsidRPr="00E953A2" w:rsidRDefault="00A716A4" w:rsidP="00A716A4">
      <w:pPr>
        <w:ind w:left="720"/>
        <w:contextualSpacing/>
      </w:pPr>
    </w:p>
    <w:p w14:paraId="3EEC5CBA" w14:textId="77777777" w:rsidR="00A716A4" w:rsidRDefault="00A716A4" w:rsidP="00A716A4">
      <w:pPr>
        <w:ind w:left="720"/>
        <w:contextualSpacing/>
      </w:pPr>
      <w:r w:rsidRPr="00E953A2">
        <w:t>We agree that moving away from the prescriptive rules surrounding customer engagement at present is the best way forward.</w:t>
      </w:r>
      <w:r>
        <w:t xml:space="preserve"> The suggestion that a direction may be required is concerning since it suggests that </w:t>
      </w:r>
      <w:proofErr w:type="spellStart"/>
      <w:r>
        <w:t>Ofgem</w:t>
      </w:r>
      <w:proofErr w:type="spellEnd"/>
      <w:r>
        <w:t xml:space="preserve"> don’t currently have the expertise/knowledge required to understand the impact of amending the current regulation.</w:t>
      </w:r>
      <w:r w:rsidRPr="00E953A2">
        <w:t xml:space="preserve"> Setting a further direction </w:t>
      </w:r>
      <w:r>
        <w:t>may</w:t>
      </w:r>
      <w:r w:rsidRPr="00E953A2">
        <w:t xml:space="preserve"> also move away from the principles based approach</w:t>
      </w:r>
      <w:r>
        <w:t xml:space="preserve"> outlined in</w:t>
      </w:r>
      <w:r w:rsidRPr="00E953A2">
        <w:t xml:space="preserve"> the</w:t>
      </w:r>
      <w:r>
        <w:t xml:space="preserve"> current</w:t>
      </w:r>
      <w:r w:rsidRPr="00E953A2">
        <w:t xml:space="preserve"> proposals.</w:t>
      </w:r>
    </w:p>
    <w:p w14:paraId="0CAE329A" w14:textId="77777777" w:rsidR="00A716A4" w:rsidRDefault="00A716A4" w:rsidP="00A716A4">
      <w:pPr>
        <w:ind w:left="720"/>
        <w:contextualSpacing/>
      </w:pPr>
    </w:p>
    <w:p w14:paraId="11D7E80F" w14:textId="77777777" w:rsidR="00A716A4" w:rsidRPr="00E953A2" w:rsidRDefault="00A716A4" w:rsidP="00A716A4">
      <w:pPr>
        <w:ind w:left="720"/>
        <w:contextualSpacing/>
      </w:pPr>
      <w:r>
        <w:t xml:space="preserve">The proposal of a direction </w:t>
      </w:r>
      <w:r w:rsidRPr="00E953A2">
        <w:t>is likely to create uncertainty for suppliers around possible future prescriptive changes to rules or requirements</w:t>
      </w:r>
      <w:r>
        <w:t>, and may see supplier retain current communication versions until such time that a direction is issued</w:t>
      </w:r>
      <w:r w:rsidRPr="00E953A2">
        <w:t xml:space="preserve">. As we have mentioned earlier, this would also undermine the transparency of </w:t>
      </w:r>
      <w:proofErr w:type="spellStart"/>
      <w:r w:rsidRPr="00E953A2">
        <w:t>Ofgem’s</w:t>
      </w:r>
      <w:proofErr w:type="spellEnd"/>
      <w:r w:rsidRPr="00E953A2">
        <w:t xml:space="preserve"> decision making process and impact both suppliers and consumers. </w:t>
      </w:r>
    </w:p>
    <w:p w14:paraId="22EE3E13" w14:textId="77777777" w:rsidR="00A716A4" w:rsidRPr="00E953A2" w:rsidRDefault="00A716A4" w:rsidP="00A716A4">
      <w:pPr>
        <w:contextualSpacing/>
      </w:pPr>
    </w:p>
    <w:p w14:paraId="28D02257" w14:textId="77777777" w:rsidR="00A716A4" w:rsidRPr="00E953A2" w:rsidRDefault="00A716A4" w:rsidP="00A716A4">
      <w:pPr>
        <w:ind w:left="720"/>
        <w:contextualSpacing/>
      </w:pPr>
      <w:r w:rsidRPr="00E953A2">
        <w:t xml:space="preserve">Whilst the proposal that information under the ‘contract choices’ principle should be provided both at Key Engagement Points and throughout the year is sensible, we believe that further clarity around what </w:t>
      </w:r>
      <w:proofErr w:type="spellStart"/>
      <w:r w:rsidRPr="00E953A2">
        <w:t>Ofgem</w:t>
      </w:r>
      <w:proofErr w:type="spellEnd"/>
      <w:r w:rsidRPr="00E953A2">
        <w:t xml:space="preserve"> expects from suppliers could be provided. Whilst we appreciate the point made about Key Engagement Points or Key Prompt Points is relative to individual customers and/or their circumstances, we would like to request further clarity </w:t>
      </w:r>
      <w:r>
        <w:t xml:space="preserve">detailing </w:t>
      </w:r>
      <w:r w:rsidRPr="00E953A2">
        <w:t xml:space="preserve">what suppliers will be expected to provide and when. </w:t>
      </w:r>
    </w:p>
    <w:p w14:paraId="53C2295D" w14:textId="77777777" w:rsidR="00A716A4" w:rsidRPr="00E953A2" w:rsidRDefault="00A716A4" w:rsidP="00A716A4">
      <w:pPr>
        <w:ind w:left="720"/>
        <w:contextualSpacing/>
      </w:pPr>
    </w:p>
    <w:p w14:paraId="5AB9B2BE" w14:textId="77777777" w:rsidR="00A716A4" w:rsidRDefault="00A716A4" w:rsidP="00A716A4">
      <w:pPr>
        <w:ind w:left="720"/>
        <w:contextualSpacing/>
      </w:pPr>
      <w:r w:rsidRPr="00E953A2">
        <w:t xml:space="preserve">However we do support and accept the removal of the detailed prescriptive rules around Cheapest Tariff Message, Estimated Annual Costs and “About Your Tariff” Label and accept that they should now be provided at Key Prompt Points. </w:t>
      </w:r>
    </w:p>
    <w:p w14:paraId="210B1AB0" w14:textId="77777777" w:rsidR="00A716A4" w:rsidRDefault="00A716A4" w:rsidP="00A716A4">
      <w:pPr>
        <w:ind w:left="720"/>
        <w:contextualSpacing/>
      </w:pPr>
    </w:p>
    <w:p w14:paraId="420B887C" w14:textId="77777777" w:rsidR="00A716A4" w:rsidRPr="00E953A2" w:rsidRDefault="00A716A4" w:rsidP="00A716A4">
      <w:pPr>
        <w:ind w:left="720"/>
        <w:contextualSpacing/>
      </w:pPr>
      <w:r>
        <w:t xml:space="preserve">If, following trials, </w:t>
      </w:r>
      <w:proofErr w:type="spellStart"/>
      <w:r>
        <w:t>Ofgem</w:t>
      </w:r>
      <w:proofErr w:type="spellEnd"/>
      <w:r>
        <w:t xml:space="preserve"> decides that more prescriptive rules are required, we believe they should be contained within licence conditions. This approach ensures that documents containing rules that suppliers should follow are kept to a minimum. </w:t>
      </w:r>
    </w:p>
    <w:p w14:paraId="4F7FDFE0" w14:textId="77777777" w:rsidR="00A716A4" w:rsidRPr="00E953A2" w:rsidRDefault="00A716A4" w:rsidP="00A716A4">
      <w:pPr>
        <w:ind w:left="720"/>
        <w:contextualSpacing/>
      </w:pPr>
    </w:p>
    <w:p w14:paraId="77BC849D" w14:textId="77777777" w:rsidR="00A716A4" w:rsidRPr="00E953A2" w:rsidRDefault="00A716A4" w:rsidP="00A716A4">
      <w:pPr>
        <w:rPr>
          <w:b/>
        </w:rPr>
      </w:pPr>
      <w:r w:rsidRPr="00E953A2">
        <w:rPr>
          <w:b/>
        </w:rPr>
        <w:t>Chapter 4: Assistance and advice information</w:t>
      </w:r>
    </w:p>
    <w:p w14:paraId="16387EFD"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Do you agree that our proposals reflect our policy intent relating to assistance and advice information?</w:t>
      </w:r>
    </w:p>
    <w:p w14:paraId="106C5E72" w14:textId="77777777" w:rsidR="00A716A4" w:rsidRPr="00E953A2" w:rsidRDefault="00A716A4" w:rsidP="00A716A4">
      <w:pPr>
        <w:ind w:left="720"/>
        <w:contextualSpacing/>
      </w:pPr>
    </w:p>
    <w:p w14:paraId="286FE72D" w14:textId="77777777" w:rsidR="00A716A4" w:rsidRPr="00E953A2" w:rsidRDefault="00A716A4" w:rsidP="00A716A4">
      <w:pPr>
        <w:ind w:left="720"/>
        <w:contextualSpacing/>
      </w:pPr>
      <w:r w:rsidRPr="00E953A2">
        <w:t xml:space="preserve">We welcome </w:t>
      </w:r>
      <w:proofErr w:type="spellStart"/>
      <w:r w:rsidRPr="00E953A2">
        <w:t>Ofgem’s</w:t>
      </w:r>
      <w:proofErr w:type="spellEnd"/>
      <w:r w:rsidRPr="00E953A2">
        <w:t xml:space="preserve"> proposal introducing a new principle requiring suppliers to ensure consumers can quickly and easily understand how to identify and access the help that is available to them</w:t>
      </w:r>
      <w:r>
        <w:t>. Additionally,</w:t>
      </w:r>
      <w:r w:rsidRPr="00E953A2">
        <w:t xml:space="preserve"> the removal of the prescriptions on suppliers</w:t>
      </w:r>
      <w:r>
        <w:t xml:space="preserve"> relating</w:t>
      </w:r>
      <w:r w:rsidRPr="00E953A2">
        <w:t xml:space="preserve"> to</w:t>
      </w:r>
      <w:r>
        <w:t xml:space="preserve"> the</w:t>
      </w:r>
      <w:r w:rsidRPr="00E953A2">
        <w:t xml:space="preserve"> provi</w:t>
      </w:r>
      <w:r>
        <w:t xml:space="preserve">sion of </w:t>
      </w:r>
      <w:r w:rsidRPr="00E953A2">
        <w:t xml:space="preserve">information </w:t>
      </w:r>
      <w:r>
        <w:t>at prescribed times and in prescribed formats, is also welcome.</w:t>
      </w:r>
    </w:p>
    <w:p w14:paraId="68045FD2" w14:textId="77777777" w:rsidR="00A716A4" w:rsidRPr="00E953A2" w:rsidRDefault="00A716A4" w:rsidP="00A716A4">
      <w:pPr>
        <w:ind w:left="720"/>
        <w:contextualSpacing/>
      </w:pPr>
    </w:p>
    <w:p w14:paraId="0ADCD728" w14:textId="77777777" w:rsidR="00A716A4" w:rsidRPr="00E953A2" w:rsidRDefault="00A716A4" w:rsidP="00A716A4">
      <w:pPr>
        <w:ind w:left="720"/>
        <w:contextualSpacing/>
      </w:pPr>
      <w:r w:rsidRPr="00E953A2">
        <w:t>We agree the new proposals reflects the policy intentions that have been set out</w:t>
      </w:r>
      <w:r>
        <w:t>.</w:t>
      </w:r>
    </w:p>
    <w:p w14:paraId="5536C12B" w14:textId="77777777" w:rsidR="00A716A4" w:rsidRPr="00E953A2" w:rsidRDefault="00A716A4" w:rsidP="00A716A4">
      <w:pPr>
        <w:contextualSpacing/>
      </w:pPr>
    </w:p>
    <w:p w14:paraId="309D6BD5" w14:textId="77777777" w:rsidR="00A716A4" w:rsidRPr="00E953A2" w:rsidRDefault="00A716A4" w:rsidP="00A716A4">
      <w:pPr>
        <w:rPr>
          <w:b/>
        </w:rPr>
      </w:pPr>
      <w:r w:rsidRPr="00E953A2">
        <w:rPr>
          <w:b/>
        </w:rPr>
        <w:t>Chapter 5: Relevant Billing Information, Bills and statements of account</w:t>
      </w:r>
    </w:p>
    <w:p w14:paraId="223EA2B9"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Do you agree that our proposals reflect our policy intent relating to Bills and billing information?</w:t>
      </w:r>
    </w:p>
    <w:p w14:paraId="57F54C9A" w14:textId="77777777" w:rsidR="00A716A4" w:rsidRPr="00E953A2" w:rsidRDefault="00A716A4" w:rsidP="00A716A4">
      <w:pPr>
        <w:ind w:left="720"/>
        <w:contextualSpacing/>
      </w:pPr>
    </w:p>
    <w:p w14:paraId="6AD0A2C9" w14:textId="77777777" w:rsidR="00A716A4" w:rsidRDefault="00A716A4" w:rsidP="00A716A4">
      <w:pPr>
        <w:ind w:left="720"/>
        <w:contextualSpacing/>
      </w:pPr>
    </w:p>
    <w:p w14:paraId="78888F07" w14:textId="77777777" w:rsidR="00A716A4" w:rsidRDefault="00A716A4" w:rsidP="00A716A4">
      <w:pPr>
        <w:ind w:left="720"/>
        <w:contextualSpacing/>
      </w:pPr>
      <w:r w:rsidRPr="00E953A2">
        <w:t xml:space="preserve">We accept </w:t>
      </w:r>
      <w:proofErr w:type="spellStart"/>
      <w:r w:rsidRPr="00E953A2">
        <w:t>Ofgem’s</w:t>
      </w:r>
      <w:proofErr w:type="spellEnd"/>
      <w:r w:rsidRPr="00E953A2">
        <w:t xml:space="preserve"> propos</w:t>
      </w:r>
      <w:r>
        <w:t xml:space="preserve">ed </w:t>
      </w:r>
      <w:r w:rsidRPr="00E953A2">
        <w:t>amendments to Bills and Billing information</w:t>
      </w:r>
      <w:r>
        <w:t xml:space="preserve"> </w:t>
      </w:r>
      <w:r w:rsidRPr="00E953A2">
        <w:t xml:space="preserve">and welcome the additional clarification and definitions that have now been </w:t>
      </w:r>
      <w:r>
        <w:t>provided</w:t>
      </w:r>
      <w:r w:rsidRPr="00E953A2">
        <w:t xml:space="preserve"> regarding Relevant Billing Information, Bills and Statements of Account. </w:t>
      </w:r>
    </w:p>
    <w:p w14:paraId="29E3ECA4" w14:textId="77777777" w:rsidR="00A716A4" w:rsidRPr="00E953A2" w:rsidRDefault="00A716A4" w:rsidP="00A716A4">
      <w:pPr>
        <w:ind w:left="720"/>
        <w:contextualSpacing/>
      </w:pPr>
      <w:r>
        <w:t>We believe that information currently required to be included in bills is best provided through other means.</w:t>
      </w:r>
    </w:p>
    <w:p w14:paraId="27FA150A" w14:textId="77777777" w:rsidR="00A716A4" w:rsidRPr="00E953A2" w:rsidRDefault="00A716A4" w:rsidP="00A716A4">
      <w:pPr>
        <w:contextualSpacing/>
      </w:pPr>
    </w:p>
    <w:p w14:paraId="4005E2B8" w14:textId="77777777" w:rsidR="00A716A4" w:rsidRPr="00E953A2" w:rsidRDefault="00A716A4" w:rsidP="00A716A4">
      <w:pPr>
        <w:rPr>
          <w:b/>
        </w:rPr>
      </w:pPr>
      <w:r w:rsidRPr="00E953A2">
        <w:rPr>
          <w:b/>
        </w:rPr>
        <w:t>Chapter 6: Contract changes information (price increases and fixed term contracts coming to an end)</w:t>
      </w:r>
    </w:p>
    <w:p w14:paraId="3CD78EA0" w14:textId="77777777" w:rsidR="00A716A4" w:rsidRPr="00E953A2" w:rsidRDefault="00A716A4" w:rsidP="00A716A4">
      <w:pPr>
        <w:numPr>
          <w:ilvl w:val="0"/>
          <w:numId w:val="5"/>
        </w:numPr>
        <w:spacing w:after="160" w:line="259" w:lineRule="auto"/>
        <w:contextualSpacing/>
        <w:rPr>
          <w:rStyle w:val="SubtleEmphasis"/>
        </w:rPr>
      </w:pPr>
      <w:r w:rsidRPr="00E953A2">
        <w:rPr>
          <w:rStyle w:val="SubtleEmphasis"/>
        </w:rPr>
        <w:t>Do you agree that our proposals reflect our policy intent relating to contract changes?</w:t>
      </w:r>
    </w:p>
    <w:p w14:paraId="34876B8A" w14:textId="77777777" w:rsidR="00A716A4" w:rsidRPr="00E953A2" w:rsidRDefault="00A716A4" w:rsidP="00A716A4">
      <w:pPr>
        <w:ind w:left="720"/>
        <w:contextualSpacing/>
      </w:pPr>
    </w:p>
    <w:p w14:paraId="4A3557B0" w14:textId="77777777" w:rsidR="00A716A4" w:rsidRPr="00E953A2" w:rsidRDefault="00A716A4" w:rsidP="00A716A4">
      <w:pPr>
        <w:ind w:left="720"/>
        <w:contextualSpacing/>
      </w:pPr>
      <w:r w:rsidRPr="00E953A2">
        <w:t xml:space="preserve">We agree that </w:t>
      </w:r>
      <w:proofErr w:type="spellStart"/>
      <w:r w:rsidRPr="00E953A2">
        <w:t>Ofgem’s</w:t>
      </w:r>
      <w:proofErr w:type="spellEnd"/>
      <w:r w:rsidRPr="00E953A2">
        <w:t xml:space="preserve"> policy regarding contract changes have been adequately reflected in their proposals, as set out in this consultation</w:t>
      </w:r>
      <w:r>
        <w:t xml:space="preserve">, and welcome </w:t>
      </w:r>
      <w:proofErr w:type="spellStart"/>
      <w:r>
        <w:t>Ofgem’s</w:t>
      </w:r>
      <w:proofErr w:type="spellEnd"/>
      <w:r>
        <w:t xml:space="preserve"> amendment to original proposals following feedback.</w:t>
      </w:r>
    </w:p>
    <w:p w14:paraId="7B71CA82" w14:textId="77777777" w:rsidR="00A716A4" w:rsidRPr="00E953A2" w:rsidRDefault="00A716A4" w:rsidP="00A716A4">
      <w:pPr>
        <w:contextualSpacing/>
      </w:pPr>
    </w:p>
    <w:p w14:paraId="5772D9AE" w14:textId="77777777" w:rsidR="00A716A4" w:rsidRPr="00E953A2" w:rsidRDefault="00A716A4" w:rsidP="00A716A4">
      <w:pPr>
        <w:ind w:left="720"/>
        <w:contextualSpacing/>
      </w:pPr>
      <w:r w:rsidRPr="00E953A2">
        <w:t xml:space="preserve">We </w:t>
      </w:r>
      <w:r>
        <w:t xml:space="preserve">also </w:t>
      </w:r>
      <w:r w:rsidRPr="00E953A2">
        <w:t xml:space="preserve">welcome </w:t>
      </w:r>
      <w:proofErr w:type="spellStart"/>
      <w:r w:rsidRPr="00E953A2">
        <w:t>Ofgem’s</w:t>
      </w:r>
      <w:proofErr w:type="spellEnd"/>
      <w:r w:rsidRPr="00E953A2">
        <w:t xml:space="preserve"> new principle to ensure consumers have the information they need to understand and manage impor</w:t>
      </w:r>
      <w:r>
        <w:t>tant changes to their contract. Communicating p</w:t>
      </w:r>
      <w:r w:rsidRPr="00E953A2">
        <w:t>rice increases and fixed-term contracts coming to an end</w:t>
      </w:r>
      <w:r>
        <w:t xml:space="preserve">, should be done in a timely manner </w:t>
      </w:r>
      <w:r w:rsidRPr="00E953A2">
        <w:t xml:space="preserve">that will prompt </w:t>
      </w:r>
      <w:r>
        <w:t>customers</w:t>
      </w:r>
      <w:r w:rsidRPr="00E953A2">
        <w:t xml:space="preserve"> to engage and </w:t>
      </w:r>
      <w:r>
        <w:t xml:space="preserve">when it will </w:t>
      </w:r>
      <w:r w:rsidRPr="00E953A2">
        <w:t xml:space="preserve">also be reasonable for them to assess their options and take any action. </w:t>
      </w:r>
      <w:r>
        <w:t>Additionally</w:t>
      </w:r>
      <w:r w:rsidRPr="00E953A2">
        <w:t xml:space="preserve"> the removal of the prescriptive list of items that must be included on Price Increase Notifications and Statements of Renewal Terms, as well as format</w:t>
      </w:r>
      <w:r>
        <w:t xml:space="preserve">ting and placement requirements is also welcome. </w:t>
      </w:r>
    </w:p>
    <w:p w14:paraId="6C15DD2C" w14:textId="77777777" w:rsidR="00A716A4" w:rsidRPr="00425A55" w:rsidRDefault="00A716A4" w:rsidP="00A716A4">
      <w:pPr>
        <w:ind w:left="720"/>
        <w:contextualSpacing/>
        <w:rPr>
          <w:color w:val="FF0000"/>
        </w:rPr>
      </w:pPr>
    </w:p>
    <w:p w14:paraId="0119C7AE" w14:textId="0B4ED3DB" w:rsidR="00A716A4" w:rsidRDefault="00A716A4" w:rsidP="00A716A4">
      <w:r w:rsidRPr="00425A55">
        <w:t xml:space="preserve">In addition to above, we would like to raise the following points in regards to </w:t>
      </w:r>
      <w:r>
        <w:t>further</w:t>
      </w:r>
      <w:r w:rsidRPr="00425A55">
        <w:t xml:space="preserve"> proposals raised </w:t>
      </w:r>
      <w:r>
        <w:t xml:space="preserve">in this consultation: </w:t>
      </w:r>
    </w:p>
    <w:p w14:paraId="5113C275" w14:textId="0C7309A9" w:rsidR="00A716A4" w:rsidRDefault="00A716A4" w:rsidP="00D806E4">
      <w:pPr>
        <w:pStyle w:val="ListParagraph"/>
        <w:numPr>
          <w:ilvl w:val="0"/>
          <w:numId w:val="8"/>
        </w:numPr>
      </w:pPr>
      <w:proofErr w:type="spellStart"/>
      <w:r>
        <w:t>Extraenergy</w:t>
      </w:r>
      <w:proofErr w:type="spellEnd"/>
      <w:r>
        <w:t xml:space="preserve"> agrees with and accepts </w:t>
      </w:r>
      <w:proofErr w:type="spellStart"/>
      <w:r>
        <w:t>Ofgem’s</w:t>
      </w:r>
      <w:proofErr w:type="spellEnd"/>
      <w:r>
        <w:t xml:space="preserve"> proposal to </w:t>
      </w:r>
      <w:r w:rsidRPr="0029679C">
        <w:t>remove the requirement for suppliers to provide consumers with an Annua</w:t>
      </w:r>
      <w:r>
        <w:t>l Statement</w:t>
      </w:r>
      <w:r w:rsidRPr="0029679C">
        <w:t xml:space="preserve">. </w:t>
      </w:r>
      <w:r>
        <w:t>We agree that</w:t>
      </w:r>
      <w:r w:rsidRPr="0029679C">
        <w:t xml:space="preserve"> consumers </w:t>
      </w:r>
      <w:r>
        <w:t xml:space="preserve">should </w:t>
      </w:r>
      <w:r w:rsidRPr="0029679C">
        <w:t>continue to receive the important information cur</w:t>
      </w:r>
      <w:r>
        <w:t xml:space="preserve">rently in the Annual Statement by following the new principles which have been proposed. </w:t>
      </w:r>
    </w:p>
    <w:p w14:paraId="28D49742" w14:textId="7E17D55F" w:rsidR="00A716A4" w:rsidRPr="00425A55" w:rsidRDefault="00A716A4" w:rsidP="00D806E4">
      <w:pPr>
        <w:pStyle w:val="ListParagraph"/>
        <w:numPr>
          <w:ilvl w:val="0"/>
          <w:numId w:val="8"/>
        </w:numPr>
      </w:pPr>
      <w:r>
        <w:t xml:space="preserve">We welcome the clarifications provided in regards to supplier expectations. We would however welcome further clarity as mentioned previously in our response before a decision is issued. </w:t>
      </w:r>
    </w:p>
    <w:p w14:paraId="7EBB81E2" w14:textId="77777777" w:rsidR="00A716A4" w:rsidRDefault="00A716A4" w:rsidP="00A716A4">
      <w:r>
        <w:t xml:space="preserve">The changes proposed in this consultation are generally welcomed by </w:t>
      </w:r>
      <w:proofErr w:type="spellStart"/>
      <w:r>
        <w:t>ExtraEnergy</w:t>
      </w:r>
      <w:proofErr w:type="spellEnd"/>
      <w:r>
        <w:t>. These changes provide the opportunity to review how and when we provide key information to customers and we will take to opportunity to make the most of this opportunity and ensure our consumers benefit.</w:t>
      </w:r>
    </w:p>
    <w:p w14:paraId="7A72C32B" w14:textId="77777777" w:rsidR="00A716A4" w:rsidRPr="00425A55" w:rsidRDefault="00A716A4" w:rsidP="00A716A4">
      <w:r w:rsidRPr="00425A55">
        <w:t>If you have any further questions on our response to this consultation please do not hesitate to contact me</w:t>
      </w:r>
    </w:p>
    <w:p w14:paraId="1FB6436E" w14:textId="77777777" w:rsidR="00A716A4" w:rsidRPr="00425A55" w:rsidRDefault="00A716A4" w:rsidP="00A716A4">
      <w:r w:rsidRPr="00425A55">
        <w:t>Yours sincerely</w:t>
      </w:r>
    </w:p>
    <w:p w14:paraId="2E45A1B6" w14:textId="77777777" w:rsidR="00A716A4" w:rsidRPr="00425A55" w:rsidRDefault="00A716A4" w:rsidP="00A716A4">
      <w:pPr>
        <w:rPr>
          <w:rFonts w:eastAsia="Calibri" w:cs="Times New Roman"/>
          <w:b/>
          <w:szCs w:val="28"/>
        </w:rPr>
      </w:pPr>
      <w:r w:rsidRPr="00425A55">
        <w:rPr>
          <w:rFonts w:eastAsia="Calibri" w:cs="Times New Roman"/>
          <w:b/>
          <w:szCs w:val="28"/>
        </w:rPr>
        <w:t>Maitrayee Bhowmick-Jewkes</w:t>
      </w:r>
    </w:p>
    <w:p w14:paraId="40599949" w14:textId="77777777" w:rsidR="00A716A4" w:rsidRPr="00425A55" w:rsidRDefault="00A716A4" w:rsidP="00A716A4">
      <w:pPr>
        <w:rPr>
          <w:rFonts w:eastAsia="Calibri" w:cs="Arial"/>
          <w:color w:val="595959"/>
          <w:sz w:val="28"/>
          <w:lang w:eastAsia="en-GB"/>
        </w:rPr>
      </w:pPr>
      <w:r w:rsidRPr="00425A55">
        <w:rPr>
          <w:rFonts w:eastAsia="Calibri" w:cs="Arial"/>
          <w:color w:val="404040"/>
          <w:szCs w:val="18"/>
        </w:rPr>
        <w:t>Regulatory Manager</w:t>
      </w:r>
    </w:p>
    <w:p w14:paraId="485A5B03" w14:textId="77777777" w:rsidR="00A716A4" w:rsidRPr="00425A55" w:rsidRDefault="00A716A4" w:rsidP="00A716A4">
      <w:pPr>
        <w:spacing w:after="0"/>
        <w:rPr>
          <w:rFonts w:eastAsia="Calibri" w:cs="Times New Roman"/>
          <w:color w:val="0563C1"/>
          <w:sz w:val="18"/>
          <w:u w:val="single"/>
        </w:rPr>
      </w:pPr>
      <w:r w:rsidRPr="00425A55">
        <w:rPr>
          <w:rFonts w:eastAsia="Calibri" w:cs="Times New Roman"/>
          <w:color w:val="7F7F7F"/>
          <w:sz w:val="18"/>
        </w:rPr>
        <w:t>Email:                 </w:t>
      </w:r>
      <w:r w:rsidRPr="00425A55">
        <w:rPr>
          <w:rFonts w:eastAsia="Calibri" w:cs="Times New Roman"/>
          <w:color w:val="0563C1"/>
          <w:sz w:val="18"/>
          <w:u w:val="single"/>
        </w:rPr>
        <w:t>Maitrayee.Jewkes@extraenergy.com</w:t>
      </w:r>
    </w:p>
    <w:p w14:paraId="4D626598" w14:textId="77777777" w:rsidR="00A716A4" w:rsidRPr="00425A55" w:rsidRDefault="00A716A4" w:rsidP="00A716A4">
      <w:pPr>
        <w:spacing w:after="0"/>
        <w:rPr>
          <w:rFonts w:eastAsia="Calibri" w:cs="Times New Roman"/>
          <w:color w:val="7F7F7F"/>
          <w:sz w:val="18"/>
        </w:rPr>
      </w:pPr>
      <w:r w:rsidRPr="00425A55">
        <w:rPr>
          <w:rFonts w:eastAsia="Calibri" w:cs="Times New Roman"/>
          <w:color w:val="7F7F7F"/>
          <w:sz w:val="18"/>
        </w:rPr>
        <w:t xml:space="preserve">Phone:               </w:t>
      </w:r>
      <w:r w:rsidRPr="00425A55">
        <w:rPr>
          <w:rFonts w:eastAsia="Calibri" w:cs="Times New Roman"/>
          <w:color w:val="000000" w:themeColor="text1"/>
          <w:sz w:val="18"/>
        </w:rPr>
        <w:t>07834025220</w:t>
      </w:r>
    </w:p>
    <w:p w14:paraId="22398F46" w14:textId="15986356" w:rsidR="00A716A4" w:rsidRPr="00D806E4" w:rsidRDefault="00A716A4" w:rsidP="00A716A4">
      <w:pPr>
        <w:spacing w:after="0"/>
        <w:rPr>
          <w:rFonts w:eastAsia="Calibri" w:cs="Times New Roman"/>
          <w:color w:val="7F7F7F"/>
          <w:sz w:val="18"/>
        </w:rPr>
      </w:pPr>
      <w:r w:rsidRPr="00425A55">
        <w:rPr>
          <w:rFonts w:eastAsia="Calibri" w:cs="Times New Roman"/>
          <w:color w:val="7F7F7F"/>
          <w:sz w:val="18"/>
        </w:rPr>
        <w:t xml:space="preserve">Web:                  </w:t>
      </w:r>
      <w:r w:rsidRPr="00425A55">
        <w:rPr>
          <w:rFonts w:eastAsia="Calibri" w:cs="Times New Roman"/>
          <w:color w:val="0563C1"/>
          <w:sz w:val="18"/>
          <w:u w:val="single"/>
        </w:rPr>
        <w:t>www.extraenergy.com</w:t>
      </w:r>
    </w:p>
    <w:sectPr w:rsidR="00A716A4" w:rsidRPr="00D806E4" w:rsidSect="00A15E96">
      <w:headerReference w:type="default" r:id="rId9"/>
      <w:footerReference w:type="default" r:id="rId10"/>
      <w:headerReference w:type="first" r:id="rId11"/>
      <w:footerReference w:type="first" r:id="rId12"/>
      <w:pgSz w:w="11904" w:h="16840"/>
      <w:pgMar w:top="0" w:right="1698" w:bottom="1440" w:left="56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B8375" w14:textId="77777777" w:rsidR="00B75AD1" w:rsidRDefault="00B75AD1" w:rsidP="00DF4A48">
      <w:pPr>
        <w:spacing w:after="0"/>
      </w:pPr>
      <w:r>
        <w:separator/>
      </w:r>
    </w:p>
  </w:endnote>
  <w:endnote w:type="continuationSeparator" w:id="0">
    <w:p w14:paraId="4CAB9073" w14:textId="77777777" w:rsidR="00B75AD1" w:rsidRDefault="00B75AD1" w:rsidP="00DF4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F DinDisplay Pro">
    <w:panose1 w:val="00000000000000000000"/>
    <w:charset w:val="00"/>
    <w:family w:val="modern"/>
    <w:notTrueType/>
    <w:pitch w:val="variable"/>
    <w:sig w:usb0="A00002B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DinDisplay Pro Light">
    <w:panose1 w:val="00000000000000000000"/>
    <w:charset w:val="00"/>
    <w:family w:val="modern"/>
    <w:notTrueType/>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AG Rounded Std Thi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60DFA" w14:textId="0CE3F62D" w:rsidR="00A15E96" w:rsidRDefault="00A15E96">
    <w:pPr>
      <w:pStyle w:val="Footer"/>
    </w:pPr>
    <w:r>
      <w:rPr>
        <w:noProof/>
        <w:lang w:eastAsia="en-GB"/>
      </w:rPr>
      <w:drawing>
        <wp:anchor distT="0" distB="0" distL="114300" distR="114300" simplePos="0" relativeHeight="251666432" behindDoc="0" locked="0" layoutInCell="1" allowOverlap="1" wp14:anchorId="0F722782" wp14:editId="2ADBE42B">
          <wp:simplePos x="0" y="0"/>
          <wp:positionH relativeFrom="column">
            <wp:posOffset>-423655</wp:posOffset>
          </wp:positionH>
          <wp:positionV relativeFrom="paragraph">
            <wp:posOffset>-43159</wp:posOffset>
          </wp:positionV>
          <wp:extent cx="7609398" cy="73812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 template - Footer V3 PNG.png"/>
                  <pic:cNvPicPr/>
                </pic:nvPicPr>
                <pic:blipFill>
                  <a:blip r:embed="rId1">
                    <a:extLst>
                      <a:ext uri="{28A0092B-C50C-407E-A947-70E740481C1C}">
                        <a14:useLocalDpi xmlns:a14="http://schemas.microsoft.com/office/drawing/2010/main" val="0"/>
                      </a:ext>
                    </a:extLst>
                  </a:blip>
                  <a:stretch>
                    <a:fillRect/>
                  </a:stretch>
                </pic:blipFill>
                <pic:spPr>
                  <a:xfrm>
                    <a:off x="0" y="0"/>
                    <a:ext cx="7705749" cy="74747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559A" w14:textId="120053F7" w:rsidR="00981AF9" w:rsidRDefault="000B1D44">
    <w:pPr>
      <w:pStyle w:val="Footer"/>
      <w:rPr>
        <w:noProof/>
        <w:lang w:eastAsia="en-GB"/>
      </w:rPr>
    </w:pPr>
    <w:r>
      <w:rPr>
        <w:noProof/>
        <w:lang w:eastAsia="en-GB"/>
      </w:rPr>
      <w:drawing>
        <wp:anchor distT="0" distB="0" distL="114300" distR="114300" simplePos="0" relativeHeight="251663360" behindDoc="0" locked="0" layoutInCell="1" allowOverlap="1" wp14:anchorId="2B794A0B" wp14:editId="31A1E746">
          <wp:simplePos x="0" y="0"/>
          <wp:positionH relativeFrom="column">
            <wp:posOffset>-388620</wp:posOffset>
          </wp:positionH>
          <wp:positionV relativeFrom="paragraph">
            <wp:posOffset>146686</wp:posOffset>
          </wp:positionV>
          <wp:extent cx="7593676" cy="7366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 template - Footer V3 PNG.png"/>
                  <pic:cNvPicPr/>
                </pic:nvPicPr>
                <pic:blipFill>
                  <a:blip r:embed="rId1">
                    <a:extLst>
                      <a:ext uri="{28A0092B-C50C-407E-A947-70E740481C1C}">
                        <a14:useLocalDpi xmlns:a14="http://schemas.microsoft.com/office/drawing/2010/main" val="0"/>
                      </a:ext>
                    </a:extLst>
                  </a:blip>
                  <a:stretch>
                    <a:fillRect/>
                  </a:stretch>
                </pic:blipFill>
                <pic:spPr>
                  <a:xfrm>
                    <a:off x="0" y="0"/>
                    <a:ext cx="7607069" cy="737899"/>
                  </a:xfrm>
                  <a:prstGeom prst="rect">
                    <a:avLst/>
                  </a:prstGeom>
                </pic:spPr>
              </pic:pic>
            </a:graphicData>
          </a:graphic>
          <wp14:sizeRelH relativeFrom="margin">
            <wp14:pctWidth>0</wp14:pctWidth>
          </wp14:sizeRelH>
          <wp14:sizeRelV relativeFrom="margin">
            <wp14:pctHeight>0</wp14:pctHeight>
          </wp14:sizeRelV>
        </wp:anchor>
      </w:drawing>
    </w:r>
  </w:p>
  <w:p w14:paraId="1E1DCFE8" w14:textId="0E2A65AC" w:rsidR="001B32B6" w:rsidRDefault="001B3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3C895" w14:textId="77777777" w:rsidR="00B75AD1" w:rsidRDefault="00B75AD1" w:rsidP="00DF4A48">
      <w:pPr>
        <w:spacing w:after="0"/>
      </w:pPr>
      <w:r>
        <w:separator/>
      </w:r>
    </w:p>
  </w:footnote>
  <w:footnote w:type="continuationSeparator" w:id="0">
    <w:p w14:paraId="4C208D90" w14:textId="77777777" w:rsidR="00B75AD1" w:rsidRDefault="00B75AD1" w:rsidP="00DF4A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0C23" w14:textId="31353169" w:rsidR="00A15E96" w:rsidRDefault="00A15E96">
    <w:pPr>
      <w:pStyle w:val="Header"/>
    </w:pPr>
    <w:r>
      <w:rPr>
        <w:noProof/>
        <w:lang w:eastAsia="en-GB"/>
      </w:rPr>
      <w:drawing>
        <wp:anchor distT="0" distB="0" distL="114300" distR="114300" simplePos="0" relativeHeight="251665408" behindDoc="1" locked="0" layoutInCell="1" allowOverlap="1" wp14:anchorId="42856E68" wp14:editId="0CF7CFE2">
          <wp:simplePos x="0" y="0"/>
          <wp:positionH relativeFrom="column">
            <wp:posOffset>4293704</wp:posOffset>
          </wp:positionH>
          <wp:positionV relativeFrom="paragraph">
            <wp:posOffset>-313469</wp:posOffset>
          </wp:positionV>
          <wp:extent cx="2519610" cy="75674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Logo-OrangeBlack-TransBackground-Registered.png"/>
                  <pic:cNvPicPr/>
                </pic:nvPicPr>
                <pic:blipFill>
                  <a:blip r:embed="rId1">
                    <a:extLst>
                      <a:ext uri="{28A0092B-C50C-407E-A947-70E740481C1C}">
                        <a14:useLocalDpi xmlns:a14="http://schemas.microsoft.com/office/drawing/2010/main" val="0"/>
                      </a:ext>
                    </a:extLst>
                  </a:blip>
                  <a:stretch>
                    <a:fillRect/>
                  </a:stretch>
                </pic:blipFill>
                <pic:spPr>
                  <a:xfrm>
                    <a:off x="0" y="0"/>
                    <a:ext cx="2519610" cy="7567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7DF3" w14:textId="140C825E" w:rsidR="0069122B" w:rsidRDefault="00981AF9">
    <w:pPr>
      <w:pStyle w:val="Header"/>
    </w:pPr>
    <w:r>
      <w:rPr>
        <w:noProof/>
        <w:lang w:eastAsia="en-GB"/>
      </w:rPr>
      <w:drawing>
        <wp:anchor distT="0" distB="0" distL="114300" distR="114300" simplePos="0" relativeHeight="251662336" behindDoc="1" locked="0" layoutInCell="1" allowOverlap="1" wp14:anchorId="376F3FAA" wp14:editId="640673DE">
          <wp:simplePos x="0" y="0"/>
          <wp:positionH relativeFrom="column">
            <wp:posOffset>4355815</wp:posOffset>
          </wp:positionH>
          <wp:positionV relativeFrom="paragraph">
            <wp:posOffset>-118679</wp:posOffset>
          </wp:positionV>
          <wp:extent cx="2519610" cy="75674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Logo-OrangeBlack-TransBackground-Registered.png"/>
                  <pic:cNvPicPr/>
                </pic:nvPicPr>
                <pic:blipFill>
                  <a:blip r:embed="rId1">
                    <a:extLst>
                      <a:ext uri="{28A0092B-C50C-407E-A947-70E740481C1C}">
                        <a14:useLocalDpi xmlns:a14="http://schemas.microsoft.com/office/drawing/2010/main" val="0"/>
                      </a:ext>
                    </a:extLst>
                  </a:blip>
                  <a:stretch>
                    <a:fillRect/>
                  </a:stretch>
                </pic:blipFill>
                <pic:spPr>
                  <a:xfrm>
                    <a:off x="0" y="0"/>
                    <a:ext cx="2519610" cy="756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751A"/>
    <w:multiLevelType w:val="hybridMultilevel"/>
    <w:tmpl w:val="9D0C8274"/>
    <w:lvl w:ilvl="0" w:tplc="40CE9A64">
      <w:numFmt w:val="bullet"/>
      <w:lvlText w:val="-"/>
      <w:lvlJc w:val="left"/>
      <w:pPr>
        <w:ind w:left="720" w:hanging="360"/>
      </w:pPr>
      <w:rPr>
        <w:rFonts w:ascii="PF DinDisplay Pro" w:eastAsia="Calibri" w:hAnsi="PF DinDisplay Pro"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F5A21"/>
    <w:multiLevelType w:val="hybridMultilevel"/>
    <w:tmpl w:val="B7027B5A"/>
    <w:lvl w:ilvl="0" w:tplc="3EACD5D8">
      <w:numFmt w:val="bullet"/>
      <w:lvlText w:val="•"/>
      <w:lvlJc w:val="left"/>
      <w:pPr>
        <w:ind w:left="720" w:hanging="360"/>
      </w:pPr>
      <w:rPr>
        <w:rFonts w:ascii="PF DinDisplay Pro Light" w:eastAsiaTheme="minorEastAsia" w:hAnsi="PF DinDisplay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07D93"/>
    <w:multiLevelType w:val="hybridMultilevel"/>
    <w:tmpl w:val="4E50D8B2"/>
    <w:lvl w:ilvl="0" w:tplc="144E4D34">
      <w:numFmt w:val="bullet"/>
      <w:lvlText w:val="-"/>
      <w:lvlJc w:val="left"/>
      <w:pPr>
        <w:ind w:left="720" w:hanging="360"/>
      </w:pPr>
      <w:rPr>
        <w:rFonts w:ascii="VAG Rounded Std Thin" w:eastAsiaTheme="minorEastAsia" w:hAnsi="VAG Rounded Std Th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A46AE"/>
    <w:multiLevelType w:val="hybridMultilevel"/>
    <w:tmpl w:val="F2C4EA7A"/>
    <w:lvl w:ilvl="0" w:tplc="EE78FAFA">
      <w:numFmt w:val="bullet"/>
      <w:lvlText w:val="-"/>
      <w:lvlJc w:val="left"/>
      <w:pPr>
        <w:ind w:left="720" w:hanging="360"/>
      </w:pPr>
      <w:rPr>
        <w:rFonts w:ascii="PF DinDisplay Pro Light" w:eastAsia="Calibri" w:hAnsi="PF DinDisplay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A2651"/>
    <w:multiLevelType w:val="hybridMultilevel"/>
    <w:tmpl w:val="A850888C"/>
    <w:lvl w:ilvl="0" w:tplc="D71851E2">
      <w:start w:val="1"/>
      <w:numFmt w:val="bullet"/>
      <w:lvlText w:val=""/>
      <w:lvlJc w:val="left"/>
      <w:pPr>
        <w:ind w:left="720" w:hanging="360"/>
      </w:pPr>
      <w:rPr>
        <w:rFonts w:ascii="Wingdings" w:hAnsi="Wingdings" w:hint="default"/>
        <w:color w:val="EF7B0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E3EB3"/>
    <w:multiLevelType w:val="hybridMultilevel"/>
    <w:tmpl w:val="5862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D3DE9"/>
    <w:multiLevelType w:val="hybridMultilevel"/>
    <w:tmpl w:val="85E6283C"/>
    <w:lvl w:ilvl="0" w:tplc="32EA97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E1EA2"/>
    <w:multiLevelType w:val="hybridMultilevel"/>
    <w:tmpl w:val="BAD4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48"/>
    <w:rsid w:val="000A5AD5"/>
    <w:rsid w:val="000B1D44"/>
    <w:rsid w:val="00114ED2"/>
    <w:rsid w:val="0017553D"/>
    <w:rsid w:val="00186060"/>
    <w:rsid w:val="001B32B6"/>
    <w:rsid w:val="003432B7"/>
    <w:rsid w:val="003C00F4"/>
    <w:rsid w:val="003C2AEF"/>
    <w:rsid w:val="00411BBC"/>
    <w:rsid w:val="004509AF"/>
    <w:rsid w:val="00451E27"/>
    <w:rsid w:val="00472C4C"/>
    <w:rsid w:val="00477B65"/>
    <w:rsid w:val="00510723"/>
    <w:rsid w:val="00555B69"/>
    <w:rsid w:val="005A62F4"/>
    <w:rsid w:val="006628D0"/>
    <w:rsid w:val="0067690A"/>
    <w:rsid w:val="0069122B"/>
    <w:rsid w:val="00702F65"/>
    <w:rsid w:val="00734F66"/>
    <w:rsid w:val="008028B5"/>
    <w:rsid w:val="00851AD9"/>
    <w:rsid w:val="008934A8"/>
    <w:rsid w:val="008A41E9"/>
    <w:rsid w:val="008E3E2C"/>
    <w:rsid w:val="00981AF9"/>
    <w:rsid w:val="00997AC9"/>
    <w:rsid w:val="00A15E96"/>
    <w:rsid w:val="00A66604"/>
    <w:rsid w:val="00A716A4"/>
    <w:rsid w:val="00A7390A"/>
    <w:rsid w:val="00B065AC"/>
    <w:rsid w:val="00B75AD1"/>
    <w:rsid w:val="00B85A86"/>
    <w:rsid w:val="00B9238B"/>
    <w:rsid w:val="00BA0272"/>
    <w:rsid w:val="00D806E4"/>
    <w:rsid w:val="00D9003D"/>
    <w:rsid w:val="00DA1A31"/>
    <w:rsid w:val="00DA5F4F"/>
    <w:rsid w:val="00DF4A48"/>
    <w:rsid w:val="00E837D5"/>
    <w:rsid w:val="00E9611D"/>
    <w:rsid w:val="00ED0A6A"/>
    <w:rsid w:val="00F12ACC"/>
    <w:rsid w:val="00F8471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oNotEmbedSmartTags/>
  <w:decimalSymbol w:val="."/>
  <w:listSeparator w:val=","/>
  <w14:docId w14:val="0A626357"/>
  <w15:docId w15:val="{7F163DAB-788A-4EAD-BFC3-C1E3CA3A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23"/>
    <w:rPr>
      <w:rFonts w:ascii="VAG Rounded Std Thin" w:hAnsi="VAG Rounded Std Thin"/>
      <w:sz w:val="24"/>
      <w:szCs w:val="24"/>
    </w:rPr>
  </w:style>
  <w:style w:type="paragraph" w:styleId="Heading1">
    <w:name w:val="heading 1"/>
    <w:basedOn w:val="Normal"/>
    <w:next w:val="Normal"/>
    <w:link w:val="Heading1Char"/>
    <w:uiPriority w:val="9"/>
    <w:qFormat/>
    <w:rsid w:val="00186060"/>
    <w:pPr>
      <w:pageBreakBefore/>
      <w:framePr w:hSpace="181" w:vSpace="181" w:wrap="around" w:vAnchor="text" w:hAnchor="text" w:y="1"/>
      <w:spacing w:before="240" w:after="120"/>
      <w:outlineLvl w:val="0"/>
    </w:pPr>
    <w:rPr>
      <w:color w:val="808080" w:themeColor="background1" w:themeShade="80"/>
      <w:sz w:val="9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060"/>
    <w:rPr>
      <w:rFonts w:ascii="VAG Rounded Std Thin" w:hAnsi="VAG Rounded Std Thin"/>
      <w:color w:val="808080" w:themeColor="background1" w:themeShade="80"/>
      <w:sz w:val="90"/>
      <w:szCs w:val="24"/>
      <w:lang w:val="en-US"/>
    </w:rPr>
  </w:style>
  <w:style w:type="paragraph" w:styleId="Title">
    <w:name w:val="Title"/>
    <w:basedOn w:val="Normal"/>
    <w:next w:val="Normal"/>
    <w:link w:val="TitleChar"/>
    <w:uiPriority w:val="10"/>
    <w:qFormat/>
    <w:rsid w:val="00186060"/>
    <w:pPr>
      <w:spacing w:before="360" w:after="120"/>
    </w:pPr>
    <w:rPr>
      <w:color w:val="1E567F"/>
      <w:sz w:val="44"/>
      <w:szCs w:val="44"/>
      <w:lang w:val="en-US"/>
    </w:rPr>
  </w:style>
  <w:style w:type="character" w:customStyle="1" w:styleId="TitleChar">
    <w:name w:val="Title Char"/>
    <w:basedOn w:val="DefaultParagraphFont"/>
    <w:link w:val="Title"/>
    <w:uiPriority w:val="10"/>
    <w:rsid w:val="00186060"/>
    <w:rPr>
      <w:rFonts w:ascii="VAG Rounded Std Thin" w:hAnsi="VAG Rounded Std Thin"/>
      <w:color w:val="1E567F"/>
      <w:sz w:val="44"/>
      <w:szCs w:val="44"/>
      <w:lang w:val="en-US"/>
    </w:rPr>
  </w:style>
  <w:style w:type="paragraph" w:styleId="Subtitle">
    <w:name w:val="Subtitle"/>
    <w:basedOn w:val="Normal"/>
    <w:next w:val="Normal"/>
    <w:link w:val="SubtitleChar"/>
    <w:uiPriority w:val="11"/>
    <w:qFormat/>
    <w:rsid w:val="00186060"/>
    <w:pPr>
      <w:spacing w:before="240" w:after="120"/>
    </w:pPr>
    <w:rPr>
      <w:rFonts w:ascii="Calibri" w:hAnsi="Calibri"/>
      <w:b/>
      <w:color w:val="3C3C3B"/>
      <w:sz w:val="26"/>
      <w:szCs w:val="20"/>
      <w:lang w:val="en-US"/>
    </w:rPr>
  </w:style>
  <w:style w:type="character" w:customStyle="1" w:styleId="SubtitleChar">
    <w:name w:val="Subtitle Char"/>
    <w:basedOn w:val="DefaultParagraphFont"/>
    <w:link w:val="Subtitle"/>
    <w:uiPriority w:val="11"/>
    <w:rsid w:val="00186060"/>
    <w:rPr>
      <w:rFonts w:ascii="Calibri" w:hAnsi="Calibri"/>
      <w:b/>
      <w:color w:val="3C3C3B"/>
      <w:sz w:val="26"/>
      <w:lang w:val="en-US"/>
    </w:rPr>
  </w:style>
  <w:style w:type="paragraph" w:styleId="Header">
    <w:name w:val="header"/>
    <w:basedOn w:val="Normal"/>
    <w:link w:val="HeaderChar"/>
    <w:uiPriority w:val="99"/>
    <w:unhideWhenUsed/>
    <w:rsid w:val="00DF4A48"/>
    <w:pPr>
      <w:tabs>
        <w:tab w:val="center" w:pos="4320"/>
        <w:tab w:val="right" w:pos="8640"/>
      </w:tabs>
      <w:spacing w:after="0"/>
    </w:pPr>
  </w:style>
  <w:style w:type="character" w:customStyle="1" w:styleId="HeaderChar">
    <w:name w:val="Header Char"/>
    <w:basedOn w:val="DefaultParagraphFont"/>
    <w:link w:val="Header"/>
    <w:uiPriority w:val="99"/>
    <w:rsid w:val="00DF4A48"/>
    <w:rPr>
      <w:rFonts w:ascii="VAG Rounded Std Thin" w:hAnsi="VAG Rounded Std Thin"/>
      <w:sz w:val="24"/>
      <w:szCs w:val="24"/>
    </w:rPr>
  </w:style>
  <w:style w:type="paragraph" w:styleId="Footer">
    <w:name w:val="footer"/>
    <w:basedOn w:val="Normal"/>
    <w:link w:val="FooterChar"/>
    <w:uiPriority w:val="99"/>
    <w:unhideWhenUsed/>
    <w:rsid w:val="00DF4A48"/>
    <w:pPr>
      <w:tabs>
        <w:tab w:val="center" w:pos="4320"/>
        <w:tab w:val="right" w:pos="8640"/>
      </w:tabs>
      <w:spacing w:after="0"/>
    </w:pPr>
  </w:style>
  <w:style w:type="character" w:customStyle="1" w:styleId="FooterChar">
    <w:name w:val="Footer Char"/>
    <w:basedOn w:val="DefaultParagraphFont"/>
    <w:link w:val="Footer"/>
    <w:uiPriority w:val="99"/>
    <w:rsid w:val="00DF4A48"/>
    <w:rPr>
      <w:rFonts w:ascii="VAG Rounded Std Thin" w:hAnsi="VAG Rounded Std Thin"/>
      <w:sz w:val="24"/>
      <w:szCs w:val="24"/>
    </w:rPr>
  </w:style>
  <w:style w:type="paragraph" w:styleId="BalloonText">
    <w:name w:val="Balloon Text"/>
    <w:basedOn w:val="Normal"/>
    <w:link w:val="BalloonTextChar"/>
    <w:uiPriority w:val="99"/>
    <w:semiHidden/>
    <w:unhideWhenUsed/>
    <w:rsid w:val="004509A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9AF"/>
    <w:rPr>
      <w:rFonts w:ascii="Lucida Grande" w:hAnsi="Lucida Grande" w:cs="Lucida Grande"/>
      <w:sz w:val="18"/>
      <w:szCs w:val="18"/>
    </w:rPr>
  </w:style>
  <w:style w:type="paragraph" w:styleId="ListParagraph">
    <w:name w:val="List Paragraph"/>
    <w:basedOn w:val="Normal"/>
    <w:uiPriority w:val="34"/>
    <w:qFormat/>
    <w:rsid w:val="00A66604"/>
    <w:pPr>
      <w:spacing w:line="276" w:lineRule="auto"/>
      <w:ind w:left="720"/>
      <w:contextualSpacing/>
    </w:pPr>
    <w:rPr>
      <w:rFonts w:ascii="Calibri" w:eastAsia="Calibri" w:hAnsi="Calibri" w:cs="Times New Roman"/>
      <w:sz w:val="22"/>
      <w:szCs w:val="22"/>
      <w:lang w:eastAsia="en-GB"/>
    </w:rPr>
  </w:style>
  <w:style w:type="character" w:styleId="Hyperlink">
    <w:name w:val="Hyperlink"/>
    <w:basedOn w:val="DefaultParagraphFont"/>
    <w:uiPriority w:val="99"/>
    <w:unhideWhenUsed/>
    <w:rsid w:val="00A716A4"/>
    <w:rPr>
      <w:color w:val="0000FF" w:themeColor="hyperlink"/>
      <w:u w:val="single"/>
    </w:rPr>
  </w:style>
  <w:style w:type="character" w:styleId="SubtleEmphasis">
    <w:name w:val="Subtle Emphasis"/>
    <w:basedOn w:val="DefaultParagraphFont"/>
    <w:uiPriority w:val="19"/>
    <w:qFormat/>
    <w:rsid w:val="00A716A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5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ureretailregulation@ofgem.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N_CT" ma:contentTypeID="0x010100EC73C7092A886D44A500C00678A18ADB000DACD5D1CE79EE4F94C4E91052AF752D" ma:contentTypeVersion="8" ma:contentTypeDescription="" ma:contentTypeScope="" ma:versionID="a2b6426f5c7cff0bb193e43ad50a8c01">
  <xsd:schema xmlns:xsd="http://www.w3.org/2001/XMLSchema" xmlns:xs="http://www.w3.org/2001/XMLSchema" xmlns:p="http://schemas.microsoft.com/office/2006/metadata/properties" xmlns:ns2="e74cc2c7-a889-478e-b9db-0fad7631f9b3" xmlns:ns3="58a01221-2acd-43ea-8625-fe443efd6752" xmlns:ns4="631298fc-6a88-4548-b7d9-3b164918c4a3" targetNamespace="http://schemas.microsoft.com/office/2006/metadata/properties" ma:root="true" ma:fieldsID="c61c62442f6ba4081bc6f073040c139e" ns2:_="" ns3:_="" ns4:_="">
    <xsd:import namespace="e74cc2c7-a889-478e-b9db-0fad7631f9b3"/>
    <xsd:import namespace="58a01221-2acd-43ea-8625-fe443efd6752"/>
    <xsd:import namespace="631298fc-6a88-4548-b7d9-3b164918c4a3"/>
    <xsd:element name="properties">
      <xsd:complexType>
        <xsd:sequence>
          <xsd:element name="documentManagement">
            <xsd:complexType>
              <xsd:all>
                <xsd:element ref="ns2:Engagement"/>
                <xsd:element ref="ns2:Type_x0020_of_x0020_Engagement"/>
                <xsd:element ref="ns2:Workstream_x0020_applicable"/>
                <xsd:element ref="ns2:Organisation_x0020_Type"/>
                <xsd:element ref="ns3:m19d1e3f04084389ac710b8a38bea5ea"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c2c7-a889-478e-b9db-0fad7631f9b3" elementFormDefault="qualified">
    <xsd:import namespace="http://schemas.microsoft.com/office/2006/documentManagement/types"/>
    <xsd:import namespace="http://schemas.microsoft.com/office/infopath/2007/PartnerControls"/>
    <xsd:element name="Engagement" ma:index="8" ma:displayName="Engagement" ma:format="Dropdown" ma:internalName="Engagement">
      <xsd:simpleType>
        <xsd:restriction base="dms:Choice">
          <xsd:enumeration value="Internal"/>
          <xsd:enumeration value="External"/>
        </xsd:restriction>
      </xsd:simpleType>
    </xsd:element>
    <xsd:element name="Type_x0020_of_x0020_Engagement" ma:index="9" ma:displayName="Type of Engagement" ma:format="Dropdown" ma:internalName="Type_x0020_of_x0020_Engagement">
      <xsd:simpleType>
        <xsd:restriction base="dms:Choice">
          <xsd:enumeration value="Slide"/>
          <xsd:enumeration value="Bilateral meeting"/>
          <xsd:enumeration value="Consultation responses"/>
          <xsd:enumeration value="Dedicated workshop"/>
          <xsd:enumeration value="External event"/>
          <xsd:enumeration value="Meeting"/>
          <xsd:enumeration value="Ofgem event"/>
          <xsd:enumeration value="Phone call"/>
          <xsd:enumeration value="Site visit"/>
          <xsd:enumeration value="Teach in"/>
          <xsd:enumeration value="Teleconference"/>
        </xsd:restriction>
      </xsd:simpleType>
    </xsd:element>
    <xsd:element name="Workstream_x0020_applicable" ma:index="10" ma:displayName="Workstream applicable" ma:format="Dropdown" ma:internalName="Workstream_x0020_applicable">
      <xsd:simpleType>
        <xsd:restriction base="dms:Choice">
          <xsd:enumeration value="Standards of Conduct"/>
          <xsd:enumeration value="Rulebook accessibility"/>
          <xsd:enumeration value="Customer Comms"/>
          <xsd:enumeration value="Personal Projections"/>
          <xsd:enumeration value="Auto rollovers"/>
          <xsd:enumeration value="Evaluation"/>
          <xsd:enumeration value="All workstreams"/>
        </xsd:restriction>
      </xsd:simpleType>
    </xsd:element>
    <xsd:element name="Organisation_x0020_Type" ma:index="11" ma:displayName="Organisation Type" ma:format="Dropdown" ma:internalName="Organisation_x0020_Type">
      <xsd:simpleType>
        <xsd:restriction base="dms:Choice">
          <xsd:enumeration value="Academic"/>
          <xsd:enumeration value="All suppliers"/>
          <xsd:enumeration value="Big six"/>
          <xsd:enumeration value="Consumer Groups"/>
          <xsd:enumeration value="Government"/>
          <xsd:enumeration value="Independent supplier"/>
          <xsd:enumeration value="Independent suppliers"/>
          <xsd:enumeration value="Industry body"/>
          <xsd:enumeration value="Medium tier supplier"/>
          <xsd:enumeration value="Ofgem (Internal engagement)"/>
          <xsd:enumeration value="Other regulator/oversight body"/>
          <xsd:enumeration value="Various"/>
        </xsd:restriction>
      </xsd:simpleType>
    </xsd:element>
  </xsd:schema>
  <xsd:schema xmlns:xsd="http://www.w3.org/2001/XMLSchema" xmlns:xs="http://www.w3.org/2001/XMLSchema" xmlns:dms="http://schemas.microsoft.com/office/2006/documentManagement/types" xmlns:pc="http://schemas.microsoft.com/office/infopath/2007/PartnerControls" targetNamespace="58a01221-2acd-43ea-8625-fe443efd6752" elementFormDefault="qualified">
    <xsd:import namespace="http://schemas.microsoft.com/office/2006/documentManagement/types"/>
    <xsd:import namespace="http://schemas.microsoft.com/office/infopath/2007/PartnerControls"/>
    <xsd:element name="m19d1e3f04084389ac710b8a38bea5ea" ma:index="12" ma:taxonomy="true" ma:internalName="m19d1e3f04084389ac710b8a38bea5ea" ma:taxonomyFieldName="Organisation_" ma:displayName="Organisation_" ma:readOnly="false" ma:default="31;#Ofgem|8b4368c1-752b-461b-aa1f-79fb1ab95926" ma:fieldId="{619d1e3f-0408-4389-ac71-0b8a38bea5ea}" ma:taxonomyMulti="true"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86dd02d-cfbb-4e4c-bc8f-e94f392a393f}" ma:internalName="TaxCatchAll" ma:showField="CatchAllData" ma:web="58a01221-2acd-43ea-8625-fe443efd675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86dd02d-cfbb-4e4c-bc8f-e94f392a393f}" ma:internalName="TaxCatchAllLabel" ma:readOnly="true" ma:showField="CatchAllDataLabel" ma:web="58a01221-2acd-43ea-8625-fe443efd6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1298fc-6a88-4548-b7d9-3b164918c4a3">
      <Value>31</Value>
    </TaxCatchAll>
    <Organisation_x0020_Type xmlns="e74cc2c7-a889-478e-b9db-0fad7631f9b3">Independent supplier</Organisation_x0020_Type>
    <Type_x0020_of_x0020_Engagement xmlns="e74cc2c7-a889-478e-b9db-0fad7631f9b3">Consultation responses</Type_x0020_of_x0020_Engagement>
    <Workstream_x0020_applicable xmlns="e74cc2c7-a889-478e-b9db-0fad7631f9b3">Customer Comms</Workstream_x0020_applicable>
    <Engagement xmlns="e74cc2c7-a889-478e-b9db-0fad7631f9b3">External</Engagement>
    <m19d1e3f04084389ac710b8a38bea5ea xmlns="58a01221-2acd-43ea-8625-fe443efd6752">
      <Terms xmlns="http://schemas.microsoft.com/office/infopath/2007/PartnerControls">
        <TermInfo xmlns="http://schemas.microsoft.com/office/infopath/2007/PartnerControls">
          <TermName xmlns="http://schemas.microsoft.com/office/infopath/2007/PartnerControls">Ofgem</TermName>
          <TermId xmlns="http://schemas.microsoft.com/office/infopath/2007/PartnerControls">8b4368c1-752b-461b-aa1f-79fb1ab95926</TermId>
        </TermInfo>
      </Terms>
    </m19d1e3f04084389ac710b8a38bea5ea>
  </documentManagement>
</p:properties>
</file>

<file path=customXml/itemProps1.xml><?xml version="1.0" encoding="utf-8"?>
<ds:datastoreItem xmlns:ds="http://schemas.openxmlformats.org/officeDocument/2006/customXml" ds:itemID="{448CFBFA-4242-40F7-8D9B-0D3F5AC71A81}">
  <ds:schemaRefs>
    <ds:schemaRef ds:uri="http://schemas.openxmlformats.org/officeDocument/2006/bibliography"/>
  </ds:schemaRefs>
</ds:datastoreItem>
</file>

<file path=customXml/itemProps2.xml><?xml version="1.0" encoding="utf-8"?>
<ds:datastoreItem xmlns:ds="http://schemas.openxmlformats.org/officeDocument/2006/customXml" ds:itemID="{3E5F796F-8ACE-400A-B4FE-094173E29F97}"/>
</file>

<file path=customXml/itemProps3.xml><?xml version="1.0" encoding="utf-8"?>
<ds:datastoreItem xmlns:ds="http://schemas.openxmlformats.org/officeDocument/2006/customXml" ds:itemID="{52BE67DD-F338-4CC6-B85D-837465CA9D69}"/>
</file>

<file path=customXml/itemProps4.xml><?xml version="1.0" encoding="utf-8"?>
<ds:datastoreItem xmlns:ds="http://schemas.openxmlformats.org/officeDocument/2006/customXml" ds:itemID="{06F2A3A2-337C-43E4-8207-D4808C21A8E4}"/>
</file>

<file path=docProps/app.xml><?xml version="1.0" encoding="utf-8"?>
<Properties xmlns="http://schemas.openxmlformats.org/officeDocument/2006/extended-properties" xmlns:vt="http://schemas.openxmlformats.org/officeDocument/2006/docPropsVTypes">
  <Template>Normal</Template>
  <TotalTime>5</TotalTime>
  <Pages>4</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DRGD</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ExtraEnergy - Customer comms consultation response FINAL</dc:title>
  <dc:creator>David Rose</dc:creator>
  <cp:lastModifiedBy>Maitrayee Bhowmick-Jewkes</cp:lastModifiedBy>
  <cp:revision>3</cp:revision>
  <dcterms:created xsi:type="dcterms:W3CDTF">2018-10-18T09:37:00Z</dcterms:created>
  <dcterms:modified xsi:type="dcterms:W3CDTF">2018-10-18T09:49:00Z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0x010100EC73C7092A886D44A500C00678A18ADB000DACD5D1CE79EE4F94C4E91052AF752D</vt:lpwstr>
  </property>
  <property fmtid="{D5CDD505-2E9C-101B-9397-08002B2CF9AE}" pid="3" name="Order">
    <vt:r8>10400</vt:r8>
  </property>
  <property fmtid="{D5CDD505-2E9C-101B-9397-08002B2CF9AE}" pid="4" name="Folksonomy">
    <vt:lpwstr/>
  </property>
  <property fmtid="{D5CDD505-2E9C-101B-9397-08002B2CF9AE}" pid="5" name="Organisation_">
    <vt:lpwstr>31;#Ofgem|8b4368c1-752b-461b-aa1f-79fb1ab95926</vt:lpwstr>
  </property>
  <property fmtid="{D5CDD505-2E9C-101B-9397-08002B2CF9AE}" pid="6" name="f909fd3217994141865d4e159542fe6d">
    <vt:lpwstr/>
  </property>
  <property fmtid="{D5CDD505-2E9C-101B-9397-08002B2CF9AE}" pid="7" name="Organisation_DRMP">
    <vt:lpwstr/>
  </property>
</Properties>
</file>