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13995" w14:textId="77777777" w:rsidR="00C909D5" w:rsidRPr="00FD2C2C" w:rsidRDefault="00C909D5">
      <w:pPr>
        <w:rPr>
          <w:szCs w:val="20"/>
        </w:rPr>
      </w:pPr>
    </w:p>
    <w:p w14:paraId="3FFAB63C" w14:textId="508DAA4D" w:rsidR="00C909D5" w:rsidRPr="00FD2C2C" w:rsidRDefault="00C909D5" w:rsidP="00C909D5">
      <w:pPr>
        <w:rPr>
          <w:b/>
          <w:szCs w:val="20"/>
        </w:rPr>
      </w:pPr>
      <w:r w:rsidRPr="00FD2C2C">
        <w:rPr>
          <w:b/>
          <w:szCs w:val="20"/>
        </w:rPr>
        <w:t>Notice of reasons</w:t>
      </w:r>
      <w:r w:rsidRPr="00FD2C2C">
        <w:rPr>
          <w:rStyle w:val="FootnoteReference"/>
          <w:b/>
          <w:szCs w:val="20"/>
        </w:rPr>
        <w:footnoteReference w:id="1"/>
      </w:r>
      <w:r w:rsidR="00167E1D" w:rsidRPr="00FD2C2C">
        <w:rPr>
          <w:b/>
          <w:szCs w:val="20"/>
        </w:rPr>
        <w:t xml:space="preserve"> to issue</w:t>
      </w:r>
      <w:r w:rsidRPr="00FD2C2C">
        <w:rPr>
          <w:b/>
          <w:szCs w:val="20"/>
        </w:rPr>
        <w:t xml:space="preserve"> direction</w:t>
      </w:r>
      <w:r w:rsidR="00167E1D" w:rsidRPr="00FD2C2C">
        <w:rPr>
          <w:b/>
          <w:szCs w:val="20"/>
        </w:rPr>
        <w:t>s</w:t>
      </w:r>
      <w:r w:rsidRPr="00FD2C2C">
        <w:rPr>
          <w:b/>
          <w:szCs w:val="20"/>
        </w:rPr>
        <w:t xml:space="preserve"> pursuant to Standard condition 32A – d</w:t>
      </w:r>
      <w:r w:rsidR="00167E1D" w:rsidRPr="00FD2C2C">
        <w:rPr>
          <w:b/>
          <w:szCs w:val="20"/>
        </w:rPr>
        <w:t>irection</w:t>
      </w:r>
      <w:r w:rsidRPr="00FD2C2C">
        <w:rPr>
          <w:b/>
          <w:szCs w:val="20"/>
        </w:rPr>
        <w:t xml:space="preserve"> for </w:t>
      </w:r>
      <w:r w:rsidR="00BD571C" w:rsidRPr="00FD2C2C">
        <w:rPr>
          <w:b/>
          <w:szCs w:val="20"/>
        </w:rPr>
        <w:t>participation in</w:t>
      </w:r>
      <w:r w:rsidR="0094384B">
        <w:rPr>
          <w:b/>
          <w:szCs w:val="20"/>
        </w:rPr>
        <w:t xml:space="preserve"> the</w:t>
      </w:r>
      <w:r w:rsidR="00BD571C" w:rsidRPr="00FD2C2C">
        <w:rPr>
          <w:b/>
          <w:szCs w:val="20"/>
        </w:rPr>
        <w:t xml:space="preserve"> Beta Test (database service) and</w:t>
      </w:r>
      <w:r w:rsidR="00167E1D" w:rsidRPr="00FD2C2C">
        <w:rPr>
          <w:b/>
          <w:szCs w:val="20"/>
        </w:rPr>
        <w:t xml:space="preserve"> directions for</w:t>
      </w:r>
      <w:r w:rsidR="00BD571C" w:rsidRPr="00FD2C2C">
        <w:rPr>
          <w:b/>
          <w:szCs w:val="20"/>
        </w:rPr>
        <w:t xml:space="preserve"> </w:t>
      </w:r>
      <w:r w:rsidRPr="00FD2C2C">
        <w:rPr>
          <w:b/>
          <w:szCs w:val="20"/>
        </w:rPr>
        <w:t>provision of information pursuant to participation in</w:t>
      </w:r>
      <w:r w:rsidR="0094384B">
        <w:rPr>
          <w:b/>
          <w:szCs w:val="20"/>
        </w:rPr>
        <w:t xml:space="preserve"> the</w:t>
      </w:r>
      <w:r w:rsidRPr="00FD2C2C">
        <w:rPr>
          <w:b/>
          <w:szCs w:val="20"/>
        </w:rPr>
        <w:t xml:space="preserve"> </w:t>
      </w:r>
      <w:r w:rsidR="00BD571C" w:rsidRPr="00FD2C2C">
        <w:rPr>
          <w:b/>
          <w:szCs w:val="20"/>
        </w:rPr>
        <w:t>Beta Test</w:t>
      </w:r>
      <w:r w:rsidRPr="00FD2C2C">
        <w:rPr>
          <w:b/>
          <w:szCs w:val="20"/>
        </w:rPr>
        <w:t xml:space="preserve"> </w:t>
      </w:r>
    </w:p>
    <w:p w14:paraId="102E02FA" w14:textId="77777777" w:rsidR="00C909D5" w:rsidRPr="00FD2C2C" w:rsidRDefault="00C909D5" w:rsidP="00C909D5">
      <w:pPr>
        <w:rPr>
          <w:szCs w:val="20"/>
        </w:rPr>
      </w:pPr>
    </w:p>
    <w:p w14:paraId="5034E8DE" w14:textId="4A046195" w:rsidR="00C909D5" w:rsidRPr="00FD2C2C" w:rsidRDefault="00C909D5" w:rsidP="00C909D5">
      <w:pPr>
        <w:rPr>
          <w:szCs w:val="20"/>
        </w:rPr>
      </w:pPr>
      <w:r w:rsidRPr="00FD2C2C">
        <w:rPr>
          <w:szCs w:val="20"/>
        </w:rPr>
        <w:t xml:space="preserve">This letter sets out the reasons for the decision of the Gas and Electricity Markets Authority (“the </w:t>
      </w:r>
      <w:r w:rsidRPr="00FD2C2C">
        <w:rPr>
          <w:b/>
          <w:szCs w:val="20"/>
        </w:rPr>
        <w:t>Authority</w:t>
      </w:r>
      <w:r w:rsidRPr="00FD2C2C">
        <w:rPr>
          <w:szCs w:val="20"/>
        </w:rPr>
        <w:t>”) to issue directions pursuant to standard licence condition (“</w:t>
      </w:r>
      <w:r w:rsidRPr="00FD2C2C">
        <w:rPr>
          <w:b/>
          <w:szCs w:val="20"/>
        </w:rPr>
        <w:t>SLC</w:t>
      </w:r>
      <w:r w:rsidRPr="00FD2C2C">
        <w:rPr>
          <w:szCs w:val="20"/>
        </w:rPr>
        <w:t>”) 32A (</w:t>
      </w:r>
      <w:r w:rsidRPr="00FD2C2C">
        <w:rPr>
          <w:i/>
          <w:szCs w:val="20"/>
        </w:rPr>
        <w:t>Power to direct suppliers to test consumer engagement measures</w:t>
      </w:r>
      <w:r w:rsidRPr="00FD2C2C">
        <w:rPr>
          <w:szCs w:val="20"/>
        </w:rPr>
        <w:t xml:space="preserve">) of the electricity and gas supply licences of </w:t>
      </w:r>
      <w:r w:rsidRPr="00D1496E">
        <w:rPr>
          <w:i/>
          <w:szCs w:val="20"/>
        </w:rPr>
        <w:t>[supplier name redacted</w:t>
      </w:r>
      <w:r w:rsidRPr="00FD2C2C">
        <w:rPr>
          <w:i/>
          <w:szCs w:val="20"/>
        </w:rPr>
        <w:t>]</w:t>
      </w:r>
      <w:r w:rsidR="00344739">
        <w:rPr>
          <w:i/>
          <w:szCs w:val="20"/>
        </w:rPr>
        <w:t xml:space="preserve"> </w:t>
      </w:r>
      <w:r w:rsidR="00344739">
        <w:rPr>
          <w:szCs w:val="20"/>
        </w:rPr>
        <w:t>(the “</w:t>
      </w:r>
      <w:r w:rsidR="00344739">
        <w:rPr>
          <w:b/>
          <w:szCs w:val="20"/>
        </w:rPr>
        <w:t>Supplier</w:t>
      </w:r>
      <w:r w:rsidR="00344739">
        <w:rPr>
          <w:szCs w:val="20"/>
        </w:rPr>
        <w:t>”)</w:t>
      </w:r>
      <w:r w:rsidRPr="00FD2C2C">
        <w:rPr>
          <w:i/>
          <w:szCs w:val="20"/>
        </w:rPr>
        <w:t>.</w:t>
      </w:r>
      <w:r w:rsidRPr="00FD2C2C">
        <w:rPr>
          <w:szCs w:val="20"/>
        </w:rPr>
        <w:t xml:space="preserve">  </w:t>
      </w:r>
    </w:p>
    <w:p w14:paraId="18D66165" w14:textId="77777777" w:rsidR="00BD571C" w:rsidRPr="00FD2C2C" w:rsidRDefault="00BD571C" w:rsidP="00C909D5">
      <w:pPr>
        <w:rPr>
          <w:szCs w:val="20"/>
        </w:rPr>
      </w:pPr>
    </w:p>
    <w:p w14:paraId="736323E0" w14:textId="1183633E" w:rsidR="00167E1D" w:rsidRDefault="009A6A22" w:rsidP="00C909D5">
      <w:pPr>
        <w:rPr>
          <w:szCs w:val="20"/>
        </w:rPr>
      </w:pPr>
      <w:r w:rsidRPr="00FD2C2C">
        <w:rPr>
          <w:szCs w:val="20"/>
        </w:rPr>
        <w:t>The following</w:t>
      </w:r>
      <w:r w:rsidR="00BD571C" w:rsidRPr="00FD2C2C">
        <w:rPr>
          <w:szCs w:val="20"/>
        </w:rPr>
        <w:t xml:space="preserve"> directions were issued to </w:t>
      </w:r>
      <w:r w:rsidR="00344739">
        <w:rPr>
          <w:szCs w:val="20"/>
        </w:rPr>
        <w:t>the Supplier</w:t>
      </w:r>
      <w:r w:rsidR="00BD571C" w:rsidRPr="00FD2C2C">
        <w:rPr>
          <w:szCs w:val="20"/>
        </w:rPr>
        <w:t xml:space="preserve"> </w:t>
      </w:r>
      <w:r w:rsidR="00167E1D" w:rsidRPr="00FD2C2C">
        <w:rPr>
          <w:szCs w:val="20"/>
        </w:rPr>
        <w:t>in connection with the Beta Test (database se</w:t>
      </w:r>
      <w:r w:rsidR="00CC01B5">
        <w:rPr>
          <w:szCs w:val="20"/>
        </w:rPr>
        <w:t>r</w:t>
      </w:r>
      <w:r w:rsidR="00167E1D" w:rsidRPr="00FD2C2C">
        <w:rPr>
          <w:szCs w:val="20"/>
        </w:rPr>
        <w:t>vice):</w:t>
      </w:r>
    </w:p>
    <w:p w14:paraId="78830209" w14:textId="77777777" w:rsidR="0094384B" w:rsidRPr="00FD2C2C" w:rsidRDefault="0094384B" w:rsidP="00C909D5">
      <w:pPr>
        <w:rPr>
          <w:szCs w:val="20"/>
        </w:rPr>
      </w:pPr>
    </w:p>
    <w:p w14:paraId="3D642D74" w14:textId="698A12D6" w:rsidR="00167E1D" w:rsidRPr="00FD2C2C" w:rsidRDefault="00167E1D" w:rsidP="00167E1D">
      <w:pPr>
        <w:pStyle w:val="ListParagraph"/>
        <w:numPr>
          <w:ilvl w:val="0"/>
          <w:numId w:val="1"/>
        </w:numPr>
        <w:rPr>
          <w:szCs w:val="20"/>
        </w:rPr>
      </w:pPr>
      <w:r w:rsidRPr="00FD2C2C">
        <w:rPr>
          <w:szCs w:val="20"/>
        </w:rPr>
        <w:t xml:space="preserve">Direction issued to </w:t>
      </w:r>
      <w:r w:rsidR="00344739">
        <w:rPr>
          <w:szCs w:val="20"/>
        </w:rPr>
        <w:t>the Supplier</w:t>
      </w:r>
      <w:r w:rsidR="00CC01B5">
        <w:rPr>
          <w:szCs w:val="20"/>
        </w:rPr>
        <w:t xml:space="preserve"> on </w:t>
      </w:r>
      <w:r w:rsidR="00355DF2">
        <w:rPr>
          <w:szCs w:val="20"/>
        </w:rPr>
        <w:t>7 August 2017</w:t>
      </w:r>
      <w:r w:rsidRPr="00FD2C2C">
        <w:rPr>
          <w:szCs w:val="20"/>
        </w:rPr>
        <w:t xml:space="preserve"> for participation in the Beta Test</w:t>
      </w:r>
      <w:r w:rsidR="009A6A22" w:rsidRPr="00FD2C2C">
        <w:rPr>
          <w:szCs w:val="20"/>
        </w:rPr>
        <w:t xml:space="preserve"> (the “</w:t>
      </w:r>
      <w:r w:rsidR="009A6A22" w:rsidRPr="00FD2C2C">
        <w:rPr>
          <w:b/>
          <w:szCs w:val="20"/>
        </w:rPr>
        <w:t>Beta Test Direction</w:t>
      </w:r>
      <w:r w:rsidR="009A6A22" w:rsidRPr="00FD2C2C">
        <w:rPr>
          <w:szCs w:val="20"/>
        </w:rPr>
        <w:t>”)</w:t>
      </w:r>
      <w:r w:rsidRPr="00FD2C2C">
        <w:rPr>
          <w:szCs w:val="20"/>
        </w:rPr>
        <w:t>;</w:t>
      </w:r>
      <w:r w:rsidR="00355DF2">
        <w:rPr>
          <w:szCs w:val="20"/>
        </w:rPr>
        <w:t xml:space="preserve"> and</w:t>
      </w:r>
    </w:p>
    <w:p w14:paraId="47309654" w14:textId="32799A17" w:rsidR="00167E1D" w:rsidRPr="00FD2C2C" w:rsidRDefault="00167E1D" w:rsidP="00167E1D">
      <w:pPr>
        <w:pStyle w:val="ListParagraph"/>
        <w:numPr>
          <w:ilvl w:val="0"/>
          <w:numId w:val="1"/>
        </w:numPr>
        <w:rPr>
          <w:szCs w:val="20"/>
        </w:rPr>
      </w:pPr>
      <w:r w:rsidRPr="00FD2C2C">
        <w:rPr>
          <w:szCs w:val="20"/>
        </w:rPr>
        <w:t>Direction</w:t>
      </w:r>
      <w:r w:rsidR="009A6A22" w:rsidRPr="00FD2C2C">
        <w:rPr>
          <w:szCs w:val="20"/>
        </w:rPr>
        <w:t>s</w:t>
      </w:r>
      <w:r w:rsidRPr="00FD2C2C">
        <w:rPr>
          <w:szCs w:val="20"/>
        </w:rPr>
        <w:t xml:space="preserve"> issued to </w:t>
      </w:r>
      <w:r w:rsidR="00344739">
        <w:rPr>
          <w:szCs w:val="20"/>
        </w:rPr>
        <w:t>the Supplier</w:t>
      </w:r>
      <w:r w:rsidR="00CC01B5">
        <w:rPr>
          <w:i/>
          <w:szCs w:val="20"/>
        </w:rPr>
        <w:t xml:space="preserve"> </w:t>
      </w:r>
      <w:r w:rsidR="00CC01B5" w:rsidRPr="00CC01B5">
        <w:rPr>
          <w:szCs w:val="20"/>
        </w:rPr>
        <w:t xml:space="preserve">on </w:t>
      </w:r>
      <w:r w:rsidR="00355DF2" w:rsidRPr="00CC01B5">
        <w:rPr>
          <w:szCs w:val="20"/>
        </w:rPr>
        <w:t>12 October 2017</w:t>
      </w:r>
      <w:r w:rsidR="008A635F">
        <w:rPr>
          <w:rStyle w:val="FootnoteReference"/>
          <w:szCs w:val="20"/>
        </w:rPr>
        <w:footnoteReference w:id="2"/>
      </w:r>
      <w:r w:rsidRPr="00FD2C2C">
        <w:rPr>
          <w:szCs w:val="20"/>
        </w:rPr>
        <w:t xml:space="preserve"> </w:t>
      </w:r>
      <w:r w:rsidR="00CC01B5">
        <w:rPr>
          <w:szCs w:val="20"/>
        </w:rPr>
        <w:t>and 22 November 2017</w:t>
      </w:r>
      <w:r w:rsidR="009A6A22" w:rsidRPr="00FD2C2C">
        <w:rPr>
          <w:szCs w:val="20"/>
        </w:rPr>
        <w:t xml:space="preserve"> </w:t>
      </w:r>
      <w:r w:rsidRPr="00FD2C2C">
        <w:rPr>
          <w:szCs w:val="20"/>
        </w:rPr>
        <w:t>for provision of information pursuant to participation in the Beta Test</w:t>
      </w:r>
      <w:r w:rsidR="009A6A22" w:rsidRPr="00FD2C2C">
        <w:rPr>
          <w:szCs w:val="20"/>
        </w:rPr>
        <w:t xml:space="preserve"> (the “</w:t>
      </w:r>
      <w:r w:rsidR="009A6A22" w:rsidRPr="00FD2C2C">
        <w:rPr>
          <w:b/>
          <w:szCs w:val="20"/>
        </w:rPr>
        <w:t>Beta Information Directions</w:t>
      </w:r>
      <w:r w:rsidR="009A6A22" w:rsidRPr="00FD2C2C">
        <w:rPr>
          <w:szCs w:val="20"/>
        </w:rPr>
        <w:t>”)</w:t>
      </w:r>
      <w:r w:rsidR="00355DF2">
        <w:rPr>
          <w:szCs w:val="20"/>
        </w:rPr>
        <w:t>.</w:t>
      </w:r>
    </w:p>
    <w:p w14:paraId="682F46FA" w14:textId="77777777" w:rsidR="00C909D5" w:rsidRPr="00FD2C2C" w:rsidRDefault="00C909D5" w:rsidP="00C909D5">
      <w:pPr>
        <w:rPr>
          <w:szCs w:val="20"/>
        </w:rPr>
      </w:pPr>
    </w:p>
    <w:p w14:paraId="78C2E026" w14:textId="77777777" w:rsidR="00C909D5" w:rsidRPr="00FD2C2C" w:rsidRDefault="00C909D5" w:rsidP="00C909D5">
      <w:pPr>
        <w:rPr>
          <w:i/>
          <w:szCs w:val="20"/>
        </w:rPr>
      </w:pPr>
      <w:r w:rsidRPr="00FD2C2C">
        <w:rPr>
          <w:i/>
          <w:szCs w:val="20"/>
        </w:rPr>
        <w:t>Background to, and rationale for, the directions:</w:t>
      </w:r>
    </w:p>
    <w:p w14:paraId="671E1141" w14:textId="77777777" w:rsidR="00167E1D" w:rsidRPr="00FD2C2C" w:rsidRDefault="00167E1D" w:rsidP="00C909D5">
      <w:pPr>
        <w:rPr>
          <w:i/>
          <w:szCs w:val="20"/>
        </w:rPr>
      </w:pPr>
    </w:p>
    <w:p w14:paraId="0788E9C5" w14:textId="65CB25A9" w:rsidR="00167E1D" w:rsidRDefault="00167E1D" w:rsidP="00167E1D">
      <w:pPr>
        <w:rPr>
          <w:szCs w:val="20"/>
        </w:rPr>
      </w:pPr>
      <w:r w:rsidRPr="00FD2C2C">
        <w:rPr>
          <w:szCs w:val="20"/>
        </w:rPr>
        <w:t>In its Final Report on its Energy Market Investigation, the Competition and Markets Authority (“</w:t>
      </w:r>
      <w:r w:rsidRPr="00FD2C2C">
        <w:rPr>
          <w:b/>
          <w:szCs w:val="20"/>
        </w:rPr>
        <w:t>CMA</w:t>
      </w:r>
      <w:r w:rsidRPr="00FD2C2C">
        <w:rPr>
          <w:szCs w:val="20"/>
        </w:rPr>
        <w:t xml:space="preserve">”) made a number of recommendations to </w:t>
      </w:r>
      <w:r w:rsidR="00FD2C2C" w:rsidRPr="00FD2C2C">
        <w:rPr>
          <w:szCs w:val="20"/>
        </w:rPr>
        <w:t>the Authority</w:t>
      </w:r>
      <w:r w:rsidRPr="00FD2C2C">
        <w:rPr>
          <w:szCs w:val="20"/>
        </w:rPr>
        <w:t xml:space="preserve"> to address the adverse effects on competition (“</w:t>
      </w:r>
      <w:r w:rsidRPr="00FD2C2C">
        <w:rPr>
          <w:b/>
          <w:szCs w:val="20"/>
        </w:rPr>
        <w:t>AEC</w:t>
      </w:r>
      <w:r w:rsidRPr="00FD2C2C">
        <w:rPr>
          <w:szCs w:val="20"/>
        </w:rPr>
        <w:t>”) it identified in the gas and electricity markets.</w:t>
      </w:r>
      <w:r w:rsidRPr="00FD2C2C">
        <w:rPr>
          <w:rStyle w:val="FootnoteReference"/>
          <w:szCs w:val="20"/>
        </w:rPr>
        <w:footnoteReference w:id="3"/>
      </w:r>
      <w:r w:rsidRPr="00FD2C2C">
        <w:rPr>
          <w:szCs w:val="20"/>
        </w:rPr>
        <w:t xml:space="preserve">  This included recommendations in respect of the Domestic and Microbusiness Weak Customer Response AECs. In particular, the CMA recommended that </w:t>
      </w:r>
      <w:r w:rsidR="00FD2C2C" w:rsidRPr="00FD2C2C">
        <w:rPr>
          <w:szCs w:val="20"/>
        </w:rPr>
        <w:t>the Authority</w:t>
      </w:r>
      <w:r w:rsidRPr="00FD2C2C">
        <w:rPr>
          <w:szCs w:val="20"/>
        </w:rPr>
        <w:t xml:space="preserve">: </w:t>
      </w:r>
    </w:p>
    <w:p w14:paraId="3D70AE7E" w14:textId="77777777" w:rsidR="0094384B" w:rsidRPr="00FD2C2C" w:rsidRDefault="0094384B" w:rsidP="00167E1D">
      <w:pPr>
        <w:rPr>
          <w:szCs w:val="20"/>
        </w:rPr>
      </w:pPr>
    </w:p>
    <w:p w14:paraId="2A7CE769" w14:textId="77777777" w:rsidR="00167E1D" w:rsidRPr="00FD2C2C" w:rsidRDefault="00167E1D" w:rsidP="00167E1D">
      <w:pPr>
        <w:pStyle w:val="ListParagraph"/>
        <w:numPr>
          <w:ilvl w:val="0"/>
          <w:numId w:val="5"/>
        </w:numPr>
        <w:rPr>
          <w:szCs w:val="20"/>
        </w:rPr>
      </w:pPr>
      <w:r w:rsidRPr="00FD2C2C">
        <w:rPr>
          <w:szCs w:val="20"/>
        </w:rPr>
        <w:t xml:space="preserve">establish an ongoing programme to identify, test and implement measures to provide domestic customers with different or additional information with the aim of promoting engagement; and </w:t>
      </w:r>
    </w:p>
    <w:p w14:paraId="14C66D81" w14:textId="77777777" w:rsidR="00167E1D" w:rsidRPr="00FD2C2C" w:rsidRDefault="00167E1D" w:rsidP="00167E1D">
      <w:pPr>
        <w:pStyle w:val="ListParagraph"/>
        <w:numPr>
          <w:ilvl w:val="0"/>
          <w:numId w:val="5"/>
        </w:numPr>
        <w:rPr>
          <w:szCs w:val="20"/>
        </w:rPr>
      </w:pPr>
      <w:r w:rsidRPr="00FD2C2C">
        <w:rPr>
          <w:szCs w:val="20"/>
        </w:rPr>
        <w:t>develop and test proposals concerning a priority list of measures, including changes to the information provided to customers on the availability of cheaper tariffs in the markets.</w:t>
      </w:r>
    </w:p>
    <w:p w14:paraId="1B63B6D9" w14:textId="77777777" w:rsidR="00167E1D" w:rsidRPr="00FD2C2C" w:rsidRDefault="00167E1D" w:rsidP="00167E1D">
      <w:pPr>
        <w:pStyle w:val="ListParagraph"/>
        <w:ind w:left="1080"/>
        <w:rPr>
          <w:szCs w:val="20"/>
        </w:rPr>
      </w:pPr>
    </w:p>
    <w:p w14:paraId="5B6A5329" w14:textId="4BA3DAE8" w:rsidR="00167E1D" w:rsidRDefault="00167E1D" w:rsidP="00167E1D">
      <w:pPr>
        <w:pStyle w:val="NoSpacing"/>
        <w:jc w:val="both"/>
        <w:rPr>
          <w:szCs w:val="20"/>
        </w:rPr>
      </w:pPr>
      <w:r w:rsidRPr="00FD2C2C">
        <w:rPr>
          <w:szCs w:val="20"/>
        </w:rPr>
        <w:t xml:space="preserve">In addition, the CMA made a series of recommendations to </w:t>
      </w:r>
      <w:r w:rsidR="00FD2C2C" w:rsidRPr="00FD2C2C">
        <w:rPr>
          <w:szCs w:val="20"/>
        </w:rPr>
        <w:t>the Authority</w:t>
      </w:r>
      <w:r w:rsidRPr="00FD2C2C">
        <w:rPr>
          <w:szCs w:val="20"/>
        </w:rPr>
        <w:t xml:space="preserve"> to implement a database remedy to prompt engagement within the domestic and microbusiness sectors.  This included: </w:t>
      </w:r>
    </w:p>
    <w:p w14:paraId="6811E4CC" w14:textId="77777777" w:rsidR="0094384B" w:rsidRPr="00FD2C2C" w:rsidRDefault="0094384B" w:rsidP="00167E1D">
      <w:pPr>
        <w:pStyle w:val="NoSpacing"/>
        <w:jc w:val="both"/>
        <w:rPr>
          <w:szCs w:val="20"/>
        </w:rPr>
      </w:pPr>
    </w:p>
    <w:p w14:paraId="19052BCE" w14:textId="77777777" w:rsidR="00167E1D" w:rsidRPr="00FD2C2C" w:rsidRDefault="00167E1D" w:rsidP="00167E1D">
      <w:pPr>
        <w:pStyle w:val="ListParagraph"/>
        <w:numPr>
          <w:ilvl w:val="0"/>
          <w:numId w:val="6"/>
        </w:numPr>
        <w:rPr>
          <w:szCs w:val="20"/>
        </w:rPr>
      </w:pPr>
      <w:r w:rsidRPr="00FD2C2C">
        <w:rPr>
          <w:szCs w:val="20"/>
        </w:rPr>
        <w:t xml:space="preserve">developing, operating and maintaining a secure cloud database to hold domestic and microbusiness data relating to consumers which have not actively engaged in the market during the previous three years; </w:t>
      </w:r>
    </w:p>
    <w:p w14:paraId="766E447E" w14:textId="77777777" w:rsidR="00167E1D" w:rsidRPr="00FD2C2C" w:rsidRDefault="00167E1D" w:rsidP="00167E1D">
      <w:pPr>
        <w:pStyle w:val="ListParagraph"/>
        <w:numPr>
          <w:ilvl w:val="0"/>
          <w:numId w:val="6"/>
        </w:numPr>
        <w:rPr>
          <w:szCs w:val="20"/>
        </w:rPr>
      </w:pPr>
      <w:r w:rsidRPr="00FD2C2C">
        <w:rPr>
          <w:szCs w:val="20"/>
        </w:rPr>
        <w:t>testing the operation of the database to identify and address any potential operational problems and ensure data security; and</w:t>
      </w:r>
    </w:p>
    <w:p w14:paraId="7F467AA0" w14:textId="77777777" w:rsidR="00167E1D" w:rsidRPr="00FD2C2C" w:rsidRDefault="00167E1D" w:rsidP="00167E1D">
      <w:pPr>
        <w:pStyle w:val="ListParagraph"/>
        <w:numPr>
          <w:ilvl w:val="0"/>
          <w:numId w:val="6"/>
        </w:numPr>
        <w:rPr>
          <w:szCs w:val="20"/>
        </w:rPr>
      </w:pPr>
      <w:r w:rsidRPr="00FD2C2C">
        <w:rPr>
          <w:szCs w:val="20"/>
        </w:rPr>
        <w:t xml:space="preserve">monitoring the impact of the database with a view to maximising its effectiveness as regards improving engagement.  </w:t>
      </w:r>
    </w:p>
    <w:p w14:paraId="4DDB38D8" w14:textId="77777777" w:rsidR="00167E1D" w:rsidRPr="00FD2C2C" w:rsidRDefault="00167E1D" w:rsidP="00167E1D">
      <w:pPr>
        <w:rPr>
          <w:szCs w:val="20"/>
        </w:rPr>
      </w:pPr>
    </w:p>
    <w:p w14:paraId="6E20A5E2" w14:textId="3E24306B" w:rsidR="00167E1D" w:rsidRPr="00FD2C2C" w:rsidRDefault="00167E1D" w:rsidP="00167E1D">
      <w:pPr>
        <w:rPr>
          <w:i/>
          <w:szCs w:val="20"/>
        </w:rPr>
      </w:pPr>
      <w:r w:rsidRPr="00FD2C2C">
        <w:rPr>
          <w:szCs w:val="20"/>
        </w:rPr>
        <w:t xml:space="preserve">In response to the above recommendations, and following a smaller scale trial at the beginning of 2017, </w:t>
      </w:r>
      <w:r w:rsidR="00FD2C2C" w:rsidRPr="00FD2C2C">
        <w:rPr>
          <w:szCs w:val="20"/>
        </w:rPr>
        <w:t>the Authority</w:t>
      </w:r>
      <w:r w:rsidRPr="00FD2C2C">
        <w:rPr>
          <w:szCs w:val="20"/>
        </w:rPr>
        <w:t xml:space="preserve"> </w:t>
      </w:r>
      <w:r w:rsidR="009A6A22" w:rsidRPr="00FD2C2C">
        <w:rPr>
          <w:szCs w:val="20"/>
        </w:rPr>
        <w:t>considered</w:t>
      </w:r>
      <w:r w:rsidRPr="00FD2C2C">
        <w:rPr>
          <w:szCs w:val="20"/>
        </w:rPr>
        <w:t xml:space="preserve"> it appropriate to beta test a digital service. This seeks to address the CMA’s finding of an AEC arising because of an overarching feature of weak customer response, which in turn gives energy suppliers a position of unilateral market power concerning their inactive customer base.  The digital service is</w:t>
      </w:r>
      <w:r w:rsidR="004C55B9">
        <w:rPr>
          <w:szCs w:val="20"/>
        </w:rPr>
        <w:t xml:space="preserve"> </w:t>
      </w:r>
      <w:r w:rsidRPr="00FD2C2C">
        <w:rPr>
          <w:szCs w:val="20"/>
        </w:rPr>
        <w:lastRenderedPageBreak/>
        <w:t xml:space="preserve">designed to prompt engagement from consumers who have not recently switched energy supplier or tariff.  </w:t>
      </w:r>
    </w:p>
    <w:p w14:paraId="7588D31F" w14:textId="77777777" w:rsidR="00167E1D" w:rsidRPr="00FD2C2C" w:rsidRDefault="00167E1D" w:rsidP="00C909D5">
      <w:pPr>
        <w:rPr>
          <w:i/>
          <w:szCs w:val="20"/>
        </w:rPr>
      </w:pPr>
    </w:p>
    <w:p w14:paraId="1D184E91" w14:textId="59BC3ECA" w:rsidR="00167E1D" w:rsidRPr="00FD2C2C" w:rsidRDefault="009A6A22" w:rsidP="00167E1D">
      <w:pPr>
        <w:rPr>
          <w:szCs w:val="20"/>
        </w:rPr>
      </w:pPr>
      <w:r w:rsidRPr="00FD2C2C">
        <w:rPr>
          <w:szCs w:val="20"/>
        </w:rPr>
        <w:t>The</w:t>
      </w:r>
      <w:r w:rsidR="00FD2C2C" w:rsidRPr="00FD2C2C">
        <w:rPr>
          <w:szCs w:val="20"/>
        </w:rPr>
        <w:t xml:space="preserve"> Authority issued the</w:t>
      </w:r>
      <w:r w:rsidRPr="00FD2C2C">
        <w:rPr>
          <w:szCs w:val="20"/>
        </w:rPr>
        <w:t xml:space="preserve"> </w:t>
      </w:r>
      <w:r w:rsidRPr="00FD2C2C">
        <w:rPr>
          <w:b/>
          <w:szCs w:val="20"/>
        </w:rPr>
        <w:t>Beta Test Direction</w:t>
      </w:r>
      <w:r w:rsidRPr="00FD2C2C">
        <w:rPr>
          <w:szCs w:val="20"/>
        </w:rPr>
        <w:t xml:space="preserve"> to require </w:t>
      </w:r>
      <w:r w:rsidR="00344739">
        <w:rPr>
          <w:szCs w:val="20"/>
        </w:rPr>
        <w:t>the Supplier</w:t>
      </w:r>
      <w:r w:rsidRPr="00FD2C2C">
        <w:rPr>
          <w:szCs w:val="20"/>
        </w:rPr>
        <w:t xml:space="preserve"> to carry out and refrain from certain activities in relation to the Beta Test. The Supplier’s participation in the</w:t>
      </w:r>
      <w:r w:rsidR="00FD2C2C" w:rsidRPr="00FD2C2C">
        <w:rPr>
          <w:szCs w:val="20"/>
        </w:rPr>
        <w:t xml:space="preserve"> Beta Test</w:t>
      </w:r>
      <w:r w:rsidRPr="00FD2C2C">
        <w:rPr>
          <w:szCs w:val="20"/>
        </w:rPr>
        <w:t xml:space="preserve"> trial was on a voluntary basis and the Beta Test Direction provided</w:t>
      </w:r>
      <w:r w:rsidR="00167E1D" w:rsidRPr="00FD2C2C">
        <w:rPr>
          <w:szCs w:val="20"/>
        </w:rPr>
        <w:t xml:space="preserve"> a framework for the collaborative</w:t>
      </w:r>
      <w:r w:rsidRPr="00FD2C2C">
        <w:rPr>
          <w:szCs w:val="20"/>
        </w:rPr>
        <w:t xml:space="preserve"> work of the Supplier and </w:t>
      </w:r>
      <w:r w:rsidR="00982CE5">
        <w:rPr>
          <w:szCs w:val="20"/>
        </w:rPr>
        <w:t>the Authority</w:t>
      </w:r>
      <w:r w:rsidRPr="00FD2C2C">
        <w:rPr>
          <w:szCs w:val="20"/>
        </w:rPr>
        <w:t xml:space="preserve"> in</w:t>
      </w:r>
      <w:r w:rsidR="00167E1D" w:rsidRPr="00FD2C2C">
        <w:rPr>
          <w:szCs w:val="20"/>
        </w:rPr>
        <w:t xml:space="preserve"> implementing the </w:t>
      </w:r>
      <w:r w:rsidRPr="00FD2C2C">
        <w:rPr>
          <w:szCs w:val="20"/>
        </w:rPr>
        <w:t xml:space="preserve">Beta </w:t>
      </w:r>
      <w:r w:rsidR="00FD2C2C" w:rsidRPr="00FD2C2C">
        <w:rPr>
          <w:szCs w:val="20"/>
        </w:rPr>
        <w:t xml:space="preserve">Test </w:t>
      </w:r>
      <w:r w:rsidR="00167E1D" w:rsidRPr="00FD2C2C">
        <w:rPr>
          <w:szCs w:val="20"/>
        </w:rPr>
        <w:t>trial.</w:t>
      </w:r>
    </w:p>
    <w:p w14:paraId="488ABF5B" w14:textId="77777777" w:rsidR="00167E1D" w:rsidRPr="00FD2C2C" w:rsidRDefault="00167E1D" w:rsidP="00167E1D">
      <w:pPr>
        <w:rPr>
          <w:szCs w:val="20"/>
        </w:rPr>
      </w:pPr>
    </w:p>
    <w:p w14:paraId="0DDBE61F" w14:textId="0858B8D8" w:rsidR="00167E1D" w:rsidRDefault="00FD2C2C" w:rsidP="009A6A22">
      <w:pPr>
        <w:rPr>
          <w:szCs w:val="20"/>
        </w:rPr>
      </w:pPr>
      <w:r w:rsidRPr="00FD2C2C">
        <w:rPr>
          <w:szCs w:val="20"/>
        </w:rPr>
        <w:t xml:space="preserve">The </w:t>
      </w:r>
      <w:r w:rsidRPr="00FD2C2C">
        <w:rPr>
          <w:b/>
          <w:szCs w:val="20"/>
        </w:rPr>
        <w:t xml:space="preserve">Beta Information Directions </w:t>
      </w:r>
      <w:r w:rsidRPr="00FD2C2C">
        <w:rPr>
          <w:szCs w:val="20"/>
        </w:rPr>
        <w:t xml:space="preserve">were issued pursuant to the previous Beta Test Direction. </w:t>
      </w:r>
      <w:r w:rsidR="009A6A22" w:rsidRPr="00FD2C2C">
        <w:rPr>
          <w:szCs w:val="20"/>
        </w:rPr>
        <w:t>The</w:t>
      </w:r>
      <w:r w:rsidRPr="00FD2C2C">
        <w:rPr>
          <w:szCs w:val="20"/>
        </w:rPr>
        <w:t xml:space="preserve"> Authority issued the</w:t>
      </w:r>
      <w:r w:rsidR="009A6A22" w:rsidRPr="00FD2C2C">
        <w:rPr>
          <w:szCs w:val="20"/>
        </w:rPr>
        <w:t xml:space="preserve"> </w:t>
      </w:r>
      <w:r w:rsidR="009A6A22" w:rsidRPr="00355DF2">
        <w:rPr>
          <w:szCs w:val="20"/>
        </w:rPr>
        <w:t>Beta Information Directions</w:t>
      </w:r>
      <w:r w:rsidR="009A6A22" w:rsidRPr="00FD2C2C">
        <w:rPr>
          <w:b/>
          <w:szCs w:val="20"/>
        </w:rPr>
        <w:t xml:space="preserve"> </w:t>
      </w:r>
      <w:r w:rsidR="009A6A22" w:rsidRPr="00FD2C2C">
        <w:rPr>
          <w:szCs w:val="20"/>
        </w:rPr>
        <w:t xml:space="preserve">to require </w:t>
      </w:r>
      <w:r w:rsidR="00344739">
        <w:rPr>
          <w:szCs w:val="20"/>
        </w:rPr>
        <w:t>the Supplier</w:t>
      </w:r>
      <w:r w:rsidR="009A6A22" w:rsidRPr="00FD2C2C">
        <w:rPr>
          <w:szCs w:val="20"/>
        </w:rPr>
        <w:t xml:space="preserve"> to provide specified information to a third party in order to facilitate the assessment of feedback gathered from the Beta Test, which </w:t>
      </w:r>
      <w:r w:rsidR="00344739">
        <w:rPr>
          <w:szCs w:val="20"/>
        </w:rPr>
        <w:t>the Supplier</w:t>
      </w:r>
      <w:r w:rsidR="009A6A22" w:rsidRPr="00FD2C2C">
        <w:rPr>
          <w:szCs w:val="20"/>
        </w:rPr>
        <w:t xml:space="preserve"> participated in by virtue of the Beta Test Direction.</w:t>
      </w:r>
    </w:p>
    <w:p w14:paraId="2B86F87B" w14:textId="73F75F79" w:rsidR="00344739" w:rsidRDefault="00344739" w:rsidP="009A6A22">
      <w:pPr>
        <w:rPr>
          <w:szCs w:val="20"/>
        </w:rPr>
      </w:pPr>
    </w:p>
    <w:p w14:paraId="74168829" w14:textId="1F72799E" w:rsidR="00344739" w:rsidRPr="00FD2C2C" w:rsidRDefault="00344739" w:rsidP="009A6A22">
      <w:pPr>
        <w:rPr>
          <w:szCs w:val="20"/>
        </w:rPr>
      </w:pPr>
      <w:r>
        <w:rPr>
          <w:szCs w:val="20"/>
        </w:rPr>
        <w:t>On 27 October 2017 a</w:t>
      </w:r>
      <w:r>
        <w:t>n amendment was made to the Beta Information Direction dated 12 October 2017. The reason for the amendment was to refer to the method of transfer of data being a secure method which is compliant with the Data Protection Act 1998.</w:t>
      </w:r>
    </w:p>
    <w:p w14:paraId="4817E17E" w14:textId="77777777" w:rsidR="00FD2C2C" w:rsidRPr="00FD2C2C" w:rsidRDefault="00FD2C2C" w:rsidP="009A6A22">
      <w:pPr>
        <w:rPr>
          <w:szCs w:val="20"/>
        </w:rPr>
      </w:pPr>
    </w:p>
    <w:p w14:paraId="57327B62" w14:textId="0A3C7BC3" w:rsidR="00FD2C2C" w:rsidRPr="00FD2C2C" w:rsidRDefault="00FD2C2C" w:rsidP="00FD2C2C">
      <w:pPr>
        <w:rPr>
          <w:szCs w:val="20"/>
        </w:rPr>
      </w:pPr>
      <w:r w:rsidRPr="00FD2C2C">
        <w:rPr>
          <w:szCs w:val="20"/>
        </w:rPr>
        <w:t xml:space="preserve">The Beta Information Directions require </w:t>
      </w:r>
      <w:r w:rsidR="00344739">
        <w:rPr>
          <w:szCs w:val="20"/>
        </w:rPr>
        <w:t>the Supplier</w:t>
      </w:r>
      <w:r w:rsidRPr="00FD2C2C">
        <w:rPr>
          <w:szCs w:val="20"/>
        </w:rPr>
        <w:t xml:space="preserve"> to provide specified information in accordance with SLC 32A to a third party agency with the intention of conducting qualitative telephone interviews with trial subjects from the Beta Test. The</w:t>
      </w:r>
      <w:r w:rsidR="00982CE5">
        <w:rPr>
          <w:szCs w:val="20"/>
        </w:rPr>
        <w:t xml:space="preserve"> Directions provided that</w:t>
      </w:r>
      <w:r w:rsidRPr="00FD2C2C">
        <w:rPr>
          <w:szCs w:val="20"/>
        </w:rPr>
        <w:t xml:space="preserve"> relevant data </w:t>
      </w:r>
      <w:r w:rsidR="00982CE5">
        <w:rPr>
          <w:szCs w:val="20"/>
        </w:rPr>
        <w:t>should</w:t>
      </w:r>
      <w:r w:rsidRPr="00FD2C2C">
        <w:rPr>
          <w:szCs w:val="20"/>
        </w:rPr>
        <w:t xml:space="preserve"> be provided in the format specified in the schedule</w:t>
      </w:r>
      <w:r w:rsidR="00355DF2">
        <w:rPr>
          <w:szCs w:val="20"/>
        </w:rPr>
        <w:t>s</w:t>
      </w:r>
      <w:r w:rsidRPr="00FD2C2C">
        <w:rPr>
          <w:szCs w:val="20"/>
        </w:rPr>
        <w:t xml:space="preserve"> to</w:t>
      </w:r>
      <w:r w:rsidR="00355DF2">
        <w:rPr>
          <w:szCs w:val="20"/>
        </w:rPr>
        <w:t xml:space="preserve"> each of</w:t>
      </w:r>
      <w:r w:rsidRPr="00FD2C2C">
        <w:rPr>
          <w:szCs w:val="20"/>
        </w:rPr>
        <w:t xml:space="preserve"> the</w:t>
      </w:r>
      <w:r w:rsidR="00355DF2">
        <w:rPr>
          <w:szCs w:val="20"/>
        </w:rPr>
        <w:t xml:space="preserve"> Beta Information Directions </w:t>
      </w:r>
      <w:r w:rsidRPr="00FD2C2C">
        <w:rPr>
          <w:szCs w:val="20"/>
        </w:rPr>
        <w:t>in order to facilitate compliance with the Beta Test Direction.</w:t>
      </w:r>
      <w:r w:rsidR="00344739">
        <w:rPr>
          <w:szCs w:val="20"/>
        </w:rPr>
        <w:t xml:space="preserve"> </w:t>
      </w:r>
    </w:p>
    <w:p w14:paraId="46B44BEC" w14:textId="77777777" w:rsidR="00FD2C2C" w:rsidRPr="00FD2C2C" w:rsidRDefault="00FD2C2C" w:rsidP="00FD2C2C">
      <w:pPr>
        <w:rPr>
          <w:szCs w:val="20"/>
        </w:rPr>
      </w:pPr>
    </w:p>
    <w:p w14:paraId="0DD1771A" w14:textId="77777777" w:rsidR="00FD2C2C" w:rsidRPr="00FD2C2C" w:rsidRDefault="00FD2C2C" w:rsidP="00FD2C2C">
      <w:pPr>
        <w:rPr>
          <w:szCs w:val="20"/>
        </w:rPr>
      </w:pPr>
    </w:p>
    <w:p w14:paraId="37D2D62B" w14:textId="77777777" w:rsidR="00FD2C2C" w:rsidRPr="00FD2C2C" w:rsidRDefault="00FD2C2C" w:rsidP="00FD2C2C">
      <w:pPr>
        <w:rPr>
          <w:szCs w:val="20"/>
        </w:rPr>
      </w:pPr>
    </w:p>
    <w:p w14:paraId="2E6F1287" w14:textId="77777777" w:rsidR="00167E1D" w:rsidRPr="00FD2C2C" w:rsidRDefault="00167E1D" w:rsidP="00167E1D">
      <w:pPr>
        <w:rPr>
          <w:szCs w:val="20"/>
        </w:rPr>
      </w:pPr>
    </w:p>
    <w:p w14:paraId="4151254B" w14:textId="4B039899" w:rsidR="00C909D5" w:rsidRDefault="00C909D5" w:rsidP="00C909D5">
      <w:pPr>
        <w:rPr>
          <w:szCs w:val="20"/>
        </w:rPr>
      </w:pPr>
      <w:r w:rsidRPr="00FD2C2C">
        <w:rPr>
          <w:szCs w:val="20"/>
        </w:rPr>
        <w:t>Yours faithfully</w:t>
      </w:r>
    </w:p>
    <w:p w14:paraId="6263E2D9" w14:textId="5CD35746" w:rsidR="0094384B" w:rsidRDefault="00CB722B" w:rsidP="00C909D5">
      <w:pPr>
        <w:rPr>
          <w:szCs w:val="20"/>
        </w:rPr>
      </w:pPr>
      <w:r>
        <w:rPr>
          <w:noProof/>
        </w:rPr>
        <w:drawing>
          <wp:inline distT="0" distB="0" distL="0" distR="0" wp14:anchorId="32C80108" wp14:editId="3DDC5943">
            <wp:extent cx="311467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B5E7" w14:textId="77777777" w:rsidR="0094384B" w:rsidRPr="00FD2C2C" w:rsidRDefault="0094384B" w:rsidP="00C909D5">
      <w:pPr>
        <w:rPr>
          <w:szCs w:val="20"/>
        </w:rPr>
      </w:pPr>
      <w:bookmarkStart w:id="0" w:name="_GoBack"/>
      <w:bookmarkEnd w:id="0"/>
    </w:p>
    <w:p w14:paraId="121047DE" w14:textId="04F097BA" w:rsidR="00C909D5" w:rsidRPr="00FD2C2C" w:rsidRDefault="00C909D5" w:rsidP="00C909D5">
      <w:pPr>
        <w:rPr>
          <w:b/>
          <w:szCs w:val="20"/>
        </w:rPr>
      </w:pPr>
      <w:r w:rsidRPr="00FD2C2C">
        <w:rPr>
          <w:b/>
          <w:szCs w:val="20"/>
        </w:rPr>
        <w:t>Paul Fisher</w:t>
      </w:r>
    </w:p>
    <w:p w14:paraId="4F6BFB35" w14:textId="0D624F6B" w:rsidR="0094384B" w:rsidRDefault="0094384B" w:rsidP="00C909D5">
      <w:pPr>
        <w:rPr>
          <w:b/>
          <w:szCs w:val="20"/>
        </w:rPr>
      </w:pPr>
      <w:r>
        <w:rPr>
          <w:b/>
          <w:szCs w:val="20"/>
        </w:rPr>
        <w:t xml:space="preserve">Associate </w:t>
      </w:r>
      <w:r w:rsidR="00C909D5" w:rsidRPr="00FD2C2C">
        <w:rPr>
          <w:b/>
          <w:szCs w:val="20"/>
        </w:rPr>
        <w:t xml:space="preserve">Director, </w:t>
      </w:r>
    </w:p>
    <w:p w14:paraId="15A1C886" w14:textId="0F15B922" w:rsidR="00C909D5" w:rsidRPr="00FD2C2C" w:rsidRDefault="00C909D5" w:rsidP="00C909D5">
      <w:pPr>
        <w:rPr>
          <w:b/>
          <w:szCs w:val="20"/>
        </w:rPr>
      </w:pPr>
      <w:r w:rsidRPr="00FD2C2C">
        <w:rPr>
          <w:b/>
          <w:szCs w:val="20"/>
        </w:rPr>
        <w:t>Consumers and Competition</w:t>
      </w:r>
    </w:p>
    <w:p w14:paraId="7A966AFB" w14:textId="77777777" w:rsidR="00C909D5" w:rsidRPr="00FD2C2C" w:rsidRDefault="00C909D5" w:rsidP="00C909D5">
      <w:pPr>
        <w:rPr>
          <w:szCs w:val="20"/>
        </w:rPr>
      </w:pPr>
      <w:r w:rsidRPr="00FD2C2C">
        <w:rPr>
          <w:szCs w:val="20"/>
        </w:rPr>
        <w:t>Signed on behalf of the Authority and authorised for that purpose.</w:t>
      </w:r>
    </w:p>
    <w:p w14:paraId="77932920" w14:textId="77777777" w:rsidR="00C909D5" w:rsidRPr="00FD2C2C" w:rsidRDefault="00C909D5">
      <w:pPr>
        <w:rPr>
          <w:szCs w:val="20"/>
        </w:rPr>
      </w:pPr>
    </w:p>
    <w:sectPr w:rsidR="00C909D5" w:rsidRPr="00FD2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55E8D" w14:textId="77777777" w:rsidR="00593302" w:rsidRDefault="00593302" w:rsidP="00C909D5">
      <w:r>
        <w:separator/>
      </w:r>
    </w:p>
  </w:endnote>
  <w:endnote w:type="continuationSeparator" w:id="0">
    <w:p w14:paraId="6E3AE6A9" w14:textId="77777777" w:rsidR="00593302" w:rsidRDefault="00593302" w:rsidP="00C9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0B56" w14:textId="77777777" w:rsidR="004C55B9" w:rsidRDefault="004C5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3E05" w14:textId="77777777" w:rsidR="004C55B9" w:rsidRDefault="004C5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35760" w14:textId="77777777" w:rsidR="004C55B9" w:rsidRDefault="004C5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713CC" w14:textId="77777777" w:rsidR="00593302" w:rsidRDefault="00593302" w:rsidP="00C909D5">
      <w:r>
        <w:separator/>
      </w:r>
    </w:p>
  </w:footnote>
  <w:footnote w:type="continuationSeparator" w:id="0">
    <w:p w14:paraId="48DDBB3B" w14:textId="77777777" w:rsidR="00593302" w:rsidRDefault="00593302" w:rsidP="00C909D5">
      <w:r>
        <w:continuationSeparator/>
      </w:r>
    </w:p>
  </w:footnote>
  <w:footnote w:id="1">
    <w:p w14:paraId="316292B0" w14:textId="77777777" w:rsidR="00C909D5" w:rsidRDefault="00C909D5" w:rsidP="00C909D5">
      <w:pPr>
        <w:pStyle w:val="FootnoteText"/>
      </w:pPr>
      <w:r>
        <w:rPr>
          <w:rStyle w:val="FootnoteReference"/>
        </w:rPr>
        <w:footnoteRef/>
      </w:r>
      <w:r>
        <w:t xml:space="preserve"> As r</w:t>
      </w:r>
      <w:r w:rsidRPr="00DF50D0">
        <w:t>equired by s. 49A Electrici</w:t>
      </w:r>
      <w:r>
        <w:t>ty Act 1989 and s. 38A Gas Act 1986</w:t>
      </w:r>
    </w:p>
  </w:footnote>
  <w:footnote w:id="2">
    <w:p w14:paraId="64E0DB36" w14:textId="5072FD68" w:rsidR="008A635F" w:rsidRDefault="008A63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4739">
        <w:t xml:space="preserve">An </w:t>
      </w:r>
      <w:r>
        <w:t>amendment was made to th</w:t>
      </w:r>
      <w:r w:rsidR="00344739">
        <w:t>is direction on 27 October 2017</w:t>
      </w:r>
      <w:r w:rsidR="00CC01B5">
        <w:t xml:space="preserve"> regarding the method of transfer of data</w:t>
      </w:r>
      <w:r w:rsidR="00344739">
        <w:t xml:space="preserve">. </w:t>
      </w:r>
    </w:p>
  </w:footnote>
  <w:footnote w:id="3">
    <w:p w14:paraId="2DA24341" w14:textId="77777777" w:rsidR="00167E1D" w:rsidRPr="00EC3E6C" w:rsidRDefault="00167E1D" w:rsidP="00167E1D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https://assets.publishing.service.gov.uk/media/5773de34e5274a0da3000113/final-report-energy-market-investigation.pdf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E0C83" w14:textId="77777777" w:rsidR="004C55B9" w:rsidRDefault="004C5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0C737" w14:textId="77777777" w:rsidR="004C55B9" w:rsidRDefault="004C5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6C1F" w14:textId="77777777" w:rsidR="004C55B9" w:rsidRDefault="004C5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855"/>
    <w:multiLevelType w:val="hybridMultilevel"/>
    <w:tmpl w:val="95C069B6"/>
    <w:lvl w:ilvl="0" w:tplc="7FA4472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6731"/>
    <w:multiLevelType w:val="multilevel"/>
    <w:tmpl w:val="3C20FBC0"/>
    <w:lvl w:ilvl="0">
      <w:start w:val="1"/>
      <w:numFmt w:val="upperLetter"/>
      <w:pStyle w:val="ABackground"/>
      <w:lvlText w:val="(%1)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835"/>
        </w:tabs>
        <w:ind w:left="835" w:hanging="561"/>
      </w:pPr>
      <w:rPr>
        <w:rFonts w:ascii="Times New Roman" w:hAnsi="Times New Roman" w:cs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839"/>
        </w:tabs>
        <w:ind w:left="839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548" w:hanging="567"/>
      </w:pPr>
      <w:rPr>
        <w:rFonts w:ascii="Arial" w:hAnsi="Arial" w:cs="Arial" w:hint="default"/>
        <w:b w:val="0"/>
        <w:i w:val="0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72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 w15:restartNumberingAfterBreak="0">
    <w:nsid w:val="6B4B68E7"/>
    <w:multiLevelType w:val="hybridMultilevel"/>
    <w:tmpl w:val="5F3C0B46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6F8B7FE9"/>
    <w:multiLevelType w:val="hybridMultilevel"/>
    <w:tmpl w:val="95C069B6"/>
    <w:lvl w:ilvl="0" w:tplc="7FA4472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D5"/>
    <w:rsid w:val="0004204E"/>
    <w:rsid w:val="00061E15"/>
    <w:rsid w:val="00167E1D"/>
    <w:rsid w:val="00344739"/>
    <w:rsid w:val="00355DF2"/>
    <w:rsid w:val="004C0FD5"/>
    <w:rsid w:val="004C55B9"/>
    <w:rsid w:val="004E5F3C"/>
    <w:rsid w:val="0054740A"/>
    <w:rsid w:val="00593302"/>
    <w:rsid w:val="005C0F06"/>
    <w:rsid w:val="008A635F"/>
    <w:rsid w:val="0094384B"/>
    <w:rsid w:val="00982CE5"/>
    <w:rsid w:val="009A6A22"/>
    <w:rsid w:val="00AD71D2"/>
    <w:rsid w:val="00BD571C"/>
    <w:rsid w:val="00C909D5"/>
    <w:rsid w:val="00CB722B"/>
    <w:rsid w:val="00CC01B5"/>
    <w:rsid w:val="00D1496E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27C4"/>
  <w15:chartTrackingRefBased/>
  <w15:docId w15:val="{A5EE4691-2EAC-4F34-BCDA-BCFDD4BD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9D5"/>
    <w:pPr>
      <w:spacing w:after="0" w:line="240" w:lineRule="auto"/>
    </w:pPr>
    <w:rPr>
      <w:rFonts w:ascii="Verdana" w:eastAsia="Times New Roman" w:hAnsi="Verdana" w:cs="Arial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D5"/>
  </w:style>
  <w:style w:type="paragraph" w:styleId="Footer">
    <w:name w:val="footer"/>
    <w:basedOn w:val="Normal"/>
    <w:link w:val="FooterChar"/>
    <w:uiPriority w:val="99"/>
    <w:unhideWhenUsed/>
    <w:rsid w:val="00C909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D5"/>
  </w:style>
  <w:style w:type="character" w:styleId="Hyperlink">
    <w:name w:val="Hyperlink"/>
    <w:basedOn w:val="DefaultParagraphFont"/>
    <w:unhideWhenUsed/>
    <w:rsid w:val="00C909D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9D5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9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9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7E1D"/>
    <w:pPr>
      <w:ind w:left="720"/>
      <w:contextualSpacing/>
    </w:pPr>
  </w:style>
  <w:style w:type="paragraph" w:styleId="NoSpacing">
    <w:name w:val="No Spacing"/>
    <w:uiPriority w:val="1"/>
    <w:qFormat/>
    <w:rsid w:val="00167E1D"/>
    <w:pPr>
      <w:spacing w:after="0" w:line="240" w:lineRule="auto"/>
    </w:pPr>
    <w:rPr>
      <w:rFonts w:ascii="Verdana" w:eastAsia="Times New Roman" w:hAnsi="Verdana" w:cs="Arial"/>
      <w:sz w:val="20"/>
      <w:lang w:eastAsia="en-GB"/>
    </w:rPr>
  </w:style>
  <w:style w:type="paragraph" w:customStyle="1" w:styleId="ABackground">
    <w:name w:val="(A) Background"/>
    <w:basedOn w:val="Normal"/>
    <w:rsid w:val="00167E1D"/>
    <w:pPr>
      <w:numPr>
        <w:numId w:val="2"/>
      </w:numPr>
      <w:spacing w:before="120" w:after="120" w:line="300" w:lineRule="atLeast"/>
      <w:jc w:val="both"/>
    </w:pPr>
    <w:rPr>
      <w:rFonts w:ascii="Times New Roman" w:hAnsi="Times New Roman" w:cs="Times New Roman"/>
      <w:sz w:val="22"/>
      <w:szCs w:val="20"/>
      <w:lang w:eastAsia="en-US"/>
    </w:rPr>
  </w:style>
  <w:style w:type="paragraph" w:customStyle="1" w:styleId="BackSubClause">
    <w:name w:val="BackSubClause"/>
    <w:basedOn w:val="Normal"/>
    <w:rsid w:val="00167E1D"/>
    <w:pPr>
      <w:numPr>
        <w:ilvl w:val="1"/>
        <w:numId w:val="2"/>
      </w:numPr>
      <w:spacing w:line="300" w:lineRule="atLeast"/>
      <w:jc w:val="both"/>
    </w:pPr>
    <w:rPr>
      <w:rFonts w:ascii="Times New Roman" w:hAnsi="Times New Roman" w:cs="Times New Roman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6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A2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A22"/>
    <w:rPr>
      <w:rFonts w:ascii="Verdana" w:eastAsia="Times New Roman" w:hAnsi="Verdana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A22"/>
    <w:rPr>
      <w:rFonts w:ascii="Verdana" w:eastAsia="Times New Roman" w:hAnsi="Verdana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2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media/5773de34e5274a0da3000113/final-report-energy-market-investig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MA Database" ma:contentTypeID="0x0101006EEC18B0704C8046A47AF6EC5E8E5CAB004CEDC61A84BDA44ABC8345E723A0CEA2" ma:contentTypeVersion="6" ma:contentTypeDescription="" ma:contentTypeScope="" ma:versionID="a29f4606825d3d5c1ece80318d9c2997">
  <xsd:schema xmlns:xsd="http://www.w3.org/2001/XMLSchema" xmlns:xs="http://www.w3.org/2001/XMLSchema" xmlns:p="http://schemas.microsoft.com/office/2006/metadata/properties" xmlns:ns2="2093c7c7-efcb-4260-b1c3-5ef81253e418" xmlns:ns3="631298fc-6a88-4548-b7d9-3b164918c4a3" xmlns:ns4="5c145673-34cf-47a6-92d3-1baf96e0ca3a" targetNamespace="http://schemas.microsoft.com/office/2006/metadata/properties" ma:root="true" ma:fieldsID="e2da507c333215f8c9e07638f3d9c46b" ns2:_="" ns3:_="" ns4:_="">
    <xsd:import namespace="2093c7c7-efcb-4260-b1c3-5ef81253e418"/>
    <xsd:import namespace="631298fc-6a88-4548-b7d9-3b164918c4a3"/>
    <xsd:import namespace="5c145673-34cf-47a6-92d3-1baf96e0ca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dac69383724431b843977f20a58bfe2" minOccurs="0"/>
                <xsd:element ref="ns3:TaxCatchAll" minOccurs="0"/>
                <xsd:element ref="ns3:TaxCatchAllLabel" minOccurs="0"/>
                <xsd:element ref="ns4:g83ad5964d68496ca80133e2e38caa38" minOccurs="0"/>
                <xsd:element ref="ns4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3c7c7-efcb-4260-b1c3-5ef81253e41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>
      <xsd:simpleType>
        <xsd:restriction base="dms:Choice">
          <xsd:enumeration value="Adminstrative document"/>
          <xsd:enumeration value="Project Management document"/>
          <xsd:enumeration value="Management paper"/>
          <xsd:enumeration value="Briefing note / internal paper"/>
          <xsd:enumeration value="Agenda"/>
          <xsd:enumeration value="Minutes / meeting note"/>
          <xsd:enumeration value="Presentation"/>
          <xsd:enumeration value="Publication"/>
          <xsd:enumeration value="Response to Ofgem Information Request"/>
          <xsd:enumeration value="Response to Ofgem Consultation"/>
          <xsd:enumeration value="Data"/>
          <xsd:enumeration value="Analysis"/>
          <xsd:enumeration value="Economic model"/>
          <xsd:enumeration value="Modelling results"/>
          <xsd:enumeration value="Email correspondence"/>
          <xsd:enumeration value="Letter"/>
          <xsd:enumeration value="Legal advice"/>
          <xsd:enumeration value="Licence / code / legal text"/>
          <xsd:enumeration value="FOI request"/>
        </xsd:restriction>
      </xsd:simpleType>
    </xsd:element>
    <xsd:element name="mdac69383724431b843977f20a58bfe2" ma:index="9" ma:taxonomy="true" ma:internalName="mdac69383724431b843977f20a58bfe2" ma:taxonomyFieldName="Organisation1" ma:displayName="Organisation" ma:default="1;#Ofgem|8b4368c1-752b-461b-aa1f-79fb1ab95926" ma:fieldId="{6dac6938-3724-431b-8439-77f20a58bfe2}" ma:taxonomyMulti="true" ma:sspId="ca9306fc-8436-45f0-b931-e34f519be3a3" ma:termSetId="198f4597-1449-4407-9082-75aad48ce8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6df75f-ddfb-458d-8d4e-1cf751ca51c8}" ma:internalName="TaxCatchAll" ma:showField="CatchAllData" ma:web="2093c7c7-efcb-4260-b1c3-5ef81253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46df75f-ddfb-458d-8d4e-1cf751ca51c8}" ma:internalName="TaxCatchAllLabel" ma:readOnly="true" ma:showField="CatchAllDataLabel" ma:web="2093c7c7-efcb-4260-b1c3-5ef81253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5673-34cf-47a6-92d3-1baf96e0ca3a" elementFormDefault="qualified">
    <xsd:import namespace="http://schemas.microsoft.com/office/2006/documentManagement/types"/>
    <xsd:import namespace="http://schemas.microsoft.com/office/infopath/2007/PartnerControls"/>
    <xsd:element name="g83ad5964d68496ca80133e2e38caa38" ma:index="14" nillable="true" ma:taxonomy="true" ma:internalName="g83ad5964d68496ca80133e2e38caa38" ma:taxonomyFieldName="Folksonomy_x0020_db" ma:displayName="Folksonomy db" ma:default="" ma:fieldId="{083ad596-4d68-496c-a801-33e2e38caa38}" ma:taxonomyMulti="true" ma:sspId="ca9306fc-8436-45f0-b931-e34f519be3a3" ma:termSetId="022b0f46-8176-4d67-b153-e06525cc2e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Workstream" ma:index="15" ma:displayName="Workstream" ma:format="Dropdown" ma:internalName="Workstream">
      <xsd:simpleType>
        <xsd:restriction base="dms:Choice">
          <xsd:enumeration value="Policy"/>
          <xsd:enumeration value="Alpha: Bootstrap"/>
          <xsd:enumeration value="Data Deletion"/>
          <xsd:enumeration value="Alpha: Small Scale Trial"/>
          <xsd:enumeration value="Beta: Private Beta"/>
          <xsd:enumeration value="Briefings: External"/>
          <xsd:enumeration value="Briefings: Internal"/>
          <xsd:enumeration value="Business Continuity"/>
          <xsd:enumeration value="Communications: Stakeholder Engagement"/>
          <xsd:enumeration value="Communications: Supplier Event"/>
          <xsd:enumeration value="FOI"/>
          <xsd:enumeration value="HR: Contracts"/>
          <xsd:enumeration value="HR: Leave Planner"/>
          <xsd:enumeration value="HR: Onboarding"/>
          <xsd:enumeration value="HR: Organogram"/>
          <xsd:enumeration value="HR: People Survey"/>
          <xsd:enumeration value="HR: RAFs &amp; Role Profiles"/>
          <xsd:enumeration value="IT: Alpha"/>
          <xsd:enumeration value="IT: Beta"/>
          <xsd:enumeration value="IT: Project"/>
          <xsd:enumeration value="Legal: Alpha"/>
          <xsd:enumeration value="Legal: Beta"/>
          <xsd:enumeration value="Legal: Project"/>
          <xsd:enumeration value="Legal: Views"/>
          <xsd:enumeration value="Meetings: Archive Internal"/>
          <xsd:enumeration value="Meetings: External"/>
          <xsd:enumeration value="Meetings: Internal"/>
          <xsd:enumeration value="My Utility Genius"/>
          <xsd:enumeration value="Policy: Decisions"/>
          <xsd:enumeration value="Policy: Questions"/>
          <xsd:enumeration value="Policy: Strategy"/>
          <xsd:enumeration value="Privacy Impact Assessment: Alpha"/>
          <xsd:enumeration value="Privacy Impact Assessment: Private Beta"/>
          <xsd:enumeration value="Project Management: Analysis &amp; Reporting"/>
          <xsd:enumeration value="Project Management: Budget &amp; Finance"/>
          <xsd:enumeration value="Project Management: Business Case"/>
          <xsd:enumeration value="Project Management: Governance"/>
          <xsd:enumeration value="Project Management: Show &amp; Tell"/>
          <xsd:enumeration value="Project Management: Sprint Reports"/>
          <xsd:enumeration value="Project Management: GEMA Papers"/>
          <xsd:enumeration value="User Research: Discovery"/>
          <xsd:enumeration value="User Research: Alpha"/>
          <xsd:enumeration value="User Research: Beta"/>
          <xsd:enumeration value="User Research: Videos"/>
          <xsd:enumeration value="Communications: Stakeholder Engagement ICO"/>
          <xsd:enumeration value="Communications: Stakeholder Engagement BEIS"/>
          <xsd:enumeration value="Communications: Stakeholder Engagement HMT"/>
          <xsd:enumeration value="Communications: Stakeholder Engagement CitA/Which?"/>
          <xsd:enumeration value="Communications: Stakeholder Engagement CMA"/>
          <xsd:enumeration value="Communications: Stakeholder Engagement Deal Provider"/>
          <xsd:enumeration value="Communications: Stakeholder Engagement GDS"/>
          <xsd:enumeration value="Communications: Stakeholder Engagement Eon"/>
          <xsd:enumeration value="Beta: Private Beta Processes and key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093c7c7-efcb-4260-b1c3-5ef81253e418">Letter</Document_x0020_Type>
    <TaxCatchAll xmlns="631298fc-6a88-4548-b7d9-3b164918c4a3">
      <Value>1</Value>
    </TaxCatchAll>
    <Workstream xmlns="5c145673-34cf-47a6-92d3-1baf96e0ca3a">Legal: Beta</Workstream>
    <mdac69383724431b843977f20a58bfe2 xmlns="2093c7c7-efcb-4260-b1c3-5ef81253e4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Ofgem</TermName>
          <TermId xmlns="http://schemas.microsoft.com/office/infopath/2007/PartnerControls">8b4368c1-752b-461b-aa1f-79fb1ab95926</TermId>
        </TermInfo>
      </Terms>
    </mdac69383724431b843977f20a58bfe2>
    <g83ad5964d68496ca80133e2e38caa38 xmlns="5c145673-34cf-47a6-92d3-1baf96e0ca3a">
      <Terms xmlns="http://schemas.microsoft.com/office/infopath/2007/PartnerControls"/>
    </g83ad5964d68496ca80133e2e38caa38>
  </documentManagement>
</p:properties>
</file>

<file path=customXml/itemProps1.xml><?xml version="1.0" encoding="utf-8"?>
<ds:datastoreItem xmlns:ds="http://schemas.openxmlformats.org/officeDocument/2006/customXml" ds:itemID="{5F8C11AE-7E01-477F-B537-54F352E3CC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54DD8B-B024-4B6A-88E3-AD0CEA543589}"/>
</file>

<file path=customXml/itemProps3.xml><?xml version="1.0" encoding="utf-8"?>
<ds:datastoreItem xmlns:ds="http://schemas.openxmlformats.org/officeDocument/2006/customXml" ds:itemID="{D8F6FD1A-5D9C-45E0-9DE5-1F5E8111E7E2}"/>
</file>

<file path=customXml/itemProps4.xml><?xml version="1.0" encoding="utf-8"?>
<ds:datastoreItem xmlns:ds="http://schemas.openxmlformats.org/officeDocument/2006/customXml" ds:itemID="{2F17BF23-F0C6-471B-949A-CBCED435F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3872</Characters>
  <Application>Microsoft Office Word</Application>
  <DocSecurity>0</DocSecurity>
  <Lines>113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reasons Directions Beta Test - Final</dc:title>
  <dc:subject/>
  <dc:creator>Victoria Young</dc:creator>
  <cp:keywords/>
  <dc:description/>
  <cp:lastModifiedBy>Giedre Viskantaite</cp:lastModifiedBy>
  <cp:revision>3</cp:revision>
  <dcterms:created xsi:type="dcterms:W3CDTF">2018-03-23T15:31:00Z</dcterms:created>
  <dcterms:modified xsi:type="dcterms:W3CDTF">2018-03-23T15:55:00Z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a4781031-46b9-45d2-abef-4eadbf40ef71</vt:lpwstr>
  </property>
  <property fmtid="{D5CDD505-2E9C-101B-9397-08002B2CF9AE}" pid="3" name="bjSaver">
    <vt:lpwstr>PLlRot3wm3XtTzmbfxICB2ZdCEvB0lpJ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5" name="bjDocumentLabelXML-0">
    <vt:lpwstr>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ContentTypeId">
    <vt:lpwstr>0x0101006EEC18B0704C8046A47AF6EC5E8E5CAB004CEDC61A84BDA44ABC8345E723A0CEA2</vt:lpwstr>
  </property>
  <property fmtid="{D5CDD505-2E9C-101B-9397-08002B2CF9AE}" pid="8" name="BJSCc5a055b0-1bed-4579_x">
    <vt:lpwstr/>
  </property>
  <property fmtid="{D5CDD505-2E9C-101B-9397-08002B2CF9AE}" pid="9" name="BJSCid_group_classification">
    <vt:lpwstr>OFFICIAL</vt:lpwstr>
  </property>
  <property fmtid="{D5CDD505-2E9C-101B-9397-08002B2CF9AE}" pid="10" name="BJSCdd9eba61-d6b9-469b_x">
    <vt:lpwstr/>
  </property>
  <property fmtid="{D5CDD505-2E9C-101B-9397-08002B2CF9AE}" pid="11" name="BJSCSummaryMarking">
    <vt:lpwstr>OFFICIAL</vt:lpwstr>
  </property>
  <property fmtid="{D5CDD505-2E9C-101B-9397-08002B2CF9AE}" pid="12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13" name="BJSC514bdf30-2227-4016_x">
    <vt:lpwstr/>
  </property>
  <property fmtid="{D5CDD505-2E9C-101B-9397-08002B2CF9AE}" pid="14" name="Folksonomy db">
    <vt:lpwstr/>
  </property>
  <property fmtid="{D5CDD505-2E9C-101B-9397-08002B2CF9AE}" pid="15" name="Organisation1">
    <vt:lpwstr>1;#Ofgem|8b4368c1-752b-461b-aa1f-79fb1ab95926</vt:lpwstr>
  </property>
</Properties>
</file>