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900A9" w14:textId="77777777" w:rsidR="006640CC" w:rsidRPr="00AC0BDB" w:rsidRDefault="006640CC" w:rsidP="00211872">
      <w:pPr>
        <w:pStyle w:val="Header"/>
        <w:ind w:left="180" w:right="386"/>
        <w:rPr>
          <w:rFonts w:ascii="Verdana" w:hAnsi="Verdana"/>
        </w:rPr>
      </w:pPr>
      <w:r w:rsidRPr="00AC0BDB">
        <w:rPr>
          <w:rFonts w:ascii="Verdana" w:hAnsi="Verdana" w:cs="Arial"/>
          <w:b/>
          <w:color w:val="333399"/>
          <w:sz w:val="16"/>
          <w:szCs w:val="16"/>
        </w:rPr>
        <w:tab/>
      </w:r>
    </w:p>
    <w:p w14:paraId="459900AA" w14:textId="77777777" w:rsidR="00577C3B" w:rsidRPr="00AC0BDB" w:rsidRDefault="00577C3B" w:rsidP="004151BE">
      <w:pPr>
        <w:jc w:val="both"/>
        <w:rPr>
          <w:rFonts w:ascii="Verdana" w:hAnsi="Verdana" w:cs="Arial"/>
        </w:rPr>
      </w:pPr>
    </w:p>
    <w:p w14:paraId="459900AB" w14:textId="77777777" w:rsidR="00732F40" w:rsidRPr="00AC0BDB" w:rsidRDefault="00E16969" w:rsidP="00E16969">
      <w:pPr>
        <w:tabs>
          <w:tab w:val="left" w:pos="7650"/>
        </w:tabs>
        <w:jc w:val="both"/>
        <w:rPr>
          <w:rFonts w:ascii="Verdana" w:hAnsi="Verdana" w:cs="Arial"/>
        </w:rPr>
      </w:pPr>
      <w:r w:rsidRPr="00AC0BDB">
        <w:rPr>
          <w:rFonts w:ascii="Verdana" w:hAnsi="Verdana" w:cs="Arial"/>
        </w:rPr>
        <w:tab/>
      </w:r>
    </w:p>
    <w:p w14:paraId="459900AC" w14:textId="77777777" w:rsidR="008F08FC" w:rsidRPr="00AC0BDB" w:rsidRDefault="008F08FC" w:rsidP="004151BE">
      <w:pPr>
        <w:jc w:val="both"/>
        <w:rPr>
          <w:rFonts w:ascii="Verdana" w:hAnsi="Verdana" w:cs="Arial"/>
        </w:rPr>
      </w:pPr>
    </w:p>
    <w:p w14:paraId="453E3E86" w14:textId="77777777" w:rsidR="00B22258" w:rsidRDefault="00B22258" w:rsidP="0053092F">
      <w:pPr>
        <w:ind w:left="180" w:right="206"/>
        <w:rPr>
          <w:rFonts w:ascii="Verdana" w:hAnsi="Verdana"/>
          <w:bCs/>
          <w:sz w:val="20"/>
          <w:szCs w:val="20"/>
        </w:rPr>
      </w:pPr>
    </w:p>
    <w:p w14:paraId="40BB80E1" w14:textId="5E2BA6F3" w:rsidR="0053092F" w:rsidRPr="00B22258" w:rsidRDefault="00A65BF5" w:rsidP="0053092F">
      <w:pPr>
        <w:ind w:left="180" w:right="206"/>
        <w:rPr>
          <w:rFonts w:ascii="Verdana" w:hAnsi="Verdana"/>
          <w:bCs/>
        </w:rPr>
      </w:pPr>
      <w:r>
        <w:rPr>
          <w:rFonts w:ascii="Verdana" w:hAnsi="Verdana"/>
          <w:bCs/>
        </w:rPr>
        <w:t>Mick Watson</w:t>
      </w:r>
      <w:r w:rsidR="0053092F" w:rsidRPr="00B22258">
        <w:rPr>
          <w:rFonts w:ascii="Verdana" w:hAnsi="Verdana"/>
          <w:bCs/>
        </w:rPr>
        <w:t>,</w:t>
      </w:r>
    </w:p>
    <w:p w14:paraId="744C1B9D" w14:textId="4F979DEF" w:rsidR="0053092F" w:rsidRDefault="00A65BF5" w:rsidP="0053092F">
      <w:pPr>
        <w:ind w:left="180" w:right="206"/>
        <w:rPr>
          <w:rFonts w:ascii="Verdana" w:hAnsi="Verdana"/>
          <w:bCs/>
        </w:rPr>
      </w:pPr>
      <w:r>
        <w:rPr>
          <w:rFonts w:ascii="Verdana" w:hAnsi="Verdana"/>
          <w:bCs/>
        </w:rPr>
        <w:t>Senior Advisor</w:t>
      </w:r>
      <w:r w:rsidR="0053092F" w:rsidRPr="00B22258">
        <w:rPr>
          <w:rFonts w:ascii="Verdana" w:hAnsi="Verdana"/>
          <w:bCs/>
        </w:rPr>
        <w:t>,</w:t>
      </w:r>
    </w:p>
    <w:p w14:paraId="0692AB46" w14:textId="43C160EA" w:rsidR="00A65BF5" w:rsidRPr="00B22258" w:rsidRDefault="00A65BF5" w:rsidP="0053092F">
      <w:pPr>
        <w:ind w:left="180" w:right="206"/>
        <w:rPr>
          <w:rFonts w:ascii="Verdana" w:hAnsi="Verdana"/>
          <w:bCs/>
        </w:rPr>
      </w:pPr>
      <w:r>
        <w:rPr>
          <w:rFonts w:ascii="Verdana" w:hAnsi="Verdana"/>
          <w:bCs/>
        </w:rPr>
        <w:t>RIIO Finance,</w:t>
      </w:r>
    </w:p>
    <w:p w14:paraId="26CC5B1C" w14:textId="77777777" w:rsidR="0053092F" w:rsidRPr="00B22258" w:rsidRDefault="0053092F" w:rsidP="0053092F">
      <w:pPr>
        <w:ind w:left="180" w:right="206"/>
        <w:rPr>
          <w:rFonts w:ascii="Verdana" w:hAnsi="Verdana"/>
          <w:bCs/>
        </w:rPr>
      </w:pPr>
      <w:r w:rsidRPr="00B22258">
        <w:rPr>
          <w:rFonts w:ascii="Verdana" w:hAnsi="Verdana"/>
          <w:bCs/>
        </w:rPr>
        <w:t>Ofgem,</w:t>
      </w:r>
    </w:p>
    <w:p w14:paraId="08D00B6E" w14:textId="77777777" w:rsidR="0053092F" w:rsidRPr="00B22258" w:rsidRDefault="0053092F" w:rsidP="0053092F">
      <w:pPr>
        <w:ind w:left="180" w:right="206"/>
        <w:rPr>
          <w:rFonts w:ascii="Verdana" w:hAnsi="Verdana"/>
          <w:bCs/>
        </w:rPr>
      </w:pPr>
      <w:r w:rsidRPr="00B22258">
        <w:rPr>
          <w:rFonts w:ascii="Verdana" w:hAnsi="Verdana"/>
          <w:bCs/>
        </w:rPr>
        <w:t>9 Millbank</w:t>
      </w:r>
    </w:p>
    <w:p w14:paraId="459900B3" w14:textId="30532EAA" w:rsidR="00DA282D" w:rsidRPr="00B22258" w:rsidRDefault="0053092F" w:rsidP="0053092F">
      <w:pPr>
        <w:ind w:left="180" w:right="206"/>
        <w:rPr>
          <w:rFonts w:ascii="Verdana" w:hAnsi="Verdana"/>
          <w:bCs/>
        </w:rPr>
      </w:pPr>
      <w:r w:rsidRPr="00B22258">
        <w:rPr>
          <w:rFonts w:ascii="Verdana" w:hAnsi="Verdana"/>
          <w:bCs/>
        </w:rPr>
        <w:t>London SW1P 3GE</w:t>
      </w:r>
    </w:p>
    <w:p w14:paraId="0231EFFA" w14:textId="77777777" w:rsidR="0053092F" w:rsidRPr="00B22258" w:rsidRDefault="0053092F" w:rsidP="0053092F">
      <w:pPr>
        <w:ind w:left="180" w:right="206"/>
        <w:rPr>
          <w:rFonts w:ascii="Verdana" w:hAnsi="Verdana" w:cs="Arial"/>
        </w:rPr>
      </w:pPr>
    </w:p>
    <w:p w14:paraId="7FF174BD" w14:textId="77777777" w:rsidR="00B22258" w:rsidRPr="00B22258" w:rsidRDefault="00B22258" w:rsidP="00003D57">
      <w:pPr>
        <w:ind w:left="180" w:right="206"/>
        <w:rPr>
          <w:rFonts w:ascii="Verdana" w:hAnsi="Verdana" w:cs="Arial"/>
        </w:rPr>
      </w:pPr>
    </w:p>
    <w:p w14:paraId="459900B4" w14:textId="2F227736" w:rsidR="0020617F" w:rsidRPr="00B22258" w:rsidRDefault="00A65BF5" w:rsidP="00003D57">
      <w:pPr>
        <w:ind w:left="180" w:right="206"/>
        <w:rPr>
          <w:rFonts w:ascii="Verdana" w:hAnsi="Verdana" w:cs="Arial"/>
        </w:rPr>
      </w:pPr>
      <w:r>
        <w:rPr>
          <w:rFonts w:ascii="Verdana" w:hAnsi="Verdana" w:cs="Arial"/>
        </w:rPr>
        <w:t>4 December</w:t>
      </w:r>
      <w:r w:rsidR="0053092F" w:rsidRPr="00B22258">
        <w:rPr>
          <w:rFonts w:ascii="Verdana" w:hAnsi="Verdana" w:cs="Arial"/>
        </w:rPr>
        <w:t xml:space="preserve"> </w:t>
      </w:r>
      <w:r w:rsidR="00BC5531" w:rsidRPr="00B22258">
        <w:rPr>
          <w:rFonts w:ascii="Verdana" w:hAnsi="Verdana" w:cs="Arial"/>
        </w:rPr>
        <w:t>201</w:t>
      </w:r>
      <w:r w:rsidR="00527037" w:rsidRPr="00B22258">
        <w:rPr>
          <w:rFonts w:ascii="Verdana" w:hAnsi="Verdana" w:cs="Arial"/>
        </w:rPr>
        <w:t>7</w:t>
      </w:r>
      <w:r w:rsidR="007F6BFC" w:rsidRPr="00B22258">
        <w:rPr>
          <w:rFonts w:ascii="Verdana" w:hAnsi="Verdana" w:cs="Arial"/>
        </w:rPr>
        <w:t xml:space="preserve"> </w:t>
      </w:r>
    </w:p>
    <w:p w14:paraId="459900B5" w14:textId="77777777" w:rsidR="0020617F" w:rsidRPr="00B22258" w:rsidRDefault="0020617F" w:rsidP="0020617F">
      <w:pPr>
        <w:ind w:left="180" w:right="206"/>
        <w:rPr>
          <w:rFonts w:ascii="Verdana" w:hAnsi="Verdana"/>
        </w:rPr>
      </w:pPr>
    </w:p>
    <w:p w14:paraId="459900B6" w14:textId="77777777" w:rsidR="00AF2339" w:rsidRPr="00B22258" w:rsidRDefault="00AF2339" w:rsidP="00003D57">
      <w:pPr>
        <w:ind w:left="180" w:right="206"/>
        <w:rPr>
          <w:rFonts w:ascii="Verdana" w:hAnsi="Verdana"/>
        </w:rPr>
      </w:pPr>
    </w:p>
    <w:p w14:paraId="459900B7" w14:textId="49EBDBDE" w:rsidR="00D94D1C" w:rsidRPr="00B22258" w:rsidRDefault="00D94D1C" w:rsidP="00003D57">
      <w:pPr>
        <w:ind w:left="180" w:right="206"/>
        <w:rPr>
          <w:rFonts w:ascii="Verdana" w:hAnsi="Verdana"/>
        </w:rPr>
      </w:pPr>
      <w:r w:rsidRPr="00B22258">
        <w:rPr>
          <w:rFonts w:ascii="Verdana" w:hAnsi="Verdana"/>
        </w:rPr>
        <w:t xml:space="preserve">Dear </w:t>
      </w:r>
      <w:r w:rsidR="00A65BF5">
        <w:rPr>
          <w:rFonts w:ascii="Verdana" w:hAnsi="Verdana"/>
        </w:rPr>
        <w:t>Mick</w:t>
      </w:r>
      <w:r w:rsidR="00CB5B73" w:rsidRPr="00B22258">
        <w:rPr>
          <w:rFonts w:ascii="Verdana" w:hAnsi="Verdana"/>
        </w:rPr>
        <w:t>,</w:t>
      </w:r>
    </w:p>
    <w:p w14:paraId="459900B8" w14:textId="77777777" w:rsidR="00CF1F16" w:rsidRPr="00B22258" w:rsidRDefault="00CF1F16" w:rsidP="0020617F">
      <w:pPr>
        <w:ind w:left="180" w:right="206"/>
        <w:jc w:val="both"/>
        <w:rPr>
          <w:rFonts w:ascii="Verdana" w:hAnsi="Verdana"/>
          <w:b/>
        </w:rPr>
      </w:pPr>
    </w:p>
    <w:p w14:paraId="459900BB" w14:textId="7BF53A13" w:rsidR="004E7DBD" w:rsidRPr="00B22258" w:rsidRDefault="004D75EF" w:rsidP="00CF1F16">
      <w:pPr>
        <w:ind w:left="181" w:right="204"/>
        <w:jc w:val="both"/>
        <w:rPr>
          <w:rFonts w:ascii="Verdana" w:hAnsi="Verdana"/>
          <w:b/>
        </w:rPr>
      </w:pPr>
      <w:r>
        <w:rPr>
          <w:rFonts w:ascii="Verdana" w:hAnsi="Verdana"/>
          <w:b/>
        </w:rPr>
        <w:t>Introduction of RIIO Accounts – further c</w:t>
      </w:r>
      <w:r w:rsidR="0053092F" w:rsidRPr="00B22258">
        <w:rPr>
          <w:rFonts w:ascii="Verdana" w:hAnsi="Verdana"/>
          <w:b/>
        </w:rPr>
        <w:t xml:space="preserve">onsultation on </w:t>
      </w:r>
      <w:r>
        <w:rPr>
          <w:rFonts w:ascii="Verdana" w:hAnsi="Verdana"/>
          <w:b/>
        </w:rPr>
        <w:t>licence modification</w:t>
      </w:r>
    </w:p>
    <w:p w14:paraId="63A202F2" w14:textId="77777777" w:rsidR="00B22258" w:rsidRDefault="00B22258" w:rsidP="0053092F">
      <w:pPr>
        <w:ind w:left="181" w:right="204"/>
        <w:jc w:val="both"/>
        <w:rPr>
          <w:rFonts w:ascii="Verdana" w:hAnsi="Verdana"/>
        </w:rPr>
      </w:pPr>
    </w:p>
    <w:p w14:paraId="459900BC" w14:textId="5C2065DD" w:rsidR="00625C99" w:rsidRDefault="00003D57" w:rsidP="0053092F">
      <w:pPr>
        <w:ind w:left="181" w:right="204"/>
        <w:jc w:val="both"/>
        <w:rPr>
          <w:rFonts w:ascii="Verdana" w:hAnsi="Verdana"/>
        </w:rPr>
      </w:pPr>
      <w:r w:rsidRPr="00B22258">
        <w:rPr>
          <w:rFonts w:ascii="Verdana" w:hAnsi="Verdana"/>
        </w:rPr>
        <w:t xml:space="preserve">Thank you for the opportunity to </w:t>
      </w:r>
      <w:r w:rsidR="00202CB7" w:rsidRPr="00B22258">
        <w:rPr>
          <w:rFonts w:ascii="Verdana" w:hAnsi="Verdana"/>
        </w:rPr>
        <w:t xml:space="preserve">comment on </w:t>
      </w:r>
      <w:r w:rsidR="008B322C" w:rsidRPr="00B22258">
        <w:rPr>
          <w:rFonts w:ascii="Verdana" w:hAnsi="Verdana"/>
        </w:rPr>
        <w:t xml:space="preserve">the </w:t>
      </w:r>
      <w:r w:rsidR="002D5272">
        <w:rPr>
          <w:rFonts w:ascii="Verdana" w:hAnsi="Verdana"/>
        </w:rPr>
        <w:t>consultation to modify the licence for the introduction of RIIO accounts.  Our response is non conf</w:t>
      </w:r>
      <w:r w:rsidR="000C5500" w:rsidRPr="00B22258">
        <w:rPr>
          <w:rFonts w:ascii="Verdana" w:hAnsi="Verdana"/>
        </w:rPr>
        <w:t>idential.</w:t>
      </w:r>
    </w:p>
    <w:p w14:paraId="3FA5F121" w14:textId="77777777" w:rsidR="002D5272" w:rsidRDefault="002D5272" w:rsidP="0053092F">
      <w:pPr>
        <w:ind w:left="181" w:right="204"/>
        <w:jc w:val="both"/>
        <w:rPr>
          <w:rFonts w:ascii="Verdana" w:hAnsi="Verdana"/>
        </w:rPr>
      </w:pPr>
    </w:p>
    <w:p w14:paraId="404C8222" w14:textId="1290361D" w:rsidR="002D5272" w:rsidRDefault="002D5272" w:rsidP="0053092F">
      <w:pPr>
        <w:ind w:left="181" w:right="204"/>
        <w:jc w:val="both"/>
        <w:rPr>
          <w:rFonts w:ascii="Verdana" w:hAnsi="Verdana"/>
        </w:rPr>
      </w:pPr>
      <w:r>
        <w:rPr>
          <w:rFonts w:ascii="Verdana" w:hAnsi="Verdana"/>
        </w:rPr>
        <w:t>We have responded to the specific questions contained in the consultation in the attachment to this letter.  In addition we have set out our key points below.</w:t>
      </w:r>
    </w:p>
    <w:p w14:paraId="64FB2A3C" w14:textId="77777777" w:rsidR="002D5272" w:rsidRDefault="002D5272" w:rsidP="0053092F">
      <w:pPr>
        <w:ind w:left="181" w:right="204"/>
        <w:jc w:val="both"/>
        <w:rPr>
          <w:rFonts w:ascii="Verdana" w:hAnsi="Verdana"/>
        </w:rPr>
      </w:pPr>
    </w:p>
    <w:p w14:paraId="02CD7428" w14:textId="77777777" w:rsidR="004E1B9C" w:rsidRDefault="004E1B9C" w:rsidP="0053092F">
      <w:pPr>
        <w:ind w:left="181" w:right="204"/>
        <w:jc w:val="both"/>
        <w:rPr>
          <w:rFonts w:ascii="Verdana" w:hAnsi="Verdana"/>
        </w:rPr>
      </w:pPr>
      <w:r>
        <w:rPr>
          <w:rFonts w:ascii="Verdana" w:hAnsi="Verdana"/>
        </w:rPr>
        <w:t xml:space="preserve">We support Ofgem’s objective to replace the Regulatory Accounts with something more meaningful that allows stakeholders to more easily compare and understand our actual performance, and can see this would provide benefits.  </w:t>
      </w:r>
    </w:p>
    <w:p w14:paraId="24F89F3F" w14:textId="77777777" w:rsidR="004E1B9C" w:rsidRDefault="004E1B9C" w:rsidP="0053092F">
      <w:pPr>
        <w:ind w:left="181" w:right="204"/>
        <w:jc w:val="both"/>
        <w:rPr>
          <w:rFonts w:ascii="Verdana" w:hAnsi="Verdana"/>
        </w:rPr>
      </w:pPr>
    </w:p>
    <w:p w14:paraId="0AAE77E4" w14:textId="70CBFB2C" w:rsidR="00C53F88" w:rsidRDefault="004E1B9C" w:rsidP="0053092F">
      <w:pPr>
        <w:ind w:left="181" w:right="204"/>
        <w:jc w:val="both"/>
        <w:rPr>
          <w:rFonts w:ascii="Verdana" w:hAnsi="Verdana"/>
        </w:rPr>
      </w:pPr>
      <w:r>
        <w:rPr>
          <w:rFonts w:ascii="Verdana" w:hAnsi="Verdana"/>
        </w:rPr>
        <w:t xml:space="preserve">However the drive to achieve a ‘fairly presents’ audit opinion has </w:t>
      </w:r>
      <w:r w:rsidR="00C53F88">
        <w:rPr>
          <w:rFonts w:ascii="Verdana" w:hAnsi="Verdana"/>
        </w:rPr>
        <w:t xml:space="preserve">resulted in the RIIO Accounts becoming increasingly </w:t>
      </w:r>
      <w:r>
        <w:rPr>
          <w:rFonts w:ascii="Verdana" w:hAnsi="Verdana"/>
        </w:rPr>
        <w:t>complex</w:t>
      </w:r>
      <w:r w:rsidR="00552F6B">
        <w:rPr>
          <w:rFonts w:ascii="Verdana" w:hAnsi="Verdana"/>
        </w:rPr>
        <w:t>, t</w:t>
      </w:r>
      <w:r w:rsidR="00C53F88">
        <w:rPr>
          <w:rFonts w:ascii="Verdana" w:hAnsi="Verdana"/>
        </w:rPr>
        <w:t>echnical</w:t>
      </w:r>
      <w:r w:rsidR="00552F6B">
        <w:rPr>
          <w:rFonts w:ascii="Verdana" w:hAnsi="Verdana"/>
        </w:rPr>
        <w:t xml:space="preserve"> and difficult to interpret.  If</w:t>
      </w:r>
      <w:r w:rsidR="00C53F88">
        <w:rPr>
          <w:rFonts w:ascii="Verdana" w:hAnsi="Verdana"/>
        </w:rPr>
        <w:t xml:space="preserve"> we are to continue down this route there is s</w:t>
      </w:r>
      <w:r>
        <w:rPr>
          <w:rFonts w:ascii="Verdana" w:hAnsi="Verdana"/>
        </w:rPr>
        <w:t>till further significant work</w:t>
      </w:r>
      <w:r w:rsidR="00C53F88">
        <w:rPr>
          <w:rFonts w:ascii="Verdana" w:hAnsi="Verdana"/>
        </w:rPr>
        <w:t xml:space="preserve"> required to ensure the accounts could be produced on a consistent and comparable basis.  Without this there is a real likelihood that we would receive a qualified audit report and risk potential licence breaches.  </w:t>
      </w:r>
    </w:p>
    <w:p w14:paraId="3E59EFC7" w14:textId="77777777" w:rsidR="00552F6B" w:rsidRDefault="00552F6B" w:rsidP="0053092F">
      <w:pPr>
        <w:ind w:left="181" w:right="204"/>
        <w:jc w:val="both"/>
        <w:rPr>
          <w:rFonts w:ascii="Verdana" w:hAnsi="Verdana"/>
        </w:rPr>
      </w:pPr>
    </w:p>
    <w:p w14:paraId="1B5080EF" w14:textId="5C6FCD2E" w:rsidR="00552F6B" w:rsidRDefault="00552F6B" w:rsidP="0053092F">
      <w:pPr>
        <w:ind w:left="181" w:right="204"/>
        <w:jc w:val="both"/>
        <w:rPr>
          <w:rFonts w:ascii="Verdana" w:hAnsi="Verdana"/>
        </w:rPr>
      </w:pPr>
      <w:r w:rsidRPr="00552F6B">
        <w:rPr>
          <w:rFonts w:ascii="Verdana" w:hAnsi="Verdana"/>
        </w:rPr>
        <w:t xml:space="preserve">We are not convinced about the benefits case for RIIO accounts in their current form.  It seems clear the cost of producing and auditing the accounts will be considerable across the industry which will be borne by both consumers and investors.   It is also not clear </w:t>
      </w:r>
      <w:r>
        <w:rPr>
          <w:rFonts w:ascii="Verdana" w:hAnsi="Verdana"/>
        </w:rPr>
        <w:t xml:space="preserve">to us </w:t>
      </w:r>
      <w:r w:rsidRPr="00552F6B">
        <w:rPr>
          <w:rFonts w:ascii="Verdana" w:hAnsi="Verdana"/>
        </w:rPr>
        <w:t xml:space="preserve">what the benefits will be to either party.  </w:t>
      </w:r>
    </w:p>
    <w:p w14:paraId="7A6F09EB" w14:textId="77777777" w:rsidR="00552F6B" w:rsidRDefault="00552F6B" w:rsidP="0053092F">
      <w:pPr>
        <w:ind w:left="181" w:right="204"/>
        <w:jc w:val="both"/>
        <w:rPr>
          <w:rFonts w:ascii="Verdana" w:hAnsi="Verdana"/>
        </w:rPr>
      </w:pPr>
    </w:p>
    <w:p w14:paraId="10DC65F3" w14:textId="77777777" w:rsidR="00552F6B" w:rsidRDefault="00552F6B" w:rsidP="0053092F">
      <w:pPr>
        <w:ind w:left="181" w:right="204"/>
        <w:jc w:val="both"/>
        <w:rPr>
          <w:rFonts w:ascii="Verdana" w:hAnsi="Verdana"/>
        </w:rPr>
      </w:pPr>
    </w:p>
    <w:p w14:paraId="5762F90A" w14:textId="749CF0D3" w:rsidR="00C152F4" w:rsidRDefault="00552F6B" w:rsidP="0053092F">
      <w:pPr>
        <w:ind w:left="181" w:right="204"/>
        <w:jc w:val="both"/>
        <w:rPr>
          <w:rFonts w:ascii="Verdana" w:hAnsi="Verdana"/>
        </w:rPr>
      </w:pPr>
      <w:r>
        <w:rPr>
          <w:rFonts w:ascii="Verdana" w:hAnsi="Verdana"/>
        </w:rPr>
        <w:lastRenderedPageBreak/>
        <w:t>At this stage w</w:t>
      </w:r>
      <w:r w:rsidR="00C53F88">
        <w:rPr>
          <w:rFonts w:ascii="Verdana" w:hAnsi="Verdana"/>
        </w:rPr>
        <w:t xml:space="preserve">e would support a pause in the process to consider </w:t>
      </w:r>
      <w:r w:rsidR="00FD284C" w:rsidRPr="00FD284C">
        <w:rPr>
          <w:rFonts w:ascii="Verdana" w:hAnsi="Verdana"/>
        </w:rPr>
        <w:t>a simpler and clearer alternative report</w:t>
      </w:r>
      <w:r>
        <w:rPr>
          <w:rFonts w:ascii="Verdana" w:hAnsi="Verdana"/>
        </w:rPr>
        <w:t>ing framework</w:t>
      </w:r>
      <w:r w:rsidR="00C152F4">
        <w:rPr>
          <w:rFonts w:ascii="Verdana" w:hAnsi="Verdana"/>
        </w:rPr>
        <w:t>.  This would build on the considerable time and effort all parties have invested in RIIO accounts to date.  It should</w:t>
      </w:r>
      <w:r w:rsidR="00FD284C">
        <w:rPr>
          <w:rFonts w:ascii="Verdana" w:hAnsi="Verdana"/>
        </w:rPr>
        <w:t xml:space="preserve"> focus on </w:t>
      </w:r>
      <w:r w:rsidR="00C152F4">
        <w:rPr>
          <w:rFonts w:ascii="Verdana" w:hAnsi="Verdana"/>
        </w:rPr>
        <w:t xml:space="preserve">developing </w:t>
      </w:r>
      <w:r w:rsidR="00FD284C">
        <w:rPr>
          <w:rFonts w:ascii="Verdana" w:hAnsi="Verdana"/>
        </w:rPr>
        <w:t xml:space="preserve">comparable </w:t>
      </w:r>
      <w:r>
        <w:rPr>
          <w:rFonts w:ascii="Verdana" w:hAnsi="Verdana"/>
        </w:rPr>
        <w:t xml:space="preserve">and transparent </w:t>
      </w:r>
      <w:r w:rsidR="00FD284C">
        <w:rPr>
          <w:rFonts w:ascii="Verdana" w:hAnsi="Verdana"/>
        </w:rPr>
        <w:t xml:space="preserve">measures of </w:t>
      </w:r>
      <w:r>
        <w:rPr>
          <w:rFonts w:ascii="Verdana" w:hAnsi="Verdana"/>
        </w:rPr>
        <w:t xml:space="preserve">regulatory </w:t>
      </w:r>
      <w:r w:rsidR="00FD284C">
        <w:rPr>
          <w:rFonts w:ascii="Verdana" w:hAnsi="Verdana"/>
        </w:rPr>
        <w:t>performance</w:t>
      </w:r>
      <w:r w:rsidR="00C152F4">
        <w:rPr>
          <w:rFonts w:ascii="Verdana" w:hAnsi="Verdana"/>
        </w:rPr>
        <w:t xml:space="preserve"> in an easy to understand and efficient manner</w:t>
      </w:r>
      <w:r w:rsidR="00FD284C" w:rsidRPr="00FD284C">
        <w:rPr>
          <w:rFonts w:ascii="Verdana" w:hAnsi="Verdana"/>
        </w:rPr>
        <w:t>.</w:t>
      </w:r>
      <w:r>
        <w:rPr>
          <w:rFonts w:ascii="Verdana" w:hAnsi="Verdana"/>
        </w:rPr>
        <w:t xml:space="preserve"> </w:t>
      </w:r>
      <w:r w:rsidR="00C53F88">
        <w:rPr>
          <w:rFonts w:ascii="Verdana" w:hAnsi="Verdana"/>
        </w:rPr>
        <w:t xml:space="preserve"> </w:t>
      </w:r>
    </w:p>
    <w:p w14:paraId="09FE1CA1" w14:textId="77777777" w:rsidR="00C152F4" w:rsidRDefault="00C152F4" w:rsidP="0053092F">
      <w:pPr>
        <w:ind w:left="181" w:right="204"/>
        <w:jc w:val="both"/>
        <w:rPr>
          <w:rFonts w:ascii="Verdana" w:hAnsi="Verdana"/>
        </w:rPr>
      </w:pPr>
    </w:p>
    <w:p w14:paraId="793913BA" w14:textId="16CC52E5" w:rsidR="002D5272" w:rsidRPr="00B22258" w:rsidRDefault="00C152F4" w:rsidP="0053092F">
      <w:pPr>
        <w:ind w:left="181" w:right="204"/>
        <w:jc w:val="both"/>
        <w:rPr>
          <w:rFonts w:ascii="Verdana" w:hAnsi="Verdana"/>
        </w:rPr>
      </w:pPr>
      <w:r>
        <w:rPr>
          <w:rFonts w:ascii="Verdana" w:hAnsi="Verdana"/>
        </w:rPr>
        <w:t>We believe this could add real value whilst providing good value to investors and consumers.  We would welcome the opportunity to discuss this further.</w:t>
      </w:r>
      <w:r w:rsidR="00C53F88">
        <w:rPr>
          <w:rFonts w:ascii="Verdana" w:hAnsi="Verdana"/>
        </w:rPr>
        <w:t xml:space="preserve">  </w:t>
      </w:r>
      <w:r w:rsidR="004E1B9C">
        <w:rPr>
          <w:rFonts w:ascii="Verdana" w:hAnsi="Verdana"/>
        </w:rPr>
        <w:t xml:space="preserve">       </w:t>
      </w:r>
    </w:p>
    <w:p w14:paraId="459900BD" w14:textId="77777777" w:rsidR="00625C99" w:rsidRPr="00B22258" w:rsidRDefault="00625C99" w:rsidP="00CF1F16">
      <w:pPr>
        <w:ind w:left="181" w:right="204"/>
        <w:jc w:val="both"/>
        <w:rPr>
          <w:rFonts w:ascii="Verdana" w:hAnsi="Verdana"/>
        </w:rPr>
      </w:pPr>
    </w:p>
    <w:p w14:paraId="459900C2" w14:textId="61054A01" w:rsidR="00384298" w:rsidRPr="002D5272" w:rsidRDefault="00482C8F" w:rsidP="002D5272">
      <w:pPr>
        <w:ind w:left="180"/>
        <w:jc w:val="both"/>
      </w:pPr>
      <w:r w:rsidRPr="00B22258">
        <w:rPr>
          <w:rFonts w:ascii="Verdana" w:hAnsi="Verdana"/>
        </w:rPr>
        <w:t xml:space="preserve">Please </w:t>
      </w:r>
      <w:r w:rsidR="00D73459" w:rsidRPr="00B22258">
        <w:rPr>
          <w:rFonts w:ascii="Verdana" w:hAnsi="Verdana"/>
        </w:rPr>
        <w:t xml:space="preserve">do not hesitate to contact </w:t>
      </w:r>
      <w:r w:rsidR="0086334B" w:rsidRPr="00B22258">
        <w:rPr>
          <w:rFonts w:ascii="Verdana" w:hAnsi="Verdana"/>
        </w:rPr>
        <w:t>myself</w:t>
      </w:r>
      <w:r w:rsidR="00D73459" w:rsidRPr="00B22258">
        <w:rPr>
          <w:rFonts w:ascii="Verdana" w:hAnsi="Verdana"/>
        </w:rPr>
        <w:t xml:space="preserve"> </w:t>
      </w:r>
      <w:r w:rsidR="00AF2339" w:rsidRPr="002D5272">
        <w:rPr>
          <w:rFonts w:ascii="Verdana" w:hAnsi="Verdana"/>
        </w:rPr>
        <w:t>(</w:t>
      </w:r>
      <w:hyperlink r:id="rId11" w:history="1">
        <w:r w:rsidR="002D5272" w:rsidRPr="002D5272">
          <w:rPr>
            <w:rStyle w:val="Hyperlink"/>
            <w:rFonts w:ascii="Verdana" w:hAnsi="Verdana"/>
          </w:rPr>
          <w:t>dpearson@northerngas.co.uk</w:t>
        </w:r>
      </w:hyperlink>
      <w:r w:rsidR="005279C5" w:rsidRPr="00B22258">
        <w:rPr>
          <w:rFonts w:ascii="Verdana" w:hAnsi="Verdana"/>
        </w:rPr>
        <w:t xml:space="preserve">) </w:t>
      </w:r>
      <w:r w:rsidR="00D73459" w:rsidRPr="00B22258">
        <w:rPr>
          <w:rFonts w:ascii="Verdana" w:hAnsi="Verdana"/>
        </w:rPr>
        <w:t xml:space="preserve">if you wish to discuss any aspect of our response.  </w:t>
      </w:r>
    </w:p>
    <w:p w14:paraId="459900C3" w14:textId="77777777" w:rsidR="00384298" w:rsidRDefault="00384298" w:rsidP="00384298">
      <w:pPr>
        <w:ind w:left="180"/>
        <w:jc w:val="both"/>
        <w:rPr>
          <w:rFonts w:ascii="Verdana" w:hAnsi="Verdana" w:cs="Arial"/>
          <w:iCs/>
        </w:rPr>
      </w:pPr>
    </w:p>
    <w:p w14:paraId="5B3883B5" w14:textId="77777777" w:rsidR="00CF3595" w:rsidRPr="00B22258" w:rsidRDefault="00CF3595" w:rsidP="00384298">
      <w:pPr>
        <w:ind w:left="180"/>
        <w:jc w:val="both"/>
        <w:rPr>
          <w:rFonts w:ascii="Verdana" w:hAnsi="Verdana" w:cs="Arial"/>
          <w:iCs/>
        </w:rPr>
      </w:pPr>
    </w:p>
    <w:p w14:paraId="459900C5" w14:textId="77777777" w:rsidR="00DA69F5" w:rsidRPr="00B22258" w:rsidRDefault="00D94D1C" w:rsidP="00DA69F5">
      <w:pPr>
        <w:ind w:left="180"/>
        <w:jc w:val="both"/>
        <w:rPr>
          <w:rFonts w:ascii="Verdana" w:hAnsi="Verdana"/>
        </w:rPr>
      </w:pPr>
      <w:r w:rsidRPr="00B22258">
        <w:rPr>
          <w:rFonts w:ascii="Verdana" w:hAnsi="Verdana"/>
        </w:rPr>
        <w:t>Yours sincerely</w:t>
      </w:r>
      <w:r w:rsidR="005279C5" w:rsidRPr="00B22258">
        <w:rPr>
          <w:rFonts w:ascii="Verdana" w:hAnsi="Verdana"/>
        </w:rPr>
        <w:t>,</w:t>
      </w:r>
    </w:p>
    <w:p w14:paraId="459900C7" w14:textId="77777777" w:rsidR="00BA0682" w:rsidRPr="00B22258" w:rsidRDefault="00BA0682" w:rsidP="00DA69F5">
      <w:pPr>
        <w:ind w:left="180"/>
        <w:jc w:val="both"/>
        <w:rPr>
          <w:rFonts w:ascii="Verdana" w:hAnsi="Verdana"/>
          <w:b/>
        </w:rPr>
      </w:pPr>
    </w:p>
    <w:p w14:paraId="459900C8" w14:textId="77777777" w:rsidR="00F91FCF" w:rsidRDefault="00F91FCF" w:rsidP="00DA69F5">
      <w:pPr>
        <w:ind w:left="180"/>
        <w:jc w:val="both"/>
        <w:rPr>
          <w:rFonts w:ascii="Verdana" w:hAnsi="Verdana"/>
          <w:b/>
        </w:rPr>
      </w:pPr>
    </w:p>
    <w:p w14:paraId="22218C79" w14:textId="77777777" w:rsidR="00CF3595" w:rsidRPr="00B22258" w:rsidRDefault="00CF3595" w:rsidP="00DA69F5">
      <w:pPr>
        <w:ind w:left="180"/>
        <w:jc w:val="both"/>
        <w:rPr>
          <w:rFonts w:ascii="Verdana" w:hAnsi="Verdana"/>
          <w:b/>
        </w:rPr>
      </w:pPr>
    </w:p>
    <w:p w14:paraId="2F16603B" w14:textId="78523941" w:rsidR="00E71B99" w:rsidRPr="00B22258" w:rsidRDefault="00E23D36" w:rsidP="00E71B99">
      <w:pPr>
        <w:ind w:left="180"/>
        <w:jc w:val="both"/>
        <w:rPr>
          <w:rFonts w:ascii="Verdana" w:hAnsi="Verdana"/>
          <w:b/>
        </w:rPr>
      </w:pPr>
      <w:r>
        <w:rPr>
          <w:rFonts w:ascii="Verdana" w:hAnsi="Verdana"/>
          <w:b/>
        </w:rPr>
        <w:t>David Pearson</w:t>
      </w:r>
    </w:p>
    <w:p w14:paraId="441B19A2" w14:textId="1ABD423F" w:rsidR="00A65BF5" w:rsidRDefault="00A65BF5" w:rsidP="002D5272">
      <w:pPr>
        <w:ind w:left="180"/>
        <w:jc w:val="both"/>
        <w:rPr>
          <w:rFonts w:ascii="Verdana" w:hAnsi="Verdana"/>
          <w:b/>
        </w:rPr>
      </w:pPr>
      <w:r>
        <w:rPr>
          <w:rFonts w:ascii="Verdana" w:hAnsi="Verdana"/>
          <w:b/>
        </w:rPr>
        <w:br w:type="page"/>
      </w:r>
    </w:p>
    <w:p w14:paraId="5EB341AD" w14:textId="77777777" w:rsidR="00A65BF5" w:rsidRPr="00A65BF5" w:rsidRDefault="00A65BF5" w:rsidP="00A65BF5">
      <w:pPr>
        <w:pStyle w:val="Default"/>
        <w:rPr>
          <w:rFonts w:ascii="Verdana" w:hAnsi="Verdana"/>
          <w:b/>
          <w:bCs/>
          <w:sz w:val="20"/>
          <w:szCs w:val="20"/>
        </w:rPr>
      </w:pPr>
      <w:r w:rsidRPr="00A65BF5">
        <w:rPr>
          <w:rFonts w:ascii="Verdana" w:hAnsi="Verdana"/>
          <w:b/>
          <w:bCs/>
          <w:sz w:val="20"/>
          <w:szCs w:val="20"/>
        </w:rPr>
        <w:lastRenderedPageBreak/>
        <w:t>Feedback Questionnaire for Introduction of RIIO Accounts – further consultation on licence modification</w:t>
      </w:r>
    </w:p>
    <w:p w14:paraId="1DEB8448" w14:textId="77777777" w:rsidR="00A65BF5" w:rsidRPr="00A65BF5" w:rsidRDefault="00A65BF5" w:rsidP="00A65BF5">
      <w:pPr>
        <w:pStyle w:val="Default"/>
        <w:rPr>
          <w:rFonts w:ascii="Verdana" w:hAnsi="Verdana"/>
          <w:sz w:val="20"/>
          <w:szCs w:val="20"/>
        </w:rPr>
      </w:pPr>
    </w:p>
    <w:p w14:paraId="6F3E905A" w14:textId="77777777" w:rsidR="00A65BF5" w:rsidRPr="00A65BF5" w:rsidRDefault="00A65BF5" w:rsidP="00A65BF5">
      <w:pPr>
        <w:pStyle w:val="Default"/>
        <w:rPr>
          <w:rFonts w:ascii="Verdana" w:hAnsi="Verdana"/>
          <w:sz w:val="20"/>
          <w:szCs w:val="20"/>
        </w:rPr>
      </w:pPr>
      <w:r w:rsidRPr="00A65BF5">
        <w:rPr>
          <w:rFonts w:ascii="Verdana" w:hAnsi="Verdana"/>
          <w:sz w:val="20"/>
          <w:szCs w:val="20"/>
        </w:rPr>
        <w:t xml:space="preserve">Thank you for taking the time to respond to our questions. We hope all the questions are understandable. If you have any difficulties please email </w:t>
      </w:r>
      <w:hyperlink r:id="rId12">
        <w:r w:rsidRPr="00A65BF5">
          <w:rPr>
            <w:rStyle w:val="Hyperlink"/>
            <w:rFonts w:ascii="Verdana" w:hAnsi="Verdana"/>
            <w:sz w:val="20"/>
            <w:szCs w:val="20"/>
          </w:rPr>
          <w:t>mick.watson@ofgem.gov.uk</w:t>
        </w:r>
      </w:hyperlink>
      <w:r w:rsidRPr="00A65BF5">
        <w:rPr>
          <w:rFonts w:ascii="Verdana" w:hAnsi="Verdana"/>
          <w:sz w:val="20"/>
          <w:szCs w:val="20"/>
        </w:rPr>
        <w:t xml:space="preserve">. </w:t>
      </w:r>
    </w:p>
    <w:p w14:paraId="4E34B080" w14:textId="77777777" w:rsidR="00A65BF5" w:rsidRPr="00A65BF5" w:rsidRDefault="00A65BF5" w:rsidP="00A65BF5">
      <w:pPr>
        <w:rPr>
          <w:rFonts w:ascii="Verdana" w:hAnsi="Verdana" w:cs="Arial"/>
          <w:b/>
          <w:bCs/>
          <w:sz w:val="20"/>
          <w:szCs w:val="20"/>
        </w:rPr>
      </w:pPr>
      <w:r w:rsidRPr="00A65BF5">
        <w:rPr>
          <w:rFonts w:ascii="Verdana" w:hAnsi="Verdana" w:cs="Arial"/>
          <w:sz w:val="20"/>
          <w:szCs w:val="20"/>
        </w:rPr>
        <w:t>Once the questionnaire has been completed, please send it back to us using the email address above. Please return the completed questionnaire by 5 December 2017.</w:t>
      </w:r>
    </w:p>
    <w:p w14:paraId="5663F63D" w14:textId="77777777" w:rsidR="00A65BF5" w:rsidRPr="00A65BF5" w:rsidRDefault="00A65BF5" w:rsidP="00A65BF5">
      <w:pPr>
        <w:rPr>
          <w:rFonts w:ascii="Verdana" w:hAnsi="Verdana" w:cs="Arial"/>
          <w:b/>
          <w:sz w:val="20"/>
          <w:szCs w:val="20"/>
        </w:rPr>
      </w:pPr>
    </w:p>
    <w:tbl>
      <w:tblPr>
        <w:tblStyle w:val="TableGrid"/>
        <w:tblW w:w="9067"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3849"/>
        <w:gridCol w:w="5218"/>
      </w:tblGrid>
      <w:tr w:rsidR="00A65BF5" w:rsidRPr="00A65BF5" w14:paraId="64E02F3E" w14:textId="77777777" w:rsidTr="00CD428A">
        <w:trPr>
          <w:trHeight w:val="103"/>
        </w:trPr>
        <w:tc>
          <w:tcPr>
            <w:tcW w:w="9067" w:type="dxa"/>
            <w:gridSpan w:val="2"/>
            <w:shd w:val="clear" w:color="auto" w:fill="C0504D" w:themeFill="accent2"/>
          </w:tcPr>
          <w:p w14:paraId="53EA76E6" w14:textId="77777777" w:rsidR="00A65BF5" w:rsidRPr="00A65BF5" w:rsidRDefault="00A65BF5" w:rsidP="00CD428A">
            <w:pPr>
              <w:pStyle w:val="Default"/>
              <w:rPr>
                <w:rFonts w:ascii="Verdana" w:hAnsi="Verdana"/>
                <w:sz w:val="20"/>
                <w:szCs w:val="20"/>
              </w:rPr>
            </w:pPr>
            <w:r w:rsidRPr="00A65BF5">
              <w:rPr>
                <w:rFonts w:ascii="Verdana" w:hAnsi="Verdana"/>
                <w:b/>
                <w:bCs/>
                <w:color w:val="FFFFFF" w:themeColor="background1"/>
                <w:sz w:val="20"/>
                <w:szCs w:val="20"/>
              </w:rPr>
              <w:t xml:space="preserve">Section 1 - About you </w:t>
            </w:r>
          </w:p>
        </w:tc>
      </w:tr>
      <w:tr w:rsidR="00A65BF5" w:rsidRPr="00A65BF5" w14:paraId="393B702B" w14:textId="77777777" w:rsidTr="00CD428A">
        <w:trPr>
          <w:trHeight w:val="104"/>
        </w:trPr>
        <w:tc>
          <w:tcPr>
            <w:tcW w:w="3849" w:type="dxa"/>
          </w:tcPr>
          <w:p w14:paraId="078147A0" w14:textId="77777777" w:rsidR="00A65BF5" w:rsidRPr="00A65BF5" w:rsidRDefault="00A65BF5" w:rsidP="00CD428A">
            <w:pPr>
              <w:pStyle w:val="Default"/>
              <w:rPr>
                <w:rFonts w:ascii="Verdana" w:hAnsi="Verdana"/>
                <w:sz w:val="20"/>
                <w:szCs w:val="20"/>
              </w:rPr>
            </w:pPr>
            <w:r w:rsidRPr="00A65BF5">
              <w:rPr>
                <w:rFonts w:ascii="Verdana" w:hAnsi="Verdana"/>
                <w:b/>
                <w:bCs/>
                <w:sz w:val="20"/>
                <w:szCs w:val="20"/>
              </w:rPr>
              <w:t xml:space="preserve">Your name </w:t>
            </w:r>
          </w:p>
        </w:tc>
        <w:tc>
          <w:tcPr>
            <w:tcW w:w="5218" w:type="dxa"/>
          </w:tcPr>
          <w:p w14:paraId="05A58066" w14:textId="77777777" w:rsidR="00A65BF5" w:rsidRPr="00A65BF5" w:rsidRDefault="00A65BF5" w:rsidP="00CD428A">
            <w:pPr>
              <w:pStyle w:val="Default"/>
              <w:rPr>
                <w:rFonts w:ascii="Verdana" w:hAnsi="Verdana"/>
                <w:sz w:val="20"/>
                <w:szCs w:val="20"/>
              </w:rPr>
            </w:pPr>
            <w:r w:rsidRPr="00A65BF5">
              <w:rPr>
                <w:rFonts w:ascii="Verdana" w:hAnsi="Verdana"/>
                <w:sz w:val="20"/>
                <w:szCs w:val="20"/>
              </w:rPr>
              <w:t>David Pearson</w:t>
            </w:r>
          </w:p>
        </w:tc>
      </w:tr>
      <w:tr w:rsidR="00A65BF5" w:rsidRPr="00A65BF5" w14:paraId="518938CD" w14:textId="77777777" w:rsidTr="00CD428A">
        <w:trPr>
          <w:trHeight w:val="104"/>
        </w:trPr>
        <w:tc>
          <w:tcPr>
            <w:tcW w:w="3849" w:type="dxa"/>
          </w:tcPr>
          <w:p w14:paraId="384AF46B" w14:textId="77777777" w:rsidR="00A65BF5" w:rsidRPr="00A65BF5" w:rsidRDefault="00A65BF5" w:rsidP="00CD428A">
            <w:pPr>
              <w:pStyle w:val="Default"/>
              <w:rPr>
                <w:rFonts w:ascii="Verdana" w:hAnsi="Verdana"/>
                <w:sz w:val="20"/>
                <w:szCs w:val="20"/>
              </w:rPr>
            </w:pPr>
            <w:r w:rsidRPr="00A65BF5">
              <w:rPr>
                <w:rFonts w:ascii="Verdana" w:hAnsi="Verdana"/>
                <w:b/>
                <w:bCs/>
                <w:sz w:val="20"/>
                <w:szCs w:val="20"/>
              </w:rPr>
              <w:t xml:space="preserve">Job title </w:t>
            </w:r>
          </w:p>
        </w:tc>
        <w:tc>
          <w:tcPr>
            <w:tcW w:w="5218" w:type="dxa"/>
          </w:tcPr>
          <w:p w14:paraId="2E8F7BB2" w14:textId="77777777" w:rsidR="00A65BF5" w:rsidRPr="00A65BF5" w:rsidRDefault="00A65BF5" w:rsidP="00CD428A">
            <w:pPr>
              <w:pStyle w:val="Default"/>
              <w:rPr>
                <w:rFonts w:ascii="Verdana" w:hAnsi="Verdana"/>
                <w:sz w:val="20"/>
                <w:szCs w:val="20"/>
              </w:rPr>
            </w:pPr>
            <w:r w:rsidRPr="00A65BF5">
              <w:rPr>
                <w:rFonts w:ascii="Verdana" w:hAnsi="Verdana"/>
                <w:sz w:val="20"/>
                <w:szCs w:val="20"/>
              </w:rPr>
              <w:t>GD2 Manager</w:t>
            </w:r>
          </w:p>
        </w:tc>
      </w:tr>
      <w:tr w:rsidR="00A65BF5" w:rsidRPr="00A65BF5" w14:paraId="5618D80A" w14:textId="77777777" w:rsidTr="00CD428A">
        <w:trPr>
          <w:trHeight w:val="104"/>
        </w:trPr>
        <w:tc>
          <w:tcPr>
            <w:tcW w:w="3849" w:type="dxa"/>
          </w:tcPr>
          <w:p w14:paraId="1854E1D9" w14:textId="77777777" w:rsidR="00A65BF5" w:rsidRPr="00A65BF5" w:rsidRDefault="00A65BF5" w:rsidP="00CD428A">
            <w:pPr>
              <w:pStyle w:val="Default"/>
              <w:rPr>
                <w:rFonts w:ascii="Verdana" w:hAnsi="Verdana"/>
                <w:sz w:val="20"/>
                <w:szCs w:val="20"/>
              </w:rPr>
            </w:pPr>
            <w:r w:rsidRPr="00A65BF5">
              <w:rPr>
                <w:rFonts w:ascii="Verdana" w:hAnsi="Verdana"/>
                <w:b/>
                <w:bCs/>
                <w:sz w:val="20"/>
                <w:szCs w:val="20"/>
              </w:rPr>
              <w:t xml:space="preserve">Contact details </w:t>
            </w:r>
          </w:p>
        </w:tc>
        <w:tc>
          <w:tcPr>
            <w:tcW w:w="5218" w:type="dxa"/>
          </w:tcPr>
          <w:p w14:paraId="0B68FF5A" w14:textId="77777777" w:rsidR="00A65BF5" w:rsidRPr="00A65BF5" w:rsidRDefault="00A65BF5" w:rsidP="00CD428A">
            <w:pPr>
              <w:pStyle w:val="Default"/>
              <w:rPr>
                <w:rFonts w:ascii="Verdana" w:hAnsi="Verdana"/>
                <w:sz w:val="20"/>
                <w:szCs w:val="20"/>
              </w:rPr>
            </w:pPr>
            <w:r w:rsidRPr="00A65BF5">
              <w:rPr>
                <w:rFonts w:ascii="Verdana" w:hAnsi="Verdana"/>
                <w:sz w:val="20"/>
                <w:szCs w:val="20"/>
              </w:rPr>
              <w:t>dpearson@northerngas.co.uk</w:t>
            </w:r>
          </w:p>
        </w:tc>
      </w:tr>
      <w:tr w:rsidR="00A65BF5" w:rsidRPr="00A65BF5" w14:paraId="5D4818A3" w14:textId="77777777" w:rsidTr="00CD428A">
        <w:trPr>
          <w:trHeight w:val="104"/>
        </w:trPr>
        <w:tc>
          <w:tcPr>
            <w:tcW w:w="3849" w:type="dxa"/>
          </w:tcPr>
          <w:p w14:paraId="1224E841" w14:textId="77777777" w:rsidR="00A65BF5" w:rsidRPr="00A65BF5" w:rsidRDefault="00A65BF5" w:rsidP="00CD428A">
            <w:pPr>
              <w:pStyle w:val="Default"/>
              <w:rPr>
                <w:rFonts w:ascii="Verdana" w:hAnsi="Verdana"/>
                <w:sz w:val="20"/>
                <w:szCs w:val="20"/>
              </w:rPr>
            </w:pPr>
            <w:r w:rsidRPr="00A65BF5">
              <w:rPr>
                <w:rFonts w:ascii="Verdana" w:hAnsi="Verdana"/>
                <w:b/>
                <w:bCs/>
                <w:sz w:val="20"/>
                <w:szCs w:val="20"/>
              </w:rPr>
              <w:t xml:space="preserve">Organisation name </w:t>
            </w:r>
          </w:p>
        </w:tc>
        <w:tc>
          <w:tcPr>
            <w:tcW w:w="5218" w:type="dxa"/>
          </w:tcPr>
          <w:p w14:paraId="2CEEB951" w14:textId="77777777" w:rsidR="00A65BF5" w:rsidRPr="00A65BF5" w:rsidRDefault="00A65BF5" w:rsidP="00CD428A">
            <w:pPr>
              <w:pStyle w:val="Default"/>
              <w:rPr>
                <w:rFonts w:ascii="Verdana" w:hAnsi="Verdana"/>
                <w:sz w:val="20"/>
                <w:szCs w:val="20"/>
              </w:rPr>
            </w:pPr>
            <w:r w:rsidRPr="00A65BF5">
              <w:rPr>
                <w:rFonts w:ascii="Verdana" w:hAnsi="Verdana"/>
                <w:sz w:val="20"/>
                <w:szCs w:val="20"/>
              </w:rPr>
              <w:t>Northern Gas Networks</w:t>
            </w:r>
          </w:p>
        </w:tc>
      </w:tr>
      <w:tr w:rsidR="00A65BF5" w:rsidRPr="00A65BF5" w14:paraId="45F43195" w14:textId="77777777" w:rsidTr="00CD428A">
        <w:trPr>
          <w:trHeight w:val="229"/>
        </w:trPr>
        <w:tc>
          <w:tcPr>
            <w:tcW w:w="3849" w:type="dxa"/>
          </w:tcPr>
          <w:p w14:paraId="31E6189B" w14:textId="77777777" w:rsidR="00A65BF5" w:rsidRPr="00A65BF5" w:rsidRDefault="00A65BF5" w:rsidP="00CD428A">
            <w:pPr>
              <w:pStyle w:val="Default"/>
              <w:rPr>
                <w:rFonts w:ascii="Verdana" w:hAnsi="Verdana"/>
                <w:sz w:val="20"/>
                <w:szCs w:val="20"/>
              </w:rPr>
            </w:pPr>
            <w:r w:rsidRPr="00A65BF5">
              <w:rPr>
                <w:rFonts w:ascii="Verdana" w:hAnsi="Verdana"/>
                <w:b/>
                <w:bCs/>
                <w:sz w:val="20"/>
                <w:szCs w:val="20"/>
              </w:rPr>
              <w:t xml:space="preserve">Please state whether your response is confidential or not </w:t>
            </w:r>
          </w:p>
        </w:tc>
        <w:tc>
          <w:tcPr>
            <w:tcW w:w="5218" w:type="dxa"/>
          </w:tcPr>
          <w:p w14:paraId="634AC1A8" w14:textId="77777777" w:rsidR="00A65BF5" w:rsidRPr="00A65BF5" w:rsidRDefault="00A65BF5" w:rsidP="00CD428A">
            <w:pPr>
              <w:pStyle w:val="Default"/>
              <w:rPr>
                <w:rFonts w:ascii="Verdana" w:hAnsi="Verdana"/>
                <w:sz w:val="20"/>
                <w:szCs w:val="20"/>
              </w:rPr>
            </w:pPr>
            <w:r w:rsidRPr="00A65BF5">
              <w:rPr>
                <w:rFonts w:ascii="Verdana" w:hAnsi="Verdana"/>
                <w:sz w:val="20"/>
                <w:szCs w:val="20"/>
              </w:rPr>
              <w:t>Not confidential</w:t>
            </w:r>
          </w:p>
        </w:tc>
      </w:tr>
    </w:tbl>
    <w:p w14:paraId="441EFC04" w14:textId="77777777" w:rsidR="00A65BF5" w:rsidRPr="00A65BF5" w:rsidRDefault="00A65BF5" w:rsidP="00A65BF5">
      <w:pPr>
        <w:rPr>
          <w:rFonts w:ascii="Verdana" w:hAnsi="Verdana" w:cs="Arial"/>
          <w:sz w:val="20"/>
          <w:szCs w:val="20"/>
        </w:rPr>
      </w:pPr>
    </w:p>
    <w:tbl>
      <w:tblPr>
        <w:tblStyle w:val="TableGrid"/>
        <w:tblW w:w="9067"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000" w:firstRow="0" w:lastRow="0" w:firstColumn="0" w:lastColumn="0" w:noHBand="0" w:noVBand="0"/>
      </w:tblPr>
      <w:tblGrid>
        <w:gridCol w:w="9067"/>
      </w:tblGrid>
      <w:tr w:rsidR="00A65BF5" w:rsidRPr="00A65BF5" w14:paraId="50527C10" w14:textId="77777777" w:rsidTr="00CD428A">
        <w:trPr>
          <w:trHeight w:val="103"/>
        </w:trPr>
        <w:tc>
          <w:tcPr>
            <w:tcW w:w="9067" w:type="dxa"/>
          </w:tcPr>
          <w:p w14:paraId="73B70BF4" w14:textId="77777777" w:rsidR="00A65BF5" w:rsidRPr="00A65BF5" w:rsidRDefault="00A65BF5" w:rsidP="00CD428A">
            <w:pPr>
              <w:pStyle w:val="Default"/>
              <w:rPr>
                <w:rFonts w:ascii="Verdana" w:hAnsi="Verdana"/>
                <w:sz w:val="20"/>
                <w:szCs w:val="20"/>
              </w:rPr>
            </w:pPr>
            <w:r w:rsidRPr="00A65BF5">
              <w:rPr>
                <w:rFonts w:ascii="Verdana" w:hAnsi="Verdana"/>
                <w:b/>
                <w:bCs/>
                <w:sz w:val="20"/>
                <w:szCs w:val="20"/>
              </w:rPr>
              <w:t xml:space="preserve">Response </w:t>
            </w:r>
          </w:p>
        </w:tc>
      </w:tr>
      <w:tr w:rsidR="00A65BF5" w:rsidRPr="00A65BF5" w14:paraId="2C67A234" w14:textId="77777777" w:rsidTr="00CD428A">
        <w:trPr>
          <w:trHeight w:val="103"/>
        </w:trPr>
        <w:tc>
          <w:tcPr>
            <w:tcW w:w="9067" w:type="dxa"/>
            <w:shd w:val="clear" w:color="auto" w:fill="C0504D" w:themeFill="accent2"/>
          </w:tcPr>
          <w:p w14:paraId="076E455C" w14:textId="77777777" w:rsidR="00A65BF5" w:rsidRPr="00A65BF5" w:rsidRDefault="00A65BF5" w:rsidP="00CD428A">
            <w:pPr>
              <w:pStyle w:val="Default"/>
              <w:rPr>
                <w:rFonts w:ascii="Verdana" w:hAnsi="Verdana"/>
                <w:color w:val="FFFFFF" w:themeColor="background1"/>
                <w:sz w:val="20"/>
                <w:szCs w:val="20"/>
              </w:rPr>
            </w:pPr>
            <w:r w:rsidRPr="00A65BF5">
              <w:rPr>
                <w:rFonts w:ascii="Verdana" w:hAnsi="Verdana"/>
                <w:b/>
                <w:bCs/>
                <w:color w:val="FFFFFF" w:themeColor="background1"/>
                <w:sz w:val="20"/>
                <w:szCs w:val="20"/>
              </w:rPr>
              <w:t>Question 1: Do you have any comments on the draft licence condition set out in Appendix 1?</w:t>
            </w:r>
          </w:p>
        </w:tc>
      </w:tr>
      <w:tr w:rsidR="00A65BF5" w:rsidRPr="00A65BF5" w14:paraId="472A0545" w14:textId="77777777" w:rsidTr="00CD428A">
        <w:trPr>
          <w:trHeight w:val="1094"/>
        </w:trPr>
        <w:tc>
          <w:tcPr>
            <w:tcW w:w="9067" w:type="dxa"/>
          </w:tcPr>
          <w:p w14:paraId="1EC67F2E" w14:textId="77777777" w:rsidR="00A65BF5" w:rsidRPr="00A65BF5" w:rsidRDefault="00A65BF5" w:rsidP="00CD428A">
            <w:pPr>
              <w:pStyle w:val="Default"/>
              <w:rPr>
                <w:rFonts w:ascii="Verdana" w:hAnsi="Verdana"/>
                <w:sz w:val="20"/>
                <w:szCs w:val="20"/>
              </w:rPr>
            </w:pPr>
            <w:r w:rsidRPr="00A65BF5">
              <w:rPr>
                <w:rFonts w:ascii="Verdana" w:hAnsi="Verdana"/>
                <w:sz w:val="20"/>
                <w:szCs w:val="20"/>
              </w:rPr>
              <w:t xml:space="preserve"> </w:t>
            </w:r>
          </w:p>
          <w:p w14:paraId="4009DCD4" w14:textId="77777777" w:rsidR="00A65BF5" w:rsidRPr="00A65BF5" w:rsidRDefault="00A65BF5" w:rsidP="00CD428A">
            <w:pPr>
              <w:pStyle w:val="Default"/>
              <w:rPr>
                <w:rFonts w:ascii="Verdana" w:hAnsi="Verdana"/>
                <w:sz w:val="20"/>
                <w:szCs w:val="20"/>
              </w:rPr>
            </w:pPr>
            <w:r w:rsidRPr="00A65BF5">
              <w:rPr>
                <w:rFonts w:ascii="Verdana" w:hAnsi="Verdana"/>
                <w:sz w:val="20"/>
                <w:szCs w:val="20"/>
              </w:rPr>
              <w:t>44A.9 – the requirement to prepare accounts for 30</w:t>
            </w:r>
            <w:r w:rsidRPr="00A65BF5">
              <w:rPr>
                <w:rFonts w:ascii="Verdana" w:hAnsi="Verdana"/>
                <w:sz w:val="20"/>
                <w:szCs w:val="20"/>
                <w:vertAlign w:val="superscript"/>
              </w:rPr>
              <w:t>th</w:t>
            </w:r>
            <w:r w:rsidRPr="00A65BF5">
              <w:rPr>
                <w:rFonts w:ascii="Verdana" w:hAnsi="Verdana"/>
                <w:sz w:val="20"/>
                <w:szCs w:val="20"/>
              </w:rPr>
              <w:t xml:space="preserve"> September each year means that the accounts may contain inconsistent data to the 31</w:t>
            </w:r>
            <w:r w:rsidRPr="00A65BF5">
              <w:rPr>
                <w:rFonts w:ascii="Verdana" w:hAnsi="Verdana"/>
                <w:sz w:val="20"/>
                <w:szCs w:val="20"/>
                <w:vertAlign w:val="superscript"/>
              </w:rPr>
              <w:t>st</w:t>
            </w:r>
            <w:r w:rsidRPr="00A65BF5">
              <w:rPr>
                <w:rFonts w:ascii="Verdana" w:hAnsi="Verdana"/>
                <w:sz w:val="20"/>
                <w:szCs w:val="20"/>
              </w:rPr>
              <w:t xml:space="preserve"> July RRP submissions if Ofgem instructs us to make any changes as part of the review and subsequent questions process.  In addition the PCFM is not completed and issued until the end of November, and as this is a key driver for RIIO accounts information we will have to populate an ‘interim’ PCFM based on the prior year Ofgem version and that years RRP, which complicates the Audit process and adds cost.</w:t>
            </w:r>
          </w:p>
          <w:p w14:paraId="5569980B" w14:textId="77777777" w:rsidR="00A65BF5" w:rsidRPr="00A65BF5" w:rsidRDefault="00A65BF5" w:rsidP="00CD428A">
            <w:pPr>
              <w:pStyle w:val="Default"/>
              <w:rPr>
                <w:rFonts w:ascii="Verdana" w:hAnsi="Verdana"/>
                <w:sz w:val="20"/>
                <w:szCs w:val="20"/>
              </w:rPr>
            </w:pPr>
          </w:p>
          <w:p w14:paraId="4EFAAE78" w14:textId="77777777" w:rsidR="00A65BF5" w:rsidRPr="00A65BF5" w:rsidRDefault="00A65BF5" w:rsidP="00CD428A">
            <w:pPr>
              <w:pStyle w:val="Default"/>
              <w:rPr>
                <w:rFonts w:ascii="Verdana" w:hAnsi="Verdana"/>
                <w:sz w:val="20"/>
                <w:szCs w:val="20"/>
              </w:rPr>
            </w:pPr>
            <w:r w:rsidRPr="00A65BF5">
              <w:rPr>
                <w:rFonts w:ascii="Verdana" w:hAnsi="Verdana"/>
                <w:sz w:val="20"/>
                <w:szCs w:val="20"/>
              </w:rPr>
              <w:t>44A.10 / 12 – preparation of the Commentary on Performance and the Regulatory Corporate Governance Statement.  In the covering note Ofgem advise us to discuss the content of these with anticipated users of these documents, however it is not clear who this is.  Our investors require information that is consistent across their multi national investments and receive much more than that contained within the RIIO accounts when they need it.  In terms of other interested parties it doesn’t seem appropriate or efficient for all the regulated companies to approach them individually.  There is also a clear danger of a lack of consistency.</w:t>
            </w:r>
          </w:p>
          <w:p w14:paraId="02040E95" w14:textId="77777777" w:rsidR="00A65BF5" w:rsidRPr="00A65BF5" w:rsidRDefault="00A65BF5" w:rsidP="00CD428A">
            <w:pPr>
              <w:pStyle w:val="Default"/>
              <w:rPr>
                <w:rFonts w:ascii="Verdana" w:hAnsi="Verdana"/>
                <w:sz w:val="20"/>
                <w:szCs w:val="20"/>
              </w:rPr>
            </w:pPr>
          </w:p>
          <w:p w14:paraId="70B02D90" w14:textId="77777777" w:rsidR="00A65BF5" w:rsidRPr="00A65BF5" w:rsidRDefault="00A65BF5" w:rsidP="00CD428A">
            <w:pPr>
              <w:pStyle w:val="Default"/>
              <w:rPr>
                <w:rFonts w:ascii="Verdana" w:hAnsi="Verdana"/>
                <w:sz w:val="20"/>
                <w:szCs w:val="20"/>
              </w:rPr>
            </w:pPr>
            <w:r w:rsidRPr="00A65BF5">
              <w:rPr>
                <w:rFonts w:ascii="Verdana" w:hAnsi="Verdana"/>
                <w:sz w:val="20"/>
                <w:szCs w:val="20"/>
              </w:rPr>
              <w:t>44A.16 – changes to the ORFRS / RCGS need to be agreed before the year that we are due to report on to ensure we have the appropriate systems and processes in place to comply with any change.</w:t>
            </w:r>
          </w:p>
          <w:p w14:paraId="31D0D970" w14:textId="77777777" w:rsidR="00A65BF5" w:rsidRPr="00A65BF5" w:rsidRDefault="00A65BF5" w:rsidP="00CD428A">
            <w:pPr>
              <w:pStyle w:val="Default"/>
              <w:rPr>
                <w:rFonts w:ascii="Verdana" w:hAnsi="Verdana"/>
                <w:sz w:val="20"/>
                <w:szCs w:val="20"/>
              </w:rPr>
            </w:pPr>
          </w:p>
          <w:p w14:paraId="34326C4A" w14:textId="7A800E38" w:rsidR="00A65BF5" w:rsidRPr="00A65BF5" w:rsidRDefault="00A65BF5" w:rsidP="00CD428A">
            <w:pPr>
              <w:pStyle w:val="Default"/>
              <w:rPr>
                <w:rFonts w:ascii="Verdana" w:hAnsi="Verdana"/>
                <w:sz w:val="20"/>
                <w:szCs w:val="20"/>
              </w:rPr>
            </w:pPr>
            <w:r w:rsidRPr="00A65BF5">
              <w:rPr>
                <w:rFonts w:ascii="Verdana" w:hAnsi="Verdana"/>
                <w:sz w:val="20"/>
                <w:szCs w:val="20"/>
              </w:rPr>
              <w:t>44A.18 – it became clear in the RIIO Acounts meeting on the 17</w:t>
            </w:r>
            <w:r w:rsidRPr="00A65BF5">
              <w:rPr>
                <w:rFonts w:ascii="Verdana" w:hAnsi="Verdana"/>
                <w:sz w:val="20"/>
                <w:szCs w:val="20"/>
                <w:vertAlign w:val="superscript"/>
              </w:rPr>
              <w:t>th</w:t>
            </w:r>
            <w:r w:rsidRPr="00A65BF5">
              <w:rPr>
                <w:rFonts w:ascii="Verdana" w:hAnsi="Verdana"/>
                <w:sz w:val="20"/>
                <w:szCs w:val="20"/>
              </w:rPr>
              <w:t xml:space="preserve"> of November that obtaining a ‘fairly presents’ opinion will not be achievable initially, and potentially for a</w:t>
            </w:r>
            <w:r w:rsidR="00FE11F5">
              <w:rPr>
                <w:rFonts w:ascii="Verdana" w:hAnsi="Verdana"/>
                <w:sz w:val="20"/>
                <w:szCs w:val="20"/>
              </w:rPr>
              <w:t>t</w:t>
            </w:r>
            <w:bookmarkStart w:id="0" w:name="_GoBack"/>
            <w:bookmarkEnd w:id="0"/>
            <w:r w:rsidRPr="00A65BF5">
              <w:rPr>
                <w:rFonts w:ascii="Verdana" w:hAnsi="Verdana"/>
                <w:sz w:val="20"/>
                <w:szCs w:val="20"/>
              </w:rPr>
              <w:t xml:space="preserve"> least 2 further years.  In any case there would still be work needed to agree on what basis and against what criteria the opinion is given, and what information is relied upon i.e. PCFM, RRP, Revenue Return.   </w:t>
            </w:r>
          </w:p>
          <w:p w14:paraId="0D711B1E" w14:textId="77777777" w:rsidR="00A65BF5" w:rsidRPr="00A65BF5" w:rsidRDefault="00A65BF5" w:rsidP="00CD428A">
            <w:pPr>
              <w:pStyle w:val="Default"/>
              <w:rPr>
                <w:rFonts w:ascii="Verdana" w:hAnsi="Verdana"/>
                <w:sz w:val="20"/>
                <w:szCs w:val="20"/>
              </w:rPr>
            </w:pPr>
          </w:p>
        </w:tc>
      </w:tr>
      <w:tr w:rsidR="00A65BF5" w:rsidRPr="00A65BF5" w14:paraId="05C10391" w14:textId="77777777" w:rsidTr="00CD428A">
        <w:trPr>
          <w:trHeight w:val="605"/>
        </w:trPr>
        <w:tc>
          <w:tcPr>
            <w:tcW w:w="9067" w:type="dxa"/>
            <w:shd w:val="clear" w:color="auto" w:fill="C0504D" w:themeFill="accent2"/>
          </w:tcPr>
          <w:p w14:paraId="32190AD3" w14:textId="77777777" w:rsidR="00A65BF5" w:rsidRPr="00A65BF5" w:rsidRDefault="00A65BF5" w:rsidP="00CD428A">
            <w:pPr>
              <w:rPr>
                <w:rFonts w:ascii="Verdana" w:hAnsi="Verdana" w:cs="Arial"/>
                <w:b/>
                <w:bCs/>
                <w:sz w:val="20"/>
                <w:szCs w:val="20"/>
              </w:rPr>
            </w:pPr>
            <w:r w:rsidRPr="00A65BF5">
              <w:rPr>
                <w:rFonts w:ascii="Verdana" w:hAnsi="Verdana" w:cs="Arial"/>
                <w:b/>
                <w:bCs/>
                <w:color w:val="FFFFFF" w:themeColor="background1"/>
                <w:sz w:val="20"/>
                <w:szCs w:val="20"/>
              </w:rPr>
              <w:t>Question 2: Do you have any comments on consequential modifications required to other licence conditions set out in Appendix 2?</w:t>
            </w:r>
          </w:p>
        </w:tc>
      </w:tr>
      <w:tr w:rsidR="00A65BF5" w:rsidRPr="00A65BF5" w14:paraId="772232A6" w14:textId="77777777" w:rsidTr="00CD428A">
        <w:trPr>
          <w:trHeight w:val="1073"/>
        </w:trPr>
        <w:tc>
          <w:tcPr>
            <w:tcW w:w="9067" w:type="dxa"/>
          </w:tcPr>
          <w:p w14:paraId="58B28D05" w14:textId="77777777" w:rsidR="00A65BF5" w:rsidRPr="00A65BF5" w:rsidRDefault="00A65BF5" w:rsidP="00CD428A">
            <w:pPr>
              <w:pStyle w:val="Default"/>
              <w:rPr>
                <w:rFonts w:ascii="Verdana" w:hAnsi="Verdana"/>
                <w:color w:val="auto"/>
                <w:sz w:val="20"/>
                <w:szCs w:val="20"/>
              </w:rPr>
            </w:pPr>
          </w:p>
          <w:p w14:paraId="54D8CD42" w14:textId="77777777" w:rsidR="00A65BF5" w:rsidRPr="00A65BF5" w:rsidRDefault="00A65BF5" w:rsidP="00CD428A">
            <w:pPr>
              <w:pStyle w:val="Default"/>
              <w:rPr>
                <w:rFonts w:ascii="Verdana" w:hAnsi="Verdana"/>
                <w:color w:val="auto"/>
                <w:sz w:val="20"/>
                <w:szCs w:val="20"/>
              </w:rPr>
            </w:pPr>
            <w:r w:rsidRPr="00A65BF5">
              <w:rPr>
                <w:rFonts w:ascii="Verdana" w:hAnsi="Verdana"/>
                <w:color w:val="auto"/>
                <w:sz w:val="20"/>
                <w:szCs w:val="20"/>
              </w:rPr>
              <w:t>SSCA40 RIGs – requires a reconciliation of totex costs and revenue in the RRP and Revenue Return respectively to the Regulatory Accounts by the 31</w:t>
            </w:r>
            <w:r w:rsidRPr="00A65BF5">
              <w:rPr>
                <w:rFonts w:ascii="Verdana" w:hAnsi="Verdana"/>
                <w:color w:val="auto"/>
                <w:sz w:val="20"/>
                <w:szCs w:val="20"/>
                <w:vertAlign w:val="superscript"/>
              </w:rPr>
              <w:t>st</w:t>
            </w:r>
            <w:r w:rsidRPr="00A65BF5">
              <w:rPr>
                <w:rFonts w:ascii="Verdana" w:hAnsi="Verdana"/>
                <w:color w:val="auto"/>
                <w:sz w:val="20"/>
                <w:szCs w:val="20"/>
              </w:rPr>
              <w:t xml:space="preserve"> July, however RIIO accounts are replacing these and won't be available until 30 September.  Therefore the requirement needs to be removed or the reconciliation needs to be to the Statutory Accounts.  Note some companies won't have statutory accounts for this period. </w:t>
            </w:r>
          </w:p>
          <w:p w14:paraId="1C475204" w14:textId="77777777" w:rsidR="00A65BF5" w:rsidRPr="00A65BF5" w:rsidRDefault="00A65BF5" w:rsidP="00CD428A">
            <w:pPr>
              <w:pStyle w:val="Default"/>
              <w:rPr>
                <w:rFonts w:ascii="Verdana" w:hAnsi="Verdana"/>
                <w:color w:val="auto"/>
                <w:sz w:val="20"/>
                <w:szCs w:val="20"/>
              </w:rPr>
            </w:pPr>
          </w:p>
        </w:tc>
      </w:tr>
      <w:tr w:rsidR="00A65BF5" w:rsidRPr="00A65BF5" w14:paraId="2DDD4F4A" w14:textId="77777777" w:rsidTr="00CD428A">
        <w:tblPrEx>
          <w:tblLook w:val="04A0" w:firstRow="1" w:lastRow="0" w:firstColumn="1" w:lastColumn="0" w:noHBand="0" w:noVBand="1"/>
        </w:tblPrEx>
        <w:trPr>
          <w:trHeight w:val="605"/>
        </w:trPr>
        <w:tc>
          <w:tcPr>
            <w:tcW w:w="9067" w:type="dxa"/>
            <w:shd w:val="clear" w:color="auto" w:fill="C0504D" w:themeFill="accent2"/>
          </w:tcPr>
          <w:p w14:paraId="75FE0A47" w14:textId="77777777" w:rsidR="00A65BF5" w:rsidRPr="00A65BF5" w:rsidRDefault="00A65BF5" w:rsidP="00CD428A">
            <w:pPr>
              <w:rPr>
                <w:rFonts w:ascii="Verdana" w:hAnsi="Verdana" w:cs="Arial"/>
                <w:b/>
                <w:bCs/>
                <w:sz w:val="20"/>
                <w:szCs w:val="20"/>
              </w:rPr>
            </w:pPr>
            <w:r w:rsidRPr="00A65BF5">
              <w:rPr>
                <w:rFonts w:ascii="Verdana" w:hAnsi="Verdana" w:cs="Arial"/>
                <w:b/>
                <w:bCs/>
                <w:color w:val="FFFFFF" w:themeColor="background1"/>
                <w:sz w:val="20"/>
                <w:szCs w:val="20"/>
              </w:rPr>
              <w:lastRenderedPageBreak/>
              <w:t>Question 3: Do you have any comments on the proposed RCGS Principles set out in Appendix 3?</w:t>
            </w:r>
          </w:p>
        </w:tc>
      </w:tr>
      <w:tr w:rsidR="00A65BF5" w:rsidRPr="00A65BF5" w14:paraId="79B8AED6" w14:textId="77777777" w:rsidTr="00CD428A">
        <w:tblPrEx>
          <w:tblLook w:val="04A0" w:firstRow="1" w:lastRow="0" w:firstColumn="1" w:lastColumn="0" w:noHBand="0" w:noVBand="1"/>
        </w:tblPrEx>
        <w:trPr>
          <w:trHeight w:val="1083"/>
        </w:trPr>
        <w:tc>
          <w:tcPr>
            <w:tcW w:w="9067" w:type="dxa"/>
          </w:tcPr>
          <w:p w14:paraId="1E378959" w14:textId="77777777" w:rsidR="00A65BF5" w:rsidRPr="00A65BF5" w:rsidRDefault="00A65BF5" w:rsidP="00CD428A">
            <w:pPr>
              <w:pStyle w:val="Default"/>
              <w:rPr>
                <w:rFonts w:ascii="Verdana" w:eastAsia="Arial" w:hAnsi="Verdana"/>
                <w:color w:val="auto"/>
                <w:sz w:val="20"/>
                <w:szCs w:val="20"/>
              </w:rPr>
            </w:pPr>
          </w:p>
          <w:p w14:paraId="539CEF67" w14:textId="77777777" w:rsidR="00A65BF5" w:rsidRPr="00A65BF5" w:rsidRDefault="00A65BF5" w:rsidP="00CD428A">
            <w:pPr>
              <w:pStyle w:val="Default"/>
              <w:rPr>
                <w:rFonts w:ascii="Verdana" w:eastAsia="Arial" w:hAnsi="Verdana"/>
                <w:color w:val="auto"/>
                <w:sz w:val="20"/>
                <w:szCs w:val="20"/>
              </w:rPr>
            </w:pPr>
            <w:r w:rsidRPr="00A65BF5">
              <w:rPr>
                <w:rFonts w:ascii="Verdana" w:eastAsia="Arial" w:hAnsi="Verdana"/>
                <w:color w:val="auto"/>
                <w:sz w:val="20"/>
                <w:szCs w:val="20"/>
              </w:rPr>
              <w:t>The principles are relatively high level and appear to largely duplicate the corporate governance statements contained within our statutory reporting, which is already available to investors and other interested parties.  It is not clear from the guidance how this will be different.</w:t>
            </w:r>
          </w:p>
          <w:p w14:paraId="4699149D" w14:textId="77777777" w:rsidR="00A65BF5" w:rsidRPr="00A65BF5" w:rsidRDefault="00A65BF5" w:rsidP="00CD428A">
            <w:pPr>
              <w:pStyle w:val="Default"/>
              <w:rPr>
                <w:rFonts w:ascii="Verdana" w:hAnsi="Verdana"/>
                <w:color w:val="auto"/>
                <w:sz w:val="20"/>
                <w:szCs w:val="20"/>
              </w:rPr>
            </w:pPr>
            <w:r w:rsidRPr="00A65BF5">
              <w:rPr>
                <w:rFonts w:ascii="Verdana" w:hAnsi="Verdana"/>
                <w:color w:val="auto"/>
                <w:sz w:val="20"/>
                <w:szCs w:val="20"/>
              </w:rPr>
              <w:t xml:space="preserve"> </w:t>
            </w:r>
          </w:p>
        </w:tc>
      </w:tr>
      <w:tr w:rsidR="00A65BF5" w:rsidRPr="00A65BF5" w14:paraId="673C6448" w14:textId="77777777" w:rsidTr="00CD428A">
        <w:tblPrEx>
          <w:tblLook w:val="04A0" w:firstRow="1" w:lastRow="0" w:firstColumn="1" w:lastColumn="0" w:noHBand="0" w:noVBand="1"/>
        </w:tblPrEx>
        <w:trPr>
          <w:trHeight w:val="605"/>
        </w:trPr>
        <w:tc>
          <w:tcPr>
            <w:tcW w:w="9067" w:type="dxa"/>
            <w:shd w:val="clear" w:color="auto" w:fill="C0504D" w:themeFill="accent2"/>
          </w:tcPr>
          <w:p w14:paraId="3D1845D9" w14:textId="77777777" w:rsidR="00A65BF5" w:rsidRPr="00A65BF5" w:rsidRDefault="00A65BF5" w:rsidP="00CD428A">
            <w:pPr>
              <w:rPr>
                <w:rFonts w:ascii="Verdana" w:hAnsi="Verdana" w:cs="Arial"/>
                <w:b/>
                <w:bCs/>
                <w:sz w:val="20"/>
                <w:szCs w:val="20"/>
              </w:rPr>
            </w:pPr>
            <w:r w:rsidRPr="00A65BF5">
              <w:rPr>
                <w:rFonts w:ascii="Verdana" w:hAnsi="Verdana" w:cs="Arial"/>
                <w:b/>
                <w:bCs/>
                <w:color w:val="FFFFFF" w:themeColor="background1"/>
                <w:sz w:val="20"/>
                <w:szCs w:val="20"/>
              </w:rPr>
              <w:t>Question 4: Considering the one-year delay in introducing RIIO Accounts and potential impact on consumer benefit it may have for RIIO2, do you agree that licenced NWOs should report RIIO Accounts for the Regulatory Year 2017-18?</w:t>
            </w:r>
          </w:p>
        </w:tc>
      </w:tr>
      <w:tr w:rsidR="00A65BF5" w:rsidRPr="00A65BF5" w14:paraId="490CBE34" w14:textId="77777777" w:rsidTr="00CD428A">
        <w:tblPrEx>
          <w:tblLook w:val="04A0" w:firstRow="1" w:lastRow="0" w:firstColumn="1" w:lastColumn="0" w:noHBand="0" w:noVBand="1"/>
        </w:tblPrEx>
        <w:trPr>
          <w:trHeight w:val="1127"/>
        </w:trPr>
        <w:tc>
          <w:tcPr>
            <w:tcW w:w="9067" w:type="dxa"/>
          </w:tcPr>
          <w:p w14:paraId="12DFFED1" w14:textId="77777777" w:rsidR="00A65BF5" w:rsidRPr="00A65BF5" w:rsidRDefault="00A65BF5" w:rsidP="00CD428A">
            <w:pPr>
              <w:pStyle w:val="Default"/>
              <w:rPr>
                <w:rFonts w:ascii="Verdana" w:hAnsi="Verdana"/>
                <w:color w:val="auto"/>
                <w:sz w:val="20"/>
                <w:szCs w:val="20"/>
              </w:rPr>
            </w:pPr>
          </w:p>
          <w:p w14:paraId="363F578A" w14:textId="77777777" w:rsidR="00A65BF5" w:rsidRPr="00A65BF5" w:rsidRDefault="00A65BF5" w:rsidP="00CD428A">
            <w:pPr>
              <w:pStyle w:val="Default"/>
              <w:rPr>
                <w:rFonts w:ascii="Verdana" w:hAnsi="Verdana"/>
                <w:color w:val="auto"/>
                <w:sz w:val="20"/>
                <w:szCs w:val="20"/>
              </w:rPr>
            </w:pPr>
            <w:r w:rsidRPr="00A65BF5">
              <w:rPr>
                <w:rFonts w:ascii="Verdana" w:hAnsi="Verdana"/>
                <w:color w:val="auto"/>
                <w:sz w:val="20"/>
                <w:szCs w:val="20"/>
              </w:rPr>
              <w:t>Given its likely that a ‘fairly presents’ audit opinion is unlikely to be achieved initially and potentially for a further two years, we would question whether introducing the accounts for 2017-18 is appropriate.  It seems clear from the Audit feedback there are issues surrounding consistency, approach to key calculations and reliance on key Ofgem data sources such as the PCFM / Revenue Reports.  It would be better to resolve these and not ‘confuse’ investors and other interested parties with RIIO accounts that are not comparable.  This would undermine confidence in the accounts themselves.</w:t>
            </w:r>
          </w:p>
          <w:p w14:paraId="370E2B24" w14:textId="77777777" w:rsidR="00A65BF5" w:rsidRPr="00A65BF5" w:rsidRDefault="00A65BF5" w:rsidP="00CD428A">
            <w:pPr>
              <w:pStyle w:val="Default"/>
              <w:rPr>
                <w:rFonts w:ascii="Verdana" w:hAnsi="Verdana"/>
                <w:color w:val="auto"/>
                <w:sz w:val="20"/>
                <w:szCs w:val="20"/>
              </w:rPr>
            </w:pPr>
          </w:p>
          <w:p w14:paraId="3599CE09" w14:textId="77777777" w:rsidR="00A65BF5" w:rsidRPr="00A65BF5" w:rsidRDefault="00A65BF5" w:rsidP="00CD428A">
            <w:pPr>
              <w:pStyle w:val="Default"/>
              <w:rPr>
                <w:rFonts w:ascii="Verdana" w:hAnsi="Verdana"/>
                <w:color w:val="auto"/>
                <w:sz w:val="20"/>
                <w:szCs w:val="20"/>
              </w:rPr>
            </w:pPr>
            <w:r w:rsidRPr="00A65BF5">
              <w:rPr>
                <w:rFonts w:ascii="Verdana" w:hAnsi="Verdana"/>
                <w:color w:val="auto"/>
                <w:sz w:val="20"/>
                <w:szCs w:val="20"/>
              </w:rPr>
              <w:t>We are also not convinced about the benefits case for RIIO accounts in their current form.  It seems clear the cost of producing and auditing the accounts will be considerable across the industry which will be borne by both consumers and investors.   It is also not clear what the benefits will be to either party.  The drive to achieve a ‘fairly presents’ audit opinion has delivered a complex and technically challenging set of accounts.  We would support a pause in the process to consider a simpler and clearer alternative report.</w:t>
            </w:r>
          </w:p>
          <w:p w14:paraId="5B7F9890" w14:textId="77777777" w:rsidR="00A65BF5" w:rsidRPr="00A65BF5" w:rsidRDefault="00A65BF5" w:rsidP="00CD428A">
            <w:pPr>
              <w:pStyle w:val="Default"/>
              <w:rPr>
                <w:rFonts w:ascii="Verdana" w:hAnsi="Verdana"/>
                <w:color w:val="auto"/>
                <w:sz w:val="20"/>
                <w:szCs w:val="20"/>
              </w:rPr>
            </w:pPr>
            <w:r w:rsidRPr="00A65BF5">
              <w:rPr>
                <w:rFonts w:ascii="Verdana" w:hAnsi="Verdana"/>
                <w:color w:val="auto"/>
                <w:sz w:val="20"/>
                <w:szCs w:val="20"/>
              </w:rPr>
              <w:t xml:space="preserve"> </w:t>
            </w:r>
          </w:p>
        </w:tc>
      </w:tr>
      <w:tr w:rsidR="00A65BF5" w:rsidRPr="00A65BF5" w14:paraId="07D19367" w14:textId="77777777" w:rsidTr="00CD428A">
        <w:tblPrEx>
          <w:tblLook w:val="04A0" w:firstRow="1" w:lastRow="0" w:firstColumn="1" w:lastColumn="0" w:noHBand="0" w:noVBand="1"/>
        </w:tblPrEx>
        <w:trPr>
          <w:trHeight w:val="605"/>
        </w:trPr>
        <w:tc>
          <w:tcPr>
            <w:tcW w:w="9067" w:type="dxa"/>
            <w:shd w:val="clear" w:color="auto" w:fill="C0504D" w:themeFill="accent2"/>
          </w:tcPr>
          <w:p w14:paraId="08E9AE54" w14:textId="77777777" w:rsidR="00A65BF5" w:rsidRPr="00A65BF5" w:rsidRDefault="00A65BF5" w:rsidP="00CD428A">
            <w:pPr>
              <w:rPr>
                <w:rFonts w:ascii="Verdana" w:hAnsi="Verdana" w:cs="Arial"/>
                <w:b/>
                <w:bCs/>
                <w:sz w:val="20"/>
                <w:szCs w:val="20"/>
              </w:rPr>
            </w:pPr>
            <w:r w:rsidRPr="00A65BF5">
              <w:rPr>
                <w:rFonts w:ascii="Verdana" w:hAnsi="Verdana" w:cs="Arial"/>
                <w:b/>
                <w:bCs/>
                <w:color w:val="FFFFFF" w:themeColor="background1"/>
                <w:sz w:val="20"/>
                <w:szCs w:val="20"/>
              </w:rPr>
              <w:t>General response to our further consultation for the Introduction of RIIO Accounts</w:t>
            </w:r>
          </w:p>
        </w:tc>
      </w:tr>
      <w:tr w:rsidR="00A65BF5" w:rsidRPr="00A65BF5" w14:paraId="5056E3A2" w14:textId="77777777" w:rsidTr="00CD428A">
        <w:tblPrEx>
          <w:tblLook w:val="04A0" w:firstRow="1" w:lastRow="0" w:firstColumn="1" w:lastColumn="0" w:noHBand="0" w:noVBand="1"/>
        </w:tblPrEx>
        <w:trPr>
          <w:trHeight w:val="1223"/>
        </w:trPr>
        <w:tc>
          <w:tcPr>
            <w:tcW w:w="9067" w:type="dxa"/>
          </w:tcPr>
          <w:p w14:paraId="0E108374" w14:textId="77777777" w:rsidR="00A65BF5" w:rsidRPr="00A65BF5" w:rsidRDefault="00A65BF5" w:rsidP="00CD428A">
            <w:pPr>
              <w:pStyle w:val="Default"/>
              <w:rPr>
                <w:rFonts w:ascii="Verdana" w:hAnsi="Verdana"/>
                <w:color w:val="auto"/>
                <w:sz w:val="20"/>
                <w:szCs w:val="20"/>
              </w:rPr>
            </w:pPr>
          </w:p>
          <w:p w14:paraId="2A8FB2FD" w14:textId="77777777" w:rsidR="00A65BF5" w:rsidRPr="00A65BF5" w:rsidRDefault="00A65BF5" w:rsidP="00CD428A">
            <w:pPr>
              <w:pStyle w:val="Default"/>
              <w:rPr>
                <w:rFonts w:ascii="Verdana" w:hAnsi="Verdana"/>
                <w:color w:val="auto"/>
                <w:sz w:val="20"/>
                <w:szCs w:val="20"/>
              </w:rPr>
            </w:pPr>
            <w:r w:rsidRPr="00A65BF5">
              <w:rPr>
                <w:rFonts w:ascii="Verdana" w:hAnsi="Verdana"/>
                <w:color w:val="auto"/>
                <w:sz w:val="20"/>
                <w:szCs w:val="20"/>
              </w:rPr>
              <w:t>There appears to be considerable potential duplication between the RIIO accounts operational performance reporting requirements, the RRP commentary, the Strategic Performance Overview and the other stakeholder reports we publish.  We would welcome discussion on how best to minimise this duplication and maximise the benefit to all interested parties.</w:t>
            </w:r>
          </w:p>
          <w:p w14:paraId="65D25013" w14:textId="77777777" w:rsidR="00A65BF5" w:rsidRPr="00A65BF5" w:rsidRDefault="00A65BF5" w:rsidP="00CD428A">
            <w:pPr>
              <w:pStyle w:val="Default"/>
              <w:rPr>
                <w:rFonts w:ascii="Verdana" w:hAnsi="Verdana"/>
                <w:color w:val="auto"/>
                <w:sz w:val="20"/>
                <w:szCs w:val="20"/>
              </w:rPr>
            </w:pPr>
          </w:p>
        </w:tc>
      </w:tr>
    </w:tbl>
    <w:p w14:paraId="3067ABEC" w14:textId="77777777" w:rsidR="00A65BF5" w:rsidRPr="00A65BF5" w:rsidRDefault="00A65BF5" w:rsidP="00A65BF5">
      <w:pPr>
        <w:rPr>
          <w:rFonts w:ascii="Verdana" w:hAnsi="Verdana" w:cs="Arial"/>
          <w:sz w:val="20"/>
          <w:szCs w:val="20"/>
        </w:rPr>
      </w:pPr>
    </w:p>
    <w:p w14:paraId="454E702E" w14:textId="77777777" w:rsidR="0023556E" w:rsidRPr="00A65BF5" w:rsidRDefault="0023556E" w:rsidP="00E71B99">
      <w:pPr>
        <w:ind w:left="180"/>
        <w:jc w:val="both"/>
        <w:rPr>
          <w:rFonts w:ascii="Verdana" w:hAnsi="Verdana" w:cs="Arial"/>
          <w:b/>
          <w:sz w:val="20"/>
          <w:szCs w:val="20"/>
        </w:rPr>
      </w:pPr>
    </w:p>
    <w:sectPr w:rsidR="0023556E" w:rsidRPr="00A65BF5" w:rsidSect="00256FA5">
      <w:headerReference w:type="default" r:id="rId13"/>
      <w:footerReference w:type="even" r:id="rId14"/>
      <w:footerReference w:type="default" r:id="rId15"/>
      <w:headerReference w:type="first" r:id="rId16"/>
      <w:pgSz w:w="11906" w:h="16838" w:code="9"/>
      <w:pgMar w:top="-1080" w:right="1080" w:bottom="1438" w:left="144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D62FF" w14:textId="77777777" w:rsidR="003451B6" w:rsidRDefault="003451B6">
      <w:r>
        <w:separator/>
      </w:r>
    </w:p>
  </w:endnote>
  <w:endnote w:type="continuationSeparator" w:id="0">
    <w:p w14:paraId="27397CA4" w14:textId="77777777" w:rsidR="003451B6" w:rsidRDefault="0034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90109" w14:textId="77777777" w:rsidR="008A3BEE" w:rsidRDefault="005C794C" w:rsidP="005514E0">
    <w:pPr>
      <w:pStyle w:val="Footer"/>
      <w:framePr w:wrap="around" w:vAnchor="text" w:hAnchor="margin" w:xAlign="center" w:y="1"/>
      <w:rPr>
        <w:rStyle w:val="PageNumber"/>
      </w:rPr>
    </w:pPr>
    <w:r>
      <w:rPr>
        <w:rStyle w:val="PageNumber"/>
      </w:rPr>
      <w:fldChar w:fldCharType="begin"/>
    </w:r>
    <w:r w:rsidR="008A3BEE">
      <w:rPr>
        <w:rStyle w:val="PageNumber"/>
      </w:rPr>
      <w:instrText xml:space="preserve">PAGE  </w:instrText>
    </w:r>
    <w:r>
      <w:rPr>
        <w:rStyle w:val="PageNumber"/>
      </w:rPr>
      <w:fldChar w:fldCharType="end"/>
    </w:r>
  </w:p>
  <w:p w14:paraId="4599010A" w14:textId="77777777" w:rsidR="008A3BEE" w:rsidRDefault="008A3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9010B" w14:textId="77777777" w:rsidR="008A3BEE" w:rsidRDefault="005C794C" w:rsidP="00F97D2D">
    <w:pPr>
      <w:pStyle w:val="Footer"/>
      <w:framePr w:h="846" w:hRule="exact" w:wrap="around" w:vAnchor="text" w:hAnchor="margin" w:xAlign="center" w:y="-297"/>
      <w:rPr>
        <w:rStyle w:val="PageNumber"/>
      </w:rPr>
    </w:pPr>
    <w:r>
      <w:rPr>
        <w:rStyle w:val="PageNumber"/>
      </w:rPr>
      <w:fldChar w:fldCharType="begin"/>
    </w:r>
    <w:r w:rsidR="008A3BEE">
      <w:rPr>
        <w:rStyle w:val="PageNumber"/>
      </w:rPr>
      <w:instrText xml:space="preserve">PAGE  </w:instrText>
    </w:r>
    <w:r>
      <w:rPr>
        <w:rStyle w:val="PageNumber"/>
      </w:rPr>
      <w:fldChar w:fldCharType="separate"/>
    </w:r>
    <w:r w:rsidR="003A7619">
      <w:rPr>
        <w:rStyle w:val="PageNumber"/>
        <w:noProof/>
      </w:rPr>
      <w:t>4</w:t>
    </w:r>
    <w:r>
      <w:rPr>
        <w:rStyle w:val="PageNumber"/>
      </w:rPr>
      <w:fldChar w:fldCharType="end"/>
    </w:r>
  </w:p>
  <w:p w14:paraId="4599010C" w14:textId="77777777" w:rsidR="008A3BEE" w:rsidRDefault="00DE2354">
    <w:pPr>
      <w:pStyle w:val="Footer"/>
    </w:pPr>
    <w:r>
      <w:rPr>
        <w:noProof/>
        <w:lang w:eastAsia="en-GB"/>
      </w:rPr>
      <mc:AlternateContent>
        <mc:Choice Requires="wps">
          <w:drawing>
            <wp:anchor distT="0" distB="0" distL="114300" distR="114300" simplePos="0" relativeHeight="251656192" behindDoc="0" locked="0" layoutInCell="1" allowOverlap="1" wp14:anchorId="45990117" wp14:editId="45990118">
              <wp:simplePos x="0" y="0"/>
              <wp:positionH relativeFrom="column">
                <wp:posOffset>5715000</wp:posOffset>
              </wp:positionH>
              <wp:positionV relativeFrom="paragraph">
                <wp:posOffset>5189220</wp:posOffset>
              </wp:positionV>
              <wp:extent cx="1371600" cy="342900"/>
              <wp:effectExtent l="0" t="0" r="0" b="19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9011D" w14:textId="77777777" w:rsidR="008A3BEE" w:rsidRPr="00D537F1" w:rsidRDefault="008A3BEE">
                          <w:pPr>
                            <w:rPr>
                              <w:rFonts w:ascii="Arial" w:hAnsi="Arial" w:cs="Arial"/>
                              <w:b/>
                              <w:color w:val="666699"/>
                              <w:sz w:val="16"/>
                              <w:szCs w:val="16"/>
                              <w:lang w:val="en-US"/>
                            </w:rPr>
                          </w:pPr>
                          <w:r w:rsidRPr="00D537F1">
                            <w:rPr>
                              <w:rFonts w:ascii="Arial" w:hAnsi="Arial" w:cs="Arial"/>
                              <w:b/>
                              <w:color w:val="666699"/>
                              <w:sz w:val="16"/>
                              <w:szCs w:val="16"/>
                              <w:lang w:val="en-US"/>
                            </w:rPr>
                            <w:t>24 hour gas escape</w:t>
                          </w:r>
                        </w:p>
                        <w:p w14:paraId="4599011E" w14:textId="77777777" w:rsidR="008A3BEE" w:rsidRPr="00D537F1" w:rsidRDefault="008A3BEE">
                          <w:pPr>
                            <w:rPr>
                              <w:rFonts w:ascii="Arial" w:hAnsi="Arial" w:cs="Arial"/>
                              <w:b/>
                              <w:color w:val="666699"/>
                              <w:sz w:val="16"/>
                              <w:szCs w:val="16"/>
                              <w:lang w:val="en-US"/>
                            </w:rPr>
                          </w:pPr>
                          <w:r w:rsidRPr="00D537F1">
                            <w:rPr>
                              <w:rFonts w:ascii="Arial" w:hAnsi="Arial" w:cs="Arial"/>
                              <w:b/>
                              <w:color w:val="666699"/>
                              <w:sz w:val="16"/>
                              <w:szCs w:val="16"/>
                              <w:lang w:val="en-US"/>
                            </w:rPr>
                            <w:t>Number 0800 111 999*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90117" id="_x0000_t202" coordsize="21600,21600" o:spt="202" path="m,l,21600r21600,l21600,xe">
              <v:stroke joinstyle="miter"/>
              <v:path gradientshapeok="t" o:connecttype="rect"/>
            </v:shapetype>
            <v:shape id="Text Box 1" o:spid="_x0000_s1026" type="#_x0000_t202" style="position:absolute;margin-left:450pt;margin-top:408.6pt;width:10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beswIAALk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" filled="f" stroked="f">
              <v:textbox>
                <w:txbxContent>
                  <w:p w14:paraId="4599011D" w14:textId="77777777" w:rsidR="008A3BEE" w:rsidRPr="00D537F1" w:rsidRDefault="008A3BEE">
                    <w:pPr>
                      <w:rPr>
                        <w:rFonts w:ascii="Arial" w:hAnsi="Arial" w:cs="Arial"/>
                        <w:b/>
                        <w:color w:val="666699"/>
                        <w:sz w:val="16"/>
                        <w:szCs w:val="16"/>
                        <w:lang w:val="en-US"/>
                      </w:rPr>
                    </w:pPr>
                    <w:r w:rsidRPr="00D537F1">
                      <w:rPr>
                        <w:rFonts w:ascii="Arial" w:hAnsi="Arial" w:cs="Arial"/>
                        <w:b/>
                        <w:color w:val="666699"/>
                        <w:sz w:val="16"/>
                        <w:szCs w:val="16"/>
                        <w:lang w:val="en-US"/>
                      </w:rPr>
                      <w:t>24 hour gas escape</w:t>
                    </w:r>
                  </w:p>
                  <w:p w14:paraId="4599011E" w14:textId="77777777" w:rsidR="008A3BEE" w:rsidRPr="00D537F1" w:rsidRDefault="008A3BEE">
                    <w:pPr>
                      <w:rPr>
                        <w:rFonts w:ascii="Arial" w:hAnsi="Arial" w:cs="Arial"/>
                        <w:b/>
                        <w:color w:val="666699"/>
                        <w:sz w:val="16"/>
                        <w:szCs w:val="16"/>
                        <w:lang w:val="en-US"/>
                      </w:rPr>
                    </w:pPr>
                    <w:r w:rsidRPr="00D537F1">
                      <w:rPr>
                        <w:rFonts w:ascii="Arial" w:hAnsi="Arial" w:cs="Arial"/>
                        <w:b/>
                        <w:color w:val="666699"/>
                        <w:sz w:val="16"/>
                        <w:szCs w:val="16"/>
                        <w:lang w:val="en-US"/>
                      </w:rPr>
                      <w:t>Number 0800 111 999*</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7F574" w14:textId="77777777" w:rsidR="003451B6" w:rsidRDefault="003451B6">
      <w:r>
        <w:separator/>
      </w:r>
    </w:p>
  </w:footnote>
  <w:footnote w:type="continuationSeparator" w:id="0">
    <w:p w14:paraId="74C8CA10" w14:textId="77777777" w:rsidR="003451B6" w:rsidRDefault="00345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90105" w14:textId="77777777" w:rsidR="008A3BEE" w:rsidRDefault="008A3BEE">
    <w:pPr>
      <w:pStyle w:val="Header"/>
    </w:pPr>
  </w:p>
  <w:p w14:paraId="45990106" w14:textId="77777777" w:rsidR="008A3BEE" w:rsidRDefault="008A3BEE">
    <w:pPr>
      <w:pStyle w:val="Header"/>
    </w:pPr>
  </w:p>
  <w:p w14:paraId="45990107" w14:textId="77777777" w:rsidR="008A3BEE" w:rsidRDefault="008A3BEE">
    <w:pPr>
      <w:pStyle w:val="Header"/>
    </w:pPr>
  </w:p>
  <w:p w14:paraId="45990108" w14:textId="77777777" w:rsidR="008A3BEE" w:rsidRDefault="008A3B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9010D" w14:textId="77777777" w:rsidR="008A3BEE" w:rsidRPr="000E59E5" w:rsidRDefault="00DE2354" w:rsidP="000E59E5">
    <w:pPr>
      <w:pStyle w:val="Header"/>
      <w:tabs>
        <w:tab w:val="clear" w:pos="4153"/>
        <w:tab w:val="clear" w:pos="8306"/>
        <w:tab w:val="left" w:pos="5400"/>
      </w:tabs>
      <w:spacing w:before="40" w:after="40"/>
      <w:jc w:val="center"/>
      <w:rPr>
        <w:rFonts w:ascii="Arial" w:hAnsi="Arial" w:cs="Arial"/>
        <w:b/>
        <w:color w:val="333399"/>
        <w:sz w:val="36"/>
        <w:szCs w:val="36"/>
      </w:rPr>
    </w:pPr>
    <w:r>
      <w:rPr>
        <w:noProof/>
        <w:sz w:val="36"/>
        <w:szCs w:val="36"/>
        <w:lang w:eastAsia="en-GB"/>
      </w:rPr>
      <mc:AlternateContent>
        <mc:Choice Requires="wps">
          <w:drawing>
            <wp:anchor distT="0" distB="0" distL="114300" distR="114300" simplePos="0" relativeHeight="251657216" behindDoc="0" locked="0" layoutInCell="1" allowOverlap="1" wp14:anchorId="45990119" wp14:editId="4599011A">
              <wp:simplePos x="0" y="0"/>
              <wp:positionH relativeFrom="column">
                <wp:posOffset>-571500</wp:posOffset>
              </wp:positionH>
              <wp:positionV relativeFrom="paragraph">
                <wp:posOffset>60960</wp:posOffset>
              </wp:positionV>
              <wp:extent cx="2571115" cy="145669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1456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9011F" w14:textId="77777777" w:rsidR="008A3BEE" w:rsidRPr="003B0B60" w:rsidRDefault="008A3BEE" w:rsidP="00577C3B">
                          <w:r>
                            <w:rPr>
                              <w:noProof/>
                              <w:lang w:eastAsia="en-GB"/>
                            </w:rPr>
                            <w:drawing>
                              <wp:inline distT="0" distB="0" distL="0" distR="0" wp14:anchorId="45990121" wp14:editId="45990122">
                                <wp:extent cx="2368550" cy="13652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368550" cy="13652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90119" id="_x0000_t202" coordsize="21600,21600" o:spt="202" path="m,l,21600r21600,l21600,xe">
              <v:stroke joinstyle="miter"/>
              <v:path gradientshapeok="t" o:connecttype="rect"/>
            </v:shapetype>
            <v:shape id="Text Box 2" o:spid="_x0000_s1027" type="#_x0000_t202" style="position:absolute;left:0;text-align:left;margin-left:-45pt;margin-top:4.8pt;width:202.45pt;height:114.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" stroked="f">
              <v:textbox style="mso-fit-shape-to-text:t">
                <w:txbxContent>
                  <w:p w14:paraId="4599011F" w14:textId="77777777" w:rsidR="008A3BEE" w:rsidRPr="003B0B60" w:rsidRDefault="008A3BEE" w:rsidP="00577C3B">
                    <w:r>
                      <w:rPr>
                        <w:noProof/>
                        <w:lang w:eastAsia="en-GB"/>
                      </w:rPr>
                      <w:drawing>
                        <wp:inline distT="0" distB="0" distL="0" distR="0" wp14:anchorId="45990121" wp14:editId="45990122">
                          <wp:extent cx="2368550" cy="13652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368550" cy="1365250"/>
                                  </a:xfrm>
                                  <a:prstGeom prst="rect">
                                    <a:avLst/>
                                  </a:prstGeom>
                                  <a:noFill/>
                                  <a:ln w="9525">
                                    <a:noFill/>
                                    <a:miter lim="800000"/>
                                    <a:headEnd/>
                                    <a:tailEnd/>
                                  </a:ln>
                                </pic:spPr>
                              </pic:pic>
                            </a:graphicData>
                          </a:graphic>
                        </wp:inline>
                      </w:drawing>
                    </w:r>
                  </w:p>
                </w:txbxContent>
              </v:textbox>
            </v:shape>
          </w:pict>
        </mc:Fallback>
      </mc:AlternateContent>
    </w:r>
  </w:p>
  <w:p w14:paraId="4599010E" w14:textId="77777777" w:rsidR="008A3BEE" w:rsidRDefault="008A3BEE" w:rsidP="00577C3B">
    <w:pPr>
      <w:pStyle w:val="Header"/>
      <w:tabs>
        <w:tab w:val="clear" w:pos="4153"/>
        <w:tab w:val="clear" w:pos="8306"/>
        <w:tab w:val="left" w:pos="5400"/>
        <w:tab w:val="left" w:pos="6480"/>
      </w:tabs>
      <w:spacing w:before="40" w:after="40"/>
      <w:rPr>
        <w:rFonts w:ascii="Arial" w:hAnsi="Arial" w:cs="Arial"/>
        <w:b/>
        <w:color w:val="333399"/>
        <w:sz w:val="16"/>
        <w:szCs w:val="16"/>
      </w:rPr>
    </w:pPr>
  </w:p>
  <w:p w14:paraId="4599010F" w14:textId="77777777" w:rsidR="008A3BEE" w:rsidRPr="00BF7B85" w:rsidRDefault="008A3BEE" w:rsidP="00577C3B">
    <w:pPr>
      <w:pStyle w:val="Header"/>
      <w:tabs>
        <w:tab w:val="clear" w:pos="4153"/>
        <w:tab w:val="clear" w:pos="8306"/>
        <w:tab w:val="left" w:pos="5400"/>
        <w:tab w:val="left" w:pos="6480"/>
      </w:tabs>
      <w:spacing w:before="40" w:after="40"/>
      <w:rPr>
        <w:rFonts w:ascii="Arial" w:hAnsi="Arial" w:cs="Arial"/>
        <w:b/>
        <w:color w:val="333399"/>
        <w:sz w:val="16"/>
        <w:szCs w:val="16"/>
      </w:rPr>
    </w:pPr>
    <w:r>
      <w:rPr>
        <w:rFonts w:ascii="Arial" w:hAnsi="Arial" w:cs="Arial"/>
        <w:b/>
        <w:color w:val="333399"/>
        <w:sz w:val="16"/>
        <w:szCs w:val="16"/>
      </w:rPr>
      <w:tab/>
    </w:r>
    <w:r>
      <w:rPr>
        <w:rFonts w:ascii="Arial" w:hAnsi="Arial" w:cs="Arial"/>
        <w:b/>
        <w:color w:val="333399"/>
        <w:sz w:val="16"/>
        <w:szCs w:val="16"/>
      </w:rPr>
      <w:tab/>
    </w:r>
    <w:r w:rsidRPr="00BF7B85">
      <w:rPr>
        <w:rFonts w:ascii="Arial" w:hAnsi="Arial" w:cs="Arial"/>
        <w:b/>
        <w:color w:val="333399"/>
        <w:sz w:val="16"/>
        <w:szCs w:val="16"/>
      </w:rPr>
      <w:t>Northern Gas Networks Limited</w:t>
    </w:r>
  </w:p>
  <w:p w14:paraId="45990110" w14:textId="77777777" w:rsidR="008A3BEE" w:rsidRPr="00BF7B85" w:rsidRDefault="008A3BEE" w:rsidP="00577C3B">
    <w:pPr>
      <w:pStyle w:val="Header"/>
      <w:tabs>
        <w:tab w:val="clear" w:pos="4153"/>
        <w:tab w:val="clear" w:pos="8306"/>
        <w:tab w:val="left" w:pos="5400"/>
        <w:tab w:val="left" w:pos="6480"/>
      </w:tabs>
      <w:spacing w:before="40" w:after="40"/>
      <w:rPr>
        <w:rFonts w:ascii="Arial" w:hAnsi="Arial" w:cs="Arial"/>
        <w:color w:val="666699"/>
        <w:sz w:val="14"/>
        <w:szCs w:val="14"/>
      </w:rPr>
    </w:pPr>
    <w:r>
      <w:rPr>
        <w:rFonts w:ascii="Arial" w:hAnsi="Arial" w:cs="Arial"/>
        <w:color w:val="666699"/>
        <w:sz w:val="14"/>
        <w:szCs w:val="14"/>
      </w:rPr>
      <w:tab/>
    </w:r>
    <w:r>
      <w:rPr>
        <w:rFonts w:ascii="Arial" w:hAnsi="Arial" w:cs="Arial"/>
        <w:color w:val="666699"/>
        <w:sz w:val="14"/>
        <w:szCs w:val="14"/>
      </w:rPr>
      <w:tab/>
    </w:r>
    <w:r w:rsidRPr="00BF7B85">
      <w:rPr>
        <w:rFonts w:ascii="Arial" w:hAnsi="Arial" w:cs="Arial"/>
        <w:color w:val="666699"/>
        <w:sz w:val="14"/>
        <w:szCs w:val="14"/>
      </w:rPr>
      <w:t xml:space="preserve">Registered in </w:t>
    </w:r>
    <w:smartTag w:uri="urn:schemas-microsoft-com:office:smarttags" w:element="country-region">
      <w:r w:rsidRPr="00BF7B85">
        <w:rPr>
          <w:rFonts w:ascii="Arial" w:hAnsi="Arial" w:cs="Arial"/>
          <w:color w:val="666699"/>
          <w:sz w:val="14"/>
          <w:szCs w:val="14"/>
        </w:rPr>
        <w:t>England</w:t>
      </w:r>
    </w:smartTag>
    <w:r w:rsidRPr="00BF7B85">
      <w:rPr>
        <w:rFonts w:ascii="Arial" w:hAnsi="Arial" w:cs="Arial"/>
        <w:color w:val="666699"/>
        <w:sz w:val="14"/>
        <w:szCs w:val="14"/>
      </w:rPr>
      <w:t xml:space="preserve"> &amp; </w:t>
    </w:r>
    <w:smartTag w:uri="urn:schemas-microsoft-com:office:smarttags" w:element="place">
      <w:smartTag w:uri="urn:schemas-microsoft-com:office:smarttags" w:element="country-region">
        <w:r w:rsidRPr="00BF7B85">
          <w:rPr>
            <w:rFonts w:ascii="Arial" w:hAnsi="Arial" w:cs="Arial"/>
            <w:color w:val="666699"/>
            <w:sz w:val="14"/>
            <w:szCs w:val="14"/>
          </w:rPr>
          <w:t>Wales</w:t>
        </w:r>
      </w:smartTag>
    </w:smartTag>
    <w:r w:rsidRPr="00BF7B85">
      <w:rPr>
        <w:rFonts w:ascii="Arial" w:hAnsi="Arial" w:cs="Arial"/>
        <w:color w:val="666699"/>
        <w:sz w:val="14"/>
        <w:szCs w:val="14"/>
      </w:rPr>
      <w:t xml:space="preserve"> No 5167070</w:t>
    </w:r>
  </w:p>
  <w:p w14:paraId="45990111" w14:textId="77777777" w:rsidR="008A3BEE" w:rsidRPr="00BF7B85" w:rsidRDefault="008A3BEE" w:rsidP="00577C3B">
    <w:pPr>
      <w:pStyle w:val="Header"/>
      <w:tabs>
        <w:tab w:val="clear" w:pos="4153"/>
        <w:tab w:val="clear" w:pos="8306"/>
        <w:tab w:val="left" w:pos="5400"/>
        <w:tab w:val="left" w:pos="6480"/>
      </w:tabs>
      <w:spacing w:before="40" w:after="40"/>
      <w:rPr>
        <w:rFonts w:ascii="Arial" w:hAnsi="Arial" w:cs="Arial"/>
        <w:color w:val="666699"/>
        <w:sz w:val="16"/>
        <w:szCs w:val="16"/>
      </w:rPr>
    </w:pPr>
    <w:r>
      <w:rPr>
        <w:rFonts w:ascii="Arial" w:hAnsi="Arial" w:cs="Arial"/>
        <w:color w:val="666699"/>
        <w:sz w:val="16"/>
        <w:szCs w:val="16"/>
      </w:rPr>
      <w:tab/>
    </w:r>
    <w:r>
      <w:rPr>
        <w:rFonts w:ascii="Arial" w:hAnsi="Arial" w:cs="Arial"/>
        <w:color w:val="666699"/>
        <w:sz w:val="16"/>
        <w:szCs w:val="16"/>
      </w:rPr>
      <w:tab/>
    </w:r>
    <w:r w:rsidRPr="00BF7B85">
      <w:rPr>
        <w:rFonts w:ascii="Arial" w:hAnsi="Arial" w:cs="Arial"/>
        <w:color w:val="666699"/>
        <w:sz w:val="16"/>
        <w:szCs w:val="16"/>
      </w:rPr>
      <w:t>Registered Office</w:t>
    </w:r>
  </w:p>
  <w:p w14:paraId="45990112" w14:textId="77777777" w:rsidR="008A3BEE" w:rsidRPr="00BF7B85" w:rsidRDefault="008A3BEE" w:rsidP="00577C3B">
    <w:pPr>
      <w:pStyle w:val="Header"/>
      <w:tabs>
        <w:tab w:val="clear" w:pos="4153"/>
        <w:tab w:val="clear" w:pos="8306"/>
        <w:tab w:val="left" w:pos="5400"/>
        <w:tab w:val="left" w:pos="6480"/>
      </w:tabs>
      <w:spacing w:before="40" w:after="40"/>
      <w:rPr>
        <w:rFonts w:ascii="Arial" w:hAnsi="Arial" w:cs="Arial"/>
        <w:color w:val="666699"/>
        <w:sz w:val="16"/>
        <w:szCs w:val="16"/>
      </w:rPr>
    </w:pPr>
    <w:r>
      <w:rPr>
        <w:rFonts w:ascii="Arial" w:hAnsi="Arial" w:cs="Arial"/>
        <w:color w:val="666699"/>
        <w:sz w:val="16"/>
        <w:szCs w:val="16"/>
      </w:rPr>
      <w:tab/>
    </w:r>
    <w:r>
      <w:rPr>
        <w:rFonts w:ascii="Arial" w:hAnsi="Arial" w:cs="Arial"/>
        <w:color w:val="666699"/>
        <w:sz w:val="16"/>
        <w:szCs w:val="16"/>
      </w:rPr>
      <w:tab/>
      <w:t>11</w:t>
    </w:r>
    <w:r w:rsidRPr="00BF7B85">
      <w:rPr>
        <w:rFonts w:ascii="Arial" w:hAnsi="Arial" w:cs="Arial"/>
        <w:color w:val="666699"/>
        <w:sz w:val="16"/>
        <w:szCs w:val="16"/>
      </w:rPr>
      <w:t xml:space="preserve">00 Century Way </w:t>
    </w:r>
    <w:smartTag w:uri="urn:schemas-microsoft-com:office:smarttags" w:element="place">
      <w:smartTag w:uri="urn:schemas-microsoft-com:office:smarttags" w:element="City">
        <w:r w:rsidRPr="00BF7B85">
          <w:rPr>
            <w:rFonts w:ascii="Arial" w:hAnsi="Arial" w:cs="Arial"/>
            <w:color w:val="666699"/>
            <w:sz w:val="16"/>
            <w:szCs w:val="16"/>
          </w:rPr>
          <w:t>Colton</w:t>
        </w:r>
      </w:smartTag>
    </w:smartTag>
  </w:p>
  <w:p w14:paraId="45990113" w14:textId="77777777" w:rsidR="008A3BEE" w:rsidRPr="00BF7B85" w:rsidRDefault="008A3BEE" w:rsidP="00577C3B">
    <w:pPr>
      <w:tabs>
        <w:tab w:val="left" w:pos="6480"/>
      </w:tabs>
      <w:rPr>
        <w:rFonts w:ascii="Arial" w:hAnsi="Arial" w:cs="Arial"/>
        <w:color w:val="666699"/>
        <w:sz w:val="16"/>
        <w:szCs w:val="16"/>
      </w:rPr>
    </w:pPr>
    <w:r>
      <w:rPr>
        <w:rFonts w:ascii="Arial" w:hAnsi="Arial" w:cs="Arial"/>
        <w:color w:val="666699"/>
        <w:sz w:val="16"/>
        <w:szCs w:val="16"/>
      </w:rPr>
      <w:tab/>
    </w:r>
    <w:smartTag w:uri="urn:schemas-microsoft-com:office:smarttags" w:element="place">
      <w:r w:rsidRPr="00BF7B85">
        <w:rPr>
          <w:rFonts w:ascii="Arial" w:hAnsi="Arial" w:cs="Arial"/>
          <w:color w:val="666699"/>
          <w:sz w:val="16"/>
          <w:szCs w:val="16"/>
        </w:rPr>
        <w:t>Leeds</w:t>
      </w:r>
    </w:smartTag>
    <w:r w:rsidRPr="00BF7B85">
      <w:rPr>
        <w:rFonts w:ascii="Arial" w:hAnsi="Arial" w:cs="Arial"/>
        <w:color w:val="666699"/>
        <w:sz w:val="16"/>
        <w:szCs w:val="16"/>
      </w:rPr>
      <w:t xml:space="preserve"> LS15</w:t>
    </w:r>
    <w:r>
      <w:rPr>
        <w:rFonts w:ascii="Arial" w:hAnsi="Arial" w:cs="Arial"/>
        <w:color w:val="666699"/>
        <w:sz w:val="16"/>
        <w:szCs w:val="16"/>
      </w:rPr>
      <w:t xml:space="preserve"> 8TU  Tel 0113 397 5300</w:t>
    </w:r>
  </w:p>
  <w:p w14:paraId="45990114" w14:textId="77777777" w:rsidR="008A3BEE" w:rsidRPr="00BF7B85" w:rsidRDefault="008A3BEE" w:rsidP="00577C3B">
    <w:pPr>
      <w:rPr>
        <w:rFonts w:ascii="Arial" w:hAnsi="Arial" w:cs="Arial"/>
        <w:color w:val="666699"/>
        <w:sz w:val="16"/>
        <w:szCs w:val="16"/>
      </w:rPr>
    </w:pPr>
  </w:p>
  <w:p w14:paraId="45990115" w14:textId="77777777" w:rsidR="008A3BEE" w:rsidRPr="00BF7B85" w:rsidRDefault="008A3BEE" w:rsidP="00577C3B">
    <w:pPr>
      <w:rPr>
        <w:sz w:val="16"/>
        <w:szCs w:val="16"/>
      </w:rPr>
    </w:pPr>
    <w:r>
      <w:rPr>
        <w:rFonts w:ascii="Arial" w:hAnsi="Arial" w:cs="Arial"/>
        <w:color w:val="666699"/>
        <w:sz w:val="16"/>
        <w:szCs w:val="16"/>
      </w:rPr>
      <w:t>Tel: 0113 3975316</w:t>
    </w:r>
  </w:p>
  <w:p w14:paraId="45990116" w14:textId="77777777" w:rsidR="008A3BEE" w:rsidRDefault="00DE2354">
    <w:pPr>
      <w:pStyle w:val="Header"/>
    </w:pPr>
    <w:r>
      <w:rPr>
        <w:noProof/>
        <w:lang w:eastAsia="en-GB"/>
      </w:rPr>
      <mc:AlternateContent>
        <mc:Choice Requires="wps">
          <w:drawing>
            <wp:anchor distT="0" distB="0" distL="114300" distR="114300" simplePos="0" relativeHeight="251658240" behindDoc="0" locked="0" layoutInCell="1" allowOverlap="1" wp14:anchorId="4599011B" wp14:editId="4599011C">
              <wp:simplePos x="0" y="0"/>
              <wp:positionH relativeFrom="column">
                <wp:posOffset>-1028700</wp:posOffset>
              </wp:positionH>
              <wp:positionV relativeFrom="paragraph">
                <wp:posOffset>3786505</wp:posOffset>
              </wp:positionV>
              <wp:extent cx="6629400" cy="55403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54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90120" w14:textId="77777777" w:rsidR="008A3BEE" w:rsidRPr="0035555C" w:rsidRDefault="008A3BEE" w:rsidP="00577C3B">
                          <w:r>
                            <w:rPr>
                              <w:noProof/>
                              <w:lang w:eastAsia="en-GB"/>
                            </w:rPr>
                            <w:drawing>
                              <wp:inline distT="0" distB="0" distL="0" distR="0" wp14:anchorId="45990123" wp14:editId="45990124">
                                <wp:extent cx="6451600" cy="53149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6451600" cy="53149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9011B" id="Text Box 3" o:spid="_x0000_s1028" type="#_x0000_t202" style="position:absolute;margin-left:-81pt;margin-top:298.15pt;width:522pt;height:4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" stroked="f">
              <v:textbox>
                <w:txbxContent>
                  <w:p w14:paraId="45990120" w14:textId="77777777" w:rsidR="008A3BEE" w:rsidRPr="0035555C" w:rsidRDefault="008A3BEE" w:rsidP="00577C3B">
                    <w:r>
                      <w:rPr>
                        <w:noProof/>
                        <w:lang w:eastAsia="en-GB"/>
                      </w:rPr>
                      <w:drawing>
                        <wp:inline distT="0" distB="0" distL="0" distR="0" wp14:anchorId="45990123" wp14:editId="45990124">
                          <wp:extent cx="6451600" cy="53149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451600" cy="5314950"/>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F244F"/>
    <w:multiLevelType w:val="hybridMultilevel"/>
    <w:tmpl w:val="54AE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9022D4"/>
    <w:multiLevelType w:val="hybridMultilevel"/>
    <w:tmpl w:val="5BCAB0A4"/>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FF"/>
    <w:rsid w:val="00001004"/>
    <w:rsid w:val="00002545"/>
    <w:rsid w:val="00003D57"/>
    <w:rsid w:val="00005EE6"/>
    <w:rsid w:val="00006EB8"/>
    <w:rsid w:val="00014502"/>
    <w:rsid w:val="00014ED7"/>
    <w:rsid w:val="000151B4"/>
    <w:rsid w:val="000204B0"/>
    <w:rsid w:val="00023B91"/>
    <w:rsid w:val="00027F82"/>
    <w:rsid w:val="000315D5"/>
    <w:rsid w:val="00036AE3"/>
    <w:rsid w:val="0004195E"/>
    <w:rsid w:val="00043B06"/>
    <w:rsid w:val="00044537"/>
    <w:rsid w:val="000500C1"/>
    <w:rsid w:val="00051260"/>
    <w:rsid w:val="00052FD1"/>
    <w:rsid w:val="000532B9"/>
    <w:rsid w:val="00053A99"/>
    <w:rsid w:val="00055ECE"/>
    <w:rsid w:val="000610FA"/>
    <w:rsid w:val="00062C53"/>
    <w:rsid w:val="0006477B"/>
    <w:rsid w:val="000746CE"/>
    <w:rsid w:val="00076916"/>
    <w:rsid w:val="00080D1F"/>
    <w:rsid w:val="00080FA8"/>
    <w:rsid w:val="0008251F"/>
    <w:rsid w:val="000831CF"/>
    <w:rsid w:val="0009344A"/>
    <w:rsid w:val="00094E32"/>
    <w:rsid w:val="00094EEA"/>
    <w:rsid w:val="000A36AC"/>
    <w:rsid w:val="000A4635"/>
    <w:rsid w:val="000A6A15"/>
    <w:rsid w:val="000B06C9"/>
    <w:rsid w:val="000B2C2E"/>
    <w:rsid w:val="000B45AF"/>
    <w:rsid w:val="000B628A"/>
    <w:rsid w:val="000B68A3"/>
    <w:rsid w:val="000C5500"/>
    <w:rsid w:val="000C574E"/>
    <w:rsid w:val="000C6503"/>
    <w:rsid w:val="000D2513"/>
    <w:rsid w:val="000D45C0"/>
    <w:rsid w:val="000D5B50"/>
    <w:rsid w:val="000D79C9"/>
    <w:rsid w:val="000E59E5"/>
    <w:rsid w:val="000F0764"/>
    <w:rsid w:val="000F22C8"/>
    <w:rsid w:val="000F41CD"/>
    <w:rsid w:val="000F4A24"/>
    <w:rsid w:val="000F4C56"/>
    <w:rsid w:val="00100932"/>
    <w:rsid w:val="00101685"/>
    <w:rsid w:val="001020CE"/>
    <w:rsid w:val="00104D8C"/>
    <w:rsid w:val="001058D1"/>
    <w:rsid w:val="0010652A"/>
    <w:rsid w:val="00107183"/>
    <w:rsid w:val="00116C9C"/>
    <w:rsid w:val="001205A0"/>
    <w:rsid w:val="0012075D"/>
    <w:rsid w:val="00125431"/>
    <w:rsid w:val="001300A8"/>
    <w:rsid w:val="0013190B"/>
    <w:rsid w:val="00132B8A"/>
    <w:rsid w:val="00135C68"/>
    <w:rsid w:val="0014070D"/>
    <w:rsid w:val="00140926"/>
    <w:rsid w:val="0014685F"/>
    <w:rsid w:val="001475EF"/>
    <w:rsid w:val="00152FBC"/>
    <w:rsid w:val="00154366"/>
    <w:rsid w:val="00155F70"/>
    <w:rsid w:val="00156465"/>
    <w:rsid w:val="00163FC4"/>
    <w:rsid w:val="00165C89"/>
    <w:rsid w:val="00171FA1"/>
    <w:rsid w:val="001774BA"/>
    <w:rsid w:val="00181392"/>
    <w:rsid w:val="0018281B"/>
    <w:rsid w:val="0018375D"/>
    <w:rsid w:val="0018634F"/>
    <w:rsid w:val="00186458"/>
    <w:rsid w:val="00186DD3"/>
    <w:rsid w:val="00194463"/>
    <w:rsid w:val="001978AA"/>
    <w:rsid w:val="001A4059"/>
    <w:rsid w:val="001A7743"/>
    <w:rsid w:val="001B1717"/>
    <w:rsid w:val="001C102F"/>
    <w:rsid w:val="001C30C5"/>
    <w:rsid w:val="001C5369"/>
    <w:rsid w:val="001C61E0"/>
    <w:rsid w:val="001C6CB0"/>
    <w:rsid w:val="001C7B9C"/>
    <w:rsid w:val="001D4F9B"/>
    <w:rsid w:val="001D5284"/>
    <w:rsid w:val="001E0A9B"/>
    <w:rsid w:val="001E6938"/>
    <w:rsid w:val="001F6536"/>
    <w:rsid w:val="001F76B4"/>
    <w:rsid w:val="002012AF"/>
    <w:rsid w:val="00202CB7"/>
    <w:rsid w:val="0020617F"/>
    <w:rsid w:val="0020799D"/>
    <w:rsid w:val="00211872"/>
    <w:rsid w:val="00212019"/>
    <w:rsid w:val="002164D5"/>
    <w:rsid w:val="002212D9"/>
    <w:rsid w:val="0022285A"/>
    <w:rsid w:val="00227485"/>
    <w:rsid w:val="00232750"/>
    <w:rsid w:val="002345B8"/>
    <w:rsid w:val="0023556E"/>
    <w:rsid w:val="0023637D"/>
    <w:rsid w:val="002407B3"/>
    <w:rsid w:val="00243254"/>
    <w:rsid w:val="002447AD"/>
    <w:rsid w:val="0024671A"/>
    <w:rsid w:val="002505B2"/>
    <w:rsid w:val="00256FA5"/>
    <w:rsid w:val="00260451"/>
    <w:rsid w:val="00264B9C"/>
    <w:rsid w:val="002669E6"/>
    <w:rsid w:val="00266B4A"/>
    <w:rsid w:val="0027005F"/>
    <w:rsid w:val="0027007E"/>
    <w:rsid w:val="00271746"/>
    <w:rsid w:val="00271DE9"/>
    <w:rsid w:val="00274227"/>
    <w:rsid w:val="002757A5"/>
    <w:rsid w:val="00282A10"/>
    <w:rsid w:val="002830BE"/>
    <w:rsid w:val="00285469"/>
    <w:rsid w:val="00290240"/>
    <w:rsid w:val="002A001C"/>
    <w:rsid w:val="002B6CF7"/>
    <w:rsid w:val="002C20D6"/>
    <w:rsid w:val="002D3415"/>
    <w:rsid w:val="002D3748"/>
    <w:rsid w:val="002D3789"/>
    <w:rsid w:val="002D5272"/>
    <w:rsid w:val="002E1A96"/>
    <w:rsid w:val="002E27BB"/>
    <w:rsid w:val="002E337F"/>
    <w:rsid w:val="002E6285"/>
    <w:rsid w:val="002F2995"/>
    <w:rsid w:val="003048CB"/>
    <w:rsid w:val="0031261C"/>
    <w:rsid w:val="00315481"/>
    <w:rsid w:val="00322B05"/>
    <w:rsid w:val="00323E7D"/>
    <w:rsid w:val="00324431"/>
    <w:rsid w:val="00331333"/>
    <w:rsid w:val="00331B51"/>
    <w:rsid w:val="00340846"/>
    <w:rsid w:val="003451B6"/>
    <w:rsid w:val="0035555C"/>
    <w:rsid w:val="00355D3C"/>
    <w:rsid w:val="00363061"/>
    <w:rsid w:val="00364F8F"/>
    <w:rsid w:val="00366396"/>
    <w:rsid w:val="003663B6"/>
    <w:rsid w:val="00372805"/>
    <w:rsid w:val="00375FB7"/>
    <w:rsid w:val="00383DA4"/>
    <w:rsid w:val="00384298"/>
    <w:rsid w:val="00385296"/>
    <w:rsid w:val="00385FCE"/>
    <w:rsid w:val="003877F1"/>
    <w:rsid w:val="00390560"/>
    <w:rsid w:val="003A0776"/>
    <w:rsid w:val="003A1B0F"/>
    <w:rsid w:val="003A467D"/>
    <w:rsid w:val="003A7619"/>
    <w:rsid w:val="003B0B60"/>
    <w:rsid w:val="003C03E5"/>
    <w:rsid w:val="003C260F"/>
    <w:rsid w:val="003C44D4"/>
    <w:rsid w:val="003C46F2"/>
    <w:rsid w:val="003C581A"/>
    <w:rsid w:val="003D068D"/>
    <w:rsid w:val="003D089A"/>
    <w:rsid w:val="003D39AD"/>
    <w:rsid w:val="003D41CF"/>
    <w:rsid w:val="003D42C5"/>
    <w:rsid w:val="003D60BA"/>
    <w:rsid w:val="003E4D2F"/>
    <w:rsid w:val="003F2A86"/>
    <w:rsid w:val="003F3847"/>
    <w:rsid w:val="003F3E56"/>
    <w:rsid w:val="003F418A"/>
    <w:rsid w:val="003F5207"/>
    <w:rsid w:val="003F704E"/>
    <w:rsid w:val="00400585"/>
    <w:rsid w:val="00401BEB"/>
    <w:rsid w:val="00402168"/>
    <w:rsid w:val="0040356C"/>
    <w:rsid w:val="004061AD"/>
    <w:rsid w:val="00410B2C"/>
    <w:rsid w:val="004151BE"/>
    <w:rsid w:val="00417018"/>
    <w:rsid w:val="00422048"/>
    <w:rsid w:val="00422660"/>
    <w:rsid w:val="0042554B"/>
    <w:rsid w:val="0043009B"/>
    <w:rsid w:val="004319CA"/>
    <w:rsid w:val="004339A3"/>
    <w:rsid w:val="00440C4E"/>
    <w:rsid w:val="004438A8"/>
    <w:rsid w:val="00446FAF"/>
    <w:rsid w:val="00450FDD"/>
    <w:rsid w:val="00454B4F"/>
    <w:rsid w:val="00456228"/>
    <w:rsid w:val="004572FC"/>
    <w:rsid w:val="00464950"/>
    <w:rsid w:val="00465A22"/>
    <w:rsid w:val="00467A66"/>
    <w:rsid w:val="004719C8"/>
    <w:rsid w:val="00475872"/>
    <w:rsid w:val="00476E72"/>
    <w:rsid w:val="00482C8F"/>
    <w:rsid w:val="00486C24"/>
    <w:rsid w:val="00490102"/>
    <w:rsid w:val="00492FED"/>
    <w:rsid w:val="004967E4"/>
    <w:rsid w:val="00496BE8"/>
    <w:rsid w:val="00496CBD"/>
    <w:rsid w:val="00496FE6"/>
    <w:rsid w:val="00497E9F"/>
    <w:rsid w:val="004A252D"/>
    <w:rsid w:val="004A44C7"/>
    <w:rsid w:val="004A48AE"/>
    <w:rsid w:val="004A7D86"/>
    <w:rsid w:val="004B3BD1"/>
    <w:rsid w:val="004C0870"/>
    <w:rsid w:val="004D0C3C"/>
    <w:rsid w:val="004D1E01"/>
    <w:rsid w:val="004D39DC"/>
    <w:rsid w:val="004D4BD9"/>
    <w:rsid w:val="004D548F"/>
    <w:rsid w:val="004D5FBE"/>
    <w:rsid w:val="004D68A3"/>
    <w:rsid w:val="004D75EF"/>
    <w:rsid w:val="004E1B9C"/>
    <w:rsid w:val="004E3113"/>
    <w:rsid w:val="004E3AE1"/>
    <w:rsid w:val="004E517B"/>
    <w:rsid w:val="004E7DBD"/>
    <w:rsid w:val="004F734A"/>
    <w:rsid w:val="005058E8"/>
    <w:rsid w:val="00510A9D"/>
    <w:rsid w:val="00516A75"/>
    <w:rsid w:val="0052003F"/>
    <w:rsid w:val="00520BEB"/>
    <w:rsid w:val="00525128"/>
    <w:rsid w:val="0052671A"/>
    <w:rsid w:val="00527014"/>
    <w:rsid w:val="00527037"/>
    <w:rsid w:val="0052703D"/>
    <w:rsid w:val="005275DF"/>
    <w:rsid w:val="005279C5"/>
    <w:rsid w:val="00527F44"/>
    <w:rsid w:val="0053092F"/>
    <w:rsid w:val="00531445"/>
    <w:rsid w:val="00532A4B"/>
    <w:rsid w:val="00535722"/>
    <w:rsid w:val="0054048F"/>
    <w:rsid w:val="00541A73"/>
    <w:rsid w:val="00543877"/>
    <w:rsid w:val="00546145"/>
    <w:rsid w:val="005511AB"/>
    <w:rsid w:val="005514E0"/>
    <w:rsid w:val="00552F6B"/>
    <w:rsid w:val="00554057"/>
    <w:rsid w:val="00555601"/>
    <w:rsid w:val="00560E0D"/>
    <w:rsid w:val="00563C70"/>
    <w:rsid w:val="0056647C"/>
    <w:rsid w:val="00567A9F"/>
    <w:rsid w:val="00574314"/>
    <w:rsid w:val="0057562F"/>
    <w:rsid w:val="00575F74"/>
    <w:rsid w:val="00577C3B"/>
    <w:rsid w:val="00581CD8"/>
    <w:rsid w:val="005821BA"/>
    <w:rsid w:val="00585191"/>
    <w:rsid w:val="005857CF"/>
    <w:rsid w:val="00591B76"/>
    <w:rsid w:val="00591F8B"/>
    <w:rsid w:val="005927A4"/>
    <w:rsid w:val="00595217"/>
    <w:rsid w:val="00596816"/>
    <w:rsid w:val="005A3A73"/>
    <w:rsid w:val="005A4C93"/>
    <w:rsid w:val="005A67E6"/>
    <w:rsid w:val="005B3448"/>
    <w:rsid w:val="005B40C8"/>
    <w:rsid w:val="005B7299"/>
    <w:rsid w:val="005C1B37"/>
    <w:rsid w:val="005C2DEF"/>
    <w:rsid w:val="005C4149"/>
    <w:rsid w:val="005C619C"/>
    <w:rsid w:val="005C6795"/>
    <w:rsid w:val="005C6B99"/>
    <w:rsid w:val="005C708F"/>
    <w:rsid w:val="005C794C"/>
    <w:rsid w:val="005D201A"/>
    <w:rsid w:val="005D3652"/>
    <w:rsid w:val="005D4248"/>
    <w:rsid w:val="005D4FD4"/>
    <w:rsid w:val="005E459D"/>
    <w:rsid w:val="005E47E4"/>
    <w:rsid w:val="005E579E"/>
    <w:rsid w:val="005E718E"/>
    <w:rsid w:val="005E71F2"/>
    <w:rsid w:val="005F35E7"/>
    <w:rsid w:val="005F4261"/>
    <w:rsid w:val="005F49DF"/>
    <w:rsid w:val="005F4F33"/>
    <w:rsid w:val="005F6454"/>
    <w:rsid w:val="005F73C5"/>
    <w:rsid w:val="005F7E72"/>
    <w:rsid w:val="006009D2"/>
    <w:rsid w:val="00600DD3"/>
    <w:rsid w:val="0060250D"/>
    <w:rsid w:val="00603926"/>
    <w:rsid w:val="0060773D"/>
    <w:rsid w:val="00616914"/>
    <w:rsid w:val="00616A81"/>
    <w:rsid w:val="00623623"/>
    <w:rsid w:val="00625C99"/>
    <w:rsid w:val="00626015"/>
    <w:rsid w:val="00633FC5"/>
    <w:rsid w:val="00643221"/>
    <w:rsid w:val="00643D51"/>
    <w:rsid w:val="00644098"/>
    <w:rsid w:val="00645246"/>
    <w:rsid w:val="00647FE7"/>
    <w:rsid w:val="00650896"/>
    <w:rsid w:val="006517FE"/>
    <w:rsid w:val="0065235B"/>
    <w:rsid w:val="00654F7C"/>
    <w:rsid w:val="00662512"/>
    <w:rsid w:val="006640CC"/>
    <w:rsid w:val="00664967"/>
    <w:rsid w:val="00667768"/>
    <w:rsid w:val="0067158B"/>
    <w:rsid w:val="0067303E"/>
    <w:rsid w:val="006749AD"/>
    <w:rsid w:val="00680040"/>
    <w:rsid w:val="0068087C"/>
    <w:rsid w:val="0068090E"/>
    <w:rsid w:val="00681670"/>
    <w:rsid w:val="006857FC"/>
    <w:rsid w:val="00694BB8"/>
    <w:rsid w:val="006A2C5A"/>
    <w:rsid w:val="006B231E"/>
    <w:rsid w:val="006B58B6"/>
    <w:rsid w:val="006B736D"/>
    <w:rsid w:val="006B7568"/>
    <w:rsid w:val="006B77C2"/>
    <w:rsid w:val="006C0B9B"/>
    <w:rsid w:val="006D27A8"/>
    <w:rsid w:val="006D53B3"/>
    <w:rsid w:val="006E2551"/>
    <w:rsid w:val="006E2EA0"/>
    <w:rsid w:val="006E4593"/>
    <w:rsid w:val="006E576E"/>
    <w:rsid w:val="006E769C"/>
    <w:rsid w:val="006F3330"/>
    <w:rsid w:val="006F5A0F"/>
    <w:rsid w:val="006F60D1"/>
    <w:rsid w:val="007009A8"/>
    <w:rsid w:val="0070105A"/>
    <w:rsid w:val="00701F5D"/>
    <w:rsid w:val="00702653"/>
    <w:rsid w:val="0070567E"/>
    <w:rsid w:val="007140DF"/>
    <w:rsid w:val="007151E5"/>
    <w:rsid w:val="007153F7"/>
    <w:rsid w:val="007211DD"/>
    <w:rsid w:val="00723193"/>
    <w:rsid w:val="00723290"/>
    <w:rsid w:val="007277B4"/>
    <w:rsid w:val="00730BEA"/>
    <w:rsid w:val="00732F40"/>
    <w:rsid w:val="00736310"/>
    <w:rsid w:val="00741BD1"/>
    <w:rsid w:val="00742156"/>
    <w:rsid w:val="00745585"/>
    <w:rsid w:val="00750B61"/>
    <w:rsid w:val="00751724"/>
    <w:rsid w:val="00751B1D"/>
    <w:rsid w:val="00753F64"/>
    <w:rsid w:val="007556F3"/>
    <w:rsid w:val="0076105E"/>
    <w:rsid w:val="00764948"/>
    <w:rsid w:val="00773B52"/>
    <w:rsid w:val="007815DA"/>
    <w:rsid w:val="00784153"/>
    <w:rsid w:val="00786CCB"/>
    <w:rsid w:val="007916A6"/>
    <w:rsid w:val="00792614"/>
    <w:rsid w:val="007953FA"/>
    <w:rsid w:val="00795616"/>
    <w:rsid w:val="007A067D"/>
    <w:rsid w:val="007A5588"/>
    <w:rsid w:val="007B1F2D"/>
    <w:rsid w:val="007B7155"/>
    <w:rsid w:val="007C56C5"/>
    <w:rsid w:val="007C6078"/>
    <w:rsid w:val="007C6942"/>
    <w:rsid w:val="007D1473"/>
    <w:rsid w:val="007D38C6"/>
    <w:rsid w:val="007D614E"/>
    <w:rsid w:val="007D7349"/>
    <w:rsid w:val="007D7D55"/>
    <w:rsid w:val="007E0778"/>
    <w:rsid w:val="007F6825"/>
    <w:rsid w:val="007F6A63"/>
    <w:rsid w:val="007F6BFC"/>
    <w:rsid w:val="0080218F"/>
    <w:rsid w:val="0080413B"/>
    <w:rsid w:val="00806589"/>
    <w:rsid w:val="00807EFF"/>
    <w:rsid w:val="00810769"/>
    <w:rsid w:val="0081348B"/>
    <w:rsid w:val="008153E1"/>
    <w:rsid w:val="00815FFC"/>
    <w:rsid w:val="0082379A"/>
    <w:rsid w:val="00824F29"/>
    <w:rsid w:val="008256C2"/>
    <w:rsid w:val="00825CB9"/>
    <w:rsid w:val="008300A6"/>
    <w:rsid w:val="00831530"/>
    <w:rsid w:val="00833930"/>
    <w:rsid w:val="0083568D"/>
    <w:rsid w:val="0083617F"/>
    <w:rsid w:val="008362E4"/>
    <w:rsid w:val="00836ECD"/>
    <w:rsid w:val="008375AA"/>
    <w:rsid w:val="0084324A"/>
    <w:rsid w:val="00844DE0"/>
    <w:rsid w:val="0084661F"/>
    <w:rsid w:val="00846A16"/>
    <w:rsid w:val="008564C1"/>
    <w:rsid w:val="0086334B"/>
    <w:rsid w:val="00864AB6"/>
    <w:rsid w:val="0087133A"/>
    <w:rsid w:val="00871CEC"/>
    <w:rsid w:val="00872134"/>
    <w:rsid w:val="008836D8"/>
    <w:rsid w:val="00886A85"/>
    <w:rsid w:val="00887A82"/>
    <w:rsid w:val="008963C1"/>
    <w:rsid w:val="008979F8"/>
    <w:rsid w:val="008A3BEE"/>
    <w:rsid w:val="008A7AF7"/>
    <w:rsid w:val="008B09A0"/>
    <w:rsid w:val="008B13CD"/>
    <w:rsid w:val="008B1C77"/>
    <w:rsid w:val="008B322C"/>
    <w:rsid w:val="008B53D2"/>
    <w:rsid w:val="008B5901"/>
    <w:rsid w:val="008B6CD5"/>
    <w:rsid w:val="008C0BA9"/>
    <w:rsid w:val="008C0F8D"/>
    <w:rsid w:val="008C16E1"/>
    <w:rsid w:val="008C28E4"/>
    <w:rsid w:val="008C320B"/>
    <w:rsid w:val="008C3B2C"/>
    <w:rsid w:val="008D5456"/>
    <w:rsid w:val="008E0764"/>
    <w:rsid w:val="008E1312"/>
    <w:rsid w:val="008E1897"/>
    <w:rsid w:val="008F08FC"/>
    <w:rsid w:val="008F210A"/>
    <w:rsid w:val="008F5789"/>
    <w:rsid w:val="009064AD"/>
    <w:rsid w:val="009074E7"/>
    <w:rsid w:val="00907DBD"/>
    <w:rsid w:val="00911030"/>
    <w:rsid w:val="00921E99"/>
    <w:rsid w:val="00922889"/>
    <w:rsid w:val="00930670"/>
    <w:rsid w:val="00930DB5"/>
    <w:rsid w:val="0093602E"/>
    <w:rsid w:val="00946ECE"/>
    <w:rsid w:val="00947249"/>
    <w:rsid w:val="0095016E"/>
    <w:rsid w:val="00950B3A"/>
    <w:rsid w:val="0095174E"/>
    <w:rsid w:val="00953EBC"/>
    <w:rsid w:val="009552A3"/>
    <w:rsid w:val="00960F6A"/>
    <w:rsid w:val="00961470"/>
    <w:rsid w:val="009630FC"/>
    <w:rsid w:val="00963AFC"/>
    <w:rsid w:val="00966CA7"/>
    <w:rsid w:val="009869BD"/>
    <w:rsid w:val="00986D12"/>
    <w:rsid w:val="00990694"/>
    <w:rsid w:val="00992216"/>
    <w:rsid w:val="00992593"/>
    <w:rsid w:val="00995F32"/>
    <w:rsid w:val="00997B05"/>
    <w:rsid w:val="009A0A94"/>
    <w:rsid w:val="009A6076"/>
    <w:rsid w:val="009A6E62"/>
    <w:rsid w:val="009B45B1"/>
    <w:rsid w:val="009C143F"/>
    <w:rsid w:val="009C3B89"/>
    <w:rsid w:val="009C4D7B"/>
    <w:rsid w:val="009C6CEF"/>
    <w:rsid w:val="009D028A"/>
    <w:rsid w:val="009D2E71"/>
    <w:rsid w:val="009D4300"/>
    <w:rsid w:val="009D5DFA"/>
    <w:rsid w:val="009E0859"/>
    <w:rsid w:val="009E08C3"/>
    <w:rsid w:val="009E59FC"/>
    <w:rsid w:val="009E6493"/>
    <w:rsid w:val="009E6DCB"/>
    <w:rsid w:val="009F3337"/>
    <w:rsid w:val="009F3E1D"/>
    <w:rsid w:val="009F531B"/>
    <w:rsid w:val="009F53A8"/>
    <w:rsid w:val="00A0665D"/>
    <w:rsid w:val="00A07977"/>
    <w:rsid w:val="00A10F8A"/>
    <w:rsid w:val="00A23E0F"/>
    <w:rsid w:val="00A26E58"/>
    <w:rsid w:val="00A26F93"/>
    <w:rsid w:val="00A27B42"/>
    <w:rsid w:val="00A30BF9"/>
    <w:rsid w:val="00A31837"/>
    <w:rsid w:val="00A343F3"/>
    <w:rsid w:val="00A3467E"/>
    <w:rsid w:val="00A34936"/>
    <w:rsid w:val="00A36EB0"/>
    <w:rsid w:val="00A50AB7"/>
    <w:rsid w:val="00A5345E"/>
    <w:rsid w:val="00A53A90"/>
    <w:rsid w:val="00A55530"/>
    <w:rsid w:val="00A60A03"/>
    <w:rsid w:val="00A62271"/>
    <w:rsid w:val="00A648AD"/>
    <w:rsid w:val="00A65BF5"/>
    <w:rsid w:val="00A6646B"/>
    <w:rsid w:val="00A70409"/>
    <w:rsid w:val="00A72292"/>
    <w:rsid w:val="00A741CD"/>
    <w:rsid w:val="00A80886"/>
    <w:rsid w:val="00A81224"/>
    <w:rsid w:val="00A850EB"/>
    <w:rsid w:val="00A85899"/>
    <w:rsid w:val="00A8681E"/>
    <w:rsid w:val="00A86BC8"/>
    <w:rsid w:val="00A911E9"/>
    <w:rsid w:val="00A96552"/>
    <w:rsid w:val="00A96E97"/>
    <w:rsid w:val="00AA005F"/>
    <w:rsid w:val="00AA20A9"/>
    <w:rsid w:val="00AA4D3F"/>
    <w:rsid w:val="00AB3491"/>
    <w:rsid w:val="00AB6C62"/>
    <w:rsid w:val="00AB7665"/>
    <w:rsid w:val="00AC0BDB"/>
    <w:rsid w:val="00AC792F"/>
    <w:rsid w:val="00AD117F"/>
    <w:rsid w:val="00AD13D6"/>
    <w:rsid w:val="00AD5120"/>
    <w:rsid w:val="00AE054F"/>
    <w:rsid w:val="00AE0A19"/>
    <w:rsid w:val="00AE1C99"/>
    <w:rsid w:val="00AE2A68"/>
    <w:rsid w:val="00AE596D"/>
    <w:rsid w:val="00AE679F"/>
    <w:rsid w:val="00AE76D8"/>
    <w:rsid w:val="00AF2339"/>
    <w:rsid w:val="00AF3222"/>
    <w:rsid w:val="00AF34C2"/>
    <w:rsid w:val="00AF6D40"/>
    <w:rsid w:val="00B01E8D"/>
    <w:rsid w:val="00B02362"/>
    <w:rsid w:val="00B037C9"/>
    <w:rsid w:val="00B0715F"/>
    <w:rsid w:val="00B144B8"/>
    <w:rsid w:val="00B20F0E"/>
    <w:rsid w:val="00B21048"/>
    <w:rsid w:val="00B22258"/>
    <w:rsid w:val="00B26060"/>
    <w:rsid w:val="00B342BF"/>
    <w:rsid w:val="00B45C50"/>
    <w:rsid w:val="00B4653C"/>
    <w:rsid w:val="00B469F7"/>
    <w:rsid w:val="00B53290"/>
    <w:rsid w:val="00B53E24"/>
    <w:rsid w:val="00B54A45"/>
    <w:rsid w:val="00B55D8C"/>
    <w:rsid w:val="00B569FF"/>
    <w:rsid w:val="00B608B9"/>
    <w:rsid w:val="00B62F83"/>
    <w:rsid w:val="00B64FCF"/>
    <w:rsid w:val="00B7148A"/>
    <w:rsid w:val="00B738D0"/>
    <w:rsid w:val="00B759B0"/>
    <w:rsid w:val="00B769BB"/>
    <w:rsid w:val="00B77DC6"/>
    <w:rsid w:val="00B82397"/>
    <w:rsid w:val="00B8262C"/>
    <w:rsid w:val="00B85130"/>
    <w:rsid w:val="00B867D7"/>
    <w:rsid w:val="00B91A2F"/>
    <w:rsid w:val="00B950B7"/>
    <w:rsid w:val="00B96E02"/>
    <w:rsid w:val="00B96FBF"/>
    <w:rsid w:val="00B97765"/>
    <w:rsid w:val="00BA0682"/>
    <w:rsid w:val="00BA113A"/>
    <w:rsid w:val="00BA579C"/>
    <w:rsid w:val="00BA6CC8"/>
    <w:rsid w:val="00BA723C"/>
    <w:rsid w:val="00BA7699"/>
    <w:rsid w:val="00BB513D"/>
    <w:rsid w:val="00BB712B"/>
    <w:rsid w:val="00BC1C52"/>
    <w:rsid w:val="00BC5531"/>
    <w:rsid w:val="00BC6B6A"/>
    <w:rsid w:val="00BD2686"/>
    <w:rsid w:val="00BD4AC5"/>
    <w:rsid w:val="00BD5C99"/>
    <w:rsid w:val="00BD788D"/>
    <w:rsid w:val="00BE3A60"/>
    <w:rsid w:val="00BE7E0A"/>
    <w:rsid w:val="00BF0B88"/>
    <w:rsid w:val="00BF32C1"/>
    <w:rsid w:val="00BF7B85"/>
    <w:rsid w:val="00C01C93"/>
    <w:rsid w:val="00C03838"/>
    <w:rsid w:val="00C140E4"/>
    <w:rsid w:val="00C1475B"/>
    <w:rsid w:val="00C152F4"/>
    <w:rsid w:val="00C15459"/>
    <w:rsid w:val="00C23696"/>
    <w:rsid w:val="00C259A6"/>
    <w:rsid w:val="00C278C4"/>
    <w:rsid w:val="00C3043A"/>
    <w:rsid w:val="00C33CA9"/>
    <w:rsid w:val="00C43FA7"/>
    <w:rsid w:val="00C459E6"/>
    <w:rsid w:val="00C53F88"/>
    <w:rsid w:val="00C5758A"/>
    <w:rsid w:val="00C62E89"/>
    <w:rsid w:val="00C66A06"/>
    <w:rsid w:val="00C71716"/>
    <w:rsid w:val="00C72B84"/>
    <w:rsid w:val="00C75D98"/>
    <w:rsid w:val="00C80905"/>
    <w:rsid w:val="00C80BEF"/>
    <w:rsid w:val="00C843E5"/>
    <w:rsid w:val="00C9429A"/>
    <w:rsid w:val="00CA00EB"/>
    <w:rsid w:val="00CA137C"/>
    <w:rsid w:val="00CA1690"/>
    <w:rsid w:val="00CA4178"/>
    <w:rsid w:val="00CA4BC2"/>
    <w:rsid w:val="00CB5B73"/>
    <w:rsid w:val="00CC283F"/>
    <w:rsid w:val="00CC5218"/>
    <w:rsid w:val="00CC5E60"/>
    <w:rsid w:val="00CC738F"/>
    <w:rsid w:val="00CC79F6"/>
    <w:rsid w:val="00CD0FAF"/>
    <w:rsid w:val="00CD564C"/>
    <w:rsid w:val="00CD5885"/>
    <w:rsid w:val="00CD5B9E"/>
    <w:rsid w:val="00CD7674"/>
    <w:rsid w:val="00CE41A0"/>
    <w:rsid w:val="00CE4287"/>
    <w:rsid w:val="00CE62E5"/>
    <w:rsid w:val="00CF0621"/>
    <w:rsid w:val="00CF1F16"/>
    <w:rsid w:val="00CF3595"/>
    <w:rsid w:val="00CF7ECF"/>
    <w:rsid w:val="00D014DE"/>
    <w:rsid w:val="00D01A7A"/>
    <w:rsid w:val="00D041B7"/>
    <w:rsid w:val="00D04432"/>
    <w:rsid w:val="00D0699C"/>
    <w:rsid w:val="00D06E4C"/>
    <w:rsid w:val="00D1053F"/>
    <w:rsid w:val="00D127CE"/>
    <w:rsid w:val="00D2020F"/>
    <w:rsid w:val="00D206F7"/>
    <w:rsid w:val="00D24687"/>
    <w:rsid w:val="00D4010B"/>
    <w:rsid w:val="00D402C8"/>
    <w:rsid w:val="00D41B03"/>
    <w:rsid w:val="00D4306E"/>
    <w:rsid w:val="00D43AA4"/>
    <w:rsid w:val="00D5068D"/>
    <w:rsid w:val="00D51325"/>
    <w:rsid w:val="00D524BD"/>
    <w:rsid w:val="00D537F1"/>
    <w:rsid w:val="00D53B0F"/>
    <w:rsid w:val="00D56FBE"/>
    <w:rsid w:val="00D57D1A"/>
    <w:rsid w:val="00D605F3"/>
    <w:rsid w:val="00D671C7"/>
    <w:rsid w:val="00D72644"/>
    <w:rsid w:val="00D73459"/>
    <w:rsid w:val="00D81493"/>
    <w:rsid w:val="00D8307C"/>
    <w:rsid w:val="00D85432"/>
    <w:rsid w:val="00D870E9"/>
    <w:rsid w:val="00D87161"/>
    <w:rsid w:val="00D87690"/>
    <w:rsid w:val="00D90B25"/>
    <w:rsid w:val="00D910EC"/>
    <w:rsid w:val="00D9246B"/>
    <w:rsid w:val="00D94D1C"/>
    <w:rsid w:val="00DA23E4"/>
    <w:rsid w:val="00DA282D"/>
    <w:rsid w:val="00DA3BAF"/>
    <w:rsid w:val="00DA69F5"/>
    <w:rsid w:val="00DC057F"/>
    <w:rsid w:val="00DC731B"/>
    <w:rsid w:val="00DC7E9F"/>
    <w:rsid w:val="00DD24E4"/>
    <w:rsid w:val="00DD3A68"/>
    <w:rsid w:val="00DD3FF3"/>
    <w:rsid w:val="00DD6AEA"/>
    <w:rsid w:val="00DD6C65"/>
    <w:rsid w:val="00DE0406"/>
    <w:rsid w:val="00DE06B6"/>
    <w:rsid w:val="00DE150C"/>
    <w:rsid w:val="00DE2354"/>
    <w:rsid w:val="00DE2717"/>
    <w:rsid w:val="00DE2C49"/>
    <w:rsid w:val="00DE40E3"/>
    <w:rsid w:val="00DE61D5"/>
    <w:rsid w:val="00DF1963"/>
    <w:rsid w:val="00DF2CEA"/>
    <w:rsid w:val="00DF3F40"/>
    <w:rsid w:val="00DF40DC"/>
    <w:rsid w:val="00DF4500"/>
    <w:rsid w:val="00DF71DE"/>
    <w:rsid w:val="00DF78E3"/>
    <w:rsid w:val="00E04AEC"/>
    <w:rsid w:val="00E0501E"/>
    <w:rsid w:val="00E152A8"/>
    <w:rsid w:val="00E16969"/>
    <w:rsid w:val="00E2050C"/>
    <w:rsid w:val="00E21AC6"/>
    <w:rsid w:val="00E23211"/>
    <w:rsid w:val="00E239B5"/>
    <w:rsid w:val="00E23D36"/>
    <w:rsid w:val="00E24A7C"/>
    <w:rsid w:val="00E25B2A"/>
    <w:rsid w:val="00E27A53"/>
    <w:rsid w:val="00E43C24"/>
    <w:rsid w:val="00E45060"/>
    <w:rsid w:val="00E5076D"/>
    <w:rsid w:val="00E54AB8"/>
    <w:rsid w:val="00E57395"/>
    <w:rsid w:val="00E615A6"/>
    <w:rsid w:val="00E63298"/>
    <w:rsid w:val="00E6436C"/>
    <w:rsid w:val="00E70C90"/>
    <w:rsid w:val="00E71B99"/>
    <w:rsid w:val="00E71C36"/>
    <w:rsid w:val="00E72098"/>
    <w:rsid w:val="00E76B0E"/>
    <w:rsid w:val="00E825AB"/>
    <w:rsid w:val="00E918E8"/>
    <w:rsid w:val="00E94CE6"/>
    <w:rsid w:val="00E965FE"/>
    <w:rsid w:val="00EA0EA8"/>
    <w:rsid w:val="00EB1869"/>
    <w:rsid w:val="00EB1DFA"/>
    <w:rsid w:val="00EB2331"/>
    <w:rsid w:val="00EB47A0"/>
    <w:rsid w:val="00EB4BCD"/>
    <w:rsid w:val="00EB5E97"/>
    <w:rsid w:val="00EB6079"/>
    <w:rsid w:val="00EB6AB7"/>
    <w:rsid w:val="00EC27A6"/>
    <w:rsid w:val="00EC3B8B"/>
    <w:rsid w:val="00EC43F4"/>
    <w:rsid w:val="00EC4C3C"/>
    <w:rsid w:val="00EC7ECD"/>
    <w:rsid w:val="00ED22B2"/>
    <w:rsid w:val="00EE0B7F"/>
    <w:rsid w:val="00EE0C43"/>
    <w:rsid w:val="00EE2239"/>
    <w:rsid w:val="00EE7ED4"/>
    <w:rsid w:val="00EF4786"/>
    <w:rsid w:val="00EF7FA6"/>
    <w:rsid w:val="00F06204"/>
    <w:rsid w:val="00F11DD1"/>
    <w:rsid w:val="00F1517C"/>
    <w:rsid w:val="00F15199"/>
    <w:rsid w:val="00F173C1"/>
    <w:rsid w:val="00F1788D"/>
    <w:rsid w:val="00F215BE"/>
    <w:rsid w:val="00F21A19"/>
    <w:rsid w:val="00F22D94"/>
    <w:rsid w:val="00F23E70"/>
    <w:rsid w:val="00F242B5"/>
    <w:rsid w:val="00F25955"/>
    <w:rsid w:val="00F27B44"/>
    <w:rsid w:val="00F31ECC"/>
    <w:rsid w:val="00F322FE"/>
    <w:rsid w:val="00F34699"/>
    <w:rsid w:val="00F34B79"/>
    <w:rsid w:val="00F35833"/>
    <w:rsid w:val="00F35A9D"/>
    <w:rsid w:val="00F3643F"/>
    <w:rsid w:val="00F36AD2"/>
    <w:rsid w:val="00F509C8"/>
    <w:rsid w:val="00F54544"/>
    <w:rsid w:val="00F546D9"/>
    <w:rsid w:val="00F6521D"/>
    <w:rsid w:val="00F768BC"/>
    <w:rsid w:val="00F80B4F"/>
    <w:rsid w:val="00F81E44"/>
    <w:rsid w:val="00F8557C"/>
    <w:rsid w:val="00F85FF6"/>
    <w:rsid w:val="00F91FCF"/>
    <w:rsid w:val="00F97D2D"/>
    <w:rsid w:val="00FA60E3"/>
    <w:rsid w:val="00FA68EA"/>
    <w:rsid w:val="00FB0652"/>
    <w:rsid w:val="00FB198E"/>
    <w:rsid w:val="00FB2830"/>
    <w:rsid w:val="00FB467A"/>
    <w:rsid w:val="00FB5457"/>
    <w:rsid w:val="00FB6FE0"/>
    <w:rsid w:val="00FB7AE2"/>
    <w:rsid w:val="00FC023F"/>
    <w:rsid w:val="00FC08A1"/>
    <w:rsid w:val="00FC5734"/>
    <w:rsid w:val="00FC6386"/>
    <w:rsid w:val="00FC69CA"/>
    <w:rsid w:val="00FD01B4"/>
    <w:rsid w:val="00FD01F8"/>
    <w:rsid w:val="00FD284C"/>
    <w:rsid w:val="00FD51A0"/>
    <w:rsid w:val="00FD6F06"/>
    <w:rsid w:val="00FD7612"/>
    <w:rsid w:val="00FE0D84"/>
    <w:rsid w:val="00FE11F5"/>
    <w:rsid w:val="00FE13BA"/>
    <w:rsid w:val="00FE276B"/>
    <w:rsid w:val="00FE7695"/>
    <w:rsid w:val="00FF0C8E"/>
    <w:rsid w:val="00FF194E"/>
    <w:rsid w:val="00FF3F4D"/>
    <w:rsid w:val="00FF61B4"/>
    <w:rsid w:val="00FF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59900A9"/>
  <w15:docId w15:val="{9FA067AC-8028-40FA-AABC-E36D4D5C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61C"/>
    <w:rPr>
      <w:sz w:val="24"/>
      <w:szCs w:val="24"/>
      <w:lang w:eastAsia="en-AU"/>
    </w:rPr>
  </w:style>
  <w:style w:type="paragraph" w:styleId="Heading2">
    <w:name w:val="heading 2"/>
    <w:basedOn w:val="Normal"/>
    <w:next w:val="Normal"/>
    <w:qFormat/>
    <w:rsid w:val="001475EF"/>
    <w:pPr>
      <w:keepNext/>
      <w:spacing w:before="240" w:after="60"/>
      <w:outlineLvl w:val="1"/>
    </w:pPr>
    <w:rPr>
      <w:rFonts w:ascii="Arial" w:hAnsi="Arial" w:cs="Arial"/>
      <w:b/>
      <w:bCs/>
      <w:i/>
      <w:iCs/>
      <w:sz w:val="28"/>
      <w:szCs w:val="28"/>
      <w:lang w:eastAsia="en-GB"/>
    </w:rPr>
  </w:style>
  <w:style w:type="paragraph" w:styleId="Heading3">
    <w:name w:val="heading 3"/>
    <w:basedOn w:val="Normal"/>
    <w:next w:val="Normal"/>
    <w:qFormat/>
    <w:rsid w:val="00A96E9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0B60"/>
    <w:pPr>
      <w:tabs>
        <w:tab w:val="center" w:pos="4153"/>
        <w:tab w:val="right" w:pos="8306"/>
      </w:tabs>
    </w:pPr>
  </w:style>
  <w:style w:type="paragraph" w:styleId="Footer">
    <w:name w:val="footer"/>
    <w:basedOn w:val="Normal"/>
    <w:rsid w:val="003B0B60"/>
    <w:pPr>
      <w:tabs>
        <w:tab w:val="center" w:pos="4153"/>
        <w:tab w:val="right" w:pos="8306"/>
      </w:tabs>
    </w:pPr>
  </w:style>
  <w:style w:type="paragraph" w:styleId="BalloonText">
    <w:name w:val="Balloon Text"/>
    <w:basedOn w:val="Normal"/>
    <w:semiHidden/>
    <w:rsid w:val="00E21AC6"/>
    <w:rPr>
      <w:rFonts w:ascii="Tahoma" w:hAnsi="Tahoma" w:cs="Tahoma"/>
      <w:sz w:val="16"/>
      <w:szCs w:val="16"/>
    </w:rPr>
  </w:style>
  <w:style w:type="paragraph" w:customStyle="1" w:styleId="Char">
    <w:name w:val="Char"/>
    <w:basedOn w:val="Normal"/>
    <w:rsid w:val="0031261C"/>
    <w:pPr>
      <w:spacing w:after="160" w:line="240" w:lineRule="exact"/>
    </w:pPr>
    <w:rPr>
      <w:rFonts w:ascii="Verdana" w:hAnsi="Verdana"/>
      <w:sz w:val="22"/>
      <w:szCs w:val="20"/>
      <w:lang w:eastAsia="en-US"/>
    </w:rPr>
  </w:style>
  <w:style w:type="character" w:styleId="PageNumber">
    <w:name w:val="page number"/>
    <w:basedOn w:val="DefaultParagraphFont"/>
    <w:rsid w:val="00887A82"/>
  </w:style>
  <w:style w:type="paragraph" w:styleId="BodyText">
    <w:name w:val="Body Text"/>
    <w:basedOn w:val="Normal"/>
    <w:rsid w:val="0020617F"/>
    <w:pPr>
      <w:autoSpaceDE w:val="0"/>
      <w:autoSpaceDN w:val="0"/>
      <w:adjustRightInd w:val="0"/>
      <w:jc w:val="both"/>
    </w:pPr>
    <w:rPr>
      <w:rFonts w:ascii="Arial" w:hAnsi="Arial" w:cs="Arial"/>
      <w:bCs/>
      <w:color w:val="FF0000"/>
      <w:sz w:val="22"/>
      <w:szCs w:val="22"/>
      <w:lang w:val="en-AU"/>
    </w:rPr>
  </w:style>
  <w:style w:type="paragraph" w:customStyle="1" w:styleId="Default">
    <w:name w:val="Default"/>
    <w:rsid w:val="0020617F"/>
    <w:pPr>
      <w:autoSpaceDE w:val="0"/>
      <w:autoSpaceDN w:val="0"/>
      <w:adjustRightInd w:val="0"/>
    </w:pPr>
    <w:rPr>
      <w:rFonts w:ascii="Arial" w:hAnsi="Arial" w:cs="Arial"/>
      <w:color w:val="000000"/>
      <w:sz w:val="24"/>
      <w:szCs w:val="24"/>
    </w:rPr>
  </w:style>
  <w:style w:type="character" w:customStyle="1" w:styleId="EmailStyle221">
    <w:name w:val="EmailStyle221"/>
    <w:basedOn w:val="DefaultParagraphFont"/>
    <w:semiHidden/>
    <w:rsid w:val="001F6536"/>
    <w:rPr>
      <w:rFonts w:ascii="Arial" w:hAnsi="Arial" w:cs="Arial"/>
      <w:color w:val="auto"/>
      <w:sz w:val="20"/>
      <w:szCs w:val="20"/>
    </w:rPr>
  </w:style>
  <w:style w:type="paragraph" w:styleId="BodyText3">
    <w:name w:val="Body Text 3"/>
    <w:basedOn w:val="Normal"/>
    <w:rsid w:val="00B96FBF"/>
    <w:pPr>
      <w:spacing w:after="120"/>
    </w:pPr>
    <w:rPr>
      <w:sz w:val="16"/>
      <w:szCs w:val="16"/>
      <w:lang w:eastAsia="en-GB"/>
    </w:rPr>
  </w:style>
  <w:style w:type="paragraph" w:customStyle="1" w:styleId="HRtable">
    <w:name w:val="HRtable"/>
    <w:basedOn w:val="Heading3"/>
    <w:rsid w:val="00A96E97"/>
    <w:pPr>
      <w:keepNext w:val="0"/>
      <w:spacing w:before="0" w:after="0"/>
      <w:outlineLvl w:val="9"/>
    </w:pPr>
    <w:rPr>
      <w:b w:val="0"/>
      <w:bCs w:val="0"/>
      <w:color w:val="000000"/>
      <w:sz w:val="20"/>
      <w:szCs w:val="20"/>
      <w:lang w:eastAsia="en-US"/>
    </w:rPr>
  </w:style>
  <w:style w:type="paragraph" w:styleId="FootnoteText">
    <w:name w:val="footnote text"/>
    <w:basedOn w:val="Normal"/>
    <w:semiHidden/>
    <w:rsid w:val="00422048"/>
    <w:rPr>
      <w:sz w:val="20"/>
      <w:szCs w:val="20"/>
    </w:rPr>
  </w:style>
  <w:style w:type="character" w:styleId="FootnoteReference">
    <w:name w:val="footnote reference"/>
    <w:basedOn w:val="DefaultParagraphFont"/>
    <w:semiHidden/>
    <w:rsid w:val="00422048"/>
    <w:rPr>
      <w:vertAlign w:val="superscript"/>
    </w:rPr>
  </w:style>
  <w:style w:type="character" w:styleId="Hyperlink">
    <w:name w:val="Hyperlink"/>
    <w:basedOn w:val="DefaultParagraphFont"/>
    <w:rsid w:val="00422048"/>
    <w:rPr>
      <w:color w:val="0000FF"/>
      <w:u w:val="single"/>
    </w:rPr>
  </w:style>
  <w:style w:type="character" w:styleId="FollowedHyperlink">
    <w:name w:val="FollowedHyperlink"/>
    <w:basedOn w:val="DefaultParagraphFont"/>
    <w:rsid w:val="00422048"/>
    <w:rPr>
      <w:color w:val="800080"/>
      <w:u w:val="single"/>
    </w:rPr>
  </w:style>
  <w:style w:type="paragraph" w:styleId="ListParagraph">
    <w:name w:val="List Paragraph"/>
    <w:basedOn w:val="Normal"/>
    <w:uiPriority w:val="34"/>
    <w:qFormat/>
    <w:rsid w:val="00062C53"/>
    <w:pPr>
      <w:ind w:left="720"/>
    </w:pPr>
    <w:rPr>
      <w:rFonts w:ascii="Calibri" w:eastAsia="Calibri" w:hAnsi="Calibri" w:cs="Calibri"/>
      <w:sz w:val="22"/>
      <w:szCs w:val="22"/>
      <w:lang w:eastAsia="en-GB"/>
    </w:rPr>
  </w:style>
  <w:style w:type="table" w:styleId="TableGrid">
    <w:name w:val="Table Grid"/>
    <w:basedOn w:val="TableNormal"/>
    <w:uiPriority w:val="39"/>
    <w:rsid w:val="00266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8463">
      <w:bodyDiv w:val="1"/>
      <w:marLeft w:val="0"/>
      <w:marRight w:val="0"/>
      <w:marTop w:val="0"/>
      <w:marBottom w:val="0"/>
      <w:divBdr>
        <w:top w:val="none" w:sz="0" w:space="0" w:color="auto"/>
        <w:left w:val="none" w:sz="0" w:space="0" w:color="auto"/>
        <w:bottom w:val="none" w:sz="0" w:space="0" w:color="auto"/>
        <w:right w:val="none" w:sz="0" w:space="0" w:color="auto"/>
      </w:divBdr>
    </w:div>
    <w:div w:id="108550412">
      <w:bodyDiv w:val="1"/>
      <w:marLeft w:val="0"/>
      <w:marRight w:val="0"/>
      <w:marTop w:val="0"/>
      <w:marBottom w:val="0"/>
      <w:divBdr>
        <w:top w:val="none" w:sz="0" w:space="0" w:color="auto"/>
        <w:left w:val="none" w:sz="0" w:space="0" w:color="auto"/>
        <w:bottom w:val="none" w:sz="0" w:space="0" w:color="auto"/>
        <w:right w:val="none" w:sz="0" w:space="0" w:color="auto"/>
      </w:divBdr>
    </w:div>
    <w:div w:id="174806654">
      <w:bodyDiv w:val="1"/>
      <w:marLeft w:val="0"/>
      <w:marRight w:val="0"/>
      <w:marTop w:val="0"/>
      <w:marBottom w:val="0"/>
      <w:divBdr>
        <w:top w:val="none" w:sz="0" w:space="0" w:color="auto"/>
        <w:left w:val="none" w:sz="0" w:space="0" w:color="auto"/>
        <w:bottom w:val="none" w:sz="0" w:space="0" w:color="auto"/>
        <w:right w:val="none" w:sz="0" w:space="0" w:color="auto"/>
      </w:divBdr>
    </w:div>
    <w:div w:id="237789994">
      <w:bodyDiv w:val="1"/>
      <w:marLeft w:val="0"/>
      <w:marRight w:val="0"/>
      <w:marTop w:val="0"/>
      <w:marBottom w:val="0"/>
      <w:divBdr>
        <w:top w:val="none" w:sz="0" w:space="0" w:color="auto"/>
        <w:left w:val="none" w:sz="0" w:space="0" w:color="auto"/>
        <w:bottom w:val="none" w:sz="0" w:space="0" w:color="auto"/>
        <w:right w:val="none" w:sz="0" w:space="0" w:color="auto"/>
      </w:divBdr>
    </w:div>
    <w:div w:id="276909641">
      <w:bodyDiv w:val="1"/>
      <w:marLeft w:val="0"/>
      <w:marRight w:val="0"/>
      <w:marTop w:val="0"/>
      <w:marBottom w:val="0"/>
      <w:divBdr>
        <w:top w:val="none" w:sz="0" w:space="0" w:color="auto"/>
        <w:left w:val="none" w:sz="0" w:space="0" w:color="auto"/>
        <w:bottom w:val="none" w:sz="0" w:space="0" w:color="auto"/>
        <w:right w:val="none" w:sz="0" w:space="0" w:color="auto"/>
      </w:divBdr>
    </w:div>
    <w:div w:id="289361377">
      <w:bodyDiv w:val="1"/>
      <w:marLeft w:val="0"/>
      <w:marRight w:val="0"/>
      <w:marTop w:val="0"/>
      <w:marBottom w:val="0"/>
      <w:divBdr>
        <w:top w:val="none" w:sz="0" w:space="0" w:color="auto"/>
        <w:left w:val="none" w:sz="0" w:space="0" w:color="auto"/>
        <w:bottom w:val="none" w:sz="0" w:space="0" w:color="auto"/>
        <w:right w:val="none" w:sz="0" w:space="0" w:color="auto"/>
      </w:divBdr>
    </w:div>
    <w:div w:id="436288978">
      <w:bodyDiv w:val="1"/>
      <w:marLeft w:val="0"/>
      <w:marRight w:val="0"/>
      <w:marTop w:val="0"/>
      <w:marBottom w:val="0"/>
      <w:divBdr>
        <w:top w:val="none" w:sz="0" w:space="0" w:color="auto"/>
        <w:left w:val="none" w:sz="0" w:space="0" w:color="auto"/>
        <w:bottom w:val="none" w:sz="0" w:space="0" w:color="auto"/>
        <w:right w:val="none" w:sz="0" w:space="0" w:color="auto"/>
      </w:divBdr>
    </w:div>
    <w:div w:id="518158271">
      <w:bodyDiv w:val="1"/>
      <w:marLeft w:val="0"/>
      <w:marRight w:val="0"/>
      <w:marTop w:val="0"/>
      <w:marBottom w:val="0"/>
      <w:divBdr>
        <w:top w:val="none" w:sz="0" w:space="0" w:color="auto"/>
        <w:left w:val="none" w:sz="0" w:space="0" w:color="auto"/>
        <w:bottom w:val="none" w:sz="0" w:space="0" w:color="auto"/>
        <w:right w:val="none" w:sz="0" w:space="0" w:color="auto"/>
      </w:divBdr>
    </w:div>
    <w:div w:id="522089233">
      <w:bodyDiv w:val="1"/>
      <w:marLeft w:val="0"/>
      <w:marRight w:val="0"/>
      <w:marTop w:val="0"/>
      <w:marBottom w:val="0"/>
      <w:divBdr>
        <w:top w:val="none" w:sz="0" w:space="0" w:color="auto"/>
        <w:left w:val="none" w:sz="0" w:space="0" w:color="auto"/>
        <w:bottom w:val="none" w:sz="0" w:space="0" w:color="auto"/>
        <w:right w:val="none" w:sz="0" w:space="0" w:color="auto"/>
      </w:divBdr>
    </w:div>
    <w:div w:id="611473625">
      <w:bodyDiv w:val="1"/>
      <w:marLeft w:val="0"/>
      <w:marRight w:val="0"/>
      <w:marTop w:val="0"/>
      <w:marBottom w:val="0"/>
      <w:divBdr>
        <w:top w:val="none" w:sz="0" w:space="0" w:color="auto"/>
        <w:left w:val="none" w:sz="0" w:space="0" w:color="auto"/>
        <w:bottom w:val="none" w:sz="0" w:space="0" w:color="auto"/>
        <w:right w:val="none" w:sz="0" w:space="0" w:color="auto"/>
      </w:divBdr>
    </w:div>
    <w:div w:id="683898355">
      <w:bodyDiv w:val="1"/>
      <w:marLeft w:val="0"/>
      <w:marRight w:val="0"/>
      <w:marTop w:val="0"/>
      <w:marBottom w:val="0"/>
      <w:divBdr>
        <w:top w:val="none" w:sz="0" w:space="0" w:color="auto"/>
        <w:left w:val="none" w:sz="0" w:space="0" w:color="auto"/>
        <w:bottom w:val="none" w:sz="0" w:space="0" w:color="auto"/>
        <w:right w:val="none" w:sz="0" w:space="0" w:color="auto"/>
      </w:divBdr>
    </w:div>
    <w:div w:id="736977625">
      <w:bodyDiv w:val="1"/>
      <w:marLeft w:val="0"/>
      <w:marRight w:val="0"/>
      <w:marTop w:val="0"/>
      <w:marBottom w:val="0"/>
      <w:divBdr>
        <w:top w:val="none" w:sz="0" w:space="0" w:color="auto"/>
        <w:left w:val="none" w:sz="0" w:space="0" w:color="auto"/>
        <w:bottom w:val="none" w:sz="0" w:space="0" w:color="auto"/>
        <w:right w:val="none" w:sz="0" w:space="0" w:color="auto"/>
      </w:divBdr>
    </w:div>
    <w:div w:id="838929166">
      <w:bodyDiv w:val="1"/>
      <w:marLeft w:val="0"/>
      <w:marRight w:val="0"/>
      <w:marTop w:val="0"/>
      <w:marBottom w:val="0"/>
      <w:divBdr>
        <w:top w:val="none" w:sz="0" w:space="0" w:color="auto"/>
        <w:left w:val="none" w:sz="0" w:space="0" w:color="auto"/>
        <w:bottom w:val="none" w:sz="0" w:space="0" w:color="auto"/>
        <w:right w:val="none" w:sz="0" w:space="0" w:color="auto"/>
      </w:divBdr>
    </w:div>
    <w:div w:id="919413367">
      <w:bodyDiv w:val="1"/>
      <w:marLeft w:val="0"/>
      <w:marRight w:val="0"/>
      <w:marTop w:val="0"/>
      <w:marBottom w:val="0"/>
      <w:divBdr>
        <w:top w:val="none" w:sz="0" w:space="0" w:color="auto"/>
        <w:left w:val="none" w:sz="0" w:space="0" w:color="auto"/>
        <w:bottom w:val="none" w:sz="0" w:space="0" w:color="auto"/>
        <w:right w:val="none" w:sz="0" w:space="0" w:color="auto"/>
      </w:divBdr>
    </w:div>
    <w:div w:id="960577482">
      <w:bodyDiv w:val="1"/>
      <w:marLeft w:val="0"/>
      <w:marRight w:val="0"/>
      <w:marTop w:val="0"/>
      <w:marBottom w:val="0"/>
      <w:divBdr>
        <w:top w:val="none" w:sz="0" w:space="0" w:color="auto"/>
        <w:left w:val="none" w:sz="0" w:space="0" w:color="auto"/>
        <w:bottom w:val="none" w:sz="0" w:space="0" w:color="auto"/>
        <w:right w:val="none" w:sz="0" w:space="0" w:color="auto"/>
      </w:divBdr>
    </w:div>
    <w:div w:id="961377951">
      <w:bodyDiv w:val="1"/>
      <w:marLeft w:val="0"/>
      <w:marRight w:val="0"/>
      <w:marTop w:val="0"/>
      <w:marBottom w:val="0"/>
      <w:divBdr>
        <w:top w:val="none" w:sz="0" w:space="0" w:color="auto"/>
        <w:left w:val="none" w:sz="0" w:space="0" w:color="auto"/>
        <w:bottom w:val="none" w:sz="0" w:space="0" w:color="auto"/>
        <w:right w:val="none" w:sz="0" w:space="0" w:color="auto"/>
      </w:divBdr>
      <w:divsChild>
        <w:div w:id="50662424">
          <w:marLeft w:val="0"/>
          <w:marRight w:val="0"/>
          <w:marTop w:val="0"/>
          <w:marBottom w:val="0"/>
          <w:divBdr>
            <w:top w:val="none" w:sz="0" w:space="0" w:color="auto"/>
            <w:left w:val="none" w:sz="0" w:space="0" w:color="auto"/>
            <w:bottom w:val="none" w:sz="0" w:space="0" w:color="auto"/>
            <w:right w:val="none" w:sz="0" w:space="0" w:color="auto"/>
          </w:divBdr>
        </w:div>
        <w:div w:id="637684814">
          <w:marLeft w:val="0"/>
          <w:marRight w:val="0"/>
          <w:marTop w:val="0"/>
          <w:marBottom w:val="0"/>
          <w:divBdr>
            <w:top w:val="none" w:sz="0" w:space="0" w:color="auto"/>
            <w:left w:val="none" w:sz="0" w:space="0" w:color="auto"/>
            <w:bottom w:val="none" w:sz="0" w:space="0" w:color="auto"/>
            <w:right w:val="none" w:sz="0" w:space="0" w:color="auto"/>
          </w:divBdr>
        </w:div>
        <w:div w:id="756750628">
          <w:marLeft w:val="0"/>
          <w:marRight w:val="0"/>
          <w:marTop w:val="0"/>
          <w:marBottom w:val="0"/>
          <w:divBdr>
            <w:top w:val="none" w:sz="0" w:space="0" w:color="auto"/>
            <w:left w:val="none" w:sz="0" w:space="0" w:color="auto"/>
            <w:bottom w:val="none" w:sz="0" w:space="0" w:color="auto"/>
            <w:right w:val="none" w:sz="0" w:space="0" w:color="auto"/>
          </w:divBdr>
        </w:div>
        <w:div w:id="1081757358">
          <w:marLeft w:val="0"/>
          <w:marRight w:val="0"/>
          <w:marTop w:val="0"/>
          <w:marBottom w:val="0"/>
          <w:divBdr>
            <w:top w:val="none" w:sz="0" w:space="0" w:color="auto"/>
            <w:left w:val="none" w:sz="0" w:space="0" w:color="auto"/>
            <w:bottom w:val="none" w:sz="0" w:space="0" w:color="auto"/>
            <w:right w:val="none" w:sz="0" w:space="0" w:color="auto"/>
          </w:divBdr>
        </w:div>
        <w:div w:id="1860582351">
          <w:marLeft w:val="0"/>
          <w:marRight w:val="0"/>
          <w:marTop w:val="0"/>
          <w:marBottom w:val="0"/>
          <w:divBdr>
            <w:top w:val="none" w:sz="0" w:space="0" w:color="auto"/>
            <w:left w:val="none" w:sz="0" w:space="0" w:color="auto"/>
            <w:bottom w:val="none" w:sz="0" w:space="0" w:color="auto"/>
            <w:right w:val="none" w:sz="0" w:space="0" w:color="auto"/>
          </w:divBdr>
        </w:div>
        <w:div w:id="2072388041">
          <w:marLeft w:val="0"/>
          <w:marRight w:val="0"/>
          <w:marTop w:val="0"/>
          <w:marBottom w:val="0"/>
          <w:divBdr>
            <w:top w:val="none" w:sz="0" w:space="0" w:color="auto"/>
            <w:left w:val="none" w:sz="0" w:space="0" w:color="auto"/>
            <w:bottom w:val="none" w:sz="0" w:space="0" w:color="auto"/>
            <w:right w:val="none" w:sz="0" w:space="0" w:color="auto"/>
          </w:divBdr>
        </w:div>
        <w:div w:id="2121996771">
          <w:marLeft w:val="0"/>
          <w:marRight w:val="0"/>
          <w:marTop w:val="0"/>
          <w:marBottom w:val="0"/>
          <w:divBdr>
            <w:top w:val="none" w:sz="0" w:space="0" w:color="auto"/>
            <w:left w:val="none" w:sz="0" w:space="0" w:color="auto"/>
            <w:bottom w:val="none" w:sz="0" w:space="0" w:color="auto"/>
            <w:right w:val="none" w:sz="0" w:space="0" w:color="auto"/>
          </w:divBdr>
        </w:div>
      </w:divsChild>
    </w:div>
    <w:div w:id="964045132">
      <w:bodyDiv w:val="1"/>
      <w:marLeft w:val="0"/>
      <w:marRight w:val="0"/>
      <w:marTop w:val="0"/>
      <w:marBottom w:val="0"/>
      <w:divBdr>
        <w:top w:val="none" w:sz="0" w:space="0" w:color="auto"/>
        <w:left w:val="none" w:sz="0" w:space="0" w:color="auto"/>
        <w:bottom w:val="none" w:sz="0" w:space="0" w:color="auto"/>
        <w:right w:val="none" w:sz="0" w:space="0" w:color="auto"/>
      </w:divBdr>
    </w:div>
    <w:div w:id="987827734">
      <w:bodyDiv w:val="1"/>
      <w:marLeft w:val="0"/>
      <w:marRight w:val="0"/>
      <w:marTop w:val="0"/>
      <w:marBottom w:val="0"/>
      <w:divBdr>
        <w:top w:val="none" w:sz="0" w:space="0" w:color="auto"/>
        <w:left w:val="none" w:sz="0" w:space="0" w:color="auto"/>
        <w:bottom w:val="none" w:sz="0" w:space="0" w:color="auto"/>
        <w:right w:val="none" w:sz="0" w:space="0" w:color="auto"/>
      </w:divBdr>
    </w:div>
    <w:div w:id="989021181">
      <w:bodyDiv w:val="1"/>
      <w:marLeft w:val="0"/>
      <w:marRight w:val="0"/>
      <w:marTop w:val="0"/>
      <w:marBottom w:val="0"/>
      <w:divBdr>
        <w:top w:val="none" w:sz="0" w:space="0" w:color="auto"/>
        <w:left w:val="none" w:sz="0" w:space="0" w:color="auto"/>
        <w:bottom w:val="none" w:sz="0" w:space="0" w:color="auto"/>
        <w:right w:val="none" w:sz="0" w:space="0" w:color="auto"/>
      </w:divBdr>
    </w:div>
    <w:div w:id="1121874574">
      <w:bodyDiv w:val="1"/>
      <w:marLeft w:val="0"/>
      <w:marRight w:val="0"/>
      <w:marTop w:val="0"/>
      <w:marBottom w:val="0"/>
      <w:divBdr>
        <w:top w:val="none" w:sz="0" w:space="0" w:color="auto"/>
        <w:left w:val="none" w:sz="0" w:space="0" w:color="auto"/>
        <w:bottom w:val="none" w:sz="0" w:space="0" w:color="auto"/>
        <w:right w:val="none" w:sz="0" w:space="0" w:color="auto"/>
      </w:divBdr>
    </w:div>
    <w:div w:id="1127158569">
      <w:bodyDiv w:val="1"/>
      <w:marLeft w:val="0"/>
      <w:marRight w:val="0"/>
      <w:marTop w:val="0"/>
      <w:marBottom w:val="0"/>
      <w:divBdr>
        <w:top w:val="none" w:sz="0" w:space="0" w:color="auto"/>
        <w:left w:val="none" w:sz="0" w:space="0" w:color="auto"/>
        <w:bottom w:val="none" w:sz="0" w:space="0" w:color="auto"/>
        <w:right w:val="none" w:sz="0" w:space="0" w:color="auto"/>
      </w:divBdr>
    </w:div>
    <w:div w:id="1220937997">
      <w:bodyDiv w:val="1"/>
      <w:marLeft w:val="0"/>
      <w:marRight w:val="0"/>
      <w:marTop w:val="0"/>
      <w:marBottom w:val="0"/>
      <w:divBdr>
        <w:top w:val="none" w:sz="0" w:space="0" w:color="auto"/>
        <w:left w:val="none" w:sz="0" w:space="0" w:color="auto"/>
        <w:bottom w:val="none" w:sz="0" w:space="0" w:color="auto"/>
        <w:right w:val="none" w:sz="0" w:space="0" w:color="auto"/>
      </w:divBdr>
    </w:div>
    <w:div w:id="1278832717">
      <w:bodyDiv w:val="1"/>
      <w:marLeft w:val="0"/>
      <w:marRight w:val="0"/>
      <w:marTop w:val="0"/>
      <w:marBottom w:val="0"/>
      <w:divBdr>
        <w:top w:val="none" w:sz="0" w:space="0" w:color="auto"/>
        <w:left w:val="none" w:sz="0" w:space="0" w:color="auto"/>
        <w:bottom w:val="none" w:sz="0" w:space="0" w:color="auto"/>
        <w:right w:val="none" w:sz="0" w:space="0" w:color="auto"/>
      </w:divBdr>
    </w:div>
    <w:div w:id="1353145516">
      <w:bodyDiv w:val="1"/>
      <w:marLeft w:val="0"/>
      <w:marRight w:val="0"/>
      <w:marTop w:val="0"/>
      <w:marBottom w:val="0"/>
      <w:divBdr>
        <w:top w:val="none" w:sz="0" w:space="0" w:color="auto"/>
        <w:left w:val="none" w:sz="0" w:space="0" w:color="auto"/>
        <w:bottom w:val="none" w:sz="0" w:space="0" w:color="auto"/>
        <w:right w:val="none" w:sz="0" w:space="0" w:color="auto"/>
      </w:divBdr>
    </w:div>
    <w:div w:id="1365209736">
      <w:bodyDiv w:val="1"/>
      <w:marLeft w:val="0"/>
      <w:marRight w:val="0"/>
      <w:marTop w:val="0"/>
      <w:marBottom w:val="0"/>
      <w:divBdr>
        <w:top w:val="none" w:sz="0" w:space="0" w:color="auto"/>
        <w:left w:val="none" w:sz="0" w:space="0" w:color="auto"/>
        <w:bottom w:val="none" w:sz="0" w:space="0" w:color="auto"/>
        <w:right w:val="none" w:sz="0" w:space="0" w:color="auto"/>
      </w:divBdr>
    </w:div>
    <w:div w:id="1457868457">
      <w:bodyDiv w:val="1"/>
      <w:marLeft w:val="0"/>
      <w:marRight w:val="0"/>
      <w:marTop w:val="0"/>
      <w:marBottom w:val="0"/>
      <w:divBdr>
        <w:top w:val="none" w:sz="0" w:space="0" w:color="auto"/>
        <w:left w:val="none" w:sz="0" w:space="0" w:color="auto"/>
        <w:bottom w:val="none" w:sz="0" w:space="0" w:color="auto"/>
        <w:right w:val="none" w:sz="0" w:space="0" w:color="auto"/>
      </w:divBdr>
    </w:div>
    <w:div w:id="1576666461">
      <w:bodyDiv w:val="1"/>
      <w:marLeft w:val="0"/>
      <w:marRight w:val="0"/>
      <w:marTop w:val="0"/>
      <w:marBottom w:val="0"/>
      <w:divBdr>
        <w:top w:val="none" w:sz="0" w:space="0" w:color="auto"/>
        <w:left w:val="none" w:sz="0" w:space="0" w:color="auto"/>
        <w:bottom w:val="none" w:sz="0" w:space="0" w:color="auto"/>
        <w:right w:val="none" w:sz="0" w:space="0" w:color="auto"/>
      </w:divBdr>
    </w:div>
    <w:div w:id="1584561560">
      <w:bodyDiv w:val="1"/>
      <w:marLeft w:val="0"/>
      <w:marRight w:val="0"/>
      <w:marTop w:val="0"/>
      <w:marBottom w:val="0"/>
      <w:divBdr>
        <w:top w:val="none" w:sz="0" w:space="0" w:color="auto"/>
        <w:left w:val="none" w:sz="0" w:space="0" w:color="auto"/>
        <w:bottom w:val="none" w:sz="0" w:space="0" w:color="auto"/>
        <w:right w:val="none" w:sz="0" w:space="0" w:color="auto"/>
      </w:divBdr>
    </w:div>
    <w:div w:id="1611887109">
      <w:bodyDiv w:val="1"/>
      <w:marLeft w:val="0"/>
      <w:marRight w:val="0"/>
      <w:marTop w:val="0"/>
      <w:marBottom w:val="0"/>
      <w:divBdr>
        <w:top w:val="none" w:sz="0" w:space="0" w:color="auto"/>
        <w:left w:val="none" w:sz="0" w:space="0" w:color="auto"/>
        <w:bottom w:val="none" w:sz="0" w:space="0" w:color="auto"/>
        <w:right w:val="none" w:sz="0" w:space="0" w:color="auto"/>
      </w:divBdr>
    </w:div>
    <w:div w:id="1663775205">
      <w:bodyDiv w:val="1"/>
      <w:marLeft w:val="0"/>
      <w:marRight w:val="0"/>
      <w:marTop w:val="0"/>
      <w:marBottom w:val="0"/>
      <w:divBdr>
        <w:top w:val="none" w:sz="0" w:space="0" w:color="auto"/>
        <w:left w:val="none" w:sz="0" w:space="0" w:color="auto"/>
        <w:bottom w:val="none" w:sz="0" w:space="0" w:color="auto"/>
        <w:right w:val="none" w:sz="0" w:space="0" w:color="auto"/>
      </w:divBdr>
    </w:div>
    <w:div w:id="1752698965">
      <w:bodyDiv w:val="1"/>
      <w:marLeft w:val="0"/>
      <w:marRight w:val="0"/>
      <w:marTop w:val="0"/>
      <w:marBottom w:val="0"/>
      <w:divBdr>
        <w:top w:val="none" w:sz="0" w:space="0" w:color="auto"/>
        <w:left w:val="none" w:sz="0" w:space="0" w:color="auto"/>
        <w:bottom w:val="none" w:sz="0" w:space="0" w:color="auto"/>
        <w:right w:val="none" w:sz="0" w:space="0" w:color="auto"/>
      </w:divBdr>
    </w:div>
    <w:div w:id="2028873009">
      <w:bodyDiv w:val="1"/>
      <w:marLeft w:val="0"/>
      <w:marRight w:val="0"/>
      <w:marTop w:val="0"/>
      <w:marBottom w:val="0"/>
      <w:divBdr>
        <w:top w:val="none" w:sz="0" w:space="0" w:color="auto"/>
        <w:left w:val="none" w:sz="0" w:space="0" w:color="auto"/>
        <w:bottom w:val="none" w:sz="0" w:space="0" w:color="auto"/>
        <w:right w:val="none" w:sz="0" w:space="0" w:color="auto"/>
      </w:divBdr>
    </w:div>
    <w:div w:id="207519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k.watson@ofgem.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earson@northerngas.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 Id="rId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Meeting_x0020_Date xmlns="631298fc-6a88-4548-b7d9-3b164918c4a3" xsi:nil="true"/>
    <Descriptor xmlns="631298fc-6a88-4548-b7d9-3b164918c4a3" xsi:nil="true"/>
    <Classification xmlns="631298fc-6a88-4548-b7d9-3b164918c4a3">Unclassified</Classification>
    <Applicable_x0020_Start_x0020_Date xmlns="631298fc-6a88-4548-b7d9-3b164918c4a3" xsi:nil="true"/>
    <Ref_x0020_No xmlns="631298fc-6a88-4548-b7d9-3b164918c4a3" xsi:nil="true"/>
    <_x003a_ xmlns="631298fc-6a88-4548-b7d9-3b164918c4a3" xsi:nil="true"/>
    <_x003a__x003a_ xmlns="631298fc-6a88-4548-b7d9-3b164918c4a3">-Main Document</_x003a__x003a_>
    <Applicable_x0020_Duration xmlns="631298fc-6a88-4548-b7d9-3b164918c4a3">-</Applicable_x0020_Duration>
    <Organisation xmlns="631298fc-6a88-4548-b7d9-3b164918c4a3">Choose an Organisation</Organisation>
    <Publication_x0020_Date_x003a_ xmlns="631298fc-6a88-4548-b7d9-3b164918c4a3">2017-12-05T00:00:00+00:00</Publication_x0020_Date_x003a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9773578-b348-4185-91b0-0c3a7eda8d2a" ContentTypeId="0x010100728A6C48D06C0D459BAA78C74513A0FC" PreviousValue="false"/>
</file>

<file path=customXml/item5.xml><?xml version="1.0" encoding="utf-8"?>
<ct:contentTypeSchema xmlns:ct="http://schemas.microsoft.com/office/2006/metadata/contentType" xmlns:ma="http://schemas.microsoft.com/office/2006/metadata/properties/metaAttributes" ct:_="" ma:_="" ma:contentTypeName="External Document" ma:contentTypeID="0x010100728A6C48D06C0D459BAA78C74513A0FC001036DAD8A769F04A9DD0B62F45257962" ma:contentTypeVersion="4" ma:contentTypeDescription="Documents not produced by Ofgem" ma:contentTypeScope="" ma:versionID="347dd285a82af45ee1120f779b1fac29">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fda765be5abe08e4d00e27aac4185887"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3:_Status" minOccurs="0"/>
                <xsd:element ref="ns2:Ref_x0020_No" minOccurs="0"/>
                <xsd:element ref="ns2:Publication_x0020_Date_x003a_" minOccurs="0"/>
                <xsd:element ref="ns2:_x003a_" minOccurs="0"/>
                <xsd:element ref="ns2:_x003a__x003a_" minOccurs="0"/>
                <xsd:element ref="ns2:Applicable_x0020_Start_x0020_Date" minOccurs="0"/>
                <xsd:element ref="ns2:Applicable_x0020_Duration" minOccurs="0"/>
                <xsd:element ref="ns2:Meeting_x0020_Date"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Ref_x0020_No" ma:index="11" nillable="true" ma:displayName="Ref No" ma:description="Generally the Ofgem Reference Number assigned by Comms for external publication" ma:internalName="Ref_x0020_No">
      <xsd:simpleType>
        <xsd:restriction base="dms:Text">
          <xsd:maxLength value="255"/>
        </xsd:restriction>
      </xsd:simpleType>
    </xsd:element>
    <xsd:element name="Publication_x0020_Date_x003a_" ma:index="12" nillable="true" ma:displayName="Publication Date:" ma:default="[today]" ma:description="The Publication Date" ma:format="DateOnly" ma:internalName="Publication_x0020_Date_x003A_">
      <xsd:simpleType>
        <xsd:restriction base="dms:DateTime"/>
      </xsd:simpleType>
    </xsd:element>
    <xsd:element name="_x003a_" ma:index="13"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4"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Applicable_x0020_Start_x0020_Date" ma:index="15" nillable="true" ma:displayName="Applicable Start Date" ma:description="The Starting Date for the work - format is DD/MM/YYYY" ma:format="DateOnly" ma:internalName="Applicable_x0020_Start_x0020_Date">
      <xsd:simpleType>
        <xsd:restriction base="dms:DateTime"/>
      </xsd:simpleType>
    </xsd:element>
    <xsd:element name="Applicable_x0020_Duration" ma:index="16"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Meeting_x0020_Date" ma:index="17" nillable="true" ma:displayName="Meeting Date" ma:description="Enter the date as DD/MM/YYYY" ma:format="DateOnly" ma:internalName="Meeting_x0020_Date">
      <xsd:simpleType>
        <xsd:restriction base="dms:DateTime"/>
      </xsd:simpleType>
    </xsd:element>
    <xsd:element name="Classification" ma:index="18"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9"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1BB5C-3FA9-4797-A94A-A73DB78EBC82}"/>
</file>

<file path=customXml/itemProps2.xml><?xml version="1.0" encoding="utf-8"?>
<ds:datastoreItem xmlns:ds="http://schemas.openxmlformats.org/officeDocument/2006/customXml" ds:itemID="{054FD94C-8F73-4751-8118-E861779590C0}"/>
</file>

<file path=customXml/itemProps3.xml><?xml version="1.0" encoding="utf-8"?>
<ds:datastoreItem xmlns:ds="http://schemas.openxmlformats.org/officeDocument/2006/customXml" ds:itemID="{8776502A-6E1B-4FF6-B728-542D6E15B991}"/>
</file>

<file path=customXml/itemProps4.xml><?xml version="1.0" encoding="utf-8"?>
<ds:datastoreItem xmlns:ds="http://schemas.openxmlformats.org/officeDocument/2006/customXml" ds:itemID="{E871131D-4319-4A3E-A0C9-84E354164DB7}"/>
</file>

<file path=customXml/itemProps5.xml><?xml version="1.0" encoding="utf-8"?>
<ds:datastoreItem xmlns:ds="http://schemas.openxmlformats.org/officeDocument/2006/customXml" ds:itemID="{7C34B00F-6DD3-4E5A-AD02-DADDE203446D}"/>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Ref:</vt:lpstr>
    </vt:vector>
  </TitlesOfParts>
  <Company>Powercor Australia Ltd</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VZuevskiy@northerngas.co.uk</dc:creator>
  <cp:lastModifiedBy>David Pearson Finance</cp:lastModifiedBy>
  <cp:revision>2</cp:revision>
  <cp:lastPrinted>2017-10-20T10:44:00Z</cp:lastPrinted>
  <dcterms:created xsi:type="dcterms:W3CDTF">2017-12-05T13:39:00Z</dcterms:created>
  <dcterms:modified xsi:type="dcterms:W3CDTF">2017-12-05T13:39:00Z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0x010100728A6C48D06C0D459BAA78C74513A0FC001036DAD8A769F04A9DD0B62F45257962</vt:lpwstr>
  </property>
  <property fmtid="{D5CDD505-2E9C-101B-9397-08002B2CF9AE}" pid="3" name="Order">
    <vt:r8>100</vt:r8>
  </property>
  <property fmtid="{D5CDD505-2E9C-101B-9397-08002B2CF9AE}" pid="4" name="BJSCc5a055b0-1bed-4579_x">
    <vt:lpwstr/>
  </property>
  <property fmtid="{D5CDD505-2E9C-101B-9397-08002B2CF9AE}" pid="5" name="BJSCdd9eba61-d6b9-469b_x">
    <vt:lpwstr/>
  </property>
  <property fmtid="{D5CDD505-2E9C-101B-9397-08002B2CF9AE}" pid="6" name="BJSCSummaryMarking">
    <vt:lpwstr>This item has no classification</vt:lpwstr>
  </property>
  <property fmtid="{D5CDD505-2E9C-101B-9397-08002B2CF9AE}" pid="7" name="BJSCInternalLabel">
    <vt:lpwstr>&lt;?xml version="1.0" encoding="us-ascii"?&gt;&lt;sisl xmlns:xsi="http://www.w3.org/2001/XMLSchema-instance" xmlns:xsd="http://www.w3.org/2001/XMLSchema" sislVersion="0" policy="973096ae-7329-4b3b-9368-47aeba6959e1" xmlns="http://www.boldonjames.com/2008/01/sie/internal/label" /&gt;</vt:lpwstr>
  </property>
</Properties>
</file>