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6B" w:rsidRDefault="006E4C6B" w:rsidP="006E4C6B">
      <w:pPr>
        <w:pStyle w:val="Default"/>
        <w:rPr>
          <w:rFonts w:ascii="Verdana" w:hAnsi="Verdana"/>
          <w:b/>
          <w:bCs/>
          <w:sz w:val="23"/>
          <w:szCs w:val="23"/>
        </w:rPr>
      </w:pPr>
      <w:bookmarkStart w:id="0" w:name="_GoBack"/>
      <w:bookmarkEnd w:id="0"/>
      <w:r w:rsidRPr="006E4C6B">
        <w:rPr>
          <w:rFonts w:ascii="Verdana" w:hAnsi="Verdana"/>
          <w:b/>
          <w:bCs/>
          <w:sz w:val="23"/>
          <w:szCs w:val="23"/>
        </w:rPr>
        <w:t xml:space="preserve">Appendix 5 - Feedback Questionnaire </w:t>
      </w:r>
      <w:r w:rsidR="00B21263">
        <w:rPr>
          <w:rFonts w:ascii="Verdana" w:hAnsi="Verdana"/>
          <w:b/>
          <w:bCs/>
          <w:sz w:val="23"/>
          <w:szCs w:val="23"/>
        </w:rPr>
        <w:t xml:space="preserve">for </w:t>
      </w:r>
      <w:r w:rsidR="00B21263" w:rsidRPr="00B21263">
        <w:rPr>
          <w:rFonts w:ascii="Verdana" w:hAnsi="Verdana"/>
          <w:b/>
          <w:bCs/>
          <w:sz w:val="23"/>
          <w:szCs w:val="23"/>
        </w:rPr>
        <w:t>Introduction of RIIO Accounts – further consultation on licence modification</w:t>
      </w:r>
    </w:p>
    <w:p w:rsidR="006E4C6B" w:rsidRPr="006E4C6B" w:rsidRDefault="006E4C6B" w:rsidP="006E4C6B">
      <w:pPr>
        <w:pStyle w:val="Default"/>
        <w:rPr>
          <w:rFonts w:ascii="Verdana" w:hAnsi="Verdana"/>
          <w:sz w:val="23"/>
          <w:szCs w:val="23"/>
        </w:rPr>
      </w:pPr>
    </w:p>
    <w:p w:rsidR="006E4C6B" w:rsidRPr="006E4C6B" w:rsidRDefault="006E4C6B" w:rsidP="006E4C6B">
      <w:pPr>
        <w:pStyle w:val="Default"/>
        <w:rPr>
          <w:rFonts w:ascii="Verdana" w:hAnsi="Verdana"/>
          <w:sz w:val="20"/>
          <w:szCs w:val="20"/>
        </w:rPr>
      </w:pPr>
      <w:r w:rsidRPr="006E4C6B">
        <w:rPr>
          <w:rFonts w:ascii="Verdana" w:hAnsi="Verdana"/>
          <w:sz w:val="20"/>
          <w:szCs w:val="20"/>
        </w:rPr>
        <w:t xml:space="preserve">Thank you for taking the time to respond to our questions. We hope all the questions are understandable. If you have any difficulties please email </w:t>
      </w:r>
      <w:hyperlink r:id="rId12" w:history="1">
        <w:r w:rsidRPr="006E4C6B">
          <w:rPr>
            <w:rStyle w:val="Hyperlink"/>
            <w:rFonts w:ascii="Verdana" w:hAnsi="Verdana"/>
            <w:sz w:val="20"/>
            <w:szCs w:val="20"/>
          </w:rPr>
          <w:t>mick.watson@ofgem.gov.uk</w:t>
        </w:r>
      </w:hyperlink>
      <w:r w:rsidRPr="006E4C6B">
        <w:rPr>
          <w:rFonts w:ascii="Verdana" w:hAnsi="Verdana"/>
          <w:sz w:val="20"/>
          <w:szCs w:val="20"/>
        </w:rPr>
        <w:t xml:space="preserve">. </w:t>
      </w:r>
    </w:p>
    <w:p w:rsidR="00A1266D" w:rsidRPr="006E4C6B" w:rsidRDefault="006E4C6B" w:rsidP="006E4C6B">
      <w:pPr>
        <w:rPr>
          <w:b/>
        </w:rPr>
      </w:pPr>
      <w:r w:rsidRPr="006E4C6B">
        <w:rPr>
          <w:szCs w:val="20"/>
        </w:rPr>
        <w:t xml:space="preserve">Once the questionnaire has been completed, please send it back to us using the email address above. Please return the completed questionnaire by </w:t>
      </w:r>
      <w:r w:rsidR="00B21263">
        <w:rPr>
          <w:szCs w:val="20"/>
        </w:rPr>
        <w:t>5</w:t>
      </w:r>
      <w:r w:rsidRPr="006E4C6B">
        <w:rPr>
          <w:szCs w:val="20"/>
        </w:rPr>
        <w:t xml:space="preserve"> December 201</w:t>
      </w:r>
      <w:r w:rsidR="00B21263">
        <w:rPr>
          <w:szCs w:val="20"/>
        </w:rPr>
        <w:t>7</w:t>
      </w:r>
      <w:r w:rsidRPr="006E4C6B">
        <w:rPr>
          <w:sz w:val="22"/>
        </w:rPr>
        <w:t>.</w:t>
      </w:r>
    </w:p>
    <w:p w:rsidR="006E4C6B" w:rsidRPr="001D7531" w:rsidRDefault="006E4C6B" w:rsidP="00A1266D">
      <w:pPr>
        <w:rPr>
          <w:b/>
        </w:rPr>
      </w:pPr>
    </w:p>
    <w:tbl>
      <w:tblPr>
        <w:tblStyle w:val="TableGrid"/>
        <w:tblW w:w="906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tblPr>
      <w:tblGrid>
        <w:gridCol w:w="3849"/>
        <w:gridCol w:w="5218"/>
      </w:tblGrid>
      <w:tr w:rsidR="00A1266D" w:rsidTr="00FF47B7">
        <w:trPr>
          <w:trHeight w:val="103"/>
        </w:trPr>
        <w:tc>
          <w:tcPr>
            <w:tcW w:w="9067" w:type="dxa"/>
            <w:gridSpan w:val="2"/>
            <w:shd w:val="clear" w:color="auto" w:fill="ED7D31" w:themeFill="accent2"/>
          </w:tcPr>
          <w:p w:rsidR="00A1266D" w:rsidRPr="006E4C6B" w:rsidRDefault="00A1266D">
            <w:pPr>
              <w:pStyle w:val="Default"/>
              <w:rPr>
                <w:rFonts w:ascii="Verdana" w:hAnsi="Verdana"/>
                <w:sz w:val="20"/>
                <w:szCs w:val="20"/>
              </w:rPr>
            </w:pPr>
            <w:r w:rsidRPr="00B21263">
              <w:rPr>
                <w:rFonts w:ascii="Verdana" w:hAnsi="Verdana"/>
                <w:b/>
                <w:bCs/>
                <w:color w:val="FFFFFF" w:themeColor="background1"/>
                <w:sz w:val="20"/>
                <w:szCs w:val="20"/>
              </w:rPr>
              <w:t xml:space="preserve">Section 1 - About you </w:t>
            </w:r>
          </w:p>
        </w:tc>
      </w:tr>
      <w:tr w:rsidR="00A1266D" w:rsidTr="00FF47B7">
        <w:trPr>
          <w:trHeight w:val="104"/>
        </w:trPr>
        <w:tc>
          <w:tcPr>
            <w:tcW w:w="3849" w:type="dxa"/>
          </w:tcPr>
          <w:p w:rsidR="00A1266D" w:rsidRPr="006E4C6B" w:rsidRDefault="00A1266D">
            <w:pPr>
              <w:pStyle w:val="Default"/>
              <w:rPr>
                <w:rFonts w:ascii="Verdana" w:hAnsi="Verdana"/>
                <w:sz w:val="20"/>
                <w:szCs w:val="20"/>
              </w:rPr>
            </w:pPr>
            <w:r w:rsidRPr="006E4C6B">
              <w:rPr>
                <w:rFonts w:ascii="Verdana" w:hAnsi="Verdana"/>
                <w:b/>
                <w:bCs/>
                <w:sz w:val="20"/>
                <w:szCs w:val="20"/>
              </w:rPr>
              <w:t xml:space="preserve">Your name </w:t>
            </w:r>
          </w:p>
        </w:tc>
        <w:tc>
          <w:tcPr>
            <w:tcW w:w="5218" w:type="dxa"/>
          </w:tcPr>
          <w:p w:rsidR="00A1266D" w:rsidRPr="006E4C6B" w:rsidRDefault="00EA1330">
            <w:pPr>
              <w:pStyle w:val="Default"/>
              <w:rPr>
                <w:rFonts w:ascii="Verdana" w:hAnsi="Verdana"/>
                <w:sz w:val="20"/>
                <w:szCs w:val="20"/>
              </w:rPr>
            </w:pPr>
            <w:r>
              <w:rPr>
                <w:rFonts w:ascii="Verdana" w:hAnsi="Verdana"/>
                <w:sz w:val="20"/>
                <w:szCs w:val="20"/>
              </w:rPr>
              <w:t>Danny Clarke</w:t>
            </w:r>
          </w:p>
        </w:tc>
      </w:tr>
      <w:tr w:rsidR="00A1266D" w:rsidTr="00FF47B7">
        <w:trPr>
          <w:trHeight w:val="104"/>
        </w:trPr>
        <w:tc>
          <w:tcPr>
            <w:tcW w:w="3849" w:type="dxa"/>
          </w:tcPr>
          <w:p w:rsidR="00A1266D" w:rsidRPr="006E4C6B" w:rsidRDefault="00A1266D">
            <w:pPr>
              <w:pStyle w:val="Default"/>
              <w:rPr>
                <w:rFonts w:ascii="Verdana" w:hAnsi="Verdana"/>
                <w:sz w:val="20"/>
                <w:szCs w:val="20"/>
              </w:rPr>
            </w:pPr>
            <w:r w:rsidRPr="006E4C6B">
              <w:rPr>
                <w:rFonts w:ascii="Verdana" w:hAnsi="Verdana"/>
                <w:b/>
                <w:bCs/>
                <w:sz w:val="20"/>
                <w:szCs w:val="20"/>
              </w:rPr>
              <w:t xml:space="preserve">Job title </w:t>
            </w:r>
          </w:p>
        </w:tc>
        <w:tc>
          <w:tcPr>
            <w:tcW w:w="5218" w:type="dxa"/>
          </w:tcPr>
          <w:p w:rsidR="00A1266D" w:rsidRPr="006E4C6B" w:rsidRDefault="00EA1330">
            <w:pPr>
              <w:pStyle w:val="Default"/>
              <w:rPr>
                <w:rFonts w:ascii="Verdana" w:hAnsi="Verdana"/>
                <w:sz w:val="20"/>
                <w:szCs w:val="20"/>
              </w:rPr>
            </w:pPr>
            <w:r>
              <w:rPr>
                <w:rFonts w:ascii="Verdana" w:hAnsi="Verdana"/>
                <w:sz w:val="20"/>
                <w:szCs w:val="20"/>
              </w:rPr>
              <w:t>Head of Corporate Finance and Investor Relations</w:t>
            </w:r>
          </w:p>
        </w:tc>
      </w:tr>
      <w:tr w:rsidR="00A1266D" w:rsidTr="00FF47B7">
        <w:trPr>
          <w:trHeight w:val="104"/>
        </w:trPr>
        <w:tc>
          <w:tcPr>
            <w:tcW w:w="3849" w:type="dxa"/>
          </w:tcPr>
          <w:p w:rsidR="00A1266D" w:rsidRPr="006E4C6B" w:rsidRDefault="00A1266D">
            <w:pPr>
              <w:pStyle w:val="Default"/>
              <w:rPr>
                <w:rFonts w:ascii="Verdana" w:hAnsi="Verdana"/>
                <w:sz w:val="20"/>
                <w:szCs w:val="20"/>
              </w:rPr>
            </w:pPr>
            <w:r w:rsidRPr="006E4C6B">
              <w:rPr>
                <w:rFonts w:ascii="Verdana" w:hAnsi="Verdana"/>
                <w:b/>
                <w:bCs/>
                <w:sz w:val="20"/>
                <w:szCs w:val="20"/>
              </w:rPr>
              <w:t xml:space="preserve">Contact details </w:t>
            </w:r>
          </w:p>
        </w:tc>
        <w:tc>
          <w:tcPr>
            <w:tcW w:w="5218" w:type="dxa"/>
          </w:tcPr>
          <w:p w:rsidR="00A1266D" w:rsidRPr="006E4C6B" w:rsidRDefault="00EA1330">
            <w:pPr>
              <w:pStyle w:val="Default"/>
              <w:rPr>
                <w:rFonts w:ascii="Verdana" w:hAnsi="Verdana"/>
                <w:sz w:val="20"/>
                <w:szCs w:val="20"/>
              </w:rPr>
            </w:pPr>
            <w:hyperlink r:id="rId13" w:history="1">
              <w:r w:rsidRPr="009E3EE8">
                <w:rPr>
                  <w:rStyle w:val="Hyperlink"/>
                  <w:rFonts w:ascii="Verdana" w:hAnsi="Verdana"/>
                  <w:sz w:val="20"/>
                  <w:szCs w:val="20"/>
                </w:rPr>
                <w:t>danny.clarke@enwl.co.uk</w:t>
              </w:r>
            </w:hyperlink>
            <w:r>
              <w:rPr>
                <w:rFonts w:ascii="Verdana" w:hAnsi="Verdana"/>
                <w:sz w:val="20"/>
                <w:szCs w:val="20"/>
              </w:rPr>
              <w:t>; 0843</w:t>
            </w:r>
            <w:r w:rsidR="004222EB">
              <w:rPr>
                <w:rFonts w:ascii="Verdana" w:hAnsi="Verdana"/>
                <w:sz w:val="20"/>
                <w:szCs w:val="20"/>
              </w:rPr>
              <w:t xml:space="preserve"> 311 4988</w:t>
            </w:r>
          </w:p>
        </w:tc>
      </w:tr>
      <w:tr w:rsidR="00A1266D" w:rsidTr="00FF47B7">
        <w:trPr>
          <w:trHeight w:val="104"/>
        </w:trPr>
        <w:tc>
          <w:tcPr>
            <w:tcW w:w="3849" w:type="dxa"/>
          </w:tcPr>
          <w:p w:rsidR="00A1266D" w:rsidRPr="006E4C6B" w:rsidRDefault="00A1266D">
            <w:pPr>
              <w:pStyle w:val="Default"/>
              <w:rPr>
                <w:rFonts w:ascii="Verdana" w:hAnsi="Verdana"/>
                <w:sz w:val="20"/>
                <w:szCs w:val="20"/>
              </w:rPr>
            </w:pPr>
            <w:r w:rsidRPr="006E4C6B">
              <w:rPr>
                <w:rFonts w:ascii="Verdana" w:hAnsi="Verdana"/>
                <w:b/>
                <w:bCs/>
                <w:sz w:val="20"/>
                <w:szCs w:val="20"/>
              </w:rPr>
              <w:t xml:space="preserve">Organisation name </w:t>
            </w:r>
          </w:p>
        </w:tc>
        <w:tc>
          <w:tcPr>
            <w:tcW w:w="5218" w:type="dxa"/>
          </w:tcPr>
          <w:p w:rsidR="00A1266D" w:rsidRPr="006E4C6B" w:rsidRDefault="00E60ABD">
            <w:pPr>
              <w:pStyle w:val="Default"/>
              <w:rPr>
                <w:rFonts w:ascii="Verdana" w:hAnsi="Verdana"/>
                <w:sz w:val="20"/>
                <w:szCs w:val="20"/>
              </w:rPr>
            </w:pPr>
            <w:r>
              <w:rPr>
                <w:rFonts w:ascii="Verdana" w:hAnsi="Verdana"/>
                <w:sz w:val="20"/>
                <w:szCs w:val="20"/>
              </w:rPr>
              <w:t>ENWL</w:t>
            </w:r>
          </w:p>
        </w:tc>
      </w:tr>
      <w:tr w:rsidR="00A1266D" w:rsidTr="00FF47B7">
        <w:trPr>
          <w:trHeight w:val="229"/>
        </w:trPr>
        <w:tc>
          <w:tcPr>
            <w:tcW w:w="3849" w:type="dxa"/>
          </w:tcPr>
          <w:p w:rsidR="00A1266D" w:rsidRPr="006E4C6B" w:rsidRDefault="00A1266D">
            <w:pPr>
              <w:pStyle w:val="Default"/>
              <w:rPr>
                <w:rFonts w:ascii="Verdana" w:hAnsi="Verdana"/>
                <w:sz w:val="20"/>
                <w:szCs w:val="20"/>
              </w:rPr>
            </w:pPr>
            <w:r w:rsidRPr="006E4C6B">
              <w:rPr>
                <w:rFonts w:ascii="Verdana" w:hAnsi="Verdana"/>
                <w:b/>
                <w:bCs/>
                <w:sz w:val="20"/>
                <w:szCs w:val="20"/>
              </w:rPr>
              <w:t xml:space="preserve">Please state whether your response is confidential or not </w:t>
            </w:r>
          </w:p>
        </w:tc>
        <w:tc>
          <w:tcPr>
            <w:tcW w:w="5218" w:type="dxa"/>
          </w:tcPr>
          <w:p w:rsidR="00A1266D" w:rsidRPr="006E4C6B" w:rsidRDefault="00E60ABD">
            <w:pPr>
              <w:pStyle w:val="Default"/>
              <w:rPr>
                <w:rFonts w:ascii="Verdana" w:hAnsi="Verdana"/>
                <w:sz w:val="20"/>
                <w:szCs w:val="20"/>
              </w:rPr>
            </w:pPr>
            <w:r>
              <w:rPr>
                <w:rFonts w:ascii="Verdana" w:hAnsi="Verdana"/>
                <w:sz w:val="20"/>
                <w:szCs w:val="20"/>
              </w:rPr>
              <w:t>Not confidential</w:t>
            </w:r>
          </w:p>
        </w:tc>
      </w:tr>
    </w:tbl>
    <w:p w:rsidR="00CB2362" w:rsidRDefault="00CB2362"/>
    <w:tbl>
      <w:tblPr>
        <w:tblStyle w:val="TableGrid"/>
        <w:tblW w:w="906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000"/>
      </w:tblPr>
      <w:tblGrid>
        <w:gridCol w:w="9067"/>
      </w:tblGrid>
      <w:tr w:rsidR="00A1266D" w:rsidTr="00FF47B7">
        <w:trPr>
          <w:trHeight w:val="103"/>
        </w:trPr>
        <w:tc>
          <w:tcPr>
            <w:tcW w:w="9067" w:type="dxa"/>
          </w:tcPr>
          <w:p w:rsidR="00A1266D" w:rsidRDefault="00A1266D">
            <w:pPr>
              <w:pStyle w:val="Default"/>
              <w:rPr>
                <w:sz w:val="22"/>
                <w:szCs w:val="22"/>
              </w:rPr>
            </w:pPr>
            <w:r>
              <w:rPr>
                <w:b/>
                <w:bCs/>
                <w:sz w:val="22"/>
                <w:szCs w:val="22"/>
              </w:rPr>
              <w:t xml:space="preserve">Response </w:t>
            </w:r>
          </w:p>
        </w:tc>
      </w:tr>
      <w:tr w:rsidR="00A1266D" w:rsidTr="00FF47B7">
        <w:trPr>
          <w:trHeight w:val="103"/>
        </w:trPr>
        <w:tc>
          <w:tcPr>
            <w:tcW w:w="9067" w:type="dxa"/>
            <w:shd w:val="clear" w:color="auto" w:fill="ED7D31" w:themeFill="accent2"/>
          </w:tcPr>
          <w:p w:rsidR="00A1266D" w:rsidRPr="00B21263" w:rsidRDefault="00CD1F2D">
            <w:pPr>
              <w:pStyle w:val="Default"/>
              <w:rPr>
                <w:rFonts w:ascii="Verdana" w:hAnsi="Verdana"/>
                <w:color w:val="FFFFFF" w:themeColor="background1"/>
                <w:sz w:val="20"/>
                <w:szCs w:val="20"/>
              </w:rPr>
            </w:pPr>
            <w:r w:rsidRPr="00CD1F2D">
              <w:rPr>
                <w:rFonts w:ascii="Verdana" w:hAnsi="Verdana"/>
                <w:b/>
                <w:color w:val="FFFFFF" w:themeColor="background1"/>
                <w:sz w:val="20"/>
                <w:szCs w:val="20"/>
              </w:rPr>
              <w:t>Question 1: Do you have any comments on the draft licence condition set out in Appendix 1?</w:t>
            </w:r>
          </w:p>
        </w:tc>
      </w:tr>
      <w:tr w:rsidR="00A1266D" w:rsidTr="00FF47B7">
        <w:trPr>
          <w:trHeight w:val="1094"/>
        </w:trPr>
        <w:tc>
          <w:tcPr>
            <w:tcW w:w="9067" w:type="dxa"/>
          </w:tcPr>
          <w:p w:rsidR="00C17DDA" w:rsidRPr="004222EB" w:rsidRDefault="00C17DDA" w:rsidP="004222EB">
            <w:pPr>
              <w:pStyle w:val="Default"/>
              <w:rPr>
                <w:rFonts w:ascii="Verdana" w:hAnsi="Verdana"/>
                <w:b/>
                <w:sz w:val="20"/>
                <w:szCs w:val="20"/>
              </w:rPr>
            </w:pPr>
          </w:p>
          <w:p w:rsidR="00C17DDA" w:rsidRPr="004222EB" w:rsidRDefault="00C17DDA" w:rsidP="004222EB">
            <w:pPr>
              <w:pStyle w:val="Default"/>
              <w:rPr>
                <w:rFonts w:ascii="Verdana" w:hAnsi="Verdana"/>
                <w:b/>
                <w:sz w:val="20"/>
                <w:szCs w:val="20"/>
              </w:rPr>
            </w:pPr>
            <w:r w:rsidRPr="004222EB">
              <w:rPr>
                <w:rFonts w:ascii="Verdana" w:hAnsi="Verdana"/>
                <w:b/>
                <w:sz w:val="20"/>
                <w:szCs w:val="20"/>
              </w:rPr>
              <w:t>Part A and 44A.18</w:t>
            </w:r>
          </w:p>
          <w:p w:rsidR="00C17DDA" w:rsidRPr="004222EB" w:rsidRDefault="00C17DDA" w:rsidP="004222EB">
            <w:pPr>
              <w:pStyle w:val="Default"/>
              <w:rPr>
                <w:rFonts w:ascii="Verdana" w:hAnsi="Verdana"/>
                <w:sz w:val="20"/>
                <w:szCs w:val="20"/>
              </w:rPr>
            </w:pPr>
          </w:p>
          <w:p w:rsidR="00402394" w:rsidRPr="004222EB" w:rsidRDefault="00C17DDA" w:rsidP="004222EB">
            <w:pPr>
              <w:pStyle w:val="Default"/>
              <w:numPr>
                <w:ilvl w:val="0"/>
                <w:numId w:val="3"/>
              </w:numPr>
              <w:rPr>
                <w:rFonts w:ascii="Verdana" w:hAnsi="Verdana"/>
                <w:sz w:val="20"/>
                <w:szCs w:val="20"/>
              </w:rPr>
            </w:pPr>
            <w:r w:rsidRPr="004222EB">
              <w:rPr>
                <w:rFonts w:ascii="Verdana" w:hAnsi="Verdana"/>
                <w:sz w:val="20"/>
                <w:szCs w:val="20"/>
              </w:rPr>
              <w:t>The</w:t>
            </w:r>
            <w:r w:rsidR="00485F1E" w:rsidRPr="004222EB">
              <w:rPr>
                <w:rFonts w:ascii="Verdana" w:hAnsi="Verdana"/>
                <w:sz w:val="20"/>
                <w:szCs w:val="20"/>
              </w:rPr>
              <w:t xml:space="preserve"> Ofgem Regulatory Financial Reporting Standard (ORFRS) </w:t>
            </w:r>
            <w:r w:rsidRPr="004222EB">
              <w:rPr>
                <w:rFonts w:ascii="Verdana" w:hAnsi="Verdana"/>
                <w:sz w:val="20"/>
                <w:szCs w:val="20"/>
              </w:rPr>
              <w:t xml:space="preserve">should be </w:t>
            </w:r>
            <w:r w:rsidR="00485F1E" w:rsidRPr="004222EB">
              <w:rPr>
                <w:rFonts w:ascii="Verdana" w:hAnsi="Verdana"/>
                <w:sz w:val="20"/>
                <w:szCs w:val="20"/>
              </w:rPr>
              <w:t>capable of satisfying and supporting the reporting requirement</w:t>
            </w:r>
            <w:r w:rsidR="00786B1F" w:rsidRPr="004222EB">
              <w:rPr>
                <w:rFonts w:ascii="Verdana" w:hAnsi="Verdana"/>
                <w:sz w:val="20"/>
                <w:szCs w:val="20"/>
              </w:rPr>
              <w:t xml:space="preserve"> and audit sign-off</w:t>
            </w:r>
            <w:r w:rsidR="00485F1E" w:rsidRPr="004222EB">
              <w:rPr>
                <w:rFonts w:ascii="Verdana" w:hAnsi="Verdana"/>
                <w:sz w:val="20"/>
                <w:szCs w:val="20"/>
              </w:rPr>
              <w:t xml:space="preserve">, as set out in the </w:t>
            </w:r>
            <w:r w:rsidRPr="004222EB">
              <w:rPr>
                <w:rFonts w:ascii="Verdana" w:hAnsi="Verdana"/>
                <w:sz w:val="20"/>
                <w:szCs w:val="20"/>
              </w:rPr>
              <w:t xml:space="preserve">proposed </w:t>
            </w:r>
            <w:r w:rsidR="00485F1E" w:rsidRPr="004222EB">
              <w:rPr>
                <w:rFonts w:ascii="Verdana" w:hAnsi="Verdana"/>
                <w:sz w:val="20"/>
                <w:szCs w:val="20"/>
              </w:rPr>
              <w:t>licence condition</w:t>
            </w:r>
            <w:r w:rsidRPr="004222EB">
              <w:rPr>
                <w:rFonts w:ascii="Verdana" w:hAnsi="Verdana"/>
                <w:sz w:val="20"/>
                <w:szCs w:val="20"/>
              </w:rPr>
              <w:t xml:space="preserve">. This </w:t>
            </w:r>
            <w:r w:rsidR="008035B9" w:rsidRPr="004222EB">
              <w:rPr>
                <w:rFonts w:ascii="Verdana" w:hAnsi="Verdana"/>
                <w:sz w:val="20"/>
                <w:szCs w:val="20"/>
              </w:rPr>
              <w:t>should be</w:t>
            </w:r>
            <w:r w:rsidR="00485F1E" w:rsidRPr="004222EB">
              <w:rPr>
                <w:rFonts w:ascii="Verdana" w:hAnsi="Verdana"/>
                <w:sz w:val="20"/>
                <w:szCs w:val="20"/>
              </w:rPr>
              <w:t xml:space="preserve"> in place </w:t>
            </w:r>
            <w:r w:rsidR="00485F1E" w:rsidRPr="004222EB">
              <w:rPr>
                <w:rFonts w:ascii="Verdana" w:hAnsi="Verdana"/>
                <w:sz w:val="20"/>
                <w:szCs w:val="20"/>
                <w:u w:val="single"/>
              </w:rPr>
              <w:t>prior</w:t>
            </w:r>
            <w:r w:rsidR="00485F1E" w:rsidRPr="004222EB">
              <w:rPr>
                <w:rFonts w:ascii="Verdana" w:hAnsi="Verdana"/>
                <w:sz w:val="20"/>
                <w:szCs w:val="20"/>
              </w:rPr>
              <w:t xml:space="preserve"> to the commencement of a switch-over from Regulatory Accounts to RIIO Accounts.  This is crucial </w:t>
            </w:r>
            <w:r w:rsidRPr="004222EB">
              <w:rPr>
                <w:rFonts w:ascii="Verdana" w:hAnsi="Verdana"/>
                <w:sz w:val="20"/>
                <w:szCs w:val="20"/>
              </w:rPr>
              <w:t xml:space="preserve">in </w:t>
            </w:r>
            <w:r w:rsidR="00DD2CD2" w:rsidRPr="004222EB">
              <w:rPr>
                <w:rFonts w:ascii="Verdana" w:hAnsi="Verdana"/>
                <w:sz w:val="20"/>
                <w:szCs w:val="20"/>
              </w:rPr>
              <w:t>ensur</w:t>
            </w:r>
            <w:r w:rsidRPr="004222EB">
              <w:rPr>
                <w:rFonts w:ascii="Verdana" w:hAnsi="Verdana"/>
                <w:sz w:val="20"/>
                <w:szCs w:val="20"/>
              </w:rPr>
              <w:t>ing that</w:t>
            </w:r>
            <w:r w:rsidR="00DD2CD2" w:rsidRPr="004222EB">
              <w:rPr>
                <w:rFonts w:ascii="Verdana" w:hAnsi="Verdana"/>
                <w:sz w:val="20"/>
                <w:szCs w:val="20"/>
              </w:rPr>
              <w:t xml:space="preserve"> </w:t>
            </w:r>
            <w:r w:rsidR="00786B1F" w:rsidRPr="004222EB">
              <w:rPr>
                <w:rFonts w:ascii="Verdana" w:hAnsi="Verdana"/>
                <w:sz w:val="20"/>
                <w:szCs w:val="20"/>
              </w:rPr>
              <w:t xml:space="preserve">licensees </w:t>
            </w:r>
            <w:r w:rsidR="00DD2CD2" w:rsidRPr="004222EB">
              <w:rPr>
                <w:rFonts w:ascii="Verdana" w:hAnsi="Verdana"/>
                <w:sz w:val="20"/>
                <w:szCs w:val="20"/>
              </w:rPr>
              <w:t>are not in</w:t>
            </w:r>
            <w:r w:rsidR="00786B1F" w:rsidRPr="004222EB">
              <w:rPr>
                <w:rFonts w:ascii="Verdana" w:hAnsi="Verdana"/>
                <w:sz w:val="20"/>
                <w:szCs w:val="20"/>
              </w:rPr>
              <w:t xml:space="preserve"> a potential breach of licence position</w:t>
            </w:r>
            <w:r w:rsidR="00402394" w:rsidRPr="004222EB">
              <w:rPr>
                <w:rFonts w:ascii="Verdana" w:hAnsi="Verdana"/>
                <w:sz w:val="20"/>
                <w:szCs w:val="20"/>
              </w:rPr>
              <w:t>.</w:t>
            </w:r>
          </w:p>
          <w:p w:rsidR="00402394" w:rsidRPr="004222EB" w:rsidRDefault="00402394" w:rsidP="004222EB">
            <w:pPr>
              <w:pStyle w:val="Default"/>
              <w:rPr>
                <w:rFonts w:ascii="Verdana" w:hAnsi="Verdana"/>
                <w:sz w:val="20"/>
                <w:szCs w:val="20"/>
              </w:rPr>
            </w:pPr>
          </w:p>
          <w:p w:rsidR="00A1266D" w:rsidRPr="004222EB" w:rsidRDefault="00786B1F" w:rsidP="004222EB">
            <w:pPr>
              <w:pStyle w:val="Default"/>
              <w:numPr>
                <w:ilvl w:val="0"/>
                <w:numId w:val="3"/>
              </w:numPr>
              <w:rPr>
                <w:rFonts w:ascii="Verdana" w:hAnsi="Verdana"/>
                <w:sz w:val="20"/>
                <w:szCs w:val="20"/>
              </w:rPr>
            </w:pPr>
            <w:r w:rsidRPr="004222EB">
              <w:rPr>
                <w:rFonts w:ascii="Verdana" w:hAnsi="Verdana"/>
                <w:sz w:val="20"/>
                <w:szCs w:val="20"/>
              </w:rPr>
              <w:t xml:space="preserve">For the avoidance of doubt, we believe the current ORFRS is </w:t>
            </w:r>
            <w:r w:rsidRPr="004222EB">
              <w:rPr>
                <w:rFonts w:ascii="Verdana" w:hAnsi="Verdana"/>
                <w:sz w:val="20"/>
                <w:szCs w:val="20"/>
                <w:u w:val="single"/>
              </w:rPr>
              <w:t>not</w:t>
            </w:r>
            <w:r w:rsidRPr="004222EB">
              <w:rPr>
                <w:rFonts w:ascii="Verdana" w:hAnsi="Verdana"/>
                <w:sz w:val="20"/>
                <w:szCs w:val="20"/>
              </w:rPr>
              <w:t xml:space="preserve"> currently capable of supporting the level of audit sign-off prescribed in the licence condition for the reasons set out in </w:t>
            </w:r>
            <w:r w:rsidR="00402394" w:rsidRPr="004222EB">
              <w:rPr>
                <w:rFonts w:ascii="Verdana" w:hAnsi="Verdana"/>
                <w:sz w:val="20"/>
                <w:szCs w:val="20"/>
              </w:rPr>
              <w:t xml:space="preserve">the </w:t>
            </w:r>
            <w:r w:rsidR="0062280E" w:rsidRPr="004222EB">
              <w:rPr>
                <w:rFonts w:ascii="Verdana" w:hAnsi="Verdana"/>
                <w:sz w:val="20"/>
                <w:szCs w:val="20"/>
              </w:rPr>
              <w:t>General Response s</w:t>
            </w:r>
            <w:r w:rsidRPr="004222EB">
              <w:rPr>
                <w:rFonts w:ascii="Verdana" w:hAnsi="Verdana"/>
                <w:sz w:val="20"/>
                <w:szCs w:val="20"/>
              </w:rPr>
              <w:t>ection below.</w:t>
            </w:r>
          </w:p>
          <w:p w:rsidR="00EA1330" w:rsidRPr="004222EB" w:rsidRDefault="00EA1330" w:rsidP="004222EB">
            <w:pPr>
              <w:rPr>
                <w:szCs w:val="20"/>
              </w:rPr>
            </w:pPr>
          </w:p>
          <w:p w:rsidR="00C17DDA" w:rsidRPr="004222EB" w:rsidRDefault="00F772E4" w:rsidP="004222EB">
            <w:pPr>
              <w:pStyle w:val="Default"/>
              <w:numPr>
                <w:ilvl w:val="0"/>
                <w:numId w:val="3"/>
              </w:numPr>
              <w:rPr>
                <w:rFonts w:ascii="Verdana" w:hAnsi="Verdana"/>
                <w:sz w:val="20"/>
                <w:szCs w:val="20"/>
              </w:rPr>
            </w:pPr>
            <w:r w:rsidRPr="004222EB">
              <w:rPr>
                <w:rFonts w:ascii="Verdana" w:hAnsi="Verdana"/>
                <w:sz w:val="20"/>
                <w:szCs w:val="20"/>
              </w:rPr>
              <w:t xml:space="preserve">44A.18 states that the Authority can provide consent for the fairly presents Audit opinion to be omitted from the Audit report. </w:t>
            </w:r>
            <w:proofErr w:type="spellStart"/>
            <w:r w:rsidRPr="004222EB">
              <w:rPr>
                <w:rFonts w:ascii="Verdana" w:hAnsi="Verdana"/>
                <w:sz w:val="20"/>
                <w:szCs w:val="20"/>
              </w:rPr>
              <w:t>Ofgem</w:t>
            </w:r>
            <w:proofErr w:type="spellEnd"/>
            <w:r w:rsidRPr="004222EB">
              <w:rPr>
                <w:rFonts w:ascii="Verdana" w:hAnsi="Verdana"/>
                <w:sz w:val="20"/>
                <w:szCs w:val="20"/>
              </w:rPr>
              <w:t xml:space="preserve"> should provide further guidance on this process, as well as clarifying the wording of the Audit report.</w:t>
            </w:r>
            <w:r w:rsidR="0016033D" w:rsidRPr="004222EB">
              <w:rPr>
                <w:rFonts w:ascii="Verdana" w:hAnsi="Verdana"/>
                <w:sz w:val="20"/>
                <w:szCs w:val="20"/>
              </w:rPr>
              <w:t xml:space="preserve">  </w:t>
            </w:r>
          </w:p>
          <w:p w:rsidR="0016033D" w:rsidRPr="004222EB" w:rsidRDefault="0016033D" w:rsidP="004222EB">
            <w:pPr>
              <w:pStyle w:val="Default"/>
              <w:ind w:left="1080"/>
              <w:rPr>
                <w:rFonts w:ascii="Verdana" w:hAnsi="Verdana"/>
                <w:sz w:val="20"/>
                <w:szCs w:val="20"/>
              </w:rPr>
            </w:pPr>
          </w:p>
          <w:p w:rsidR="005177B9" w:rsidRPr="004222EB" w:rsidRDefault="008E3B49" w:rsidP="004222EB">
            <w:pPr>
              <w:pStyle w:val="Default"/>
              <w:rPr>
                <w:rFonts w:ascii="Verdana" w:hAnsi="Verdana"/>
                <w:color w:val="auto"/>
                <w:sz w:val="20"/>
                <w:szCs w:val="20"/>
              </w:rPr>
            </w:pPr>
            <w:r w:rsidRPr="004222EB">
              <w:rPr>
                <w:rFonts w:ascii="Verdana" w:hAnsi="Verdana"/>
                <w:color w:val="auto"/>
                <w:sz w:val="20"/>
                <w:szCs w:val="20"/>
              </w:rPr>
              <w:t xml:space="preserve">The draft licence condition reflects the current RIIO Accounts framework.  </w:t>
            </w:r>
            <w:r w:rsidR="00EC16A3" w:rsidRPr="004222EB">
              <w:rPr>
                <w:rFonts w:ascii="Verdana" w:hAnsi="Verdana"/>
                <w:color w:val="auto"/>
                <w:sz w:val="20"/>
                <w:szCs w:val="20"/>
              </w:rPr>
              <w:t xml:space="preserve">Unfortunately, </w:t>
            </w:r>
            <w:r w:rsidR="00F772E4" w:rsidRPr="004222EB">
              <w:rPr>
                <w:rFonts w:ascii="Verdana" w:hAnsi="Verdana"/>
                <w:color w:val="auto"/>
                <w:sz w:val="20"/>
                <w:szCs w:val="20"/>
              </w:rPr>
              <w:t xml:space="preserve">for </w:t>
            </w:r>
            <w:r w:rsidR="00A658C2">
              <w:rPr>
                <w:rFonts w:ascii="Verdana" w:hAnsi="Verdana"/>
                <w:color w:val="auto"/>
                <w:sz w:val="20"/>
                <w:szCs w:val="20"/>
              </w:rPr>
              <w:t xml:space="preserve">the </w:t>
            </w:r>
            <w:r w:rsidR="00F772E4" w:rsidRPr="004222EB">
              <w:rPr>
                <w:rFonts w:ascii="Verdana" w:hAnsi="Verdana"/>
                <w:color w:val="auto"/>
                <w:sz w:val="20"/>
                <w:szCs w:val="20"/>
              </w:rPr>
              <w:t xml:space="preserve">reasons set out below, </w:t>
            </w:r>
            <w:r w:rsidR="00EC16A3" w:rsidRPr="004222EB">
              <w:rPr>
                <w:rFonts w:ascii="Verdana" w:hAnsi="Verdana"/>
                <w:color w:val="auto"/>
                <w:sz w:val="20"/>
                <w:szCs w:val="20"/>
              </w:rPr>
              <w:t xml:space="preserve">we believe the current RIIO Accounts proposal has significant flaws. </w:t>
            </w:r>
          </w:p>
          <w:p w:rsidR="005177B9" w:rsidRPr="004222EB" w:rsidRDefault="005177B9" w:rsidP="004222EB">
            <w:pPr>
              <w:pStyle w:val="Default"/>
              <w:rPr>
                <w:rFonts w:ascii="Verdana" w:hAnsi="Verdana"/>
                <w:color w:val="auto"/>
                <w:sz w:val="20"/>
                <w:szCs w:val="20"/>
              </w:rPr>
            </w:pPr>
          </w:p>
          <w:p w:rsidR="00EC16A3" w:rsidRPr="004222EB" w:rsidRDefault="00EC16A3" w:rsidP="004222EB">
            <w:pPr>
              <w:pStyle w:val="Default"/>
              <w:rPr>
                <w:rFonts w:ascii="Verdana" w:hAnsi="Verdana"/>
                <w:color w:val="auto"/>
                <w:sz w:val="20"/>
                <w:szCs w:val="20"/>
              </w:rPr>
            </w:pPr>
            <w:r w:rsidRPr="004222EB">
              <w:rPr>
                <w:rFonts w:ascii="Verdana" w:hAnsi="Verdana"/>
                <w:color w:val="auto"/>
                <w:sz w:val="20"/>
                <w:szCs w:val="20"/>
              </w:rPr>
              <w:t xml:space="preserve">The scope and complexity of the reporting requirements have grown substantially, increasing the regulatory burden and ultimately increasing costs to consumers. The supporting framework presents issues, with ambiguous ORFRS, absent guidance notes and lack of interpretation in key areas such as close-out mechanisms, threatening the comparability of </w:t>
            </w:r>
            <w:r w:rsidR="00F772E4" w:rsidRPr="004222EB">
              <w:rPr>
                <w:rFonts w:ascii="Verdana" w:hAnsi="Verdana"/>
                <w:color w:val="auto"/>
                <w:sz w:val="20"/>
                <w:szCs w:val="20"/>
              </w:rPr>
              <w:t>the results being presented</w:t>
            </w:r>
            <w:r w:rsidRPr="004222EB">
              <w:rPr>
                <w:rFonts w:ascii="Verdana" w:hAnsi="Verdana"/>
                <w:color w:val="auto"/>
                <w:sz w:val="20"/>
                <w:szCs w:val="20"/>
              </w:rPr>
              <w:t>.  As a result, we are concerned that the insistence on a ‘fairly presents’ audit opinion may result in a qualified audit report and risk potential licence breaches in network companies, which could ultimately undermine confidence in the framework.</w:t>
            </w:r>
          </w:p>
          <w:p w:rsidR="00EC16A3" w:rsidRPr="004222EB" w:rsidRDefault="00EC16A3" w:rsidP="004222EB">
            <w:pPr>
              <w:pStyle w:val="Default"/>
              <w:rPr>
                <w:rFonts w:ascii="Verdana" w:hAnsi="Verdana"/>
                <w:color w:val="auto"/>
                <w:sz w:val="20"/>
                <w:szCs w:val="20"/>
              </w:rPr>
            </w:pPr>
          </w:p>
          <w:p w:rsidR="00EC16A3" w:rsidRPr="004222EB" w:rsidRDefault="00EC16A3" w:rsidP="004222EB">
            <w:pPr>
              <w:pStyle w:val="Default"/>
              <w:rPr>
                <w:rFonts w:ascii="Verdana" w:hAnsi="Verdana"/>
                <w:color w:val="auto"/>
                <w:sz w:val="20"/>
                <w:szCs w:val="20"/>
              </w:rPr>
            </w:pPr>
            <w:r w:rsidRPr="004222EB">
              <w:rPr>
                <w:rFonts w:ascii="Verdana" w:hAnsi="Verdana"/>
                <w:color w:val="auto"/>
                <w:sz w:val="20"/>
                <w:szCs w:val="20"/>
              </w:rPr>
              <w:t>Our conclusion is that we do not believe RIIO Accounts</w:t>
            </w:r>
            <w:r w:rsidR="00F772E4" w:rsidRPr="004222EB">
              <w:rPr>
                <w:rFonts w:ascii="Verdana" w:hAnsi="Verdana"/>
                <w:color w:val="auto"/>
                <w:sz w:val="20"/>
                <w:szCs w:val="20"/>
              </w:rPr>
              <w:t>, in their</w:t>
            </w:r>
            <w:r w:rsidR="006C1097" w:rsidRPr="004222EB">
              <w:rPr>
                <w:rFonts w:ascii="Verdana" w:hAnsi="Verdana"/>
                <w:color w:val="auto"/>
                <w:sz w:val="20"/>
                <w:szCs w:val="20"/>
              </w:rPr>
              <w:t xml:space="preserve"> current form,</w:t>
            </w:r>
            <w:r w:rsidR="00F772E4" w:rsidRPr="004222EB">
              <w:rPr>
                <w:rFonts w:ascii="Verdana" w:hAnsi="Verdana"/>
                <w:color w:val="auto"/>
                <w:sz w:val="20"/>
                <w:szCs w:val="20"/>
              </w:rPr>
              <w:t xml:space="preserve"> either</w:t>
            </w:r>
            <w:r w:rsidRPr="004222EB">
              <w:rPr>
                <w:rFonts w:ascii="Verdana" w:hAnsi="Verdana"/>
                <w:color w:val="auto"/>
                <w:sz w:val="20"/>
                <w:szCs w:val="20"/>
              </w:rPr>
              <w:t xml:space="preserve"> represent</w:t>
            </w:r>
            <w:r w:rsidR="006C1097" w:rsidRPr="004222EB">
              <w:rPr>
                <w:rFonts w:ascii="Verdana" w:hAnsi="Verdana"/>
                <w:color w:val="auto"/>
                <w:sz w:val="20"/>
                <w:szCs w:val="20"/>
              </w:rPr>
              <w:t>s</w:t>
            </w:r>
            <w:r w:rsidRPr="004222EB">
              <w:rPr>
                <w:rFonts w:ascii="Verdana" w:hAnsi="Verdana"/>
                <w:color w:val="auto"/>
                <w:sz w:val="20"/>
                <w:szCs w:val="20"/>
              </w:rPr>
              <w:t xml:space="preserve"> good value for customers or meet</w:t>
            </w:r>
            <w:r w:rsidR="00F772E4" w:rsidRPr="004222EB">
              <w:rPr>
                <w:rFonts w:ascii="Verdana" w:hAnsi="Verdana"/>
                <w:color w:val="auto"/>
                <w:sz w:val="20"/>
                <w:szCs w:val="20"/>
              </w:rPr>
              <w:t>s</w:t>
            </w:r>
            <w:r w:rsidRPr="004222EB">
              <w:rPr>
                <w:rFonts w:ascii="Verdana" w:hAnsi="Verdana"/>
                <w:color w:val="auto"/>
                <w:sz w:val="20"/>
                <w:szCs w:val="20"/>
              </w:rPr>
              <w:t xml:space="preserve"> the perceived deficiency in investor information</w:t>
            </w:r>
            <w:r w:rsidR="00F772E4" w:rsidRPr="004222EB">
              <w:rPr>
                <w:rFonts w:ascii="Verdana" w:hAnsi="Verdana"/>
                <w:color w:val="auto"/>
                <w:sz w:val="20"/>
                <w:szCs w:val="20"/>
              </w:rPr>
              <w:t>.</w:t>
            </w:r>
          </w:p>
          <w:p w:rsidR="005177B9" w:rsidRPr="004222EB" w:rsidRDefault="005177B9" w:rsidP="004222EB">
            <w:pPr>
              <w:pStyle w:val="Default"/>
              <w:rPr>
                <w:rFonts w:ascii="Verdana" w:hAnsi="Verdana"/>
                <w:color w:val="auto"/>
                <w:sz w:val="20"/>
                <w:szCs w:val="20"/>
              </w:rPr>
            </w:pPr>
          </w:p>
          <w:p w:rsidR="00EC16A3" w:rsidRPr="004222EB" w:rsidRDefault="00EC16A3" w:rsidP="004222EB">
            <w:pPr>
              <w:pStyle w:val="Default"/>
              <w:rPr>
                <w:rFonts w:ascii="Verdana" w:hAnsi="Verdana"/>
                <w:color w:val="auto"/>
                <w:sz w:val="20"/>
                <w:szCs w:val="20"/>
              </w:rPr>
            </w:pPr>
            <w:r w:rsidRPr="004222EB">
              <w:rPr>
                <w:rFonts w:ascii="Verdana" w:hAnsi="Verdana"/>
                <w:color w:val="auto"/>
                <w:sz w:val="20"/>
                <w:szCs w:val="20"/>
              </w:rPr>
              <w:lastRenderedPageBreak/>
              <w:t xml:space="preserve">We believe a significant overhaul of the proposal is needed for it to continue. The process should be simplified, with a focus on clear and comparable measures of performance. A phased implementation would also allow the supporting framework and outputs to develop over time, at a pace that satisfies the requirements of all stakeholders. </w:t>
            </w:r>
          </w:p>
          <w:p w:rsidR="007F5C3A" w:rsidRPr="004222EB" w:rsidRDefault="007F5C3A" w:rsidP="004222EB">
            <w:pPr>
              <w:pStyle w:val="Default"/>
              <w:rPr>
                <w:rFonts w:ascii="Verdana" w:hAnsi="Verdana"/>
                <w:color w:val="auto"/>
                <w:sz w:val="20"/>
                <w:szCs w:val="20"/>
              </w:rPr>
            </w:pPr>
          </w:p>
          <w:p w:rsidR="00EC16A3" w:rsidRPr="004222EB" w:rsidRDefault="00EC16A3" w:rsidP="004222EB">
            <w:pPr>
              <w:pStyle w:val="Default"/>
              <w:rPr>
                <w:rFonts w:ascii="Verdana" w:hAnsi="Verdana"/>
                <w:color w:val="auto"/>
                <w:sz w:val="20"/>
                <w:szCs w:val="20"/>
              </w:rPr>
            </w:pPr>
            <w:r w:rsidRPr="004222EB">
              <w:rPr>
                <w:rFonts w:ascii="Verdana" w:hAnsi="Verdana"/>
                <w:color w:val="auto"/>
                <w:sz w:val="20"/>
                <w:szCs w:val="20"/>
              </w:rPr>
              <w:t>Furthermore, the requirement for information to be audited will lead to a significant increase in work and higher costs for consumers. We question the benefit of this audit requirement to consumers and suggest that unaudited reporting will meet the objectives at a lower cost.</w:t>
            </w:r>
          </w:p>
          <w:p w:rsidR="00EC16A3" w:rsidRPr="004222EB" w:rsidRDefault="00EC16A3" w:rsidP="004222EB">
            <w:pPr>
              <w:pStyle w:val="Default"/>
              <w:rPr>
                <w:rFonts w:ascii="Verdana" w:hAnsi="Verdana"/>
                <w:color w:val="auto"/>
                <w:sz w:val="20"/>
                <w:szCs w:val="20"/>
              </w:rPr>
            </w:pPr>
          </w:p>
          <w:p w:rsidR="00F17213" w:rsidRPr="004222EB" w:rsidRDefault="00EC16A3" w:rsidP="004222EB">
            <w:pPr>
              <w:pStyle w:val="Default"/>
              <w:rPr>
                <w:rFonts w:ascii="Verdana" w:hAnsi="Verdana"/>
                <w:color w:val="auto"/>
                <w:sz w:val="20"/>
                <w:szCs w:val="20"/>
              </w:rPr>
            </w:pPr>
            <w:r w:rsidRPr="004222EB">
              <w:rPr>
                <w:rFonts w:ascii="Verdana" w:hAnsi="Verdana"/>
                <w:color w:val="auto"/>
                <w:sz w:val="20"/>
                <w:szCs w:val="20"/>
              </w:rPr>
              <w:t>We would recommend that any initial reporting requirements be focused solely on a selection of unaudited key regulatory measures and ratios. This would satisfy immediate investor needs, while representing good value to consumers.</w:t>
            </w:r>
          </w:p>
          <w:p w:rsidR="00D15A5E" w:rsidRPr="004222EB" w:rsidRDefault="00D15A5E" w:rsidP="004222EB">
            <w:pPr>
              <w:pStyle w:val="Default"/>
              <w:rPr>
                <w:rFonts w:ascii="Verdana" w:hAnsi="Verdana"/>
                <w:sz w:val="20"/>
                <w:szCs w:val="20"/>
              </w:rPr>
            </w:pPr>
          </w:p>
        </w:tc>
      </w:tr>
      <w:tr w:rsidR="006E4C6B" w:rsidTr="00FF47B7">
        <w:trPr>
          <w:trHeight w:val="605"/>
        </w:trPr>
        <w:tc>
          <w:tcPr>
            <w:tcW w:w="9067" w:type="dxa"/>
            <w:shd w:val="clear" w:color="auto" w:fill="ED7D31" w:themeFill="accent2"/>
          </w:tcPr>
          <w:p w:rsidR="006E4C6B" w:rsidRPr="006E4C6B" w:rsidRDefault="00CD1F2D" w:rsidP="006E4C6B">
            <w:pPr>
              <w:rPr>
                <w:b/>
              </w:rPr>
            </w:pPr>
            <w:r w:rsidRPr="00CD1F2D">
              <w:rPr>
                <w:b/>
                <w:color w:val="FFFFFF" w:themeColor="background1"/>
              </w:rPr>
              <w:lastRenderedPageBreak/>
              <w:t>Question 2: Do you have any comments on consequential modifications required to other licence conditions set out in Appendix 2?</w:t>
            </w:r>
          </w:p>
        </w:tc>
      </w:tr>
      <w:tr w:rsidR="006E4C6B" w:rsidTr="00FF47B7">
        <w:trPr>
          <w:trHeight w:val="1073"/>
        </w:trPr>
        <w:tc>
          <w:tcPr>
            <w:tcW w:w="9067" w:type="dxa"/>
          </w:tcPr>
          <w:p w:rsidR="004222EB" w:rsidRDefault="004222EB" w:rsidP="004222EB">
            <w:pPr>
              <w:pStyle w:val="Default"/>
              <w:rPr>
                <w:rFonts w:ascii="Verdana" w:hAnsi="Verdana"/>
                <w:color w:val="auto"/>
                <w:sz w:val="20"/>
                <w:szCs w:val="20"/>
              </w:rPr>
            </w:pPr>
          </w:p>
          <w:p w:rsidR="006E4C6B" w:rsidRPr="004222EB" w:rsidRDefault="00E346AB" w:rsidP="004222EB">
            <w:pPr>
              <w:pStyle w:val="Default"/>
              <w:rPr>
                <w:rFonts w:ascii="Verdana" w:hAnsi="Verdana"/>
                <w:color w:val="auto"/>
                <w:sz w:val="20"/>
                <w:szCs w:val="20"/>
              </w:rPr>
            </w:pPr>
            <w:r w:rsidRPr="004222EB">
              <w:rPr>
                <w:rFonts w:ascii="Verdana" w:hAnsi="Verdana"/>
                <w:color w:val="auto"/>
                <w:sz w:val="20"/>
                <w:szCs w:val="20"/>
              </w:rPr>
              <w:t xml:space="preserve">We </w:t>
            </w:r>
            <w:r w:rsidR="0046351A" w:rsidRPr="004222EB">
              <w:rPr>
                <w:rFonts w:ascii="Verdana" w:hAnsi="Verdana"/>
                <w:color w:val="auto"/>
                <w:sz w:val="20"/>
                <w:szCs w:val="20"/>
              </w:rPr>
              <w:t>have the following comments:</w:t>
            </w:r>
          </w:p>
          <w:p w:rsidR="00E346AB" w:rsidRPr="004222EB" w:rsidRDefault="00E346AB" w:rsidP="004222EB">
            <w:pPr>
              <w:pStyle w:val="Default"/>
              <w:rPr>
                <w:rFonts w:ascii="Verdana" w:hAnsi="Verdana"/>
                <w:color w:val="auto"/>
                <w:sz w:val="20"/>
                <w:szCs w:val="20"/>
              </w:rPr>
            </w:pPr>
          </w:p>
          <w:p w:rsidR="006229FF" w:rsidRPr="004222EB" w:rsidRDefault="006229FF" w:rsidP="004222EB">
            <w:pPr>
              <w:pStyle w:val="Default"/>
              <w:numPr>
                <w:ilvl w:val="0"/>
                <w:numId w:val="2"/>
              </w:numPr>
              <w:rPr>
                <w:rFonts w:ascii="Verdana" w:hAnsi="Verdana"/>
                <w:color w:val="auto"/>
                <w:sz w:val="20"/>
                <w:szCs w:val="20"/>
              </w:rPr>
            </w:pPr>
            <w:r w:rsidRPr="004222EB">
              <w:rPr>
                <w:rFonts w:ascii="Verdana" w:hAnsi="Verdana"/>
                <w:color w:val="auto"/>
                <w:sz w:val="20"/>
                <w:szCs w:val="20"/>
              </w:rPr>
              <w:t>There is currently a definition for Regulatory Accounts under Standard Condition 1 but not one for RIIO Accounts.  For consistency, we would suggest:</w:t>
            </w:r>
          </w:p>
          <w:p w:rsidR="006229FF" w:rsidRPr="004222EB" w:rsidRDefault="006229FF" w:rsidP="004222EB">
            <w:pPr>
              <w:pStyle w:val="Default"/>
              <w:rPr>
                <w:rFonts w:ascii="Verdana" w:hAnsi="Verdana"/>
                <w:color w:val="auto"/>
                <w:sz w:val="20"/>
                <w:szCs w:val="20"/>
              </w:rPr>
            </w:pPr>
          </w:p>
          <w:p w:rsidR="00A66D3F" w:rsidRPr="004222EB" w:rsidRDefault="006229FF" w:rsidP="004222EB">
            <w:pPr>
              <w:pStyle w:val="Default"/>
              <w:ind w:left="720"/>
              <w:rPr>
                <w:rFonts w:ascii="Verdana" w:hAnsi="Verdana"/>
                <w:color w:val="auto"/>
                <w:sz w:val="20"/>
                <w:szCs w:val="20"/>
              </w:rPr>
            </w:pPr>
            <w:r w:rsidRPr="004222EB">
              <w:rPr>
                <w:rFonts w:ascii="Verdana" w:hAnsi="Verdana"/>
                <w:color w:val="auto"/>
                <w:sz w:val="20"/>
                <w:szCs w:val="20"/>
              </w:rPr>
              <w:t>RIIO Accounts  -  means the accounts of the licensee produced in accordance with standard condition 44A (Regulatory financial reporting)</w:t>
            </w:r>
          </w:p>
          <w:p w:rsidR="00D030C6" w:rsidRPr="004222EB" w:rsidRDefault="00D030C6" w:rsidP="004222EB">
            <w:pPr>
              <w:pStyle w:val="Default"/>
              <w:ind w:left="720"/>
              <w:rPr>
                <w:rFonts w:ascii="Verdana" w:hAnsi="Verdana"/>
                <w:color w:val="auto"/>
                <w:sz w:val="20"/>
                <w:szCs w:val="20"/>
              </w:rPr>
            </w:pPr>
          </w:p>
          <w:p w:rsidR="00D030C6" w:rsidRPr="004222EB" w:rsidRDefault="00D030C6" w:rsidP="004222EB">
            <w:pPr>
              <w:pStyle w:val="Default"/>
              <w:numPr>
                <w:ilvl w:val="0"/>
                <w:numId w:val="2"/>
              </w:numPr>
              <w:rPr>
                <w:rFonts w:ascii="Verdana" w:hAnsi="Verdana"/>
                <w:color w:val="auto"/>
                <w:sz w:val="20"/>
                <w:szCs w:val="20"/>
              </w:rPr>
            </w:pPr>
            <w:r w:rsidRPr="004222EB">
              <w:rPr>
                <w:rFonts w:ascii="Verdana" w:hAnsi="Verdana"/>
                <w:color w:val="auto"/>
                <w:sz w:val="20"/>
                <w:szCs w:val="20"/>
              </w:rPr>
              <w:t>Section 29.9 (Limitations of De Minimis Business not to be exceeded).  It should be made clear that this should refer to 2.5% of the statutory number or 2.5% of Distribution Revenue which needs further definition in the licence if this is retained.</w:t>
            </w:r>
          </w:p>
          <w:p w:rsidR="00D030C6" w:rsidRPr="004222EB" w:rsidRDefault="00D030C6" w:rsidP="004222EB">
            <w:pPr>
              <w:pStyle w:val="Default"/>
              <w:ind w:left="360"/>
              <w:rPr>
                <w:rFonts w:ascii="Verdana" w:hAnsi="Verdana"/>
                <w:color w:val="auto"/>
                <w:sz w:val="20"/>
                <w:szCs w:val="20"/>
              </w:rPr>
            </w:pPr>
          </w:p>
          <w:p w:rsidR="00D030C6" w:rsidRPr="004222EB" w:rsidRDefault="00D030C6" w:rsidP="004222EB">
            <w:pPr>
              <w:pStyle w:val="Default"/>
              <w:numPr>
                <w:ilvl w:val="0"/>
                <w:numId w:val="2"/>
              </w:numPr>
              <w:rPr>
                <w:rFonts w:ascii="Verdana" w:hAnsi="Verdana"/>
                <w:color w:val="auto"/>
                <w:sz w:val="20"/>
                <w:szCs w:val="20"/>
              </w:rPr>
            </w:pPr>
            <w:r w:rsidRPr="004222EB">
              <w:rPr>
                <w:rFonts w:ascii="Verdana" w:hAnsi="Verdana"/>
                <w:color w:val="auto"/>
                <w:sz w:val="20"/>
                <w:szCs w:val="20"/>
              </w:rPr>
              <w:t xml:space="preserve">Section 29.10 In the RIIO accounts the share capital and reserves (net assets) will be significantly reduced from the net assets reported in the statutory accounts. In light of this, the </w:t>
            </w:r>
            <w:r w:rsidR="00447B7E" w:rsidRPr="004222EB">
              <w:rPr>
                <w:rFonts w:ascii="Verdana" w:hAnsi="Verdana"/>
                <w:color w:val="auto"/>
                <w:sz w:val="20"/>
                <w:szCs w:val="20"/>
              </w:rPr>
              <w:t>De Minimi</w:t>
            </w:r>
            <w:r w:rsidRPr="004222EB">
              <w:rPr>
                <w:rFonts w:ascii="Verdana" w:hAnsi="Verdana"/>
                <w:color w:val="auto"/>
                <w:sz w:val="20"/>
                <w:szCs w:val="20"/>
              </w:rPr>
              <w:t>s restriction of 2.5% needs reviewing.</w:t>
            </w:r>
          </w:p>
          <w:p w:rsidR="000758B6" w:rsidRPr="004222EB" w:rsidRDefault="000758B6" w:rsidP="004222EB">
            <w:pPr>
              <w:pStyle w:val="Default"/>
              <w:rPr>
                <w:rFonts w:ascii="Verdana" w:hAnsi="Verdana"/>
                <w:color w:val="auto"/>
                <w:sz w:val="20"/>
                <w:szCs w:val="20"/>
              </w:rPr>
            </w:pPr>
          </w:p>
          <w:p w:rsidR="00CC1516" w:rsidRPr="004222EB" w:rsidRDefault="003E212F" w:rsidP="004222EB">
            <w:pPr>
              <w:pStyle w:val="Default"/>
              <w:numPr>
                <w:ilvl w:val="0"/>
                <w:numId w:val="2"/>
              </w:numPr>
              <w:rPr>
                <w:rFonts w:ascii="Verdana" w:hAnsi="Verdana"/>
                <w:color w:val="auto"/>
                <w:sz w:val="20"/>
                <w:szCs w:val="20"/>
              </w:rPr>
            </w:pPr>
            <w:r w:rsidRPr="004222EB">
              <w:rPr>
                <w:rFonts w:ascii="Verdana" w:hAnsi="Verdana"/>
                <w:color w:val="auto"/>
                <w:sz w:val="20"/>
                <w:szCs w:val="20"/>
              </w:rPr>
              <w:t>There is also additional reference to the Regulatory Accounts in the Financial Handbook that will need to be addressed:</w:t>
            </w:r>
          </w:p>
          <w:p w:rsidR="003E212F" w:rsidRPr="004222EB" w:rsidRDefault="00332229" w:rsidP="004222EB">
            <w:pPr>
              <w:pStyle w:val="Default"/>
              <w:numPr>
                <w:ilvl w:val="1"/>
                <w:numId w:val="2"/>
              </w:numPr>
              <w:rPr>
                <w:rFonts w:ascii="Verdana" w:hAnsi="Verdana"/>
                <w:color w:val="auto"/>
                <w:sz w:val="20"/>
                <w:szCs w:val="20"/>
              </w:rPr>
            </w:pPr>
            <w:r w:rsidRPr="004222EB">
              <w:rPr>
                <w:rFonts w:ascii="Verdana" w:hAnsi="Verdana"/>
                <w:color w:val="auto"/>
                <w:sz w:val="20"/>
                <w:szCs w:val="20"/>
              </w:rPr>
              <w:t>Section 4.29</w:t>
            </w:r>
          </w:p>
          <w:p w:rsidR="00332229" w:rsidRPr="004222EB" w:rsidRDefault="00332229" w:rsidP="004222EB">
            <w:pPr>
              <w:pStyle w:val="Default"/>
              <w:numPr>
                <w:ilvl w:val="1"/>
                <w:numId w:val="2"/>
              </w:numPr>
              <w:rPr>
                <w:rFonts w:ascii="Verdana" w:hAnsi="Verdana"/>
                <w:color w:val="auto"/>
                <w:sz w:val="20"/>
                <w:szCs w:val="20"/>
              </w:rPr>
            </w:pPr>
            <w:r w:rsidRPr="004222EB">
              <w:rPr>
                <w:rFonts w:ascii="Verdana" w:hAnsi="Verdana"/>
                <w:color w:val="auto"/>
                <w:sz w:val="20"/>
                <w:szCs w:val="20"/>
              </w:rPr>
              <w:t>Appendix 1 – Glossary.  For consistency, this will also need a reference to the RIIO Accounts as well as the Regulatory Accounts.</w:t>
            </w:r>
          </w:p>
          <w:p w:rsidR="00E346AB" w:rsidRPr="00E346AB" w:rsidRDefault="00E346AB">
            <w:pPr>
              <w:pStyle w:val="Default"/>
              <w:rPr>
                <w:color w:val="auto"/>
                <w:sz w:val="22"/>
                <w:szCs w:val="22"/>
              </w:rPr>
            </w:pPr>
          </w:p>
        </w:tc>
      </w:tr>
      <w:tr w:rsidR="006E4C6B" w:rsidRPr="006E4C6B" w:rsidTr="00FF47B7">
        <w:tblPrEx>
          <w:tblLook w:val="04A0"/>
        </w:tblPrEx>
        <w:trPr>
          <w:trHeight w:val="605"/>
        </w:trPr>
        <w:tc>
          <w:tcPr>
            <w:tcW w:w="9067" w:type="dxa"/>
            <w:shd w:val="clear" w:color="auto" w:fill="ED7D31" w:themeFill="accent2"/>
          </w:tcPr>
          <w:p w:rsidR="006E4C6B" w:rsidRPr="006E4C6B" w:rsidRDefault="00CD1F2D" w:rsidP="002B5D9F">
            <w:pPr>
              <w:rPr>
                <w:b/>
              </w:rPr>
            </w:pPr>
            <w:r w:rsidRPr="00CD1F2D">
              <w:rPr>
                <w:b/>
                <w:color w:val="FFFFFF" w:themeColor="background1"/>
              </w:rPr>
              <w:t>Question 3: Do you have any comments on the proposed RCGS Principles set out in Appendix 3?</w:t>
            </w:r>
          </w:p>
        </w:tc>
      </w:tr>
      <w:tr w:rsidR="006E4C6B" w:rsidTr="00FF47B7">
        <w:tblPrEx>
          <w:tblLook w:val="04A0"/>
        </w:tblPrEx>
        <w:trPr>
          <w:trHeight w:val="1083"/>
        </w:trPr>
        <w:tc>
          <w:tcPr>
            <w:tcW w:w="9067" w:type="dxa"/>
          </w:tcPr>
          <w:p w:rsidR="006E4C6B" w:rsidRPr="004222EB" w:rsidRDefault="006C1097" w:rsidP="002B5D9F">
            <w:pPr>
              <w:pStyle w:val="Default"/>
              <w:rPr>
                <w:rFonts w:ascii="Verdana" w:hAnsi="Verdana"/>
                <w:color w:val="auto"/>
                <w:sz w:val="20"/>
                <w:szCs w:val="20"/>
              </w:rPr>
            </w:pPr>
            <w:r w:rsidRPr="004222EB">
              <w:rPr>
                <w:rFonts w:ascii="Verdana" w:hAnsi="Verdana"/>
                <w:color w:val="auto"/>
                <w:sz w:val="20"/>
                <w:szCs w:val="20"/>
              </w:rPr>
              <w:t>We would like to highlight the following points in regard to the RCGS principles:</w:t>
            </w:r>
          </w:p>
          <w:p w:rsidR="006C1097" w:rsidRPr="004222EB" w:rsidRDefault="006C1097" w:rsidP="002B5D9F">
            <w:pPr>
              <w:pStyle w:val="Default"/>
              <w:rPr>
                <w:rFonts w:ascii="Verdana" w:hAnsi="Verdana"/>
                <w:color w:val="auto"/>
                <w:sz w:val="20"/>
                <w:szCs w:val="20"/>
              </w:rPr>
            </w:pPr>
          </w:p>
          <w:p w:rsidR="006C1097" w:rsidRPr="004222EB" w:rsidRDefault="000A13DE" w:rsidP="000A13DE">
            <w:pPr>
              <w:pStyle w:val="Default"/>
              <w:numPr>
                <w:ilvl w:val="0"/>
                <w:numId w:val="11"/>
              </w:numPr>
              <w:rPr>
                <w:rFonts w:ascii="Verdana" w:hAnsi="Verdana"/>
                <w:color w:val="auto"/>
                <w:sz w:val="20"/>
                <w:szCs w:val="20"/>
              </w:rPr>
            </w:pPr>
            <w:r w:rsidRPr="004222EB">
              <w:rPr>
                <w:rFonts w:ascii="Verdana" w:hAnsi="Verdana"/>
                <w:color w:val="auto"/>
                <w:sz w:val="20"/>
                <w:szCs w:val="20"/>
              </w:rPr>
              <w:t xml:space="preserve">It is not clear if we need to provide a standard UK corporate governance report as we currently do in the statutory accounts.  </w:t>
            </w:r>
            <w:r w:rsidR="00790921" w:rsidRPr="004222EB">
              <w:rPr>
                <w:rFonts w:ascii="Verdana" w:hAnsi="Verdana"/>
                <w:color w:val="auto"/>
                <w:sz w:val="20"/>
                <w:szCs w:val="20"/>
              </w:rPr>
              <w:t xml:space="preserve">Further guidance and structure </w:t>
            </w:r>
            <w:r w:rsidR="005177B9" w:rsidRPr="004222EB">
              <w:rPr>
                <w:rFonts w:ascii="Verdana" w:hAnsi="Verdana"/>
                <w:color w:val="auto"/>
                <w:sz w:val="20"/>
                <w:szCs w:val="20"/>
              </w:rPr>
              <w:t xml:space="preserve">is required </w:t>
            </w:r>
            <w:r w:rsidR="00790921" w:rsidRPr="004222EB">
              <w:rPr>
                <w:rFonts w:ascii="Verdana" w:hAnsi="Verdana"/>
                <w:color w:val="auto"/>
                <w:sz w:val="20"/>
                <w:szCs w:val="20"/>
              </w:rPr>
              <w:t>in this area to clarify the front-end requirements</w:t>
            </w:r>
            <w:r w:rsidR="003B6F77" w:rsidRPr="004222EB">
              <w:rPr>
                <w:rFonts w:ascii="Verdana" w:hAnsi="Verdana"/>
                <w:color w:val="auto"/>
                <w:sz w:val="20"/>
                <w:szCs w:val="20"/>
              </w:rPr>
              <w:t xml:space="preserve"> and avoid unnecessary duplication with other reporting requirements</w:t>
            </w:r>
            <w:r w:rsidR="005177B9" w:rsidRPr="004222EB">
              <w:rPr>
                <w:rFonts w:ascii="Verdana" w:hAnsi="Verdana"/>
                <w:color w:val="auto"/>
                <w:sz w:val="20"/>
                <w:szCs w:val="20"/>
              </w:rPr>
              <w:t>.</w:t>
            </w:r>
          </w:p>
          <w:p w:rsidR="005177B9" w:rsidRPr="004222EB" w:rsidRDefault="005177B9" w:rsidP="005177B9">
            <w:pPr>
              <w:pStyle w:val="Default"/>
              <w:rPr>
                <w:rFonts w:ascii="Verdana" w:hAnsi="Verdana"/>
                <w:color w:val="auto"/>
                <w:sz w:val="20"/>
                <w:szCs w:val="20"/>
              </w:rPr>
            </w:pPr>
          </w:p>
          <w:p w:rsidR="00790921" w:rsidRPr="004222EB" w:rsidRDefault="00790921" w:rsidP="00790921">
            <w:pPr>
              <w:pStyle w:val="Default"/>
              <w:numPr>
                <w:ilvl w:val="0"/>
                <w:numId w:val="11"/>
              </w:numPr>
              <w:rPr>
                <w:rFonts w:ascii="Verdana" w:hAnsi="Verdana"/>
                <w:color w:val="auto"/>
                <w:sz w:val="20"/>
                <w:szCs w:val="20"/>
              </w:rPr>
            </w:pPr>
            <w:r w:rsidRPr="004222EB">
              <w:rPr>
                <w:rFonts w:ascii="Verdana" w:hAnsi="Verdana"/>
                <w:color w:val="auto"/>
                <w:sz w:val="20"/>
                <w:szCs w:val="20"/>
              </w:rPr>
              <w:t>Allowing companies to set its own reporting format or be guided by a consultation with their primary users will create inconsistencies between DNO groups which may not be helpful and does not provide comparability.</w:t>
            </w:r>
          </w:p>
          <w:p w:rsidR="005177B9" w:rsidRPr="004222EB" w:rsidRDefault="005177B9" w:rsidP="005177B9">
            <w:pPr>
              <w:pStyle w:val="ListParagraph"/>
              <w:rPr>
                <w:szCs w:val="20"/>
              </w:rPr>
            </w:pPr>
          </w:p>
          <w:p w:rsidR="005177B9" w:rsidRDefault="005177B9" w:rsidP="005177B9">
            <w:pPr>
              <w:pStyle w:val="Default"/>
              <w:ind w:left="720"/>
              <w:rPr>
                <w:color w:val="auto"/>
                <w:sz w:val="22"/>
                <w:szCs w:val="22"/>
              </w:rPr>
            </w:pPr>
          </w:p>
          <w:p w:rsidR="005177B9" w:rsidRDefault="005177B9" w:rsidP="005177B9">
            <w:pPr>
              <w:pStyle w:val="Default"/>
              <w:ind w:left="720"/>
              <w:rPr>
                <w:color w:val="auto"/>
                <w:sz w:val="22"/>
                <w:szCs w:val="22"/>
              </w:rPr>
            </w:pPr>
          </w:p>
          <w:p w:rsidR="005177B9" w:rsidRDefault="005177B9" w:rsidP="005177B9">
            <w:pPr>
              <w:pStyle w:val="Default"/>
              <w:ind w:left="720"/>
              <w:rPr>
                <w:color w:val="auto"/>
                <w:sz w:val="22"/>
                <w:szCs w:val="22"/>
              </w:rPr>
            </w:pPr>
          </w:p>
          <w:p w:rsidR="00BF2472" w:rsidRPr="004222EB" w:rsidRDefault="007C7636" w:rsidP="00790921">
            <w:pPr>
              <w:pStyle w:val="Default"/>
              <w:numPr>
                <w:ilvl w:val="0"/>
                <w:numId w:val="11"/>
              </w:numPr>
              <w:rPr>
                <w:rFonts w:ascii="Verdana" w:hAnsi="Verdana"/>
                <w:color w:val="auto"/>
                <w:sz w:val="20"/>
                <w:szCs w:val="20"/>
              </w:rPr>
            </w:pPr>
            <w:r w:rsidRPr="004222EB">
              <w:rPr>
                <w:rFonts w:ascii="Verdana" w:hAnsi="Verdana"/>
                <w:color w:val="auto"/>
                <w:sz w:val="20"/>
                <w:szCs w:val="20"/>
              </w:rPr>
              <w:t>Under the section “Summary of changes to the draft modification of the existing licence condition since the last consultation” of t</w:t>
            </w:r>
            <w:r w:rsidR="006100D6" w:rsidRPr="004222EB">
              <w:rPr>
                <w:rFonts w:ascii="Verdana" w:hAnsi="Verdana"/>
                <w:color w:val="auto"/>
                <w:sz w:val="20"/>
                <w:szCs w:val="20"/>
              </w:rPr>
              <w:t xml:space="preserve">he </w:t>
            </w:r>
            <w:r w:rsidRPr="004222EB">
              <w:rPr>
                <w:rFonts w:ascii="Verdana" w:hAnsi="Verdana"/>
                <w:color w:val="auto"/>
                <w:sz w:val="20"/>
                <w:szCs w:val="20"/>
              </w:rPr>
              <w:t xml:space="preserve">consultation </w:t>
            </w:r>
            <w:r w:rsidR="006100D6" w:rsidRPr="004222EB">
              <w:rPr>
                <w:rFonts w:ascii="Verdana" w:hAnsi="Verdana"/>
                <w:color w:val="auto"/>
                <w:sz w:val="20"/>
                <w:szCs w:val="20"/>
              </w:rPr>
              <w:t>letter</w:t>
            </w:r>
            <w:r w:rsidRPr="004222EB">
              <w:rPr>
                <w:rFonts w:ascii="Verdana" w:hAnsi="Verdana"/>
                <w:color w:val="auto"/>
                <w:sz w:val="20"/>
                <w:szCs w:val="20"/>
              </w:rPr>
              <w:t>, reference is made to</w:t>
            </w:r>
            <w:r w:rsidR="006100D6" w:rsidRPr="004222EB">
              <w:rPr>
                <w:rFonts w:ascii="Verdana" w:hAnsi="Verdana"/>
                <w:color w:val="auto"/>
                <w:sz w:val="20"/>
                <w:szCs w:val="20"/>
              </w:rPr>
              <w:t xml:space="preserve"> “...we consider it appropriate that the NWOs engage with the anticipated primary users of RIIO Accounts to understand what they would expect from published RIIO Accounts”</w:t>
            </w:r>
            <w:r w:rsidR="004222EB">
              <w:rPr>
                <w:rFonts w:ascii="Verdana" w:hAnsi="Verdana"/>
                <w:color w:val="auto"/>
                <w:sz w:val="20"/>
                <w:szCs w:val="20"/>
              </w:rPr>
              <w:t>.</w:t>
            </w:r>
            <w:r w:rsidR="006100D6" w:rsidRPr="004222EB">
              <w:rPr>
                <w:rFonts w:ascii="Verdana" w:hAnsi="Verdana"/>
                <w:color w:val="auto"/>
                <w:sz w:val="20"/>
                <w:szCs w:val="20"/>
              </w:rPr>
              <w:t xml:space="preserve">  </w:t>
            </w:r>
            <w:r w:rsidR="009A096A" w:rsidRPr="004222EB">
              <w:rPr>
                <w:rFonts w:ascii="Verdana" w:hAnsi="Verdana"/>
                <w:color w:val="auto"/>
                <w:sz w:val="20"/>
                <w:szCs w:val="20"/>
              </w:rPr>
              <w:t>In its current form</w:t>
            </w:r>
            <w:r w:rsidR="004222EB">
              <w:rPr>
                <w:rFonts w:ascii="Verdana" w:hAnsi="Verdana"/>
                <w:color w:val="auto"/>
                <w:sz w:val="20"/>
                <w:szCs w:val="20"/>
              </w:rPr>
              <w:t>,</w:t>
            </w:r>
            <w:r w:rsidR="00BF2472" w:rsidRPr="004222EB">
              <w:rPr>
                <w:rFonts w:ascii="Verdana" w:hAnsi="Verdana"/>
                <w:color w:val="auto"/>
                <w:sz w:val="20"/>
                <w:szCs w:val="20"/>
              </w:rPr>
              <w:t xml:space="preserve"> we are concerned that:</w:t>
            </w:r>
          </w:p>
          <w:p w:rsidR="005177B9" w:rsidRPr="004222EB" w:rsidRDefault="005177B9" w:rsidP="005177B9">
            <w:pPr>
              <w:pStyle w:val="Default"/>
              <w:ind w:left="720"/>
              <w:rPr>
                <w:rFonts w:ascii="Verdana" w:hAnsi="Verdana"/>
                <w:color w:val="auto"/>
                <w:sz w:val="20"/>
                <w:szCs w:val="20"/>
              </w:rPr>
            </w:pPr>
          </w:p>
          <w:p w:rsidR="00BF2472" w:rsidRPr="004222EB" w:rsidRDefault="009A096A" w:rsidP="00BF2472">
            <w:pPr>
              <w:pStyle w:val="Default"/>
              <w:numPr>
                <w:ilvl w:val="1"/>
                <w:numId w:val="11"/>
              </w:numPr>
              <w:rPr>
                <w:rFonts w:ascii="Verdana" w:hAnsi="Verdana"/>
                <w:color w:val="auto"/>
                <w:sz w:val="20"/>
                <w:szCs w:val="20"/>
              </w:rPr>
            </w:pPr>
            <w:r w:rsidRPr="004222EB">
              <w:rPr>
                <w:rFonts w:ascii="Verdana" w:hAnsi="Verdana"/>
                <w:color w:val="auto"/>
                <w:sz w:val="20"/>
                <w:szCs w:val="20"/>
              </w:rPr>
              <w:t>it is unclear who the primary users would be</w:t>
            </w:r>
            <w:r w:rsidR="005177B9" w:rsidRPr="004222EB">
              <w:rPr>
                <w:rFonts w:ascii="Verdana" w:hAnsi="Verdana"/>
                <w:color w:val="auto"/>
                <w:sz w:val="20"/>
                <w:szCs w:val="20"/>
              </w:rPr>
              <w:t>;</w:t>
            </w:r>
            <w:r w:rsidR="006100D6" w:rsidRPr="004222EB">
              <w:rPr>
                <w:rFonts w:ascii="Verdana" w:hAnsi="Verdana"/>
                <w:color w:val="auto"/>
                <w:sz w:val="20"/>
                <w:szCs w:val="20"/>
              </w:rPr>
              <w:t xml:space="preserve"> and</w:t>
            </w:r>
          </w:p>
          <w:p w:rsidR="005177B9" w:rsidRPr="004222EB" w:rsidRDefault="005177B9" w:rsidP="005177B9">
            <w:pPr>
              <w:pStyle w:val="Default"/>
              <w:ind w:left="1440"/>
              <w:rPr>
                <w:rFonts w:ascii="Verdana" w:hAnsi="Verdana"/>
                <w:color w:val="auto"/>
                <w:sz w:val="20"/>
                <w:szCs w:val="20"/>
              </w:rPr>
            </w:pPr>
          </w:p>
          <w:p w:rsidR="009A096A" w:rsidRPr="004222EB" w:rsidRDefault="00BF2472" w:rsidP="00BF2472">
            <w:pPr>
              <w:pStyle w:val="Default"/>
              <w:numPr>
                <w:ilvl w:val="1"/>
                <w:numId w:val="11"/>
              </w:numPr>
              <w:rPr>
                <w:rFonts w:ascii="Verdana" w:hAnsi="Verdana"/>
                <w:color w:val="auto"/>
                <w:sz w:val="20"/>
                <w:szCs w:val="20"/>
              </w:rPr>
            </w:pPr>
            <w:proofErr w:type="gramStart"/>
            <w:r w:rsidRPr="004222EB">
              <w:rPr>
                <w:rFonts w:ascii="Verdana" w:hAnsi="Verdana"/>
                <w:color w:val="auto"/>
                <w:sz w:val="20"/>
                <w:szCs w:val="20"/>
              </w:rPr>
              <w:t>given</w:t>
            </w:r>
            <w:proofErr w:type="gramEnd"/>
            <w:r w:rsidRPr="004222EB">
              <w:rPr>
                <w:rFonts w:ascii="Verdana" w:hAnsi="Verdana"/>
                <w:color w:val="auto"/>
                <w:sz w:val="20"/>
                <w:szCs w:val="20"/>
              </w:rPr>
              <w:t xml:space="preserve"> the reporting deadlines, </w:t>
            </w:r>
            <w:r w:rsidR="00E95A09" w:rsidRPr="004222EB">
              <w:rPr>
                <w:rFonts w:ascii="Verdana" w:hAnsi="Verdana"/>
                <w:color w:val="auto"/>
                <w:sz w:val="20"/>
                <w:szCs w:val="20"/>
              </w:rPr>
              <w:t>there will be insuf</w:t>
            </w:r>
            <w:r w:rsidRPr="004222EB">
              <w:rPr>
                <w:rFonts w:ascii="Verdana" w:hAnsi="Verdana"/>
                <w:color w:val="auto"/>
                <w:sz w:val="20"/>
                <w:szCs w:val="20"/>
              </w:rPr>
              <w:t>ficient time to conduct any meaningful and effective engagement.</w:t>
            </w:r>
          </w:p>
          <w:p w:rsidR="00790921" w:rsidRPr="00790921" w:rsidRDefault="00790921" w:rsidP="00790921">
            <w:pPr>
              <w:pStyle w:val="Default"/>
              <w:rPr>
                <w:rFonts w:ascii="Verdana" w:hAnsi="Verdana"/>
                <w:color w:val="auto"/>
                <w:sz w:val="20"/>
                <w:szCs w:val="20"/>
              </w:rPr>
            </w:pPr>
          </w:p>
        </w:tc>
      </w:tr>
      <w:tr w:rsidR="006E4C6B" w:rsidRPr="006E4C6B" w:rsidTr="00FF47B7">
        <w:tblPrEx>
          <w:tblLook w:val="04A0"/>
        </w:tblPrEx>
        <w:trPr>
          <w:trHeight w:val="605"/>
        </w:trPr>
        <w:tc>
          <w:tcPr>
            <w:tcW w:w="9067" w:type="dxa"/>
            <w:shd w:val="clear" w:color="auto" w:fill="ED7D31" w:themeFill="accent2"/>
          </w:tcPr>
          <w:p w:rsidR="006E4C6B" w:rsidRPr="006E4C6B" w:rsidRDefault="00CD1F2D" w:rsidP="002B5D9F">
            <w:pPr>
              <w:rPr>
                <w:b/>
              </w:rPr>
            </w:pPr>
            <w:r w:rsidRPr="00CD1F2D">
              <w:rPr>
                <w:b/>
                <w:color w:val="FFFFFF" w:themeColor="background1"/>
              </w:rPr>
              <w:lastRenderedPageBreak/>
              <w:t>Question 4: Considering the one-year delay in introducing RIIO Accounts and potential impact on consumer benefit it may have for RIIO2, do you agree that licenced NWOs should report RIIO Accounts for the Regulatory Year 2017-18?</w:t>
            </w:r>
          </w:p>
        </w:tc>
      </w:tr>
      <w:tr w:rsidR="006E4C6B" w:rsidTr="00FF47B7">
        <w:tblPrEx>
          <w:tblLook w:val="04A0"/>
        </w:tblPrEx>
        <w:trPr>
          <w:trHeight w:val="1127"/>
        </w:trPr>
        <w:tc>
          <w:tcPr>
            <w:tcW w:w="9067" w:type="dxa"/>
          </w:tcPr>
          <w:p w:rsidR="00F772E4" w:rsidRDefault="00F772E4" w:rsidP="00C452CF">
            <w:pPr>
              <w:pStyle w:val="Default"/>
              <w:rPr>
                <w:sz w:val="22"/>
                <w:szCs w:val="22"/>
              </w:rPr>
            </w:pPr>
          </w:p>
          <w:p w:rsidR="006E4C6B" w:rsidRPr="004222EB" w:rsidRDefault="00C452CF" w:rsidP="00C452CF">
            <w:pPr>
              <w:pStyle w:val="Default"/>
              <w:rPr>
                <w:rFonts w:ascii="Verdana" w:hAnsi="Verdana"/>
                <w:sz w:val="20"/>
                <w:szCs w:val="20"/>
              </w:rPr>
            </w:pPr>
            <w:r w:rsidRPr="004222EB">
              <w:rPr>
                <w:rFonts w:ascii="Verdana" w:hAnsi="Verdana"/>
                <w:sz w:val="20"/>
                <w:szCs w:val="20"/>
              </w:rPr>
              <w:t>We do not agree that licenced NWOs should report RIIO Accounts for the Regulatory Year 2017-18</w:t>
            </w:r>
            <w:r w:rsidR="00B94B07" w:rsidRPr="004222EB">
              <w:rPr>
                <w:rFonts w:ascii="Verdana" w:hAnsi="Verdana"/>
                <w:sz w:val="20"/>
                <w:szCs w:val="20"/>
              </w:rPr>
              <w:t xml:space="preserve"> for the reasons outlined in </w:t>
            </w:r>
            <w:r w:rsidR="002A1787" w:rsidRPr="004222EB">
              <w:rPr>
                <w:rFonts w:ascii="Verdana" w:hAnsi="Verdana"/>
                <w:sz w:val="20"/>
                <w:szCs w:val="20"/>
              </w:rPr>
              <w:t xml:space="preserve">Question 1 and </w:t>
            </w:r>
            <w:r w:rsidR="00B94B07" w:rsidRPr="004222EB">
              <w:rPr>
                <w:rFonts w:ascii="Verdana" w:hAnsi="Verdana"/>
                <w:sz w:val="20"/>
                <w:szCs w:val="20"/>
              </w:rPr>
              <w:t>the section below</w:t>
            </w:r>
            <w:r w:rsidRPr="004222EB">
              <w:rPr>
                <w:rFonts w:ascii="Verdana" w:hAnsi="Verdana"/>
                <w:sz w:val="20"/>
                <w:szCs w:val="20"/>
              </w:rPr>
              <w:t xml:space="preserve">.  Such a switch-over at this point in time is likely to </w:t>
            </w:r>
            <w:r w:rsidR="00B94B07" w:rsidRPr="004222EB">
              <w:rPr>
                <w:rFonts w:ascii="Verdana" w:hAnsi="Verdana"/>
                <w:sz w:val="20"/>
                <w:szCs w:val="20"/>
              </w:rPr>
              <w:t>lead to</w:t>
            </w:r>
            <w:r w:rsidRPr="004222EB">
              <w:rPr>
                <w:rFonts w:ascii="Verdana" w:hAnsi="Verdana"/>
                <w:sz w:val="20"/>
                <w:szCs w:val="20"/>
              </w:rPr>
              <w:t xml:space="preserve"> a situation whereby the </w:t>
            </w:r>
            <w:r w:rsidR="00EC0DCB" w:rsidRPr="004222EB">
              <w:rPr>
                <w:rFonts w:ascii="Verdana" w:hAnsi="Verdana"/>
                <w:sz w:val="20"/>
                <w:szCs w:val="20"/>
              </w:rPr>
              <w:t xml:space="preserve">RIIO </w:t>
            </w:r>
            <w:r w:rsidRPr="004222EB">
              <w:rPr>
                <w:rFonts w:ascii="Verdana" w:hAnsi="Verdana"/>
                <w:sz w:val="20"/>
                <w:szCs w:val="20"/>
              </w:rPr>
              <w:t xml:space="preserve">Accounts would need qualification and </w:t>
            </w:r>
            <w:r w:rsidR="00B94B07" w:rsidRPr="004222EB">
              <w:rPr>
                <w:rFonts w:ascii="Verdana" w:hAnsi="Verdana"/>
                <w:sz w:val="20"/>
                <w:szCs w:val="20"/>
              </w:rPr>
              <w:t xml:space="preserve">place us </w:t>
            </w:r>
            <w:r w:rsidR="002B5D9F" w:rsidRPr="004222EB">
              <w:rPr>
                <w:rFonts w:ascii="Verdana" w:hAnsi="Verdana"/>
                <w:sz w:val="20"/>
                <w:szCs w:val="20"/>
              </w:rPr>
              <w:t xml:space="preserve">in a </w:t>
            </w:r>
            <w:r w:rsidR="00B94B07" w:rsidRPr="004222EB">
              <w:rPr>
                <w:rFonts w:ascii="Verdana" w:hAnsi="Verdana"/>
                <w:sz w:val="20"/>
                <w:szCs w:val="20"/>
              </w:rPr>
              <w:t xml:space="preserve">potential </w:t>
            </w:r>
            <w:r w:rsidR="00D61220" w:rsidRPr="004222EB">
              <w:rPr>
                <w:rFonts w:ascii="Verdana" w:hAnsi="Verdana"/>
                <w:sz w:val="20"/>
                <w:szCs w:val="20"/>
              </w:rPr>
              <w:t xml:space="preserve">licence breach </w:t>
            </w:r>
            <w:r w:rsidR="002B5D9F" w:rsidRPr="004222EB">
              <w:rPr>
                <w:rFonts w:ascii="Verdana" w:hAnsi="Verdana"/>
                <w:sz w:val="20"/>
                <w:szCs w:val="20"/>
              </w:rPr>
              <w:t>position</w:t>
            </w:r>
            <w:r w:rsidR="00B94B07" w:rsidRPr="004222EB">
              <w:rPr>
                <w:rFonts w:ascii="Verdana" w:hAnsi="Verdana"/>
                <w:sz w:val="20"/>
                <w:szCs w:val="20"/>
              </w:rPr>
              <w:t xml:space="preserve"> </w:t>
            </w:r>
            <w:r w:rsidRPr="004222EB">
              <w:rPr>
                <w:rFonts w:ascii="Verdana" w:hAnsi="Verdana"/>
                <w:sz w:val="20"/>
                <w:szCs w:val="20"/>
              </w:rPr>
              <w:t>as a direct result of the current drafting of t</w:t>
            </w:r>
            <w:r w:rsidR="0087380C" w:rsidRPr="004222EB">
              <w:rPr>
                <w:rFonts w:ascii="Verdana" w:hAnsi="Verdana"/>
                <w:sz w:val="20"/>
                <w:szCs w:val="20"/>
              </w:rPr>
              <w:t>he ORFRS</w:t>
            </w:r>
            <w:r w:rsidRPr="004222EB">
              <w:rPr>
                <w:rFonts w:ascii="Verdana" w:hAnsi="Verdana"/>
                <w:sz w:val="20"/>
                <w:szCs w:val="20"/>
              </w:rPr>
              <w:t>.</w:t>
            </w:r>
          </w:p>
          <w:p w:rsidR="00D15A5E" w:rsidRPr="004222EB" w:rsidRDefault="00D15A5E" w:rsidP="00C452CF">
            <w:pPr>
              <w:pStyle w:val="Default"/>
              <w:rPr>
                <w:rFonts w:ascii="Verdana" w:hAnsi="Verdana"/>
                <w:sz w:val="20"/>
                <w:szCs w:val="20"/>
              </w:rPr>
            </w:pPr>
          </w:p>
          <w:p w:rsidR="00D15A5E" w:rsidRPr="004222EB" w:rsidRDefault="00D15A5E" w:rsidP="00C452CF">
            <w:pPr>
              <w:pStyle w:val="Default"/>
              <w:rPr>
                <w:rFonts w:ascii="Verdana" w:hAnsi="Verdana"/>
                <w:sz w:val="20"/>
                <w:szCs w:val="20"/>
              </w:rPr>
            </w:pPr>
            <w:r w:rsidRPr="004222EB">
              <w:rPr>
                <w:rFonts w:ascii="Verdana" w:hAnsi="Verdana"/>
                <w:sz w:val="20"/>
                <w:szCs w:val="20"/>
              </w:rPr>
              <w:t xml:space="preserve">We are unclear of the consumer benefit case for </w:t>
            </w:r>
            <w:r w:rsidR="00D61220" w:rsidRPr="004222EB">
              <w:rPr>
                <w:rFonts w:ascii="Verdana" w:hAnsi="Verdana"/>
                <w:sz w:val="20"/>
                <w:szCs w:val="20"/>
              </w:rPr>
              <w:t xml:space="preserve">Electricity </w:t>
            </w:r>
            <w:r w:rsidRPr="004222EB">
              <w:rPr>
                <w:rFonts w:ascii="Verdana" w:hAnsi="Verdana"/>
                <w:sz w:val="20"/>
                <w:szCs w:val="20"/>
              </w:rPr>
              <w:t xml:space="preserve">North West customers. </w:t>
            </w:r>
            <w:r w:rsidR="008D7BD0" w:rsidRPr="004222EB">
              <w:rPr>
                <w:rFonts w:ascii="Verdana" w:hAnsi="Verdana"/>
                <w:sz w:val="20"/>
                <w:szCs w:val="20"/>
              </w:rPr>
              <w:t>A full impact assessment of the current RIIO Accounts framework should be conducted by Ofgem before any decision is made to continue</w:t>
            </w:r>
            <w:r w:rsidRPr="004222EB">
              <w:rPr>
                <w:rFonts w:ascii="Verdana" w:hAnsi="Verdana"/>
                <w:sz w:val="20"/>
                <w:szCs w:val="20"/>
              </w:rPr>
              <w:t>, particularly for 2017-18</w:t>
            </w:r>
            <w:r w:rsidR="008D7BD0" w:rsidRPr="004222EB">
              <w:rPr>
                <w:rFonts w:ascii="Verdana" w:hAnsi="Verdana"/>
                <w:sz w:val="20"/>
                <w:szCs w:val="20"/>
              </w:rPr>
              <w:t xml:space="preserve"> reporting</w:t>
            </w:r>
            <w:r w:rsidRPr="004222EB">
              <w:rPr>
                <w:rFonts w:ascii="Verdana" w:hAnsi="Verdana"/>
                <w:sz w:val="20"/>
                <w:szCs w:val="20"/>
              </w:rPr>
              <w:t>.</w:t>
            </w:r>
          </w:p>
          <w:p w:rsidR="00C452CF" w:rsidRPr="00020835" w:rsidRDefault="00C452CF" w:rsidP="00C452CF">
            <w:pPr>
              <w:pStyle w:val="Default"/>
              <w:rPr>
                <w:sz w:val="22"/>
                <w:szCs w:val="22"/>
              </w:rPr>
            </w:pPr>
          </w:p>
          <w:p w:rsidR="00020835" w:rsidRPr="00020835" w:rsidRDefault="00020835" w:rsidP="00114A8E">
            <w:pPr>
              <w:pStyle w:val="Default"/>
              <w:rPr>
                <w:sz w:val="22"/>
                <w:szCs w:val="22"/>
              </w:rPr>
            </w:pPr>
          </w:p>
        </w:tc>
      </w:tr>
      <w:tr w:rsidR="006E4C6B" w:rsidRPr="006E4C6B" w:rsidTr="00FF47B7">
        <w:tblPrEx>
          <w:tblLook w:val="04A0"/>
        </w:tblPrEx>
        <w:trPr>
          <w:trHeight w:val="605"/>
        </w:trPr>
        <w:tc>
          <w:tcPr>
            <w:tcW w:w="9067" w:type="dxa"/>
            <w:shd w:val="clear" w:color="auto" w:fill="ED7D31" w:themeFill="accent2"/>
          </w:tcPr>
          <w:p w:rsidR="006E4C6B" w:rsidRPr="006E4C6B" w:rsidRDefault="006E4C6B" w:rsidP="006E4C6B">
            <w:pPr>
              <w:rPr>
                <w:b/>
              </w:rPr>
            </w:pPr>
            <w:r w:rsidRPr="00B21263">
              <w:rPr>
                <w:b/>
                <w:color w:val="FFFFFF" w:themeColor="background1"/>
              </w:rPr>
              <w:t>General response to our further consultation for the Introduction of RIIO Accounts</w:t>
            </w:r>
          </w:p>
        </w:tc>
      </w:tr>
      <w:tr w:rsidR="006E4C6B" w:rsidRPr="00020835" w:rsidTr="00FF47B7">
        <w:tblPrEx>
          <w:tblLook w:val="04A0"/>
        </w:tblPrEx>
        <w:trPr>
          <w:trHeight w:val="1223"/>
        </w:trPr>
        <w:tc>
          <w:tcPr>
            <w:tcW w:w="9067" w:type="dxa"/>
          </w:tcPr>
          <w:p w:rsidR="002A1787" w:rsidRPr="004222EB" w:rsidRDefault="00F772E4" w:rsidP="00C32E12">
            <w:pPr>
              <w:contextualSpacing/>
              <w:jc w:val="both"/>
              <w:rPr>
                <w:szCs w:val="20"/>
              </w:rPr>
            </w:pPr>
            <w:r w:rsidRPr="004222EB">
              <w:rPr>
                <w:szCs w:val="20"/>
              </w:rPr>
              <w:t>W</w:t>
            </w:r>
            <w:r w:rsidR="002507E0" w:rsidRPr="004222EB">
              <w:rPr>
                <w:szCs w:val="20"/>
              </w:rPr>
              <w:t xml:space="preserve">e support </w:t>
            </w:r>
            <w:proofErr w:type="spellStart"/>
            <w:r w:rsidR="002507E0" w:rsidRPr="004222EB">
              <w:rPr>
                <w:szCs w:val="20"/>
              </w:rPr>
              <w:t>Ofgem’s</w:t>
            </w:r>
            <w:proofErr w:type="spellEnd"/>
            <w:r w:rsidR="002507E0" w:rsidRPr="004222EB">
              <w:rPr>
                <w:szCs w:val="20"/>
              </w:rPr>
              <w:t xml:space="preserve"> desire to see regulated entities publish performance measures that are meaningful, clear and consistent, allowing stakeholders to easily compare performance against allowances and to reflect actual performance. If provided through a cost effective process, and constructed appropriately, we agree this initiative would provide value to both investors and other stakeholders.</w:t>
            </w:r>
          </w:p>
          <w:p w:rsidR="002A1787" w:rsidRDefault="002A1787" w:rsidP="00C32E12">
            <w:pPr>
              <w:contextualSpacing/>
              <w:jc w:val="both"/>
              <w:rPr>
                <w:szCs w:val="20"/>
              </w:rPr>
            </w:pPr>
            <w:r w:rsidRPr="004222EB">
              <w:rPr>
                <w:szCs w:val="20"/>
              </w:rPr>
              <w:t>At this stage we do not believe the current format of RIIO Accounts meets the original remit for the following reasons:</w:t>
            </w:r>
          </w:p>
          <w:p w:rsidR="00C32E12" w:rsidRPr="004222EB" w:rsidRDefault="00C32E12" w:rsidP="00C32E12">
            <w:pPr>
              <w:contextualSpacing/>
              <w:jc w:val="both"/>
              <w:rPr>
                <w:szCs w:val="20"/>
              </w:rPr>
            </w:pPr>
          </w:p>
          <w:p w:rsidR="002A1787" w:rsidRPr="004222EB" w:rsidRDefault="002A1787" w:rsidP="00C32E12">
            <w:pPr>
              <w:pStyle w:val="ListParagraph"/>
              <w:numPr>
                <w:ilvl w:val="0"/>
                <w:numId w:val="4"/>
              </w:numPr>
              <w:jc w:val="both"/>
              <w:rPr>
                <w:szCs w:val="20"/>
              </w:rPr>
            </w:pPr>
            <w:r w:rsidRPr="004222EB">
              <w:rPr>
                <w:b/>
                <w:szCs w:val="20"/>
              </w:rPr>
              <w:t>Investors don’t want or need the information in this form</w:t>
            </w:r>
            <w:r w:rsidRPr="004222EB">
              <w:rPr>
                <w:szCs w:val="20"/>
              </w:rPr>
              <w:t xml:space="preserve">. </w:t>
            </w:r>
            <w:r w:rsidR="002507E0" w:rsidRPr="004222EB">
              <w:rPr>
                <w:szCs w:val="20"/>
              </w:rPr>
              <w:t>Current investor information requirements are being satisfied by existing public and internal management reporting.  The proposal, with all its complexity, means that any information being prepared is not delivered in a timely manner.</w:t>
            </w:r>
          </w:p>
          <w:p w:rsidR="002A1787" w:rsidRPr="004222EB" w:rsidRDefault="002A1787" w:rsidP="00C32E12">
            <w:pPr>
              <w:ind w:left="360"/>
              <w:contextualSpacing/>
              <w:jc w:val="both"/>
              <w:rPr>
                <w:szCs w:val="20"/>
              </w:rPr>
            </w:pPr>
          </w:p>
          <w:p w:rsidR="00F772E4" w:rsidRPr="00C32E12" w:rsidRDefault="002A1787" w:rsidP="00C32E12">
            <w:pPr>
              <w:pStyle w:val="ListParagraph"/>
              <w:numPr>
                <w:ilvl w:val="0"/>
                <w:numId w:val="4"/>
              </w:numPr>
              <w:jc w:val="both"/>
              <w:rPr>
                <w:rFonts w:ascii="Arial" w:hAnsi="Arial"/>
                <w:sz w:val="22"/>
              </w:rPr>
            </w:pPr>
            <w:r w:rsidRPr="00C32E12">
              <w:rPr>
                <w:b/>
                <w:szCs w:val="20"/>
              </w:rPr>
              <w:t xml:space="preserve">Delivery of information in this format represents very poor value for money to customers. </w:t>
            </w:r>
            <w:r w:rsidR="002507E0" w:rsidRPr="00C32E12">
              <w:rPr>
                <w:szCs w:val="20"/>
              </w:rPr>
              <w:t>There will be a significant audit cost to this process and an additional expensive internal resource requirement.  We estimate it is likely to cost consumers and investors in excess of £4m across licensees; the consumer benefits case needs to reflect these additional costs and the audit costs in particular.</w:t>
            </w:r>
          </w:p>
          <w:p w:rsidR="00C32E12" w:rsidRPr="00C32E12" w:rsidRDefault="00C32E12" w:rsidP="00C32E12">
            <w:pPr>
              <w:contextualSpacing/>
              <w:jc w:val="both"/>
              <w:rPr>
                <w:rFonts w:ascii="Arial" w:hAnsi="Arial"/>
                <w:sz w:val="22"/>
              </w:rPr>
            </w:pPr>
          </w:p>
          <w:p w:rsidR="00C32E12" w:rsidRPr="00C32E12" w:rsidRDefault="002A1787" w:rsidP="00C32E12">
            <w:pPr>
              <w:pStyle w:val="ListParagraph"/>
              <w:numPr>
                <w:ilvl w:val="0"/>
                <w:numId w:val="4"/>
              </w:numPr>
              <w:ind w:left="714" w:hanging="357"/>
              <w:jc w:val="both"/>
              <w:rPr>
                <w:szCs w:val="20"/>
              </w:rPr>
            </w:pPr>
            <w:r w:rsidRPr="004222EB">
              <w:rPr>
                <w:b/>
                <w:szCs w:val="20"/>
              </w:rPr>
              <w:t xml:space="preserve">Complexity of the current requirement is unhelpful. </w:t>
            </w:r>
            <w:r w:rsidR="002507E0" w:rsidRPr="004222EB">
              <w:rPr>
                <w:szCs w:val="20"/>
              </w:rPr>
              <w:t>The expected reporting requirements have grown exponentially, driven in particular by the requirement to satisfy a ‘fairly presents’ audit opinion. Meaningful information will be lost in the detail and the time and resource required to prepare the new regulatory accounts is now expected to be in excess of statutory reporting.</w:t>
            </w:r>
          </w:p>
          <w:p w:rsidR="002A1787" w:rsidRPr="004222EB" w:rsidRDefault="002A1787" w:rsidP="00C32E12">
            <w:pPr>
              <w:pStyle w:val="ListParagraph"/>
              <w:rPr>
                <w:szCs w:val="20"/>
              </w:rPr>
            </w:pPr>
          </w:p>
          <w:p w:rsidR="002A1787" w:rsidRPr="004222EB" w:rsidRDefault="002A1787" w:rsidP="00C32E12">
            <w:pPr>
              <w:pStyle w:val="ListParagraph"/>
              <w:numPr>
                <w:ilvl w:val="0"/>
                <w:numId w:val="4"/>
              </w:numPr>
              <w:ind w:left="714" w:hanging="357"/>
              <w:jc w:val="both"/>
              <w:rPr>
                <w:szCs w:val="20"/>
              </w:rPr>
            </w:pPr>
            <w:r w:rsidRPr="004222EB">
              <w:rPr>
                <w:b/>
                <w:szCs w:val="20"/>
              </w:rPr>
              <w:t>Comparability of outputs across licensees.</w:t>
            </w:r>
            <w:r w:rsidRPr="004222EB">
              <w:rPr>
                <w:szCs w:val="20"/>
              </w:rPr>
              <w:t xml:space="preserve"> </w:t>
            </w:r>
            <w:r w:rsidR="002507E0" w:rsidRPr="004222EB">
              <w:rPr>
                <w:szCs w:val="20"/>
              </w:rPr>
              <w:t xml:space="preserve">ORFRS are ambiguous and open to interpretation. Supporting documents such as ‘guidance notes for application’ and worked examples (typically available for existing GAAP) are required. In addition, </w:t>
            </w:r>
            <w:proofErr w:type="spellStart"/>
            <w:r w:rsidR="002507E0" w:rsidRPr="004222EB">
              <w:rPr>
                <w:szCs w:val="20"/>
              </w:rPr>
              <w:t>Ofgem</w:t>
            </w:r>
            <w:proofErr w:type="spellEnd"/>
            <w:r w:rsidR="002507E0" w:rsidRPr="004222EB">
              <w:rPr>
                <w:szCs w:val="20"/>
              </w:rPr>
              <w:t xml:space="preserve"> need to provide explicit guidance on, or support for, opening balances and certainty around close-out mechanisms. This additional detail and support is essential to ensure the consistent application across licensees and provide comparable measures of performance.</w:t>
            </w:r>
          </w:p>
          <w:p w:rsidR="002A1787" w:rsidRPr="004222EB" w:rsidRDefault="002A1787" w:rsidP="00C32E12">
            <w:pPr>
              <w:pStyle w:val="ListParagraph"/>
              <w:ind w:left="714"/>
              <w:jc w:val="both"/>
              <w:rPr>
                <w:szCs w:val="20"/>
              </w:rPr>
            </w:pPr>
          </w:p>
          <w:p w:rsidR="002A1787" w:rsidRPr="004222EB" w:rsidRDefault="002A1787" w:rsidP="00C32E12">
            <w:pPr>
              <w:pStyle w:val="ListParagraph"/>
              <w:numPr>
                <w:ilvl w:val="0"/>
                <w:numId w:val="4"/>
              </w:numPr>
              <w:ind w:left="714" w:hanging="357"/>
              <w:jc w:val="both"/>
              <w:rPr>
                <w:b/>
                <w:szCs w:val="20"/>
              </w:rPr>
            </w:pPr>
            <w:r w:rsidRPr="004222EB">
              <w:rPr>
                <w:b/>
                <w:szCs w:val="20"/>
              </w:rPr>
              <w:t xml:space="preserve">Potential licence breach. </w:t>
            </w:r>
            <w:r w:rsidR="002507E0" w:rsidRPr="004222EB">
              <w:rPr>
                <w:szCs w:val="20"/>
              </w:rPr>
              <w:t>The licence modification requires a clean ‘fairly presents’ audit opinion. As a result of the issues noted above, our auditors have indicated that they intend to sign-off only as “</w:t>
            </w:r>
            <w:r w:rsidR="006C1097" w:rsidRPr="004222EB">
              <w:rPr>
                <w:szCs w:val="20"/>
              </w:rPr>
              <w:t xml:space="preserve">properly </w:t>
            </w:r>
            <w:r w:rsidR="002507E0" w:rsidRPr="004222EB">
              <w:rPr>
                <w:szCs w:val="20"/>
              </w:rPr>
              <w:t xml:space="preserve">prepared in accordance with </w:t>
            </w:r>
            <w:r w:rsidR="006C1097" w:rsidRPr="004222EB">
              <w:rPr>
                <w:szCs w:val="20"/>
              </w:rPr>
              <w:t xml:space="preserve">the ORFRS and </w:t>
            </w:r>
            <w:r w:rsidR="002507E0" w:rsidRPr="004222EB">
              <w:rPr>
                <w:szCs w:val="20"/>
              </w:rPr>
              <w:t xml:space="preserve">a company methodology statement”. We are concerned that requiring </w:t>
            </w:r>
            <w:r w:rsidR="006C1097" w:rsidRPr="004222EB">
              <w:rPr>
                <w:szCs w:val="20"/>
              </w:rPr>
              <w:t>a ‘fairly presents’</w:t>
            </w:r>
            <w:r w:rsidR="002507E0" w:rsidRPr="004222EB">
              <w:rPr>
                <w:szCs w:val="20"/>
              </w:rPr>
              <w:t xml:space="preserve"> audit opinion could result in a breach of licence under the current proposed licence drafting.</w:t>
            </w:r>
          </w:p>
          <w:p w:rsidR="002A1787" w:rsidRPr="004222EB" w:rsidRDefault="002A1787" w:rsidP="00C32E12">
            <w:pPr>
              <w:pStyle w:val="ListParagraph"/>
              <w:rPr>
                <w:b/>
                <w:szCs w:val="20"/>
              </w:rPr>
            </w:pPr>
          </w:p>
          <w:p w:rsidR="002A1787" w:rsidRPr="004222EB" w:rsidRDefault="002A1787" w:rsidP="00C32E12">
            <w:pPr>
              <w:pStyle w:val="Default"/>
              <w:numPr>
                <w:ilvl w:val="0"/>
                <w:numId w:val="4"/>
              </w:numPr>
              <w:contextualSpacing/>
              <w:rPr>
                <w:rFonts w:ascii="Verdana" w:hAnsi="Verdana"/>
                <w:color w:val="auto"/>
                <w:sz w:val="20"/>
                <w:szCs w:val="20"/>
              </w:rPr>
            </w:pPr>
            <w:r w:rsidRPr="004222EB">
              <w:rPr>
                <w:rFonts w:ascii="Verdana" w:hAnsi="Verdana"/>
                <w:b/>
                <w:sz w:val="20"/>
                <w:szCs w:val="20"/>
              </w:rPr>
              <w:t xml:space="preserve">Regulatory burden. </w:t>
            </w:r>
            <w:r w:rsidR="002507E0" w:rsidRPr="004222EB">
              <w:rPr>
                <w:rFonts w:ascii="Verdana" w:hAnsi="Verdana"/>
                <w:sz w:val="20"/>
                <w:szCs w:val="20"/>
              </w:rPr>
              <w:t>The reporting requirements associated with RIIO accounts are comparable to statutory accounts, requiring a full ‘front-end’ and methodology statement. This will be a significant increase in the regulatory reporting and place a further demand on limited resources. These requirements are well beyond that needed by investors, for whom the timely reporting of a few key performance indicators will represent better value.</w:t>
            </w:r>
          </w:p>
          <w:p w:rsidR="009C2D66" w:rsidRPr="004222EB" w:rsidRDefault="009C2D66" w:rsidP="00C32E12">
            <w:pPr>
              <w:pStyle w:val="ListParagraph"/>
              <w:rPr>
                <w:szCs w:val="20"/>
              </w:rPr>
            </w:pPr>
          </w:p>
          <w:p w:rsidR="009C2D66" w:rsidRPr="004222EB" w:rsidRDefault="009C2D66" w:rsidP="00C32E12">
            <w:pPr>
              <w:contextualSpacing/>
              <w:jc w:val="both"/>
              <w:rPr>
                <w:szCs w:val="20"/>
              </w:rPr>
            </w:pPr>
            <w:r w:rsidRPr="004222EB">
              <w:rPr>
                <w:szCs w:val="20"/>
              </w:rPr>
              <w:t>Given the issues above, we suggest that now is an appropriate time to take a fresh look at assessing information deficiencies for all stakeholders. This will allow a clear, consistent, and efficient reporting framework to be developed.</w:t>
            </w:r>
          </w:p>
          <w:p w:rsidR="00C32E12" w:rsidRDefault="00C32E12" w:rsidP="00C32E12">
            <w:pPr>
              <w:contextualSpacing/>
              <w:jc w:val="both"/>
              <w:rPr>
                <w:szCs w:val="20"/>
              </w:rPr>
            </w:pPr>
          </w:p>
          <w:p w:rsidR="009C2D66" w:rsidRDefault="009C2D66" w:rsidP="00C32E12">
            <w:pPr>
              <w:contextualSpacing/>
              <w:jc w:val="both"/>
              <w:rPr>
                <w:szCs w:val="20"/>
              </w:rPr>
            </w:pPr>
            <w:r w:rsidRPr="004222EB">
              <w:rPr>
                <w:szCs w:val="20"/>
              </w:rPr>
              <w:t xml:space="preserve">We believe reporting on a small number of key regulatory measures will deliver this objective.  </w:t>
            </w:r>
          </w:p>
          <w:p w:rsidR="00C32E12" w:rsidRPr="004222EB" w:rsidRDefault="00C32E12" w:rsidP="00C32E12">
            <w:pPr>
              <w:contextualSpacing/>
              <w:jc w:val="both"/>
              <w:rPr>
                <w:szCs w:val="20"/>
              </w:rPr>
            </w:pPr>
          </w:p>
          <w:p w:rsidR="009C2D66" w:rsidRPr="004222EB" w:rsidRDefault="009C2D66" w:rsidP="00C32E12">
            <w:pPr>
              <w:contextualSpacing/>
              <w:jc w:val="both"/>
              <w:rPr>
                <w:szCs w:val="20"/>
              </w:rPr>
            </w:pPr>
            <w:r w:rsidRPr="004222EB">
              <w:rPr>
                <w:szCs w:val="20"/>
              </w:rPr>
              <w:t>Some examples of key regulatory measures:</w:t>
            </w:r>
          </w:p>
          <w:p w:rsidR="009C2D66" w:rsidRPr="004222EB" w:rsidRDefault="009C2D66" w:rsidP="00C32E12">
            <w:pPr>
              <w:pStyle w:val="ListParagraph"/>
              <w:numPr>
                <w:ilvl w:val="1"/>
                <w:numId w:val="5"/>
              </w:numPr>
              <w:jc w:val="both"/>
              <w:rPr>
                <w:b/>
                <w:szCs w:val="20"/>
              </w:rPr>
            </w:pPr>
            <w:proofErr w:type="spellStart"/>
            <w:r w:rsidRPr="004222EB">
              <w:rPr>
                <w:b/>
                <w:szCs w:val="20"/>
              </w:rPr>
              <w:t>Totex</w:t>
            </w:r>
            <w:proofErr w:type="spellEnd"/>
            <w:r w:rsidRPr="004222EB">
              <w:rPr>
                <w:b/>
                <w:szCs w:val="20"/>
              </w:rPr>
              <w:t xml:space="preserve"> against outputs delivered.</w:t>
            </w:r>
          </w:p>
          <w:p w:rsidR="009C2D66" w:rsidRPr="004222EB" w:rsidRDefault="009C2D66" w:rsidP="00C32E12">
            <w:pPr>
              <w:pStyle w:val="ListParagraph"/>
              <w:numPr>
                <w:ilvl w:val="1"/>
                <w:numId w:val="5"/>
              </w:numPr>
              <w:jc w:val="both"/>
              <w:rPr>
                <w:b/>
                <w:szCs w:val="20"/>
              </w:rPr>
            </w:pPr>
            <w:proofErr w:type="spellStart"/>
            <w:r w:rsidRPr="004222EB">
              <w:rPr>
                <w:b/>
                <w:szCs w:val="20"/>
              </w:rPr>
              <w:t>Totex</w:t>
            </w:r>
            <w:proofErr w:type="spellEnd"/>
            <w:r w:rsidRPr="004222EB">
              <w:rPr>
                <w:b/>
                <w:szCs w:val="20"/>
              </w:rPr>
              <w:t xml:space="preserve"> against allowances. </w:t>
            </w:r>
            <w:r w:rsidRPr="004222EB">
              <w:rPr>
                <w:szCs w:val="20"/>
              </w:rPr>
              <w:t>Adjusted for enduring value.</w:t>
            </w:r>
            <w:r w:rsidRPr="004222EB">
              <w:rPr>
                <w:b/>
                <w:szCs w:val="20"/>
              </w:rPr>
              <w:t xml:space="preserve"> </w:t>
            </w:r>
          </w:p>
          <w:p w:rsidR="009C2D66" w:rsidRPr="004222EB" w:rsidRDefault="009C2D66" w:rsidP="00C32E12">
            <w:pPr>
              <w:pStyle w:val="ListParagraph"/>
              <w:numPr>
                <w:ilvl w:val="1"/>
                <w:numId w:val="5"/>
              </w:numPr>
              <w:jc w:val="both"/>
              <w:rPr>
                <w:b/>
                <w:szCs w:val="20"/>
              </w:rPr>
            </w:pPr>
            <w:proofErr w:type="spellStart"/>
            <w:r w:rsidRPr="004222EB">
              <w:rPr>
                <w:b/>
                <w:szCs w:val="20"/>
              </w:rPr>
              <w:t>RoRE</w:t>
            </w:r>
            <w:proofErr w:type="spellEnd"/>
            <w:r w:rsidRPr="004222EB">
              <w:rPr>
                <w:b/>
                <w:szCs w:val="20"/>
              </w:rPr>
              <w:t xml:space="preserve">. </w:t>
            </w:r>
            <w:r w:rsidRPr="004222EB">
              <w:rPr>
                <w:szCs w:val="20"/>
              </w:rPr>
              <w:t>Adjusted to include all performance components, including debt</w:t>
            </w:r>
            <w:r w:rsidR="00F772E4" w:rsidRPr="004222EB">
              <w:rPr>
                <w:szCs w:val="20"/>
              </w:rPr>
              <w:t>,</w:t>
            </w:r>
            <w:r w:rsidRPr="004222EB">
              <w:rPr>
                <w:szCs w:val="20"/>
              </w:rPr>
              <w:t xml:space="preserve"> so as to provide a true reflection of performance.</w:t>
            </w:r>
            <w:r w:rsidRPr="004222EB">
              <w:rPr>
                <w:b/>
                <w:szCs w:val="20"/>
              </w:rPr>
              <w:t xml:space="preserve"> </w:t>
            </w:r>
          </w:p>
          <w:p w:rsidR="009C2D66" w:rsidRPr="004222EB" w:rsidRDefault="009C2D66" w:rsidP="00C32E12">
            <w:pPr>
              <w:pStyle w:val="ListParagraph"/>
              <w:numPr>
                <w:ilvl w:val="1"/>
                <w:numId w:val="5"/>
              </w:numPr>
              <w:jc w:val="both"/>
              <w:rPr>
                <w:b/>
                <w:szCs w:val="20"/>
              </w:rPr>
            </w:pPr>
            <w:r w:rsidRPr="004222EB">
              <w:rPr>
                <w:b/>
                <w:szCs w:val="20"/>
              </w:rPr>
              <w:t>RAV</w:t>
            </w:r>
          </w:p>
          <w:p w:rsidR="00F772E4" w:rsidRPr="004222EB" w:rsidRDefault="009C2D66" w:rsidP="00C32E12">
            <w:pPr>
              <w:pStyle w:val="ListParagraph"/>
              <w:numPr>
                <w:ilvl w:val="1"/>
                <w:numId w:val="5"/>
              </w:numPr>
              <w:jc w:val="both"/>
              <w:rPr>
                <w:b/>
                <w:szCs w:val="20"/>
              </w:rPr>
            </w:pPr>
            <w:r w:rsidRPr="004222EB">
              <w:rPr>
                <w:b/>
                <w:szCs w:val="20"/>
              </w:rPr>
              <w:t xml:space="preserve">Cost </w:t>
            </w:r>
            <w:r w:rsidR="00F772E4" w:rsidRPr="004222EB">
              <w:rPr>
                <w:b/>
                <w:szCs w:val="20"/>
              </w:rPr>
              <w:t>per customer</w:t>
            </w:r>
          </w:p>
          <w:p w:rsidR="009C2D66" w:rsidRPr="004222EB" w:rsidRDefault="00F772E4" w:rsidP="00C32E12">
            <w:pPr>
              <w:pStyle w:val="ListParagraph"/>
              <w:numPr>
                <w:ilvl w:val="1"/>
                <w:numId w:val="5"/>
              </w:numPr>
              <w:jc w:val="both"/>
              <w:rPr>
                <w:b/>
                <w:szCs w:val="20"/>
              </w:rPr>
            </w:pPr>
            <w:r w:rsidRPr="004222EB">
              <w:rPr>
                <w:b/>
                <w:szCs w:val="20"/>
              </w:rPr>
              <w:t>Ne</w:t>
            </w:r>
            <w:r w:rsidR="009C2D66" w:rsidRPr="004222EB">
              <w:rPr>
                <w:b/>
                <w:szCs w:val="20"/>
              </w:rPr>
              <w:t>t return to investors per customer.</w:t>
            </w:r>
          </w:p>
          <w:p w:rsidR="009C2D66" w:rsidRPr="004222EB" w:rsidRDefault="009C2D66" w:rsidP="00C32E12">
            <w:pPr>
              <w:pStyle w:val="ListParagraph"/>
              <w:ind w:left="1440"/>
              <w:jc w:val="both"/>
              <w:rPr>
                <w:b/>
                <w:szCs w:val="20"/>
              </w:rPr>
            </w:pPr>
          </w:p>
          <w:p w:rsidR="009C2D66" w:rsidRPr="004222EB" w:rsidRDefault="009C2D66" w:rsidP="00C32E12">
            <w:pPr>
              <w:contextualSpacing/>
              <w:jc w:val="both"/>
              <w:rPr>
                <w:szCs w:val="20"/>
              </w:rPr>
            </w:pPr>
            <w:r w:rsidRPr="004222EB">
              <w:rPr>
                <w:szCs w:val="20"/>
              </w:rPr>
              <w:t>This approach would have the following benefits:</w:t>
            </w:r>
          </w:p>
          <w:p w:rsidR="009C2D66" w:rsidRPr="004222EB" w:rsidRDefault="009C2D66" w:rsidP="00C32E12">
            <w:pPr>
              <w:contextualSpacing/>
              <w:jc w:val="both"/>
              <w:rPr>
                <w:szCs w:val="20"/>
              </w:rPr>
            </w:pPr>
          </w:p>
          <w:p w:rsidR="009C2D66" w:rsidRPr="00C32E12" w:rsidRDefault="009C2D66" w:rsidP="00C32E12">
            <w:pPr>
              <w:pStyle w:val="ListParagraph"/>
              <w:numPr>
                <w:ilvl w:val="0"/>
                <w:numId w:val="6"/>
              </w:numPr>
              <w:jc w:val="both"/>
              <w:rPr>
                <w:szCs w:val="20"/>
              </w:rPr>
            </w:pPr>
            <w:r w:rsidRPr="00C32E12">
              <w:rPr>
                <w:b/>
                <w:szCs w:val="20"/>
              </w:rPr>
              <w:t>It would satisfy investor information needs</w:t>
            </w:r>
            <w:r w:rsidRPr="00C32E12">
              <w:rPr>
                <w:szCs w:val="20"/>
              </w:rPr>
              <w:t>. It focuses on key regulatory measures with</w:t>
            </w:r>
            <w:r w:rsidR="00F772E4" w:rsidRPr="00C32E12">
              <w:rPr>
                <w:szCs w:val="20"/>
              </w:rPr>
              <w:t>out the need for a complex and difficult to understand</w:t>
            </w:r>
            <w:r w:rsidRPr="00C32E12">
              <w:rPr>
                <w:szCs w:val="20"/>
              </w:rPr>
              <w:t xml:space="preserve"> reporting framework.</w:t>
            </w:r>
          </w:p>
          <w:p w:rsidR="005177B9" w:rsidRPr="005177B9" w:rsidRDefault="005177B9" w:rsidP="00C32E12">
            <w:pPr>
              <w:pStyle w:val="ListParagraph"/>
              <w:jc w:val="both"/>
              <w:rPr>
                <w:rFonts w:ascii="Arial" w:hAnsi="Arial"/>
                <w:sz w:val="22"/>
              </w:rPr>
            </w:pPr>
          </w:p>
          <w:p w:rsidR="009C2D66" w:rsidRPr="004222EB" w:rsidRDefault="009C2D66" w:rsidP="00C32E12">
            <w:pPr>
              <w:pStyle w:val="ListParagraph"/>
              <w:numPr>
                <w:ilvl w:val="0"/>
                <w:numId w:val="6"/>
              </w:numPr>
              <w:jc w:val="both"/>
              <w:rPr>
                <w:szCs w:val="20"/>
              </w:rPr>
            </w:pPr>
            <w:r w:rsidRPr="004222EB">
              <w:rPr>
                <w:b/>
                <w:szCs w:val="20"/>
              </w:rPr>
              <w:t>It engages stakeholder</w:t>
            </w:r>
            <w:r w:rsidR="004222EB">
              <w:rPr>
                <w:b/>
                <w:szCs w:val="20"/>
              </w:rPr>
              <w:t>s</w:t>
            </w:r>
            <w:r w:rsidRPr="004222EB">
              <w:rPr>
                <w:b/>
                <w:szCs w:val="20"/>
              </w:rPr>
              <w:t>.</w:t>
            </w:r>
            <w:r w:rsidRPr="004222EB">
              <w:rPr>
                <w:szCs w:val="20"/>
              </w:rPr>
              <w:t xml:space="preserve"> Information is more transparent under a simplified framework which will encourage interest and uptake.</w:t>
            </w:r>
          </w:p>
          <w:p w:rsidR="009C2D66" w:rsidRPr="004222EB" w:rsidRDefault="009C2D66" w:rsidP="00C32E12">
            <w:pPr>
              <w:contextualSpacing/>
              <w:jc w:val="both"/>
              <w:rPr>
                <w:szCs w:val="20"/>
              </w:rPr>
            </w:pPr>
          </w:p>
          <w:p w:rsidR="005177B9" w:rsidRPr="004222EB" w:rsidRDefault="009C2D66" w:rsidP="00C32E12">
            <w:pPr>
              <w:pStyle w:val="ListParagraph"/>
              <w:numPr>
                <w:ilvl w:val="0"/>
                <w:numId w:val="6"/>
              </w:numPr>
              <w:jc w:val="both"/>
              <w:rPr>
                <w:szCs w:val="20"/>
              </w:rPr>
            </w:pPr>
            <w:r w:rsidRPr="004222EB">
              <w:rPr>
                <w:b/>
                <w:szCs w:val="20"/>
              </w:rPr>
              <w:t>It represents good value for money</w:t>
            </w:r>
            <w:r w:rsidRPr="004222EB">
              <w:rPr>
                <w:szCs w:val="20"/>
              </w:rPr>
              <w:t>. It doesn’t incur the high audit and overhead costs that the current form of RIIO Accounts certainly will.</w:t>
            </w:r>
          </w:p>
          <w:p w:rsidR="005177B9" w:rsidRPr="004222EB" w:rsidRDefault="005177B9" w:rsidP="00C32E12">
            <w:pPr>
              <w:pStyle w:val="ListParagraph"/>
              <w:rPr>
                <w:b/>
                <w:szCs w:val="20"/>
              </w:rPr>
            </w:pPr>
          </w:p>
          <w:p w:rsidR="009C2D66" w:rsidRPr="004222EB" w:rsidRDefault="009C2D66" w:rsidP="00C32E12">
            <w:pPr>
              <w:pStyle w:val="ListParagraph"/>
              <w:numPr>
                <w:ilvl w:val="0"/>
                <w:numId w:val="6"/>
              </w:numPr>
              <w:jc w:val="both"/>
              <w:rPr>
                <w:szCs w:val="20"/>
              </w:rPr>
            </w:pPr>
            <w:r w:rsidRPr="004222EB">
              <w:rPr>
                <w:b/>
                <w:szCs w:val="20"/>
              </w:rPr>
              <w:t>It will avoid duplication</w:t>
            </w:r>
            <w:r w:rsidRPr="004222EB">
              <w:rPr>
                <w:szCs w:val="20"/>
              </w:rPr>
              <w:t>. A simplified process would eliminate overlap and significantly enhance value with other reporting, such as the SPO.</w:t>
            </w:r>
          </w:p>
          <w:p w:rsidR="009C2D66" w:rsidRPr="00AA245E" w:rsidRDefault="009C2D66" w:rsidP="009C2D66">
            <w:pPr>
              <w:pStyle w:val="Default"/>
              <w:rPr>
                <w:color w:val="auto"/>
                <w:sz w:val="22"/>
                <w:szCs w:val="22"/>
              </w:rPr>
            </w:pPr>
          </w:p>
        </w:tc>
      </w:tr>
    </w:tbl>
    <w:p w:rsidR="00A1266D" w:rsidRPr="002A1787" w:rsidRDefault="00A1266D">
      <w:pPr>
        <w:rPr>
          <w:rFonts w:ascii="Arial" w:hAnsi="Arial"/>
          <w:sz w:val="22"/>
        </w:rPr>
      </w:pPr>
    </w:p>
    <w:sectPr w:rsidR="00A1266D" w:rsidRPr="002A1787" w:rsidSect="00FE5EF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E12" w:rsidRDefault="00C32E12" w:rsidP="00A1266D">
      <w:r>
        <w:separator/>
      </w:r>
    </w:p>
  </w:endnote>
  <w:endnote w:type="continuationSeparator" w:id="0">
    <w:p w:rsidR="00C32E12" w:rsidRDefault="00C32E12" w:rsidP="00A12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E12" w:rsidRDefault="00C32E12" w:rsidP="00A1266D">
      <w:r>
        <w:separator/>
      </w:r>
    </w:p>
  </w:footnote>
  <w:footnote w:type="continuationSeparator" w:id="0">
    <w:p w:rsidR="00C32E12" w:rsidRDefault="00C32E12" w:rsidP="00A12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7F89"/>
    <w:multiLevelType w:val="hybridMultilevel"/>
    <w:tmpl w:val="0EEE29D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30318"/>
    <w:multiLevelType w:val="hybridMultilevel"/>
    <w:tmpl w:val="2338829E"/>
    <w:lvl w:ilvl="0" w:tplc="A1DC0E9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0F0E03"/>
    <w:multiLevelType w:val="hybridMultilevel"/>
    <w:tmpl w:val="588A24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D43C5"/>
    <w:multiLevelType w:val="hybridMultilevel"/>
    <w:tmpl w:val="4D5E8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3632B3"/>
    <w:multiLevelType w:val="hybridMultilevel"/>
    <w:tmpl w:val="08F26F7E"/>
    <w:lvl w:ilvl="0" w:tplc="A1DC0E9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0279DA"/>
    <w:multiLevelType w:val="hybridMultilevel"/>
    <w:tmpl w:val="F2565046"/>
    <w:lvl w:ilvl="0" w:tplc="A1DC0E9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F106810"/>
    <w:multiLevelType w:val="hybridMultilevel"/>
    <w:tmpl w:val="FDC2B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6F14F5"/>
    <w:multiLevelType w:val="hybridMultilevel"/>
    <w:tmpl w:val="663C7294"/>
    <w:lvl w:ilvl="0" w:tplc="A1DC0E9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563AE2"/>
    <w:multiLevelType w:val="hybridMultilevel"/>
    <w:tmpl w:val="C9426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4386BB5"/>
    <w:multiLevelType w:val="hybridMultilevel"/>
    <w:tmpl w:val="0EEE29D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4B2912"/>
    <w:multiLevelType w:val="hybridMultilevel"/>
    <w:tmpl w:val="30FA2BC0"/>
    <w:lvl w:ilvl="0" w:tplc="EAB49190">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9"/>
  </w:num>
  <w:num w:numId="6">
    <w:abstractNumId w:val="0"/>
  </w:num>
  <w:num w:numId="7">
    <w:abstractNumId w:val="7"/>
  </w:num>
  <w:num w:numId="8">
    <w:abstractNumId w:val="1"/>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A1266D"/>
    <w:rsid w:val="00020835"/>
    <w:rsid w:val="000244C6"/>
    <w:rsid w:val="000758B6"/>
    <w:rsid w:val="00082496"/>
    <w:rsid w:val="000A13DE"/>
    <w:rsid w:val="000B33DF"/>
    <w:rsid w:val="000C75B2"/>
    <w:rsid w:val="0010434D"/>
    <w:rsid w:val="00114A8E"/>
    <w:rsid w:val="0016033D"/>
    <w:rsid w:val="00163BF7"/>
    <w:rsid w:val="00165AC1"/>
    <w:rsid w:val="001C7024"/>
    <w:rsid w:val="002040C2"/>
    <w:rsid w:val="00204A64"/>
    <w:rsid w:val="002230C0"/>
    <w:rsid w:val="00224735"/>
    <w:rsid w:val="002507E0"/>
    <w:rsid w:val="002670A1"/>
    <w:rsid w:val="002A1787"/>
    <w:rsid w:val="002B5D9F"/>
    <w:rsid w:val="002D1DD4"/>
    <w:rsid w:val="002E6A13"/>
    <w:rsid w:val="002F3E39"/>
    <w:rsid w:val="00304341"/>
    <w:rsid w:val="003055C3"/>
    <w:rsid w:val="00332229"/>
    <w:rsid w:val="0033502B"/>
    <w:rsid w:val="003417B3"/>
    <w:rsid w:val="0037452D"/>
    <w:rsid w:val="003A076C"/>
    <w:rsid w:val="003B6F77"/>
    <w:rsid w:val="003E212F"/>
    <w:rsid w:val="003E3994"/>
    <w:rsid w:val="00402394"/>
    <w:rsid w:val="00407F5F"/>
    <w:rsid w:val="004222EB"/>
    <w:rsid w:val="00435B2D"/>
    <w:rsid w:val="00447B7E"/>
    <w:rsid w:val="00457D99"/>
    <w:rsid w:val="0046351A"/>
    <w:rsid w:val="00485F1E"/>
    <w:rsid w:val="004B66AD"/>
    <w:rsid w:val="004B6C38"/>
    <w:rsid w:val="005142E7"/>
    <w:rsid w:val="005146E1"/>
    <w:rsid w:val="005177B9"/>
    <w:rsid w:val="00520A25"/>
    <w:rsid w:val="00527051"/>
    <w:rsid w:val="005441FC"/>
    <w:rsid w:val="00547CDC"/>
    <w:rsid w:val="0056638A"/>
    <w:rsid w:val="00573C18"/>
    <w:rsid w:val="006100D6"/>
    <w:rsid w:val="006211A6"/>
    <w:rsid w:val="0062280E"/>
    <w:rsid w:val="006229FF"/>
    <w:rsid w:val="0062427F"/>
    <w:rsid w:val="00645010"/>
    <w:rsid w:val="00660372"/>
    <w:rsid w:val="006A0F69"/>
    <w:rsid w:val="006A36CF"/>
    <w:rsid w:val="006C1097"/>
    <w:rsid w:val="006C6D96"/>
    <w:rsid w:val="006E4C6B"/>
    <w:rsid w:val="006F28A4"/>
    <w:rsid w:val="0074302A"/>
    <w:rsid w:val="00751986"/>
    <w:rsid w:val="00754A48"/>
    <w:rsid w:val="0076290B"/>
    <w:rsid w:val="007633FF"/>
    <w:rsid w:val="00765DA0"/>
    <w:rsid w:val="00772BA8"/>
    <w:rsid w:val="00786B1F"/>
    <w:rsid w:val="00790921"/>
    <w:rsid w:val="007B2C94"/>
    <w:rsid w:val="007C6350"/>
    <w:rsid w:val="007C7636"/>
    <w:rsid w:val="007D4893"/>
    <w:rsid w:val="007F0752"/>
    <w:rsid w:val="007F5C3A"/>
    <w:rsid w:val="008035B9"/>
    <w:rsid w:val="00807332"/>
    <w:rsid w:val="00831999"/>
    <w:rsid w:val="008418CA"/>
    <w:rsid w:val="00860BC4"/>
    <w:rsid w:val="0087380C"/>
    <w:rsid w:val="00890808"/>
    <w:rsid w:val="00896865"/>
    <w:rsid w:val="008A0702"/>
    <w:rsid w:val="008D0062"/>
    <w:rsid w:val="008D7BD0"/>
    <w:rsid w:val="008E3B49"/>
    <w:rsid w:val="008E660B"/>
    <w:rsid w:val="0094575D"/>
    <w:rsid w:val="009601A0"/>
    <w:rsid w:val="00971628"/>
    <w:rsid w:val="00987112"/>
    <w:rsid w:val="009A096A"/>
    <w:rsid w:val="009A5C50"/>
    <w:rsid w:val="009B2709"/>
    <w:rsid w:val="009C2D66"/>
    <w:rsid w:val="009F10D5"/>
    <w:rsid w:val="00A1266D"/>
    <w:rsid w:val="00A157CF"/>
    <w:rsid w:val="00A17B5D"/>
    <w:rsid w:val="00A23661"/>
    <w:rsid w:val="00A25795"/>
    <w:rsid w:val="00A5111D"/>
    <w:rsid w:val="00A554AE"/>
    <w:rsid w:val="00A658C2"/>
    <w:rsid w:val="00A66D3F"/>
    <w:rsid w:val="00A843C4"/>
    <w:rsid w:val="00AA245E"/>
    <w:rsid w:val="00AB5CD2"/>
    <w:rsid w:val="00B21263"/>
    <w:rsid w:val="00B31046"/>
    <w:rsid w:val="00B43118"/>
    <w:rsid w:val="00B550E8"/>
    <w:rsid w:val="00B64B86"/>
    <w:rsid w:val="00B83577"/>
    <w:rsid w:val="00B9034F"/>
    <w:rsid w:val="00B94B07"/>
    <w:rsid w:val="00BD1F00"/>
    <w:rsid w:val="00BF2472"/>
    <w:rsid w:val="00C041F8"/>
    <w:rsid w:val="00C056B5"/>
    <w:rsid w:val="00C17DDA"/>
    <w:rsid w:val="00C32E12"/>
    <w:rsid w:val="00C44E65"/>
    <w:rsid w:val="00C452CF"/>
    <w:rsid w:val="00C56CB0"/>
    <w:rsid w:val="00C91C65"/>
    <w:rsid w:val="00CB2362"/>
    <w:rsid w:val="00CB5BE8"/>
    <w:rsid w:val="00CC1516"/>
    <w:rsid w:val="00CD1F2D"/>
    <w:rsid w:val="00CF6C8B"/>
    <w:rsid w:val="00D030C6"/>
    <w:rsid w:val="00D15A5E"/>
    <w:rsid w:val="00D61220"/>
    <w:rsid w:val="00D65576"/>
    <w:rsid w:val="00D72514"/>
    <w:rsid w:val="00D8561B"/>
    <w:rsid w:val="00D9081F"/>
    <w:rsid w:val="00D97327"/>
    <w:rsid w:val="00DB154B"/>
    <w:rsid w:val="00DD2CD2"/>
    <w:rsid w:val="00DD4B7E"/>
    <w:rsid w:val="00E346AB"/>
    <w:rsid w:val="00E45B1F"/>
    <w:rsid w:val="00E60232"/>
    <w:rsid w:val="00E60ABD"/>
    <w:rsid w:val="00E674FB"/>
    <w:rsid w:val="00E8301C"/>
    <w:rsid w:val="00E848CF"/>
    <w:rsid w:val="00E95A09"/>
    <w:rsid w:val="00E9751C"/>
    <w:rsid w:val="00EA1330"/>
    <w:rsid w:val="00EC0DCB"/>
    <w:rsid w:val="00EC16A3"/>
    <w:rsid w:val="00EF41B0"/>
    <w:rsid w:val="00F00B39"/>
    <w:rsid w:val="00F17213"/>
    <w:rsid w:val="00F52116"/>
    <w:rsid w:val="00F71CC2"/>
    <w:rsid w:val="00F772E4"/>
    <w:rsid w:val="00F852E3"/>
    <w:rsid w:val="00FE5EF6"/>
    <w:rsid w:val="00FF47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6D"/>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66D"/>
    <w:pPr>
      <w:tabs>
        <w:tab w:val="center" w:pos="4513"/>
        <w:tab w:val="right" w:pos="9026"/>
      </w:tabs>
    </w:pPr>
  </w:style>
  <w:style w:type="character" w:customStyle="1" w:styleId="HeaderChar">
    <w:name w:val="Header Char"/>
    <w:basedOn w:val="DefaultParagraphFont"/>
    <w:link w:val="Header"/>
    <w:uiPriority w:val="99"/>
    <w:rsid w:val="00A1266D"/>
  </w:style>
  <w:style w:type="paragraph" w:styleId="Footer">
    <w:name w:val="footer"/>
    <w:basedOn w:val="Normal"/>
    <w:link w:val="FooterChar"/>
    <w:uiPriority w:val="99"/>
    <w:unhideWhenUsed/>
    <w:rsid w:val="00A1266D"/>
    <w:pPr>
      <w:tabs>
        <w:tab w:val="center" w:pos="4513"/>
        <w:tab w:val="right" w:pos="9026"/>
      </w:tabs>
    </w:pPr>
  </w:style>
  <w:style w:type="character" w:customStyle="1" w:styleId="FooterChar">
    <w:name w:val="Footer Char"/>
    <w:basedOn w:val="DefaultParagraphFont"/>
    <w:link w:val="Footer"/>
    <w:uiPriority w:val="99"/>
    <w:rsid w:val="00A1266D"/>
  </w:style>
  <w:style w:type="paragraph" w:customStyle="1" w:styleId="Default">
    <w:name w:val="Default"/>
    <w:rsid w:val="00A1266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12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C6B"/>
    <w:rPr>
      <w:color w:val="0563C1" w:themeColor="hyperlink"/>
      <w:u w:val="single"/>
    </w:rPr>
  </w:style>
  <w:style w:type="character" w:styleId="CommentReference">
    <w:name w:val="annotation reference"/>
    <w:basedOn w:val="DefaultParagraphFont"/>
    <w:uiPriority w:val="99"/>
    <w:semiHidden/>
    <w:unhideWhenUsed/>
    <w:rsid w:val="00165AC1"/>
    <w:rPr>
      <w:sz w:val="16"/>
      <w:szCs w:val="16"/>
    </w:rPr>
  </w:style>
  <w:style w:type="paragraph" w:styleId="CommentText">
    <w:name w:val="annotation text"/>
    <w:basedOn w:val="Normal"/>
    <w:link w:val="CommentTextChar"/>
    <w:uiPriority w:val="99"/>
    <w:semiHidden/>
    <w:unhideWhenUsed/>
    <w:rsid w:val="00165AC1"/>
    <w:rPr>
      <w:szCs w:val="20"/>
    </w:rPr>
  </w:style>
  <w:style w:type="character" w:customStyle="1" w:styleId="CommentTextChar">
    <w:name w:val="Comment Text Char"/>
    <w:basedOn w:val="DefaultParagraphFont"/>
    <w:link w:val="CommentText"/>
    <w:uiPriority w:val="99"/>
    <w:semiHidden/>
    <w:rsid w:val="00165AC1"/>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165AC1"/>
    <w:rPr>
      <w:b/>
      <w:bCs/>
    </w:rPr>
  </w:style>
  <w:style w:type="character" w:customStyle="1" w:styleId="CommentSubjectChar">
    <w:name w:val="Comment Subject Char"/>
    <w:basedOn w:val="CommentTextChar"/>
    <w:link w:val="CommentSubject"/>
    <w:uiPriority w:val="99"/>
    <w:semiHidden/>
    <w:rsid w:val="00165AC1"/>
    <w:rPr>
      <w:b/>
      <w:bCs/>
    </w:rPr>
  </w:style>
  <w:style w:type="paragraph" w:styleId="BalloonText">
    <w:name w:val="Balloon Text"/>
    <w:basedOn w:val="Normal"/>
    <w:link w:val="BalloonTextChar"/>
    <w:uiPriority w:val="99"/>
    <w:semiHidden/>
    <w:unhideWhenUsed/>
    <w:rsid w:val="00165AC1"/>
    <w:rPr>
      <w:rFonts w:ascii="Tahoma" w:hAnsi="Tahoma" w:cs="Tahoma"/>
      <w:sz w:val="16"/>
      <w:szCs w:val="16"/>
    </w:rPr>
  </w:style>
  <w:style w:type="character" w:customStyle="1" w:styleId="BalloonTextChar">
    <w:name w:val="Balloon Text Char"/>
    <w:basedOn w:val="DefaultParagraphFont"/>
    <w:link w:val="BalloonText"/>
    <w:uiPriority w:val="99"/>
    <w:semiHidden/>
    <w:rsid w:val="00165AC1"/>
    <w:rPr>
      <w:rFonts w:ascii="Tahoma" w:eastAsia="Times New Roman" w:hAnsi="Tahoma" w:cs="Tahoma"/>
      <w:sz w:val="16"/>
      <w:szCs w:val="16"/>
      <w:lang w:eastAsia="en-GB"/>
    </w:rPr>
  </w:style>
  <w:style w:type="paragraph" w:styleId="ListParagraph">
    <w:name w:val="List Paragraph"/>
    <w:basedOn w:val="Normal"/>
    <w:uiPriority w:val="34"/>
    <w:qFormat/>
    <w:rsid w:val="006F28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ny.clarke@enwl.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k.watson@ofge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Publication_x0020_Date_x003a_ xmlns="631298fc-6a88-4548-b7d9-3b164918c4a3">2017-11-01T00:00:00+00:00</Publication_x0020_Date_x003a_>
    <Applicable_x0020_Start_x0020_Date xmlns="631298fc-6a88-4548-b7d9-3b164918c4a3" xsi:nil="true"/>
    <Meeting_x0020_Date xmlns="631298fc-6a88-4548-b7d9-3b164918c4a3" xsi:nil="true"/>
    <Applicable_x0020_Duration xmlns="631298fc-6a88-4548-b7d9-3b164918c4a3">-</Applicable_x0020_Duration>
    <Organisation xmlns="631298fc-6a88-4548-b7d9-3b164918c4a3">Choose an Organisation</Organisation>
  </documentManagement>
</p:properties>
</file>

<file path=customXml/item2.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773578-b348-4185-91b0-0c3a7eda8d2a" ContentTypeId="0x010100728A6C48D06C0D459BAA78C74513A0FC" PreviousValue="false"/>
</file>

<file path=customXml/item5.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1036DAD8A769F04A9DD0B62F45257962" ma:contentTypeVersion="4" ma:contentTypeDescription="Documents not produced by Ofgem" ma:contentTypeScope="" ma:versionID="347dd285a82af45ee1120f779b1fac29">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fda765be5abe08e4d00e27aac418588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scription="Enter the date as DD/MM/YYYY" ma:format="DateOnly" ma:internalName="Meeting_x0020_Date">
      <xsd:simpleType>
        <xsd:restriction base="dms:DateTime"/>
      </xsd:simpleType>
    </xsd:element>
    <xsd:element name="Classification" ma:index="18"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CBAE3-3467-48A6-922A-9BF7B707A649}"/>
</file>

<file path=customXml/itemProps2.xml><?xml version="1.0" encoding="utf-8"?>
<ds:datastoreItem xmlns:ds="http://schemas.openxmlformats.org/officeDocument/2006/customXml" ds:itemID="{406D0069-2E90-4361-8FE4-F3A2768597F0}"/>
</file>

<file path=customXml/itemProps3.xml><?xml version="1.0" encoding="utf-8"?>
<ds:datastoreItem xmlns:ds="http://schemas.openxmlformats.org/officeDocument/2006/customXml" ds:itemID="{3593AF08-2144-4391-8A7F-59E887A95EED}"/>
</file>

<file path=customXml/itemProps4.xml><?xml version="1.0" encoding="utf-8"?>
<ds:datastoreItem xmlns:ds="http://schemas.openxmlformats.org/officeDocument/2006/customXml" ds:itemID="{3A9212AE-39A7-4414-9467-0C6A17536B65}"/>
</file>

<file path=customXml/itemProps5.xml><?xml version="1.0" encoding="utf-8"?>
<ds:datastoreItem xmlns:ds="http://schemas.openxmlformats.org/officeDocument/2006/customXml" ds:itemID="{E6FB3A66-54F8-49F2-822E-C98CDD75FA07}"/>
</file>

<file path=docProps/app.xml><?xml version="1.0" encoding="utf-8"?>
<Properties xmlns="http://schemas.openxmlformats.org/officeDocument/2006/extended-properties" xmlns:vt="http://schemas.openxmlformats.org/officeDocument/2006/docPropsVTypes">
  <Template>Normal.dotm</Template>
  <TotalTime>11</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Appendix 5 - Feedback Questionnaire for Introduction of RIIO Accounts – further consultation on licence modification</vt:lpstr>
    </vt:vector>
  </TitlesOfParts>
  <Company>Ofgem</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Feedback Questionnaire for Introduction of RIIO Accounts – further consultation on licence modification</dc:title>
  <dc:subject/>
  <dc:creator>Mick Watson</dc:creator>
  <cp:lastModifiedBy>Clarke, Danny</cp:lastModifiedBy>
  <cp:revision>4</cp:revision>
  <cp:lastPrinted>2017-12-05T16:43:00Z</cp:lastPrinted>
  <dcterms:created xsi:type="dcterms:W3CDTF">2017-12-05T16:35:00Z</dcterms:created>
  <dcterms:modified xsi:type="dcterms:W3CDTF">2017-12-05T16:45:00Z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5ad46b6c-73aa-4e27-bfc3-e052b9736c1a</vt:lpwstr>
  </property>
  <property fmtid="{D5CDD505-2E9C-101B-9397-08002B2CF9AE}" pid="3" name="bjSaver">
    <vt:lpwstr>BczmxCgYejnwIiiZNXgDoCfnUqUDWxJI</vt:lpwstr>
  </property>
  <property fmtid="{D5CDD505-2E9C-101B-9397-08002B2CF9AE}" pid="4" name="ContentTypeId">
    <vt:lpwstr>0x010100728A6C48D06C0D459BAA78C74513A0FC001036DAD8A769F04A9DD0B62F45257962</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9"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LabelXML-0">
    <vt:lpwstr>nternal/label"&gt;&lt;element uid="id_classification_nonbusiness" value="" /&gt;&lt;/sisl&gt;</vt:lpwstr>
  </property>
  <property fmtid="{D5CDD505-2E9C-101B-9397-08002B2CF9AE}" pid="11" name="bjDocumentSecurityLabel">
    <vt:lpwstr>OFFICIAL</vt:lpwstr>
  </property>
  <property fmtid="{D5CDD505-2E9C-101B-9397-08002B2CF9AE}" pid="12" name="Order">
    <vt:r8>2740400</vt:r8>
  </property>
</Properties>
</file>