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615055" w14:paraId="208F7303" w14:textId="77777777" w:rsidTr="00CA6E7A">
        <w:trPr>
          <w:trHeight w:val="558"/>
        </w:trPr>
        <w:tc>
          <w:tcPr>
            <w:tcW w:w="10490" w:type="dxa"/>
            <w:shd w:val="clear" w:color="auto" w:fill="EBEAE2"/>
          </w:tcPr>
          <w:p w14:paraId="208F7302" w14:textId="77777777" w:rsidR="00615055" w:rsidRDefault="00615055">
            <w:bookmarkStart w:id="0" w:name="_GoBack"/>
            <w:bookmarkEnd w:id="0"/>
          </w:p>
        </w:tc>
      </w:tr>
      <w:tr w:rsidR="00BE71AA" w14:paraId="208F7305" w14:textId="77777777" w:rsidTr="00CA6E7A">
        <w:trPr>
          <w:trHeight w:val="295"/>
        </w:trPr>
        <w:tc>
          <w:tcPr>
            <w:tcW w:w="10490" w:type="dxa"/>
            <w:shd w:val="clear" w:color="auto" w:fill="EBEAE2"/>
            <w:tcMar>
              <w:left w:w="4536" w:type="dxa"/>
            </w:tcMar>
          </w:tcPr>
          <w:p w14:paraId="208F7304" w14:textId="77777777" w:rsidR="00BE71AA" w:rsidRDefault="00625EE0">
            <w:pPr>
              <w:rPr>
                <w:b/>
                <w:bCs/>
                <w:noProof/>
                <w:color w:val="000080"/>
                <w:szCs w:val="20"/>
                <w:lang w:eastAsia="en-GB"/>
              </w:rPr>
            </w:pPr>
            <w:r>
              <w:rPr>
                <w:b/>
                <w:bCs/>
                <w:noProof/>
                <w:color w:val="000080"/>
                <w:szCs w:val="20"/>
                <w:lang w:eastAsia="en-GB"/>
              </w:rPr>
              <w:drawing>
                <wp:anchor distT="0" distB="0" distL="114300" distR="114300" simplePos="0" relativeHeight="251658240" behindDoc="0" locked="0" layoutInCell="1" allowOverlap="1" wp14:anchorId="208F767A" wp14:editId="208F767B">
                  <wp:simplePos x="0" y="0"/>
                  <wp:positionH relativeFrom="column">
                    <wp:posOffset>-2667000</wp:posOffset>
                  </wp:positionH>
                  <wp:positionV relativeFrom="paragraph">
                    <wp:posOffset>50800</wp:posOffset>
                  </wp:positionV>
                  <wp:extent cx="3038475" cy="485775"/>
                  <wp:effectExtent l="19050" t="0" r="9525" b="0"/>
                  <wp:wrapNone/>
                  <wp:docPr id="5" name="Logo" descr="C:\CERT\GreatWrittenCommunication\zOldStuffDoNotUse\ofgemelec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ERT\GreatWrittenCommunication\zOldStuffDoNotUse\ofgemelecsig.gif"/>
                          <pic:cNvPicPr>
                            <a:picLocks noChangeAspect="1" noChangeArrowheads="1"/>
                          </pic:cNvPicPr>
                        </pic:nvPicPr>
                        <pic:blipFill>
                          <a:blip r:embed="rId12" cstate="print"/>
                          <a:stretch>
                            <a:fillRect/>
                          </a:stretch>
                        </pic:blipFill>
                        <pic:spPr bwMode="auto">
                          <a:xfrm>
                            <a:off x="0" y="0"/>
                            <a:ext cx="3038475" cy="485775"/>
                          </a:xfrm>
                          <a:prstGeom prst="rect">
                            <a:avLst/>
                          </a:prstGeom>
                          <a:noFill/>
                          <a:ln w="9525">
                            <a:noFill/>
                            <a:miter lim="800000"/>
                            <a:headEnd/>
                            <a:tailEnd/>
                          </a:ln>
                        </pic:spPr>
                      </pic:pic>
                    </a:graphicData>
                  </a:graphic>
                </wp:anchor>
              </w:drawing>
            </w:r>
          </w:p>
        </w:tc>
      </w:tr>
      <w:tr w:rsidR="00BE71AA" w14:paraId="208F7307" w14:textId="77777777" w:rsidTr="00CA6E7A">
        <w:trPr>
          <w:trHeight w:val="558"/>
        </w:trPr>
        <w:tc>
          <w:tcPr>
            <w:tcW w:w="10490" w:type="dxa"/>
            <w:shd w:val="clear" w:color="auto" w:fill="EBEAE2"/>
            <w:tcMar>
              <w:left w:w="4536" w:type="dxa"/>
            </w:tcMar>
          </w:tcPr>
          <w:p w14:paraId="208F7306" w14:textId="77777777" w:rsidR="00BE71AA" w:rsidRDefault="00BE71AA"/>
        </w:tc>
      </w:tr>
      <w:tr w:rsidR="00615055" w14:paraId="208F7309" w14:textId="77777777" w:rsidTr="00CA6E7A">
        <w:trPr>
          <w:trHeight w:val="659"/>
        </w:trPr>
        <w:tc>
          <w:tcPr>
            <w:tcW w:w="10490" w:type="dxa"/>
            <w:shd w:val="clear" w:color="auto" w:fill="EBEAE2"/>
          </w:tcPr>
          <w:p w14:paraId="208F7308" w14:textId="77777777" w:rsidR="00615055" w:rsidRDefault="00615055"/>
        </w:tc>
      </w:tr>
      <w:tr w:rsidR="00615055" w14:paraId="208F730B" w14:textId="77777777" w:rsidTr="00CA6E7A">
        <w:trPr>
          <w:trHeight w:val="1842"/>
        </w:trPr>
        <w:tc>
          <w:tcPr>
            <w:tcW w:w="10490" w:type="dxa"/>
            <w:shd w:val="clear" w:color="auto" w:fill="EBEAE2"/>
            <w:tcMar>
              <w:left w:w="284" w:type="dxa"/>
            </w:tcMar>
          </w:tcPr>
          <w:p w14:paraId="23861467" w14:textId="2D061220" w:rsidR="005C11A6" w:rsidRDefault="005C11A6" w:rsidP="005C11A6">
            <w:pPr>
              <w:pStyle w:val="Title1"/>
            </w:pPr>
            <w:r>
              <w:t>Guidance on submitting complaints data for domestic customers and microbusinesses</w:t>
            </w:r>
          </w:p>
          <w:p w14:paraId="208F730A" w14:textId="38294D45" w:rsidR="00AA42CC" w:rsidRPr="005E0513" w:rsidRDefault="00AA42CC" w:rsidP="009A7D37">
            <w:pPr>
              <w:pStyle w:val="oStyle21ptAfter10pt"/>
            </w:pPr>
          </w:p>
        </w:tc>
      </w:tr>
      <w:tr w:rsidR="00E36CE3" w14:paraId="208F730D" w14:textId="77777777" w:rsidTr="00CA6E7A">
        <w:trPr>
          <w:trHeight w:val="607"/>
        </w:trPr>
        <w:tc>
          <w:tcPr>
            <w:tcW w:w="10490" w:type="dxa"/>
            <w:shd w:val="clear" w:color="auto" w:fill="CECBB6"/>
            <w:tcMar>
              <w:left w:w="284" w:type="dxa"/>
            </w:tcMar>
            <w:vAlign w:val="center"/>
          </w:tcPr>
          <w:p w14:paraId="208F730C" w14:textId="4037520C" w:rsidR="00E36CE3" w:rsidRPr="00CA6E7A" w:rsidRDefault="00720A41" w:rsidP="00665D0B">
            <w:pPr>
              <w:rPr>
                <w:rStyle w:val="oStyle17ptBold"/>
                <w:color w:val="F79646"/>
              </w:rPr>
            </w:pPr>
            <w:r>
              <w:rPr>
                <w:rStyle w:val="oStyle17ptBold"/>
                <w:color w:val="F79646"/>
              </w:rPr>
              <w:t>Guidance</w:t>
            </w:r>
            <w:r w:rsidR="00D06C85">
              <w:rPr>
                <w:rStyle w:val="oStyle17ptBold"/>
                <w:color w:val="F79646"/>
              </w:rPr>
              <w:t xml:space="preserve">                 </w:t>
            </w:r>
          </w:p>
        </w:tc>
      </w:tr>
    </w:tbl>
    <w:p w14:paraId="208F730E" w14:textId="77777777" w:rsidR="00E02033" w:rsidRPr="00E80DD4" w:rsidRDefault="00E02033">
      <w:pPr>
        <w:rPr>
          <w:rStyle w:val="oStyle6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4"/>
        <w:gridCol w:w="2050"/>
        <w:gridCol w:w="117"/>
        <w:gridCol w:w="117"/>
        <w:gridCol w:w="1177"/>
        <w:gridCol w:w="4245"/>
      </w:tblGrid>
      <w:tr w:rsidR="00897F49" w14:paraId="208F7315" w14:textId="77777777" w:rsidTr="004C4C51">
        <w:trPr>
          <w:trHeight w:hRule="exact" w:val="227"/>
        </w:trPr>
        <w:tc>
          <w:tcPr>
            <w:tcW w:w="2784" w:type="dxa"/>
            <w:shd w:val="clear" w:color="auto" w:fill="E4E5E5"/>
          </w:tcPr>
          <w:p w14:paraId="208F730F" w14:textId="77777777" w:rsidR="00897F49" w:rsidRPr="005D27E0" w:rsidRDefault="00897F49" w:rsidP="006A74B3">
            <w:pPr>
              <w:ind w:left="-113"/>
              <w:rPr>
                <w:b/>
              </w:rPr>
            </w:pPr>
          </w:p>
        </w:tc>
        <w:tc>
          <w:tcPr>
            <w:tcW w:w="2050" w:type="dxa"/>
            <w:shd w:val="clear" w:color="auto" w:fill="E4E5E5"/>
          </w:tcPr>
          <w:p w14:paraId="208F7310" w14:textId="77777777" w:rsidR="00897F49" w:rsidRDefault="00897F49" w:rsidP="006A74B3">
            <w:pPr>
              <w:ind w:left="-113"/>
            </w:pPr>
          </w:p>
        </w:tc>
        <w:tc>
          <w:tcPr>
            <w:tcW w:w="117" w:type="dxa"/>
            <w:tcBorders>
              <w:right w:val="single" w:sz="4" w:space="0" w:color="auto"/>
            </w:tcBorders>
            <w:tcMar>
              <w:left w:w="0" w:type="dxa"/>
              <w:right w:w="0" w:type="dxa"/>
            </w:tcMar>
          </w:tcPr>
          <w:p w14:paraId="208F7311" w14:textId="77777777" w:rsidR="00897F49" w:rsidRDefault="00897F49" w:rsidP="009104CA"/>
        </w:tc>
        <w:tc>
          <w:tcPr>
            <w:tcW w:w="117" w:type="dxa"/>
            <w:tcBorders>
              <w:left w:val="single" w:sz="4" w:space="0" w:color="auto"/>
            </w:tcBorders>
            <w:tcMar>
              <w:left w:w="0" w:type="dxa"/>
              <w:right w:w="0" w:type="dxa"/>
            </w:tcMar>
          </w:tcPr>
          <w:p w14:paraId="208F7312" w14:textId="77777777" w:rsidR="00897F49" w:rsidRDefault="00897F49" w:rsidP="009104CA"/>
        </w:tc>
        <w:tc>
          <w:tcPr>
            <w:tcW w:w="1177" w:type="dxa"/>
            <w:shd w:val="clear" w:color="auto" w:fill="E4E5E5"/>
          </w:tcPr>
          <w:p w14:paraId="208F7313" w14:textId="77777777" w:rsidR="00897F49" w:rsidRDefault="00897F49" w:rsidP="001452F0">
            <w:pPr>
              <w:ind w:left="-57"/>
            </w:pPr>
          </w:p>
        </w:tc>
        <w:tc>
          <w:tcPr>
            <w:tcW w:w="4245" w:type="dxa"/>
            <w:shd w:val="clear" w:color="auto" w:fill="E4E5E5"/>
          </w:tcPr>
          <w:p w14:paraId="208F7314" w14:textId="77777777" w:rsidR="00897F49" w:rsidRDefault="00897F49" w:rsidP="001452F0">
            <w:pPr>
              <w:ind w:left="-113"/>
            </w:pPr>
          </w:p>
        </w:tc>
      </w:tr>
      <w:tr w:rsidR="004C4C51" w14:paraId="208F731C" w14:textId="77777777" w:rsidTr="004C4C51">
        <w:trPr>
          <w:trHeight w:hRule="exact" w:val="510"/>
        </w:trPr>
        <w:tc>
          <w:tcPr>
            <w:tcW w:w="2784" w:type="dxa"/>
            <w:shd w:val="clear" w:color="auto" w:fill="E4E5E5"/>
            <w:tcMar>
              <w:left w:w="284" w:type="dxa"/>
            </w:tcMar>
          </w:tcPr>
          <w:p w14:paraId="208F7316" w14:textId="31172ED0" w:rsidR="004C4C51" w:rsidRPr="005D27E0" w:rsidRDefault="004C4C51" w:rsidP="006A74B3">
            <w:pPr>
              <w:ind w:left="-113"/>
              <w:rPr>
                <w:b/>
              </w:rPr>
            </w:pPr>
            <w:r w:rsidRPr="005D27E0">
              <w:rPr>
                <w:b/>
              </w:rPr>
              <w:t>Publication date:</w:t>
            </w:r>
          </w:p>
        </w:tc>
        <w:tc>
          <w:tcPr>
            <w:tcW w:w="2050" w:type="dxa"/>
            <w:shd w:val="clear" w:color="auto" w:fill="E4E5E5"/>
          </w:tcPr>
          <w:p w14:paraId="208F7317" w14:textId="712F36D8" w:rsidR="004C4C51" w:rsidRDefault="00665D0B" w:rsidP="00CE24F1">
            <w:pPr>
              <w:ind w:left="-113"/>
            </w:pPr>
            <w:r>
              <w:t>30</w:t>
            </w:r>
            <w:r w:rsidR="00CE24F1">
              <w:t xml:space="preserve"> </w:t>
            </w:r>
            <w:r w:rsidR="009C5CE9">
              <w:t xml:space="preserve"> </w:t>
            </w:r>
            <w:r w:rsidR="00CE24F1">
              <w:t xml:space="preserve">January </w:t>
            </w:r>
            <w:r w:rsidR="004C4C51" w:rsidRPr="00B70F17">
              <w:t>201</w:t>
            </w:r>
            <w:r w:rsidR="00CE24F1">
              <w:t>8</w:t>
            </w:r>
          </w:p>
        </w:tc>
        <w:tc>
          <w:tcPr>
            <w:tcW w:w="117" w:type="dxa"/>
            <w:tcBorders>
              <w:right w:val="single" w:sz="4" w:space="0" w:color="auto"/>
            </w:tcBorders>
            <w:tcMar>
              <w:left w:w="0" w:type="dxa"/>
              <w:right w:w="0" w:type="dxa"/>
            </w:tcMar>
          </w:tcPr>
          <w:p w14:paraId="208F7318" w14:textId="77777777" w:rsidR="004C4C51" w:rsidRDefault="004C4C51" w:rsidP="009104CA"/>
        </w:tc>
        <w:tc>
          <w:tcPr>
            <w:tcW w:w="117" w:type="dxa"/>
            <w:tcBorders>
              <w:left w:val="single" w:sz="4" w:space="0" w:color="auto"/>
            </w:tcBorders>
            <w:tcMar>
              <w:left w:w="0" w:type="dxa"/>
              <w:right w:w="0" w:type="dxa"/>
            </w:tcMar>
          </w:tcPr>
          <w:p w14:paraId="208F7319" w14:textId="77777777" w:rsidR="004C4C51" w:rsidRDefault="004C4C51" w:rsidP="009104CA"/>
        </w:tc>
        <w:tc>
          <w:tcPr>
            <w:tcW w:w="1177" w:type="dxa"/>
            <w:shd w:val="clear" w:color="auto" w:fill="E4E5E5"/>
            <w:tcMar>
              <w:left w:w="170" w:type="dxa"/>
            </w:tcMar>
          </w:tcPr>
          <w:p w14:paraId="208F731A" w14:textId="77777777" w:rsidR="004C4C51" w:rsidRPr="000A4712" w:rsidRDefault="004C4C51" w:rsidP="001452F0">
            <w:pPr>
              <w:ind w:left="-57"/>
              <w:rPr>
                <w:b/>
                <w:bCs/>
              </w:rPr>
            </w:pPr>
            <w:r w:rsidRPr="000A4712">
              <w:rPr>
                <w:b/>
                <w:bCs/>
              </w:rPr>
              <w:t>Contact:</w:t>
            </w:r>
          </w:p>
        </w:tc>
        <w:tc>
          <w:tcPr>
            <w:tcW w:w="4245" w:type="dxa"/>
            <w:shd w:val="clear" w:color="auto" w:fill="E4E5E5"/>
          </w:tcPr>
          <w:p w14:paraId="208F731B" w14:textId="728C3B36" w:rsidR="004C4C51" w:rsidRDefault="009A7D37" w:rsidP="00665D0B">
            <w:pPr>
              <w:ind w:left="-113"/>
            </w:pPr>
            <w:r>
              <w:t>Monica Gandolfi</w:t>
            </w:r>
          </w:p>
        </w:tc>
      </w:tr>
      <w:tr w:rsidR="00897F49" w14:paraId="208F7323" w14:textId="77777777" w:rsidTr="004C4C51">
        <w:trPr>
          <w:trHeight w:hRule="exact" w:val="510"/>
        </w:trPr>
        <w:tc>
          <w:tcPr>
            <w:tcW w:w="2784" w:type="dxa"/>
            <w:shd w:val="clear" w:color="auto" w:fill="E4E5E5"/>
            <w:tcMar>
              <w:left w:w="284" w:type="dxa"/>
            </w:tcMar>
          </w:tcPr>
          <w:p w14:paraId="208F731D" w14:textId="7BA83F9B" w:rsidR="00897F49" w:rsidRPr="005D27E0" w:rsidRDefault="00897F49" w:rsidP="006A74B3">
            <w:pPr>
              <w:ind w:left="-113"/>
              <w:rPr>
                <w:b/>
              </w:rPr>
            </w:pPr>
          </w:p>
        </w:tc>
        <w:tc>
          <w:tcPr>
            <w:tcW w:w="2050" w:type="dxa"/>
            <w:shd w:val="clear" w:color="auto" w:fill="E4E5E5"/>
          </w:tcPr>
          <w:p w14:paraId="208F731E" w14:textId="25CFC45B" w:rsidR="00897F49" w:rsidRDefault="00897F49" w:rsidP="006A74B3">
            <w:pPr>
              <w:ind w:left="-113"/>
            </w:pPr>
          </w:p>
        </w:tc>
        <w:tc>
          <w:tcPr>
            <w:tcW w:w="117" w:type="dxa"/>
            <w:tcBorders>
              <w:right w:val="single" w:sz="4" w:space="0" w:color="auto"/>
            </w:tcBorders>
            <w:tcMar>
              <w:left w:w="0" w:type="dxa"/>
              <w:right w:w="0" w:type="dxa"/>
            </w:tcMar>
          </w:tcPr>
          <w:p w14:paraId="208F731F" w14:textId="77777777" w:rsidR="00897F49" w:rsidRDefault="00897F49" w:rsidP="009104CA"/>
        </w:tc>
        <w:tc>
          <w:tcPr>
            <w:tcW w:w="117" w:type="dxa"/>
            <w:tcBorders>
              <w:left w:val="single" w:sz="4" w:space="0" w:color="auto"/>
            </w:tcBorders>
            <w:tcMar>
              <w:left w:w="0" w:type="dxa"/>
              <w:right w:w="0" w:type="dxa"/>
            </w:tcMar>
          </w:tcPr>
          <w:p w14:paraId="208F7320" w14:textId="77777777" w:rsidR="00897F49" w:rsidRDefault="00897F49" w:rsidP="009104CA"/>
        </w:tc>
        <w:tc>
          <w:tcPr>
            <w:tcW w:w="1177" w:type="dxa"/>
            <w:shd w:val="clear" w:color="auto" w:fill="E4E5E5"/>
            <w:tcMar>
              <w:left w:w="170" w:type="dxa"/>
            </w:tcMar>
          </w:tcPr>
          <w:p w14:paraId="208F7321" w14:textId="77777777" w:rsidR="00897F49" w:rsidRPr="000A4712" w:rsidRDefault="00897F49" w:rsidP="001452F0">
            <w:pPr>
              <w:ind w:left="-57"/>
              <w:rPr>
                <w:b/>
                <w:bCs/>
              </w:rPr>
            </w:pPr>
            <w:r w:rsidRPr="000A4712">
              <w:rPr>
                <w:b/>
                <w:bCs/>
              </w:rPr>
              <w:t>Team:</w:t>
            </w:r>
          </w:p>
        </w:tc>
        <w:tc>
          <w:tcPr>
            <w:tcW w:w="4245" w:type="dxa"/>
            <w:shd w:val="clear" w:color="auto" w:fill="E4E5E5"/>
          </w:tcPr>
          <w:p w14:paraId="208F7322" w14:textId="22F23D97" w:rsidR="00897F49" w:rsidRDefault="009A7D37" w:rsidP="00F11AFD">
            <w:pPr>
              <w:ind w:left="-113"/>
            </w:pPr>
            <w:r>
              <w:t xml:space="preserve">Consumers </w:t>
            </w:r>
            <w:r w:rsidR="00F11AFD">
              <w:t xml:space="preserve">&amp; </w:t>
            </w:r>
            <w:r>
              <w:t>Competition</w:t>
            </w:r>
          </w:p>
        </w:tc>
      </w:tr>
      <w:tr w:rsidR="00897F49" w14:paraId="208F732A" w14:textId="77777777" w:rsidTr="004C4C51">
        <w:trPr>
          <w:trHeight w:hRule="exact" w:val="510"/>
        </w:trPr>
        <w:tc>
          <w:tcPr>
            <w:tcW w:w="2784" w:type="dxa"/>
            <w:shd w:val="clear" w:color="auto" w:fill="E4E5E5"/>
            <w:tcMar>
              <w:left w:w="284" w:type="dxa"/>
            </w:tcMar>
          </w:tcPr>
          <w:p w14:paraId="208F7324" w14:textId="77777777" w:rsidR="00897F49" w:rsidRPr="005D27E0" w:rsidRDefault="00897F49" w:rsidP="006A74B3">
            <w:pPr>
              <w:ind w:left="-113"/>
              <w:rPr>
                <w:b/>
              </w:rPr>
            </w:pPr>
          </w:p>
        </w:tc>
        <w:tc>
          <w:tcPr>
            <w:tcW w:w="2050" w:type="dxa"/>
            <w:shd w:val="clear" w:color="auto" w:fill="E4E5E5"/>
          </w:tcPr>
          <w:p w14:paraId="208F7325" w14:textId="77777777" w:rsidR="00897F49" w:rsidRDefault="00897F49" w:rsidP="006A74B3">
            <w:pPr>
              <w:ind w:left="-113"/>
            </w:pPr>
          </w:p>
        </w:tc>
        <w:tc>
          <w:tcPr>
            <w:tcW w:w="117" w:type="dxa"/>
            <w:tcBorders>
              <w:right w:val="single" w:sz="4" w:space="0" w:color="auto"/>
            </w:tcBorders>
            <w:tcMar>
              <w:left w:w="0" w:type="dxa"/>
              <w:right w:w="0" w:type="dxa"/>
            </w:tcMar>
          </w:tcPr>
          <w:p w14:paraId="208F7326" w14:textId="77777777" w:rsidR="00897F49" w:rsidRDefault="00897F49" w:rsidP="009104CA"/>
        </w:tc>
        <w:tc>
          <w:tcPr>
            <w:tcW w:w="117" w:type="dxa"/>
            <w:tcBorders>
              <w:left w:val="single" w:sz="4" w:space="0" w:color="auto"/>
            </w:tcBorders>
            <w:tcMar>
              <w:left w:w="0" w:type="dxa"/>
              <w:right w:w="0" w:type="dxa"/>
            </w:tcMar>
          </w:tcPr>
          <w:p w14:paraId="208F7327" w14:textId="77777777" w:rsidR="00897F49" w:rsidRDefault="00897F49" w:rsidP="009104CA"/>
        </w:tc>
        <w:tc>
          <w:tcPr>
            <w:tcW w:w="1177" w:type="dxa"/>
            <w:shd w:val="clear" w:color="auto" w:fill="E4E5E5"/>
            <w:tcMar>
              <w:left w:w="170" w:type="dxa"/>
            </w:tcMar>
          </w:tcPr>
          <w:p w14:paraId="208F7328" w14:textId="77777777" w:rsidR="00897F49" w:rsidRPr="000A4712" w:rsidRDefault="00897F49" w:rsidP="001452F0">
            <w:pPr>
              <w:ind w:left="-57"/>
              <w:rPr>
                <w:b/>
                <w:bCs/>
              </w:rPr>
            </w:pPr>
            <w:r w:rsidRPr="000A4712">
              <w:rPr>
                <w:b/>
                <w:bCs/>
              </w:rPr>
              <w:t>Tel:</w:t>
            </w:r>
          </w:p>
        </w:tc>
        <w:tc>
          <w:tcPr>
            <w:tcW w:w="4245" w:type="dxa"/>
            <w:shd w:val="clear" w:color="auto" w:fill="E4E5E5"/>
          </w:tcPr>
          <w:p w14:paraId="208F7329" w14:textId="77777777" w:rsidR="00897F49" w:rsidRDefault="00473579" w:rsidP="00AC4BC3">
            <w:pPr>
              <w:ind w:left="-113"/>
            </w:pPr>
            <w:r>
              <w:t>020</w:t>
            </w:r>
            <w:r w:rsidR="00AC4BC3">
              <w:t>7 901 7000</w:t>
            </w:r>
            <w:r>
              <w:t xml:space="preserve"> </w:t>
            </w:r>
          </w:p>
        </w:tc>
      </w:tr>
      <w:tr w:rsidR="00897F49" w14:paraId="208F7331" w14:textId="77777777" w:rsidTr="004C4C51">
        <w:trPr>
          <w:trHeight w:hRule="exact" w:val="567"/>
        </w:trPr>
        <w:tc>
          <w:tcPr>
            <w:tcW w:w="2784" w:type="dxa"/>
            <w:shd w:val="clear" w:color="auto" w:fill="E4E5E5"/>
            <w:tcMar>
              <w:left w:w="284" w:type="dxa"/>
            </w:tcMar>
          </w:tcPr>
          <w:p w14:paraId="208F732B" w14:textId="77777777" w:rsidR="00897F49" w:rsidRDefault="00897F49" w:rsidP="006A74B3">
            <w:pPr>
              <w:ind w:left="-113"/>
            </w:pPr>
          </w:p>
        </w:tc>
        <w:tc>
          <w:tcPr>
            <w:tcW w:w="2050" w:type="dxa"/>
            <w:shd w:val="clear" w:color="auto" w:fill="E4E5E5"/>
          </w:tcPr>
          <w:p w14:paraId="208F732C" w14:textId="77777777" w:rsidR="00897F49" w:rsidRDefault="00897F49" w:rsidP="006A74B3">
            <w:pPr>
              <w:ind w:left="-113"/>
            </w:pPr>
          </w:p>
        </w:tc>
        <w:tc>
          <w:tcPr>
            <w:tcW w:w="117" w:type="dxa"/>
            <w:tcBorders>
              <w:right w:val="single" w:sz="4" w:space="0" w:color="auto"/>
            </w:tcBorders>
            <w:tcMar>
              <w:left w:w="0" w:type="dxa"/>
              <w:right w:w="0" w:type="dxa"/>
            </w:tcMar>
          </w:tcPr>
          <w:p w14:paraId="208F732D" w14:textId="77777777" w:rsidR="00897F49" w:rsidRDefault="00897F49" w:rsidP="009104CA"/>
        </w:tc>
        <w:tc>
          <w:tcPr>
            <w:tcW w:w="117" w:type="dxa"/>
            <w:tcBorders>
              <w:left w:val="single" w:sz="4" w:space="0" w:color="auto"/>
            </w:tcBorders>
            <w:tcMar>
              <w:left w:w="0" w:type="dxa"/>
              <w:right w:w="0" w:type="dxa"/>
            </w:tcMar>
          </w:tcPr>
          <w:p w14:paraId="208F732E" w14:textId="77777777" w:rsidR="00897F49" w:rsidRDefault="00897F49" w:rsidP="009104CA"/>
        </w:tc>
        <w:tc>
          <w:tcPr>
            <w:tcW w:w="1177" w:type="dxa"/>
            <w:shd w:val="clear" w:color="auto" w:fill="E4E5E5"/>
            <w:tcMar>
              <w:left w:w="170" w:type="dxa"/>
            </w:tcMar>
          </w:tcPr>
          <w:p w14:paraId="208F732F" w14:textId="77777777" w:rsidR="00897F49" w:rsidRPr="000A4712" w:rsidRDefault="00897F49" w:rsidP="001452F0">
            <w:pPr>
              <w:ind w:left="-57"/>
              <w:rPr>
                <w:b/>
                <w:bCs/>
              </w:rPr>
            </w:pPr>
            <w:r w:rsidRPr="000A4712">
              <w:rPr>
                <w:b/>
                <w:bCs/>
              </w:rPr>
              <w:t>Email:</w:t>
            </w:r>
          </w:p>
        </w:tc>
        <w:tc>
          <w:tcPr>
            <w:tcW w:w="4245" w:type="dxa"/>
            <w:shd w:val="clear" w:color="auto" w:fill="E4E5E5"/>
          </w:tcPr>
          <w:p w14:paraId="208F7330" w14:textId="3BB2B130" w:rsidR="00897F49" w:rsidRPr="00720A41" w:rsidRDefault="00CB7011" w:rsidP="00CF0ED0">
            <w:pPr>
              <w:ind w:left="-113"/>
              <w:rPr>
                <w:szCs w:val="20"/>
              </w:rPr>
            </w:pPr>
            <w:hyperlink r:id="rId13" w:history="1">
              <w:r w:rsidR="00720A41" w:rsidRPr="00720A41">
                <w:rPr>
                  <w:rStyle w:val="Hyperlink"/>
                  <w:sz w:val="20"/>
                  <w:szCs w:val="20"/>
                </w:rPr>
                <w:t>Complaints_Data@ofgem.gov.uk</w:t>
              </w:r>
            </w:hyperlink>
          </w:p>
        </w:tc>
      </w:tr>
    </w:tbl>
    <w:p w14:paraId="208F7332" w14:textId="77777777" w:rsidR="00D136BA" w:rsidRPr="00E80DD4" w:rsidRDefault="00D136BA" w:rsidP="009104CA">
      <w:pPr>
        <w:rPr>
          <w:rStyle w:val="oStyle4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6774"/>
        <w:tblLook w:val="04A0" w:firstRow="1" w:lastRow="0" w:firstColumn="1" w:lastColumn="0" w:noHBand="0" w:noVBand="1"/>
      </w:tblPr>
      <w:tblGrid>
        <w:gridCol w:w="10490"/>
      </w:tblGrid>
      <w:tr w:rsidR="00D136BA" w:rsidRPr="00A55BE9" w14:paraId="208F7334" w14:textId="77777777" w:rsidTr="000F2921">
        <w:tc>
          <w:tcPr>
            <w:tcW w:w="10490" w:type="dxa"/>
            <w:shd w:val="clear" w:color="auto" w:fill="336774"/>
          </w:tcPr>
          <w:p w14:paraId="208F7333" w14:textId="77777777" w:rsidR="00D136BA" w:rsidRPr="00A55BE9" w:rsidRDefault="00D136BA" w:rsidP="009104CA">
            <w:pPr>
              <w:rPr>
                <w:sz w:val="8"/>
                <w:szCs w:val="8"/>
              </w:rPr>
            </w:pPr>
          </w:p>
        </w:tc>
      </w:tr>
    </w:tbl>
    <w:p w14:paraId="208F7335" w14:textId="77777777" w:rsidR="00F63F1D" w:rsidRDefault="00F63F1D" w:rsidP="00F63F1D">
      <w:pPr>
        <w:ind w:left="-709"/>
      </w:pPr>
    </w:p>
    <w:p w14:paraId="208F7336" w14:textId="77777777" w:rsidR="00F63F1D" w:rsidRDefault="00F63F1D" w:rsidP="00F63F1D">
      <w:pPr>
        <w:ind w:left="-709"/>
      </w:pPr>
    </w:p>
    <w:p w14:paraId="208F7337" w14:textId="77777777" w:rsidR="00F63F1D" w:rsidRPr="00E36163" w:rsidRDefault="00F63F1D" w:rsidP="00AA66CF">
      <w:pPr>
        <w:ind w:left="-851"/>
        <w:rPr>
          <w:b/>
        </w:rPr>
      </w:pPr>
      <w:r w:rsidRPr="00E36163">
        <w:rPr>
          <w:b/>
        </w:rPr>
        <w:t>Overview:</w:t>
      </w:r>
    </w:p>
    <w:p w14:paraId="5B019778" w14:textId="62599758" w:rsidR="00AA66CF" w:rsidRPr="00AA66CF" w:rsidRDefault="00AA66CF" w:rsidP="00AA66CF">
      <w:pPr>
        <w:pStyle w:val="Paragrapgh"/>
        <w:numPr>
          <w:ilvl w:val="0"/>
          <w:numId w:val="0"/>
        </w:numPr>
        <w:ind w:left="-851"/>
        <w:rPr>
          <w:noProof/>
          <w:szCs w:val="24"/>
        </w:rPr>
      </w:pPr>
      <w:r w:rsidRPr="00AA66CF">
        <w:rPr>
          <w:noProof/>
          <w:szCs w:val="24"/>
        </w:rPr>
        <w:t xml:space="preserve">This is </w:t>
      </w:r>
      <w:r w:rsidR="00720A41">
        <w:rPr>
          <w:noProof/>
          <w:szCs w:val="24"/>
        </w:rPr>
        <w:t xml:space="preserve">a guidance document for suppliers serving domestic and microbusiness customers. It explains how they </w:t>
      </w:r>
      <w:r w:rsidR="00D1495F">
        <w:rPr>
          <w:noProof/>
          <w:szCs w:val="24"/>
        </w:rPr>
        <w:t xml:space="preserve">must </w:t>
      </w:r>
      <w:r w:rsidR="00720A41">
        <w:rPr>
          <w:noProof/>
          <w:szCs w:val="24"/>
        </w:rPr>
        <w:t>submit</w:t>
      </w:r>
      <w:r w:rsidR="002D1F27">
        <w:rPr>
          <w:noProof/>
          <w:szCs w:val="24"/>
        </w:rPr>
        <w:t xml:space="preserve"> </w:t>
      </w:r>
      <w:r w:rsidR="00660950">
        <w:rPr>
          <w:noProof/>
          <w:szCs w:val="24"/>
        </w:rPr>
        <w:t>customer complaint information</w:t>
      </w:r>
      <w:r w:rsidR="00720A41">
        <w:rPr>
          <w:noProof/>
          <w:szCs w:val="24"/>
        </w:rPr>
        <w:t xml:space="preserve"> to us</w:t>
      </w:r>
      <w:r w:rsidRPr="00AA66CF">
        <w:rPr>
          <w:noProof/>
          <w:szCs w:val="24"/>
        </w:rPr>
        <w:t xml:space="preserve"> </w:t>
      </w:r>
      <w:r w:rsidR="00720A41">
        <w:rPr>
          <w:noProof/>
          <w:szCs w:val="24"/>
        </w:rPr>
        <w:t xml:space="preserve">as required </w:t>
      </w:r>
      <w:r w:rsidR="002D1F27">
        <w:rPr>
          <w:noProof/>
          <w:szCs w:val="24"/>
        </w:rPr>
        <w:t>by our enduring request for information pursuant Standard Licence Condition 5</w:t>
      </w:r>
      <w:r w:rsidR="005B5854">
        <w:rPr>
          <w:noProof/>
          <w:szCs w:val="24"/>
        </w:rPr>
        <w:t xml:space="preserve"> of the gas and electricity supply licenses</w:t>
      </w:r>
      <w:r w:rsidR="002D1F27">
        <w:rPr>
          <w:noProof/>
          <w:szCs w:val="24"/>
        </w:rPr>
        <w:t>.</w:t>
      </w:r>
    </w:p>
    <w:p w14:paraId="269EF31E" w14:textId="052932E3" w:rsidR="002202D8" w:rsidRDefault="00D06C85" w:rsidP="002D1F27">
      <w:pPr>
        <w:tabs>
          <w:tab w:val="left" w:pos="2581"/>
        </w:tabs>
        <w:ind w:left="-851"/>
      </w:pPr>
      <w:r>
        <w:rPr>
          <w:szCs w:val="20"/>
        </w:rPr>
        <w:t>The guidance</w:t>
      </w:r>
      <w:r w:rsidR="002D1F27">
        <w:rPr>
          <w:szCs w:val="20"/>
        </w:rPr>
        <w:t xml:space="preserve"> </w:t>
      </w:r>
      <w:r w:rsidR="004D38A2">
        <w:rPr>
          <w:szCs w:val="20"/>
        </w:rPr>
        <w:t>describes</w:t>
      </w:r>
      <w:r w:rsidR="002D1F27">
        <w:rPr>
          <w:szCs w:val="20"/>
        </w:rPr>
        <w:t xml:space="preserve"> the </w:t>
      </w:r>
      <w:r w:rsidR="00D1495F">
        <w:rPr>
          <w:szCs w:val="20"/>
        </w:rPr>
        <w:t>requested data</w:t>
      </w:r>
      <w:r w:rsidR="002D1F27">
        <w:rPr>
          <w:szCs w:val="20"/>
        </w:rPr>
        <w:t xml:space="preserve"> </w:t>
      </w:r>
      <w:r w:rsidR="004D38A2">
        <w:rPr>
          <w:szCs w:val="20"/>
        </w:rPr>
        <w:t>and</w:t>
      </w:r>
      <w:r w:rsidR="002D1F27">
        <w:rPr>
          <w:szCs w:val="20"/>
        </w:rPr>
        <w:t xml:space="preserve"> how to submit </w:t>
      </w:r>
      <w:r w:rsidR="004D38A2">
        <w:rPr>
          <w:szCs w:val="20"/>
        </w:rPr>
        <w:t>it</w:t>
      </w:r>
      <w:r w:rsidR="002D1F27">
        <w:rPr>
          <w:szCs w:val="20"/>
        </w:rPr>
        <w:t xml:space="preserve">. It includes templates and </w:t>
      </w:r>
      <w:r>
        <w:rPr>
          <w:szCs w:val="20"/>
        </w:rPr>
        <w:t>clarification</w:t>
      </w:r>
      <w:r w:rsidR="002D1F27">
        <w:rPr>
          <w:szCs w:val="20"/>
        </w:rPr>
        <w:t xml:space="preserve"> notes to ensure that all suppliers report accurately and consistently. This document replaces all previous templates and related guidance.</w:t>
      </w:r>
    </w:p>
    <w:p w14:paraId="208F733C" w14:textId="77777777" w:rsidR="00FD4E50" w:rsidRDefault="00FD4E50" w:rsidP="00095AEB">
      <w:pPr>
        <w:tabs>
          <w:tab w:val="left" w:pos="2581"/>
        </w:tabs>
        <w:ind w:left="-709"/>
      </w:pPr>
    </w:p>
    <w:p w14:paraId="208F733D" w14:textId="77777777" w:rsidR="00763029" w:rsidRDefault="00763029" w:rsidP="0039452D">
      <w:pPr>
        <w:ind w:left="-709"/>
      </w:pPr>
      <w:r>
        <w:br w:type="page"/>
      </w:r>
    </w:p>
    <w:p w14:paraId="208F733E" w14:textId="77777777" w:rsidR="00C17292" w:rsidRPr="00934156" w:rsidRDefault="00C17292" w:rsidP="003D5BFA">
      <w:pPr>
        <w:pStyle w:val="SameasHeading1butdoesnotappearinTableofContents"/>
      </w:pPr>
      <w:bookmarkStart w:id="1" w:name="_Toc284412114"/>
      <w:r w:rsidRPr="00934156">
        <w:lastRenderedPageBreak/>
        <w:t>Context</w:t>
      </w:r>
      <w:bookmarkEnd w:id="1"/>
    </w:p>
    <w:p w14:paraId="751A324A" w14:textId="5B2645E0" w:rsidR="002D1F27" w:rsidRDefault="002D1F27" w:rsidP="00660950">
      <w:pPr>
        <w:pStyle w:val="Paragraphnumbered"/>
        <w:numPr>
          <w:ilvl w:val="0"/>
          <w:numId w:val="0"/>
        </w:numPr>
      </w:pPr>
      <w:bookmarkStart w:id="2" w:name="_Toc502845863"/>
      <w:r>
        <w:t xml:space="preserve">One of </w:t>
      </w:r>
      <w:r w:rsidR="00FC23FD">
        <w:t xml:space="preserve">our </w:t>
      </w:r>
      <w:r>
        <w:t xml:space="preserve">duties as a regulator is to routinely monitor the state of the market. Complaints are a critical source of information on the quality of service provided by energy suppliers to their customers. </w:t>
      </w:r>
      <w:r w:rsidR="00FC23FD">
        <w:t>We</w:t>
      </w:r>
      <w:r>
        <w:t xml:space="preserve"> need to monitor customer complaints in an accurate and timely manner to understand the problems that are affecting consumers and the actions that could help protect their interests.</w:t>
      </w:r>
      <w:bookmarkEnd w:id="2"/>
      <w:r>
        <w:t xml:space="preserve"> </w:t>
      </w:r>
    </w:p>
    <w:p w14:paraId="286CDDBB" w14:textId="775AFF53" w:rsidR="002D1F27" w:rsidRDefault="002D1F27" w:rsidP="00660950">
      <w:pPr>
        <w:pStyle w:val="Paragraphnumbered"/>
        <w:numPr>
          <w:ilvl w:val="0"/>
          <w:numId w:val="0"/>
        </w:numPr>
      </w:pPr>
      <w:bookmarkStart w:id="3" w:name="_Toc502845864"/>
      <w:r>
        <w:t>Monitoring complaints is increasingly important as regulation becomes more based on principle rather than prescriptive rules. Additionally, greater transparency</w:t>
      </w:r>
      <w:r w:rsidRPr="00EE3038">
        <w:t xml:space="preserve"> on comp</w:t>
      </w:r>
      <w:r w:rsidR="003359A0">
        <w:t>l</w:t>
      </w:r>
      <w:r w:rsidRPr="00EE3038">
        <w:t>aint</w:t>
      </w:r>
      <w:r>
        <w:t>s and complaints</w:t>
      </w:r>
      <w:r w:rsidRPr="00EE3038">
        <w:t xml:space="preserve"> handling </w:t>
      </w:r>
      <w:r>
        <w:t>can provide an important incentive</w:t>
      </w:r>
      <w:r w:rsidRPr="00EE3038">
        <w:t xml:space="preserve"> </w:t>
      </w:r>
      <w:r>
        <w:t xml:space="preserve">to </w:t>
      </w:r>
      <w:r w:rsidRPr="00EE3038">
        <w:t>suppliers to improve</w:t>
      </w:r>
      <w:r>
        <w:t xml:space="preserve"> their performance</w:t>
      </w:r>
      <w:r w:rsidRPr="00EE3038">
        <w:t>.</w:t>
      </w:r>
      <w:bookmarkEnd w:id="3"/>
      <w:r>
        <w:t xml:space="preserve">   </w:t>
      </w:r>
    </w:p>
    <w:p w14:paraId="5DF16052" w14:textId="60AFFA91" w:rsidR="003359A0" w:rsidRDefault="003359A0" w:rsidP="00660950">
      <w:pPr>
        <w:pStyle w:val="Paragraphnumbered"/>
        <w:numPr>
          <w:ilvl w:val="0"/>
          <w:numId w:val="0"/>
        </w:numPr>
      </w:pPr>
      <w:bookmarkStart w:id="4" w:name="_Toc502845865"/>
      <w:r>
        <w:t xml:space="preserve">Suppliers have been submitting customer complaints data to </w:t>
      </w:r>
      <w:r w:rsidR="00D06C85">
        <w:t xml:space="preserve">us </w:t>
      </w:r>
      <w:r>
        <w:t>and Citizens Advice (including Citizen Advice’s predecessors) since the inception of the Complaint Handling Standards Regulations from 1 October 2008.</w:t>
      </w:r>
      <w:bookmarkEnd w:id="4"/>
    </w:p>
    <w:p w14:paraId="2C69AB55" w14:textId="4A656B2A" w:rsidR="003359A0" w:rsidRDefault="003359A0" w:rsidP="00D06C85">
      <w:pPr>
        <w:pStyle w:val="Paragraphnumbered"/>
        <w:numPr>
          <w:ilvl w:val="0"/>
          <w:numId w:val="0"/>
        </w:numPr>
        <w:tabs>
          <w:tab w:val="center" w:pos="4323"/>
        </w:tabs>
      </w:pPr>
      <w:bookmarkStart w:id="5" w:name="_Toc502845866"/>
      <w:r w:rsidRPr="00D06C85">
        <w:t xml:space="preserve">We have recently reviewed </w:t>
      </w:r>
      <w:r w:rsidR="00CE24F1" w:rsidRPr="00D06C85">
        <w:t>this data</w:t>
      </w:r>
      <w:r w:rsidRPr="00D06C85">
        <w:t xml:space="preserve"> and identified the need for enhancing and streamlining </w:t>
      </w:r>
      <w:r w:rsidR="00CE24F1" w:rsidRPr="00D06C85">
        <w:t>it, as well as for providing additional guidance to suppliers</w:t>
      </w:r>
      <w:bookmarkEnd w:id="5"/>
      <w:r w:rsidR="00D06C85" w:rsidRPr="00D06C85">
        <w:t xml:space="preserve"> to ensure consistent and accurate reporting.</w:t>
      </w:r>
    </w:p>
    <w:p w14:paraId="2FCCF82F" w14:textId="77777777" w:rsidR="00D06C85" w:rsidRDefault="00D06C85" w:rsidP="00D06C85">
      <w:pPr>
        <w:pStyle w:val="Paragraphnumbered"/>
        <w:numPr>
          <w:ilvl w:val="0"/>
          <w:numId w:val="0"/>
        </w:numPr>
        <w:tabs>
          <w:tab w:val="center" w:pos="4323"/>
        </w:tabs>
      </w:pPr>
    </w:p>
    <w:p w14:paraId="208F7343" w14:textId="726D7619" w:rsidR="00627AF3" w:rsidRDefault="00627AF3" w:rsidP="0028488B">
      <w:pPr>
        <w:pStyle w:val="SameasHeading1butdoesnotappearinTableofContents"/>
      </w:pPr>
      <w:bookmarkStart w:id="6" w:name="_Toc284412115"/>
      <w:r>
        <w:t xml:space="preserve">Associated </w:t>
      </w:r>
      <w:r w:rsidR="008D5E82">
        <w:t>d</w:t>
      </w:r>
      <w:r>
        <w:t>ocuments</w:t>
      </w:r>
      <w:bookmarkEnd w:id="6"/>
      <w:r w:rsidR="009A7D37">
        <w:t xml:space="preserve"> </w:t>
      </w:r>
    </w:p>
    <w:p w14:paraId="208F7344" w14:textId="77777777" w:rsidR="00A45CFA" w:rsidRDefault="00A45CFA" w:rsidP="00627AF3"/>
    <w:p w14:paraId="2FC78818" w14:textId="5F79F7F1" w:rsidR="002D1F27" w:rsidRDefault="00CB7011" w:rsidP="00B4204E">
      <w:pPr>
        <w:tabs>
          <w:tab w:val="left" w:pos="2581"/>
        </w:tabs>
        <w:rPr>
          <w:szCs w:val="20"/>
        </w:rPr>
      </w:pPr>
      <w:hyperlink r:id="rId14" w:history="1">
        <w:r w:rsidR="00CE24F1">
          <w:rPr>
            <w:rStyle w:val="Hyperlink"/>
            <w:sz w:val="20"/>
            <w:szCs w:val="20"/>
          </w:rPr>
          <w:t>State of the energy markets 2017</w:t>
        </w:r>
      </w:hyperlink>
      <w:r w:rsidR="00CE24F1">
        <w:rPr>
          <w:szCs w:val="20"/>
        </w:rPr>
        <w:t xml:space="preserve"> (October 2017)</w:t>
      </w:r>
    </w:p>
    <w:p w14:paraId="0CDAACDC" w14:textId="2ED3F0B3" w:rsidR="00CE24F1" w:rsidRDefault="00CE24F1" w:rsidP="00B4204E">
      <w:pPr>
        <w:tabs>
          <w:tab w:val="left" w:pos="2581"/>
        </w:tabs>
        <w:rPr>
          <w:szCs w:val="20"/>
        </w:rPr>
      </w:pPr>
    </w:p>
    <w:p w14:paraId="13C5DD2B" w14:textId="506036CC" w:rsidR="00CE24F1" w:rsidRDefault="00CB7011" w:rsidP="00B4204E">
      <w:pPr>
        <w:tabs>
          <w:tab w:val="left" w:pos="2581"/>
        </w:tabs>
        <w:rPr>
          <w:szCs w:val="20"/>
        </w:rPr>
      </w:pPr>
      <w:hyperlink r:id="rId15" w:history="1">
        <w:r w:rsidR="00CE24F1">
          <w:rPr>
            <w:rStyle w:val="Hyperlink"/>
            <w:sz w:val="20"/>
            <w:szCs w:val="20"/>
          </w:rPr>
          <w:t>Retail energy markets in 2016</w:t>
        </w:r>
      </w:hyperlink>
      <w:r w:rsidR="00CE24F1">
        <w:rPr>
          <w:szCs w:val="20"/>
        </w:rPr>
        <w:t xml:space="preserve"> (August 2016)</w:t>
      </w:r>
    </w:p>
    <w:p w14:paraId="0EF8747E" w14:textId="77777777" w:rsidR="00CE24F1" w:rsidRDefault="00CE24F1" w:rsidP="00B4204E">
      <w:pPr>
        <w:tabs>
          <w:tab w:val="left" w:pos="2581"/>
        </w:tabs>
        <w:rPr>
          <w:szCs w:val="20"/>
        </w:rPr>
      </w:pPr>
    </w:p>
    <w:p w14:paraId="399C4A33" w14:textId="73F5026D" w:rsidR="002D1F27" w:rsidRDefault="00CB7011" w:rsidP="00B4204E">
      <w:pPr>
        <w:tabs>
          <w:tab w:val="left" w:pos="2581"/>
        </w:tabs>
        <w:rPr>
          <w:rStyle w:val="Hyperlink"/>
          <w:sz w:val="20"/>
          <w:szCs w:val="20"/>
        </w:rPr>
      </w:pPr>
      <w:hyperlink r:id="rId16" w:history="1">
        <w:r w:rsidR="003359A0">
          <w:rPr>
            <w:rStyle w:val="Hyperlink"/>
            <w:sz w:val="20"/>
            <w:szCs w:val="20"/>
          </w:rPr>
          <w:t>Compare supplier performance on complaints</w:t>
        </w:r>
      </w:hyperlink>
    </w:p>
    <w:p w14:paraId="196B0DB4" w14:textId="12D3892B" w:rsidR="007A4D6F" w:rsidRDefault="007A4D6F" w:rsidP="00B4204E">
      <w:pPr>
        <w:tabs>
          <w:tab w:val="left" w:pos="2581"/>
        </w:tabs>
        <w:rPr>
          <w:szCs w:val="20"/>
        </w:rPr>
      </w:pPr>
    </w:p>
    <w:p w14:paraId="74F22095" w14:textId="70FC7307" w:rsidR="007A4D6F" w:rsidRPr="007A4D6F" w:rsidRDefault="00CB7011" w:rsidP="007A4D6F">
      <w:pPr>
        <w:pStyle w:val="FootnoteText"/>
        <w:rPr>
          <w:sz w:val="20"/>
        </w:rPr>
      </w:pPr>
      <w:hyperlink r:id="rId17" w:history="1">
        <w:r w:rsidR="007A4D6F" w:rsidRPr="007A4D6F">
          <w:rPr>
            <w:rStyle w:val="Hyperlink"/>
            <w:sz w:val="20"/>
          </w:rPr>
          <w:t>Future retail market regulation</w:t>
        </w:r>
      </w:hyperlink>
    </w:p>
    <w:p w14:paraId="5841EA18" w14:textId="77777777" w:rsidR="007A4D6F" w:rsidRDefault="007A4D6F" w:rsidP="00B4204E">
      <w:pPr>
        <w:tabs>
          <w:tab w:val="left" w:pos="2581"/>
        </w:tabs>
        <w:rPr>
          <w:szCs w:val="20"/>
        </w:rPr>
      </w:pPr>
    </w:p>
    <w:p w14:paraId="353625D9" w14:textId="11767383" w:rsidR="00C8670F" w:rsidRDefault="00CB7011" w:rsidP="00B4204E">
      <w:pPr>
        <w:tabs>
          <w:tab w:val="left" w:pos="2581"/>
        </w:tabs>
        <w:rPr>
          <w:szCs w:val="20"/>
        </w:rPr>
      </w:pPr>
      <w:hyperlink r:id="rId18" w:history="1">
        <w:r w:rsidR="00856A18">
          <w:rPr>
            <w:rStyle w:val="Hyperlink"/>
            <w:sz w:val="20"/>
            <w:szCs w:val="20"/>
          </w:rPr>
          <w:t>Supply license guides</w:t>
        </w:r>
      </w:hyperlink>
    </w:p>
    <w:p w14:paraId="3378AA7E" w14:textId="77777777" w:rsidR="00856A18" w:rsidRDefault="00856A18" w:rsidP="00B4204E">
      <w:pPr>
        <w:tabs>
          <w:tab w:val="left" w:pos="2581"/>
        </w:tabs>
        <w:rPr>
          <w:szCs w:val="20"/>
        </w:rPr>
      </w:pPr>
    </w:p>
    <w:p w14:paraId="5B34B42B" w14:textId="08333889" w:rsidR="00C8670F" w:rsidRDefault="00C8670F" w:rsidP="00B4204E">
      <w:pPr>
        <w:tabs>
          <w:tab w:val="left" w:pos="2581"/>
        </w:tabs>
        <w:rPr>
          <w:szCs w:val="20"/>
        </w:rPr>
      </w:pPr>
    </w:p>
    <w:p w14:paraId="6C62A3E0" w14:textId="719953DB" w:rsidR="003359A0" w:rsidRDefault="003359A0" w:rsidP="00B4204E">
      <w:pPr>
        <w:tabs>
          <w:tab w:val="left" w:pos="2581"/>
        </w:tabs>
        <w:rPr>
          <w:szCs w:val="20"/>
        </w:rPr>
      </w:pPr>
    </w:p>
    <w:p w14:paraId="2232DBFE" w14:textId="77777777" w:rsidR="003359A0" w:rsidRDefault="003359A0" w:rsidP="00B4204E">
      <w:pPr>
        <w:tabs>
          <w:tab w:val="left" w:pos="2581"/>
        </w:tabs>
        <w:rPr>
          <w:szCs w:val="20"/>
        </w:rPr>
      </w:pPr>
    </w:p>
    <w:p w14:paraId="6957A8CA" w14:textId="1BEE0764" w:rsidR="002D1F27" w:rsidRDefault="002D1F27" w:rsidP="00B4204E">
      <w:pPr>
        <w:tabs>
          <w:tab w:val="left" w:pos="2581"/>
        </w:tabs>
        <w:rPr>
          <w:szCs w:val="20"/>
        </w:rPr>
      </w:pPr>
    </w:p>
    <w:p w14:paraId="159E3929" w14:textId="7C74746D" w:rsidR="007A4D6F" w:rsidRDefault="007A4D6F" w:rsidP="00B4204E">
      <w:pPr>
        <w:tabs>
          <w:tab w:val="left" w:pos="2581"/>
        </w:tabs>
        <w:rPr>
          <w:szCs w:val="20"/>
        </w:rPr>
      </w:pPr>
    </w:p>
    <w:p w14:paraId="1AA36F63" w14:textId="7A73C486" w:rsidR="007A4D6F" w:rsidRDefault="007A4D6F" w:rsidP="00B4204E">
      <w:pPr>
        <w:tabs>
          <w:tab w:val="left" w:pos="2581"/>
        </w:tabs>
        <w:rPr>
          <w:szCs w:val="20"/>
        </w:rPr>
      </w:pPr>
    </w:p>
    <w:p w14:paraId="46473B05" w14:textId="77777777" w:rsidR="007A4D6F" w:rsidRPr="009C5CE9" w:rsidRDefault="007A4D6F" w:rsidP="00B4204E">
      <w:pPr>
        <w:tabs>
          <w:tab w:val="left" w:pos="2581"/>
        </w:tabs>
        <w:rPr>
          <w:szCs w:val="20"/>
        </w:rPr>
      </w:pPr>
    </w:p>
    <w:p w14:paraId="0503D9B2" w14:textId="66A27C0B" w:rsidR="00F330BA" w:rsidRDefault="00F330BA" w:rsidP="00B4204E">
      <w:pPr>
        <w:tabs>
          <w:tab w:val="left" w:pos="2581"/>
        </w:tabs>
        <w:rPr>
          <w:szCs w:val="20"/>
        </w:rPr>
      </w:pPr>
    </w:p>
    <w:p w14:paraId="027DB14E" w14:textId="21C33B3A" w:rsidR="007A4D6F" w:rsidRDefault="007A4D6F" w:rsidP="00B4204E">
      <w:pPr>
        <w:tabs>
          <w:tab w:val="left" w:pos="2581"/>
        </w:tabs>
        <w:rPr>
          <w:szCs w:val="20"/>
        </w:rPr>
      </w:pPr>
    </w:p>
    <w:p w14:paraId="59C3E621" w14:textId="059A49AE" w:rsidR="007A4D6F" w:rsidRDefault="007A4D6F" w:rsidP="00B4204E">
      <w:pPr>
        <w:tabs>
          <w:tab w:val="left" w:pos="2581"/>
        </w:tabs>
        <w:rPr>
          <w:szCs w:val="20"/>
        </w:rPr>
      </w:pPr>
    </w:p>
    <w:p w14:paraId="0B09409A" w14:textId="77777777" w:rsidR="007A4D6F" w:rsidRPr="009C5CE9" w:rsidRDefault="007A4D6F" w:rsidP="00B4204E">
      <w:pPr>
        <w:tabs>
          <w:tab w:val="left" w:pos="2581"/>
        </w:tabs>
        <w:rPr>
          <w:szCs w:val="20"/>
        </w:rPr>
      </w:pPr>
    </w:p>
    <w:p w14:paraId="51DBA29C" w14:textId="2A81348A" w:rsidR="002D1F27" w:rsidRDefault="002D1F27" w:rsidP="00B11F5B">
      <w:bookmarkStart w:id="7" w:name="_Toc284412116"/>
    </w:p>
    <w:p w14:paraId="208F7352" w14:textId="3473C0C4" w:rsidR="008C7788" w:rsidRPr="00106249" w:rsidRDefault="00A45CFA" w:rsidP="00106249">
      <w:pPr>
        <w:pStyle w:val="SameasHeading1butdoesnotappearinTableofContents"/>
      </w:pPr>
      <w:r w:rsidRPr="00106249">
        <w:t>Contents</w:t>
      </w:r>
      <w:bookmarkEnd w:id="7"/>
    </w:p>
    <w:p w14:paraId="4DF594A8" w14:textId="6E87261D" w:rsidR="00E74188" w:rsidRDefault="00F67149" w:rsidP="00E74188">
      <w:pPr>
        <w:pStyle w:val="TOC2"/>
        <w:tabs>
          <w:tab w:val="right" w:pos="8636"/>
        </w:tabs>
        <w:rPr>
          <w:noProof/>
        </w:rPr>
      </w:pPr>
      <w:r>
        <w:rPr>
          <w:b/>
        </w:rPr>
        <w:fldChar w:fldCharType="begin"/>
      </w:r>
      <w:r w:rsidR="00B474CB">
        <w:rPr>
          <w:b/>
        </w:rPr>
        <w:instrText xml:space="preserve"> TOC \o "2-3" \t "Heading 1,1,Chapter Heading,1,Same as Heading 1 but like 2 in Table of Contents,2" </w:instrText>
      </w:r>
      <w:r>
        <w:rPr>
          <w:b/>
        </w:rPr>
        <w:fldChar w:fldCharType="separate"/>
      </w:r>
    </w:p>
    <w:p w14:paraId="22E950E8" w14:textId="4831DBA8" w:rsidR="00E74188" w:rsidRDefault="00E74188">
      <w:pPr>
        <w:pStyle w:val="TOC1"/>
        <w:tabs>
          <w:tab w:val="right" w:pos="8636"/>
        </w:tabs>
        <w:rPr>
          <w:rFonts w:asciiTheme="minorHAnsi" w:eastAsiaTheme="minorEastAsia" w:hAnsiTheme="minorHAnsi" w:cstheme="minorBidi"/>
          <w:b w:val="0"/>
          <w:noProof/>
          <w:szCs w:val="22"/>
          <w:lang w:eastAsia="en-GB"/>
        </w:rPr>
      </w:pPr>
      <w:r>
        <w:rPr>
          <w:noProof/>
        </w:rPr>
        <w:t>Executive Summary</w:t>
      </w:r>
      <w:r>
        <w:rPr>
          <w:noProof/>
        </w:rPr>
        <w:tab/>
      </w:r>
      <w:r>
        <w:rPr>
          <w:noProof/>
        </w:rPr>
        <w:fldChar w:fldCharType="begin"/>
      </w:r>
      <w:r>
        <w:rPr>
          <w:noProof/>
        </w:rPr>
        <w:instrText xml:space="preserve"> PAGEREF _Toc502845867 \h </w:instrText>
      </w:r>
      <w:r>
        <w:rPr>
          <w:noProof/>
        </w:rPr>
      </w:r>
      <w:r>
        <w:rPr>
          <w:noProof/>
        </w:rPr>
        <w:fldChar w:fldCharType="separate"/>
      </w:r>
      <w:r w:rsidR="00FC268C">
        <w:rPr>
          <w:noProof/>
        </w:rPr>
        <w:t>1</w:t>
      </w:r>
      <w:r>
        <w:rPr>
          <w:noProof/>
        </w:rPr>
        <w:fldChar w:fldCharType="end"/>
      </w:r>
    </w:p>
    <w:p w14:paraId="6BD1A4C0" w14:textId="00FE0EF2" w:rsidR="00E74188" w:rsidRDefault="00E74188">
      <w:pPr>
        <w:pStyle w:val="TOC1"/>
        <w:tabs>
          <w:tab w:val="right" w:pos="8636"/>
        </w:tabs>
        <w:rPr>
          <w:rFonts w:asciiTheme="minorHAnsi" w:eastAsiaTheme="minorEastAsia" w:hAnsiTheme="minorHAnsi" w:cstheme="minorBidi"/>
          <w:b w:val="0"/>
          <w:noProof/>
          <w:szCs w:val="22"/>
          <w:lang w:eastAsia="en-GB"/>
        </w:rPr>
      </w:pPr>
      <w:r>
        <w:rPr>
          <w:noProof/>
        </w:rPr>
        <w:t>1. Introduction</w:t>
      </w:r>
      <w:r>
        <w:rPr>
          <w:noProof/>
        </w:rPr>
        <w:tab/>
      </w:r>
      <w:r>
        <w:rPr>
          <w:noProof/>
        </w:rPr>
        <w:fldChar w:fldCharType="begin"/>
      </w:r>
      <w:r>
        <w:rPr>
          <w:noProof/>
        </w:rPr>
        <w:instrText xml:space="preserve"> PAGEREF _Toc502845868 \h </w:instrText>
      </w:r>
      <w:r>
        <w:rPr>
          <w:noProof/>
        </w:rPr>
      </w:r>
      <w:r>
        <w:rPr>
          <w:noProof/>
        </w:rPr>
        <w:fldChar w:fldCharType="separate"/>
      </w:r>
      <w:r w:rsidR="00FC268C">
        <w:rPr>
          <w:noProof/>
        </w:rPr>
        <w:t>2</w:t>
      </w:r>
      <w:r>
        <w:rPr>
          <w:noProof/>
        </w:rPr>
        <w:fldChar w:fldCharType="end"/>
      </w:r>
    </w:p>
    <w:p w14:paraId="64AA5D19" w14:textId="08E31813"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Purpose of this guidance</w:t>
      </w:r>
      <w:r>
        <w:rPr>
          <w:noProof/>
        </w:rPr>
        <w:tab/>
      </w:r>
      <w:r>
        <w:rPr>
          <w:noProof/>
        </w:rPr>
        <w:fldChar w:fldCharType="begin"/>
      </w:r>
      <w:r>
        <w:rPr>
          <w:noProof/>
        </w:rPr>
        <w:instrText xml:space="preserve"> PAGEREF _Toc502845869 \h </w:instrText>
      </w:r>
      <w:r>
        <w:rPr>
          <w:noProof/>
        </w:rPr>
      </w:r>
      <w:r>
        <w:rPr>
          <w:noProof/>
        </w:rPr>
        <w:fldChar w:fldCharType="separate"/>
      </w:r>
      <w:r w:rsidR="00FC268C">
        <w:rPr>
          <w:noProof/>
        </w:rPr>
        <w:t>2</w:t>
      </w:r>
      <w:r>
        <w:rPr>
          <w:noProof/>
        </w:rPr>
        <w:fldChar w:fldCharType="end"/>
      </w:r>
    </w:p>
    <w:p w14:paraId="0BC8909B" w14:textId="4C3F7FF0"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Background and relevant regulation</w:t>
      </w:r>
      <w:r>
        <w:rPr>
          <w:noProof/>
        </w:rPr>
        <w:tab/>
      </w:r>
      <w:r>
        <w:rPr>
          <w:noProof/>
        </w:rPr>
        <w:fldChar w:fldCharType="begin"/>
      </w:r>
      <w:r>
        <w:rPr>
          <w:noProof/>
        </w:rPr>
        <w:instrText xml:space="preserve"> PAGEREF _Toc502845873 \h </w:instrText>
      </w:r>
      <w:r>
        <w:rPr>
          <w:noProof/>
        </w:rPr>
      </w:r>
      <w:r>
        <w:rPr>
          <w:noProof/>
        </w:rPr>
        <w:fldChar w:fldCharType="separate"/>
      </w:r>
      <w:r w:rsidR="00FC268C">
        <w:rPr>
          <w:noProof/>
        </w:rPr>
        <w:t>2</w:t>
      </w:r>
      <w:r>
        <w:rPr>
          <w:noProof/>
        </w:rPr>
        <w:fldChar w:fldCharType="end"/>
      </w:r>
    </w:p>
    <w:p w14:paraId="28603D7D" w14:textId="390D6218" w:rsidR="00E74188" w:rsidRDefault="00E74188">
      <w:pPr>
        <w:pStyle w:val="TOC1"/>
        <w:tabs>
          <w:tab w:val="right" w:pos="8636"/>
        </w:tabs>
        <w:rPr>
          <w:rFonts w:asciiTheme="minorHAnsi" w:eastAsiaTheme="minorEastAsia" w:hAnsiTheme="minorHAnsi" w:cstheme="minorBidi"/>
          <w:b w:val="0"/>
          <w:noProof/>
          <w:szCs w:val="22"/>
          <w:lang w:eastAsia="en-GB"/>
        </w:rPr>
      </w:pPr>
      <w:r>
        <w:rPr>
          <w:noProof/>
        </w:rPr>
        <w:t>2. General guidance</w:t>
      </w:r>
      <w:r>
        <w:rPr>
          <w:noProof/>
        </w:rPr>
        <w:tab/>
      </w:r>
      <w:r>
        <w:rPr>
          <w:noProof/>
        </w:rPr>
        <w:fldChar w:fldCharType="begin"/>
      </w:r>
      <w:r>
        <w:rPr>
          <w:noProof/>
        </w:rPr>
        <w:instrText xml:space="preserve"> PAGEREF _Toc502845874 \h </w:instrText>
      </w:r>
      <w:r>
        <w:rPr>
          <w:noProof/>
        </w:rPr>
      </w:r>
      <w:r>
        <w:rPr>
          <w:noProof/>
        </w:rPr>
        <w:fldChar w:fldCharType="separate"/>
      </w:r>
      <w:r w:rsidR="00FC268C">
        <w:rPr>
          <w:noProof/>
        </w:rPr>
        <w:t>4</w:t>
      </w:r>
      <w:r>
        <w:rPr>
          <w:noProof/>
        </w:rPr>
        <w:fldChar w:fldCharType="end"/>
      </w:r>
    </w:p>
    <w:p w14:paraId="0F239A36" w14:textId="2D424BD8"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Definition of complaint</w:t>
      </w:r>
      <w:r>
        <w:rPr>
          <w:noProof/>
        </w:rPr>
        <w:tab/>
      </w:r>
      <w:r>
        <w:rPr>
          <w:noProof/>
        </w:rPr>
        <w:fldChar w:fldCharType="begin"/>
      </w:r>
      <w:r>
        <w:rPr>
          <w:noProof/>
        </w:rPr>
        <w:instrText xml:space="preserve"> PAGEREF _Toc502845875 \h </w:instrText>
      </w:r>
      <w:r>
        <w:rPr>
          <w:noProof/>
        </w:rPr>
      </w:r>
      <w:r>
        <w:rPr>
          <w:noProof/>
        </w:rPr>
        <w:fldChar w:fldCharType="separate"/>
      </w:r>
      <w:r w:rsidR="00FC268C">
        <w:rPr>
          <w:noProof/>
        </w:rPr>
        <w:t>4</w:t>
      </w:r>
      <w:r>
        <w:rPr>
          <w:noProof/>
        </w:rPr>
        <w:fldChar w:fldCharType="end"/>
      </w:r>
    </w:p>
    <w:p w14:paraId="46279234" w14:textId="1F956B22" w:rsidR="00E74188" w:rsidRDefault="00E74188" w:rsidP="00E74188">
      <w:pPr>
        <w:pStyle w:val="TOC2"/>
        <w:tabs>
          <w:tab w:val="left" w:pos="600"/>
          <w:tab w:val="right" w:pos="8636"/>
        </w:tabs>
        <w:rPr>
          <w:rFonts w:asciiTheme="minorHAnsi" w:eastAsiaTheme="minorEastAsia" w:hAnsiTheme="minorHAnsi" w:cstheme="minorBidi"/>
          <w:noProof/>
          <w:sz w:val="22"/>
          <w:szCs w:val="22"/>
          <w:lang w:eastAsia="en-GB"/>
        </w:rPr>
      </w:pPr>
      <w:r>
        <w:rPr>
          <w:noProof/>
        </w:rPr>
        <w:t xml:space="preserve"> Who the guidance applies to</w:t>
      </w:r>
      <w:r>
        <w:rPr>
          <w:noProof/>
        </w:rPr>
        <w:tab/>
      </w:r>
      <w:r>
        <w:rPr>
          <w:noProof/>
        </w:rPr>
        <w:fldChar w:fldCharType="begin"/>
      </w:r>
      <w:r>
        <w:rPr>
          <w:noProof/>
        </w:rPr>
        <w:instrText xml:space="preserve"> PAGEREF _Toc502845881 \h </w:instrText>
      </w:r>
      <w:r>
        <w:rPr>
          <w:noProof/>
        </w:rPr>
      </w:r>
      <w:r>
        <w:rPr>
          <w:noProof/>
        </w:rPr>
        <w:fldChar w:fldCharType="separate"/>
      </w:r>
      <w:r w:rsidR="00FC268C">
        <w:rPr>
          <w:noProof/>
        </w:rPr>
        <w:t>5</w:t>
      </w:r>
      <w:r>
        <w:rPr>
          <w:noProof/>
        </w:rPr>
        <w:fldChar w:fldCharType="end"/>
      </w:r>
    </w:p>
    <w:p w14:paraId="0E6E96E1" w14:textId="08937BFB"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Submitting the data, deadlines and data accuracy</w:t>
      </w:r>
      <w:r>
        <w:rPr>
          <w:noProof/>
        </w:rPr>
        <w:tab/>
      </w:r>
      <w:r>
        <w:rPr>
          <w:noProof/>
        </w:rPr>
        <w:fldChar w:fldCharType="begin"/>
      </w:r>
      <w:r>
        <w:rPr>
          <w:noProof/>
        </w:rPr>
        <w:instrText xml:space="preserve"> PAGEREF _Toc502845885 \h </w:instrText>
      </w:r>
      <w:r>
        <w:rPr>
          <w:noProof/>
        </w:rPr>
      </w:r>
      <w:r>
        <w:rPr>
          <w:noProof/>
        </w:rPr>
        <w:fldChar w:fldCharType="separate"/>
      </w:r>
      <w:r w:rsidR="00FC268C">
        <w:rPr>
          <w:noProof/>
        </w:rPr>
        <w:t>5</w:t>
      </w:r>
      <w:r>
        <w:rPr>
          <w:noProof/>
        </w:rPr>
        <w:fldChar w:fldCharType="end"/>
      </w:r>
    </w:p>
    <w:p w14:paraId="40888A1F" w14:textId="57B6BEC1"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Suppliers’ complaint publications</w:t>
      </w:r>
      <w:r>
        <w:rPr>
          <w:noProof/>
        </w:rPr>
        <w:tab/>
      </w:r>
      <w:r>
        <w:rPr>
          <w:noProof/>
        </w:rPr>
        <w:fldChar w:fldCharType="begin"/>
      </w:r>
      <w:r>
        <w:rPr>
          <w:noProof/>
        </w:rPr>
        <w:instrText xml:space="preserve"> PAGEREF _Toc502845887 \h </w:instrText>
      </w:r>
      <w:r>
        <w:rPr>
          <w:noProof/>
        </w:rPr>
      </w:r>
      <w:r>
        <w:rPr>
          <w:noProof/>
        </w:rPr>
        <w:fldChar w:fldCharType="separate"/>
      </w:r>
      <w:r w:rsidR="00FC268C">
        <w:rPr>
          <w:noProof/>
        </w:rPr>
        <w:t>6</w:t>
      </w:r>
      <w:r>
        <w:rPr>
          <w:noProof/>
        </w:rPr>
        <w:fldChar w:fldCharType="end"/>
      </w:r>
    </w:p>
    <w:p w14:paraId="51279A35" w14:textId="38D2D080"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Our complaint publications</w:t>
      </w:r>
      <w:r>
        <w:rPr>
          <w:noProof/>
        </w:rPr>
        <w:tab/>
      </w:r>
      <w:r>
        <w:rPr>
          <w:noProof/>
        </w:rPr>
        <w:fldChar w:fldCharType="begin"/>
      </w:r>
      <w:r>
        <w:rPr>
          <w:noProof/>
        </w:rPr>
        <w:instrText xml:space="preserve"> PAGEREF _Toc502845888 \h </w:instrText>
      </w:r>
      <w:r>
        <w:rPr>
          <w:noProof/>
        </w:rPr>
      </w:r>
      <w:r>
        <w:rPr>
          <w:noProof/>
        </w:rPr>
        <w:fldChar w:fldCharType="separate"/>
      </w:r>
      <w:r w:rsidR="00FC268C">
        <w:rPr>
          <w:noProof/>
        </w:rPr>
        <w:t>6</w:t>
      </w:r>
      <w:r>
        <w:rPr>
          <w:noProof/>
        </w:rPr>
        <w:fldChar w:fldCharType="end"/>
      </w:r>
    </w:p>
    <w:p w14:paraId="7753C003" w14:textId="282491BA" w:rsidR="00E74188" w:rsidRDefault="00E74188">
      <w:pPr>
        <w:pStyle w:val="TOC1"/>
        <w:tabs>
          <w:tab w:val="right" w:pos="8636"/>
        </w:tabs>
        <w:rPr>
          <w:rFonts w:asciiTheme="minorHAnsi" w:eastAsiaTheme="minorEastAsia" w:hAnsiTheme="minorHAnsi" w:cstheme="minorBidi"/>
          <w:b w:val="0"/>
          <w:noProof/>
          <w:szCs w:val="22"/>
          <w:lang w:eastAsia="en-GB"/>
        </w:rPr>
      </w:pPr>
      <w:r>
        <w:rPr>
          <w:noProof/>
        </w:rPr>
        <w:t>3. Guidance on completing monthly returns</w:t>
      </w:r>
      <w:r>
        <w:rPr>
          <w:noProof/>
        </w:rPr>
        <w:tab/>
      </w:r>
      <w:r>
        <w:rPr>
          <w:noProof/>
        </w:rPr>
        <w:fldChar w:fldCharType="begin"/>
      </w:r>
      <w:r>
        <w:rPr>
          <w:noProof/>
        </w:rPr>
        <w:instrText xml:space="preserve"> PAGEREF _Toc502845889 \h </w:instrText>
      </w:r>
      <w:r>
        <w:rPr>
          <w:noProof/>
        </w:rPr>
      </w:r>
      <w:r>
        <w:rPr>
          <w:noProof/>
        </w:rPr>
        <w:fldChar w:fldCharType="separate"/>
      </w:r>
      <w:r w:rsidR="00FC268C">
        <w:rPr>
          <w:noProof/>
        </w:rPr>
        <w:t>7</w:t>
      </w:r>
      <w:r>
        <w:rPr>
          <w:noProof/>
        </w:rPr>
        <w:fldChar w:fldCharType="end"/>
      </w:r>
    </w:p>
    <w:p w14:paraId="11F5C4DA" w14:textId="3565EFBC" w:rsidR="00E74188" w:rsidRDefault="00E74188" w:rsidP="00E74188">
      <w:pPr>
        <w:pStyle w:val="TOC2"/>
        <w:tabs>
          <w:tab w:val="left" w:pos="800"/>
          <w:tab w:val="right" w:pos="8636"/>
        </w:tabs>
        <w:rPr>
          <w:rFonts w:asciiTheme="minorHAnsi" w:eastAsiaTheme="minorEastAsia" w:hAnsiTheme="minorHAnsi" w:cstheme="minorBidi"/>
          <w:noProof/>
          <w:sz w:val="22"/>
          <w:szCs w:val="22"/>
          <w:lang w:eastAsia="en-GB"/>
        </w:rPr>
      </w:pPr>
      <w:r>
        <w:rPr>
          <w:noProof/>
        </w:rPr>
        <w:t xml:space="preserve"> Section A</w:t>
      </w:r>
      <w:r>
        <w:rPr>
          <w:noProof/>
        </w:rPr>
        <w:tab/>
      </w:r>
      <w:r>
        <w:rPr>
          <w:noProof/>
        </w:rPr>
        <w:fldChar w:fldCharType="begin"/>
      </w:r>
      <w:r>
        <w:rPr>
          <w:noProof/>
        </w:rPr>
        <w:instrText xml:space="preserve"> PAGEREF _Toc502845892 \h </w:instrText>
      </w:r>
      <w:r>
        <w:rPr>
          <w:noProof/>
        </w:rPr>
      </w:r>
      <w:r>
        <w:rPr>
          <w:noProof/>
        </w:rPr>
        <w:fldChar w:fldCharType="separate"/>
      </w:r>
      <w:r w:rsidR="00FC268C">
        <w:rPr>
          <w:noProof/>
        </w:rPr>
        <w:t>7</w:t>
      </w:r>
      <w:r>
        <w:rPr>
          <w:noProof/>
        </w:rPr>
        <w:fldChar w:fldCharType="end"/>
      </w:r>
    </w:p>
    <w:p w14:paraId="1C8D9093" w14:textId="0CA7046E"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Section B</w:t>
      </w:r>
      <w:r>
        <w:rPr>
          <w:noProof/>
        </w:rPr>
        <w:tab/>
      </w:r>
      <w:r>
        <w:rPr>
          <w:noProof/>
        </w:rPr>
        <w:fldChar w:fldCharType="begin"/>
      </w:r>
      <w:r>
        <w:rPr>
          <w:noProof/>
        </w:rPr>
        <w:instrText xml:space="preserve"> PAGEREF _Toc502845893 \h </w:instrText>
      </w:r>
      <w:r>
        <w:rPr>
          <w:noProof/>
        </w:rPr>
      </w:r>
      <w:r>
        <w:rPr>
          <w:noProof/>
        </w:rPr>
        <w:fldChar w:fldCharType="separate"/>
      </w:r>
      <w:r w:rsidR="00FC268C">
        <w:rPr>
          <w:noProof/>
        </w:rPr>
        <w:t>8</w:t>
      </w:r>
      <w:r>
        <w:rPr>
          <w:noProof/>
        </w:rPr>
        <w:fldChar w:fldCharType="end"/>
      </w:r>
    </w:p>
    <w:p w14:paraId="63132C84" w14:textId="0174A0A0"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Section C</w:t>
      </w:r>
      <w:r>
        <w:rPr>
          <w:noProof/>
        </w:rPr>
        <w:tab/>
      </w:r>
      <w:r>
        <w:rPr>
          <w:noProof/>
        </w:rPr>
        <w:fldChar w:fldCharType="begin"/>
      </w:r>
      <w:r>
        <w:rPr>
          <w:noProof/>
        </w:rPr>
        <w:instrText xml:space="preserve"> PAGEREF _Toc502845913 \h </w:instrText>
      </w:r>
      <w:r>
        <w:rPr>
          <w:noProof/>
        </w:rPr>
      </w:r>
      <w:r>
        <w:rPr>
          <w:noProof/>
        </w:rPr>
        <w:fldChar w:fldCharType="separate"/>
      </w:r>
      <w:r w:rsidR="00FC268C">
        <w:rPr>
          <w:noProof/>
        </w:rPr>
        <w:t>14</w:t>
      </w:r>
      <w:r>
        <w:rPr>
          <w:noProof/>
        </w:rPr>
        <w:fldChar w:fldCharType="end"/>
      </w:r>
    </w:p>
    <w:p w14:paraId="719FAAAD" w14:textId="05E7F4DE" w:rsidR="00E74188" w:rsidRDefault="00E74188">
      <w:pPr>
        <w:pStyle w:val="TOC1"/>
        <w:tabs>
          <w:tab w:val="right" w:pos="8636"/>
        </w:tabs>
        <w:rPr>
          <w:rFonts w:asciiTheme="minorHAnsi" w:eastAsiaTheme="minorEastAsia" w:hAnsiTheme="minorHAnsi" w:cstheme="minorBidi"/>
          <w:b w:val="0"/>
          <w:noProof/>
          <w:szCs w:val="22"/>
          <w:lang w:eastAsia="en-GB"/>
        </w:rPr>
      </w:pPr>
      <w:r>
        <w:rPr>
          <w:noProof/>
        </w:rPr>
        <w:t>4. Guidance on completing quarterly returns</w:t>
      </w:r>
      <w:r>
        <w:rPr>
          <w:noProof/>
        </w:rPr>
        <w:tab/>
      </w:r>
      <w:r>
        <w:rPr>
          <w:noProof/>
        </w:rPr>
        <w:fldChar w:fldCharType="begin"/>
      </w:r>
      <w:r>
        <w:rPr>
          <w:noProof/>
        </w:rPr>
        <w:instrText xml:space="preserve"> PAGEREF _Toc502845914 \h </w:instrText>
      </w:r>
      <w:r>
        <w:rPr>
          <w:noProof/>
        </w:rPr>
      </w:r>
      <w:r>
        <w:rPr>
          <w:noProof/>
        </w:rPr>
        <w:fldChar w:fldCharType="separate"/>
      </w:r>
      <w:r w:rsidR="00FC268C">
        <w:rPr>
          <w:noProof/>
        </w:rPr>
        <w:t>15</w:t>
      </w:r>
      <w:r>
        <w:rPr>
          <w:noProof/>
        </w:rPr>
        <w:fldChar w:fldCharType="end"/>
      </w:r>
    </w:p>
    <w:p w14:paraId="1563B02D" w14:textId="3A7E58D1"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Sections A and B</w:t>
      </w:r>
      <w:r>
        <w:rPr>
          <w:noProof/>
        </w:rPr>
        <w:tab/>
      </w:r>
      <w:r>
        <w:rPr>
          <w:noProof/>
        </w:rPr>
        <w:fldChar w:fldCharType="begin"/>
      </w:r>
      <w:r>
        <w:rPr>
          <w:noProof/>
        </w:rPr>
        <w:instrText xml:space="preserve"> PAGEREF _Toc502845915 \h </w:instrText>
      </w:r>
      <w:r>
        <w:rPr>
          <w:noProof/>
        </w:rPr>
      </w:r>
      <w:r>
        <w:rPr>
          <w:noProof/>
        </w:rPr>
        <w:fldChar w:fldCharType="separate"/>
      </w:r>
      <w:r w:rsidR="00FC268C">
        <w:rPr>
          <w:noProof/>
        </w:rPr>
        <w:t>16</w:t>
      </w:r>
      <w:r>
        <w:rPr>
          <w:noProof/>
        </w:rPr>
        <w:fldChar w:fldCharType="end"/>
      </w:r>
    </w:p>
    <w:p w14:paraId="2C6A759B" w14:textId="6410AFE4"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Section C</w:t>
      </w:r>
      <w:r>
        <w:rPr>
          <w:noProof/>
        </w:rPr>
        <w:tab/>
      </w:r>
      <w:r>
        <w:rPr>
          <w:noProof/>
        </w:rPr>
        <w:fldChar w:fldCharType="begin"/>
      </w:r>
      <w:r>
        <w:rPr>
          <w:noProof/>
        </w:rPr>
        <w:instrText xml:space="preserve"> PAGEREF _Toc502845916 \h </w:instrText>
      </w:r>
      <w:r>
        <w:rPr>
          <w:noProof/>
        </w:rPr>
      </w:r>
      <w:r>
        <w:rPr>
          <w:noProof/>
        </w:rPr>
        <w:fldChar w:fldCharType="separate"/>
      </w:r>
      <w:r w:rsidR="00FC268C">
        <w:rPr>
          <w:noProof/>
        </w:rPr>
        <w:t>16</w:t>
      </w:r>
      <w:r>
        <w:rPr>
          <w:noProof/>
        </w:rPr>
        <w:fldChar w:fldCharType="end"/>
      </w:r>
    </w:p>
    <w:p w14:paraId="159038FB" w14:textId="47CED0DA"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Section D</w:t>
      </w:r>
      <w:r>
        <w:rPr>
          <w:noProof/>
        </w:rPr>
        <w:tab/>
      </w:r>
      <w:r>
        <w:rPr>
          <w:noProof/>
        </w:rPr>
        <w:fldChar w:fldCharType="begin"/>
      </w:r>
      <w:r>
        <w:rPr>
          <w:noProof/>
        </w:rPr>
        <w:instrText xml:space="preserve"> PAGEREF _Toc502845929 \h </w:instrText>
      </w:r>
      <w:r>
        <w:rPr>
          <w:noProof/>
        </w:rPr>
      </w:r>
      <w:r>
        <w:rPr>
          <w:noProof/>
        </w:rPr>
        <w:fldChar w:fldCharType="separate"/>
      </w:r>
      <w:r w:rsidR="00FC268C">
        <w:rPr>
          <w:noProof/>
        </w:rPr>
        <w:t>18</w:t>
      </w:r>
      <w:r>
        <w:rPr>
          <w:noProof/>
        </w:rPr>
        <w:fldChar w:fldCharType="end"/>
      </w:r>
    </w:p>
    <w:p w14:paraId="58E6A1EA" w14:textId="54D7D6BB" w:rsidR="00E74188" w:rsidRDefault="00E74188">
      <w:pPr>
        <w:pStyle w:val="TOC2"/>
        <w:tabs>
          <w:tab w:val="right" w:pos="8636"/>
        </w:tabs>
        <w:rPr>
          <w:rFonts w:asciiTheme="minorHAnsi" w:eastAsiaTheme="minorEastAsia" w:hAnsiTheme="minorHAnsi" w:cstheme="minorBidi"/>
          <w:noProof/>
          <w:sz w:val="22"/>
          <w:szCs w:val="22"/>
          <w:lang w:eastAsia="en-GB"/>
        </w:rPr>
      </w:pPr>
      <w:r>
        <w:rPr>
          <w:noProof/>
        </w:rPr>
        <w:t xml:space="preserve"> Section </w:t>
      </w:r>
      <w:r w:rsidR="00665D0B">
        <w:rPr>
          <w:noProof/>
        </w:rPr>
        <w:t>E</w:t>
      </w:r>
      <w:r>
        <w:rPr>
          <w:noProof/>
        </w:rPr>
        <w:tab/>
      </w:r>
      <w:r w:rsidR="00665D0B">
        <w:rPr>
          <w:noProof/>
        </w:rPr>
        <w:t>18</w:t>
      </w:r>
    </w:p>
    <w:p w14:paraId="22DE78B5" w14:textId="31296435" w:rsidR="00E74188" w:rsidRDefault="00E74188">
      <w:pPr>
        <w:pStyle w:val="TOC1"/>
        <w:tabs>
          <w:tab w:val="right" w:pos="8636"/>
        </w:tabs>
        <w:rPr>
          <w:rFonts w:asciiTheme="minorHAnsi" w:eastAsiaTheme="minorEastAsia" w:hAnsiTheme="minorHAnsi" w:cstheme="minorBidi"/>
          <w:b w:val="0"/>
          <w:noProof/>
          <w:szCs w:val="22"/>
          <w:lang w:eastAsia="en-GB"/>
        </w:rPr>
      </w:pPr>
      <w:r>
        <w:rPr>
          <w:noProof/>
        </w:rPr>
        <w:t>5. Consistency with the complaint data published on suppliers’ website</w:t>
      </w:r>
      <w:r>
        <w:rPr>
          <w:noProof/>
        </w:rPr>
        <w:tab/>
      </w:r>
      <w:r>
        <w:rPr>
          <w:noProof/>
        </w:rPr>
        <w:fldChar w:fldCharType="begin"/>
      </w:r>
      <w:r>
        <w:rPr>
          <w:noProof/>
        </w:rPr>
        <w:instrText xml:space="preserve"> PAGEREF _Toc502845931 \h </w:instrText>
      </w:r>
      <w:r>
        <w:rPr>
          <w:noProof/>
        </w:rPr>
      </w:r>
      <w:r>
        <w:rPr>
          <w:noProof/>
        </w:rPr>
        <w:fldChar w:fldCharType="separate"/>
      </w:r>
      <w:r w:rsidR="00FC268C">
        <w:rPr>
          <w:noProof/>
        </w:rPr>
        <w:t>19</w:t>
      </w:r>
      <w:r>
        <w:rPr>
          <w:noProof/>
        </w:rPr>
        <w:fldChar w:fldCharType="end"/>
      </w:r>
    </w:p>
    <w:p w14:paraId="4E84B994" w14:textId="4A44E236" w:rsidR="00E74188" w:rsidRDefault="00E74188">
      <w:pPr>
        <w:pStyle w:val="TOC1"/>
        <w:tabs>
          <w:tab w:val="right" w:pos="8636"/>
        </w:tabs>
        <w:rPr>
          <w:noProof/>
        </w:rPr>
      </w:pPr>
      <w:r>
        <w:rPr>
          <w:noProof/>
        </w:rPr>
        <w:t>Appendix 1 – Monthly and quarterly templates</w:t>
      </w:r>
      <w:r>
        <w:rPr>
          <w:noProof/>
        </w:rPr>
        <w:tab/>
      </w:r>
      <w:r>
        <w:rPr>
          <w:noProof/>
        </w:rPr>
        <w:fldChar w:fldCharType="begin"/>
      </w:r>
      <w:r>
        <w:rPr>
          <w:noProof/>
        </w:rPr>
        <w:instrText xml:space="preserve"> PAGEREF _Toc502845945 \h </w:instrText>
      </w:r>
      <w:r>
        <w:rPr>
          <w:noProof/>
        </w:rPr>
      </w:r>
      <w:r>
        <w:rPr>
          <w:noProof/>
        </w:rPr>
        <w:fldChar w:fldCharType="separate"/>
      </w:r>
      <w:r w:rsidR="00FC268C">
        <w:rPr>
          <w:noProof/>
        </w:rPr>
        <w:t>21</w:t>
      </w:r>
      <w:r>
        <w:rPr>
          <w:noProof/>
        </w:rPr>
        <w:fldChar w:fldCharType="end"/>
      </w:r>
    </w:p>
    <w:p w14:paraId="05EF6855" w14:textId="30FF433E" w:rsidR="00D06C85" w:rsidRDefault="00D06C85" w:rsidP="00D06C85">
      <w:pPr>
        <w:rPr>
          <w:rFonts w:eastAsiaTheme="minorEastAsia"/>
        </w:rPr>
      </w:pPr>
    </w:p>
    <w:p w14:paraId="4BC37838" w14:textId="00E213F0" w:rsidR="00D06C85" w:rsidRDefault="00D06C85" w:rsidP="00D06C85">
      <w:pPr>
        <w:rPr>
          <w:rFonts w:eastAsiaTheme="minorEastAsia"/>
        </w:rPr>
      </w:pPr>
    </w:p>
    <w:p w14:paraId="7C237BEF" w14:textId="5500C010" w:rsidR="00D06C85" w:rsidRPr="00D06C85" w:rsidRDefault="00D06C85" w:rsidP="00D06C85">
      <w:pPr>
        <w:rPr>
          <w:rFonts w:eastAsiaTheme="minorEastAsia"/>
        </w:rPr>
      </w:pPr>
    </w:p>
    <w:p w14:paraId="208F7371" w14:textId="48F3D9C1" w:rsidR="002B72E8" w:rsidRPr="006344FC" w:rsidRDefault="00F67149" w:rsidP="00894134">
      <w:pPr>
        <w:rPr>
          <w:sz w:val="22"/>
          <w:szCs w:val="22"/>
        </w:rPr>
        <w:sectPr w:rsidR="002B72E8" w:rsidRPr="006344FC" w:rsidSect="006344FC">
          <w:headerReference w:type="even" r:id="rId19"/>
          <w:headerReference w:type="default" r:id="rId20"/>
          <w:footerReference w:type="even" r:id="rId21"/>
          <w:footerReference w:type="default" r:id="rId22"/>
          <w:headerReference w:type="first" r:id="rId23"/>
          <w:footerReference w:type="first" r:id="rId24"/>
          <w:pgSz w:w="12240" w:h="15840" w:code="1"/>
          <w:pgMar w:top="556" w:right="1797" w:bottom="1440" w:left="1797" w:header="590" w:footer="720" w:gutter="0"/>
          <w:cols w:space="720"/>
          <w:titlePg/>
          <w:docGrid w:linePitch="360"/>
        </w:sectPr>
      </w:pPr>
      <w:r>
        <w:rPr>
          <w:b/>
          <w:sz w:val="22"/>
        </w:rPr>
        <w:fldChar w:fldCharType="end"/>
      </w:r>
    </w:p>
    <w:p w14:paraId="4DD9C472" w14:textId="77777777" w:rsidR="00A45E60" w:rsidRDefault="00A45E60" w:rsidP="00A45E60">
      <w:pPr>
        <w:pStyle w:val="Heading1"/>
      </w:pPr>
      <w:bookmarkStart w:id="8" w:name="_Toc121908406"/>
      <w:bookmarkStart w:id="9" w:name="_Toc122252090"/>
      <w:bookmarkStart w:id="10" w:name="_Toc122265820"/>
      <w:bookmarkStart w:id="11" w:name="_Toc122509010"/>
      <w:bookmarkStart w:id="12" w:name="_Toc284412117"/>
      <w:bookmarkStart w:id="13" w:name="_Toc428791776"/>
      <w:bookmarkStart w:id="14" w:name="_Toc502845867"/>
      <w:r>
        <w:lastRenderedPageBreak/>
        <w:t>Executive Summary</w:t>
      </w:r>
      <w:bookmarkEnd w:id="8"/>
      <w:bookmarkEnd w:id="9"/>
      <w:bookmarkEnd w:id="10"/>
      <w:bookmarkEnd w:id="11"/>
      <w:bookmarkEnd w:id="12"/>
      <w:bookmarkEnd w:id="13"/>
      <w:bookmarkEnd w:id="14"/>
    </w:p>
    <w:p w14:paraId="222A8203" w14:textId="77777777" w:rsidR="00D06C85" w:rsidRDefault="00D06C85" w:rsidP="00660950">
      <w:pPr>
        <w:pStyle w:val="Default"/>
        <w:rPr>
          <w:sz w:val="20"/>
          <w:szCs w:val="20"/>
        </w:rPr>
      </w:pPr>
    </w:p>
    <w:p w14:paraId="00664C00" w14:textId="3AE193FC" w:rsidR="00D06C85" w:rsidRDefault="00D06C85" w:rsidP="00660950">
      <w:pPr>
        <w:pStyle w:val="Default"/>
        <w:rPr>
          <w:sz w:val="20"/>
          <w:szCs w:val="20"/>
        </w:rPr>
      </w:pPr>
      <w:r>
        <w:rPr>
          <w:sz w:val="20"/>
          <w:szCs w:val="20"/>
        </w:rPr>
        <w:t>As part of our monitoring duties we need to monitor customer complaints in an accurate and timely manner. This helps us better understand the problems consumers may face in the retail energy market and the actions we could take to protect their interests.</w:t>
      </w:r>
    </w:p>
    <w:p w14:paraId="19106DAB" w14:textId="77777777" w:rsidR="00D06C85" w:rsidRDefault="00D06C85" w:rsidP="00660950">
      <w:pPr>
        <w:pStyle w:val="Default"/>
        <w:rPr>
          <w:sz w:val="20"/>
          <w:szCs w:val="20"/>
        </w:rPr>
      </w:pPr>
    </w:p>
    <w:p w14:paraId="23A95481" w14:textId="47585EFC" w:rsidR="00360F39" w:rsidRPr="00360F39" w:rsidRDefault="00660950" w:rsidP="00360F39">
      <w:pPr>
        <w:pStyle w:val="Default"/>
        <w:rPr>
          <w:sz w:val="20"/>
          <w:szCs w:val="20"/>
        </w:rPr>
      </w:pPr>
      <w:r>
        <w:rPr>
          <w:sz w:val="20"/>
          <w:szCs w:val="20"/>
        </w:rPr>
        <w:t xml:space="preserve">This document provides guidance to energy suppliers on how to submit </w:t>
      </w:r>
      <w:r w:rsidR="00D06C85">
        <w:rPr>
          <w:sz w:val="20"/>
          <w:szCs w:val="20"/>
        </w:rPr>
        <w:t xml:space="preserve">monthly and quarterly </w:t>
      </w:r>
      <w:r>
        <w:rPr>
          <w:sz w:val="20"/>
          <w:szCs w:val="20"/>
        </w:rPr>
        <w:t xml:space="preserve">complaint information </w:t>
      </w:r>
      <w:r w:rsidRPr="00660950">
        <w:rPr>
          <w:sz w:val="20"/>
          <w:szCs w:val="20"/>
        </w:rPr>
        <w:t>as required by our enduring request for information pursuant Standard Licen</w:t>
      </w:r>
      <w:r w:rsidR="00D1495F">
        <w:rPr>
          <w:sz w:val="20"/>
          <w:szCs w:val="20"/>
        </w:rPr>
        <w:t>s</w:t>
      </w:r>
      <w:r w:rsidRPr="00660950">
        <w:rPr>
          <w:sz w:val="20"/>
          <w:szCs w:val="20"/>
        </w:rPr>
        <w:t xml:space="preserve">e Condition </w:t>
      </w:r>
      <w:r w:rsidR="00910AA5">
        <w:rPr>
          <w:sz w:val="20"/>
          <w:szCs w:val="20"/>
        </w:rPr>
        <w:t xml:space="preserve">5. </w:t>
      </w:r>
      <w:r w:rsidR="00360F39" w:rsidRPr="00360F39">
        <w:rPr>
          <w:sz w:val="20"/>
          <w:szCs w:val="20"/>
        </w:rPr>
        <w:t>Th</w:t>
      </w:r>
      <w:r w:rsidR="00360F39">
        <w:rPr>
          <w:sz w:val="20"/>
          <w:szCs w:val="20"/>
        </w:rPr>
        <w:t>e</w:t>
      </w:r>
      <w:r w:rsidR="00360F39" w:rsidRPr="00360F39">
        <w:rPr>
          <w:sz w:val="20"/>
          <w:szCs w:val="20"/>
        </w:rPr>
        <w:t xml:space="preserve"> </w:t>
      </w:r>
      <w:r w:rsidR="007A4D6F">
        <w:rPr>
          <w:sz w:val="20"/>
          <w:szCs w:val="20"/>
        </w:rPr>
        <w:t>requirement</w:t>
      </w:r>
      <w:r w:rsidR="00360F39" w:rsidRPr="00360F39">
        <w:rPr>
          <w:sz w:val="20"/>
          <w:szCs w:val="20"/>
        </w:rPr>
        <w:t xml:space="preserve"> applies to all active licensed suppliers of electricity and/or gas to domestic customers and/or microbusinesses. </w:t>
      </w:r>
    </w:p>
    <w:p w14:paraId="172AA099" w14:textId="77777777" w:rsidR="00660950" w:rsidRDefault="00660950" w:rsidP="00660950">
      <w:pPr>
        <w:pStyle w:val="Default"/>
        <w:rPr>
          <w:sz w:val="20"/>
          <w:szCs w:val="20"/>
        </w:rPr>
      </w:pPr>
    </w:p>
    <w:p w14:paraId="24B4937C" w14:textId="0EE32ADC" w:rsidR="008E48C7" w:rsidRDefault="00660950" w:rsidP="008E48C7">
      <w:pPr>
        <w:pStyle w:val="Default"/>
        <w:rPr>
          <w:sz w:val="20"/>
          <w:szCs w:val="20"/>
        </w:rPr>
      </w:pPr>
      <w:r>
        <w:rPr>
          <w:sz w:val="20"/>
          <w:szCs w:val="20"/>
        </w:rPr>
        <w:t xml:space="preserve">We have revised our reporting arrangements for monitoring </w:t>
      </w:r>
      <w:r w:rsidR="008E48C7">
        <w:rPr>
          <w:sz w:val="20"/>
          <w:szCs w:val="20"/>
        </w:rPr>
        <w:t>complaints</w:t>
      </w:r>
      <w:r>
        <w:rPr>
          <w:sz w:val="20"/>
          <w:szCs w:val="20"/>
        </w:rPr>
        <w:t xml:space="preserve">. </w:t>
      </w:r>
      <w:r w:rsidR="008E48C7">
        <w:rPr>
          <w:sz w:val="20"/>
          <w:szCs w:val="20"/>
        </w:rPr>
        <w:t xml:space="preserve">The main changes include: </w:t>
      </w:r>
    </w:p>
    <w:p w14:paraId="2481E26A" w14:textId="20D0734B" w:rsidR="00360F39" w:rsidRPr="00FC23FD" w:rsidRDefault="00884361" w:rsidP="00360F39">
      <w:pPr>
        <w:pStyle w:val="Paragraphnumbered"/>
        <w:numPr>
          <w:ilvl w:val="0"/>
          <w:numId w:val="10"/>
        </w:numPr>
        <w:jc w:val="both"/>
      </w:pPr>
      <w:r>
        <w:t>Enhanced and streamlined data requirements</w:t>
      </w:r>
      <w:r w:rsidR="00360F39" w:rsidRPr="00FC23FD">
        <w:t xml:space="preserve"> – we have identified </w:t>
      </w:r>
      <w:r>
        <w:t xml:space="preserve">the </w:t>
      </w:r>
      <w:r w:rsidR="00360F39" w:rsidRPr="00FC23FD">
        <w:t>need for addition</w:t>
      </w:r>
      <w:r>
        <w:t>s</w:t>
      </w:r>
      <w:r w:rsidR="00360F39">
        <w:t>, in particular</w:t>
      </w:r>
      <w:r w:rsidR="00360F39" w:rsidRPr="00FC23FD">
        <w:t xml:space="preserve"> the classification of complaints by type, as well as</w:t>
      </w:r>
      <w:r>
        <w:t xml:space="preserve"> the</w:t>
      </w:r>
      <w:r w:rsidR="00360F39" w:rsidRPr="00FC23FD">
        <w:t xml:space="preserve"> </w:t>
      </w:r>
      <w:r>
        <w:t>removal of</w:t>
      </w:r>
      <w:r w:rsidR="00360F39">
        <w:t xml:space="preserve"> </w:t>
      </w:r>
      <w:r>
        <w:t xml:space="preserve">certain information items that are already held by </w:t>
      </w:r>
      <w:r w:rsidR="00360F39" w:rsidRPr="00FC23FD">
        <w:t xml:space="preserve">Citizens Advice and the Ombudsman. </w:t>
      </w:r>
    </w:p>
    <w:p w14:paraId="25D7C6D7" w14:textId="14030255" w:rsidR="00360F39" w:rsidRPr="00FC23FD" w:rsidRDefault="007A4D6F" w:rsidP="00360F39">
      <w:pPr>
        <w:pStyle w:val="Paragraphnumbered"/>
        <w:numPr>
          <w:ilvl w:val="0"/>
          <w:numId w:val="10"/>
        </w:numPr>
        <w:jc w:val="both"/>
      </w:pPr>
      <w:r>
        <w:t>More</w:t>
      </w:r>
      <w:r w:rsidR="00884361">
        <w:t xml:space="preserve"> targeted</w:t>
      </w:r>
      <w:r w:rsidR="00360F39" w:rsidRPr="00FC23FD">
        <w:t xml:space="preserve"> monthly </w:t>
      </w:r>
      <w:r w:rsidR="00360F39">
        <w:t>and</w:t>
      </w:r>
      <w:r w:rsidR="00360F39" w:rsidRPr="00FC23FD">
        <w:t xml:space="preserve"> quarterly templates </w:t>
      </w:r>
      <w:r w:rsidR="00884361">
        <w:t>– we will no longer require the same information at different time periods;</w:t>
      </w:r>
      <w:r w:rsidR="00360F39" w:rsidRPr="00FC23FD">
        <w:t xml:space="preserve"> </w:t>
      </w:r>
      <w:r w:rsidR="00884361">
        <w:t xml:space="preserve">the new </w:t>
      </w:r>
      <w:r w:rsidR="00360F39" w:rsidRPr="00FC23FD">
        <w:t xml:space="preserve">monthly templates </w:t>
      </w:r>
      <w:r w:rsidR="00884361">
        <w:t>focus on</w:t>
      </w:r>
      <w:r w:rsidR="00360F39" w:rsidRPr="00FC23FD">
        <w:t xml:space="preserve"> highlighting emerging trends and issues, whereas </w:t>
      </w:r>
      <w:r w:rsidR="00884361">
        <w:t xml:space="preserve">the new </w:t>
      </w:r>
      <w:r w:rsidR="00360F39" w:rsidRPr="00FC23FD">
        <w:t>quarterly templates</w:t>
      </w:r>
      <w:r w:rsidR="00884361">
        <w:t xml:space="preserve"> aim at</w:t>
      </w:r>
      <w:r w:rsidR="00360F39" w:rsidRPr="00FC23FD">
        <w:t xml:space="preserve"> understanding how suppliers handle their complaints ‘end-to-end’. </w:t>
      </w:r>
    </w:p>
    <w:p w14:paraId="61F3E0C6" w14:textId="73278329" w:rsidR="00360F39" w:rsidRPr="00FC23FD" w:rsidRDefault="00884361" w:rsidP="00360F39">
      <w:pPr>
        <w:pStyle w:val="Paragraphnumbered"/>
        <w:numPr>
          <w:ilvl w:val="0"/>
          <w:numId w:val="10"/>
        </w:numPr>
        <w:jc w:val="both"/>
      </w:pPr>
      <w:r>
        <w:t>Clearer guidelines</w:t>
      </w:r>
      <w:r w:rsidR="00360F39" w:rsidRPr="00FC23FD">
        <w:t xml:space="preserve"> to suppliers for the completion of templates – we have identified areas where greater clarity </w:t>
      </w:r>
      <w:r w:rsidR="00360F39">
        <w:t>will b</w:t>
      </w:r>
      <w:r w:rsidR="00360F39" w:rsidRPr="00FC23FD">
        <w:t>e helpful to ensure greater consistency of reporting across suppliers and with the data suppliers publish on their websites.</w:t>
      </w:r>
    </w:p>
    <w:p w14:paraId="4104AC25" w14:textId="77777777" w:rsidR="00360F39" w:rsidRDefault="00360F39" w:rsidP="008E48C7">
      <w:pPr>
        <w:pStyle w:val="Default"/>
        <w:rPr>
          <w:sz w:val="20"/>
          <w:szCs w:val="20"/>
        </w:rPr>
      </w:pPr>
    </w:p>
    <w:p w14:paraId="2BEBCAD6" w14:textId="77777777" w:rsidR="00217B1E" w:rsidRDefault="00360F39" w:rsidP="00360F39">
      <w:pPr>
        <w:rPr>
          <w:szCs w:val="20"/>
        </w:rPr>
      </w:pPr>
      <w:r>
        <w:rPr>
          <w:szCs w:val="20"/>
        </w:rPr>
        <w:t>The changes have been subject to consultation including with suppliers, Citizens Advice</w:t>
      </w:r>
      <w:r w:rsidR="004540A0">
        <w:rPr>
          <w:szCs w:val="20"/>
        </w:rPr>
        <w:t xml:space="preserve"> and</w:t>
      </w:r>
      <w:r>
        <w:rPr>
          <w:szCs w:val="20"/>
        </w:rPr>
        <w:t xml:space="preserve"> the Energy Ombudsman. </w:t>
      </w:r>
    </w:p>
    <w:p w14:paraId="74C58A0E" w14:textId="77777777" w:rsidR="00217B1E" w:rsidRDefault="00217B1E" w:rsidP="00360F39">
      <w:pPr>
        <w:rPr>
          <w:szCs w:val="20"/>
        </w:rPr>
      </w:pPr>
    </w:p>
    <w:p w14:paraId="607D946A" w14:textId="58EE104C" w:rsidR="00360F39" w:rsidRPr="007C043E" w:rsidRDefault="00217B1E" w:rsidP="00360F39">
      <w:pPr>
        <w:rPr>
          <w:highlight w:val="yellow"/>
        </w:rPr>
      </w:pPr>
      <w:r>
        <w:rPr>
          <w:szCs w:val="20"/>
        </w:rPr>
        <w:t xml:space="preserve">This guidance is published on </w:t>
      </w:r>
      <w:r w:rsidR="00665D0B">
        <w:rPr>
          <w:szCs w:val="20"/>
        </w:rPr>
        <w:t xml:space="preserve">30 January </w:t>
      </w:r>
      <w:r>
        <w:rPr>
          <w:szCs w:val="20"/>
        </w:rPr>
        <w:t>and s</w:t>
      </w:r>
      <w:r w:rsidRPr="004540A0">
        <w:rPr>
          <w:szCs w:val="20"/>
        </w:rPr>
        <w:t xml:space="preserve">uppliers must start recording complaints </w:t>
      </w:r>
      <w:r>
        <w:rPr>
          <w:szCs w:val="20"/>
        </w:rPr>
        <w:t>in accordance with it</w:t>
      </w:r>
      <w:r w:rsidRPr="004540A0">
        <w:rPr>
          <w:szCs w:val="20"/>
        </w:rPr>
        <w:t xml:space="preserve"> from 1 July 2018. </w:t>
      </w:r>
      <w:r w:rsidR="00482574">
        <w:rPr>
          <w:szCs w:val="20"/>
        </w:rPr>
        <w:t>We understand this will</w:t>
      </w:r>
      <w:r>
        <w:rPr>
          <w:szCs w:val="20"/>
        </w:rPr>
        <w:t xml:space="preserve"> provide sufficient implementation time to embed the new reporting arrangements into suppliers’ systems</w:t>
      </w:r>
      <w:r w:rsidR="004540A0">
        <w:rPr>
          <w:szCs w:val="20"/>
        </w:rPr>
        <w:t xml:space="preserve">. </w:t>
      </w:r>
    </w:p>
    <w:p w14:paraId="6A7745D1" w14:textId="77777777" w:rsidR="00360F39" w:rsidRDefault="00360F39" w:rsidP="008E48C7">
      <w:pPr>
        <w:pStyle w:val="Default"/>
        <w:rPr>
          <w:sz w:val="20"/>
          <w:szCs w:val="20"/>
        </w:rPr>
      </w:pPr>
    </w:p>
    <w:p w14:paraId="65AE2173" w14:textId="58F7B459" w:rsidR="004540A0" w:rsidRPr="004540A0" w:rsidRDefault="004540A0" w:rsidP="004540A0">
      <w:pPr>
        <w:rPr>
          <w:szCs w:val="20"/>
        </w:rPr>
      </w:pPr>
      <w:r w:rsidRPr="004540A0">
        <w:rPr>
          <w:szCs w:val="20"/>
        </w:rPr>
        <w:t>The first monthly submission is due by 28 August 2018, covering July 2018 complaints data. The first quarterly submission is due by 28 October 2018, covering Q3 2018 complaints data. In the meanwhile, suppliers who are already submitting complaint information should continue to do so through the existing templates.</w:t>
      </w:r>
    </w:p>
    <w:p w14:paraId="0B62068D" w14:textId="598F3341" w:rsidR="00660950" w:rsidRDefault="00660950" w:rsidP="00660950">
      <w:pPr>
        <w:pStyle w:val="Default"/>
        <w:rPr>
          <w:sz w:val="20"/>
          <w:szCs w:val="20"/>
        </w:rPr>
      </w:pPr>
    </w:p>
    <w:p w14:paraId="40887130" w14:textId="77777777" w:rsidR="008E48C7" w:rsidRDefault="008E48C7" w:rsidP="00660950">
      <w:pPr>
        <w:pStyle w:val="Default"/>
        <w:rPr>
          <w:sz w:val="20"/>
          <w:szCs w:val="20"/>
        </w:rPr>
      </w:pPr>
    </w:p>
    <w:p w14:paraId="3620B01C" w14:textId="69095DD1" w:rsidR="00360F39" w:rsidRDefault="00360F39" w:rsidP="00360F39">
      <w:pPr>
        <w:pStyle w:val="Default"/>
        <w:rPr>
          <w:sz w:val="20"/>
          <w:szCs w:val="20"/>
        </w:rPr>
      </w:pPr>
      <w:r>
        <w:rPr>
          <w:sz w:val="20"/>
          <w:szCs w:val="20"/>
        </w:rPr>
        <w:t>This document replaces all previous guidance and templates related with complaints information</w:t>
      </w:r>
      <w:r w:rsidR="00665D0B">
        <w:rPr>
          <w:sz w:val="20"/>
          <w:szCs w:val="20"/>
        </w:rPr>
        <w:t xml:space="preserve"> submission</w:t>
      </w:r>
      <w:r>
        <w:rPr>
          <w:sz w:val="20"/>
          <w:szCs w:val="20"/>
        </w:rPr>
        <w:t>.</w:t>
      </w:r>
    </w:p>
    <w:p w14:paraId="54EBA30D" w14:textId="71CDB580" w:rsidR="00953C8B" w:rsidRDefault="00953C8B" w:rsidP="00953C8B"/>
    <w:p w14:paraId="208F73A2" w14:textId="77777777" w:rsidR="00CA5453" w:rsidRPr="00EF570D" w:rsidRDefault="006C2025" w:rsidP="00EF570D">
      <w:pPr>
        <w:pStyle w:val="ChapterHeading"/>
      </w:pPr>
      <w:bookmarkStart w:id="15" w:name="_Toc502845868"/>
      <w:r>
        <w:lastRenderedPageBreak/>
        <w:t>Introduction</w:t>
      </w:r>
      <w:bookmarkEnd w:id="15"/>
    </w:p>
    <w:p w14:paraId="0AD5D478" w14:textId="1F3AD271" w:rsidR="009A7D37" w:rsidRDefault="00CE24F1" w:rsidP="009A7D37">
      <w:pPr>
        <w:pStyle w:val="Heading2"/>
        <w:spacing w:before="360" w:after="240"/>
      </w:pPr>
      <w:bookmarkStart w:id="16" w:name="_Toc502845869"/>
      <w:r>
        <w:t>Purpose of this guidance</w:t>
      </w:r>
      <w:bookmarkEnd w:id="16"/>
    </w:p>
    <w:p w14:paraId="4047679D" w14:textId="596C202B" w:rsidR="00360F39" w:rsidRDefault="00360F39" w:rsidP="00CE24F1">
      <w:pPr>
        <w:pStyle w:val="Paragrapgh"/>
        <w:rPr>
          <w:noProof/>
        </w:rPr>
      </w:pPr>
      <w:bookmarkStart w:id="17" w:name="_Toc122265828"/>
      <w:bookmarkStart w:id="18" w:name="_Toc122509018"/>
      <w:bookmarkStart w:id="19" w:name="_Toc122842872"/>
      <w:bookmarkStart w:id="20" w:name="_Toc284412122"/>
      <w:bookmarkStart w:id="21" w:name="_Toc287436204"/>
      <w:r>
        <w:rPr>
          <w:noProof/>
        </w:rPr>
        <w:t>T</w:t>
      </w:r>
      <w:r w:rsidR="00CE24F1" w:rsidRPr="00CE24F1">
        <w:rPr>
          <w:noProof/>
        </w:rPr>
        <w:t xml:space="preserve">his guidance concerns the information that suppliers submit to </w:t>
      </w:r>
      <w:r>
        <w:rPr>
          <w:noProof/>
        </w:rPr>
        <w:t xml:space="preserve">us </w:t>
      </w:r>
      <w:r w:rsidR="00CE24F1" w:rsidRPr="00CE24F1">
        <w:rPr>
          <w:noProof/>
        </w:rPr>
        <w:t xml:space="preserve">on customer complaints. </w:t>
      </w:r>
    </w:p>
    <w:p w14:paraId="697CC6BF" w14:textId="43A94020" w:rsidR="00CE24F1" w:rsidRPr="00360F39" w:rsidRDefault="00360F39" w:rsidP="00360F39">
      <w:pPr>
        <w:pStyle w:val="Paragrapgh"/>
        <w:rPr>
          <w:rFonts w:cs="Arial"/>
          <w:bCs/>
          <w:iCs/>
          <w:szCs w:val="28"/>
          <w:lang w:eastAsia="en-GB"/>
        </w:rPr>
      </w:pPr>
      <w:r>
        <w:rPr>
          <w:noProof/>
        </w:rPr>
        <w:t xml:space="preserve">Its main purpose is to ensure that suppliers report accurately and consistently the requested enduring complaint information for domestic and microbusiness customers. It also provides practical information on how and when submissions </w:t>
      </w:r>
      <w:r w:rsidR="00D1495F">
        <w:rPr>
          <w:noProof/>
        </w:rPr>
        <w:t>have to</w:t>
      </w:r>
      <w:r>
        <w:rPr>
          <w:noProof/>
        </w:rPr>
        <w:t xml:space="preserve"> be made</w:t>
      </w:r>
      <w:r w:rsidR="00E636D5">
        <w:rPr>
          <w:noProof/>
        </w:rPr>
        <w:t xml:space="preserve">, </w:t>
      </w:r>
      <w:r w:rsidR="00A26EFA">
        <w:rPr>
          <w:noProof/>
        </w:rPr>
        <w:t xml:space="preserve">and </w:t>
      </w:r>
      <w:r w:rsidR="00E636D5">
        <w:rPr>
          <w:noProof/>
        </w:rPr>
        <w:t>how they should relate to suppliers’ own complaint publications</w:t>
      </w:r>
      <w:r>
        <w:rPr>
          <w:noProof/>
        </w:rPr>
        <w:t>.</w:t>
      </w:r>
    </w:p>
    <w:p w14:paraId="56B90CA7" w14:textId="5D2D464F" w:rsidR="009A7D37" w:rsidRPr="004831EB" w:rsidRDefault="009A7D37" w:rsidP="009A7D37">
      <w:pPr>
        <w:pStyle w:val="Paragrapgh"/>
        <w:rPr>
          <w:b/>
          <w:noProof/>
        </w:rPr>
      </w:pPr>
      <w:r>
        <w:t xml:space="preserve">We are keen to get your views on </w:t>
      </w:r>
      <w:r w:rsidR="00660950">
        <w:t>this guidance</w:t>
      </w:r>
      <w:r>
        <w:t xml:space="preserve">. You can email us at </w:t>
      </w:r>
      <w:hyperlink r:id="rId25" w:history="1">
        <w:r w:rsidR="008E48C7" w:rsidRPr="00720A41">
          <w:rPr>
            <w:rStyle w:val="Hyperlink"/>
            <w:sz w:val="20"/>
          </w:rPr>
          <w:t>Complaints_Data@ofgem.gov.uk</w:t>
        </w:r>
      </w:hyperlink>
      <w:r>
        <w:rPr>
          <w:color w:val="1F497D"/>
          <w:sz w:val="18"/>
        </w:rPr>
        <w:t xml:space="preserve">. </w:t>
      </w:r>
      <w:r w:rsidRPr="00B7441B">
        <w:rPr>
          <w:sz w:val="18"/>
        </w:rPr>
        <w:t>F</w:t>
      </w:r>
      <w:r>
        <w:t xml:space="preserve">eedback will be used to inform future </w:t>
      </w:r>
      <w:r w:rsidR="00FD3359">
        <w:t>updating</w:t>
      </w:r>
      <w:r w:rsidR="008E48C7">
        <w:t xml:space="preserve"> of the guidance</w:t>
      </w:r>
      <w:r w:rsidR="00E636D5">
        <w:t>.</w:t>
      </w:r>
    </w:p>
    <w:p w14:paraId="79550C41" w14:textId="586A0524" w:rsidR="008E48C7" w:rsidRDefault="008E48C7" w:rsidP="008E48C7">
      <w:pPr>
        <w:pStyle w:val="Heading2"/>
        <w:spacing w:before="360" w:after="240"/>
      </w:pPr>
      <w:bookmarkStart w:id="22" w:name="_Toc502845873"/>
      <w:r>
        <w:t>Background and relevant regulation</w:t>
      </w:r>
      <w:bookmarkEnd w:id="22"/>
    </w:p>
    <w:bookmarkEnd w:id="17"/>
    <w:bookmarkEnd w:id="18"/>
    <w:bookmarkEnd w:id="19"/>
    <w:bookmarkEnd w:id="20"/>
    <w:bookmarkEnd w:id="21"/>
    <w:p w14:paraId="7B56951A" w14:textId="77777777" w:rsidR="008E48C7" w:rsidRDefault="008E48C7" w:rsidP="008E48C7">
      <w:pPr>
        <w:pStyle w:val="Paragrapgh"/>
      </w:pPr>
      <w:r w:rsidRPr="00EE3038">
        <w:t>An amendment to the Gas and Electricity Acts by virtue of Schedule 5 of the Consumers, Estate Agents and Redress Act 2007 (CEARA) requires the Authority to collect information from licence holders relating to complaints handling standards</w:t>
      </w:r>
      <w:r>
        <w:t>.</w:t>
      </w:r>
      <w:r>
        <w:rPr>
          <w:rStyle w:val="FootnoteReference"/>
        </w:rPr>
        <w:footnoteReference w:id="2"/>
      </w:r>
      <w:r>
        <w:t xml:space="preserve"> </w:t>
      </w:r>
    </w:p>
    <w:p w14:paraId="43A2F989" w14:textId="26DCEA6F" w:rsidR="008E48C7" w:rsidRDefault="008E48C7" w:rsidP="008E48C7">
      <w:pPr>
        <w:pStyle w:val="Paragrapgh"/>
      </w:pPr>
      <w:r>
        <w:t xml:space="preserve">Suppliers have been </w:t>
      </w:r>
      <w:r w:rsidR="00D1495F">
        <w:t xml:space="preserve">voluntarily </w:t>
      </w:r>
      <w:r>
        <w:t xml:space="preserve">submitting customer complaints data to </w:t>
      </w:r>
      <w:r w:rsidR="00910AA5">
        <w:t>us</w:t>
      </w:r>
      <w:r>
        <w:t xml:space="preserve"> and Citizens Advice (including Citizen Advice’s predecessors) since the inception of the Complaint Handling Regulation Standards Regulations</w:t>
      </w:r>
      <w:r w:rsidR="00E636D5">
        <w:t xml:space="preserve"> (CHR)</w:t>
      </w:r>
      <w:r>
        <w:rPr>
          <w:rStyle w:val="FootnoteReference"/>
        </w:rPr>
        <w:footnoteReference w:id="3"/>
      </w:r>
      <w:r>
        <w:t xml:space="preserve"> from 1 October 2008. </w:t>
      </w:r>
    </w:p>
    <w:p w14:paraId="5E4BD69B" w14:textId="746A3F50" w:rsidR="008E48C7" w:rsidRDefault="008E48C7" w:rsidP="008E48C7">
      <w:pPr>
        <w:pStyle w:val="Paragrapgh"/>
      </w:pPr>
      <w:r>
        <w:lastRenderedPageBreak/>
        <w:t xml:space="preserve">Suppliers also agreed to publish quarterly data on domestic customer complaints on their websites. </w:t>
      </w:r>
      <w:r w:rsidRPr="00F666DC">
        <w:t xml:space="preserve">The six large suppliers have </w:t>
      </w:r>
      <w:r>
        <w:t xml:space="preserve">done this </w:t>
      </w:r>
      <w:r w:rsidRPr="00F666DC">
        <w:t xml:space="preserve">since 1 October 2012, and </w:t>
      </w:r>
      <w:r w:rsidR="00665D0B">
        <w:t xml:space="preserve">some </w:t>
      </w:r>
      <w:r>
        <w:t>other</w:t>
      </w:r>
      <w:r w:rsidRPr="00F666DC">
        <w:t xml:space="preserve"> suppliers </w:t>
      </w:r>
      <w:r w:rsidRPr="00426F1A">
        <w:t xml:space="preserve">from 1 April 2013. </w:t>
      </w:r>
    </w:p>
    <w:p w14:paraId="1E74F059" w14:textId="2D00618B" w:rsidR="008E48C7" w:rsidRDefault="00A26EFA" w:rsidP="008E48C7">
      <w:pPr>
        <w:pStyle w:val="Paragrapgh"/>
      </w:pPr>
      <w:r w:rsidRPr="00325023">
        <w:t>We</w:t>
      </w:r>
      <w:r>
        <w:t xml:space="preserve"> use complaints data for internal monitoring purposes and to increase transparency around supplier performance. </w:t>
      </w:r>
      <w:r w:rsidR="008E48C7" w:rsidRPr="00325023">
        <w:t xml:space="preserve">We currently publish quarterly domestic complaints data on our </w:t>
      </w:r>
      <w:hyperlink r:id="rId26" w:history="1">
        <w:r w:rsidR="008E48C7" w:rsidRPr="00325023">
          <w:rPr>
            <w:rStyle w:val="Hyperlink"/>
            <w:sz w:val="20"/>
          </w:rPr>
          <w:t>website</w:t>
        </w:r>
      </w:hyperlink>
      <w:r w:rsidR="008E48C7" w:rsidRPr="00325023">
        <w:t xml:space="preserve">. </w:t>
      </w:r>
      <w:r w:rsidR="008E48C7">
        <w:t xml:space="preserve">Citizens Advice </w:t>
      </w:r>
      <w:r>
        <w:t xml:space="preserve">also </w:t>
      </w:r>
      <w:r w:rsidR="008E48C7">
        <w:t xml:space="preserve">uses </w:t>
      </w:r>
      <w:r>
        <w:t xml:space="preserve">this </w:t>
      </w:r>
      <w:r w:rsidR="008E48C7">
        <w:t>complaints data for monitoring, but does</w:t>
      </w:r>
      <w:r w:rsidR="00E636D5">
        <w:t xml:space="preserve"> not</w:t>
      </w:r>
      <w:r w:rsidR="008E48C7">
        <w:t xml:space="preserve"> currently publish it. However, this may change in the future.</w:t>
      </w:r>
    </w:p>
    <w:p w14:paraId="0735395D" w14:textId="6F97A4A2" w:rsidR="008E48C7" w:rsidRDefault="008E48C7" w:rsidP="008E48C7">
      <w:pPr>
        <w:pStyle w:val="Paragrapgh"/>
      </w:pPr>
      <w:r w:rsidRPr="00572982">
        <w:t xml:space="preserve">In October-December 2015, </w:t>
      </w:r>
      <w:r>
        <w:t>we</w:t>
      </w:r>
      <w:r w:rsidRPr="00572982">
        <w:t xml:space="preserve"> reviewed suppliers’ direct domestic complaints data jointly with Citizens Advice. This review found some differences in suppliers’ approaches to reporting some </w:t>
      </w:r>
      <w:r w:rsidR="007A4D6F">
        <w:t>statistic</w:t>
      </w:r>
      <w:r w:rsidRPr="00572982">
        <w:t>s</w:t>
      </w:r>
      <w:r>
        <w:t>, which indicated the need to</w:t>
      </w:r>
      <w:r w:rsidRPr="00833DAE">
        <w:t xml:space="preserve"> improve consistency of complaint</w:t>
      </w:r>
      <w:r>
        <w:t>s</w:t>
      </w:r>
      <w:r w:rsidRPr="00833DAE">
        <w:t xml:space="preserve"> data</w:t>
      </w:r>
      <w:r>
        <w:t xml:space="preserve"> recording</w:t>
      </w:r>
      <w:r w:rsidRPr="00833DAE">
        <w:t xml:space="preserve"> across suppliers</w:t>
      </w:r>
      <w:r>
        <w:t>, as well as reduce discrepancies between the complaints information submitted to us and that published on suppliers’ webpages</w:t>
      </w:r>
      <w:r w:rsidRPr="00833DAE">
        <w:t xml:space="preserve">. </w:t>
      </w:r>
    </w:p>
    <w:p w14:paraId="1FE64CA6" w14:textId="11B2A664" w:rsidR="008E48C7" w:rsidRDefault="008E48C7" w:rsidP="008E48C7">
      <w:pPr>
        <w:pStyle w:val="Paragrapgh"/>
      </w:pPr>
      <w:r>
        <w:t xml:space="preserve">In 2016, through the work </w:t>
      </w:r>
      <w:r w:rsidRPr="008E48C7">
        <w:t xml:space="preserve">following the </w:t>
      </w:r>
      <w:hyperlink r:id="rId27" w:history="1">
        <w:r w:rsidRPr="008E48C7">
          <w:rPr>
            <w:rStyle w:val="Hyperlink"/>
            <w:sz w:val="20"/>
          </w:rPr>
          <w:t>Lucerna Review</w:t>
        </w:r>
      </w:hyperlink>
      <w:r w:rsidRPr="008E48C7">
        <w:t>, Ofgem, the Energy</w:t>
      </w:r>
      <w:r>
        <w:t xml:space="preserve"> Ombudsman and Citizens Advice agreed to a more coordinated framework to monitor the whole customer complaint journey. As part of this review we identified a number of gaps in the complaint data reported by suppliers. In particular, suppliers do not submit information on complaint type to </w:t>
      </w:r>
      <w:r w:rsidR="00E636D5">
        <w:t>us</w:t>
      </w:r>
      <w:r>
        <w:t xml:space="preserve"> and Citizens Advice. This is a gap that limits our ability to monitor issues presenting across the market, compare performance between suppliers and understand the drivers of the vast majority of complaints that are not escalated further to the Ombudsman. </w:t>
      </w:r>
      <w:r w:rsidR="00E636D5">
        <w:t>Moreover</w:t>
      </w:r>
      <w:r>
        <w:t xml:space="preserve">, although suppliers provide information on the number of complaints they solve within one day or 8 weeks, they do not report on the average time it takes them to resolve these complaints. This information </w:t>
      </w:r>
      <w:r w:rsidR="00E636D5">
        <w:t>will</w:t>
      </w:r>
      <w:r>
        <w:t xml:space="preserve"> improve our understanding on how effectively they handle complaints.</w:t>
      </w:r>
    </w:p>
    <w:p w14:paraId="208F73BC" w14:textId="5D66C8BF" w:rsidR="005E135D" w:rsidRPr="00D636D3" w:rsidRDefault="008E48C7" w:rsidP="00FD3359">
      <w:pPr>
        <w:pStyle w:val="Paragrapgh"/>
      </w:pPr>
      <w:r>
        <w:t>Throughout 2017 we held consultations with suppliers on the changes to the complaint reporting</w:t>
      </w:r>
      <w:r>
        <w:rPr>
          <w:rStyle w:val="FootnoteReference"/>
        </w:rPr>
        <w:footnoteReference w:id="4"/>
      </w:r>
      <w:r>
        <w:t xml:space="preserve">. The new guidance and templates reflect all relevant feedback received, in particular in relation with the implementation times, the new complaint classification by type and the new indicator on </w:t>
      </w:r>
      <w:r w:rsidR="00910AA5">
        <w:t xml:space="preserve">the </w:t>
      </w:r>
      <w:r>
        <w:t>average resolution time</w:t>
      </w:r>
      <w:r w:rsidR="00910AA5">
        <w:t xml:space="preserve"> of complaints</w:t>
      </w:r>
      <w:r>
        <w:t xml:space="preserve">.  </w:t>
      </w:r>
    </w:p>
    <w:p w14:paraId="208F73BD" w14:textId="73A18F05" w:rsidR="00645BEC" w:rsidRDefault="00FD3359" w:rsidP="00EF570D">
      <w:pPr>
        <w:pStyle w:val="ChapterHeading"/>
      </w:pPr>
      <w:bookmarkStart w:id="23" w:name="_Toc502845874"/>
      <w:r>
        <w:lastRenderedPageBreak/>
        <w:t>General guidance</w:t>
      </w:r>
      <w:bookmarkEnd w:id="23"/>
    </w:p>
    <w:p w14:paraId="240D69AE" w14:textId="77777777" w:rsidR="009A7D37" w:rsidRPr="00B0426B" w:rsidRDefault="009A7D37" w:rsidP="009A7D37">
      <w:pPr>
        <w:pStyle w:val="Textbox"/>
        <w:rPr>
          <w:b/>
          <w:bCs/>
        </w:rPr>
      </w:pPr>
      <w:r w:rsidRPr="00B0426B">
        <w:rPr>
          <w:b/>
          <w:bCs/>
        </w:rPr>
        <w:t xml:space="preserve">Chapter Summary </w:t>
      </w:r>
    </w:p>
    <w:p w14:paraId="319BF667" w14:textId="77777777" w:rsidR="009A7D37" w:rsidRDefault="009A7D37" w:rsidP="009A7D37">
      <w:pPr>
        <w:pStyle w:val="Textbox"/>
      </w:pPr>
    </w:p>
    <w:p w14:paraId="7F376AD8" w14:textId="125EBBC4" w:rsidR="009A7D37" w:rsidRDefault="00E636D5" w:rsidP="009A7D37">
      <w:pPr>
        <w:pStyle w:val="Textbox"/>
      </w:pPr>
      <w:bookmarkStart w:id="24" w:name="_Toc423712030"/>
      <w:r>
        <w:t>This chapter contains general guidelines on the scope, timing and publication of complaints information.</w:t>
      </w:r>
    </w:p>
    <w:p w14:paraId="0B662D2D" w14:textId="77777777" w:rsidR="00FD3359" w:rsidRDefault="00FD3359" w:rsidP="009A7D37">
      <w:pPr>
        <w:pStyle w:val="Textbox"/>
      </w:pPr>
    </w:p>
    <w:p w14:paraId="5BD07C54" w14:textId="069A7D24" w:rsidR="00325023" w:rsidRDefault="00325023" w:rsidP="009A7D37">
      <w:pPr>
        <w:pStyle w:val="Heading2"/>
        <w:spacing w:before="240" w:after="240"/>
      </w:pPr>
      <w:bookmarkStart w:id="25" w:name="_Toc502845875"/>
      <w:bookmarkEnd w:id="24"/>
      <w:r>
        <w:t>Definition of complaint</w:t>
      </w:r>
      <w:bookmarkEnd w:id="25"/>
    </w:p>
    <w:p w14:paraId="74164F60" w14:textId="77777777" w:rsidR="00325023" w:rsidRDefault="00325023" w:rsidP="00325023">
      <w:pPr>
        <w:pStyle w:val="Paragrapgh"/>
      </w:pPr>
      <w:r>
        <w:t>As stated in the CHR</w:t>
      </w:r>
      <w:r w:rsidRPr="00325023">
        <w:rPr>
          <w:vertAlign w:val="superscript"/>
        </w:rPr>
        <w:footnoteReference w:id="5"/>
      </w:r>
      <w:r>
        <w:t xml:space="preserve">, a “complaint” is defined as </w:t>
      </w:r>
      <w:r w:rsidRPr="00325023">
        <w:t>“any expression of dissatisfaction made to an organisation, related to any one or more of its products, its services or the manner in which it has dealt with any such expression of dissatisfaction where a response is either provided by or on behalf of that organisation at the point at which contact is made or a response is explicitly or implicitly required or expected to be provided thereafter”</w:t>
      </w:r>
      <w:r>
        <w:t xml:space="preserve">. </w:t>
      </w:r>
    </w:p>
    <w:p w14:paraId="4FD8D5B5" w14:textId="37FF2B38" w:rsidR="00325023" w:rsidRDefault="00E636D5" w:rsidP="00325023">
      <w:pPr>
        <w:pStyle w:val="Paragrapgh"/>
      </w:pPr>
      <w:r>
        <w:t>We note</w:t>
      </w:r>
      <w:r w:rsidR="00325023">
        <w:t xml:space="preserve"> that th</w:t>
      </w:r>
      <w:r>
        <w:t>e above</w:t>
      </w:r>
      <w:r w:rsidR="00325023">
        <w:t xml:space="preserve"> definition:</w:t>
      </w:r>
    </w:p>
    <w:p w14:paraId="4C8B64DC" w14:textId="072EFB83" w:rsidR="00325023" w:rsidRDefault="00325023" w:rsidP="002C59C5">
      <w:pPr>
        <w:pStyle w:val="Paragraphnumbered"/>
        <w:numPr>
          <w:ilvl w:val="1"/>
          <w:numId w:val="12"/>
        </w:numPr>
        <w:ind w:left="426"/>
        <w:jc w:val="both"/>
      </w:pPr>
      <w:bookmarkStart w:id="26" w:name="_Toc502845876"/>
      <w:r>
        <w:t>does not pose any time-related restrictions in what is deemed as a “complaint”; for instance, even though an expression of dissatisfaction might be dealt with at the time of contact and is thereafter considered as “closed” and does not require any further communication between parties, it still needs to be registered as a “complaint”;</w:t>
      </w:r>
      <w:bookmarkEnd w:id="26"/>
      <w:r>
        <w:t xml:space="preserve"> </w:t>
      </w:r>
    </w:p>
    <w:p w14:paraId="1AA9192D" w14:textId="77777777" w:rsidR="00325023" w:rsidRDefault="00325023" w:rsidP="002C59C5">
      <w:pPr>
        <w:pStyle w:val="Paragraphnumbered"/>
        <w:numPr>
          <w:ilvl w:val="1"/>
          <w:numId w:val="13"/>
        </w:numPr>
        <w:ind w:left="426"/>
        <w:jc w:val="both"/>
      </w:pPr>
      <w:bookmarkStart w:id="27" w:name="_Toc502845877"/>
      <w:r>
        <w:t>includes not only products and services but also customer service standards, i.e. “the manner” in which a complaint was handled;</w:t>
      </w:r>
      <w:bookmarkEnd w:id="27"/>
      <w:r>
        <w:t xml:space="preserve"> </w:t>
      </w:r>
    </w:p>
    <w:p w14:paraId="6437913D" w14:textId="234884EC" w:rsidR="00325023" w:rsidRDefault="00325023" w:rsidP="002C59C5">
      <w:pPr>
        <w:pStyle w:val="Paragraphnumbered"/>
        <w:numPr>
          <w:ilvl w:val="1"/>
          <w:numId w:val="14"/>
        </w:numPr>
        <w:ind w:left="426"/>
        <w:jc w:val="both"/>
      </w:pPr>
      <w:bookmarkStart w:id="28" w:name="_Toc502845878"/>
      <w:r>
        <w:t>applies to all complaints received by a supplier that do related to their products, services or the manner in which they have dealt with a complaint, even if the complainant is not supplied by them;</w:t>
      </w:r>
      <w:bookmarkEnd w:id="28"/>
      <w:r>
        <w:t xml:space="preserve"> </w:t>
      </w:r>
      <w:r w:rsidR="007A4D6F">
        <w:t>and</w:t>
      </w:r>
    </w:p>
    <w:p w14:paraId="42CBAC59" w14:textId="69AB525F" w:rsidR="00325023" w:rsidRDefault="00325023" w:rsidP="002C59C5">
      <w:pPr>
        <w:pStyle w:val="Paragraphnumbered"/>
        <w:numPr>
          <w:ilvl w:val="1"/>
          <w:numId w:val="14"/>
        </w:numPr>
        <w:ind w:left="426"/>
        <w:jc w:val="both"/>
      </w:pPr>
      <w:bookmarkStart w:id="29" w:name="_Toc502845879"/>
      <w:r>
        <w:t>does not apply to complaints related with products and services offered by other suppliers</w:t>
      </w:r>
      <w:bookmarkEnd w:id="29"/>
      <w:r w:rsidR="007A4D6F">
        <w:t>.</w:t>
      </w:r>
    </w:p>
    <w:p w14:paraId="5C3585F0" w14:textId="671FB4A9" w:rsidR="00325023" w:rsidRDefault="00325023" w:rsidP="00325023">
      <w:pPr>
        <w:pStyle w:val="Paragrapgh"/>
      </w:pPr>
      <w:r w:rsidRPr="00325023">
        <w:t xml:space="preserve">In line with the CHR’s definition of complaint as an expression of dissatisfaction made at the point of contact, suppliers </w:t>
      </w:r>
      <w:r w:rsidR="001B4433">
        <w:t>must</w:t>
      </w:r>
      <w:r w:rsidRPr="00325023">
        <w:t xml:space="preserve"> record and categori</w:t>
      </w:r>
      <w:r w:rsidR="004729B3">
        <w:t>s</w:t>
      </w:r>
      <w:r w:rsidRPr="00325023">
        <w:t xml:space="preserve">e complaints on receipt and report them to us </w:t>
      </w:r>
      <w:r w:rsidRPr="00325023">
        <w:lastRenderedPageBreak/>
        <w:t xml:space="preserve">accordingly. For some </w:t>
      </w:r>
      <w:r w:rsidR="001B4433">
        <w:t xml:space="preserve">indicative </w:t>
      </w:r>
      <w:r w:rsidRPr="00325023">
        <w:t>examples on what may constitute a “complaint”</w:t>
      </w:r>
      <w:r w:rsidR="001B4433">
        <w:t xml:space="preserve"> in practice</w:t>
      </w:r>
      <w:r w:rsidRPr="00325023">
        <w:t xml:space="preserve"> please refer to </w:t>
      </w:r>
      <w:r w:rsidRPr="00910AA5">
        <w:t>Table 1 in</w:t>
      </w:r>
      <w:r w:rsidRPr="00325023">
        <w:t xml:space="preserve"> </w:t>
      </w:r>
      <w:r>
        <w:t xml:space="preserve">Chapter 3 of </w:t>
      </w:r>
      <w:r w:rsidRPr="00325023">
        <w:t xml:space="preserve">this guidance.  </w:t>
      </w:r>
    </w:p>
    <w:p w14:paraId="56356694" w14:textId="77777777" w:rsidR="007A4D6F" w:rsidRDefault="007A4D6F" w:rsidP="007A4D6F">
      <w:pPr>
        <w:pStyle w:val="Paragrapgh"/>
        <w:numPr>
          <w:ilvl w:val="0"/>
          <w:numId w:val="0"/>
        </w:numPr>
      </w:pPr>
    </w:p>
    <w:p w14:paraId="0C0ADB34" w14:textId="7E1162E2" w:rsidR="009A7D37" w:rsidRDefault="00FD3359" w:rsidP="009A7D37">
      <w:pPr>
        <w:pStyle w:val="Heading2"/>
        <w:spacing w:before="240" w:after="240"/>
      </w:pPr>
      <w:bookmarkStart w:id="30" w:name="_Toc502845881"/>
      <w:r>
        <w:t>Who the guidance applies to</w:t>
      </w:r>
      <w:bookmarkEnd w:id="30"/>
    </w:p>
    <w:p w14:paraId="4BC2E80E" w14:textId="77777777" w:rsidR="00FD3359" w:rsidRDefault="00FD3359" w:rsidP="00FD3359">
      <w:pPr>
        <w:pStyle w:val="Paragrapgh"/>
      </w:pPr>
      <w:r>
        <w:t xml:space="preserve">This guidance applies to all active licensed suppliers of electricity and/or gas to domestic </w:t>
      </w:r>
      <w:r w:rsidRPr="00F25EED">
        <w:t>customers and</w:t>
      </w:r>
      <w:r>
        <w:t>/or</w:t>
      </w:r>
      <w:r w:rsidRPr="00F25EED">
        <w:t xml:space="preserve"> microbusinesses.</w:t>
      </w:r>
      <w:r>
        <w:t xml:space="preserve"> </w:t>
      </w:r>
    </w:p>
    <w:p w14:paraId="0F4D377B" w14:textId="40BA65B9" w:rsidR="00FD3359" w:rsidRPr="00BB446C" w:rsidRDefault="00FD3359" w:rsidP="00FD3359">
      <w:pPr>
        <w:pStyle w:val="Paragrapgh"/>
      </w:pPr>
      <w:r w:rsidRPr="00BB446C">
        <w:t>A non-domestic</w:t>
      </w:r>
      <w:r>
        <w:t xml:space="preserve"> customer is defined as a micro</w:t>
      </w:r>
      <w:r w:rsidRPr="00BB446C">
        <w:t>business if they meet one of the following criteria</w:t>
      </w:r>
      <w:r>
        <w:t>, as established in existing gas and electricity standard licence conditions</w:t>
      </w:r>
      <w:r w:rsidRPr="00BB446C">
        <w:t>:</w:t>
      </w:r>
    </w:p>
    <w:p w14:paraId="20562DB9" w14:textId="77777777" w:rsidR="00FD3359" w:rsidRPr="00BB446C" w:rsidRDefault="00FD3359" w:rsidP="002C59C5">
      <w:pPr>
        <w:pStyle w:val="Paragraphnumbered"/>
        <w:numPr>
          <w:ilvl w:val="0"/>
          <w:numId w:val="11"/>
        </w:numPr>
        <w:jc w:val="both"/>
      </w:pPr>
      <w:bookmarkStart w:id="31" w:name="_Toc502845882"/>
      <w:r w:rsidRPr="00BB446C">
        <w:t>employs fewer than 10 employees (or their full time equivalent) and has an annual turnover or balance sheet no greater than €2 million; or</w:t>
      </w:r>
      <w:bookmarkEnd w:id="31"/>
    </w:p>
    <w:p w14:paraId="2524C2FD" w14:textId="77777777" w:rsidR="00FD3359" w:rsidRPr="00BB446C" w:rsidRDefault="00FD3359" w:rsidP="002C59C5">
      <w:pPr>
        <w:pStyle w:val="Paragraphnumbered"/>
        <w:numPr>
          <w:ilvl w:val="0"/>
          <w:numId w:val="11"/>
        </w:numPr>
        <w:jc w:val="both"/>
      </w:pPr>
      <w:bookmarkStart w:id="32" w:name="_Toc502845883"/>
      <w:r w:rsidRPr="00BB446C">
        <w:t>uses no more than 100,000 kWh of electricity per year; or</w:t>
      </w:r>
      <w:bookmarkEnd w:id="32"/>
    </w:p>
    <w:p w14:paraId="0E5920E8" w14:textId="77777777" w:rsidR="00FD3359" w:rsidRPr="00BB446C" w:rsidRDefault="00FD3359" w:rsidP="002C59C5">
      <w:pPr>
        <w:pStyle w:val="Paragraphnumbered"/>
        <w:numPr>
          <w:ilvl w:val="0"/>
          <w:numId w:val="11"/>
        </w:numPr>
        <w:jc w:val="both"/>
      </w:pPr>
      <w:bookmarkStart w:id="33" w:name="_Toc502845884"/>
      <w:r w:rsidRPr="00BB446C">
        <w:t>uses no more than 293,000 kWh of gas per year.</w:t>
      </w:r>
      <w:bookmarkEnd w:id="33"/>
    </w:p>
    <w:p w14:paraId="0C501237" w14:textId="4172D495" w:rsidR="00FD3359" w:rsidRPr="00BA5CB4" w:rsidRDefault="00FD3359" w:rsidP="00FD3359">
      <w:pPr>
        <w:pStyle w:val="Paragrapgh"/>
      </w:pPr>
      <w:r w:rsidRPr="00BA5CB4">
        <w:t xml:space="preserve">The data </w:t>
      </w:r>
      <w:r w:rsidR="00D1495F">
        <w:t>must</w:t>
      </w:r>
      <w:r w:rsidRPr="00BA5CB4">
        <w:t xml:space="preserve"> cover information on behalf of </w:t>
      </w:r>
      <w:r w:rsidRPr="00643BDA">
        <w:t>any</w:t>
      </w:r>
      <w:r w:rsidRPr="00FD3359">
        <w:t xml:space="preserve"> </w:t>
      </w:r>
      <w:r w:rsidRPr="00833DAE">
        <w:t>white label providers</w:t>
      </w:r>
      <w:r w:rsidRPr="00BA5CB4">
        <w:t xml:space="preserve"> currently operating under </w:t>
      </w:r>
      <w:r>
        <w:t>suppliers’</w:t>
      </w:r>
      <w:r w:rsidRPr="00BA5CB4">
        <w:t xml:space="preserve"> </w:t>
      </w:r>
      <w:r>
        <w:t>respective</w:t>
      </w:r>
      <w:r w:rsidRPr="00BA5CB4">
        <w:t xml:space="preserve"> licence</w:t>
      </w:r>
      <w:r>
        <w:t>s</w:t>
      </w:r>
      <w:r w:rsidRPr="00BA5CB4">
        <w:t>.</w:t>
      </w:r>
      <w:r>
        <w:t xml:space="preserve"> We do not require a separate submission of white label complaint data, but this may change in the future.</w:t>
      </w:r>
    </w:p>
    <w:p w14:paraId="76D788B7" w14:textId="21AA80AC" w:rsidR="00FD3359" w:rsidRDefault="00FD3359" w:rsidP="00FD3359">
      <w:pPr>
        <w:pStyle w:val="Paragrapgh"/>
      </w:pPr>
      <w:r>
        <w:t>We will review the guidance from time to time to make sure it remains relevant.</w:t>
      </w:r>
      <w:r w:rsidR="00910AA5">
        <w:t xml:space="preserve"> Wherever appropriate</w:t>
      </w:r>
      <w:r w:rsidR="00B85439">
        <w:t>,</w:t>
      </w:r>
      <w:r w:rsidR="00910AA5">
        <w:t xml:space="preserve"> we will </w:t>
      </w:r>
      <w:r w:rsidR="00173DE6">
        <w:t>consult</w:t>
      </w:r>
      <w:r w:rsidR="00910AA5">
        <w:t xml:space="preserve"> on changes to the guidance</w:t>
      </w:r>
      <w:r w:rsidR="00173DE6">
        <w:t xml:space="preserve">. </w:t>
      </w:r>
    </w:p>
    <w:p w14:paraId="5638FB39" w14:textId="382E43BC" w:rsidR="00FD3359" w:rsidRDefault="00FD3359" w:rsidP="00FD3359">
      <w:pPr>
        <w:pStyle w:val="Heading2"/>
        <w:spacing w:before="240" w:after="240"/>
      </w:pPr>
      <w:bookmarkStart w:id="34" w:name="_Toc502845885"/>
      <w:r>
        <w:t>Submitting the data, deadlines and data accuracy</w:t>
      </w:r>
      <w:bookmarkEnd w:id="34"/>
    </w:p>
    <w:p w14:paraId="78C542D1" w14:textId="3E8E103C" w:rsidR="00FD3359" w:rsidRPr="007A4D6F" w:rsidRDefault="00E636D5" w:rsidP="00FD3359">
      <w:pPr>
        <w:pStyle w:val="Paragrapgh"/>
      </w:pPr>
      <w:r w:rsidRPr="0027781B">
        <w:t xml:space="preserve">Monthly </w:t>
      </w:r>
      <w:r w:rsidRPr="007A4D6F">
        <w:t xml:space="preserve">returns </w:t>
      </w:r>
      <w:r w:rsidR="001B4433" w:rsidRPr="007A4D6F">
        <w:t>must</w:t>
      </w:r>
      <w:r w:rsidRPr="007A4D6F">
        <w:t xml:space="preserve"> be submitted no later than the 28th day of the following month (eg no later than 28 January for December returns) or the first working day after the 28</w:t>
      </w:r>
      <w:r w:rsidRPr="007A4D6F">
        <w:rPr>
          <w:vertAlign w:val="superscript"/>
        </w:rPr>
        <w:t>th</w:t>
      </w:r>
      <w:r w:rsidRPr="007A4D6F">
        <w:t xml:space="preserve"> if the 28</w:t>
      </w:r>
      <w:r w:rsidRPr="007A4D6F">
        <w:rPr>
          <w:vertAlign w:val="superscript"/>
        </w:rPr>
        <w:t>th</w:t>
      </w:r>
      <w:r w:rsidRPr="007A4D6F">
        <w:t xml:space="preserve"> falls on a public holiday</w:t>
      </w:r>
      <w:r w:rsidR="007A4D6F" w:rsidRPr="007A4D6F">
        <w:t>.</w:t>
      </w:r>
    </w:p>
    <w:p w14:paraId="2B856573" w14:textId="772E084D" w:rsidR="00E636D5" w:rsidRPr="007A4D6F" w:rsidRDefault="00E636D5" w:rsidP="00FD3359">
      <w:pPr>
        <w:pStyle w:val="Paragrapgh"/>
      </w:pPr>
      <w:r w:rsidRPr="007A4D6F">
        <w:t xml:space="preserve">Quarterly returns </w:t>
      </w:r>
      <w:r w:rsidR="004540A0" w:rsidRPr="007A4D6F">
        <w:t>must</w:t>
      </w:r>
      <w:r w:rsidRPr="007A4D6F">
        <w:t xml:space="preserve"> be submitted no later than the 28th day of the month following the end of the quarter ie, no later than 28 January, 28 April, 28 July, and 28 October, or the first working day after the 28</w:t>
      </w:r>
      <w:r w:rsidRPr="007A4D6F">
        <w:rPr>
          <w:vertAlign w:val="superscript"/>
        </w:rPr>
        <w:t>th</w:t>
      </w:r>
      <w:r w:rsidRPr="007A4D6F">
        <w:t xml:space="preserve"> if the 28</w:t>
      </w:r>
      <w:r w:rsidRPr="007A4D6F">
        <w:rPr>
          <w:vertAlign w:val="superscript"/>
        </w:rPr>
        <w:t>th</w:t>
      </w:r>
      <w:r w:rsidRPr="007A4D6F">
        <w:t xml:space="preserve"> falls on a public holiday</w:t>
      </w:r>
      <w:r w:rsidR="00926F1C">
        <w:t>.</w:t>
      </w:r>
    </w:p>
    <w:p w14:paraId="398453E5" w14:textId="77777777" w:rsidR="00823348" w:rsidRPr="00B85439" w:rsidRDefault="00FD3359" w:rsidP="007A4D6F">
      <w:pPr>
        <w:pStyle w:val="Paragrapgh"/>
      </w:pPr>
      <w:r w:rsidRPr="007A4D6F">
        <w:lastRenderedPageBreak/>
        <w:t xml:space="preserve">Suppliers </w:t>
      </w:r>
      <w:r w:rsidR="004540A0" w:rsidRPr="007A4D6F">
        <w:t>must</w:t>
      </w:r>
      <w:r w:rsidRPr="007A4D6F">
        <w:t xml:space="preserve"> start </w:t>
      </w:r>
      <w:r w:rsidR="004540A0" w:rsidRPr="007A4D6F">
        <w:t xml:space="preserve">recording </w:t>
      </w:r>
      <w:r w:rsidRPr="007A4D6F">
        <w:t>complaints under this guidance</w:t>
      </w:r>
      <w:r w:rsidRPr="00FD3359">
        <w:t xml:space="preserve"> from 1 July 2018</w:t>
      </w:r>
      <w:r w:rsidR="004540A0">
        <w:t>.</w:t>
      </w:r>
      <w:r w:rsidRPr="00FD3359">
        <w:t xml:space="preserve"> </w:t>
      </w:r>
      <w:r w:rsidR="004540A0">
        <w:t>The</w:t>
      </w:r>
      <w:r w:rsidRPr="00FD3359">
        <w:t xml:space="preserve"> first monthly submission </w:t>
      </w:r>
      <w:r w:rsidR="004540A0">
        <w:t>is due</w:t>
      </w:r>
      <w:r w:rsidRPr="00FD3359">
        <w:t xml:space="preserve"> by 28 August 2018</w:t>
      </w:r>
      <w:r w:rsidR="004540A0">
        <w:t>,</w:t>
      </w:r>
      <w:r w:rsidRPr="00FD3359">
        <w:t xml:space="preserve"> covering July 2018 complaints data</w:t>
      </w:r>
      <w:r w:rsidR="004540A0">
        <w:t>.</w:t>
      </w:r>
      <w:r w:rsidRPr="00FD3359">
        <w:t xml:space="preserve"> </w:t>
      </w:r>
      <w:r w:rsidR="004540A0">
        <w:t>The</w:t>
      </w:r>
      <w:r w:rsidRPr="00FD3359">
        <w:t xml:space="preserve"> first quarterly </w:t>
      </w:r>
      <w:r w:rsidRPr="007A4D6F">
        <w:t xml:space="preserve">submission </w:t>
      </w:r>
      <w:r w:rsidR="004540A0" w:rsidRPr="007A4D6F">
        <w:t xml:space="preserve">is due </w:t>
      </w:r>
      <w:r w:rsidRPr="007A4D6F">
        <w:t>by 28 October 2018, covering Q3 2018 complaints data</w:t>
      </w:r>
      <w:r w:rsidR="00AB294F" w:rsidRPr="007A4D6F">
        <w:t xml:space="preserve">. </w:t>
      </w:r>
      <w:r w:rsidR="001B22C8" w:rsidRPr="007A4D6F">
        <w:t xml:space="preserve">In the meanwhile, suppliers who are already submitting </w:t>
      </w:r>
      <w:r w:rsidR="001B22C8" w:rsidRPr="00B85439">
        <w:t>complaint information should continue to do so through the existing templates.</w:t>
      </w:r>
      <w:bookmarkStart w:id="35" w:name="_Toc502845886"/>
      <w:r w:rsidR="00ED2489" w:rsidRPr="00B85439">
        <w:t xml:space="preserve"> </w:t>
      </w:r>
    </w:p>
    <w:p w14:paraId="7F74E5D7" w14:textId="2793BB53" w:rsidR="00C666BE" w:rsidRPr="00B85439" w:rsidRDefault="00FD3359" w:rsidP="007A4D6F">
      <w:pPr>
        <w:pStyle w:val="Paragrapgh"/>
      </w:pPr>
      <w:r w:rsidRPr="00B85439">
        <w:t xml:space="preserve">The requested information </w:t>
      </w:r>
      <w:r w:rsidR="00823348" w:rsidRPr="00B85439">
        <w:t xml:space="preserve">must </w:t>
      </w:r>
      <w:r w:rsidRPr="00B85439">
        <w:t>be submitted by completing the</w:t>
      </w:r>
      <w:r w:rsidR="00823348" w:rsidRPr="00B85439">
        <w:t xml:space="preserve"> </w:t>
      </w:r>
      <w:r w:rsidR="00C666BE" w:rsidRPr="00B85439">
        <w:t xml:space="preserve">Excel </w:t>
      </w:r>
      <w:r w:rsidRPr="00B85439">
        <w:t>templates in CSV file format</w:t>
      </w:r>
      <w:r w:rsidR="00C666BE" w:rsidRPr="00B85439">
        <w:t xml:space="preserve">, as attached to the </w:t>
      </w:r>
      <w:r w:rsidR="00B85439" w:rsidRPr="00B85439">
        <w:t>formal request under Standard License Condition 5 (SLC 5) sent to your company</w:t>
      </w:r>
      <w:r w:rsidR="00B85439">
        <w:t xml:space="preserve"> (a copy of these templates is also attached for reference in Annex 1 of this Guidance)</w:t>
      </w:r>
      <w:r w:rsidR="00C666BE" w:rsidRPr="00B85439">
        <w:t>. The completed templates must be sent to</w:t>
      </w:r>
      <w:r w:rsidRPr="00B85439">
        <w:t xml:space="preserve">: </w:t>
      </w:r>
      <w:hyperlink r:id="rId28" w:history="1">
        <w:r w:rsidRPr="00B85439">
          <w:rPr>
            <w:rStyle w:val="Hyperlink"/>
            <w:sz w:val="20"/>
          </w:rPr>
          <w:t>Complaints_Data@ofgem.gov.uk</w:t>
        </w:r>
      </w:hyperlink>
      <w:bookmarkEnd w:id="35"/>
      <w:r w:rsidR="007A4D6F" w:rsidRPr="00B85439">
        <w:t>.</w:t>
      </w:r>
      <w:r w:rsidR="00C666BE" w:rsidRPr="00B85439">
        <w:t xml:space="preserve"> </w:t>
      </w:r>
    </w:p>
    <w:p w14:paraId="06179671" w14:textId="400398E9" w:rsidR="00AB294F" w:rsidRPr="00B85439" w:rsidRDefault="00FD3359" w:rsidP="007A4D6F">
      <w:pPr>
        <w:pStyle w:val="Paragrapgh"/>
      </w:pPr>
      <w:r w:rsidRPr="00B85439">
        <w:t xml:space="preserve">Please do not hesitate to contact us at </w:t>
      </w:r>
      <w:hyperlink r:id="rId29" w:history="1">
        <w:r w:rsidRPr="00B85439">
          <w:rPr>
            <w:rStyle w:val="Hyperlink"/>
            <w:sz w:val="20"/>
          </w:rPr>
          <w:t>Complaints_Data@ofgem.gov.uk</w:t>
        </w:r>
      </w:hyperlink>
      <w:r w:rsidRPr="00B85439">
        <w:t xml:space="preserve"> if you have questions about this guidance</w:t>
      </w:r>
      <w:r w:rsidR="00C666BE" w:rsidRPr="00B85439">
        <w:t>,</w:t>
      </w:r>
      <w:r w:rsidRPr="00B85439">
        <w:t xml:space="preserve"> </w:t>
      </w:r>
      <w:r w:rsidR="00C666BE" w:rsidRPr="00B85439">
        <w:t>the</w:t>
      </w:r>
      <w:r w:rsidRPr="00B85439">
        <w:t xml:space="preserve"> </w:t>
      </w:r>
      <w:r w:rsidR="00C666BE" w:rsidRPr="00B85439">
        <w:t>submission of the</w:t>
      </w:r>
      <w:r w:rsidR="00AB294F" w:rsidRPr="00B85439">
        <w:t xml:space="preserve"> requested</w:t>
      </w:r>
      <w:r w:rsidRPr="00B85439">
        <w:t xml:space="preserve"> data</w:t>
      </w:r>
      <w:r w:rsidR="001B22C8" w:rsidRPr="00B85439">
        <w:t xml:space="preserve"> or if you have not</w:t>
      </w:r>
      <w:r w:rsidR="00C666BE" w:rsidRPr="00B85439">
        <w:t xml:space="preserve"> yet</w:t>
      </w:r>
      <w:r w:rsidR="001B22C8" w:rsidRPr="00B85439">
        <w:t xml:space="preserve"> received </w:t>
      </w:r>
      <w:r w:rsidR="00B85439" w:rsidRPr="00B85439">
        <w:t>our</w:t>
      </w:r>
      <w:r w:rsidR="001B22C8" w:rsidRPr="00B85439">
        <w:t xml:space="preserve"> </w:t>
      </w:r>
      <w:r w:rsidR="00B85439" w:rsidRPr="00B85439">
        <w:t xml:space="preserve">formal </w:t>
      </w:r>
      <w:r w:rsidR="001B22C8" w:rsidRPr="00B85439">
        <w:t xml:space="preserve">request </w:t>
      </w:r>
      <w:r w:rsidR="00B85439" w:rsidRPr="00B85439">
        <w:t>under SLC 5.</w:t>
      </w:r>
    </w:p>
    <w:p w14:paraId="3DE01FA1" w14:textId="2640FD24" w:rsidR="00FD3359" w:rsidRPr="00B85439" w:rsidRDefault="00AB294F" w:rsidP="00FD3359">
      <w:pPr>
        <w:pStyle w:val="Paragrapgh"/>
      </w:pPr>
      <w:r w:rsidRPr="00B85439">
        <w:t>If you are a new supplier entering the market</w:t>
      </w:r>
      <w:r w:rsidR="00B85439">
        <w:t>,</w:t>
      </w:r>
      <w:r w:rsidRPr="00B85439">
        <w:t xml:space="preserve"> you </w:t>
      </w:r>
      <w:r w:rsidR="00C666BE" w:rsidRPr="00B85439">
        <w:t>must</w:t>
      </w:r>
      <w:r w:rsidRPr="00B85439">
        <w:t xml:space="preserve"> get in touch with us at </w:t>
      </w:r>
      <w:hyperlink r:id="rId30" w:history="1">
        <w:r w:rsidRPr="00B85439">
          <w:rPr>
            <w:rStyle w:val="Hyperlink"/>
            <w:sz w:val="20"/>
          </w:rPr>
          <w:t>Complaints_Data@ofgem.gov.uk</w:t>
        </w:r>
      </w:hyperlink>
      <w:r w:rsidRPr="00B85439">
        <w:rPr>
          <w:rStyle w:val="Hyperlink"/>
          <w:sz w:val="20"/>
        </w:rPr>
        <w:t xml:space="preserve"> </w:t>
      </w:r>
      <w:r w:rsidRPr="00B85439">
        <w:t xml:space="preserve">so that we can send you the formal enduring information request </w:t>
      </w:r>
      <w:r w:rsidR="00C666BE" w:rsidRPr="00B85439">
        <w:t xml:space="preserve">and the related templates </w:t>
      </w:r>
      <w:r w:rsidRPr="00B85439">
        <w:t>to submit complaints data under SLC 5.</w:t>
      </w:r>
    </w:p>
    <w:p w14:paraId="0998BCF5" w14:textId="5A3B7467" w:rsidR="00823348" w:rsidRPr="00ED2489" w:rsidRDefault="00823348" w:rsidP="00823348">
      <w:pPr>
        <w:pStyle w:val="Paragrapgh"/>
      </w:pPr>
      <w:r w:rsidRPr="00B85439">
        <w:t xml:space="preserve">We </w:t>
      </w:r>
      <w:r w:rsidR="007A4D6F" w:rsidRPr="00B85439">
        <w:t xml:space="preserve">also </w:t>
      </w:r>
      <w:r w:rsidRPr="00B85439">
        <w:t>ask suppliers</w:t>
      </w:r>
      <w:r>
        <w:t xml:space="preserve"> to submit</w:t>
      </w:r>
      <w:r w:rsidR="007A4D6F">
        <w:t xml:space="preserve"> the same</w:t>
      </w:r>
      <w:r>
        <w:t xml:space="preserve"> complaint data</w:t>
      </w:r>
      <w:r w:rsidR="00173DE6">
        <w:t xml:space="preserve">, </w:t>
      </w:r>
      <w:r>
        <w:t>under the new templates and guidance</w:t>
      </w:r>
      <w:r w:rsidR="007A4D6F">
        <w:t>,</w:t>
      </w:r>
      <w:r>
        <w:t xml:space="preserve"> </w:t>
      </w:r>
      <w:r w:rsidRPr="00ED2489">
        <w:t xml:space="preserve">to Citizens Advice at: </w:t>
      </w:r>
      <w:hyperlink r:id="rId31" w:history="1">
        <w:r w:rsidRPr="00ED2489">
          <w:rPr>
            <w:rStyle w:val="Hyperlink"/>
            <w:sz w:val="20"/>
          </w:rPr>
          <w:t>dataunit@citizensadvice.org.uk</w:t>
        </w:r>
      </w:hyperlink>
      <w:r w:rsidRPr="00ED2489">
        <w:t>.</w:t>
      </w:r>
    </w:p>
    <w:p w14:paraId="61E95378" w14:textId="6FDC1F37" w:rsidR="00FD3359" w:rsidRDefault="00823348" w:rsidP="00823348">
      <w:pPr>
        <w:pStyle w:val="Paragrapgh"/>
      </w:pPr>
      <w:r w:rsidRPr="00833DAE">
        <w:t xml:space="preserve"> </w:t>
      </w:r>
      <w:r w:rsidR="00FD3359" w:rsidRPr="00833DAE">
        <w:t>We expect suppliers to ensure that the</w:t>
      </w:r>
      <w:r w:rsidR="007A4D6F">
        <w:t xml:space="preserve"> submitted</w:t>
      </w:r>
      <w:r w:rsidR="00FD3359" w:rsidRPr="00833DAE">
        <w:t xml:space="preserve"> data</w:t>
      </w:r>
      <w:r w:rsidR="00FD3359">
        <w:t xml:space="preserve">, alongside the data they </w:t>
      </w:r>
      <w:r w:rsidR="00FD3359" w:rsidRPr="00833DAE">
        <w:t>publish on their websites</w:t>
      </w:r>
      <w:r w:rsidR="00FD3359">
        <w:t>,</w:t>
      </w:r>
      <w:r w:rsidR="00FD3359" w:rsidRPr="00833DAE">
        <w:t xml:space="preserve"> is accurate and conforms to this guidance.</w:t>
      </w:r>
      <w:r w:rsidR="001B22C8">
        <w:t xml:space="preserve"> </w:t>
      </w:r>
      <w:r w:rsidR="001B22C8" w:rsidRPr="00122321">
        <w:t xml:space="preserve">While </w:t>
      </w:r>
      <w:r w:rsidR="001B22C8">
        <w:t>we</w:t>
      </w:r>
      <w:r w:rsidR="001B22C8" w:rsidRPr="004A6448">
        <w:t xml:space="preserve"> </w:t>
      </w:r>
      <w:r w:rsidR="001B22C8">
        <w:t>carry out</w:t>
      </w:r>
      <w:r w:rsidR="001B22C8" w:rsidRPr="004A6448">
        <w:t xml:space="preserve"> spot-checks of the data</w:t>
      </w:r>
      <w:r w:rsidR="001B22C8" w:rsidRPr="00122321">
        <w:t xml:space="preserve"> provided in complaints reporting, it does not audit the data. This is the responsibility of suppliers.</w:t>
      </w:r>
    </w:p>
    <w:p w14:paraId="34D9A198" w14:textId="4C771F9A" w:rsidR="00FD3359" w:rsidRDefault="00AB294F" w:rsidP="00FD3359">
      <w:pPr>
        <w:pStyle w:val="Heading2"/>
        <w:spacing w:before="240" w:after="240"/>
      </w:pPr>
      <w:bookmarkStart w:id="36" w:name="_Toc439665587"/>
      <w:bookmarkStart w:id="37" w:name="_Toc502658730"/>
      <w:bookmarkStart w:id="38" w:name="_Toc502845887"/>
      <w:r>
        <w:t>S</w:t>
      </w:r>
      <w:r w:rsidR="00FD3359">
        <w:t>uppliers</w:t>
      </w:r>
      <w:bookmarkEnd w:id="36"/>
      <w:bookmarkEnd w:id="37"/>
      <w:r>
        <w:t>’ complaint publications</w:t>
      </w:r>
      <w:bookmarkEnd w:id="38"/>
    </w:p>
    <w:p w14:paraId="1C1918E4" w14:textId="3A564184" w:rsidR="00FD3359" w:rsidRDefault="00FD3359" w:rsidP="00FD3359">
      <w:pPr>
        <w:pStyle w:val="Paragrapgh"/>
      </w:pPr>
      <w:r>
        <w:t xml:space="preserve">While most suppliers publish quarterly complaints data in a timely manner, some suppliers do so with a delay. </w:t>
      </w:r>
    </w:p>
    <w:p w14:paraId="09DCA00C" w14:textId="77777777" w:rsidR="00FD3359" w:rsidRPr="001F0694" w:rsidRDefault="00FD3359" w:rsidP="00FD3359">
      <w:pPr>
        <w:pStyle w:val="Paragrapgh"/>
      </w:pPr>
      <w:r>
        <w:t xml:space="preserve">To ensure that consumers and other stakeholders have access to timely data, we expect suppliers to ensure </w:t>
      </w:r>
      <w:r w:rsidRPr="001F0694">
        <w:t>complaints data is published promptly. We think it’s reasonable to expect that quarterly complaints data is published on suppliers’ websites within one week of submitting it to Ofgem and Citizens Advice.</w:t>
      </w:r>
    </w:p>
    <w:p w14:paraId="6FF4AF31" w14:textId="2379B7DF" w:rsidR="00FD3359" w:rsidRDefault="00AB294F" w:rsidP="00FD3359">
      <w:pPr>
        <w:pStyle w:val="Heading2"/>
        <w:spacing w:before="240" w:after="240"/>
      </w:pPr>
      <w:bookmarkStart w:id="39" w:name="_Toc502845888"/>
      <w:r>
        <w:t>Our complaint publications</w:t>
      </w:r>
      <w:bookmarkEnd w:id="39"/>
    </w:p>
    <w:p w14:paraId="2AEE6EB3" w14:textId="257C8D57" w:rsidR="00ED2489" w:rsidRDefault="00030FF8" w:rsidP="00FD3359">
      <w:pPr>
        <w:pStyle w:val="Paragrapgh"/>
      </w:pPr>
      <w:r>
        <w:lastRenderedPageBreak/>
        <w:t>We currently</w:t>
      </w:r>
      <w:r w:rsidR="00FD3359">
        <w:t xml:space="preserve"> publish a selection of the domestic complaints </w:t>
      </w:r>
      <w:r w:rsidR="00FD3359" w:rsidRPr="00FD3359">
        <w:t xml:space="preserve">data for the six large suppliers and a number of small and medium sized suppliers on </w:t>
      </w:r>
      <w:r w:rsidR="00ED2489">
        <w:t>our</w:t>
      </w:r>
      <w:r w:rsidR="00FD3359" w:rsidRPr="00FD3359">
        <w:t xml:space="preserve"> </w:t>
      </w:r>
      <w:hyperlink r:id="rId32" w:history="1">
        <w:r w:rsidR="00FD3359" w:rsidRPr="00FD3359">
          <w:rPr>
            <w:rStyle w:val="Hyperlink"/>
            <w:sz w:val="20"/>
          </w:rPr>
          <w:t>website</w:t>
        </w:r>
      </w:hyperlink>
      <w:r w:rsidR="00FD3359">
        <w:t xml:space="preserve"> on a quarterly basis. </w:t>
      </w:r>
    </w:p>
    <w:p w14:paraId="18F1EBE8" w14:textId="20E5CCCC" w:rsidR="00FD3359" w:rsidRPr="00F8544F" w:rsidRDefault="00FD3359" w:rsidP="00FD3359">
      <w:pPr>
        <w:pStyle w:val="Paragrapgh"/>
      </w:pPr>
      <w:r>
        <w:t xml:space="preserve">We would seek suppliers’ representations if we decided to publish </w:t>
      </w:r>
      <w:r w:rsidR="00ED2489">
        <w:t>additional</w:t>
      </w:r>
      <w:r>
        <w:t xml:space="preserve"> complaint statistics</w:t>
      </w:r>
      <w:r w:rsidR="00ED2489">
        <w:t xml:space="preserve"> or amend the existing ones</w:t>
      </w:r>
      <w:r>
        <w:t xml:space="preserve">.  </w:t>
      </w:r>
      <w:r w:rsidR="00AB294F">
        <w:t>In 2017 we</w:t>
      </w:r>
      <w:r w:rsidRPr="00B95A32">
        <w:t xml:space="preserve"> agreed a coordinated complaint publication strategy with Citizens Advice and the Ombudsman to publish complaints data </w:t>
      </w:r>
      <w:r>
        <w:t>on a quarterly basis, at the end of the following months: November, February, May, August.</w:t>
      </w:r>
      <w:r w:rsidRPr="00B95A32">
        <w:t xml:space="preserve"> </w:t>
      </w:r>
    </w:p>
    <w:p w14:paraId="46292485" w14:textId="77777777" w:rsidR="00FD3359" w:rsidRPr="00FD3359" w:rsidRDefault="00FD3359" w:rsidP="00FD3359">
      <w:pPr>
        <w:pStyle w:val="Paragrapgh"/>
        <w:numPr>
          <w:ilvl w:val="0"/>
          <w:numId w:val="0"/>
        </w:numPr>
      </w:pPr>
    </w:p>
    <w:p w14:paraId="208F746D" w14:textId="7BB189BA" w:rsidR="00645BEC" w:rsidRPr="009105AC" w:rsidRDefault="00AB294F" w:rsidP="00EF570D">
      <w:pPr>
        <w:pStyle w:val="ChapterHeading"/>
      </w:pPr>
      <w:bookmarkStart w:id="40" w:name="_Toc502845889"/>
      <w:r>
        <w:lastRenderedPageBreak/>
        <w:t>Guidance on completing monthly returns</w:t>
      </w:r>
      <w:bookmarkEnd w:id="40"/>
    </w:p>
    <w:p w14:paraId="18E9720B" w14:textId="77777777" w:rsidR="009A7D37" w:rsidRPr="001A1FA6" w:rsidRDefault="009A7D37" w:rsidP="009A7D37">
      <w:pPr>
        <w:pStyle w:val="Textbox"/>
        <w:rPr>
          <w:b/>
          <w:bCs/>
        </w:rPr>
      </w:pPr>
      <w:r w:rsidRPr="001A1FA6">
        <w:rPr>
          <w:b/>
          <w:bCs/>
        </w:rPr>
        <w:t xml:space="preserve">Chapter Summary </w:t>
      </w:r>
    </w:p>
    <w:p w14:paraId="4EC8C0C6" w14:textId="77777777" w:rsidR="009A7D37" w:rsidRPr="00A21EE7" w:rsidRDefault="009A7D37" w:rsidP="009A7D37">
      <w:pPr>
        <w:pStyle w:val="Textbox"/>
        <w:rPr>
          <w:b/>
          <w:bCs/>
        </w:rPr>
      </w:pPr>
    </w:p>
    <w:p w14:paraId="4A26CE3E" w14:textId="05DA49A8" w:rsidR="009A7D37" w:rsidRDefault="001B22C8" w:rsidP="009A7D37">
      <w:pPr>
        <w:pStyle w:val="Textbox"/>
      </w:pPr>
      <w:r>
        <w:t xml:space="preserve">This chapter explains in detail what information suppliers </w:t>
      </w:r>
      <w:r w:rsidR="00D1495F">
        <w:t>must</w:t>
      </w:r>
      <w:r>
        <w:t xml:space="preserve"> submit on a monthly basis. It includes indicative examples of </w:t>
      </w:r>
      <w:r w:rsidR="0045729E">
        <w:t>the required complaint types</w:t>
      </w:r>
      <w:r>
        <w:t>.</w:t>
      </w:r>
    </w:p>
    <w:p w14:paraId="46F2DB5D" w14:textId="77777777" w:rsidR="0045729E" w:rsidRPr="001713B4" w:rsidRDefault="0045729E" w:rsidP="009A7D37">
      <w:pPr>
        <w:pStyle w:val="Textbox"/>
      </w:pPr>
    </w:p>
    <w:p w14:paraId="0BE60409" w14:textId="2C5DEE05" w:rsidR="00325023" w:rsidRPr="00137DB7" w:rsidRDefault="00325023" w:rsidP="00325023">
      <w:pPr>
        <w:pStyle w:val="Paragrapgh"/>
      </w:pPr>
      <w:r w:rsidRPr="00137DB7">
        <w:t xml:space="preserve">The purpose of the monthly templates is to collect </w:t>
      </w:r>
      <w:r w:rsidRPr="00F8544F">
        <w:t>information that allows for frequent monitoring of complaint trends and early spotting of possible issues.</w:t>
      </w:r>
      <w:r w:rsidRPr="00137DB7">
        <w:t xml:space="preserve"> These templates focus on received complaints and aim to </w:t>
      </w:r>
      <w:r w:rsidR="00A90021">
        <w:t>highlight</w:t>
      </w:r>
      <w:r w:rsidRPr="00137DB7">
        <w:t xml:space="preserve"> their complexity and underlying reasons. </w:t>
      </w:r>
    </w:p>
    <w:p w14:paraId="12357A74" w14:textId="742DDDE1" w:rsidR="00325023" w:rsidRPr="00F8544F" w:rsidRDefault="00325023" w:rsidP="00325023">
      <w:pPr>
        <w:pStyle w:val="Paragrapgh"/>
      </w:pPr>
      <w:r w:rsidRPr="00137DB7">
        <w:t xml:space="preserve">These are the </w:t>
      </w:r>
      <w:r>
        <w:t xml:space="preserve">sections </w:t>
      </w:r>
      <w:r w:rsidRPr="00137DB7">
        <w:t xml:space="preserve">included in the new monthly templates, which suppliers </w:t>
      </w:r>
      <w:r w:rsidR="00A90021">
        <w:t>must</w:t>
      </w:r>
      <w:r w:rsidRPr="00137DB7">
        <w:t xml:space="preserve"> </w:t>
      </w:r>
      <w:r w:rsidRPr="00F8544F">
        <w:t>submit separately for domestic and microbusiness customers:</w:t>
      </w:r>
    </w:p>
    <w:p w14:paraId="28A77BEC" w14:textId="77777777" w:rsidR="00325023" w:rsidRDefault="00325023" w:rsidP="002C59C5">
      <w:pPr>
        <w:pStyle w:val="Paragraphnumbered"/>
        <w:numPr>
          <w:ilvl w:val="0"/>
          <w:numId w:val="16"/>
        </w:numPr>
        <w:jc w:val="both"/>
      </w:pPr>
      <w:bookmarkStart w:id="41" w:name="_Toc502845890"/>
      <w:r>
        <w:t>Total number of complaints received, broken down by complaints resolved and unresolved by the end of the first working day and showing separately the repeat complaints received</w:t>
      </w:r>
      <w:bookmarkEnd w:id="41"/>
      <w:r>
        <w:t xml:space="preserve">  </w:t>
      </w:r>
    </w:p>
    <w:p w14:paraId="3C49E706" w14:textId="62291CF2" w:rsidR="00325023" w:rsidRDefault="00325023" w:rsidP="002C59C5">
      <w:pPr>
        <w:pStyle w:val="Paragraphnumbered"/>
        <w:numPr>
          <w:ilvl w:val="0"/>
          <w:numId w:val="16"/>
        </w:numPr>
        <w:jc w:val="both"/>
      </w:pPr>
      <w:bookmarkStart w:id="42" w:name="_Toc502845891"/>
      <w:r>
        <w:t>Total number of complaints received broken down by type (new</w:t>
      </w:r>
      <w:r w:rsidR="001B22C8">
        <w:t xml:space="preserve"> section relative to the existing </w:t>
      </w:r>
      <w:r w:rsidR="00030FF8">
        <w:t>requirements</w:t>
      </w:r>
      <w:r>
        <w:t>)</w:t>
      </w:r>
      <w:bookmarkEnd w:id="42"/>
    </w:p>
    <w:p w14:paraId="7A30A64C" w14:textId="77777777" w:rsidR="00325023" w:rsidRDefault="00325023" w:rsidP="002C59C5">
      <w:pPr>
        <w:pStyle w:val="ListParagraph"/>
        <w:numPr>
          <w:ilvl w:val="0"/>
          <w:numId w:val="16"/>
        </w:numPr>
        <w:spacing w:after="200" w:line="276" w:lineRule="auto"/>
        <w:jc w:val="both"/>
      </w:pPr>
      <w:r>
        <w:t xml:space="preserve">Number of customer accounts at the end of the month (to be provided separately for gas and electricity), which is instrumental to the calculation of the number of complaints </w:t>
      </w:r>
      <w:r w:rsidRPr="00833DAE">
        <w:t>received per 100,000 customer accounts</w:t>
      </w:r>
      <w:r w:rsidRPr="002F65E8">
        <w:t xml:space="preserve"> </w:t>
      </w:r>
      <w:r>
        <w:t>or 10,000 customer accounts if the supplier has less than 100,000 customers.</w:t>
      </w:r>
    </w:p>
    <w:p w14:paraId="6D566A45" w14:textId="5CD91013" w:rsidR="00A90021" w:rsidRDefault="00A90021" w:rsidP="00A90021">
      <w:pPr>
        <w:pStyle w:val="Paragrapgh"/>
      </w:pPr>
      <w:r>
        <w:t>A</w:t>
      </w:r>
      <w:r w:rsidRPr="00F8544F">
        <w:t xml:space="preserve">ll the above data </w:t>
      </w:r>
      <w:r>
        <w:t>is</w:t>
      </w:r>
      <w:r w:rsidRPr="00F8544F">
        <w:t xml:space="preserve"> already included in the current returns, with the exception of </w:t>
      </w:r>
      <w:r>
        <w:t>section B</w:t>
      </w:r>
      <w:r w:rsidRPr="005A3837">
        <w:t xml:space="preserve">, which </w:t>
      </w:r>
      <w:r>
        <w:t>has new contents,</w:t>
      </w:r>
      <w:r w:rsidRPr="005A3837">
        <w:t xml:space="preserve"> as explained below</w:t>
      </w:r>
      <w:r w:rsidRPr="00232EAC">
        <w:t>.</w:t>
      </w:r>
    </w:p>
    <w:p w14:paraId="03FFD066" w14:textId="4345F1B4" w:rsidR="009A7D37" w:rsidRDefault="00325023" w:rsidP="00325023">
      <w:pPr>
        <w:pStyle w:val="Paragrapgh"/>
      </w:pPr>
      <w:r>
        <w:t>Appendix 1 shows the monthly return templates for domestic and microbusiness customers.</w:t>
      </w:r>
    </w:p>
    <w:p w14:paraId="07EA8664" w14:textId="3C9C8404" w:rsidR="009A7D37" w:rsidRDefault="00325023" w:rsidP="009A7D37">
      <w:pPr>
        <w:pStyle w:val="Heading2"/>
      </w:pPr>
      <w:bookmarkStart w:id="43" w:name="_Toc502845892"/>
      <w:r>
        <w:t>Section A</w:t>
      </w:r>
      <w:bookmarkEnd w:id="43"/>
    </w:p>
    <w:p w14:paraId="2BDC69B4" w14:textId="77777777" w:rsidR="001B22C8" w:rsidRDefault="00325023" w:rsidP="00325023">
      <w:pPr>
        <w:pStyle w:val="Paragrapgh"/>
      </w:pPr>
      <w:r w:rsidRPr="00325023">
        <w:t>Section (A) includes items A1-A4</w:t>
      </w:r>
      <w:r w:rsidR="001B22C8">
        <w:t>.</w:t>
      </w:r>
    </w:p>
    <w:p w14:paraId="583F467A" w14:textId="46A58889" w:rsidR="00325023" w:rsidRDefault="001B22C8" w:rsidP="00325023">
      <w:pPr>
        <w:pStyle w:val="Paragrapgh"/>
      </w:pPr>
      <w:r>
        <w:lastRenderedPageBreak/>
        <w:t>I</w:t>
      </w:r>
      <w:r w:rsidR="00325023" w:rsidRPr="00BE0355">
        <w:t xml:space="preserve">tem </w:t>
      </w:r>
      <w:r w:rsidR="00325023">
        <w:t>A1</w:t>
      </w:r>
      <w:r w:rsidR="00325023" w:rsidRPr="00BE0355">
        <w:t xml:space="preserve"> ‘</w:t>
      </w:r>
      <w:r w:rsidR="00173DE6">
        <w:t>Total number of c</w:t>
      </w:r>
      <w:r w:rsidR="00325023" w:rsidRPr="00BE0355">
        <w:t xml:space="preserve">omplaints received’ </w:t>
      </w:r>
      <w:r w:rsidR="00D1495F">
        <w:t>must</w:t>
      </w:r>
      <w:r w:rsidR="00325023">
        <w:t xml:space="preserve"> result from adding up data item A2 ‘Complaints received during the relevant reporting month that were resolved by the end of the first working day after the complaint was received’ and data item A3 ‘Complaints that were not resolved by the end of the first working day after the complaint was received’</w:t>
      </w:r>
      <w:r>
        <w:t xml:space="preserve">. The latter </w:t>
      </w:r>
      <w:r w:rsidR="00D1495F">
        <w:t>must</w:t>
      </w:r>
      <w:r w:rsidR="00325023">
        <w:t xml:space="preserve"> </w:t>
      </w:r>
      <w:r>
        <w:t xml:space="preserve">include complaints </w:t>
      </w:r>
      <w:r w:rsidR="00325023">
        <w:t xml:space="preserve">that took longer than one working day to resolve, including those that remained unresolved by the end of the relevant reporting month. </w:t>
      </w:r>
    </w:p>
    <w:p w14:paraId="0E7F8D9D" w14:textId="1A9CB801" w:rsidR="00325023" w:rsidRDefault="00325023" w:rsidP="00325023">
      <w:pPr>
        <w:pStyle w:val="Paragrapgh"/>
      </w:pPr>
      <w:r>
        <w:t>The total number of c</w:t>
      </w:r>
      <w:r w:rsidRPr="00484069">
        <w:t xml:space="preserve">omplaints received </w:t>
      </w:r>
      <w:r w:rsidR="00D1495F">
        <w:t>must</w:t>
      </w:r>
      <w:r w:rsidRPr="00484069">
        <w:t xml:space="preserve"> include</w:t>
      </w:r>
      <w:r>
        <w:t xml:space="preserve"> data on complaints </w:t>
      </w:r>
      <w:r w:rsidRPr="00484069">
        <w:t xml:space="preserve">made </w:t>
      </w:r>
      <w:r>
        <w:t xml:space="preserve">by consumers or by persons acting on behalf of such consumers as per CHR 2. In particular, reported data </w:t>
      </w:r>
      <w:r w:rsidR="00D1495F">
        <w:t>must</w:t>
      </w:r>
      <w:r>
        <w:t xml:space="preserve"> include complaints made on consumers’ behalf by Citizens Advice Consumer Service (CACS) and Citizens Advice Extra Help Unit (EHU), where contacts were made in relation to new complaints. In order to avoid duplications, Citizens Advice’s referrals </w:t>
      </w:r>
      <w:r w:rsidR="00D1495F">
        <w:t>must</w:t>
      </w:r>
      <w:r>
        <w:t xml:space="preserve"> not be included in received complaints in those cases where the customer had also raised the same complaint directly with the supplier</w:t>
      </w:r>
      <w:r w:rsidR="00FD6415">
        <w:t xml:space="preserve">, and </w:t>
      </w:r>
      <w:r w:rsidR="00D15E2F">
        <w:t>vice versa</w:t>
      </w:r>
      <w:r>
        <w:t xml:space="preserve">. Complaints received </w:t>
      </w:r>
      <w:r w:rsidR="00D1495F">
        <w:t>must not</w:t>
      </w:r>
      <w:r>
        <w:t xml:space="preserve"> include data on the number of cases taken by the Ombudsman</w:t>
      </w:r>
      <w:r w:rsidR="001B22C8">
        <w:t>, as they would duplicate the complaints originally sent by the complainant to the supplier</w:t>
      </w:r>
      <w:r>
        <w:t>.</w:t>
      </w:r>
    </w:p>
    <w:p w14:paraId="4E688AF7" w14:textId="371620DB" w:rsidR="00325023" w:rsidRDefault="00325023" w:rsidP="00325023">
      <w:pPr>
        <w:pStyle w:val="Paragrapgh"/>
      </w:pPr>
      <w:r>
        <w:t xml:space="preserve">The total number of complaints received </w:t>
      </w:r>
      <w:r w:rsidR="00D1495F">
        <w:t>must</w:t>
      </w:r>
      <w:r>
        <w:t xml:space="preserve"> include </w:t>
      </w:r>
      <w:r w:rsidRPr="00BE0355">
        <w:t xml:space="preserve">‘Repeat complaints’, </w:t>
      </w:r>
      <w:r w:rsidR="00D15E2F" w:rsidRPr="00BE0355">
        <w:t>i.e.</w:t>
      </w:r>
      <w:r>
        <w:t xml:space="preserve"> those </w:t>
      </w:r>
      <w:r w:rsidRPr="00E74F12">
        <w:t xml:space="preserve">complaints that the supplier recorded as resolved, but that the complainant subsequently contacted the supplier about, which indicates that it is not resolved, as per CHR 4(6)(a). </w:t>
      </w:r>
      <w:r>
        <w:t xml:space="preserve">Suppliers </w:t>
      </w:r>
      <w:r w:rsidR="00D1495F">
        <w:t>must</w:t>
      </w:r>
      <w:r>
        <w:t xml:space="preserve"> also report the number of </w:t>
      </w:r>
      <w:r w:rsidRPr="00E74F12">
        <w:t>repeat complaints</w:t>
      </w:r>
      <w:r>
        <w:t xml:space="preserve"> separately as data item A4. </w:t>
      </w:r>
      <w:r w:rsidRPr="00B01E2D">
        <w:t>For the purpose of reporting under this guidance, there is no distinction between re-opened and repeat complaints.</w:t>
      </w:r>
    </w:p>
    <w:p w14:paraId="30EE9A25" w14:textId="2BAF8013" w:rsidR="00325023" w:rsidRDefault="00325023" w:rsidP="00325023">
      <w:pPr>
        <w:pStyle w:val="Heading2"/>
      </w:pPr>
      <w:bookmarkStart w:id="44" w:name="_Toc502845893"/>
      <w:r>
        <w:t>Section B</w:t>
      </w:r>
      <w:bookmarkEnd w:id="44"/>
    </w:p>
    <w:p w14:paraId="4B79CD20" w14:textId="0355482B" w:rsidR="00FD6415" w:rsidRDefault="007B0C7C" w:rsidP="001018F2">
      <w:pPr>
        <w:pStyle w:val="Paragrapgh"/>
      </w:pPr>
      <w:r w:rsidRPr="007B0C7C">
        <w:t xml:space="preserve">Section (B) ‘Complaints received by type’ </w:t>
      </w:r>
      <w:r w:rsidR="002958D0">
        <w:t>is made of</w:t>
      </w:r>
      <w:r w:rsidRPr="007B0C7C">
        <w:t xml:space="preserve"> items B5-B23</w:t>
      </w:r>
      <w:r w:rsidR="00665D0B">
        <w:t xml:space="preserve"> </w:t>
      </w:r>
      <w:r w:rsidR="002958D0">
        <w:t xml:space="preserve">in the </w:t>
      </w:r>
      <w:r w:rsidR="00665D0B">
        <w:t>domestic template and items B5-B22</w:t>
      </w:r>
      <w:r w:rsidR="002958D0">
        <w:t xml:space="preserve"> in the microbusiness template</w:t>
      </w:r>
      <w:r w:rsidRPr="00673652">
        <w:t xml:space="preserve">. </w:t>
      </w:r>
      <w:r w:rsidR="00FD6415">
        <w:t>T</w:t>
      </w:r>
      <w:r w:rsidRPr="00987037">
        <w:t xml:space="preserve">his is a breakdown of </w:t>
      </w:r>
      <w:r w:rsidR="00723394">
        <w:t xml:space="preserve">received complaints </w:t>
      </w:r>
      <w:r w:rsidRPr="001D6B96">
        <w:t xml:space="preserve">into the main </w:t>
      </w:r>
      <w:r w:rsidR="005114B6">
        <w:t>motives</w:t>
      </w:r>
      <w:r w:rsidRPr="001D6B96">
        <w:t xml:space="preserve"> that led</w:t>
      </w:r>
      <w:r w:rsidR="00385464">
        <w:t xml:space="preserve"> customers</w:t>
      </w:r>
      <w:r>
        <w:t xml:space="preserve"> </w:t>
      </w:r>
      <w:r w:rsidR="005114B6">
        <w:t xml:space="preserve">to </w:t>
      </w:r>
      <w:r w:rsidR="00385464">
        <w:t xml:space="preserve">raise </w:t>
      </w:r>
      <w:r w:rsidR="002958D0">
        <w:t>these</w:t>
      </w:r>
      <w:r w:rsidR="00A90021">
        <w:t xml:space="preserve"> complaints</w:t>
      </w:r>
      <w:r>
        <w:t xml:space="preserve">. In order to make the classification as comparable as possible across suppliers, the template provides 18 categories that suppliers </w:t>
      </w:r>
      <w:r w:rsidR="00385464">
        <w:t>must</w:t>
      </w:r>
      <w:r>
        <w:t xml:space="preserve"> use</w:t>
      </w:r>
      <w:r w:rsidR="00385464">
        <w:t xml:space="preserve"> for reporting complaints to us</w:t>
      </w:r>
      <w:r>
        <w:t xml:space="preserve">. </w:t>
      </w:r>
      <w:r w:rsidR="00CA4BCD">
        <w:t>Table 1</w:t>
      </w:r>
      <w:r w:rsidR="00CA4BCD" w:rsidRPr="00D23FF6">
        <w:t xml:space="preserve"> provides explanations and detailed examples of the complaints that suppliers </w:t>
      </w:r>
      <w:r w:rsidR="00D1495F">
        <w:t>must</w:t>
      </w:r>
      <w:r w:rsidR="00CA4BCD" w:rsidRPr="00D23FF6">
        <w:t xml:space="preserve"> include </w:t>
      </w:r>
      <w:r w:rsidR="00CA4BCD">
        <w:t>under</w:t>
      </w:r>
      <w:r w:rsidR="00CA4BCD" w:rsidRPr="00D23FF6">
        <w:t xml:space="preserve"> each categor</w:t>
      </w:r>
      <w:r w:rsidR="00CA4BCD">
        <w:t>y</w:t>
      </w:r>
      <w:r w:rsidR="00CA4BCD" w:rsidRPr="00D23FF6">
        <w:t>.</w:t>
      </w:r>
      <w:r w:rsidR="00CA4BCD">
        <w:t xml:space="preserve"> </w:t>
      </w:r>
      <w:r w:rsidR="00385464">
        <w:t>Most of t</w:t>
      </w:r>
      <w:r>
        <w:t>hese categories</w:t>
      </w:r>
      <w:r w:rsidR="00CA4BCD">
        <w:t>, such as billing, customer service, payments and switching,</w:t>
      </w:r>
      <w:r>
        <w:t xml:space="preserve"> are broadly in line with those </w:t>
      </w:r>
      <w:r w:rsidR="00596BE9">
        <w:t>traditionally</w:t>
      </w:r>
      <w:r>
        <w:t xml:space="preserve"> </w:t>
      </w:r>
      <w:r w:rsidR="00385464">
        <w:t>published</w:t>
      </w:r>
      <w:r>
        <w:t xml:space="preserve"> by</w:t>
      </w:r>
      <w:r w:rsidR="00385464">
        <w:t xml:space="preserve"> suppliers on their websites, as well as</w:t>
      </w:r>
      <w:r w:rsidR="00596BE9">
        <w:t xml:space="preserve"> with those</w:t>
      </w:r>
      <w:r w:rsidR="00385464">
        <w:t xml:space="preserve"> used by</w:t>
      </w:r>
      <w:r>
        <w:t xml:space="preserve"> Citizens Advice and the Ombudsman to classify the complaints they receive</w:t>
      </w:r>
      <w:r w:rsidR="00385464">
        <w:t xml:space="preserve"> directly</w:t>
      </w:r>
      <w:r>
        <w:t xml:space="preserve"> from consumers. </w:t>
      </w:r>
      <w:r w:rsidR="002958D0">
        <w:t>We have also included newer</w:t>
      </w:r>
      <w:r w:rsidR="00CA4BCD">
        <w:t xml:space="preserve"> complaint types</w:t>
      </w:r>
      <w:r w:rsidR="00A90021">
        <w:t xml:space="preserve"> that</w:t>
      </w:r>
      <w:r w:rsidR="00CA4BCD">
        <w:t xml:space="preserve"> relate to smart meters, prepayment and intermediaries, so to capture more </w:t>
      </w:r>
      <w:r w:rsidR="00596BE9">
        <w:t>topical</w:t>
      </w:r>
      <w:r w:rsidR="00CA4BCD">
        <w:t xml:space="preserve"> issues </w:t>
      </w:r>
      <w:r w:rsidR="002958D0">
        <w:t xml:space="preserve">that consumers may face </w:t>
      </w:r>
      <w:r w:rsidR="00CA4BCD">
        <w:t xml:space="preserve">in the energy market.   </w:t>
      </w:r>
    </w:p>
    <w:p w14:paraId="1581EB83" w14:textId="59970682" w:rsidR="003104CE" w:rsidRPr="00CC46F6" w:rsidRDefault="00385464" w:rsidP="00D15E2F">
      <w:pPr>
        <w:pStyle w:val="Paragrapgh"/>
        <w:rPr>
          <w:i/>
          <w:iCs/>
        </w:rPr>
      </w:pPr>
      <w:r>
        <w:t>Item B23</w:t>
      </w:r>
      <w:r w:rsidR="002958D0">
        <w:t xml:space="preserve"> (B22 in the microbusiness template)</w:t>
      </w:r>
      <w:r w:rsidR="00723394">
        <w:t xml:space="preserve"> is the sum (automatically calculated) of items B5-B22</w:t>
      </w:r>
      <w:r w:rsidR="002958D0">
        <w:t xml:space="preserve"> (B5-B21 in the microbusiness template)</w:t>
      </w:r>
      <w:r w:rsidR="00723394">
        <w:t xml:space="preserve"> and</w:t>
      </w:r>
      <w:r>
        <w:t xml:space="preserve"> </w:t>
      </w:r>
      <w:r w:rsidR="00723394">
        <w:t>must</w:t>
      </w:r>
      <w:r>
        <w:t xml:space="preserve"> equal </w:t>
      </w:r>
      <w:r w:rsidR="00723394">
        <w:t xml:space="preserve">to </w:t>
      </w:r>
      <w:r>
        <w:t>item A1</w:t>
      </w:r>
      <w:r w:rsidR="00723394">
        <w:t xml:space="preserve"> </w:t>
      </w:r>
      <w:r w:rsidR="00723394" w:rsidRPr="00BE0355">
        <w:t>‘Complaints received’</w:t>
      </w:r>
      <w:r w:rsidR="00723394">
        <w:t>.</w:t>
      </w:r>
      <w:r w:rsidR="003104CE">
        <w:t xml:space="preserve"> I</w:t>
      </w:r>
      <w:r w:rsidR="00FD6415" w:rsidRPr="00385464">
        <w:t xml:space="preserve">n </w:t>
      </w:r>
      <w:r w:rsidR="00FD6415" w:rsidRPr="00385464">
        <w:lastRenderedPageBreak/>
        <w:t xml:space="preserve">those cases where, as part of a single contact with the supplier, the customer complains on matters that fall under different complaint types, the supplier </w:t>
      </w:r>
      <w:r w:rsidR="00482574">
        <w:t>will have to</w:t>
      </w:r>
      <w:r w:rsidR="00CC46F6">
        <w:t xml:space="preserve"> </w:t>
      </w:r>
      <w:r w:rsidR="003104CE">
        <w:t>identify</w:t>
      </w:r>
      <w:r w:rsidR="00CC46F6">
        <w:t xml:space="preserve"> </w:t>
      </w:r>
      <w:r w:rsidR="008128BA">
        <w:t>the</w:t>
      </w:r>
      <w:r w:rsidR="00CC46F6">
        <w:t xml:space="preserve"> most relevant complaint type(s) as separate complaint</w:t>
      </w:r>
      <w:r w:rsidR="00482574">
        <w:t>(s)</w:t>
      </w:r>
      <w:r w:rsidR="00CC46F6">
        <w:t xml:space="preserve">. Suppliers must keep record of </w:t>
      </w:r>
      <w:r w:rsidR="003104CE">
        <w:t xml:space="preserve">any other </w:t>
      </w:r>
      <w:r w:rsidR="0046045D">
        <w:t>additional</w:t>
      </w:r>
      <w:r w:rsidR="00CC46F6">
        <w:t xml:space="preserve"> </w:t>
      </w:r>
      <w:r w:rsidR="00482574">
        <w:t xml:space="preserve">subsidiary </w:t>
      </w:r>
      <w:r w:rsidR="0068479F">
        <w:t xml:space="preserve">complaint </w:t>
      </w:r>
      <w:r w:rsidR="003104CE">
        <w:t>types</w:t>
      </w:r>
      <w:r w:rsidR="008128BA">
        <w:t xml:space="preserve"> raised </w:t>
      </w:r>
      <w:r w:rsidR="0046045D">
        <w:t>during the same contact</w:t>
      </w:r>
      <w:r w:rsidR="008128BA">
        <w:t xml:space="preserve">. </w:t>
      </w:r>
      <w:r w:rsidR="00FD6415" w:rsidRPr="00385464">
        <w:t xml:space="preserve"> </w:t>
      </w:r>
    </w:p>
    <w:p w14:paraId="5B92DF67" w14:textId="0A84F210" w:rsidR="007B0C7C" w:rsidRDefault="007B0C7C" w:rsidP="007B0C7C">
      <w:pPr>
        <w:pStyle w:val="Paragrapgh"/>
      </w:pPr>
      <w:r>
        <w:t>Given the difficulty to foresee all possible circumstances/issues that may motivate a complaint, the template also includes a residual category</w:t>
      </w:r>
      <w:r w:rsidR="00596BE9">
        <w:t xml:space="preserve"> B22</w:t>
      </w:r>
      <w:r>
        <w:t xml:space="preserve"> ‘other’</w:t>
      </w:r>
      <w:r w:rsidR="002958D0">
        <w:t xml:space="preserve"> (B21 in the microbusiness template)</w:t>
      </w:r>
      <w:r>
        <w:t xml:space="preserve">, which </w:t>
      </w:r>
      <w:r w:rsidR="00596BE9">
        <w:t>must</w:t>
      </w:r>
      <w:r>
        <w:t xml:space="preserve"> cover, with an appropriate explanation, only those complaints that do not fit within any of the specified categories. We may consider removing </w:t>
      </w:r>
      <w:r w:rsidR="002958D0">
        <w:t>this</w:t>
      </w:r>
      <w:r>
        <w:t xml:space="preserve"> category in the future</w:t>
      </w:r>
      <w:r w:rsidR="005114B6">
        <w:t>, in the light of suppliers’ submissions</w:t>
      </w:r>
      <w:r>
        <w:t>.</w:t>
      </w:r>
    </w:p>
    <w:p w14:paraId="2C914D16" w14:textId="77777777" w:rsidR="007B0C7C" w:rsidRDefault="007B0C7C" w:rsidP="007B0C7C">
      <w:pPr>
        <w:pStyle w:val="Paragrapgh"/>
      </w:pPr>
      <w:r>
        <w:t xml:space="preserve">We will initially use complaint types data only for internal monitoring purposes. We will work with suppliers to understand any issues in implementing the new complaints categories consistently across the industry. </w:t>
      </w:r>
    </w:p>
    <w:p w14:paraId="5D47073A" w14:textId="27A48E9E" w:rsidR="007B0C7C" w:rsidRDefault="007B0C7C" w:rsidP="007B0C7C">
      <w:pPr>
        <w:pStyle w:val="Paragrapgh"/>
      </w:pPr>
      <w:r>
        <w:t xml:space="preserve">As shown in Appendix 1 the monthly templates for domestic and microbusiness customers contain the same complaint types, except for </w:t>
      </w:r>
      <w:r w:rsidR="00FB0987">
        <w:t>‘</w:t>
      </w:r>
      <w:r>
        <w:t>Feed-In Tariffs</w:t>
      </w:r>
      <w:r w:rsidR="00FB0987">
        <w:t>’, which only appears as</w:t>
      </w:r>
      <w:r>
        <w:t xml:space="preserve"> </w:t>
      </w:r>
      <w:r w:rsidR="00FB0987">
        <w:t>item B10 in the domestic template</w:t>
      </w:r>
      <w:r w:rsidR="00596BE9">
        <w:t xml:space="preserve">. </w:t>
      </w:r>
      <w:r w:rsidR="00B972CC">
        <w:t>The reason is that</w:t>
      </w:r>
      <w:r w:rsidR="005114B6">
        <w:t xml:space="preserve"> </w:t>
      </w:r>
      <w:r w:rsidR="00A90021">
        <w:t xml:space="preserve">non-domestic </w:t>
      </w:r>
      <w:r w:rsidR="00B972CC">
        <w:t xml:space="preserve">suppliers </w:t>
      </w:r>
      <w:r w:rsidR="00A90021">
        <w:t xml:space="preserve">have told us they </w:t>
      </w:r>
      <w:r w:rsidR="00B972CC">
        <w:t xml:space="preserve">cannot easily </w:t>
      </w:r>
      <w:r w:rsidR="00A90021">
        <w:t xml:space="preserve">identify </w:t>
      </w:r>
      <w:r w:rsidR="00B972CC">
        <w:t>whether feed-in tariff complaints</w:t>
      </w:r>
      <w:r w:rsidR="005114B6">
        <w:t xml:space="preserve"> </w:t>
      </w:r>
      <w:r w:rsidR="00B972CC">
        <w:t>come from</w:t>
      </w:r>
      <w:r w:rsidR="005114B6">
        <w:t xml:space="preserve"> microbusiness</w:t>
      </w:r>
      <w:r w:rsidR="00B972CC">
        <w:t>es</w:t>
      </w:r>
      <w:r w:rsidR="005114B6">
        <w:t xml:space="preserve"> </w:t>
      </w:r>
      <w:r w:rsidR="00B972CC">
        <w:t>or</w:t>
      </w:r>
      <w:r w:rsidR="005114B6">
        <w:t xml:space="preserve"> other </w:t>
      </w:r>
      <w:r w:rsidR="00B972CC">
        <w:t xml:space="preserve">larger </w:t>
      </w:r>
      <w:r w:rsidR="005114B6">
        <w:t>non-domestic customers</w:t>
      </w:r>
      <w:r>
        <w:t>.</w:t>
      </w:r>
    </w:p>
    <w:p w14:paraId="57E6D3BE" w14:textId="77777777" w:rsidR="005114B6" w:rsidRDefault="005114B6" w:rsidP="005114B6">
      <w:pPr>
        <w:pStyle w:val="Paragrapgh"/>
        <w:numPr>
          <w:ilvl w:val="0"/>
          <w:numId w:val="0"/>
        </w:numPr>
      </w:pPr>
    </w:p>
    <w:p w14:paraId="623929DC" w14:textId="59BE5825" w:rsidR="007B0C7C" w:rsidRDefault="007B0C7C" w:rsidP="007B0C7C">
      <w:pPr>
        <w:pStyle w:val="Paragraphnumbered"/>
        <w:numPr>
          <w:ilvl w:val="0"/>
          <w:numId w:val="0"/>
        </w:numPr>
        <w:jc w:val="both"/>
        <w:rPr>
          <w:b/>
        </w:rPr>
      </w:pPr>
      <w:bookmarkStart w:id="45" w:name="_Toc502845894"/>
      <w:r w:rsidRPr="00987037">
        <w:rPr>
          <w:b/>
        </w:rPr>
        <w:t>Table 1. Indicative examples of complaint types</w:t>
      </w:r>
      <w:bookmarkEnd w:id="45"/>
      <w:r w:rsidR="002958D0">
        <w:rPr>
          <w:b/>
        </w:rPr>
        <w:t>*</w:t>
      </w:r>
    </w:p>
    <w:tbl>
      <w:tblPr>
        <w:tblStyle w:val="TableGrid"/>
        <w:tblW w:w="9322" w:type="dxa"/>
        <w:tblLook w:val="04A0" w:firstRow="1" w:lastRow="0" w:firstColumn="1" w:lastColumn="0" w:noHBand="0" w:noVBand="1"/>
      </w:tblPr>
      <w:tblGrid>
        <w:gridCol w:w="3085"/>
        <w:gridCol w:w="6237"/>
      </w:tblGrid>
      <w:tr w:rsidR="007B0C7C" w:rsidRPr="00232EAC" w14:paraId="1BB60FFA" w14:textId="77777777" w:rsidTr="00232EAC">
        <w:trPr>
          <w:tblHeader/>
        </w:trPr>
        <w:tc>
          <w:tcPr>
            <w:tcW w:w="3085" w:type="dxa"/>
            <w:shd w:val="clear" w:color="auto" w:fill="B8CCE4" w:themeFill="accent1" w:themeFillTint="66"/>
            <w:vAlign w:val="center"/>
          </w:tcPr>
          <w:p w14:paraId="65B22293" w14:textId="34747E8F" w:rsidR="007B0C7C" w:rsidRPr="00232EAC" w:rsidRDefault="007B0C7C" w:rsidP="00232EAC">
            <w:pPr>
              <w:pStyle w:val="Paragraphnumbered"/>
              <w:numPr>
                <w:ilvl w:val="0"/>
                <w:numId w:val="0"/>
              </w:numPr>
              <w:rPr>
                <w:b/>
                <w:sz w:val="18"/>
                <w:szCs w:val="18"/>
              </w:rPr>
            </w:pPr>
            <w:bookmarkStart w:id="46" w:name="_Toc502845895"/>
            <w:r w:rsidRPr="00232EAC">
              <w:rPr>
                <w:b/>
                <w:color w:val="000000"/>
                <w:sz w:val="18"/>
                <w:szCs w:val="18"/>
              </w:rPr>
              <w:t>Section B - Complaint type</w:t>
            </w:r>
            <w:r w:rsidRPr="00232EAC">
              <w:rPr>
                <w:b/>
                <w:bCs w:val="0"/>
                <w:color w:val="000000"/>
                <w:sz w:val="18"/>
                <w:szCs w:val="18"/>
              </w:rPr>
              <w:t>s</w:t>
            </w:r>
            <w:bookmarkEnd w:id="46"/>
          </w:p>
        </w:tc>
        <w:tc>
          <w:tcPr>
            <w:tcW w:w="6237" w:type="dxa"/>
            <w:shd w:val="clear" w:color="auto" w:fill="B8CCE4" w:themeFill="accent1" w:themeFillTint="66"/>
            <w:vAlign w:val="center"/>
          </w:tcPr>
          <w:p w14:paraId="65A667EE" w14:textId="77777777" w:rsidR="00232EAC" w:rsidRDefault="00232EAC" w:rsidP="00232EAC">
            <w:pPr>
              <w:rPr>
                <w:b/>
                <w:bCs/>
                <w:color w:val="000000"/>
                <w:sz w:val="18"/>
                <w:szCs w:val="18"/>
              </w:rPr>
            </w:pPr>
          </w:p>
          <w:p w14:paraId="41B2AB46" w14:textId="63B44AF7" w:rsidR="007B0C7C" w:rsidRDefault="007B0C7C" w:rsidP="00232EAC">
            <w:pPr>
              <w:rPr>
                <w:sz w:val="18"/>
                <w:szCs w:val="18"/>
              </w:rPr>
            </w:pPr>
            <w:r w:rsidRPr="00232EAC">
              <w:rPr>
                <w:b/>
                <w:bCs/>
                <w:color w:val="000000"/>
                <w:sz w:val="18"/>
                <w:szCs w:val="18"/>
              </w:rPr>
              <w:t xml:space="preserve">Description and examples of complaints under each category </w:t>
            </w:r>
            <w:r w:rsidRPr="00232EAC">
              <w:rPr>
                <w:bCs/>
                <w:color w:val="000000"/>
                <w:sz w:val="18"/>
                <w:szCs w:val="18"/>
              </w:rPr>
              <w:t>(thes</w:t>
            </w:r>
            <w:r w:rsidRPr="00232EAC">
              <w:rPr>
                <w:sz w:val="18"/>
                <w:szCs w:val="18"/>
              </w:rPr>
              <w:t xml:space="preserve">e are just examples, not sub-categories, and </w:t>
            </w:r>
            <w:r w:rsidR="00971A7C">
              <w:rPr>
                <w:sz w:val="18"/>
                <w:szCs w:val="18"/>
              </w:rPr>
              <w:t xml:space="preserve">should </w:t>
            </w:r>
            <w:r w:rsidR="00B972CC">
              <w:rPr>
                <w:sz w:val="18"/>
                <w:szCs w:val="18"/>
              </w:rPr>
              <w:t>not</w:t>
            </w:r>
            <w:r w:rsidRPr="00232EAC">
              <w:rPr>
                <w:sz w:val="18"/>
                <w:szCs w:val="18"/>
              </w:rPr>
              <w:t xml:space="preserve"> be considered as an exhaustive list of all possible complaint types).</w:t>
            </w:r>
          </w:p>
          <w:p w14:paraId="7DE5602D" w14:textId="254E2373" w:rsidR="00232EAC" w:rsidRPr="00232EAC" w:rsidRDefault="00232EAC" w:rsidP="00232EAC">
            <w:pPr>
              <w:rPr>
                <w:b/>
                <w:sz w:val="18"/>
                <w:szCs w:val="18"/>
              </w:rPr>
            </w:pPr>
          </w:p>
        </w:tc>
      </w:tr>
      <w:tr w:rsidR="007B0C7C" w:rsidRPr="00232EAC" w14:paraId="757A19F7" w14:textId="77777777" w:rsidTr="00232EAC">
        <w:tc>
          <w:tcPr>
            <w:tcW w:w="3085" w:type="dxa"/>
          </w:tcPr>
          <w:p w14:paraId="3F57D38F" w14:textId="684D845E" w:rsidR="007B0C7C" w:rsidRPr="00D15E2F" w:rsidRDefault="007B0C7C" w:rsidP="00232EAC">
            <w:pPr>
              <w:pStyle w:val="Paragraphnumbered"/>
              <w:numPr>
                <w:ilvl w:val="0"/>
                <w:numId w:val="0"/>
              </w:numPr>
              <w:rPr>
                <w:color w:val="000000"/>
                <w:sz w:val="18"/>
                <w:szCs w:val="18"/>
              </w:rPr>
            </w:pPr>
            <w:bookmarkStart w:id="47" w:name="_Toc502845896"/>
            <w:r w:rsidRPr="00232EAC">
              <w:rPr>
                <w:color w:val="000000"/>
                <w:sz w:val="18"/>
                <w:szCs w:val="18"/>
              </w:rPr>
              <w:t xml:space="preserve">B5 - Debt and debt related disconnections – non </w:t>
            </w:r>
            <w:r w:rsidR="005114B6">
              <w:rPr>
                <w:color w:val="000000"/>
                <w:sz w:val="18"/>
                <w:szCs w:val="18"/>
              </w:rPr>
              <w:t>prepayment (</w:t>
            </w:r>
            <w:r w:rsidRPr="00232EAC">
              <w:rPr>
                <w:color w:val="000000"/>
                <w:sz w:val="18"/>
                <w:szCs w:val="18"/>
              </w:rPr>
              <w:t>PPM</w:t>
            </w:r>
            <w:r w:rsidR="005114B6">
              <w:rPr>
                <w:color w:val="000000"/>
                <w:sz w:val="18"/>
                <w:szCs w:val="18"/>
              </w:rPr>
              <w:t>)</w:t>
            </w:r>
            <w:r w:rsidRPr="00232EAC">
              <w:rPr>
                <w:color w:val="000000"/>
                <w:sz w:val="18"/>
                <w:szCs w:val="18"/>
              </w:rPr>
              <w:t xml:space="preserve"> related</w:t>
            </w:r>
            <w:bookmarkEnd w:id="47"/>
          </w:p>
        </w:tc>
        <w:tc>
          <w:tcPr>
            <w:tcW w:w="6237" w:type="dxa"/>
          </w:tcPr>
          <w:p w14:paraId="71CCD2CF" w14:textId="77777777" w:rsidR="007B0C7C" w:rsidRPr="00232EAC" w:rsidRDefault="007B0C7C" w:rsidP="007B0C7C">
            <w:pPr>
              <w:rPr>
                <w:color w:val="000000"/>
                <w:sz w:val="18"/>
                <w:szCs w:val="18"/>
              </w:rPr>
            </w:pPr>
            <w:r w:rsidRPr="00232EAC">
              <w:rPr>
                <w:color w:val="000000"/>
                <w:sz w:val="18"/>
                <w:szCs w:val="18"/>
              </w:rPr>
              <w:t>Any disconnection and debt repayment/management/collection issues that are not related with a prepayment meter</w:t>
            </w:r>
          </w:p>
          <w:p w14:paraId="59C044D6" w14:textId="77777777" w:rsidR="007B0C7C" w:rsidRPr="00232EAC" w:rsidRDefault="007B0C7C" w:rsidP="007B0C7C">
            <w:pPr>
              <w:rPr>
                <w:color w:val="000000"/>
                <w:sz w:val="18"/>
                <w:szCs w:val="18"/>
              </w:rPr>
            </w:pPr>
          </w:p>
          <w:p w14:paraId="401DA67A" w14:textId="77777777" w:rsidR="007B0C7C" w:rsidRPr="00232EAC" w:rsidRDefault="007B0C7C" w:rsidP="007B0C7C">
            <w:pPr>
              <w:rPr>
                <w:b/>
                <w:color w:val="000000"/>
                <w:sz w:val="18"/>
                <w:szCs w:val="18"/>
              </w:rPr>
            </w:pPr>
            <w:r w:rsidRPr="00232EAC">
              <w:rPr>
                <w:b/>
                <w:color w:val="000000"/>
                <w:sz w:val="18"/>
                <w:szCs w:val="18"/>
              </w:rPr>
              <w:t>Examples:</w:t>
            </w:r>
          </w:p>
          <w:p w14:paraId="4C885CE7" w14:textId="1B69F06D" w:rsidR="007B0C7C" w:rsidRPr="00232EAC" w:rsidRDefault="007B0C7C" w:rsidP="007B0C7C">
            <w:pPr>
              <w:rPr>
                <w:color w:val="000000"/>
                <w:sz w:val="18"/>
                <w:szCs w:val="18"/>
              </w:rPr>
            </w:pPr>
            <w:r w:rsidRPr="00232EAC">
              <w:rPr>
                <w:color w:val="000000"/>
                <w:sz w:val="18"/>
                <w:szCs w:val="18"/>
              </w:rPr>
              <w:t>Disconnection – Remote disconnection – On-site disconnection – Unsuitable or unaffordable payment scheme to cover debt – Debt recovery practices – Unsuitable repayment methods/scheme – Disconnection not following due process – Vulnerable consumers disconnected – Debt management and debt collection issues -  Payment issues linked with debt collection activities</w:t>
            </w:r>
          </w:p>
          <w:p w14:paraId="275BE49A" w14:textId="77777777" w:rsidR="007B0C7C" w:rsidRPr="00232EAC" w:rsidRDefault="007B0C7C" w:rsidP="007B0C7C">
            <w:pPr>
              <w:rPr>
                <w:b/>
                <w:bCs/>
                <w:color w:val="000000"/>
                <w:sz w:val="18"/>
                <w:szCs w:val="18"/>
              </w:rPr>
            </w:pPr>
          </w:p>
        </w:tc>
      </w:tr>
      <w:tr w:rsidR="007B0C7C" w:rsidRPr="00232EAC" w14:paraId="703744CA" w14:textId="77777777" w:rsidTr="00232EAC">
        <w:tc>
          <w:tcPr>
            <w:tcW w:w="3085" w:type="dxa"/>
          </w:tcPr>
          <w:p w14:paraId="60419BF3" w14:textId="2FD77130" w:rsidR="007B0C7C" w:rsidRPr="00232EAC" w:rsidRDefault="007B0C7C" w:rsidP="00232EAC">
            <w:pPr>
              <w:pStyle w:val="Paragraphnumbered"/>
              <w:numPr>
                <w:ilvl w:val="0"/>
                <w:numId w:val="0"/>
              </w:numPr>
              <w:rPr>
                <w:color w:val="000000"/>
                <w:sz w:val="18"/>
                <w:szCs w:val="18"/>
              </w:rPr>
            </w:pPr>
            <w:bookmarkStart w:id="48" w:name="_Toc502845897"/>
            <w:r w:rsidRPr="00232EAC">
              <w:rPr>
                <w:color w:val="000000"/>
                <w:sz w:val="18"/>
                <w:szCs w:val="18"/>
              </w:rPr>
              <w:lastRenderedPageBreak/>
              <w:t xml:space="preserve">B6 - Debt and debt related disconnections – </w:t>
            </w:r>
            <w:r w:rsidR="005114B6">
              <w:rPr>
                <w:color w:val="000000"/>
                <w:sz w:val="18"/>
                <w:szCs w:val="18"/>
              </w:rPr>
              <w:t>prepayment (</w:t>
            </w:r>
            <w:r w:rsidRPr="00232EAC">
              <w:rPr>
                <w:color w:val="000000"/>
                <w:sz w:val="18"/>
                <w:szCs w:val="18"/>
              </w:rPr>
              <w:t>PPM</w:t>
            </w:r>
            <w:r w:rsidR="005114B6">
              <w:rPr>
                <w:color w:val="000000"/>
                <w:sz w:val="18"/>
                <w:szCs w:val="18"/>
              </w:rPr>
              <w:t>)</w:t>
            </w:r>
            <w:r w:rsidRPr="00232EAC">
              <w:rPr>
                <w:color w:val="000000"/>
                <w:sz w:val="18"/>
                <w:szCs w:val="18"/>
              </w:rPr>
              <w:t xml:space="preserve"> related</w:t>
            </w:r>
            <w:bookmarkEnd w:id="48"/>
          </w:p>
        </w:tc>
        <w:tc>
          <w:tcPr>
            <w:tcW w:w="6237" w:type="dxa"/>
          </w:tcPr>
          <w:p w14:paraId="5139FDFC" w14:textId="77777777" w:rsidR="007B0C7C" w:rsidRPr="00232EAC" w:rsidRDefault="007B0C7C" w:rsidP="007B0C7C">
            <w:pPr>
              <w:rPr>
                <w:color w:val="000000"/>
                <w:sz w:val="18"/>
                <w:szCs w:val="18"/>
              </w:rPr>
            </w:pPr>
            <w:r w:rsidRPr="00232EAC">
              <w:rPr>
                <w:color w:val="000000"/>
                <w:sz w:val="18"/>
                <w:szCs w:val="18"/>
              </w:rPr>
              <w:t>Any disconnection and debt repayment/management/collection issues that are related with a prepayment meter</w:t>
            </w:r>
          </w:p>
          <w:p w14:paraId="38D187BC" w14:textId="77777777" w:rsidR="007B0C7C" w:rsidRPr="00232EAC" w:rsidRDefault="007B0C7C" w:rsidP="007B0C7C">
            <w:pPr>
              <w:rPr>
                <w:color w:val="000000"/>
                <w:sz w:val="18"/>
                <w:szCs w:val="18"/>
              </w:rPr>
            </w:pPr>
          </w:p>
          <w:p w14:paraId="5951134F" w14:textId="77777777" w:rsidR="007B0C7C" w:rsidRPr="00232EAC" w:rsidRDefault="007B0C7C" w:rsidP="007B0C7C">
            <w:pPr>
              <w:rPr>
                <w:b/>
                <w:color w:val="000000"/>
                <w:sz w:val="18"/>
                <w:szCs w:val="18"/>
              </w:rPr>
            </w:pPr>
            <w:r w:rsidRPr="00232EAC">
              <w:rPr>
                <w:b/>
                <w:color w:val="000000"/>
                <w:sz w:val="18"/>
                <w:szCs w:val="18"/>
              </w:rPr>
              <w:t>Examples:</w:t>
            </w:r>
          </w:p>
          <w:p w14:paraId="165E99A4" w14:textId="2D7853E2" w:rsidR="007B0C7C" w:rsidRPr="00232EAC" w:rsidRDefault="007B0C7C" w:rsidP="007B0C7C">
            <w:pPr>
              <w:rPr>
                <w:color w:val="000000"/>
                <w:sz w:val="18"/>
                <w:szCs w:val="18"/>
              </w:rPr>
            </w:pPr>
            <w:r w:rsidRPr="00232EAC">
              <w:rPr>
                <w:color w:val="000000"/>
                <w:sz w:val="18"/>
                <w:szCs w:val="18"/>
              </w:rPr>
              <w:t xml:space="preserve">Disconnection/forced PPM without proper process – Disconnection/forced PPM in error </w:t>
            </w:r>
            <w:r w:rsidR="008128BA">
              <w:rPr>
                <w:color w:val="000000"/>
                <w:sz w:val="18"/>
                <w:szCs w:val="18"/>
              </w:rPr>
              <w:t>– PPM warrant issues – PPM self-</w:t>
            </w:r>
            <w:r w:rsidRPr="00232EAC">
              <w:rPr>
                <w:color w:val="000000"/>
                <w:sz w:val="18"/>
                <w:szCs w:val="18"/>
              </w:rPr>
              <w:t xml:space="preserve">disconnection - Any of the issues mentioned in B5 that is related with PPM </w:t>
            </w:r>
          </w:p>
          <w:p w14:paraId="5008AE51" w14:textId="77777777" w:rsidR="007B0C7C" w:rsidRPr="00232EAC" w:rsidRDefault="007B0C7C" w:rsidP="007B0C7C">
            <w:pPr>
              <w:rPr>
                <w:color w:val="000000"/>
                <w:sz w:val="18"/>
                <w:szCs w:val="18"/>
              </w:rPr>
            </w:pPr>
          </w:p>
        </w:tc>
      </w:tr>
      <w:tr w:rsidR="007B0C7C" w:rsidRPr="00232EAC" w14:paraId="1A273FAA" w14:textId="77777777" w:rsidTr="00232EAC">
        <w:tc>
          <w:tcPr>
            <w:tcW w:w="3085" w:type="dxa"/>
          </w:tcPr>
          <w:p w14:paraId="5E8A846C" w14:textId="6EC21972" w:rsidR="007B0C7C" w:rsidRPr="00232EAC" w:rsidRDefault="007B0C7C" w:rsidP="00232EAC">
            <w:pPr>
              <w:pStyle w:val="Paragraphnumbered"/>
              <w:numPr>
                <w:ilvl w:val="0"/>
                <w:numId w:val="0"/>
              </w:numPr>
              <w:rPr>
                <w:color w:val="000000"/>
                <w:sz w:val="18"/>
                <w:szCs w:val="18"/>
              </w:rPr>
            </w:pPr>
            <w:bookmarkStart w:id="49" w:name="_Toc502845898"/>
            <w:r w:rsidRPr="00232EAC">
              <w:rPr>
                <w:color w:val="000000"/>
                <w:sz w:val="18"/>
                <w:szCs w:val="18"/>
              </w:rPr>
              <w:t>B7 - Sales &amp; Marketing – sales directly between supplier and customer</w:t>
            </w:r>
            <w:bookmarkEnd w:id="49"/>
          </w:p>
        </w:tc>
        <w:tc>
          <w:tcPr>
            <w:tcW w:w="6237" w:type="dxa"/>
          </w:tcPr>
          <w:p w14:paraId="27572F90" w14:textId="162A9847" w:rsidR="007B0C7C" w:rsidRPr="00232EAC" w:rsidRDefault="007B0C7C" w:rsidP="007B0C7C">
            <w:pPr>
              <w:rPr>
                <w:color w:val="000000"/>
                <w:sz w:val="18"/>
                <w:szCs w:val="18"/>
              </w:rPr>
            </w:pPr>
            <w:r w:rsidRPr="00232EAC">
              <w:rPr>
                <w:color w:val="000000"/>
                <w:sz w:val="18"/>
                <w:szCs w:val="18"/>
              </w:rPr>
              <w:t>Any issues related with selling and marketing activit</w:t>
            </w:r>
            <w:r w:rsidR="00B972CC">
              <w:rPr>
                <w:color w:val="000000"/>
                <w:sz w:val="18"/>
                <w:szCs w:val="18"/>
              </w:rPr>
              <w:t>i</w:t>
            </w:r>
            <w:r w:rsidRPr="00232EAC">
              <w:rPr>
                <w:color w:val="000000"/>
                <w:sz w:val="18"/>
                <w:szCs w:val="18"/>
              </w:rPr>
              <w:t xml:space="preserve">es carried out </w:t>
            </w:r>
            <w:r w:rsidR="00B972CC" w:rsidRPr="00232EAC">
              <w:rPr>
                <w:color w:val="000000"/>
                <w:sz w:val="18"/>
                <w:szCs w:val="18"/>
              </w:rPr>
              <w:t>by the supplier</w:t>
            </w:r>
            <w:r w:rsidR="00B972CC">
              <w:rPr>
                <w:color w:val="000000"/>
                <w:sz w:val="18"/>
                <w:szCs w:val="18"/>
              </w:rPr>
              <w:t xml:space="preserve"> or directly outsourced via a</w:t>
            </w:r>
            <w:r w:rsidR="00A90021">
              <w:rPr>
                <w:color w:val="000000"/>
                <w:sz w:val="18"/>
                <w:szCs w:val="18"/>
              </w:rPr>
              <w:t xml:space="preserve"> supplier’s</w:t>
            </w:r>
            <w:r w:rsidR="00B972CC">
              <w:rPr>
                <w:color w:val="000000"/>
                <w:sz w:val="18"/>
                <w:szCs w:val="18"/>
              </w:rPr>
              <w:t xml:space="preserve"> subcontractor</w:t>
            </w:r>
          </w:p>
          <w:p w14:paraId="56C8789C" w14:textId="77777777" w:rsidR="007B0C7C" w:rsidRPr="00232EAC" w:rsidRDefault="007B0C7C" w:rsidP="007B0C7C">
            <w:pPr>
              <w:rPr>
                <w:color w:val="000000"/>
                <w:sz w:val="18"/>
                <w:szCs w:val="18"/>
              </w:rPr>
            </w:pPr>
          </w:p>
          <w:p w14:paraId="63C7D595" w14:textId="77777777" w:rsidR="007B0C7C" w:rsidRPr="00232EAC" w:rsidRDefault="007B0C7C" w:rsidP="007B0C7C">
            <w:pPr>
              <w:rPr>
                <w:b/>
                <w:color w:val="000000"/>
                <w:sz w:val="18"/>
                <w:szCs w:val="18"/>
              </w:rPr>
            </w:pPr>
            <w:r w:rsidRPr="00232EAC">
              <w:rPr>
                <w:b/>
                <w:color w:val="000000"/>
                <w:sz w:val="18"/>
                <w:szCs w:val="18"/>
              </w:rPr>
              <w:t>Examples:</w:t>
            </w:r>
          </w:p>
          <w:p w14:paraId="045997F7" w14:textId="3CBB66A5" w:rsidR="007B0C7C" w:rsidRPr="00232EAC" w:rsidRDefault="007B0C7C" w:rsidP="007B0C7C">
            <w:pPr>
              <w:rPr>
                <w:color w:val="000000"/>
                <w:sz w:val="18"/>
                <w:szCs w:val="18"/>
              </w:rPr>
            </w:pPr>
            <w:r w:rsidRPr="00232EAC">
              <w:rPr>
                <w:color w:val="000000"/>
                <w:sz w:val="18"/>
                <w:szCs w:val="18"/>
              </w:rPr>
              <w:t xml:space="preserve">Mis-selling: face to face – Mis-selling: telephone – Mis-selling: online – Fraud – Contract renewal – Mis-information – Inappropriate sales agent behaviour – Marketing activity – Sale related request not actioned – Sales attempt during meter installation - Too few tariffs available -Too many tariffs available – Customer told they </w:t>
            </w:r>
            <w:r w:rsidR="00C43669">
              <w:rPr>
                <w:color w:val="000000"/>
                <w:sz w:val="18"/>
                <w:szCs w:val="18"/>
              </w:rPr>
              <w:t>“</w:t>
            </w:r>
            <w:r w:rsidRPr="00232EAC">
              <w:rPr>
                <w:color w:val="000000"/>
                <w:sz w:val="18"/>
                <w:szCs w:val="18"/>
              </w:rPr>
              <w:t>must</w:t>
            </w:r>
            <w:r w:rsidR="00C43669">
              <w:rPr>
                <w:color w:val="000000"/>
                <w:sz w:val="18"/>
                <w:szCs w:val="18"/>
              </w:rPr>
              <w:t>”</w:t>
            </w:r>
            <w:r w:rsidRPr="00232EAC">
              <w:rPr>
                <w:color w:val="000000"/>
                <w:sz w:val="18"/>
                <w:szCs w:val="18"/>
              </w:rPr>
              <w:t xml:space="preserve"> install a smart meter – Inaccurate information/sale practices related with installation of smart credit meters and smart PPM</w:t>
            </w:r>
          </w:p>
          <w:p w14:paraId="03070A44" w14:textId="77777777" w:rsidR="007B0C7C" w:rsidRPr="00232EAC" w:rsidRDefault="007B0C7C" w:rsidP="007B0C7C">
            <w:pPr>
              <w:rPr>
                <w:color w:val="000000"/>
                <w:sz w:val="18"/>
                <w:szCs w:val="18"/>
              </w:rPr>
            </w:pPr>
          </w:p>
        </w:tc>
      </w:tr>
      <w:tr w:rsidR="007B0C7C" w:rsidRPr="00232EAC" w14:paraId="5ED30CEA" w14:textId="77777777" w:rsidTr="00232EAC">
        <w:tc>
          <w:tcPr>
            <w:tcW w:w="3085" w:type="dxa"/>
          </w:tcPr>
          <w:p w14:paraId="2C093743" w14:textId="61A3675D" w:rsidR="007B0C7C" w:rsidRPr="00232EAC" w:rsidRDefault="007B0C7C" w:rsidP="00232EAC">
            <w:pPr>
              <w:pStyle w:val="Paragraphnumbered"/>
              <w:numPr>
                <w:ilvl w:val="0"/>
                <w:numId w:val="0"/>
              </w:numPr>
              <w:rPr>
                <w:color w:val="000000"/>
                <w:sz w:val="18"/>
                <w:szCs w:val="18"/>
              </w:rPr>
            </w:pPr>
            <w:bookmarkStart w:id="50" w:name="_Toc502845899"/>
            <w:r w:rsidRPr="00232EAC">
              <w:rPr>
                <w:color w:val="000000"/>
                <w:sz w:val="18"/>
                <w:szCs w:val="18"/>
              </w:rPr>
              <w:t>B8 - Sales &amp; Marketing – sales via a third party</w:t>
            </w:r>
            <w:bookmarkEnd w:id="50"/>
          </w:p>
        </w:tc>
        <w:tc>
          <w:tcPr>
            <w:tcW w:w="6237" w:type="dxa"/>
          </w:tcPr>
          <w:p w14:paraId="54C14C60" w14:textId="68966981" w:rsidR="007B0C7C" w:rsidRPr="00232EAC" w:rsidRDefault="007B0C7C" w:rsidP="007B0C7C">
            <w:pPr>
              <w:rPr>
                <w:color w:val="000000"/>
                <w:sz w:val="18"/>
                <w:szCs w:val="18"/>
              </w:rPr>
            </w:pPr>
            <w:r w:rsidRPr="00232EAC">
              <w:rPr>
                <w:color w:val="000000"/>
                <w:sz w:val="18"/>
                <w:szCs w:val="18"/>
              </w:rPr>
              <w:t>Any issues related wit</w:t>
            </w:r>
            <w:r w:rsidR="00B972CC">
              <w:rPr>
                <w:color w:val="000000"/>
                <w:sz w:val="18"/>
                <w:szCs w:val="18"/>
              </w:rPr>
              <w:t>h selling and marketing activitie</w:t>
            </w:r>
            <w:r w:rsidRPr="00232EAC">
              <w:rPr>
                <w:color w:val="000000"/>
                <w:sz w:val="18"/>
                <w:szCs w:val="18"/>
              </w:rPr>
              <w:t>s carried out through third part</w:t>
            </w:r>
            <w:r w:rsidR="00B972CC">
              <w:rPr>
                <w:color w:val="000000"/>
                <w:sz w:val="18"/>
                <w:szCs w:val="18"/>
              </w:rPr>
              <w:t>y intermediaries (direct outsourcing or subcontracting of sale staff has to be included under B7)</w:t>
            </w:r>
          </w:p>
          <w:p w14:paraId="169BE6CE" w14:textId="77777777" w:rsidR="007B0C7C" w:rsidRPr="00232EAC" w:rsidRDefault="007B0C7C" w:rsidP="007B0C7C">
            <w:pPr>
              <w:rPr>
                <w:color w:val="000000"/>
                <w:sz w:val="18"/>
                <w:szCs w:val="18"/>
              </w:rPr>
            </w:pPr>
          </w:p>
          <w:p w14:paraId="75F21DD6" w14:textId="77777777" w:rsidR="007B0C7C" w:rsidRPr="00232EAC" w:rsidRDefault="007B0C7C" w:rsidP="007B0C7C">
            <w:pPr>
              <w:rPr>
                <w:b/>
                <w:color w:val="000000"/>
                <w:sz w:val="18"/>
                <w:szCs w:val="18"/>
              </w:rPr>
            </w:pPr>
            <w:r w:rsidRPr="00232EAC">
              <w:rPr>
                <w:b/>
                <w:color w:val="000000"/>
                <w:sz w:val="18"/>
                <w:szCs w:val="18"/>
              </w:rPr>
              <w:t>Examples:</w:t>
            </w:r>
          </w:p>
          <w:p w14:paraId="646F9300" w14:textId="3FEA2345" w:rsidR="007B0C7C" w:rsidRPr="00232EAC" w:rsidRDefault="007B0C7C" w:rsidP="007B0C7C">
            <w:pPr>
              <w:rPr>
                <w:color w:val="000000"/>
                <w:sz w:val="18"/>
                <w:szCs w:val="18"/>
              </w:rPr>
            </w:pPr>
            <w:r w:rsidRPr="00232EAC">
              <w:rPr>
                <w:color w:val="000000"/>
                <w:sz w:val="18"/>
                <w:szCs w:val="18"/>
              </w:rPr>
              <w:t>Misrepresentation -  Complaints about price comparison website provider - Same categories as in B7, but related to the behaviour of third part</w:t>
            </w:r>
            <w:r w:rsidR="00B972CC">
              <w:rPr>
                <w:color w:val="000000"/>
                <w:sz w:val="18"/>
                <w:szCs w:val="18"/>
              </w:rPr>
              <w:t>y intermediaries</w:t>
            </w:r>
            <w:r w:rsidRPr="00232EAC">
              <w:rPr>
                <w:color w:val="000000"/>
                <w:sz w:val="18"/>
                <w:szCs w:val="18"/>
              </w:rPr>
              <w:t xml:space="preserve"> and brokers </w:t>
            </w:r>
          </w:p>
          <w:p w14:paraId="7899E146" w14:textId="2767555F" w:rsidR="007B0C7C" w:rsidRPr="00232EAC" w:rsidRDefault="007B0C7C" w:rsidP="007B0C7C">
            <w:pPr>
              <w:rPr>
                <w:color w:val="000000"/>
                <w:sz w:val="18"/>
                <w:szCs w:val="18"/>
              </w:rPr>
            </w:pPr>
          </w:p>
        </w:tc>
      </w:tr>
      <w:tr w:rsidR="007B0C7C" w:rsidRPr="00232EAC" w14:paraId="0BCD405C" w14:textId="77777777" w:rsidTr="00232EAC">
        <w:tc>
          <w:tcPr>
            <w:tcW w:w="3085" w:type="dxa"/>
          </w:tcPr>
          <w:p w14:paraId="23B1ECFA" w14:textId="5C2AC656" w:rsidR="007B0C7C" w:rsidRPr="00232EAC" w:rsidRDefault="007B0C7C" w:rsidP="00232EAC">
            <w:pPr>
              <w:pStyle w:val="Paragraphnumbered"/>
              <w:numPr>
                <w:ilvl w:val="0"/>
                <w:numId w:val="0"/>
              </w:numPr>
              <w:rPr>
                <w:color w:val="000000"/>
                <w:sz w:val="18"/>
                <w:szCs w:val="18"/>
              </w:rPr>
            </w:pPr>
            <w:bookmarkStart w:id="51" w:name="_Toc502845900"/>
            <w:r w:rsidRPr="00232EAC">
              <w:rPr>
                <w:color w:val="000000"/>
                <w:sz w:val="18"/>
                <w:szCs w:val="18"/>
              </w:rPr>
              <w:t>B9 - Customer service</w:t>
            </w:r>
            <w:bookmarkEnd w:id="51"/>
          </w:p>
        </w:tc>
        <w:tc>
          <w:tcPr>
            <w:tcW w:w="6237" w:type="dxa"/>
          </w:tcPr>
          <w:p w14:paraId="7007C4EE" w14:textId="77777777" w:rsidR="007B0C7C" w:rsidRPr="00232EAC" w:rsidRDefault="007B0C7C" w:rsidP="007B0C7C">
            <w:pPr>
              <w:rPr>
                <w:color w:val="000000"/>
                <w:sz w:val="18"/>
                <w:szCs w:val="18"/>
              </w:rPr>
            </w:pPr>
            <w:r w:rsidRPr="00232EAC">
              <w:rPr>
                <w:color w:val="000000"/>
                <w:sz w:val="18"/>
                <w:szCs w:val="18"/>
              </w:rPr>
              <w:t xml:space="preserve">Any issues emerging with the services offered by the supplier and when the customer contacts the supplier </w:t>
            </w:r>
          </w:p>
          <w:p w14:paraId="751AC9AE" w14:textId="77777777" w:rsidR="007B0C7C" w:rsidRPr="00232EAC" w:rsidRDefault="007B0C7C" w:rsidP="007B0C7C">
            <w:pPr>
              <w:rPr>
                <w:color w:val="000000"/>
                <w:sz w:val="18"/>
                <w:szCs w:val="18"/>
              </w:rPr>
            </w:pPr>
          </w:p>
          <w:p w14:paraId="1FB815B8" w14:textId="77777777" w:rsidR="007B0C7C" w:rsidRPr="00232EAC" w:rsidRDefault="007B0C7C" w:rsidP="007B0C7C">
            <w:pPr>
              <w:rPr>
                <w:b/>
                <w:color w:val="000000"/>
                <w:sz w:val="18"/>
                <w:szCs w:val="18"/>
              </w:rPr>
            </w:pPr>
            <w:r w:rsidRPr="00232EAC">
              <w:rPr>
                <w:b/>
                <w:color w:val="000000"/>
                <w:sz w:val="18"/>
                <w:szCs w:val="18"/>
              </w:rPr>
              <w:t>Examples:</w:t>
            </w:r>
          </w:p>
          <w:p w14:paraId="7425F0E8" w14:textId="77777777" w:rsidR="007B0C7C" w:rsidRPr="00232EAC" w:rsidRDefault="007B0C7C" w:rsidP="007B0C7C">
            <w:pPr>
              <w:rPr>
                <w:color w:val="000000"/>
                <w:sz w:val="18"/>
                <w:szCs w:val="18"/>
              </w:rPr>
            </w:pPr>
            <w:r w:rsidRPr="00232EAC">
              <w:rPr>
                <w:color w:val="000000"/>
                <w:sz w:val="18"/>
                <w:szCs w:val="18"/>
              </w:rPr>
              <w:t xml:space="preserve">Complaint not registered – Failure to keep appointment, including installation appointments among others – Phone queue too long - Incorrect action taken – Quality of customer service – Difficulty of contacting supplier –Request not actioned – Inappropriate staff behaviour - Issues with booking smart meter installation – Digital service issues including: Online account issues – App not responsive – Access to suppliers’ webpage not working/webpage crashing  - Data protection complaints when supplier address complaints presented by someone who is not the customer account holder and account cannot be accessed for data protection reasons </w:t>
            </w:r>
          </w:p>
          <w:p w14:paraId="7BDCE83E" w14:textId="77777777" w:rsidR="007B0C7C" w:rsidRPr="00232EAC" w:rsidRDefault="007B0C7C" w:rsidP="007B0C7C">
            <w:pPr>
              <w:rPr>
                <w:color w:val="000000"/>
                <w:sz w:val="18"/>
                <w:szCs w:val="18"/>
              </w:rPr>
            </w:pPr>
          </w:p>
        </w:tc>
      </w:tr>
      <w:tr w:rsidR="007B0C7C" w:rsidRPr="00232EAC" w14:paraId="151C2E84" w14:textId="77777777" w:rsidTr="00232EAC">
        <w:tc>
          <w:tcPr>
            <w:tcW w:w="3085" w:type="dxa"/>
          </w:tcPr>
          <w:p w14:paraId="6E0FD23D" w14:textId="74506508" w:rsidR="007B0C7C" w:rsidRPr="00232EAC" w:rsidRDefault="007B0C7C" w:rsidP="002958D0">
            <w:pPr>
              <w:pStyle w:val="Paragraphnumbered"/>
              <w:numPr>
                <w:ilvl w:val="0"/>
                <w:numId w:val="0"/>
              </w:numPr>
              <w:rPr>
                <w:color w:val="000000"/>
                <w:sz w:val="18"/>
                <w:szCs w:val="18"/>
              </w:rPr>
            </w:pPr>
            <w:bookmarkStart w:id="52" w:name="_Toc502845901"/>
            <w:r w:rsidRPr="00232EAC">
              <w:rPr>
                <w:color w:val="000000"/>
                <w:sz w:val="18"/>
                <w:szCs w:val="18"/>
              </w:rPr>
              <w:lastRenderedPageBreak/>
              <w:t>B10 - Feed-In Tariffs</w:t>
            </w:r>
            <w:bookmarkEnd w:id="52"/>
            <w:r w:rsidRPr="00232EAC">
              <w:rPr>
                <w:color w:val="000000"/>
                <w:sz w:val="18"/>
                <w:szCs w:val="18"/>
              </w:rPr>
              <w:t xml:space="preserve"> </w:t>
            </w:r>
            <w:r w:rsidR="002958D0">
              <w:rPr>
                <w:color w:val="000000"/>
                <w:sz w:val="18"/>
                <w:szCs w:val="18"/>
              </w:rPr>
              <w:t>(included only in the domestic template)</w:t>
            </w:r>
          </w:p>
        </w:tc>
        <w:tc>
          <w:tcPr>
            <w:tcW w:w="6237" w:type="dxa"/>
          </w:tcPr>
          <w:p w14:paraId="7E1F19A7" w14:textId="77777777" w:rsidR="007B0C7C" w:rsidRPr="00232EAC" w:rsidRDefault="007B0C7C" w:rsidP="007B0C7C">
            <w:pPr>
              <w:rPr>
                <w:color w:val="000000"/>
                <w:sz w:val="18"/>
                <w:szCs w:val="18"/>
              </w:rPr>
            </w:pPr>
            <w:r w:rsidRPr="00232EAC">
              <w:rPr>
                <w:color w:val="000000"/>
                <w:sz w:val="18"/>
                <w:szCs w:val="18"/>
              </w:rPr>
              <w:t>Any issues related with the Feed-In Tariff system, including registration, payment and other implementation aspects</w:t>
            </w:r>
          </w:p>
          <w:p w14:paraId="0A280C70" w14:textId="77777777" w:rsidR="007B0C7C" w:rsidRPr="00232EAC" w:rsidRDefault="007B0C7C" w:rsidP="007B0C7C">
            <w:pPr>
              <w:rPr>
                <w:color w:val="000000"/>
                <w:sz w:val="18"/>
                <w:szCs w:val="18"/>
              </w:rPr>
            </w:pPr>
          </w:p>
          <w:p w14:paraId="3D71E666" w14:textId="77777777" w:rsidR="007B0C7C" w:rsidRPr="00232EAC" w:rsidRDefault="007B0C7C" w:rsidP="007B0C7C">
            <w:pPr>
              <w:rPr>
                <w:b/>
                <w:color w:val="000000"/>
                <w:sz w:val="18"/>
                <w:szCs w:val="18"/>
              </w:rPr>
            </w:pPr>
            <w:r w:rsidRPr="00232EAC">
              <w:rPr>
                <w:b/>
                <w:color w:val="000000"/>
                <w:sz w:val="18"/>
                <w:szCs w:val="18"/>
              </w:rPr>
              <w:t>Examples:</w:t>
            </w:r>
          </w:p>
          <w:p w14:paraId="55A0BC5B" w14:textId="77777777" w:rsidR="007B0C7C" w:rsidRPr="00232EAC" w:rsidRDefault="007B0C7C" w:rsidP="007B0C7C">
            <w:pPr>
              <w:rPr>
                <w:color w:val="000000"/>
                <w:sz w:val="18"/>
                <w:szCs w:val="18"/>
              </w:rPr>
            </w:pPr>
            <w:r w:rsidRPr="00232EAC">
              <w:rPr>
                <w:color w:val="000000"/>
                <w:sz w:val="18"/>
                <w:szCs w:val="18"/>
              </w:rPr>
              <w:t>FIT payment not provided – Delay in payment – Delay in registration – Delay in transfer – Incorrect FIT rate – Incorrect registration information – Registration not completed – Miscalculation of payment – Disputed meter reading</w:t>
            </w:r>
          </w:p>
          <w:p w14:paraId="700151F6" w14:textId="77777777" w:rsidR="007B0C7C" w:rsidRPr="00232EAC" w:rsidRDefault="007B0C7C" w:rsidP="007B0C7C">
            <w:pPr>
              <w:rPr>
                <w:color w:val="000000"/>
                <w:sz w:val="18"/>
                <w:szCs w:val="18"/>
              </w:rPr>
            </w:pPr>
          </w:p>
        </w:tc>
      </w:tr>
      <w:tr w:rsidR="007B0C7C" w:rsidRPr="00232EAC" w14:paraId="7F6CECFD" w14:textId="77777777" w:rsidTr="00232EAC">
        <w:tc>
          <w:tcPr>
            <w:tcW w:w="3085" w:type="dxa"/>
          </w:tcPr>
          <w:p w14:paraId="7293B46C" w14:textId="10CC9482" w:rsidR="007B0C7C" w:rsidRPr="00232EAC" w:rsidRDefault="007B0C7C" w:rsidP="00232EAC">
            <w:pPr>
              <w:pStyle w:val="Paragraphnumbered"/>
              <w:numPr>
                <w:ilvl w:val="0"/>
                <w:numId w:val="0"/>
              </w:numPr>
              <w:rPr>
                <w:color w:val="000000"/>
                <w:sz w:val="18"/>
                <w:szCs w:val="18"/>
              </w:rPr>
            </w:pPr>
            <w:bookmarkStart w:id="53" w:name="_Toc502845902"/>
            <w:r w:rsidRPr="00232EAC">
              <w:rPr>
                <w:color w:val="000000"/>
                <w:sz w:val="18"/>
                <w:szCs w:val="18"/>
              </w:rPr>
              <w:t>B11 - Payment issues</w:t>
            </w:r>
            <w:bookmarkEnd w:id="53"/>
          </w:p>
        </w:tc>
        <w:tc>
          <w:tcPr>
            <w:tcW w:w="6237" w:type="dxa"/>
          </w:tcPr>
          <w:p w14:paraId="1369F69A" w14:textId="77777777" w:rsidR="007B0C7C" w:rsidRPr="00232EAC" w:rsidRDefault="007B0C7C" w:rsidP="007B0C7C">
            <w:pPr>
              <w:rPr>
                <w:color w:val="000000"/>
                <w:sz w:val="18"/>
                <w:szCs w:val="18"/>
              </w:rPr>
            </w:pPr>
            <w:r w:rsidRPr="00232EAC">
              <w:rPr>
                <w:color w:val="000000"/>
                <w:sz w:val="18"/>
                <w:szCs w:val="18"/>
              </w:rPr>
              <w:t xml:space="preserve">Any issues related with the payment method used by the customer, including the set-up, how it works and how it can be changed, for all payment types </w:t>
            </w:r>
          </w:p>
          <w:p w14:paraId="63262E56" w14:textId="77777777" w:rsidR="007B0C7C" w:rsidRPr="00232EAC" w:rsidRDefault="007B0C7C" w:rsidP="007B0C7C">
            <w:pPr>
              <w:rPr>
                <w:color w:val="000000"/>
                <w:sz w:val="18"/>
                <w:szCs w:val="18"/>
              </w:rPr>
            </w:pPr>
          </w:p>
          <w:p w14:paraId="4ACC8284" w14:textId="77777777" w:rsidR="007B0C7C" w:rsidRPr="00232EAC" w:rsidRDefault="007B0C7C" w:rsidP="007B0C7C">
            <w:pPr>
              <w:rPr>
                <w:b/>
                <w:color w:val="000000"/>
                <w:sz w:val="18"/>
                <w:szCs w:val="18"/>
              </w:rPr>
            </w:pPr>
            <w:r w:rsidRPr="00232EAC">
              <w:rPr>
                <w:b/>
                <w:color w:val="000000"/>
                <w:sz w:val="18"/>
                <w:szCs w:val="18"/>
              </w:rPr>
              <w:t>Examples:</w:t>
            </w:r>
          </w:p>
          <w:p w14:paraId="22B7E3A9" w14:textId="77777777" w:rsidR="007B0C7C" w:rsidRPr="00232EAC" w:rsidRDefault="007B0C7C" w:rsidP="007B0C7C">
            <w:pPr>
              <w:rPr>
                <w:color w:val="000000"/>
                <w:sz w:val="18"/>
                <w:szCs w:val="18"/>
              </w:rPr>
            </w:pPr>
            <w:r w:rsidRPr="00232EAC">
              <w:rPr>
                <w:color w:val="000000"/>
                <w:sz w:val="18"/>
                <w:szCs w:val="18"/>
              </w:rPr>
              <w:t xml:space="preserve">Failure to set up or reassess Direct Debit – Direct Debit set at incorrect level – Missing payments – Unsuitable payment method – Security deposits – Guaranteed Standards of Service payment not provided –Unauthorised Direct Debit withdrawal - Unallocated payments  </w:t>
            </w:r>
          </w:p>
          <w:p w14:paraId="277D9383" w14:textId="77777777" w:rsidR="007B0C7C" w:rsidRPr="00232EAC" w:rsidRDefault="007B0C7C" w:rsidP="007B0C7C">
            <w:pPr>
              <w:rPr>
                <w:color w:val="000000"/>
                <w:sz w:val="18"/>
                <w:szCs w:val="18"/>
              </w:rPr>
            </w:pPr>
          </w:p>
        </w:tc>
      </w:tr>
      <w:tr w:rsidR="007B0C7C" w:rsidRPr="00232EAC" w14:paraId="34863693" w14:textId="77777777" w:rsidTr="00232EAC">
        <w:tc>
          <w:tcPr>
            <w:tcW w:w="3085" w:type="dxa"/>
          </w:tcPr>
          <w:p w14:paraId="471F028F" w14:textId="1BE8744E" w:rsidR="007B0C7C" w:rsidRPr="00232EAC" w:rsidRDefault="007B0C7C" w:rsidP="00232EAC">
            <w:pPr>
              <w:pStyle w:val="Paragraphnumbered"/>
              <w:numPr>
                <w:ilvl w:val="0"/>
                <w:numId w:val="0"/>
              </w:numPr>
              <w:rPr>
                <w:color w:val="000000"/>
                <w:sz w:val="18"/>
                <w:szCs w:val="18"/>
              </w:rPr>
            </w:pPr>
            <w:bookmarkStart w:id="54" w:name="_Toc502845903"/>
            <w:r w:rsidRPr="00232EAC">
              <w:rPr>
                <w:color w:val="000000"/>
                <w:sz w:val="18"/>
                <w:szCs w:val="18"/>
              </w:rPr>
              <w:t>B12 - Pricing</w:t>
            </w:r>
            <w:bookmarkEnd w:id="54"/>
          </w:p>
        </w:tc>
        <w:tc>
          <w:tcPr>
            <w:tcW w:w="6237" w:type="dxa"/>
          </w:tcPr>
          <w:p w14:paraId="3FC29214" w14:textId="77777777" w:rsidR="007B0C7C" w:rsidRPr="00232EAC" w:rsidRDefault="007B0C7C" w:rsidP="007B0C7C">
            <w:pPr>
              <w:rPr>
                <w:color w:val="000000"/>
                <w:sz w:val="18"/>
                <w:szCs w:val="18"/>
              </w:rPr>
            </w:pPr>
            <w:r w:rsidRPr="00232EAC">
              <w:rPr>
                <w:color w:val="000000"/>
                <w:sz w:val="18"/>
                <w:szCs w:val="18"/>
              </w:rPr>
              <w:t>Any complaints related with price increases that the supplier may have announced or that may have come into effect</w:t>
            </w:r>
          </w:p>
          <w:p w14:paraId="266AD685" w14:textId="77777777" w:rsidR="007B0C7C" w:rsidRPr="00232EAC" w:rsidRDefault="007B0C7C" w:rsidP="007B0C7C">
            <w:pPr>
              <w:rPr>
                <w:color w:val="000000"/>
                <w:sz w:val="18"/>
                <w:szCs w:val="18"/>
              </w:rPr>
            </w:pPr>
          </w:p>
          <w:p w14:paraId="6BB46A34" w14:textId="77777777" w:rsidR="007B0C7C" w:rsidRPr="00232EAC" w:rsidRDefault="007B0C7C" w:rsidP="007B0C7C">
            <w:pPr>
              <w:rPr>
                <w:b/>
                <w:color w:val="000000"/>
                <w:sz w:val="18"/>
                <w:szCs w:val="18"/>
              </w:rPr>
            </w:pPr>
            <w:r w:rsidRPr="00232EAC">
              <w:rPr>
                <w:b/>
                <w:color w:val="000000"/>
                <w:sz w:val="18"/>
                <w:szCs w:val="18"/>
              </w:rPr>
              <w:t>Examples:</w:t>
            </w:r>
          </w:p>
          <w:p w14:paraId="035B4E72" w14:textId="1DD297CF" w:rsidR="007B0C7C" w:rsidRPr="00232EAC" w:rsidRDefault="007B0C7C" w:rsidP="007B0C7C">
            <w:pPr>
              <w:rPr>
                <w:color w:val="000000"/>
                <w:sz w:val="18"/>
                <w:szCs w:val="18"/>
              </w:rPr>
            </w:pPr>
            <w:r w:rsidRPr="00232EAC">
              <w:rPr>
                <w:color w:val="000000"/>
                <w:sz w:val="18"/>
                <w:szCs w:val="18"/>
              </w:rPr>
              <w:t xml:space="preserve">Discontent with price increase notification – Price increase considered unfair – </w:t>
            </w:r>
            <w:r w:rsidR="00122684">
              <w:rPr>
                <w:color w:val="000000"/>
                <w:sz w:val="18"/>
                <w:szCs w:val="18"/>
              </w:rPr>
              <w:t xml:space="preserve">Customer has been </w:t>
            </w:r>
            <w:r w:rsidRPr="00232EAC">
              <w:rPr>
                <w:color w:val="000000"/>
                <w:sz w:val="18"/>
                <w:szCs w:val="18"/>
              </w:rPr>
              <w:t>rolled over on a more expensive tariff</w:t>
            </w:r>
          </w:p>
          <w:p w14:paraId="0BB2028B" w14:textId="77777777" w:rsidR="007B0C7C" w:rsidRPr="00232EAC" w:rsidRDefault="007B0C7C" w:rsidP="007B0C7C">
            <w:pPr>
              <w:rPr>
                <w:color w:val="000000"/>
                <w:sz w:val="18"/>
                <w:szCs w:val="18"/>
              </w:rPr>
            </w:pPr>
          </w:p>
        </w:tc>
      </w:tr>
      <w:tr w:rsidR="007B0C7C" w:rsidRPr="00232EAC" w14:paraId="1F527FE7" w14:textId="77777777" w:rsidTr="00232EAC">
        <w:tc>
          <w:tcPr>
            <w:tcW w:w="3085" w:type="dxa"/>
          </w:tcPr>
          <w:p w14:paraId="21A17FE9" w14:textId="3B018002" w:rsidR="007B0C7C" w:rsidRPr="00232EAC" w:rsidRDefault="007B0C7C" w:rsidP="00232EAC">
            <w:pPr>
              <w:pStyle w:val="Paragraphnumbered"/>
              <w:numPr>
                <w:ilvl w:val="0"/>
                <w:numId w:val="0"/>
              </w:numPr>
              <w:rPr>
                <w:color w:val="000000"/>
                <w:sz w:val="18"/>
                <w:szCs w:val="18"/>
              </w:rPr>
            </w:pPr>
            <w:bookmarkStart w:id="55" w:name="_Toc502845904"/>
            <w:r w:rsidRPr="00232EAC">
              <w:rPr>
                <w:color w:val="000000"/>
                <w:sz w:val="18"/>
                <w:szCs w:val="18"/>
              </w:rPr>
              <w:t>B13 - Billing and meter reading issues unrelated with meter type</w:t>
            </w:r>
            <w:bookmarkEnd w:id="55"/>
            <w:r w:rsidRPr="00232EAC">
              <w:rPr>
                <w:color w:val="000000"/>
                <w:sz w:val="18"/>
                <w:szCs w:val="18"/>
              </w:rPr>
              <w:t xml:space="preserve"> </w:t>
            </w:r>
          </w:p>
        </w:tc>
        <w:tc>
          <w:tcPr>
            <w:tcW w:w="6237" w:type="dxa"/>
          </w:tcPr>
          <w:p w14:paraId="4398A451" w14:textId="05C000D8" w:rsidR="007B0C7C" w:rsidRPr="00232EAC" w:rsidRDefault="007B0C7C" w:rsidP="007B0C7C">
            <w:pPr>
              <w:rPr>
                <w:color w:val="000000"/>
                <w:sz w:val="18"/>
                <w:szCs w:val="18"/>
              </w:rPr>
            </w:pPr>
            <w:r w:rsidRPr="00232EAC">
              <w:rPr>
                <w:color w:val="000000"/>
                <w:sz w:val="18"/>
                <w:szCs w:val="18"/>
              </w:rPr>
              <w:t>Any issues related with the layout and information displayed on bills/annual statements, including among others incorrect bills that may be due to meter reading issues, as well as bill frequency and back</w:t>
            </w:r>
            <w:r w:rsidR="008128BA">
              <w:rPr>
                <w:color w:val="000000"/>
                <w:sz w:val="18"/>
                <w:szCs w:val="18"/>
              </w:rPr>
              <w:t xml:space="preserve"> </w:t>
            </w:r>
            <w:r w:rsidRPr="00232EAC">
              <w:rPr>
                <w:color w:val="000000"/>
                <w:sz w:val="18"/>
                <w:szCs w:val="18"/>
              </w:rPr>
              <w:t>billing problems</w:t>
            </w:r>
          </w:p>
          <w:p w14:paraId="51E49E3A" w14:textId="77777777" w:rsidR="007B0C7C" w:rsidRPr="00232EAC" w:rsidRDefault="007B0C7C" w:rsidP="007B0C7C">
            <w:pPr>
              <w:rPr>
                <w:color w:val="000000"/>
                <w:sz w:val="18"/>
                <w:szCs w:val="18"/>
              </w:rPr>
            </w:pPr>
          </w:p>
          <w:p w14:paraId="4A96F900" w14:textId="77777777" w:rsidR="007B0C7C" w:rsidRPr="00232EAC" w:rsidRDefault="007B0C7C" w:rsidP="007B0C7C">
            <w:pPr>
              <w:rPr>
                <w:b/>
                <w:color w:val="000000"/>
                <w:sz w:val="18"/>
                <w:szCs w:val="18"/>
              </w:rPr>
            </w:pPr>
            <w:r w:rsidRPr="00232EAC">
              <w:rPr>
                <w:b/>
                <w:color w:val="000000"/>
                <w:sz w:val="18"/>
                <w:szCs w:val="18"/>
              </w:rPr>
              <w:t>Examples:</w:t>
            </w:r>
          </w:p>
          <w:p w14:paraId="1CDB5E5A" w14:textId="4B52FD4F" w:rsidR="007B0C7C" w:rsidRPr="00232EAC" w:rsidRDefault="007B0C7C" w:rsidP="007B0C7C">
            <w:pPr>
              <w:rPr>
                <w:color w:val="000000"/>
                <w:sz w:val="18"/>
                <w:szCs w:val="18"/>
              </w:rPr>
            </w:pPr>
            <w:r w:rsidRPr="00232EAC">
              <w:rPr>
                <w:color w:val="000000"/>
                <w:sz w:val="18"/>
                <w:szCs w:val="18"/>
              </w:rPr>
              <w:t xml:space="preserve">Disputed bill, customer not responsible – Issues with standing charges - Disputed gas or electricity usage –Disputed exit fee – Disputed other charges – Billing delays - Failure to issue refund/credit - Final bill not received - Frequency of bills - Incorrect opening/closing of meter reading - Estimated billing/readings - Incorrect tariffs - Warm Home Discount - Clarity of bill and/or annual statement – VAT set at incorrect rate – Billed to incorrect meter – Incorrect account details – Incorrect tariff - Disputed liability – Bill format – Incorrect classification of usage/premises (business vs domestic) – Billed to incorrect MPRN/MPAN – Disputed balance  – Failure to use valid readings – No attempts to obtain valid readings - Estimated readings – Transposed meter readings – </w:t>
            </w:r>
            <w:r w:rsidR="003104CE">
              <w:rPr>
                <w:color w:val="000000"/>
                <w:sz w:val="18"/>
                <w:szCs w:val="18"/>
              </w:rPr>
              <w:t>Suspected meter interference</w:t>
            </w:r>
            <w:r w:rsidR="003104CE" w:rsidRPr="00232EAC">
              <w:rPr>
                <w:color w:val="000000"/>
                <w:sz w:val="18"/>
                <w:szCs w:val="18"/>
              </w:rPr>
              <w:t xml:space="preserve"> </w:t>
            </w:r>
            <w:r w:rsidR="003104CE">
              <w:rPr>
                <w:color w:val="000000"/>
                <w:sz w:val="18"/>
                <w:szCs w:val="18"/>
              </w:rPr>
              <w:t xml:space="preserve">- </w:t>
            </w:r>
            <w:r w:rsidRPr="00232EAC">
              <w:rPr>
                <w:color w:val="000000"/>
                <w:sz w:val="18"/>
                <w:szCs w:val="18"/>
              </w:rPr>
              <w:t xml:space="preserve">Billed to incorrect meter readings – Failure to apply or incorrect </w:t>
            </w:r>
            <w:r w:rsidRPr="00232EAC">
              <w:rPr>
                <w:color w:val="000000"/>
                <w:sz w:val="18"/>
                <w:szCs w:val="18"/>
              </w:rPr>
              <w:lastRenderedPageBreak/>
              <w:t>application of the Code/Charter on back billing – No account set up –Back</w:t>
            </w:r>
            <w:r w:rsidR="008128BA">
              <w:rPr>
                <w:color w:val="000000"/>
                <w:sz w:val="18"/>
                <w:szCs w:val="18"/>
              </w:rPr>
              <w:t xml:space="preserve"> </w:t>
            </w:r>
            <w:r w:rsidRPr="00232EAC">
              <w:rPr>
                <w:color w:val="000000"/>
                <w:sz w:val="18"/>
                <w:szCs w:val="18"/>
              </w:rPr>
              <w:t>billing issues – Final account reconciliation</w:t>
            </w:r>
          </w:p>
          <w:p w14:paraId="4BB4D547" w14:textId="77777777" w:rsidR="007B0C7C" w:rsidRPr="00232EAC" w:rsidRDefault="007B0C7C" w:rsidP="007B0C7C">
            <w:pPr>
              <w:rPr>
                <w:color w:val="000000"/>
                <w:sz w:val="18"/>
                <w:szCs w:val="18"/>
              </w:rPr>
            </w:pPr>
          </w:p>
        </w:tc>
      </w:tr>
      <w:tr w:rsidR="007B0C7C" w:rsidRPr="00232EAC" w14:paraId="6B7F60AC" w14:textId="77777777" w:rsidTr="00232EAC">
        <w:tc>
          <w:tcPr>
            <w:tcW w:w="3085" w:type="dxa"/>
          </w:tcPr>
          <w:p w14:paraId="5A1BEFD4" w14:textId="10AC9E00" w:rsidR="007B0C7C" w:rsidRPr="00232EAC" w:rsidRDefault="007B0C7C" w:rsidP="00232EAC">
            <w:pPr>
              <w:pStyle w:val="Paragraphnumbered"/>
              <w:numPr>
                <w:ilvl w:val="0"/>
                <w:numId w:val="0"/>
              </w:numPr>
              <w:rPr>
                <w:color w:val="000000"/>
                <w:sz w:val="18"/>
                <w:szCs w:val="18"/>
              </w:rPr>
            </w:pPr>
            <w:bookmarkStart w:id="56" w:name="_Toc502845905"/>
            <w:r w:rsidRPr="00232EAC">
              <w:rPr>
                <w:color w:val="000000"/>
                <w:sz w:val="18"/>
                <w:szCs w:val="18"/>
              </w:rPr>
              <w:lastRenderedPageBreak/>
              <w:t>B14 - Billing and meter reading issues related with smart meters</w:t>
            </w:r>
            <w:bookmarkEnd w:id="56"/>
          </w:p>
        </w:tc>
        <w:tc>
          <w:tcPr>
            <w:tcW w:w="6237" w:type="dxa"/>
          </w:tcPr>
          <w:p w14:paraId="49360EB0" w14:textId="77777777" w:rsidR="007B0C7C" w:rsidRPr="00232EAC" w:rsidRDefault="007B0C7C" w:rsidP="007B0C7C">
            <w:pPr>
              <w:rPr>
                <w:color w:val="000000"/>
                <w:sz w:val="18"/>
                <w:szCs w:val="18"/>
              </w:rPr>
            </w:pPr>
            <w:r w:rsidRPr="00232EAC">
              <w:rPr>
                <w:color w:val="000000"/>
                <w:sz w:val="18"/>
                <w:szCs w:val="18"/>
              </w:rPr>
              <w:t>Any issues defined as in B13 but observed after smart meter installation</w:t>
            </w:r>
          </w:p>
          <w:p w14:paraId="39DE419E" w14:textId="77777777" w:rsidR="007B0C7C" w:rsidRPr="00232EAC" w:rsidRDefault="007B0C7C" w:rsidP="007B0C7C">
            <w:pPr>
              <w:rPr>
                <w:color w:val="000000"/>
                <w:sz w:val="18"/>
                <w:szCs w:val="18"/>
              </w:rPr>
            </w:pPr>
          </w:p>
          <w:p w14:paraId="1E880F69" w14:textId="77777777" w:rsidR="007B0C7C" w:rsidRPr="00232EAC" w:rsidRDefault="007B0C7C" w:rsidP="007B0C7C">
            <w:pPr>
              <w:rPr>
                <w:b/>
                <w:color w:val="000000"/>
                <w:sz w:val="18"/>
                <w:szCs w:val="18"/>
              </w:rPr>
            </w:pPr>
            <w:r w:rsidRPr="00232EAC">
              <w:rPr>
                <w:b/>
                <w:color w:val="000000"/>
                <w:sz w:val="18"/>
                <w:szCs w:val="18"/>
              </w:rPr>
              <w:t>Examples:</w:t>
            </w:r>
          </w:p>
          <w:p w14:paraId="64C3EDC8" w14:textId="36FFDA2A" w:rsidR="007B0C7C" w:rsidRPr="00232EAC" w:rsidRDefault="007B0C7C" w:rsidP="007B0C7C">
            <w:pPr>
              <w:rPr>
                <w:color w:val="000000"/>
                <w:sz w:val="18"/>
                <w:szCs w:val="18"/>
              </w:rPr>
            </w:pPr>
            <w:r w:rsidRPr="00232EAC">
              <w:rPr>
                <w:color w:val="000000"/>
                <w:sz w:val="18"/>
                <w:szCs w:val="18"/>
              </w:rPr>
              <w:t xml:space="preserve">Disputed in-home display fees </w:t>
            </w:r>
            <w:r w:rsidR="005114B6">
              <w:rPr>
                <w:color w:val="000000"/>
                <w:sz w:val="18"/>
                <w:szCs w:val="18"/>
              </w:rPr>
              <w:t xml:space="preserve">(microbusiness only) </w:t>
            </w:r>
            <w:r w:rsidRPr="00232EAC">
              <w:rPr>
                <w:color w:val="000000"/>
                <w:sz w:val="18"/>
                <w:szCs w:val="18"/>
              </w:rPr>
              <w:t xml:space="preserve">– </w:t>
            </w:r>
            <w:r w:rsidRPr="00232EAC">
              <w:rPr>
                <w:sz w:val="18"/>
                <w:szCs w:val="18"/>
              </w:rPr>
              <w:t>In-home display not matching bill</w:t>
            </w:r>
            <w:r w:rsidRPr="00232EAC">
              <w:rPr>
                <w:color w:val="000000"/>
                <w:sz w:val="18"/>
                <w:szCs w:val="18"/>
              </w:rPr>
              <w:t xml:space="preserve"> </w:t>
            </w:r>
            <w:r w:rsidR="008128BA">
              <w:rPr>
                <w:color w:val="000000"/>
                <w:sz w:val="18"/>
                <w:szCs w:val="18"/>
              </w:rPr>
              <w:t xml:space="preserve">- </w:t>
            </w:r>
            <w:r w:rsidRPr="00232EAC">
              <w:rPr>
                <w:color w:val="000000"/>
                <w:sz w:val="18"/>
                <w:szCs w:val="18"/>
              </w:rPr>
              <w:t xml:space="preserve">Smart meter inaccurate bill – Smart meter bill unclear - Significant increase in bill after smart installation – Back-dated bill after smart meter installation – No bills received after smart meter installation - Any billing issues mentioned in B13 that emerged after smart meter installation </w:t>
            </w:r>
          </w:p>
          <w:p w14:paraId="7CCC8AF4" w14:textId="77777777" w:rsidR="007B0C7C" w:rsidRPr="00232EAC" w:rsidRDefault="007B0C7C" w:rsidP="007B0C7C">
            <w:pPr>
              <w:rPr>
                <w:color w:val="000000"/>
                <w:sz w:val="18"/>
                <w:szCs w:val="18"/>
              </w:rPr>
            </w:pPr>
          </w:p>
        </w:tc>
      </w:tr>
      <w:tr w:rsidR="007B0C7C" w:rsidRPr="00232EAC" w14:paraId="3D31F809" w14:textId="77777777" w:rsidTr="00232EAC">
        <w:tc>
          <w:tcPr>
            <w:tcW w:w="3085" w:type="dxa"/>
          </w:tcPr>
          <w:p w14:paraId="35821A7C" w14:textId="41053D06" w:rsidR="007B0C7C" w:rsidRPr="00232EAC" w:rsidRDefault="007B0C7C" w:rsidP="00232EAC">
            <w:pPr>
              <w:pStyle w:val="Paragraphnumbered"/>
              <w:numPr>
                <w:ilvl w:val="0"/>
                <w:numId w:val="0"/>
              </w:numPr>
              <w:rPr>
                <w:color w:val="000000"/>
                <w:sz w:val="18"/>
                <w:szCs w:val="18"/>
              </w:rPr>
            </w:pPr>
            <w:bookmarkStart w:id="57" w:name="_Toc502845906"/>
            <w:r w:rsidRPr="00232EAC">
              <w:rPr>
                <w:color w:val="000000"/>
                <w:sz w:val="18"/>
                <w:szCs w:val="18"/>
              </w:rPr>
              <w:t>B15 - Switching issues unrelated with meter type</w:t>
            </w:r>
            <w:bookmarkEnd w:id="57"/>
          </w:p>
        </w:tc>
        <w:tc>
          <w:tcPr>
            <w:tcW w:w="6237" w:type="dxa"/>
          </w:tcPr>
          <w:p w14:paraId="0102DB29" w14:textId="77777777" w:rsidR="007B0C7C" w:rsidRPr="00232EAC" w:rsidRDefault="007B0C7C" w:rsidP="007B0C7C">
            <w:pPr>
              <w:rPr>
                <w:color w:val="000000"/>
                <w:sz w:val="18"/>
                <w:szCs w:val="18"/>
              </w:rPr>
            </w:pPr>
            <w:r w:rsidRPr="00232EAC">
              <w:rPr>
                <w:color w:val="000000"/>
                <w:sz w:val="18"/>
                <w:szCs w:val="18"/>
              </w:rPr>
              <w:t>Any issues related with the process of switching to a new supplier, including reliability and speed of the process, bearing no relationship with the meter type</w:t>
            </w:r>
          </w:p>
          <w:p w14:paraId="659E6E69" w14:textId="77777777" w:rsidR="007B0C7C" w:rsidRPr="00232EAC" w:rsidRDefault="007B0C7C" w:rsidP="007B0C7C">
            <w:pPr>
              <w:rPr>
                <w:color w:val="000000"/>
                <w:sz w:val="18"/>
                <w:szCs w:val="18"/>
              </w:rPr>
            </w:pPr>
          </w:p>
          <w:p w14:paraId="09FEAD08" w14:textId="77777777" w:rsidR="007B0C7C" w:rsidRPr="00232EAC" w:rsidRDefault="007B0C7C" w:rsidP="007B0C7C">
            <w:pPr>
              <w:rPr>
                <w:b/>
                <w:color w:val="000000"/>
                <w:sz w:val="18"/>
                <w:szCs w:val="18"/>
              </w:rPr>
            </w:pPr>
            <w:r w:rsidRPr="00232EAC">
              <w:rPr>
                <w:b/>
                <w:color w:val="000000"/>
                <w:sz w:val="18"/>
                <w:szCs w:val="18"/>
              </w:rPr>
              <w:t>Examples:</w:t>
            </w:r>
          </w:p>
          <w:p w14:paraId="0A40C6A7" w14:textId="77777777" w:rsidR="007B0C7C" w:rsidRPr="00232EAC" w:rsidRDefault="007B0C7C" w:rsidP="007B0C7C">
            <w:pPr>
              <w:rPr>
                <w:color w:val="000000"/>
                <w:sz w:val="18"/>
                <w:szCs w:val="18"/>
              </w:rPr>
            </w:pPr>
            <w:r w:rsidRPr="00232EAC">
              <w:rPr>
                <w:color w:val="000000"/>
                <w:sz w:val="18"/>
                <w:szCs w:val="18"/>
              </w:rPr>
              <w:t xml:space="preserve">Incorrect opening or closing reading on transfer – Erroneous transfer – Breach of obligations under Erroneous Transfer Charter - Transfer delay - Cancelled contract not actioned – Problem arising from contracts – </w:t>
            </w:r>
          </w:p>
          <w:p w14:paraId="7211B7BA" w14:textId="77777777" w:rsidR="007B0C7C" w:rsidRPr="00232EAC" w:rsidRDefault="007B0C7C" w:rsidP="007B0C7C">
            <w:pPr>
              <w:rPr>
                <w:color w:val="000000"/>
                <w:sz w:val="18"/>
                <w:szCs w:val="18"/>
              </w:rPr>
            </w:pPr>
            <w:r w:rsidRPr="00232EAC">
              <w:rPr>
                <w:color w:val="000000"/>
                <w:sz w:val="18"/>
                <w:szCs w:val="18"/>
              </w:rPr>
              <w:t>Lack of information about transfer – Objection by losing supplier on grounds of debt – Objection by losing supplier on grounds of contract terms – Supplier objection reasons unknown - New supplier unable to supply – Transfer windows – Failure to correctly apply for transfer - Supply not transferred to new supplier</w:t>
            </w:r>
          </w:p>
          <w:p w14:paraId="5B3EE0E2" w14:textId="77777777" w:rsidR="007B0C7C" w:rsidRPr="00232EAC" w:rsidRDefault="007B0C7C" w:rsidP="007B0C7C">
            <w:pPr>
              <w:rPr>
                <w:color w:val="000000"/>
                <w:sz w:val="18"/>
                <w:szCs w:val="18"/>
              </w:rPr>
            </w:pPr>
          </w:p>
        </w:tc>
      </w:tr>
      <w:tr w:rsidR="007B0C7C" w:rsidRPr="00232EAC" w14:paraId="1CB3F7C0" w14:textId="77777777" w:rsidTr="00232EAC">
        <w:tc>
          <w:tcPr>
            <w:tcW w:w="3085" w:type="dxa"/>
          </w:tcPr>
          <w:p w14:paraId="15E64D5E" w14:textId="3F344AC8" w:rsidR="007B0C7C" w:rsidRPr="00232EAC" w:rsidRDefault="007B0C7C" w:rsidP="00232EAC">
            <w:pPr>
              <w:pStyle w:val="Paragraphnumbered"/>
              <w:numPr>
                <w:ilvl w:val="0"/>
                <w:numId w:val="0"/>
              </w:numPr>
              <w:rPr>
                <w:color w:val="000000"/>
                <w:sz w:val="18"/>
                <w:szCs w:val="18"/>
              </w:rPr>
            </w:pPr>
            <w:bookmarkStart w:id="58" w:name="_Toc502845907"/>
            <w:r w:rsidRPr="00232EAC">
              <w:rPr>
                <w:color w:val="000000"/>
                <w:sz w:val="18"/>
                <w:szCs w:val="18"/>
              </w:rPr>
              <w:t>B16 - Switching issues related with smart/advanced</w:t>
            </w:r>
            <w:r w:rsidRPr="00232EAC" w:rsidDel="00DC0674">
              <w:rPr>
                <w:color w:val="000000"/>
                <w:sz w:val="18"/>
                <w:szCs w:val="18"/>
              </w:rPr>
              <w:t xml:space="preserve"> </w:t>
            </w:r>
            <w:r w:rsidRPr="00232EAC">
              <w:rPr>
                <w:color w:val="000000"/>
                <w:sz w:val="18"/>
                <w:szCs w:val="18"/>
              </w:rPr>
              <w:t>credit meters</w:t>
            </w:r>
            <w:bookmarkEnd w:id="58"/>
          </w:p>
        </w:tc>
        <w:tc>
          <w:tcPr>
            <w:tcW w:w="6237" w:type="dxa"/>
          </w:tcPr>
          <w:p w14:paraId="54259FD0" w14:textId="77777777" w:rsidR="007B0C7C" w:rsidRPr="00232EAC" w:rsidRDefault="007B0C7C" w:rsidP="007B0C7C">
            <w:pPr>
              <w:rPr>
                <w:color w:val="000000"/>
                <w:sz w:val="18"/>
                <w:szCs w:val="18"/>
              </w:rPr>
            </w:pPr>
            <w:r w:rsidRPr="00232EAC">
              <w:rPr>
                <w:color w:val="000000"/>
                <w:sz w:val="18"/>
                <w:szCs w:val="18"/>
              </w:rPr>
              <w:t>Any issues defined as in B15 but related with a smart credit meter</w:t>
            </w:r>
          </w:p>
          <w:p w14:paraId="4270E181" w14:textId="77777777" w:rsidR="007B0C7C" w:rsidRPr="00232EAC" w:rsidRDefault="007B0C7C" w:rsidP="007B0C7C">
            <w:pPr>
              <w:rPr>
                <w:color w:val="000000"/>
                <w:sz w:val="18"/>
                <w:szCs w:val="18"/>
              </w:rPr>
            </w:pPr>
          </w:p>
          <w:p w14:paraId="7F87DDC3" w14:textId="77777777" w:rsidR="007B0C7C" w:rsidRPr="00232EAC" w:rsidRDefault="007B0C7C" w:rsidP="007B0C7C">
            <w:pPr>
              <w:rPr>
                <w:b/>
                <w:color w:val="000000"/>
                <w:sz w:val="18"/>
                <w:szCs w:val="18"/>
              </w:rPr>
            </w:pPr>
            <w:r w:rsidRPr="00232EAC">
              <w:rPr>
                <w:b/>
                <w:color w:val="000000"/>
                <w:sz w:val="18"/>
                <w:szCs w:val="18"/>
              </w:rPr>
              <w:t>Examples:</w:t>
            </w:r>
          </w:p>
          <w:p w14:paraId="1A53821F" w14:textId="77777777" w:rsidR="007B0C7C" w:rsidRPr="00232EAC" w:rsidRDefault="007B0C7C" w:rsidP="007B0C7C">
            <w:pPr>
              <w:rPr>
                <w:color w:val="000000"/>
                <w:sz w:val="18"/>
                <w:szCs w:val="18"/>
              </w:rPr>
            </w:pPr>
            <w:r w:rsidRPr="00232EAC">
              <w:rPr>
                <w:color w:val="000000"/>
                <w:sz w:val="18"/>
                <w:szCs w:val="18"/>
              </w:rPr>
              <w:t>Smart meter not sending meter readings after transfer – In-home display problem after transfer – Cannot switch due to smart meter – Loss of smart functionality after switch has taken place - any of the issues mentioned in B15 that emerged after smart meter installation</w:t>
            </w:r>
          </w:p>
          <w:p w14:paraId="3F32CE17" w14:textId="77777777" w:rsidR="007B0C7C" w:rsidRPr="00232EAC" w:rsidRDefault="007B0C7C" w:rsidP="007B0C7C">
            <w:pPr>
              <w:rPr>
                <w:color w:val="000000"/>
                <w:sz w:val="18"/>
                <w:szCs w:val="18"/>
              </w:rPr>
            </w:pPr>
          </w:p>
        </w:tc>
      </w:tr>
      <w:tr w:rsidR="007B0C7C" w:rsidRPr="00232EAC" w14:paraId="53B02885" w14:textId="77777777" w:rsidTr="00232EAC">
        <w:tc>
          <w:tcPr>
            <w:tcW w:w="3085" w:type="dxa"/>
          </w:tcPr>
          <w:p w14:paraId="070BB019" w14:textId="280F6B5B" w:rsidR="007B0C7C" w:rsidRPr="00232EAC" w:rsidRDefault="007B0C7C" w:rsidP="00232EAC">
            <w:pPr>
              <w:pStyle w:val="Paragraphnumbered"/>
              <w:numPr>
                <w:ilvl w:val="0"/>
                <w:numId w:val="0"/>
              </w:numPr>
              <w:rPr>
                <w:color w:val="000000"/>
                <w:sz w:val="18"/>
                <w:szCs w:val="18"/>
              </w:rPr>
            </w:pPr>
            <w:bookmarkStart w:id="59" w:name="_Toc502845908"/>
            <w:r w:rsidRPr="00232EAC">
              <w:rPr>
                <w:color w:val="000000"/>
                <w:sz w:val="18"/>
                <w:szCs w:val="18"/>
              </w:rPr>
              <w:t>B17 - Switching issues related with smart/advanced prepayment meters</w:t>
            </w:r>
            <w:bookmarkEnd w:id="59"/>
          </w:p>
        </w:tc>
        <w:tc>
          <w:tcPr>
            <w:tcW w:w="6237" w:type="dxa"/>
          </w:tcPr>
          <w:p w14:paraId="72965141" w14:textId="77777777" w:rsidR="007B0C7C" w:rsidRPr="00232EAC" w:rsidRDefault="007B0C7C" w:rsidP="007B0C7C">
            <w:pPr>
              <w:rPr>
                <w:color w:val="000000"/>
                <w:sz w:val="18"/>
                <w:szCs w:val="18"/>
              </w:rPr>
            </w:pPr>
            <w:r w:rsidRPr="00232EAC">
              <w:rPr>
                <w:color w:val="000000"/>
                <w:sz w:val="18"/>
                <w:szCs w:val="18"/>
              </w:rPr>
              <w:t>Any issues defined as in B15 but related with a prepayment smart meter</w:t>
            </w:r>
          </w:p>
          <w:p w14:paraId="0BB82A98" w14:textId="77777777" w:rsidR="007B0C7C" w:rsidRPr="00232EAC" w:rsidRDefault="007B0C7C" w:rsidP="007B0C7C">
            <w:pPr>
              <w:rPr>
                <w:color w:val="000000"/>
                <w:sz w:val="18"/>
                <w:szCs w:val="18"/>
              </w:rPr>
            </w:pPr>
          </w:p>
          <w:p w14:paraId="3346C5FD" w14:textId="77777777" w:rsidR="007B0C7C" w:rsidRPr="00232EAC" w:rsidRDefault="007B0C7C" w:rsidP="007B0C7C">
            <w:pPr>
              <w:rPr>
                <w:b/>
                <w:color w:val="000000"/>
                <w:sz w:val="18"/>
                <w:szCs w:val="18"/>
              </w:rPr>
            </w:pPr>
            <w:r w:rsidRPr="00232EAC">
              <w:rPr>
                <w:b/>
                <w:color w:val="000000"/>
                <w:sz w:val="18"/>
                <w:szCs w:val="18"/>
              </w:rPr>
              <w:t>Examples:</w:t>
            </w:r>
          </w:p>
          <w:p w14:paraId="3D263A4D" w14:textId="77777777" w:rsidR="007B0C7C" w:rsidRPr="00232EAC" w:rsidRDefault="007B0C7C" w:rsidP="007B0C7C">
            <w:pPr>
              <w:rPr>
                <w:color w:val="000000"/>
                <w:sz w:val="18"/>
                <w:szCs w:val="18"/>
              </w:rPr>
            </w:pPr>
            <w:r w:rsidRPr="00232EAC">
              <w:rPr>
                <w:color w:val="000000"/>
                <w:sz w:val="18"/>
                <w:szCs w:val="18"/>
              </w:rPr>
              <w:t>Loss of Pay-as-You-Go function after transfer – Loss of credit upon switching supplier – Unable to top-up after switching – Any of the issues mentioned in B15 or B16 that emerged after smart PPM installation</w:t>
            </w:r>
          </w:p>
          <w:p w14:paraId="666F6B79" w14:textId="77777777" w:rsidR="007B0C7C" w:rsidRPr="00232EAC" w:rsidRDefault="007B0C7C" w:rsidP="007B0C7C">
            <w:pPr>
              <w:rPr>
                <w:color w:val="000000"/>
                <w:sz w:val="18"/>
                <w:szCs w:val="18"/>
              </w:rPr>
            </w:pPr>
          </w:p>
        </w:tc>
      </w:tr>
      <w:tr w:rsidR="007B0C7C" w:rsidRPr="00232EAC" w14:paraId="4E52C29B" w14:textId="77777777" w:rsidTr="00232EAC">
        <w:tc>
          <w:tcPr>
            <w:tcW w:w="3085" w:type="dxa"/>
          </w:tcPr>
          <w:p w14:paraId="5800926B" w14:textId="77777777" w:rsidR="007B0C7C" w:rsidRPr="00232EAC" w:rsidRDefault="007B0C7C" w:rsidP="00232EAC">
            <w:pPr>
              <w:pStyle w:val="CommentText"/>
              <w:rPr>
                <w:sz w:val="18"/>
                <w:szCs w:val="18"/>
              </w:rPr>
            </w:pPr>
            <w:r w:rsidRPr="00232EAC">
              <w:rPr>
                <w:sz w:val="18"/>
                <w:szCs w:val="18"/>
              </w:rPr>
              <w:lastRenderedPageBreak/>
              <w:t>B18 - Meter installation/exchange or meter not working – classic credit meter</w:t>
            </w:r>
          </w:p>
          <w:p w14:paraId="259328C8" w14:textId="77777777" w:rsidR="007B0C7C" w:rsidRPr="00232EAC" w:rsidRDefault="007B0C7C" w:rsidP="00232EAC">
            <w:pPr>
              <w:pStyle w:val="Paragraphnumbered"/>
              <w:numPr>
                <w:ilvl w:val="0"/>
                <w:numId w:val="0"/>
              </w:numPr>
              <w:rPr>
                <w:color w:val="000000"/>
                <w:sz w:val="18"/>
                <w:szCs w:val="18"/>
              </w:rPr>
            </w:pPr>
          </w:p>
        </w:tc>
        <w:tc>
          <w:tcPr>
            <w:tcW w:w="6237" w:type="dxa"/>
          </w:tcPr>
          <w:p w14:paraId="28FDF21B" w14:textId="77777777" w:rsidR="007B0C7C" w:rsidRPr="00232EAC" w:rsidRDefault="007B0C7C" w:rsidP="007B0C7C">
            <w:pPr>
              <w:rPr>
                <w:color w:val="000000"/>
                <w:sz w:val="18"/>
                <w:szCs w:val="18"/>
              </w:rPr>
            </w:pPr>
            <w:r w:rsidRPr="00232EAC">
              <w:rPr>
                <w:color w:val="000000"/>
                <w:sz w:val="18"/>
                <w:szCs w:val="18"/>
              </w:rPr>
              <w:t>Any issues arising with the installation/exchange or meter not working for classic credit meters</w:t>
            </w:r>
          </w:p>
          <w:p w14:paraId="313DCA7B" w14:textId="77777777" w:rsidR="007B0C7C" w:rsidRPr="00232EAC" w:rsidRDefault="007B0C7C" w:rsidP="007B0C7C">
            <w:pPr>
              <w:rPr>
                <w:color w:val="000000"/>
                <w:sz w:val="18"/>
                <w:szCs w:val="18"/>
              </w:rPr>
            </w:pPr>
          </w:p>
          <w:p w14:paraId="2A8D8DE7" w14:textId="77777777" w:rsidR="007B0C7C" w:rsidRPr="00232EAC" w:rsidRDefault="007B0C7C" w:rsidP="007B0C7C">
            <w:pPr>
              <w:rPr>
                <w:b/>
                <w:color w:val="000000"/>
                <w:sz w:val="18"/>
                <w:szCs w:val="18"/>
              </w:rPr>
            </w:pPr>
            <w:r w:rsidRPr="00232EAC">
              <w:rPr>
                <w:b/>
                <w:color w:val="000000"/>
                <w:sz w:val="18"/>
                <w:szCs w:val="18"/>
              </w:rPr>
              <w:t>Examples:</w:t>
            </w:r>
          </w:p>
          <w:p w14:paraId="138999C2" w14:textId="655B49BA" w:rsidR="007B0C7C" w:rsidRPr="00232EAC" w:rsidRDefault="007B0C7C" w:rsidP="007B0C7C">
            <w:pPr>
              <w:rPr>
                <w:color w:val="000000"/>
                <w:sz w:val="18"/>
                <w:szCs w:val="18"/>
              </w:rPr>
            </w:pPr>
            <w:r w:rsidRPr="00232EAC">
              <w:rPr>
                <w:color w:val="000000"/>
                <w:sz w:val="18"/>
                <w:szCs w:val="18"/>
              </w:rPr>
              <w:t xml:space="preserve">Meter not recording accurately – Meter provision or exchange - Disputed meter tampering – Appliance condemned during meter installation – Appliance/equipment failure after meter installation failed installation (engineer did not have correct equipment) – Meter position/installation – Poor quality installation – Failed installation due to lack of access to meter - No right of entry – Privacy breach – Health &amp; Safety concerns </w:t>
            </w:r>
          </w:p>
          <w:p w14:paraId="20DC5BDB" w14:textId="77777777" w:rsidR="007B0C7C" w:rsidRPr="00232EAC" w:rsidRDefault="007B0C7C" w:rsidP="007B0C7C">
            <w:pPr>
              <w:rPr>
                <w:color w:val="000000"/>
                <w:sz w:val="18"/>
                <w:szCs w:val="18"/>
              </w:rPr>
            </w:pPr>
          </w:p>
          <w:p w14:paraId="1990587A" w14:textId="77777777" w:rsidR="007B0C7C" w:rsidRPr="00232EAC" w:rsidRDefault="007B0C7C" w:rsidP="007B0C7C">
            <w:pPr>
              <w:rPr>
                <w:color w:val="000000"/>
                <w:sz w:val="18"/>
                <w:szCs w:val="18"/>
              </w:rPr>
            </w:pPr>
          </w:p>
        </w:tc>
      </w:tr>
      <w:tr w:rsidR="007B0C7C" w:rsidRPr="00232EAC" w14:paraId="31813386" w14:textId="77777777" w:rsidTr="00232EAC">
        <w:tc>
          <w:tcPr>
            <w:tcW w:w="3085" w:type="dxa"/>
          </w:tcPr>
          <w:p w14:paraId="44A260FD" w14:textId="77777777" w:rsidR="007B0C7C" w:rsidRPr="00232EAC" w:rsidRDefault="007B0C7C" w:rsidP="00232EAC">
            <w:pPr>
              <w:pStyle w:val="CommentText"/>
              <w:rPr>
                <w:sz w:val="18"/>
                <w:szCs w:val="18"/>
              </w:rPr>
            </w:pPr>
            <w:r w:rsidRPr="00232EAC">
              <w:rPr>
                <w:sz w:val="18"/>
                <w:szCs w:val="18"/>
              </w:rPr>
              <w:t>B19 - Meter installation/exchange or meter not working – smart or advanced credit meter</w:t>
            </w:r>
          </w:p>
          <w:p w14:paraId="46CA7BC6" w14:textId="77777777" w:rsidR="007B0C7C" w:rsidRPr="00232EAC" w:rsidRDefault="007B0C7C" w:rsidP="00232EAC">
            <w:pPr>
              <w:pStyle w:val="CommentText"/>
              <w:rPr>
                <w:sz w:val="18"/>
                <w:szCs w:val="18"/>
              </w:rPr>
            </w:pPr>
          </w:p>
        </w:tc>
        <w:tc>
          <w:tcPr>
            <w:tcW w:w="6237" w:type="dxa"/>
          </w:tcPr>
          <w:p w14:paraId="246FA46D" w14:textId="77777777" w:rsidR="007B0C7C" w:rsidRPr="00232EAC" w:rsidRDefault="007B0C7C" w:rsidP="007B0C7C">
            <w:pPr>
              <w:rPr>
                <w:color w:val="000000"/>
                <w:sz w:val="18"/>
                <w:szCs w:val="18"/>
              </w:rPr>
            </w:pPr>
            <w:r w:rsidRPr="00232EAC">
              <w:rPr>
                <w:color w:val="000000"/>
                <w:sz w:val="18"/>
                <w:szCs w:val="18"/>
              </w:rPr>
              <w:t>Any issues arising with the installation/exchange or meter not working for smart credit meters</w:t>
            </w:r>
          </w:p>
          <w:p w14:paraId="6A03AD41" w14:textId="77777777" w:rsidR="007B0C7C" w:rsidRPr="00232EAC" w:rsidRDefault="007B0C7C" w:rsidP="007B0C7C">
            <w:pPr>
              <w:rPr>
                <w:color w:val="000000"/>
                <w:sz w:val="18"/>
                <w:szCs w:val="18"/>
              </w:rPr>
            </w:pPr>
          </w:p>
          <w:p w14:paraId="2A1A97A4" w14:textId="77777777" w:rsidR="007B0C7C" w:rsidRPr="00232EAC" w:rsidRDefault="007B0C7C" w:rsidP="007B0C7C">
            <w:pPr>
              <w:rPr>
                <w:b/>
                <w:color w:val="000000"/>
                <w:sz w:val="18"/>
                <w:szCs w:val="18"/>
              </w:rPr>
            </w:pPr>
            <w:r w:rsidRPr="00232EAC">
              <w:rPr>
                <w:b/>
                <w:color w:val="000000"/>
                <w:sz w:val="18"/>
                <w:szCs w:val="18"/>
              </w:rPr>
              <w:t>Examples:</w:t>
            </w:r>
          </w:p>
          <w:p w14:paraId="5938402C" w14:textId="091D933E" w:rsidR="007B0C7C" w:rsidRPr="00232EAC" w:rsidRDefault="007B0C7C" w:rsidP="007B0C7C">
            <w:pPr>
              <w:rPr>
                <w:color w:val="000000"/>
                <w:sz w:val="18"/>
                <w:szCs w:val="18"/>
              </w:rPr>
            </w:pPr>
            <w:r w:rsidRPr="00232EAC">
              <w:rPr>
                <w:color w:val="000000"/>
                <w:sz w:val="18"/>
                <w:szCs w:val="18"/>
              </w:rPr>
              <w:t xml:space="preserve">Smart meter position/installation – </w:t>
            </w:r>
            <w:r w:rsidR="00007806" w:rsidRPr="00232EAC">
              <w:rPr>
                <w:sz w:val="18"/>
                <w:szCs w:val="18"/>
              </w:rPr>
              <w:t>In-home display</w:t>
            </w:r>
            <w:r w:rsidR="00007806" w:rsidRPr="00232EAC">
              <w:rPr>
                <w:color w:val="000000"/>
                <w:sz w:val="18"/>
                <w:szCs w:val="18"/>
              </w:rPr>
              <w:t xml:space="preserve"> </w:t>
            </w:r>
            <w:r w:rsidR="00007806">
              <w:rPr>
                <w:color w:val="000000"/>
                <w:sz w:val="18"/>
                <w:szCs w:val="18"/>
              </w:rPr>
              <w:t xml:space="preserve">not provided at time of installation - </w:t>
            </w:r>
            <w:r w:rsidRPr="00232EAC">
              <w:rPr>
                <w:color w:val="000000"/>
                <w:sz w:val="18"/>
                <w:szCs w:val="18"/>
              </w:rPr>
              <w:t xml:space="preserve">Waiting for promised installation – Condemned </w:t>
            </w:r>
            <w:r w:rsidR="00007806">
              <w:rPr>
                <w:color w:val="000000"/>
                <w:sz w:val="18"/>
                <w:szCs w:val="18"/>
              </w:rPr>
              <w:t>appliances</w:t>
            </w:r>
            <w:r w:rsidRPr="00232EAC">
              <w:rPr>
                <w:color w:val="000000"/>
                <w:sz w:val="18"/>
                <w:szCs w:val="18"/>
              </w:rPr>
              <w:t xml:space="preserve"> - Damage to property during smart installation - Failed installation (no WAN) – Failed installation (no HAN) – Use of smart meter data – Customer does not want smart meter – Smart meter not sending smart readings – Loss of smart meter communications – Smart meter working in a ‘dumb’ mode - any of the issues mentioned in B18 that apply to smart or advanced credit meters</w:t>
            </w:r>
          </w:p>
          <w:p w14:paraId="60FB2BED" w14:textId="5E02D0C4" w:rsidR="007B0C7C" w:rsidRPr="00232EAC" w:rsidRDefault="007B0C7C" w:rsidP="007B0C7C">
            <w:pPr>
              <w:rPr>
                <w:color w:val="000000"/>
                <w:sz w:val="18"/>
                <w:szCs w:val="18"/>
              </w:rPr>
            </w:pPr>
            <w:r w:rsidRPr="00232EAC">
              <w:rPr>
                <w:color w:val="000000"/>
                <w:sz w:val="18"/>
                <w:szCs w:val="18"/>
              </w:rPr>
              <w:t>  </w:t>
            </w:r>
          </w:p>
        </w:tc>
      </w:tr>
      <w:tr w:rsidR="007B0C7C" w:rsidRPr="00232EAC" w14:paraId="261D7B61" w14:textId="77777777" w:rsidTr="00232EAC">
        <w:tc>
          <w:tcPr>
            <w:tcW w:w="3085" w:type="dxa"/>
          </w:tcPr>
          <w:p w14:paraId="31D2D9F5" w14:textId="5412EFCC" w:rsidR="007B0C7C" w:rsidRPr="00232EAC" w:rsidRDefault="007B0C7C" w:rsidP="00232EAC">
            <w:pPr>
              <w:pStyle w:val="CommentText"/>
              <w:rPr>
                <w:sz w:val="18"/>
                <w:szCs w:val="18"/>
              </w:rPr>
            </w:pPr>
            <w:r w:rsidRPr="00232EAC">
              <w:rPr>
                <w:sz w:val="18"/>
                <w:szCs w:val="18"/>
              </w:rPr>
              <w:t>B20 - Meter installation/exchange or meter not working – classic prepayment meter</w:t>
            </w:r>
            <w:r w:rsidRPr="00232EAC" w:rsidDel="00DB076E">
              <w:rPr>
                <w:color w:val="000000"/>
                <w:sz w:val="18"/>
                <w:szCs w:val="18"/>
              </w:rPr>
              <w:t xml:space="preserve"> </w:t>
            </w:r>
          </w:p>
        </w:tc>
        <w:tc>
          <w:tcPr>
            <w:tcW w:w="6237" w:type="dxa"/>
          </w:tcPr>
          <w:p w14:paraId="7586461A" w14:textId="77777777" w:rsidR="007B0C7C" w:rsidRPr="00232EAC" w:rsidRDefault="007B0C7C" w:rsidP="007B0C7C">
            <w:pPr>
              <w:rPr>
                <w:color w:val="000000"/>
                <w:sz w:val="18"/>
                <w:szCs w:val="18"/>
              </w:rPr>
            </w:pPr>
            <w:r w:rsidRPr="00232EAC">
              <w:rPr>
                <w:color w:val="000000"/>
                <w:sz w:val="18"/>
                <w:szCs w:val="18"/>
              </w:rPr>
              <w:t>Any issues arising with the installation/exchange or meter not working for classic prepayment meters</w:t>
            </w:r>
          </w:p>
          <w:p w14:paraId="3B3C45A3" w14:textId="77777777" w:rsidR="007B0C7C" w:rsidRPr="00232EAC" w:rsidRDefault="007B0C7C" w:rsidP="007B0C7C">
            <w:pPr>
              <w:rPr>
                <w:color w:val="000000"/>
                <w:sz w:val="18"/>
                <w:szCs w:val="18"/>
              </w:rPr>
            </w:pPr>
          </w:p>
          <w:p w14:paraId="1248512A" w14:textId="77777777" w:rsidR="007B0C7C" w:rsidRPr="00232EAC" w:rsidRDefault="007B0C7C" w:rsidP="007B0C7C">
            <w:pPr>
              <w:rPr>
                <w:b/>
                <w:color w:val="000000"/>
                <w:sz w:val="18"/>
                <w:szCs w:val="18"/>
              </w:rPr>
            </w:pPr>
            <w:r w:rsidRPr="00232EAC">
              <w:rPr>
                <w:b/>
                <w:color w:val="000000"/>
                <w:sz w:val="18"/>
                <w:szCs w:val="18"/>
              </w:rPr>
              <w:t>Examples:</w:t>
            </w:r>
          </w:p>
          <w:p w14:paraId="7B5E6EA7" w14:textId="77777777" w:rsidR="007B0C7C" w:rsidRPr="00232EAC" w:rsidRDefault="007B0C7C" w:rsidP="007B0C7C">
            <w:pPr>
              <w:rPr>
                <w:color w:val="000000"/>
                <w:sz w:val="18"/>
                <w:szCs w:val="18"/>
              </w:rPr>
            </w:pPr>
            <w:r w:rsidRPr="00232EAC">
              <w:rPr>
                <w:color w:val="000000"/>
                <w:sz w:val="18"/>
                <w:szCs w:val="18"/>
              </w:rPr>
              <w:t>Installation of prepayment in error – Delay in issuing key card – Key card not issued – Key card not working –Inability to credit pre-payment meter due to meter fault - Prepayment interface device issue – Difficulty charting PPM card – Unable to credit PPM – PPM misdirected or unallocated payments - any of the issues mentioned in B18 that emerged at/after installation of a classic prepayment meter   </w:t>
            </w:r>
          </w:p>
          <w:p w14:paraId="01005CA2" w14:textId="77777777" w:rsidR="007B0C7C" w:rsidRPr="00232EAC" w:rsidRDefault="007B0C7C" w:rsidP="007B0C7C">
            <w:pPr>
              <w:rPr>
                <w:color w:val="000000"/>
                <w:sz w:val="18"/>
                <w:szCs w:val="18"/>
              </w:rPr>
            </w:pPr>
          </w:p>
        </w:tc>
      </w:tr>
      <w:tr w:rsidR="007B0C7C" w:rsidRPr="00232EAC" w14:paraId="01E53A19" w14:textId="77777777" w:rsidTr="00232EAC">
        <w:tc>
          <w:tcPr>
            <w:tcW w:w="3085" w:type="dxa"/>
          </w:tcPr>
          <w:p w14:paraId="51F28934" w14:textId="77777777" w:rsidR="007B0C7C" w:rsidRPr="00232EAC" w:rsidRDefault="007B0C7C" w:rsidP="00232EAC">
            <w:pPr>
              <w:rPr>
                <w:sz w:val="18"/>
                <w:szCs w:val="18"/>
              </w:rPr>
            </w:pPr>
            <w:r w:rsidRPr="00232EAC">
              <w:rPr>
                <w:sz w:val="18"/>
                <w:szCs w:val="18"/>
              </w:rPr>
              <w:t>B21 - Meter installation/exchange or meter not working – smart or advanced prepayment meter</w:t>
            </w:r>
          </w:p>
          <w:p w14:paraId="60866B9B" w14:textId="77777777" w:rsidR="007B0C7C" w:rsidRPr="00232EAC" w:rsidRDefault="007B0C7C" w:rsidP="00232EAC">
            <w:pPr>
              <w:pStyle w:val="CommentText"/>
              <w:rPr>
                <w:sz w:val="18"/>
                <w:szCs w:val="18"/>
              </w:rPr>
            </w:pPr>
          </w:p>
          <w:p w14:paraId="59D2AD7F" w14:textId="77777777" w:rsidR="007B0C7C" w:rsidRPr="00232EAC" w:rsidRDefault="007B0C7C" w:rsidP="00232EAC">
            <w:pPr>
              <w:pStyle w:val="CommentText"/>
              <w:rPr>
                <w:sz w:val="18"/>
                <w:szCs w:val="18"/>
              </w:rPr>
            </w:pPr>
          </w:p>
        </w:tc>
        <w:tc>
          <w:tcPr>
            <w:tcW w:w="6237" w:type="dxa"/>
          </w:tcPr>
          <w:p w14:paraId="2D446F43" w14:textId="77777777" w:rsidR="007B0C7C" w:rsidRPr="00232EAC" w:rsidRDefault="007B0C7C" w:rsidP="007B0C7C">
            <w:pPr>
              <w:rPr>
                <w:color w:val="000000"/>
                <w:sz w:val="18"/>
                <w:szCs w:val="18"/>
              </w:rPr>
            </w:pPr>
            <w:r w:rsidRPr="00232EAC">
              <w:rPr>
                <w:color w:val="000000"/>
                <w:sz w:val="18"/>
                <w:szCs w:val="18"/>
              </w:rPr>
              <w:t>Any issues arising with the installation/exchange or meter not working for smart or advanced prepayment meters</w:t>
            </w:r>
          </w:p>
          <w:p w14:paraId="356D35C2" w14:textId="77777777" w:rsidR="007B0C7C" w:rsidRPr="00232EAC" w:rsidRDefault="007B0C7C" w:rsidP="007B0C7C">
            <w:pPr>
              <w:rPr>
                <w:color w:val="000000"/>
                <w:sz w:val="18"/>
                <w:szCs w:val="18"/>
              </w:rPr>
            </w:pPr>
          </w:p>
          <w:p w14:paraId="39B413D7" w14:textId="77777777" w:rsidR="007B0C7C" w:rsidRPr="00232EAC" w:rsidRDefault="007B0C7C" w:rsidP="007B0C7C">
            <w:pPr>
              <w:rPr>
                <w:b/>
                <w:color w:val="000000"/>
                <w:sz w:val="18"/>
                <w:szCs w:val="18"/>
              </w:rPr>
            </w:pPr>
            <w:r w:rsidRPr="00232EAC">
              <w:rPr>
                <w:b/>
                <w:color w:val="000000"/>
                <w:sz w:val="18"/>
                <w:szCs w:val="18"/>
              </w:rPr>
              <w:t>Examples:</w:t>
            </w:r>
          </w:p>
          <w:p w14:paraId="4C69FA11" w14:textId="6E98340E" w:rsidR="007B0C7C" w:rsidRPr="00232EAC" w:rsidRDefault="007B0C7C" w:rsidP="007B0C7C">
            <w:pPr>
              <w:rPr>
                <w:color w:val="000000"/>
                <w:sz w:val="18"/>
                <w:szCs w:val="18"/>
              </w:rPr>
            </w:pPr>
            <w:r w:rsidRPr="00232EAC">
              <w:rPr>
                <w:color w:val="000000"/>
                <w:sz w:val="18"/>
                <w:szCs w:val="18"/>
              </w:rPr>
              <w:t>Company refusing to install smart meter – Customer does not want smart meter – Use of smart meter data – In-home display not working</w:t>
            </w:r>
            <w:r w:rsidR="00007806">
              <w:rPr>
                <w:color w:val="000000"/>
                <w:sz w:val="18"/>
                <w:szCs w:val="18"/>
              </w:rPr>
              <w:t xml:space="preserve"> </w:t>
            </w:r>
            <w:r w:rsidRPr="00232EAC">
              <w:rPr>
                <w:color w:val="000000"/>
                <w:sz w:val="18"/>
                <w:szCs w:val="18"/>
              </w:rPr>
              <w:t xml:space="preserve">– Smart meters not sending meter readings – Loss of smart meter communications –  Smart meter working in a ‘dumb’ mode - Damage to property during smart meter installation – </w:t>
            </w:r>
            <w:r w:rsidRPr="00232EAC">
              <w:rPr>
                <w:color w:val="000000"/>
                <w:sz w:val="18"/>
                <w:szCs w:val="18"/>
              </w:rPr>
              <w:lastRenderedPageBreak/>
              <w:t xml:space="preserve">Smart Pay as Yo Go problems – customer forced onto prepayment smart meter – Consumers not aware of how to top-up/not given explanations - any of the issues mentioned in B18 and B20 that emerged at/after installation of smart prepayment meters   </w:t>
            </w:r>
          </w:p>
          <w:p w14:paraId="0256BB34" w14:textId="77777777" w:rsidR="007B0C7C" w:rsidRPr="00232EAC" w:rsidRDefault="007B0C7C" w:rsidP="007B0C7C">
            <w:pPr>
              <w:rPr>
                <w:color w:val="000000"/>
                <w:sz w:val="18"/>
                <w:szCs w:val="18"/>
              </w:rPr>
            </w:pPr>
          </w:p>
        </w:tc>
      </w:tr>
      <w:tr w:rsidR="007B0C7C" w:rsidRPr="00232EAC" w14:paraId="4315E70E" w14:textId="77777777" w:rsidTr="00232EAC">
        <w:tc>
          <w:tcPr>
            <w:tcW w:w="3085" w:type="dxa"/>
          </w:tcPr>
          <w:p w14:paraId="34F0D2F5" w14:textId="3A4DD456" w:rsidR="007B0C7C" w:rsidRPr="00232EAC" w:rsidRDefault="007B0C7C" w:rsidP="00232EAC">
            <w:pPr>
              <w:rPr>
                <w:sz w:val="18"/>
                <w:szCs w:val="18"/>
              </w:rPr>
            </w:pPr>
            <w:r w:rsidRPr="00232EAC">
              <w:rPr>
                <w:color w:val="000000"/>
                <w:sz w:val="18"/>
                <w:szCs w:val="18"/>
              </w:rPr>
              <w:lastRenderedPageBreak/>
              <w:t>B22 - Other</w:t>
            </w:r>
          </w:p>
        </w:tc>
        <w:tc>
          <w:tcPr>
            <w:tcW w:w="6237" w:type="dxa"/>
          </w:tcPr>
          <w:p w14:paraId="56D7AF52" w14:textId="0A83C031" w:rsidR="007B0C7C" w:rsidRPr="00232EAC" w:rsidRDefault="007B0C7C" w:rsidP="007B0C7C">
            <w:pPr>
              <w:rPr>
                <w:color w:val="000000"/>
                <w:sz w:val="18"/>
                <w:szCs w:val="18"/>
              </w:rPr>
            </w:pPr>
            <w:r w:rsidRPr="00232EAC">
              <w:rPr>
                <w:color w:val="000000"/>
                <w:sz w:val="18"/>
                <w:szCs w:val="18"/>
              </w:rPr>
              <w:t>Complaint types that do not fit in any of the specified categories (</w:t>
            </w:r>
            <w:r w:rsidR="0045729E">
              <w:rPr>
                <w:color w:val="000000"/>
                <w:sz w:val="18"/>
                <w:szCs w:val="18"/>
              </w:rPr>
              <w:t xml:space="preserve">suppliers </w:t>
            </w:r>
            <w:r w:rsidRPr="00232EAC">
              <w:rPr>
                <w:color w:val="000000"/>
                <w:sz w:val="18"/>
                <w:szCs w:val="18"/>
              </w:rPr>
              <w:t xml:space="preserve">will </w:t>
            </w:r>
            <w:r w:rsidR="0045729E">
              <w:rPr>
                <w:color w:val="000000"/>
                <w:sz w:val="18"/>
                <w:szCs w:val="18"/>
              </w:rPr>
              <w:t>have to provide explanations</w:t>
            </w:r>
            <w:r w:rsidRPr="00232EAC">
              <w:rPr>
                <w:color w:val="000000"/>
                <w:sz w:val="18"/>
                <w:szCs w:val="18"/>
              </w:rPr>
              <w:t xml:space="preserve">) </w:t>
            </w:r>
          </w:p>
          <w:p w14:paraId="15D9D0F5" w14:textId="77777777" w:rsidR="007B0C7C" w:rsidRPr="00232EAC" w:rsidRDefault="007B0C7C" w:rsidP="007B0C7C">
            <w:pPr>
              <w:rPr>
                <w:color w:val="000000"/>
                <w:sz w:val="18"/>
                <w:szCs w:val="18"/>
              </w:rPr>
            </w:pPr>
          </w:p>
        </w:tc>
      </w:tr>
    </w:tbl>
    <w:p w14:paraId="4816C930" w14:textId="58786380" w:rsidR="007B0C7C" w:rsidRPr="002958D0" w:rsidRDefault="002958D0" w:rsidP="002958D0">
      <w:pPr>
        <w:rPr>
          <w:b/>
          <w:bCs/>
          <w:color w:val="000000"/>
          <w:sz w:val="16"/>
          <w:szCs w:val="16"/>
        </w:rPr>
      </w:pPr>
      <w:r w:rsidRPr="002958D0">
        <w:rPr>
          <w:sz w:val="16"/>
          <w:szCs w:val="16"/>
        </w:rPr>
        <w:t xml:space="preserve">*The numbering of complaint types used in the above table is based on the domestic </w:t>
      </w:r>
      <w:r>
        <w:rPr>
          <w:sz w:val="16"/>
          <w:szCs w:val="16"/>
        </w:rPr>
        <w:t xml:space="preserve">monthly </w:t>
      </w:r>
      <w:r w:rsidRPr="002958D0">
        <w:rPr>
          <w:sz w:val="16"/>
          <w:szCs w:val="16"/>
        </w:rPr>
        <w:t>template</w:t>
      </w:r>
      <w:r>
        <w:rPr>
          <w:sz w:val="16"/>
          <w:szCs w:val="16"/>
        </w:rPr>
        <w:t xml:space="preserve">, which is identical to the microbusiness template except for item B10. </w:t>
      </w:r>
    </w:p>
    <w:p w14:paraId="2D31111A" w14:textId="192313FD" w:rsidR="007B0C7C" w:rsidRPr="00DB076E" w:rsidRDefault="007B0C7C" w:rsidP="00232EAC">
      <w:pPr>
        <w:pStyle w:val="Paragrapgh"/>
      </w:pPr>
      <w:r>
        <w:t>F</w:t>
      </w:r>
      <w:r w:rsidRPr="00DB076E">
        <w:t>or the purpose of this reporting</w:t>
      </w:r>
      <w:r w:rsidR="0045729E">
        <w:t xml:space="preserve"> and to the extent to which the complaint is meter type related, </w:t>
      </w:r>
      <w:r w:rsidRPr="00DB076E">
        <w:t xml:space="preserve">the meter types referred to in Table 1 are defined as follows: </w:t>
      </w:r>
    </w:p>
    <w:p w14:paraId="4E69E40B" w14:textId="77777777" w:rsidR="007B0C7C" w:rsidRPr="00DB076E" w:rsidRDefault="007B0C7C" w:rsidP="002C59C5">
      <w:pPr>
        <w:pStyle w:val="Paragraphnumbered"/>
        <w:numPr>
          <w:ilvl w:val="0"/>
          <w:numId w:val="17"/>
        </w:numPr>
        <w:jc w:val="both"/>
      </w:pPr>
      <w:bookmarkStart w:id="60" w:name="_Toc502845909"/>
      <w:r>
        <w:t>Classic</w:t>
      </w:r>
      <w:r w:rsidRPr="00DB076E">
        <w:t xml:space="preserve"> credit meter refers to customer accounts using a non-smart meter for which payment is not on pay-as-you-go basis, such as for instance direct debit, cash, credit card and standing order;</w:t>
      </w:r>
      <w:bookmarkEnd w:id="60"/>
      <w:r w:rsidRPr="00DB076E">
        <w:t xml:space="preserve"> </w:t>
      </w:r>
    </w:p>
    <w:p w14:paraId="4F5E4C6B" w14:textId="77777777" w:rsidR="007B0C7C" w:rsidRPr="00DB076E" w:rsidRDefault="007B0C7C" w:rsidP="002C59C5">
      <w:pPr>
        <w:pStyle w:val="Paragraphnumbered"/>
        <w:numPr>
          <w:ilvl w:val="0"/>
          <w:numId w:val="17"/>
        </w:numPr>
        <w:jc w:val="both"/>
      </w:pPr>
      <w:bookmarkStart w:id="61" w:name="_Toc502845910"/>
      <w:r>
        <w:t>Classic</w:t>
      </w:r>
      <w:r w:rsidRPr="00DB076E">
        <w:t xml:space="preserve"> prepayment meter refers to customer accounts using a non-smart meter that allows consumers to pay as they go for their energy, for example through a token, key or card;</w:t>
      </w:r>
      <w:bookmarkEnd w:id="61"/>
      <w:r w:rsidRPr="00DB076E">
        <w:t xml:space="preserve"> </w:t>
      </w:r>
    </w:p>
    <w:p w14:paraId="2003CBF2" w14:textId="77777777" w:rsidR="00007806" w:rsidRDefault="007B0C7C" w:rsidP="002C59C5">
      <w:pPr>
        <w:pStyle w:val="Paragraphnumbered"/>
        <w:numPr>
          <w:ilvl w:val="0"/>
          <w:numId w:val="17"/>
        </w:numPr>
        <w:jc w:val="both"/>
      </w:pPr>
      <w:bookmarkStart w:id="62" w:name="_Toc502845911"/>
      <w:r w:rsidRPr="00DB076E">
        <w:t>Smart/advanced credit meter refers to customer accounts using a credit meter which has two-way communications allowing remote retrieval of meter reads and remote configuration of its operational parameters and for which payment is not on pay-as-you-go basis</w:t>
      </w:r>
      <w:r w:rsidR="0045729E">
        <w:t>.</w:t>
      </w:r>
      <w:r w:rsidRPr="00DB076E">
        <w:t xml:space="preserve"> </w:t>
      </w:r>
      <w:r w:rsidR="0045729E">
        <w:t>S</w:t>
      </w:r>
      <w:r w:rsidRPr="00DB076E">
        <w:t>mart meters must comply with SMETS 1 or SMETS 2 specifications</w:t>
      </w:r>
      <w:r w:rsidR="0045729E">
        <w:t>.</w:t>
      </w:r>
      <w:r w:rsidRPr="00DB076E">
        <w:t xml:space="preserve"> </w:t>
      </w:r>
      <w:r w:rsidR="0045729E">
        <w:t>T</w:t>
      </w:r>
      <w:r w:rsidRPr="00DB076E">
        <w:t>he meter may also be advanced if it has only some smart functionalities</w:t>
      </w:r>
      <w:bookmarkEnd w:id="62"/>
      <w:r w:rsidR="0045729E">
        <w:t>.</w:t>
      </w:r>
      <w:r w:rsidRPr="00DB076E">
        <w:t xml:space="preserve"> </w:t>
      </w:r>
    </w:p>
    <w:p w14:paraId="3B890E33" w14:textId="77777777" w:rsidR="00007806" w:rsidRPr="00DB076E" w:rsidRDefault="00007806" w:rsidP="00007806">
      <w:pPr>
        <w:pStyle w:val="Paragraphnumbered"/>
        <w:numPr>
          <w:ilvl w:val="0"/>
          <w:numId w:val="17"/>
        </w:numPr>
        <w:jc w:val="both"/>
      </w:pPr>
      <w:bookmarkStart w:id="63" w:name="_Toc502845912"/>
      <w:r w:rsidRPr="00DB076E">
        <w:t>Smart/advanced prepayment meter refers to customers using a smart or advanced meter that allows consumers to pay as they go for their energy.</w:t>
      </w:r>
      <w:bookmarkEnd w:id="63"/>
      <w:r w:rsidRPr="00DB076E">
        <w:t xml:space="preserve">  </w:t>
      </w:r>
    </w:p>
    <w:p w14:paraId="6FA67737" w14:textId="69F9ACD0" w:rsidR="007B0C7C" w:rsidRPr="00DB076E" w:rsidRDefault="00007806" w:rsidP="002C59C5">
      <w:pPr>
        <w:pStyle w:val="Paragraphnumbered"/>
        <w:numPr>
          <w:ilvl w:val="0"/>
          <w:numId w:val="17"/>
        </w:numPr>
        <w:jc w:val="both"/>
      </w:pPr>
      <w:r>
        <w:t>Cases where the customer has a non-SMETS compliant smart meter or a smart meter working in dumb mode should also be included in smart related complaints  to the extent that the issue raised by the customer refers to existing or supposed smart functionalities. For instance, the customer may be complaining about the fact that their smart meter is working in dumb mode when they expected otherwise</w:t>
      </w:r>
      <w:r w:rsidR="0045729E">
        <w:t>.</w:t>
      </w:r>
    </w:p>
    <w:p w14:paraId="6F630ADA" w14:textId="15647A59" w:rsidR="007B0C7C" w:rsidRDefault="007B0C7C" w:rsidP="007B0C7C">
      <w:pPr>
        <w:pStyle w:val="Paragraphnumbered"/>
        <w:jc w:val="center"/>
        <w:rPr>
          <w:u w:val="single"/>
        </w:rPr>
      </w:pPr>
    </w:p>
    <w:p w14:paraId="2A4B0B47" w14:textId="05AC895A" w:rsidR="007B0C7C" w:rsidRDefault="007B0C7C" w:rsidP="007B0C7C">
      <w:pPr>
        <w:pStyle w:val="Heading2"/>
      </w:pPr>
      <w:bookmarkStart w:id="64" w:name="_Toc502845913"/>
      <w:r>
        <w:lastRenderedPageBreak/>
        <w:t>Section C</w:t>
      </w:r>
      <w:bookmarkEnd w:id="64"/>
    </w:p>
    <w:p w14:paraId="16F6EF07" w14:textId="4164B703" w:rsidR="0045729E" w:rsidRDefault="007B0C7C" w:rsidP="00884361">
      <w:pPr>
        <w:pStyle w:val="Paragrapgh"/>
      </w:pPr>
      <w:r w:rsidRPr="007B0C7C">
        <w:t>Section (C) ‘Customer accounts’ includes items C24-C28</w:t>
      </w:r>
      <w:r w:rsidR="00482574">
        <w:t xml:space="preserve"> (C23-C27 in the microbusiness template)</w:t>
      </w:r>
      <w:r w:rsidR="00926F1C">
        <w:t>.</w:t>
      </w:r>
      <w:r w:rsidRPr="00B0123B">
        <w:t xml:space="preserve"> </w:t>
      </w:r>
      <w:r>
        <w:t>C24</w:t>
      </w:r>
      <w:r w:rsidRPr="00B0123B">
        <w:t xml:space="preserve"> ‘Number of electricity customer accounts</w:t>
      </w:r>
      <w:r>
        <w:t xml:space="preserve"> at the end of the month</w:t>
      </w:r>
      <w:r w:rsidRPr="00B0123B">
        <w:t xml:space="preserve">’ and </w:t>
      </w:r>
      <w:r>
        <w:t>C25</w:t>
      </w:r>
      <w:r w:rsidRPr="00B0123B">
        <w:t xml:space="preserve"> ‘Number of gas customer accounts</w:t>
      </w:r>
      <w:r>
        <w:t xml:space="preserve"> at the end of the month</w:t>
      </w:r>
      <w:r w:rsidRPr="00B0123B">
        <w:t xml:space="preserve">’ refer to the number of customer accounts. </w:t>
      </w:r>
      <w:r>
        <w:t>The number of customer accounts is instrumental to calculate complaint statistics that</w:t>
      </w:r>
      <w:r w:rsidR="00A90021">
        <w:t xml:space="preserve"> take into account the supplier</w:t>
      </w:r>
      <w:r>
        <w:t xml:space="preserve"> size. For monthly returns, as the number of received complaints is referred to a given month, consistency requires that the number of customer accounts used for the weighting be also referred to the same month. </w:t>
      </w:r>
      <w:r w:rsidRPr="00B0123B">
        <w:t xml:space="preserve">If a supplier </w:t>
      </w:r>
      <w:r>
        <w:t>serves</w:t>
      </w:r>
      <w:r w:rsidRPr="00B0123B">
        <w:t xml:space="preserve"> </w:t>
      </w:r>
      <w:r>
        <w:t xml:space="preserve">a </w:t>
      </w:r>
      <w:r w:rsidRPr="00B0123B">
        <w:t>customer with both electr</w:t>
      </w:r>
      <w:r w:rsidR="001018F2">
        <w:t>icity and gas, such a customer must</w:t>
      </w:r>
      <w:r w:rsidRPr="00B0123B">
        <w:t xml:space="preserve"> be recorded as one electricity account and one gas account.</w:t>
      </w:r>
    </w:p>
    <w:p w14:paraId="123F67E4" w14:textId="6E3B05F3" w:rsidR="007B0C7C" w:rsidRPr="00CA2A3E" w:rsidRDefault="007B0C7C" w:rsidP="00884361">
      <w:pPr>
        <w:pStyle w:val="Paragrapgh"/>
      </w:pPr>
      <w:r>
        <w:t>For domestic complaints t</w:t>
      </w:r>
      <w:r w:rsidRPr="00B0123B">
        <w:t>h</w:t>
      </w:r>
      <w:r w:rsidR="00DA5C65">
        <w:t>e definition of the ‘Customer accounts’ items</w:t>
      </w:r>
      <w:r w:rsidRPr="00B0123B">
        <w:t xml:space="preserve"> </w:t>
      </w:r>
      <w:r w:rsidR="001018F2">
        <w:t xml:space="preserve">must </w:t>
      </w:r>
      <w:r w:rsidRPr="00B0123B">
        <w:t xml:space="preserve">be consistent with </w:t>
      </w:r>
      <w:r w:rsidR="00DA5C65">
        <w:t xml:space="preserve">that used </w:t>
      </w:r>
      <w:r w:rsidRPr="00B0123B">
        <w:t xml:space="preserve">by suppliers under the Social Obligations Reporting requirement, as set out in Standard Licence Condition 32 of the gas and electricity supply licences. Item </w:t>
      </w:r>
      <w:r>
        <w:t>C26</w:t>
      </w:r>
      <w:r w:rsidRPr="00B0123B">
        <w:t xml:space="preserve"> </w:t>
      </w:r>
      <w:r>
        <w:t xml:space="preserve">‘Total number of domestic electricity and gas accounts’ is calculated </w:t>
      </w:r>
      <w:r w:rsidRPr="00B0123B">
        <w:t>automatically</w:t>
      </w:r>
      <w:r>
        <w:t xml:space="preserve">. </w:t>
      </w:r>
      <w:r w:rsidRPr="00CA2A3E">
        <w:t xml:space="preserve">Item </w:t>
      </w:r>
      <w:r>
        <w:t>C27</w:t>
      </w:r>
      <w:r w:rsidRPr="00CA2A3E">
        <w:t xml:space="preserve"> ’Number of complaints received per 100,000 customer accounts’ is</w:t>
      </w:r>
      <w:r w:rsidR="0045729E">
        <w:t xml:space="preserve"> also</w:t>
      </w:r>
      <w:r w:rsidRPr="00CA2A3E">
        <w:t xml:space="preserve"> calculated automatically in the template, using the total number of customer accounts, rather than the number of unique customers or supply points. </w:t>
      </w:r>
      <w:r>
        <w:t xml:space="preserve">If a supplier has less than 100,000 customer accounts the alternative measure of ‘Number of complaints received per 10,000 customer accounts’ </w:t>
      </w:r>
      <w:r w:rsidR="001018F2">
        <w:t>must</w:t>
      </w:r>
      <w:r>
        <w:t xml:space="preserve"> be used, which is calculated automatically in </w:t>
      </w:r>
      <w:r w:rsidR="0045729E">
        <w:t>i</w:t>
      </w:r>
      <w:r>
        <w:t>tem C28.</w:t>
      </w:r>
    </w:p>
    <w:p w14:paraId="205B95FF" w14:textId="2442D102" w:rsidR="009A7D37" w:rsidRDefault="009A7D37" w:rsidP="007B0C7C">
      <w:pPr>
        <w:pStyle w:val="Paragrapgh"/>
        <w:numPr>
          <w:ilvl w:val="0"/>
          <w:numId w:val="0"/>
        </w:numPr>
      </w:pPr>
    </w:p>
    <w:p w14:paraId="602DD525" w14:textId="77777777" w:rsidR="008A6FBB" w:rsidRPr="00155F80" w:rsidRDefault="008A6FBB" w:rsidP="00B906DD">
      <w:pPr>
        <w:pStyle w:val="Paragrapgh"/>
        <w:numPr>
          <w:ilvl w:val="0"/>
          <w:numId w:val="0"/>
        </w:numPr>
        <w:rPr>
          <w:i/>
          <w:sz w:val="16"/>
          <w:szCs w:val="16"/>
        </w:rPr>
      </w:pPr>
    </w:p>
    <w:p w14:paraId="208F7527" w14:textId="66C176C1" w:rsidR="00645BEC" w:rsidRDefault="00232EAC" w:rsidP="00EF570D">
      <w:pPr>
        <w:pStyle w:val="ChapterHeading"/>
      </w:pPr>
      <w:bookmarkStart w:id="65" w:name="_Toc502845914"/>
      <w:r>
        <w:lastRenderedPageBreak/>
        <w:t>Guidance on completing quarterly returns</w:t>
      </w:r>
      <w:bookmarkEnd w:id="65"/>
    </w:p>
    <w:p w14:paraId="788ACDD5" w14:textId="77777777" w:rsidR="009A7D37" w:rsidRPr="00B0426B" w:rsidRDefault="009A7D37" w:rsidP="009A7D37">
      <w:pPr>
        <w:pStyle w:val="Textbox"/>
        <w:rPr>
          <w:b/>
          <w:bCs/>
        </w:rPr>
      </w:pPr>
      <w:r w:rsidRPr="00B0426B">
        <w:rPr>
          <w:b/>
          <w:bCs/>
        </w:rPr>
        <w:t xml:space="preserve">Chapter Summary </w:t>
      </w:r>
    </w:p>
    <w:p w14:paraId="00076B8E" w14:textId="77777777" w:rsidR="009A7D37" w:rsidRDefault="009A7D37" w:rsidP="009A7D37">
      <w:pPr>
        <w:pStyle w:val="Textbox"/>
      </w:pPr>
    </w:p>
    <w:p w14:paraId="3A694087" w14:textId="3E34D4BC" w:rsidR="009A7D37" w:rsidRDefault="0045729E" w:rsidP="0045729E">
      <w:pPr>
        <w:pStyle w:val="Textbox"/>
      </w:pPr>
      <w:r>
        <w:t xml:space="preserve">This chapter explains in detail what information suppliers </w:t>
      </w:r>
      <w:r w:rsidR="001018F2">
        <w:t>must</w:t>
      </w:r>
      <w:r>
        <w:t xml:space="preserve"> submit on a quarterly basis.</w:t>
      </w:r>
    </w:p>
    <w:p w14:paraId="629D4E88" w14:textId="77777777" w:rsidR="0045729E" w:rsidRDefault="0045729E" w:rsidP="0045729E">
      <w:pPr>
        <w:pStyle w:val="Textbox"/>
      </w:pPr>
    </w:p>
    <w:p w14:paraId="4986F0A0" w14:textId="31861214" w:rsidR="00232EAC" w:rsidRPr="00137DB7" w:rsidRDefault="00232EAC" w:rsidP="00232EAC">
      <w:pPr>
        <w:pStyle w:val="Paragrapgh"/>
      </w:pPr>
      <w:r w:rsidRPr="00137DB7">
        <w:t xml:space="preserve">The purpose of the quarterly templates is to collect information that allows for </w:t>
      </w:r>
      <w:r w:rsidRPr="00F8544F">
        <w:t>monitoring how suppliers handle customer complaints</w:t>
      </w:r>
      <w:r w:rsidR="0045729E">
        <w:t>. This</w:t>
      </w:r>
      <w:r w:rsidRPr="00137DB7">
        <w:t xml:space="preserve"> includ</w:t>
      </w:r>
      <w:r w:rsidR="0045729E">
        <w:t>es</w:t>
      </w:r>
      <w:r w:rsidRPr="00137DB7">
        <w:t xml:space="preserve"> the availability of different channels for the submission of complaints and queries, the speed with which complaints are resolved and the compliance with complaint handling rules</w:t>
      </w:r>
      <w:r w:rsidR="0045729E">
        <w:t>,</w:t>
      </w:r>
      <w:r w:rsidRPr="00137DB7">
        <w:t xml:space="preserve"> </w:t>
      </w:r>
      <w:r w:rsidR="00A90021">
        <w:t>such as</w:t>
      </w:r>
      <w:r w:rsidRPr="00137DB7">
        <w:t xml:space="preserve"> sending letters signposting the Ombudsman at 8 weeks or after a deadlock situation has been reached.</w:t>
      </w:r>
    </w:p>
    <w:p w14:paraId="58CA1981" w14:textId="4633380F" w:rsidR="00232EAC" w:rsidRPr="00137DB7" w:rsidRDefault="00232EAC" w:rsidP="00232EAC">
      <w:pPr>
        <w:pStyle w:val="Paragrapgh"/>
      </w:pPr>
      <w:r w:rsidRPr="00137DB7">
        <w:t xml:space="preserve">These are the </w:t>
      </w:r>
      <w:r>
        <w:t>sections</w:t>
      </w:r>
      <w:r w:rsidRPr="00137DB7">
        <w:t xml:space="preserve"> included in the new quarterly templates, which suppliers </w:t>
      </w:r>
      <w:r w:rsidR="001018F2">
        <w:t>must</w:t>
      </w:r>
      <w:r w:rsidRPr="00137DB7">
        <w:t xml:space="preserve"> </w:t>
      </w:r>
      <w:r w:rsidRPr="00F8544F">
        <w:t>submit separately for domestic and microbusiness customers:</w:t>
      </w:r>
    </w:p>
    <w:p w14:paraId="5C415742" w14:textId="7C3A8115" w:rsidR="00232EAC" w:rsidRDefault="00232EAC" w:rsidP="002C59C5">
      <w:pPr>
        <w:pStyle w:val="ListParagraph"/>
        <w:numPr>
          <w:ilvl w:val="0"/>
          <w:numId w:val="18"/>
        </w:numPr>
        <w:spacing w:after="200" w:line="276" w:lineRule="auto"/>
        <w:ind w:left="426"/>
        <w:jc w:val="both"/>
      </w:pPr>
      <w:r>
        <w:t>Number of any contacts received</w:t>
      </w:r>
      <w:r w:rsidR="00A90021">
        <w:t xml:space="preserve"> during the quarter</w:t>
      </w:r>
      <w:r>
        <w:t xml:space="preserve">, including both enquiries and complaints, by communication channel </w:t>
      </w:r>
    </w:p>
    <w:p w14:paraId="51BD604F" w14:textId="638B59D7" w:rsidR="00232EAC" w:rsidRDefault="00232EAC" w:rsidP="002C59C5">
      <w:pPr>
        <w:pStyle w:val="ListParagraph"/>
        <w:numPr>
          <w:ilvl w:val="0"/>
          <w:numId w:val="18"/>
        </w:numPr>
        <w:spacing w:after="200" w:line="276" w:lineRule="auto"/>
        <w:ind w:left="426"/>
        <w:jc w:val="both"/>
      </w:pPr>
      <w:r>
        <w:t xml:space="preserve">Number of complaints received </w:t>
      </w:r>
      <w:r w:rsidR="00A90021">
        <w:t xml:space="preserve">during the quarter </w:t>
      </w:r>
      <w:r>
        <w:t>by communication channel</w:t>
      </w:r>
    </w:p>
    <w:p w14:paraId="69248EAA" w14:textId="77777777" w:rsidR="00232EAC" w:rsidRDefault="00232EAC" w:rsidP="002C59C5">
      <w:pPr>
        <w:pStyle w:val="ListParagraph"/>
        <w:numPr>
          <w:ilvl w:val="0"/>
          <w:numId w:val="18"/>
        </w:numPr>
        <w:spacing w:after="200" w:line="276" w:lineRule="auto"/>
        <w:ind w:left="426"/>
        <w:jc w:val="both"/>
      </w:pPr>
      <w:r>
        <w:t xml:space="preserve">Number of complaints resolved during the quarter, resulting from the sum of complaints resolved by the end of the first working day, within 8 weeks and beyond 8 weeks, and average resolution time for all complaints resolved during the quarter </w:t>
      </w:r>
    </w:p>
    <w:p w14:paraId="3A81F30A" w14:textId="77777777" w:rsidR="00232EAC" w:rsidRDefault="00232EAC" w:rsidP="002C59C5">
      <w:pPr>
        <w:pStyle w:val="ListParagraph"/>
        <w:numPr>
          <w:ilvl w:val="0"/>
          <w:numId w:val="18"/>
        </w:numPr>
        <w:spacing w:after="200" w:line="276" w:lineRule="auto"/>
        <w:ind w:left="426"/>
        <w:jc w:val="both"/>
      </w:pPr>
      <w:r>
        <w:t xml:space="preserve">Ombudsman information, including the number of deadlock letters and letters sent signposting the Ombudsman at 8 weeks </w:t>
      </w:r>
    </w:p>
    <w:p w14:paraId="3C1A093A" w14:textId="77777777" w:rsidR="00232EAC" w:rsidRDefault="00232EAC" w:rsidP="002C59C5">
      <w:pPr>
        <w:pStyle w:val="ListParagraph"/>
        <w:numPr>
          <w:ilvl w:val="0"/>
          <w:numId w:val="18"/>
        </w:numPr>
        <w:spacing w:after="200" w:line="276" w:lineRule="auto"/>
        <w:ind w:left="426"/>
        <w:jc w:val="both"/>
      </w:pPr>
      <w:r>
        <w:t xml:space="preserve">Number of customer accounts at the end of the quarter (to be provided separately for gas and electricity), which is instrumental to the calculation of the number of complaints </w:t>
      </w:r>
      <w:r w:rsidRPr="00833DAE">
        <w:t>received per 100,000 customer accounts</w:t>
      </w:r>
      <w:r>
        <w:t xml:space="preserve"> or 10,000 customer accounts if the supplier has less than 100,000 customers.</w:t>
      </w:r>
    </w:p>
    <w:p w14:paraId="4972CE0B" w14:textId="1F2DD862" w:rsidR="00312C59" w:rsidRDefault="00312C59" w:rsidP="00312C59">
      <w:pPr>
        <w:pStyle w:val="Paragrapgh"/>
      </w:pPr>
      <w:r w:rsidRPr="00F8544F">
        <w:t xml:space="preserve">All the above data </w:t>
      </w:r>
      <w:r>
        <w:t>is</w:t>
      </w:r>
      <w:r w:rsidRPr="00F8544F">
        <w:t xml:space="preserve"> already included in the current returns, with the exception of </w:t>
      </w:r>
      <w:r>
        <w:t>section C</w:t>
      </w:r>
      <w:r w:rsidRPr="005A3837">
        <w:t xml:space="preserve">, which </w:t>
      </w:r>
      <w:r w:rsidR="00245D3A">
        <w:t>has new contents,</w:t>
      </w:r>
      <w:r w:rsidRPr="005A3837">
        <w:t xml:space="preserve"> as explained below</w:t>
      </w:r>
      <w:r w:rsidRPr="00232EAC">
        <w:t>.</w:t>
      </w:r>
    </w:p>
    <w:p w14:paraId="4DE0CD23" w14:textId="04EE6A5B" w:rsidR="00232EAC" w:rsidRDefault="00232EAC" w:rsidP="00232EAC">
      <w:pPr>
        <w:pStyle w:val="Paragrapgh"/>
      </w:pPr>
      <w:r>
        <w:t>Appendix 1 shows the quarterly return templates for domestic and microbusiness customers.</w:t>
      </w:r>
    </w:p>
    <w:p w14:paraId="00B4CE19" w14:textId="3F3C901B" w:rsidR="00312C59" w:rsidRDefault="00312C59" w:rsidP="00232EAC">
      <w:pPr>
        <w:pStyle w:val="Heading2"/>
      </w:pPr>
    </w:p>
    <w:p w14:paraId="1171302F" w14:textId="77777777" w:rsidR="00482574" w:rsidRPr="00482574" w:rsidRDefault="00482574" w:rsidP="00482574"/>
    <w:p w14:paraId="188E55C0" w14:textId="4B4066CE" w:rsidR="00232EAC" w:rsidRPr="00232EAC" w:rsidRDefault="00232EAC" w:rsidP="00232EAC">
      <w:pPr>
        <w:pStyle w:val="Heading2"/>
      </w:pPr>
      <w:bookmarkStart w:id="66" w:name="_Toc502845915"/>
      <w:r>
        <w:t>Sections A and B</w:t>
      </w:r>
      <w:bookmarkEnd w:id="66"/>
    </w:p>
    <w:p w14:paraId="14F256C6" w14:textId="03CA3AAA" w:rsidR="00245D3A" w:rsidRDefault="00245D3A" w:rsidP="00232EAC">
      <w:pPr>
        <w:pStyle w:val="Paragrapgh"/>
      </w:pPr>
      <w:r>
        <w:t>As under existing templates, in these sections we require that suppliers disaggregate both contacts and complaints by communication channel.</w:t>
      </w:r>
    </w:p>
    <w:p w14:paraId="1A33C8F5" w14:textId="7969689E" w:rsidR="004B5455" w:rsidRDefault="00245D3A" w:rsidP="00232EAC">
      <w:pPr>
        <w:pStyle w:val="Paragrapgh"/>
      </w:pPr>
      <w:r>
        <w:t>Items A1-A</w:t>
      </w:r>
      <w:r w:rsidR="00A90021">
        <w:t>5</w:t>
      </w:r>
      <w:r>
        <w:t xml:space="preserve"> concern information about contacts. </w:t>
      </w:r>
      <w:r w:rsidR="004B5455">
        <w:t>For the purpose of this guidance t</w:t>
      </w:r>
      <w:r>
        <w:t>hese are defined as the overall number of enquiries and complaints received</w:t>
      </w:r>
      <w:r w:rsidRPr="00245D3A">
        <w:t xml:space="preserve"> </w:t>
      </w:r>
      <w:r>
        <w:t>during the quarter</w:t>
      </w:r>
      <w:r w:rsidR="004B5455">
        <w:t>. Contact is any interaction with the consumer that has required the supplier to take action. For example, answering a phone call or responding to an email would be considered a contact, whereas the submission of a meter reading online/automatically over the phone would not.</w:t>
      </w:r>
      <w:r>
        <w:t xml:space="preserve"> </w:t>
      </w:r>
    </w:p>
    <w:p w14:paraId="2D22A5CC" w14:textId="385B2A3C" w:rsidR="00312C59" w:rsidRDefault="004B5455" w:rsidP="00232EAC">
      <w:pPr>
        <w:pStyle w:val="Paragrapgh"/>
      </w:pPr>
      <w:r>
        <w:t xml:space="preserve">Contacts </w:t>
      </w:r>
      <w:r w:rsidR="00245D3A">
        <w:t>have to be broken down into five categories (telephone calls, letters, online petitions and various forms of electronic submissions including emails/webforms/webchats/social medias).</w:t>
      </w:r>
      <w:r w:rsidR="00A90021">
        <w:t xml:space="preserve"> Item A1 is calculated automatically as the sum of A2-A5 items.</w:t>
      </w:r>
    </w:p>
    <w:p w14:paraId="41294BBD" w14:textId="04B02373" w:rsidR="00245D3A" w:rsidRDefault="00245D3A" w:rsidP="00232EAC">
      <w:pPr>
        <w:pStyle w:val="Paragrapgh"/>
      </w:pPr>
      <w:r>
        <w:t>Items B6-B10 concern information about complaints only, to be broken down into four cate</w:t>
      </w:r>
      <w:r w:rsidR="00060EF1">
        <w:t>g</w:t>
      </w:r>
      <w:r>
        <w:t>ories (telephone calls, letters</w:t>
      </w:r>
      <w:r w:rsidR="007F2B32">
        <w:t xml:space="preserve"> and various types of electronic formats)</w:t>
      </w:r>
      <w:r>
        <w:t xml:space="preserve">. </w:t>
      </w:r>
    </w:p>
    <w:p w14:paraId="328C1BDC" w14:textId="5FC22DFE" w:rsidR="007F2B32" w:rsidRDefault="007F2B32" w:rsidP="00232EAC">
      <w:pPr>
        <w:pStyle w:val="Paragrapgh"/>
      </w:pPr>
      <w:r>
        <w:t xml:space="preserve">Please note that item B6 ‘Total complaints received’ is calculated automatically and </w:t>
      </w:r>
      <w:r w:rsidR="001018F2">
        <w:t>must</w:t>
      </w:r>
      <w:r>
        <w:t xml:space="preserve"> be consistent with </w:t>
      </w:r>
      <w:r w:rsidR="00823348">
        <w:t xml:space="preserve">the result </w:t>
      </w:r>
      <w:r>
        <w:t xml:space="preserve">from adding up </w:t>
      </w:r>
      <w:r w:rsidR="00823348">
        <w:t>item A1</w:t>
      </w:r>
      <w:r>
        <w:t xml:space="preserve"> </w:t>
      </w:r>
      <w:r w:rsidR="00823348">
        <w:t>‘C</w:t>
      </w:r>
      <w:r>
        <w:t>omplaints received</w:t>
      </w:r>
      <w:r w:rsidR="00823348">
        <w:t>’</w:t>
      </w:r>
      <w:r>
        <w:t xml:space="preserve"> </w:t>
      </w:r>
      <w:r w:rsidR="00823348">
        <w:t>from</w:t>
      </w:r>
      <w:r>
        <w:t xml:space="preserve"> the three monthly templates </w:t>
      </w:r>
      <w:r w:rsidR="00823348">
        <w:t>referred to</w:t>
      </w:r>
      <w:r>
        <w:t xml:space="preserve"> the relevant quarter.</w:t>
      </w:r>
      <w:r w:rsidR="00823348">
        <w:t xml:space="preserve"> For example, item B6 for Q1 </w:t>
      </w:r>
      <w:r w:rsidR="001018F2">
        <w:t>must</w:t>
      </w:r>
      <w:r w:rsidR="00823348">
        <w:t xml:space="preserve"> equal to the sum of item A1 across the monthly </w:t>
      </w:r>
      <w:r w:rsidR="00A90021">
        <w:t>returns</w:t>
      </w:r>
      <w:r w:rsidR="00823348">
        <w:t xml:space="preserve"> for January, February and March.</w:t>
      </w:r>
    </w:p>
    <w:p w14:paraId="11BFE51E" w14:textId="4C23846D" w:rsidR="00312C59" w:rsidRDefault="00312C59" w:rsidP="00312C59">
      <w:pPr>
        <w:pStyle w:val="Heading2"/>
      </w:pPr>
      <w:bookmarkStart w:id="67" w:name="_Toc502845916"/>
      <w:r>
        <w:t>Section C</w:t>
      </w:r>
      <w:bookmarkEnd w:id="67"/>
    </w:p>
    <w:p w14:paraId="308081DD" w14:textId="77777777" w:rsidR="00232EAC" w:rsidRPr="00F8544F" w:rsidRDefault="00232EAC" w:rsidP="00232EAC">
      <w:pPr>
        <w:pStyle w:val="Paragrapgh"/>
      </w:pPr>
      <w:r w:rsidRPr="005A3837">
        <w:t xml:space="preserve">In line with the CHR, a resolved complaint means a </w:t>
      </w:r>
      <w:r w:rsidRPr="00232EAC">
        <w:t>“consumer complaint in respect of which there remains no outstanding action to be taken by the regulated provider and which has been resolved to the satisfaction of the relevant consumer who made that consumer complaint or on whose behalf that consumer complaint was made”</w:t>
      </w:r>
      <w:r w:rsidRPr="005A3837">
        <w:t xml:space="preserve">. </w:t>
      </w:r>
    </w:p>
    <w:p w14:paraId="4D02BBA6" w14:textId="1C9B92C7" w:rsidR="00232EAC" w:rsidRPr="00B72C2C" w:rsidRDefault="00232EAC" w:rsidP="00232EAC">
      <w:pPr>
        <w:pStyle w:val="Paragrapgh"/>
      </w:pPr>
      <w:r w:rsidRPr="00232EAC">
        <w:t xml:space="preserve">Section (C) </w:t>
      </w:r>
      <w:bookmarkStart w:id="68" w:name="_Ref438402302"/>
      <w:r w:rsidRPr="00232EAC">
        <w:t xml:space="preserve">‘Complaints resolved’, covering items C11-C15, </w:t>
      </w:r>
      <w:r w:rsidR="001018F2">
        <w:t>must</w:t>
      </w:r>
      <w:r w:rsidRPr="00232EAC">
        <w:t xml:space="preserve"> </w:t>
      </w:r>
      <w:r w:rsidRPr="005A3837">
        <w:t>refer to the total number of complaints resolved during the relevant reporting quarter, irrespective</w:t>
      </w:r>
      <w:r w:rsidRPr="00C55916">
        <w:t xml:space="preserve"> of when they were received</w:t>
      </w:r>
      <w:r w:rsidR="00926F1C">
        <w:t>.</w:t>
      </w:r>
      <w:r w:rsidRPr="00C55916">
        <w:t xml:space="preserve"> </w:t>
      </w:r>
      <w:r w:rsidR="00926F1C">
        <w:t>I</w:t>
      </w:r>
      <w:r w:rsidRPr="00C55916">
        <w:t xml:space="preserve">f a complaint was received in a previous quarter and resolved in the reporting quarter, </w:t>
      </w:r>
      <w:r w:rsidR="00926F1C">
        <w:t>suppliers must include it</w:t>
      </w:r>
      <w:r w:rsidRPr="00C55916">
        <w:t xml:space="preserve"> </w:t>
      </w:r>
      <w:r w:rsidR="00926F1C">
        <w:t>in the number of resolved complaints submitted for the reporting quarter</w:t>
      </w:r>
      <w:r w:rsidRPr="00C55916">
        <w:t>.</w:t>
      </w:r>
      <w:r w:rsidRPr="00833DAE">
        <w:t xml:space="preserve"> </w:t>
      </w:r>
      <w:r>
        <w:t>Moreover, it also</w:t>
      </w:r>
      <w:r w:rsidR="001018F2">
        <w:t xml:space="preserve"> has to</w:t>
      </w:r>
      <w:r>
        <w:t xml:space="preserve"> </w:t>
      </w:r>
      <w:r w:rsidRPr="00833DAE">
        <w:t>include repeat complaints resolved.</w:t>
      </w:r>
      <w:r>
        <w:t xml:space="preserve"> If a supplier records</w:t>
      </w:r>
      <w:r w:rsidRPr="00477A83">
        <w:t xml:space="preserve"> a complaint as </w:t>
      </w:r>
      <w:r>
        <w:t>‘</w:t>
      </w:r>
      <w:r w:rsidRPr="00477A83">
        <w:t>resolved</w:t>
      </w:r>
      <w:r>
        <w:t xml:space="preserve">’, </w:t>
      </w:r>
      <w:r w:rsidRPr="00477A83">
        <w:t xml:space="preserve">but subsequent contact from the complainant indicates that it is not resolved, </w:t>
      </w:r>
      <w:r>
        <w:t xml:space="preserve">the </w:t>
      </w:r>
      <w:r w:rsidRPr="00477A83">
        <w:t xml:space="preserve">supplier must change </w:t>
      </w:r>
      <w:r>
        <w:lastRenderedPageBreak/>
        <w:t xml:space="preserve">the complaint’s </w:t>
      </w:r>
      <w:r w:rsidRPr="00477A83">
        <w:t>status</w:t>
      </w:r>
      <w:r>
        <w:t xml:space="preserve"> to</w:t>
      </w:r>
      <w:r w:rsidRPr="00477A83">
        <w:t xml:space="preserve"> ‘repeat’ or ‘reopened’. The period for</w:t>
      </w:r>
      <w:r>
        <w:t xml:space="preserve"> resolving</w:t>
      </w:r>
      <w:r w:rsidRPr="00477A83">
        <w:t xml:space="preserve"> such </w:t>
      </w:r>
      <w:r>
        <w:t xml:space="preserve">a </w:t>
      </w:r>
      <w:r w:rsidRPr="00B01E2D">
        <w:t xml:space="preserve">complaint </w:t>
      </w:r>
      <w:r w:rsidR="001018F2">
        <w:t>has to</w:t>
      </w:r>
      <w:r w:rsidRPr="00B01E2D">
        <w:t xml:space="preserve"> be calculated as the difference between the date the original complaint was made and the date it was fully resolved to the customer’s satisfaction. For the purpose of reporting under this guidance, there is no distinction between re-opened and repeat complaints.</w:t>
      </w:r>
      <w:r w:rsidRPr="00B72C2C">
        <w:t xml:space="preserve"> </w:t>
      </w:r>
      <w:r>
        <w:t xml:space="preserve">Please note that complaints for which deadlock letters and letters sent signposting the Ombudsman at 8 weeks have been sent to customers </w:t>
      </w:r>
      <w:r w:rsidR="001018F2">
        <w:t>must</w:t>
      </w:r>
      <w:r>
        <w:t xml:space="preserve"> not be included in the number of resolved complaints. </w:t>
      </w:r>
    </w:p>
    <w:p w14:paraId="7CE5AA44" w14:textId="0A33AA20" w:rsidR="00232EAC" w:rsidRDefault="00232EAC" w:rsidP="00232EAC">
      <w:pPr>
        <w:pStyle w:val="Paragrapgh"/>
      </w:pPr>
      <w:r>
        <w:t xml:space="preserve">After the data review, we revised the timescales for reporting complaints resolved, linking them to the 56-day (eight-week) period, at which unresolved complaints </w:t>
      </w:r>
      <w:r w:rsidR="001018F2">
        <w:t>have to</w:t>
      </w:r>
      <w:r>
        <w:t xml:space="preserve"> be sent to the Ombudsman, which aligns to the information that suppliers are already publishing on their webpage. Table 2 below summarises these changes to the templates.</w:t>
      </w:r>
      <w:bookmarkEnd w:id="68"/>
    </w:p>
    <w:p w14:paraId="55C1E05C" w14:textId="77777777" w:rsidR="00232EAC" w:rsidRDefault="00232EAC" w:rsidP="00312C59">
      <w:pPr>
        <w:pStyle w:val="Caption"/>
        <w:jc w:val="both"/>
      </w:pPr>
      <w:bookmarkStart w:id="69" w:name="_Ref438399552"/>
      <w:r>
        <w:t xml:space="preserve">Table </w:t>
      </w:r>
      <w:bookmarkEnd w:id="69"/>
      <w:r>
        <w:t xml:space="preserve">2. Changes to the </w:t>
      </w:r>
      <w:r w:rsidRPr="00CF7A7A">
        <w:t>‘</w:t>
      </w:r>
      <w:r>
        <w:t>C</w:t>
      </w:r>
      <w:r w:rsidRPr="00CF7A7A">
        <w:t>omplaints resolved’</w:t>
      </w:r>
      <w:r>
        <w:t xml:space="preserve"> data items in the new quarterly templates</w:t>
      </w:r>
    </w:p>
    <w:p w14:paraId="09C9043D" w14:textId="77777777" w:rsidR="00232EAC" w:rsidRPr="004F56AD" w:rsidRDefault="00232EAC" w:rsidP="00232EAC">
      <w:pPr>
        <w:jc w:val="both"/>
      </w:pPr>
    </w:p>
    <w:tbl>
      <w:tblPr>
        <w:tblStyle w:val="TableGrid"/>
        <w:tblW w:w="0" w:type="auto"/>
        <w:tblInd w:w="858" w:type="dxa"/>
        <w:tblLook w:val="04A0" w:firstRow="1" w:lastRow="0" w:firstColumn="1" w:lastColumn="0" w:noHBand="0" w:noVBand="1"/>
      </w:tblPr>
      <w:tblGrid>
        <w:gridCol w:w="3874"/>
        <w:gridCol w:w="3904"/>
      </w:tblGrid>
      <w:tr w:rsidR="00232EAC" w14:paraId="10BFB6B3" w14:textId="77777777" w:rsidTr="00C8670F">
        <w:trPr>
          <w:trHeight w:val="782"/>
          <w:tblHeader/>
        </w:trPr>
        <w:tc>
          <w:tcPr>
            <w:tcW w:w="4328" w:type="dxa"/>
            <w:shd w:val="clear" w:color="auto" w:fill="B8CCE4" w:themeFill="accent1" w:themeFillTint="66"/>
            <w:vAlign w:val="center"/>
          </w:tcPr>
          <w:p w14:paraId="7FB45154" w14:textId="77777777" w:rsidR="00232EAC" w:rsidRPr="00C8670F" w:rsidRDefault="00232EAC" w:rsidP="00C8670F">
            <w:pPr>
              <w:pStyle w:val="Paragraphnumbered"/>
              <w:numPr>
                <w:ilvl w:val="0"/>
                <w:numId w:val="0"/>
              </w:numPr>
              <w:spacing w:before="0" w:after="0"/>
              <w:rPr>
                <w:b/>
                <w:sz w:val="18"/>
                <w:szCs w:val="18"/>
              </w:rPr>
            </w:pPr>
            <w:bookmarkStart w:id="70" w:name="_Toc502845917"/>
            <w:r w:rsidRPr="00C8670F">
              <w:rPr>
                <w:b/>
                <w:sz w:val="18"/>
                <w:szCs w:val="18"/>
              </w:rPr>
              <w:t>Current templates</w:t>
            </w:r>
            <w:bookmarkEnd w:id="70"/>
          </w:p>
        </w:tc>
        <w:tc>
          <w:tcPr>
            <w:tcW w:w="4328" w:type="dxa"/>
            <w:shd w:val="clear" w:color="auto" w:fill="B8CCE4" w:themeFill="accent1" w:themeFillTint="66"/>
            <w:vAlign w:val="center"/>
          </w:tcPr>
          <w:p w14:paraId="43A0F40F" w14:textId="0B2DD75D" w:rsidR="00232EAC" w:rsidRPr="00C8670F" w:rsidRDefault="00232EAC" w:rsidP="00C8670F">
            <w:pPr>
              <w:pStyle w:val="Paragraphnumbered"/>
              <w:numPr>
                <w:ilvl w:val="0"/>
                <w:numId w:val="0"/>
              </w:numPr>
              <w:tabs>
                <w:tab w:val="left" w:pos="2322"/>
              </w:tabs>
              <w:spacing w:before="0" w:after="0"/>
              <w:rPr>
                <w:b/>
                <w:sz w:val="18"/>
                <w:szCs w:val="18"/>
              </w:rPr>
            </w:pPr>
            <w:bookmarkStart w:id="71" w:name="_Toc502845918"/>
            <w:r w:rsidRPr="00C8670F">
              <w:rPr>
                <w:b/>
                <w:sz w:val="18"/>
                <w:szCs w:val="18"/>
              </w:rPr>
              <w:t>New templates</w:t>
            </w:r>
            <w:bookmarkEnd w:id="71"/>
          </w:p>
        </w:tc>
      </w:tr>
      <w:tr w:rsidR="00232EAC" w14:paraId="4F902C34" w14:textId="77777777" w:rsidTr="004D38A2">
        <w:tc>
          <w:tcPr>
            <w:tcW w:w="4328" w:type="dxa"/>
          </w:tcPr>
          <w:p w14:paraId="25D09CF0" w14:textId="77777777" w:rsidR="00232EAC" w:rsidRPr="00C8670F" w:rsidRDefault="00232EAC" w:rsidP="004D38A2">
            <w:pPr>
              <w:pStyle w:val="Paragraphnumbered"/>
              <w:numPr>
                <w:ilvl w:val="0"/>
                <w:numId w:val="0"/>
              </w:numPr>
              <w:spacing w:before="0" w:after="0"/>
              <w:jc w:val="both"/>
              <w:rPr>
                <w:sz w:val="18"/>
                <w:szCs w:val="18"/>
              </w:rPr>
            </w:pPr>
            <w:bookmarkStart w:id="72" w:name="_Toc502845919"/>
            <w:r w:rsidRPr="00C8670F">
              <w:rPr>
                <w:sz w:val="18"/>
                <w:szCs w:val="18"/>
              </w:rPr>
              <w:t>Data item 9: Complaints resolved (sum of lines 10, 11, 12, and 13)</w:t>
            </w:r>
            <w:bookmarkEnd w:id="72"/>
          </w:p>
        </w:tc>
        <w:tc>
          <w:tcPr>
            <w:tcW w:w="4328" w:type="dxa"/>
            <w:vAlign w:val="center"/>
          </w:tcPr>
          <w:p w14:paraId="4F216799" w14:textId="064BFF9C" w:rsidR="00232EAC" w:rsidRPr="00C8670F" w:rsidRDefault="00232EAC" w:rsidP="00A90021">
            <w:pPr>
              <w:pStyle w:val="Paragraphnumbered"/>
              <w:numPr>
                <w:ilvl w:val="0"/>
                <w:numId w:val="0"/>
              </w:numPr>
              <w:spacing w:before="0" w:after="0"/>
              <w:jc w:val="both"/>
              <w:rPr>
                <w:sz w:val="18"/>
                <w:szCs w:val="18"/>
              </w:rPr>
            </w:pPr>
            <w:bookmarkStart w:id="73" w:name="_Toc502845920"/>
            <w:r w:rsidRPr="00C8670F">
              <w:rPr>
                <w:sz w:val="18"/>
                <w:szCs w:val="18"/>
              </w:rPr>
              <w:t>Data item C11: Complaints resolved (</w:t>
            </w:r>
            <w:r w:rsidR="00A90021">
              <w:rPr>
                <w:sz w:val="18"/>
                <w:szCs w:val="18"/>
              </w:rPr>
              <w:t xml:space="preserve">calculated automatically as the </w:t>
            </w:r>
            <w:r w:rsidRPr="00C8670F">
              <w:rPr>
                <w:sz w:val="18"/>
                <w:szCs w:val="18"/>
              </w:rPr>
              <w:t xml:space="preserve">sum of </w:t>
            </w:r>
            <w:r w:rsidR="00A90021">
              <w:rPr>
                <w:sz w:val="18"/>
                <w:szCs w:val="18"/>
              </w:rPr>
              <w:t>items</w:t>
            </w:r>
            <w:r w:rsidRPr="00C8670F">
              <w:rPr>
                <w:sz w:val="18"/>
                <w:szCs w:val="18"/>
              </w:rPr>
              <w:t xml:space="preserve"> C13 and C14)</w:t>
            </w:r>
            <w:bookmarkEnd w:id="73"/>
          </w:p>
        </w:tc>
      </w:tr>
      <w:tr w:rsidR="00232EAC" w14:paraId="18A896E2" w14:textId="77777777" w:rsidTr="004D38A2">
        <w:tc>
          <w:tcPr>
            <w:tcW w:w="4328" w:type="dxa"/>
          </w:tcPr>
          <w:p w14:paraId="68FC95A3" w14:textId="77777777" w:rsidR="00232EAC" w:rsidRPr="00C8670F" w:rsidRDefault="00232EAC" w:rsidP="004D38A2">
            <w:pPr>
              <w:pStyle w:val="Paragraphnumbered"/>
              <w:numPr>
                <w:ilvl w:val="0"/>
                <w:numId w:val="0"/>
              </w:numPr>
              <w:spacing w:before="0" w:after="0"/>
              <w:jc w:val="both"/>
              <w:rPr>
                <w:sz w:val="18"/>
                <w:szCs w:val="18"/>
              </w:rPr>
            </w:pPr>
            <w:bookmarkStart w:id="74" w:name="_Toc502845921"/>
            <w:r w:rsidRPr="00C8670F">
              <w:rPr>
                <w:sz w:val="18"/>
                <w:szCs w:val="18"/>
              </w:rPr>
              <w:t xml:space="preserve">Data item 10: Complaints resolved by the end of the first working day after the complaint was received (D+1) (subset of </w:t>
            </w:r>
            <w:r w:rsidRPr="00C8670F">
              <w:rPr>
                <w:bCs w:val="0"/>
                <w:sz w:val="18"/>
                <w:szCs w:val="18"/>
              </w:rPr>
              <w:t xml:space="preserve">data item </w:t>
            </w:r>
            <w:r w:rsidRPr="00C8670F">
              <w:rPr>
                <w:sz w:val="18"/>
                <w:szCs w:val="18"/>
              </w:rPr>
              <w:t>9)</w:t>
            </w:r>
            <w:bookmarkEnd w:id="74"/>
          </w:p>
        </w:tc>
        <w:tc>
          <w:tcPr>
            <w:tcW w:w="4328" w:type="dxa"/>
            <w:vAlign w:val="center"/>
          </w:tcPr>
          <w:p w14:paraId="3D058ABF" w14:textId="77777777" w:rsidR="00232EAC" w:rsidRPr="00C8670F" w:rsidRDefault="00232EAC" w:rsidP="004D38A2">
            <w:pPr>
              <w:pStyle w:val="Paragraphnumbered"/>
              <w:numPr>
                <w:ilvl w:val="0"/>
                <w:numId w:val="0"/>
              </w:numPr>
              <w:spacing w:before="0" w:after="0"/>
              <w:jc w:val="both"/>
              <w:rPr>
                <w:sz w:val="18"/>
                <w:szCs w:val="18"/>
              </w:rPr>
            </w:pPr>
            <w:bookmarkStart w:id="75" w:name="_Toc502845922"/>
            <w:r w:rsidRPr="00C8670F">
              <w:rPr>
                <w:sz w:val="18"/>
                <w:szCs w:val="18"/>
              </w:rPr>
              <w:t>Data item C12: Complaints resolved by the end of the first working day after the complaint was received (D+1) (subset of data item C11)</w:t>
            </w:r>
            <w:bookmarkEnd w:id="75"/>
          </w:p>
        </w:tc>
      </w:tr>
      <w:tr w:rsidR="00232EAC" w14:paraId="744167F8" w14:textId="77777777" w:rsidTr="004D38A2">
        <w:tc>
          <w:tcPr>
            <w:tcW w:w="4328" w:type="dxa"/>
          </w:tcPr>
          <w:p w14:paraId="16B1193F" w14:textId="77777777" w:rsidR="00232EAC" w:rsidRPr="00C8670F" w:rsidRDefault="00232EAC" w:rsidP="004D38A2">
            <w:pPr>
              <w:pStyle w:val="Paragraphnumbered"/>
              <w:numPr>
                <w:ilvl w:val="0"/>
                <w:numId w:val="0"/>
              </w:numPr>
              <w:spacing w:before="0" w:after="0"/>
              <w:jc w:val="both"/>
              <w:rPr>
                <w:sz w:val="18"/>
                <w:szCs w:val="18"/>
              </w:rPr>
            </w:pPr>
            <w:bookmarkStart w:id="76" w:name="_Toc502845923"/>
            <w:r w:rsidRPr="00C8670F">
              <w:rPr>
                <w:sz w:val="18"/>
                <w:szCs w:val="18"/>
              </w:rPr>
              <w:t xml:space="preserve">Data item 11: Complaints resolved between date complaint received (D+1) and 31 calendar days (subset of </w:t>
            </w:r>
            <w:r w:rsidRPr="00C8670F">
              <w:rPr>
                <w:bCs w:val="0"/>
                <w:sz w:val="18"/>
                <w:szCs w:val="18"/>
              </w:rPr>
              <w:t xml:space="preserve">data item </w:t>
            </w:r>
            <w:r w:rsidRPr="00C8670F">
              <w:rPr>
                <w:sz w:val="18"/>
                <w:szCs w:val="18"/>
              </w:rPr>
              <w:t>9)</w:t>
            </w:r>
            <w:bookmarkEnd w:id="76"/>
          </w:p>
        </w:tc>
        <w:tc>
          <w:tcPr>
            <w:tcW w:w="4328" w:type="dxa"/>
            <w:vAlign w:val="center"/>
          </w:tcPr>
          <w:p w14:paraId="232241C2" w14:textId="77777777" w:rsidR="00232EAC" w:rsidRPr="00C8670F" w:rsidRDefault="00232EAC" w:rsidP="004D38A2">
            <w:pPr>
              <w:pStyle w:val="Paragraphnumbered"/>
              <w:numPr>
                <w:ilvl w:val="0"/>
                <w:numId w:val="0"/>
              </w:numPr>
              <w:spacing w:before="0" w:after="0"/>
              <w:jc w:val="both"/>
              <w:rPr>
                <w:sz w:val="18"/>
                <w:szCs w:val="18"/>
              </w:rPr>
            </w:pPr>
            <w:bookmarkStart w:id="77" w:name="_Toc502845924"/>
            <w:r w:rsidRPr="00C8670F">
              <w:rPr>
                <w:sz w:val="18"/>
                <w:szCs w:val="18"/>
              </w:rPr>
              <w:t xml:space="preserve">Data item C13: Complaints resolved between </w:t>
            </w:r>
            <w:r w:rsidRPr="00C8670F">
              <w:rPr>
                <w:bCs w:val="0"/>
                <w:sz w:val="18"/>
                <w:szCs w:val="18"/>
              </w:rPr>
              <w:t>date complaint received and 56 calendar days (eight weeks) (subset of data item C11)</w:t>
            </w:r>
            <w:bookmarkEnd w:id="77"/>
          </w:p>
        </w:tc>
      </w:tr>
      <w:tr w:rsidR="00232EAC" w14:paraId="0CDAA7D3" w14:textId="77777777" w:rsidTr="004D38A2">
        <w:tc>
          <w:tcPr>
            <w:tcW w:w="4328" w:type="dxa"/>
          </w:tcPr>
          <w:p w14:paraId="0C3E93A7" w14:textId="77777777" w:rsidR="00232EAC" w:rsidRPr="00C8670F" w:rsidRDefault="00232EAC" w:rsidP="004D38A2">
            <w:pPr>
              <w:pStyle w:val="Paragraphnumbered"/>
              <w:numPr>
                <w:ilvl w:val="0"/>
                <w:numId w:val="0"/>
              </w:numPr>
              <w:spacing w:before="0" w:after="0"/>
              <w:jc w:val="both"/>
              <w:rPr>
                <w:sz w:val="18"/>
                <w:szCs w:val="18"/>
              </w:rPr>
            </w:pPr>
            <w:bookmarkStart w:id="78" w:name="_Toc502845925"/>
            <w:r w:rsidRPr="00C8670F">
              <w:rPr>
                <w:sz w:val="18"/>
                <w:szCs w:val="18"/>
              </w:rPr>
              <w:t xml:space="preserve">Data item 12: Complaints resolved between +32 days and 93 calendar days (subset of </w:t>
            </w:r>
            <w:r w:rsidRPr="00C8670F">
              <w:rPr>
                <w:bCs w:val="0"/>
                <w:sz w:val="18"/>
                <w:szCs w:val="18"/>
              </w:rPr>
              <w:t xml:space="preserve">data item </w:t>
            </w:r>
            <w:r w:rsidRPr="00C8670F">
              <w:rPr>
                <w:sz w:val="18"/>
                <w:szCs w:val="18"/>
              </w:rPr>
              <w:t>9)</w:t>
            </w:r>
            <w:bookmarkEnd w:id="78"/>
          </w:p>
        </w:tc>
        <w:tc>
          <w:tcPr>
            <w:tcW w:w="4328" w:type="dxa"/>
            <w:vAlign w:val="center"/>
          </w:tcPr>
          <w:p w14:paraId="57B31933" w14:textId="77777777" w:rsidR="00232EAC" w:rsidRPr="00C8670F" w:rsidRDefault="00232EAC" w:rsidP="004D38A2">
            <w:pPr>
              <w:pStyle w:val="Paragraphnumbered"/>
              <w:numPr>
                <w:ilvl w:val="0"/>
                <w:numId w:val="0"/>
              </w:numPr>
              <w:spacing w:before="0" w:after="0"/>
              <w:jc w:val="both"/>
              <w:rPr>
                <w:sz w:val="18"/>
                <w:szCs w:val="18"/>
              </w:rPr>
            </w:pPr>
            <w:bookmarkStart w:id="79" w:name="_Toc502845926"/>
            <w:r w:rsidRPr="00C8670F">
              <w:rPr>
                <w:sz w:val="18"/>
                <w:szCs w:val="18"/>
              </w:rPr>
              <w:t xml:space="preserve">Data item C14: Complaints resolved </w:t>
            </w:r>
            <w:r w:rsidRPr="00C8670F">
              <w:rPr>
                <w:bCs w:val="0"/>
                <w:sz w:val="18"/>
                <w:szCs w:val="18"/>
              </w:rPr>
              <w:t>after 56 calendar days (eight weeks) (subset of data item C11)</w:t>
            </w:r>
            <w:bookmarkEnd w:id="79"/>
          </w:p>
        </w:tc>
      </w:tr>
      <w:tr w:rsidR="00232EAC" w14:paraId="3C6F13CB" w14:textId="77777777" w:rsidTr="004D38A2">
        <w:tc>
          <w:tcPr>
            <w:tcW w:w="4328" w:type="dxa"/>
          </w:tcPr>
          <w:p w14:paraId="3B650B84" w14:textId="77777777" w:rsidR="00232EAC" w:rsidRPr="00C8670F" w:rsidRDefault="00232EAC" w:rsidP="004D38A2">
            <w:pPr>
              <w:pStyle w:val="Paragraphnumbered"/>
              <w:numPr>
                <w:ilvl w:val="0"/>
                <w:numId w:val="0"/>
              </w:numPr>
              <w:spacing w:before="0" w:after="0"/>
              <w:jc w:val="both"/>
              <w:rPr>
                <w:sz w:val="18"/>
                <w:szCs w:val="18"/>
              </w:rPr>
            </w:pPr>
            <w:bookmarkStart w:id="80" w:name="_Toc502845927"/>
            <w:r w:rsidRPr="00C8670F">
              <w:rPr>
                <w:sz w:val="18"/>
                <w:szCs w:val="18"/>
              </w:rPr>
              <w:t xml:space="preserve">Data item 13: Complaints resolved in +94 calendar days (subset of </w:t>
            </w:r>
            <w:r w:rsidRPr="00C8670F">
              <w:rPr>
                <w:bCs w:val="0"/>
                <w:sz w:val="18"/>
                <w:szCs w:val="18"/>
              </w:rPr>
              <w:t xml:space="preserve">data item </w:t>
            </w:r>
            <w:r w:rsidRPr="00C8670F">
              <w:rPr>
                <w:sz w:val="18"/>
                <w:szCs w:val="18"/>
              </w:rPr>
              <w:t>9)</w:t>
            </w:r>
            <w:bookmarkEnd w:id="80"/>
          </w:p>
        </w:tc>
        <w:tc>
          <w:tcPr>
            <w:tcW w:w="4328" w:type="dxa"/>
            <w:vAlign w:val="center"/>
          </w:tcPr>
          <w:p w14:paraId="2E7793D5" w14:textId="77777777" w:rsidR="00232EAC" w:rsidRPr="00C8670F" w:rsidRDefault="00232EAC" w:rsidP="004D38A2">
            <w:pPr>
              <w:pStyle w:val="Paragraphnumbered"/>
              <w:numPr>
                <w:ilvl w:val="0"/>
                <w:numId w:val="0"/>
              </w:numPr>
              <w:spacing w:before="0" w:after="0"/>
              <w:jc w:val="both"/>
              <w:rPr>
                <w:sz w:val="18"/>
                <w:szCs w:val="18"/>
              </w:rPr>
            </w:pPr>
            <w:bookmarkStart w:id="81" w:name="_Toc502845928"/>
            <w:r w:rsidRPr="00C8670F">
              <w:rPr>
                <w:sz w:val="18"/>
                <w:szCs w:val="18"/>
              </w:rPr>
              <w:t>-</w:t>
            </w:r>
            <w:bookmarkEnd w:id="81"/>
          </w:p>
        </w:tc>
      </w:tr>
    </w:tbl>
    <w:p w14:paraId="0C571C2E" w14:textId="00D00F48" w:rsidR="00232EAC" w:rsidRDefault="00232EAC" w:rsidP="00312C59">
      <w:pPr>
        <w:pStyle w:val="Paragrapgh"/>
      </w:pPr>
      <w:r w:rsidRPr="00312C59">
        <w:t>Data item C15 ‘Average resolution time for all complaints resolved during the quarter’</w:t>
      </w:r>
      <w:r>
        <w:t xml:space="preserve"> </w:t>
      </w:r>
      <w:r w:rsidR="007F2B32">
        <w:t xml:space="preserve">is new and </w:t>
      </w:r>
      <w:r w:rsidR="00A90021">
        <w:t>must</w:t>
      </w:r>
      <w:r>
        <w:t xml:space="preserve"> be calculated in days as the statistical median of the resolution times for all complaints</w:t>
      </w:r>
      <w:r w:rsidR="007F2B32">
        <w:t xml:space="preserve"> </w:t>
      </w:r>
      <w:r>
        <w:t xml:space="preserve">that a supplier resolved during the relevant reporting quarter, irrespective of when the complaints was received. For resolved repeat complaints the calculation </w:t>
      </w:r>
      <w:r w:rsidR="001018F2">
        <w:t>has to</w:t>
      </w:r>
      <w:r>
        <w:t xml:space="preserve"> include the time between </w:t>
      </w:r>
      <w:r w:rsidRPr="00B01E2D">
        <w:t>the date the original complaint was made and the date it was fully resolved to the customer’s satisfaction</w:t>
      </w:r>
      <w:r w:rsidR="001018F2">
        <w:t xml:space="preserve">. </w:t>
      </w:r>
    </w:p>
    <w:p w14:paraId="6D81D316" w14:textId="2315B5AA" w:rsidR="00312C59" w:rsidRDefault="007F2B32" w:rsidP="00312C59">
      <w:pPr>
        <w:pStyle w:val="Paragrapgh"/>
      </w:pPr>
      <w:r>
        <w:t xml:space="preserve">Item C15 </w:t>
      </w:r>
      <w:r w:rsidR="00312C59" w:rsidRPr="00232EAC">
        <w:t xml:space="preserve">is aimed at providing a more precise statistics of the length of the customer complaint journey for every supplier. We understand that the inclusion of cases that have been escalated </w:t>
      </w:r>
      <w:r w:rsidR="00312C59" w:rsidRPr="00232EAC">
        <w:lastRenderedPageBreak/>
        <w:t xml:space="preserve">through the Extra Help Unit and Citizens Advice Consumer Service will also impact upon this and the other speed of resolution statistics in section C. </w:t>
      </w:r>
    </w:p>
    <w:p w14:paraId="198BFBA4" w14:textId="77777777" w:rsidR="004B5455" w:rsidRPr="005A3837" w:rsidRDefault="004B5455" w:rsidP="004B5455">
      <w:pPr>
        <w:pStyle w:val="Paragrapgh"/>
        <w:numPr>
          <w:ilvl w:val="0"/>
          <w:numId w:val="0"/>
        </w:numPr>
      </w:pPr>
    </w:p>
    <w:p w14:paraId="5D2986C6" w14:textId="0A42393D" w:rsidR="00312C59" w:rsidRDefault="00312C59" w:rsidP="00312C59">
      <w:pPr>
        <w:pStyle w:val="Heading2"/>
      </w:pPr>
      <w:bookmarkStart w:id="82" w:name="_Toc502845929"/>
      <w:r>
        <w:t>Section</w:t>
      </w:r>
      <w:bookmarkEnd w:id="82"/>
      <w:r w:rsidR="00482574">
        <w:t xml:space="preserve"> D</w:t>
      </w:r>
    </w:p>
    <w:p w14:paraId="3E4700D0" w14:textId="21D0DC4E" w:rsidR="004A2E79" w:rsidRDefault="004A2E79" w:rsidP="00312C59">
      <w:pPr>
        <w:pStyle w:val="Paragrapgh"/>
      </w:pPr>
      <w:r>
        <w:t>In Section D we require</w:t>
      </w:r>
      <w:r w:rsidR="00746E53">
        <w:t xml:space="preserve"> that suppliers specify the number of letters </w:t>
      </w:r>
      <w:r>
        <w:t>sent during the quarter to signpost the Ombudsman</w:t>
      </w:r>
      <w:r w:rsidR="00926F1C">
        <w:t>, respectively</w:t>
      </w:r>
      <w:r>
        <w:t xml:space="preserve">: </w:t>
      </w:r>
    </w:p>
    <w:p w14:paraId="2B817832" w14:textId="77E3D9F2" w:rsidR="004A2E79" w:rsidRDefault="00746E53" w:rsidP="004A2E79">
      <w:pPr>
        <w:pStyle w:val="Paragrapgh"/>
        <w:numPr>
          <w:ilvl w:val="0"/>
          <w:numId w:val="27"/>
        </w:numPr>
      </w:pPr>
      <w:r>
        <w:t>for complaints that had not been solved within 8 weeks</w:t>
      </w:r>
      <w:r w:rsidR="004A2E79">
        <w:t xml:space="preserve"> (item D16);</w:t>
      </w:r>
      <w:r>
        <w:t xml:space="preserve"> and</w:t>
      </w:r>
    </w:p>
    <w:p w14:paraId="014354B4" w14:textId="52CC1BBA" w:rsidR="00746E53" w:rsidRDefault="00746E53" w:rsidP="004A2E79">
      <w:pPr>
        <w:pStyle w:val="Paragrapgh"/>
        <w:numPr>
          <w:ilvl w:val="0"/>
          <w:numId w:val="27"/>
        </w:numPr>
      </w:pPr>
      <w:r>
        <w:t>for complaints that reached a deadlock situation</w:t>
      </w:r>
      <w:r w:rsidR="004A2E79">
        <w:t xml:space="preserve"> (item D17)</w:t>
      </w:r>
      <w:r>
        <w:t>.</w:t>
      </w:r>
    </w:p>
    <w:p w14:paraId="041A085B" w14:textId="77777777" w:rsidR="004A2E79" w:rsidRDefault="004A2E79" w:rsidP="00482574">
      <w:pPr>
        <w:pStyle w:val="Heading2"/>
      </w:pPr>
    </w:p>
    <w:p w14:paraId="76A3A84C" w14:textId="2062A9D5" w:rsidR="00482574" w:rsidRDefault="00482574" w:rsidP="00482574">
      <w:pPr>
        <w:pStyle w:val="Heading2"/>
      </w:pPr>
      <w:r>
        <w:t>Section E</w:t>
      </w:r>
    </w:p>
    <w:p w14:paraId="1610FB0E" w14:textId="649EAC3D" w:rsidR="00746E53" w:rsidRDefault="00647430" w:rsidP="00312C59">
      <w:pPr>
        <w:pStyle w:val="Paragrapgh"/>
      </w:pPr>
      <w:r>
        <w:t xml:space="preserve">Item E18 refers to </w:t>
      </w:r>
      <w:r w:rsidR="00232EAC" w:rsidRPr="00B0123B">
        <w:t>‘Number of electricity customer accounts</w:t>
      </w:r>
      <w:r w:rsidR="00232EAC">
        <w:t xml:space="preserve"> at the end of the quarter</w:t>
      </w:r>
      <w:r w:rsidR="00232EAC" w:rsidRPr="00B0123B">
        <w:t xml:space="preserve">’ and </w:t>
      </w:r>
      <w:r>
        <w:t>E19</w:t>
      </w:r>
      <w:r w:rsidR="00232EAC" w:rsidRPr="00B0123B">
        <w:t xml:space="preserve"> </w:t>
      </w:r>
      <w:r>
        <w:t xml:space="preserve">refers to </w:t>
      </w:r>
      <w:r w:rsidR="00232EAC" w:rsidRPr="00B0123B">
        <w:t>‘Number of gas customer accounts</w:t>
      </w:r>
      <w:r w:rsidR="00232EAC">
        <w:t xml:space="preserve"> at the end of the quarter</w:t>
      </w:r>
      <w:r>
        <w:t xml:space="preserve">”. </w:t>
      </w:r>
      <w:r w:rsidR="00232EAC" w:rsidRPr="00B0123B">
        <w:t xml:space="preserve">If a supplier </w:t>
      </w:r>
      <w:r w:rsidR="004A2E79">
        <w:t>serves</w:t>
      </w:r>
      <w:r w:rsidR="00232EAC" w:rsidRPr="00B0123B">
        <w:t xml:space="preserve"> customer with both electricity and gas, such a customer </w:t>
      </w:r>
      <w:r w:rsidR="001018F2">
        <w:t>must</w:t>
      </w:r>
      <w:r w:rsidR="00232EAC" w:rsidRPr="00B0123B">
        <w:t xml:space="preserve"> be recorded as one electricity account and one gas account. </w:t>
      </w:r>
    </w:p>
    <w:p w14:paraId="04E0C47E" w14:textId="3D668A68" w:rsidR="00232EAC" w:rsidRDefault="00232EAC" w:rsidP="00312C59">
      <w:pPr>
        <w:pStyle w:val="Paragrapgh"/>
      </w:pPr>
      <w:r>
        <w:t>For domestic complaints t</w:t>
      </w:r>
      <w:r w:rsidRPr="00B0123B">
        <w:t xml:space="preserve">his data </w:t>
      </w:r>
      <w:r w:rsidR="001018F2">
        <w:t>has to</w:t>
      </w:r>
      <w:r w:rsidRPr="00B0123B">
        <w:t xml:space="preserve"> be consistent with the data submitted by suppliers under the Social Obligations Reporting requirement, as set out in Standard Licence Condition 32 of the gas and electricity supply licences. Item </w:t>
      </w:r>
      <w:r w:rsidR="00647430">
        <w:t xml:space="preserve">E20 </w:t>
      </w:r>
      <w:r>
        <w:t xml:space="preserve">‘Total number of domestic electricity and gas accounts’ is calculated </w:t>
      </w:r>
      <w:r w:rsidRPr="00B0123B">
        <w:t>automatically</w:t>
      </w:r>
      <w:r>
        <w:t xml:space="preserve">. </w:t>
      </w:r>
      <w:r w:rsidRPr="00CA2A3E">
        <w:t xml:space="preserve">Item </w:t>
      </w:r>
      <w:r w:rsidR="00647430">
        <w:t>E21</w:t>
      </w:r>
      <w:r w:rsidRPr="00CA2A3E">
        <w:t xml:space="preserve"> ’Number of complaints received per 100,000 customer accounts’ is calculated automatically in the template, using the total number of customer accounts, rather than the number of unique customers or supply points. Suppliers should use this indicator in the complaints section of their websites (see section 9).</w:t>
      </w:r>
      <w:r>
        <w:t xml:space="preserve"> If a supplier has less than 100,000 customer accounts we will use the alternative measure of ‘Number of complaints received per 10,000 customer accounts’.</w:t>
      </w:r>
      <w:r w:rsidRPr="00843ED9">
        <w:t xml:space="preserve"> </w:t>
      </w:r>
      <w:r>
        <w:t>If a supplier has less than 100,000 customer accounts the alternative measure of ‘Number of complaints received per 10,000 customer accounts’ should be used, which is ca</w:t>
      </w:r>
      <w:r w:rsidR="00647430">
        <w:t>lculated automatically in Item E22</w:t>
      </w:r>
      <w:r>
        <w:t>.</w:t>
      </w:r>
    </w:p>
    <w:p w14:paraId="208F758F" w14:textId="7800A040" w:rsidR="00645BEC" w:rsidRDefault="00312C59" w:rsidP="00EF570D">
      <w:pPr>
        <w:pStyle w:val="ChapterHeading"/>
      </w:pPr>
      <w:bookmarkStart w:id="83" w:name="_Toc502845931"/>
      <w:r>
        <w:lastRenderedPageBreak/>
        <w:t>Consistency with the complaint data published on suppliers’ website</w:t>
      </w:r>
      <w:bookmarkEnd w:id="83"/>
    </w:p>
    <w:p w14:paraId="15ADADE2" w14:textId="77777777" w:rsidR="00EA7826" w:rsidRDefault="00EA7826" w:rsidP="00EA7826">
      <w:pPr>
        <w:pStyle w:val="Textbox"/>
        <w:rPr>
          <w:b/>
          <w:bCs/>
        </w:rPr>
      </w:pPr>
      <w:r w:rsidRPr="00B0426B">
        <w:rPr>
          <w:b/>
          <w:bCs/>
        </w:rPr>
        <w:t xml:space="preserve">Chapter Summary </w:t>
      </w:r>
    </w:p>
    <w:p w14:paraId="42F46FAC" w14:textId="77777777" w:rsidR="00EA7826" w:rsidRDefault="00EA7826" w:rsidP="00EA7826">
      <w:pPr>
        <w:pStyle w:val="Textbox"/>
        <w:rPr>
          <w:b/>
          <w:bCs/>
        </w:rPr>
      </w:pPr>
    </w:p>
    <w:p w14:paraId="330A8652" w14:textId="0F80F1E7" w:rsidR="00EA7826" w:rsidRPr="00AD7522" w:rsidRDefault="00746E53" w:rsidP="00EA7826">
      <w:pPr>
        <w:pStyle w:val="Textbox"/>
        <w:rPr>
          <w:bCs/>
        </w:rPr>
      </w:pPr>
      <w:r>
        <w:rPr>
          <w:bCs/>
        </w:rPr>
        <w:t>This chapter provides guidelines to ensure that there is consistency between suppliers’ own complaint publications and their submissions under this guidance.</w:t>
      </w:r>
    </w:p>
    <w:p w14:paraId="35CFB5C1" w14:textId="77777777" w:rsidR="00EA7826" w:rsidRDefault="00EA7826" w:rsidP="00EA7826">
      <w:pPr>
        <w:pStyle w:val="Textbox"/>
      </w:pPr>
    </w:p>
    <w:p w14:paraId="3977AE83" w14:textId="59B512F3" w:rsidR="00312C59" w:rsidRDefault="00312C59" w:rsidP="002C59C5">
      <w:pPr>
        <w:pStyle w:val="Paragrapgh"/>
        <w:numPr>
          <w:ilvl w:val="1"/>
          <w:numId w:val="9"/>
        </w:numPr>
        <w:spacing w:before="240" w:after="240"/>
      </w:pPr>
      <w:r w:rsidRPr="00FA4AE9">
        <w:t xml:space="preserve">Suppliers currently publish the following </w:t>
      </w:r>
      <w:r>
        <w:t xml:space="preserve">quarterly </w:t>
      </w:r>
      <w:r w:rsidR="004A2E79">
        <w:t xml:space="preserve">domestic </w:t>
      </w:r>
      <w:r>
        <w:t>complaints’ indicators</w:t>
      </w:r>
      <w:r w:rsidRPr="00FA4AE9">
        <w:t xml:space="preserve"> on their websites:</w:t>
      </w:r>
    </w:p>
    <w:p w14:paraId="3F6EAD3C" w14:textId="77777777" w:rsidR="00312C59" w:rsidRPr="00C8670F" w:rsidRDefault="00312C59" w:rsidP="002C59C5">
      <w:pPr>
        <w:pStyle w:val="Heading3"/>
        <w:keepNext/>
        <w:numPr>
          <w:ilvl w:val="0"/>
          <w:numId w:val="21"/>
        </w:numPr>
        <w:tabs>
          <w:tab w:val="clear" w:pos="2581"/>
        </w:tabs>
        <w:spacing w:before="240" w:after="60"/>
        <w:jc w:val="both"/>
        <w:rPr>
          <w:b w:val="0"/>
        </w:rPr>
      </w:pPr>
      <w:bookmarkStart w:id="84" w:name="_Toc502845932"/>
      <w:r w:rsidRPr="00C8670F">
        <w:rPr>
          <w:b w:val="0"/>
        </w:rPr>
        <w:t>Number of complaints received;</w:t>
      </w:r>
      <w:bookmarkEnd w:id="84"/>
    </w:p>
    <w:p w14:paraId="13F8A1E1" w14:textId="77777777" w:rsidR="00312C59" w:rsidRPr="00C8670F" w:rsidRDefault="00312C59" w:rsidP="002C59C5">
      <w:pPr>
        <w:pStyle w:val="Heading3"/>
        <w:keepNext/>
        <w:numPr>
          <w:ilvl w:val="0"/>
          <w:numId w:val="21"/>
        </w:numPr>
        <w:tabs>
          <w:tab w:val="clear" w:pos="2581"/>
        </w:tabs>
        <w:spacing w:before="240" w:after="60"/>
        <w:jc w:val="both"/>
        <w:rPr>
          <w:b w:val="0"/>
        </w:rPr>
      </w:pPr>
      <w:bookmarkStart w:id="85" w:name="_Toc502845933"/>
      <w:r w:rsidRPr="00C8670F">
        <w:rPr>
          <w:b w:val="0"/>
        </w:rPr>
        <w:t>Number of complaints received per 100,000 or 10,000 customer accounts if the supplier has less that 100,000 customer accounts;</w:t>
      </w:r>
      <w:bookmarkEnd w:id="85"/>
    </w:p>
    <w:p w14:paraId="4466E85D" w14:textId="77777777" w:rsidR="00312C59" w:rsidRPr="00C8670F" w:rsidRDefault="00312C59" w:rsidP="002C59C5">
      <w:pPr>
        <w:pStyle w:val="Heading3"/>
        <w:keepNext/>
        <w:numPr>
          <w:ilvl w:val="0"/>
          <w:numId w:val="21"/>
        </w:numPr>
        <w:tabs>
          <w:tab w:val="clear" w:pos="2581"/>
        </w:tabs>
        <w:spacing w:before="240" w:after="60"/>
        <w:jc w:val="both"/>
        <w:rPr>
          <w:b w:val="0"/>
        </w:rPr>
      </w:pPr>
      <w:bookmarkStart w:id="86" w:name="_Toc502845934"/>
      <w:r w:rsidRPr="00C8670F">
        <w:rPr>
          <w:b w:val="0"/>
        </w:rPr>
        <w:t>Number of complaints resolved;</w:t>
      </w:r>
      <w:bookmarkEnd w:id="86"/>
    </w:p>
    <w:p w14:paraId="3AED1765" w14:textId="77777777" w:rsidR="00312C59" w:rsidRPr="00C8670F" w:rsidRDefault="00312C59" w:rsidP="002C59C5">
      <w:pPr>
        <w:pStyle w:val="Heading3"/>
        <w:keepNext/>
        <w:numPr>
          <w:ilvl w:val="0"/>
          <w:numId w:val="21"/>
        </w:numPr>
        <w:tabs>
          <w:tab w:val="clear" w:pos="2581"/>
        </w:tabs>
        <w:spacing w:before="240" w:after="60"/>
        <w:jc w:val="both"/>
        <w:rPr>
          <w:b w:val="0"/>
        </w:rPr>
      </w:pPr>
      <w:bookmarkStart w:id="87" w:name="_Toc502845935"/>
      <w:r w:rsidRPr="00C8670F">
        <w:rPr>
          <w:b w:val="0"/>
        </w:rPr>
        <w:t>Number of complaints resolved per 100,000 or 10,000 customer accounts if the supplier has less that 100,000 customer accounts;</w:t>
      </w:r>
      <w:bookmarkEnd w:id="87"/>
    </w:p>
    <w:p w14:paraId="34A74ED7" w14:textId="77777777" w:rsidR="00312C59" w:rsidRPr="00C8670F" w:rsidRDefault="00312C59" w:rsidP="002C59C5">
      <w:pPr>
        <w:pStyle w:val="Heading3"/>
        <w:keepNext/>
        <w:numPr>
          <w:ilvl w:val="0"/>
          <w:numId w:val="21"/>
        </w:numPr>
        <w:tabs>
          <w:tab w:val="clear" w:pos="2581"/>
        </w:tabs>
        <w:spacing w:before="240" w:after="60"/>
        <w:jc w:val="both"/>
        <w:rPr>
          <w:b w:val="0"/>
        </w:rPr>
      </w:pPr>
      <w:bookmarkStart w:id="88" w:name="_Toc502845936"/>
      <w:r w:rsidRPr="00C8670F">
        <w:rPr>
          <w:b w:val="0"/>
        </w:rPr>
        <w:t>Percentage of complaints resolved by the end of the next working day;</w:t>
      </w:r>
      <w:bookmarkEnd w:id="88"/>
    </w:p>
    <w:p w14:paraId="11885D15" w14:textId="77777777" w:rsidR="00312C59" w:rsidRPr="00C8670F" w:rsidRDefault="00312C59" w:rsidP="002C59C5">
      <w:pPr>
        <w:pStyle w:val="Heading3"/>
        <w:keepNext/>
        <w:numPr>
          <w:ilvl w:val="0"/>
          <w:numId w:val="21"/>
        </w:numPr>
        <w:tabs>
          <w:tab w:val="clear" w:pos="2581"/>
        </w:tabs>
        <w:spacing w:before="240" w:after="60"/>
        <w:jc w:val="both"/>
        <w:rPr>
          <w:b w:val="0"/>
        </w:rPr>
      </w:pPr>
      <w:bookmarkStart w:id="89" w:name="_Toc502845937"/>
      <w:r w:rsidRPr="00C8670F">
        <w:rPr>
          <w:b w:val="0"/>
        </w:rPr>
        <w:t>Percentage of complaints resolved within eight weeks.</w:t>
      </w:r>
      <w:bookmarkEnd w:id="89"/>
    </w:p>
    <w:p w14:paraId="3767B357" w14:textId="77777777" w:rsidR="00312C59" w:rsidRPr="00C8670F" w:rsidRDefault="00312C59" w:rsidP="00312C59"/>
    <w:p w14:paraId="6548E5EC" w14:textId="393C3C9D" w:rsidR="00312C59" w:rsidRPr="00673652" w:rsidRDefault="00312C59" w:rsidP="002C59C5">
      <w:pPr>
        <w:pStyle w:val="Paragrapgh"/>
        <w:numPr>
          <w:ilvl w:val="1"/>
          <w:numId w:val="9"/>
        </w:numPr>
        <w:spacing w:before="240" w:after="240"/>
      </w:pPr>
      <w:r>
        <w:t xml:space="preserve">Our review showed that in some cases there were discrepancies between the </w:t>
      </w:r>
      <w:r w:rsidR="00F77798">
        <w:t xml:space="preserve">submitted </w:t>
      </w:r>
      <w:r>
        <w:t xml:space="preserve">data and that </w:t>
      </w:r>
      <w:r w:rsidR="00F77798">
        <w:t>published</w:t>
      </w:r>
      <w:r>
        <w:t xml:space="preserve"> on suppliers’ websites. In some cases this was due to a different methodology used </w:t>
      </w:r>
      <w:r w:rsidR="00EA2938">
        <w:t xml:space="preserve">by suppliers </w:t>
      </w:r>
      <w:r>
        <w:t xml:space="preserve">when publishing data on their websites. </w:t>
      </w:r>
      <w:r w:rsidRPr="00DB0A64">
        <w:t xml:space="preserve">To ensure data consistency, </w:t>
      </w:r>
      <w:r w:rsidRPr="00673652">
        <w:t xml:space="preserve">we expect that suppliers publish the data on their websites as it is submitted to </w:t>
      </w:r>
      <w:r w:rsidR="00746E53">
        <w:t>us</w:t>
      </w:r>
      <w:r w:rsidRPr="00673652">
        <w:t xml:space="preserve"> </w:t>
      </w:r>
      <w:r w:rsidR="001018F2">
        <w:t>under this guidance</w:t>
      </w:r>
      <w:r w:rsidRPr="00673652">
        <w:t>.</w:t>
      </w:r>
      <w:r w:rsidRPr="00DB0A64">
        <w:t xml:space="preserve"> In particular:</w:t>
      </w:r>
    </w:p>
    <w:p w14:paraId="38A98CC4" w14:textId="64F04B67" w:rsidR="00312C59" w:rsidRPr="00C8670F" w:rsidRDefault="00312C59" w:rsidP="002C59C5">
      <w:pPr>
        <w:pStyle w:val="Paragraphnumbered"/>
        <w:numPr>
          <w:ilvl w:val="0"/>
          <w:numId w:val="20"/>
        </w:numPr>
        <w:jc w:val="both"/>
      </w:pPr>
      <w:bookmarkStart w:id="90" w:name="_Toc502845938"/>
      <w:r w:rsidRPr="00C8670F">
        <w:t xml:space="preserve">The number of complaints received </w:t>
      </w:r>
      <w:r w:rsidR="00772E25">
        <w:t xml:space="preserve">in a given quarter </w:t>
      </w:r>
      <w:r w:rsidRPr="00C8670F">
        <w:t xml:space="preserve">should be </w:t>
      </w:r>
      <w:r w:rsidR="00772E25">
        <w:t>published</w:t>
      </w:r>
      <w:r w:rsidRPr="00C8670F">
        <w:t xml:space="preserve"> using </w:t>
      </w:r>
      <w:r w:rsidR="00772E25">
        <w:t>data item</w:t>
      </w:r>
      <w:r w:rsidRPr="00C8670F">
        <w:t xml:space="preserve"> </w:t>
      </w:r>
      <w:r w:rsidR="00772E25">
        <w:t xml:space="preserve">B6 </w:t>
      </w:r>
      <w:r w:rsidRPr="00C8670F">
        <w:t>‘</w:t>
      </w:r>
      <w:r w:rsidR="00772E25">
        <w:t>Total c</w:t>
      </w:r>
      <w:r w:rsidRPr="00C8670F">
        <w:t>omplaints received’ in the</w:t>
      </w:r>
      <w:r w:rsidR="00772E25">
        <w:t xml:space="preserve"> quarterly template</w:t>
      </w:r>
      <w:r w:rsidR="00EA2938">
        <w:t>, which is in turn consistent with the sum of item A1 ‘Complaints received’ in the monthly returns submitted for the same quarter</w:t>
      </w:r>
      <w:r w:rsidR="00772E25">
        <w:t xml:space="preserve"> (see Appendix 1)</w:t>
      </w:r>
      <w:r w:rsidRPr="00C8670F">
        <w:t>.</w:t>
      </w:r>
      <w:bookmarkEnd w:id="90"/>
    </w:p>
    <w:p w14:paraId="5B8A029C" w14:textId="28EB18E8" w:rsidR="00312C59" w:rsidRPr="00C8670F" w:rsidRDefault="00312C59" w:rsidP="002C59C5">
      <w:pPr>
        <w:pStyle w:val="Paragraphnumbered"/>
        <w:numPr>
          <w:ilvl w:val="0"/>
          <w:numId w:val="20"/>
        </w:numPr>
        <w:jc w:val="both"/>
      </w:pPr>
      <w:bookmarkStart w:id="91" w:name="_Toc502845939"/>
      <w:r w:rsidRPr="00C8670F">
        <w:t xml:space="preserve">The number of complaints received per 100,000 or 10,000 customer accounts should be </w:t>
      </w:r>
      <w:r w:rsidR="00772E25">
        <w:t>published</w:t>
      </w:r>
      <w:r w:rsidRPr="00C8670F">
        <w:t xml:space="preserve"> using the number of customer accounts, rather than the number of unique customers or supply </w:t>
      </w:r>
      <w:r w:rsidRPr="00C8670F">
        <w:lastRenderedPageBreak/>
        <w:t xml:space="preserve">points. This </w:t>
      </w:r>
      <w:r w:rsidR="00772E25">
        <w:t xml:space="preserve">should be calculated using item B6 </w:t>
      </w:r>
      <w:r w:rsidR="00772E25" w:rsidRPr="00C8670F">
        <w:t>‘</w:t>
      </w:r>
      <w:r w:rsidR="00772E25">
        <w:t>Total c</w:t>
      </w:r>
      <w:r w:rsidR="00772E25" w:rsidRPr="00C8670F">
        <w:t>omplaints received’</w:t>
      </w:r>
      <w:r w:rsidR="004A2E79">
        <w:t xml:space="preserve"> </w:t>
      </w:r>
      <w:r w:rsidR="00772E25">
        <w:t xml:space="preserve">and item </w:t>
      </w:r>
      <w:r w:rsidR="0020396C">
        <w:t>E20</w:t>
      </w:r>
      <w:r w:rsidR="00772E25">
        <w:t xml:space="preserve"> ‘</w:t>
      </w:r>
      <w:bookmarkEnd w:id="91"/>
      <w:r w:rsidR="00772E25">
        <w:t>Total number of electricity and gas accounts’ in the quarterly template (see Appendix 1)</w:t>
      </w:r>
    </w:p>
    <w:p w14:paraId="5892F87B" w14:textId="14FC4582" w:rsidR="00312C59" w:rsidRPr="00C8670F" w:rsidRDefault="00312C59" w:rsidP="002C59C5">
      <w:pPr>
        <w:pStyle w:val="Heading3"/>
        <w:keepNext/>
        <w:numPr>
          <w:ilvl w:val="0"/>
          <w:numId w:val="20"/>
        </w:numPr>
        <w:tabs>
          <w:tab w:val="clear" w:pos="2581"/>
        </w:tabs>
        <w:spacing w:before="240" w:after="60"/>
        <w:jc w:val="both"/>
        <w:rPr>
          <w:b w:val="0"/>
        </w:rPr>
      </w:pPr>
      <w:bookmarkStart w:id="92" w:name="_Toc502845940"/>
      <w:r w:rsidRPr="00C8670F">
        <w:rPr>
          <w:b w:val="0"/>
        </w:rPr>
        <w:t xml:space="preserve">The number of complaints resolved should be </w:t>
      </w:r>
      <w:r w:rsidR="00772E25">
        <w:rPr>
          <w:b w:val="0"/>
        </w:rPr>
        <w:t>published</w:t>
      </w:r>
      <w:r w:rsidRPr="00C8670F">
        <w:rPr>
          <w:b w:val="0"/>
        </w:rPr>
        <w:t xml:space="preserve"> using item </w:t>
      </w:r>
      <w:r w:rsidR="00772E25">
        <w:rPr>
          <w:b w:val="0"/>
        </w:rPr>
        <w:t>C</w:t>
      </w:r>
      <w:r w:rsidRPr="00C8670F">
        <w:rPr>
          <w:b w:val="0"/>
        </w:rPr>
        <w:t>11 ‘Complaints resolved’ in the quarterly complaints template.</w:t>
      </w:r>
      <w:bookmarkEnd w:id="92"/>
    </w:p>
    <w:p w14:paraId="19537069" w14:textId="3C8F089E" w:rsidR="00312C59" w:rsidRPr="00C8670F" w:rsidRDefault="00312C59" w:rsidP="002C59C5">
      <w:pPr>
        <w:pStyle w:val="Heading3"/>
        <w:keepNext/>
        <w:numPr>
          <w:ilvl w:val="0"/>
          <w:numId w:val="20"/>
        </w:numPr>
        <w:tabs>
          <w:tab w:val="clear" w:pos="2581"/>
        </w:tabs>
        <w:spacing w:before="240" w:after="60"/>
        <w:jc w:val="both"/>
        <w:rPr>
          <w:b w:val="0"/>
        </w:rPr>
      </w:pPr>
      <w:bookmarkStart w:id="93" w:name="_Toc502845941"/>
      <w:r w:rsidRPr="00C8670F">
        <w:rPr>
          <w:b w:val="0"/>
        </w:rPr>
        <w:t>The number of complaints resolved per 100,000 or 10,0</w:t>
      </w:r>
      <w:r w:rsidR="00772E25">
        <w:rPr>
          <w:b w:val="0"/>
        </w:rPr>
        <w:t>00 customer accounts should be published</w:t>
      </w:r>
      <w:r w:rsidRPr="00C8670F">
        <w:rPr>
          <w:b w:val="0"/>
        </w:rPr>
        <w:t xml:space="preserve"> using the number of customer accounts, rather than the number of unique customers or supply points. This corresponds to data item </w:t>
      </w:r>
      <w:r w:rsidR="0020396C">
        <w:rPr>
          <w:b w:val="0"/>
        </w:rPr>
        <w:t>E21</w:t>
      </w:r>
      <w:r w:rsidRPr="00C8670F">
        <w:rPr>
          <w:b w:val="0"/>
        </w:rPr>
        <w:t xml:space="preserve"> ‘Complaints resolved per 100,000 customer accounts’ or </w:t>
      </w:r>
      <w:r w:rsidR="0020396C">
        <w:rPr>
          <w:b w:val="0"/>
        </w:rPr>
        <w:t>E22</w:t>
      </w:r>
      <w:r w:rsidRPr="00C8670F">
        <w:rPr>
          <w:b w:val="0"/>
        </w:rPr>
        <w:t xml:space="preserve"> ‘Complaints resolved per 10,000 customer accounts’ in the quarterly complaints template.</w:t>
      </w:r>
      <w:bookmarkEnd w:id="93"/>
      <w:r w:rsidRPr="00C8670F">
        <w:rPr>
          <w:b w:val="0"/>
        </w:rPr>
        <w:t xml:space="preserve"> </w:t>
      </w:r>
    </w:p>
    <w:p w14:paraId="310C2AF0" w14:textId="4F95446C" w:rsidR="00312C59" w:rsidRPr="00C8670F" w:rsidRDefault="00312C59" w:rsidP="002C59C5">
      <w:pPr>
        <w:pStyle w:val="Heading3"/>
        <w:keepNext/>
        <w:numPr>
          <w:ilvl w:val="0"/>
          <w:numId w:val="20"/>
        </w:numPr>
        <w:tabs>
          <w:tab w:val="clear" w:pos="2581"/>
        </w:tabs>
        <w:spacing w:before="240" w:after="60"/>
        <w:jc w:val="both"/>
        <w:rPr>
          <w:b w:val="0"/>
        </w:rPr>
      </w:pPr>
      <w:bookmarkStart w:id="94" w:name="_Toc502845942"/>
      <w:r w:rsidRPr="00C8670F">
        <w:rPr>
          <w:b w:val="0"/>
        </w:rPr>
        <w:t>The percentage of complaints resolved by the end of th</w:t>
      </w:r>
      <w:r w:rsidR="00772E25">
        <w:rPr>
          <w:b w:val="0"/>
        </w:rPr>
        <w:t>e first working day’ should be published</w:t>
      </w:r>
      <w:r w:rsidRPr="00C8670F">
        <w:rPr>
          <w:b w:val="0"/>
        </w:rPr>
        <w:t xml:space="preserve"> as a proportion of complaints resolved during the reporting quarter. This corresponds to data item </w:t>
      </w:r>
      <w:r w:rsidR="00772E25">
        <w:rPr>
          <w:b w:val="0"/>
        </w:rPr>
        <w:t>C</w:t>
      </w:r>
      <w:r w:rsidRPr="00C8670F">
        <w:rPr>
          <w:b w:val="0"/>
        </w:rPr>
        <w:t>12 “Complaints resolved by the end of the first working day after the complaint was received (D+1)</w:t>
      </w:r>
      <w:r w:rsidR="00EA2938">
        <w:rPr>
          <w:b w:val="0"/>
        </w:rPr>
        <w:t xml:space="preserve"> - Percentage of total” in the </w:t>
      </w:r>
      <w:r w:rsidRPr="00C8670F">
        <w:rPr>
          <w:b w:val="0"/>
        </w:rPr>
        <w:t>quarterly complaints template.</w:t>
      </w:r>
      <w:bookmarkEnd w:id="94"/>
    </w:p>
    <w:p w14:paraId="3AD7F4E8" w14:textId="40695A1C" w:rsidR="00312C59" w:rsidRPr="00C8670F" w:rsidRDefault="00312C59" w:rsidP="002C59C5">
      <w:pPr>
        <w:pStyle w:val="Heading3"/>
        <w:keepNext/>
        <w:numPr>
          <w:ilvl w:val="0"/>
          <w:numId w:val="20"/>
        </w:numPr>
        <w:tabs>
          <w:tab w:val="clear" w:pos="2581"/>
        </w:tabs>
        <w:spacing w:before="240" w:after="60"/>
        <w:jc w:val="both"/>
        <w:rPr>
          <w:b w:val="0"/>
        </w:rPr>
      </w:pPr>
      <w:bookmarkStart w:id="95" w:name="_Toc502845943"/>
      <w:r w:rsidRPr="00C8670F">
        <w:rPr>
          <w:b w:val="0"/>
        </w:rPr>
        <w:t xml:space="preserve">The percentage of complaints resolved within eight weeks should be reported using data item </w:t>
      </w:r>
      <w:r w:rsidR="00772E25">
        <w:rPr>
          <w:b w:val="0"/>
        </w:rPr>
        <w:t>C</w:t>
      </w:r>
      <w:r w:rsidRPr="00C8670F">
        <w:rPr>
          <w:b w:val="0"/>
        </w:rPr>
        <w:t xml:space="preserve">13 ‘Direct complaints resolved between date complaint received and eight weeks – Percentage of total’ in the </w:t>
      </w:r>
      <w:r w:rsidR="00EA2938">
        <w:rPr>
          <w:b w:val="0"/>
        </w:rPr>
        <w:t>q</w:t>
      </w:r>
      <w:r w:rsidRPr="00C8670F">
        <w:rPr>
          <w:b w:val="0"/>
        </w:rPr>
        <w:t>uarterly complaints template.</w:t>
      </w:r>
      <w:bookmarkEnd w:id="95"/>
    </w:p>
    <w:p w14:paraId="09DB3935" w14:textId="2CE780A5" w:rsidR="00312C59" w:rsidRPr="00C8670F" w:rsidRDefault="00312C59" w:rsidP="002C59C5">
      <w:pPr>
        <w:pStyle w:val="Heading3"/>
        <w:keepNext/>
        <w:numPr>
          <w:ilvl w:val="0"/>
          <w:numId w:val="20"/>
        </w:numPr>
        <w:tabs>
          <w:tab w:val="clear" w:pos="2581"/>
        </w:tabs>
        <w:spacing w:before="240" w:after="60"/>
        <w:jc w:val="both"/>
        <w:rPr>
          <w:b w:val="0"/>
        </w:rPr>
      </w:pPr>
      <w:bookmarkStart w:id="96" w:name="_Toc502845944"/>
      <w:r w:rsidRPr="00C8670F">
        <w:rPr>
          <w:b w:val="0"/>
        </w:rPr>
        <w:t>The published data should cover information on behalf of any white label providers currently operating under suppliers’ respective licences</w:t>
      </w:r>
      <w:r w:rsidR="00EA2938">
        <w:rPr>
          <w:b w:val="0"/>
        </w:rPr>
        <w:t xml:space="preserve">, irrespective of whether white label providers </w:t>
      </w:r>
      <w:r w:rsidR="004A2E79">
        <w:rPr>
          <w:b w:val="0"/>
        </w:rPr>
        <w:t xml:space="preserve">may </w:t>
      </w:r>
      <w:r w:rsidR="00EA2938">
        <w:rPr>
          <w:b w:val="0"/>
        </w:rPr>
        <w:t>publish this information separately</w:t>
      </w:r>
      <w:r w:rsidRPr="00C8670F">
        <w:rPr>
          <w:b w:val="0"/>
        </w:rPr>
        <w:t>.</w:t>
      </w:r>
      <w:bookmarkEnd w:id="96"/>
    </w:p>
    <w:p w14:paraId="3A2E6053" w14:textId="77777777" w:rsidR="00312C59" w:rsidRPr="00C73CE2" w:rsidRDefault="00312C59" w:rsidP="00312C59">
      <w:pPr>
        <w:pStyle w:val="Heading3"/>
        <w:ind w:left="1418"/>
        <w:jc w:val="both"/>
      </w:pPr>
    </w:p>
    <w:p w14:paraId="7C7C8F44" w14:textId="74126901" w:rsidR="00EA7826" w:rsidRDefault="00312C59" w:rsidP="002C59C5">
      <w:pPr>
        <w:pStyle w:val="Paragrapgh"/>
        <w:numPr>
          <w:ilvl w:val="1"/>
          <w:numId w:val="9"/>
        </w:numPr>
        <w:spacing w:before="240" w:after="240"/>
      </w:pPr>
      <w:r>
        <w:t xml:space="preserve">Suppliers also currently publish the first five top complaint reasons on their websites. At the time of issuing this guidance we do not require any change in this publication to adapt to the new categorisation of complaint types introduced </w:t>
      </w:r>
      <w:r w:rsidR="00772E25">
        <w:t>in the monthly returns</w:t>
      </w:r>
      <w:r>
        <w:t xml:space="preserve">. As indicated in </w:t>
      </w:r>
      <w:r w:rsidR="00772E25">
        <w:t>Chapter 3</w:t>
      </w:r>
      <w:r>
        <w:t xml:space="preserve"> we will seek representations </w:t>
      </w:r>
      <w:r w:rsidR="00772E25">
        <w:t xml:space="preserve">from suppliers </w:t>
      </w:r>
      <w:r>
        <w:t>if we decide to change the complaint statistics we publish on regular basis on our website.</w:t>
      </w:r>
      <w:r w:rsidR="00772E25">
        <w:t xml:space="preserve"> </w:t>
      </w:r>
    </w:p>
    <w:p w14:paraId="015351CA" w14:textId="1391B8EB" w:rsidR="00772E25" w:rsidRDefault="00772E25" w:rsidP="00772E25">
      <w:pPr>
        <w:pStyle w:val="Paragrapgh"/>
        <w:numPr>
          <w:ilvl w:val="0"/>
          <w:numId w:val="0"/>
        </w:numPr>
        <w:spacing w:before="240" w:after="240"/>
      </w:pPr>
    </w:p>
    <w:p w14:paraId="586FDB33" w14:textId="77777777" w:rsidR="00772E25" w:rsidRDefault="00772E25" w:rsidP="00772E25">
      <w:pPr>
        <w:pStyle w:val="Paragrapgh"/>
        <w:numPr>
          <w:ilvl w:val="0"/>
          <w:numId w:val="0"/>
        </w:numPr>
        <w:spacing w:before="240" w:after="240"/>
      </w:pPr>
    </w:p>
    <w:p w14:paraId="56A3C7FA" w14:textId="77777777" w:rsidR="00E653B7" w:rsidRDefault="00E653B7" w:rsidP="00EA7826">
      <w:pPr>
        <w:pStyle w:val="Paragrapgh"/>
        <w:numPr>
          <w:ilvl w:val="0"/>
          <w:numId w:val="0"/>
        </w:numPr>
      </w:pPr>
      <w:bookmarkStart w:id="97" w:name="_Toc121908412"/>
      <w:bookmarkStart w:id="98" w:name="_Toc122252096"/>
      <w:bookmarkStart w:id="99" w:name="_Toc122265829"/>
      <w:bookmarkStart w:id="100" w:name="_Toc122509019"/>
      <w:bookmarkStart w:id="101" w:name="_Toc284412150"/>
    </w:p>
    <w:p w14:paraId="643BB881" w14:textId="77777777" w:rsidR="00E653B7" w:rsidRDefault="00E653B7" w:rsidP="00EA7826">
      <w:pPr>
        <w:pStyle w:val="Paragrapgh"/>
        <w:numPr>
          <w:ilvl w:val="0"/>
          <w:numId w:val="0"/>
        </w:numPr>
      </w:pPr>
    </w:p>
    <w:p w14:paraId="62222246" w14:textId="4BE2E82A" w:rsidR="00E653B7" w:rsidRDefault="00E653B7" w:rsidP="00EA7826">
      <w:pPr>
        <w:pStyle w:val="Paragrapgh"/>
        <w:numPr>
          <w:ilvl w:val="0"/>
          <w:numId w:val="0"/>
        </w:numPr>
      </w:pPr>
    </w:p>
    <w:p w14:paraId="5AF1782F" w14:textId="5015B6A4" w:rsidR="00EA2938" w:rsidRDefault="00EA2938" w:rsidP="00EA7826">
      <w:pPr>
        <w:pStyle w:val="Paragrapgh"/>
        <w:numPr>
          <w:ilvl w:val="0"/>
          <w:numId w:val="0"/>
        </w:numPr>
      </w:pPr>
    </w:p>
    <w:p w14:paraId="6C0C9262" w14:textId="77777777" w:rsidR="00EA2938" w:rsidRDefault="00EA2938" w:rsidP="00EA7826">
      <w:pPr>
        <w:pStyle w:val="Paragrapgh"/>
        <w:numPr>
          <w:ilvl w:val="0"/>
          <w:numId w:val="0"/>
        </w:numPr>
      </w:pPr>
    </w:p>
    <w:p w14:paraId="5C595D67" w14:textId="77777777" w:rsidR="00C8670F" w:rsidRDefault="00C8670F" w:rsidP="00EA7826">
      <w:pPr>
        <w:pStyle w:val="Paragrapgh"/>
        <w:numPr>
          <w:ilvl w:val="0"/>
          <w:numId w:val="0"/>
        </w:numPr>
      </w:pPr>
    </w:p>
    <w:p w14:paraId="63656449" w14:textId="04D03F51" w:rsidR="002D7FD7" w:rsidRDefault="002D7FD7" w:rsidP="002D7FD7">
      <w:pPr>
        <w:pStyle w:val="Heading1"/>
      </w:pPr>
      <w:bookmarkStart w:id="102" w:name="_Toc502845945"/>
      <w:bookmarkStart w:id="103" w:name="_Toc122252101"/>
      <w:bookmarkStart w:id="104" w:name="_Toc122265833"/>
      <w:bookmarkStart w:id="105" w:name="_Toc122509023"/>
      <w:bookmarkStart w:id="106" w:name="_Toc122842876"/>
      <w:bookmarkStart w:id="107" w:name="_Toc284412155"/>
      <w:bookmarkEnd w:id="97"/>
      <w:bookmarkEnd w:id="98"/>
      <w:bookmarkEnd w:id="99"/>
      <w:bookmarkEnd w:id="100"/>
      <w:bookmarkEnd w:id="101"/>
      <w:r>
        <w:t xml:space="preserve">Appendix </w:t>
      </w:r>
      <w:r w:rsidR="00EA7826">
        <w:t>1</w:t>
      </w:r>
      <w:r>
        <w:t xml:space="preserve"> – </w:t>
      </w:r>
      <w:r w:rsidR="00312C59">
        <w:t>Monthly and quarterly templates</w:t>
      </w:r>
      <w:bookmarkEnd w:id="102"/>
      <w:r w:rsidR="00EA7826">
        <w:t xml:space="preserve"> </w:t>
      </w:r>
    </w:p>
    <w:p w14:paraId="5C1A83E1" w14:textId="1FB8C6F3" w:rsidR="00C67CE1" w:rsidRDefault="00312C59" w:rsidP="005B5854">
      <w:pPr>
        <w:pStyle w:val="Paragrapgh"/>
        <w:numPr>
          <w:ilvl w:val="0"/>
          <w:numId w:val="0"/>
        </w:numPr>
      </w:pPr>
      <w:bookmarkStart w:id="108" w:name="_Toc502845946"/>
      <w:r>
        <w:t xml:space="preserve">Suppliers </w:t>
      </w:r>
      <w:r w:rsidR="001018F2">
        <w:t>must</w:t>
      </w:r>
      <w:r>
        <w:t xml:space="preserve"> submit all requested information by completing the electronic version </w:t>
      </w:r>
      <w:r w:rsidR="001018F2">
        <w:t xml:space="preserve"> in CSV format </w:t>
      </w:r>
      <w:r>
        <w:t xml:space="preserve">of monthly and quarterly templates. </w:t>
      </w:r>
      <w:bookmarkEnd w:id="108"/>
      <w:r w:rsidR="00C67CE1">
        <w:t xml:space="preserve">The templates </w:t>
      </w:r>
      <w:r w:rsidR="005B5854">
        <w:t xml:space="preserve">copied below </w:t>
      </w:r>
      <w:r w:rsidR="00C67CE1">
        <w:t xml:space="preserve">are for reference only and may change from time to time. The actual information that suppliers must provide will be specified in </w:t>
      </w:r>
      <w:r w:rsidR="00FC268C">
        <w:t>the</w:t>
      </w:r>
      <w:r w:rsidR="00C67CE1">
        <w:t xml:space="preserve"> formal information request </w:t>
      </w:r>
      <w:r w:rsidR="00926F1C">
        <w:t>to individual suppliers,</w:t>
      </w:r>
      <w:r w:rsidR="00C67CE1">
        <w:t xml:space="preserve"> under </w:t>
      </w:r>
      <w:r w:rsidR="005B5854">
        <w:rPr>
          <w:noProof/>
          <w:szCs w:val="24"/>
        </w:rPr>
        <w:t>Standard Licence Condition 5 of the gas and electricity supply licenses.</w:t>
      </w:r>
      <w:r w:rsidR="00FC268C">
        <w:rPr>
          <w:noProof/>
          <w:szCs w:val="24"/>
        </w:rPr>
        <w:t xml:space="preserve"> </w:t>
      </w:r>
    </w:p>
    <w:p w14:paraId="03026413" w14:textId="0BDA86EF" w:rsidR="00EA2938" w:rsidRDefault="00EA2938" w:rsidP="00312C59">
      <w:pPr>
        <w:pStyle w:val="Paragraphnumbered"/>
        <w:numPr>
          <w:ilvl w:val="0"/>
          <w:numId w:val="0"/>
        </w:numPr>
      </w:pPr>
      <w:r>
        <w:t xml:space="preserve">Suppliers serving both domestic and microbusiness customers must submit all templates. Suppliers serving only domestic or microbusiness customers must submit only those templates that apply to their </w:t>
      </w:r>
      <w:r w:rsidR="00856A18">
        <w:t>customer base</w:t>
      </w:r>
      <w:r>
        <w:t xml:space="preserve">. </w:t>
      </w:r>
    </w:p>
    <w:p w14:paraId="59772B08" w14:textId="2E87B4B5" w:rsidR="004A2E79" w:rsidRDefault="004A2E79" w:rsidP="00312C59">
      <w:pPr>
        <w:pStyle w:val="Paragraphnumbered"/>
        <w:numPr>
          <w:ilvl w:val="0"/>
          <w:numId w:val="0"/>
        </w:numPr>
      </w:pPr>
      <w:r>
        <w:t xml:space="preserve">Suppliers must include only numerical values in the electronic templates. Any additional text explanations must be included in the email accompanying the data submission. </w:t>
      </w:r>
    </w:p>
    <w:p w14:paraId="55F984F4" w14:textId="77777777" w:rsidR="00C67CE1" w:rsidRDefault="00C67CE1" w:rsidP="00312C59">
      <w:pPr>
        <w:rPr>
          <w:b/>
        </w:rPr>
      </w:pPr>
    </w:p>
    <w:p w14:paraId="6B260844" w14:textId="77777777" w:rsidR="00C67CE1" w:rsidRDefault="00C67CE1" w:rsidP="00312C59">
      <w:pPr>
        <w:rPr>
          <w:b/>
        </w:rPr>
      </w:pPr>
    </w:p>
    <w:p w14:paraId="0973605C" w14:textId="56FE0C2D" w:rsidR="00312C59" w:rsidRDefault="00312C59" w:rsidP="00312C59">
      <w:pPr>
        <w:rPr>
          <w:b/>
        </w:rPr>
      </w:pPr>
      <w:r>
        <w:rPr>
          <w:b/>
        </w:rPr>
        <w:t>Monthly template – domestic complaints</w:t>
      </w:r>
    </w:p>
    <w:p w14:paraId="3C5AB046" w14:textId="77777777" w:rsidR="00C67CE1" w:rsidRDefault="00C67CE1" w:rsidP="00312C59">
      <w:pPr>
        <w:rPr>
          <w:b/>
        </w:rPr>
      </w:pPr>
    </w:p>
    <w:p w14:paraId="1E086592" w14:textId="1DBA5CA2" w:rsidR="00312C59" w:rsidRDefault="00C67CE1" w:rsidP="00312C59">
      <w:pPr>
        <w:rPr>
          <w:b/>
        </w:rPr>
      </w:pPr>
      <w:r w:rsidRPr="00C67CE1">
        <w:rPr>
          <w:noProof/>
          <w:lang w:eastAsia="en-GB"/>
        </w:rPr>
        <w:lastRenderedPageBreak/>
        <w:drawing>
          <wp:inline distT="0" distB="0" distL="0" distR="0" wp14:anchorId="6C761B51" wp14:editId="65ACC49A">
            <wp:extent cx="5490210" cy="304293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90210" cy="3042937"/>
                    </a:xfrm>
                    <a:prstGeom prst="rect">
                      <a:avLst/>
                    </a:prstGeom>
                    <a:noFill/>
                    <a:ln>
                      <a:noFill/>
                    </a:ln>
                  </pic:spPr>
                </pic:pic>
              </a:graphicData>
            </a:graphic>
          </wp:inline>
        </w:drawing>
      </w:r>
    </w:p>
    <w:p w14:paraId="432D64A6" w14:textId="77777777" w:rsidR="00312C59" w:rsidRDefault="00312C59" w:rsidP="00312C59">
      <w:pPr>
        <w:rPr>
          <w:b/>
        </w:rPr>
      </w:pPr>
    </w:p>
    <w:p w14:paraId="4E30A55E" w14:textId="77777777" w:rsidR="00312C59" w:rsidRDefault="00312C59" w:rsidP="00312C59">
      <w:pPr>
        <w:rPr>
          <w:b/>
        </w:rPr>
      </w:pPr>
    </w:p>
    <w:p w14:paraId="6DD034CB" w14:textId="77777777" w:rsidR="00C67CE1" w:rsidRDefault="00C67CE1" w:rsidP="00312C59">
      <w:pPr>
        <w:rPr>
          <w:b/>
        </w:rPr>
      </w:pPr>
    </w:p>
    <w:p w14:paraId="0C0DEC24" w14:textId="77777777" w:rsidR="00C67CE1" w:rsidRDefault="00C67CE1" w:rsidP="00312C59">
      <w:pPr>
        <w:rPr>
          <w:b/>
        </w:rPr>
      </w:pPr>
    </w:p>
    <w:p w14:paraId="189A83D7" w14:textId="77777777" w:rsidR="00C67CE1" w:rsidRDefault="00C67CE1" w:rsidP="00312C59">
      <w:pPr>
        <w:rPr>
          <w:b/>
        </w:rPr>
      </w:pPr>
    </w:p>
    <w:p w14:paraId="62BA6151" w14:textId="77777777" w:rsidR="00C67CE1" w:rsidRDefault="00C67CE1" w:rsidP="00312C59">
      <w:pPr>
        <w:rPr>
          <w:b/>
        </w:rPr>
      </w:pPr>
    </w:p>
    <w:p w14:paraId="1DC39AB0" w14:textId="77777777" w:rsidR="00C67CE1" w:rsidRDefault="00C67CE1" w:rsidP="00312C59">
      <w:pPr>
        <w:rPr>
          <w:b/>
        </w:rPr>
      </w:pPr>
    </w:p>
    <w:p w14:paraId="40D42876" w14:textId="77777777" w:rsidR="00C67CE1" w:rsidRDefault="00C67CE1" w:rsidP="00312C59">
      <w:pPr>
        <w:rPr>
          <w:b/>
        </w:rPr>
      </w:pPr>
    </w:p>
    <w:p w14:paraId="3BA8D51D" w14:textId="77777777" w:rsidR="00C67CE1" w:rsidRDefault="00C67CE1" w:rsidP="00312C59">
      <w:pPr>
        <w:rPr>
          <w:b/>
        </w:rPr>
      </w:pPr>
    </w:p>
    <w:p w14:paraId="0CAC846A" w14:textId="2826D373" w:rsidR="00312C59" w:rsidRDefault="00312C59" w:rsidP="00312C59">
      <w:pPr>
        <w:rPr>
          <w:b/>
        </w:rPr>
      </w:pPr>
      <w:r>
        <w:rPr>
          <w:b/>
        </w:rPr>
        <w:t>Monthly template – microbusiness complaints</w:t>
      </w:r>
    </w:p>
    <w:p w14:paraId="0071F086" w14:textId="64FC6F47" w:rsidR="00312C59" w:rsidRPr="00C73CE2" w:rsidRDefault="00C67CE1" w:rsidP="00312C59">
      <w:pPr>
        <w:rPr>
          <w:b/>
        </w:rPr>
      </w:pPr>
      <w:r w:rsidRPr="00C67CE1">
        <w:rPr>
          <w:noProof/>
          <w:lang w:eastAsia="en-GB"/>
        </w:rPr>
        <w:lastRenderedPageBreak/>
        <w:drawing>
          <wp:inline distT="0" distB="0" distL="0" distR="0" wp14:anchorId="3DDE85F5" wp14:editId="798D7330">
            <wp:extent cx="5490210" cy="29556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90210" cy="2955630"/>
                    </a:xfrm>
                    <a:prstGeom prst="rect">
                      <a:avLst/>
                    </a:prstGeom>
                    <a:noFill/>
                    <a:ln>
                      <a:noFill/>
                    </a:ln>
                  </pic:spPr>
                </pic:pic>
              </a:graphicData>
            </a:graphic>
          </wp:inline>
        </w:drawing>
      </w:r>
    </w:p>
    <w:p w14:paraId="7B55F73A" w14:textId="77777777" w:rsidR="00E74188" w:rsidRDefault="00E74188" w:rsidP="00312C59">
      <w:pPr>
        <w:rPr>
          <w:b/>
        </w:rPr>
      </w:pPr>
    </w:p>
    <w:p w14:paraId="6563D5D3" w14:textId="77777777" w:rsidR="00C67CE1" w:rsidRDefault="00C67CE1" w:rsidP="00312C59">
      <w:pPr>
        <w:rPr>
          <w:b/>
        </w:rPr>
      </w:pPr>
    </w:p>
    <w:p w14:paraId="0E70C924" w14:textId="77777777" w:rsidR="00C67CE1" w:rsidRDefault="00C67CE1" w:rsidP="00312C59">
      <w:pPr>
        <w:rPr>
          <w:b/>
        </w:rPr>
      </w:pPr>
    </w:p>
    <w:p w14:paraId="36487D9C" w14:textId="5CBB09B8" w:rsidR="00312C59" w:rsidRPr="00C73CE2" w:rsidRDefault="00312C59" w:rsidP="00312C59">
      <w:pPr>
        <w:rPr>
          <w:b/>
        </w:rPr>
      </w:pPr>
      <w:r>
        <w:rPr>
          <w:b/>
        </w:rPr>
        <w:t>Quarterly template – domestic complaints</w:t>
      </w:r>
    </w:p>
    <w:p w14:paraId="16079966" w14:textId="51A71569" w:rsidR="00312C59" w:rsidRDefault="00312C59" w:rsidP="00312C59">
      <w:pPr>
        <w:rPr>
          <w:b/>
        </w:rPr>
      </w:pPr>
    </w:p>
    <w:p w14:paraId="11ED37A9" w14:textId="020C5EC1" w:rsidR="00C67CE1" w:rsidRDefault="00C67CE1" w:rsidP="00312C59">
      <w:pPr>
        <w:rPr>
          <w:b/>
        </w:rPr>
      </w:pPr>
      <w:r w:rsidRPr="00C67CE1">
        <w:rPr>
          <w:noProof/>
          <w:lang w:eastAsia="en-GB"/>
        </w:rPr>
        <w:drawing>
          <wp:inline distT="0" distB="0" distL="0" distR="0" wp14:anchorId="1B2E5EC8" wp14:editId="0D67B5AD">
            <wp:extent cx="5507355" cy="2648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2952" cy="2669984"/>
                    </a:xfrm>
                    <a:prstGeom prst="rect">
                      <a:avLst/>
                    </a:prstGeom>
                    <a:noFill/>
                    <a:ln>
                      <a:noFill/>
                    </a:ln>
                  </pic:spPr>
                </pic:pic>
              </a:graphicData>
            </a:graphic>
          </wp:inline>
        </w:drawing>
      </w:r>
    </w:p>
    <w:p w14:paraId="313FDD3E" w14:textId="77777777" w:rsidR="00C67CE1" w:rsidRDefault="00C67CE1" w:rsidP="00312C59">
      <w:pPr>
        <w:rPr>
          <w:b/>
        </w:rPr>
      </w:pPr>
    </w:p>
    <w:p w14:paraId="126A0915" w14:textId="77777777" w:rsidR="00C67CE1" w:rsidRDefault="00C67CE1" w:rsidP="00312C59">
      <w:pPr>
        <w:rPr>
          <w:b/>
        </w:rPr>
      </w:pPr>
    </w:p>
    <w:p w14:paraId="0D38EFA9" w14:textId="77777777" w:rsidR="00C67CE1" w:rsidRDefault="00C67CE1" w:rsidP="00312C59">
      <w:pPr>
        <w:rPr>
          <w:b/>
        </w:rPr>
      </w:pPr>
    </w:p>
    <w:p w14:paraId="12EC3D85" w14:textId="77777777" w:rsidR="00C67CE1" w:rsidRDefault="00C67CE1" w:rsidP="00312C59">
      <w:pPr>
        <w:rPr>
          <w:b/>
        </w:rPr>
      </w:pPr>
    </w:p>
    <w:p w14:paraId="53E1A94A" w14:textId="77777777" w:rsidR="00C67CE1" w:rsidRDefault="00C67CE1" w:rsidP="00312C59">
      <w:pPr>
        <w:rPr>
          <w:b/>
        </w:rPr>
      </w:pPr>
    </w:p>
    <w:p w14:paraId="4EDFB864" w14:textId="77777777" w:rsidR="00C67CE1" w:rsidRDefault="00C67CE1" w:rsidP="00312C59">
      <w:pPr>
        <w:rPr>
          <w:b/>
        </w:rPr>
      </w:pPr>
    </w:p>
    <w:p w14:paraId="3C790368" w14:textId="77777777" w:rsidR="00C67CE1" w:rsidRDefault="00C67CE1" w:rsidP="00312C59">
      <w:pPr>
        <w:rPr>
          <w:b/>
        </w:rPr>
      </w:pPr>
    </w:p>
    <w:p w14:paraId="614CB2F3" w14:textId="22C0846F" w:rsidR="00C67CE1" w:rsidRDefault="00C67CE1" w:rsidP="00312C59">
      <w:pPr>
        <w:rPr>
          <w:b/>
        </w:rPr>
      </w:pPr>
    </w:p>
    <w:p w14:paraId="4EA5660C" w14:textId="77777777" w:rsidR="0020396C" w:rsidRDefault="0020396C" w:rsidP="00312C59">
      <w:pPr>
        <w:rPr>
          <w:b/>
        </w:rPr>
      </w:pPr>
    </w:p>
    <w:p w14:paraId="7F595B44" w14:textId="77777777" w:rsidR="00C67CE1" w:rsidRDefault="00C67CE1" w:rsidP="00312C59">
      <w:pPr>
        <w:rPr>
          <w:b/>
        </w:rPr>
      </w:pPr>
    </w:p>
    <w:p w14:paraId="2C26CE7E" w14:textId="501CE3BB" w:rsidR="00312C59" w:rsidRDefault="00312C59" w:rsidP="00312C59">
      <w:pPr>
        <w:rPr>
          <w:b/>
        </w:rPr>
      </w:pPr>
      <w:r>
        <w:rPr>
          <w:b/>
        </w:rPr>
        <w:t>Quarterly template – microbusiness complaints</w:t>
      </w:r>
    </w:p>
    <w:p w14:paraId="67CC79C8" w14:textId="77777777" w:rsidR="00312C59" w:rsidRDefault="00312C59" w:rsidP="00312C59">
      <w:pPr>
        <w:rPr>
          <w:b/>
        </w:rPr>
      </w:pPr>
    </w:p>
    <w:bookmarkEnd w:id="103"/>
    <w:bookmarkEnd w:id="104"/>
    <w:bookmarkEnd w:id="105"/>
    <w:bookmarkEnd w:id="106"/>
    <w:bookmarkEnd w:id="107"/>
    <w:p w14:paraId="5CE84AE9" w14:textId="765C46E8" w:rsidR="00985CC4" w:rsidRPr="008404C2" w:rsidRDefault="00C67CE1" w:rsidP="00312C59">
      <w:r w:rsidRPr="00C67CE1">
        <w:rPr>
          <w:noProof/>
          <w:lang w:eastAsia="en-GB"/>
        </w:rPr>
        <w:drawing>
          <wp:inline distT="0" distB="0" distL="0" distR="0" wp14:anchorId="21688530" wp14:editId="1FA03DDC">
            <wp:extent cx="5490210" cy="265255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90210" cy="2652557"/>
                    </a:xfrm>
                    <a:prstGeom prst="rect">
                      <a:avLst/>
                    </a:prstGeom>
                    <a:noFill/>
                    <a:ln>
                      <a:noFill/>
                    </a:ln>
                  </pic:spPr>
                </pic:pic>
              </a:graphicData>
            </a:graphic>
          </wp:inline>
        </w:drawing>
      </w:r>
    </w:p>
    <w:sectPr w:rsidR="00985CC4" w:rsidRPr="008404C2" w:rsidSect="006D22E6">
      <w:headerReference w:type="even" r:id="rId37"/>
      <w:footerReference w:type="even" r:id="rId38"/>
      <w:footerReference w:type="default" r:id="rId39"/>
      <w:footerReference w:type="first" r:id="rId40"/>
      <w:pgSz w:w="12240" w:h="15840"/>
      <w:pgMar w:top="556" w:right="1797" w:bottom="1440" w:left="1797" w:header="589"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EDDF0" w14:textId="77777777" w:rsidR="00665D0B" w:rsidRDefault="00665D0B">
      <w:r>
        <w:separator/>
      </w:r>
    </w:p>
    <w:p w14:paraId="2EA51B87" w14:textId="77777777" w:rsidR="00665D0B" w:rsidRDefault="00665D0B"/>
    <w:p w14:paraId="0F1DCDA2" w14:textId="77777777" w:rsidR="00665D0B" w:rsidRDefault="00665D0B"/>
    <w:p w14:paraId="05666D30" w14:textId="77777777" w:rsidR="00665D0B" w:rsidRDefault="00665D0B"/>
    <w:p w14:paraId="457779CB" w14:textId="77777777" w:rsidR="00665D0B" w:rsidRDefault="00665D0B"/>
  </w:endnote>
  <w:endnote w:type="continuationSeparator" w:id="0">
    <w:p w14:paraId="6B116B9D" w14:textId="77777777" w:rsidR="00665D0B" w:rsidRDefault="00665D0B">
      <w:r>
        <w:continuationSeparator/>
      </w:r>
    </w:p>
    <w:p w14:paraId="165A4605" w14:textId="77777777" w:rsidR="00665D0B" w:rsidRDefault="00665D0B"/>
    <w:p w14:paraId="203CFB85" w14:textId="77777777" w:rsidR="00665D0B" w:rsidRDefault="00665D0B"/>
    <w:p w14:paraId="5E89DEA7" w14:textId="77777777" w:rsidR="00665D0B" w:rsidRDefault="00665D0B"/>
    <w:p w14:paraId="6A2F957E" w14:textId="77777777" w:rsidR="00665D0B" w:rsidRDefault="00665D0B"/>
  </w:endnote>
  <w:endnote w:type="continuationNotice" w:id="1">
    <w:p w14:paraId="5773DD13" w14:textId="77777777" w:rsidR="00665D0B" w:rsidRDefault="00665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GOmega-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771C" w14:textId="77777777" w:rsidR="00665D0B" w:rsidRDefault="00665D0B" w:rsidP="00A54049">
    <w:pPr>
      <w:pStyle w:val="Footer"/>
      <w:tabs>
        <w:tab w:val="left" w:pos="904"/>
      </w:tabs>
    </w:pPr>
  </w:p>
  <w:tbl>
    <w:tblPr>
      <w:tblW w:w="0" w:type="auto"/>
      <w:tblLook w:val="0000" w:firstRow="0" w:lastRow="0" w:firstColumn="0" w:lastColumn="0" w:noHBand="0" w:noVBand="0"/>
    </w:tblPr>
    <w:tblGrid>
      <w:gridCol w:w="534"/>
    </w:tblGrid>
    <w:tr w:rsidR="00665D0B" w14:paraId="208F771E" w14:textId="77777777" w:rsidTr="006C2025">
      <w:tc>
        <w:tcPr>
          <w:tcW w:w="534" w:type="dxa"/>
        </w:tcPr>
        <w:p w14:paraId="208F771D" w14:textId="6F267C39" w:rsidR="00665D0B" w:rsidRDefault="00665D0B" w:rsidP="006C2025">
          <w:pPr>
            <w:pStyle w:val="Footer"/>
            <w:tabs>
              <w:tab w:val="left" w:pos="904"/>
            </w:tabs>
          </w:pPr>
          <w:r>
            <w:rPr>
              <w:noProof/>
              <w:lang w:eastAsia="en-GB"/>
            </w:rPr>
            <mc:AlternateContent>
              <mc:Choice Requires="wps">
                <w:drawing>
                  <wp:anchor distT="4294967294" distB="4294967294" distL="114300" distR="114300" simplePos="0" relativeHeight="251658242" behindDoc="0" locked="0" layoutInCell="1" allowOverlap="1" wp14:anchorId="208F774F" wp14:editId="61E6D281">
                    <wp:simplePos x="0" y="0"/>
                    <wp:positionH relativeFrom="column">
                      <wp:posOffset>260350</wp:posOffset>
                    </wp:positionH>
                    <wp:positionV relativeFrom="paragraph">
                      <wp:posOffset>62864</wp:posOffset>
                    </wp:positionV>
                    <wp:extent cx="5379720" cy="0"/>
                    <wp:effectExtent l="0" t="0" r="1143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F75B4E" id="_x0000_t32" coordsize="21600,21600" o:spt="32" o:oned="t" path="m,l21600,21600e" filled="f">
                    <v:path arrowok="t" fillok="f" o:connecttype="none"/>
                    <o:lock v:ext="edit" shapetype="t"/>
                  </v:shapetype>
                  <v:shape id="AutoShape 16" o:spid="_x0000_s1026" type="#_x0000_t32" style="position:absolute;margin-left:20.5pt;margin-top:4.95pt;width:423.6pt;height:0;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hO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"/>
                </w:pict>
              </mc:Fallback>
            </mc:AlternateContent>
          </w:r>
        </w:p>
      </w:tc>
    </w:tr>
  </w:tbl>
  <w:p w14:paraId="208F771F" w14:textId="77777777" w:rsidR="00665D0B" w:rsidRPr="00A54049" w:rsidRDefault="00665D0B" w:rsidP="00A54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7720" w14:textId="77777777" w:rsidR="00665D0B" w:rsidRDefault="00665D0B" w:rsidP="001613DF">
    <w:pPr>
      <w:pStyle w:val="Footer"/>
      <w:tabs>
        <w:tab w:val="left" w:pos="904"/>
      </w:tabs>
    </w:pPr>
  </w:p>
  <w:tbl>
    <w:tblPr>
      <w:tblW w:w="534" w:type="dxa"/>
      <w:tblInd w:w="8755" w:type="dxa"/>
      <w:tblLook w:val="0000" w:firstRow="0" w:lastRow="0" w:firstColumn="0" w:lastColumn="0" w:noHBand="0" w:noVBand="0"/>
    </w:tblPr>
    <w:tblGrid>
      <w:gridCol w:w="534"/>
    </w:tblGrid>
    <w:tr w:rsidR="00665D0B" w14:paraId="208F7722" w14:textId="77777777" w:rsidTr="00ED1F8F">
      <w:tc>
        <w:tcPr>
          <w:tcW w:w="534" w:type="dxa"/>
        </w:tcPr>
        <w:p w14:paraId="208F7721" w14:textId="7374F848" w:rsidR="00665D0B" w:rsidRDefault="00665D0B" w:rsidP="009C1096">
          <w:pPr>
            <w:pStyle w:val="Footer"/>
            <w:tabs>
              <w:tab w:val="left" w:pos="904"/>
            </w:tabs>
          </w:pPr>
          <w:r>
            <w:rPr>
              <w:noProof/>
              <w:lang w:eastAsia="en-GB"/>
            </w:rPr>
            <mc:AlternateContent>
              <mc:Choice Requires="wps">
                <w:drawing>
                  <wp:anchor distT="4294967294" distB="4294967294" distL="114300" distR="114300" simplePos="0" relativeHeight="251658241" behindDoc="0" locked="0" layoutInCell="1" allowOverlap="1" wp14:anchorId="208F7750" wp14:editId="56AAD9DE">
                    <wp:simplePos x="0" y="0"/>
                    <wp:positionH relativeFrom="column">
                      <wp:posOffset>-5570855</wp:posOffset>
                    </wp:positionH>
                    <wp:positionV relativeFrom="paragraph">
                      <wp:posOffset>62864</wp:posOffset>
                    </wp:positionV>
                    <wp:extent cx="5379720" cy="0"/>
                    <wp:effectExtent l="0" t="0" r="11430"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D446D" id="_x0000_t32" coordsize="21600,21600" o:spt="32" o:oned="t" path="m,l21600,21600e" filled="f">
                    <v:path arrowok="t" fillok="f" o:connecttype="none"/>
                    <o:lock v:ext="edit" shapetype="t"/>
                  </v:shapetype>
                  <v:shape id="AutoShape 15" o:spid="_x0000_s1026" type="#_x0000_t32" style="position:absolute;margin-left:-438.65pt;margin-top:4.95pt;width:423.6pt;height:0;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ZCHwIAADw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"/>
                </w:pict>
              </mc:Fallback>
            </mc:AlternateContent>
          </w:r>
        </w:p>
      </w:tc>
    </w:tr>
  </w:tbl>
  <w:p w14:paraId="208F7723" w14:textId="77777777" w:rsidR="00665D0B" w:rsidRDefault="00665D0B"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6774"/>
      <w:tblLook w:val="04A0" w:firstRow="1" w:lastRow="0" w:firstColumn="1" w:lastColumn="0" w:noHBand="0" w:noVBand="1"/>
    </w:tblPr>
    <w:tblGrid>
      <w:gridCol w:w="10490"/>
    </w:tblGrid>
    <w:tr w:rsidR="00665D0B" w:rsidRPr="000A160F" w14:paraId="208F7726" w14:textId="77777777" w:rsidTr="000414D3">
      <w:tc>
        <w:tcPr>
          <w:tcW w:w="10490" w:type="dxa"/>
          <w:shd w:val="clear" w:color="auto" w:fill="336774"/>
        </w:tcPr>
        <w:p w14:paraId="208F7725" w14:textId="77777777" w:rsidR="00665D0B" w:rsidRPr="000A160F" w:rsidRDefault="00665D0B" w:rsidP="003477DF">
          <w:pPr>
            <w:pStyle w:val="Footer"/>
            <w:rPr>
              <w:sz w:val="8"/>
              <w:szCs w:val="8"/>
            </w:rPr>
          </w:pPr>
        </w:p>
      </w:tc>
    </w:tr>
  </w:tbl>
  <w:p w14:paraId="208F7727" w14:textId="77777777" w:rsidR="00665D0B" w:rsidRDefault="00665D0B" w:rsidP="003477DF">
    <w:pPr>
      <w:pStyle w:val="Footer"/>
      <w:ind w:left="-709"/>
    </w:pPr>
  </w:p>
  <w:p w14:paraId="208F7728" w14:textId="77777777" w:rsidR="00665D0B" w:rsidRPr="00D34403" w:rsidRDefault="00665D0B" w:rsidP="00AA23C8">
    <w:pPr>
      <w:pStyle w:val="Footer"/>
      <w:tabs>
        <w:tab w:val="clear" w:pos="8640"/>
        <w:tab w:val="right" w:pos="9639"/>
      </w:tabs>
      <w:ind w:left="-709" w:right="-993"/>
      <w:rPr>
        <w:b/>
        <w:sz w:val="22"/>
        <w:szCs w:val="22"/>
      </w:rPr>
    </w:pPr>
    <w:r w:rsidRPr="00D34403">
      <w:rPr>
        <w:b/>
        <w:sz w:val="22"/>
        <w:szCs w:val="22"/>
      </w:rPr>
      <w:t>Ofgem/Ofgem E</w:t>
    </w:r>
    <w:r>
      <w:rPr>
        <w:b/>
        <w:sz w:val="22"/>
        <w:szCs w:val="22"/>
      </w:rPr>
      <w:t>-</w:t>
    </w:r>
    <w:r w:rsidRPr="00D34403">
      <w:rPr>
        <w:b/>
        <w:sz w:val="22"/>
        <w:szCs w:val="22"/>
      </w:rPr>
      <w:t xml:space="preserve">Serve 9 Millbank, London SW1P 3GE </w:t>
    </w:r>
    <w:r>
      <w:rPr>
        <w:b/>
        <w:sz w:val="22"/>
        <w:szCs w:val="22"/>
      </w:rPr>
      <w:t xml:space="preserve"> </w:t>
    </w:r>
    <w:r w:rsidRPr="00D34403">
      <w:rPr>
        <w:b/>
        <w:sz w:val="22"/>
        <w:szCs w:val="22"/>
      </w:rPr>
      <w:t xml:space="preserve"> www.ofgem.gov.uk</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7743" w14:textId="77777777" w:rsidR="00665D0B" w:rsidRDefault="00665D0B" w:rsidP="00A54049">
    <w:pPr>
      <w:pStyle w:val="Footer"/>
      <w:tabs>
        <w:tab w:val="left" w:pos="904"/>
      </w:tabs>
    </w:pPr>
  </w:p>
  <w:tbl>
    <w:tblPr>
      <w:tblW w:w="0" w:type="auto"/>
      <w:tblLook w:val="0000" w:firstRow="0" w:lastRow="0" w:firstColumn="0" w:lastColumn="0" w:noHBand="0" w:noVBand="0"/>
    </w:tblPr>
    <w:tblGrid>
      <w:gridCol w:w="534"/>
    </w:tblGrid>
    <w:tr w:rsidR="00665D0B" w14:paraId="208F7745" w14:textId="77777777" w:rsidTr="006C2025">
      <w:tc>
        <w:tcPr>
          <w:tcW w:w="534" w:type="dxa"/>
        </w:tcPr>
        <w:p w14:paraId="208F7744" w14:textId="1E185B38" w:rsidR="00665D0B" w:rsidRDefault="00665D0B" w:rsidP="006C2025">
          <w:pPr>
            <w:pStyle w:val="Footer"/>
            <w:tabs>
              <w:tab w:val="left" w:pos="904"/>
            </w:tabs>
          </w:pPr>
          <w:r>
            <w:rPr>
              <w:noProof/>
              <w:lang w:eastAsia="en-GB"/>
            </w:rPr>
            <mc:AlternateContent>
              <mc:Choice Requires="wps">
                <w:drawing>
                  <wp:anchor distT="4294967294" distB="4294967294" distL="114300" distR="114300" simplePos="0" relativeHeight="251658240" behindDoc="0" locked="0" layoutInCell="1" allowOverlap="1" wp14:anchorId="208F7751" wp14:editId="64C2BEA3">
                    <wp:simplePos x="0" y="0"/>
                    <wp:positionH relativeFrom="column">
                      <wp:posOffset>260350</wp:posOffset>
                    </wp:positionH>
                    <wp:positionV relativeFrom="paragraph">
                      <wp:posOffset>62864</wp:posOffset>
                    </wp:positionV>
                    <wp:extent cx="5379720" cy="0"/>
                    <wp:effectExtent l="0" t="0" r="1143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BE679" id="_x0000_t32" coordsize="21600,21600" o:spt="32" o:oned="t" path="m,l21600,21600e" filled="f">
                    <v:path arrowok="t" fillok="f" o:connecttype="none"/>
                    <o:lock v:ext="edit" shapetype="t"/>
                  </v:shapetype>
                  <v:shape id="AutoShape 16" o:spid="_x0000_s1026" type="#_x0000_t32" style="position:absolute;margin-left:20.5pt;margin-top:4.95pt;width:423.6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6Iu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"/>
                </w:pict>
              </mc:Fallback>
            </mc:AlternateContent>
          </w:r>
          <w:r>
            <w:fldChar w:fldCharType="begin"/>
          </w:r>
          <w:r>
            <w:instrText xml:space="preserve"> PAGE   \* MERGEFORMAT </w:instrText>
          </w:r>
          <w:r>
            <w:fldChar w:fldCharType="separate"/>
          </w:r>
          <w:r>
            <w:rPr>
              <w:noProof/>
            </w:rPr>
            <w:t>70</w:t>
          </w:r>
          <w:r>
            <w:rPr>
              <w:noProof/>
            </w:rPr>
            <w:fldChar w:fldCharType="end"/>
          </w:r>
        </w:p>
      </w:tc>
    </w:tr>
  </w:tbl>
  <w:p w14:paraId="208F7746" w14:textId="77777777" w:rsidR="00665D0B" w:rsidRPr="00A54049" w:rsidRDefault="00665D0B" w:rsidP="00A540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242662"/>
      <w:docPartObj>
        <w:docPartGallery w:val="Page Numbers (Bottom of Page)"/>
        <w:docPartUnique/>
      </w:docPartObj>
    </w:sdtPr>
    <w:sdtEndPr>
      <w:rPr>
        <w:noProof/>
      </w:rPr>
    </w:sdtEndPr>
    <w:sdtContent>
      <w:p w14:paraId="7AC7D674" w14:textId="593D67B2" w:rsidR="00665D0B" w:rsidRDefault="00665D0B">
        <w:pPr>
          <w:pStyle w:val="Footer"/>
          <w:jc w:val="right"/>
        </w:pPr>
        <w:r>
          <w:fldChar w:fldCharType="begin"/>
        </w:r>
        <w:r>
          <w:instrText xml:space="preserve"> PAGE   \* MERGEFORMAT </w:instrText>
        </w:r>
        <w:r>
          <w:fldChar w:fldCharType="separate"/>
        </w:r>
        <w:r w:rsidR="00926F1C">
          <w:rPr>
            <w:noProof/>
          </w:rPr>
          <w:t>21</w:t>
        </w:r>
        <w:r>
          <w:rPr>
            <w:noProof/>
          </w:rPr>
          <w:fldChar w:fldCharType="end"/>
        </w:r>
      </w:p>
    </w:sdtContent>
  </w:sdt>
  <w:p w14:paraId="208F774A" w14:textId="77777777" w:rsidR="00665D0B" w:rsidRDefault="00665D0B" w:rsidP="003B0204">
    <w:pPr>
      <w:pStyle w:val="Footer"/>
      <w:tabs>
        <w:tab w:val="left" w:pos="904"/>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6774"/>
      <w:tblLook w:val="04A0" w:firstRow="1" w:lastRow="0" w:firstColumn="1" w:lastColumn="0" w:noHBand="0" w:noVBand="1"/>
    </w:tblPr>
    <w:tblGrid>
      <w:gridCol w:w="10490"/>
    </w:tblGrid>
    <w:tr w:rsidR="00665D0B" w:rsidRPr="000A160F" w14:paraId="208F774C" w14:textId="77777777" w:rsidTr="000414D3">
      <w:tc>
        <w:tcPr>
          <w:tcW w:w="10490" w:type="dxa"/>
          <w:shd w:val="clear" w:color="auto" w:fill="336774"/>
        </w:tcPr>
        <w:p w14:paraId="208F774B" w14:textId="77777777" w:rsidR="00665D0B" w:rsidRPr="000A160F" w:rsidRDefault="00665D0B" w:rsidP="003477DF">
          <w:pPr>
            <w:pStyle w:val="Footer"/>
            <w:rPr>
              <w:sz w:val="8"/>
              <w:szCs w:val="8"/>
            </w:rPr>
          </w:pPr>
        </w:p>
      </w:tc>
    </w:tr>
  </w:tbl>
  <w:p w14:paraId="208F774D" w14:textId="77777777" w:rsidR="00665D0B" w:rsidRDefault="00665D0B" w:rsidP="003477DF">
    <w:pPr>
      <w:pStyle w:val="Footer"/>
      <w:ind w:left="-709"/>
    </w:pPr>
  </w:p>
  <w:p w14:paraId="208F774E" w14:textId="77777777" w:rsidR="00665D0B" w:rsidRPr="00D34403" w:rsidRDefault="00665D0B" w:rsidP="00AA23C8">
    <w:pPr>
      <w:pStyle w:val="Footer"/>
      <w:tabs>
        <w:tab w:val="clear" w:pos="8640"/>
        <w:tab w:val="right" w:pos="9639"/>
      </w:tabs>
      <w:ind w:left="-709" w:right="-993"/>
      <w:rPr>
        <w:b/>
        <w:sz w:val="22"/>
        <w:szCs w:val="22"/>
      </w:rPr>
    </w:pPr>
    <w:r w:rsidRPr="00D34403">
      <w:rPr>
        <w:b/>
        <w:sz w:val="22"/>
        <w:szCs w:val="22"/>
      </w:rPr>
      <w:t>Ofgem/Ofgem E</w:t>
    </w:r>
    <w:r>
      <w:rPr>
        <w:b/>
        <w:sz w:val="22"/>
        <w:szCs w:val="22"/>
      </w:rPr>
      <w:t>-</w:t>
    </w:r>
    <w:r w:rsidRPr="00D34403">
      <w:rPr>
        <w:b/>
        <w:sz w:val="22"/>
        <w:szCs w:val="22"/>
      </w:rPr>
      <w:t xml:space="preserve">Serve 9 Millbank, London SW1P 3GE </w:t>
    </w:r>
    <w:r>
      <w:rPr>
        <w:b/>
        <w:sz w:val="22"/>
        <w:szCs w:val="22"/>
      </w:rPr>
      <w:t xml:space="preserve"> </w:t>
    </w:r>
    <w:r w:rsidRPr="00D34403">
      <w:rPr>
        <w:b/>
        <w:sz w:val="22"/>
        <w:szCs w:val="22"/>
      </w:rPr>
      <w:t xml:space="preserve"> www.ofgem.gov.uk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F84C" w14:textId="77777777" w:rsidR="00665D0B" w:rsidRDefault="00665D0B">
      <w:r>
        <w:separator/>
      </w:r>
    </w:p>
    <w:p w14:paraId="3F5678AA" w14:textId="77777777" w:rsidR="00665D0B" w:rsidRDefault="00665D0B"/>
  </w:footnote>
  <w:footnote w:type="continuationSeparator" w:id="0">
    <w:p w14:paraId="42C6F3C7" w14:textId="77777777" w:rsidR="00665D0B" w:rsidRDefault="00665D0B">
      <w:r>
        <w:continuationSeparator/>
      </w:r>
    </w:p>
    <w:p w14:paraId="6582FE38" w14:textId="77777777" w:rsidR="00665D0B" w:rsidRDefault="00665D0B"/>
  </w:footnote>
  <w:footnote w:type="continuationNotice" w:id="1">
    <w:p w14:paraId="0838C464" w14:textId="77777777" w:rsidR="00665D0B" w:rsidRDefault="00665D0B"/>
  </w:footnote>
  <w:footnote w:id="2">
    <w:p w14:paraId="2A46BED9" w14:textId="77777777" w:rsidR="00665D0B" w:rsidRDefault="00665D0B" w:rsidP="008E48C7">
      <w:pPr>
        <w:pStyle w:val="FootnoteText"/>
      </w:pPr>
      <w:r>
        <w:rPr>
          <w:rStyle w:val="FootnoteReference"/>
        </w:rPr>
        <w:footnoteRef/>
      </w:r>
      <w:r>
        <w:t xml:space="preserve"> </w:t>
      </w:r>
      <w:r w:rsidRPr="00393AD5">
        <w:t>http://www.legislation.gov.uk/ukpga/2007/17/contents</w:t>
      </w:r>
      <w:r w:rsidRPr="00EE3038">
        <w:t>.</w:t>
      </w:r>
    </w:p>
  </w:footnote>
  <w:footnote w:id="3">
    <w:p w14:paraId="771464D1" w14:textId="77777777" w:rsidR="00665D0B" w:rsidRDefault="00665D0B" w:rsidP="008E48C7">
      <w:pPr>
        <w:pStyle w:val="FootnoteText"/>
      </w:pPr>
      <w:r>
        <w:rPr>
          <w:rStyle w:val="FootnoteReference"/>
        </w:rPr>
        <w:footnoteRef/>
      </w:r>
      <w:r>
        <w:t xml:space="preserve"> ‘</w:t>
      </w:r>
      <w:r w:rsidRPr="00DE1183">
        <w:t>The Gas and Electricity (Consumer Complaints Handling Standards) Regulations 2008</w:t>
      </w:r>
      <w:r>
        <w:t>’</w:t>
      </w:r>
      <w:r w:rsidRPr="00DE1183">
        <w:t xml:space="preserve"> (</w:t>
      </w:r>
      <w:r>
        <w:t xml:space="preserve">CHRs) prescribe standards for handling consumer complaints by regulated providers and for supplying information to consumers about the prescribed standards, as well as complying with those standards </w:t>
      </w:r>
      <w:r w:rsidRPr="008E48C7">
        <w:rPr>
          <w:szCs w:val="18"/>
        </w:rPr>
        <w:t>(</w:t>
      </w:r>
      <w:hyperlink r:id="rId1" w:history="1">
        <w:r w:rsidRPr="008E48C7">
          <w:rPr>
            <w:rStyle w:val="Hyperlink"/>
            <w:sz w:val="18"/>
            <w:szCs w:val="18"/>
          </w:rPr>
          <w:t>http://www.legislation.gov.uk/uksi/2008/1898/contents/made</w:t>
        </w:r>
      </w:hyperlink>
      <w:r w:rsidRPr="008E48C7">
        <w:rPr>
          <w:rStyle w:val="Hyperlink"/>
          <w:sz w:val="18"/>
          <w:szCs w:val="18"/>
        </w:rPr>
        <w:t>).</w:t>
      </w:r>
      <w:r w:rsidRPr="008E48C7">
        <w:rPr>
          <w:szCs w:val="18"/>
        </w:rPr>
        <w:t xml:space="preserve"> CHR 11 requires suppliers to prepare and publish an annual report covering their complaints</w:t>
      </w:r>
      <w:r w:rsidRPr="0056203A">
        <w:t xml:space="preserve"> handing procedure, </w:t>
      </w:r>
      <w:r>
        <w:t xml:space="preserve">with details of </w:t>
      </w:r>
      <w:r w:rsidRPr="0056203A">
        <w:t xml:space="preserve">the consumer complaints they have received from domestic customers </w:t>
      </w:r>
      <w:r>
        <w:t>over that particular</w:t>
      </w:r>
      <w:r w:rsidRPr="0056203A">
        <w:t xml:space="preserve"> period.</w:t>
      </w:r>
    </w:p>
  </w:footnote>
  <w:footnote w:id="4">
    <w:p w14:paraId="2896335E" w14:textId="0127B055" w:rsidR="00665D0B" w:rsidRDefault="00665D0B" w:rsidP="008E48C7">
      <w:pPr>
        <w:pStyle w:val="FootnoteText"/>
      </w:pPr>
      <w:r>
        <w:rPr>
          <w:rStyle w:val="FootnoteReference"/>
        </w:rPr>
        <w:footnoteRef/>
      </w:r>
      <w:r>
        <w:t xml:space="preserve"> Two consultation rounds took place, respectively, in June/July 2017 and October/November 2017. </w:t>
      </w:r>
    </w:p>
  </w:footnote>
  <w:footnote w:id="5">
    <w:p w14:paraId="16B3B824" w14:textId="09E20B8B" w:rsidR="00665D0B" w:rsidRDefault="00665D0B" w:rsidP="00325023">
      <w:pPr>
        <w:pStyle w:val="FootnoteText"/>
      </w:pPr>
      <w:r>
        <w:rPr>
          <w:rStyle w:val="FootnoteReference"/>
        </w:rPr>
        <w:footnoteRef/>
      </w:r>
      <w:r>
        <w:t xml:space="preserve"> </w:t>
      </w:r>
      <w:hyperlink r:id="rId2" w:history="1">
        <w:r w:rsidRPr="00B611B6">
          <w:rPr>
            <w:rStyle w:val="Hyperlink"/>
            <w:sz w:val="18"/>
          </w:rPr>
          <w:t>http://www.legislation.gov.uk/uksi/2008/1898/made</w:t>
        </w:r>
      </w:hyperlink>
    </w:p>
    <w:p w14:paraId="7FE5D329" w14:textId="77777777" w:rsidR="00665D0B" w:rsidRDefault="00665D0B" w:rsidP="003250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96"/>
      <w:gridCol w:w="8101"/>
    </w:tblGrid>
    <w:tr w:rsidR="00665D0B" w:rsidRPr="00B045F7" w14:paraId="208F7705" w14:textId="77777777" w:rsidTr="006C2025">
      <w:tc>
        <w:tcPr>
          <w:tcW w:w="392" w:type="dxa"/>
          <w:shd w:val="clear" w:color="auto" w:fill="A6A6A6" w:themeFill="background1" w:themeFillShade="A6"/>
        </w:tcPr>
        <w:p w14:paraId="208F7702" w14:textId="77777777" w:rsidR="00665D0B" w:rsidRPr="00B045F7" w:rsidRDefault="00665D0B" w:rsidP="006C2025">
          <w:pPr>
            <w:pStyle w:val="Header"/>
          </w:pPr>
        </w:p>
      </w:tc>
      <w:tc>
        <w:tcPr>
          <w:tcW w:w="296" w:type="dxa"/>
        </w:tcPr>
        <w:p w14:paraId="208F7703" w14:textId="77777777" w:rsidR="00665D0B" w:rsidRPr="00B045F7" w:rsidRDefault="00665D0B" w:rsidP="006C2025">
          <w:pPr>
            <w:pStyle w:val="Header"/>
          </w:pPr>
        </w:p>
      </w:tc>
      <w:tc>
        <w:tcPr>
          <w:tcW w:w="8101" w:type="dxa"/>
        </w:tcPr>
        <w:p w14:paraId="208F7704" w14:textId="77777777" w:rsidR="00665D0B" w:rsidRPr="00B045F7" w:rsidRDefault="00665D0B" w:rsidP="006C2025">
          <w:pPr>
            <w:pStyle w:val="Header"/>
          </w:pPr>
        </w:p>
      </w:tc>
    </w:tr>
    <w:tr w:rsidR="00665D0B" w:rsidRPr="00B045F7" w14:paraId="208F7709" w14:textId="77777777" w:rsidTr="006C2025">
      <w:tc>
        <w:tcPr>
          <w:tcW w:w="392" w:type="dxa"/>
          <w:shd w:val="clear" w:color="auto" w:fill="A6A6A6" w:themeFill="background1" w:themeFillShade="A6"/>
        </w:tcPr>
        <w:p w14:paraId="208F7706" w14:textId="77777777" w:rsidR="00665D0B" w:rsidRPr="00B045F7" w:rsidRDefault="00665D0B" w:rsidP="006C2025">
          <w:pPr>
            <w:pStyle w:val="Header"/>
          </w:pPr>
        </w:p>
      </w:tc>
      <w:tc>
        <w:tcPr>
          <w:tcW w:w="296" w:type="dxa"/>
        </w:tcPr>
        <w:p w14:paraId="208F7707" w14:textId="77777777" w:rsidR="00665D0B" w:rsidRPr="00B045F7" w:rsidRDefault="00665D0B" w:rsidP="006C2025">
          <w:pPr>
            <w:pStyle w:val="Header"/>
          </w:pPr>
        </w:p>
      </w:tc>
      <w:tc>
        <w:tcPr>
          <w:tcW w:w="8101" w:type="dxa"/>
          <w:tcMar>
            <w:left w:w="0" w:type="dxa"/>
          </w:tcMar>
        </w:tcPr>
        <w:p w14:paraId="208F7708" w14:textId="68FFA6B8" w:rsidR="00665D0B" w:rsidRPr="00B045F7" w:rsidRDefault="00665D0B" w:rsidP="006C2025">
          <w:pPr>
            <w:pStyle w:val="Header"/>
          </w:pPr>
          <w:r>
            <w:t>Guidance on submitting complaints data for domestic customers and microbusinesses</w:t>
          </w:r>
        </w:p>
      </w:tc>
    </w:tr>
    <w:tr w:rsidR="00665D0B" w:rsidRPr="00B045F7" w14:paraId="208F770D" w14:textId="77777777" w:rsidTr="006C2025">
      <w:tc>
        <w:tcPr>
          <w:tcW w:w="392" w:type="dxa"/>
          <w:shd w:val="clear" w:color="auto" w:fill="A6A6A6" w:themeFill="background1" w:themeFillShade="A6"/>
        </w:tcPr>
        <w:p w14:paraId="208F770A" w14:textId="77777777" w:rsidR="00665D0B" w:rsidRPr="00B045F7" w:rsidRDefault="00665D0B" w:rsidP="006C2025">
          <w:pPr>
            <w:pStyle w:val="Header"/>
          </w:pPr>
        </w:p>
      </w:tc>
      <w:tc>
        <w:tcPr>
          <w:tcW w:w="296" w:type="dxa"/>
        </w:tcPr>
        <w:p w14:paraId="208F770B" w14:textId="77777777" w:rsidR="00665D0B" w:rsidRPr="00B045F7" w:rsidRDefault="00665D0B" w:rsidP="006C2025">
          <w:pPr>
            <w:pStyle w:val="Header"/>
          </w:pPr>
        </w:p>
      </w:tc>
      <w:tc>
        <w:tcPr>
          <w:tcW w:w="8101" w:type="dxa"/>
        </w:tcPr>
        <w:p w14:paraId="208F770C" w14:textId="77777777" w:rsidR="00665D0B" w:rsidRPr="00B045F7" w:rsidRDefault="00665D0B" w:rsidP="006C2025">
          <w:pPr>
            <w:pStyle w:val="Header"/>
          </w:pPr>
        </w:p>
      </w:tc>
    </w:tr>
  </w:tbl>
  <w:p w14:paraId="208F770E" w14:textId="77777777" w:rsidR="00665D0B" w:rsidRPr="00A54049" w:rsidRDefault="00665D0B" w:rsidP="00A54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96"/>
      <w:gridCol w:w="8101"/>
    </w:tblGrid>
    <w:tr w:rsidR="00665D0B" w:rsidRPr="00B045F7" w14:paraId="208F7712" w14:textId="77777777" w:rsidTr="007F5109">
      <w:tc>
        <w:tcPr>
          <w:tcW w:w="392" w:type="dxa"/>
          <w:shd w:val="clear" w:color="auto" w:fill="A6A6A6" w:themeFill="background1" w:themeFillShade="A6"/>
        </w:tcPr>
        <w:p w14:paraId="208F770F" w14:textId="77777777" w:rsidR="00665D0B" w:rsidRPr="00B045F7" w:rsidRDefault="00665D0B" w:rsidP="009104CA">
          <w:pPr>
            <w:pStyle w:val="Header"/>
          </w:pPr>
        </w:p>
      </w:tc>
      <w:tc>
        <w:tcPr>
          <w:tcW w:w="296" w:type="dxa"/>
        </w:tcPr>
        <w:p w14:paraId="208F7710" w14:textId="77777777" w:rsidR="00665D0B" w:rsidRPr="00B045F7" w:rsidRDefault="00665D0B" w:rsidP="009104CA">
          <w:pPr>
            <w:pStyle w:val="Header"/>
          </w:pPr>
        </w:p>
      </w:tc>
      <w:tc>
        <w:tcPr>
          <w:tcW w:w="8101" w:type="dxa"/>
        </w:tcPr>
        <w:p w14:paraId="208F7711" w14:textId="77777777" w:rsidR="00665D0B" w:rsidRPr="00B045F7" w:rsidRDefault="00665D0B" w:rsidP="009104CA">
          <w:pPr>
            <w:pStyle w:val="Header"/>
          </w:pPr>
        </w:p>
      </w:tc>
    </w:tr>
    <w:tr w:rsidR="00665D0B" w:rsidRPr="00B045F7" w14:paraId="208F7716" w14:textId="77777777" w:rsidTr="007F5109">
      <w:tc>
        <w:tcPr>
          <w:tcW w:w="392" w:type="dxa"/>
          <w:shd w:val="clear" w:color="auto" w:fill="A6A6A6" w:themeFill="background1" w:themeFillShade="A6"/>
        </w:tcPr>
        <w:p w14:paraId="208F7713" w14:textId="77777777" w:rsidR="00665D0B" w:rsidRPr="00B045F7" w:rsidRDefault="00665D0B" w:rsidP="009104CA">
          <w:pPr>
            <w:pStyle w:val="Header"/>
          </w:pPr>
        </w:p>
      </w:tc>
      <w:tc>
        <w:tcPr>
          <w:tcW w:w="296" w:type="dxa"/>
        </w:tcPr>
        <w:p w14:paraId="208F7714" w14:textId="5AF707B0" w:rsidR="00665D0B" w:rsidRPr="00B045F7" w:rsidRDefault="00665D0B" w:rsidP="009104CA">
          <w:pPr>
            <w:pStyle w:val="Header"/>
          </w:pPr>
        </w:p>
      </w:tc>
      <w:tc>
        <w:tcPr>
          <w:tcW w:w="8101" w:type="dxa"/>
          <w:tcMar>
            <w:left w:w="0" w:type="dxa"/>
          </w:tcMar>
        </w:tcPr>
        <w:p w14:paraId="208F7715" w14:textId="50BD65C8" w:rsidR="00665D0B" w:rsidRPr="00B045F7" w:rsidRDefault="00665D0B" w:rsidP="009104CA">
          <w:pPr>
            <w:pStyle w:val="Header"/>
          </w:pPr>
          <w:r>
            <w:t>Guidance on submitting complaints data for domestic customers and microbusinesses</w:t>
          </w:r>
        </w:p>
      </w:tc>
    </w:tr>
    <w:tr w:rsidR="00665D0B" w:rsidRPr="00B045F7" w14:paraId="208F771A" w14:textId="77777777" w:rsidTr="007F5109">
      <w:tc>
        <w:tcPr>
          <w:tcW w:w="392" w:type="dxa"/>
          <w:shd w:val="clear" w:color="auto" w:fill="A6A6A6" w:themeFill="background1" w:themeFillShade="A6"/>
        </w:tcPr>
        <w:p w14:paraId="208F7717" w14:textId="77777777" w:rsidR="00665D0B" w:rsidRPr="00B045F7" w:rsidRDefault="00665D0B" w:rsidP="009104CA">
          <w:pPr>
            <w:pStyle w:val="Header"/>
          </w:pPr>
        </w:p>
      </w:tc>
      <w:tc>
        <w:tcPr>
          <w:tcW w:w="296" w:type="dxa"/>
        </w:tcPr>
        <w:p w14:paraId="208F7718" w14:textId="77777777" w:rsidR="00665D0B" w:rsidRPr="00B045F7" w:rsidRDefault="00665D0B" w:rsidP="009104CA">
          <w:pPr>
            <w:pStyle w:val="Header"/>
          </w:pPr>
        </w:p>
      </w:tc>
      <w:tc>
        <w:tcPr>
          <w:tcW w:w="8101" w:type="dxa"/>
        </w:tcPr>
        <w:p w14:paraId="208F7719" w14:textId="77777777" w:rsidR="00665D0B" w:rsidRPr="00B045F7" w:rsidRDefault="00665D0B" w:rsidP="009104CA">
          <w:pPr>
            <w:pStyle w:val="Header"/>
          </w:pPr>
        </w:p>
      </w:tc>
    </w:tr>
  </w:tbl>
  <w:p w14:paraId="208F771B" w14:textId="77777777" w:rsidR="00665D0B" w:rsidRDefault="00665D0B" w:rsidP="00B045F7">
    <w:pPr>
      <w:tabs>
        <w:tab w:val="right" w:pos="10440"/>
      </w:tabs>
      <w:ind w:right="-18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85C9" w14:textId="77777777" w:rsidR="00CB7011" w:rsidRDefault="00CB70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96"/>
      <w:gridCol w:w="8101"/>
    </w:tblGrid>
    <w:tr w:rsidR="00665D0B" w:rsidRPr="00B045F7" w14:paraId="208F772C" w14:textId="77777777" w:rsidTr="006C2025">
      <w:tc>
        <w:tcPr>
          <w:tcW w:w="392" w:type="dxa"/>
          <w:shd w:val="clear" w:color="auto" w:fill="A6A6A6" w:themeFill="background1" w:themeFillShade="A6"/>
        </w:tcPr>
        <w:p w14:paraId="208F7729" w14:textId="77777777" w:rsidR="00665D0B" w:rsidRPr="00B045F7" w:rsidRDefault="00665D0B" w:rsidP="006C2025">
          <w:pPr>
            <w:pStyle w:val="Header"/>
          </w:pPr>
        </w:p>
      </w:tc>
      <w:tc>
        <w:tcPr>
          <w:tcW w:w="296" w:type="dxa"/>
        </w:tcPr>
        <w:p w14:paraId="208F772A" w14:textId="77777777" w:rsidR="00665D0B" w:rsidRPr="00B045F7" w:rsidRDefault="00665D0B" w:rsidP="006C2025">
          <w:pPr>
            <w:pStyle w:val="Header"/>
          </w:pPr>
        </w:p>
      </w:tc>
      <w:tc>
        <w:tcPr>
          <w:tcW w:w="8101" w:type="dxa"/>
        </w:tcPr>
        <w:p w14:paraId="208F772B" w14:textId="77777777" w:rsidR="00665D0B" w:rsidRPr="00B045F7" w:rsidRDefault="00665D0B" w:rsidP="006C2025">
          <w:pPr>
            <w:pStyle w:val="Header"/>
          </w:pPr>
        </w:p>
      </w:tc>
    </w:tr>
    <w:tr w:rsidR="00665D0B" w:rsidRPr="00B045F7" w14:paraId="208F7730" w14:textId="77777777" w:rsidTr="006C2025">
      <w:tc>
        <w:tcPr>
          <w:tcW w:w="392" w:type="dxa"/>
          <w:shd w:val="clear" w:color="auto" w:fill="A6A6A6" w:themeFill="background1" w:themeFillShade="A6"/>
        </w:tcPr>
        <w:p w14:paraId="208F772D" w14:textId="77777777" w:rsidR="00665D0B" w:rsidRPr="00B045F7" w:rsidRDefault="00665D0B" w:rsidP="006C2025">
          <w:pPr>
            <w:pStyle w:val="Header"/>
          </w:pPr>
        </w:p>
      </w:tc>
      <w:tc>
        <w:tcPr>
          <w:tcW w:w="296" w:type="dxa"/>
        </w:tcPr>
        <w:p w14:paraId="208F772E" w14:textId="77777777" w:rsidR="00665D0B" w:rsidRPr="00B045F7" w:rsidRDefault="00665D0B" w:rsidP="006C2025">
          <w:pPr>
            <w:pStyle w:val="Header"/>
          </w:pPr>
        </w:p>
      </w:tc>
      <w:tc>
        <w:tcPr>
          <w:tcW w:w="8101" w:type="dxa"/>
          <w:tcMar>
            <w:left w:w="0" w:type="dxa"/>
          </w:tcMar>
        </w:tcPr>
        <w:p w14:paraId="208F772F" w14:textId="77777777" w:rsidR="00665D0B" w:rsidRPr="00B045F7" w:rsidRDefault="00665D0B" w:rsidP="006C2025">
          <w:pPr>
            <w:pStyle w:val="Header"/>
          </w:pPr>
          <w:r>
            <w:t>Retail Energy Markets in 2015</w:t>
          </w:r>
        </w:p>
      </w:tc>
    </w:tr>
    <w:tr w:rsidR="00665D0B" w:rsidRPr="00B045F7" w14:paraId="208F7734" w14:textId="77777777" w:rsidTr="006C2025">
      <w:tc>
        <w:tcPr>
          <w:tcW w:w="392" w:type="dxa"/>
          <w:shd w:val="clear" w:color="auto" w:fill="A6A6A6" w:themeFill="background1" w:themeFillShade="A6"/>
        </w:tcPr>
        <w:p w14:paraId="208F7731" w14:textId="77777777" w:rsidR="00665D0B" w:rsidRPr="00B045F7" w:rsidRDefault="00665D0B" w:rsidP="006C2025">
          <w:pPr>
            <w:pStyle w:val="Header"/>
          </w:pPr>
        </w:p>
      </w:tc>
      <w:tc>
        <w:tcPr>
          <w:tcW w:w="296" w:type="dxa"/>
        </w:tcPr>
        <w:p w14:paraId="208F7732" w14:textId="77777777" w:rsidR="00665D0B" w:rsidRPr="00B045F7" w:rsidRDefault="00665D0B" w:rsidP="006C2025">
          <w:pPr>
            <w:pStyle w:val="Header"/>
          </w:pPr>
        </w:p>
      </w:tc>
      <w:tc>
        <w:tcPr>
          <w:tcW w:w="8101" w:type="dxa"/>
        </w:tcPr>
        <w:p w14:paraId="208F7733" w14:textId="77777777" w:rsidR="00665D0B" w:rsidRPr="00B045F7" w:rsidRDefault="00665D0B" w:rsidP="006C2025">
          <w:pPr>
            <w:pStyle w:val="Header"/>
          </w:pPr>
        </w:p>
      </w:tc>
    </w:tr>
  </w:tbl>
  <w:p w14:paraId="208F7735" w14:textId="77777777" w:rsidR="00665D0B" w:rsidRPr="00A54049" w:rsidRDefault="00665D0B" w:rsidP="00A5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45590"/>
    <w:lvl w:ilvl="0">
      <w:start w:val="1"/>
      <w:numFmt w:val="decimal"/>
      <w:pStyle w:val="ListNumber5"/>
      <w:lvlText w:val="%1."/>
      <w:lvlJc w:val="left"/>
      <w:pPr>
        <w:tabs>
          <w:tab w:val="num" w:pos="4894"/>
        </w:tabs>
        <w:ind w:left="4894" w:hanging="360"/>
      </w:pPr>
    </w:lvl>
  </w:abstractNum>
  <w:abstractNum w:abstractNumId="1" w15:restartNumberingAfterBreak="0">
    <w:nsid w:val="FFFFFF82"/>
    <w:multiLevelType w:val="singleLevel"/>
    <w:tmpl w:val="3D52FFF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26A453D"/>
    <w:multiLevelType w:val="hybridMultilevel"/>
    <w:tmpl w:val="61543FDC"/>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C11909"/>
    <w:multiLevelType w:val="multilevel"/>
    <w:tmpl w:val="607255D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989"/>
        </w:tabs>
        <w:ind w:left="2701" w:hanging="432"/>
      </w:pPr>
      <w:rPr>
        <w:rFonts w:ascii="Symbol" w:hAnsi="Symbol" w:hint="default"/>
        <w:b w:val="0"/>
        <w:i w:val="0"/>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F24ED"/>
    <w:multiLevelType w:val="multilevel"/>
    <w:tmpl w:val="96D87D6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556"/>
        </w:tabs>
        <w:ind w:left="3268" w:hanging="432"/>
      </w:pPr>
      <w:rPr>
        <w:rFonts w:hint="default"/>
        <w:b w:val="0"/>
        <w:i w:val="0"/>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40171D1"/>
    <w:multiLevelType w:val="multilevel"/>
    <w:tmpl w:val="4C98F2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391"/>
        </w:tabs>
        <w:ind w:left="6103" w:hanging="432"/>
      </w:pPr>
      <w:rPr>
        <w:rFonts w:ascii="Symbol" w:hAnsi="Symbol" w:hint="default"/>
        <w:b w:val="0"/>
        <w:i w:val="0"/>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2C3A6B62"/>
    <w:multiLevelType w:val="multilevel"/>
    <w:tmpl w:val="0582B37A"/>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680"/>
        </w:tabs>
        <w:ind w:left="0" w:firstLine="0"/>
      </w:pPr>
      <w:rPr>
        <w:rFonts w:ascii="Verdana" w:hAnsi="Verdana" w:hint="default"/>
        <w:b w:val="0"/>
        <w:i w:val="0"/>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2B87B9E"/>
    <w:multiLevelType w:val="hybridMultilevel"/>
    <w:tmpl w:val="4864B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3DAB"/>
    <w:multiLevelType w:val="hybridMultilevel"/>
    <w:tmpl w:val="F384CDCA"/>
    <w:lvl w:ilvl="0" w:tplc="08090015">
      <w:start w:val="1"/>
      <w:numFmt w:val="upperLetter"/>
      <w:lvlText w:val="%1."/>
      <w:lvlJc w:val="left"/>
      <w:pPr>
        <w:ind w:left="688" w:hanging="360"/>
      </w:pPr>
      <w:rPr>
        <w:rFonts w:hint="default"/>
      </w:rPr>
    </w:lvl>
    <w:lvl w:ilvl="1" w:tplc="08090003" w:tentative="1">
      <w:start w:val="1"/>
      <w:numFmt w:val="bullet"/>
      <w:lvlText w:val="o"/>
      <w:lvlJc w:val="left"/>
      <w:pPr>
        <w:ind w:left="1408" w:hanging="360"/>
      </w:pPr>
      <w:rPr>
        <w:rFonts w:ascii="Courier New" w:hAnsi="Courier New" w:cs="Courier New" w:hint="default"/>
      </w:rPr>
    </w:lvl>
    <w:lvl w:ilvl="2" w:tplc="08090005" w:tentative="1">
      <w:start w:val="1"/>
      <w:numFmt w:val="bullet"/>
      <w:lvlText w:val=""/>
      <w:lvlJc w:val="left"/>
      <w:pPr>
        <w:ind w:left="2128" w:hanging="360"/>
      </w:pPr>
      <w:rPr>
        <w:rFonts w:ascii="Wingdings" w:hAnsi="Wingdings" w:hint="default"/>
      </w:rPr>
    </w:lvl>
    <w:lvl w:ilvl="3" w:tplc="08090001" w:tentative="1">
      <w:start w:val="1"/>
      <w:numFmt w:val="bullet"/>
      <w:lvlText w:val=""/>
      <w:lvlJc w:val="left"/>
      <w:pPr>
        <w:ind w:left="2848" w:hanging="360"/>
      </w:pPr>
      <w:rPr>
        <w:rFonts w:ascii="Symbol" w:hAnsi="Symbol" w:hint="default"/>
      </w:rPr>
    </w:lvl>
    <w:lvl w:ilvl="4" w:tplc="08090003" w:tentative="1">
      <w:start w:val="1"/>
      <w:numFmt w:val="bullet"/>
      <w:lvlText w:val="o"/>
      <w:lvlJc w:val="left"/>
      <w:pPr>
        <w:ind w:left="3568" w:hanging="360"/>
      </w:pPr>
      <w:rPr>
        <w:rFonts w:ascii="Courier New" w:hAnsi="Courier New" w:cs="Courier New" w:hint="default"/>
      </w:rPr>
    </w:lvl>
    <w:lvl w:ilvl="5" w:tplc="08090005" w:tentative="1">
      <w:start w:val="1"/>
      <w:numFmt w:val="bullet"/>
      <w:lvlText w:val=""/>
      <w:lvlJc w:val="left"/>
      <w:pPr>
        <w:ind w:left="4288" w:hanging="360"/>
      </w:pPr>
      <w:rPr>
        <w:rFonts w:ascii="Wingdings" w:hAnsi="Wingdings" w:hint="default"/>
      </w:rPr>
    </w:lvl>
    <w:lvl w:ilvl="6" w:tplc="08090001" w:tentative="1">
      <w:start w:val="1"/>
      <w:numFmt w:val="bullet"/>
      <w:lvlText w:val=""/>
      <w:lvlJc w:val="left"/>
      <w:pPr>
        <w:ind w:left="5008" w:hanging="360"/>
      </w:pPr>
      <w:rPr>
        <w:rFonts w:ascii="Symbol" w:hAnsi="Symbol" w:hint="default"/>
      </w:rPr>
    </w:lvl>
    <w:lvl w:ilvl="7" w:tplc="08090003" w:tentative="1">
      <w:start w:val="1"/>
      <w:numFmt w:val="bullet"/>
      <w:lvlText w:val="o"/>
      <w:lvlJc w:val="left"/>
      <w:pPr>
        <w:ind w:left="5728" w:hanging="360"/>
      </w:pPr>
      <w:rPr>
        <w:rFonts w:ascii="Courier New" w:hAnsi="Courier New" w:cs="Courier New" w:hint="default"/>
      </w:rPr>
    </w:lvl>
    <w:lvl w:ilvl="8" w:tplc="08090005" w:tentative="1">
      <w:start w:val="1"/>
      <w:numFmt w:val="bullet"/>
      <w:lvlText w:val=""/>
      <w:lvlJc w:val="left"/>
      <w:pPr>
        <w:ind w:left="6448" w:hanging="360"/>
      </w:pPr>
      <w:rPr>
        <w:rFonts w:ascii="Wingdings" w:hAnsi="Wingdings" w:hint="default"/>
      </w:rPr>
    </w:lvl>
  </w:abstractNum>
  <w:abstractNum w:abstractNumId="12"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B029B5"/>
    <w:multiLevelType w:val="multilevel"/>
    <w:tmpl w:val="607255D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989"/>
        </w:tabs>
        <w:ind w:left="2701" w:hanging="432"/>
      </w:pPr>
      <w:rPr>
        <w:rFonts w:ascii="Symbol" w:hAnsi="Symbol" w:hint="default"/>
        <w:b w:val="0"/>
        <w:i w:val="0"/>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597B7E7A"/>
    <w:multiLevelType w:val="hybridMultilevel"/>
    <w:tmpl w:val="BA38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C1DB6"/>
    <w:multiLevelType w:val="hybridMultilevel"/>
    <w:tmpl w:val="F80A2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0C6FD7"/>
    <w:multiLevelType w:val="multilevel"/>
    <w:tmpl w:val="96D87D6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556"/>
        </w:tabs>
        <w:ind w:left="3268" w:hanging="432"/>
      </w:pPr>
      <w:rPr>
        <w:rFonts w:hint="default"/>
        <w:b w:val="0"/>
        <w:i w:val="0"/>
      </w:rPr>
    </w:lvl>
    <w:lvl w:ilvl="2">
      <w:start w:val="1"/>
      <w:numFmt w:val="bullet"/>
      <w:lvlText w:val=""/>
      <w:lvlJc w:val="left"/>
      <w:pPr>
        <w:tabs>
          <w:tab w:val="num" w:pos="720"/>
        </w:tabs>
        <w:ind w:left="504" w:hanging="504"/>
      </w:pPr>
      <w:rPr>
        <w:rFonts w:ascii="Symbol" w:hAnsi="Symbol"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5CA277FC"/>
    <w:multiLevelType w:val="multilevel"/>
    <w:tmpl w:val="607255D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989"/>
        </w:tabs>
        <w:ind w:left="2701" w:hanging="432"/>
      </w:pPr>
      <w:rPr>
        <w:rFonts w:ascii="Symbol" w:hAnsi="Symbol" w:hint="default"/>
        <w:b w:val="0"/>
        <w:i w:val="0"/>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284"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30E1E5E"/>
    <w:multiLevelType w:val="hybridMultilevel"/>
    <w:tmpl w:val="7ACC6E7C"/>
    <w:lvl w:ilvl="0" w:tplc="F8100F48">
      <w:start w:val="1"/>
      <w:numFmt w:val="bullet"/>
      <w:pStyle w:val="Textbox-Bullte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2"/>
  </w:num>
  <w:num w:numId="3">
    <w:abstractNumId w:val="12"/>
  </w:num>
  <w:num w:numId="4">
    <w:abstractNumId w:val="8"/>
  </w:num>
  <w:num w:numId="5">
    <w:abstractNumId w:val="13"/>
  </w:num>
  <w:num w:numId="6">
    <w:abstractNumId w:val="19"/>
  </w:num>
  <w:num w:numId="7">
    <w:abstractNumId w:val="10"/>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4"/>
  </w:num>
  <w:num w:numId="13">
    <w:abstractNumId w:val="14"/>
  </w:num>
  <w:num w:numId="14">
    <w:abstractNumId w:val="18"/>
  </w:num>
  <w:num w:numId="15">
    <w:abstractNumId w:val="1"/>
  </w:num>
  <w:num w:numId="16">
    <w:abstractNumId w:val="3"/>
  </w:num>
  <w:num w:numId="17">
    <w:abstractNumId w:val="16"/>
  </w:num>
  <w:num w:numId="18">
    <w:abstractNumId w:val="11"/>
  </w:num>
  <w:num w:numId="19">
    <w:abstractNumId w:val="0"/>
  </w:num>
  <w:num w:numId="20">
    <w:abstractNumId w:val="6"/>
  </w:num>
  <w:num w:numId="21">
    <w:abstractNumId w:val="17"/>
  </w:num>
  <w:num w:numId="22">
    <w:abstractNumId w:val="8"/>
  </w:num>
  <w:num w:numId="23">
    <w:abstractNumId w:val="8"/>
  </w:num>
  <w:num w:numId="24">
    <w:abstractNumId w:val="8"/>
  </w:num>
  <w:num w:numId="25">
    <w:abstractNumId w:val="8"/>
  </w:num>
  <w:num w:numId="26">
    <w:abstractNumId w:val="8"/>
  </w:num>
  <w:num w:numId="2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135169">
      <o:colormru v:ext="edit" colors="red,#f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tr" w:val="橄ㄴ㙠ިپ찔㈇"/>
  </w:docVars>
  <w:rsids>
    <w:rsidRoot w:val="00A321BF"/>
    <w:rsid w:val="000013AF"/>
    <w:rsid w:val="000015EC"/>
    <w:rsid w:val="00001D6F"/>
    <w:rsid w:val="00001F59"/>
    <w:rsid w:val="00002545"/>
    <w:rsid w:val="000029B7"/>
    <w:rsid w:val="00003FF3"/>
    <w:rsid w:val="000040BA"/>
    <w:rsid w:val="0000434E"/>
    <w:rsid w:val="00004888"/>
    <w:rsid w:val="00004E71"/>
    <w:rsid w:val="00005107"/>
    <w:rsid w:val="00005720"/>
    <w:rsid w:val="000060C2"/>
    <w:rsid w:val="0000655E"/>
    <w:rsid w:val="00006E56"/>
    <w:rsid w:val="000075BB"/>
    <w:rsid w:val="000077F5"/>
    <w:rsid w:val="00007806"/>
    <w:rsid w:val="00007DC2"/>
    <w:rsid w:val="00010572"/>
    <w:rsid w:val="00010700"/>
    <w:rsid w:val="000126B4"/>
    <w:rsid w:val="000128C0"/>
    <w:rsid w:val="00012F97"/>
    <w:rsid w:val="00013DDF"/>
    <w:rsid w:val="0001401F"/>
    <w:rsid w:val="0001419C"/>
    <w:rsid w:val="00014977"/>
    <w:rsid w:val="00014ED1"/>
    <w:rsid w:val="00014F4C"/>
    <w:rsid w:val="00014F72"/>
    <w:rsid w:val="00015722"/>
    <w:rsid w:val="000172E8"/>
    <w:rsid w:val="00017CCC"/>
    <w:rsid w:val="00020E11"/>
    <w:rsid w:val="000212CC"/>
    <w:rsid w:val="00022574"/>
    <w:rsid w:val="000226AF"/>
    <w:rsid w:val="0002294E"/>
    <w:rsid w:val="00023DDD"/>
    <w:rsid w:val="00024DD6"/>
    <w:rsid w:val="00025615"/>
    <w:rsid w:val="000268B0"/>
    <w:rsid w:val="000269DF"/>
    <w:rsid w:val="000275BA"/>
    <w:rsid w:val="0002771D"/>
    <w:rsid w:val="000301A6"/>
    <w:rsid w:val="00030205"/>
    <w:rsid w:val="00030468"/>
    <w:rsid w:val="00030CC6"/>
    <w:rsid w:val="00030DAB"/>
    <w:rsid w:val="00030DBB"/>
    <w:rsid w:val="00030FF8"/>
    <w:rsid w:val="00031F2E"/>
    <w:rsid w:val="00032214"/>
    <w:rsid w:val="0003301E"/>
    <w:rsid w:val="00033F09"/>
    <w:rsid w:val="00034432"/>
    <w:rsid w:val="000354A9"/>
    <w:rsid w:val="00035521"/>
    <w:rsid w:val="00036844"/>
    <w:rsid w:val="00036B53"/>
    <w:rsid w:val="00037064"/>
    <w:rsid w:val="00037493"/>
    <w:rsid w:val="0004028C"/>
    <w:rsid w:val="00041046"/>
    <w:rsid w:val="000411EB"/>
    <w:rsid w:val="000414D3"/>
    <w:rsid w:val="00041833"/>
    <w:rsid w:val="00041CD4"/>
    <w:rsid w:val="0004238C"/>
    <w:rsid w:val="00043E22"/>
    <w:rsid w:val="0004524D"/>
    <w:rsid w:val="00045279"/>
    <w:rsid w:val="00045420"/>
    <w:rsid w:val="00052DD7"/>
    <w:rsid w:val="00052E69"/>
    <w:rsid w:val="00052EF1"/>
    <w:rsid w:val="00053A10"/>
    <w:rsid w:val="00053E97"/>
    <w:rsid w:val="00057B96"/>
    <w:rsid w:val="00057DA4"/>
    <w:rsid w:val="00060353"/>
    <w:rsid w:val="000605E1"/>
    <w:rsid w:val="00060EF1"/>
    <w:rsid w:val="00061C4D"/>
    <w:rsid w:val="00061DDA"/>
    <w:rsid w:val="00062D08"/>
    <w:rsid w:val="0006489E"/>
    <w:rsid w:val="00064F5F"/>
    <w:rsid w:val="0006524D"/>
    <w:rsid w:val="00065705"/>
    <w:rsid w:val="00065930"/>
    <w:rsid w:val="00066430"/>
    <w:rsid w:val="00067187"/>
    <w:rsid w:val="000702DE"/>
    <w:rsid w:val="00070468"/>
    <w:rsid w:val="00072634"/>
    <w:rsid w:val="00073A75"/>
    <w:rsid w:val="00073D3A"/>
    <w:rsid w:val="00073EA4"/>
    <w:rsid w:val="0007407C"/>
    <w:rsid w:val="00074496"/>
    <w:rsid w:val="00075992"/>
    <w:rsid w:val="00075D54"/>
    <w:rsid w:val="000768E3"/>
    <w:rsid w:val="0007703C"/>
    <w:rsid w:val="0007770D"/>
    <w:rsid w:val="00080614"/>
    <w:rsid w:val="0008062A"/>
    <w:rsid w:val="000808EB"/>
    <w:rsid w:val="00080AC6"/>
    <w:rsid w:val="00081442"/>
    <w:rsid w:val="00082083"/>
    <w:rsid w:val="000820A3"/>
    <w:rsid w:val="000820E8"/>
    <w:rsid w:val="0008278F"/>
    <w:rsid w:val="00082DF1"/>
    <w:rsid w:val="00083035"/>
    <w:rsid w:val="000839E0"/>
    <w:rsid w:val="00083C57"/>
    <w:rsid w:val="00084946"/>
    <w:rsid w:val="00085AA8"/>
    <w:rsid w:val="0008702A"/>
    <w:rsid w:val="000873E8"/>
    <w:rsid w:val="0008743C"/>
    <w:rsid w:val="000876A9"/>
    <w:rsid w:val="00087729"/>
    <w:rsid w:val="00087E55"/>
    <w:rsid w:val="00087E96"/>
    <w:rsid w:val="00090C20"/>
    <w:rsid w:val="0009153B"/>
    <w:rsid w:val="00091D22"/>
    <w:rsid w:val="00091FD6"/>
    <w:rsid w:val="000925FF"/>
    <w:rsid w:val="00093B05"/>
    <w:rsid w:val="0009402A"/>
    <w:rsid w:val="000951DA"/>
    <w:rsid w:val="00095AEB"/>
    <w:rsid w:val="0009625F"/>
    <w:rsid w:val="00096943"/>
    <w:rsid w:val="00096D76"/>
    <w:rsid w:val="00096DEF"/>
    <w:rsid w:val="00097FE6"/>
    <w:rsid w:val="000A03FB"/>
    <w:rsid w:val="000A0E00"/>
    <w:rsid w:val="000A160F"/>
    <w:rsid w:val="000A1674"/>
    <w:rsid w:val="000A19C9"/>
    <w:rsid w:val="000A1BB0"/>
    <w:rsid w:val="000A3007"/>
    <w:rsid w:val="000A3924"/>
    <w:rsid w:val="000A4712"/>
    <w:rsid w:val="000A479E"/>
    <w:rsid w:val="000A50CF"/>
    <w:rsid w:val="000A5882"/>
    <w:rsid w:val="000A5F2F"/>
    <w:rsid w:val="000A6829"/>
    <w:rsid w:val="000A6A1C"/>
    <w:rsid w:val="000A7D2F"/>
    <w:rsid w:val="000B1363"/>
    <w:rsid w:val="000B1721"/>
    <w:rsid w:val="000B1C6A"/>
    <w:rsid w:val="000B25D9"/>
    <w:rsid w:val="000B31A7"/>
    <w:rsid w:val="000B40C1"/>
    <w:rsid w:val="000B4E9D"/>
    <w:rsid w:val="000B4EE5"/>
    <w:rsid w:val="000B5719"/>
    <w:rsid w:val="000B5EEF"/>
    <w:rsid w:val="000B68C1"/>
    <w:rsid w:val="000B6A35"/>
    <w:rsid w:val="000B7B22"/>
    <w:rsid w:val="000C0106"/>
    <w:rsid w:val="000C06FF"/>
    <w:rsid w:val="000C20CD"/>
    <w:rsid w:val="000C26A8"/>
    <w:rsid w:val="000C3492"/>
    <w:rsid w:val="000C3677"/>
    <w:rsid w:val="000C3D39"/>
    <w:rsid w:val="000C4D58"/>
    <w:rsid w:val="000C563B"/>
    <w:rsid w:val="000C59D7"/>
    <w:rsid w:val="000C5E76"/>
    <w:rsid w:val="000C687C"/>
    <w:rsid w:val="000C6E73"/>
    <w:rsid w:val="000C7CD3"/>
    <w:rsid w:val="000D0228"/>
    <w:rsid w:val="000D1CAE"/>
    <w:rsid w:val="000D2009"/>
    <w:rsid w:val="000D2241"/>
    <w:rsid w:val="000D4F04"/>
    <w:rsid w:val="000D52C3"/>
    <w:rsid w:val="000D5F78"/>
    <w:rsid w:val="000D7047"/>
    <w:rsid w:val="000D72F4"/>
    <w:rsid w:val="000E14F7"/>
    <w:rsid w:val="000E2B54"/>
    <w:rsid w:val="000E3F29"/>
    <w:rsid w:val="000E41E0"/>
    <w:rsid w:val="000E435D"/>
    <w:rsid w:val="000E4B35"/>
    <w:rsid w:val="000E5584"/>
    <w:rsid w:val="000E7BBC"/>
    <w:rsid w:val="000E7F77"/>
    <w:rsid w:val="000F0302"/>
    <w:rsid w:val="000F0343"/>
    <w:rsid w:val="000F0612"/>
    <w:rsid w:val="000F0755"/>
    <w:rsid w:val="000F09A3"/>
    <w:rsid w:val="000F09FB"/>
    <w:rsid w:val="000F0AC6"/>
    <w:rsid w:val="000F0BE9"/>
    <w:rsid w:val="000F20CE"/>
    <w:rsid w:val="000F22B9"/>
    <w:rsid w:val="000F26B3"/>
    <w:rsid w:val="000F2921"/>
    <w:rsid w:val="000F3381"/>
    <w:rsid w:val="000F369B"/>
    <w:rsid w:val="000F4AC9"/>
    <w:rsid w:val="000F4EC0"/>
    <w:rsid w:val="000F529D"/>
    <w:rsid w:val="000F52B0"/>
    <w:rsid w:val="000F5A6B"/>
    <w:rsid w:val="000F5C9D"/>
    <w:rsid w:val="000F5DD5"/>
    <w:rsid w:val="000F6409"/>
    <w:rsid w:val="000F652E"/>
    <w:rsid w:val="000F6E57"/>
    <w:rsid w:val="000F7210"/>
    <w:rsid w:val="000F731A"/>
    <w:rsid w:val="000F757F"/>
    <w:rsid w:val="000F7CD3"/>
    <w:rsid w:val="001000F1"/>
    <w:rsid w:val="00100197"/>
    <w:rsid w:val="001001E4"/>
    <w:rsid w:val="00100301"/>
    <w:rsid w:val="00100A81"/>
    <w:rsid w:val="001018F2"/>
    <w:rsid w:val="001020AC"/>
    <w:rsid w:val="00103090"/>
    <w:rsid w:val="001034BA"/>
    <w:rsid w:val="00103F40"/>
    <w:rsid w:val="00104577"/>
    <w:rsid w:val="00105AA5"/>
    <w:rsid w:val="00105C24"/>
    <w:rsid w:val="00105D65"/>
    <w:rsid w:val="001060B6"/>
    <w:rsid w:val="00106249"/>
    <w:rsid w:val="00110134"/>
    <w:rsid w:val="001127BC"/>
    <w:rsid w:val="00112ECD"/>
    <w:rsid w:val="00113284"/>
    <w:rsid w:val="001132CC"/>
    <w:rsid w:val="001138AF"/>
    <w:rsid w:val="00113EC6"/>
    <w:rsid w:val="001157E3"/>
    <w:rsid w:val="001168F8"/>
    <w:rsid w:val="00116A9E"/>
    <w:rsid w:val="00116D7B"/>
    <w:rsid w:val="00116F36"/>
    <w:rsid w:val="00116FF0"/>
    <w:rsid w:val="001178CD"/>
    <w:rsid w:val="00117AB6"/>
    <w:rsid w:val="00120EB1"/>
    <w:rsid w:val="00120F69"/>
    <w:rsid w:val="001212B9"/>
    <w:rsid w:val="0012139F"/>
    <w:rsid w:val="001219E5"/>
    <w:rsid w:val="00121ECB"/>
    <w:rsid w:val="00122684"/>
    <w:rsid w:val="00122DC1"/>
    <w:rsid w:val="00124049"/>
    <w:rsid w:val="00125274"/>
    <w:rsid w:val="00125A30"/>
    <w:rsid w:val="00126374"/>
    <w:rsid w:val="001272AE"/>
    <w:rsid w:val="001273D9"/>
    <w:rsid w:val="001275B9"/>
    <w:rsid w:val="001279DF"/>
    <w:rsid w:val="00130558"/>
    <w:rsid w:val="001306B9"/>
    <w:rsid w:val="0013089B"/>
    <w:rsid w:val="00130D21"/>
    <w:rsid w:val="001311C5"/>
    <w:rsid w:val="00131225"/>
    <w:rsid w:val="00132A9C"/>
    <w:rsid w:val="00132EB7"/>
    <w:rsid w:val="00133223"/>
    <w:rsid w:val="0013381D"/>
    <w:rsid w:val="0013388F"/>
    <w:rsid w:val="00135530"/>
    <w:rsid w:val="00135D4F"/>
    <w:rsid w:val="0013695B"/>
    <w:rsid w:val="00136B15"/>
    <w:rsid w:val="00137262"/>
    <w:rsid w:val="00137DD3"/>
    <w:rsid w:val="00140367"/>
    <w:rsid w:val="00140597"/>
    <w:rsid w:val="00141016"/>
    <w:rsid w:val="001424B4"/>
    <w:rsid w:val="00142516"/>
    <w:rsid w:val="0014257E"/>
    <w:rsid w:val="00142A39"/>
    <w:rsid w:val="0014424D"/>
    <w:rsid w:val="00144CEA"/>
    <w:rsid w:val="00144F05"/>
    <w:rsid w:val="001452F0"/>
    <w:rsid w:val="00145606"/>
    <w:rsid w:val="00146828"/>
    <w:rsid w:val="00147357"/>
    <w:rsid w:val="0014747D"/>
    <w:rsid w:val="00147CDC"/>
    <w:rsid w:val="00147F79"/>
    <w:rsid w:val="00147FB2"/>
    <w:rsid w:val="0015008A"/>
    <w:rsid w:val="0015039D"/>
    <w:rsid w:val="0015148E"/>
    <w:rsid w:val="001537CC"/>
    <w:rsid w:val="001539A7"/>
    <w:rsid w:val="00154306"/>
    <w:rsid w:val="00154558"/>
    <w:rsid w:val="00154B19"/>
    <w:rsid w:val="001553FE"/>
    <w:rsid w:val="001558F2"/>
    <w:rsid w:val="00155F80"/>
    <w:rsid w:val="001562AF"/>
    <w:rsid w:val="001567BF"/>
    <w:rsid w:val="001568EC"/>
    <w:rsid w:val="00156937"/>
    <w:rsid w:val="001569F7"/>
    <w:rsid w:val="001600F0"/>
    <w:rsid w:val="001604C9"/>
    <w:rsid w:val="001606A9"/>
    <w:rsid w:val="001613DF"/>
    <w:rsid w:val="00161404"/>
    <w:rsid w:val="00161908"/>
    <w:rsid w:val="00162C10"/>
    <w:rsid w:val="00162E4E"/>
    <w:rsid w:val="001643D8"/>
    <w:rsid w:val="00166C55"/>
    <w:rsid w:val="00166F77"/>
    <w:rsid w:val="001672C2"/>
    <w:rsid w:val="00167540"/>
    <w:rsid w:val="00167B74"/>
    <w:rsid w:val="001702F2"/>
    <w:rsid w:val="00170449"/>
    <w:rsid w:val="00170EE0"/>
    <w:rsid w:val="001713B4"/>
    <w:rsid w:val="00171596"/>
    <w:rsid w:val="001719C5"/>
    <w:rsid w:val="0017217C"/>
    <w:rsid w:val="00172950"/>
    <w:rsid w:val="00172AE5"/>
    <w:rsid w:val="00172B30"/>
    <w:rsid w:val="00172D1F"/>
    <w:rsid w:val="0017306E"/>
    <w:rsid w:val="00173431"/>
    <w:rsid w:val="00173D12"/>
    <w:rsid w:val="00173DE6"/>
    <w:rsid w:val="001743BF"/>
    <w:rsid w:val="00175ACE"/>
    <w:rsid w:val="00176067"/>
    <w:rsid w:val="001760ED"/>
    <w:rsid w:val="00176C74"/>
    <w:rsid w:val="001773DB"/>
    <w:rsid w:val="00177670"/>
    <w:rsid w:val="0018061A"/>
    <w:rsid w:val="00180A22"/>
    <w:rsid w:val="00181C01"/>
    <w:rsid w:val="00181E7A"/>
    <w:rsid w:val="0018253A"/>
    <w:rsid w:val="00183DF4"/>
    <w:rsid w:val="0018416F"/>
    <w:rsid w:val="00184887"/>
    <w:rsid w:val="0018543D"/>
    <w:rsid w:val="00185B66"/>
    <w:rsid w:val="00185D90"/>
    <w:rsid w:val="00185DEC"/>
    <w:rsid w:val="001864B5"/>
    <w:rsid w:val="00187087"/>
    <w:rsid w:val="001903D2"/>
    <w:rsid w:val="0019060F"/>
    <w:rsid w:val="0019143B"/>
    <w:rsid w:val="00191450"/>
    <w:rsid w:val="001914FF"/>
    <w:rsid w:val="001917F0"/>
    <w:rsid w:val="0019248B"/>
    <w:rsid w:val="0019347C"/>
    <w:rsid w:val="00193833"/>
    <w:rsid w:val="00193BAC"/>
    <w:rsid w:val="001948AF"/>
    <w:rsid w:val="001952DB"/>
    <w:rsid w:val="001952E5"/>
    <w:rsid w:val="00196A95"/>
    <w:rsid w:val="00196D6A"/>
    <w:rsid w:val="00197114"/>
    <w:rsid w:val="00197C07"/>
    <w:rsid w:val="00197DAD"/>
    <w:rsid w:val="001A0ACC"/>
    <w:rsid w:val="001A1916"/>
    <w:rsid w:val="001A1CEC"/>
    <w:rsid w:val="001A1FA6"/>
    <w:rsid w:val="001A292D"/>
    <w:rsid w:val="001A2C62"/>
    <w:rsid w:val="001A3B10"/>
    <w:rsid w:val="001A3CC8"/>
    <w:rsid w:val="001A3D0D"/>
    <w:rsid w:val="001A4244"/>
    <w:rsid w:val="001A4631"/>
    <w:rsid w:val="001A5113"/>
    <w:rsid w:val="001A522B"/>
    <w:rsid w:val="001A531A"/>
    <w:rsid w:val="001A5C09"/>
    <w:rsid w:val="001A5D7F"/>
    <w:rsid w:val="001A6D4C"/>
    <w:rsid w:val="001A777F"/>
    <w:rsid w:val="001B0031"/>
    <w:rsid w:val="001B05D9"/>
    <w:rsid w:val="001B09A4"/>
    <w:rsid w:val="001B0DC6"/>
    <w:rsid w:val="001B0F66"/>
    <w:rsid w:val="001B12EF"/>
    <w:rsid w:val="001B19FD"/>
    <w:rsid w:val="001B1B46"/>
    <w:rsid w:val="001B22C8"/>
    <w:rsid w:val="001B2653"/>
    <w:rsid w:val="001B2E32"/>
    <w:rsid w:val="001B30AA"/>
    <w:rsid w:val="001B32C2"/>
    <w:rsid w:val="001B33CF"/>
    <w:rsid w:val="001B41F0"/>
    <w:rsid w:val="001B4298"/>
    <w:rsid w:val="001B4433"/>
    <w:rsid w:val="001B4C00"/>
    <w:rsid w:val="001B5A11"/>
    <w:rsid w:val="001B6BC2"/>
    <w:rsid w:val="001B6CB5"/>
    <w:rsid w:val="001B6D49"/>
    <w:rsid w:val="001B7273"/>
    <w:rsid w:val="001B76A5"/>
    <w:rsid w:val="001B7F45"/>
    <w:rsid w:val="001C0885"/>
    <w:rsid w:val="001C0B0C"/>
    <w:rsid w:val="001C1200"/>
    <w:rsid w:val="001C13EF"/>
    <w:rsid w:val="001C1CC3"/>
    <w:rsid w:val="001C20D6"/>
    <w:rsid w:val="001C25B9"/>
    <w:rsid w:val="001C2635"/>
    <w:rsid w:val="001C3261"/>
    <w:rsid w:val="001C448F"/>
    <w:rsid w:val="001C4C8C"/>
    <w:rsid w:val="001C586E"/>
    <w:rsid w:val="001C6200"/>
    <w:rsid w:val="001C6557"/>
    <w:rsid w:val="001C676C"/>
    <w:rsid w:val="001C7046"/>
    <w:rsid w:val="001C7194"/>
    <w:rsid w:val="001C7E89"/>
    <w:rsid w:val="001D0438"/>
    <w:rsid w:val="001D0B57"/>
    <w:rsid w:val="001D18FE"/>
    <w:rsid w:val="001D2449"/>
    <w:rsid w:val="001D25BF"/>
    <w:rsid w:val="001D29D7"/>
    <w:rsid w:val="001D2B0F"/>
    <w:rsid w:val="001D2BC9"/>
    <w:rsid w:val="001D2C0A"/>
    <w:rsid w:val="001D3025"/>
    <w:rsid w:val="001D371D"/>
    <w:rsid w:val="001D3D2C"/>
    <w:rsid w:val="001D5C1B"/>
    <w:rsid w:val="001D6334"/>
    <w:rsid w:val="001D6CF7"/>
    <w:rsid w:val="001D74A2"/>
    <w:rsid w:val="001E10FE"/>
    <w:rsid w:val="001E17B7"/>
    <w:rsid w:val="001E1DDB"/>
    <w:rsid w:val="001E1ED0"/>
    <w:rsid w:val="001E47ED"/>
    <w:rsid w:val="001E57BD"/>
    <w:rsid w:val="001E5810"/>
    <w:rsid w:val="001E59B8"/>
    <w:rsid w:val="001E6699"/>
    <w:rsid w:val="001E75C5"/>
    <w:rsid w:val="001E7B98"/>
    <w:rsid w:val="001F003E"/>
    <w:rsid w:val="001F07DE"/>
    <w:rsid w:val="001F0F5D"/>
    <w:rsid w:val="001F10CD"/>
    <w:rsid w:val="001F123D"/>
    <w:rsid w:val="001F1C51"/>
    <w:rsid w:val="001F23BD"/>
    <w:rsid w:val="001F2D55"/>
    <w:rsid w:val="001F2F91"/>
    <w:rsid w:val="001F37CD"/>
    <w:rsid w:val="001F4666"/>
    <w:rsid w:val="001F4EDB"/>
    <w:rsid w:val="001F559A"/>
    <w:rsid w:val="001F742D"/>
    <w:rsid w:val="00200C11"/>
    <w:rsid w:val="002014BD"/>
    <w:rsid w:val="00201880"/>
    <w:rsid w:val="00202102"/>
    <w:rsid w:val="002024A8"/>
    <w:rsid w:val="00202694"/>
    <w:rsid w:val="0020308D"/>
    <w:rsid w:val="0020396C"/>
    <w:rsid w:val="00203C29"/>
    <w:rsid w:val="00204F91"/>
    <w:rsid w:val="002052EE"/>
    <w:rsid w:val="00205789"/>
    <w:rsid w:val="00205EEB"/>
    <w:rsid w:val="00206779"/>
    <w:rsid w:val="00206B40"/>
    <w:rsid w:val="00206B46"/>
    <w:rsid w:val="00206E07"/>
    <w:rsid w:val="002076D8"/>
    <w:rsid w:val="00207B6C"/>
    <w:rsid w:val="00210A39"/>
    <w:rsid w:val="00211542"/>
    <w:rsid w:val="00211B98"/>
    <w:rsid w:val="00212E37"/>
    <w:rsid w:val="002138C8"/>
    <w:rsid w:val="00213DC2"/>
    <w:rsid w:val="002140F1"/>
    <w:rsid w:val="002145F8"/>
    <w:rsid w:val="0021609C"/>
    <w:rsid w:val="0021649B"/>
    <w:rsid w:val="002165D7"/>
    <w:rsid w:val="002166C6"/>
    <w:rsid w:val="00217AB6"/>
    <w:rsid w:val="00217B1E"/>
    <w:rsid w:val="00217BB6"/>
    <w:rsid w:val="0022009F"/>
    <w:rsid w:val="002202D8"/>
    <w:rsid w:val="002207F1"/>
    <w:rsid w:val="00220F22"/>
    <w:rsid w:val="00221763"/>
    <w:rsid w:val="002217B6"/>
    <w:rsid w:val="002222E0"/>
    <w:rsid w:val="00223501"/>
    <w:rsid w:val="00224465"/>
    <w:rsid w:val="0022468E"/>
    <w:rsid w:val="002246C2"/>
    <w:rsid w:val="00226A80"/>
    <w:rsid w:val="00226FC0"/>
    <w:rsid w:val="00226FE9"/>
    <w:rsid w:val="00227F2F"/>
    <w:rsid w:val="00230796"/>
    <w:rsid w:val="002315EF"/>
    <w:rsid w:val="00231960"/>
    <w:rsid w:val="002319E7"/>
    <w:rsid w:val="00232EAC"/>
    <w:rsid w:val="00232F61"/>
    <w:rsid w:val="00233253"/>
    <w:rsid w:val="00233558"/>
    <w:rsid w:val="00233B5C"/>
    <w:rsid w:val="00233C7C"/>
    <w:rsid w:val="00235062"/>
    <w:rsid w:val="0023514B"/>
    <w:rsid w:val="00235A06"/>
    <w:rsid w:val="00236B58"/>
    <w:rsid w:val="00237AF3"/>
    <w:rsid w:val="002400AD"/>
    <w:rsid w:val="0024088D"/>
    <w:rsid w:val="00240C0B"/>
    <w:rsid w:val="00240D62"/>
    <w:rsid w:val="002412B5"/>
    <w:rsid w:val="0024251E"/>
    <w:rsid w:val="00242D68"/>
    <w:rsid w:val="002436FB"/>
    <w:rsid w:val="0024383C"/>
    <w:rsid w:val="00243935"/>
    <w:rsid w:val="00243BAE"/>
    <w:rsid w:val="00244E44"/>
    <w:rsid w:val="0024547E"/>
    <w:rsid w:val="00245D3A"/>
    <w:rsid w:val="002477D5"/>
    <w:rsid w:val="00247C87"/>
    <w:rsid w:val="00247CF1"/>
    <w:rsid w:val="00250067"/>
    <w:rsid w:val="002503D6"/>
    <w:rsid w:val="00250BB5"/>
    <w:rsid w:val="0025102F"/>
    <w:rsid w:val="00251221"/>
    <w:rsid w:val="0025295D"/>
    <w:rsid w:val="00253B5E"/>
    <w:rsid w:val="00254B3C"/>
    <w:rsid w:val="00254E9C"/>
    <w:rsid w:val="00256E2A"/>
    <w:rsid w:val="0026033C"/>
    <w:rsid w:val="00260506"/>
    <w:rsid w:val="00261361"/>
    <w:rsid w:val="0026159A"/>
    <w:rsid w:val="00261BED"/>
    <w:rsid w:val="002622FB"/>
    <w:rsid w:val="00263143"/>
    <w:rsid w:val="00264E33"/>
    <w:rsid w:val="00266098"/>
    <w:rsid w:val="00266268"/>
    <w:rsid w:val="00266479"/>
    <w:rsid w:val="002664AF"/>
    <w:rsid w:val="002678AE"/>
    <w:rsid w:val="00270485"/>
    <w:rsid w:val="002709C0"/>
    <w:rsid w:val="00270A37"/>
    <w:rsid w:val="002719C4"/>
    <w:rsid w:val="00271C6E"/>
    <w:rsid w:val="002723C0"/>
    <w:rsid w:val="00272DBD"/>
    <w:rsid w:val="00273765"/>
    <w:rsid w:val="00274FFD"/>
    <w:rsid w:val="002758C5"/>
    <w:rsid w:val="002802AD"/>
    <w:rsid w:val="00280349"/>
    <w:rsid w:val="00280BA4"/>
    <w:rsid w:val="00280C95"/>
    <w:rsid w:val="002812F5"/>
    <w:rsid w:val="002816A7"/>
    <w:rsid w:val="0028386C"/>
    <w:rsid w:val="0028397E"/>
    <w:rsid w:val="00284189"/>
    <w:rsid w:val="0028488B"/>
    <w:rsid w:val="00284890"/>
    <w:rsid w:val="002852E7"/>
    <w:rsid w:val="0028729A"/>
    <w:rsid w:val="0029147D"/>
    <w:rsid w:val="00291648"/>
    <w:rsid w:val="00291AC6"/>
    <w:rsid w:val="00291F7E"/>
    <w:rsid w:val="00293054"/>
    <w:rsid w:val="002930C3"/>
    <w:rsid w:val="00293849"/>
    <w:rsid w:val="00294DD3"/>
    <w:rsid w:val="002955E1"/>
    <w:rsid w:val="002958D0"/>
    <w:rsid w:val="00296914"/>
    <w:rsid w:val="0029730E"/>
    <w:rsid w:val="00297B6B"/>
    <w:rsid w:val="002A08EF"/>
    <w:rsid w:val="002A27DA"/>
    <w:rsid w:val="002A2890"/>
    <w:rsid w:val="002A2C11"/>
    <w:rsid w:val="002A397F"/>
    <w:rsid w:val="002A42AD"/>
    <w:rsid w:val="002A43BD"/>
    <w:rsid w:val="002A520B"/>
    <w:rsid w:val="002A5267"/>
    <w:rsid w:val="002A5383"/>
    <w:rsid w:val="002A553B"/>
    <w:rsid w:val="002A5778"/>
    <w:rsid w:val="002A59A7"/>
    <w:rsid w:val="002B0025"/>
    <w:rsid w:val="002B00E4"/>
    <w:rsid w:val="002B0467"/>
    <w:rsid w:val="002B04E9"/>
    <w:rsid w:val="002B14DE"/>
    <w:rsid w:val="002B25A7"/>
    <w:rsid w:val="002B26B3"/>
    <w:rsid w:val="002B2714"/>
    <w:rsid w:val="002B3F6A"/>
    <w:rsid w:val="002B40AA"/>
    <w:rsid w:val="002B4188"/>
    <w:rsid w:val="002B46B4"/>
    <w:rsid w:val="002B4804"/>
    <w:rsid w:val="002B5150"/>
    <w:rsid w:val="002B58BE"/>
    <w:rsid w:val="002B5B24"/>
    <w:rsid w:val="002B6001"/>
    <w:rsid w:val="002B6383"/>
    <w:rsid w:val="002B63F5"/>
    <w:rsid w:val="002B6705"/>
    <w:rsid w:val="002B72E8"/>
    <w:rsid w:val="002B792A"/>
    <w:rsid w:val="002B7C86"/>
    <w:rsid w:val="002C07E5"/>
    <w:rsid w:val="002C09A3"/>
    <w:rsid w:val="002C16B1"/>
    <w:rsid w:val="002C1E47"/>
    <w:rsid w:val="002C28C4"/>
    <w:rsid w:val="002C3F9C"/>
    <w:rsid w:val="002C4CF0"/>
    <w:rsid w:val="002C53B4"/>
    <w:rsid w:val="002C5843"/>
    <w:rsid w:val="002C599C"/>
    <w:rsid w:val="002C59C5"/>
    <w:rsid w:val="002C5E40"/>
    <w:rsid w:val="002C65E4"/>
    <w:rsid w:val="002C69BF"/>
    <w:rsid w:val="002D197D"/>
    <w:rsid w:val="002D1D27"/>
    <w:rsid w:val="002D1F27"/>
    <w:rsid w:val="002D412C"/>
    <w:rsid w:val="002D5035"/>
    <w:rsid w:val="002D59E6"/>
    <w:rsid w:val="002D5A05"/>
    <w:rsid w:val="002D6C94"/>
    <w:rsid w:val="002D7B35"/>
    <w:rsid w:val="002D7FD7"/>
    <w:rsid w:val="002E103D"/>
    <w:rsid w:val="002E12A4"/>
    <w:rsid w:val="002E18C5"/>
    <w:rsid w:val="002E1C64"/>
    <w:rsid w:val="002E1F2A"/>
    <w:rsid w:val="002E2262"/>
    <w:rsid w:val="002E2416"/>
    <w:rsid w:val="002E4DE3"/>
    <w:rsid w:val="002E529E"/>
    <w:rsid w:val="002E545B"/>
    <w:rsid w:val="002E6133"/>
    <w:rsid w:val="002E64AA"/>
    <w:rsid w:val="002E6E52"/>
    <w:rsid w:val="002E79DE"/>
    <w:rsid w:val="002F0520"/>
    <w:rsid w:val="002F091B"/>
    <w:rsid w:val="002F136B"/>
    <w:rsid w:val="002F13A3"/>
    <w:rsid w:val="002F260F"/>
    <w:rsid w:val="002F2CF2"/>
    <w:rsid w:val="002F3EAA"/>
    <w:rsid w:val="002F42E5"/>
    <w:rsid w:val="002F542B"/>
    <w:rsid w:val="002F56F1"/>
    <w:rsid w:val="002F589E"/>
    <w:rsid w:val="002F6D74"/>
    <w:rsid w:val="002F740D"/>
    <w:rsid w:val="002F7B72"/>
    <w:rsid w:val="00300622"/>
    <w:rsid w:val="00300B26"/>
    <w:rsid w:val="00301D51"/>
    <w:rsid w:val="00302333"/>
    <w:rsid w:val="0030394E"/>
    <w:rsid w:val="00303998"/>
    <w:rsid w:val="003042AA"/>
    <w:rsid w:val="00304EB9"/>
    <w:rsid w:val="00307336"/>
    <w:rsid w:val="003104CE"/>
    <w:rsid w:val="00310CBC"/>
    <w:rsid w:val="0031239A"/>
    <w:rsid w:val="003124CF"/>
    <w:rsid w:val="00312C59"/>
    <w:rsid w:val="00312F50"/>
    <w:rsid w:val="003135DE"/>
    <w:rsid w:val="00314283"/>
    <w:rsid w:val="0031646C"/>
    <w:rsid w:val="00316621"/>
    <w:rsid w:val="00316C87"/>
    <w:rsid w:val="003171F2"/>
    <w:rsid w:val="00317427"/>
    <w:rsid w:val="0032003D"/>
    <w:rsid w:val="003201D6"/>
    <w:rsid w:val="003206B1"/>
    <w:rsid w:val="00320E87"/>
    <w:rsid w:val="00322F46"/>
    <w:rsid w:val="00323FF9"/>
    <w:rsid w:val="0032458D"/>
    <w:rsid w:val="00325023"/>
    <w:rsid w:val="0032628E"/>
    <w:rsid w:val="00326BFB"/>
    <w:rsid w:val="00326C94"/>
    <w:rsid w:val="00326EA8"/>
    <w:rsid w:val="00327316"/>
    <w:rsid w:val="00327B5C"/>
    <w:rsid w:val="00330611"/>
    <w:rsid w:val="003322AD"/>
    <w:rsid w:val="003323F9"/>
    <w:rsid w:val="00333B58"/>
    <w:rsid w:val="00333E20"/>
    <w:rsid w:val="0033540A"/>
    <w:rsid w:val="00335443"/>
    <w:rsid w:val="003359A0"/>
    <w:rsid w:val="003367A5"/>
    <w:rsid w:val="003372F2"/>
    <w:rsid w:val="00337CE2"/>
    <w:rsid w:val="003400BC"/>
    <w:rsid w:val="003409D1"/>
    <w:rsid w:val="0034123F"/>
    <w:rsid w:val="0034134B"/>
    <w:rsid w:val="00341895"/>
    <w:rsid w:val="003421BD"/>
    <w:rsid w:val="00342506"/>
    <w:rsid w:val="00342A64"/>
    <w:rsid w:val="00342CA2"/>
    <w:rsid w:val="0034304B"/>
    <w:rsid w:val="0034312E"/>
    <w:rsid w:val="00343174"/>
    <w:rsid w:val="003432DF"/>
    <w:rsid w:val="00343B5F"/>
    <w:rsid w:val="003446F7"/>
    <w:rsid w:val="00344AF5"/>
    <w:rsid w:val="00344B2D"/>
    <w:rsid w:val="00344BF6"/>
    <w:rsid w:val="003456BF"/>
    <w:rsid w:val="00345FA2"/>
    <w:rsid w:val="0034601A"/>
    <w:rsid w:val="00346768"/>
    <w:rsid w:val="00346789"/>
    <w:rsid w:val="003477DF"/>
    <w:rsid w:val="003500ED"/>
    <w:rsid w:val="00350324"/>
    <w:rsid w:val="003511F8"/>
    <w:rsid w:val="00351833"/>
    <w:rsid w:val="00351E63"/>
    <w:rsid w:val="00352124"/>
    <w:rsid w:val="0035275F"/>
    <w:rsid w:val="00353FC0"/>
    <w:rsid w:val="003547F6"/>
    <w:rsid w:val="00354870"/>
    <w:rsid w:val="003553C7"/>
    <w:rsid w:val="00355898"/>
    <w:rsid w:val="00355FC9"/>
    <w:rsid w:val="00357C48"/>
    <w:rsid w:val="00360349"/>
    <w:rsid w:val="00360F39"/>
    <w:rsid w:val="00361079"/>
    <w:rsid w:val="00363646"/>
    <w:rsid w:val="003643F9"/>
    <w:rsid w:val="0036455E"/>
    <w:rsid w:val="00364EEC"/>
    <w:rsid w:val="00365389"/>
    <w:rsid w:val="00365ABC"/>
    <w:rsid w:val="00365B57"/>
    <w:rsid w:val="00365E9B"/>
    <w:rsid w:val="003665F7"/>
    <w:rsid w:val="0036688D"/>
    <w:rsid w:val="00366F70"/>
    <w:rsid w:val="00367909"/>
    <w:rsid w:val="00370220"/>
    <w:rsid w:val="00370349"/>
    <w:rsid w:val="00370900"/>
    <w:rsid w:val="00371142"/>
    <w:rsid w:val="00371457"/>
    <w:rsid w:val="003715C5"/>
    <w:rsid w:val="00372633"/>
    <w:rsid w:val="003728DE"/>
    <w:rsid w:val="00372B3B"/>
    <w:rsid w:val="00373280"/>
    <w:rsid w:val="0037561A"/>
    <w:rsid w:val="00375A57"/>
    <w:rsid w:val="0037646E"/>
    <w:rsid w:val="00376EDE"/>
    <w:rsid w:val="00377B93"/>
    <w:rsid w:val="003801FD"/>
    <w:rsid w:val="003821A3"/>
    <w:rsid w:val="00383085"/>
    <w:rsid w:val="00383438"/>
    <w:rsid w:val="003838C7"/>
    <w:rsid w:val="00383CC7"/>
    <w:rsid w:val="00383F90"/>
    <w:rsid w:val="00385464"/>
    <w:rsid w:val="00386511"/>
    <w:rsid w:val="0038750C"/>
    <w:rsid w:val="00387CB5"/>
    <w:rsid w:val="00390D88"/>
    <w:rsid w:val="0039144D"/>
    <w:rsid w:val="00391962"/>
    <w:rsid w:val="00391A6B"/>
    <w:rsid w:val="00392D12"/>
    <w:rsid w:val="003931C1"/>
    <w:rsid w:val="003934E2"/>
    <w:rsid w:val="0039361E"/>
    <w:rsid w:val="0039452D"/>
    <w:rsid w:val="003945B5"/>
    <w:rsid w:val="00394D03"/>
    <w:rsid w:val="00394D12"/>
    <w:rsid w:val="00395654"/>
    <w:rsid w:val="00395A1D"/>
    <w:rsid w:val="00396084"/>
    <w:rsid w:val="00396A89"/>
    <w:rsid w:val="003978D7"/>
    <w:rsid w:val="003A03AE"/>
    <w:rsid w:val="003A1273"/>
    <w:rsid w:val="003A1B5D"/>
    <w:rsid w:val="003A26F1"/>
    <w:rsid w:val="003A2E30"/>
    <w:rsid w:val="003A41C0"/>
    <w:rsid w:val="003A4DD1"/>
    <w:rsid w:val="003A4EAF"/>
    <w:rsid w:val="003A5CD7"/>
    <w:rsid w:val="003A6320"/>
    <w:rsid w:val="003A684E"/>
    <w:rsid w:val="003A6B2E"/>
    <w:rsid w:val="003A7D1F"/>
    <w:rsid w:val="003B0204"/>
    <w:rsid w:val="003B0236"/>
    <w:rsid w:val="003B1331"/>
    <w:rsid w:val="003B1FEF"/>
    <w:rsid w:val="003B2074"/>
    <w:rsid w:val="003B2CEB"/>
    <w:rsid w:val="003B3765"/>
    <w:rsid w:val="003B3A56"/>
    <w:rsid w:val="003B3B64"/>
    <w:rsid w:val="003B4940"/>
    <w:rsid w:val="003B5150"/>
    <w:rsid w:val="003B5994"/>
    <w:rsid w:val="003B6762"/>
    <w:rsid w:val="003B6E9F"/>
    <w:rsid w:val="003B758A"/>
    <w:rsid w:val="003B75E2"/>
    <w:rsid w:val="003B7F9E"/>
    <w:rsid w:val="003C0AA6"/>
    <w:rsid w:val="003C21EB"/>
    <w:rsid w:val="003C3D35"/>
    <w:rsid w:val="003C3F64"/>
    <w:rsid w:val="003C4211"/>
    <w:rsid w:val="003C466B"/>
    <w:rsid w:val="003C46F4"/>
    <w:rsid w:val="003C4942"/>
    <w:rsid w:val="003C4E00"/>
    <w:rsid w:val="003C6F90"/>
    <w:rsid w:val="003C7B8B"/>
    <w:rsid w:val="003D114B"/>
    <w:rsid w:val="003D1548"/>
    <w:rsid w:val="003D20EC"/>
    <w:rsid w:val="003D29B7"/>
    <w:rsid w:val="003D2B3D"/>
    <w:rsid w:val="003D2F63"/>
    <w:rsid w:val="003D4BA3"/>
    <w:rsid w:val="003D5152"/>
    <w:rsid w:val="003D524A"/>
    <w:rsid w:val="003D557F"/>
    <w:rsid w:val="003D5BEC"/>
    <w:rsid w:val="003D5BFA"/>
    <w:rsid w:val="003D6688"/>
    <w:rsid w:val="003D6798"/>
    <w:rsid w:val="003D6EB1"/>
    <w:rsid w:val="003D79AF"/>
    <w:rsid w:val="003E011B"/>
    <w:rsid w:val="003E0F64"/>
    <w:rsid w:val="003E11D3"/>
    <w:rsid w:val="003E197A"/>
    <w:rsid w:val="003E1980"/>
    <w:rsid w:val="003E198E"/>
    <w:rsid w:val="003E1DEC"/>
    <w:rsid w:val="003E2D6A"/>
    <w:rsid w:val="003E3C0E"/>
    <w:rsid w:val="003E418D"/>
    <w:rsid w:val="003E4613"/>
    <w:rsid w:val="003E48F9"/>
    <w:rsid w:val="003E4A4C"/>
    <w:rsid w:val="003E5414"/>
    <w:rsid w:val="003E56F0"/>
    <w:rsid w:val="003E5CF9"/>
    <w:rsid w:val="003E604A"/>
    <w:rsid w:val="003E656D"/>
    <w:rsid w:val="003E760A"/>
    <w:rsid w:val="003F0946"/>
    <w:rsid w:val="003F0C3D"/>
    <w:rsid w:val="003F0E57"/>
    <w:rsid w:val="003F151E"/>
    <w:rsid w:val="003F17E7"/>
    <w:rsid w:val="003F2D93"/>
    <w:rsid w:val="003F34B9"/>
    <w:rsid w:val="003F45CE"/>
    <w:rsid w:val="003F47F5"/>
    <w:rsid w:val="003F48EB"/>
    <w:rsid w:val="003F58AC"/>
    <w:rsid w:val="003F5FF0"/>
    <w:rsid w:val="003F695C"/>
    <w:rsid w:val="003F71C8"/>
    <w:rsid w:val="003F7D09"/>
    <w:rsid w:val="004001A0"/>
    <w:rsid w:val="00400BEB"/>
    <w:rsid w:val="00400D7B"/>
    <w:rsid w:val="00401B3F"/>
    <w:rsid w:val="00402248"/>
    <w:rsid w:val="00402728"/>
    <w:rsid w:val="00402FA1"/>
    <w:rsid w:val="0040356F"/>
    <w:rsid w:val="00404891"/>
    <w:rsid w:val="00405016"/>
    <w:rsid w:val="00405267"/>
    <w:rsid w:val="00405817"/>
    <w:rsid w:val="00405AE1"/>
    <w:rsid w:val="0041050D"/>
    <w:rsid w:val="00410F12"/>
    <w:rsid w:val="0041152A"/>
    <w:rsid w:val="00411912"/>
    <w:rsid w:val="00411B33"/>
    <w:rsid w:val="004125A1"/>
    <w:rsid w:val="0041261F"/>
    <w:rsid w:val="004140D3"/>
    <w:rsid w:val="004140E5"/>
    <w:rsid w:val="004142FF"/>
    <w:rsid w:val="00414477"/>
    <w:rsid w:val="0041455D"/>
    <w:rsid w:val="00414896"/>
    <w:rsid w:val="00414AC0"/>
    <w:rsid w:val="00414C6B"/>
    <w:rsid w:val="00414DFF"/>
    <w:rsid w:val="004160E1"/>
    <w:rsid w:val="004166AF"/>
    <w:rsid w:val="00416C30"/>
    <w:rsid w:val="0042045C"/>
    <w:rsid w:val="00420BC9"/>
    <w:rsid w:val="004218D8"/>
    <w:rsid w:val="00421C04"/>
    <w:rsid w:val="004256D0"/>
    <w:rsid w:val="004256E0"/>
    <w:rsid w:val="0042585F"/>
    <w:rsid w:val="004262B0"/>
    <w:rsid w:val="00426FB1"/>
    <w:rsid w:val="004309A5"/>
    <w:rsid w:val="0043112C"/>
    <w:rsid w:val="00431647"/>
    <w:rsid w:val="00431861"/>
    <w:rsid w:val="0043347B"/>
    <w:rsid w:val="00433AB2"/>
    <w:rsid w:val="00433F57"/>
    <w:rsid w:val="00434A2D"/>
    <w:rsid w:val="00434D08"/>
    <w:rsid w:val="004356DD"/>
    <w:rsid w:val="00436419"/>
    <w:rsid w:val="00436694"/>
    <w:rsid w:val="00437AB2"/>
    <w:rsid w:val="00437FA6"/>
    <w:rsid w:val="0044101F"/>
    <w:rsid w:val="00441FFE"/>
    <w:rsid w:val="00442730"/>
    <w:rsid w:val="00442AD0"/>
    <w:rsid w:val="00442EAA"/>
    <w:rsid w:val="00443439"/>
    <w:rsid w:val="00443DBD"/>
    <w:rsid w:val="004444A1"/>
    <w:rsid w:val="00444AC7"/>
    <w:rsid w:val="00444CFC"/>
    <w:rsid w:val="00445E08"/>
    <w:rsid w:val="0044794A"/>
    <w:rsid w:val="0045044D"/>
    <w:rsid w:val="0045074F"/>
    <w:rsid w:val="0045081B"/>
    <w:rsid w:val="0045085B"/>
    <w:rsid w:val="00450CD5"/>
    <w:rsid w:val="00451039"/>
    <w:rsid w:val="004510C4"/>
    <w:rsid w:val="00451DAB"/>
    <w:rsid w:val="0045233B"/>
    <w:rsid w:val="00453AB3"/>
    <w:rsid w:val="00453F42"/>
    <w:rsid w:val="00453F48"/>
    <w:rsid w:val="004540A0"/>
    <w:rsid w:val="0045421C"/>
    <w:rsid w:val="00455207"/>
    <w:rsid w:val="00455559"/>
    <w:rsid w:val="004557C8"/>
    <w:rsid w:val="00455E0B"/>
    <w:rsid w:val="00456824"/>
    <w:rsid w:val="00456FA8"/>
    <w:rsid w:val="0045729E"/>
    <w:rsid w:val="0045756D"/>
    <w:rsid w:val="0045758D"/>
    <w:rsid w:val="00460146"/>
    <w:rsid w:val="0046045D"/>
    <w:rsid w:val="004605E1"/>
    <w:rsid w:val="00460DFA"/>
    <w:rsid w:val="00461CFE"/>
    <w:rsid w:val="004621CE"/>
    <w:rsid w:val="00462251"/>
    <w:rsid w:val="004622F7"/>
    <w:rsid w:val="0046313E"/>
    <w:rsid w:val="00463F63"/>
    <w:rsid w:val="00463FF4"/>
    <w:rsid w:val="004641D9"/>
    <w:rsid w:val="0046465F"/>
    <w:rsid w:val="004668B4"/>
    <w:rsid w:val="00466AC4"/>
    <w:rsid w:val="00467129"/>
    <w:rsid w:val="004729B3"/>
    <w:rsid w:val="00473173"/>
    <w:rsid w:val="00473579"/>
    <w:rsid w:val="00473D75"/>
    <w:rsid w:val="004742F6"/>
    <w:rsid w:val="00475186"/>
    <w:rsid w:val="00476923"/>
    <w:rsid w:val="004778E0"/>
    <w:rsid w:val="00477CB3"/>
    <w:rsid w:val="004800FA"/>
    <w:rsid w:val="00480D2A"/>
    <w:rsid w:val="00481D8E"/>
    <w:rsid w:val="00482574"/>
    <w:rsid w:val="004831EB"/>
    <w:rsid w:val="00483450"/>
    <w:rsid w:val="00483930"/>
    <w:rsid w:val="004844C4"/>
    <w:rsid w:val="00484C12"/>
    <w:rsid w:val="0048561C"/>
    <w:rsid w:val="00485AB0"/>
    <w:rsid w:val="004860E6"/>
    <w:rsid w:val="00486287"/>
    <w:rsid w:val="00490B53"/>
    <w:rsid w:val="00491667"/>
    <w:rsid w:val="00491DF6"/>
    <w:rsid w:val="004930E7"/>
    <w:rsid w:val="0049364E"/>
    <w:rsid w:val="00495F83"/>
    <w:rsid w:val="00495FD7"/>
    <w:rsid w:val="004960C7"/>
    <w:rsid w:val="004977D6"/>
    <w:rsid w:val="004A0181"/>
    <w:rsid w:val="004A0FBA"/>
    <w:rsid w:val="004A1898"/>
    <w:rsid w:val="004A1AD7"/>
    <w:rsid w:val="004A1BDA"/>
    <w:rsid w:val="004A262A"/>
    <w:rsid w:val="004A2E79"/>
    <w:rsid w:val="004A33F9"/>
    <w:rsid w:val="004A38E9"/>
    <w:rsid w:val="004A4220"/>
    <w:rsid w:val="004A498E"/>
    <w:rsid w:val="004A4C87"/>
    <w:rsid w:val="004A5D54"/>
    <w:rsid w:val="004A64A7"/>
    <w:rsid w:val="004A698F"/>
    <w:rsid w:val="004A6F9E"/>
    <w:rsid w:val="004A7A17"/>
    <w:rsid w:val="004B03B0"/>
    <w:rsid w:val="004B08C3"/>
    <w:rsid w:val="004B0B8F"/>
    <w:rsid w:val="004B10C8"/>
    <w:rsid w:val="004B169A"/>
    <w:rsid w:val="004B3AA5"/>
    <w:rsid w:val="004B40BD"/>
    <w:rsid w:val="004B4342"/>
    <w:rsid w:val="004B5455"/>
    <w:rsid w:val="004B5562"/>
    <w:rsid w:val="004B59CC"/>
    <w:rsid w:val="004B6289"/>
    <w:rsid w:val="004B64F0"/>
    <w:rsid w:val="004C12D0"/>
    <w:rsid w:val="004C2464"/>
    <w:rsid w:val="004C280C"/>
    <w:rsid w:val="004C3CF5"/>
    <w:rsid w:val="004C4C04"/>
    <w:rsid w:val="004C4C51"/>
    <w:rsid w:val="004C4CC4"/>
    <w:rsid w:val="004C5740"/>
    <w:rsid w:val="004C6EAB"/>
    <w:rsid w:val="004C6FB8"/>
    <w:rsid w:val="004C70C4"/>
    <w:rsid w:val="004C7867"/>
    <w:rsid w:val="004C7FE0"/>
    <w:rsid w:val="004D1F3B"/>
    <w:rsid w:val="004D2C2D"/>
    <w:rsid w:val="004D3064"/>
    <w:rsid w:val="004D38A2"/>
    <w:rsid w:val="004D3C7F"/>
    <w:rsid w:val="004D4379"/>
    <w:rsid w:val="004D549E"/>
    <w:rsid w:val="004D57F3"/>
    <w:rsid w:val="004D58FF"/>
    <w:rsid w:val="004D5D4B"/>
    <w:rsid w:val="004D63F9"/>
    <w:rsid w:val="004D6CD5"/>
    <w:rsid w:val="004D72CB"/>
    <w:rsid w:val="004D7661"/>
    <w:rsid w:val="004D77E0"/>
    <w:rsid w:val="004E05B4"/>
    <w:rsid w:val="004E0889"/>
    <w:rsid w:val="004E0B1A"/>
    <w:rsid w:val="004E0CA3"/>
    <w:rsid w:val="004E1CBF"/>
    <w:rsid w:val="004E36B9"/>
    <w:rsid w:val="004E6281"/>
    <w:rsid w:val="004E62CD"/>
    <w:rsid w:val="004E75D1"/>
    <w:rsid w:val="004E77C6"/>
    <w:rsid w:val="004F0AB9"/>
    <w:rsid w:val="004F335D"/>
    <w:rsid w:val="004F49A8"/>
    <w:rsid w:val="004F54AC"/>
    <w:rsid w:val="004F79A8"/>
    <w:rsid w:val="004F7D3B"/>
    <w:rsid w:val="005005DC"/>
    <w:rsid w:val="00500D29"/>
    <w:rsid w:val="00500F0A"/>
    <w:rsid w:val="0050100C"/>
    <w:rsid w:val="00501369"/>
    <w:rsid w:val="005019CD"/>
    <w:rsid w:val="005020F9"/>
    <w:rsid w:val="005021C3"/>
    <w:rsid w:val="005026B5"/>
    <w:rsid w:val="0050279A"/>
    <w:rsid w:val="00504406"/>
    <w:rsid w:val="00504E2B"/>
    <w:rsid w:val="005054FA"/>
    <w:rsid w:val="00506406"/>
    <w:rsid w:val="005064AA"/>
    <w:rsid w:val="0050727D"/>
    <w:rsid w:val="00507628"/>
    <w:rsid w:val="005076D6"/>
    <w:rsid w:val="00507ABE"/>
    <w:rsid w:val="00507DBB"/>
    <w:rsid w:val="00510135"/>
    <w:rsid w:val="00510951"/>
    <w:rsid w:val="0051137A"/>
    <w:rsid w:val="005114B6"/>
    <w:rsid w:val="00511689"/>
    <w:rsid w:val="00511F2C"/>
    <w:rsid w:val="005125F6"/>
    <w:rsid w:val="00512972"/>
    <w:rsid w:val="00512D79"/>
    <w:rsid w:val="00512E74"/>
    <w:rsid w:val="005138A3"/>
    <w:rsid w:val="005139AB"/>
    <w:rsid w:val="005141B3"/>
    <w:rsid w:val="005164DB"/>
    <w:rsid w:val="00516FCD"/>
    <w:rsid w:val="00517392"/>
    <w:rsid w:val="00517E1E"/>
    <w:rsid w:val="00517EB9"/>
    <w:rsid w:val="00520231"/>
    <w:rsid w:val="00520B84"/>
    <w:rsid w:val="00521E3F"/>
    <w:rsid w:val="005223AA"/>
    <w:rsid w:val="005234E6"/>
    <w:rsid w:val="00523774"/>
    <w:rsid w:val="00523C48"/>
    <w:rsid w:val="00523E0A"/>
    <w:rsid w:val="0052517B"/>
    <w:rsid w:val="0052519C"/>
    <w:rsid w:val="00525251"/>
    <w:rsid w:val="00525F3E"/>
    <w:rsid w:val="005265E8"/>
    <w:rsid w:val="00527356"/>
    <w:rsid w:val="005273B3"/>
    <w:rsid w:val="00527C01"/>
    <w:rsid w:val="00527C25"/>
    <w:rsid w:val="00530423"/>
    <w:rsid w:val="005322CF"/>
    <w:rsid w:val="005335C4"/>
    <w:rsid w:val="00533797"/>
    <w:rsid w:val="00534278"/>
    <w:rsid w:val="0053431E"/>
    <w:rsid w:val="00535B2E"/>
    <w:rsid w:val="005371DF"/>
    <w:rsid w:val="00537A8A"/>
    <w:rsid w:val="00537B21"/>
    <w:rsid w:val="00540CD8"/>
    <w:rsid w:val="00541150"/>
    <w:rsid w:val="005428DA"/>
    <w:rsid w:val="005435E0"/>
    <w:rsid w:val="0054364F"/>
    <w:rsid w:val="00543F41"/>
    <w:rsid w:val="00543F9C"/>
    <w:rsid w:val="005442EA"/>
    <w:rsid w:val="00545D78"/>
    <w:rsid w:val="00545F0A"/>
    <w:rsid w:val="005466A7"/>
    <w:rsid w:val="00547B17"/>
    <w:rsid w:val="00551671"/>
    <w:rsid w:val="00551998"/>
    <w:rsid w:val="00551AF3"/>
    <w:rsid w:val="0055426A"/>
    <w:rsid w:val="00554B06"/>
    <w:rsid w:val="00554B98"/>
    <w:rsid w:val="00555293"/>
    <w:rsid w:val="00556168"/>
    <w:rsid w:val="00556DE1"/>
    <w:rsid w:val="005627BF"/>
    <w:rsid w:val="005628BB"/>
    <w:rsid w:val="00563465"/>
    <w:rsid w:val="0056417C"/>
    <w:rsid w:val="0056600B"/>
    <w:rsid w:val="005667A6"/>
    <w:rsid w:val="00567487"/>
    <w:rsid w:val="00567756"/>
    <w:rsid w:val="00567C6D"/>
    <w:rsid w:val="005707B6"/>
    <w:rsid w:val="00570D69"/>
    <w:rsid w:val="005712BB"/>
    <w:rsid w:val="005718B4"/>
    <w:rsid w:val="005728D8"/>
    <w:rsid w:val="00572D5D"/>
    <w:rsid w:val="00572DBD"/>
    <w:rsid w:val="00575AAD"/>
    <w:rsid w:val="00576886"/>
    <w:rsid w:val="00577488"/>
    <w:rsid w:val="0057799A"/>
    <w:rsid w:val="00577D90"/>
    <w:rsid w:val="005804BC"/>
    <w:rsid w:val="00582542"/>
    <w:rsid w:val="005825CD"/>
    <w:rsid w:val="005837EB"/>
    <w:rsid w:val="005838CC"/>
    <w:rsid w:val="00584FED"/>
    <w:rsid w:val="00585B2B"/>
    <w:rsid w:val="00585B86"/>
    <w:rsid w:val="005861C8"/>
    <w:rsid w:val="00586E10"/>
    <w:rsid w:val="00586FC9"/>
    <w:rsid w:val="00587E31"/>
    <w:rsid w:val="00587EEC"/>
    <w:rsid w:val="00591047"/>
    <w:rsid w:val="00591765"/>
    <w:rsid w:val="00591EDA"/>
    <w:rsid w:val="005927FA"/>
    <w:rsid w:val="0059320E"/>
    <w:rsid w:val="0059434F"/>
    <w:rsid w:val="005950DC"/>
    <w:rsid w:val="00595DE2"/>
    <w:rsid w:val="00596816"/>
    <w:rsid w:val="005968BD"/>
    <w:rsid w:val="00596A11"/>
    <w:rsid w:val="00596BE9"/>
    <w:rsid w:val="00597A63"/>
    <w:rsid w:val="00597D9B"/>
    <w:rsid w:val="00597EC2"/>
    <w:rsid w:val="00597ED2"/>
    <w:rsid w:val="005A0323"/>
    <w:rsid w:val="005A06A8"/>
    <w:rsid w:val="005A070B"/>
    <w:rsid w:val="005A1176"/>
    <w:rsid w:val="005A13C2"/>
    <w:rsid w:val="005A2870"/>
    <w:rsid w:val="005A2B13"/>
    <w:rsid w:val="005A6F4F"/>
    <w:rsid w:val="005A72C0"/>
    <w:rsid w:val="005B0F67"/>
    <w:rsid w:val="005B1925"/>
    <w:rsid w:val="005B1954"/>
    <w:rsid w:val="005B283C"/>
    <w:rsid w:val="005B3155"/>
    <w:rsid w:val="005B38CA"/>
    <w:rsid w:val="005B57D5"/>
    <w:rsid w:val="005B5854"/>
    <w:rsid w:val="005B5885"/>
    <w:rsid w:val="005B5A0B"/>
    <w:rsid w:val="005B6D78"/>
    <w:rsid w:val="005B6DF8"/>
    <w:rsid w:val="005C0091"/>
    <w:rsid w:val="005C0092"/>
    <w:rsid w:val="005C0BE7"/>
    <w:rsid w:val="005C0FCB"/>
    <w:rsid w:val="005C11A6"/>
    <w:rsid w:val="005C1ED0"/>
    <w:rsid w:val="005C1ED7"/>
    <w:rsid w:val="005C5856"/>
    <w:rsid w:val="005C6658"/>
    <w:rsid w:val="005C7271"/>
    <w:rsid w:val="005D04EC"/>
    <w:rsid w:val="005D0639"/>
    <w:rsid w:val="005D1797"/>
    <w:rsid w:val="005D1F7D"/>
    <w:rsid w:val="005D1FA2"/>
    <w:rsid w:val="005D27E0"/>
    <w:rsid w:val="005D3017"/>
    <w:rsid w:val="005D32A9"/>
    <w:rsid w:val="005D3BC3"/>
    <w:rsid w:val="005D3C13"/>
    <w:rsid w:val="005D3C65"/>
    <w:rsid w:val="005D4693"/>
    <w:rsid w:val="005D46C6"/>
    <w:rsid w:val="005D4EA5"/>
    <w:rsid w:val="005D4F47"/>
    <w:rsid w:val="005D5607"/>
    <w:rsid w:val="005D5BBC"/>
    <w:rsid w:val="005E0312"/>
    <w:rsid w:val="005E0513"/>
    <w:rsid w:val="005E135D"/>
    <w:rsid w:val="005E143B"/>
    <w:rsid w:val="005E1898"/>
    <w:rsid w:val="005E1B42"/>
    <w:rsid w:val="005E28D3"/>
    <w:rsid w:val="005E37BE"/>
    <w:rsid w:val="005E4FE1"/>
    <w:rsid w:val="005E54CE"/>
    <w:rsid w:val="005E632A"/>
    <w:rsid w:val="005E6C52"/>
    <w:rsid w:val="005E6D09"/>
    <w:rsid w:val="005E7BA3"/>
    <w:rsid w:val="005E7E7A"/>
    <w:rsid w:val="005F0291"/>
    <w:rsid w:val="005F0464"/>
    <w:rsid w:val="005F063C"/>
    <w:rsid w:val="005F0929"/>
    <w:rsid w:val="005F0E5D"/>
    <w:rsid w:val="005F153D"/>
    <w:rsid w:val="005F23D2"/>
    <w:rsid w:val="005F241D"/>
    <w:rsid w:val="005F254D"/>
    <w:rsid w:val="005F2FA0"/>
    <w:rsid w:val="005F321A"/>
    <w:rsid w:val="005F3D23"/>
    <w:rsid w:val="005F3FE8"/>
    <w:rsid w:val="005F4730"/>
    <w:rsid w:val="005F4F47"/>
    <w:rsid w:val="005F5238"/>
    <w:rsid w:val="005F5AA0"/>
    <w:rsid w:val="005F62A8"/>
    <w:rsid w:val="005F7811"/>
    <w:rsid w:val="005F7C9D"/>
    <w:rsid w:val="005F7D96"/>
    <w:rsid w:val="00600F9E"/>
    <w:rsid w:val="006010BE"/>
    <w:rsid w:val="0060259B"/>
    <w:rsid w:val="006035C4"/>
    <w:rsid w:val="00603C09"/>
    <w:rsid w:val="00603D0A"/>
    <w:rsid w:val="00604553"/>
    <w:rsid w:val="006045A0"/>
    <w:rsid w:val="00604875"/>
    <w:rsid w:val="006048A3"/>
    <w:rsid w:val="00604D9F"/>
    <w:rsid w:val="00604F15"/>
    <w:rsid w:val="006052DD"/>
    <w:rsid w:val="0060604F"/>
    <w:rsid w:val="00606149"/>
    <w:rsid w:val="006068E3"/>
    <w:rsid w:val="00607051"/>
    <w:rsid w:val="00607876"/>
    <w:rsid w:val="00610C63"/>
    <w:rsid w:val="006116DD"/>
    <w:rsid w:val="00612035"/>
    <w:rsid w:val="00612B68"/>
    <w:rsid w:val="006136F3"/>
    <w:rsid w:val="006141C7"/>
    <w:rsid w:val="006146E0"/>
    <w:rsid w:val="0061480C"/>
    <w:rsid w:val="00614A18"/>
    <w:rsid w:val="00615055"/>
    <w:rsid w:val="00615417"/>
    <w:rsid w:val="00616A62"/>
    <w:rsid w:val="00617041"/>
    <w:rsid w:val="006173AE"/>
    <w:rsid w:val="0061790C"/>
    <w:rsid w:val="00617F80"/>
    <w:rsid w:val="00617FEA"/>
    <w:rsid w:val="00620B5B"/>
    <w:rsid w:val="00620E6D"/>
    <w:rsid w:val="0062222E"/>
    <w:rsid w:val="0062254E"/>
    <w:rsid w:val="0062268B"/>
    <w:rsid w:val="006239C3"/>
    <w:rsid w:val="00623E4D"/>
    <w:rsid w:val="00624120"/>
    <w:rsid w:val="00624BE5"/>
    <w:rsid w:val="00625C23"/>
    <w:rsid w:val="00625EE0"/>
    <w:rsid w:val="00626267"/>
    <w:rsid w:val="0062645E"/>
    <w:rsid w:val="00626BDB"/>
    <w:rsid w:val="00626F0B"/>
    <w:rsid w:val="00627AF3"/>
    <w:rsid w:val="00627D07"/>
    <w:rsid w:val="00627DDD"/>
    <w:rsid w:val="00630897"/>
    <w:rsid w:val="00630CC5"/>
    <w:rsid w:val="00630F8F"/>
    <w:rsid w:val="00631017"/>
    <w:rsid w:val="00631C8F"/>
    <w:rsid w:val="00632E3E"/>
    <w:rsid w:val="00632F20"/>
    <w:rsid w:val="006344FC"/>
    <w:rsid w:val="00634758"/>
    <w:rsid w:val="006347DA"/>
    <w:rsid w:val="006349A8"/>
    <w:rsid w:val="00635C76"/>
    <w:rsid w:val="00635FC1"/>
    <w:rsid w:val="00635FE4"/>
    <w:rsid w:val="00636980"/>
    <w:rsid w:val="00636B7C"/>
    <w:rsid w:val="00636BB1"/>
    <w:rsid w:val="00636BB5"/>
    <w:rsid w:val="00637A3F"/>
    <w:rsid w:val="00640882"/>
    <w:rsid w:val="00640901"/>
    <w:rsid w:val="00641A69"/>
    <w:rsid w:val="00642ED2"/>
    <w:rsid w:val="0064311F"/>
    <w:rsid w:val="006431E8"/>
    <w:rsid w:val="00643979"/>
    <w:rsid w:val="00643A6E"/>
    <w:rsid w:val="00644FB5"/>
    <w:rsid w:val="006451E2"/>
    <w:rsid w:val="00645A92"/>
    <w:rsid w:val="00645ACB"/>
    <w:rsid w:val="00645BEC"/>
    <w:rsid w:val="00645DF0"/>
    <w:rsid w:val="00645E80"/>
    <w:rsid w:val="00647430"/>
    <w:rsid w:val="00647642"/>
    <w:rsid w:val="00650665"/>
    <w:rsid w:val="00651991"/>
    <w:rsid w:val="006527C2"/>
    <w:rsid w:val="00652B89"/>
    <w:rsid w:val="0065326B"/>
    <w:rsid w:val="00653812"/>
    <w:rsid w:val="006561C8"/>
    <w:rsid w:val="00656431"/>
    <w:rsid w:val="00656A83"/>
    <w:rsid w:val="006603D9"/>
    <w:rsid w:val="00660950"/>
    <w:rsid w:val="00660E23"/>
    <w:rsid w:val="00660F7B"/>
    <w:rsid w:val="00661ABE"/>
    <w:rsid w:val="006631CD"/>
    <w:rsid w:val="00663CD8"/>
    <w:rsid w:val="00664350"/>
    <w:rsid w:val="00664380"/>
    <w:rsid w:val="00665D0B"/>
    <w:rsid w:val="00667261"/>
    <w:rsid w:val="006672A6"/>
    <w:rsid w:val="00667945"/>
    <w:rsid w:val="00667E85"/>
    <w:rsid w:val="00667E9D"/>
    <w:rsid w:val="00667FA5"/>
    <w:rsid w:val="00670C27"/>
    <w:rsid w:val="00670D03"/>
    <w:rsid w:val="006715B8"/>
    <w:rsid w:val="00672257"/>
    <w:rsid w:val="00672664"/>
    <w:rsid w:val="0067369A"/>
    <w:rsid w:val="00673862"/>
    <w:rsid w:val="00673D9F"/>
    <w:rsid w:val="006741E9"/>
    <w:rsid w:val="0067440C"/>
    <w:rsid w:val="0067464E"/>
    <w:rsid w:val="006747CA"/>
    <w:rsid w:val="0067532F"/>
    <w:rsid w:val="006758C9"/>
    <w:rsid w:val="00675C65"/>
    <w:rsid w:val="00675EE7"/>
    <w:rsid w:val="00676A14"/>
    <w:rsid w:val="006826DC"/>
    <w:rsid w:val="006827DA"/>
    <w:rsid w:val="0068293E"/>
    <w:rsid w:val="006829D2"/>
    <w:rsid w:val="006835E0"/>
    <w:rsid w:val="006836B5"/>
    <w:rsid w:val="006839B2"/>
    <w:rsid w:val="0068479F"/>
    <w:rsid w:val="006847D1"/>
    <w:rsid w:val="00684B1F"/>
    <w:rsid w:val="0068587F"/>
    <w:rsid w:val="00685D40"/>
    <w:rsid w:val="00686E10"/>
    <w:rsid w:val="006872A4"/>
    <w:rsid w:val="00687986"/>
    <w:rsid w:val="00687AF7"/>
    <w:rsid w:val="0069018C"/>
    <w:rsid w:val="00690194"/>
    <w:rsid w:val="00690730"/>
    <w:rsid w:val="00691C7D"/>
    <w:rsid w:val="00691D3A"/>
    <w:rsid w:val="00691DCE"/>
    <w:rsid w:val="006921DC"/>
    <w:rsid w:val="006941C0"/>
    <w:rsid w:val="00696931"/>
    <w:rsid w:val="00696A77"/>
    <w:rsid w:val="00697418"/>
    <w:rsid w:val="00697743"/>
    <w:rsid w:val="006A01B2"/>
    <w:rsid w:val="006A055F"/>
    <w:rsid w:val="006A0AA2"/>
    <w:rsid w:val="006A165F"/>
    <w:rsid w:val="006A2345"/>
    <w:rsid w:val="006A278F"/>
    <w:rsid w:val="006A4F55"/>
    <w:rsid w:val="006A539A"/>
    <w:rsid w:val="006A58DC"/>
    <w:rsid w:val="006A5D35"/>
    <w:rsid w:val="006A5D69"/>
    <w:rsid w:val="006A6060"/>
    <w:rsid w:val="006A6215"/>
    <w:rsid w:val="006A67D0"/>
    <w:rsid w:val="006A690D"/>
    <w:rsid w:val="006A74B3"/>
    <w:rsid w:val="006A7DBB"/>
    <w:rsid w:val="006B0CAC"/>
    <w:rsid w:val="006B1667"/>
    <w:rsid w:val="006B1678"/>
    <w:rsid w:val="006B2F4D"/>
    <w:rsid w:val="006B3B85"/>
    <w:rsid w:val="006B5A02"/>
    <w:rsid w:val="006B65B1"/>
    <w:rsid w:val="006B65B6"/>
    <w:rsid w:val="006B6C87"/>
    <w:rsid w:val="006C0858"/>
    <w:rsid w:val="006C129E"/>
    <w:rsid w:val="006C1326"/>
    <w:rsid w:val="006C171F"/>
    <w:rsid w:val="006C2025"/>
    <w:rsid w:val="006C6286"/>
    <w:rsid w:val="006C6298"/>
    <w:rsid w:val="006C64A6"/>
    <w:rsid w:val="006C6C4A"/>
    <w:rsid w:val="006D0411"/>
    <w:rsid w:val="006D083B"/>
    <w:rsid w:val="006D089F"/>
    <w:rsid w:val="006D0E29"/>
    <w:rsid w:val="006D14FA"/>
    <w:rsid w:val="006D1BA9"/>
    <w:rsid w:val="006D1F48"/>
    <w:rsid w:val="006D2081"/>
    <w:rsid w:val="006D2235"/>
    <w:rsid w:val="006D22E6"/>
    <w:rsid w:val="006D2D84"/>
    <w:rsid w:val="006D35E7"/>
    <w:rsid w:val="006D3AFE"/>
    <w:rsid w:val="006D441D"/>
    <w:rsid w:val="006D4DF7"/>
    <w:rsid w:val="006D72FC"/>
    <w:rsid w:val="006D7689"/>
    <w:rsid w:val="006D76F0"/>
    <w:rsid w:val="006E010F"/>
    <w:rsid w:val="006E025B"/>
    <w:rsid w:val="006E125B"/>
    <w:rsid w:val="006E1307"/>
    <w:rsid w:val="006E17F1"/>
    <w:rsid w:val="006E191B"/>
    <w:rsid w:val="006E26BB"/>
    <w:rsid w:val="006E2D79"/>
    <w:rsid w:val="006E2F91"/>
    <w:rsid w:val="006E3589"/>
    <w:rsid w:val="006E48AB"/>
    <w:rsid w:val="006E53DA"/>
    <w:rsid w:val="006E57B7"/>
    <w:rsid w:val="006E6180"/>
    <w:rsid w:val="006E74AA"/>
    <w:rsid w:val="006F2A87"/>
    <w:rsid w:val="006F319A"/>
    <w:rsid w:val="006F32A6"/>
    <w:rsid w:val="006F34D9"/>
    <w:rsid w:val="006F422B"/>
    <w:rsid w:val="006F527E"/>
    <w:rsid w:val="006F5E73"/>
    <w:rsid w:val="006F6A30"/>
    <w:rsid w:val="006F6A40"/>
    <w:rsid w:val="006F6F1C"/>
    <w:rsid w:val="006F7E90"/>
    <w:rsid w:val="0070056D"/>
    <w:rsid w:val="00702169"/>
    <w:rsid w:val="00702923"/>
    <w:rsid w:val="00703003"/>
    <w:rsid w:val="007046A7"/>
    <w:rsid w:val="0070526C"/>
    <w:rsid w:val="007061BD"/>
    <w:rsid w:val="00706D0C"/>
    <w:rsid w:val="007075CD"/>
    <w:rsid w:val="007111B8"/>
    <w:rsid w:val="007114CE"/>
    <w:rsid w:val="00712E27"/>
    <w:rsid w:val="00713BCB"/>
    <w:rsid w:val="00714088"/>
    <w:rsid w:val="007141DB"/>
    <w:rsid w:val="007143E4"/>
    <w:rsid w:val="00714EFD"/>
    <w:rsid w:val="00716B20"/>
    <w:rsid w:val="0071717E"/>
    <w:rsid w:val="0071767B"/>
    <w:rsid w:val="00720A41"/>
    <w:rsid w:val="0072109E"/>
    <w:rsid w:val="0072145D"/>
    <w:rsid w:val="00721661"/>
    <w:rsid w:val="007216C4"/>
    <w:rsid w:val="00721973"/>
    <w:rsid w:val="00723394"/>
    <w:rsid w:val="00723D22"/>
    <w:rsid w:val="007247EF"/>
    <w:rsid w:val="007250A7"/>
    <w:rsid w:val="00725198"/>
    <w:rsid w:val="00725A9C"/>
    <w:rsid w:val="00726043"/>
    <w:rsid w:val="00726F55"/>
    <w:rsid w:val="00727A31"/>
    <w:rsid w:val="00730C09"/>
    <w:rsid w:val="0073175D"/>
    <w:rsid w:val="007317B1"/>
    <w:rsid w:val="00731810"/>
    <w:rsid w:val="00733C0F"/>
    <w:rsid w:val="007350AD"/>
    <w:rsid w:val="00735274"/>
    <w:rsid w:val="00736354"/>
    <w:rsid w:val="007363AA"/>
    <w:rsid w:val="00736F6C"/>
    <w:rsid w:val="00737A75"/>
    <w:rsid w:val="00737B24"/>
    <w:rsid w:val="0074148D"/>
    <w:rsid w:val="007415F4"/>
    <w:rsid w:val="00742E1F"/>
    <w:rsid w:val="0074356D"/>
    <w:rsid w:val="0074603D"/>
    <w:rsid w:val="007466C4"/>
    <w:rsid w:val="00746E53"/>
    <w:rsid w:val="00747A02"/>
    <w:rsid w:val="00747C4A"/>
    <w:rsid w:val="007507F1"/>
    <w:rsid w:val="00750BD1"/>
    <w:rsid w:val="00750FCF"/>
    <w:rsid w:val="0075270C"/>
    <w:rsid w:val="00752CCA"/>
    <w:rsid w:val="00752D8E"/>
    <w:rsid w:val="0075309B"/>
    <w:rsid w:val="007537B4"/>
    <w:rsid w:val="00754751"/>
    <w:rsid w:val="0075516D"/>
    <w:rsid w:val="00755C75"/>
    <w:rsid w:val="00756BE9"/>
    <w:rsid w:val="007614D2"/>
    <w:rsid w:val="007616B8"/>
    <w:rsid w:val="00761E45"/>
    <w:rsid w:val="0076234A"/>
    <w:rsid w:val="007623D4"/>
    <w:rsid w:val="00762633"/>
    <w:rsid w:val="007628EC"/>
    <w:rsid w:val="00762AF9"/>
    <w:rsid w:val="00763029"/>
    <w:rsid w:val="00764A11"/>
    <w:rsid w:val="007650E5"/>
    <w:rsid w:val="0076592D"/>
    <w:rsid w:val="007659F5"/>
    <w:rsid w:val="00766046"/>
    <w:rsid w:val="0076609A"/>
    <w:rsid w:val="0076790C"/>
    <w:rsid w:val="00767CB8"/>
    <w:rsid w:val="00770E3A"/>
    <w:rsid w:val="00771138"/>
    <w:rsid w:val="00771438"/>
    <w:rsid w:val="007719FA"/>
    <w:rsid w:val="00772465"/>
    <w:rsid w:val="00772E25"/>
    <w:rsid w:val="00775DAC"/>
    <w:rsid w:val="007762CE"/>
    <w:rsid w:val="00776494"/>
    <w:rsid w:val="007765D8"/>
    <w:rsid w:val="0077759B"/>
    <w:rsid w:val="00780B10"/>
    <w:rsid w:val="00781613"/>
    <w:rsid w:val="00781D10"/>
    <w:rsid w:val="007825B5"/>
    <w:rsid w:val="007858B4"/>
    <w:rsid w:val="00785EFE"/>
    <w:rsid w:val="00786715"/>
    <w:rsid w:val="00786902"/>
    <w:rsid w:val="00787634"/>
    <w:rsid w:val="007879A0"/>
    <w:rsid w:val="00790438"/>
    <w:rsid w:val="00790FAA"/>
    <w:rsid w:val="007922D0"/>
    <w:rsid w:val="0079251A"/>
    <w:rsid w:val="00792FA8"/>
    <w:rsid w:val="00793013"/>
    <w:rsid w:val="00793160"/>
    <w:rsid w:val="007940B9"/>
    <w:rsid w:val="00794121"/>
    <w:rsid w:val="00794264"/>
    <w:rsid w:val="00794884"/>
    <w:rsid w:val="00794978"/>
    <w:rsid w:val="00795808"/>
    <w:rsid w:val="00795B1F"/>
    <w:rsid w:val="00795B85"/>
    <w:rsid w:val="00797E42"/>
    <w:rsid w:val="007A130A"/>
    <w:rsid w:val="007A17BC"/>
    <w:rsid w:val="007A1A42"/>
    <w:rsid w:val="007A2714"/>
    <w:rsid w:val="007A27A2"/>
    <w:rsid w:val="007A4A65"/>
    <w:rsid w:val="007A4D6F"/>
    <w:rsid w:val="007A691A"/>
    <w:rsid w:val="007A7319"/>
    <w:rsid w:val="007A735C"/>
    <w:rsid w:val="007A7578"/>
    <w:rsid w:val="007B0C7C"/>
    <w:rsid w:val="007B13D8"/>
    <w:rsid w:val="007B15F3"/>
    <w:rsid w:val="007B1612"/>
    <w:rsid w:val="007B167E"/>
    <w:rsid w:val="007B1B02"/>
    <w:rsid w:val="007B260D"/>
    <w:rsid w:val="007B2C7E"/>
    <w:rsid w:val="007B3392"/>
    <w:rsid w:val="007B394B"/>
    <w:rsid w:val="007B4E28"/>
    <w:rsid w:val="007B53F0"/>
    <w:rsid w:val="007B561E"/>
    <w:rsid w:val="007B5B40"/>
    <w:rsid w:val="007B63FA"/>
    <w:rsid w:val="007B69EA"/>
    <w:rsid w:val="007B6DA5"/>
    <w:rsid w:val="007C02CD"/>
    <w:rsid w:val="007C0755"/>
    <w:rsid w:val="007C0949"/>
    <w:rsid w:val="007C1150"/>
    <w:rsid w:val="007C1528"/>
    <w:rsid w:val="007C1582"/>
    <w:rsid w:val="007C16D7"/>
    <w:rsid w:val="007C2195"/>
    <w:rsid w:val="007C2C67"/>
    <w:rsid w:val="007C2E77"/>
    <w:rsid w:val="007C3476"/>
    <w:rsid w:val="007C3C36"/>
    <w:rsid w:val="007C3FB8"/>
    <w:rsid w:val="007C4226"/>
    <w:rsid w:val="007C49E2"/>
    <w:rsid w:val="007C5562"/>
    <w:rsid w:val="007C570B"/>
    <w:rsid w:val="007C5802"/>
    <w:rsid w:val="007C5895"/>
    <w:rsid w:val="007C5AB9"/>
    <w:rsid w:val="007C697B"/>
    <w:rsid w:val="007C6ADC"/>
    <w:rsid w:val="007C6AF7"/>
    <w:rsid w:val="007C7442"/>
    <w:rsid w:val="007D0654"/>
    <w:rsid w:val="007D11C4"/>
    <w:rsid w:val="007D198B"/>
    <w:rsid w:val="007D268C"/>
    <w:rsid w:val="007D409E"/>
    <w:rsid w:val="007D4379"/>
    <w:rsid w:val="007D4608"/>
    <w:rsid w:val="007D4875"/>
    <w:rsid w:val="007D529D"/>
    <w:rsid w:val="007D5A62"/>
    <w:rsid w:val="007D5B7F"/>
    <w:rsid w:val="007D5C87"/>
    <w:rsid w:val="007D5D04"/>
    <w:rsid w:val="007D6E47"/>
    <w:rsid w:val="007D7A26"/>
    <w:rsid w:val="007D7CF6"/>
    <w:rsid w:val="007E0191"/>
    <w:rsid w:val="007E0CBD"/>
    <w:rsid w:val="007E256D"/>
    <w:rsid w:val="007E2DBE"/>
    <w:rsid w:val="007E37E2"/>
    <w:rsid w:val="007E3ACA"/>
    <w:rsid w:val="007E427B"/>
    <w:rsid w:val="007E4B08"/>
    <w:rsid w:val="007E5256"/>
    <w:rsid w:val="007E52AA"/>
    <w:rsid w:val="007E5804"/>
    <w:rsid w:val="007E658C"/>
    <w:rsid w:val="007E65D0"/>
    <w:rsid w:val="007E67CD"/>
    <w:rsid w:val="007E6A01"/>
    <w:rsid w:val="007E72DF"/>
    <w:rsid w:val="007F0EAE"/>
    <w:rsid w:val="007F244E"/>
    <w:rsid w:val="007F2B32"/>
    <w:rsid w:val="007F30FA"/>
    <w:rsid w:val="007F33F2"/>
    <w:rsid w:val="007F3CBC"/>
    <w:rsid w:val="007F470F"/>
    <w:rsid w:val="007F4FEF"/>
    <w:rsid w:val="007F5109"/>
    <w:rsid w:val="007F5BE2"/>
    <w:rsid w:val="007F6624"/>
    <w:rsid w:val="007F68E0"/>
    <w:rsid w:val="007F7192"/>
    <w:rsid w:val="007F7D76"/>
    <w:rsid w:val="00801679"/>
    <w:rsid w:val="00801976"/>
    <w:rsid w:val="008022C2"/>
    <w:rsid w:val="00802C72"/>
    <w:rsid w:val="00802E38"/>
    <w:rsid w:val="00802FF2"/>
    <w:rsid w:val="00805030"/>
    <w:rsid w:val="008050ED"/>
    <w:rsid w:val="00805236"/>
    <w:rsid w:val="008054EE"/>
    <w:rsid w:val="00806F0A"/>
    <w:rsid w:val="008075A0"/>
    <w:rsid w:val="00807E59"/>
    <w:rsid w:val="00807EA9"/>
    <w:rsid w:val="00810C65"/>
    <w:rsid w:val="00811B19"/>
    <w:rsid w:val="0081222D"/>
    <w:rsid w:val="008126BB"/>
    <w:rsid w:val="008128BA"/>
    <w:rsid w:val="00812A8F"/>
    <w:rsid w:val="0081391C"/>
    <w:rsid w:val="00813A34"/>
    <w:rsid w:val="0081431F"/>
    <w:rsid w:val="00815CF3"/>
    <w:rsid w:val="00816648"/>
    <w:rsid w:val="00820511"/>
    <w:rsid w:val="00820C84"/>
    <w:rsid w:val="008212DF"/>
    <w:rsid w:val="0082137E"/>
    <w:rsid w:val="00822C9D"/>
    <w:rsid w:val="008231D4"/>
    <w:rsid w:val="00823348"/>
    <w:rsid w:val="0082355A"/>
    <w:rsid w:val="0082394C"/>
    <w:rsid w:val="00824E0A"/>
    <w:rsid w:val="00826DC6"/>
    <w:rsid w:val="00827F62"/>
    <w:rsid w:val="008300D5"/>
    <w:rsid w:val="00831B5D"/>
    <w:rsid w:val="00831C52"/>
    <w:rsid w:val="008332CD"/>
    <w:rsid w:val="008338D5"/>
    <w:rsid w:val="008341BA"/>
    <w:rsid w:val="008341E2"/>
    <w:rsid w:val="008352D4"/>
    <w:rsid w:val="00835567"/>
    <w:rsid w:val="0083572A"/>
    <w:rsid w:val="00835E41"/>
    <w:rsid w:val="00836ED1"/>
    <w:rsid w:val="00837B7A"/>
    <w:rsid w:val="00837BC3"/>
    <w:rsid w:val="00837E80"/>
    <w:rsid w:val="00840354"/>
    <w:rsid w:val="008404C2"/>
    <w:rsid w:val="00840D74"/>
    <w:rsid w:val="00840F3D"/>
    <w:rsid w:val="0084118F"/>
    <w:rsid w:val="00841730"/>
    <w:rsid w:val="00841DF5"/>
    <w:rsid w:val="00842CEF"/>
    <w:rsid w:val="0084385B"/>
    <w:rsid w:val="00843C76"/>
    <w:rsid w:val="00843F31"/>
    <w:rsid w:val="0084478D"/>
    <w:rsid w:val="008449FF"/>
    <w:rsid w:val="00846537"/>
    <w:rsid w:val="0084694E"/>
    <w:rsid w:val="008469D0"/>
    <w:rsid w:val="00846D71"/>
    <w:rsid w:val="00846DB6"/>
    <w:rsid w:val="00850281"/>
    <w:rsid w:val="0085131D"/>
    <w:rsid w:val="00851555"/>
    <w:rsid w:val="00853DAA"/>
    <w:rsid w:val="00856A18"/>
    <w:rsid w:val="008600C8"/>
    <w:rsid w:val="008605CE"/>
    <w:rsid w:val="00861E5D"/>
    <w:rsid w:val="008627F1"/>
    <w:rsid w:val="00862DCA"/>
    <w:rsid w:val="00863191"/>
    <w:rsid w:val="008631D7"/>
    <w:rsid w:val="00863252"/>
    <w:rsid w:val="0086497B"/>
    <w:rsid w:val="00864BFB"/>
    <w:rsid w:val="00864E10"/>
    <w:rsid w:val="00864F73"/>
    <w:rsid w:val="00865784"/>
    <w:rsid w:val="00865860"/>
    <w:rsid w:val="008658B6"/>
    <w:rsid w:val="00866CA1"/>
    <w:rsid w:val="00867096"/>
    <w:rsid w:val="008704FF"/>
    <w:rsid w:val="008706BB"/>
    <w:rsid w:val="008708DF"/>
    <w:rsid w:val="00870966"/>
    <w:rsid w:val="00870B55"/>
    <w:rsid w:val="00872499"/>
    <w:rsid w:val="008734FE"/>
    <w:rsid w:val="0087389B"/>
    <w:rsid w:val="00873DCE"/>
    <w:rsid w:val="0087495C"/>
    <w:rsid w:val="00874CFB"/>
    <w:rsid w:val="00875654"/>
    <w:rsid w:val="008757CD"/>
    <w:rsid w:val="00876364"/>
    <w:rsid w:val="0087643F"/>
    <w:rsid w:val="00877587"/>
    <w:rsid w:val="008800AC"/>
    <w:rsid w:val="008808EB"/>
    <w:rsid w:val="00880D31"/>
    <w:rsid w:val="00880E3C"/>
    <w:rsid w:val="00880F8E"/>
    <w:rsid w:val="00881C3A"/>
    <w:rsid w:val="00881E0D"/>
    <w:rsid w:val="00882434"/>
    <w:rsid w:val="00883885"/>
    <w:rsid w:val="00884361"/>
    <w:rsid w:val="0088439F"/>
    <w:rsid w:val="0088447F"/>
    <w:rsid w:val="00884B48"/>
    <w:rsid w:val="0088509C"/>
    <w:rsid w:val="00885354"/>
    <w:rsid w:val="00885819"/>
    <w:rsid w:val="008873A9"/>
    <w:rsid w:val="00887E52"/>
    <w:rsid w:val="00890C0C"/>
    <w:rsid w:val="00891174"/>
    <w:rsid w:val="00891B64"/>
    <w:rsid w:val="008920C9"/>
    <w:rsid w:val="008926E4"/>
    <w:rsid w:val="00892D26"/>
    <w:rsid w:val="008938FA"/>
    <w:rsid w:val="00894134"/>
    <w:rsid w:val="008943D5"/>
    <w:rsid w:val="00895456"/>
    <w:rsid w:val="00896567"/>
    <w:rsid w:val="00896677"/>
    <w:rsid w:val="00897B19"/>
    <w:rsid w:val="00897D5E"/>
    <w:rsid w:val="00897F49"/>
    <w:rsid w:val="008A097F"/>
    <w:rsid w:val="008A0E9E"/>
    <w:rsid w:val="008A120F"/>
    <w:rsid w:val="008A15DE"/>
    <w:rsid w:val="008A1698"/>
    <w:rsid w:val="008A21D6"/>
    <w:rsid w:val="008A380D"/>
    <w:rsid w:val="008A38D8"/>
    <w:rsid w:val="008A3ED4"/>
    <w:rsid w:val="008A4E36"/>
    <w:rsid w:val="008A5725"/>
    <w:rsid w:val="008A5912"/>
    <w:rsid w:val="008A5A5A"/>
    <w:rsid w:val="008A6544"/>
    <w:rsid w:val="008A68DC"/>
    <w:rsid w:val="008A6918"/>
    <w:rsid w:val="008A6FBB"/>
    <w:rsid w:val="008B24C4"/>
    <w:rsid w:val="008B251C"/>
    <w:rsid w:val="008B2C7A"/>
    <w:rsid w:val="008B2DC9"/>
    <w:rsid w:val="008B3438"/>
    <w:rsid w:val="008B3C35"/>
    <w:rsid w:val="008B4417"/>
    <w:rsid w:val="008B4C15"/>
    <w:rsid w:val="008B50FE"/>
    <w:rsid w:val="008B513C"/>
    <w:rsid w:val="008B5E55"/>
    <w:rsid w:val="008B657F"/>
    <w:rsid w:val="008B67C0"/>
    <w:rsid w:val="008B7956"/>
    <w:rsid w:val="008B7E88"/>
    <w:rsid w:val="008B7FD2"/>
    <w:rsid w:val="008C0C41"/>
    <w:rsid w:val="008C1245"/>
    <w:rsid w:val="008C15E7"/>
    <w:rsid w:val="008C2193"/>
    <w:rsid w:val="008C3AAC"/>
    <w:rsid w:val="008C4B04"/>
    <w:rsid w:val="008C505C"/>
    <w:rsid w:val="008C584C"/>
    <w:rsid w:val="008C59F9"/>
    <w:rsid w:val="008C6210"/>
    <w:rsid w:val="008C70E9"/>
    <w:rsid w:val="008C7788"/>
    <w:rsid w:val="008D0599"/>
    <w:rsid w:val="008D1295"/>
    <w:rsid w:val="008D18EB"/>
    <w:rsid w:val="008D1F62"/>
    <w:rsid w:val="008D2548"/>
    <w:rsid w:val="008D2659"/>
    <w:rsid w:val="008D3149"/>
    <w:rsid w:val="008D4692"/>
    <w:rsid w:val="008D536F"/>
    <w:rsid w:val="008D5E82"/>
    <w:rsid w:val="008D7E0A"/>
    <w:rsid w:val="008D7EFD"/>
    <w:rsid w:val="008E0063"/>
    <w:rsid w:val="008E140B"/>
    <w:rsid w:val="008E15AE"/>
    <w:rsid w:val="008E31C7"/>
    <w:rsid w:val="008E365F"/>
    <w:rsid w:val="008E48C7"/>
    <w:rsid w:val="008E4B26"/>
    <w:rsid w:val="008E4F09"/>
    <w:rsid w:val="008E5787"/>
    <w:rsid w:val="008E5874"/>
    <w:rsid w:val="008E5ABE"/>
    <w:rsid w:val="008E681F"/>
    <w:rsid w:val="008E6C54"/>
    <w:rsid w:val="008E6EFC"/>
    <w:rsid w:val="008F0D1B"/>
    <w:rsid w:val="008F14BF"/>
    <w:rsid w:val="008F157D"/>
    <w:rsid w:val="008F1967"/>
    <w:rsid w:val="008F2440"/>
    <w:rsid w:val="008F2543"/>
    <w:rsid w:val="008F2557"/>
    <w:rsid w:val="008F3802"/>
    <w:rsid w:val="008F3C83"/>
    <w:rsid w:val="008F3CC1"/>
    <w:rsid w:val="008F5176"/>
    <w:rsid w:val="008F5DF6"/>
    <w:rsid w:val="008F5E75"/>
    <w:rsid w:val="008F64FA"/>
    <w:rsid w:val="008F66C8"/>
    <w:rsid w:val="008F6B81"/>
    <w:rsid w:val="009011E6"/>
    <w:rsid w:val="00901D3A"/>
    <w:rsid w:val="009020AA"/>
    <w:rsid w:val="009021F1"/>
    <w:rsid w:val="00902A50"/>
    <w:rsid w:val="00902CFD"/>
    <w:rsid w:val="00903C40"/>
    <w:rsid w:val="00904719"/>
    <w:rsid w:val="00904AEF"/>
    <w:rsid w:val="00904B43"/>
    <w:rsid w:val="00905589"/>
    <w:rsid w:val="00905984"/>
    <w:rsid w:val="009065AC"/>
    <w:rsid w:val="00906F95"/>
    <w:rsid w:val="00907C8F"/>
    <w:rsid w:val="009104CA"/>
    <w:rsid w:val="009105AC"/>
    <w:rsid w:val="00910AA5"/>
    <w:rsid w:val="00911B0C"/>
    <w:rsid w:val="00911C03"/>
    <w:rsid w:val="00912140"/>
    <w:rsid w:val="009126E4"/>
    <w:rsid w:val="00912A6E"/>
    <w:rsid w:val="00912BC7"/>
    <w:rsid w:val="00913479"/>
    <w:rsid w:val="0091372D"/>
    <w:rsid w:val="00913C86"/>
    <w:rsid w:val="0091403A"/>
    <w:rsid w:val="00914766"/>
    <w:rsid w:val="0091525D"/>
    <w:rsid w:val="009156F4"/>
    <w:rsid w:val="00916C3A"/>
    <w:rsid w:val="00917003"/>
    <w:rsid w:val="0091739B"/>
    <w:rsid w:val="00917522"/>
    <w:rsid w:val="00917F7B"/>
    <w:rsid w:val="00920008"/>
    <w:rsid w:val="00920FCE"/>
    <w:rsid w:val="009213D5"/>
    <w:rsid w:val="00922EC7"/>
    <w:rsid w:val="009238EC"/>
    <w:rsid w:val="009240C9"/>
    <w:rsid w:val="009243AE"/>
    <w:rsid w:val="009246A7"/>
    <w:rsid w:val="00924F95"/>
    <w:rsid w:val="009251EE"/>
    <w:rsid w:val="00925C40"/>
    <w:rsid w:val="0092672E"/>
    <w:rsid w:val="00926932"/>
    <w:rsid w:val="00926F1C"/>
    <w:rsid w:val="0093011E"/>
    <w:rsid w:val="00930967"/>
    <w:rsid w:val="009310B8"/>
    <w:rsid w:val="00931306"/>
    <w:rsid w:val="00932AF2"/>
    <w:rsid w:val="009333B1"/>
    <w:rsid w:val="00934156"/>
    <w:rsid w:val="0093456B"/>
    <w:rsid w:val="00934FD1"/>
    <w:rsid w:val="00935A74"/>
    <w:rsid w:val="00936183"/>
    <w:rsid w:val="00936BEF"/>
    <w:rsid w:val="00937C5D"/>
    <w:rsid w:val="0094028B"/>
    <w:rsid w:val="00940384"/>
    <w:rsid w:val="0094077C"/>
    <w:rsid w:val="009407AC"/>
    <w:rsid w:val="00940F57"/>
    <w:rsid w:val="009410A0"/>
    <w:rsid w:val="00941F57"/>
    <w:rsid w:val="0094240F"/>
    <w:rsid w:val="00942C72"/>
    <w:rsid w:val="00943252"/>
    <w:rsid w:val="009439F5"/>
    <w:rsid w:val="00943B9B"/>
    <w:rsid w:val="00945194"/>
    <w:rsid w:val="00945B50"/>
    <w:rsid w:val="00945E23"/>
    <w:rsid w:val="009463AC"/>
    <w:rsid w:val="00947D0A"/>
    <w:rsid w:val="00947D76"/>
    <w:rsid w:val="00947FCE"/>
    <w:rsid w:val="009509CB"/>
    <w:rsid w:val="00951D7D"/>
    <w:rsid w:val="00952C48"/>
    <w:rsid w:val="00953C71"/>
    <w:rsid w:val="00953C8B"/>
    <w:rsid w:val="0095426C"/>
    <w:rsid w:val="009544D4"/>
    <w:rsid w:val="00955981"/>
    <w:rsid w:val="00955C78"/>
    <w:rsid w:val="00956928"/>
    <w:rsid w:val="00957931"/>
    <w:rsid w:val="00957A30"/>
    <w:rsid w:val="00960143"/>
    <w:rsid w:val="009606E5"/>
    <w:rsid w:val="00960F68"/>
    <w:rsid w:val="00961416"/>
    <w:rsid w:val="009619C6"/>
    <w:rsid w:val="00961DE2"/>
    <w:rsid w:val="00961E8D"/>
    <w:rsid w:val="00962A88"/>
    <w:rsid w:val="0096352C"/>
    <w:rsid w:val="00963DEF"/>
    <w:rsid w:val="00963F0A"/>
    <w:rsid w:val="00964F90"/>
    <w:rsid w:val="009659CD"/>
    <w:rsid w:val="00965BCF"/>
    <w:rsid w:val="00965F76"/>
    <w:rsid w:val="009662AD"/>
    <w:rsid w:val="00967426"/>
    <w:rsid w:val="009676BA"/>
    <w:rsid w:val="009677BB"/>
    <w:rsid w:val="009700C5"/>
    <w:rsid w:val="00970CD5"/>
    <w:rsid w:val="00970D34"/>
    <w:rsid w:val="00971250"/>
    <w:rsid w:val="009712B8"/>
    <w:rsid w:val="009719CB"/>
    <w:rsid w:val="00971A7C"/>
    <w:rsid w:val="009721FE"/>
    <w:rsid w:val="009727F6"/>
    <w:rsid w:val="00974720"/>
    <w:rsid w:val="00974974"/>
    <w:rsid w:val="009757E8"/>
    <w:rsid w:val="00976B7B"/>
    <w:rsid w:val="00976BBE"/>
    <w:rsid w:val="0097734A"/>
    <w:rsid w:val="00977504"/>
    <w:rsid w:val="00977776"/>
    <w:rsid w:val="00977986"/>
    <w:rsid w:val="00980059"/>
    <w:rsid w:val="00980069"/>
    <w:rsid w:val="00980C8C"/>
    <w:rsid w:val="00980FC2"/>
    <w:rsid w:val="00981E54"/>
    <w:rsid w:val="00983636"/>
    <w:rsid w:val="00983E64"/>
    <w:rsid w:val="009846F5"/>
    <w:rsid w:val="0098503D"/>
    <w:rsid w:val="0098526F"/>
    <w:rsid w:val="0098528E"/>
    <w:rsid w:val="00985733"/>
    <w:rsid w:val="0098593C"/>
    <w:rsid w:val="00985CC4"/>
    <w:rsid w:val="00985EDA"/>
    <w:rsid w:val="00987151"/>
    <w:rsid w:val="0098739F"/>
    <w:rsid w:val="009873DE"/>
    <w:rsid w:val="009876EB"/>
    <w:rsid w:val="00987C81"/>
    <w:rsid w:val="00987FD4"/>
    <w:rsid w:val="009904EA"/>
    <w:rsid w:val="00990F92"/>
    <w:rsid w:val="00991AB5"/>
    <w:rsid w:val="00991E72"/>
    <w:rsid w:val="00992D97"/>
    <w:rsid w:val="00992E30"/>
    <w:rsid w:val="009930C8"/>
    <w:rsid w:val="00993922"/>
    <w:rsid w:val="00993956"/>
    <w:rsid w:val="00993E35"/>
    <w:rsid w:val="0099405A"/>
    <w:rsid w:val="00994C21"/>
    <w:rsid w:val="00994D31"/>
    <w:rsid w:val="0099526D"/>
    <w:rsid w:val="00995A52"/>
    <w:rsid w:val="00996429"/>
    <w:rsid w:val="00996DD2"/>
    <w:rsid w:val="009970F9"/>
    <w:rsid w:val="009977DE"/>
    <w:rsid w:val="009A00CF"/>
    <w:rsid w:val="009A038A"/>
    <w:rsid w:val="009A0472"/>
    <w:rsid w:val="009A04B7"/>
    <w:rsid w:val="009A1348"/>
    <w:rsid w:val="009A1B64"/>
    <w:rsid w:val="009A2C9E"/>
    <w:rsid w:val="009A4BCB"/>
    <w:rsid w:val="009A4EBB"/>
    <w:rsid w:val="009A5053"/>
    <w:rsid w:val="009A62B8"/>
    <w:rsid w:val="009A666B"/>
    <w:rsid w:val="009A6DB0"/>
    <w:rsid w:val="009A77BC"/>
    <w:rsid w:val="009A781A"/>
    <w:rsid w:val="009A7D37"/>
    <w:rsid w:val="009B020F"/>
    <w:rsid w:val="009B04F9"/>
    <w:rsid w:val="009B095A"/>
    <w:rsid w:val="009B0F2A"/>
    <w:rsid w:val="009B13B9"/>
    <w:rsid w:val="009B2DE8"/>
    <w:rsid w:val="009B364C"/>
    <w:rsid w:val="009B4278"/>
    <w:rsid w:val="009B4AF5"/>
    <w:rsid w:val="009B50AE"/>
    <w:rsid w:val="009B56AE"/>
    <w:rsid w:val="009B5993"/>
    <w:rsid w:val="009B661E"/>
    <w:rsid w:val="009B6A3C"/>
    <w:rsid w:val="009B6CCD"/>
    <w:rsid w:val="009B71DF"/>
    <w:rsid w:val="009B7706"/>
    <w:rsid w:val="009B78DF"/>
    <w:rsid w:val="009C0273"/>
    <w:rsid w:val="009C0CAF"/>
    <w:rsid w:val="009C0D83"/>
    <w:rsid w:val="009C1096"/>
    <w:rsid w:val="009C132A"/>
    <w:rsid w:val="009C1AA6"/>
    <w:rsid w:val="009C1B17"/>
    <w:rsid w:val="009C243D"/>
    <w:rsid w:val="009C2483"/>
    <w:rsid w:val="009C260D"/>
    <w:rsid w:val="009C2D1F"/>
    <w:rsid w:val="009C3C96"/>
    <w:rsid w:val="009C3E40"/>
    <w:rsid w:val="009C52DF"/>
    <w:rsid w:val="009C5B3A"/>
    <w:rsid w:val="009C5C16"/>
    <w:rsid w:val="009C5CE9"/>
    <w:rsid w:val="009C64D5"/>
    <w:rsid w:val="009C6B42"/>
    <w:rsid w:val="009C7788"/>
    <w:rsid w:val="009C7D6C"/>
    <w:rsid w:val="009D2579"/>
    <w:rsid w:val="009D3236"/>
    <w:rsid w:val="009D3C83"/>
    <w:rsid w:val="009D3E6C"/>
    <w:rsid w:val="009D4883"/>
    <w:rsid w:val="009D53D9"/>
    <w:rsid w:val="009D5413"/>
    <w:rsid w:val="009D63F3"/>
    <w:rsid w:val="009E0D48"/>
    <w:rsid w:val="009E194A"/>
    <w:rsid w:val="009E2D5B"/>
    <w:rsid w:val="009E3A75"/>
    <w:rsid w:val="009E3D9B"/>
    <w:rsid w:val="009E3F00"/>
    <w:rsid w:val="009E431D"/>
    <w:rsid w:val="009E499C"/>
    <w:rsid w:val="009E4C78"/>
    <w:rsid w:val="009E4EEC"/>
    <w:rsid w:val="009E53F2"/>
    <w:rsid w:val="009E561E"/>
    <w:rsid w:val="009E613F"/>
    <w:rsid w:val="009E656F"/>
    <w:rsid w:val="009E751C"/>
    <w:rsid w:val="009E78A8"/>
    <w:rsid w:val="009E7C27"/>
    <w:rsid w:val="009F04EF"/>
    <w:rsid w:val="009F06CC"/>
    <w:rsid w:val="009F0A86"/>
    <w:rsid w:val="009F0B03"/>
    <w:rsid w:val="009F1053"/>
    <w:rsid w:val="009F1E78"/>
    <w:rsid w:val="009F226B"/>
    <w:rsid w:val="009F2412"/>
    <w:rsid w:val="009F2511"/>
    <w:rsid w:val="009F2D7D"/>
    <w:rsid w:val="009F2FB1"/>
    <w:rsid w:val="009F3C07"/>
    <w:rsid w:val="009F41CC"/>
    <w:rsid w:val="009F4C18"/>
    <w:rsid w:val="009F4F52"/>
    <w:rsid w:val="009F51A9"/>
    <w:rsid w:val="009F5270"/>
    <w:rsid w:val="009F52F4"/>
    <w:rsid w:val="009F5B73"/>
    <w:rsid w:val="009F6527"/>
    <w:rsid w:val="009F675A"/>
    <w:rsid w:val="009F687D"/>
    <w:rsid w:val="00A01236"/>
    <w:rsid w:val="00A01ADC"/>
    <w:rsid w:val="00A01C7D"/>
    <w:rsid w:val="00A02097"/>
    <w:rsid w:val="00A039D5"/>
    <w:rsid w:val="00A03C19"/>
    <w:rsid w:val="00A03E8B"/>
    <w:rsid w:val="00A040A9"/>
    <w:rsid w:val="00A04507"/>
    <w:rsid w:val="00A05815"/>
    <w:rsid w:val="00A067F1"/>
    <w:rsid w:val="00A10551"/>
    <w:rsid w:val="00A113E3"/>
    <w:rsid w:val="00A118B5"/>
    <w:rsid w:val="00A119E4"/>
    <w:rsid w:val="00A12177"/>
    <w:rsid w:val="00A126D1"/>
    <w:rsid w:val="00A12DAF"/>
    <w:rsid w:val="00A134A3"/>
    <w:rsid w:val="00A13BA1"/>
    <w:rsid w:val="00A1427F"/>
    <w:rsid w:val="00A149E8"/>
    <w:rsid w:val="00A1567E"/>
    <w:rsid w:val="00A166AC"/>
    <w:rsid w:val="00A16BF4"/>
    <w:rsid w:val="00A1717D"/>
    <w:rsid w:val="00A17613"/>
    <w:rsid w:val="00A17DE0"/>
    <w:rsid w:val="00A17FEF"/>
    <w:rsid w:val="00A20213"/>
    <w:rsid w:val="00A21A22"/>
    <w:rsid w:val="00A21EE7"/>
    <w:rsid w:val="00A21F40"/>
    <w:rsid w:val="00A23BD0"/>
    <w:rsid w:val="00A24ACD"/>
    <w:rsid w:val="00A24CFB"/>
    <w:rsid w:val="00A252B5"/>
    <w:rsid w:val="00A25AFD"/>
    <w:rsid w:val="00A25C0A"/>
    <w:rsid w:val="00A26886"/>
    <w:rsid w:val="00A26EFA"/>
    <w:rsid w:val="00A27228"/>
    <w:rsid w:val="00A275F0"/>
    <w:rsid w:val="00A30BDF"/>
    <w:rsid w:val="00A31610"/>
    <w:rsid w:val="00A317AC"/>
    <w:rsid w:val="00A321BF"/>
    <w:rsid w:val="00A322A6"/>
    <w:rsid w:val="00A32535"/>
    <w:rsid w:val="00A32EB6"/>
    <w:rsid w:val="00A338E2"/>
    <w:rsid w:val="00A33EEE"/>
    <w:rsid w:val="00A35203"/>
    <w:rsid w:val="00A359A1"/>
    <w:rsid w:val="00A35D20"/>
    <w:rsid w:val="00A35F69"/>
    <w:rsid w:val="00A362EB"/>
    <w:rsid w:val="00A368AC"/>
    <w:rsid w:val="00A3692B"/>
    <w:rsid w:val="00A36D89"/>
    <w:rsid w:val="00A37245"/>
    <w:rsid w:val="00A378CD"/>
    <w:rsid w:val="00A379E7"/>
    <w:rsid w:val="00A37C70"/>
    <w:rsid w:val="00A40077"/>
    <w:rsid w:val="00A408BA"/>
    <w:rsid w:val="00A409A2"/>
    <w:rsid w:val="00A4141B"/>
    <w:rsid w:val="00A41A27"/>
    <w:rsid w:val="00A42214"/>
    <w:rsid w:val="00A4272B"/>
    <w:rsid w:val="00A42F58"/>
    <w:rsid w:val="00A4335E"/>
    <w:rsid w:val="00A434C3"/>
    <w:rsid w:val="00A43942"/>
    <w:rsid w:val="00A43C7B"/>
    <w:rsid w:val="00A450A7"/>
    <w:rsid w:val="00A456A0"/>
    <w:rsid w:val="00A4583D"/>
    <w:rsid w:val="00A45A03"/>
    <w:rsid w:val="00A45A80"/>
    <w:rsid w:val="00A45CFA"/>
    <w:rsid w:val="00A45E60"/>
    <w:rsid w:val="00A4611E"/>
    <w:rsid w:val="00A46EAC"/>
    <w:rsid w:val="00A47EB2"/>
    <w:rsid w:val="00A47FA8"/>
    <w:rsid w:val="00A53CB5"/>
    <w:rsid w:val="00A54049"/>
    <w:rsid w:val="00A542CD"/>
    <w:rsid w:val="00A54CD0"/>
    <w:rsid w:val="00A55BE9"/>
    <w:rsid w:val="00A56CF5"/>
    <w:rsid w:val="00A56D79"/>
    <w:rsid w:val="00A60772"/>
    <w:rsid w:val="00A60F59"/>
    <w:rsid w:val="00A62839"/>
    <w:rsid w:val="00A63328"/>
    <w:rsid w:val="00A637A7"/>
    <w:rsid w:val="00A64E75"/>
    <w:rsid w:val="00A66888"/>
    <w:rsid w:val="00A66ABA"/>
    <w:rsid w:val="00A66CE2"/>
    <w:rsid w:val="00A676B8"/>
    <w:rsid w:val="00A708A3"/>
    <w:rsid w:val="00A70F74"/>
    <w:rsid w:val="00A71648"/>
    <w:rsid w:val="00A732E1"/>
    <w:rsid w:val="00A73411"/>
    <w:rsid w:val="00A744AE"/>
    <w:rsid w:val="00A74544"/>
    <w:rsid w:val="00A758DA"/>
    <w:rsid w:val="00A77145"/>
    <w:rsid w:val="00A777AE"/>
    <w:rsid w:val="00A8048F"/>
    <w:rsid w:val="00A80E04"/>
    <w:rsid w:val="00A81A7A"/>
    <w:rsid w:val="00A8376B"/>
    <w:rsid w:val="00A844A6"/>
    <w:rsid w:val="00A8479C"/>
    <w:rsid w:val="00A849AA"/>
    <w:rsid w:val="00A8519B"/>
    <w:rsid w:val="00A85332"/>
    <w:rsid w:val="00A86A15"/>
    <w:rsid w:val="00A874E1"/>
    <w:rsid w:val="00A8787A"/>
    <w:rsid w:val="00A90021"/>
    <w:rsid w:val="00A9019B"/>
    <w:rsid w:val="00A906FF"/>
    <w:rsid w:val="00A9103E"/>
    <w:rsid w:val="00A93D7B"/>
    <w:rsid w:val="00A94BBA"/>
    <w:rsid w:val="00A958F9"/>
    <w:rsid w:val="00A95E54"/>
    <w:rsid w:val="00A95FBA"/>
    <w:rsid w:val="00A96145"/>
    <w:rsid w:val="00A96239"/>
    <w:rsid w:val="00A9690D"/>
    <w:rsid w:val="00A96F2A"/>
    <w:rsid w:val="00AA08AE"/>
    <w:rsid w:val="00AA0E14"/>
    <w:rsid w:val="00AA1B4D"/>
    <w:rsid w:val="00AA23C8"/>
    <w:rsid w:val="00AA2568"/>
    <w:rsid w:val="00AA26BD"/>
    <w:rsid w:val="00AA2E4E"/>
    <w:rsid w:val="00AA42CC"/>
    <w:rsid w:val="00AA4F5E"/>
    <w:rsid w:val="00AA5BEF"/>
    <w:rsid w:val="00AA5CD2"/>
    <w:rsid w:val="00AA5E86"/>
    <w:rsid w:val="00AA66CF"/>
    <w:rsid w:val="00AA7175"/>
    <w:rsid w:val="00AA74E6"/>
    <w:rsid w:val="00AB05F4"/>
    <w:rsid w:val="00AB10D0"/>
    <w:rsid w:val="00AB12A3"/>
    <w:rsid w:val="00AB130A"/>
    <w:rsid w:val="00AB1DF7"/>
    <w:rsid w:val="00AB2783"/>
    <w:rsid w:val="00AB294F"/>
    <w:rsid w:val="00AB320B"/>
    <w:rsid w:val="00AB4A35"/>
    <w:rsid w:val="00AB532B"/>
    <w:rsid w:val="00AB5DDD"/>
    <w:rsid w:val="00AB5F65"/>
    <w:rsid w:val="00AB60E7"/>
    <w:rsid w:val="00AB6CF3"/>
    <w:rsid w:val="00AB6F3F"/>
    <w:rsid w:val="00AB72DA"/>
    <w:rsid w:val="00AB757D"/>
    <w:rsid w:val="00AC0BF3"/>
    <w:rsid w:val="00AC1357"/>
    <w:rsid w:val="00AC1512"/>
    <w:rsid w:val="00AC233B"/>
    <w:rsid w:val="00AC2B8F"/>
    <w:rsid w:val="00AC2FF9"/>
    <w:rsid w:val="00AC3EF6"/>
    <w:rsid w:val="00AC4577"/>
    <w:rsid w:val="00AC465D"/>
    <w:rsid w:val="00AC4BC3"/>
    <w:rsid w:val="00AC5215"/>
    <w:rsid w:val="00AC5AAA"/>
    <w:rsid w:val="00AC5D3F"/>
    <w:rsid w:val="00AC5F29"/>
    <w:rsid w:val="00AC67ED"/>
    <w:rsid w:val="00AC7445"/>
    <w:rsid w:val="00AD110F"/>
    <w:rsid w:val="00AD1349"/>
    <w:rsid w:val="00AD2240"/>
    <w:rsid w:val="00AD2354"/>
    <w:rsid w:val="00AD2BFA"/>
    <w:rsid w:val="00AD3D5D"/>
    <w:rsid w:val="00AD45D4"/>
    <w:rsid w:val="00AD55DE"/>
    <w:rsid w:val="00AD5B77"/>
    <w:rsid w:val="00AD5D9E"/>
    <w:rsid w:val="00AD63DD"/>
    <w:rsid w:val="00AD6701"/>
    <w:rsid w:val="00AD7522"/>
    <w:rsid w:val="00AD77FE"/>
    <w:rsid w:val="00AD7AAE"/>
    <w:rsid w:val="00AE02A5"/>
    <w:rsid w:val="00AE062D"/>
    <w:rsid w:val="00AE0A52"/>
    <w:rsid w:val="00AE1B0B"/>
    <w:rsid w:val="00AE1BAE"/>
    <w:rsid w:val="00AE1BF7"/>
    <w:rsid w:val="00AE2861"/>
    <w:rsid w:val="00AE29B2"/>
    <w:rsid w:val="00AE2D08"/>
    <w:rsid w:val="00AE3A83"/>
    <w:rsid w:val="00AE3B3F"/>
    <w:rsid w:val="00AE4E84"/>
    <w:rsid w:val="00AE6B8A"/>
    <w:rsid w:val="00AF1D7D"/>
    <w:rsid w:val="00AF2CF0"/>
    <w:rsid w:val="00AF42D5"/>
    <w:rsid w:val="00AF4694"/>
    <w:rsid w:val="00AF520B"/>
    <w:rsid w:val="00AF566B"/>
    <w:rsid w:val="00AF59CD"/>
    <w:rsid w:val="00AF59D0"/>
    <w:rsid w:val="00AF5D65"/>
    <w:rsid w:val="00AF6258"/>
    <w:rsid w:val="00AF64BC"/>
    <w:rsid w:val="00AF6AD4"/>
    <w:rsid w:val="00AF736F"/>
    <w:rsid w:val="00AF7693"/>
    <w:rsid w:val="00AF7E2E"/>
    <w:rsid w:val="00B008A3"/>
    <w:rsid w:val="00B0130D"/>
    <w:rsid w:val="00B0137B"/>
    <w:rsid w:val="00B02261"/>
    <w:rsid w:val="00B02478"/>
    <w:rsid w:val="00B02840"/>
    <w:rsid w:val="00B03654"/>
    <w:rsid w:val="00B0426B"/>
    <w:rsid w:val="00B045F7"/>
    <w:rsid w:val="00B04C5E"/>
    <w:rsid w:val="00B050B0"/>
    <w:rsid w:val="00B051CD"/>
    <w:rsid w:val="00B05628"/>
    <w:rsid w:val="00B05ACA"/>
    <w:rsid w:val="00B05C54"/>
    <w:rsid w:val="00B077AE"/>
    <w:rsid w:val="00B07B14"/>
    <w:rsid w:val="00B11F5B"/>
    <w:rsid w:val="00B1346D"/>
    <w:rsid w:val="00B13F96"/>
    <w:rsid w:val="00B14512"/>
    <w:rsid w:val="00B147D0"/>
    <w:rsid w:val="00B14DA4"/>
    <w:rsid w:val="00B15CFC"/>
    <w:rsid w:val="00B1664E"/>
    <w:rsid w:val="00B16A0D"/>
    <w:rsid w:val="00B16C41"/>
    <w:rsid w:val="00B1752D"/>
    <w:rsid w:val="00B2029C"/>
    <w:rsid w:val="00B214BF"/>
    <w:rsid w:val="00B2299F"/>
    <w:rsid w:val="00B235FB"/>
    <w:rsid w:val="00B23CCB"/>
    <w:rsid w:val="00B253F8"/>
    <w:rsid w:val="00B25465"/>
    <w:rsid w:val="00B254F1"/>
    <w:rsid w:val="00B27814"/>
    <w:rsid w:val="00B27C5A"/>
    <w:rsid w:val="00B3099C"/>
    <w:rsid w:val="00B31366"/>
    <w:rsid w:val="00B3222F"/>
    <w:rsid w:val="00B32381"/>
    <w:rsid w:val="00B324CA"/>
    <w:rsid w:val="00B326E8"/>
    <w:rsid w:val="00B32BE8"/>
    <w:rsid w:val="00B32D4E"/>
    <w:rsid w:val="00B33334"/>
    <w:rsid w:val="00B33C67"/>
    <w:rsid w:val="00B3406F"/>
    <w:rsid w:val="00B34DD9"/>
    <w:rsid w:val="00B350DD"/>
    <w:rsid w:val="00B36914"/>
    <w:rsid w:val="00B37FEF"/>
    <w:rsid w:val="00B4093B"/>
    <w:rsid w:val="00B4125B"/>
    <w:rsid w:val="00B41408"/>
    <w:rsid w:val="00B41E75"/>
    <w:rsid w:val="00B4204E"/>
    <w:rsid w:val="00B42A34"/>
    <w:rsid w:val="00B42B92"/>
    <w:rsid w:val="00B44373"/>
    <w:rsid w:val="00B449D8"/>
    <w:rsid w:val="00B45533"/>
    <w:rsid w:val="00B459BB"/>
    <w:rsid w:val="00B46245"/>
    <w:rsid w:val="00B463DF"/>
    <w:rsid w:val="00B464BE"/>
    <w:rsid w:val="00B46BB3"/>
    <w:rsid w:val="00B474CB"/>
    <w:rsid w:val="00B50125"/>
    <w:rsid w:val="00B5038C"/>
    <w:rsid w:val="00B50DCC"/>
    <w:rsid w:val="00B51850"/>
    <w:rsid w:val="00B51905"/>
    <w:rsid w:val="00B51A1B"/>
    <w:rsid w:val="00B52364"/>
    <w:rsid w:val="00B52912"/>
    <w:rsid w:val="00B52E70"/>
    <w:rsid w:val="00B53573"/>
    <w:rsid w:val="00B539FD"/>
    <w:rsid w:val="00B53B51"/>
    <w:rsid w:val="00B54167"/>
    <w:rsid w:val="00B544A7"/>
    <w:rsid w:val="00B54D22"/>
    <w:rsid w:val="00B54D65"/>
    <w:rsid w:val="00B55C0A"/>
    <w:rsid w:val="00B55F73"/>
    <w:rsid w:val="00B56504"/>
    <w:rsid w:val="00B565FD"/>
    <w:rsid w:val="00B56A4B"/>
    <w:rsid w:val="00B56D54"/>
    <w:rsid w:val="00B5703F"/>
    <w:rsid w:val="00B57892"/>
    <w:rsid w:val="00B57A27"/>
    <w:rsid w:val="00B60D5F"/>
    <w:rsid w:val="00B6138C"/>
    <w:rsid w:val="00B633CC"/>
    <w:rsid w:val="00B63BBB"/>
    <w:rsid w:val="00B63EEE"/>
    <w:rsid w:val="00B640FE"/>
    <w:rsid w:val="00B6414E"/>
    <w:rsid w:val="00B6487F"/>
    <w:rsid w:val="00B64C10"/>
    <w:rsid w:val="00B6570C"/>
    <w:rsid w:val="00B65CEC"/>
    <w:rsid w:val="00B6638E"/>
    <w:rsid w:val="00B66411"/>
    <w:rsid w:val="00B7050D"/>
    <w:rsid w:val="00B706E4"/>
    <w:rsid w:val="00B70827"/>
    <w:rsid w:val="00B70F17"/>
    <w:rsid w:val="00B713C2"/>
    <w:rsid w:val="00B71545"/>
    <w:rsid w:val="00B71653"/>
    <w:rsid w:val="00B7178D"/>
    <w:rsid w:val="00B73D6A"/>
    <w:rsid w:val="00B7441B"/>
    <w:rsid w:val="00B747C9"/>
    <w:rsid w:val="00B74857"/>
    <w:rsid w:val="00B74A26"/>
    <w:rsid w:val="00B751C7"/>
    <w:rsid w:val="00B7598F"/>
    <w:rsid w:val="00B76882"/>
    <w:rsid w:val="00B76A9C"/>
    <w:rsid w:val="00B77A35"/>
    <w:rsid w:val="00B803F1"/>
    <w:rsid w:val="00B8062B"/>
    <w:rsid w:val="00B809F7"/>
    <w:rsid w:val="00B80E61"/>
    <w:rsid w:val="00B816B8"/>
    <w:rsid w:val="00B82374"/>
    <w:rsid w:val="00B82561"/>
    <w:rsid w:val="00B82FDD"/>
    <w:rsid w:val="00B844DA"/>
    <w:rsid w:val="00B845D4"/>
    <w:rsid w:val="00B84855"/>
    <w:rsid w:val="00B84CE0"/>
    <w:rsid w:val="00B85439"/>
    <w:rsid w:val="00B85746"/>
    <w:rsid w:val="00B85ABC"/>
    <w:rsid w:val="00B86AB0"/>
    <w:rsid w:val="00B86EF6"/>
    <w:rsid w:val="00B876D9"/>
    <w:rsid w:val="00B87890"/>
    <w:rsid w:val="00B87C90"/>
    <w:rsid w:val="00B87E7D"/>
    <w:rsid w:val="00B906DD"/>
    <w:rsid w:val="00B907E7"/>
    <w:rsid w:val="00B9138E"/>
    <w:rsid w:val="00B9225E"/>
    <w:rsid w:val="00B92BEF"/>
    <w:rsid w:val="00B930F5"/>
    <w:rsid w:val="00B93174"/>
    <w:rsid w:val="00B938AA"/>
    <w:rsid w:val="00B94B79"/>
    <w:rsid w:val="00B94FE8"/>
    <w:rsid w:val="00B95109"/>
    <w:rsid w:val="00B95E69"/>
    <w:rsid w:val="00B96DF8"/>
    <w:rsid w:val="00B96FF1"/>
    <w:rsid w:val="00B972CC"/>
    <w:rsid w:val="00B979E9"/>
    <w:rsid w:val="00BA044E"/>
    <w:rsid w:val="00BA1B03"/>
    <w:rsid w:val="00BA2071"/>
    <w:rsid w:val="00BA21CB"/>
    <w:rsid w:val="00BA47CE"/>
    <w:rsid w:val="00BA50A3"/>
    <w:rsid w:val="00BA5166"/>
    <w:rsid w:val="00BA5813"/>
    <w:rsid w:val="00BA6256"/>
    <w:rsid w:val="00BA65E0"/>
    <w:rsid w:val="00BB1168"/>
    <w:rsid w:val="00BB18E5"/>
    <w:rsid w:val="00BB20E8"/>
    <w:rsid w:val="00BB277D"/>
    <w:rsid w:val="00BB2D7C"/>
    <w:rsid w:val="00BB2FDF"/>
    <w:rsid w:val="00BB303D"/>
    <w:rsid w:val="00BB3BB0"/>
    <w:rsid w:val="00BB553C"/>
    <w:rsid w:val="00BB56C6"/>
    <w:rsid w:val="00BB5999"/>
    <w:rsid w:val="00BB7A6E"/>
    <w:rsid w:val="00BC068D"/>
    <w:rsid w:val="00BC1278"/>
    <w:rsid w:val="00BC1D57"/>
    <w:rsid w:val="00BC1EF1"/>
    <w:rsid w:val="00BC1F34"/>
    <w:rsid w:val="00BC1FAC"/>
    <w:rsid w:val="00BC24F8"/>
    <w:rsid w:val="00BC262A"/>
    <w:rsid w:val="00BC2901"/>
    <w:rsid w:val="00BC2A03"/>
    <w:rsid w:val="00BC2EA2"/>
    <w:rsid w:val="00BC66E7"/>
    <w:rsid w:val="00BC6B37"/>
    <w:rsid w:val="00BC6C33"/>
    <w:rsid w:val="00BC70E4"/>
    <w:rsid w:val="00BC7705"/>
    <w:rsid w:val="00BC788F"/>
    <w:rsid w:val="00BC7E9A"/>
    <w:rsid w:val="00BD2822"/>
    <w:rsid w:val="00BD28ED"/>
    <w:rsid w:val="00BD2B81"/>
    <w:rsid w:val="00BD376C"/>
    <w:rsid w:val="00BD3F38"/>
    <w:rsid w:val="00BD46D1"/>
    <w:rsid w:val="00BD58BF"/>
    <w:rsid w:val="00BD61F4"/>
    <w:rsid w:val="00BD650E"/>
    <w:rsid w:val="00BD6651"/>
    <w:rsid w:val="00BD666A"/>
    <w:rsid w:val="00BD7234"/>
    <w:rsid w:val="00BD7D10"/>
    <w:rsid w:val="00BE033D"/>
    <w:rsid w:val="00BE0928"/>
    <w:rsid w:val="00BE0F06"/>
    <w:rsid w:val="00BE12DC"/>
    <w:rsid w:val="00BE14F5"/>
    <w:rsid w:val="00BE16FF"/>
    <w:rsid w:val="00BE1DD4"/>
    <w:rsid w:val="00BE1F83"/>
    <w:rsid w:val="00BE2A51"/>
    <w:rsid w:val="00BE3C1E"/>
    <w:rsid w:val="00BE4BCE"/>
    <w:rsid w:val="00BE50D7"/>
    <w:rsid w:val="00BE658A"/>
    <w:rsid w:val="00BE71AA"/>
    <w:rsid w:val="00BE7BB6"/>
    <w:rsid w:val="00BF0739"/>
    <w:rsid w:val="00BF1C9E"/>
    <w:rsid w:val="00BF263F"/>
    <w:rsid w:val="00BF3E15"/>
    <w:rsid w:val="00BF4B3D"/>
    <w:rsid w:val="00BF54CA"/>
    <w:rsid w:val="00BF5DD1"/>
    <w:rsid w:val="00BF7A5C"/>
    <w:rsid w:val="00C00353"/>
    <w:rsid w:val="00C00E69"/>
    <w:rsid w:val="00C02D7E"/>
    <w:rsid w:val="00C05A14"/>
    <w:rsid w:val="00C062F9"/>
    <w:rsid w:val="00C06854"/>
    <w:rsid w:val="00C06901"/>
    <w:rsid w:val="00C07953"/>
    <w:rsid w:val="00C07AD6"/>
    <w:rsid w:val="00C11658"/>
    <w:rsid w:val="00C11ECE"/>
    <w:rsid w:val="00C131AC"/>
    <w:rsid w:val="00C1358B"/>
    <w:rsid w:val="00C1417B"/>
    <w:rsid w:val="00C14951"/>
    <w:rsid w:val="00C15A44"/>
    <w:rsid w:val="00C1694B"/>
    <w:rsid w:val="00C17292"/>
    <w:rsid w:val="00C208AD"/>
    <w:rsid w:val="00C20FD1"/>
    <w:rsid w:val="00C210CD"/>
    <w:rsid w:val="00C21CB2"/>
    <w:rsid w:val="00C22DFF"/>
    <w:rsid w:val="00C23917"/>
    <w:rsid w:val="00C2455D"/>
    <w:rsid w:val="00C247E3"/>
    <w:rsid w:val="00C2494F"/>
    <w:rsid w:val="00C25617"/>
    <w:rsid w:val="00C263CA"/>
    <w:rsid w:val="00C26B7C"/>
    <w:rsid w:val="00C26F72"/>
    <w:rsid w:val="00C26FC0"/>
    <w:rsid w:val="00C27923"/>
    <w:rsid w:val="00C27A88"/>
    <w:rsid w:val="00C30172"/>
    <w:rsid w:val="00C31292"/>
    <w:rsid w:val="00C31B96"/>
    <w:rsid w:val="00C31C3C"/>
    <w:rsid w:val="00C31DDA"/>
    <w:rsid w:val="00C335AE"/>
    <w:rsid w:val="00C3398F"/>
    <w:rsid w:val="00C33B7C"/>
    <w:rsid w:val="00C340C4"/>
    <w:rsid w:val="00C34CB0"/>
    <w:rsid w:val="00C35ED2"/>
    <w:rsid w:val="00C35FAC"/>
    <w:rsid w:val="00C4108E"/>
    <w:rsid w:val="00C43669"/>
    <w:rsid w:val="00C43867"/>
    <w:rsid w:val="00C43989"/>
    <w:rsid w:val="00C4461D"/>
    <w:rsid w:val="00C446BC"/>
    <w:rsid w:val="00C450A8"/>
    <w:rsid w:val="00C45D42"/>
    <w:rsid w:val="00C4709A"/>
    <w:rsid w:val="00C4747F"/>
    <w:rsid w:val="00C47715"/>
    <w:rsid w:val="00C479B7"/>
    <w:rsid w:val="00C47BDD"/>
    <w:rsid w:val="00C50105"/>
    <w:rsid w:val="00C519FD"/>
    <w:rsid w:val="00C52E05"/>
    <w:rsid w:val="00C53CE3"/>
    <w:rsid w:val="00C53FD2"/>
    <w:rsid w:val="00C54174"/>
    <w:rsid w:val="00C54206"/>
    <w:rsid w:val="00C55576"/>
    <w:rsid w:val="00C56D2C"/>
    <w:rsid w:val="00C56F20"/>
    <w:rsid w:val="00C57631"/>
    <w:rsid w:val="00C577E7"/>
    <w:rsid w:val="00C61446"/>
    <w:rsid w:val="00C61692"/>
    <w:rsid w:val="00C619A3"/>
    <w:rsid w:val="00C619C4"/>
    <w:rsid w:val="00C61E04"/>
    <w:rsid w:val="00C623B3"/>
    <w:rsid w:val="00C62E05"/>
    <w:rsid w:val="00C63222"/>
    <w:rsid w:val="00C632E0"/>
    <w:rsid w:val="00C63D04"/>
    <w:rsid w:val="00C666BE"/>
    <w:rsid w:val="00C675AA"/>
    <w:rsid w:val="00C67CE1"/>
    <w:rsid w:val="00C67FCE"/>
    <w:rsid w:val="00C7007B"/>
    <w:rsid w:val="00C70505"/>
    <w:rsid w:val="00C70B61"/>
    <w:rsid w:val="00C71502"/>
    <w:rsid w:val="00C73752"/>
    <w:rsid w:val="00C73996"/>
    <w:rsid w:val="00C74F8C"/>
    <w:rsid w:val="00C76E5A"/>
    <w:rsid w:val="00C76F4B"/>
    <w:rsid w:val="00C80787"/>
    <w:rsid w:val="00C8117F"/>
    <w:rsid w:val="00C81220"/>
    <w:rsid w:val="00C818E4"/>
    <w:rsid w:val="00C81A4A"/>
    <w:rsid w:val="00C82486"/>
    <w:rsid w:val="00C828A1"/>
    <w:rsid w:val="00C82AC5"/>
    <w:rsid w:val="00C845F8"/>
    <w:rsid w:val="00C8462C"/>
    <w:rsid w:val="00C84AA1"/>
    <w:rsid w:val="00C84B49"/>
    <w:rsid w:val="00C84C30"/>
    <w:rsid w:val="00C85101"/>
    <w:rsid w:val="00C85C65"/>
    <w:rsid w:val="00C85E94"/>
    <w:rsid w:val="00C860FE"/>
    <w:rsid w:val="00C86432"/>
    <w:rsid w:val="00C8670F"/>
    <w:rsid w:val="00C90951"/>
    <w:rsid w:val="00C90CED"/>
    <w:rsid w:val="00C90D20"/>
    <w:rsid w:val="00C90D80"/>
    <w:rsid w:val="00C90F33"/>
    <w:rsid w:val="00C91F5B"/>
    <w:rsid w:val="00C92075"/>
    <w:rsid w:val="00C923B5"/>
    <w:rsid w:val="00C92892"/>
    <w:rsid w:val="00C92F56"/>
    <w:rsid w:val="00C93664"/>
    <w:rsid w:val="00C939B9"/>
    <w:rsid w:val="00C94037"/>
    <w:rsid w:val="00C97644"/>
    <w:rsid w:val="00C97FB6"/>
    <w:rsid w:val="00CA15A8"/>
    <w:rsid w:val="00CA1F5C"/>
    <w:rsid w:val="00CA300E"/>
    <w:rsid w:val="00CA3427"/>
    <w:rsid w:val="00CA406F"/>
    <w:rsid w:val="00CA4BCD"/>
    <w:rsid w:val="00CA51F5"/>
    <w:rsid w:val="00CA5453"/>
    <w:rsid w:val="00CA5A2A"/>
    <w:rsid w:val="00CA5FE3"/>
    <w:rsid w:val="00CA658D"/>
    <w:rsid w:val="00CA6E7A"/>
    <w:rsid w:val="00CA6EF4"/>
    <w:rsid w:val="00CA72F2"/>
    <w:rsid w:val="00CA79AE"/>
    <w:rsid w:val="00CB0248"/>
    <w:rsid w:val="00CB0C2D"/>
    <w:rsid w:val="00CB0F11"/>
    <w:rsid w:val="00CB11B6"/>
    <w:rsid w:val="00CB1676"/>
    <w:rsid w:val="00CB17DD"/>
    <w:rsid w:val="00CB1DF4"/>
    <w:rsid w:val="00CB2489"/>
    <w:rsid w:val="00CB3067"/>
    <w:rsid w:val="00CB38E7"/>
    <w:rsid w:val="00CB39BC"/>
    <w:rsid w:val="00CB4CD9"/>
    <w:rsid w:val="00CB52CD"/>
    <w:rsid w:val="00CB5C38"/>
    <w:rsid w:val="00CB697F"/>
    <w:rsid w:val="00CB7011"/>
    <w:rsid w:val="00CB7675"/>
    <w:rsid w:val="00CC121C"/>
    <w:rsid w:val="00CC1BEE"/>
    <w:rsid w:val="00CC212E"/>
    <w:rsid w:val="00CC27CD"/>
    <w:rsid w:val="00CC39AE"/>
    <w:rsid w:val="00CC3F81"/>
    <w:rsid w:val="00CC4681"/>
    <w:rsid w:val="00CC46F6"/>
    <w:rsid w:val="00CC470D"/>
    <w:rsid w:val="00CC4A83"/>
    <w:rsid w:val="00CC5C16"/>
    <w:rsid w:val="00CC616F"/>
    <w:rsid w:val="00CC7454"/>
    <w:rsid w:val="00CC7F3A"/>
    <w:rsid w:val="00CD04A3"/>
    <w:rsid w:val="00CD06E9"/>
    <w:rsid w:val="00CD167F"/>
    <w:rsid w:val="00CD2010"/>
    <w:rsid w:val="00CD252A"/>
    <w:rsid w:val="00CD324B"/>
    <w:rsid w:val="00CD35FD"/>
    <w:rsid w:val="00CD3F8B"/>
    <w:rsid w:val="00CD4103"/>
    <w:rsid w:val="00CD4412"/>
    <w:rsid w:val="00CD4813"/>
    <w:rsid w:val="00CD4B46"/>
    <w:rsid w:val="00CD5AF5"/>
    <w:rsid w:val="00CD6155"/>
    <w:rsid w:val="00CD6645"/>
    <w:rsid w:val="00CD6678"/>
    <w:rsid w:val="00CD6A0D"/>
    <w:rsid w:val="00CD6EE7"/>
    <w:rsid w:val="00CD7512"/>
    <w:rsid w:val="00CD7667"/>
    <w:rsid w:val="00CD77BA"/>
    <w:rsid w:val="00CD7E81"/>
    <w:rsid w:val="00CE1C07"/>
    <w:rsid w:val="00CE24F1"/>
    <w:rsid w:val="00CE3904"/>
    <w:rsid w:val="00CE3FEC"/>
    <w:rsid w:val="00CE448C"/>
    <w:rsid w:val="00CE4BB2"/>
    <w:rsid w:val="00CE5002"/>
    <w:rsid w:val="00CE59EB"/>
    <w:rsid w:val="00CE5CD3"/>
    <w:rsid w:val="00CE6077"/>
    <w:rsid w:val="00CE6412"/>
    <w:rsid w:val="00CE670C"/>
    <w:rsid w:val="00CE6B6D"/>
    <w:rsid w:val="00CE712C"/>
    <w:rsid w:val="00CE7E49"/>
    <w:rsid w:val="00CF0039"/>
    <w:rsid w:val="00CF0B03"/>
    <w:rsid w:val="00CF0ED0"/>
    <w:rsid w:val="00CF17C8"/>
    <w:rsid w:val="00CF2C40"/>
    <w:rsid w:val="00CF2E72"/>
    <w:rsid w:val="00CF2F8F"/>
    <w:rsid w:val="00CF41F5"/>
    <w:rsid w:val="00CF4EAC"/>
    <w:rsid w:val="00CF57BA"/>
    <w:rsid w:val="00CF5CFD"/>
    <w:rsid w:val="00CF6A45"/>
    <w:rsid w:val="00CF6C02"/>
    <w:rsid w:val="00D00763"/>
    <w:rsid w:val="00D0242C"/>
    <w:rsid w:val="00D03A33"/>
    <w:rsid w:val="00D0410D"/>
    <w:rsid w:val="00D057D1"/>
    <w:rsid w:val="00D0603D"/>
    <w:rsid w:val="00D0639E"/>
    <w:rsid w:val="00D06A1F"/>
    <w:rsid w:val="00D06C85"/>
    <w:rsid w:val="00D06F17"/>
    <w:rsid w:val="00D0772B"/>
    <w:rsid w:val="00D07789"/>
    <w:rsid w:val="00D07F42"/>
    <w:rsid w:val="00D10467"/>
    <w:rsid w:val="00D123CC"/>
    <w:rsid w:val="00D136BA"/>
    <w:rsid w:val="00D13CA6"/>
    <w:rsid w:val="00D145A8"/>
    <w:rsid w:val="00D1495F"/>
    <w:rsid w:val="00D14A48"/>
    <w:rsid w:val="00D14E37"/>
    <w:rsid w:val="00D1583D"/>
    <w:rsid w:val="00D15B67"/>
    <w:rsid w:val="00D15CCC"/>
    <w:rsid w:val="00D15E2F"/>
    <w:rsid w:val="00D16693"/>
    <w:rsid w:val="00D16CB5"/>
    <w:rsid w:val="00D2076B"/>
    <w:rsid w:val="00D20D6F"/>
    <w:rsid w:val="00D20ED5"/>
    <w:rsid w:val="00D21899"/>
    <w:rsid w:val="00D22134"/>
    <w:rsid w:val="00D23FFA"/>
    <w:rsid w:val="00D2411D"/>
    <w:rsid w:val="00D241F2"/>
    <w:rsid w:val="00D2494E"/>
    <w:rsid w:val="00D25A13"/>
    <w:rsid w:val="00D2627B"/>
    <w:rsid w:val="00D26A12"/>
    <w:rsid w:val="00D26B51"/>
    <w:rsid w:val="00D26FD0"/>
    <w:rsid w:val="00D2714E"/>
    <w:rsid w:val="00D27C33"/>
    <w:rsid w:val="00D30725"/>
    <w:rsid w:val="00D307F9"/>
    <w:rsid w:val="00D30967"/>
    <w:rsid w:val="00D30BDB"/>
    <w:rsid w:val="00D30DA6"/>
    <w:rsid w:val="00D31265"/>
    <w:rsid w:val="00D31374"/>
    <w:rsid w:val="00D31ABE"/>
    <w:rsid w:val="00D31F44"/>
    <w:rsid w:val="00D32525"/>
    <w:rsid w:val="00D3299C"/>
    <w:rsid w:val="00D34403"/>
    <w:rsid w:val="00D35070"/>
    <w:rsid w:val="00D354EF"/>
    <w:rsid w:val="00D3561E"/>
    <w:rsid w:val="00D35A2C"/>
    <w:rsid w:val="00D35BB0"/>
    <w:rsid w:val="00D372C5"/>
    <w:rsid w:val="00D37314"/>
    <w:rsid w:val="00D402D7"/>
    <w:rsid w:val="00D409FE"/>
    <w:rsid w:val="00D415B4"/>
    <w:rsid w:val="00D4178B"/>
    <w:rsid w:val="00D42AD4"/>
    <w:rsid w:val="00D430EE"/>
    <w:rsid w:val="00D432EE"/>
    <w:rsid w:val="00D4359E"/>
    <w:rsid w:val="00D45123"/>
    <w:rsid w:val="00D452C0"/>
    <w:rsid w:val="00D452EC"/>
    <w:rsid w:val="00D462C9"/>
    <w:rsid w:val="00D46522"/>
    <w:rsid w:val="00D47488"/>
    <w:rsid w:val="00D47A9F"/>
    <w:rsid w:val="00D50CF8"/>
    <w:rsid w:val="00D51763"/>
    <w:rsid w:val="00D51DCA"/>
    <w:rsid w:val="00D51FE3"/>
    <w:rsid w:val="00D521BE"/>
    <w:rsid w:val="00D524E2"/>
    <w:rsid w:val="00D5260F"/>
    <w:rsid w:val="00D52CAA"/>
    <w:rsid w:val="00D53AB8"/>
    <w:rsid w:val="00D53FFC"/>
    <w:rsid w:val="00D5428A"/>
    <w:rsid w:val="00D54437"/>
    <w:rsid w:val="00D54BB0"/>
    <w:rsid w:val="00D55C10"/>
    <w:rsid w:val="00D55E82"/>
    <w:rsid w:val="00D56D8A"/>
    <w:rsid w:val="00D603AB"/>
    <w:rsid w:val="00D60803"/>
    <w:rsid w:val="00D609FD"/>
    <w:rsid w:val="00D60B24"/>
    <w:rsid w:val="00D614E2"/>
    <w:rsid w:val="00D61A42"/>
    <w:rsid w:val="00D61C28"/>
    <w:rsid w:val="00D62808"/>
    <w:rsid w:val="00D62F1D"/>
    <w:rsid w:val="00D6312C"/>
    <w:rsid w:val="00D636D3"/>
    <w:rsid w:val="00D63DEE"/>
    <w:rsid w:val="00D6461B"/>
    <w:rsid w:val="00D64DAF"/>
    <w:rsid w:val="00D656A5"/>
    <w:rsid w:val="00D65834"/>
    <w:rsid w:val="00D669C5"/>
    <w:rsid w:val="00D66DC9"/>
    <w:rsid w:val="00D676F4"/>
    <w:rsid w:val="00D67DE2"/>
    <w:rsid w:val="00D7091E"/>
    <w:rsid w:val="00D70938"/>
    <w:rsid w:val="00D7295A"/>
    <w:rsid w:val="00D72E70"/>
    <w:rsid w:val="00D730B3"/>
    <w:rsid w:val="00D733C0"/>
    <w:rsid w:val="00D735F5"/>
    <w:rsid w:val="00D737F7"/>
    <w:rsid w:val="00D748FB"/>
    <w:rsid w:val="00D74902"/>
    <w:rsid w:val="00D74CC6"/>
    <w:rsid w:val="00D74FC3"/>
    <w:rsid w:val="00D754DC"/>
    <w:rsid w:val="00D75584"/>
    <w:rsid w:val="00D75727"/>
    <w:rsid w:val="00D76572"/>
    <w:rsid w:val="00D76735"/>
    <w:rsid w:val="00D805F6"/>
    <w:rsid w:val="00D80F3C"/>
    <w:rsid w:val="00D81968"/>
    <w:rsid w:val="00D81A10"/>
    <w:rsid w:val="00D81A7C"/>
    <w:rsid w:val="00D81AD4"/>
    <w:rsid w:val="00D81F2A"/>
    <w:rsid w:val="00D827D6"/>
    <w:rsid w:val="00D82D19"/>
    <w:rsid w:val="00D82D87"/>
    <w:rsid w:val="00D830D3"/>
    <w:rsid w:val="00D833CE"/>
    <w:rsid w:val="00D833F0"/>
    <w:rsid w:val="00D845F6"/>
    <w:rsid w:val="00D84736"/>
    <w:rsid w:val="00D84AF9"/>
    <w:rsid w:val="00D8534D"/>
    <w:rsid w:val="00D85E7E"/>
    <w:rsid w:val="00D85F41"/>
    <w:rsid w:val="00D865A3"/>
    <w:rsid w:val="00D86AE1"/>
    <w:rsid w:val="00D86C56"/>
    <w:rsid w:val="00D879A7"/>
    <w:rsid w:val="00D87CA4"/>
    <w:rsid w:val="00D903FE"/>
    <w:rsid w:val="00D90CF1"/>
    <w:rsid w:val="00D91B45"/>
    <w:rsid w:val="00D93421"/>
    <w:rsid w:val="00D938EE"/>
    <w:rsid w:val="00D94B8C"/>
    <w:rsid w:val="00D94E7C"/>
    <w:rsid w:val="00D950F5"/>
    <w:rsid w:val="00D96648"/>
    <w:rsid w:val="00D968C6"/>
    <w:rsid w:val="00D97577"/>
    <w:rsid w:val="00D975CF"/>
    <w:rsid w:val="00D978B9"/>
    <w:rsid w:val="00DA0C16"/>
    <w:rsid w:val="00DA1DB9"/>
    <w:rsid w:val="00DA28A7"/>
    <w:rsid w:val="00DA32FB"/>
    <w:rsid w:val="00DA3D01"/>
    <w:rsid w:val="00DA3F81"/>
    <w:rsid w:val="00DA3FDD"/>
    <w:rsid w:val="00DA42DE"/>
    <w:rsid w:val="00DA46BF"/>
    <w:rsid w:val="00DA4C11"/>
    <w:rsid w:val="00DA5508"/>
    <w:rsid w:val="00DA59F2"/>
    <w:rsid w:val="00DA5C65"/>
    <w:rsid w:val="00DA6D86"/>
    <w:rsid w:val="00DA72CA"/>
    <w:rsid w:val="00DA7615"/>
    <w:rsid w:val="00DB0150"/>
    <w:rsid w:val="00DB0163"/>
    <w:rsid w:val="00DB08FC"/>
    <w:rsid w:val="00DB1396"/>
    <w:rsid w:val="00DB20DD"/>
    <w:rsid w:val="00DB364D"/>
    <w:rsid w:val="00DB409B"/>
    <w:rsid w:val="00DB42D8"/>
    <w:rsid w:val="00DB45BA"/>
    <w:rsid w:val="00DB5BBF"/>
    <w:rsid w:val="00DB6540"/>
    <w:rsid w:val="00DB668B"/>
    <w:rsid w:val="00DB69DA"/>
    <w:rsid w:val="00DB716D"/>
    <w:rsid w:val="00DB7777"/>
    <w:rsid w:val="00DB7A1B"/>
    <w:rsid w:val="00DC01DB"/>
    <w:rsid w:val="00DC06C5"/>
    <w:rsid w:val="00DC2115"/>
    <w:rsid w:val="00DC2478"/>
    <w:rsid w:val="00DC3936"/>
    <w:rsid w:val="00DC3D40"/>
    <w:rsid w:val="00DC43DD"/>
    <w:rsid w:val="00DC52EC"/>
    <w:rsid w:val="00DC6F83"/>
    <w:rsid w:val="00DC7398"/>
    <w:rsid w:val="00DC73CB"/>
    <w:rsid w:val="00DC78B7"/>
    <w:rsid w:val="00DC7D8F"/>
    <w:rsid w:val="00DD02B2"/>
    <w:rsid w:val="00DD1187"/>
    <w:rsid w:val="00DD1C42"/>
    <w:rsid w:val="00DD1F8D"/>
    <w:rsid w:val="00DD20FD"/>
    <w:rsid w:val="00DD2621"/>
    <w:rsid w:val="00DD2CBC"/>
    <w:rsid w:val="00DD2EA2"/>
    <w:rsid w:val="00DD5127"/>
    <w:rsid w:val="00DD6B5D"/>
    <w:rsid w:val="00DD7636"/>
    <w:rsid w:val="00DE12C3"/>
    <w:rsid w:val="00DE26F5"/>
    <w:rsid w:val="00DE4E09"/>
    <w:rsid w:val="00DE54C6"/>
    <w:rsid w:val="00DE68C7"/>
    <w:rsid w:val="00DE6D8C"/>
    <w:rsid w:val="00DE7205"/>
    <w:rsid w:val="00DE767B"/>
    <w:rsid w:val="00DF0949"/>
    <w:rsid w:val="00DF0B07"/>
    <w:rsid w:val="00DF2FA8"/>
    <w:rsid w:val="00DF326A"/>
    <w:rsid w:val="00DF3877"/>
    <w:rsid w:val="00DF6A47"/>
    <w:rsid w:val="00E00009"/>
    <w:rsid w:val="00E00012"/>
    <w:rsid w:val="00E02033"/>
    <w:rsid w:val="00E024DE"/>
    <w:rsid w:val="00E0276B"/>
    <w:rsid w:val="00E02E26"/>
    <w:rsid w:val="00E0340D"/>
    <w:rsid w:val="00E03509"/>
    <w:rsid w:val="00E03C96"/>
    <w:rsid w:val="00E03FB4"/>
    <w:rsid w:val="00E04744"/>
    <w:rsid w:val="00E0592F"/>
    <w:rsid w:val="00E05A3D"/>
    <w:rsid w:val="00E05BD2"/>
    <w:rsid w:val="00E05BFD"/>
    <w:rsid w:val="00E05F7F"/>
    <w:rsid w:val="00E05F88"/>
    <w:rsid w:val="00E06441"/>
    <w:rsid w:val="00E0649B"/>
    <w:rsid w:val="00E06890"/>
    <w:rsid w:val="00E06C6D"/>
    <w:rsid w:val="00E10304"/>
    <w:rsid w:val="00E106A5"/>
    <w:rsid w:val="00E107D3"/>
    <w:rsid w:val="00E10B49"/>
    <w:rsid w:val="00E11534"/>
    <w:rsid w:val="00E11A02"/>
    <w:rsid w:val="00E11BDB"/>
    <w:rsid w:val="00E11E38"/>
    <w:rsid w:val="00E140B9"/>
    <w:rsid w:val="00E14B68"/>
    <w:rsid w:val="00E154F8"/>
    <w:rsid w:val="00E15CFE"/>
    <w:rsid w:val="00E163F1"/>
    <w:rsid w:val="00E17478"/>
    <w:rsid w:val="00E2227F"/>
    <w:rsid w:val="00E23072"/>
    <w:rsid w:val="00E237D4"/>
    <w:rsid w:val="00E23FB7"/>
    <w:rsid w:val="00E24F6F"/>
    <w:rsid w:val="00E259B8"/>
    <w:rsid w:val="00E259CA"/>
    <w:rsid w:val="00E25B00"/>
    <w:rsid w:val="00E25D32"/>
    <w:rsid w:val="00E26049"/>
    <w:rsid w:val="00E26ADE"/>
    <w:rsid w:val="00E275D6"/>
    <w:rsid w:val="00E30510"/>
    <w:rsid w:val="00E308FE"/>
    <w:rsid w:val="00E314AF"/>
    <w:rsid w:val="00E34412"/>
    <w:rsid w:val="00E34463"/>
    <w:rsid w:val="00E352C5"/>
    <w:rsid w:val="00E354F6"/>
    <w:rsid w:val="00E360E6"/>
    <w:rsid w:val="00E36163"/>
    <w:rsid w:val="00E367AA"/>
    <w:rsid w:val="00E36AD6"/>
    <w:rsid w:val="00E36CE3"/>
    <w:rsid w:val="00E36E11"/>
    <w:rsid w:val="00E37478"/>
    <w:rsid w:val="00E4069D"/>
    <w:rsid w:val="00E423FD"/>
    <w:rsid w:val="00E42AB2"/>
    <w:rsid w:val="00E4406A"/>
    <w:rsid w:val="00E44630"/>
    <w:rsid w:val="00E45256"/>
    <w:rsid w:val="00E45E32"/>
    <w:rsid w:val="00E465BC"/>
    <w:rsid w:val="00E46771"/>
    <w:rsid w:val="00E46A47"/>
    <w:rsid w:val="00E47BCC"/>
    <w:rsid w:val="00E47BDC"/>
    <w:rsid w:val="00E53608"/>
    <w:rsid w:val="00E54785"/>
    <w:rsid w:val="00E554A9"/>
    <w:rsid w:val="00E5659F"/>
    <w:rsid w:val="00E57239"/>
    <w:rsid w:val="00E572A5"/>
    <w:rsid w:val="00E6006C"/>
    <w:rsid w:val="00E6224E"/>
    <w:rsid w:val="00E62BC0"/>
    <w:rsid w:val="00E62C82"/>
    <w:rsid w:val="00E636D5"/>
    <w:rsid w:val="00E63F75"/>
    <w:rsid w:val="00E64522"/>
    <w:rsid w:val="00E653B7"/>
    <w:rsid w:val="00E6552C"/>
    <w:rsid w:val="00E661F3"/>
    <w:rsid w:val="00E671CE"/>
    <w:rsid w:val="00E678ED"/>
    <w:rsid w:val="00E67A91"/>
    <w:rsid w:val="00E67C7E"/>
    <w:rsid w:val="00E67FD2"/>
    <w:rsid w:val="00E71902"/>
    <w:rsid w:val="00E71A31"/>
    <w:rsid w:val="00E72053"/>
    <w:rsid w:val="00E72312"/>
    <w:rsid w:val="00E72CAE"/>
    <w:rsid w:val="00E73ADE"/>
    <w:rsid w:val="00E74188"/>
    <w:rsid w:val="00E74565"/>
    <w:rsid w:val="00E74914"/>
    <w:rsid w:val="00E75052"/>
    <w:rsid w:val="00E75074"/>
    <w:rsid w:val="00E751BD"/>
    <w:rsid w:val="00E755C7"/>
    <w:rsid w:val="00E756AB"/>
    <w:rsid w:val="00E75ED5"/>
    <w:rsid w:val="00E77466"/>
    <w:rsid w:val="00E7749D"/>
    <w:rsid w:val="00E77701"/>
    <w:rsid w:val="00E7791E"/>
    <w:rsid w:val="00E8053A"/>
    <w:rsid w:val="00E8075D"/>
    <w:rsid w:val="00E80D8F"/>
    <w:rsid w:val="00E80DD4"/>
    <w:rsid w:val="00E81C8B"/>
    <w:rsid w:val="00E81FF7"/>
    <w:rsid w:val="00E822E1"/>
    <w:rsid w:val="00E83D4D"/>
    <w:rsid w:val="00E840D5"/>
    <w:rsid w:val="00E8443B"/>
    <w:rsid w:val="00E84578"/>
    <w:rsid w:val="00E845FA"/>
    <w:rsid w:val="00E84982"/>
    <w:rsid w:val="00E85868"/>
    <w:rsid w:val="00E86CEF"/>
    <w:rsid w:val="00E86DED"/>
    <w:rsid w:val="00E9066A"/>
    <w:rsid w:val="00E90949"/>
    <w:rsid w:val="00E90FDE"/>
    <w:rsid w:val="00E91C8B"/>
    <w:rsid w:val="00E91E6B"/>
    <w:rsid w:val="00E92DF0"/>
    <w:rsid w:val="00E93E79"/>
    <w:rsid w:val="00E9613E"/>
    <w:rsid w:val="00E961D2"/>
    <w:rsid w:val="00E9655F"/>
    <w:rsid w:val="00E9668C"/>
    <w:rsid w:val="00E9696B"/>
    <w:rsid w:val="00EA0635"/>
    <w:rsid w:val="00EA0BC6"/>
    <w:rsid w:val="00EA1299"/>
    <w:rsid w:val="00EA19C5"/>
    <w:rsid w:val="00EA1A07"/>
    <w:rsid w:val="00EA1CAB"/>
    <w:rsid w:val="00EA2721"/>
    <w:rsid w:val="00EA2938"/>
    <w:rsid w:val="00EA310F"/>
    <w:rsid w:val="00EA4595"/>
    <w:rsid w:val="00EA4FE4"/>
    <w:rsid w:val="00EA5F34"/>
    <w:rsid w:val="00EA63DC"/>
    <w:rsid w:val="00EA64D2"/>
    <w:rsid w:val="00EA6653"/>
    <w:rsid w:val="00EA6BAC"/>
    <w:rsid w:val="00EA7814"/>
    <w:rsid w:val="00EA7826"/>
    <w:rsid w:val="00EB02E1"/>
    <w:rsid w:val="00EB1882"/>
    <w:rsid w:val="00EB18F3"/>
    <w:rsid w:val="00EB3591"/>
    <w:rsid w:val="00EB3D19"/>
    <w:rsid w:val="00EB3DCA"/>
    <w:rsid w:val="00EB3DF7"/>
    <w:rsid w:val="00EB492D"/>
    <w:rsid w:val="00EB53C3"/>
    <w:rsid w:val="00EB5C70"/>
    <w:rsid w:val="00EB6573"/>
    <w:rsid w:val="00EB667C"/>
    <w:rsid w:val="00EB67BC"/>
    <w:rsid w:val="00EB6AF3"/>
    <w:rsid w:val="00EC0071"/>
    <w:rsid w:val="00EC05E2"/>
    <w:rsid w:val="00EC0A59"/>
    <w:rsid w:val="00EC0A9E"/>
    <w:rsid w:val="00EC1318"/>
    <w:rsid w:val="00EC15A7"/>
    <w:rsid w:val="00EC1B82"/>
    <w:rsid w:val="00EC33B6"/>
    <w:rsid w:val="00EC34B3"/>
    <w:rsid w:val="00EC3ABD"/>
    <w:rsid w:val="00EC3F3A"/>
    <w:rsid w:val="00EC405A"/>
    <w:rsid w:val="00EC5C22"/>
    <w:rsid w:val="00EC5F55"/>
    <w:rsid w:val="00EC7978"/>
    <w:rsid w:val="00ED0905"/>
    <w:rsid w:val="00ED1885"/>
    <w:rsid w:val="00ED1947"/>
    <w:rsid w:val="00ED199A"/>
    <w:rsid w:val="00ED1C33"/>
    <w:rsid w:val="00ED1F8F"/>
    <w:rsid w:val="00ED242A"/>
    <w:rsid w:val="00ED2489"/>
    <w:rsid w:val="00ED27BB"/>
    <w:rsid w:val="00ED344A"/>
    <w:rsid w:val="00ED3642"/>
    <w:rsid w:val="00ED4C69"/>
    <w:rsid w:val="00ED5FBC"/>
    <w:rsid w:val="00ED633A"/>
    <w:rsid w:val="00ED6861"/>
    <w:rsid w:val="00ED6D79"/>
    <w:rsid w:val="00ED7CAF"/>
    <w:rsid w:val="00EE0860"/>
    <w:rsid w:val="00EE0CBA"/>
    <w:rsid w:val="00EE16F5"/>
    <w:rsid w:val="00EE1AE8"/>
    <w:rsid w:val="00EE22E7"/>
    <w:rsid w:val="00EE2B28"/>
    <w:rsid w:val="00EE2B38"/>
    <w:rsid w:val="00EE3141"/>
    <w:rsid w:val="00EE3CA9"/>
    <w:rsid w:val="00EE5EEF"/>
    <w:rsid w:val="00EE611B"/>
    <w:rsid w:val="00EE670F"/>
    <w:rsid w:val="00EE720F"/>
    <w:rsid w:val="00EE765A"/>
    <w:rsid w:val="00EE7859"/>
    <w:rsid w:val="00EE7C75"/>
    <w:rsid w:val="00EF04C9"/>
    <w:rsid w:val="00EF223F"/>
    <w:rsid w:val="00EF2E7F"/>
    <w:rsid w:val="00EF2EEF"/>
    <w:rsid w:val="00EF3085"/>
    <w:rsid w:val="00EF337F"/>
    <w:rsid w:val="00EF499D"/>
    <w:rsid w:val="00EF4B59"/>
    <w:rsid w:val="00EF4CB0"/>
    <w:rsid w:val="00EF5376"/>
    <w:rsid w:val="00EF570D"/>
    <w:rsid w:val="00EF6602"/>
    <w:rsid w:val="00EF6E55"/>
    <w:rsid w:val="00EF6E90"/>
    <w:rsid w:val="00F00CDF"/>
    <w:rsid w:val="00F01D95"/>
    <w:rsid w:val="00F038C9"/>
    <w:rsid w:val="00F03AD2"/>
    <w:rsid w:val="00F03D43"/>
    <w:rsid w:val="00F045A9"/>
    <w:rsid w:val="00F0672F"/>
    <w:rsid w:val="00F06765"/>
    <w:rsid w:val="00F072F5"/>
    <w:rsid w:val="00F103F0"/>
    <w:rsid w:val="00F10505"/>
    <w:rsid w:val="00F10D5C"/>
    <w:rsid w:val="00F113CD"/>
    <w:rsid w:val="00F11AFD"/>
    <w:rsid w:val="00F12457"/>
    <w:rsid w:val="00F12581"/>
    <w:rsid w:val="00F1337C"/>
    <w:rsid w:val="00F1357F"/>
    <w:rsid w:val="00F13626"/>
    <w:rsid w:val="00F15FF8"/>
    <w:rsid w:val="00F1643D"/>
    <w:rsid w:val="00F171FD"/>
    <w:rsid w:val="00F20200"/>
    <w:rsid w:val="00F20421"/>
    <w:rsid w:val="00F20F0C"/>
    <w:rsid w:val="00F2269E"/>
    <w:rsid w:val="00F23B54"/>
    <w:rsid w:val="00F24386"/>
    <w:rsid w:val="00F243F0"/>
    <w:rsid w:val="00F246DD"/>
    <w:rsid w:val="00F24A0A"/>
    <w:rsid w:val="00F24CFB"/>
    <w:rsid w:val="00F253B2"/>
    <w:rsid w:val="00F25532"/>
    <w:rsid w:val="00F260C2"/>
    <w:rsid w:val="00F267C6"/>
    <w:rsid w:val="00F272A1"/>
    <w:rsid w:val="00F2736A"/>
    <w:rsid w:val="00F2744C"/>
    <w:rsid w:val="00F27468"/>
    <w:rsid w:val="00F275A1"/>
    <w:rsid w:val="00F303AD"/>
    <w:rsid w:val="00F3052B"/>
    <w:rsid w:val="00F317DA"/>
    <w:rsid w:val="00F317F4"/>
    <w:rsid w:val="00F31BA5"/>
    <w:rsid w:val="00F31F8A"/>
    <w:rsid w:val="00F323E7"/>
    <w:rsid w:val="00F3262D"/>
    <w:rsid w:val="00F3291C"/>
    <w:rsid w:val="00F330BA"/>
    <w:rsid w:val="00F33C99"/>
    <w:rsid w:val="00F34CF4"/>
    <w:rsid w:val="00F363F6"/>
    <w:rsid w:val="00F36FBD"/>
    <w:rsid w:val="00F36FEA"/>
    <w:rsid w:val="00F3723E"/>
    <w:rsid w:val="00F37401"/>
    <w:rsid w:val="00F3791D"/>
    <w:rsid w:val="00F402DE"/>
    <w:rsid w:val="00F405A0"/>
    <w:rsid w:val="00F40C36"/>
    <w:rsid w:val="00F40E8E"/>
    <w:rsid w:val="00F446BA"/>
    <w:rsid w:val="00F45441"/>
    <w:rsid w:val="00F45769"/>
    <w:rsid w:val="00F45CF6"/>
    <w:rsid w:val="00F46BBB"/>
    <w:rsid w:val="00F471F2"/>
    <w:rsid w:val="00F50784"/>
    <w:rsid w:val="00F51665"/>
    <w:rsid w:val="00F519AF"/>
    <w:rsid w:val="00F526F8"/>
    <w:rsid w:val="00F5341E"/>
    <w:rsid w:val="00F5476E"/>
    <w:rsid w:val="00F54E79"/>
    <w:rsid w:val="00F5562D"/>
    <w:rsid w:val="00F55B4D"/>
    <w:rsid w:val="00F55C2B"/>
    <w:rsid w:val="00F55CAA"/>
    <w:rsid w:val="00F55DD6"/>
    <w:rsid w:val="00F5639B"/>
    <w:rsid w:val="00F5689A"/>
    <w:rsid w:val="00F56F58"/>
    <w:rsid w:val="00F60F43"/>
    <w:rsid w:val="00F61858"/>
    <w:rsid w:val="00F62102"/>
    <w:rsid w:val="00F62972"/>
    <w:rsid w:val="00F63483"/>
    <w:rsid w:val="00F6350F"/>
    <w:rsid w:val="00F638CC"/>
    <w:rsid w:val="00F638FB"/>
    <w:rsid w:val="00F63F1D"/>
    <w:rsid w:val="00F64CB0"/>
    <w:rsid w:val="00F651FC"/>
    <w:rsid w:val="00F66375"/>
    <w:rsid w:val="00F669F0"/>
    <w:rsid w:val="00F66EEC"/>
    <w:rsid w:val="00F670F7"/>
    <w:rsid w:val="00F67149"/>
    <w:rsid w:val="00F67654"/>
    <w:rsid w:val="00F7059E"/>
    <w:rsid w:val="00F706DC"/>
    <w:rsid w:val="00F7078A"/>
    <w:rsid w:val="00F70E48"/>
    <w:rsid w:val="00F71016"/>
    <w:rsid w:val="00F71D14"/>
    <w:rsid w:val="00F72750"/>
    <w:rsid w:val="00F73B6E"/>
    <w:rsid w:val="00F744E0"/>
    <w:rsid w:val="00F75704"/>
    <w:rsid w:val="00F76989"/>
    <w:rsid w:val="00F77798"/>
    <w:rsid w:val="00F77C70"/>
    <w:rsid w:val="00F80423"/>
    <w:rsid w:val="00F80C85"/>
    <w:rsid w:val="00F81549"/>
    <w:rsid w:val="00F81977"/>
    <w:rsid w:val="00F81BB0"/>
    <w:rsid w:val="00F82EC3"/>
    <w:rsid w:val="00F82FF7"/>
    <w:rsid w:val="00F832BF"/>
    <w:rsid w:val="00F83664"/>
    <w:rsid w:val="00F841F1"/>
    <w:rsid w:val="00F8561B"/>
    <w:rsid w:val="00F867AC"/>
    <w:rsid w:val="00F86F55"/>
    <w:rsid w:val="00F876EA"/>
    <w:rsid w:val="00F87DEA"/>
    <w:rsid w:val="00F901C6"/>
    <w:rsid w:val="00F902B7"/>
    <w:rsid w:val="00F908AB"/>
    <w:rsid w:val="00F90B69"/>
    <w:rsid w:val="00F91DD0"/>
    <w:rsid w:val="00F92416"/>
    <w:rsid w:val="00F92C8C"/>
    <w:rsid w:val="00F931D9"/>
    <w:rsid w:val="00F93C46"/>
    <w:rsid w:val="00F94AF9"/>
    <w:rsid w:val="00F951FB"/>
    <w:rsid w:val="00F95667"/>
    <w:rsid w:val="00F95A85"/>
    <w:rsid w:val="00F95F47"/>
    <w:rsid w:val="00F96352"/>
    <w:rsid w:val="00F976E4"/>
    <w:rsid w:val="00F977A7"/>
    <w:rsid w:val="00F9798C"/>
    <w:rsid w:val="00F97BF3"/>
    <w:rsid w:val="00FA1389"/>
    <w:rsid w:val="00FA229F"/>
    <w:rsid w:val="00FA24A0"/>
    <w:rsid w:val="00FA2817"/>
    <w:rsid w:val="00FA3394"/>
    <w:rsid w:val="00FA35E2"/>
    <w:rsid w:val="00FA37A7"/>
    <w:rsid w:val="00FA3D8C"/>
    <w:rsid w:val="00FA434A"/>
    <w:rsid w:val="00FA468D"/>
    <w:rsid w:val="00FA469C"/>
    <w:rsid w:val="00FA4766"/>
    <w:rsid w:val="00FA5440"/>
    <w:rsid w:val="00FA570D"/>
    <w:rsid w:val="00FA6C86"/>
    <w:rsid w:val="00FA723D"/>
    <w:rsid w:val="00FA755E"/>
    <w:rsid w:val="00FB060E"/>
    <w:rsid w:val="00FB0987"/>
    <w:rsid w:val="00FB0AC3"/>
    <w:rsid w:val="00FB1507"/>
    <w:rsid w:val="00FB2B21"/>
    <w:rsid w:val="00FB35E9"/>
    <w:rsid w:val="00FB3940"/>
    <w:rsid w:val="00FB445F"/>
    <w:rsid w:val="00FB451F"/>
    <w:rsid w:val="00FB4756"/>
    <w:rsid w:val="00FB47C9"/>
    <w:rsid w:val="00FB546D"/>
    <w:rsid w:val="00FB5A74"/>
    <w:rsid w:val="00FB63AD"/>
    <w:rsid w:val="00FB6FD9"/>
    <w:rsid w:val="00FB7FEF"/>
    <w:rsid w:val="00FC0584"/>
    <w:rsid w:val="00FC07F3"/>
    <w:rsid w:val="00FC0CFA"/>
    <w:rsid w:val="00FC0F84"/>
    <w:rsid w:val="00FC1227"/>
    <w:rsid w:val="00FC171B"/>
    <w:rsid w:val="00FC23FD"/>
    <w:rsid w:val="00FC2429"/>
    <w:rsid w:val="00FC268C"/>
    <w:rsid w:val="00FC2EC2"/>
    <w:rsid w:val="00FC31D5"/>
    <w:rsid w:val="00FC3905"/>
    <w:rsid w:val="00FC40BE"/>
    <w:rsid w:val="00FC45ED"/>
    <w:rsid w:val="00FC4870"/>
    <w:rsid w:val="00FC4A33"/>
    <w:rsid w:val="00FC4C6E"/>
    <w:rsid w:val="00FC66D0"/>
    <w:rsid w:val="00FC672F"/>
    <w:rsid w:val="00FC6753"/>
    <w:rsid w:val="00FC6E0A"/>
    <w:rsid w:val="00FC6F4F"/>
    <w:rsid w:val="00FC7409"/>
    <w:rsid w:val="00FC74C6"/>
    <w:rsid w:val="00FC7B9B"/>
    <w:rsid w:val="00FC7EC0"/>
    <w:rsid w:val="00FD025A"/>
    <w:rsid w:val="00FD0294"/>
    <w:rsid w:val="00FD0CD6"/>
    <w:rsid w:val="00FD0EBC"/>
    <w:rsid w:val="00FD0FA9"/>
    <w:rsid w:val="00FD277C"/>
    <w:rsid w:val="00FD2873"/>
    <w:rsid w:val="00FD2F3F"/>
    <w:rsid w:val="00FD3359"/>
    <w:rsid w:val="00FD3577"/>
    <w:rsid w:val="00FD35C2"/>
    <w:rsid w:val="00FD37FF"/>
    <w:rsid w:val="00FD4D18"/>
    <w:rsid w:val="00FD4E50"/>
    <w:rsid w:val="00FD4EA4"/>
    <w:rsid w:val="00FD56D5"/>
    <w:rsid w:val="00FD5947"/>
    <w:rsid w:val="00FD6415"/>
    <w:rsid w:val="00FD656C"/>
    <w:rsid w:val="00FD6950"/>
    <w:rsid w:val="00FD6984"/>
    <w:rsid w:val="00FD707D"/>
    <w:rsid w:val="00FD70E1"/>
    <w:rsid w:val="00FD7CF4"/>
    <w:rsid w:val="00FE0296"/>
    <w:rsid w:val="00FE03C0"/>
    <w:rsid w:val="00FE1196"/>
    <w:rsid w:val="00FE13AB"/>
    <w:rsid w:val="00FE3258"/>
    <w:rsid w:val="00FE330B"/>
    <w:rsid w:val="00FE3620"/>
    <w:rsid w:val="00FE3DB6"/>
    <w:rsid w:val="00FE42A6"/>
    <w:rsid w:val="00FE487F"/>
    <w:rsid w:val="00FE66A3"/>
    <w:rsid w:val="00FE6A98"/>
    <w:rsid w:val="00FE6EAA"/>
    <w:rsid w:val="00FE783D"/>
    <w:rsid w:val="00FE7952"/>
    <w:rsid w:val="00FF123B"/>
    <w:rsid w:val="00FF18E0"/>
    <w:rsid w:val="00FF1AA3"/>
    <w:rsid w:val="00FF1BE1"/>
    <w:rsid w:val="00FF2175"/>
    <w:rsid w:val="00FF2E22"/>
    <w:rsid w:val="00FF2EBD"/>
    <w:rsid w:val="00FF4265"/>
    <w:rsid w:val="00FF4623"/>
    <w:rsid w:val="00FF47F1"/>
    <w:rsid w:val="00FF4A91"/>
    <w:rsid w:val="00FF4AEC"/>
    <w:rsid w:val="00FF503E"/>
    <w:rsid w:val="00FF5713"/>
    <w:rsid w:val="00FF578A"/>
    <w:rsid w:val="00FF5D71"/>
    <w:rsid w:val="00FF6F01"/>
    <w:rsid w:val="00FF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ru v:ext="edit" colors="red,#f60"/>
    </o:shapedefaults>
    <o:shapelayout v:ext="edit">
      <o:idmap v:ext="edit" data="1"/>
    </o:shapelayout>
  </w:shapeDefaults>
  <w:decimalSymbol w:val="."/>
  <w:listSeparator w:val=","/>
  <w14:docId w14:val="208F7302"/>
  <w15:docId w15:val="{FD26A12E-B401-4A77-8D2C-68F9ECF8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2C0A"/>
    <w:rPr>
      <w:rFonts w:ascii="Verdana" w:hAnsi="Verdana"/>
      <w:szCs w:val="24"/>
      <w:lang w:eastAsia="en-US"/>
    </w:rPr>
  </w:style>
  <w:style w:type="paragraph" w:styleId="Heading1">
    <w:name w:val="heading 1"/>
    <w:aliases w:val="Section heading"/>
    <w:basedOn w:val="Normal"/>
    <w:next w:val="Normal"/>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Sub section title,Heading 2 Char1,Heading 2 Char Char,Para Nos,Main Heading,Main Headi,Outline2,Exec,Main Heading Char,Main Headi Char,Para Nos Char,Outline2 Char,Para  Char,Exec Char,Para,Heading 2 Char1 Char,Paragraph"/>
    <w:basedOn w:val="Heading1"/>
    <w:next w:val="Normal"/>
    <w:link w:val="Heading2Char"/>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qFormat/>
    <w:rsid w:val="00843C76"/>
    <w:pPr>
      <w:outlineLvl w:val="2"/>
    </w:pPr>
    <w:rPr>
      <w:color w:val="auto"/>
      <w:sz w:val="20"/>
    </w:rPr>
  </w:style>
  <w:style w:type="paragraph" w:styleId="Heading4">
    <w:name w:val="heading 4"/>
    <w:aliases w:val="Sub-heading 2 - Italic"/>
    <w:basedOn w:val="Heading3"/>
    <w:next w:val="Normal"/>
    <w:rsid w:val="003F0946"/>
    <w:pPr>
      <w:outlineLvl w:val="3"/>
    </w:pPr>
    <w:rPr>
      <w:b w:val="0"/>
      <w:i/>
    </w:rPr>
  </w:style>
  <w:style w:type="paragraph" w:styleId="Heading5">
    <w:name w:val="heading 5"/>
    <w:aliases w:val="Sub-heading 3 - Plain"/>
    <w:basedOn w:val="Heading4"/>
    <w:next w:val="Normal"/>
    <w:rsid w:val="003F0946"/>
    <w:pPr>
      <w:outlineLvl w:val="4"/>
    </w:pPr>
    <w:rPr>
      <w:i w:val="0"/>
    </w:rPr>
  </w:style>
  <w:style w:type="paragraph" w:styleId="Heading6">
    <w:name w:val="heading 6"/>
    <w:aliases w:val="Heading 6 - Do not use"/>
    <w:basedOn w:val="Normal"/>
    <w:next w:val="Normal"/>
    <w:rsid w:val="00193BAC"/>
    <w:pPr>
      <w:spacing w:before="240" w:after="60"/>
      <w:outlineLvl w:val="5"/>
    </w:pPr>
    <w:rPr>
      <w:bCs/>
      <w:szCs w:val="22"/>
    </w:rPr>
  </w:style>
  <w:style w:type="paragraph" w:styleId="Heading7">
    <w:name w:val="heading 7"/>
    <w:aliases w:val="Heading 7 - Do not use"/>
    <w:basedOn w:val="Normal"/>
    <w:next w:val="Normal"/>
    <w:rsid w:val="00193BAC"/>
    <w:pPr>
      <w:spacing w:before="240" w:after="60"/>
      <w:outlineLvl w:val="6"/>
    </w:pPr>
  </w:style>
  <w:style w:type="paragraph" w:styleId="Heading8">
    <w:name w:val="heading 8"/>
    <w:aliases w:val="Heading 8 - Do not use"/>
    <w:basedOn w:val="Normal"/>
    <w:next w:val="Normal"/>
    <w:rsid w:val="00193BAC"/>
    <w:pPr>
      <w:spacing w:before="240" w:after="60"/>
      <w:outlineLvl w:val="7"/>
    </w:pPr>
    <w:rPr>
      <w:iCs/>
    </w:rPr>
  </w:style>
  <w:style w:type="paragraph" w:styleId="Heading9">
    <w:name w:val="heading 9"/>
    <w:aliases w:val="Heading 9 - Do not use"/>
    <w:basedOn w:val="Normal"/>
    <w:next w:val="Normal"/>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rsid w:val="001773DB"/>
    <w:rPr>
      <w:b/>
      <w:sz w:val="22"/>
    </w:rPr>
  </w:style>
  <w:style w:type="character" w:customStyle="1" w:styleId="CoverTopicChar">
    <w:name w:val="Cover_Topic Char"/>
    <w:basedOn w:val="DefaultParagraphFont"/>
    <w:link w:val="CoverTopic"/>
    <w:rsid w:val="001773DB"/>
    <w:rPr>
      <w:rFonts w:ascii="Verdana" w:hAnsi="Verdana"/>
      <w:b/>
      <w:sz w:val="22"/>
      <w:szCs w:val="24"/>
      <w:lang w:val="en-US" w:eastAsia="en-US" w:bidi="ar-SA"/>
    </w:rPr>
  </w:style>
  <w:style w:type="paragraph" w:styleId="Footer">
    <w:name w:val="footer"/>
    <w:basedOn w:val="Normal"/>
    <w:link w:val="FooterChar"/>
    <w:uiPriority w:val="99"/>
    <w:rsid w:val="005B57D5"/>
    <w:pPr>
      <w:tabs>
        <w:tab w:val="center" w:pos="4320"/>
        <w:tab w:val="right" w:pos="8640"/>
      </w:tabs>
    </w:pPr>
    <w:rPr>
      <w:sz w:val="16"/>
    </w:rPr>
  </w:style>
  <w:style w:type="character" w:customStyle="1" w:styleId="CoverTopicDetails">
    <w:name w:val="Cover_Topic Details"/>
    <w:basedOn w:val="DefaultParagraphFont"/>
    <w:rsid w:val="00AE1BF7"/>
    <w:rPr>
      <w:rFonts w:ascii="Verdana" w:hAnsi="Verdana"/>
      <w:sz w:val="20"/>
      <w:szCs w:val="24"/>
      <w:lang w:val="en-US" w:eastAsia="en-US" w:bidi="ar-SA"/>
    </w:rPr>
  </w:style>
  <w:style w:type="paragraph" w:customStyle="1" w:styleId="Text">
    <w:name w:val="Text"/>
    <w:basedOn w:val="Normal"/>
    <w:rsid w:val="0041152A"/>
    <w:pPr>
      <w:tabs>
        <w:tab w:val="left" w:pos="2581"/>
      </w:tabs>
    </w:pPr>
  </w:style>
  <w:style w:type="character" w:customStyle="1" w:styleId="CoverDocumentTypeexplanation">
    <w:name w:val="Cover_Document Type explanation"/>
    <w:basedOn w:val="DefaultParagraphFont"/>
    <w:rsid w:val="003E11D3"/>
    <w:rPr>
      <w:rFonts w:ascii="Verdana" w:hAnsi="Verdana"/>
      <w:b/>
      <w:color w:val="808080"/>
      <w:sz w:val="24"/>
      <w:szCs w:val="24"/>
      <w:lang w:val="en-US" w:eastAsia="en-US" w:bidi="ar-SA"/>
    </w:rPr>
  </w:style>
  <w:style w:type="character" w:customStyle="1" w:styleId="Text-Italics">
    <w:name w:val="Text - Italics"/>
    <w:rsid w:val="00E67C7E"/>
    <w:rPr>
      <w:rFonts w:ascii="Verdana" w:hAnsi="Verdana"/>
      <w:i/>
      <w:sz w:val="20"/>
    </w:rPr>
  </w:style>
  <w:style w:type="paragraph" w:styleId="BalloonText">
    <w:name w:val="Balloon Text"/>
    <w:basedOn w:val="Normal"/>
    <w:semiHidden/>
    <w:locked/>
    <w:rsid w:val="009676BA"/>
    <w:rPr>
      <w:rFonts w:ascii="Tahoma" w:hAnsi="Tahoma" w:cs="Tahoma"/>
      <w:sz w:val="16"/>
      <w:szCs w:val="16"/>
    </w:rPr>
  </w:style>
  <w:style w:type="paragraph" w:customStyle="1" w:styleId="Text-Numbered">
    <w:name w:val="Text - Numbered"/>
    <w:basedOn w:val="Normal"/>
    <w:qFormat/>
    <w:rsid w:val="009676BA"/>
    <w:pPr>
      <w:numPr>
        <w:numId w:val="2"/>
      </w:numPr>
    </w:pPr>
  </w:style>
  <w:style w:type="paragraph" w:customStyle="1" w:styleId="DraftCover">
    <w:name w:val="Draft Cover"/>
    <w:basedOn w:val="Normal"/>
    <w:rsid w:val="000C20CD"/>
    <w:rPr>
      <w:b/>
      <w:sz w:val="28"/>
    </w:rPr>
  </w:style>
  <w:style w:type="paragraph" w:customStyle="1" w:styleId="Tablehead">
    <w:name w:val="Table_head"/>
    <w:basedOn w:val="Normal"/>
    <w:rsid w:val="009676BA"/>
    <w:rPr>
      <w:rFonts w:cs="Arial"/>
      <w:b/>
    </w:rPr>
  </w:style>
  <w:style w:type="paragraph" w:customStyle="1" w:styleId="TableText-LeftAligned">
    <w:name w:val="Table_Text - Left Aligned"/>
    <w:basedOn w:val="Normal"/>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rsid w:val="00355FC9"/>
    <w:rPr>
      <w:rFonts w:ascii="Verdana" w:hAnsi="Verdana"/>
      <w:shd w:val="clear" w:color="auto" w:fill="EFF9FF"/>
      <w:lang w:eastAsia="en-US"/>
    </w:rPr>
  </w:style>
  <w:style w:type="paragraph" w:customStyle="1" w:styleId="AppendixSection">
    <w:name w:val="Appendix_Section"/>
    <w:basedOn w:val="Normal"/>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pPr>
    <w:rPr>
      <w:bCs/>
      <w:szCs w:val="20"/>
    </w:rPr>
  </w:style>
  <w:style w:type="paragraph" w:customStyle="1" w:styleId="Indexhead">
    <w:name w:val="Index head"/>
    <w:basedOn w:val="Normal"/>
    <w:rsid w:val="009676BA"/>
    <w:pPr>
      <w:tabs>
        <w:tab w:val="left" w:pos="2581"/>
      </w:tabs>
    </w:pPr>
    <w:rPr>
      <w:b/>
    </w:rPr>
  </w:style>
  <w:style w:type="paragraph" w:styleId="FootnoteText">
    <w:name w:val="footnote text"/>
    <w:aliases w:val="DTE-Voetnoottekst,TBG Style,ALTS FOOTNOTE,Footnote Text Char2 Char1,Footnote Text Char1 Char Char1,Footnote Text Char Char Char Char1,Footnote Text Char2 Char1 Char Char Char,Footnote Text Char1 Char Char1 Char Char Char1"/>
    <w:link w:val="FootnoteTextChar"/>
    <w:qFormat/>
    <w:locked/>
    <w:rsid w:val="00B6487F"/>
    <w:pPr>
      <w:widowControl w:val="0"/>
    </w:pPr>
    <w:rPr>
      <w:rFonts w:ascii="Verdana" w:hAnsi="Verdana"/>
      <w:sz w:val="18"/>
      <w:lang w:eastAsia="en-US"/>
    </w:rPr>
  </w:style>
  <w:style w:type="character" w:customStyle="1" w:styleId="Text-Bold">
    <w:name w:val="Text - Bold"/>
    <w:basedOn w:val="DefaultParagraphFont"/>
    <w:rsid w:val="00AE02A5"/>
    <w:rPr>
      <w:rFonts w:ascii="Verdana" w:hAnsi="Verdana"/>
      <w:b/>
      <w:bCs/>
      <w:sz w:val="20"/>
    </w:rPr>
  </w:style>
  <w:style w:type="paragraph" w:customStyle="1" w:styleId="Tableofcontents">
    <w:name w:val="Table of contents"/>
    <w:basedOn w:val="Normal"/>
    <w:rsid w:val="008C7788"/>
    <w:pPr>
      <w:tabs>
        <w:tab w:val="left" w:pos="2581"/>
      </w:tabs>
      <w:spacing w:after="200" w:line="360" w:lineRule="auto"/>
    </w:pPr>
    <w:rPr>
      <w:b/>
      <w:color w:val="365F91" w:themeColor="accent1" w:themeShade="BF"/>
      <w:sz w:val="48"/>
    </w:rPr>
  </w:style>
  <w:style w:type="paragraph" w:styleId="TOC1">
    <w:name w:val="toc 1"/>
    <w:basedOn w:val="Normal"/>
    <w:next w:val="Normal"/>
    <w:uiPriority w:val="39"/>
    <w:rsid w:val="00DE12C3"/>
    <w:pPr>
      <w:spacing w:before="120"/>
    </w:pPr>
    <w:rPr>
      <w:b/>
      <w:sz w:val="22"/>
    </w:rPr>
  </w:style>
  <w:style w:type="character" w:styleId="CommentReference">
    <w:name w:val="annotation reference"/>
    <w:basedOn w:val="DefaultParagraphFont"/>
    <w:uiPriority w:val="99"/>
    <w:locked/>
    <w:rsid w:val="009676BA"/>
    <w:rPr>
      <w:sz w:val="16"/>
      <w:szCs w:val="16"/>
    </w:rPr>
  </w:style>
  <w:style w:type="paragraph" w:styleId="CommentText">
    <w:name w:val="annotation text"/>
    <w:basedOn w:val="Normal"/>
    <w:link w:val="CommentTextChar"/>
    <w:uiPriority w:val="99"/>
    <w:locked/>
    <w:rsid w:val="009676BA"/>
    <w:rPr>
      <w:szCs w:val="20"/>
    </w:rPr>
  </w:style>
  <w:style w:type="paragraph" w:customStyle="1" w:styleId="GlossaryHead">
    <w:name w:val="Glossary Head"/>
    <w:basedOn w:val="Normal"/>
    <w:rsid w:val="002138C8"/>
    <w:rPr>
      <w:rFonts w:cs="Arial"/>
      <w:b/>
      <w:caps/>
      <w:szCs w:val="22"/>
    </w:rPr>
  </w:style>
  <w:style w:type="paragraph" w:customStyle="1" w:styleId="GlossarySub-head">
    <w:name w:val="Glossary Sub-head"/>
    <w:basedOn w:val="GlossaryHead"/>
    <w:rsid w:val="002138C8"/>
    <w:rPr>
      <w:b w:val="0"/>
      <w:caps w:val="0"/>
      <w:color w:val="333399"/>
      <w:szCs w:val="20"/>
    </w:rPr>
  </w:style>
  <w:style w:type="paragraph" w:customStyle="1" w:styleId="Glossarytext">
    <w:name w:val="Glossary text"/>
    <w:basedOn w:val="Normal"/>
    <w:rsid w:val="009676BA"/>
    <w:rPr>
      <w:rFonts w:cs="Arial"/>
      <w:szCs w:val="17"/>
    </w:rPr>
  </w:style>
  <w:style w:type="paragraph" w:styleId="TOC2">
    <w:name w:val="toc 2"/>
    <w:basedOn w:val="Normal"/>
    <w:next w:val="Normal"/>
    <w:uiPriority w:val="39"/>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uiPriority w:val="39"/>
    <w:rsid w:val="009676BA"/>
    <w:pPr>
      <w:ind w:left="480"/>
    </w:pPr>
  </w:style>
  <w:style w:type="paragraph" w:styleId="Header">
    <w:name w:val="header"/>
    <w:basedOn w:val="Normal"/>
    <w:link w:val="HeaderChar"/>
    <w:uiPriority w:val="99"/>
    <w:rsid w:val="00A43C7B"/>
    <w:pPr>
      <w:tabs>
        <w:tab w:val="center" w:pos="4320"/>
        <w:tab w:val="right" w:pos="8640"/>
      </w:tabs>
    </w:pPr>
  </w:style>
  <w:style w:type="character" w:customStyle="1" w:styleId="Text-underlined">
    <w:name w:val="Text - underlined"/>
    <w:basedOn w:val="DefaultParagraphFont"/>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qFormat/>
    <w:rsid w:val="00A71648"/>
    <w:pPr>
      <w:numPr>
        <w:ilvl w:val="1"/>
        <w:numId w:val="4"/>
      </w:numPr>
      <w:spacing w:before="360" w:after="360"/>
    </w:pPr>
    <w:rPr>
      <w:szCs w:val="20"/>
    </w:rPr>
  </w:style>
  <w:style w:type="character" w:styleId="FootnoteReference">
    <w:name w:val="footnote reference"/>
    <w:aliases w:val="FR,Appel note de bas de p,fr,o,Ref,de nota al pie,Footnote symbol,Footnote,Footnote number,(NECG) Footnote Reference,Footnote Text Char1,Footnote Text Char Char,note TESI,Texto nota pie Car Char1,fn Char1,ALTS FOOTNOTE Char1"/>
    <w:basedOn w:val="DefaultParagraphFont"/>
    <w:locked/>
    <w:rsid w:val="00B6487F"/>
    <w:rPr>
      <w:rFonts w:ascii="Verdana" w:hAnsi="Verdana"/>
      <w:vertAlign w:val="superscript"/>
    </w:rPr>
  </w:style>
  <w:style w:type="paragraph" w:customStyle="1" w:styleId="FootnoteText1">
    <w:name w:val="Footnote Text1"/>
    <w:rsid w:val="00181E7A"/>
    <w:rPr>
      <w:rFonts w:ascii="Verdana" w:hAnsi="Verdana"/>
      <w:sz w:val="18"/>
      <w:szCs w:val="16"/>
      <w:lang w:eastAsia="en-US"/>
    </w:rPr>
  </w:style>
  <w:style w:type="paragraph" w:customStyle="1" w:styleId="Text-LeftAilgned">
    <w:name w:val="Text - Left Ailgned"/>
    <w:basedOn w:val="Normal"/>
    <w:link w:val="Text-LeftAilgnedChar"/>
    <w:rsid w:val="002D7B35"/>
    <w:pPr>
      <w:tabs>
        <w:tab w:val="left" w:pos="2581"/>
      </w:tabs>
    </w:pPr>
  </w:style>
  <w:style w:type="character" w:customStyle="1" w:styleId="Text-LeftAilgnedChar">
    <w:name w:val="Text - Left Ailgned Char"/>
    <w:basedOn w:val="DefaultParagraphFont"/>
    <w:link w:val="Text-LeftAilgned"/>
    <w:rsid w:val="002D7B35"/>
    <w:rPr>
      <w:rFonts w:ascii="Verdana" w:hAnsi="Verdana"/>
      <w:szCs w:val="24"/>
      <w:lang w:val="en-US" w:eastAsia="en-US" w:bidi="ar-SA"/>
    </w:rPr>
  </w:style>
  <w:style w:type="paragraph" w:customStyle="1" w:styleId="Text-RightAligned">
    <w:name w:val="Text - Right Aligned"/>
    <w:basedOn w:val="Normal"/>
    <w:rsid w:val="002D7B35"/>
    <w:pPr>
      <w:tabs>
        <w:tab w:val="left" w:pos="2581"/>
      </w:tabs>
      <w:jc w:val="right"/>
    </w:pPr>
  </w:style>
  <w:style w:type="paragraph" w:customStyle="1" w:styleId="Text-Romannumbered">
    <w:name w:val="Text - Roman numbered"/>
    <w:basedOn w:val="Text-bulleted"/>
    <w:rsid w:val="005B57D5"/>
    <w:pPr>
      <w:numPr>
        <w:numId w:val="3"/>
      </w:numPr>
    </w:pPr>
  </w:style>
  <w:style w:type="paragraph" w:customStyle="1" w:styleId="Textbox-BulletedBold">
    <w:name w:val="Text box - Bulleted Bold"/>
    <w:basedOn w:val="Textbox-Bullted"/>
    <w:link w:val="Textbox-BulletedBoldChar"/>
    <w:rsid w:val="00D656A5"/>
    <w:rPr>
      <w:b/>
      <w:bCs/>
    </w:rPr>
  </w:style>
  <w:style w:type="character" w:customStyle="1" w:styleId="Textbox-BulletedBoldChar">
    <w:name w:val="Text box - Bulleted Bold Char"/>
    <w:basedOn w:val="Textbox-BulltedChar"/>
    <w:link w:val="Textbox-BulletedBold"/>
    <w:rsid w:val="00D656A5"/>
    <w:rPr>
      <w:rFonts w:ascii="Verdana" w:hAnsi="Verdana"/>
      <w:b/>
      <w:bCs/>
      <w:shd w:val="clear" w:color="auto" w:fill="EFF9FF"/>
      <w:lang w:eastAsia="en-US"/>
    </w:rPr>
  </w:style>
  <w:style w:type="paragraph" w:customStyle="1" w:styleId="Textbox">
    <w:name w:val="Text box"/>
    <w:basedOn w:val="Normal"/>
    <w:uiPriority w:val="99"/>
    <w:rsid w:val="00355FC9"/>
    <w:pPr>
      <w:shd w:val="clear" w:color="auto" w:fill="EFF9FF"/>
    </w:pPr>
  </w:style>
  <w:style w:type="paragraph" w:customStyle="1" w:styleId="Text-bulleted-Bold">
    <w:name w:val="Text - bulleted - Bold"/>
    <w:basedOn w:val="Text-bulleted"/>
    <w:rsid w:val="003D114B"/>
    <w:rPr>
      <w:b/>
      <w:bCs/>
    </w:rPr>
  </w:style>
  <w:style w:type="paragraph" w:customStyle="1" w:styleId="ParagrapghBold">
    <w:name w:val="Paragrapgh + Bold"/>
    <w:basedOn w:val="Paragrapgh"/>
    <w:qFormat/>
    <w:rsid w:val="00794884"/>
    <w:pPr>
      <w:spacing w:before="120"/>
    </w:pPr>
    <w:rPr>
      <w:b/>
      <w:bCs/>
    </w:rPr>
  </w:style>
  <w:style w:type="paragraph" w:customStyle="1" w:styleId="StyleTableText-RightAligned">
    <w:name w:val="Style Table_Text - Right Aligned"/>
    <w:basedOn w:val="TableText-LeftAligned"/>
    <w:rsid w:val="00961DE2"/>
    <w:pPr>
      <w:jc w:val="right"/>
    </w:pPr>
    <w:rPr>
      <w:szCs w:val="20"/>
    </w:rPr>
  </w:style>
  <w:style w:type="paragraph" w:customStyle="1" w:styleId="TableText-Centered">
    <w:name w:val="Table_Text - Centered"/>
    <w:basedOn w:val="TableText-LeftAligned"/>
    <w:rsid w:val="00961DE2"/>
    <w:pPr>
      <w:jc w:val="center"/>
    </w:pPr>
    <w:rPr>
      <w:szCs w:val="20"/>
    </w:rPr>
  </w:style>
  <w:style w:type="character" w:styleId="PageNumber">
    <w:name w:val="page number"/>
    <w:basedOn w:val="DefaultParagraphFont"/>
    <w:rsid w:val="005B57D5"/>
    <w:rPr>
      <w:rFonts w:ascii="Verdana" w:hAnsi="Verdana"/>
      <w:sz w:val="16"/>
    </w:rPr>
  </w:style>
  <w:style w:type="paragraph" w:customStyle="1" w:styleId="Text-Centered">
    <w:name w:val="Text - Centered"/>
    <w:basedOn w:val="TableText-LeftAligned"/>
    <w:rsid w:val="00365389"/>
    <w:pPr>
      <w:jc w:val="center"/>
    </w:pPr>
    <w:rPr>
      <w:szCs w:val="20"/>
    </w:rPr>
  </w:style>
  <w:style w:type="paragraph" w:customStyle="1" w:styleId="TableText-Centered0">
    <w:name w:val="Table Text - Centered"/>
    <w:basedOn w:val="TableText-LeftAligned"/>
    <w:rsid w:val="00365389"/>
    <w:pPr>
      <w:jc w:val="center"/>
    </w:pPr>
    <w:rPr>
      <w:szCs w:val="20"/>
    </w:rPr>
  </w:style>
  <w:style w:type="character" w:customStyle="1" w:styleId="Text-Italicsbold">
    <w:name w:val="Text - Italics + bold"/>
    <w:basedOn w:val="DefaultParagraphFont"/>
    <w:rsid w:val="001F559A"/>
    <w:rPr>
      <w:rFonts w:ascii="Verdana" w:hAnsi="Verdana"/>
      <w:b/>
      <w:i/>
      <w:sz w:val="20"/>
    </w:rPr>
  </w:style>
  <w:style w:type="paragraph" w:customStyle="1" w:styleId="Appendixtext-Numbered">
    <w:name w:val="Appendix text - Numbered"/>
    <w:basedOn w:val="Normal"/>
    <w:link w:val="Appendixtext-NumberedChar"/>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rsid w:val="00171596"/>
    <w:rPr>
      <w:rFonts w:ascii="Verdana" w:hAnsi="Verdana"/>
      <w:szCs w:val="24"/>
      <w:lang w:eastAsia="en-US"/>
    </w:rPr>
  </w:style>
  <w:style w:type="paragraph" w:customStyle="1" w:styleId="TopSectionHeadings">
    <w:name w:val="Top Section Headings"/>
    <w:basedOn w:val="Normal"/>
    <w:link w:val="TopSectionHeadingsChar"/>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rsid w:val="003A6B2E"/>
    <w:rPr>
      <w:rFonts w:ascii="Verdana" w:hAnsi="Verdana"/>
      <w:sz w:val="28"/>
      <w:szCs w:val="24"/>
      <w:lang w:eastAsia="en-US"/>
    </w:rPr>
  </w:style>
  <w:style w:type="paragraph" w:customStyle="1" w:styleId="ParagrapghItalic">
    <w:name w:val="Paragrapgh + Italic"/>
    <w:basedOn w:val="Paragrapgh"/>
    <w:qFormat/>
    <w:rsid w:val="00794884"/>
    <w:pPr>
      <w:spacing w:before="120"/>
    </w:pPr>
    <w:rPr>
      <w:i/>
      <w:iCs/>
    </w:rPr>
  </w:style>
  <w:style w:type="paragraph" w:customStyle="1" w:styleId="Frontcoverfooter-bold">
    <w:name w:val="Front cover footer - bold"/>
    <w:basedOn w:val="Normal"/>
    <w:rsid w:val="008B24C4"/>
    <w:pPr>
      <w:jc w:val="right"/>
    </w:pPr>
    <w:rPr>
      <w:b/>
      <w:color w:val="FFFFFF"/>
      <w:spacing w:val="6"/>
      <w:position w:val="10"/>
      <w:szCs w:val="20"/>
    </w:rPr>
  </w:style>
  <w:style w:type="paragraph" w:customStyle="1" w:styleId="Text-LowerCaseLetter">
    <w:name w:val="Text - Lower Case Letter"/>
    <w:basedOn w:val="Normal"/>
    <w:rsid w:val="002D7B35"/>
    <w:pPr>
      <w:numPr>
        <w:numId w:val="7"/>
      </w:numPr>
      <w:tabs>
        <w:tab w:val="left" w:pos="2581"/>
      </w:tabs>
    </w:pPr>
  </w:style>
  <w:style w:type="paragraph" w:customStyle="1" w:styleId="Frontcoverpunchline">
    <w:name w:val="Front cover punchline"/>
    <w:basedOn w:val="Normal"/>
    <w:rsid w:val="008B24C4"/>
    <w:pPr>
      <w:jc w:val="right"/>
    </w:pPr>
    <w:rPr>
      <w:color w:val="FFFFFF"/>
      <w:spacing w:val="6"/>
      <w:position w:val="10"/>
      <w:szCs w:val="20"/>
    </w:rPr>
  </w:style>
  <w:style w:type="paragraph" w:customStyle="1" w:styleId="ParagrapghUnderline">
    <w:name w:val="Paragrapgh + Underline"/>
    <w:basedOn w:val="Paragrapgh"/>
    <w:rsid w:val="00794884"/>
    <w:pPr>
      <w:spacing w:before="120"/>
    </w:pPr>
    <w:rPr>
      <w:u w:val="single"/>
    </w:rPr>
  </w:style>
  <w:style w:type="paragraph" w:styleId="CommentSubject">
    <w:name w:val="annotation subject"/>
    <w:basedOn w:val="CommentText"/>
    <w:next w:val="CommentText"/>
    <w:semiHidden/>
    <w:locked/>
    <w:rsid w:val="00E72312"/>
    <w:rPr>
      <w:b/>
      <w:bCs/>
    </w:rPr>
  </w:style>
  <w:style w:type="paragraph" w:styleId="DocumentMap">
    <w:name w:val="Document Map"/>
    <w:basedOn w:val="Normal"/>
    <w:semiHidden/>
    <w:locked/>
    <w:rsid w:val="00E72312"/>
    <w:pPr>
      <w:shd w:val="clear" w:color="auto" w:fill="000080"/>
    </w:pPr>
    <w:rPr>
      <w:rFonts w:ascii="Tahoma" w:hAnsi="Tahoma" w:cs="Tahoma"/>
      <w:szCs w:val="20"/>
    </w:rPr>
  </w:style>
  <w:style w:type="paragraph" w:styleId="EndnoteText">
    <w:name w:val="endnote text"/>
    <w:basedOn w:val="Normal"/>
    <w:semiHidden/>
    <w:locked/>
    <w:rsid w:val="00E72312"/>
    <w:rPr>
      <w:szCs w:val="20"/>
    </w:rPr>
  </w:style>
  <w:style w:type="paragraph" w:styleId="Index1">
    <w:name w:val="index 1"/>
    <w:basedOn w:val="Normal"/>
    <w:next w:val="Normal"/>
    <w:semiHidden/>
    <w:locked/>
    <w:rsid w:val="00E72312"/>
    <w:pPr>
      <w:ind w:left="200" w:hanging="200"/>
    </w:pPr>
  </w:style>
  <w:style w:type="paragraph" w:styleId="Index2">
    <w:name w:val="index 2"/>
    <w:basedOn w:val="Normal"/>
    <w:next w:val="Normal"/>
    <w:semiHidden/>
    <w:locked/>
    <w:rsid w:val="00E72312"/>
    <w:pPr>
      <w:ind w:left="400" w:hanging="200"/>
    </w:pPr>
  </w:style>
  <w:style w:type="paragraph" w:styleId="Index3">
    <w:name w:val="index 3"/>
    <w:basedOn w:val="Normal"/>
    <w:next w:val="Normal"/>
    <w:semiHidden/>
    <w:locked/>
    <w:rsid w:val="00E72312"/>
    <w:pPr>
      <w:ind w:left="600" w:hanging="200"/>
    </w:pPr>
  </w:style>
  <w:style w:type="paragraph" w:styleId="Index4">
    <w:name w:val="index 4"/>
    <w:basedOn w:val="Normal"/>
    <w:next w:val="Normal"/>
    <w:semiHidden/>
    <w:locked/>
    <w:rsid w:val="00E72312"/>
    <w:pPr>
      <w:ind w:left="800" w:hanging="200"/>
    </w:pPr>
  </w:style>
  <w:style w:type="paragraph" w:styleId="Index5">
    <w:name w:val="index 5"/>
    <w:basedOn w:val="Normal"/>
    <w:next w:val="Normal"/>
    <w:semiHidden/>
    <w:locked/>
    <w:rsid w:val="00E72312"/>
    <w:pPr>
      <w:ind w:left="1000" w:hanging="200"/>
    </w:pPr>
  </w:style>
  <w:style w:type="paragraph" w:styleId="Index6">
    <w:name w:val="index 6"/>
    <w:basedOn w:val="Normal"/>
    <w:next w:val="Normal"/>
    <w:semiHidden/>
    <w:locked/>
    <w:rsid w:val="00E72312"/>
    <w:pPr>
      <w:ind w:left="1200" w:hanging="200"/>
    </w:pPr>
  </w:style>
  <w:style w:type="paragraph" w:styleId="Index7">
    <w:name w:val="index 7"/>
    <w:basedOn w:val="Normal"/>
    <w:next w:val="Normal"/>
    <w:semiHidden/>
    <w:locked/>
    <w:rsid w:val="00E72312"/>
    <w:pPr>
      <w:ind w:left="1400" w:hanging="200"/>
    </w:pPr>
  </w:style>
  <w:style w:type="paragraph" w:styleId="Index8">
    <w:name w:val="index 8"/>
    <w:basedOn w:val="Normal"/>
    <w:next w:val="Normal"/>
    <w:semiHidden/>
    <w:locked/>
    <w:rsid w:val="00E72312"/>
    <w:pPr>
      <w:ind w:left="1600" w:hanging="200"/>
    </w:pPr>
  </w:style>
  <w:style w:type="paragraph" w:styleId="Index9">
    <w:name w:val="index 9"/>
    <w:basedOn w:val="Normal"/>
    <w:next w:val="Normal"/>
    <w:semiHidden/>
    <w:locked/>
    <w:rsid w:val="00E72312"/>
    <w:pPr>
      <w:ind w:left="1800" w:hanging="200"/>
    </w:pPr>
  </w:style>
  <w:style w:type="paragraph" w:styleId="IndexHeading">
    <w:name w:val="index heading"/>
    <w:basedOn w:val="Normal"/>
    <w:next w:val="Index1"/>
    <w:semiHidden/>
    <w:locked/>
    <w:rsid w:val="00E72312"/>
    <w:rPr>
      <w:rFonts w:ascii="Arial" w:hAnsi="Arial" w:cs="Arial"/>
      <w:b/>
      <w:bCs/>
    </w:rPr>
  </w:style>
  <w:style w:type="paragraph" w:styleId="MacroText">
    <w:name w:val="macro"/>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E72312"/>
    <w:pPr>
      <w:ind w:left="200" w:hanging="200"/>
    </w:pPr>
  </w:style>
  <w:style w:type="paragraph" w:styleId="TableofFigures">
    <w:name w:val="table of figures"/>
    <w:basedOn w:val="Normal"/>
    <w:next w:val="Normal"/>
    <w:semiHidden/>
    <w:locked/>
    <w:rsid w:val="00E72312"/>
  </w:style>
  <w:style w:type="paragraph" w:styleId="TOAHeading">
    <w:name w:val="toa heading"/>
    <w:basedOn w:val="Normal"/>
    <w:next w:val="Normal"/>
    <w:semiHidden/>
    <w:rsid w:val="00E72312"/>
    <w:pPr>
      <w:spacing w:before="120"/>
    </w:pPr>
    <w:rPr>
      <w:rFonts w:ascii="Arial" w:hAnsi="Arial" w:cs="Arial"/>
      <w:b/>
      <w:bCs/>
      <w:sz w:val="24"/>
    </w:rPr>
  </w:style>
  <w:style w:type="paragraph" w:styleId="TOC4">
    <w:name w:val="toc 4"/>
    <w:basedOn w:val="Normal"/>
    <w:next w:val="Normal"/>
    <w:semiHidden/>
    <w:rsid w:val="00E72312"/>
    <w:pPr>
      <w:ind w:left="600"/>
    </w:pPr>
  </w:style>
  <w:style w:type="paragraph" w:styleId="TOC5">
    <w:name w:val="toc 5"/>
    <w:basedOn w:val="Normal"/>
    <w:next w:val="Normal"/>
    <w:semiHidden/>
    <w:rsid w:val="00E72312"/>
    <w:pPr>
      <w:ind w:left="800"/>
    </w:pPr>
  </w:style>
  <w:style w:type="paragraph" w:styleId="TOC6">
    <w:name w:val="toc 6"/>
    <w:basedOn w:val="Normal"/>
    <w:next w:val="Normal"/>
    <w:semiHidden/>
    <w:rsid w:val="00E72312"/>
    <w:pPr>
      <w:ind w:left="1000"/>
    </w:pPr>
  </w:style>
  <w:style w:type="paragraph" w:styleId="TOC7">
    <w:name w:val="toc 7"/>
    <w:basedOn w:val="Normal"/>
    <w:next w:val="Normal"/>
    <w:semiHidden/>
    <w:rsid w:val="00E72312"/>
    <w:pPr>
      <w:ind w:left="1200"/>
    </w:pPr>
  </w:style>
  <w:style w:type="paragraph" w:styleId="TOC8">
    <w:name w:val="toc 8"/>
    <w:basedOn w:val="Normal"/>
    <w:next w:val="Normal"/>
    <w:semiHidden/>
    <w:rsid w:val="00E72312"/>
    <w:pPr>
      <w:ind w:left="1400"/>
    </w:pPr>
  </w:style>
  <w:style w:type="paragraph" w:styleId="TOC9">
    <w:name w:val="toc 9"/>
    <w:basedOn w:val="Normal"/>
    <w:next w:val="Normal"/>
    <w:semiHidden/>
    <w:rsid w:val="00E72312"/>
    <w:pPr>
      <w:ind w:left="1600"/>
    </w:pPr>
  </w:style>
  <w:style w:type="table" w:styleId="TableGrid">
    <w:name w:val="Table Grid"/>
    <w:basedOn w:val="TableNormal"/>
    <w:locked/>
    <w:rsid w:val="003B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rFonts w:ascii="Verdana" w:hAnsi="Verdana"/>
      <w:b/>
      <w:shd w:val="clear" w:color="auto" w:fill="EEECE1"/>
      <w:lang w:eastAsia="en-US"/>
    </w:rPr>
  </w:style>
  <w:style w:type="character" w:customStyle="1" w:styleId="HeaderChar">
    <w:name w:val="Header Char"/>
    <w:basedOn w:val="DefaultParagraphFont"/>
    <w:link w:val="Header"/>
    <w:uiPriority w:val="99"/>
    <w:rsid w:val="002B72E8"/>
    <w:rPr>
      <w:rFonts w:ascii="Verdana" w:hAnsi="Verdana"/>
      <w:szCs w:val="24"/>
      <w:lang w:eastAsia="en-US"/>
    </w:rPr>
  </w:style>
  <w:style w:type="character" w:customStyle="1" w:styleId="FootnoteTextChar">
    <w:name w:val="Footnote Text Char"/>
    <w:aliases w:val="DTE-Voetnoottekst Char,TBG Style Char,ALTS FOOTNOTE Char,Footnote Text Char2 Char1 Char,Footnote Text Char1 Char Char1 Char,Footnote Text Char Char Char Char1 Char,Footnote Text Char2 Char1 Char Char Char Char"/>
    <w:basedOn w:val="DefaultParagraphFont"/>
    <w:link w:val="FootnoteText"/>
    <w:uiPriority w:val="99"/>
    <w:rsid w:val="006C2025"/>
    <w:rPr>
      <w:rFonts w:ascii="Verdana" w:hAnsi="Verdana"/>
      <w:sz w:val="18"/>
      <w:lang w:eastAsia="en-US"/>
    </w:rPr>
  </w:style>
  <w:style w:type="character" w:customStyle="1" w:styleId="CommentTextChar">
    <w:name w:val="Comment Text Char"/>
    <w:basedOn w:val="DefaultParagraphFont"/>
    <w:link w:val="CommentText"/>
    <w:uiPriority w:val="99"/>
    <w:rsid w:val="006C2025"/>
    <w:rPr>
      <w:rFonts w:ascii="Verdana" w:hAnsi="Verdana"/>
      <w:lang w:eastAsia="en-US"/>
    </w:rPr>
  </w:style>
  <w:style w:type="paragraph" w:styleId="NormalWeb">
    <w:name w:val="Normal (Web)"/>
    <w:basedOn w:val="Normal"/>
    <w:uiPriority w:val="99"/>
    <w:unhideWhenUsed/>
    <w:rsid w:val="006B65B1"/>
    <w:pPr>
      <w:spacing w:after="533"/>
    </w:pPr>
    <w:rPr>
      <w:rFonts w:ascii="Times New Roman" w:hAnsi="Times New Roman"/>
      <w:sz w:val="24"/>
      <w:lang w:val="en-US"/>
    </w:rPr>
  </w:style>
  <w:style w:type="character" w:customStyle="1" w:styleId="Heading2Char">
    <w:name w:val="Heading 2 Char"/>
    <w:aliases w:val="Main Heading - Colour Char,Sub section title Char,Heading 2 Char1 Char1,Heading 2 Char Char Char,Para Nos Char1,Main Heading Char1,Main Headi Char1,Outline2 Char1,Exec Char1,Main Heading Char Char,Main Headi Char Char,Para Nos Char Char"/>
    <w:basedOn w:val="DefaultParagraphFont"/>
    <w:link w:val="Heading2"/>
    <w:rsid w:val="00AD3D5D"/>
    <w:rPr>
      <w:rFonts w:ascii="Verdana" w:hAnsi="Verdana"/>
      <w:b/>
      <w:color w:val="365F91" w:themeColor="accent1" w:themeShade="BF"/>
      <w:sz w:val="24"/>
      <w:szCs w:val="24"/>
      <w:lang w:eastAsia="en-US"/>
    </w:rPr>
  </w:style>
  <w:style w:type="paragraph" w:styleId="ListParagraph">
    <w:name w:val="List Paragraph"/>
    <w:basedOn w:val="Normal"/>
    <w:uiPriority w:val="34"/>
    <w:qFormat/>
    <w:locked/>
    <w:rsid w:val="00E37478"/>
    <w:pPr>
      <w:ind w:left="720"/>
      <w:contextualSpacing/>
    </w:pPr>
  </w:style>
  <w:style w:type="paragraph" w:styleId="Revision">
    <w:name w:val="Revision"/>
    <w:hidden/>
    <w:uiPriority w:val="99"/>
    <w:semiHidden/>
    <w:rsid w:val="00E37478"/>
    <w:rPr>
      <w:rFonts w:ascii="Verdana" w:hAnsi="Verdana"/>
      <w:szCs w:val="24"/>
      <w:lang w:eastAsia="en-US"/>
    </w:rPr>
  </w:style>
  <w:style w:type="paragraph" w:customStyle="1" w:styleId="Default">
    <w:name w:val="Default"/>
    <w:rsid w:val="00520231"/>
    <w:pPr>
      <w:autoSpaceDE w:val="0"/>
      <w:autoSpaceDN w:val="0"/>
      <w:adjustRightInd w:val="0"/>
    </w:pPr>
    <w:rPr>
      <w:rFonts w:ascii="Verdana" w:hAnsi="Verdana" w:cs="Verdana"/>
      <w:color w:val="000000"/>
      <w:sz w:val="24"/>
      <w:szCs w:val="24"/>
      <w:lang w:val="en-US"/>
    </w:rPr>
  </w:style>
  <w:style w:type="character" w:styleId="FollowedHyperlink">
    <w:name w:val="FollowedHyperlink"/>
    <w:basedOn w:val="DefaultParagraphFont"/>
    <w:locked/>
    <w:rsid w:val="002C3F9C"/>
    <w:rPr>
      <w:color w:val="800080" w:themeColor="followedHyperlink"/>
      <w:u w:val="single"/>
    </w:rPr>
  </w:style>
  <w:style w:type="character" w:customStyle="1" w:styleId="field-content">
    <w:name w:val="field-content"/>
    <w:basedOn w:val="DefaultParagraphFont"/>
    <w:rsid w:val="00125A30"/>
  </w:style>
  <w:style w:type="character" w:customStyle="1" w:styleId="FooterChar">
    <w:name w:val="Footer Char"/>
    <w:basedOn w:val="DefaultParagraphFont"/>
    <w:link w:val="Footer"/>
    <w:uiPriority w:val="99"/>
    <w:rsid w:val="001178CD"/>
    <w:rPr>
      <w:rFonts w:ascii="Verdana" w:hAnsi="Verdana"/>
      <w:sz w:val="16"/>
      <w:szCs w:val="24"/>
      <w:lang w:eastAsia="en-US"/>
    </w:rPr>
  </w:style>
  <w:style w:type="paragraph" w:customStyle="1" w:styleId="TNSSubHeading">
    <w:name w:val="TNS Sub Heading"/>
    <w:basedOn w:val="Normal"/>
    <w:qFormat/>
    <w:rsid w:val="00BB18E5"/>
    <w:pPr>
      <w:spacing w:before="360" w:after="120" w:line="280" w:lineRule="exact"/>
    </w:pPr>
    <w:rPr>
      <w:rFonts w:eastAsia="Calibri"/>
      <w:b/>
      <w:noProof/>
      <w:color w:val="333333"/>
      <w:szCs w:val="20"/>
      <w:lang w:val="en-AU" w:eastAsia="en-AU"/>
    </w:rPr>
  </w:style>
  <w:style w:type="paragraph" w:customStyle="1" w:styleId="Title1">
    <w:name w:val="Title1"/>
    <w:basedOn w:val="Normal"/>
    <w:rsid w:val="005C11A6"/>
    <w:pPr>
      <w:spacing w:after="120"/>
    </w:pPr>
    <w:rPr>
      <w:rFonts w:cs="Arial"/>
      <w:sz w:val="32"/>
      <w:szCs w:val="32"/>
      <w:lang w:eastAsia="en-GB"/>
    </w:rPr>
  </w:style>
  <w:style w:type="paragraph" w:customStyle="1" w:styleId="Paragraphnumbered">
    <w:name w:val="Paragraph (numbered)"/>
    <w:basedOn w:val="Heading2"/>
    <w:rsid w:val="002D1F27"/>
    <w:pPr>
      <w:numPr>
        <w:ilvl w:val="1"/>
      </w:numPr>
      <w:tabs>
        <w:tab w:val="clear" w:pos="2581"/>
        <w:tab w:val="num" w:pos="2989"/>
      </w:tabs>
      <w:spacing w:before="240" w:after="240"/>
      <w:ind w:left="2701" w:hanging="432"/>
    </w:pPr>
    <w:rPr>
      <w:rFonts w:cs="Arial"/>
      <w:b w:val="0"/>
      <w:bCs/>
      <w:iCs/>
      <w:color w:val="auto"/>
      <w:sz w:val="20"/>
      <w:szCs w:val="28"/>
      <w:lang w:eastAsia="en-GB"/>
    </w:rPr>
  </w:style>
  <w:style w:type="paragraph" w:styleId="ListBullet3">
    <w:name w:val="List Bullet 3"/>
    <w:basedOn w:val="Normal"/>
    <w:rsid w:val="00325023"/>
    <w:pPr>
      <w:numPr>
        <w:numId w:val="15"/>
      </w:numPr>
    </w:pPr>
    <w:rPr>
      <w:rFonts w:cs="Arial"/>
      <w:szCs w:val="22"/>
      <w:lang w:eastAsia="en-GB"/>
    </w:rPr>
  </w:style>
  <w:style w:type="paragraph" w:styleId="Caption">
    <w:name w:val="caption"/>
    <w:basedOn w:val="Normal"/>
    <w:next w:val="Normal"/>
    <w:qFormat/>
    <w:rsid w:val="00232EAC"/>
    <w:rPr>
      <w:rFonts w:cs="Arial"/>
      <w:b/>
      <w:bCs/>
      <w:szCs w:val="20"/>
      <w:lang w:eastAsia="en-GB"/>
    </w:rPr>
  </w:style>
  <w:style w:type="paragraph" w:styleId="ListNumber5">
    <w:name w:val="List Number 5"/>
    <w:basedOn w:val="Normal"/>
    <w:rsid w:val="00312C59"/>
    <w:pPr>
      <w:numPr>
        <w:numId w:val="19"/>
      </w:numPr>
    </w:pPr>
    <w:rPr>
      <w:rFonts w:cs="Arial"/>
      <w:szCs w:val="22"/>
      <w:lang w:eastAsia="en-GB"/>
    </w:rPr>
  </w:style>
  <w:style w:type="paragraph" w:styleId="TOCHeading">
    <w:name w:val="TOC Heading"/>
    <w:basedOn w:val="Heading1"/>
    <w:next w:val="Normal"/>
    <w:uiPriority w:val="39"/>
    <w:unhideWhenUsed/>
    <w:qFormat/>
    <w:rsid w:val="00FC23FD"/>
    <w:pPr>
      <w:keepNext/>
      <w:keepLines/>
      <w:pBdr>
        <w:bottom w:val="none" w:sz="0" w:space="0" w:color="auto"/>
      </w:pBdr>
      <w:tabs>
        <w:tab w:val="clear" w:pos="2581"/>
      </w:tabs>
      <w:spacing w:before="240" w:after="0" w:line="259" w:lineRule="auto"/>
      <w:outlineLvl w:val="9"/>
    </w:pPr>
    <w:rPr>
      <w:rFonts w:asciiTheme="majorHAnsi" w:eastAsiaTheme="majorEastAsia" w:hAnsiTheme="majorHAnsi" w:cstheme="majorBidi"/>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989">
      <w:bodyDiv w:val="1"/>
      <w:marLeft w:val="0"/>
      <w:marRight w:val="0"/>
      <w:marTop w:val="0"/>
      <w:marBottom w:val="0"/>
      <w:divBdr>
        <w:top w:val="none" w:sz="0" w:space="0" w:color="auto"/>
        <w:left w:val="none" w:sz="0" w:space="0" w:color="auto"/>
        <w:bottom w:val="none" w:sz="0" w:space="0" w:color="auto"/>
        <w:right w:val="none" w:sz="0" w:space="0" w:color="auto"/>
      </w:divBdr>
    </w:div>
    <w:div w:id="35080342">
      <w:bodyDiv w:val="1"/>
      <w:marLeft w:val="0"/>
      <w:marRight w:val="0"/>
      <w:marTop w:val="0"/>
      <w:marBottom w:val="0"/>
      <w:divBdr>
        <w:top w:val="none" w:sz="0" w:space="0" w:color="auto"/>
        <w:left w:val="none" w:sz="0" w:space="0" w:color="auto"/>
        <w:bottom w:val="none" w:sz="0" w:space="0" w:color="auto"/>
        <w:right w:val="none" w:sz="0" w:space="0" w:color="auto"/>
      </w:divBdr>
    </w:div>
    <w:div w:id="67461047">
      <w:bodyDiv w:val="1"/>
      <w:marLeft w:val="0"/>
      <w:marRight w:val="0"/>
      <w:marTop w:val="0"/>
      <w:marBottom w:val="0"/>
      <w:divBdr>
        <w:top w:val="none" w:sz="0" w:space="0" w:color="auto"/>
        <w:left w:val="none" w:sz="0" w:space="0" w:color="auto"/>
        <w:bottom w:val="none" w:sz="0" w:space="0" w:color="auto"/>
        <w:right w:val="none" w:sz="0" w:space="0" w:color="auto"/>
      </w:divBdr>
    </w:div>
    <w:div w:id="86197427">
      <w:bodyDiv w:val="1"/>
      <w:marLeft w:val="0"/>
      <w:marRight w:val="0"/>
      <w:marTop w:val="0"/>
      <w:marBottom w:val="0"/>
      <w:divBdr>
        <w:top w:val="none" w:sz="0" w:space="0" w:color="auto"/>
        <w:left w:val="none" w:sz="0" w:space="0" w:color="auto"/>
        <w:bottom w:val="none" w:sz="0" w:space="0" w:color="auto"/>
        <w:right w:val="none" w:sz="0" w:space="0" w:color="auto"/>
      </w:divBdr>
    </w:div>
    <w:div w:id="168448616">
      <w:bodyDiv w:val="1"/>
      <w:marLeft w:val="0"/>
      <w:marRight w:val="0"/>
      <w:marTop w:val="0"/>
      <w:marBottom w:val="0"/>
      <w:divBdr>
        <w:top w:val="none" w:sz="0" w:space="0" w:color="auto"/>
        <w:left w:val="none" w:sz="0" w:space="0" w:color="auto"/>
        <w:bottom w:val="none" w:sz="0" w:space="0" w:color="auto"/>
        <w:right w:val="none" w:sz="0" w:space="0" w:color="auto"/>
      </w:divBdr>
    </w:div>
    <w:div w:id="195197679">
      <w:bodyDiv w:val="1"/>
      <w:marLeft w:val="0"/>
      <w:marRight w:val="0"/>
      <w:marTop w:val="0"/>
      <w:marBottom w:val="0"/>
      <w:divBdr>
        <w:top w:val="none" w:sz="0" w:space="0" w:color="auto"/>
        <w:left w:val="none" w:sz="0" w:space="0" w:color="auto"/>
        <w:bottom w:val="none" w:sz="0" w:space="0" w:color="auto"/>
        <w:right w:val="none" w:sz="0" w:space="0" w:color="auto"/>
      </w:divBdr>
    </w:div>
    <w:div w:id="203638698">
      <w:bodyDiv w:val="1"/>
      <w:marLeft w:val="0"/>
      <w:marRight w:val="0"/>
      <w:marTop w:val="0"/>
      <w:marBottom w:val="0"/>
      <w:divBdr>
        <w:top w:val="none" w:sz="0" w:space="0" w:color="auto"/>
        <w:left w:val="none" w:sz="0" w:space="0" w:color="auto"/>
        <w:bottom w:val="none" w:sz="0" w:space="0" w:color="auto"/>
        <w:right w:val="none" w:sz="0" w:space="0" w:color="auto"/>
      </w:divBdr>
    </w:div>
    <w:div w:id="227686916">
      <w:bodyDiv w:val="1"/>
      <w:marLeft w:val="0"/>
      <w:marRight w:val="0"/>
      <w:marTop w:val="0"/>
      <w:marBottom w:val="0"/>
      <w:divBdr>
        <w:top w:val="none" w:sz="0" w:space="0" w:color="auto"/>
        <w:left w:val="none" w:sz="0" w:space="0" w:color="auto"/>
        <w:bottom w:val="none" w:sz="0" w:space="0" w:color="auto"/>
        <w:right w:val="none" w:sz="0" w:space="0" w:color="auto"/>
      </w:divBdr>
    </w:div>
    <w:div w:id="242184477">
      <w:bodyDiv w:val="1"/>
      <w:marLeft w:val="0"/>
      <w:marRight w:val="0"/>
      <w:marTop w:val="0"/>
      <w:marBottom w:val="0"/>
      <w:divBdr>
        <w:top w:val="none" w:sz="0" w:space="0" w:color="auto"/>
        <w:left w:val="none" w:sz="0" w:space="0" w:color="auto"/>
        <w:bottom w:val="none" w:sz="0" w:space="0" w:color="auto"/>
        <w:right w:val="none" w:sz="0" w:space="0" w:color="auto"/>
      </w:divBdr>
    </w:div>
    <w:div w:id="277834667">
      <w:bodyDiv w:val="1"/>
      <w:marLeft w:val="0"/>
      <w:marRight w:val="0"/>
      <w:marTop w:val="0"/>
      <w:marBottom w:val="0"/>
      <w:divBdr>
        <w:top w:val="none" w:sz="0" w:space="0" w:color="auto"/>
        <w:left w:val="none" w:sz="0" w:space="0" w:color="auto"/>
        <w:bottom w:val="none" w:sz="0" w:space="0" w:color="auto"/>
        <w:right w:val="none" w:sz="0" w:space="0" w:color="auto"/>
      </w:divBdr>
    </w:div>
    <w:div w:id="285700678">
      <w:bodyDiv w:val="1"/>
      <w:marLeft w:val="0"/>
      <w:marRight w:val="0"/>
      <w:marTop w:val="0"/>
      <w:marBottom w:val="0"/>
      <w:divBdr>
        <w:top w:val="none" w:sz="0" w:space="0" w:color="auto"/>
        <w:left w:val="none" w:sz="0" w:space="0" w:color="auto"/>
        <w:bottom w:val="none" w:sz="0" w:space="0" w:color="auto"/>
        <w:right w:val="none" w:sz="0" w:space="0" w:color="auto"/>
      </w:divBdr>
    </w:div>
    <w:div w:id="315380706">
      <w:bodyDiv w:val="1"/>
      <w:marLeft w:val="0"/>
      <w:marRight w:val="0"/>
      <w:marTop w:val="0"/>
      <w:marBottom w:val="0"/>
      <w:divBdr>
        <w:top w:val="none" w:sz="0" w:space="0" w:color="auto"/>
        <w:left w:val="none" w:sz="0" w:space="0" w:color="auto"/>
        <w:bottom w:val="none" w:sz="0" w:space="0" w:color="auto"/>
        <w:right w:val="none" w:sz="0" w:space="0" w:color="auto"/>
      </w:divBdr>
    </w:div>
    <w:div w:id="343409846">
      <w:bodyDiv w:val="1"/>
      <w:marLeft w:val="0"/>
      <w:marRight w:val="0"/>
      <w:marTop w:val="0"/>
      <w:marBottom w:val="0"/>
      <w:divBdr>
        <w:top w:val="none" w:sz="0" w:space="0" w:color="auto"/>
        <w:left w:val="none" w:sz="0" w:space="0" w:color="auto"/>
        <w:bottom w:val="none" w:sz="0" w:space="0" w:color="auto"/>
        <w:right w:val="none" w:sz="0" w:space="0" w:color="auto"/>
      </w:divBdr>
    </w:div>
    <w:div w:id="419760258">
      <w:bodyDiv w:val="1"/>
      <w:marLeft w:val="0"/>
      <w:marRight w:val="0"/>
      <w:marTop w:val="0"/>
      <w:marBottom w:val="0"/>
      <w:divBdr>
        <w:top w:val="none" w:sz="0" w:space="0" w:color="auto"/>
        <w:left w:val="none" w:sz="0" w:space="0" w:color="auto"/>
        <w:bottom w:val="none" w:sz="0" w:space="0" w:color="auto"/>
        <w:right w:val="none" w:sz="0" w:space="0" w:color="auto"/>
      </w:divBdr>
    </w:div>
    <w:div w:id="432674824">
      <w:bodyDiv w:val="1"/>
      <w:marLeft w:val="0"/>
      <w:marRight w:val="0"/>
      <w:marTop w:val="0"/>
      <w:marBottom w:val="0"/>
      <w:divBdr>
        <w:top w:val="none" w:sz="0" w:space="0" w:color="auto"/>
        <w:left w:val="none" w:sz="0" w:space="0" w:color="auto"/>
        <w:bottom w:val="none" w:sz="0" w:space="0" w:color="auto"/>
        <w:right w:val="none" w:sz="0" w:space="0" w:color="auto"/>
      </w:divBdr>
    </w:div>
    <w:div w:id="496111586">
      <w:bodyDiv w:val="1"/>
      <w:marLeft w:val="0"/>
      <w:marRight w:val="0"/>
      <w:marTop w:val="0"/>
      <w:marBottom w:val="0"/>
      <w:divBdr>
        <w:top w:val="none" w:sz="0" w:space="0" w:color="auto"/>
        <w:left w:val="none" w:sz="0" w:space="0" w:color="auto"/>
        <w:bottom w:val="none" w:sz="0" w:space="0" w:color="auto"/>
        <w:right w:val="none" w:sz="0" w:space="0" w:color="auto"/>
      </w:divBdr>
    </w:div>
    <w:div w:id="545220451">
      <w:bodyDiv w:val="1"/>
      <w:marLeft w:val="0"/>
      <w:marRight w:val="0"/>
      <w:marTop w:val="0"/>
      <w:marBottom w:val="0"/>
      <w:divBdr>
        <w:top w:val="none" w:sz="0" w:space="0" w:color="auto"/>
        <w:left w:val="none" w:sz="0" w:space="0" w:color="auto"/>
        <w:bottom w:val="none" w:sz="0" w:space="0" w:color="auto"/>
        <w:right w:val="none" w:sz="0" w:space="0" w:color="auto"/>
      </w:divBdr>
    </w:div>
    <w:div w:id="563755490">
      <w:bodyDiv w:val="1"/>
      <w:marLeft w:val="0"/>
      <w:marRight w:val="0"/>
      <w:marTop w:val="0"/>
      <w:marBottom w:val="0"/>
      <w:divBdr>
        <w:top w:val="none" w:sz="0" w:space="0" w:color="auto"/>
        <w:left w:val="none" w:sz="0" w:space="0" w:color="auto"/>
        <w:bottom w:val="none" w:sz="0" w:space="0" w:color="auto"/>
        <w:right w:val="none" w:sz="0" w:space="0" w:color="auto"/>
      </w:divBdr>
    </w:div>
    <w:div w:id="599021878">
      <w:bodyDiv w:val="1"/>
      <w:marLeft w:val="0"/>
      <w:marRight w:val="0"/>
      <w:marTop w:val="0"/>
      <w:marBottom w:val="0"/>
      <w:divBdr>
        <w:top w:val="none" w:sz="0" w:space="0" w:color="auto"/>
        <w:left w:val="none" w:sz="0" w:space="0" w:color="auto"/>
        <w:bottom w:val="none" w:sz="0" w:space="0" w:color="auto"/>
        <w:right w:val="none" w:sz="0" w:space="0" w:color="auto"/>
      </w:divBdr>
    </w:div>
    <w:div w:id="610474993">
      <w:bodyDiv w:val="1"/>
      <w:marLeft w:val="0"/>
      <w:marRight w:val="0"/>
      <w:marTop w:val="0"/>
      <w:marBottom w:val="0"/>
      <w:divBdr>
        <w:top w:val="none" w:sz="0" w:space="0" w:color="auto"/>
        <w:left w:val="none" w:sz="0" w:space="0" w:color="auto"/>
        <w:bottom w:val="none" w:sz="0" w:space="0" w:color="auto"/>
        <w:right w:val="none" w:sz="0" w:space="0" w:color="auto"/>
      </w:divBdr>
    </w:div>
    <w:div w:id="658188630">
      <w:bodyDiv w:val="1"/>
      <w:marLeft w:val="0"/>
      <w:marRight w:val="0"/>
      <w:marTop w:val="0"/>
      <w:marBottom w:val="0"/>
      <w:divBdr>
        <w:top w:val="none" w:sz="0" w:space="0" w:color="auto"/>
        <w:left w:val="none" w:sz="0" w:space="0" w:color="auto"/>
        <w:bottom w:val="none" w:sz="0" w:space="0" w:color="auto"/>
        <w:right w:val="none" w:sz="0" w:space="0" w:color="auto"/>
      </w:divBdr>
    </w:div>
    <w:div w:id="680818828">
      <w:bodyDiv w:val="1"/>
      <w:marLeft w:val="0"/>
      <w:marRight w:val="0"/>
      <w:marTop w:val="0"/>
      <w:marBottom w:val="0"/>
      <w:divBdr>
        <w:top w:val="none" w:sz="0" w:space="0" w:color="auto"/>
        <w:left w:val="none" w:sz="0" w:space="0" w:color="auto"/>
        <w:bottom w:val="none" w:sz="0" w:space="0" w:color="auto"/>
        <w:right w:val="none" w:sz="0" w:space="0" w:color="auto"/>
      </w:divBdr>
    </w:div>
    <w:div w:id="1019744319">
      <w:bodyDiv w:val="1"/>
      <w:marLeft w:val="0"/>
      <w:marRight w:val="0"/>
      <w:marTop w:val="0"/>
      <w:marBottom w:val="0"/>
      <w:divBdr>
        <w:top w:val="none" w:sz="0" w:space="0" w:color="auto"/>
        <w:left w:val="none" w:sz="0" w:space="0" w:color="auto"/>
        <w:bottom w:val="none" w:sz="0" w:space="0" w:color="auto"/>
        <w:right w:val="none" w:sz="0" w:space="0" w:color="auto"/>
      </w:divBdr>
    </w:div>
    <w:div w:id="1062288248">
      <w:bodyDiv w:val="1"/>
      <w:marLeft w:val="0"/>
      <w:marRight w:val="0"/>
      <w:marTop w:val="0"/>
      <w:marBottom w:val="0"/>
      <w:divBdr>
        <w:top w:val="none" w:sz="0" w:space="0" w:color="auto"/>
        <w:left w:val="none" w:sz="0" w:space="0" w:color="auto"/>
        <w:bottom w:val="none" w:sz="0" w:space="0" w:color="auto"/>
        <w:right w:val="none" w:sz="0" w:space="0" w:color="auto"/>
      </w:divBdr>
    </w:div>
    <w:div w:id="1129006029">
      <w:bodyDiv w:val="1"/>
      <w:marLeft w:val="0"/>
      <w:marRight w:val="0"/>
      <w:marTop w:val="0"/>
      <w:marBottom w:val="0"/>
      <w:divBdr>
        <w:top w:val="none" w:sz="0" w:space="0" w:color="auto"/>
        <w:left w:val="none" w:sz="0" w:space="0" w:color="auto"/>
        <w:bottom w:val="none" w:sz="0" w:space="0" w:color="auto"/>
        <w:right w:val="none" w:sz="0" w:space="0" w:color="auto"/>
      </w:divBdr>
    </w:div>
    <w:div w:id="1174537050">
      <w:bodyDiv w:val="1"/>
      <w:marLeft w:val="0"/>
      <w:marRight w:val="0"/>
      <w:marTop w:val="0"/>
      <w:marBottom w:val="0"/>
      <w:divBdr>
        <w:top w:val="none" w:sz="0" w:space="0" w:color="auto"/>
        <w:left w:val="none" w:sz="0" w:space="0" w:color="auto"/>
        <w:bottom w:val="none" w:sz="0" w:space="0" w:color="auto"/>
        <w:right w:val="none" w:sz="0" w:space="0" w:color="auto"/>
      </w:divBdr>
    </w:div>
    <w:div w:id="1198203380">
      <w:bodyDiv w:val="1"/>
      <w:marLeft w:val="0"/>
      <w:marRight w:val="0"/>
      <w:marTop w:val="0"/>
      <w:marBottom w:val="0"/>
      <w:divBdr>
        <w:top w:val="none" w:sz="0" w:space="0" w:color="auto"/>
        <w:left w:val="none" w:sz="0" w:space="0" w:color="auto"/>
        <w:bottom w:val="none" w:sz="0" w:space="0" w:color="auto"/>
        <w:right w:val="none" w:sz="0" w:space="0" w:color="auto"/>
      </w:divBdr>
    </w:div>
    <w:div w:id="1266155533">
      <w:bodyDiv w:val="1"/>
      <w:marLeft w:val="0"/>
      <w:marRight w:val="0"/>
      <w:marTop w:val="0"/>
      <w:marBottom w:val="0"/>
      <w:divBdr>
        <w:top w:val="none" w:sz="0" w:space="0" w:color="auto"/>
        <w:left w:val="none" w:sz="0" w:space="0" w:color="auto"/>
        <w:bottom w:val="none" w:sz="0" w:space="0" w:color="auto"/>
        <w:right w:val="none" w:sz="0" w:space="0" w:color="auto"/>
      </w:divBdr>
    </w:div>
    <w:div w:id="1297027624">
      <w:bodyDiv w:val="1"/>
      <w:marLeft w:val="0"/>
      <w:marRight w:val="0"/>
      <w:marTop w:val="0"/>
      <w:marBottom w:val="0"/>
      <w:divBdr>
        <w:top w:val="none" w:sz="0" w:space="0" w:color="auto"/>
        <w:left w:val="none" w:sz="0" w:space="0" w:color="auto"/>
        <w:bottom w:val="none" w:sz="0" w:space="0" w:color="auto"/>
        <w:right w:val="none" w:sz="0" w:space="0" w:color="auto"/>
      </w:divBdr>
    </w:div>
    <w:div w:id="1398019886">
      <w:bodyDiv w:val="1"/>
      <w:marLeft w:val="0"/>
      <w:marRight w:val="0"/>
      <w:marTop w:val="0"/>
      <w:marBottom w:val="0"/>
      <w:divBdr>
        <w:top w:val="none" w:sz="0" w:space="0" w:color="auto"/>
        <w:left w:val="none" w:sz="0" w:space="0" w:color="auto"/>
        <w:bottom w:val="none" w:sz="0" w:space="0" w:color="auto"/>
        <w:right w:val="none" w:sz="0" w:space="0" w:color="auto"/>
      </w:divBdr>
    </w:div>
    <w:div w:id="1455632471">
      <w:bodyDiv w:val="1"/>
      <w:marLeft w:val="0"/>
      <w:marRight w:val="0"/>
      <w:marTop w:val="0"/>
      <w:marBottom w:val="0"/>
      <w:divBdr>
        <w:top w:val="none" w:sz="0" w:space="0" w:color="auto"/>
        <w:left w:val="none" w:sz="0" w:space="0" w:color="auto"/>
        <w:bottom w:val="none" w:sz="0" w:space="0" w:color="auto"/>
        <w:right w:val="none" w:sz="0" w:space="0" w:color="auto"/>
      </w:divBdr>
    </w:div>
    <w:div w:id="1488593510">
      <w:bodyDiv w:val="1"/>
      <w:marLeft w:val="0"/>
      <w:marRight w:val="0"/>
      <w:marTop w:val="0"/>
      <w:marBottom w:val="0"/>
      <w:divBdr>
        <w:top w:val="none" w:sz="0" w:space="0" w:color="auto"/>
        <w:left w:val="none" w:sz="0" w:space="0" w:color="auto"/>
        <w:bottom w:val="none" w:sz="0" w:space="0" w:color="auto"/>
        <w:right w:val="none" w:sz="0" w:space="0" w:color="auto"/>
      </w:divBdr>
    </w:div>
    <w:div w:id="1516962853">
      <w:bodyDiv w:val="1"/>
      <w:marLeft w:val="0"/>
      <w:marRight w:val="0"/>
      <w:marTop w:val="0"/>
      <w:marBottom w:val="0"/>
      <w:divBdr>
        <w:top w:val="none" w:sz="0" w:space="0" w:color="auto"/>
        <w:left w:val="none" w:sz="0" w:space="0" w:color="auto"/>
        <w:bottom w:val="none" w:sz="0" w:space="0" w:color="auto"/>
        <w:right w:val="none" w:sz="0" w:space="0" w:color="auto"/>
      </w:divBdr>
    </w:div>
    <w:div w:id="1549222612">
      <w:bodyDiv w:val="1"/>
      <w:marLeft w:val="0"/>
      <w:marRight w:val="0"/>
      <w:marTop w:val="0"/>
      <w:marBottom w:val="0"/>
      <w:divBdr>
        <w:top w:val="none" w:sz="0" w:space="0" w:color="auto"/>
        <w:left w:val="none" w:sz="0" w:space="0" w:color="auto"/>
        <w:bottom w:val="none" w:sz="0" w:space="0" w:color="auto"/>
        <w:right w:val="none" w:sz="0" w:space="0" w:color="auto"/>
      </w:divBdr>
    </w:div>
    <w:div w:id="1581331295">
      <w:bodyDiv w:val="1"/>
      <w:marLeft w:val="0"/>
      <w:marRight w:val="0"/>
      <w:marTop w:val="0"/>
      <w:marBottom w:val="0"/>
      <w:divBdr>
        <w:top w:val="none" w:sz="0" w:space="0" w:color="auto"/>
        <w:left w:val="none" w:sz="0" w:space="0" w:color="auto"/>
        <w:bottom w:val="none" w:sz="0" w:space="0" w:color="auto"/>
        <w:right w:val="none" w:sz="0" w:space="0" w:color="auto"/>
      </w:divBdr>
    </w:div>
    <w:div w:id="1634749013">
      <w:bodyDiv w:val="1"/>
      <w:marLeft w:val="0"/>
      <w:marRight w:val="0"/>
      <w:marTop w:val="0"/>
      <w:marBottom w:val="0"/>
      <w:divBdr>
        <w:top w:val="none" w:sz="0" w:space="0" w:color="auto"/>
        <w:left w:val="none" w:sz="0" w:space="0" w:color="auto"/>
        <w:bottom w:val="none" w:sz="0" w:space="0" w:color="auto"/>
        <w:right w:val="none" w:sz="0" w:space="0" w:color="auto"/>
      </w:divBdr>
    </w:div>
    <w:div w:id="1639607359">
      <w:bodyDiv w:val="1"/>
      <w:marLeft w:val="0"/>
      <w:marRight w:val="0"/>
      <w:marTop w:val="0"/>
      <w:marBottom w:val="0"/>
      <w:divBdr>
        <w:top w:val="none" w:sz="0" w:space="0" w:color="auto"/>
        <w:left w:val="none" w:sz="0" w:space="0" w:color="auto"/>
        <w:bottom w:val="none" w:sz="0" w:space="0" w:color="auto"/>
        <w:right w:val="none" w:sz="0" w:space="0" w:color="auto"/>
      </w:divBdr>
    </w:div>
    <w:div w:id="1639728888">
      <w:bodyDiv w:val="1"/>
      <w:marLeft w:val="0"/>
      <w:marRight w:val="0"/>
      <w:marTop w:val="0"/>
      <w:marBottom w:val="0"/>
      <w:divBdr>
        <w:top w:val="none" w:sz="0" w:space="0" w:color="auto"/>
        <w:left w:val="none" w:sz="0" w:space="0" w:color="auto"/>
        <w:bottom w:val="none" w:sz="0" w:space="0" w:color="auto"/>
        <w:right w:val="none" w:sz="0" w:space="0" w:color="auto"/>
      </w:divBdr>
    </w:div>
    <w:div w:id="1639992177">
      <w:bodyDiv w:val="1"/>
      <w:marLeft w:val="0"/>
      <w:marRight w:val="0"/>
      <w:marTop w:val="0"/>
      <w:marBottom w:val="0"/>
      <w:divBdr>
        <w:top w:val="none" w:sz="0" w:space="0" w:color="auto"/>
        <w:left w:val="none" w:sz="0" w:space="0" w:color="auto"/>
        <w:bottom w:val="none" w:sz="0" w:space="0" w:color="auto"/>
        <w:right w:val="none" w:sz="0" w:space="0" w:color="auto"/>
      </w:divBdr>
    </w:div>
    <w:div w:id="1643777780">
      <w:bodyDiv w:val="1"/>
      <w:marLeft w:val="0"/>
      <w:marRight w:val="0"/>
      <w:marTop w:val="0"/>
      <w:marBottom w:val="0"/>
      <w:divBdr>
        <w:top w:val="none" w:sz="0" w:space="0" w:color="auto"/>
        <w:left w:val="none" w:sz="0" w:space="0" w:color="auto"/>
        <w:bottom w:val="none" w:sz="0" w:space="0" w:color="auto"/>
        <w:right w:val="none" w:sz="0" w:space="0" w:color="auto"/>
      </w:divBdr>
    </w:div>
    <w:div w:id="1729304884">
      <w:bodyDiv w:val="1"/>
      <w:marLeft w:val="0"/>
      <w:marRight w:val="0"/>
      <w:marTop w:val="0"/>
      <w:marBottom w:val="0"/>
      <w:divBdr>
        <w:top w:val="none" w:sz="0" w:space="0" w:color="auto"/>
        <w:left w:val="none" w:sz="0" w:space="0" w:color="auto"/>
        <w:bottom w:val="none" w:sz="0" w:space="0" w:color="auto"/>
        <w:right w:val="none" w:sz="0" w:space="0" w:color="auto"/>
      </w:divBdr>
    </w:div>
    <w:div w:id="1843355782">
      <w:bodyDiv w:val="1"/>
      <w:marLeft w:val="0"/>
      <w:marRight w:val="0"/>
      <w:marTop w:val="0"/>
      <w:marBottom w:val="0"/>
      <w:divBdr>
        <w:top w:val="none" w:sz="0" w:space="0" w:color="auto"/>
        <w:left w:val="none" w:sz="0" w:space="0" w:color="auto"/>
        <w:bottom w:val="none" w:sz="0" w:space="0" w:color="auto"/>
        <w:right w:val="none" w:sz="0" w:space="0" w:color="auto"/>
      </w:divBdr>
    </w:div>
    <w:div w:id="1851333974">
      <w:bodyDiv w:val="1"/>
      <w:marLeft w:val="0"/>
      <w:marRight w:val="0"/>
      <w:marTop w:val="0"/>
      <w:marBottom w:val="0"/>
      <w:divBdr>
        <w:top w:val="none" w:sz="0" w:space="0" w:color="auto"/>
        <w:left w:val="none" w:sz="0" w:space="0" w:color="auto"/>
        <w:bottom w:val="none" w:sz="0" w:space="0" w:color="auto"/>
        <w:right w:val="none" w:sz="0" w:space="0" w:color="auto"/>
      </w:divBdr>
    </w:div>
    <w:div w:id="1877348526">
      <w:bodyDiv w:val="1"/>
      <w:marLeft w:val="0"/>
      <w:marRight w:val="0"/>
      <w:marTop w:val="0"/>
      <w:marBottom w:val="0"/>
      <w:divBdr>
        <w:top w:val="none" w:sz="0" w:space="0" w:color="auto"/>
        <w:left w:val="none" w:sz="0" w:space="0" w:color="auto"/>
        <w:bottom w:val="none" w:sz="0" w:space="0" w:color="auto"/>
        <w:right w:val="none" w:sz="0" w:space="0" w:color="auto"/>
      </w:divBdr>
    </w:div>
    <w:div w:id="1951862135">
      <w:bodyDiv w:val="1"/>
      <w:marLeft w:val="0"/>
      <w:marRight w:val="0"/>
      <w:marTop w:val="0"/>
      <w:marBottom w:val="0"/>
      <w:divBdr>
        <w:top w:val="none" w:sz="0" w:space="0" w:color="auto"/>
        <w:left w:val="none" w:sz="0" w:space="0" w:color="auto"/>
        <w:bottom w:val="none" w:sz="0" w:space="0" w:color="auto"/>
        <w:right w:val="none" w:sz="0" w:space="0" w:color="auto"/>
      </w:divBdr>
    </w:div>
    <w:div w:id="1954239029">
      <w:bodyDiv w:val="1"/>
      <w:marLeft w:val="0"/>
      <w:marRight w:val="0"/>
      <w:marTop w:val="0"/>
      <w:marBottom w:val="0"/>
      <w:divBdr>
        <w:top w:val="none" w:sz="0" w:space="0" w:color="auto"/>
        <w:left w:val="none" w:sz="0" w:space="0" w:color="auto"/>
        <w:bottom w:val="none" w:sz="0" w:space="0" w:color="auto"/>
        <w:right w:val="none" w:sz="0" w:space="0" w:color="auto"/>
      </w:divBdr>
    </w:div>
    <w:div w:id="1968244143">
      <w:bodyDiv w:val="1"/>
      <w:marLeft w:val="0"/>
      <w:marRight w:val="0"/>
      <w:marTop w:val="0"/>
      <w:marBottom w:val="0"/>
      <w:divBdr>
        <w:top w:val="none" w:sz="0" w:space="0" w:color="auto"/>
        <w:left w:val="none" w:sz="0" w:space="0" w:color="auto"/>
        <w:bottom w:val="none" w:sz="0" w:space="0" w:color="auto"/>
        <w:right w:val="none" w:sz="0" w:space="0" w:color="auto"/>
      </w:divBdr>
    </w:div>
    <w:div w:id="1971283728">
      <w:bodyDiv w:val="1"/>
      <w:marLeft w:val="0"/>
      <w:marRight w:val="0"/>
      <w:marTop w:val="0"/>
      <w:marBottom w:val="0"/>
      <w:divBdr>
        <w:top w:val="none" w:sz="0" w:space="0" w:color="auto"/>
        <w:left w:val="none" w:sz="0" w:space="0" w:color="auto"/>
        <w:bottom w:val="none" w:sz="0" w:space="0" w:color="auto"/>
        <w:right w:val="none" w:sz="0" w:space="0" w:color="auto"/>
      </w:divBdr>
    </w:div>
    <w:div w:id="1991714188">
      <w:bodyDiv w:val="1"/>
      <w:marLeft w:val="0"/>
      <w:marRight w:val="0"/>
      <w:marTop w:val="0"/>
      <w:marBottom w:val="0"/>
      <w:divBdr>
        <w:top w:val="none" w:sz="0" w:space="0" w:color="auto"/>
        <w:left w:val="none" w:sz="0" w:space="0" w:color="auto"/>
        <w:bottom w:val="none" w:sz="0" w:space="0" w:color="auto"/>
        <w:right w:val="none" w:sz="0" w:space="0" w:color="auto"/>
      </w:divBdr>
    </w:div>
    <w:div w:id="2036881174">
      <w:bodyDiv w:val="1"/>
      <w:marLeft w:val="0"/>
      <w:marRight w:val="0"/>
      <w:marTop w:val="0"/>
      <w:marBottom w:val="0"/>
      <w:divBdr>
        <w:top w:val="none" w:sz="0" w:space="0" w:color="auto"/>
        <w:left w:val="none" w:sz="0" w:space="0" w:color="auto"/>
        <w:bottom w:val="none" w:sz="0" w:space="0" w:color="auto"/>
        <w:right w:val="none" w:sz="0" w:space="0" w:color="auto"/>
      </w:divBdr>
    </w:div>
    <w:div w:id="2050447433">
      <w:bodyDiv w:val="1"/>
      <w:marLeft w:val="0"/>
      <w:marRight w:val="0"/>
      <w:marTop w:val="0"/>
      <w:marBottom w:val="0"/>
      <w:divBdr>
        <w:top w:val="none" w:sz="0" w:space="0" w:color="auto"/>
        <w:left w:val="none" w:sz="0" w:space="0" w:color="auto"/>
        <w:bottom w:val="none" w:sz="0" w:space="0" w:color="auto"/>
        <w:right w:val="none" w:sz="0" w:space="0" w:color="auto"/>
      </w:divBdr>
    </w:div>
    <w:div w:id="20723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plaints_Data@ofgem.gov.uk" TargetMode="External"/><Relationship Id="rId18" Type="http://schemas.openxmlformats.org/officeDocument/2006/relationships/hyperlink" Target="https://www.ofgem.gov.uk/licences-codes-and-standards/licences/guides-supply-licences" TargetMode="External"/><Relationship Id="rId26" Type="http://schemas.openxmlformats.org/officeDocument/2006/relationships/hyperlink" Target="https://www.ofgem.gov.uk/about-us/how-we-work/working-consumers/supplier-performance-consumer-complaints"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3.emf"/><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ofgem.gov.uk/electricity/retail-market/market-review-and-reform/future-retail-market-regulation" TargetMode="External"/><Relationship Id="rId25" Type="http://schemas.openxmlformats.org/officeDocument/2006/relationships/hyperlink" Target="mailto:Complaints_Data@ofgem.gov.uk" TargetMode="External"/><Relationship Id="rId33" Type="http://schemas.openxmlformats.org/officeDocument/2006/relationships/image" Target="media/image2.emf"/><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ofgem.gov.uk/consumers/energy-supplier-comparison-data/compare-supplier-performance-complaints" TargetMode="External"/><Relationship Id="rId20" Type="http://schemas.openxmlformats.org/officeDocument/2006/relationships/header" Target="header2.xml"/><Relationship Id="rId29" Type="http://schemas.openxmlformats.org/officeDocument/2006/relationships/hyperlink" Target="mailto:Complaints_Data@ofgem.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www.ofgem.gov.uk/about-us/how-we-work/working-consumers/supplier-performance-consumer-complaints" TargetMode="External"/><Relationship Id="rId37" Type="http://schemas.openxmlformats.org/officeDocument/2006/relationships/header" Target="head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ofgem.gov.uk/publications-and-updates/retail-energy-markets-2016" TargetMode="External"/><Relationship Id="rId23" Type="http://schemas.openxmlformats.org/officeDocument/2006/relationships/header" Target="header3.xml"/><Relationship Id="rId28" Type="http://schemas.openxmlformats.org/officeDocument/2006/relationships/hyperlink" Target="mailto:Complaints_Data@ofgem.gov.uk" TargetMode="External"/><Relationship Id="rId36"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mailto:dataunit@citizensadvice.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fgem.gov.uk/publications-and-updates/state-energy-markets-2017" TargetMode="External"/><Relationship Id="rId22" Type="http://schemas.openxmlformats.org/officeDocument/2006/relationships/footer" Target="footer2.xml"/><Relationship Id="rId27" Type="http://schemas.openxmlformats.org/officeDocument/2006/relationships/hyperlink" Target="https://www.ofgem.gov.uk/publications-and-updates/review-ombudsman-services-energy" TargetMode="External"/><Relationship Id="rId30" Type="http://schemas.openxmlformats.org/officeDocument/2006/relationships/hyperlink" Target="mailto:Complaints_Data@ofgem.gov.uk" TargetMode="External"/><Relationship Id="rId35" Type="http://schemas.openxmlformats.org/officeDocument/2006/relationships/image" Target="media/image4.emf"/></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si/2008/1898/made" TargetMode="External"/><Relationship Id="rId1" Type="http://schemas.openxmlformats.org/officeDocument/2006/relationships/hyperlink" Target="http://www.legislation.gov.uk/uksi/2008/1898/contents/m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OfgemExternalPublication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1298fc-6a88-4548-b7d9-3b164918c4a3">
      <Value>15</Value>
    </TaxCatchAll>
    <p5fd36bd100d46818ddf497bbaeb8b24 xmlns="f2bb4f87-7285-4ba1-b2d3-3e38a2dcaa73">
      <Terms xmlns="http://schemas.microsoft.com/office/infopath/2007/PartnerControls">
        <TermInfo xmlns="http://schemas.microsoft.com/office/infopath/2007/PartnerControls">
          <TermName xmlns="http://schemas.microsoft.com/office/infopath/2007/PartnerControls">Ofgem</TermName>
          <TermId xmlns="http://schemas.microsoft.com/office/infopath/2007/PartnerControls">8b4368c1-752b-461b-aa1f-79fb1ab95926</TermId>
        </TermInfo>
      </Terms>
    </p5fd36bd100d46818ddf497bbaeb8b24>
    <od282c7d63354e27af6ed3cb973fda74 xmlns="19b4d64a-a82f-4c11-9634-39e31add72e7">
      <Terms xmlns="http://schemas.microsoft.com/office/infopath/2007/PartnerControls"/>
    </od282c7d63354e27af6ed3cb973fda74>
    <Document_x0020_Status xmlns="f2bb4f87-7285-4ba1-b2d3-3e38a2dcaa73" xsi:nil="true"/>
    <Document_x0020_Type xmlns="f2bb4f87-7285-4ba1-b2d3-3e38a2dcaa73">Publication</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973096ae-7329-4b3b-9368-47aeba6959e1"/>
</file>

<file path=customXml/item4.xml><?xml version="1.0" encoding="utf-8"?>
<ct:contentTypeSchema xmlns:ct="http://schemas.microsoft.com/office/2006/metadata/contentType" xmlns:ma="http://schemas.microsoft.com/office/2006/metadata/properties/metaAttributes" ct:_="" ma:_="" ma:contentTypeName="Complaints" ma:contentTypeID="0x010100D380162AB2F9E24791E0423B85F018FB00E5841160F073FE488BA0633969A820BA" ma:contentTypeVersion="5" ma:contentTypeDescription="" ma:contentTypeScope="" ma:versionID="5700e9bd3ec029faece90baa328d3c74">
  <xsd:schema xmlns:xsd="http://www.w3.org/2001/XMLSchema" xmlns:xs="http://www.w3.org/2001/XMLSchema" xmlns:p="http://schemas.microsoft.com/office/2006/metadata/properties" xmlns:ns2="f2bb4f87-7285-4ba1-b2d3-3e38a2dcaa73" xmlns:ns3="631298fc-6a88-4548-b7d9-3b164918c4a3" xmlns:ns4="19b4d64a-a82f-4c11-9634-39e31add72e7" targetNamespace="http://schemas.microsoft.com/office/2006/metadata/properties" ma:root="true" ma:fieldsID="cf66438686c0f4b7fee80cf61cc6700a" ns2:_="" ns3:_="" ns4:_="">
    <xsd:import namespace="f2bb4f87-7285-4ba1-b2d3-3e38a2dcaa73"/>
    <xsd:import namespace="631298fc-6a88-4548-b7d9-3b164918c4a3"/>
    <xsd:import namespace="19b4d64a-a82f-4c11-9634-39e31add72e7"/>
    <xsd:element name="properties">
      <xsd:complexType>
        <xsd:sequence>
          <xsd:element name="documentManagement">
            <xsd:complexType>
              <xsd:all>
                <xsd:element ref="ns2:Document_x0020_Type"/>
                <xsd:element ref="ns2:p5fd36bd100d46818ddf497bbaeb8b24" minOccurs="0"/>
                <xsd:element ref="ns3:TaxCatchAll" minOccurs="0"/>
                <xsd:element ref="ns3:TaxCatchAllLabel" minOccurs="0"/>
                <xsd:element ref="ns4:od282c7d63354e27af6ed3cb973fda74" minOccurs="0"/>
                <xsd:element ref="ns2:Documen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b4f87-7285-4ba1-b2d3-3e38a2dcaa73"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0">
      <xsd:simpleType>
        <xsd:restriction base="dms:Choice">
          <xsd:enumeration value="Administrative document"/>
          <xsd:enumeration value="Project Management document"/>
          <xsd:enumeration value="Management paper"/>
          <xsd:enumeration value="Briefing note / internal paper"/>
          <xsd:enumeration value="Agenda"/>
          <xsd:enumeration value="Minutes / meeting note"/>
          <xsd:enumeration value="Presentation"/>
          <xsd:enumeration value="Publication"/>
          <xsd:enumeration value="Response to Ofgem Information Request"/>
          <xsd:enumeration value="Response to Ofgem Consultation"/>
          <xsd:enumeration value="Data"/>
          <xsd:enumeration value="Analysis"/>
          <xsd:enumeration value="Economic model"/>
          <xsd:enumeration value="Modelling results"/>
          <xsd:enumeration value="Email correspondence"/>
          <xsd:enumeration value="Letter"/>
          <xsd:enumeration value="Legal advice"/>
          <xsd:enumeration value="Licence / code / legal text"/>
          <xsd:enumeration value="FOI request"/>
        </xsd:restriction>
      </xsd:simpleType>
    </xsd:element>
    <xsd:element name="p5fd36bd100d46818ddf497bbaeb8b24" ma:index="9" ma:taxonomy="true" ma:internalName="p5fd36bd100d46818ddf497bbaeb8b24" ma:taxonomyFieldName="Organisation_x0020_ContactShare" ma:displayName="Organisation ContactShare" ma:default="" ma:fieldId="{95fd36bd-100d-4681-8ddf-497bbaeb8b24}" ma:taxonomyMulti="true" ma:sspId="69773578-b348-4185-91b0-0c3a7eda8d2a" ma:termSetId="198f4597-1449-4407-9082-75aad48ce812" ma:anchorId="00000000-0000-0000-0000-000000000000" ma:open="false" ma:isKeyword="false">
      <xsd:complexType>
        <xsd:sequence>
          <xsd:element ref="pc:Terms" minOccurs="0" maxOccurs="1"/>
        </xsd:sequence>
      </xsd:complexType>
    </xsd:element>
    <xsd:element name="Document_x0020_Status" ma:index="15" nillable="true" ma:displayName="Document Status" ma:format="Dropdown" ma:internalName="Document_x0020_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4a46bb-b3d6-46f8-8a8e-8e76e1acb10e}" ma:internalName="TaxCatchAll" ma:showField="CatchAllData" ma:web="f2bb4f87-7285-4ba1-b2d3-3e38a2dcaa7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94a46bb-b3d6-46f8-8a8e-8e76e1acb10e}" ma:internalName="TaxCatchAllLabel" ma:readOnly="true" ma:showField="CatchAllDataLabel" ma:web="f2bb4f87-7285-4ba1-b2d3-3e38a2dcaa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b4d64a-a82f-4c11-9634-39e31add72e7" elementFormDefault="qualified">
    <xsd:import namespace="http://schemas.microsoft.com/office/2006/documentManagement/types"/>
    <xsd:import namespace="http://schemas.microsoft.com/office/infopath/2007/PartnerControls"/>
    <xsd:element name="od282c7d63354e27af6ed3cb973fda74" ma:index="14" nillable="true" ma:taxonomy="true" ma:internalName="od282c7d63354e27af6ed3cb973fda74" ma:taxonomyFieldName="Folksonomy_Compl" ma:displayName="Folksonomy_Compl" ma:default="" ma:fieldId="{8d282c7d-6335-4e27-af6e-d3cb973fda74}" ma:taxonomyMulti="true" ma:sspId="69773578-b348-4185-91b0-0c3a7eda8d2a" ma:termSetId="1d04a398-20d6-4df4-8842-6af3807cf94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CD5DF-0DB2-4775-BA99-B501228C0D9F}">
  <ds:schemaRefs>
    <ds:schemaRef ds:uri="http://purl.org/dc/elements/1.1/"/>
    <ds:schemaRef ds:uri="http://schemas.microsoft.com/office/2006/metadata/properties"/>
    <ds:schemaRef ds:uri="631298fc-6a88-4548-b7d9-3b164918c4a3"/>
    <ds:schemaRef ds:uri="19b4d64a-a82f-4c11-9634-39e31add72e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bb4f87-7285-4ba1-b2d3-3e38a2dcaa73"/>
    <ds:schemaRef ds:uri="http://www.w3.org/XML/1998/namespace"/>
    <ds:schemaRef ds:uri="http://purl.org/dc/dcmitype/"/>
  </ds:schemaRefs>
</ds:datastoreItem>
</file>

<file path=customXml/itemProps2.xml><?xml version="1.0" encoding="utf-8"?>
<ds:datastoreItem xmlns:ds="http://schemas.openxmlformats.org/officeDocument/2006/customXml" ds:itemID="{0B3607A4-564E-48C9-8E50-C7A6119141C3}">
  <ds:schemaRefs>
    <ds:schemaRef ds:uri="http://schemas.microsoft.com/sharepoint/v3/contenttype/forms"/>
  </ds:schemaRefs>
</ds:datastoreItem>
</file>

<file path=customXml/itemProps3.xml><?xml version="1.0" encoding="utf-8"?>
<ds:datastoreItem xmlns:ds="http://schemas.openxmlformats.org/officeDocument/2006/customXml" ds:itemID="{17D229F3-EE08-4B2F-86B5-7DF4A7FA882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CA80E96-97B8-4E3E-A4D4-B58C5C4B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b4f87-7285-4ba1-b2d3-3e38a2dcaa73"/>
    <ds:schemaRef ds:uri="631298fc-6a88-4548-b7d9-3b164918c4a3"/>
    <ds:schemaRef ds:uri="19b4d64a-a82f-4c11-9634-39e31add7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2D31BB-F8DF-43F3-985D-B60C106B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OfgemExternalPublication2013</Template>
  <TotalTime>1</TotalTime>
  <Pages>30</Pages>
  <Words>7470</Words>
  <Characters>41462</Characters>
  <Application>Microsoft Office Word</Application>
  <DocSecurity>0</DocSecurity>
  <Lines>1036</Lines>
  <Paragraphs>344</Paragraphs>
  <ScaleCrop>false</ScaleCrop>
  <HeadingPairs>
    <vt:vector size="2" baseType="variant">
      <vt:variant>
        <vt:lpstr>Title</vt:lpstr>
      </vt:variant>
      <vt:variant>
        <vt:i4>1</vt:i4>
      </vt:variant>
    </vt:vector>
  </HeadingPairs>
  <TitlesOfParts>
    <vt:vector size="1" baseType="lpstr">
      <vt:lpstr>Guidance on submitting complaints data for domestic customers and microbusinesses_x000d_</vt:lpstr>
    </vt:vector>
  </TitlesOfParts>
  <Company>Ofgem</Company>
  <LinksUpToDate>false</LinksUpToDate>
  <CharactersWithSpaces>48588</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submitting complaints data for domestic customers and microbusinesses</dc:title>
  <dc:subject>This is a guidance document for suppliers serving domestic and microbusiness customers. It explains how they must submit customer complaint information to us as required by our enduring request for information pursuant Standard Licence Condition 5 of the gas and electricity supply licenses._x000d_The guidance describes the requested data and how to submit it. It includes templates and clarification notes to ensure that all suppliers report accurately and consistently. This document replaces all previous templates and related guidance.</dc:subject>
  <dc:creator>Retail Markets</dc:creator>
  <cp:lastModifiedBy>Tanvir Khan</cp:lastModifiedBy>
  <cp:revision>2</cp:revision>
  <cp:lastPrinted>2018-01-25T09:40:00Z</cp:lastPrinted>
  <dcterms:created xsi:type="dcterms:W3CDTF">2018-01-26T09:44:00Z</dcterms:created>
  <dcterms:modified xsi:type="dcterms:W3CDTF">2018-01-26T09:44:00Z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0x010100D380162AB2F9E24791E0423B85F018FB00E5841160F073FE488BA0633969A820BA</vt:lpwstr>
  </property>
  <property fmtid="{D5CDD505-2E9C-101B-9397-08002B2CF9AE}" pid="3" name="docIndexRef">
    <vt:lpwstr>6b57394a-d575-4be9-95e7-a039a96bf4fb</vt:lpwstr>
  </property>
  <property fmtid="{D5CDD505-2E9C-101B-9397-08002B2CF9AE}" pid="4" name="bjSaver">
    <vt:lpwstr>nkzvQ1YyLXSl6BSffbUiT17vtnD26HfQ</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This item has no classification</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9" name="Folksonomy_Compl">
    <vt:lpwstr/>
  </property>
  <property fmtid="{D5CDD505-2E9C-101B-9397-08002B2CF9AE}" pid="10" name="Organisation_x0020_ContactShare">
    <vt:lpwstr>15;#Ofgem|8b4368c1-752b-461b-aa1f-79fb1ab95926</vt:lpwstr>
  </property>
  <property fmtid="{D5CDD505-2E9C-101B-9397-08002B2CF9AE}" pid="11" name="Organisation ContactShare">
    <vt:lpwstr>15;#Ofgem|8b4368c1-752b-461b-aa1f-79fb1ab95926</vt:lpwstr>
  </property>
  <property fmtid="{D5CDD505-2E9C-101B-9397-08002B2CF9AE}" pid="12" name="BJSCid_group_classification">
    <vt:lpwstr/>
  </property>
  <property fmtid="{D5CDD505-2E9C-101B-9397-08002B2CF9AE}" pid="13" name="BJSC514bdf30-2227-4016_x">
    <vt:lpwstr/>
  </property>
  <property fmtid="{D5CDD505-2E9C-101B-9397-08002B2CF9AE}" pid="14" name="bjDocumentSecurityLabel">
    <vt:lpwstr>This item has no classification</vt:lpwstr>
  </property>
</Properties>
</file>