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EB489" w14:textId="77777777" w:rsidR="004A50CC" w:rsidRDefault="0038521A" w:rsidP="00175CB3">
      <w:pPr>
        <w:rPr>
          <w:b/>
          <w:bCs/>
          <w:sz w:val="28"/>
          <w:szCs w:val="28"/>
        </w:rPr>
      </w:pPr>
      <w:bookmarkStart w:id="0" w:name="_GoBack"/>
      <w:bookmarkEnd w:id="0"/>
      <w:r>
        <w:rPr>
          <w:b/>
          <w:bCs/>
          <w:sz w:val="28"/>
          <w:szCs w:val="28"/>
        </w:rPr>
        <w:t xml:space="preserve"> </w:t>
      </w:r>
    </w:p>
    <w:p w14:paraId="782D6998" w14:textId="77777777" w:rsidR="006E210B" w:rsidRPr="00844289" w:rsidRDefault="006E210B" w:rsidP="006E210B">
      <w:pPr>
        <w:pStyle w:val="NoSpacing"/>
        <w:jc w:val="right"/>
        <w:rPr>
          <w:b/>
          <w:sz w:val="28"/>
        </w:rPr>
      </w:pPr>
      <w:r>
        <w:rPr>
          <w:noProof/>
          <w:lang w:eastAsia="en-GB"/>
        </w:rPr>
        <w:drawing>
          <wp:anchor distT="0" distB="0" distL="114300" distR="114300" simplePos="0" relativeHeight="251659264" behindDoc="1" locked="0" layoutInCell="1" allowOverlap="1" wp14:anchorId="1AE739DF" wp14:editId="33A3EDCA">
            <wp:simplePos x="0" y="0"/>
            <wp:positionH relativeFrom="column">
              <wp:posOffset>-177165</wp:posOffset>
            </wp:positionH>
            <wp:positionV relativeFrom="paragraph">
              <wp:posOffset>-26035</wp:posOffset>
            </wp:positionV>
            <wp:extent cx="2414905" cy="791845"/>
            <wp:effectExtent l="0" t="0" r="4445" b="8255"/>
            <wp:wrapThrough wrapText="bothSides">
              <wp:wrapPolygon edited="0">
                <wp:start x="0" y="0"/>
                <wp:lineTo x="0" y="21306"/>
                <wp:lineTo x="21469" y="21306"/>
                <wp:lineTo x="21469"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oE-EPG-Lockup-Colour.jpg"/>
                    <pic:cNvPicPr/>
                  </pic:nvPicPr>
                  <pic:blipFill rotWithShape="1">
                    <a:blip r:embed="rId9" cstate="screen">
                      <a:extLst>
                        <a:ext uri="{28A0092B-C50C-407E-A947-70E740481C1C}">
                          <a14:useLocalDpi xmlns:a14="http://schemas.microsoft.com/office/drawing/2010/main"/>
                        </a:ext>
                      </a:extLst>
                    </a:blip>
                    <a:srcRect/>
                    <a:stretch/>
                  </pic:blipFill>
                  <pic:spPr bwMode="auto">
                    <a:xfrm>
                      <a:off x="0" y="0"/>
                      <a:ext cx="2414905" cy="7918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44289">
        <w:rPr>
          <w:b/>
          <w:sz w:val="28"/>
        </w:rPr>
        <w:t>GEOGRAPHY</w:t>
      </w:r>
    </w:p>
    <w:p w14:paraId="0138D366" w14:textId="77777777" w:rsidR="006E210B" w:rsidRPr="00844289" w:rsidRDefault="006E210B" w:rsidP="006E210B">
      <w:pPr>
        <w:pStyle w:val="NoSpacing"/>
        <w:jc w:val="right"/>
        <w:rPr>
          <w:b/>
        </w:rPr>
      </w:pPr>
      <w:r w:rsidRPr="00844289">
        <w:rPr>
          <w:b/>
        </w:rPr>
        <w:t>COLLEGE OF LIFE &amp; ENVIRONMENTAL SCIENCES</w:t>
      </w:r>
    </w:p>
    <w:p w14:paraId="7C12A82C" w14:textId="77777777" w:rsidR="006E210B" w:rsidRDefault="006E210B" w:rsidP="006E210B">
      <w:pPr>
        <w:pStyle w:val="NoSpacing"/>
        <w:jc w:val="right"/>
      </w:pPr>
      <w:r>
        <w:t>University of Exeter</w:t>
      </w:r>
    </w:p>
    <w:p w14:paraId="72CAA20F" w14:textId="77777777" w:rsidR="006E210B" w:rsidRDefault="006E210B" w:rsidP="006E210B">
      <w:pPr>
        <w:pStyle w:val="NoSpacing"/>
        <w:jc w:val="right"/>
      </w:pPr>
      <w:r>
        <w:t>Penryn Campus</w:t>
      </w:r>
    </w:p>
    <w:p w14:paraId="62B80B6A" w14:textId="77777777" w:rsidR="006E210B" w:rsidRDefault="006E210B" w:rsidP="006E210B">
      <w:pPr>
        <w:pStyle w:val="NoSpacing"/>
        <w:jc w:val="right"/>
      </w:pPr>
      <w:r>
        <w:t>Peter Lanyon Building</w:t>
      </w:r>
    </w:p>
    <w:p w14:paraId="499AC5FD" w14:textId="77777777" w:rsidR="006E210B" w:rsidRDefault="006E210B" w:rsidP="006E210B">
      <w:pPr>
        <w:pStyle w:val="NoSpacing"/>
        <w:jc w:val="right"/>
      </w:pPr>
      <w:r>
        <w:t>Penryn</w:t>
      </w:r>
    </w:p>
    <w:p w14:paraId="51AA44A4" w14:textId="77777777" w:rsidR="006E210B" w:rsidRDefault="006E210B" w:rsidP="006E210B">
      <w:pPr>
        <w:pStyle w:val="NoSpacing"/>
        <w:jc w:val="right"/>
      </w:pPr>
      <w:r>
        <w:t>Cornwall TR10 9FE</w:t>
      </w:r>
    </w:p>
    <w:p w14:paraId="0C18173B" w14:textId="77777777" w:rsidR="006E210B" w:rsidRDefault="006E210B" w:rsidP="006E210B">
      <w:pPr>
        <w:pStyle w:val="NoSpacing"/>
        <w:jc w:val="right"/>
      </w:pPr>
    </w:p>
    <w:p w14:paraId="133FE922" w14:textId="77777777" w:rsidR="006E210B" w:rsidRDefault="006E210B" w:rsidP="006E210B">
      <w:pPr>
        <w:pStyle w:val="NoSpacing"/>
        <w:jc w:val="right"/>
      </w:pPr>
      <w:r>
        <w:t>+44 (0)1326 259327</w:t>
      </w:r>
    </w:p>
    <w:p w14:paraId="4A21CFF2" w14:textId="7B592857" w:rsidR="004A50CC" w:rsidRDefault="001541B1" w:rsidP="006E210B">
      <w:pPr>
        <w:pStyle w:val="NoSpacing"/>
        <w:jc w:val="right"/>
      </w:pPr>
      <w:hyperlink r:id="rId10" w:history="1">
        <w:r w:rsidR="006E210B" w:rsidRPr="00BA5161">
          <w:rPr>
            <w:rStyle w:val="Hyperlink"/>
          </w:rPr>
          <w:t>epg@ex.ac.uk</w:t>
        </w:r>
      </w:hyperlink>
    </w:p>
    <w:p w14:paraId="7884CA58" w14:textId="0D02DD36" w:rsidR="006E210B" w:rsidRPr="006E210B" w:rsidRDefault="001541B1" w:rsidP="006E210B">
      <w:pPr>
        <w:pStyle w:val="NoSpacing"/>
        <w:jc w:val="right"/>
      </w:pPr>
      <w:hyperlink r:id="rId11" w:history="1">
        <w:r w:rsidR="006E210B" w:rsidRPr="006E210B">
          <w:rPr>
            <w:rStyle w:val="Hyperlink"/>
          </w:rPr>
          <w:t>www.exeter.ac.uk/epg</w:t>
        </w:r>
      </w:hyperlink>
    </w:p>
    <w:p w14:paraId="41ED2B8C" w14:textId="3C10ECFC" w:rsidR="006E210B" w:rsidRDefault="006E210B" w:rsidP="00175CB3">
      <w:pPr>
        <w:rPr>
          <w:b/>
          <w:bCs/>
          <w:sz w:val="28"/>
          <w:szCs w:val="28"/>
        </w:rPr>
      </w:pPr>
      <w:r w:rsidRPr="006E210B">
        <w:rPr>
          <w:bCs/>
          <w:sz w:val="24"/>
          <w:szCs w:val="24"/>
        </w:rPr>
        <w:t>4</w:t>
      </w:r>
      <w:r w:rsidRPr="006E210B">
        <w:rPr>
          <w:bCs/>
          <w:sz w:val="24"/>
          <w:szCs w:val="24"/>
          <w:vertAlign w:val="superscript"/>
        </w:rPr>
        <w:t>th</w:t>
      </w:r>
      <w:r w:rsidRPr="006E210B">
        <w:rPr>
          <w:bCs/>
          <w:sz w:val="24"/>
          <w:szCs w:val="24"/>
        </w:rPr>
        <w:t xml:space="preserve"> September 2017</w:t>
      </w:r>
    </w:p>
    <w:p w14:paraId="0E3360CB" w14:textId="1122A2C4" w:rsidR="004A50CC" w:rsidRDefault="004A50CC" w:rsidP="00175CB3">
      <w:pPr>
        <w:rPr>
          <w:b/>
          <w:bCs/>
          <w:sz w:val="28"/>
          <w:szCs w:val="28"/>
        </w:rPr>
      </w:pPr>
      <w:r>
        <w:rPr>
          <w:b/>
          <w:bCs/>
          <w:sz w:val="28"/>
          <w:szCs w:val="28"/>
        </w:rPr>
        <w:t>Comments on the Open Letter on the RIIO-2 Framework</w:t>
      </w:r>
    </w:p>
    <w:p w14:paraId="238D6971" w14:textId="17387800" w:rsidR="006E210B" w:rsidRPr="006E210B" w:rsidRDefault="006E210B" w:rsidP="006E210B">
      <w:pPr>
        <w:spacing w:line="240" w:lineRule="auto"/>
        <w:rPr>
          <w:b/>
          <w:bCs/>
          <w:sz w:val="24"/>
          <w:szCs w:val="24"/>
        </w:rPr>
      </w:pPr>
      <w:r w:rsidRPr="006E210B">
        <w:rPr>
          <w:b/>
          <w:bCs/>
          <w:sz w:val="24"/>
          <w:szCs w:val="24"/>
        </w:rPr>
        <w:t>Su</w:t>
      </w:r>
      <w:r w:rsidR="00264418">
        <w:rPr>
          <w:b/>
          <w:bCs/>
          <w:sz w:val="24"/>
          <w:szCs w:val="24"/>
        </w:rPr>
        <w:t xml:space="preserve">bmission from Helen Poulter, </w:t>
      </w:r>
      <w:r w:rsidRPr="006E210B">
        <w:rPr>
          <w:b/>
          <w:bCs/>
          <w:sz w:val="24"/>
          <w:szCs w:val="24"/>
        </w:rPr>
        <w:t>Catherine Mitchell</w:t>
      </w:r>
      <w:r w:rsidR="00264418">
        <w:rPr>
          <w:b/>
          <w:bCs/>
          <w:sz w:val="24"/>
          <w:szCs w:val="24"/>
        </w:rPr>
        <w:t xml:space="preserve"> and Richard Hoggett</w:t>
      </w:r>
    </w:p>
    <w:p w14:paraId="1298F604" w14:textId="2250FDF3" w:rsidR="004A50CC" w:rsidRPr="006E210B" w:rsidRDefault="003167C7" w:rsidP="006E210B">
      <w:pPr>
        <w:spacing w:line="240" w:lineRule="auto"/>
        <w:rPr>
          <w:b/>
          <w:bCs/>
          <w:sz w:val="24"/>
          <w:szCs w:val="24"/>
        </w:rPr>
      </w:pPr>
      <w:r w:rsidRPr="006E210B">
        <w:rPr>
          <w:b/>
          <w:bCs/>
          <w:sz w:val="24"/>
          <w:szCs w:val="24"/>
        </w:rPr>
        <w:t>IGov Project</w:t>
      </w:r>
      <w:r w:rsidRPr="006E210B">
        <w:rPr>
          <w:rStyle w:val="FootnoteReference"/>
          <w:b/>
          <w:bCs/>
          <w:sz w:val="24"/>
          <w:szCs w:val="24"/>
        </w:rPr>
        <w:footnoteReference w:id="1"/>
      </w:r>
      <w:r w:rsidRPr="006E210B">
        <w:rPr>
          <w:b/>
          <w:bCs/>
          <w:sz w:val="24"/>
          <w:szCs w:val="24"/>
        </w:rPr>
        <w:t xml:space="preserve">, </w:t>
      </w:r>
      <w:r w:rsidR="004A50CC" w:rsidRPr="006E210B">
        <w:rPr>
          <w:b/>
          <w:bCs/>
          <w:sz w:val="24"/>
          <w:szCs w:val="24"/>
        </w:rPr>
        <w:t>Energy Policy Group, University of Exeter</w:t>
      </w:r>
    </w:p>
    <w:p w14:paraId="10E748A8" w14:textId="77777777" w:rsidR="004A50CC" w:rsidRDefault="004A50CC" w:rsidP="00175CB3">
      <w:pPr>
        <w:rPr>
          <w:b/>
          <w:bCs/>
          <w:sz w:val="28"/>
          <w:szCs w:val="28"/>
        </w:rPr>
      </w:pPr>
    </w:p>
    <w:p w14:paraId="65AD0B11" w14:textId="5EF557DE" w:rsidR="004A50CC" w:rsidRPr="00F00E5D" w:rsidRDefault="00131B46" w:rsidP="00175CB3">
      <w:pPr>
        <w:rPr>
          <w:b/>
          <w:bCs/>
          <w:color w:val="2E74B5" w:themeColor="accent1" w:themeShade="BF"/>
          <w:sz w:val="28"/>
          <w:szCs w:val="28"/>
        </w:rPr>
      </w:pPr>
      <w:r w:rsidRPr="00F00E5D">
        <w:rPr>
          <w:b/>
          <w:bCs/>
          <w:color w:val="2E74B5" w:themeColor="accent1" w:themeShade="BF"/>
          <w:sz w:val="28"/>
          <w:szCs w:val="28"/>
        </w:rPr>
        <w:t xml:space="preserve">Section 1 </w:t>
      </w:r>
      <w:r w:rsidR="00F00E5D">
        <w:rPr>
          <w:b/>
          <w:bCs/>
          <w:color w:val="2E74B5" w:themeColor="accent1" w:themeShade="BF"/>
          <w:sz w:val="28"/>
          <w:szCs w:val="28"/>
        </w:rPr>
        <w:t xml:space="preserve">  </w:t>
      </w:r>
      <w:r w:rsidR="004A50CC" w:rsidRPr="00F00E5D">
        <w:rPr>
          <w:b/>
          <w:bCs/>
          <w:color w:val="2E74B5" w:themeColor="accent1" w:themeShade="BF"/>
          <w:sz w:val="28"/>
          <w:szCs w:val="28"/>
        </w:rPr>
        <w:t>Introduction</w:t>
      </w:r>
    </w:p>
    <w:p w14:paraId="6E88C9A8" w14:textId="77777777" w:rsidR="00F00E5D" w:rsidRPr="00F00E5D" w:rsidRDefault="00F00E5D" w:rsidP="00175CB3">
      <w:pPr>
        <w:rPr>
          <w:b/>
          <w:bCs/>
          <w:color w:val="5B9BD5" w:themeColor="accent1"/>
          <w:sz w:val="28"/>
          <w:szCs w:val="28"/>
        </w:rPr>
      </w:pPr>
    </w:p>
    <w:p w14:paraId="7148E8C0" w14:textId="6796CB27" w:rsidR="00EE3549" w:rsidRDefault="00C02D04" w:rsidP="0056375B">
      <w:pPr>
        <w:pStyle w:val="Default"/>
        <w:rPr>
          <w:bCs/>
        </w:rPr>
      </w:pPr>
      <w:r>
        <w:rPr>
          <w:bCs/>
        </w:rPr>
        <w:t xml:space="preserve">The Energy Policy Group (EPG) of the University of Exeter </w:t>
      </w:r>
      <w:r w:rsidR="004A50CC" w:rsidRPr="0056375B">
        <w:rPr>
          <w:bCs/>
        </w:rPr>
        <w:t>welcomes the chance to review the</w:t>
      </w:r>
      <w:r w:rsidR="00F20FD0">
        <w:rPr>
          <w:bCs/>
        </w:rPr>
        <w:t xml:space="preserve"> Open Letter on the </w:t>
      </w:r>
      <w:r w:rsidR="004A50CC" w:rsidRPr="0056375B">
        <w:rPr>
          <w:bCs/>
        </w:rPr>
        <w:t xml:space="preserve"> RIIO-2 Framework</w:t>
      </w:r>
      <w:r w:rsidR="00890258">
        <w:rPr>
          <w:rStyle w:val="FootnoteReference"/>
          <w:bCs/>
        </w:rPr>
        <w:footnoteReference w:id="2"/>
      </w:r>
      <w:r w:rsidR="0053668D">
        <w:rPr>
          <w:bCs/>
        </w:rPr>
        <w:t>.</w:t>
      </w:r>
    </w:p>
    <w:p w14:paraId="08D1CA99" w14:textId="77777777" w:rsidR="00EE3549" w:rsidRDefault="00EE3549" w:rsidP="0056375B">
      <w:pPr>
        <w:pStyle w:val="Default"/>
        <w:rPr>
          <w:bCs/>
        </w:rPr>
      </w:pPr>
    </w:p>
    <w:p w14:paraId="3BE38369" w14:textId="1EC711E8" w:rsidR="004C56A0" w:rsidRDefault="00EE3549" w:rsidP="0056375B">
      <w:pPr>
        <w:pStyle w:val="Default"/>
      </w:pPr>
      <w:r>
        <w:rPr>
          <w:bCs/>
        </w:rPr>
        <w:t>The Open Letter</w:t>
      </w:r>
      <w:r w:rsidR="0056375B" w:rsidRPr="0056375B">
        <w:rPr>
          <w:bCs/>
        </w:rPr>
        <w:t xml:space="preserve"> </w:t>
      </w:r>
      <w:r>
        <w:rPr>
          <w:bCs/>
        </w:rPr>
        <w:t>i</w:t>
      </w:r>
      <w:r w:rsidR="0056375B" w:rsidRPr="0056375B">
        <w:rPr>
          <w:bCs/>
        </w:rPr>
        <w:t xml:space="preserve">s part of a </w:t>
      </w:r>
      <w:r w:rsidR="004A50CC" w:rsidRPr="0056375B">
        <w:t>group of related documents</w:t>
      </w:r>
      <w:r w:rsidR="004C56A0">
        <w:t xml:space="preserve"> published on 4 August 2017</w:t>
      </w:r>
      <w:r w:rsidR="0056375B" w:rsidRPr="0056375B">
        <w:t>: the Ofgem Strategy</w:t>
      </w:r>
      <w:r w:rsidR="00890258">
        <w:rPr>
          <w:rStyle w:val="FootnoteReference"/>
        </w:rPr>
        <w:footnoteReference w:id="3"/>
      </w:r>
      <w:r w:rsidR="0056375B" w:rsidRPr="0056375B">
        <w:t xml:space="preserve"> for Regulating the Future Energy System; </w:t>
      </w:r>
      <w:r w:rsidR="004A50CC" w:rsidRPr="0056375B">
        <w:t xml:space="preserve">a joint </w:t>
      </w:r>
      <w:r w:rsidR="0056375B" w:rsidRPr="0056375B">
        <w:t>BEIS / Ofgem</w:t>
      </w:r>
      <w:r w:rsidR="00890258">
        <w:rPr>
          <w:rStyle w:val="FootnoteReference"/>
        </w:rPr>
        <w:footnoteReference w:id="4"/>
      </w:r>
      <w:r w:rsidR="0056375B" w:rsidRPr="0056375B">
        <w:t xml:space="preserve"> </w:t>
      </w:r>
      <w:r w:rsidR="004A50CC" w:rsidRPr="0056375B">
        <w:t>plan for a smart, flexible po</w:t>
      </w:r>
      <w:r w:rsidR="0010529B">
        <w:t>wer system with the Government (</w:t>
      </w:r>
      <w:r w:rsidR="004A50CC" w:rsidRPr="0056375B">
        <w:t xml:space="preserve">which </w:t>
      </w:r>
      <w:r w:rsidR="0056375B" w:rsidRPr="0056375B">
        <w:t xml:space="preserve">resulted from the </w:t>
      </w:r>
      <w:r w:rsidR="0056375B">
        <w:t>Jan</w:t>
      </w:r>
      <w:r w:rsidR="00EA0C6D">
        <w:t>uary 2017</w:t>
      </w:r>
      <w:r w:rsidR="0056375B">
        <w:t xml:space="preserve"> </w:t>
      </w:r>
      <w:r w:rsidR="0056375B" w:rsidRPr="0056375B">
        <w:t>f</w:t>
      </w:r>
      <w:r w:rsidR="0056375B">
        <w:t>lexibility consultation</w:t>
      </w:r>
      <w:r w:rsidR="0010529B">
        <w:t xml:space="preserve"> (see the EPG submission</w:t>
      </w:r>
      <w:r w:rsidR="0010529B">
        <w:rPr>
          <w:rStyle w:val="FootnoteReference"/>
        </w:rPr>
        <w:footnoteReference w:id="5"/>
      </w:r>
      <w:r w:rsidR="0010529B">
        <w:t>))</w:t>
      </w:r>
      <w:r w:rsidR="0056375B">
        <w:t xml:space="preserve"> </w:t>
      </w:r>
      <w:r w:rsidR="0056375B" w:rsidRPr="0056375B">
        <w:t xml:space="preserve">; a paper about the </w:t>
      </w:r>
      <w:r w:rsidR="004A50CC" w:rsidRPr="0056375B">
        <w:t>direction of travel</w:t>
      </w:r>
      <w:r w:rsidR="00890258">
        <w:rPr>
          <w:rStyle w:val="FootnoteReference"/>
        </w:rPr>
        <w:footnoteReference w:id="6"/>
      </w:r>
      <w:r w:rsidR="004A50CC" w:rsidRPr="0056375B">
        <w:t xml:space="preserve"> on proposals to se</w:t>
      </w:r>
      <w:r w:rsidR="0056375B" w:rsidRPr="0056375B">
        <w:t>parate the System Operator (SO</w:t>
      </w:r>
      <w:r w:rsidR="0010529B">
        <w:t xml:space="preserve">, </w:t>
      </w:r>
      <w:r w:rsidR="00F20FD0">
        <w:t xml:space="preserve">again </w:t>
      </w:r>
      <w:r w:rsidR="0010529B">
        <w:t>see our submission to that</w:t>
      </w:r>
      <w:r w:rsidR="00723494">
        <w:t xml:space="preserve"> </w:t>
      </w:r>
      <w:r w:rsidR="0010529B">
        <w:lastRenderedPageBreak/>
        <w:t>consultation</w:t>
      </w:r>
      <w:r w:rsidR="0010529B">
        <w:rPr>
          <w:rStyle w:val="FootnoteReference"/>
        </w:rPr>
        <w:footnoteReference w:id="7"/>
      </w:r>
      <w:r w:rsidR="0056375B" w:rsidRPr="0056375B">
        <w:t xml:space="preserve">); a </w:t>
      </w:r>
      <w:r w:rsidR="004A50CC" w:rsidRPr="0056375B">
        <w:t>launch statement</w:t>
      </w:r>
      <w:r w:rsidR="00890258">
        <w:rPr>
          <w:rStyle w:val="FootnoteReference"/>
        </w:rPr>
        <w:footnoteReference w:id="8"/>
      </w:r>
      <w:r w:rsidR="004A50CC" w:rsidRPr="0056375B">
        <w:t xml:space="preserve"> for the Electricity Settlement significant code review</w:t>
      </w:r>
      <w:r w:rsidR="0056375B" w:rsidRPr="0056375B">
        <w:t xml:space="preserve">; and a </w:t>
      </w:r>
      <w:r w:rsidR="004A50CC" w:rsidRPr="0056375B">
        <w:t>launch document f</w:t>
      </w:r>
      <w:r w:rsidR="0056375B" w:rsidRPr="0056375B">
        <w:t>or the Targeted Charging Review</w:t>
      </w:r>
      <w:r w:rsidR="00890258">
        <w:rPr>
          <w:rStyle w:val="FootnoteReference"/>
        </w:rPr>
        <w:footnoteReference w:id="9"/>
      </w:r>
      <w:r w:rsidR="0056375B" w:rsidRPr="0056375B">
        <w:t xml:space="preserve">. </w:t>
      </w:r>
    </w:p>
    <w:p w14:paraId="696B1AFD" w14:textId="77777777" w:rsidR="004C56A0" w:rsidRDefault="004C56A0" w:rsidP="0056375B">
      <w:pPr>
        <w:pStyle w:val="Default"/>
      </w:pPr>
    </w:p>
    <w:p w14:paraId="3088DE97" w14:textId="7FF39C14" w:rsidR="00890258" w:rsidRDefault="0056375B" w:rsidP="0056375B">
      <w:pPr>
        <w:pStyle w:val="Default"/>
      </w:pPr>
      <w:r>
        <w:t>EPG welcomes</w:t>
      </w:r>
      <w:r w:rsidR="0053668D">
        <w:t xml:space="preserve"> the fact that Ofgem is </w:t>
      </w:r>
      <w:r>
        <w:t xml:space="preserve">trying to bring coherence and integration to </w:t>
      </w:r>
      <w:r w:rsidR="004C56A0">
        <w:t xml:space="preserve">some of </w:t>
      </w:r>
      <w:r>
        <w:t xml:space="preserve">its regulatory </w:t>
      </w:r>
      <w:r w:rsidR="00176E11">
        <w:t>decisions</w:t>
      </w:r>
      <w:r>
        <w:t xml:space="preserve">. </w:t>
      </w:r>
      <w:r w:rsidR="004C56A0">
        <w:t>The scope of the combined papers is very large</w:t>
      </w:r>
      <w:r w:rsidR="00176E11">
        <w:t xml:space="preserve"> and very important</w:t>
      </w:r>
      <w:r w:rsidR="004C56A0">
        <w:t xml:space="preserve">, and they all impact on each other.  However, the descriptions and language within the documents are essentially status quo when it comes to the institutional arrangements of the future energy system. </w:t>
      </w:r>
      <w:r w:rsidR="00890258">
        <w:t>In</w:t>
      </w:r>
      <w:r w:rsidR="00F74079">
        <w:t xml:space="preserve"> other words, the document implies</w:t>
      </w:r>
      <w:r w:rsidR="00890258">
        <w:t xml:space="preserve"> that any regulatory changes which occur as a result of these documents, will occur in the same institut</w:t>
      </w:r>
      <w:r w:rsidR="00EA0C6D">
        <w:t>ional framework as occurs now. Moreover, whilst t</w:t>
      </w:r>
      <w:r w:rsidR="00890258">
        <w:t xml:space="preserve">he RIIO2 Open Letter itself </w:t>
      </w:r>
      <w:r w:rsidR="00EA0C6D">
        <w:t xml:space="preserve">argues </w:t>
      </w:r>
      <w:r w:rsidR="00890258">
        <w:t xml:space="preserve"> </w:t>
      </w:r>
      <w:r w:rsidR="00EA0C6D">
        <w:t xml:space="preserve">for </w:t>
      </w:r>
      <w:r w:rsidR="00890258">
        <w:t>appropriate incentives on network companies</w:t>
      </w:r>
      <w:r w:rsidR="00EA0C6D">
        <w:t>,</w:t>
      </w:r>
      <w:r w:rsidR="00890258">
        <w:t xml:space="preserve"> </w:t>
      </w:r>
      <w:r w:rsidR="00EA0C6D">
        <w:t>it does not set out (</w:t>
      </w:r>
      <w:r w:rsidR="00890258">
        <w:t>powerful</w:t>
      </w:r>
      <w:r w:rsidR="00EA0C6D">
        <w:t>)</w:t>
      </w:r>
      <w:r w:rsidR="00890258">
        <w:t xml:space="preserve"> arguments about why ratchetting up performance based regulation </w:t>
      </w:r>
      <w:r w:rsidR="00E96BD1">
        <w:t xml:space="preserve">within an incentive mechanism </w:t>
      </w:r>
      <w:r w:rsidR="00890258">
        <w:t xml:space="preserve">might be an essential key to unlock the energy system transformation. </w:t>
      </w:r>
      <w:r w:rsidR="00EA0C6D">
        <w:t>We think this is a missed opportunity in both cases.</w:t>
      </w:r>
    </w:p>
    <w:p w14:paraId="03582BCA" w14:textId="77777777" w:rsidR="00890258" w:rsidRDefault="00890258" w:rsidP="0056375B">
      <w:pPr>
        <w:pStyle w:val="Default"/>
      </w:pPr>
    </w:p>
    <w:p w14:paraId="745DCB6E" w14:textId="051FE200" w:rsidR="00C02D04" w:rsidRDefault="00C02D04" w:rsidP="0056375B">
      <w:pPr>
        <w:pStyle w:val="Default"/>
      </w:pPr>
      <w:r>
        <w:t xml:space="preserve">We are pleased that the Open Letter </w:t>
      </w:r>
      <w:r w:rsidR="00EA0C6D">
        <w:t xml:space="preserve">asks whether 8 year price controls are appropriate – and our view is that they are not, and should be considerably shortened. However, on a more general note, </w:t>
      </w:r>
      <w:r>
        <w:t>the Open Letter</w:t>
      </w:r>
      <w:r w:rsidR="00EA0C6D">
        <w:t xml:space="preserve"> is </w:t>
      </w:r>
      <w:r w:rsidR="00890258">
        <w:t>discussing price controls for 2021</w:t>
      </w:r>
      <w:r w:rsidR="00E96BD1">
        <w:t xml:space="preserve"> onwards</w:t>
      </w:r>
      <w:r w:rsidR="00890258">
        <w:t>, and in the case of distribution</w:t>
      </w:r>
      <w:r>
        <w:t>,</w:t>
      </w:r>
      <w:r w:rsidR="00890258">
        <w:t xml:space="preserve"> </w:t>
      </w:r>
      <w:r w:rsidR="00EA0C6D">
        <w:t xml:space="preserve">for </w:t>
      </w:r>
      <w:r>
        <w:t>2023</w:t>
      </w:r>
      <w:r w:rsidR="00E96BD1">
        <w:t xml:space="preserve"> onwards</w:t>
      </w:r>
      <w:r>
        <w:t xml:space="preserve">. </w:t>
      </w:r>
      <w:r w:rsidR="00890258">
        <w:t xml:space="preserve"> </w:t>
      </w:r>
      <w:r>
        <w:t>Moreover, one</w:t>
      </w:r>
      <w:r w:rsidR="00EA0C6D">
        <w:t xml:space="preserve"> of the related document</w:t>
      </w:r>
      <w:r>
        <w:t xml:space="preserve">s </w:t>
      </w:r>
      <w:r w:rsidR="00EA0C6D">
        <w:t xml:space="preserve">asks about price control timelines for the transmission system operator. It is vital that RIIO-2 is restructured so that it does provide adequate incentives for innovation and for networks to be operated in a flexible, efficient way which meets customer wishes. If the output of this consultation gets it ‘wrong’, then GB is </w:t>
      </w:r>
      <w:r w:rsidR="00890258">
        <w:t xml:space="preserve">potentially </w:t>
      </w:r>
      <w:r>
        <w:t>trapped with a poor regulatory mechanism</w:t>
      </w:r>
      <w:r w:rsidR="00EA0C6D">
        <w:t xml:space="preserve"> until</w:t>
      </w:r>
      <w:r w:rsidR="00890258">
        <w:t xml:space="preserve"> 2031. </w:t>
      </w:r>
    </w:p>
    <w:p w14:paraId="63DA6CDA" w14:textId="77777777" w:rsidR="00C02D04" w:rsidRDefault="00C02D04" w:rsidP="0056375B">
      <w:pPr>
        <w:pStyle w:val="Default"/>
      </w:pPr>
    </w:p>
    <w:p w14:paraId="7B2E09CE" w14:textId="51E32405" w:rsidR="00C02D04" w:rsidRDefault="00C02D04" w:rsidP="0056375B">
      <w:pPr>
        <w:pStyle w:val="Default"/>
      </w:pPr>
      <w:r>
        <w:t>The carbon budget for the period 2028-2032 is 1,725 mt CO2e</w:t>
      </w:r>
      <w:r>
        <w:rPr>
          <w:rStyle w:val="FootnoteReference"/>
        </w:rPr>
        <w:footnoteReference w:id="10"/>
      </w:r>
      <w:r>
        <w:t>, equivalent to a 57% reduction on 1990 levels</w:t>
      </w:r>
      <w:r>
        <w:rPr>
          <w:rStyle w:val="FootnoteReference"/>
        </w:rPr>
        <w:footnoteReference w:id="11"/>
      </w:r>
      <w:r>
        <w:t>.  In order to meet this budget the networks will not only need to co</w:t>
      </w:r>
      <w:r w:rsidR="00E96BD1">
        <w:t>nsider heat and power, but also (</w:t>
      </w:r>
      <w:r>
        <w:t>following the statement released in July to end all sale of petrol and diesel cars by 2040</w:t>
      </w:r>
      <w:r>
        <w:rPr>
          <w:rStyle w:val="FootnoteReference"/>
        </w:rPr>
        <w:footnoteReference w:id="12"/>
      </w:r>
      <w:r w:rsidR="00E96BD1">
        <w:t xml:space="preserve">) </w:t>
      </w:r>
      <w:r>
        <w:t xml:space="preserve">increasingly transport.  </w:t>
      </w:r>
    </w:p>
    <w:p w14:paraId="7A6D278A" w14:textId="77777777" w:rsidR="00DA5617" w:rsidRDefault="00DA5617" w:rsidP="0056375B">
      <w:pPr>
        <w:pStyle w:val="Default"/>
      </w:pPr>
    </w:p>
    <w:p w14:paraId="7CAB9D4E" w14:textId="5581D939" w:rsidR="00DA5617" w:rsidRDefault="00DA5617" w:rsidP="0056375B">
      <w:pPr>
        <w:pStyle w:val="Default"/>
      </w:pPr>
      <w:r>
        <w:t>RIIO as an acronym is fine. This comment paper does not mind there being a RIIO-2. It does argue however that the design of RIIO-2 has to be fundamentally restructured because of its significant weaknesses.</w:t>
      </w:r>
    </w:p>
    <w:p w14:paraId="62C95207" w14:textId="77777777" w:rsidR="00C02D04" w:rsidRDefault="00C02D04" w:rsidP="00C02D04">
      <w:pPr>
        <w:pStyle w:val="Default"/>
        <w:tabs>
          <w:tab w:val="left" w:pos="6480"/>
        </w:tabs>
      </w:pPr>
    </w:p>
    <w:p w14:paraId="7680E7F8" w14:textId="70A24D1C" w:rsidR="004C56A0" w:rsidRDefault="00C02D04" w:rsidP="00C02D04">
      <w:pPr>
        <w:pStyle w:val="Default"/>
        <w:tabs>
          <w:tab w:val="left" w:pos="6480"/>
        </w:tabs>
      </w:pPr>
      <w:r>
        <w:t>Finally,</w:t>
      </w:r>
      <w:r w:rsidR="004C56A0">
        <w:t xml:space="preserve"> publishin</w:t>
      </w:r>
      <w:r w:rsidR="005961AE">
        <w:t xml:space="preserve">g the related papers in August and </w:t>
      </w:r>
      <w:r w:rsidR="004C56A0">
        <w:t>one month before the deadline</w:t>
      </w:r>
      <w:r>
        <w:t xml:space="preserve"> for the RIIO-2 Open Letter is </w:t>
      </w:r>
      <w:r w:rsidR="00E96BD1">
        <w:t xml:space="preserve">not </w:t>
      </w:r>
      <w:r w:rsidR="004C56A0">
        <w:t xml:space="preserve">the best way to </w:t>
      </w:r>
      <w:r w:rsidR="005961AE">
        <w:t xml:space="preserve">kick – off the </w:t>
      </w:r>
      <w:r w:rsidR="004C56A0">
        <w:t>consult</w:t>
      </w:r>
      <w:r w:rsidR="005961AE">
        <w:t>ation</w:t>
      </w:r>
      <w:r w:rsidR="004C56A0">
        <w:t xml:space="preserve"> on such major </w:t>
      </w:r>
      <w:r>
        <w:t>issues</w:t>
      </w:r>
      <w:r w:rsidR="008910E8">
        <w:t xml:space="preserve"> or to include a wide set of stakeholders</w:t>
      </w:r>
    </w:p>
    <w:p w14:paraId="7B32A9B3" w14:textId="77777777" w:rsidR="00B03B60" w:rsidRDefault="00B03B60" w:rsidP="00C02D04">
      <w:pPr>
        <w:pStyle w:val="Default"/>
        <w:tabs>
          <w:tab w:val="left" w:pos="6480"/>
        </w:tabs>
      </w:pPr>
    </w:p>
    <w:p w14:paraId="068DB851" w14:textId="73B6DB18" w:rsidR="00176E11" w:rsidRDefault="00F00E5D" w:rsidP="00F00E5D">
      <w:pPr>
        <w:autoSpaceDE w:val="0"/>
        <w:autoSpaceDN w:val="0"/>
        <w:adjustRightInd w:val="0"/>
        <w:spacing w:after="0" w:line="240" w:lineRule="auto"/>
        <w:jc w:val="left"/>
      </w:pPr>
      <w:r w:rsidRPr="00F00E5D">
        <w:rPr>
          <w:rFonts w:ascii="Calibri" w:eastAsiaTheme="minorHAnsi" w:hAnsi="Calibri" w:cs="Calibri"/>
          <w:color w:val="000000"/>
          <w:sz w:val="24"/>
          <w:szCs w:val="24"/>
        </w:rPr>
        <w:lastRenderedPageBreak/>
        <w:t xml:space="preserve">This comment is set out as follows: the next section (Section 2) provides a general high-level discussion / critique of the GB governance system;  RIIO; Section 3 critiques the seemingly piecemeal approach to regulation that appears to be occurring via Ofgem and BEIS; Section 4 argues that PBR and network charging are two central, inter-linked sources of revenue for network companies, and the key means to incentivise them to do what society wants of them; Section 5 sets out reasons why GB could learn lessons from other jurisdictions, even if those jurisdictions have different regulatory systems than our own; Section 6 provides a specific example of the problems of RIIO; Section 7  provides a high level critique of RIIO; Section 8 provides high level comments on the Open Letter; Section 9 answers some of the questions within the Open Letter, and Section 10 concludes. </w:t>
      </w:r>
    </w:p>
    <w:p w14:paraId="71773592" w14:textId="77777777" w:rsidR="00DA5617" w:rsidRDefault="00DA5617" w:rsidP="004C56A0">
      <w:pPr>
        <w:pStyle w:val="Default"/>
        <w:rPr>
          <w:b/>
          <w:sz w:val="28"/>
          <w:szCs w:val="28"/>
        </w:rPr>
      </w:pPr>
    </w:p>
    <w:p w14:paraId="054F2864" w14:textId="77777777" w:rsidR="00DA5617" w:rsidRDefault="00DA5617" w:rsidP="004C56A0">
      <w:pPr>
        <w:pStyle w:val="Default"/>
        <w:rPr>
          <w:b/>
          <w:sz w:val="28"/>
          <w:szCs w:val="28"/>
        </w:rPr>
      </w:pPr>
    </w:p>
    <w:p w14:paraId="05E4B187" w14:textId="5D13E2EC" w:rsidR="00176E11" w:rsidRPr="00F00E5D" w:rsidRDefault="00174128" w:rsidP="004C56A0">
      <w:pPr>
        <w:pStyle w:val="Default"/>
        <w:rPr>
          <w:b/>
          <w:color w:val="2E74B5" w:themeColor="accent1" w:themeShade="BF"/>
          <w:sz w:val="28"/>
          <w:szCs w:val="28"/>
        </w:rPr>
      </w:pPr>
      <w:r w:rsidRPr="00F00E5D">
        <w:rPr>
          <w:b/>
          <w:color w:val="2E74B5" w:themeColor="accent1" w:themeShade="BF"/>
          <w:sz w:val="28"/>
          <w:szCs w:val="28"/>
        </w:rPr>
        <w:t xml:space="preserve">Section 2 </w:t>
      </w:r>
      <w:r w:rsidR="00F00E5D">
        <w:rPr>
          <w:b/>
          <w:color w:val="2E74B5" w:themeColor="accent1" w:themeShade="BF"/>
          <w:sz w:val="28"/>
          <w:szCs w:val="28"/>
        </w:rPr>
        <w:t xml:space="preserve">  I</w:t>
      </w:r>
      <w:r w:rsidR="00176E11" w:rsidRPr="00F00E5D">
        <w:rPr>
          <w:b/>
          <w:color w:val="2E74B5" w:themeColor="accent1" w:themeShade="BF"/>
          <w:sz w:val="28"/>
          <w:szCs w:val="28"/>
        </w:rPr>
        <w:t xml:space="preserve">Gov’s broad argument for </w:t>
      </w:r>
      <w:r w:rsidR="00A45315" w:rsidRPr="00F00E5D">
        <w:rPr>
          <w:b/>
          <w:color w:val="2E74B5" w:themeColor="accent1" w:themeShade="BF"/>
          <w:sz w:val="28"/>
          <w:szCs w:val="28"/>
        </w:rPr>
        <w:t xml:space="preserve">institutional and </w:t>
      </w:r>
      <w:r w:rsidR="00176E11" w:rsidRPr="00F00E5D">
        <w:rPr>
          <w:b/>
          <w:color w:val="2E74B5" w:themeColor="accent1" w:themeShade="BF"/>
          <w:sz w:val="28"/>
          <w:szCs w:val="28"/>
        </w:rPr>
        <w:t>regulatory change</w:t>
      </w:r>
    </w:p>
    <w:p w14:paraId="1B4EBAF8" w14:textId="77777777" w:rsidR="004C56A0" w:rsidRDefault="004C56A0" w:rsidP="0056375B">
      <w:pPr>
        <w:pStyle w:val="Default"/>
      </w:pPr>
    </w:p>
    <w:p w14:paraId="366773EB" w14:textId="77777777" w:rsidR="004C56A0" w:rsidRDefault="004C56A0" w:rsidP="0056375B">
      <w:pPr>
        <w:pStyle w:val="Default"/>
      </w:pPr>
    </w:p>
    <w:p w14:paraId="133C990E" w14:textId="0BD0F724" w:rsidR="00C02D04" w:rsidRDefault="00CB4E7A" w:rsidP="00C348F2">
      <w:pPr>
        <w:pStyle w:val="Default"/>
      </w:pPr>
      <w:r>
        <w:t>IGov</w:t>
      </w:r>
      <w:r w:rsidR="00DA5617">
        <w:rPr>
          <w:rStyle w:val="FootnoteReference"/>
        </w:rPr>
        <w:footnoteReference w:id="13"/>
      </w:r>
      <w:r w:rsidR="00DA5617">
        <w:t xml:space="preserve"> is a project undertaken by the EPG.  It </w:t>
      </w:r>
      <w:r>
        <w:t xml:space="preserve">takes the view that institutional </w:t>
      </w:r>
      <w:r w:rsidR="002319DA">
        <w:t xml:space="preserve">and regulatory </w:t>
      </w:r>
      <w:r w:rsidR="008477EA">
        <w:t xml:space="preserve"> </w:t>
      </w:r>
      <w:r>
        <w:t xml:space="preserve">change is required to enable a transformation of the energy system to one that is decarbonised, affordable and secure. </w:t>
      </w:r>
      <w:r w:rsidR="00C348F2">
        <w:t>IGov has argued that the current energy system governance framework in GB is not fit for purpose, and IGov has proposed a ‘straw’ governance framework which it argues is fit for purpose</w:t>
      </w:r>
      <w:r w:rsidR="00C348F2">
        <w:rPr>
          <w:rStyle w:val="FootnoteReference"/>
        </w:rPr>
        <w:footnoteReference w:id="14"/>
      </w:r>
      <w:r w:rsidR="00C348F2">
        <w:t xml:space="preserve">. IGov argues that there are four </w:t>
      </w:r>
      <w:r w:rsidR="00174128">
        <w:t xml:space="preserve">key, inter-linked </w:t>
      </w:r>
      <w:r w:rsidR="00C348F2">
        <w:t>areas that require change, as shown in Figure 1</w:t>
      </w:r>
      <w:r w:rsidR="00C348F2">
        <w:rPr>
          <w:rStyle w:val="FootnoteReference"/>
        </w:rPr>
        <w:footnoteReference w:id="15"/>
      </w:r>
      <w:r w:rsidR="00174128">
        <w:t>: the decision-making process, including its institutions; the resetting to be customer and demand-focused; a move to a flexible and coo</w:t>
      </w:r>
      <w:r w:rsidR="00E96BD1">
        <w:t>rdinated cooperation and design;</w:t>
      </w:r>
      <w:r w:rsidR="00174128">
        <w:t xml:space="preserve"> and regulatory reform. </w:t>
      </w:r>
    </w:p>
    <w:p w14:paraId="201185F6" w14:textId="77777777" w:rsidR="00C02D04" w:rsidRDefault="00C02D04" w:rsidP="00C348F2">
      <w:pPr>
        <w:pStyle w:val="Default"/>
      </w:pPr>
    </w:p>
    <w:p w14:paraId="4B4CFD05" w14:textId="06F28137" w:rsidR="00DA5617" w:rsidRDefault="00174128" w:rsidP="00C348F2">
      <w:pPr>
        <w:pStyle w:val="Default"/>
      </w:pPr>
      <w:r>
        <w:t>All these aspects are necessary for the en</w:t>
      </w:r>
      <w:r w:rsidR="00E96BD1">
        <w:t xml:space="preserve">ergy system transformation. No </w:t>
      </w:r>
      <w:r>
        <w:t>one aspect can be expected to enable that t</w:t>
      </w:r>
      <w:r w:rsidR="00C02D04">
        <w:t>ransformation on its own – and they need to be complementary to each other. GB energy governance therefore needs a more directed and coordinated approach, which includes ensuring that the system development is occurring at the required rate to meet the CCC carbon budgets</w:t>
      </w:r>
      <w:r w:rsidR="00C02D04">
        <w:rPr>
          <w:rStyle w:val="FootnoteReference"/>
        </w:rPr>
        <w:footnoteReference w:id="16"/>
      </w:r>
      <w:r w:rsidR="00C02D04">
        <w:t>.</w:t>
      </w:r>
      <w:r>
        <w:t xml:space="preserve"> </w:t>
      </w:r>
      <w:r w:rsidR="00DA5617">
        <w:t xml:space="preserve"> </w:t>
      </w:r>
    </w:p>
    <w:p w14:paraId="2B02CFFC" w14:textId="77777777" w:rsidR="00DA5617" w:rsidRDefault="00DA5617" w:rsidP="00C348F2">
      <w:pPr>
        <w:pStyle w:val="Default"/>
      </w:pPr>
    </w:p>
    <w:p w14:paraId="5FFB16B1" w14:textId="4DA5C6D1" w:rsidR="002319DA" w:rsidRDefault="00DA5617" w:rsidP="0056375B">
      <w:pPr>
        <w:pStyle w:val="Default"/>
      </w:pPr>
      <w:r>
        <w:t>As such</w:t>
      </w:r>
      <w:r w:rsidR="00C02D04">
        <w:t xml:space="preserve">, </w:t>
      </w:r>
      <w:r>
        <w:t>in</w:t>
      </w:r>
      <w:r w:rsidR="00DF615D">
        <w:t xml:space="preserve"> relation to the RIIO-2 Open Letter, we would argue that</w:t>
      </w:r>
      <w:r w:rsidR="00A45315">
        <w:t xml:space="preserve"> </w:t>
      </w:r>
      <w:r w:rsidR="00E96BD1">
        <w:t>the RIIO</w:t>
      </w:r>
      <w:r>
        <w:t xml:space="preserve"> design needs fundamental restructuring, and this includes RIIO’s minor performance based regulation (PBR) component which needs to become much stronger. Overall, RIIO – GB’s regulatory mechanism or whatever follo</w:t>
      </w:r>
      <w:r w:rsidR="00E96BD1">
        <w:t xml:space="preserve">ws it - </w:t>
      </w:r>
      <w:r>
        <w:t xml:space="preserve"> should be complementary </w:t>
      </w:r>
      <w:r w:rsidR="00C348F2">
        <w:t xml:space="preserve">to </w:t>
      </w:r>
      <w:r w:rsidR="00A45315">
        <w:t xml:space="preserve">the </w:t>
      </w:r>
      <w:r w:rsidR="00C348F2">
        <w:t xml:space="preserve">other </w:t>
      </w:r>
      <w:r>
        <w:t xml:space="preserve">institutional, </w:t>
      </w:r>
      <w:r w:rsidR="00C348F2">
        <w:t xml:space="preserve">rules, regulations and incentives </w:t>
      </w:r>
      <w:r w:rsidR="00DF615D">
        <w:t xml:space="preserve">changes </w:t>
      </w:r>
      <w:r w:rsidR="00C348F2">
        <w:t>needed to enable a more flexible</w:t>
      </w:r>
      <w:r w:rsidR="00DF615D">
        <w:t>, integrated</w:t>
      </w:r>
      <w:r w:rsidR="00C348F2">
        <w:t xml:space="preserve"> and co-ordinated system operation </w:t>
      </w:r>
      <w:r>
        <w:t>which also</w:t>
      </w:r>
      <w:r w:rsidR="00C348F2">
        <w:t xml:space="preserve"> complement</w:t>
      </w:r>
      <w:r>
        <w:t>s</w:t>
      </w:r>
      <w:r w:rsidR="00C348F2">
        <w:t xml:space="preserve"> public policy goals</w:t>
      </w:r>
      <w:r w:rsidR="00DF615D">
        <w:t xml:space="preserve"> and</w:t>
      </w:r>
      <w:r w:rsidR="00C348F2">
        <w:t xml:space="preserve"> desired outputs.</w:t>
      </w:r>
      <w:r w:rsidR="002319DA">
        <w:t xml:space="preserve"> </w:t>
      </w:r>
    </w:p>
    <w:p w14:paraId="6CE4ABC5" w14:textId="77777777" w:rsidR="00C348F2" w:rsidRDefault="00C348F2" w:rsidP="0056375B">
      <w:pPr>
        <w:pStyle w:val="Default"/>
      </w:pPr>
    </w:p>
    <w:p w14:paraId="1B9EA1D9" w14:textId="2FB3D049" w:rsidR="00C348F2" w:rsidRDefault="00C348F2" w:rsidP="0056375B">
      <w:pPr>
        <w:pStyle w:val="Default"/>
      </w:pPr>
      <w:r w:rsidRPr="00411AB7">
        <w:rPr>
          <w:noProof/>
          <w:lang w:eastAsia="en-GB"/>
        </w:rPr>
        <w:lastRenderedPageBreak/>
        <w:drawing>
          <wp:inline distT="0" distB="0" distL="0" distR="0" wp14:anchorId="204A3AD1" wp14:editId="5ABF238A">
            <wp:extent cx="4572638" cy="342947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72638" cy="3429479"/>
                    </a:xfrm>
                    <a:prstGeom prst="rect">
                      <a:avLst/>
                    </a:prstGeom>
                  </pic:spPr>
                </pic:pic>
              </a:graphicData>
            </a:graphic>
          </wp:inline>
        </w:drawing>
      </w:r>
    </w:p>
    <w:p w14:paraId="7666F838" w14:textId="3716E48E" w:rsidR="002319DA" w:rsidRPr="00421118" w:rsidRDefault="00DF615D" w:rsidP="0056375B">
      <w:pPr>
        <w:pStyle w:val="Default"/>
        <w:rPr>
          <w:sz w:val="20"/>
          <w:szCs w:val="20"/>
        </w:rPr>
      </w:pPr>
      <w:r w:rsidRPr="00421118">
        <w:rPr>
          <w:sz w:val="20"/>
          <w:szCs w:val="20"/>
        </w:rPr>
        <w:t>Figure 1 The four governance areas requiring change in GB</w:t>
      </w:r>
    </w:p>
    <w:p w14:paraId="5CCCFDBB" w14:textId="77777777" w:rsidR="00C348F2" w:rsidRDefault="00C348F2" w:rsidP="0056375B">
      <w:pPr>
        <w:pStyle w:val="Default"/>
      </w:pPr>
    </w:p>
    <w:p w14:paraId="16305CB8" w14:textId="77777777" w:rsidR="00DF615D" w:rsidRDefault="00DF615D" w:rsidP="0056375B">
      <w:pPr>
        <w:pStyle w:val="Default"/>
      </w:pPr>
    </w:p>
    <w:p w14:paraId="5A5F27FF" w14:textId="70E04C20" w:rsidR="001236BB" w:rsidRPr="00F00E5D" w:rsidRDefault="001236BB" w:rsidP="0056375B">
      <w:pPr>
        <w:pStyle w:val="Default"/>
        <w:rPr>
          <w:b/>
          <w:color w:val="2E74B5" w:themeColor="accent1" w:themeShade="BF"/>
          <w:sz w:val="28"/>
          <w:szCs w:val="28"/>
        </w:rPr>
      </w:pPr>
      <w:r w:rsidRPr="00F00E5D">
        <w:rPr>
          <w:b/>
          <w:color w:val="2E74B5" w:themeColor="accent1" w:themeShade="BF"/>
          <w:sz w:val="28"/>
          <w:szCs w:val="28"/>
        </w:rPr>
        <w:t>Section 3 Institutional Change</w:t>
      </w:r>
      <w:r w:rsidR="009B50A6" w:rsidRPr="00F00E5D">
        <w:rPr>
          <w:b/>
          <w:color w:val="2E74B5" w:themeColor="accent1" w:themeShade="BF"/>
          <w:sz w:val="28"/>
          <w:szCs w:val="28"/>
        </w:rPr>
        <w:t xml:space="preserve"> and Regulatory Integration</w:t>
      </w:r>
      <w:r w:rsidRPr="00F00E5D">
        <w:rPr>
          <w:b/>
          <w:color w:val="2E74B5" w:themeColor="accent1" w:themeShade="BF"/>
          <w:sz w:val="28"/>
          <w:szCs w:val="28"/>
        </w:rPr>
        <w:t xml:space="preserve"> is Missing from the Open Letter </w:t>
      </w:r>
      <w:r w:rsidR="009B50A6" w:rsidRPr="00F00E5D">
        <w:rPr>
          <w:b/>
          <w:color w:val="2E74B5" w:themeColor="accent1" w:themeShade="BF"/>
          <w:sz w:val="28"/>
          <w:szCs w:val="28"/>
        </w:rPr>
        <w:t>Objectives</w:t>
      </w:r>
    </w:p>
    <w:p w14:paraId="5B660B43" w14:textId="77777777" w:rsidR="00A9107C" w:rsidRDefault="00A9107C" w:rsidP="00A9107C">
      <w:pPr>
        <w:pStyle w:val="Default"/>
      </w:pPr>
    </w:p>
    <w:p w14:paraId="5606B40B" w14:textId="77777777" w:rsidR="00723494" w:rsidRDefault="00723494" w:rsidP="00A9107C">
      <w:pPr>
        <w:pStyle w:val="Default"/>
        <w:rPr>
          <w:rFonts w:asciiTheme="minorHAnsi" w:hAnsiTheme="minorHAnsi"/>
        </w:rPr>
      </w:pPr>
    </w:p>
    <w:p w14:paraId="74CAE6C6" w14:textId="2B75B445" w:rsidR="00A9107C" w:rsidRPr="006E152B" w:rsidRDefault="00A9107C" w:rsidP="00A9107C">
      <w:pPr>
        <w:pStyle w:val="Default"/>
        <w:rPr>
          <w:rFonts w:asciiTheme="minorHAnsi" w:hAnsiTheme="minorHAnsi"/>
        </w:rPr>
      </w:pPr>
      <w:r w:rsidRPr="006E152B">
        <w:rPr>
          <w:rFonts w:asciiTheme="minorHAnsi" w:hAnsiTheme="minorHAnsi"/>
        </w:rPr>
        <w:t xml:space="preserve">The Open Letters lists a series of objectives for RIIO-2 (page 5), and then goes through those objectives in detail and asks a number of questions. Those questions are answered in Section </w:t>
      </w:r>
      <w:r w:rsidR="00437D52">
        <w:rPr>
          <w:rFonts w:asciiTheme="minorHAnsi" w:hAnsiTheme="minorHAnsi"/>
        </w:rPr>
        <w:t>9.</w:t>
      </w:r>
    </w:p>
    <w:p w14:paraId="2704272D" w14:textId="77777777" w:rsidR="00A9107C" w:rsidRPr="006E152B" w:rsidRDefault="00A9107C" w:rsidP="00A9107C">
      <w:pPr>
        <w:pStyle w:val="Default"/>
        <w:rPr>
          <w:rFonts w:asciiTheme="minorHAnsi" w:hAnsiTheme="minorHAnsi"/>
        </w:rPr>
      </w:pPr>
    </w:p>
    <w:p w14:paraId="655FBCE4" w14:textId="77777777" w:rsidR="00A9107C" w:rsidRPr="006E152B" w:rsidRDefault="00A9107C" w:rsidP="00A9107C">
      <w:pPr>
        <w:pStyle w:val="Default"/>
        <w:rPr>
          <w:rFonts w:asciiTheme="minorHAnsi" w:hAnsiTheme="minorHAnsi"/>
        </w:rPr>
      </w:pPr>
      <w:r w:rsidRPr="006E152B">
        <w:rPr>
          <w:rFonts w:asciiTheme="minorHAnsi" w:hAnsiTheme="minorHAnsi"/>
        </w:rPr>
        <w:t>The RIIO-2 objectives are:</w:t>
      </w:r>
    </w:p>
    <w:p w14:paraId="24DE64FA" w14:textId="77777777" w:rsidR="00A9107C" w:rsidRPr="006E152B" w:rsidRDefault="00A9107C" w:rsidP="00A9107C">
      <w:pPr>
        <w:pStyle w:val="Default"/>
        <w:rPr>
          <w:rFonts w:asciiTheme="minorHAnsi" w:hAnsiTheme="minorHAnsi"/>
        </w:rPr>
      </w:pPr>
    </w:p>
    <w:p w14:paraId="02D47EC0" w14:textId="77777777" w:rsidR="00A9107C" w:rsidRPr="006E152B" w:rsidRDefault="00A9107C" w:rsidP="00A9107C">
      <w:pPr>
        <w:pStyle w:val="ListParagraph"/>
        <w:numPr>
          <w:ilvl w:val="0"/>
          <w:numId w:val="28"/>
        </w:numPr>
        <w:autoSpaceDE w:val="0"/>
        <w:autoSpaceDN w:val="0"/>
        <w:adjustRightInd w:val="0"/>
        <w:spacing w:after="0" w:line="240" w:lineRule="auto"/>
        <w:rPr>
          <w:rFonts w:cs="Verdana"/>
          <w:color w:val="000000"/>
          <w:sz w:val="24"/>
          <w:szCs w:val="24"/>
        </w:rPr>
      </w:pPr>
      <w:r w:rsidRPr="006E152B">
        <w:rPr>
          <w:rFonts w:cs="Verdana"/>
          <w:color w:val="000000"/>
          <w:sz w:val="24"/>
          <w:szCs w:val="24"/>
        </w:rPr>
        <w:t xml:space="preserve">Giving consumers a stronger voice in setting outputs, shaping and assessing business plans; </w:t>
      </w:r>
    </w:p>
    <w:p w14:paraId="2D0F3A82" w14:textId="77777777" w:rsidR="00A9107C" w:rsidRPr="006E152B" w:rsidRDefault="00A9107C" w:rsidP="00A9107C">
      <w:pPr>
        <w:pStyle w:val="ListParagraph"/>
        <w:numPr>
          <w:ilvl w:val="0"/>
          <w:numId w:val="28"/>
        </w:numPr>
        <w:autoSpaceDE w:val="0"/>
        <w:autoSpaceDN w:val="0"/>
        <w:adjustRightInd w:val="0"/>
        <w:spacing w:after="21" w:line="240" w:lineRule="auto"/>
        <w:rPr>
          <w:sz w:val="24"/>
          <w:szCs w:val="24"/>
        </w:rPr>
      </w:pPr>
      <w:r w:rsidRPr="006E152B">
        <w:rPr>
          <w:sz w:val="24"/>
          <w:szCs w:val="24"/>
        </w:rPr>
        <w:t xml:space="preserve">Allowing regulated companies to earn returns that are fair and represent good value for consumers, properly reflecting the risks faced in these businesses and prevailing financial market conditions; </w:t>
      </w:r>
    </w:p>
    <w:p w14:paraId="3C444DE4" w14:textId="77777777" w:rsidR="00A9107C" w:rsidRPr="006E152B" w:rsidRDefault="00A9107C" w:rsidP="00A9107C">
      <w:pPr>
        <w:pStyle w:val="ListParagraph"/>
        <w:numPr>
          <w:ilvl w:val="0"/>
          <w:numId w:val="28"/>
        </w:numPr>
        <w:autoSpaceDE w:val="0"/>
        <w:autoSpaceDN w:val="0"/>
        <w:adjustRightInd w:val="0"/>
        <w:spacing w:after="21" w:line="240" w:lineRule="auto"/>
        <w:rPr>
          <w:sz w:val="24"/>
          <w:szCs w:val="24"/>
        </w:rPr>
      </w:pPr>
      <w:r w:rsidRPr="006E152B">
        <w:rPr>
          <w:sz w:val="24"/>
          <w:szCs w:val="24"/>
        </w:rPr>
        <w:t xml:space="preserve">Incentivising companies to drive consumer value by shaping or proactively responding to changes in how networks are used and services are delivered; </w:t>
      </w:r>
    </w:p>
    <w:p w14:paraId="236D0B4E" w14:textId="77777777" w:rsidR="00A9107C" w:rsidRPr="006E152B" w:rsidRDefault="00A9107C" w:rsidP="00A9107C">
      <w:pPr>
        <w:pStyle w:val="ListParagraph"/>
        <w:numPr>
          <w:ilvl w:val="0"/>
          <w:numId w:val="28"/>
        </w:numPr>
        <w:autoSpaceDE w:val="0"/>
        <w:autoSpaceDN w:val="0"/>
        <w:adjustRightInd w:val="0"/>
        <w:spacing w:after="21" w:line="240" w:lineRule="auto"/>
        <w:rPr>
          <w:sz w:val="24"/>
          <w:szCs w:val="24"/>
        </w:rPr>
      </w:pPr>
      <w:r w:rsidRPr="006E152B">
        <w:rPr>
          <w:sz w:val="24"/>
          <w:szCs w:val="24"/>
        </w:rPr>
        <w:t xml:space="preserve">Using the regulatory framework, or competition where appropriate, to drive innovation and efficiency; and </w:t>
      </w:r>
    </w:p>
    <w:p w14:paraId="29578342" w14:textId="77777777" w:rsidR="00A9107C" w:rsidRPr="006E152B" w:rsidRDefault="00A9107C" w:rsidP="00A9107C">
      <w:pPr>
        <w:pStyle w:val="ListParagraph"/>
        <w:numPr>
          <w:ilvl w:val="0"/>
          <w:numId w:val="28"/>
        </w:numPr>
        <w:autoSpaceDE w:val="0"/>
        <w:autoSpaceDN w:val="0"/>
        <w:adjustRightInd w:val="0"/>
        <w:spacing w:after="0" w:line="240" w:lineRule="auto"/>
        <w:rPr>
          <w:sz w:val="24"/>
          <w:szCs w:val="24"/>
        </w:rPr>
      </w:pPr>
      <w:r w:rsidRPr="006E152B">
        <w:rPr>
          <w:sz w:val="24"/>
          <w:szCs w:val="24"/>
        </w:rPr>
        <w:t xml:space="preserve">Simplifying the price controls by focusing on items of greatest value to consumers. </w:t>
      </w:r>
    </w:p>
    <w:p w14:paraId="1D533F3D" w14:textId="77777777" w:rsidR="00A9107C" w:rsidRPr="006E152B" w:rsidRDefault="00A9107C" w:rsidP="00A9107C">
      <w:pPr>
        <w:pStyle w:val="Default"/>
        <w:rPr>
          <w:rFonts w:asciiTheme="minorHAnsi" w:hAnsiTheme="minorHAnsi"/>
        </w:rPr>
      </w:pPr>
    </w:p>
    <w:p w14:paraId="573D3A4F" w14:textId="6C72DF1B" w:rsidR="00A9107C" w:rsidRPr="006E152B" w:rsidRDefault="00A9107C" w:rsidP="00A9107C">
      <w:pPr>
        <w:pStyle w:val="Default"/>
        <w:rPr>
          <w:rFonts w:asciiTheme="minorHAnsi" w:hAnsiTheme="minorHAnsi"/>
        </w:rPr>
      </w:pPr>
      <w:r w:rsidRPr="006E152B">
        <w:rPr>
          <w:rFonts w:asciiTheme="minorHAnsi" w:hAnsiTheme="minorHAnsi"/>
        </w:rPr>
        <w:t>All of which make sense but they are not the solutions for the key challenges that networks have to address. Those key challenges were set out reasonably well in the context (1-4 of OL), and discussed below in Section</w:t>
      </w:r>
      <w:r w:rsidR="00F00E5D">
        <w:rPr>
          <w:rFonts w:asciiTheme="minorHAnsi" w:hAnsiTheme="minorHAnsi"/>
        </w:rPr>
        <w:t xml:space="preserve"> 4</w:t>
      </w:r>
      <w:r w:rsidRPr="006E152B">
        <w:rPr>
          <w:rFonts w:asciiTheme="minorHAnsi" w:hAnsiTheme="minorHAnsi"/>
        </w:rPr>
        <w:t xml:space="preserve">. </w:t>
      </w:r>
    </w:p>
    <w:p w14:paraId="16E17103" w14:textId="77777777" w:rsidR="00A9107C" w:rsidRPr="006E152B" w:rsidRDefault="00A9107C" w:rsidP="00A9107C">
      <w:pPr>
        <w:pStyle w:val="Default"/>
        <w:rPr>
          <w:rFonts w:asciiTheme="minorHAnsi" w:hAnsiTheme="minorHAnsi"/>
        </w:rPr>
      </w:pPr>
    </w:p>
    <w:p w14:paraId="7E297DA8" w14:textId="7626571F" w:rsidR="007C50EB" w:rsidRPr="006E152B" w:rsidRDefault="00A9107C" w:rsidP="00A9107C">
      <w:pPr>
        <w:pStyle w:val="Default"/>
        <w:rPr>
          <w:rFonts w:asciiTheme="minorHAnsi" w:hAnsiTheme="minorHAnsi"/>
        </w:rPr>
      </w:pPr>
      <w:r w:rsidRPr="006E152B">
        <w:rPr>
          <w:rFonts w:asciiTheme="minorHAnsi" w:hAnsiTheme="minorHAnsi"/>
        </w:rPr>
        <w:lastRenderedPageBreak/>
        <w:t xml:space="preserve">We do not think the objectives of RIIO-2 respond effectively to those challenges. One reason why this is the case, is that </w:t>
      </w:r>
      <w:r w:rsidR="00F74079">
        <w:rPr>
          <w:rFonts w:asciiTheme="minorHAnsi" w:hAnsiTheme="minorHAnsi"/>
        </w:rPr>
        <w:t xml:space="preserve">there is </w:t>
      </w:r>
      <w:r w:rsidRPr="006E152B">
        <w:rPr>
          <w:rFonts w:asciiTheme="minorHAnsi" w:hAnsiTheme="minorHAnsi"/>
        </w:rPr>
        <w:t>no one dimension of the GB energy governance system which can be expected to meet those challenges, as explained in the section above. There will need to be several, inter-linked strands of govern</w:t>
      </w:r>
      <w:r w:rsidR="007C50EB" w:rsidRPr="006E152B">
        <w:rPr>
          <w:rFonts w:asciiTheme="minorHAnsi" w:hAnsiTheme="minorHAnsi"/>
        </w:rPr>
        <w:t>a</w:t>
      </w:r>
      <w:r w:rsidR="00327FA8" w:rsidRPr="006E152B">
        <w:rPr>
          <w:rFonts w:asciiTheme="minorHAnsi" w:hAnsiTheme="minorHAnsi"/>
        </w:rPr>
        <w:t>n</w:t>
      </w:r>
      <w:r w:rsidRPr="006E152B">
        <w:rPr>
          <w:rFonts w:asciiTheme="minorHAnsi" w:hAnsiTheme="minorHAnsi"/>
        </w:rPr>
        <w:t xml:space="preserve">ce to do so. </w:t>
      </w:r>
    </w:p>
    <w:p w14:paraId="173339E4" w14:textId="77777777" w:rsidR="007C50EB" w:rsidRPr="006E152B" w:rsidRDefault="007C50EB" w:rsidP="00A9107C">
      <w:pPr>
        <w:pStyle w:val="Default"/>
        <w:rPr>
          <w:rFonts w:asciiTheme="minorHAnsi" w:hAnsiTheme="minorHAnsi"/>
        </w:rPr>
      </w:pPr>
    </w:p>
    <w:p w14:paraId="1DADCCD9" w14:textId="15120E34" w:rsidR="00A9107C" w:rsidRDefault="00A9107C" w:rsidP="00A9107C">
      <w:pPr>
        <w:pStyle w:val="Default"/>
      </w:pPr>
      <w:r>
        <w:t xml:space="preserve">For example, this will require </w:t>
      </w:r>
      <w:r w:rsidR="00327FA8">
        <w:t xml:space="preserve">a higher proportion of utility revenue being linked to </w:t>
      </w:r>
      <w:r>
        <w:t>performance based regulation</w:t>
      </w:r>
      <w:r w:rsidR="00327FA8">
        <w:t xml:space="preserve"> and desired outputs. This will have to integrate</w:t>
      </w:r>
      <w:r>
        <w:t xml:space="preserve"> with </w:t>
      </w:r>
      <w:r w:rsidR="00327FA8">
        <w:t xml:space="preserve">the network charging mechanism; </w:t>
      </w:r>
      <w:r>
        <w:t>institutional change</w:t>
      </w:r>
      <w:r w:rsidR="00327FA8">
        <w:t xml:space="preserve"> (such as DNOs becoming distribution service providers (DSPs) or an integrated and independent system operator established to direct system change); data access; tariffs and public policy. Ofgem’s s</w:t>
      </w:r>
      <w:r>
        <w:t xml:space="preserve">trategy for regulating the future energy system </w:t>
      </w:r>
      <w:r w:rsidR="00327FA8">
        <w:t xml:space="preserve">does mention this need for </w:t>
      </w:r>
      <w:r>
        <w:t>regulatory integration</w:t>
      </w:r>
      <w:r w:rsidR="00327FA8">
        <w:t xml:space="preserve"> (in general but not specific terms)</w:t>
      </w:r>
      <w:r>
        <w:t xml:space="preserve"> but it completely ignores the necessary institutional change to do this. Given that the IGov framework argues that institutional change is a fundamental requirement of a successful energy system transformation, we consider this to be a major lack of both the RIIO-2 Open Letter and its ‘related’ documents (see Figure 2</w:t>
      </w:r>
      <w:r>
        <w:rPr>
          <w:rStyle w:val="FootnoteReference"/>
        </w:rPr>
        <w:footnoteReference w:id="17"/>
      </w:r>
      <w:r>
        <w:t xml:space="preserve"> below). </w:t>
      </w:r>
    </w:p>
    <w:p w14:paraId="2F985176" w14:textId="77777777" w:rsidR="00A9107C" w:rsidRDefault="00A9107C" w:rsidP="00A9107C">
      <w:pPr>
        <w:pStyle w:val="Default"/>
      </w:pPr>
    </w:p>
    <w:p w14:paraId="0179F14A" w14:textId="53DB96A1" w:rsidR="00A9107C" w:rsidRDefault="00A9107C" w:rsidP="00A9107C">
      <w:pPr>
        <w:pStyle w:val="Default"/>
      </w:pPr>
      <w:r>
        <w:t>We would argue that the RIIO-2  4</w:t>
      </w:r>
      <w:r w:rsidRPr="008D4D5C">
        <w:rPr>
          <w:vertAlign w:val="superscript"/>
        </w:rPr>
        <w:t>th</w:t>
      </w:r>
      <w:r>
        <w:t xml:space="preserve"> objective should read: </w:t>
      </w:r>
    </w:p>
    <w:p w14:paraId="3E2A5A0E" w14:textId="77777777" w:rsidR="00A9107C" w:rsidRDefault="00A9107C" w:rsidP="00A9107C">
      <w:pPr>
        <w:pStyle w:val="Default"/>
      </w:pPr>
    </w:p>
    <w:p w14:paraId="79CDB170" w14:textId="77777777" w:rsidR="00A9107C" w:rsidRPr="003A37CE" w:rsidRDefault="00A9107C" w:rsidP="00A9107C">
      <w:pPr>
        <w:pStyle w:val="Default"/>
        <w:rPr>
          <w:b/>
        </w:rPr>
      </w:pPr>
      <w:r w:rsidRPr="003A37CE">
        <w:rPr>
          <w:rFonts w:ascii="Verdana" w:hAnsi="Verdana"/>
          <w:b/>
          <w:sz w:val="20"/>
          <w:szCs w:val="20"/>
        </w:rPr>
        <w:t xml:space="preserve">Initiating </w:t>
      </w:r>
      <w:r w:rsidRPr="00421118">
        <w:rPr>
          <w:rFonts w:ascii="Verdana" w:hAnsi="Verdana"/>
          <w:b/>
          <w:i/>
          <w:sz w:val="20"/>
          <w:szCs w:val="20"/>
          <w:u w:val="single"/>
        </w:rPr>
        <w:t>institutional change</w:t>
      </w:r>
      <w:r w:rsidRPr="003A37CE">
        <w:rPr>
          <w:rFonts w:ascii="Verdana" w:hAnsi="Verdana"/>
          <w:b/>
          <w:sz w:val="20"/>
          <w:szCs w:val="20"/>
        </w:rPr>
        <w:t>, using the regulatory framework or competition, where appropriate, to drive innovation and efficiency;</w:t>
      </w:r>
    </w:p>
    <w:p w14:paraId="09D1EE55" w14:textId="77777777" w:rsidR="001236BB" w:rsidRDefault="001236BB" w:rsidP="0056375B">
      <w:pPr>
        <w:pStyle w:val="Default"/>
        <w:rPr>
          <w:sz w:val="28"/>
          <w:szCs w:val="28"/>
        </w:rPr>
      </w:pPr>
    </w:p>
    <w:p w14:paraId="015E0148" w14:textId="30B1350C" w:rsidR="00F6318F" w:rsidRPr="00421118" w:rsidRDefault="00F6318F" w:rsidP="0056375B">
      <w:pPr>
        <w:pStyle w:val="Default"/>
      </w:pPr>
      <w:r w:rsidRPr="00421118">
        <w:t>We also</w:t>
      </w:r>
      <w:r>
        <w:t xml:space="preserve"> argue that a further 6</w:t>
      </w:r>
      <w:r w:rsidRPr="00421118">
        <w:rPr>
          <w:vertAlign w:val="superscript"/>
        </w:rPr>
        <w:t>th</w:t>
      </w:r>
      <w:r>
        <w:t xml:space="preserve"> objective should be added which is a specific RIIO objective to meet the challenges of energy system transformation, and one which recognises that PBR is not the whole answer but which should integrate with other regulatory drivers and incentives so that together greater encouragement is given for the desired outputs:  </w:t>
      </w:r>
    </w:p>
    <w:p w14:paraId="4C263B06" w14:textId="77777777" w:rsidR="00F6318F" w:rsidRDefault="00F6318F" w:rsidP="0056375B">
      <w:pPr>
        <w:pStyle w:val="Default"/>
      </w:pPr>
    </w:p>
    <w:p w14:paraId="098C0932" w14:textId="70B7B0B0" w:rsidR="00F6318F" w:rsidRPr="008930A8" w:rsidRDefault="00F6318F" w:rsidP="00F6318F">
      <w:pPr>
        <w:pStyle w:val="Default"/>
        <w:rPr>
          <w:b/>
          <w:i/>
        </w:rPr>
      </w:pPr>
      <w:r>
        <w:rPr>
          <w:b/>
          <w:i/>
        </w:rPr>
        <w:t>To better Integrate</w:t>
      </w:r>
      <w:r w:rsidRPr="008930A8">
        <w:rPr>
          <w:b/>
          <w:i/>
        </w:rPr>
        <w:t xml:space="preserve"> RIIO incentives</w:t>
      </w:r>
      <w:r>
        <w:rPr>
          <w:b/>
          <w:i/>
        </w:rPr>
        <w:t xml:space="preserve"> </w:t>
      </w:r>
      <w:r w:rsidR="00327FA8">
        <w:rPr>
          <w:b/>
          <w:i/>
        </w:rPr>
        <w:t xml:space="preserve">and desired outcomes </w:t>
      </w:r>
      <w:r>
        <w:rPr>
          <w:b/>
          <w:i/>
        </w:rPr>
        <w:t>with wider regulatory reforms/policies/changes</w:t>
      </w:r>
      <w:r w:rsidRPr="008930A8">
        <w:rPr>
          <w:b/>
          <w:i/>
        </w:rPr>
        <w:t xml:space="preserve"> to complement public policy goals in meeting the challenges of energy system transformation</w:t>
      </w:r>
    </w:p>
    <w:p w14:paraId="19D48C03" w14:textId="77777777" w:rsidR="00F6318F" w:rsidRDefault="00F6318F" w:rsidP="0056375B">
      <w:pPr>
        <w:pStyle w:val="Default"/>
      </w:pPr>
    </w:p>
    <w:p w14:paraId="64C10F41" w14:textId="1F5740DC" w:rsidR="00A9107C" w:rsidRPr="00421118" w:rsidRDefault="00A9107C" w:rsidP="0056375B">
      <w:pPr>
        <w:pStyle w:val="Default"/>
      </w:pPr>
      <w:r w:rsidRPr="00421118">
        <w:t>As Figure 2 sets out</w:t>
      </w:r>
      <w:r>
        <w:t>, we argue that the ‘heart’ of the energy system</w:t>
      </w:r>
      <w:r w:rsidR="00327FA8">
        <w:t xml:space="preserve"> is moving towards distribution and away from a linear, top down model to one of a more circular and integrated nature.</w:t>
      </w:r>
      <w:r>
        <w:t xml:space="preserve"> </w:t>
      </w:r>
      <w:r w:rsidR="00327FA8">
        <w:t>We envisage a world where any actor which wishes to sell a resource (whether energy supply, energy demand, storage, system service etc) is able to sell to whomever they wish either locally, or via the national wholesale market. In this world, distribution becomes more important as more of the transactions and decisions are taken at a local level (as</w:t>
      </w:r>
      <w:r>
        <w:t xml:space="preserve"> customer preferences and needs change; as technologies become more decentralised; as heat and mobility decarbonisation policy start to become more inter-linked</w:t>
      </w:r>
      <w:r w:rsidR="00327FA8">
        <w:t xml:space="preserve"> with electricity). </w:t>
      </w:r>
      <w:r>
        <w:t>That local level needs to be co-ordinated</w:t>
      </w:r>
      <w:r w:rsidR="00E94242">
        <w:t xml:space="preserve"> so that infrastructure and system costs do not spiral out of control, and again that integration and co-ordination needs institutional change.</w:t>
      </w:r>
    </w:p>
    <w:p w14:paraId="0F8E3D94" w14:textId="0C3E372B" w:rsidR="001236BB" w:rsidRDefault="00A9107C" w:rsidP="0056375B">
      <w:pPr>
        <w:pStyle w:val="Default"/>
        <w:rPr>
          <w:sz w:val="28"/>
          <w:szCs w:val="28"/>
        </w:rPr>
      </w:pPr>
      <w:r>
        <w:rPr>
          <w:noProof/>
          <w:lang w:eastAsia="en-GB"/>
        </w:rPr>
        <w:lastRenderedPageBreak/>
        <w:drawing>
          <wp:inline distT="0" distB="0" distL="0" distR="0" wp14:anchorId="49D71F1F" wp14:editId="0854A264">
            <wp:extent cx="5731510" cy="369824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31510" cy="3698240"/>
                    </a:xfrm>
                    <a:prstGeom prst="rect">
                      <a:avLst/>
                    </a:prstGeom>
                  </pic:spPr>
                </pic:pic>
              </a:graphicData>
            </a:graphic>
          </wp:inline>
        </w:drawing>
      </w:r>
    </w:p>
    <w:p w14:paraId="340DE774" w14:textId="335526DF" w:rsidR="00A9107C" w:rsidRPr="009B50A6" w:rsidRDefault="00A9107C" w:rsidP="0056375B">
      <w:pPr>
        <w:pStyle w:val="Default"/>
        <w:rPr>
          <w:sz w:val="20"/>
          <w:szCs w:val="20"/>
        </w:rPr>
      </w:pPr>
      <w:r w:rsidRPr="009B50A6">
        <w:rPr>
          <w:sz w:val="20"/>
          <w:szCs w:val="20"/>
        </w:rPr>
        <w:t>Figure 2 The Organisational and Institutional Structure of a Flexible, Integrated and Coordinated Electricity System</w:t>
      </w:r>
    </w:p>
    <w:p w14:paraId="14752230" w14:textId="77777777" w:rsidR="00A9107C" w:rsidRDefault="00A9107C" w:rsidP="0056375B">
      <w:pPr>
        <w:pStyle w:val="Default"/>
        <w:rPr>
          <w:sz w:val="28"/>
          <w:szCs w:val="28"/>
        </w:rPr>
      </w:pPr>
    </w:p>
    <w:p w14:paraId="6CAD4521" w14:textId="77777777" w:rsidR="00A9107C" w:rsidRDefault="00A9107C" w:rsidP="0056375B">
      <w:pPr>
        <w:pStyle w:val="Default"/>
        <w:rPr>
          <w:sz w:val="28"/>
          <w:szCs w:val="28"/>
        </w:rPr>
      </w:pPr>
    </w:p>
    <w:p w14:paraId="5861B2D8" w14:textId="633881A1" w:rsidR="00DF615D" w:rsidRPr="00F00E5D" w:rsidRDefault="001236BB" w:rsidP="0056375B">
      <w:pPr>
        <w:pStyle w:val="Default"/>
        <w:rPr>
          <w:b/>
          <w:color w:val="2E74B5" w:themeColor="accent1" w:themeShade="BF"/>
          <w:sz w:val="28"/>
          <w:szCs w:val="28"/>
        </w:rPr>
      </w:pPr>
      <w:r w:rsidRPr="00F00E5D">
        <w:rPr>
          <w:b/>
          <w:color w:val="2E74B5" w:themeColor="accent1" w:themeShade="BF"/>
          <w:sz w:val="28"/>
          <w:szCs w:val="28"/>
        </w:rPr>
        <w:t>Section 4</w:t>
      </w:r>
      <w:r w:rsidR="00DF615D" w:rsidRPr="00F00E5D">
        <w:rPr>
          <w:b/>
          <w:color w:val="2E74B5" w:themeColor="accent1" w:themeShade="BF"/>
          <w:sz w:val="28"/>
          <w:szCs w:val="28"/>
        </w:rPr>
        <w:t xml:space="preserve"> The Importance of complementary PBR and Network Charging rules and incentives</w:t>
      </w:r>
    </w:p>
    <w:p w14:paraId="086B5357" w14:textId="77777777" w:rsidR="00DF615D" w:rsidRDefault="00DF615D" w:rsidP="0056375B">
      <w:pPr>
        <w:pStyle w:val="Default"/>
      </w:pPr>
    </w:p>
    <w:p w14:paraId="1ACF1F22" w14:textId="77777777" w:rsidR="00DF615D" w:rsidRDefault="00DF615D" w:rsidP="0056375B">
      <w:pPr>
        <w:pStyle w:val="Default"/>
      </w:pPr>
    </w:p>
    <w:p w14:paraId="56403022" w14:textId="5C8DFA4E" w:rsidR="00DF615D" w:rsidRDefault="00DF615D" w:rsidP="00DF615D">
      <w:pPr>
        <w:pStyle w:val="Default"/>
      </w:pPr>
      <w:r>
        <w:t xml:space="preserve">How to </w:t>
      </w:r>
      <w:r w:rsidR="00E94242">
        <w:t xml:space="preserve">develop and </w:t>
      </w:r>
      <w:r>
        <w:t xml:space="preserve">pay for networks in an energy world of increasing proportions of onsite electricity generation has already become a central </w:t>
      </w:r>
      <w:r w:rsidR="006F1CB7">
        <w:t xml:space="preserve">existential </w:t>
      </w:r>
      <w:r>
        <w:t>challenge in certain j</w:t>
      </w:r>
      <w:r w:rsidR="006F1CB7">
        <w:t>urisdictions</w:t>
      </w:r>
      <w:r w:rsidR="00E94242">
        <w:t xml:space="preserve"> (such as Australia</w:t>
      </w:r>
      <w:r w:rsidR="00D96ABC">
        <w:rPr>
          <w:rStyle w:val="FootnoteReference"/>
        </w:rPr>
        <w:footnoteReference w:id="18"/>
      </w:r>
      <w:r w:rsidR="00E94242">
        <w:t>)</w:t>
      </w:r>
      <w:r w:rsidR="006F1CB7">
        <w:t>, and one which GB nee</w:t>
      </w:r>
      <w:r w:rsidR="00E94242">
        <w:t>ds to think carefully about. This</w:t>
      </w:r>
      <w:r w:rsidR="006F1CB7">
        <w:t xml:space="preserve"> high level question encompasses other </w:t>
      </w:r>
      <w:r w:rsidR="00E94242">
        <w:t>sub-</w:t>
      </w:r>
      <w:r w:rsidR="006F1CB7">
        <w:t xml:space="preserve">issues such as </w:t>
      </w:r>
      <w:r>
        <w:t xml:space="preserve">whether the </w:t>
      </w:r>
      <w:r w:rsidR="006F1CB7">
        <w:t xml:space="preserve">GB </w:t>
      </w:r>
      <w:r>
        <w:t xml:space="preserve">gas network is necessary at all?; how to ensure universal access </w:t>
      </w:r>
      <w:r w:rsidR="006F1CB7">
        <w:t xml:space="preserve">to energy </w:t>
      </w:r>
      <w:r>
        <w:t>and care for the vulnerable whilst network use</w:t>
      </w:r>
      <w:r w:rsidR="006F1CB7">
        <w:t>s</w:t>
      </w:r>
      <w:r>
        <w:t xml:space="preserve"> alters?; and how to establish greater links between network companies and </w:t>
      </w:r>
      <w:r w:rsidR="006F1CB7">
        <w:t xml:space="preserve">other </w:t>
      </w:r>
      <w:r>
        <w:t xml:space="preserve"> desired public policy outcomes</w:t>
      </w:r>
      <w:r w:rsidR="00D96ABC">
        <w:t>?</w:t>
      </w:r>
    </w:p>
    <w:p w14:paraId="6A77D00B" w14:textId="77777777" w:rsidR="00DF615D" w:rsidRDefault="00DF615D" w:rsidP="0056375B">
      <w:pPr>
        <w:pStyle w:val="Default"/>
      </w:pPr>
    </w:p>
    <w:p w14:paraId="0C4CC43D" w14:textId="547C0A80" w:rsidR="007273C7" w:rsidRDefault="006F1CB7" w:rsidP="0056375B">
      <w:pPr>
        <w:pStyle w:val="Default"/>
      </w:pPr>
      <w:r>
        <w:t xml:space="preserve">Having decided on </w:t>
      </w:r>
      <w:r w:rsidR="00E94242">
        <w:t>how to address this fundamental issue</w:t>
      </w:r>
      <w:r>
        <w:t>, the nuts and bolts of h</w:t>
      </w:r>
      <w:r w:rsidR="00A45315">
        <w:t xml:space="preserve">ow </w:t>
      </w:r>
      <w:r w:rsidR="007273C7">
        <w:t>networks should be charged for, in turn, depends on the PBR framework; the institutional framework; the extent to which distributed energy resources (DER) have been assessed and valued; the extent to which those DER values can be captured within markets</w:t>
      </w:r>
      <w:r>
        <w:t xml:space="preserve"> and</w:t>
      </w:r>
      <w:r w:rsidR="00E94242">
        <w:t xml:space="preserve"> </w:t>
      </w:r>
      <w:r w:rsidR="007273C7">
        <w:t xml:space="preserve">from </w:t>
      </w:r>
      <w:r w:rsidR="00A45315">
        <w:t xml:space="preserve">system </w:t>
      </w:r>
      <w:r w:rsidR="007273C7">
        <w:t>operation</w:t>
      </w:r>
      <w:r w:rsidR="00E94242">
        <w:t xml:space="preserve"> payments</w:t>
      </w:r>
      <w:r w:rsidR="00A45315">
        <w:t xml:space="preserve">; the degree to which non-wire alternative can be incorporated into system operation; </w:t>
      </w:r>
      <w:r w:rsidR="007273C7">
        <w:t xml:space="preserve">whether the system is operated in a top-down or a bottom-up fashion; </w:t>
      </w:r>
      <w:r w:rsidR="00A45315">
        <w:t xml:space="preserve">and </w:t>
      </w:r>
      <w:r w:rsidR="007273C7">
        <w:t>how successful energy efficiency of buildings</w:t>
      </w:r>
      <w:r w:rsidR="00E94242">
        <w:t>, appliances, industry and so on</w:t>
      </w:r>
      <w:r w:rsidR="007273C7">
        <w:t xml:space="preserve"> is. </w:t>
      </w:r>
      <w:r>
        <w:t xml:space="preserve">In other words, network charging depends very much on how you expect networks to be </w:t>
      </w:r>
      <w:r>
        <w:lastRenderedPageBreak/>
        <w:t xml:space="preserve">used, and this depends very much on customers, and their </w:t>
      </w:r>
      <w:r w:rsidR="00E94242">
        <w:t xml:space="preserve">demand, </w:t>
      </w:r>
      <w:r w:rsidR="00375ECD">
        <w:t xml:space="preserve">energy </w:t>
      </w:r>
      <w:r>
        <w:t xml:space="preserve">wishes and preferences. </w:t>
      </w:r>
      <w:r w:rsidR="00E94242">
        <w:t xml:space="preserve">And getting networks to be operated and used in ways which reduce their total cost to customers and which meet the service requirements of customers, depends on the network regulatory mechanism – and we would argue that a very important part of that regulatory mechanism should be PBR. </w:t>
      </w:r>
    </w:p>
    <w:p w14:paraId="6D77935B" w14:textId="77777777" w:rsidR="00E94242" w:rsidRDefault="00E94242" w:rsidP="00E94242">
      <w:pPr>
        <w:pStyle w:val="Default"/>
      </w:pPr>
    </w:p>
    <w:p w14:paraId="549DA5B4" w14:textId="5522EBB5" w:rsidR="006F1CB7" w:rsidRDefault="006F1CB7" w:rsidP="006F1CB7">
      <w:pPr>
        <w:pStyle w:val="Default"/>
      </w:pPr>
      <w:r>
        <w:t xml:space="preserve">PBR and network charging are two absolutely inter-linked revenue streams for a network (whether a combined wires and system operator or as two separate agents) where outputs are valued (as the RIIO-2 document say they are).  </w:t>
      </w:r>
    </w:p>
    <w:p w14:paraId="3EEADF21" w14:textId="77777777" w:rsidR="006F1CB7" w:rsidRDefault="006F1CB7" w:rsidP="006F1CB7">
      <w:pPr>
        <w:pStyle w:val="Default"/>
      </w:pPr>
    </w:p>
    <w:p w14:paraId="537ECEAD" w14:textId="1AB6A18C" w:rsidR="006F1CB7" w:rsidRDefault="006F1CB7" w:rsidP="006F1CB7">
      <w:pPr>
        <w:pStyle w:val="Default"/>
      </w:pPr>
      <w:r>
        <w:t>We argue below that PBR needs to become a more important part of our GB energy governance so that networks take their rightful place in a flexible, smart, cost-effective future. RIIO is one type of many performance based regulation mechanisms around the globe today. At the moment, RIIO is an extremely poor</w:t>
      </w:r>
      <w:r>
        <w:rPr>
          <w:rStyle w:val="FootnoteReference"/>
        </w:rPr>
        <w:footnoteReference w:id="19"/>
      </w:r>
      <w:r>
        <w:t xml:space="preserve"> incentive mechanism which has not incentivised innovation and which has very limited incentives for desired public policy goals, and none at all which link money to the environment. RIIO therefore needs a complete overhaul, described in Section 3 below. </w:t>
      </w:r>
    </w:p>
    <w:p w14:paraId="55943C5C" w14:textId="77777777" w:rsidR="006F1CB7" w:rsidRDefault="006F1CB7" w:rsidP="006F1CB7">
      <w:pPr>
        <w:pStyle w:val="Default"/>
      </w:pPr>
    </w:p>
    <w:p w14:paraId="6CFE83A2" w14:textId="3F7D175F" w:rsidR="006F1CB7" w:rsidRDefault="006F1CB7" w:rsidP="006F1CB7">
      <w:pPr>
        <w:pStyle w:val="Default"/>
      </w:pPr>
      <w:r>
        <w:t xml:space="preserve">The </w:t>
      </w:r>
      <w:r w:rsidR="003D783D">
        <w:t>Targeted</w:t>
      </w:r>
      <w:r>
        <w:t xml:space="preserve"> Charging Review appears to be leading on some network charging issues. It is vital that RIIO2 and the charging review work closely together.</w:t>
      </w:r>
    </w:p>
    <w:p w14:paraId="0BE1B1B8" w14:textId="77777777" w:rsidR="000168BB" w:rsidRDefault="000168BB" w:rsidP="006F1CB7">
      <w:pPr>
        <w:pStyle w:val="Default"/>
      </w:pPr>
    </w:p>
    <w:p w14:paraId="6C6B993D" w14:textId="76E2983E" w:rsidR="000168BB" w:rsidRPr="000168BB" w:rsidRDefault="000168BB" w:rsidP="006F1CB7">
      <w:pPr>
        <w:pStyle w:val="Default"/>
        <w:rPr>
          <w:b/>
          <w:i/>
        </w:rPr>
      </w:pPr>
      <w:r w:rsidRPr="000168BB">
        <w:rPr>
          <w:b/>
          <w:i/>
        </w:rPr>
        <w:t>Complementarity and Integration</w:t>
      </w:r>
    </w:p>
    <w:p w14:paraId="3B0637A4" w14:textId="4BB0A303" w:rsidR="00DF615D" w:rsidRDefault="00DF615D" w:rsidP="0056375B">
      <w:pPr>
        <w:pStyle w:val="Default"/>
      </w:pPr>
    </w:p>
    <w:p w14:paraId="393190B3" w14:textId="28EC5026" w:rsidR="00A45315" w:rsidRDefault="006F1CB7" w:rsidP="0056375B">
      <w:pPr>
        <w:pStyle w:val="Default"/>
      </w:pPr>
      <w:r>
        <w:t xml:space="preserve">The BEIS and Ofgem Plan for a smart and flexible energy system, </w:t>
      </w:r>
      <w:r w:rsidR="000168BB">
        <w:t>also published on 4 August, is</w:t>
      </w:r>
      <w:r>
        <w:t xml:space="preserve"> welcomed. However, the nuts and bolts of </w:t>
      </w:r>
      <w:r w:rsidRPr="000168BB">
        <w:rPr>
          <w:b/>
          <w:u w:val="single"/>
        </w:rPr>
        <w:t>how</w:t>
      </w:r>
      <w:r w:rsidR="000168BB">
        <w:t xml:space="preserve"> that plan is to be implemented is not so far spelt out and will have</w:t>
      </w:r>
      <w:r>
        <w:t xml:space="preserve"> major distributional impacts. </w:t>
      </w:r>
      <w:r w:rsidR="000168BB">
        <w:t>RIIO</w:t>
      </w:r>
      <w:r w:rsidR="00D96ABC">
        <w:t xml:space="preserve"> (and the mechanism which replaces it)   is one </w:t>
      </w:r>
      <w:r w:rsidR="000168BB">
        <w:t xml:space="preserve">aspect of that plan; as is networking charging and so on. </w:t>
      </w:r>
      <w:r w:rsidR="00736922">
        <w:t xml:space="preserve">It </w:t>
      </w:r>
      <w:r w:rsidR="00D363B8">
        <w:t xml:space="preserve">should not be Ofgem who is de facto leading </w:t>
      </w:r>
      <w:r w:rsidR="00736922">
        <w:t xml:space="preserve">on </w:t>
      </w:r>
      <w:r w:rsidR="00D363B8">
        <w:t>th</w:t>
      </w:r>
      <w:r w:rsidR="000168BB">
        <w:t xml:space="preserve">ese decisions </w:t>
      </w:r>
      <w:r w:rsidR="00D363B8">
        <w:t>so that the distributional impacts on GB occur ‘under the wire’ rather than as a transparent, agreed, discussed, consensus outcome</w:t>
      </w:r>
      <w:r w:rsidR="00871EDA">
        <w:rPr>
          <w:rStyle w:val="FootnoteReference"/>
        </w:rPr>
        <w:footnoteReference w:id="20"/>
      </w:r>
      <w:r w:rsidR="00D363B8">
        <w:t xml:space="preserve">. </w:t>
      </w:r>
      <w:r w:rsidR="00654F1D">
        <w:t xml:space="preserve"> </w:t>
      </w:r>
      <w:r w:rsidR="00CB4E7A">
        <w:t xml:space="preserve"> </w:t>
      </w:r>
    </w:p>
    <w:p w14:paraId="4B620A18" w14:textId="77777777" w:rsidR="00E70CAC" w:rsidRDefault="00E70CAC" w:rsidP="0056375B">
      <w:pPr>
        <w:pStyle w:val="Default"/>
      </w:pPr>
    </w:p>
    <w:p w14:paraId="28D1C8D2" w14:textId="77777777" w:rsidR="000168BB" w:rsidRDefault="000168BB" w:rsidP="0056375B">
      <w:pPr>
        <w:pStyle w:val="Default"/>
      </w:pPr>
      <w:r>
        <w:t xml:space="preserve">So far, </w:t>
      </w:r>
      <w:r w:rsidR="007273C7">
        <w:t>Ofgem</w:t>
      </w:r>
      <w:r w:rsidR="009D4FA6">
        <w:t>’s</w:t>
      </w:r>
      <w:r w:rsidR="007273C7">
        <w:t xml:space="preserve"> and BEIS</w:t>
      </w:r>
      <w:r w:rsidR="009D4FA6">
        <w:t>’s preference</w:t>
      </w:r>
      <w:r w:rsidR="007273C7">
        <w:t xml:space="preserve"> appear</w:t>
      </w:r>
      <w:r w:rsidR="009D4FA6">
        <w:t>s to be</w:t>
      </w:r>
      <w:r w:rsidR="007273C7">
        <w:t xml:space="preserve"> is </w:t>
      </w:r>
      <w:r w:rsidR="009D4FA6">
        <w:t xml:space="preserve">to </w:t>
      </w:r>
      <w:r w:rsidR="007273C7">
        <w:t xml:space="preserve">tackle each part of energy governance </w:t>
      </w:r>
      <w:r w:rsidR="001236BB">
        <w:t xml:space="preserve">jigsaw puzzle </w:t>
      </w:r>
      <w:r>
        <w:t xml:space="preserve">bit by bit without providing the final picture those jigsaw puzzle pieces are meant to link together as. </w:t>
      </w:r>
      <w:r w:rsidR="007273C7">
        <w:t xml:space="preserve"> </w:t>
      </w:r>
      <w:r w:rsidR="00440792">
        <w:t>As has been argued before</w:t>
      </w:r>
      <w:r w:rsidR="00553B30">
        <w:rPr>
          <w:rStyle w:val="FootnoteReference"/>
        </w:rPr>
        <w:footnoteReference w:id="21"/>
      </w:r>
      <w:r w:rsidR="00440792">
        <w:t xml:space="preserve">, </w:t>
      </w:r>
      <w:r w:rsidR="009D4FA6">
        <w:t>the outcomes of the various</w:t>
      </w:r>
      <w:r w:rsidR="007273C7">
        <w:t xml:space="preserve"> consultations </w:t>
      </w:r>
      <w:r>
        <w:t>by this</w:t>
      </w:r>
      <w:r w:rsidR="009D4FA6">
        <w:t xml:space="preserve"> ‘bit by bit’ approach </w:t>
      </w:r>
      <w:r>
        <w:t>have not</w:t>
      </w:r>
      <w:r w:rsidR="00440792">
        <w:t xml:space="preserve"> necessarily either complement</w:t>
      </w:r>
      <w:r>
        <w:t>ed</w:t>
      </w:r>
      <w:r w:rsidR="00440792">
        <w:t xml:space="preserve"> each </w:t>
      </w:r>
      <w:r w:rsidR="00716F31">
        <w:t xml:space="preserve">other, nor </w:t>
      </w:r>
      <w:r>
        <w:t>has</w:t>
      </w:r>
      <w:r w:rsidR="007273C7">
        <w:t xml:space="preserve"> each ‘bit’ </w:t>
      </w:r>
      <w:r>
        <w:t xml:space="preserve">been set up </w:t>
      </w:r>
      <w:r w:rsidR="007273C7">
        <w:t xml:space="preserve">to </w:t>
      </w:r>
      <w:r w:rsidR="00716F31">
        <w:t xml:space="preserve">meet the challenges </w:t>
      </w:r>
      <w:r w:rsidR="007273C7">
        <w:t>it will face in</w:t>
      </w:r>
      <w:r w:rsidR="00716F31">
        <w:t xml:space="preserve"> the future energy system. </w:t>
      </w:r>
      <w:r w:rsidR="00440792">
        <w:t xml:space="preserve"> </w:t>
      </w:r>
    </w:p>
    <w:p w14:paraId="2E93F0C3" w14:textId="77777777" w:rsidR="000168BB" w:rsidRDefault="000168BB" w:rsidP="0056375B">
      <w:pPr>
        <w:pStyle w:val="Default"/>
      </w:pPr>
    </w:p>
    <w:p w14:paraId="0B7BA00E" w14:textId="77777777" w:rsidR="000168BB" w:rsidRDefault="001236BB" w:rsidP="0056375B">
      <w:pPr>
        <w:pStyle w:val="Default"/>
      </w:pPr>
      <w:r>
        <w:lastRenderedPageBreak/>
        <w:t>More</w:t>
      </w:r>
      <w:r w:rsidR="000168BB">
        <w:t>o</w:t>
      </w:r>
      <w:r>
        <w:t>ver, if institutional change is absent from those regulatory decisions, then</w:t>
      </w:r>
      <w:r w:rsidR="00716F31">
        <w:t xml:space="preserve"> a ‘piece by piece’ </w:t>
      </w:r>
      <w:r w:rsidR="009D4FA6">
        <w:t xml:space="preserve">or ‘bit by bit’ </w:t>
      </w:r>
      <w:r w:rsidR="00716F31">
        <w:t xml:space="preserve">approach to regulatory change – without first providing the </w:t>
      </w:r>
      <w:r>
        <w:t xml:space="preserve">final </w:t>
      </w:r>
      <w:r w:rsidR="00716F31">
        <w:t xml:space="preserve">jigsaw puzzle </w:t>
      </w:r>
      <w:r>
        <w:t xml:space="preserve">picture </w:t>
      </w:r>
      <w:r w:rsidR="00716F31">
        <w:t>of what they are trying to do</w:t>
      </w:r>
      <w:r w:rsidR="00553B30">
        <w:t xml:space="preserve"> and how the various pieces</w:t>
      </w:r>
      <w:r w:rsidR="000168BB">
        <w:t xml:space="preserve"> link together</w:t>
      </w:r>
      <w:r w:rsidR="00716F31">
        <w:t xml:space="preserve"> - </w:t>
      </w:r>
      <w:r w:rsidR="00B70A63">
        <w:t xml:space="preserve"> cannot lead to </w:t>
      </w:r>
      <w:r>
        <w:t xml:space="preserve">an effective </w:t>
      </w:r>
      <w:r w:rsidR="007273C7">
        <w:t>whole system integration</w:t>
      </w:r>
      <w:r>
        <w:t xml:space="preserve"> and transformation</w:t>
      </w:r>
      <w:r w:rsidR="007273C7">
        <w:t xml:space="preserve"> – particularly given</w:t>
      </w:r>
      <w:r w:rsidR="006307AE">
        <w:t xml:space="preserve"> the </w:t>
      </w:r>
      <w:r w:rsidR="007273C7">
        <w:t xml:space="preserve"> rapid </w:t>
      </w:r>
      <w:r w:rsidR="000168BB">
        <w:t xml:space="preserve">technological change and the uncoordinated impact of that. </w:t>
      </w:r>
    </w:p>
    <w:p w14:paraId="4C4892FB" w14:textId="77777777" w:rsidR="000168BB" w:rsidRDefault="000168BB" w:rsidP="0056375B">
      <w:pPr>
        <w:pStyle w:val="Default"/>
      </w:pPr>
    </w:p>
    <w:p w14:paraId="0E9D70C7" w14:textId="55E41262" w:rsidR="00690A5C" w:rsidRPr="000168BB" w:rsidRDefault="000168BB" w:rsidP="000168BB">
      <w:pPr>
        <w:spacing w:line="240" w:lineRule="auto"/>
        <w:rPr>
          <w:sz w:val="24"/>
          <w:szCs w:val="24"/>
        </w:rPr>
      </w:pPr>
      <w:r w:rsidRPr="000168BB">
        <w:rPr>
          <w:sz w:val="24"/>
          <w:szCs w:val="24"/>
        </w:rPr>
        <w:t xml:space="preserve">The current regulatory system, with no clear vision, is a confused mishmash of separate ideas with no cohesion between the separate gas and electricity systems and companies or </w:t>
      </w:r>
      <w:r>
        <w:rPr>
          <w:sz w:val="24"/>
          <w:szCs w:val="24"/>
        </w:rPr>
        <w:t xml:space="preserve">between </w:t>
      </w:r>
      <w:r w:rsidRPr="000168BB">
        <w:rPr>
          <w:sz w:val="24"/>
          <w:szCs w:val="24"/>
        </w:rPr>
        <w:t xml:space="preserve">transmission and distribution. </w:t>
      </w:r>
      <w:r w:rsidR="00690A5C" w:rsidRPr="000168BB">
        <w:rPr>
          <w:sz w:val="24"/>
          <w:szCs w:val="24"/>
        </w:rPr>
        <w:t xml:space="preserve">GBs piecemeal regulatory changes have so far been unimaginative, overly cautious plasters for symptoms, rather than an attempt to deal with the underlying problems. These plasters have broadly looked after the incumbents and stranded assets rather than customers and new entrants which are trying to innovate. In the meantime, whilst GB has more renewable electricity since 1990, the changes to the ‘smart and flexible’ electricity system, and heat and mobility systems on the ground are minimal, and absent in terms of integration. Moreover, the gap between technological possibilities and the pace of regulatory change is widening rather than narrowing. </w:t>
      </w:r>
    </w:p>
    <w:p w14:paraId="48FC4D98" w14:textId="77777777" w:rsidR="00690A5C" w:rsidRDefault="00690A5C" w:rsidP="00690A5C">
      <w:pPr>
        <w:pStyle w:val="Default"/>
      </w:pPr>
    </w:p>
    <w:p w14:paraId="1239AF1E" w14:textId="77777777" w:rsidR="00690A5C" w:rsidRDefault="00690A5C" w:rsidP="00690A5C">
      <w:pPr>
        <w:pStyle w:val="Default"/>
      </w:pPr>
      <w:r>
        <w:t xml:space="preserve">GB has to speed up its energy system changes if we are to cut our greenhouse gases (GHG) to meet our targets, and it has to do this in an integrated fashion. We would hope that this Open Letter about RIIO-2, is the start of Ofgem trying to pull GB energy governance into a fit-for-purpose process.    </w:t>
      </w:r>
    </w:p>
    <w:p w14:paraId="37B0A457" w14:textId="77777777" w:rsidR="00690A5C" w:rsidRDefault="00690A5C" w:rsidP="0056375B">
      <w:pPr>
        <w:pStyle w:val="Default"/>
      </w:pPr>
    </w:p>
    <w:p w14:paraId="11709A0F" w14:textId="77777777" w:rsidR="00553B30" w:rsidRDefault="00553B30" w:rsidP="0056375B">
      <w:pPr>
        <w:pStyle w:val="Default"/>
      </w:pPr>
    </w:p>
    <w:p w14:paraId="2DE0D4B9" w14:textId="5FA3B536" w:rsidR="00690A5C" w:rsidRPr="00F00E5D" w:rsidRDefault="00690A5C" w:rsidP="0056375B">
      <w:pPr>
        <w:pStyle w:val="Default"/>
        <w:rPr>
          <w:b/>
          <w:color w:val="2E74B5" w:themeColor="accent1" w:themeShade="BF"/>
          <w:sz w:val="28"/>
          <w:szCs w:val="28"/>
        </w:rPr>
      </w:pPr>
      <w:r w:rsidRPr="00F00E5D">
        <w:rPr>
          <w:b/>
          <w:color w:val="2E74B5" w:themeColor="accent1" w:themeShade="BF"/>
          <w:sz w:val="28"/>
          <w:szCs w:val="28"/>
        </w:rPr>
        <w:t xml:space="preserve">Section 5 </w:t>
      </w:r>
      <w:r w:rsidR="00F00E5D">
        <w:rPr>
          <w:b/>
          <w:color w:val="2E74B5" w:themeColor="accent1" w:themeShade="BF"/>
          <w:sz w:val="28"/>
          <w:szCs w:val="28"/>
        </w:rPr>
        <w:t xml:space="preserve">  </w:t>
      </w:r>
      <w:r w:rsidRPr="00F00E5D">
        <w:rPr>
          <w:b/>
          <w:color w:val="2E74B5" w:themeColor="accent1" w:themeShade="BF"/>
          <w:sz w:val="28"/>
          <w:szCs w:val="28"/>
        </w:rPr>
        <w:t>Learn from Other Jurisdictions</w:t>
      </w:r>
    </w:p>
    <w:p w14:paraId="254D9061" w14:textId="77777777" w:rsidR="00690A5C" w:rsidRDefault="00690A5C" w:rsidP="0056375B">
      <w:pPr>
        <w:pStyle w:val="Default"/>
      </w:pPr>
    </w:p>
    <w:p w14:paraId="5A35DDC4" w14:textId="77777777" w:rsidR="00723494" w:rsidRDefault="00723494" w:rsidP="0056375B">
      <w:pPr>
        <w:pStyle w:val="Default"/>
      </w:pPr>
    </w:p>
    <w:p w14:paraId="2CD5B074" w14:textId="4AA82FEB" w:rsidR="00553B30" w:rsidRDefault="00716F31" w:rsidP="0056375B">
      <w:pPr>
        <w:pStyle w:val="Default"/>
      </w:pPr>
      <w:r>
        <w:t>New York State is unusual within global regulation because</w:t>
      </w:r>
      <w:r w:rsidR="00553B30">
        <w:t xml:space="preserve">, </w:t>
      </w:r>
      <w:r>
        <w:t xml:space="preserve"> whilst its mandate is still the same as it was a century ago, they have taken the view that</w:t>
      </w:r>
      <w:r w:rsidR="00553B30">
        <w:t xml:space="preserve"> the</w:t>
      </w:r>
      <w:r>
        <w:t xml:space="preserve"> ‘norms’ of conventional regulation cannot transform NYS’s energy state cost effectively for the NYS energy customers</w:t>
      </w:r>
      <w:r w:rsidR="00553B30">
        <w:t xml:space="preserve">. </w:t>
      </w:r>
      <w:r w:rsidR="007273C7">
        <w:t xml:space="preserve">NYS took the decision to set out a Vision </w:t>
      </w:r>
      <w:r w:rsidR="00464679">
        <w:t xml:space="preserve">in 2014 </w:t>
      </w:r>
      <w:r w:rsidR="00BF5903">
        <w:t xml:space="preserve">(ie to set out the jigsaw puzzle picture to follow on our analogy above) </w:t>
      </w:r>
      <w:r w:rsidR="007273C7">
        <w:t xml:space="preserve">and </w:t>
      </w:r>
      <w:r w:rsidR="00464679">
        <w:t xml:space="preserve">since </w:t>
      </w:r>
      <w:r w:rsidR="007273C7">
        <w:t xml:space="preserve">then </w:t>
      </w:r>
      <w:r w:rsidR="00464679">
        <w:t xml:space="preserve">has been </w:t>
      </w:r>
      <w:r w:rsidR="007273C7">
        <w:t>try</w:t>
      </w:r>
      <w:r w:rsidR="00464679">
        <w:t>ing</w:t>
      </w:r>
      <w:r w:rsidR="007273C7">
        <w:t xml:space="preserve"> </w:t>
      </w:r>
      <w:r w:rsidR="00464679">
        <w:t xml:space="preserve">to </w:t>
      </w:r>
      <w:r w:rsidR="00BF5903">
        <w:t xml:space="preserve">put </w:t>
      </w:r>
      <w:r w:rsidR="00541AE1">
        <w:t>t</w:t>
      </w:r>
      <w:r w:rsidR="007273C7">
        <w:t xml:space="preserve">he </w:t>
      </w:r>
      <w:r w:rsidR="00541AE1">
        <w:t xml:space="preserve">necessary </w:t>
      </w:r>
      <w:r w:rsidR="007273C7">
        <w:t>jigsaw puzzle</w:t>
      </w:r>
      <w:r w:rsidR="00BF5903">
        <w:t xml:space="preserve"> </w:t>
      </w:r>
      <w:r w:rsidR="00541AE1">
        <w:t xml:space="preserve">pieces together </w:t>
      </w:r>
      <w:r w:rsidR="007273C7">
        <w:t>towards that end</w:t>
      </w:r>
      <w:r w:rsidR="00654F1D">
        <w:rPr>
          <w:rStyle w:val="FootnoteReference"/>
        </w:rPr>
        <w:footnoteReference w:id="22"/>
      </w:r>
      <w:r w:rsidR="007273C7">
        <w:t xml:space="preserve">. </w:t>
      </w:r>
    </w:p>
    <w:p w14:paraId="36B5C43B" w14:textId="77777777" w:rsidR="00553B30" w:rsidRDefault="00553B30" w:rsidP="0056375B">
      <w:pPr>
        <w:pStyle w:val="Default"/>
      </w:pPr>
    </w:p>
    <w:p w14:paraId="3DE1E08A" w14:textId="0FB19913" w:rsidR="009D4FA6" w:rsidRDefault="00553B30" w:rsidP="0056375B">
      <w:pPr>
        <w:pStyle w:val="Default"/>
      </w:pPr>
      <w:r>
        <w:t>We argue</w:t>
      </w:r>
      <w:r w:rsidR="00464679">
        <w:t xml:space="preserve"> that it is important to make a distinction between the principles and ideas of the</w:t>
      </w:r>
      <w:r w:rsidR="00541AE1" w:rsidRPr="00541AE1">
        <w:t xml:space="preserve"> </w:t>
      </w:r>
      <w:r w:rsidR="00541AE1">
        <w:t>NY Reforming the Energy Vision (REV)</w:t>
      </w:r>
      <w:r w:rsidR="00464679">
        <w:t>, and the day to day decisions which have been taken within the NY REV</w:t>
      </w:r>
      <w:r w:rsidR="00541AE1">
        <w:t xml:space="preserve"> </w:t>
      </w:r>
      <w:r w:rsidR="00464679">
        <w:t xml:space="preserve">restructuring. </w:t>
      </w:r>
      <w:r>
        <w:t xml:space="preserve"> </w:t>
      </w:r>
      <w:r w:rsidR="00464679">
        <w:t xml:space="preserve">We would argue that </w:t>
      </w:r>
      <w:r>
        <w:t>GB is</w:t>
      </w:r>
      <w:r w:rsidR="009D4FA6">
        <w:t>, in many ways,</w:t>
      </w:r>
      <w:r>
        <w:t xml:space="preserve"> in the same position</w:t>
      </w:r>
      <w:r w:rsidR="007273C7">
        <w:t xml:space="preserve"> as NYS was in 2014 </w:t>
      </w:r>
      <w:r w:rsidR="00464679">
        <w:t xml:space="preserve">before </w:t>
      </w:r>
      <w:r w:rsidR="007273C7">
        <w:t>NYS</w:t>
      </w:r>
      <w:r w:rsidR="004A2B75">
        <w:t xml:space="preserve"> decided to restructure its energy governance</w:t>
      </w:r>
      <w:r w:rsidR="007273C7">
        <w:t xml:space="preserve">. </w:t>
      </w:r>
      <w:r>
        <w:t xml:space="preserve"> </w:t>
      </w:r>
      <w:r w:rsidR="009D4FA6">
        <w:t>Of course, the GB system is different from NYS but the ideas behind NY’s Vision</w:t>
      </w:r>
      <w:r w:rsidR="00464679">
        <w:t xml:space="preserve">, which were intended to meet the challenges of the new energy system, </w:t>
      </w:r>
      <w:r w:rsidR="009D4FA6">
        <w:t xml:space="preserve">appear sound to us. </w:t>
      </w:r>
      <w:r w:rsidR="006307AE">
        <w:t xml:space="preserve">We think </w:t>
      </w:r>
      <w:r w:rsidR="009D4FA6">
        <w:lastRenderedPageBreak/>
        <w:t xml:space="preserve">GB would do well to learn lessons from other jurisdictions, </w:t>
      </w:r>
      <w:r w:rsidR="00464679">
        <w:t xml:space="preserve">including NYS, </w:t>
      </w:r>
      <w:r w:rsidR="009D4FA6">
        <w:t>albeit shaping those ideas to suit GB’s particular situation.</w:t>
      </w:r>
    </w:p>
    <w:p w14:paraId="4189ECD7" w14:textId="77777777" w:rsidR="00690A5C" w:rsidRDefault="00690A5C" w:rsidP="0056375B">
      <w:pPr>
        <w:pStyle w:val="Default"/>
      </w:pPr>
    </w:p>
    <w:p w14:paraId="116A1D4C" w14:textId="0E81F9CE" w:rsidR="00464679" w:rsidRDefault="00464679" w:rsidP="00690A5C">
      <w:pPr>
        <w:pStyle w:val="Default"/>
      </w:pPr>
      <w:r>
        <w:t>The</w:t>
      </w:r>
      <w:r w:rsidR="00690A5C">
        <w:t xml:space="preserve"> </w:t>
      </w:r>
      <w:r w:rsidR="00541AE1">
        <w:t>NY REV</w:t>
      </w:r>
      <w:r w:rsidR="00690A5C">
        <w:t xml:space="preserve"> has suggested bringing together public policy goals with new </w:t>
      </w:r>
      <w:r w:rsidR="00BF5903">
        <w:t xml:space="preserve">PBR </w:t>
      </w:r>
      <w:r w:rsidR="00690A5C">
        <w:t>incentives on distribution utilities so that total cost to customers is kept down</w:t>
      </w:r>
      <w:r w:rsidR="00BF5903">
        <w:t xml:space="preserve"> whilst also</w:t>
      </w:r>
      <w:r>
        <w:t xml:space="preserve"> </w:t>
      </w:r>
      <w:r w:rsidR="00690A5C">
        <w:t xml:space="preserve">ensuring that networks fit with public policy goals (see Figure </w:t>
      </w:r>
      <w:r w:rsidR="00D51D99">
        <w:t>3</w:t>
      </w:r>
      <w:r w:rsidR="00690A5C">
        <w:rPr>
          <w:rStyle w:val="FootnoteReference"/>
        </w:rPr>
        <w:footnoteReference w:id="23"/>
      </w:r>
      <w:r w:rsidR="00690A5C">
        <w:t xml:space="preserve">).   </w:t>
      </w:r>
    </w:p>
    <w:p w14:paraId="2C088845" w14:textId="77777777" w:rsidR="00464679" w:rsidRDefault="00464679" w:rsidP="00690A5C">
      <w:pPr>
        <w:pStyle w:val="Default"/>
      </w:pPr>
    </w:p>
    <w:p w14:paraId="5458DC28" w14:textId="6AAD543A" w:rsidR="00464679" w:rsidRDefault="00690A5C" w:rsidP="00690A5C">
      <w:pPr>
        <w:pStyle w:val="Default"/>
      </w:pPr>
      <w:r>
        <w:t xml:space="preserve">Figure </w:t>
      </w:r>
      <w:r w:rsidR="00D51D99">
        <w:t>3</w:t>
      </w:r>
      <w:r>
        <w:t xml:space="preserve"> </w:t>
      </w:r>
      <w:r w:rsidR="00464679">
        <w:t xml:space="preserve">sets out a conceptual idea for altering the basis of </w:t>
      </w:r>
      <w:r w:rsidR="00BF5903">
        <w:t xml:space="preserve">distribution </w:t>
      </w:r>
      <w:r w:rsidR="00464679">
        <w:t>network revenue, via performance based regulation, in NYS</w:t>
      </w:r>
      <w:r w:rsidR="00464679">
        <w:rPr>
          <w:rStyle w:val="FootnoteReference"/>
        </w:rPr>
        <w:footnoteReference w:id="24"/>
      </w:r>
      <w:r w:rsidR="00464679">
        <w:t xml:space="preserve">. As can be seen,  the network company moves from a broadly cost of service (ie a return on the asset base) + about 8 per cent PBR revenue to one after about 10-15 years </w:t>
      </w:r>
      <w:r w:rsidR="00BF5903">
        <w:t>with three basic sources of revenue: a</w:t>
      </w:r>
      <w:r w:rsidR="00464679">
        <w:t xml:space="preserve"> cost of service element; a meeting of public policy goal element, and a transaction element. Two thirds of this are</w:t>
      </w:r>
      <w:r w:rsidR="00BF5903">
        <w:t xml:space="preserve"> related</w:t>
      </w:r>
      <w:r w:rsidR="00464679">
        <w:t xml:space="preserve"> </w:t>
      </w:r>
      <w:r w:rsidR="00BF5903">
        <w:t xml:space="preserve">to </w:t>
      </w:r>
      <w:r w:rsidR="00464679">
        <w:t>PBR, and it is a carrot and stick approach. Although total costs of networks</w:t>
      </w:r>
      <w:r w:rsidR="00BF5903">
        <w:t xml:space="preserve">, infrastructure and energy prices </w:t>
      </w:r>
      <w:r w:rsidR="00464679">
        <w:t xml:space="preserve">to customers </w:t>
      </w:r>
      <w:r w:rsidR="00BF5903">
        <w:t xml:space="preserve">must </w:t>
      </w:r>
      <w:r w:rsidR="00464679">
        <w:t>come down, distribution companies are allowed a higher return provided they meet the</w:t>
      </w:r>
      <w:r w:rsidR="00BF5903">
        <w:t>se</w:t>
      </w:r>
      <w:r w:rsidR="00464679">
        <w:t xml:space="preserve"> PBR outputs. </w:t>
      </w:r>
    </w:p>
    <w:p w14:paraId="3584BE90" w14:textId="77777777" w:rsidR="00464679" w:rsidRDefault="00464679" w:rsidP="00690A5C">
      <w:pPr>
        <w:pStyle w:val="Default"/>
      </w:pPr>
    </w:p>
    <w:p w14:paraId="07D8EBE0" w14:textId="42544ACE" w:rsidR="00690A5C" w:rsidRDefault="00464679" w:rsidP="00690A5C">
      <w:pPr>
        <w:pStyle w:val="Default"/>
      </w:pPr>
      <w:r>
        <w:t>We think RIIO-2 should be thinking in these sorts of terms, and this type of timescale.</w:t>
      </w:r>
      <w:r w:rsidR="007B1886">
        <w:t xml:space="preserve"> This means greater linkage between PBR, network charging</w:t>
      </w:r>
      <w:r w:rsidR="00E70CAC">
        <w:t xml:space="preserve">, availability of data and </w:t>
      </w:r>
      <w:r w:rsidR="007B1886">
        <w:t>public policy. This requires more direction from Government and institutional change – hence the need for a more crisply stated</w:t>
      </w:r>
      <w:r w:rsidR="00BF5903">
        <w:t>, whole system</w:t>
      </w:r>
      <w:r w:rsidR="007B1886">
        <w:t xml:space="preserve"> Vision.  </w:t>
      </w:r>
      <w:r>
        <w:t xml:space="preserve">  </w:t>
      </w:r>
    </w:p>
    <w:p w14:paraId="084F697C" w14:textId="77777777" w:rsidR="00A70B5F" w:rsidRDefault="00A70B5F" w:rsidP="00690A5C">
      <w:pPr>
        <w:pStyle w:val="Default"/>
      </w:pPr>
    </w:p>
    <w:p w14:paraId="624B090C" w14:textId="656057C9" w:rsidR="00A70B5F" w:rsidRDefault="00A70B5F" w:rsidP="00690A5C">
      <w:pPr>
        <w:pStyle w:val="Default"/>
      </w:pPr>
      <w:r>
        <w:rPr>
          <w:noProof/>
          <w:lang w:eastAsia="en-GB"/>
        </w:rPr>
        <w:lastRenderedPageBreak/>
        <w:drawing>
          <wp:inline distT="0" distB="0" distL="0" distR="0" wp14:anchorId="3C149941" wp14:editId="2C7A0710">
            <wp:extent cx="5707380" cy="382905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am pic.png"/>
                    <pic:cNvPicPr/>
                  </pic:nvPicPr>
                  <pic:blipFill>
                    <a:blip r:embed="rId14">
                      <a:extLst>
                        <a:ext uri="{28A0092B-C50C-407E-A947-70E740481C1C}">
                          <a14:useLocalDpi xmlns:a14="http://schemas.microsoft.com/office/drawing/2010/main" val="0"/>
                        </a:ext>
                      </a:extLst>
                    </a:blip>
                    <a:stretch>
                      <a:fillRect/>
                    </a:stretch>
                  </pic:blipFill>
                  <pic:spPr>
                    <a:xfrm>
                      <a:off x="0" y="0"/>
                      <a:ext cx="5707918" cy="3829411"/>
                    </a:xfrm>
                    <a:prstGeom prst="rect">
                      <a:avLst/>
                    </a:prstGeom>
                  </pic:spPr>
                </pic:pic>
              </a:graphicData>
            </a:graphic>
          </wp:inline>
        </w:drawing>
      </w:r>
    </w:p>
    <w:p w14:paraId="27DD9996" w14:textId="41C04622" w:rsidR="00690A5C" w:rsidRDefault="00690A5C" w:rsidP="00690A5C">
      <w:pPr>
        <w:pStyle w:val="Default"/>
      </w:pPr>
    </w:p>
    <w:p w14:paraId="7B59E595" w14:textId="4D9852F6" w:rsidR="00690A5C" w:rsidRPr="00421118" w:rsidRDefault="007B1886" w:rsidP="009F7277">
      <w:pPr>
        <w:pStyle w:val="Default"/>
        <w:rPr>
          <w:sz w:val="20"/>
          <w:szCs w:val="20"/>
        </w:rPr>
      </w:pPr>
      <w:r w:rsidRPr="00421118">
        <w:rPr>
          <w:sz w:val="20"/>
          <w:szCs w:val="20"/>
        </w:rPr>
        <w:t>Figure 3 Transforming of Regulatory Revenue over time – example of electricity distribution  companies</w:t>
      </w:r>
      <w:r w:rsidR="00D51D99">
        <w:rPr>
          <w:sz w:val="20"/>
          <w:szCs w:val="20"/>
        </w:rPr>
        <w:t xml:space="preserve"> in NYS.</w:t>
      </w:r>
    </w:p>
    <w:p w14:paraId="42C97A04" w14:textId="77777777" w:rsidR="00690A5C" w:rsidRDefault="00690A5C" w:rsidP="00690A5C">
      <w:pPr>
        <w:pStyle w:val="Default"/>
      </w:pPr>
    </w:p>
    <w:p w14:paraId="465AD314" w14:textId="77777777" w:rsidR="00690A5C" w:rsidRPr="0093748D" w:rsidRDefault="00690A5C" w:rsidP="00690A5C">
      <w:pPr>
        <w:autoSpaceDE w:val="0"/>
        <w:autoSpaceDN w:val="0"/>
        <w:adjustRightInd w:val="0"/>
        <w:spacing w:after="0" w:line="240" w:lineRule="auto"/>
        <w:rPr>
          <w:rFonts w:ascii="Arial" w:hAnsi="Arial" w:cs="Arial"/>
          <w:color w:val="000000"/>
          <w:sz w:val="24"/>
          <w:szCs w:val="24"/>
        </w:rPr>
      </w:pPr>
    </w:p>
    <w:p w14:paraId="4BFF3649" w14:textId="3744A611" w:rsidR="00654F1D" w:rsidRPr="00421118" w:rsidRDefault="00C81863" w:rsidP="00A45315">
      <w:pPr>
        <w:pStyle w:val="Default"/>
        <w:rPr>
          <w:b/>
          <w:sz w:val="28"/>
          <w:szCs w:val="28"/>
        </w:rPr>
      </w:pPr>
      <w:r w:rsidRPr="00F00E5D">
        <w:rPr>
          <w:b/>
          <w:color w:val="2E74B5" w:themeColor="accent1" w:themeShade="BF"/>
          <w:sz w:val="28"/>
          <w:szCs w:val="28"/>
        </w:rPr>
        <w:t xml:space="preserve">Section 6 </w:t>
      </w:r>
      <w:r w:rsidR="00F00E5D">
        <w:rPr>
          <w:b/>
          <w:color w:val="2E74B5" w:themeColor="accent1" w:themeShade="BF"/>
          <w:sz w:val="28"/>
          <w:szCs w:val="28"/>
        </w:rPr>
        <w:t xml:space="preserve">  </w:t>
      </w:r>
      <w:r w:rsidR="007B1886" w:rsidRPr="00F00E5D">
        <w:rPr>
          <w:b/>
          <w:color w:val="2E74B5" w:themeColor="accent1" w:themeShade="BF"/>
          <w:sz w:val="28"/>
          <w:szCs w:val="28"/>
        </w:rPr>
        <w:t xml:space="preserve">An Example of the </w:t>
      </w:r>
      <w:r w:rsidR="00654F1D" w:rsidRPr="00F00E5D">
        <w:rPr>
          <w:b/>
          <w:color w:val="2E74B5" w:themeColor="accent1" w:themeShade="BF"/>
          <w:sz w:val="28"/>
          <w:szCs w:val="28"/>
        </w:rPr>
        <w:t xml:space="preserve">Practical Problems </w:t>
      </w:r>
      <w:r w:rsidR="007B1886" w:rsidRPr="00F00E5D">
        <w:rPr>
          <w:b/>
          <w:color w:val="2E74B5" w:themeColor="accent1" w:themeShade="BF"/>
          <w:sz w:val="28"/>
          <w:szCs w:val="28"/>
        </w:rPr>
        <w:t xml:space="preserve">which </w:t>
      </w:r>
      <w:r w:rsidR="00654F1D" w:rsidRPr="00F00E5D">
        <w:rPr>
          <w:b/>
          <w:color w:val="2E74B5" w:themeColor="accent1" w:themeShade="BF"/>
          <w:sz w:val="28"/>
          <w:szCs w:val="28"/>
        </w:rPr>
        <w:t>RIIO</w:t>
      </w:r>
      <w:r w:rsidR="007B1886" w:rsidRPr="00F00E5D">
        <w:rPr>
          <w:b/>
          <w:color w:val="2E74B5" w:themeColor="accent1" w:themeShade="BF"/>
          <w:sz w:val="28"/>
          <w:szCs w:val="28"/>
        </w:rPr>
        <w:t xml:space="preserve">2 </w:t>
      </w:r>
      <w:r w:rsidR="0054747F" w:rsidRPr="00F00E5D">
        <w:rPr>
          <w:b/>
          <w:color w:val="2E74B5" w:themeColor="accent1" w:themeShade="BF"/>
          <w:sz w:val="28"/>
          <w:szCs w:val="28"/>
        </w:rPr>
        <w:t>need</w:t>
      </w:r>
      <w:r w:rsidR="007B1886" w:rsidRPr="00F00E5D">
        <w:rPr>
          <w:b/>
          <w:color w:val="2E74B5" w:themeColor="accent1" w:themeShade="BF"/>
          <w:sz w:val="28"/>
          <w:szCs w:val="28"/>
        </w:rPr>
        <w:t>s</w:t>
      </w:r>
      <w:r w:rsidR="0054747F" w:rsidRPr="00F00E5D">
        <w:rPr>
          <w:b/>
          <w:color w:val="2E74B5" w:themeColor="accent1" w:themeShade="BF"/>
          <w:sz w:val="28"/>
          <w:szCs w:val="28"/>
        </w:rPr>
        <w:t xml:space="preserve"> to addres</w:t>
      </w:r>
      <w:r w:rsidR="007B1886" w:rsidRPr="00F00E5D">
        <w:rPr>
          <w:b/>
          <w:color w:val="2E74B5" w:themeColor="accent1" w:themeShade="BF"/>
          <w:sz w:val="28"/>
          <w:szCs w:val="28"/>
        </w:rPr>
        <w:t>s</w:t>
      </w:r>
    </w:p>
    <w:p w14:paraId="5A25ACAA" w14:textId="77777777" w:rsidR="00654F1D" w:rsidRPr="00421118" w:rsidRDefault="00654F1D" w:rsidP="00A45315">
      <w:pPr>
        <w:pStyle w:val="Default"/>
        <w:rPr>
          <w:b/>
          <w:sz w:val="28"/>
          <w:szCs w:val="28"/>
        </w:rPr>
      </w:pPr>
    </w:p>
    <w:p w14:paraId="5F8984E3" w14:textId="77777777" w:rsidR="00723494" w:rsidRDefault="00723494" w:rsidP="00A45315">
      <w:pPr>
        <w:pStyle w:val="Default"/>
      </w:pPr>
    </w:p>
    <w:p w14:paraId="50A45DA2" w14:textId="34688ECA" w:rsidR="004F1779" w:rsidRDefault="00654F1D" w:rsidP="00A45315">
      <w:pPr>
        <w:pStyle w:val="Default"/>
      </w:pPr>
      <w:r w:rsidRPr="00654F1D">
        <w:t>There are all sorts of issues with RIIO and these are discussed in the Section below</w:t>
      </w:r>
      <w:r w:rsidR="004F1779">
        <w:t xml:space="preserve">. Figure </w:t>
      </w:r>
      <w:r w:rsidR="007B1886">
        <w:t>4</w:t>
      </w:r>
      <w:r w:rsidR="004F1779">
        <w:rPr>
          <w:rStyle w:val="FootnoteReference"/>
        </w:rPr>
        <w:footnoteReference w:id="25"/>
      </w:r>
      <w:r w:rsidR="004F1779">
        <w:t xml:space="preserve"> shows one of its fundamental problems. For more detail please go the blogs about this. </w:t>
      </w:r>
      <w:r w:rsidR="00D51D99">
        <w:t>It</w:t>
      </w:r>
      <w:r w:rsidR="00101856">
        <w:t xml:space="preserve"> </w:t>
      </w:r>
      <w:r w:rsidR="004F1779">
        <w:t xml:space="preserve"> shows </w:t>
      </w:r>
      <w:r w:rsidR="00101856">
        <w:t>GB photovoltaic (</w:t>
      </w:r>
      <w:r w:rsidR="004F1779">
        <w:t>PV</w:t>
      </w:r>
      <w:r w:rsidR="00101856">
        <w:t xml:space="preserve">) </w:t>
      </w:r>
      <w:r w:rsidR="004F1779">
        <w:t xml:space="preserve"> implementation versus the National Grid </w:t>
      </w:r>
      <w:r w:rsidR="00101856">
        <w:t xml:space="preserve">electricity system </w:t>
      </w:r>
      <w:r w:rsidR="004F1779">
        <w:t xml:space="preserve">scenarios, </w:t>
      </w:r>
      <w:r w:rsidR="00101856">
        <w:t>which are a central aspect of the</w:t>
      </w:r>
      <w:r w:rsidR="004F1779">
        <w:t xml:space="preserve"> DNO</w:t>
      </w:r>
      <w:r w:rsidR="00101856">
        <w:t>’s</w:t>
      </w:r>
      <w:r w:rsidR="004F1779">
        <w:t xml:space="preserve"> business plans. As can be seen, the actual take-up of PV was far more rapid than expected</w:t>
      </w:r>
      <w:r w:rsidR="00101856">
        <w:t xml:space="preserve">, </w:t>
      </w:r>
      <w:r w:rsidR="004F1779">
        <w:t>and as a result local network capacity was</w:t>
      </w:r>
      <w:r w:rsidR="0054747F">
        <w:t xml:space="preserve"> used up quicker than expected</w:t>
      </w:r>
      <w:r w:rsidR="00BF5903">
        <w:t xml:space="preserve"> (f</w:t>
      </w:r>
      <w:r w:rsidR="0054747F">
        <w:t>or example</w:t>
      </w:r>
      <w:r w:rsidR="00101856">
        <w:t xml:space="preserve">, </w:t>
      </w:r>
      <w:r w:rsidR="0054747F">
        <w:t xml:space="preserve"> in </w:t>
      </w:r>
      <w:r w:rsidR="00D51D99">
        <w:t>Western Power Distribution’s (</w:t>
      </w:r>
      <w:r w:rsidR="0054747F">
        <w:t>WPD</w:t>
      </w:r>
      <w:r w:rsidR="00D51D99">
        <w:t xml:space="preserve">) </w:t>
      </w:r>
      <w:r w:rsidR="0054747F">
        <w:t>case within a year</w:t>
      </w:r>
      <w:r w:rsidR="00BF5903">
        <w:t xml:space="preserve">). There is no </w:t>
      </w:r>
      <w:r w:rsidR="0054747F">
        <w:t xml:space="preserve">obvious means for the DNOs to access revenue </w:t>
      </w:r>
      <w:r w:rsidR="004F1779">
        <w:t xml:space="preserve">to </w:t>
      </w:r>
      <w:r w:rsidR="00101856">
        <w:t xml:space="preserve">pay for </w:t>
      </w:r>
      <w:r w:rsidR="004F1779">
        <w:t xml:space="preserve"> more network </w:t>
      </w:r>
      <w:r w:rsidR="00BF5903">
        <w:t xml:space="preserve">capacity within the remaining </w:t>
      </w:r>
      <w:r w:rsidR="004F1779">
        <w:t>year</w:t>
      </w:r>
      <w:r w:rsidR="00BF5903">
        <w:t>s of the</w:t>
      </w:r>
      <w:r w:rsidR="004F1779">
        <w:t xml:space="preserve"> distribution price contr</w:t>
      </w:r>
      <w:r w:rsidR="0054747F">
        <w:t>ol</w:t>
      </w:r>
      <w:r w:rsidR="00BF5903">
        <w:t xml:space="preserve"> (ie until 2023)</w:t>
      </w:r>
      <w:r w:rsidR="0054747F">
        <w:t xml:space="preserve">. Ofgem chose not to re-open the price control </w:t>
      </w:r>
      <w:r w:rsidR="004F1779">
        <w:t xml:space="preserve">– </w:t>
      </w:r>
      <w:r w:rsidR="00BF5903">
        <w:t xml:space="preserve">which, </w:t>
      </w:r>
      <w:r w:rsidR="00101856">
        <w:t>in our view</w:t>
      </w:r>
      <w:r w:rsidR="00BF5903">
        <w:t>, was mistaken and</w:t>
      </w:r>
      <w:r w:rsidR="00101856">
        <w:t xml:space="preserve"> a missed opportunity</w:t>
      </w:r>
      <w:r w:rsidR="004F1779">
        <w:t xml:space="preserve">. </w:t>
      </w:r>
    </w:p>
    <w:p w14:paraId="0AC8D28F" w14:textId="77777777" w:rsidR="004F1779" w:rsidRDefault="004F1779" w:rsidP="00A45315">
      <w:pPr>
        <w:pStyle w:val="Default"/>
      </w:pPr>
    </w:p>
    <w:p w14:paraId="749F14C2" w14:textId="2B08A8F6" w:rsidR="0054747F" w:rsidRDefault="00101856" w:rsidP="00A45315">
      <w:pPr>
        <w:pStyle w:val="Default"/>
      </w:pPr>
      <w:r>
        <w:t xml:space="preserve">Figure 4  </w:t>
      </w:r>
      <w:r w:rsidR="004F1779">
        <w:t>illuminates a number of issues: the rapidly changing technological landscape; the changing role of customers (and wishes)</w:t>
      </w:r>
      <w:r>
        <w:t xml:space="preserve">; the altering make-up of electricity  generation </w:t>
      </w:r>
      <w:r w:rsidR="004F1779">
        <w:t xml:space="preserve">investors; the need for regulatory flexibility in the face of </w:t>
      </w:r>
      <w:r>
        <w:t xml:space="preserve"> unexpected </w:t>
      </w:r>
      <w:r w:rsidR="004F1779">
        <w:t xml:space="preserve">change; </w:t>
      </w:r>
      <w:r w:rsidR="0054747F">
        <w:t xml:space="preserve">the need for </w:t>
      </w:r>
      <w:r w:rsidR="0054747F">
        <w:lastRenderedPageBreak/>
        <w:t>a</w:t>
      </w:r>
      <w:r>
        <w:t xml:space="preserve"> more open</w:t>
      </w:r>
      <w:r w:rsidR="0054747F">
        <w:t xml:space="preserve"> attitude to what might be energy system opportunities; </w:t>
      </w:r>
      <w:r>
        <w:t xml:space="preserve">the need for greater, meaningful involvement of stakeholders in these decisions, </w:t>
      </w:r>
      <w:r w:rsidR="0054747F">
        <w:t xml:space="preserve">and </w:t>
      </w:r>
      <w:r w:rsidR="004F1779">
        <w:t xml:space="preserve">the differences </w:t>
      </w:r>
      <w:r>
        <w:t xml:space="preserve">of experience </w:t>
      </w:r>
      <w:r w:rsidR="004F1779">
        <w:t>between distribution network operators</w:t>
      </w:r>
      <w:r>
        <w:t xml:space="preserve"> in different areas</w:t>
      </w:r>
      <w:r w:rsidR="0054747F">
        <w:t xml:space="preserve">. </w:t>
      </w:r>
    </w:p>
    <w:p w14:paraId="25283595" w14:textId="77777777" w:rsidR="0054747F" w:rsidRDefault="0054747F" w:rsidP="00A45315">
      <w:pPr>
        <w:pStyle w:val="Default"/>
      </w:pPr>
    </w:p>
    <w:p w14:paraId="5C133816" w14:textId="526BB7B7" w:rsidR="00C81863" w:rsidRDefault="0054747F" w:rsidP="00A45315">
      <w:pPr>
        <w:pStyle w:val="Default"/>
      </w:pPr>
      <w:r>
        <w:t>It also shows the interconnected nature between regulatory outcomes: National Grid</w:t>
      </w:r>
      <w:r w:rsidR="00C81863">
        <w:t xml:space="preserve">’s </w:t>
      </w:r>
      <w:r>
        <w:t xml:space="preserve">scenarios on PV </w:t>
      </w:r>
      <w:r w:rsidR="00C81863">
        <w:t xml:space="preserve">implementation were </w:t>
      </w:r>
      <w:r>
        <w:t xml:space="preserve">wrong; the DNOs </w:t>
      </w:r>
      <w:r w:rsidR="00C81863">
        <w:t xml:space="preserve">usually </w:t>
      </w:r>
      <w:r>
        <w:t xml:space="preserve">chose the most conservative </w:t>
      </w:r>
      <w:r w:rsidR="00C81863">
        <w:t xml:space="preserve">scenario </w:t>
      </w:r>
      <w:r>
        <w:t xml:space="preserve">of them; Ofgem did not pick the DNOs up on </w:t>
      </w:r>
      <w:r w:rsidR="00C81863">
        <w:t>their choice and passed the business plans</w:t>
      </w:r>
      <w:r>
        <w:t xml:space="preserve">; and the Government chose to see </w:t>
      </w:r>
      <w:r w:rsidR="00D51D99">
        <w:t>PV implementation (</w:t>
      </w:r>
      <w:r w:rsidR="00C81863">
        <w:t xml:space="preserve">which was </w:t>
      </w:r>
      <w:r>
        <w:t xml:space="preserve">a new form of </w:t>
      </w:r>
      <w:r w:rsidR="00C81863">
        <w:t xml:space="preserve">energy generation </w:t>
      </w:r>
      <w:r>
        <w:t>inve</w:t>
      </w:r>
      <w:r w:rsidR="00D51D99">
        <w:t xml:space="preserve">stment and customer involvement) </w:t>
      </w:r>
      <w:r>
        <w:t xml:space="preserve">as a major problem to be </w:t>
      </w:r>
      <w:r w:rsidR="00E87B98">
        <w:t>dampened</w:t>
      </w:r>
      <w:r>
        <w:t xml:space="preserve"> down. </w:t>
      </w:r>
      <w:r w:rsidR="004F1779">
        <w:t xml:space="preserve"> </w:t>
      </w:r>
    </w:p>
    <w:p w14:paraId="1B782937" w14:textId="77777777" w:rsidR="00C81863" w:rsidRDefault="00C81863" w:rsidP="00A45315">
      <w:pPr>
        <w:pStyle w:val="Default"/>
      </w:pPr>
    </w:p>
    <w:p w14:paraId="538F1706" w14:textId="362F2531" w:rsidR="00C81863" w:rsidRDefault="0054747F" w:rsidP="00A45315">
      <w:pPr>
        <w:pStyle w:val="Default"/>
      </w:pPr>
      <w:r>
        <w:t xml:space="preserve">As we have said before, ultimately we see the responsibility for energy </w:t>
      </w:r>
      <w:r w:rsidR="00C81863">
        <w:t xml:space="preserve">policy, and the implementation of that policy </w:t>
      </w:r>
      <w:r w:rsidR="00E87B98">
        <w:t xml:space="preserve">- </w:t>
      </w:r>
      <w:r w:rsidR="00C81863">
        <w:t xml:space="preserve">including the factors required for the enabling </w:t>
      </w:r>
      <w:r>
        <w:t>system development</w:t>
      </w:r>
      <w:r w:rsidR="00C81863">
        <w:t xml:space="preserve"> - </w:t>
      </w:r>
      <w:r>
        <w:t xml:space="preserve"> to be that of the Government</w:t>
      </w:r>
      <w:r>
        <w:rPr>
          <w:rStyle w:val="FootnoteReference"/>
        </w:rPr>
        <w:footnoteReference w:id="26"/>
      </w:r>
      <w:r>
        <w:t xml:space="preserve">. </w:t>
      </w:r>
      <w:r w:rsidR="005D02BC">
        <w:t xml:space="preserve">We regret that </w:t>
      </w:r>
      <w:r w:rsidR="00C81863">
        <w:t>t</w:t>
      </w:r>
      <w:r w:rsidR="005D02BC">
        <w:t xml:space="preserve">here </w:t>
      </w:r>
      <w:r w:rsidR="00C81863">
        <w:t xml:space="preserve">still </w:t>
      </w:r>
      <w:r w:rsidR="005D02BC">
        <w:t xml:space="preserve">appears to be no appetite from BEIS </w:t>
      </w:r>
      <w:r w:rsidR="00E87B98">
        <w:t>to clarify Ofgem’s role</w:t>
      </w:r>
      <w:r w:rsidR="00C81863">
        <w:t>,</w:t>
      </w:r>
      <w:r w:rsidR="005D02BC">
        <w:t xml:space="preserve"> via a strategic and policy statement</w:t>
      </w:r>
      <w:r w:rsidR="005D02BC">
        <w:rPr>
          <w:rStyle w:val="FootnoteReference"/>
        </w:rPr>
        <w:footnoteReference w:id="27"/>
      </w:r>
      <w:r w:rsidR="005D02BC">
        <w:t xml:space="preserve"> from BEIS to Ofgem.  </w:t>
      </w:r>
    </w:p>
    <w:p w14:paraId="606D912B" w14:textId="77777777" w:rsidR="00C81863" w:rsidRDefault="00C81863" w:rsidP="00A45315">
      <w:pPr>
        <w:pStyle w:val="Default"/>
      </w:pPr>
    </w:p>
    <w:p w14:paraId="1B70DA69" w14:textId="3CF6637E" w:rsidR="0054747F" w:rsidRDefault="0054747F" w:rsidP="00A45315">
      <w:pPr>
        <w:pStyle w:val="Default"/>
      </w:pPr>
      <w:r>
        <w:t>Th</w:t>
      </w:r>
      <w:r w:rsidR="00840EC4">
        <w:t>is</w:t>
      </w:r>
      <w:r w:rsidR="00C81863">
        <w:t xml:space="preserve"> particular issue of PV implementation</w:t>
      </w:r>
      <w:r w:rsidR="00840EC4">
        <w:t xml:space="preserve"> shows no one (ie </w:t>
      </w:r>
      <w:r w:rsidR="00C81863">
        <w:t>the Government, Regulator, NG and DNO</w:t>
      </w:r>
      <w:r w:rsidR="00840EC4">
        <w:t xml:space="preserve">) in good light. </w:t>
      </w:r>
      <w:r>
        <w:t>RIIO-2</w:t>
      </w:r>
      <w:r w:rsidR="00C81863">
        <w:t xml:space="preserve"> has to be a </w:t>
      </w:r>
      <w:r>
        <w:t xml:space="preserve">significant improvement on </w:t>
      </w:r>
      <w:r w:rsidR="00C81863">
        <w:t>the design of RIIO</w:t>
      </w:r>
      <w:r w:rsidR="003D783D">
        <w:t>.</w:t>
      </w:r>
    </w:p>
    <w:p w14:paraId="0CA8D30E" w14:textId="77777777" w:rsidR="00C81863" w:rsidRDefault="00C81863" w:rsidP="00A45315">
      <w:pPr>
        <w:pStyle w:val="Default"/>
      </w:pPr>
    </w:p>
    <w:p w14:paraId="16E75951" w14:textId="77777777" w:rsidR="00654F1D" w:rsidRDefault="00654F1D" w:rsidP="00A45315">
      <w:pPr>
        <w:pStyle w:val="Default"/>
        <w:rPr>
          <w:b/>
        </w:rPr>
      </w:pPr>
    </w:p>
    <w:p w14:paraId="1395F665" w14:textId="13F4DAD5" w:rsidR="00654F1D" w:rsidRDefault="00654F1D" w:rsidP="00A45315">
      <w:pPr>
        <w:pStyle w:val="Default"/>
        <w:rPr>
          <w:b/>
        </w:rPr>
      </w:pPr>
      <w:r>
        <w:rPr>
          <w:noProof/>
          <w:lang w:eastAsia="en-GB"/>
        </w:rPr>
        <w:drawing>
          <wp:inline distT="0" distB="0" distL="0" distR="0" wp14:anchorId="337BD74D" wp14:editId="30FF681C">
            <wp:extent cx="4768596" cy="2838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768596" cy="2838450"/>
                    </a:xfrm>
                    <a:prstGeom prst="rect">
                      <a:avLst/>
                    </a:prstGeom>
                  </pic:spPr>
                </pic:pic>
              </a:graphicData>
            </a:graphic>
          </wp:inline>
        </w:drawing>
      </w:r>
    </w:p>
    <w:p w14:paraId="3828E7E2" w14:textId="07900D42" w:rsidR="00C81863" w:rsidRPr="00437D52" w:rsidRDefault="00C81863" w:rsidP="00A45315">
      <w:pPr>
        <w:pStyle w:val="Default"/>
        <w:rPr>
          <w:sz w:val="20"/>
          <w:szCs w:val="20"/>
        </w:rPr>
      </w:pPr>
      <w:r w:rsidRPr="00437D52">
        <w:rPr>
          <w:sz w:val="20"/>
          <w:szCs w:val="20"/>
        </w:rPr>
        <w:t>Figure 4 PV Implementation in GB versus NG Scenarios</w:t>
      </w:r>
    </w:p>
    <w:p w14:paraId="20DEC4FF" w14:textId="77777777" w:rsidR="00C81863" w:rsidRDefault="00C81863" w:rsidP="00A45315">
      <w:pPr>
        <w:pStyle w:val="Default"/>
        <w:rPr>
          <w:b/>
        </w:rPr>
      </w:pPr>
    </w:p>
    <w:p w14:paraId="6BBA8F95" w14:textId="77777777" w:rsidR="00437D52" w:rsidRDefault="00437D52" w:rsidP="00A45315">
      <w:pPr>
        <w:pStyle w:val="Default"/>
        <w:rPr>
          <w:b/>
        </w:rPr>
      </w:pPr>
    </w:p>
    <w:p w14:paraId="39BBECC1" w14:textId="77777777" w:rsidR="00723494" w:rsidRDefault="00723494" w:rsidP="0056375B">
      <w:pPr>
        <w:pStyle w:val="Default"/>
        <w:rPr>
          <w:b/>
          <w:color w:val="2E74B5" w:themeColor="accent1" w:themeShade="BF"/>
          <w:sz w:val="28"/>
          <w:szCs w:val="28"/>
        </w:rPr>
      </w:pPr>
    </w:p>
    <w:p w14:paraId="79767E5A" w14:textId="77777777" w:rsidR="00723494" w:rsidRDefault="00723494" w:rsidP="0056375B">
      <w:pPr>
        <w:pStyle w:val="Default"/>
        <w:rPr>
          <w:b/>
          <w:color w:val="2E74B5" w:themeColor="accent1" w:themeShade="BF"/>
          <w:sz w:val="28"/>
          <w:szCs w:val="28"/>
        </w:rPr>
      </w:pPr>
    </w:p>
    <w:p w14:paraId="7053E56F" w14:textId="25292A33" w:rsidR="002265EF" w:rsidRDefault="00A45315" w:rsidP="0056375B">
      <w:pPr>
        <w:pStyle w:val="Default"/>
      </w:pPr>
      <w:r w:rsidRPr="00F00E5D">
        <w:rPr>
          <w:b/>
          <w:color w:val="2E74B5" w:themeColor="accent1" w:themeShade="BF"/>
          <w:sz w:val="28"/>
          <w:szCs w:val="28"/>
        </w:rPr>
        <w:lastRenderedPageBreak/>
        <w:t xml:space="preserve">Section </w:t>
      </w:r>
      <w:r w:rsidR="00C81863" w:rsidRPr="00F00E5D">
        <w:rPr>
          <w:b/>
          <w:color w:val="2E74B5" w:themeColor="accent1" w:themeShade="BF"/>
          <w:sz w:val="28"/>
          <w:szCs w:val="28"/>
        </w:rPr>
        <w:t xml:space="preserve">7 </w:t>
      </w:r>
      <w:r w:rsidR="00EE3549" w:rsidRPr="00F00E5D">
        <w:rPr>
          <w:b/>
          <w:color w:val="2E74B5" w:themeColor="accent1" w:themeShade="BF"/>
          <w:sz w:val="28"/>
          <w:szCs w:val="28"/>
        </w:rPr>
        <w:t xml:space="preserve"> </w:t>
      </w:r>
      <w:r w:rsidRPr="00F00E5D">
        <w:rPr>
          <w:b/>
          <w:color w:val="2E74B5" w:themeColor="accent1" w:themeShade="BF"/>
          <w:sz w:val="28"/>
          <w:szCs w:val="28"/>
        </w:rPr>
        <w:t xml:space="preserve">High Level Critique of RIIO </w:t>
      </w:r>
    </w:p>
    <w:p w14:paraId="51DA4585" w14:textId="77777777" w:rsidR="00723494" w:rsidRDefault="00723494" w:rsidP="00495F00">
      <w:pPr>
        <w:pStyle w:val="NormalWeb"/>
        <w:rPr>
          <w:rFonts w:asciiTheme="minorHAnsi" w:hAnsiTheme="minorHAnsi"/>
        </w:rPr>
      </w:pPr>
    </w:p>
    <w:p w14:paraId="46E81F16" w14:textId="610ABFF8" w:rsidR="00495F00" w:rsidRDefault="00495F00" w:rsidP="00495F00">
      <w:pPr>
        <w:pStyle w:val="NormalWeb"/>
        <w:rPr>
          <w:rFonts w:asciiTheme="minorHAnsi" w:hAnsiTheme="minorHAnsi"/>
          <w:lang w:val="en-US"/>
        </w:rPr>
      </w:pPr>
      <w:r w:rsidRPr="00495F00">
        <w:rPr>
          <w:rFonts w:asciiTheme="minorHAnsi" w:hAnsiTheme="minorHAnsi"/>
        </w:rPr>
        <w:t>EPG recently published a blog on the RIIO EDI Review</w:t>
      </w:r>
      <w:r w:rsidRPr="00495F00">
        <w:rPr>
          <w:rStyle w:val="FootnoteReference"/>
          <w:rFonts w:asciiTheme="minorHAnsi" w:hAnsiTheme="minorHAnsi"/>
        </w:rPr>
        <w:footnoteReference w:id="28"/>
      </w:r>
      <w:r w:rsidR="000065CD">
        <w:rPr>
          <w:rFonts w:asciiTheme="minorHAnsi" w:hAnsiTheme="minorHAnsi"/>
        </w:rPr>
        <w:t xml:space="preserve">.  The blogs </w:t>
      </w:r>
      <w:r w:rsidRPr="00495F00">
        <w:rPr>
          <w:rFonts w:asciiTheme="minorHAnsi" w:hAnsiTheme="minorHAnsi"/>
        </w:rPr>
        <w:t xml:space="preserve">conclusions </w:t>
      </w:r>
      <w:r w:rsidR="000065CD">
        <w:rPr>
          <w:rFonts w:asciiTheme="minorHAnsi" w:hAnsiTheme="minorHAnsi"/>
        </w:rPr>
        <w:t xml:space="preserve">about the electricity distribution RIIO </w:t>
      </w:r>
      <w:r w:rsidRPr="00495F00">
        <w:rPr>
          <w:rFonts w:asciiTheme="minorHAnsi" w:hAnsiTheme="minorHAnsi"/>
        </w:rPr>
        <w:t>were</w:t>
      </w:r>
      <w:r w:rsidR="000065CD">
        <w:rPr>
          <w:rFonts w:asciiTheme="minorHAnsi" w:hAnsiTheme="minorHAnsi"/>
        </w:rPr>
        <w:t xml:space="preserve">: </w:t>
      </w:r>
      <w:r w:rsidRPr="00495F00">
        <w:rPr>
          <w:rFonts w:asciiTheme="minorHAnsi" w:hAnsiTheme="minorHAnsi"/>
        </w:rPr>
        <w:t xml:space="preserve"> </w:t>
      </w:r>
    </w:p>
    <w:p w14:paraId="0956180D" w14:textId="0ACE0F2D" w:rsidR="00495F00" w:rsidRPr="00495F00" w:rsidRDefault="00495F00" w:rsidP="000065CD">
      <w:pPr>
        <w:pStyle w:val="NormalWeb"/>
        <w:numPr>
          <w:ilvl w:val="0"/>
          <w:numId w:val="26"/>
        </w:numPr>
        <w:rPr>
          <w:rFonts w:asciiTheme="minorHAnsi" w:hAnsiTheme="minorHAnsi"/>
          <w:lang w:val="en-US"/>
        </w:rPr>
      </w:pPr>
      <w:r w:rsidRPr="00495F00">
        <w:rPr>
          <w:rFonts w:asciiTheme="minorHAnsi" w:hAnsiTheme="minorHAnsi"/>
          <w:lang w:val="en-US"/>
        </w:rPr>
        <w:t xml:space="preserve">RIIO is an improvement on RPI-X. </w:t>
      </w:r>
    </w:p>
    <w:p w14:paraId="1E28DD1C" w14:textId="6735EE44" w:rsidR="00495F00" w:rsidRDefault="00495F00" w:rsidP="000065CD">
      <w:pPr>
        <w:pStyle w:val="NormalWeb"/>
        <w:numPr>
          <w:ilvl w:val="0"/>
          <w:numId w:val="26"/>
        </w:numPr>
        <w:rPr>
          <w:rFonts w:asciiTheme="minorHAnsi" w:hAnsiTheme="minorHAnsi"/>
          <w:lang w:val="en-US"/>
        </w:rPr>
      </w:pPr>
      <w:r w:rsidRPr="00495F00">
        <w:rPr>
          <w:rFonts w:asciiTheme="minorHAnsi" w:hAnsiTheme="minorHAnsi"/>
          <w:lang w:val="en-US"/>
        </w:rPr>
        <w:t xml:space="preserve">Ofgem have reduced the capacity somewhat for </w:t>
      </w:r>
      <w:r w:rsidR="000065CD">
        <w:rPr>
          <w:rFonts w:asciiTheme="minorHAnsi" w:hAnsiTheme="minorHAnsi"/>
          <w:lang w:val="en-US"/>
        </w:rPr>
        <w:t>distribution network companies</w:t>
      </w:r>
      <w:r w:rsidRPr="00495F00">
        <w:rPr>
          <w:rFonts w:asciiTheme="minorHAnsi" w:hAnsiTheme="minorHAnsi"/>
          <w:lang w:val="en-US"/>
        </w:rPr>
        <w:t xml:space="preserve"> to ‘game’ the base revenue allowance, but the incentive</w:t>
      </w:r>
      <w:r>
        <w:rPr>
          <w:rFonts w:asciiTheme="minorHAnsi" w:hAnsiTheme="minorHAnsi"/>
          <w:lang w:val="en-US"/>
        </w:rPr>
        <w:t xml:space="preserve"> on companies to do so is still  </w:t>
      </w:r>
      <w:r w:rsidRPr="00495F00">
        <w:rPr>
          <w:rFonts w:asciiTheme="minorHAnsi" w:hAnsiTheme="minorHAnsi"/>
          <w:lang w:val="en-US"/>
        </w:rPr>
        <w:t xml:space="preserve">strong. </w:t>
      </w:r>
    </w:p>
    <w:p w14:paraId="0543D7A9" w14:textId="77777777" w:rsidR="00495F00" w:rsidRDefault="00495F00" w:rsidP="000065CD">
      <w:pPr>
        <w:pStyle w:val="NormalWeb"/>
        <w:numPr>
          <w:ilvl w:val="0"/>
          <w:numId w:val="26"/>
        </w:numPr>
        <w:rPr>
          <w:rFonts w:asciiTheme="minorHAnsi" w:hAnsiTheme="minorHAnsi"/>
          <w:lang w:val="en-US"/>
        </w:rPr>
      </w:pPr>
      <w:r>
        <w:rPr>
          <w:rFonts w:asciiTheme="minorHAnsi" w:hAnsiTheme="minorHAnsi"/>
          <w:lang w:val="en-US"/>
        </w:rPr>
        <w:t xml:space="preserve">The </w:t>
      </w:r>
      <w:r w:rsidRPr="00495F00">
        <w:rPr>
          <w:rFonts w:asciiTheme="minorHAnsi" w:hAnsiTheme="minorHAnsi"/>
          <w:lang w:val="en-US"/>
        </w:rPr>
        <w:t xml:space="preserve">BMCS </w:t>
      </w:r>
      <w:r>
        <w:rPr>
          <w:rFonts w:asciiTheme="minorHAnsi" w:hAnsiTheme="minorHAnsi"/>
          <w:lang w:val="en-US"/>
        </w:rPr>
        <w:t xml:space="preserve">are a positive step </w:t>
      </w:r>
    </w:p>
    <w:p w14:paraId="2045B2BF" w14:textId="77777777" w:rsidR="00495F00" w:rsidRDefault="00495F00" w:rsidP="00495F00">
      <w:pPr>
        <w:pStyle w:val="NormalWeb"/>
        <w:rPr>
          <w:rFonts w:asciiTheme="minorHAnsi" w:hAnsiTheme="minorHAnsi"/>
          <w:lang w:val="en-US"/>
        </w:rPr>
      </w:pPr>
      <w:r>
        <w:rPr>
          <w:rFonts w:asciiTheme="minorHAnsi" w:hAnsiTheme="minorHAnsi"/>
          <w:lang w:val="en-US"/>
        </w:rPr>
        <w:t xml:space="preserve">However, </w:t>
      </w:r>
      <w:r w:rsidRPr="00495F00">
        <w:rPr>
          <w:rFonts w:asciiTheme="minorHAnsi" w:hAnsiTheme="minorHAnsi"/>
          <w:lang w:val="en-US"/>
        </w:rPr>
        <w:t xml:space="preserve"> </w:t>
      </w:r>
    </w:p>
    <w:p w14:paraId="7AD3BE96" w14:textId="1B029EF7" w:rsidR="00495F00" w:rsidRDefault="00495F00" w:rsidP="000065CD">
      <w:pPr>
        <w:pStyle w:val="NormalWeb"/>
        <w:numPr>
          <w:ilvl w:val="0"/>
          <w:numId w:val="27"/>
        </w:numPr>
        <w:rPr>
          <w:rFonts w:asciiTheme="minorHAnsi" w:hAnsiTheme="minorHAnsi"/>
          <w:lang w:val="en-US"/>
        </w:rPr>
      </w:pPr>
      <w:r>
        <w:rPr>
          <w:rFonts w:asciiTheme="minorHAnsi" w:hAnsiTheme="minorHAnsi"/>
          <w:lang w:val="en-US"/>
        </w:rPr>
        <w:t xml:space="preserve">The need for </w:t>
      </w:r>
      <w:r w:rsidRPr="00495F00">
        <w:rPr>
          <w:rFonts w:asciiTheme="minorHAnsi" w:hAnsiTheme="minorHAnsi"/>
          <w:lang w:val="en-US"/>
        </w:rPr>
        <w:t>benchmarking</w:t>
      </w:r>
      <w:r>
        <w:rPr>
          <w:rFonts w:asciiTheme="minorHAnsi" w:hAnsiTheme="minorHAnsi"/>
          <w:lang w:val="en-US"/>
        </w:rPr>
        <w:t xml:space="preserve"> is a fundamental flaw</w:t>
      </w:r>
      <w:r w:rsidR="000065CD">
        <w:rPr>
          <w:rFonts w:asciiTheme="minorHAnsi" w:hAnsiTheme="minorHAnsi"/>
          <w:lang w:val="en-US"/>
        </w:rPr>
        <w:t xml:space="preserve"> of the RIIO design</w:t>
      </w:r>
      <w:r>
        <w:rPr>
          <w:rFonts w:asciiTheme="minorHAnsi" w:hAnsiTheme="minorHAnsi"/>
          <w:lang w:val="en-US"/>
        </w:rPr>
        <w:t>, which undermines innovation and encourages gaming</w:t>
      </w:r>
    </w:p>
    <w:p w14:paraId="28437CF3" w14:textId="293883E1" w:rsidR="00495F00" w:rsidRDefault="00495F00" w:rsidP="000065CD">
      <w:pPr>
        <w:pStyle w:val="NormalWeb"/>
        <w:numPr>
          <w:ilvl w:val="0"/>
          <w:numId w:val="27"/>
        </w:numPr>
        <w:rPr>
          <w:rFonts w:asciiTheme="minorHAnsi" w:hAnsiTheme="minorHAnsi"/>
          <w:lang w:val="en-US"/>
        </w:rPr>
      </w:pPr>
      <w:r>
        <w:rPr>
          <w:rFonts w:asciiTheme="minorHAnsi" w:hAnsiTheme="minorHAnsi"/>
          <w:lang w:val="en-US"/>
        </w:rPr>
        <w:t>The two</w:t>
      </w:r>
      <w:r w:rsidR="000065CD">
        <w:rPr>
          <w:rFonts w:asciiTheme="minorHAnsi" w:hAnsiTheme="minorHAnsi"/>
          <w:lang w:val="en-US"/>
        </w:rPr>
        <w:t>-tracks of fast and slow should be scrapped</w:t>
      </w:r>
    </w:p>
    <w:p w14:paraId="4E9931A9" w14:textId="06806122" w:rsidR="000065CD" w:rsidRPr="000065CD" w:rsidRDefault="000065CD" w:rsidP="000065CD">
      <w:pPr>
        <w:pStyle w:val="NormalWeb"/>
        <w:numPr>
          <w:ilvl w:val="0"/>
          <w:numId w:val="27"/>
        </w:numPr>
        <w:rPr>
          <w:rFonts w:asciiTheme="minorHAnsi" w:hAnsiTheme="minorHAnsi"/>
          <w:lang w:val="en-US"/>
        </w:rPr>
      </w:pPr>
      <w:r>
        <w:rPr>
          <w:rFonts w:asciiTheme="minorHAnsi" w:hAnsiTheme="minorHAnsi"/>
          <w:lang w:val="en-US"/>
        </w:rPr>
        <w:t xml:space="preserve">The link between incentives and outputs is minimal, and in the case of the environment absent. </w:t>
      </w:r>
    </w:p>
    <w:p w14:paraId="666492D4" w14:textId="6F74CB26" w:rsidR="00495F00" w:rsidRDefault="000065CD" w:rsidP="000065CD">
      <w:pPr>
        <w:pStyle w:val="NormalWeb"/>
        <w:numPr>
          <w:ilvl w:val="0"/>
          <w:numId w:val="27"/>
        </w:numPr>
        <w:rPr>
          <w:rFonts w:asciiTheme="minorHAnsi" w:hAnsiTheme="minorHAnsi"/>
          <w:lang w:val="en-US"/>
        </w:rPr>
      </w:pPr>
      <w:r>
        <w:rPr>
          <w:rFonts w:asciiTheme="minorHAnsi" w:hAnsiTheme="minorHAnsi"/>
          <w:lang w:val="en-US"/>
        </w:rPr>
        <w:t>S</w:t>
      </w:r>
      <w:r w:rsidR="00495F00">
        <w:rPr>
          <w:rFonts w:asciiTheme="minorHAnsi" w:hAnsiTheme="minorHAnsi"/>
          <w:lang w:val="en-US"/>
        </w:rPr>
        <w:t>ome</w:t>
      </w:r>
      <w:r w:rsidR="00495F00" w:rsidRPr="00495F00">
        <w:rPr>
          <w:rFonts w:asciiTheme="minorHAnsi" w:hAnsiTheme="minorHAnsi"/>
          <w:lang w:val="en-US"/>
        </w:rPr>
        <w:t xml:space="preserve"> of the DNO’s used innovation funding to invest in projects such as micro-grids, low-carbon cities, local energy markets and active network management. However, these are still in the minority and none of the pipeline projects, either from RIIO or LCNF initiatives, applied for rollout funding</w:t>
      </w:r>
      <w:r w:rsidR="00840EC4">
        <w:rPr>
          <w:rFonts w:asciiTheme="minorHAnsi" w:hAnsiTheme="minorHAnsi"/>
          <w:lang w:val="en-US"/>
        </w:rPr>
        <w:t xml:space="preserve"> (in other words, to become mainstream within DNO operation)</w:t>
      </w:r>
      <w:r w:rsidR="00495F00" w:rsidRPr="00495F00">
        <w:rPr>
          <w:rFonts w:asciiTheme="minorHAnsi" w:hAnsiTheme="minorHAnsi"/>
          <w:lang w:val="en-US"/>
        </w:rPr>
        <w:t>.</w:t>
      </w:r>
    </w:p>
    <w:p w14:paraId="044802EA" w14:textId="77777777" w:rsidR="000065CD" w:rsidRDefault="00495F00" w:rsidP="000065CD">
      <w:pPr>
        <w:pStyle w:val="NormalWeb"/>
        <w:numPr>
          <w:ilvl w:val="0"/>
          <w:numId w:val="27"/>
        </w:numPr>
        <w:rPr>
          <w:rFonts w:asciiTheme="minorHAnsi" w:hAnsiTheme="minorHAnsi"/>
          <w:lang w:val="en-US"/>
        </w:rPr>
      </w:pPr>
      <w:r>
        <w:rPr>
          <w:rFonts w:asciiTheme="minorHAnsi" w:hAnsiTheme="minorHAnsi"/>
          <w:lang w:val="en-US"/>
        </w:rPr>
        <w:t xml:space="preserve">The </w:t>
      </w:r>
      <w:r w:rsidR="000065CD">
        <w:rPr>
          <w:rFonts w:asciiTheme="minorHAnsi" w:hAnsiTheme="minorHAnsi"/>
          <w:lang w:val="en-US"/>
        </w:rPr>
        <w:t xml:space="preserve">overall </w:t>
      </w:r>
      <w:r>
        <w:rPr>
          <w:rFonts w:asciiTheme="minorHAnsi" w:hAnsiTheme="minorHAnsi"/>
          <w:lang w:val="en-US"/>
        </w:rPr>
        <w:t>incentive</w:t>
      </w:r>
      <w:r w:rsidR="000065CD">
        <w:rPr>
          <w:rFonts w:asciiTheme="minorHAnsi" w:hAnsiTheme="minorHAnsi"/>
          <w:lang w:val="en-US"/>
        </w:rPr>
        <w:t>s, whether</w:t>
      </w:r>
      <w:r>
        <w:rPr>
          <w:rFonts w:asciiTheme="minorHAnsi" w:hAnsiTheme="minorHAnsi"/>
          <w:lang w:val="en-US"/>
        </w:rPr>
        <w:t xml:space="preserve"> for ‘innovation’ </w:t>
      </w:r>
      <w:r w:rsidR="000065CD">
        <w:rPr>
          <w:rFonts w:asciiTheme="minorHAnsi" w:hAnsiTheme="minorHAnsi"/>
          <w:lang w:val="en-US"/>
        </w:rPr>
        <w:t xml:space="preserve">or other named desired outputs </w:t>
      </w:r>
      <w:r>
        <w:rPr>
          <w:rFonts w:asciiTheme="minorHAnsi" w:hAnsiTheme="minorHAnsi"/>
          <w:lang w:val="en-US"/>
        </w:rPr>
        <w:t>is a minimal proportion of allowed revenue</w:t>
      </w:r>
      <w:r w:rsidR="000065CD">
        <w:rPr>
          <w:rFonts w:asciiTheme="minorHAnsi" w:hAnsiTheme="minorHAnsi"/>
          <w:lang w:val="en-US"/>
        </w:rPr>
        <w:t>, and has to be increased significantly</w:t>
      </w:r>
    </w:p>
    <w:p w14:paraId="3095F029" w14:textId="12D27AAA" w:rsidR="00495F00" w:rsidRDefault="000065CD" w:rsidP="000065CD">
      <w:pPr>
        <w:pStyle w:val="NormalWeb"/>
        <w:numPr>
          <w:ilvl w:val="0"/>
          <w:numId w:val="27"/>
        </w:numPr>
        <w:rPr>
          <w:rFonts w:asciiTheme="minorHAnsi" w:hAnsiTheme="minorHAnsi"/>
          <w:lang w:val="en-US"/>
        </w:rPr>
      </w:pPr>
      <w:r>
        <w:rPr>
          <w:rFonts w:asciiTheme="minorHAnsi" w:hAnsiTheme="minorHAnsi"/>
          <w:lang w:val="en-US"/>
        </w:rPr>
        <w:t xml:space="preserve">The 8 year price controls limit flexibility, and need to be reduced. </w:t>
      </w:r>
    </w:p>
    <w:p w14:paraId="7E0A686C" w14:textId="77777777" w:rsidR="00D51D99" w:rsidRDefault="00A33A73" w:rsidP="0056375B">
      <w:pPr>
        <w:pStyle w:val="Default"/>
        <w:rPr>
          <w:rFonts w:asciiTheme="minorHAnsi" w:hAnsiTheme="minorHAnsi"/>
        </w:rPr>
      </w:pPr>
      <w:r>
        <w:rPr>
          <w:rFonts w:asciiTheme="minorHAnsi" w:hAnsiTheme="minorHAnsi"/>
        </w:rPr>
        <w:t xml:space="preserve">The </w:t>
      </w:r>
      <w:r w:rsidR="00AC4B2B">
        <w:rPr>
          <w:rFonts w:asciiTheme="minorHAnsi" w:hAnsiTheme="minorHAnsi"/>
        </w:rPr>
        <w:t xml:space="preserve">RIIO </w:t>
      </w:r>
      <w:r>
        <w:rPr>
          <w:rFonts w:asciiTheme="minorHAnsi" w:hAnsiTheme="minorHAnsi"/>
        </w:rPr>
        <w:t xml:space="preserve">process, </w:t>
      </w:r>
      <w:r w:rsidR="00AC4B2B">
        <w:rPr>
          <w:rFonts w:asciiTheme="minorHAnsi" w:hAnsiTheme="minorHAnsi"/>
        </w:rPr>
        <w:t>obviously</w:t>
      </w:r>
      <w:r>
        <w:rPr>
          <w:rFonts w:asciiTheme="minorHAnsi" w:hAnsiTheme="minorHAnsi"/>
        </w:rPr>
        <w:t xml:space="preserve">, encompasses far more than </w:t>
      </w:r>
      <w:r w:rsidR="00AC4B2B">
        <w:rPr>
          <w:rFonts w:asciiTheme="minorHAnsi" w:hAnsiTheme="minorHAnsi"/>
        </w:rPr>
        <w:t>the electricity distribution price controls</w:t>
      </w:r>
      <w:r w:rsidR="00003E6F">
        <w:rPr>
          <w:rFonts w:asciiTheme="minorHAnsi" w:hAnsiTheme="minorHAnsi"/>
        </w:rPr>
        <w:t xml:space="preserve">, </w:t>
      </w:r>
      <w:r w:rsidR="00AC4B2B">
        <w:rPr>
          <w:rFonts w:asciiTheme="minorHAnsi" w:hAnsiTheme="minorHAnsi"/>
        </w:rPr>
        <w:t>but</w:t>
      </w:r>
      <w:r w:rsidR="00003E6F">
        <w:rPr>
          <w:rFonts w:asciiTheme="minorHAnsi" w:hAnsiTheme="minorHAnsi"/>
        </w:rPr>
        <w:t xml:space="preserve"> we think</w:t>
      </w:r>
      <w:r w:rsidR="00AC4B2B">
        <w:rPr>
          <w:rFonts w:asciiTheme="minorHAnsi" w:hAnsiTheme="minorHAnsi"/>
        </w:rPr>
        <w:t xml:space="preserve"> the problems of ED1 can be broadly generalised</w:t>
      </w:r>
      <w:r>
        <w:rPr>
          <w:rFonts w:asciiTheme="minorHAnsi" w:hAnsiTheme="minorHAnsi"/>
        </w:rPr>
        <w:t xml:space="preserve"> to other price controls</w:t>
      </w:r>
      <w:r w:rsidR="00AC4B2B">
        <w:rPr>
          <w:rFonts w:asciiTheme="minorHAnsi" w:hAnsiTheme="minorHAnsi"/>
        </w:rPr>
        <w:t xml:space="preserve">. </w:t>
      </w:r>
    </w:p>
    <w:p w14:paraId="056EE368" w14:textId="77777777" w:rsidR="00D51D99" w:rsidRDefault="00D51D99" w:rsidP="0056375B">
      <w:pPr>
        <w:pStyle w:val="Default"/>
        <w:rPr>
          <w:rFonts w:asciiTheme="minorHAnsi" w:hAnsiTheme="minorHAnsi"/>
        </w:rPr>
      </w:pPr>
    </w:p>
    <w:p w14:paraId="5CA03BC7" w14:textId="65F0694F" w:rsidR="00D51D99" w:rsidRDefault="00003E6F" w:rsidP="0056375B">
      <w:pPr>
        <w:pStyle w:val="Default"/>
        <w:rPr>
          <w:rFonts w:asciiTheme="minorHAnsi" w:hAnsiTheme="minorHAnsi"/>
        </w:rPr>
      </w:pPr>
      <w:r>
        <w:rPr>
          <w:rFonts w:asciiTheme="minorHAnsi" w:hAnsiTheme="minorHAnsi"/>
        </w:rPr>
        <w:t xml:space="preserve">Moreover, Citizens Advice published a report </w:t>
      </w:r>
      <w:r w:rsidRPr="00003E6F">
        <w:rPr>
          <w:rFonts w:asciiTheme="minorHAnsi" w:hAnsiTheme="minorHAnsi"/>
          <w:i/>
        </w:rPr>
        <w:t>Energy Consumers’ Missing Billions</w:t>
      </w:r>
      <w:r>
        <w:rPr>
          <w:rStyle w:val="FootnoteReference"/>
          <w:rFonts w:asciiTheme="minorHAnsi" w:hAnsiTheme="minorHAnsi"/>
          <w:i/>
        </w:rPr>
        <w:footnoteReference w:id="29"/>
      </w:r>
      <w:r>
        <w:rPr>
          <w:rFonts w:asciiTheme="minorHAnsi" w:hAnsiTheme="minorHAnsi"/>
        </w:rPr>
        <w:t xml:space="preserve">  the same day that the RIIO-2 Open Letter was released.  The CAB analysis had a central estimate that customers are over-paying £7.5bn (£3.5-11.1 bn) to networks over the course of the 8 year price controls. The average profit is 10%, and none earn less than 7% - and </w:t>
      </w:r>
      <w:r w:rsidR="00A33A73">
        <w:rPr>
          <w:rFonts w:asciiTheme="minorHAnsi" w:hAnsiTheme="minorHAnsi"/>
        </w:rPr>
        <w:t xml:space="preserve">CAB argue that networks are a </w:t>
      </w:r>
      <w:r>
        <w:rPr>
          <w:rFonts w:asciiTheme="minorHAnsi" w:hAnsiTheme="minorHAnsi"/>
        </w:rPr>
        <w:t xml:space="preserve">low risk sector. </w:t>
      </w:r>
      <w:r w:rsidR="00D51D99">
        <w:rPr>
          <w:rFonts w:asciiTheme="minorHAnsi" w:hAnsiTheme="minorHAnsi"/>
        </w:rPr>
        <w:t>The Energy and Climate Intelligence Unit (ECIU) has also published a critical report of DNO profits</w:t>
      </w:r>
      <w:r w:rsidR="00D51D99">
        <w:rPr>
          <w:rStyle w:val="FootnoteReference"/>
          <w:rFonts w:asciiTheme="minorHAnsi" w:hAnsiTheme="minorHAnsi"/>
        </w:rPr>
        <w:footnoteReference w:id="30"/>
      </w:r>
      <w:r w:rsidR="00D51D99">
        <w:rPr>
          <w:rFonts w:asciiTheme="minorHAnsi" w:hAnsiTheme="minorHAnsi"/>
        </w:rPr>
        <w:t>.</w:t>
      </w:r>
    </w:p>
    <w:p w14:paraId="5EA4355E" w14:textId="77777777" w:rsidR="00D51D99" w:rsidRDefault="00D51D99" w:rsidP="0056375B">
      <w:pPr>
        <w:pStyle w:val="Default"/>
        <w:rPr>
          <w:rFonts w:asciiTheme="minorHAnsi" w:hAnsiTheme="minorHAnsi"/>
        </w:rPr>
      </w:pPr>
    </w:p>
    <w:p w14:paraId="09AF5E02" w14:textId="36233805" w:rsidR="00495F00" w:rsidRDefault="00003E6F" w:rsidP="0056375B">
      <w:pPr>
        <w:pStyle w:val="Default"/>
        <w:rPr>
          <w:rFonts w:asciiTheme="minorHAnsi" w:hAnsiTheme="minorHAnsi"/>
        </w:rPr>
      </w:pPr>
      <w:r>
        <w:rPr>
          <w:rFonts w:asciiTheme="minorHAnsi" w:hAnsiTheme="minorHAnsi"/>
        </w:rPr>
        <w:lastRenderedPageBreak/>
        <w:t xml:space="preserve">Our (EPG) response below to the particular questions asked in the RIIO-2 Open Letter reflect these </w:t>
      </w:r>
      <w:r w:rsidR="00D51D99">
        <w:rPr>
          <w:rFonts w:asciiTheme="minorHAnsi" w:hAnsiTheme="minorHAnsi"/>
        </w:rPr>
        <w:t xml:space="preserve">EPG and </w:t>
      </w:r>
      <w:r w:rsidR="00840EC4">
        <w:rPr>
          <w:rFonts w:asciiTheme="minorHAnsi" w:hAnsiTheme="minorHAnsi"/>
        </w:rPr>
        <w:t xml:space="preserve">CAB </w:t>
      </w:r>
      <w:r>
        <w:rPr>
          <w:rFonts w:asciiTheme="minorHAnsi" w:hAnsiTheme="minorHAnsi"/>
        </w:rPr>
        <w:t>criticisms of the RIIO process</w:t>
      </w:r>
      <w:r w:rsidR="00D51D99">
        <w:rPr>
          <w:rFonts w:asciiTheme="minorHAnsi" w:hAnsiTheme="minorHAnsi"/>
        </w:rPr>
        <w:t>, as well as the broader concerns about DNOs in the ECIU report</w:t>
      </w:r>
      <w:r>
        <w:rPr>
          <w:rFonts w:asciiTheme="minorHAnsi" w:hAnsiTheme="minorHAnsi"/>
        </w:rPr>
        <w:t xml:space="preserve">.  </w:t>
      </w:r>
    </w:p>
    <w:p w14:paraId="7A25D346" w14:textId="77777777" w:rsidR="009B50A6" w:rsidRDefault="009B50A6" w:rsidP="0056375B">
      <w:pPr>
        <w:pStyle w:val="Default"/>
        <w:rPr>
          <w:rFonts w:asciiTheme="minorHAnsi" w:hAnsiTheme="minorHAnsi"/>
        </w:rPr>
      </w:pPr>
    </w:p>
    <w:p w14:paraId="18272AC7" w14:textId="263FCB1A" w:rsidR="009B50A6" w:rsidRDefault="00840EC4" w:rsidP="0056375B">
      <w:pPr>
        <w:pStyle w:val="Default"/>
        <w:rPr>
          <w:rFonts w:asciiTheme="minorHAnsi" w:hAnsiTheme="minorHAnsi"/>
        </w:rPr>
      </w:pPr>
      <w:r>
        <w:rPr>
          <w:rFonts w:asciiTheme="minorHAnsi" w:hAnsiTheme="minorHAnsi"/>
        </w:rPr>
        <w:t xml:space="preserve">As explained in Section 2, </w:t>
      </w:r>
      <w:r w:rsidR="009B50A6">
        <w:rPr>
          <w:rFonts w:asciiTheme="minorHAnsi" w:hAnsiTheme="minorHAnsi"/>
        </w:rPr>
        <w:t xml:space="preserve"> we do not support the continuation of the current governance system in GB – and that includes </w:t>
      </w:r>
      <w:r>
        <w:rPr>
          <w:rFonts w:asciiTheme="minorHAnsi" w:hAnsiTheme="minorHAnsi"/>
        </w:rPr>
        <w:t xml:space="preserve">the current design of </w:t>
      </w:r>
      <w:r w:rsidR="009B50A6">
        <w:rPr>
          <w:rFonts w:asciiTheme="minorHAnsi" w:hAnsiTheme="minorHAnsi"/>
        </w:rPr>
        <w:t xml:space="preserve">RIIO. We support </w:t>
      </w:r>
      <w:r>
        <w:rPr>
          <w:rFonts w:asciiTheme="minorHAnsi" w:hAnsiTheme="minorHAnsi"/>
        </w:rPr>
        <w:t xml:space="preserve">a higher proportion of </w:t>
      </w:r>
      <w:r w:rsidR="009B50A6">
        <w:rPr>
          <w:rFonts w:asciiTheme="minorHAnsi" w:hAnsiTheme="minorHAnsi"/>
        </w:rPr>
        <w:t>PBR – of which RIIO has a small percentage</w:t>
      </w:r>
      <w:r>
        <w:rPr>
          <w:rFonts w:asciiTheme="minorHAnsi" w:hAnsiTheme="minorHAnsi"/>
        </w:rPr>
        <w:t xml:space="preserve"> (6.5%).</w:t>
      </w:r>
      <w:r w:rsidR="009B50A6">
        <w:rPr>
          <w:rFonts w:asciiTheme="minorHAnsi" w:hAnsiTheme="minorHAnsi"/>
        </w:rPr>
        <w:t xml:space="preserve">  </w:t>
      </w:r>
    </w:p>
    <w:p w14:paraId="1D98D6E6" w14:textId="77777777" w:rsidR="00437D52" w:rsidRDefault="00437D52" w:rsidP="0056375B">
      <w:pPr>
        <w:pStyle w:val="Default"/>
      </w:pPr>
    </w:p>
    <w:p w14:paraId="1E7CAC12" w14:textId="1BEC98E7" w:rsidR="009B50A6" w:rsidRDefault="009B50A6" w:rsidP="0056375B">
      <w:pPr>
        <w:pStyle w:val="Default"/>
        <w:rPr>
          <w:rFonts w:asciiTheme="minorHAnsi" w:hAnsiTheme="minorHAnsi"/>
        </w:rPr>
      </w:pPr>
      <w:r>
        <w:rPr>
          <w:rFonts w:asciiTheme="minorHAnsi" w:hAnsiTheme="minorHAnsi"/>
        </w:rPr>
        <w:t xml:space="preserve">RIIO is based on a benchmarking of very different </w:t>
      </w:r>
      <w:r w:rsidR="00840EC4">
        <w:rPr>
          <w:rFonts w:asciiTheme="minorHAnsi" w:hAnsiTheme="minorHAnsi"/>
        </w:rPr>
        <w:t xml:space="preserve">DNO areas. As a result, their differences have to be ‘smoothed’ in order that benchmarking can occur.  </w:t>
      </w:r>
    </w:p>
    <w:p w14:paraId="6359FA05" w14:textId="77777777" w:rsidR="00840EC4" w:rsidRDefault="00840EC4" w:rsidP="0056375B">
      <w:pPr>
        <w:pStyle w:val="Default"/>
        <w:rPr>
          <w:rFonts w:asciiTheme="minorHAnsi" w:hAnsiTheme="minorHAnsi"/>
        </w:rPr>
      </w:pPr>
    </w:p>
    <w:p w14:paraId="0BC495CC" w14:textId="1A8F7165" w:rsidR="009B50A6" w:rsidRPr="00495F00" w:rsidRDefault="009B50A6" w:rsidP="0056375B">
      <w:pPr>
        <w:pStyle w:val="Default"/>
        <w:rPr>
          <w:rFonts w:asciiTheme="minorHAnsi" w:hAnsiTheme="minorHAnsi"/>
        </w:rPr>
      </w:pPr>
      <w:r>
        <w:rPr>
          <w:rFonts w:asciiTheme="minorHAnsi" w:hAnsiTheme="minorHAnsi"/>
        </w:rPr>
        <w:t xml:space="preserve">It is far better, in our view, for regulation of networks to move towards </w:t>
      </w:r>
      <w:r w:rsidR="00E70CAC">
        <w:rPr>
          <w:rFonts w:asciiTheme="minorHAnsi" w:hAnsiTheme="minorHAnsi"/>
        </w:rPr>
        <w:t xml:space="preserve">a performance based regulation model </w:t>
      </w:r>
      <w:r w:rsidR="00840EC4">
        <w:rPr>
          <w:rFonts w:asciiTheme="minorHAnsi" w:hAnsiTheme="minorHAnsi"/>
        </w:rPr>
        <w:t xml:space="preserve">based on desired outputs, </w:t>
      </w:r>
      <w:r w:rsidR="00E70CAC">
        <w:rPr>
          <w:rFonts w:asciiTheme="minorHAnsi" w:hAnsiTheme="minorHAnsi"/>
        </w:rPr>
        <w:t>which is not based on benchmarking; not based on fast and slow tracking but based on individual characteristics</w:t>
      </w:r>
      <w:r w:rsidR="00840EC4">
        <w:rPr>
          <w:rFonts w:asciiTheme="minorHAnsi" w:hAnsiTheme="minorHAnsi"/>
        </w:rPr>
        <w:t>.</w:t>
      </w:r>
    </w:p>
    <w:p w14:paraId="27B62D79" w14:textId="77777777" w:rsidR="00495F00" w:rsidRPr="00495F00" w:rsidRDefault="00495F00" w:rsidP="0056375B">
      <w:pPr>
        <w:pStyle w:val="Default"/>
        <w:rPr>
          <w:rFonts w:asciiTheme="minorHAnsi" w:hAnsiTheme="minorHAnsi"/>
        </w:rPr>
      </w:pPr>
    </w:p>
    <w:p w14:paraId="7A6D96D6" w14:textId="77777777" w:rsidR="00A33A73" w:rsidRDefault="00A33A73" w:rsidP="0056375B">
      <w:pPr>
        <w:pStyle w:val="Default"/>
        <w:rPr>
          <w:b/>
        </w:rPr>
      </w:pPr>
    </w:p>
    <w:p w14:paraId="049CBC69" w14:textId="0BFDFD3F" w:rsidR="008D4D5C" w:rsidRPr="00F00E5D" w:rsidRDefault="003A37CE" w:rsidP="0056375B">
      <w:pPr>
        <w:pStyle w:val="Default"/>
        <w:rPr>
          <w:color w:val="2E74B5" w:themeColor="accent1" w:themeShade="BF"/>
          <w:sz w:val="28"/>
          <w:szCs w:val="28"/>
        </w:rPr>
      </w:pPr>
      <w:r w:rsidRPr="00F00E5D">
        <w:rPr>
          <w:b/>
          <w:color w:val="2E74B5" w:themeColor="accent1" w:themeShade="BF"/>
          <w:sz w:val="28"/>
          <w:szCs w:val="28"/>
        </w:rPr>
        <w:t xml:space="preserve">Section </w:t>
      </w:r>
      <w:r w:rsidR="00C81863" w:rsidRPr="00F00E5D">
        <w:rPr>
          <w:b/>
          <w:color w:val="2E74B5" w:themeColor="accent1" w:themeShade="BF"/>
          <w:sz w:val="28"/>
          <w:szCs w:val="28"/>
        </w:rPr>
        <w:t xml:space="preserve">8 </w:t>
      </w:r>
      <w:r w:rsidRPr="00F00E5D">
        <w:rPr>
          <w:b/>
          <w:color w:val="2E74B5" w:themeColor="accent1" w:themeShade="BF"/>
          <w:sz w:val="28"/>
          <w:szCs w:val="28"/>
        </w:rPr>
        <w:t xml:space="preserve"> </w:t>
      </w:r>
      <w:r w:rsidR="00840EC4" w:rsidRPr="00F00E5D">
        <w:rPr>
          <w:b/>
          <w:color w:val="2E74B5" w:themeColor="accent1" w:themeShade="BF"/>
          <w:sz w:val="28"/>
          <w:szCs w:val="28"/>
        </w:rPr>
        <w:t xml:space="preserve">High Level Critique of </w:t>
      </w:r>
      <w:r w:rsidR="008D4D5C" w:rsidRPr="00F00E5D">
        <w:rPr>
          <w:b/>
          <w:color w:val="2E74B5" w:themeColor="accent1" w:themeShade="BF"/>
          <w:sz w:val="28"/>
          <w:szCs w:val="28"/>
        </w:rPr>
        <w:t xml:space="preserve">The RIIO-2 Open Letter </w:t>
      </w:r>
    </w:p>
    <w:p w14:paraId="59407665" w14:textId="77777777" w:rsidR="00A33A73" w:rsidRDefault="00A33A73" w:rsidP="0056375B">
      <w:pPr>
        <w:pStyle w:val="Default"/>
      </w:pPr>
    </w:p>
    <w:p w14:paraId="3DA9DEDA" w14:textId="77777777" w:rsidR="00723494" w:rsidRDefault="00723494" w:rsidP="0056375B">
      <w:pPr>
        <w:pStyle w:val="Default"/>
      </w:pPr>
    </w:p>
    <w:p w14:paraId="0259FE40" w14:textId="6B739FAB" w:rsidR="002265EF" w:rsidRDefault="00C81863" w:rsidP="0056375B">
      <w:pPr>
        <w:pStyle w:val="Default"/>
      </w:pPr>
      <w:r>
        <w:t xml:space="preserve">As set out in Section </w:t>
      </w:r>
      <w:r w:rsidR="009F7277">
        <w:t>3</w:t>
      </w:r>
      <w:r>
        <w:t xml:space="preserve"> we argue that the RIIO-2 objectives should be altered:  </w:t>
      </w:r>
    </w:p>
    <w:p w14:paraId="38B240A9" w14:textId="77777777" w:rsidR="008D4D5C" w:rsidRDefault="008D4D5C" w:rsidP="0056375B">
      <w:pPr>
        <w:pStyle w:val="Default"/>
      </w:pPr>
    </w:p>
    <w:p w14:paraId="296752A3" w14:textId="7BD9F660" w:rsidR="008D4D5C" w:rsidRPr="00AC1634" w:rsidRDefault="008D4D5C" w:rsidP="0056375B">
      <w:pPr>
        <w:pStyle w:val="Default"/>
        <w:rPr>
          <w:rFonts w:asciiTheme="minorHAnsi" w:hAnsiTheme="minorHAnsi"/>
        </w:rPr>
      </w:pPr>
      <w:r w:rsidRPr="00AC1634">
        <w:rPr>
          <w:rFonts w:asciiTheme="minorHAnsi" w:hAnsiTheme="minorHAnsi"/>
        </w:rPr>
        <w:t>The RIIO-2 objectives are:</w:t>
      </w:r>
    </w:p>
    <w:p w14:paraId="517B7D65" w14:textId="77777777" w:rsidR="002265EF" w:rsidRPr="00AC1634" w:rsidRDefault="002265EF" w:rsidP="0056375B">
      <w:pPr>
        <w:pStyle w:val="Default"/>
        <w:rPr>
          <w:rFonts w:asciiTheme="minorHAnsi" w:hAnsiTheme="minorHAnsi"/>
        </w:rPr>
      </w:pPr>
    </w:p>
    <w:p w14:paraId="736383C6" w14:textId="77777777" w:rsidR="002265EF" w:rsidRPr="00AC1634" w:rsidRDefault="002265EF" w:rsidP="008D4D5C">
      <w:pPr>
        <w:pStyle w:val="ListParagraph"/>
        <w:numPr>
          <w:ilvl w:val="0"/>
          <w:numId w:val="28"/>
        </w:numPr>
        <w:autoSpaceDE w:val="0"/>
        <w:autoSpaceDN w:val="0"/>
        <w:adjustRightInd w:val="0"/>
        <w:spacing w:after="0" w:line="240" w:lineRule="auto"/>
        <w:rPr>
          <w:rFonts w:cs="Verdana"/>
          <w:color w:val="000000"/>
          <w:sz w:val="24"/>
          <w:szCs w:val="24"/>
        </w:rPr>
      </w:pPr>
      <w:r w:rsidRPr="00AC1634">
        <w:rPr>
          <w:rFonts w:cs="Verdana"/>
          <w:color w:val="000000"/>
          <w:sz w:val="24"/>
          <w:szCs w:val="24"/>
        </w:rPr>
        <w:t xml:space="preserve">Giving consumers a stronger voice in setting outputs, shaping and assessing business plans; </w:t>
      </w:r>
    </w:p>
    <w:p w14:paraId="76C64119" w14:textId="35793891" w:rsidR="002265EF" w:rsidRPr="00AC1634" w:rsidRDefault="002265EF" w:rsidP="008D4D5C">
      <w:pPr>
        <w:pStyle w:val="ListParagraph"/>
        <w:numPr>
          <w:ilvl w:val="0"/>
          <w:numId w:val="28"/>
        </w:numPr>
        <w:autoSpaceDE w:val="0"/>
        <w:autoSpaceDN w:val="0"/>
        <w:adjustRightInd w:val="0"/>
        <w:spacing w:after="21" w:line="240" w:lineRule="auto"/>
        <w:rPr>
          <w:sz w:val="24"/>
          <w:szCs w:val="24"/>
        </w:rPr>
      </w:pPr>
      <w:r w:rsidRPr="00AC1634">
        <w:rPr>
          <w:sz w:val="24"/>
          <w:szCs w:val="24"/>
        </w:rPr>
        <w:t xml:space="preserve">Allowing regulated companies to earn returns that are fair and represent good value for consumers, properly reflecting the risks faced in these businesses and prevailing financial market conditions; </w:t>
      </w:r>
    </w:p>
    <w:p w14:paraId="2EBC4848" w14:textId="43DBBA50" w:rsidR="002265EF" w:rsidRPr="00AC1634" w:rsidRDefault="002265EF" w:rsidP="008D4D5C">
      <w:pPr>
        <w:pStyle w:val="ListParagraph"/>
        <w:numPr>
          <w:ilvl w:val="0"/>
          <w:numId w:val="28"/>
        </w:numPr>
        <w:autoSpaceDE w:val="0"/>
        <w:autoSpaceDN w:val="0"/>
        <w:adjustRightInd w:val="0"/>
        <w:spacing w:after="21" w:line="240" w:lineRule="auto"/>
        <w:rPr>
          <w:sz w:val="24"/>
          <w:szCs w:val="24"/>
        </w:rPr>
      </w:pPr>
      <w:r w:rsidRPr="00AC1634">
        <w:rPr>
          <w:sz w:val="24"/>
          <w:szCs w:val="24"/>
        </w:rPr>
        <w:t xml:space="preserve">Incentivising companies to drive consumer value by shaping or proactively responding to changes in how networks are used and services are delivered; </w:t>
      </w:r>
    </w:p>
    <w:p w14:paraId="082DB0BA" w14:textId="5B747531" w:rsidR="002265EF" w:rsidRPr="00AC1634" w:rsidRDefault="002265EF" w:rsidP="008D4D5C">
      <w:pPr>
        <w:pStyle w:val="ListParagraph"/>
        <w:numPr>
          <w:ilvl w:val="0"/>
          <w:numId w:val="28"/>
        </w:numPr>
        <w:autoSpaceDE w:val="0"/>
        <w:autoSpaceDN w:val="0"/>
        <w:adjustRightInd w:val="0"/>
        <w:spacing w:after="21" w:line="240" w:lineRule="auto"/>
        <w:rPr>
          <w:sz w:val="24"/>
          <w:szCs w:val="24"/>
        </w:rPr>
      </w:pPr>
      <w:r w:rsidRPr="00AC1634">
        <w:rPr>
          <w:sz w:val="24"/>
          <w:szCs w:val="24"/>
        </w:rPr>
        <w:t xml:space="preserve">Using the regulatory framework, or competition where appropriate, to drive innovation and efficiency; and </w:t>
      </w:r>
    </w:p>
    <w:p w14:paraId="5BE17662" w14:textId="58EBA02B" w:rsidR="002265EF" w:rsidRPr="00AC1634" w:rsidRDefault="002265EF" w:rsidP="008D4D5C">
      <w:pPr>
        <w:pStyle w:val="ListParagraph"/>
        <w:numPr>
          <w:ilvl w:val="0"/>
          <w:numId w:val="28"/>
        </w:numPr>
        <w:autoSpaceDE w:val="0"/>
        <w:autoSpaceDN w:val="0"/>
        <w:adjustRightInd w:val="0"/>
        <w:spacing w:after="0" w:line="240" w:lineRule="auto"/>
        <w:rPr>
          <w:sz w:val="24"/>
          <w:szCs w:val="24"/>
        </w:rPr>
      </w:pPr>
      <w:r w:rsidRPr="00AC1634">
        <w:rPr>
          <w:sz w:val="24"/>
          <w:szCs w:val="24"/>
        </w:rPr>
        <w:t xml:space="preserve">Simplifying the price controls by focusing on items of greatest value to consumers. </w:t>
      </w:r>
    </w:p>
    <w:p w14:paraId="0381E021" w14:textId="77777777" w:rsidR="002265EF" w:rsidRPr="00AC1634" w:rsidRDefault="002265EF" w:rsidP="0056375B">
      <w:pPr>
        <w:pStyle w:val="Default"/>
        <w:rPr>
          <w:rFonts w:asciiTheme="minorHAnsi" w:hAnsiTheme="minorHAnsi"/>
        </w:rPr>
      </w:pPr>
    </w:p>
    <w:p w14:paraId="31CC533D" w14:textId="6D0F12E0" w:rsidR="00F6318F" w:rsidRPr="00AC1634" w:rsidRDefault="00F6318F" w:rsidP="0056375B">
      <w:pPr>
        <w:pStyle w:val="Default"/>
        <w:rPr>
          <w:rFonts w:asciiTheme="minorHAnsi" w:hAnsiTheme="minorHAnsi"/>
        </w:rPr>
      </w:pPr>
      <w:r w:rsidRPr="00AC1634">
        <w:rPr>
          <w:rFonts w:asciiTheme="minorHAnsi" w:hAnsiTheme="minorHAnsi"/>
        </w:rPr>
        <w:t>We argue that:</w:t>
      </w:r>
    </w:p>
    <w:p w14:paraId="162A3A66" w14:textId="77777777" w:rsidR="00F6318F" w:rsidRDefault="00F6318F" w:rsidP="0056375B">
      <w:pPr>
        <w:pStyle w:val="Default"/>
      </w:pPr>
    </w:p>
    <w:p w14:paraId="0FCD5B51" w14:textId="7E655F1F" w:rsidR="00F6318F" w:rsidRPr="003A37CE" w:rsidRDefault="00F6318F" w:rsidP="00F6318F">
      <w:pPr>
        <w:pStyle w:val="Default"/>
        <w:rPr>
          <w:b/>
        </w:rPr>
      </w:pPr>
      <w:r>
        <w:rPr>
          <w:rFonts w:ascii="Verdana" w:hAnsi="Verdana"/>
          <w:b/>
          <w:sz w:val="20"/>
          <w:szCs w:val="20"/>
        </w:rPr>
        <w:t>The 4</w:t>
      </w:r>
      <w:r w:rsidRPr="00421118">
        <w:rPr>
          <w:rFonts w:ascii="Verdana" w:hAnsi="Verdana"/>
          <w:b/>
          <w:sz w:val="20"/>
          <w:szCs w:val="20"/>
          <w:vertAlign w:val="superscript"/>
        </w:rPr>
        <w:t>th</w:t>
      </w:r>
      <w:r>
        <w:rPr>
          <w:rFonts w:ascii="Verdana" w:hAnsi="Verdana"/>
          <w:b/>
          <w:sz w:val="20"/>
          <w:szCs w:val="20"/>
        </w:rPr>
        <w:t xml:space="preserve"> objective should alter to become: </w:t>
      </w:r>
      <w:r w:rsidRPr="003A37CE">
        <w:rPr>
          <w:rFonts w:ascii="Verdana" w:hAnsi="Verdana"/>
          <w:b/>
          <w:sz w:val="20"/>
          <w:szCs w:val="20"/>
        </w:rPr>
        <w:t xml:space="preserve">Initiating </w:t>
      </w:r>
      <w:r w:rsidRPr="008930A8">
        <w:rPr>
          <w:rFonts w:ascii="Verdana" w:hAnsi="Verdana"/>
          <w:b/>
          <w:i/>
          <w:sz w:val="20"/>
          <w:szCs w:val="20"/>
          <w:u w:val="single"/>
        </w:rPr>
        <w:t>institutional change</w:t>
      </w:r>
      <w:r w:rsidRPr="003A37CE">
        <w:rPr>
          <w:rFonts w:ascii="Verdana" w:hAnsi="Verdana"/>
          <w:b/>
          <w:sz w:val="20"/>
          <w:szCs w:val="20"/>
        </w:rPr>
        <w:t>, using the regulatory framework or competition, where appropriate, to drive innovation and efficiency;</w:t>
      </w:r>
    </w:p>
    <w:p w14:paraId="05D65B7A" w14:textId="77777777" w:rsidR="00F6318F" w:rsidRDefault="00F6318F" w:rsidP="00F6318F">
      <w:pPr>
        <w:pStyle w:val="Default"/>
      </w:pPr>
    </w:p>
    <w:p w14:paraId="636DF97C" w14:textId="58DD01A5" w:rsidR="003A37CE" w:rsidRDefault="00AF16C2" w:rsidP="0056375B">
      <w:pPr>
        <w:pStyle w:val="Default"/>
      </w:pPr>
      <w:r>
        <w:t>We argue this because a</w:t>
      </w:r>
      <w:r w:rsidR="003167C7">
        <w:t xml:space="preserve"> central </w:t>
      </w:r>
      <w:r w:rsidR="00F20FD0">
        <w:t>issue that arises from</w:t>
      </w:r>
      <w:r w:rsidR="003167C7">
        <w:t xml:space="preserve"> the Open Letter, and the wider set of documents to which it is related, is </w:t>
      </w:r>
      <w:r w:rsidR="00F20FD0" w:rsidRPr="003A37CE">
        <w:rPr>
          <w:b/>
          <w:u w:val="single"/>
        </w:rPr>
        <w:t>how</w:t>
      </w:r>
      <w:r w:rsidR="00F20FD0">
        <w:t xml:space="preserve"> to</w:t>
      </w:r>
      <w:r w:rsidR="00B67168">
        <w:t xml:space="preserve"> </w:t>
      </w:r>
      <w:r w:rsidR="00F20FD0">
        <w:t>implement them in a cos</w:t>
      </w:r>
      <w:r w:rsidR="003A37CE">
        <w:t>t effective way for customers, w</w:t>
      </w:r>
      <w:r w:rsidR="00F20FD0">
        <w:t xml:space="preserve">hilst also meeting public policy goals.  </w:t>
      </w:r>
    </w:p>
    <w:p w14:paraId="2D3A3DAD" w14:textId="77777777" w:rsidR="003A37CE" w:rsidRDefault="003A37CE" w:rsidP="0056375B">
      <w:pPr>
        <w:pStyle w:val="Default"/>
      </w:pPr>
    </w:p>
    <w:p w14:paraId="639725A0" w14:textId="4F295929" w:rsidR="003A37CE" w:rsidRDefault="00213D97" w:rsidP="003A37CE">
      <w:pPr>
        <w:pStyle w:val="Default"/>
        <w:numPr>
          <w:ilvl w:val="0"/>
          <w:numId w:val="29"/>
        </w:numPr>
      </w:pPr>
      <w:r>
        <w:t>we will argue in greater detail below that we think the 8 year period</w:t>
      </w:r>
      <w:r w:rsidR="00300D6E">
        <w:t xml:space="preserve"> price controls</w:t>
      </w:r>
      <w:r>
        <w:t xml:space="preserve"> – whilst put in place for responsible</w:t>
      </w:r>
      <w:r w:rsidR="00D76EB3">
        <w:t xml:space="preserve"> and understandable</w:t>
      </w:r>
      <w:r w:rsidR="00EE3549">
        <w:t xml:space="preserve"> reasons – is </w:t>
      </w:r>
      <w:r>
        <w:t xml:space="preserve">too long given the rapid technological change of the energy system, which is in turn </w:t>
      </w:r>
      <w:r w:rsidR="00300D6E">
        <w:t>causing</w:t>
      </w:r>
      <w:r>
        <w:t xml:space="preserve"> energy </w:t>
      </w:r>
      <w:r>
        <w:lastRenderedPageBreak/>
        <w:t xml:space="preserve">economics </w:t>
      </w:r>
      <w:r w:rsidR="00300D6E">
        <w:t>to fundamentally alter</w:t>
      </w:r>
      <w:r w:rsidR="003A37CE">
        <w:t>. W</w:t>
      </w:r>
      <w:r>
        <w:t>hilst we think it is a good idea to bring the price controls in line timewise, it is horrifying to think that to do this we may have to wait until 2023</w:t>
      </w:r>
      <w:r w:rsidR="00D76EB3">
        <w:t xml:space="preserve">, </w:t>
      </w:r>
      <w:r>
        <w:t>if we continue with the curren</w:t>
      </w:r>
      <w:r w:rsidR="003A37CE">
        <w:t>t timetable.</w:t>
      </w:r>
      <w:r w:rsidR="00AF16C2">
        <w:t xml:space="preserve"> </w:t>
      </w:r>
      <w:r w:rsidR="00AF16C2" w:rsidRPr="00AC1634">
        <w:rPr>
          <w:b/>
          <w:u w:val="single"/>
        </w:rPr>
        <w:t>How therefore can this process be speeded up</w:t>
      </w:r>
      <w:r w:rsidR="00AF16C2">
        <w:t>?</w:t>
      </w:r>
    </w:p>
    <w:p w14:paraId="74F8EF84" w14:textId="3AC84CDB" w:rsidR="00594189" w:rsidRDefault="00300D6E" w:rsidP="003A37CE">
      <w:pPr>
        <w:pStyle w:val="Default"/>
        <w:numPr>
          <w:ilvl w:val="0"/>
          <w:numId w:val="29"/>
        </w:numPr>
      </w:pPr>
      <w:r>
        <w:t>w</w:t>
      </w:r>
      <w:r w:rsidR="00213D97">
        <w:t>e agree with many of the points raised within the Open Letter and the Ofgem Strategy for Regulating the Future Energy System, but we would argue that RIIO is fatally flawed be</w:t>
      </w:r>
      <w:r w:rsidR="00D76EB3">
        <w:t xml:space="preserve">cause of its benchmarking basis and </w:t>
      </w:r>
      <w:r w:rsidR="00D76EB3" w:rsidRPr="00AC1634">
        <w:t xml:space="preserve">needs fundamental </w:t>
      </w:r>
      <w:r w:rsidR="00594189" w:rsidRPr="00AC1634">
        <w:t>restructuring</w:t>
      </w:r>
      <w:r w:rsidR="00AC1634">
        <w:t>. We</w:t>
      </w:r>
      <w:r w:rsidR="00AF16C2">
        <w:t xml:space="preserve"> are pleased to see this in the RIIO-2 questions</w:t>
      </w:r>
      <w:r w:rsidR="00E004BF">
        <w:t xml:space="preserve">. </w:t>
      </w:r>
    </w:p>
    <w:p w14:paraId="5D7949F1" w14:textId="1CD9F5AC" w:rsidR="00300D6E" w:rsidRDefault="00594189" w:rsidP="00070AAE">
      <w:pPr>
        <w:pStyle w:val="Default"/>
        <w:numPr>
          <w:ilvl w:val="0"/>
          <w:numId w:val="29"/>
        </w:numPr>
      </w:pPr>
      <w:r>
        <w:t xml:space="preserve">as argued above, no one dimension of the energy system is the answer to energy system transformation. IGov argues there are 4 areas (see Figure 1) which need to work together. </w:t>
      </w:r>
      <w:r w:rsidR="00AF16C2">
        <w:t xml:space="preserve">As discussed above, we see an entire absence of </w:t>
      </w:r>
      <w:r w:rsidR="00AC1634">
        <w:t xml:space="preserve">discussion about </w:t>
      </w:r>
      <w:r w:rsidR="00AF16C2">
        <w:t>instit</w:t>
      </w:r>
      <w:r w:rsidR="00E004BF">
        <w:t xml:space="preserve">utional reforms – for example, </w:t>
      </w:r>
      <w:r w:rsidR="00AF16C2">
        <w:t xml:space="preserve">over such issues as open access to data  - </w:t>
      </w:r>
      <w:r w:rsidR="00AC1634">
        <w:t xml:space="preserve">and about integration across the regulatory spectrum. </w:t>
      </w:r>
      <w:r w:rsidR="00AC1634" w:rsidRPr="00AC1634">
        <w:rPr>
          <w:b/>
          <w:u w:val="single"/>
        </w:rPr>
        <w:t xml:space="preserve">How therefore does RIIO </w:t>
      </w:r>
      <w:r w:rsidR="00E004BF">
        <w:rPr>
          <w:b/>
          <w:u w:val="single"/>
        </w:rPr>
        <w:t xml:space="preserve">intend to </w:t>
      </w:r>
      <w:r w:rsidR="00AC1634" w:rsidRPr="00AC1634">
        <w:rPr>
          <w:b/>
          <w:u w:val="single"/>
        </w:rPr>
        <w:t>integrate and complement the wider regulatory environment?</w:t>
      </w:r>
      <w:r w:rsidR="00AC1634">
        <w:t xml:space="preserve"> </w:t>
      </w:r>
    </w:p>
    <w:p w14:paraId="39D578D8" w14:textId="77777777" w:rsidR="00E70CAC" w:rsidRDefault="00E70CAC" w:rsidP="00070AAE">
      <w:pPr>
        <w:pStyle w:val="Default"/>
      </w:pPr>
    </w:p>
    <w:p w14:paraId="78938060" w14:textId="39761287" w:rsidR="0093748D" w:rsidRPr="00070AAE" w:rsidRDefault="00300D6E" w:rsidP="00070AAE">
      <w:pPr>
        <w:pStyle w:val="Default"/>
      </w:pPr>
      <w:r>
        <w:t xml:space="preserve">The combination of these </w:t>
      </w:r>
      <w:r w:rsidR="00594189">
        <w:t>three</w:t>
      </w:r>
      <w:r w:rsidR="003A37CE">
        <w:t xml:space="preserve"> </w:t>
      </w:r>
      <w:r w:rsidR="00594189">
        <w:t xml:space="preserve">points </w:t>
      </w:r>
      <w:r>
        <w:t>bring us to the conclusion that Ofgem need to think in a more strategic</w:t>
      </w:r>
      <w:r w:rsidR="00D76EB3">
        <w:t xml:space="preserve"> </w:t>
      </w:r>
      <w:r>
        <w:t>and structural way</w:t>
      </w:r>
      <w:r w:rsidR="00D76EB3">
        <w:t xml:space="preserve"> about RIIO-2</w:t>
      </w:r>
      <w:r w:rsidR="00E70CAC">
        <w:t>, and how it fits into a wider governance package</w:t>
      </w:r>
      <w:r w:rsidR="003A37CE">
        <w:t xml:space="preserve">. The </w:t>
      </w:r>
      <w:r>
        <w:t>Ofgem Strategy paper talks about tools of regulation (ie principles of regulation etc)</w:t>
      </w:r>
      <w:r w:rsidR="00D76EB3">
        <w:t xml:space="preserve"> and what it </w:t>
      </w:r>
      <w:r w:rsidR="003A37CE">
        <w:t>intends to do</w:t>
      </w:r>
      <w:r w:rsidR="00D76EB3">
        <w:t xml:space="preserve">, </w:t>
      </w:r>
      <w:r w:rsidR="003A37CE">
        <w:t>but it</w:t>
      </w:r>
      <w:r>
        <w:t xml:space="preserve"> does not address</w:t>
      </w:r>
      <w:r w:rsidR="003A37CE">
        <w:t xml:space="preserve"> </w:t>
      </w:r>
      <w:r w:rsidR="003A37CE" w:rsidRPr="005D02BC">
        <w:rPr>
          <w:b/>
          <w:i/>
          <w:u w:val="single"/>
        </w:rPr>
        <w:t>how</w:t>
      </w:r>
      <w:r w:rsidR="003A37CE">
        <w:t xml:space="preserve"> it intends to implement</w:t>
      </w:r>
      <w:r w:rsidR="00D76EB3">
        <w:t xml:space="preserve"> its (and BEIS’s) rhetoric</w:t>
      </w:r>
      <w:r w:rsidR="00EE3549">
        <w:t xml:space="preserve"> </w:t>
      </w:r>
      <w:r w:rsidR="00594189">
        <w:t>for</w:t>
      </w:r>
      <w:r w:rsidR="00EE3549">
        <w:t xml:space="preserve"> a smart and flexible energy system</w:t>
      </w:r>
      <w:r w:rsidR="00D76EB3">
        <w:t xml:space="preserve">. </w:t>
      </w:r>
    </w:p>
    <w:p w14:paraId="23D1B765" w14:textId="77777777" w:rsidR="003167C7" w:rsidRDefault="003167C7" w:rsidP="0056375B">
      <w:pPr>
        <w:pStyle w:val="Default"/>
      </w:pPr>
    </w:p>
    <w:p w14:paraId="30CFFC27" w14:textId="77777777" w:rsidR="00BA6171" w:rsidRDefault="00BA6171" w:rsidP="00BA6171">
      <w:pPr>
        <w:pStyle w:val="Default"/>
      </w:pPr>
      <w:r>
        <w:t>And that a 6</w:t>
      </w:r>
      <w:r w:rsidRPr="00421118">
        <w:rPr>
          <w:vertAlign w:val="superscript"/>
        </w:rPr>
        <w:t>th</w:t>
      </w:r>
      <w:r>
        <w:t xml:space="preserve"> objective should be added: </w:t>
      </w:r>
    </w:p>
    <w:p w14:paraId="3609425B" w14:textId="77777777" w:rsidR="00BA6171" w:rsidRDefault="00BA6171" w:rsidP="00BA6171">
      <w:pPr>
        <w:pStyle w:val="Default"/>
      </w:pPr>
    </w:p>
    <w:p w14:paraId="1C435CE6" w14:textId="77777777" w:rsidR="00BA6171" w:rsidRDefault="00BA6171" w:rsidP="00BA6171">
      <w:pPr>
        <w:pStyle w:val="Default"/>
        <w:rPr>
          <w:b/>
          <w:i/>
        </w:rPr>
      </w:pPr>
      <w:r>
        <w:rPr>
          <w:b/>
          <w:i/>
        </w:rPr>
        <w:t>To better Integrate</w:t>
      </w:r>
      <w:r w:rsidRPr="008930A8">
        <w:rPr>
          <w:b/>
          <w:i/>
        </w:rPr>
        <w:t xml:space="preserve"> RIIO incentives</w:t>
      </w:r>
      <w:r>
        <w:rPr>
          <w:b/>
          <w:i/>
        </w:rPr>
        <w:t xml:space="preserve"> with wider regulatory reforms/policies/changes</w:t>
      </w:r>
      <w:r w:rsidRPr="008930A8">
        <w:rPr>
          <w:b/>
          <w:i/>
        </w:rPr>
        <w:t xml:space="preserve"> to complement public policy goals in meeting the challenges of energy system transformation</w:t>
      </w:r>
    </w:p>
    <w:p w14:paraId="61DC0E0F" w14:textId="77777777" w:rsidR="00C87A0D" w:rsidRDefault="00C87A0D" w:rsidP="003A37CE">
      <w:pPr>
        <w:pStyle w:val="Default"/>
        <w:rPr>
          <w:b/>
          <w:sz w:val="28"/>
          <w:szCs w:val="28"/>
        </w:rPr>
      </w:pPr>
    </w:p>
    <w:p w14:paraId="3BF38667" w14:textId="77777777" w:rsidR="00B03B60" w:rsidRDefault="00B03B60" w:rsidP="003A37CE">
      <w:pPr>
        <w:pStyle w:val="Default"/>
        <w:rPr>
          <w:b/>
          <w:sz w:val="28"/>
          <w:szCs w:val="28"/>
        </w:rPr>
      </w:pPr>
    </w:p>
    <w:p w14:paraId="1F223592" w14:textId="1EFFA105" w:rsidR="003A37CE" w:rsidRPr="00F00E5D" w:rsidRDefault="003A37CE" w:rsidP="003A37CE">
      <w:pPr>
        <w:pStyle w:val="Default"/>
        <w:rPr>
          <w:b/>
          <w:color w:val="2E74B5" w:themeColor="accent1" w:themeShade="BF"/>
          <w:sz w:val="28"/>
          <w:szCs w:val="28"/>
        </w:rPr>
      </w:pPr>
      <w:r w:rsidRPr="00F00E5D">
        <w:rPr>
          <w:b/>
          <w:color w:val="2E74B5" w:themeColor="accent1" w:themeShade="BF"/>
          <w:sz w:val="28"/>
          <w:szCs w:val="28"/>
        </w:rPr>
        <w:t xml:space="preserve">Section </w:t>
      </w:r>
      <w:r w:rsidR="009519AC" w:rsidRPr="00F00E5D">
        <w:rPr>
          <w:b/>
          <w:color w:val="2E74B5" w:themeColor="accent1" w:themeShade="BF"/>
          <w:sz w:val="28"/>
          <w:szCs w:val="28"/>
        </w:rPr>
        <w:t xml:space="preserve">9 </w:t>
      </w:r>
      <w:r w:rsidRPr="00F00E5D">
        <w:rPr>
          <w:b/>
          <w:color w:val="2E74B5" w:themeColor="accent1" w:themeShade="BF"/>
          <w:sz w:val="28"/>
          <w:szCs w:val="28"/>
        </w:rPr>
        <w:t xml:space="preserve"> Answering the Open Letter Questions</w:t>
      </w:r>
    </w:p>
    <w:p w14:paraId="0A383DB5" w14:textId="77777777" w:rsidR="0093748D" w:rsidRDefault="0093748D" w:rsidP="0056375B">
      <w:pPr>
        <w:pStyle w:val="Default"/>
      </w:pPr>
    </w:p>
    <w:p w14:paraId="38D71B60" w14:textId="77777777" w:rsidR="00723494" w:rsidRDefault="00723494" w:rsidP="006E152B">
      <w:pPr>
        <w:pStyle w:val="Default"/>
        <w:rPr>
          <w:rFonts w:asciiTheme="minorHAnsi" w:hAnsiTheme="minorHAnsi"/>
        </w:rPr>
      </w:pPr>
    </w:p>
    <w:p w14:paraId="3B5F3EA8" w14:textId="384F3232" w:rsidR="0056375B" w:rsidRPr="006E152B" w:rsidRDefault="00AC1634" w:rsidP="006E152B">
      <w:pPr>
        <w:pStyle w:val="Default"/>
        <w:rPr>
          <w:rFonts w:asciiTheme="minorHAnsi" w:hAnsiTheme="minorHAnsi"/>
        </w:rPr>
      </w:pPr>
      <w:r w:rsidRPr="006E152B">
        <w:rPr>
          <w:rFonts w:asciiTheme="minorHAnsi" w:hAnsiTheme="minorHAnsi"/>
        </w:rPr>
        <w:t xml:space="preserve">As said above, we do not think the </w:t>
      </w:r>
      <w:r w:rsidR="00070AAE" w:rsidRPr="006E152B">
        <w:rPr>
          <w:rFonts w:asciiTheme="minorHAnsi" w:hAnsiTheme="minorHAnsi"/>
        </w:rPr>
        <w:t>GB governance structure</w:t>
      </w:r>
      <w:r w:rsidR="00E70CAC" w:rsidRPr="006E152B">
        <w:rPr>
          <w:rFonts w:asciiTheme="minorHAnsi" w:hAnsiTheme="minorHAnsi"/>
        </w:rPr>
        <w:t xml:space="preserve"> is fit for purpose, and that includes RIIO</w:t>
      </w:r>
      <w:r w:rsidR="00070AAE" w:rsidRPr="006E152B">
        <w:rPr>
          <w:rStyle w:val="FootnoteReference"/>
          <w:rFonts w:asciiTheme="minorHAnsi" w:hAnsiTheme="minorHAnsi"/>
          <w:bCs/>
          <w:iCs/>
        </w:rPr>
        <w:footnoteReference w:id="31"/>
      </w:r>
      <w:r w:rsidR="00070AAE" w:rsidRPr="006E152B">
        <w:rPr>
          <w:rFonts w:asciiTheme="minorHAnsi" w:hAnsiTheme="minorHAnsi"/>
        </w:rPr>
        <w:t xml:space="preserve">. </w:t>
      </w:r>
      <w:r w:rsidRPr="006E152B">
        <w:rPr>
          <w:rFonts w:asciiTheme="minorHAnsi" w:hAnsiTheme="minorHAnsi"/>
        </w:rPr>
        <w:t>We would much prefer that as a first step Ofgem and BEIS work out how each part of the GB governance process needs to fit together in a general way. Once that</w:t>
      </w:r>
      <w:r w:rsidR="00BA6171" w:rsidRPr="006E152B">
        <w:rPr>
          <w:rFonts w:asciiTheme="minorHAnsi" w:hAnsiTheme="minorHAnsi"/>
        </w:rPr>
        <w:t xml:space="preserve"> high level picture is provided – which would not take long - then</w:t>
      </w:r>
      <w:r w:rsidRPr="006E152B">
        <w:rPr>
          <w:rFonts w:asciiTheme="minorHAnsi" w:hAnsiTheme="minorHAnsi"/>
        </w:rPr>
        <w:t xml:space="preserve"> the details of how to implement eac</w:t>
      </w:r>
      <w:r w:rsidR="00E004BF">
        <w:rPr>
          <w:rFonts w:asciiTheme="minorHAnsi" w:hAnsiTheme="minorHAnsi"/>
        </w:rPr>
        <w:t>h part of that can be turned to, in an ‘agile’ way – in other words, both knowing the general direction of travel but regularly, proactively reviewing, and if necessary resetting itself in light of new, technological, economic or social factors.</w:t>
      </w:r>
      <w:r w:rsidRPr="006E152B">
        <w:rPr>
          <w:rFonts w:asciiTheme="minorHAnsi" w:hAnsiTheme="minorHAnsi"/>
        </w:rPr>
        <w:t xml:space="preserve"> </w:t>
      </w:r>
      <w:r w:rsidR="00BA6171" w:rsidRPr="006E152B">
        <w:rPr>
          <w:rFonts w:asciiTheme="minorHAnsi" w:hAnsiTheme="minorHAnsi"/>
        </w:rPr>
        <w:t xml:space="preserve">This seems a much more rational and logical approach than the current piecemeal, often reactive approach. </w:t>
      </w:r>
    </w:p>
    <w:p w14:paraId="1194CDAC" w14:textId="1A054638" w:rsidR="00F368F4" w:rsidRDefault="00B70A63" w:rsidP="006E152B">
      <w:pPr>
        <w:spacing w:line="240" w:lineRule="auto"/>
        <w:rPr>
          <w:b/>
          <w:bCs/>
          <w:sz w:val="24"/>
          <w:szCs w:val="24"/>
        </w:rPr>
      </w:pPr>
      <w:r w:rsidRPr="006E152B">
        <w:rPr>
          <w:b/>
          <w:bCs/>
          <w:sz w:val="24"/>
          <w:szCs w:val="24"/>
        </w:rPr>
        <w:t xml:space="preserve"> </w:t>
      </w:r>
    </w:p>
    <w:p w14:paraId="2F4204F9" w14:textId="77777777" w:rsidR="00723494" w:rsidRPr="006E152B" w:rsidRDefault="00723494" w:rsidP="006E152B">
      <w:pPr>
        <w:spacing w:line="240" w:lineRule="auto"/>
        <w:rPr>
          <w:b/>
          <w:bCs/>
          <w:i/>
          <w:iCs/>
          <w:sz w:val="24"/>
          <w:szCs w:val="24"/>
          <w:u w:val="single"/>
        </w:rPr>
      </w:pPr>
    </w:p>
    <w:p w14:paraId="14A2FAE8" w14:textId="77777777" w:rsidR="00175CB3" w:rsidRPr="006E152B" w:rsidRDefault="00175CB3" w:rsidP="006E152B">
      <w:pPr>
        <w:pStyle w:val="ListParagraph"/>
        <w:numPr>
          <w:ilvl w:val="0"/>
          <w:numId w:val="22"/>
        </w:numPr>
        <w:spacing w:line="240" w:lineRule="auto"/>
        <w:rPr>
          <w:b/>
          <w:bCs/>
          <w:i/>
          <w:iCs/>
          <w:sz w:val="24"/>
          <w:szCs w:val="24"/>
          <w:u w:val="single"/>
        </w:rPr>
      </w:pPr>
      <w:r w:rsidRPr="006E152B">
        <w:rPr>
          <w:b/>
          <w:bCs/>
          <w:i/>
          <w:iCs/>
          <w:sz w:val="24"/>
          <w:szCs w:val="24"/>
          <w:u w:val="single"/>
        </w:rPr>
        <w:lastRenderedPageBreak/>
        <w:t>Giving consumers a stronger voice in setting outputs, shaping and assessing business plans</w:t>
      </w:r>
    </w:p>
    <w:p w14:paraId="36FF38DD" w14:textId="67C49A86" w:rsidR="009519AC" w:rsidRPr="006E152B" w:rsidRDefault="009519AC" w:rsidP="006E152B">
      <w:pPr>
        <w:spacing w:line="240" w:lineRule="auto"/>
        <w:rPr>
          <w:bCs/>
          <w:iCs/>
          <w:sz w:val="24"/>
          <w:szCs w:val="24"/>
        </w:rPr>
      </w:pPr>
      <w:r w:rsidRPr="006E152B">
        <w:rPr>
          <w:bCs/>
          <w:iCs/>
          <w:sz w:val="24"/>
          <w:szCs w:val="24"/>
        </w:rPr>
        <w:t>One way to give consumers a stronger voice is to think of them as customers (rather than consumers) which have preferences, and potentially unique if they had some way of making known what their wishes are (as opposed to reacting to suppliers ideas);  and that they should be able to get the service they wish – even if not ‘cost-effective’ in the</w:t>
      </w:r>
      <w:r w:rsidR="00AC0C82">
        <w:rPr>
          <w:bCs/>
          <w:iCs/>
          <w:sz w:val="24"/>
          <w:szCs w:val="24"/>
        </w:rPr>
        <w:t xml:space="preserve"> narrow way Ofgem seems to think</w:t>
      </w:r>
      <w:r w:rsidRPr="006E152B">
        <w:rPr>
          <w:bCs/>
          <w:iCs/>
          <w:sz w:val="24"/>
          <w:szCs w:val="24"/>
        </w:rPr>
        <w:t xml:space="preserve"> of a service. This might include customers which want a PV panel on their roof, who then want to sell back any excess; it might include customers who want a new tariff with an electric vehicle</w:t>
      </w:r>
      <w:r w:rsidR="005F3B81" w:rsidRPr="006E152B">
        <w:rPr>
          <w:rStyle w:val="FootnoteReference"/>
          <w:bCs/>
          <w:iCs/>
          <w:sz w:val="24"/>
          <w:szCs w:val="24"/>
        </w:rPr>
        <w:footnoteReference w:id="32"/>
      </w:r>
      <w:r w:rsidRPr="006E152B">
        <w:rPr>
          <w:bCs/>
          <w:iCs/>
          <w:sz w:val="24"/>
          <w:szCs w:val="24"/>
        </w:rPr>
        <w:t xml:space="preserve">. </w:t>
      </w:r>
    </w:p>
    <w:p w14:paraId="13D6C670" w14:textId="7CB97C2B" w:rsidR="00C51F3C" w:rsidRPr="006E152B" w:rsidRDefault="001E5F9B" w:rsidP="006E152B">
      <w:pPr>
        <w:spacing w:line="240" w:lineRule="auto"/>
        <w:rPr>
          <w:bCs/>
          <w:iCs/>
          <w:sz w:val="24"/>
          <w:szCs w:val="24"/>
        </w:rPr>
      </w:pPr>
      <w:r w:rsidRPr="006E152B">
        <w:rPr>
          <w:bCs/>
          <w:iCs/>
          <w:sz w:val="24"/>
          <w:szCs w:val="24"/>
        </w:rPr>
        <w:t>The introduction of the Broad Measure of Customer Satisfaction (</w:t>
      </w:r>
      <w:r w:rsidR="005550D0" w:rsidRPr="006E152B">
        <w:rPr>
          <w:bCs/>
          <w:iCs/>
          <w:sz w:val="24"/>
          <w:szCs w:val="24"/>
        </w:rPr>
        <w:t>BMCS</w:t>
      </w:r>
      <w:r w:rsidRPr="006E152B">
        <w:rPr>
          <w:bCs/>
          <w:iCs/>
          <w:sz w:val="24"/>
          <w:szCs w:val="24"/>
        </w:rPr>
        <w:t>) is</w:t>
      </w:r>
      <w:r w:rsidR="005550D0" w:rsidRPr="006E152B">
        <w:rPr>
          <w:bCs/>
          <w:iCs/>
          <w:sz w:val="24"/>
          <w:szCs w:val="24"/>
        </w:rPr>
        <w:t xml:space="preserve"> welcomed</w:t>
      </w:r>
      <w:r w:rsidR="00910B8C" w:rsidRPr="006E152B">
        <w:rPr>
          <w:bCs/>
          <w:iCs/>
          <w:sz w:val="24"/>
          <w:szCs w:val="24"/>
        </w:rPr>
        <w:t xml:space="preserve">. </w:t>
      </w:r>
      <w:r w:rsidR="00171F19" w:rsidRPr="006E152B">
        <w:rPr>
          <w:bCs/>
          <w:iCs/>
          <w:sz w:val="24"/>
          <w:szCs w:val="24"/>
        </w:rPr>
        <w:t xml:space="preserve">  </w:t>
      </w:r>
      <w:r w:rsidR="006C2DDC" w:rsidRPr="006E152B">
        <w:rPr>
          <w:bCs/>
          <w:iCs/>
          <w:sz w:val="24"/>
          <w:szCs w:val="24"/>
        </w:rPr>
        <w:t>We agree that i</w:t>
      </w:r>
      <w:r w:rsidR="002D218E" w:rsidRPr="006E152B">
        <w:rPr>
          <w:bCs/>
          <w:iCs/>
          <w:sz w:val="24"/>
          <w:szCs w:val="24"/>
        </w:rPr>
        <w:t>n order to transform the</w:t>
      </w:r>
      <w:r w:rsidR="00070AAE" w:rsidRPr="006E152B">
        <w:rPr>
          <w:bCs/>
          <w:iCs/>
          <w:sz w:val="24"/>
          <w:szCs w:val="24"/>
        </w:rPr>
        <w:t xml:space="preserve"> current energy system customers</w:t>
      </w:r>
      <w:r w:rsidR="002D218E" w:rsidRPr="006E152B">
        <w:rPr>
          <w:bCs/>
          <w:iCs/>
          <w:sz w:val="24"/>
          <w:szCs w:val="24"/>
        </w:rPr>
        <w:t xml:space="preserve"> will need to be recognized not just as users of energy but also as providers of system services via DER </w:t>
      </w:r>
      <w:r w:rsidR="002D218E" w:rsidRPr="006E152B">
        <w:rPr>
          <w:rStyle w:val="FootnoteReference"/>
          <w:bCs/>
          <w:iCs/>
          <w:sz w:val="24"/>
          <w:szCs w:val="24"/>
        </w:rPr>
        <w:footnoteReference w:id="33"/>
      </w:r>
      <w:r w:rsidR="00C51F3C" w:rsidRPr="006E152B">
        <w:rPr>
          <w:bCs/>
          <w:iCs/>
          <w:sz w:val="24"/>
          <w:szCs w:val="24"/>
        </w:rPr>
        <w:t xml:space="preserve"> and therefore should be at the centre of the new system</w:t>
      </w:r>
      <w:r w:rsidR="00E004BF">
        <w:rPr>
          <w:bCs/>
          <w:iCs/>
          <w:sz w:val="24"/>
          <w:szCs w:val="24"/>
        </w:rPr>
        <w:t xml:space="preserve">.  We </w:t>
      </w:r>
      <w:r w:rsidR="009F7277">
        <w:rPr>
          <w:bCs/>
          <w:iCs/>
          <w:sz w:val="24"/>
          <w:szCs w:val="24"/>
        </w:rPr>
        <w:t xml:space="preserve">welcome </w:t>
      </w:r>
      <w:r w:rsidR="002D218E" w:rsidRPr="006E152B">
        <w:rPr>
          <w:bCs/>
          <w:iCs/>
          <w:sz w:val="24"/>
          <w:szCs w:val="24"/>
        </w:rPr>
        <w:t>Ofgem</w:t>
      </w:r>
      <w:r w:rsidR="009F7277">
        <w:rPr>
          <w:bCs/>
          <w:iCs/>
          <w:sz w:val="24"/>
          <w:szCs w:val="24"/>
        </w:rPr>
        <w:t>’s suggestion</w:t>
      </w:r>
      <w:r w:rsidR="002D218E" w:rsidRPr="006E152B">
        <w:rPr>
          <w:bCs/>
          <w:iCs/>
          <w:sz w:val="24"/>
          <w:szCs w:val="24"/>
        </w:rPr>
        <w:t xml:space="preserve"> to establish a more formal process e.g. bi-annual </w:t>
      </w:r>
      <w:r w:rsidR="00F31ADF" w:rsidRPr="006E152B">
        <w:rPr>
          <w:bCs/>
          <w:iCs/>
          <w:sz w:val="24"/>
          <w:szCs w:val="24"/>
        </w:rPr>
        <w:t>workshops</w:t>
      </w:r>
      <w:r w:rsidR="00E004BF">
        <w:rPr>
          <w:bCs/>
          <w:iCs/>
          <w:sz w:val="24"/>
          <w:szCs w:val="24"/>
        </w:rPr>
        <w:t xml:space="preserve"> </w:t>
      </w:r>
      <w:r w:rsidR="002D218E" w:rsidRPr="006E152B">
        <w:rPr>
          <w:bCs/>
          <w:iCs/>
          <w:sz w:val="24"/>
          <w:szCs w:val="24"/>
        </w:rPr>
        <w:t>with the representatives that are currently required by the RIIO framework</w:t>
      </w:r>
      <w:r w:rsidR="00C51F3C" w:rsidRPr="006E152B">
        <w:rPr>
          <w:bCs/>
          <w:iCs/>
          <w:sz w:val="24"/>
          <w:szCs w:val="24"/>
        </w:rPr>
        <w:t xml:space="preserve">.  The </w:t>
      </w:r>
      <w:r w:rsidR="00F31ADF" w:rsidRPr="006E152B">
        <w:rPr>
          <w:bCs/>
          <w:iCs/>
          <w:sz w:val="24"/>
          <w:szCs w:val="24"/>
        </w:rPr>
        <w:t>workshop</w:t>
      </w:r>
      <w:r w:rsidR="00C51F3C" w:rsidRPr="006E152B">
        <w:rPr>
          <w:bCs/>
          <w:iCs/>
          <w:sz w:val="24"/>
          <w:szCs w:val="24"/>
        </w:rPr>
        <w:t xml:space="preserve"> </w:t>
      </w:r>
      <w:r w:rsidR="002D218E" w:rsidRPr="006E152B">
        <w:rPr>
          <w:bCs/>
          <w:iCs/>
          <w:sz w:val="24"/>
          <w:szCs w:val="24"/>
        </w:rPr>
        <w:t xml:space="preserve">should </w:t>
      </w:r>
      <w:r w:rsidR="002D218E" w:rsidRPr="006E152B">
        <w:rPr>
          <w:b/>
          <w:bCs/>
          <w:iCs/>
          <w:sz w:val="24"/>
          <w:szCs w:val="24"/>
        </w:rPr>
        <w:t>also</w:t>
      </w:r>
      <w:r w:rsidR="002D218E" w:rsidRPr="006E152B">
        <w:rPr>
          <w:bCs/>
          <w:iCs/>
          <w:sz w:val="24"/>
          <w:szCs w:val="24"/>
        </w:rPr>
        <w:t xml:space="preserve"> include</w:t>
      </w:r>
      <w:r w:rsidR="00070AAE" w:rsidRPr="006E152B">
        <w:rPr>
          <w:bCs/>
          <w:iCs/>
          <w:sz w:val="24"/>
          <w:szCs w:val="24"/>
        </w:rPr>
        <w:t xml:space="preserve"> </w:t>
      </w:r>
      <w:r w:rsidR="001A150E" w:rsidRPr="006E152B">
        <w:rPr>
          <w:bCs/>
          <w:iCs/>
          <w:sz w:val="24"/>
          <w:szCs w:val="24"/>
        </w:rPr>
        <w:t>customers who</w:t>
      </w:r>
      <w:r w:rsidR="002D218E" w:rsidRPr="006E152B">
        <w:rPr>
          <w:bCs/>
          <w:iCs/>
          <w:sz w:val="24"/>
          <w:szCs w:val="24"/>
        </w:rPr>
        <w:t xml:space="preserve"> will be enabling </w:t>
      </w:r>
      <w:r w:rsidR="00C51F3C" w:rsidRPr="006E152B">
        <w:rPr>
          <w:bCs/>
          <w:iCs/>
          <w:sz w:val="24"/>
          <w:szCs w:val="24"/>
        </w:rPr>
        <w:t>future grid services, such as transactive energy</w:t>
      </w:r>
      <w:r w:rsidR="002E1805" w:rsidRPr="006E152B">
        <w:rPr>
          <w:bCs/>
          <w:iCs/>
          <w:sz w:val="24"/>
          <w:szCs w:val="24"/>
        </w:rPr>
        <w:t xml:space="preserve"> providers and</w:t>
      </w:r>
      <w:r w:rsidR="00C51F3C" w:rsidRPr="006E152B">
        <w:rPr>
          <w:bCs/>
          <w:iCs/>
          <w:sz w:val="24"/>
          <w:szCs w:val="24"/>
        </w:rPr>
        <w:t xml:space="preserve"> IT platforms.  </w:t>
      </w:r>
    </w:p>
    <w:p w14:paraId="31875FE6" w14:textId="6315AADD" w:rsidR="00910B8C" w:rsidRPr="006E152B" w:rsidRDefault="00910B8C" w:rsidP="006E152B">
      <w:pPr>
        <w:spacing w:line="240" w:lineRule="auto"/>
        <w:rPr>
          <w:bCs/>
          <w:iCs/>
          <w:sz w:val="24"/>
          <w:szCs w:val="24"/>
        </w:rPr>
      </w:pPr>
      <w:r w:rsidRPr="006E152B">
        <w:rPr>
          <w:bCs/>
          <w:iCs/>
          <w:sz w:val="24"/>
          <w:szCs w:val="24"/>
        </w:rPr>
        <w:t>It is also important to acknowledge that</w:t>
      </w:r>
      <w:r w:rsidR="005550D0" w:rsidRPr="006E152B">
        <w:rPr>
          <w:bCs/>
          <w:iCs/>
          <w:sz w:val="24"/>
          <w:szCs w:val="24"/>
        </w:rPr>
        <w:t xml:space="preserve"> there </w:t>
      </w:r>
      <w:r w:rsidR="001E5F9B" w:rsidRPr="006E152B">
        <w:rPr>
          <w:bCs/>
          <w:iCs/>
          <w:sz w:val="24"/>
          <w:szCs w:val="24"/>
        </w:rPr>
        <w:t>is a need</w:t>
      </w:r>
      <w:r w:rsidR="005550D0" w:rsidRPr="006E152B">
        <w:rPr>
          <w:bCs/>
          <w:iCs/>
          <w:sz w:val="24"/>
          <w:szCs w:val="24"/>
        </w:rPr>
        <w:t xml:space="preserve"> </w:t>
      </w:r>
      <w:r w:rsidR="001E5F9B" w:rsidRPr="006E152B">
        <w:rPr>
          <w:bCs/>
          <w:iCs/>
          <w:sz w:val="24"/>
          <w:szCs w:val="24"/>
        </w:rPr>
        <w:t>for</w:t>
      </w:r>
      <w:r w:rsidR="005550D0" w:rsidRPr="006E152B">
        <w:rPr>
          <w:bCs/>
          <w:iCs/>
          <w:sz w:val="24"/>
          <w:szCs w:val="24"/>
        </w:rPr>
        <w:t xml:space="preserve"> </w:t>
      </w:r>
      <w:r w:rsidR="000A55E6" w:rsidRPr="006E152B">
        <w:rPr>
          <w:b/>
          <w:bCs/>
          <w:i/>
          <w:iCs/>
          <w:sz w:val="24"/>
          <w:szCs w:val="24"/>
          <w:u w:val="single"/>
        </w:rPr>
        <w:t>meaningfu</w:t>
      </w:r>
      <w:r w:rsidR="000A55E6" w:rsidRPr="00AC0C82">
        <w:rPr>
          <w:b/>
          <w:bCs/>
          <w:i/>
          <w:iCs/>
          <w:sz w:val="24"/>
          <w:szCs w:val="24"/>
          <w:u w:val="single"/>
        </w:rPr>
        <w:t xml:space="preserve">l </w:t>
      </w:r>
      <w:r w:rsidR="000A55E6" w:rsidRPr="006E152B">
        <w:rPr>
          <w:bCs/>
          <w:iCs/>
          <w:sz w:val="24"/>
          <w:szCs w:val="24"/>
        </w:rPr>
        <w:t>engagement with</w:t>
      </w:r>
      <w:r w:rsidR="005550D0" w:rsidRPr="006E152B">
        <w:rPr>
          <w:bCs/>
          <w:iCs/>
          <w:sz w:val="24"/>
          <w:szCs w:val="24"/>
        </w:rPr>
        <w:t xml:space="preserve"> </w:t>
      </w:r>
      <w:r w:rsidR="001A150E" w:rsidRPr="006E152B">
        <w:rPr>
          <w:bCs/>
          <w:iCs/>
          <w:sz w:val="24"/>
          <w:szCs w:val="24"/>
        </w:rPr>
        <w:t>customers</w:t>
      </w:r>
      <w:r w:rsidR="001E5F9B" w:rsidRPr="006E152B">
        <w:rPr>
          <w:bCs/>
          <w:iCs/>
          <w:sz w:val="24"/>
          <w:szCs w:val="24"/>
        </w:rPr>
        <w:t>,</w:t>
      </w:r>
      <w:r w:rsidR="005550D0" w:rsidRPr="006E152B">
        <w:rPr>
          <w:bCs/>
          <w:iCs/>
          <w:sz w:val="24"/>
          <w:szCs w:val="24"/>
        </w:rPr>
        <w:t xml:space="preserve"> particularly householders</w:t>
      </w:r>
      <w:r w:rsidR="001E5F9B" w:rsidRPr="006E152B">
        <w:rPr>
          <w:bCs/>
          <w:iCs/>
          <w:sz w:val="24"/>
          <w:szCs w:val="24"/>
        </w:rPr>
        <w:t>,</w:t>
      </w:r>
      <w:r w:rsidR="005550D0" w:rsidRPr="006E152B">
        <w:rPr>
          <w:bCs/>
          <w:iCs/>
          <w:sz w:val="24"/>
          <w:szCs w:val="24"/>
        </w:rPr>
        <w:t xml:space="preserve"> </w:t>
      </w:r>
      <w:r w:rsidR="000A55E6" w:rsidRPr="006E152B">
        <w:rPr>
          <w:bCs/>
          <w:iCs/>
          <w:sz w:val="24"/>
          <w:szCs w:val="24"/>
        </w:rPr>
        <w:t xml:space="preserve">about </w:t>
      </w:r>
      <w:r w:rsidR="005550D0" w:rsidRPr="006E152B">
        <w:rPr>
          <w:bCs/>
          <w:iCs/>
          <w:sz w:val="24"/>
          <w:szCs w:val="24"/>
        </w:rPr>
        <w:t xml:space="preserve">why </w:t>
      </w:r>
      <w:r w:rsidR="000A55E6" w:rsidRPr="006E152B">
        <w:rPr>
          <w:bCs/>
          <w:iCs/>
          <w:sz w:val="24"/>
          <w:szCs w:val="24"/>
        </w:rPr>
        <w:t xml:space="preserve">society is trying to </w:t>
      </w:r>
      <w:r w:rsidR="005550D0" w:rsidRPr="006E152B">
        <w:rPr>
          <w:bCs/>
          <w:iCs/>
          <w:sz w:val="24"/>
          <w:szCs w:val="24"/>
        </w:rPr>
        <w:t xml:space="preserve">change to a new system, how this </w:t>
      </w:r>
      <w:r w:rsidR="000A55E6" w:rsidRPr="006E152B">
        <w:rPr>
          <w:bCs/>
          <w:iCs/>
          <w:sz w:val="24"/>
          <w:szCs w:val="24"/>
        </w:rPr>
        <w:t xml:space="preserve">may </w:t>
      </w:r>
      <w:r w:rsidR="005550D0" w:rsidRPr="006E152B">
        <w:rPr>
          <w:bCs/>
          <w:iCs/>
          <w:sz w:val="24"/>
          <w:szCs w:val="24"/>
        </w:rPr>
        <w:t>come about and how</w:t>
      </w:r>
      <w:r w:rsidR="000A55E6" w:rsidRPr="006E152B">
        <w:rPr>
          <w:bCs/>
          <w:iCs/>
          <w:sz w:val="24"/>
          <w:szCs w:val="24"/>
        </w:rPr>
        <w:t xml:space="preserve"> it could </w:t>
      </w:r>
      <w:r w:rsidR="00AC0C82" w:rsidRPr="006E152B">
        <w:rPr>
          <w:bCs/>
          <w:iCs/>
          <w:sz w:val="24"/>
          <w:szCs w:val="24"/>
        </w:rPr>
        <w:t>affect them</w:t>
      </w:r>
      <w:r w:rsidR="000A55E6" w:rsidRPr="006E152B">
        <w:rPr>
          <w:bCs/>
          <w:iCs/>
          <w:sz w:val="24"/>
          <w:szCs w:val="24"/>
        </w:rPr>
        <w:t xml:space="preserve"> – in a good and bad way – and how</w:t>
      </w:r>
      <w:r w:rsidR="005550D0" w:rsidRPr="006E152B">
        <w:rPr>
          <w:bCs/>
          <w:iCs/>
          <w:sz w:val="24"/>
          <w:szCs w:val="24"/>
        </w:rPr>
        <w:t xml:space="preserve"> this will </w:t>
      </w:r>
      <w:r w:rsidR="001E5F9B" w:rsidRPr="006E152B">
        <w:rPr>
          <w:bCs/>
          <w:iCs/>
          <w:sz w:val="24"/>
          <w:szCs w:val="24"/>
        </w:rPr>
        <w:t>affect energy bills</w:t>
      </w:r>
      <w:r w:rsidR="005550D0" w:rsidRPr="006E152B">
        <w:rPr>
          <w:bCs/>
          <w:iCs/>
          <w:sz w:val="24"/>
          <w:szCs w:val="24"/>
        </w:rPr>
        <w:t xml:space="preserve"> now and in the future. </w:t>
      </w:r>
      <w:r w:rsidR="000A55E6" w:rsidRPr="006E152B">
        <w:rPr>
          <w:bCs/>
          <w:iCs/>
          <w:sz w:val="24"/>
          <w:szCs w:val="24"/>
        </w:rPr>
        <w:t xml:space="preserve">This is much more easily done at the local level. </w:t>
      </w:r>
      <w:r w:rsidR="00BA6171" w:rsidRPr="006E152B">
        <w:rPr>
          <w:bCs/>
          <w:iCs/>
          <w:sz w:val="24"/>
          <w:szCs w:val="24"/>
        </w:rPr>
        <w:t>This is not an Ofgem-only issue which is why we argue for</w:t>
      </w:r>
      <w:r w:rsidR="004E6A1D">
        <w:rPr>
          <w:bCs/>
          <w:iCs/>
          <w:sz w:val="24"/>
          <w:szCs w:val="24"/>
        </w:rPr>
        <w:t xml:space="preserve"> a ‘consensus building body’</w:t>
      </w:r>
      <w:r w:rsidR="004E6A1D">
        <w:rPr>
          <w:rStyle w:val="FootnoteReference"/>
          <w:bCs/>
          <w:iCs/>
          <w:sz w:val="24"/>
          <w:szCs w:val="24"/>
        </w:rPr>
        <w:footnoteReference w:id="34"/>
      </w:r>
      <w:r w:rsidR="004E6A1D">
        <w:rPr>
          <w:bCs/>
          <w:iCs/>
          <w:sz w:val="24"/>
          <w:szCs w:val="24"/>
        </w:rPr>
        <w:t xml:space="preserve"> </w:t>
      </w:r>
      <w:r w:rsidR="00E004BF">
        <w:rPr>
          <w:bCs/>
          <w:iCs/>
          <w:sz w:val="24"/>
          <w:szCs w:val="24"/>
        </w:rPr>
        <w:t>which</w:t>
      </w:r>
      <w:r w:rsidR="00BA6171" w:rsidRPr="006E152B">
        <w:rPr>
          <w:bCs/>
          <w:iCs/>
          <w:sz w:val="24"/>
          <w:szCs w:val="24"/>
        </w:rPr>
        <w:t xml:space="preserve"> coordinates society wide connection to decision-making.</w:t>
      </w:r>
    </w:p>
    <w:p w14:paraId="362F3ED5" w14:textId="77777777" w:rsidR="002963D1" w:rsidRPr="00723494" w:rsidRDefault="002963D1" w:rsidP="006E152B">
      <w:pPr>
        <w:spacing w:line="240" w:lineRule="auto"/>
        <w:rPr>
          <w:b/>
          <w:bCs/>
          <w:i/>
          <w:iCs/>
          <w:sz w:val="24"/>
          <w:szCs w:val="24"/>
        </w:rPr>
      </w:pPr>
      <w:r w:rsidRPr="00723494">
        <w:rPr>
          <w:b/>
          <w:i/>
          <w:iCs/>
          <w:sz w:val="24"/>
          <w:szCs w:val="24"/>
        </w:rPr>
        <w:t>Outputs framework</w:t>
      </w:r>
    </w:p>
    <w:p w14:paraId="4B0C2FE3" w14:textId="751F8637" w:rsidR="005F3B81" w:rsidRPr="006E152B" w:rsidRDefault="005F3B81" w:rsidP="006E152B">
      <w:pPr>
        <w:spacing w:line="240" w:lineRule="auto"/>
        <w:rPr>
          <w:bCs/>
          <w:iCs/>
          <w:sz w:val="24"/>
          <w:szCs w:val="24"/>
        </w:rPr>
      </w:pPr>
      <w:r w:rsidRPr="006E152B">
        <w:rPr>
          <w:sz w:val="24"/>
          <w:szCs w:val="24"/>
        </w:rPr>
        <w:t>The Outputs Framework (Page 6 says) the RIIO framework is designed around 6 areas</w:t>
      </w:r>
      <w:r w:rsidR="004E6A1D">
        <w:rPr>
          <w:sz w:val="24"/>
          <w:szCs w:val="24"/>
        </w:rPr>
        <w:t>, but does not clarify that</w:t>
      </w:r>
      <w:r w:rsidRPr="006E152B">
        <w:rPr>
          <w:sz w:val="24"/>
          <w:szCs w:val="24"/>
        </w:rPr>
        <w:t xml:space="preserve"> the outputs are incentivised differently.  </w:t>
      </w:r>
      <w:r w:rsidR="000A55E6" w:rsidRPr="006E152B">
        <w:rPr>
          <w:sz w:val="24"/>
          <w:szCs w:val="24"/>
        </w:rPr>
        <w:t>For example, the environment has no money attached to it</w:t>
      </w:r>
      <w:r w:rsidR="006A6B8E">
        <w:rPr>
          <w:rStyle w:val="FootnoteReference"/>
          <w:sz w:val="24"/>
          <w:szCs w:val="24"/>
        </w:rPr>
        <w:footnoteReference w:id="35"/>
      </w:r>
      <w:r w:rsidR="000A55E6" w:rsidRPr="006E152B">
        <w:rPr>
          <w:sz w:val="24"/>
          <w:szCs w:val="24"/>
        </w:rPr>
        <w:t xml:space="preserve">. </w:t>
      </w:r>
    </w:p>
    <w:p w14:paraId="436AEAE1" w14:textId="0EE8DBD6" w:rsidR="00BA451E" w:rsidRPr="006E152B" w:rsidRDefault="00B77A30" w:rsidP="006E152B">
      <w:pPr>
        <w:spacing w:line="240" w:lineRule="auto"/>
        <w:rPr>
          <w:bCs/>
          <w:iCs/>
          <w:sz w:val="24"/>
          <w:szCs w:val="24"/>
        </w:rPr>
      </w:pPr>
      <w:r w:rsidRPr="006E152B">
        <w:rPr>
          <w:bCs/>
          <w:iCs/>
          <w:sz w:val="24"/>
          <w:szCs w:val="24"/>
        </w:rPr>
        <w:t xml:space="preserve">The idea of having a structured approach </w:t>
      </w:r>
      <w:r w:rsidR="006A6B8E">
        <w:rPr>
          <w:bCs/>
          <w:iCs/>
          <w:sz w:val="24"/>
          <w:szCs w:val="24"/>
        </w:rPr>
        <w:t xml:space="preserve">which includes </w:t>
      </w:r>
      <w:r w:rsidRPr="006E152B">
        <w:rPr>
          <w:bCs/>
          <w:iCs/>
          <w:sz w:val="24"/>
          <w:szCs w:val="24"/>
        </w:rPr>
        <w:t>defining outputs</w:t>
      </w:r>
      <w:r w:rsidR="00E95FCA" w:rsidRPr="006E152B">
        <w:rPr>
          <w:bCs/>
          <w:iCs/>
          <w:sz w:val="24"/>
          <w:szCs w:val="24"/>
        </w:rPr>
        <w:t xml:space="preserve"> </w:t>
      </w:r>
      <w:r w:rsidR="006A6B8E">
        <w:rPr>
          <w:bCs/>
          <w:iCs/>
          <w:sz w:val="24"/>
          <w:szCs w:val="24"/>
        </w:rPr>
        <w:t xml:space="preserve">but </w:t>
      </w:r>
      <w:r w:rsidR="00E95FCA" w:rsidRPr="006E152B">
        <w:rPr>
          <w:bCs/>
          <w:iCs/>
          <w:sz w:val="24"/>
          <w:szCs w:val="24"/>
        </w:rPr>
        <w:t>without a long-</w:t>
      </w:r>
      <w:r w:rsidR="009449B7" w:rsidRPr="006E152B">
        <w:rPr>
          <w:bCs/>
          <w:iCs/>
          <w:sz w:val="24"/>
          <w:szCs w:val="24"/>
        </w:rPr>
        <w:t>term vision</w:t>
      </w:r>
      <w:r w:rsidRPr="006E152B">
        <w:rPr>
          <w:bCs/>
          <w:iCs/>
          <w:sz w:val="24"/>
          <w:szCs w:val="24"/>
        </w:rPr>
        <w:t xml:space="preserve"> is </w:t>
      </w:r>
      <w:r w:rsidR="009449B7" w:rsidRPr="006E152B">
        <w:rPr>
          <w:bCs/>
          <w:iCs/>
          <w:sz w:val="24"/>
          <w:szCs w:val="24"/>
        </w:rPr>
        <w:t xml:space="preserve">limiting.  We would encourage a move to performance based regulation </w:t>
      </w:r>
      <w:r w:rsidR="00F96F2E" w:rsidRPr="006E152B">
        <w:rPr>
          <w:bCs/>
          <w:iCs/>
          <w:sz w:val="24"/>
          <w:szCs w:val="24"/>
        </w:rPr>
        <w:t xml:space="preserve">similar to </w:t>
      </w:r>
      <w:r w:rsidR="009449B7" w:rsidRPr="006E152B">
        <w:rPr>
          <w:bCs/>
          <w:iCs/>
          <w:sz w:val="24"/>
          <w:szCs w:val="24"/>
        </w:rPr>
        <w:t>that of the NY REV</w:t>
      </w:r>
      <w:r w:rsidR="00A87CB4" w:rsidRPr="006E152B">
        <w:rPr>
          <w:rStyle w:val="FootnoteReference"/>
          <w:bCs/>
          <w:iCs/>
          <w:sz w:val="24"/>
          <w:szCs w:val="24"/>
        </w:rPr>
        <w:footnoteReference w:id="36"/>
      </w:r>
      <w:r w:rsidR="009449B7" w:rsidRPr="006E152B">
        <w:rPr>
          <w:bCs/>
          <w:iCs/>
          <w:sz w:val="24"/>
          <w:szCs w:val="24"/>
        </w:rPr>
        <w:t xml:space="preserve">.  </w:t>
      </w:r>
      <w:r w:rsidR="00BA451E" w:rsidRPr="006E152B">
        <w:rPr>
          <w:bCs/>
          <w:iCs/>
          <w:sz w:val="24"/>
          <w:szCs w:val="24"/>
        </w:rPr>
        <w:t>We also envisage far more detailed outputs which can be incorporated into PBR – please see as an example, the Ratemaking Order of the NY Rev PSC</w:t>
      </w:r>
      <w:r w:rsidR="00BA451E" w:rsidRPr="006E152B">
        <w:rPr>
          <w:rStyle w:val="FootnoteReference"/>
          <w:bCs/>
          <w:iCs/>
          <w:sz w:val="24"/>
          <w:szCs w:val="24"/>
        </w:rPr>
        <w:footnoteReference w:id="37"/>
      </w:r>
      <w:r w:rsidR="00BA6171" w:rsidRPr="006E152B">
        <w:rPr>
          <w:bCs/>
          <w:iCs/>
          <w:sz w:val="24"/>
          <w:szCs w:val="24"/>
        </w:rPr>
        <w:t>.</w:t>
      </w:r>
    </w:p>
    <w:p w14:paraId="49C59F6F" w14:textId="01AC3700" w:rsidR="00FE4D0C" w:rsidRPr="006E152B" w:rsidRDefault="009449B7" w:rsidP="006E152B">
      <w:pPr>
        <w:spacing w:line="240" w:lineRule="auto"/>
        <w:rPr>
          <w:bCs/>
          <w:iCs/>
          <w:sz w:val="24"/>
          <w:szCs w:val="24"/>
        </w:rPr>
      </w:pPr>
      <w:r w:rsidRPr="006E152B">
        <w:rPr>
          <w:bCs/>
          <w:iCs/>
          <w:sz w:val="24"/>
          <w:szCs w:val="24"/>
        </w:rPr>
        <w:t xml:space="preserve">The current </w:t>
      </w:r>
      <w:r w:rsidR="00BA6171" w:rsidRPr="006E152B">
        <w:rPr>
          <w:bCs/>
          <w:iCs/>
          <w:sz w:val="24"/>
          <w:szCs w:val="24"/>
        </w:rPr>
        <w:t xml:space="preserve">RIIO </w:t>
      </w:r>
      <w:r w:rsidR="00F96F2E" w:rsidRPr="006E152B">
        <w:rPr>
          <w:bCs/>
          <w:iCs/>
          <w:sz w:val="24"/>
          <w:szCs w:val="24"/>
        </w:rPr>
        <w:t xml:space="preserve">performance based </w:t>
      </w:r>
      <w:r w:rsidR="006A6B8E">
        <w:rPr>
          <w:bCs/>
          <w:iCs/>
          <w:sz w:val="24"/>
          <w:szCs w:val="24"/>
        </w:rPr>
        <w:t>system does not have</w:t>
      </w:r>
      <w:r w:rsidRPr="006E152B">
        <w:rPr>
          <w:bCs/>
          <w:iCs/>
          <w:sz w:val="24"/>
          <w:szCs w:val="24"/>
        </w:rPr>
        <w:t xml:space="preserve"> outputs </w:t>
      </w:r>
      <w:r w:rsidR="006A6B8E">
        <w:rPr>
          <w:bCs/>
          <w:iCs/>
          <w:sz w:val="24"/>
          <w:szCs w:val="24"/>
        </w:rPr>
        <w:t>with an</w:t>
      </w:r>
      <w:r w:rsidRPr="006E152B">
        <w:rPr>
          <w:bCs/>
          <w:iCs/>
          <w:sz w:val="24"/>
          <w:szCs w:val="24"/>
        </w:rPr>
        <w:t xml:space="preserve"> overall aim </w:t>
      </w:r>
      <w:r w:rsidR="006A6B8E">
        <w:rPr>
          <w:bCs/>
          <w:iCs/>
          <w:sz w:val="24"/>
          <w:szCs w:val="24"/>
        </w:rPr>
        <w:t>of</w:t>
      </w:r>
      <w:r w:rsidRPr="006E152B">
        <w:rPr>
          <w:bCs/>
          <w:iCs/>
          <w:sz w:val="24"/>
          <w:szCs w:val="24"/>
        </w:rPr>
        <w:t xml:space="preserve"> reach</w:t>
      </w:r>
      <w:r w:rsidR="006A6B8E">
        <w:rPr>
          <w:bCs/>
          <w:iCs/>
          <w:sz w:val="24"/>
          <w:szCs w:val="24"/>
        </w:rPr>
        <w:t>ing</w:t>
      </w:r>
      <w:r w:rsidRPr="006E152B">
        <w:rPr>
          <w:bCs/>
          <w:iCs/>
          <w:sz w:val="24"/>
          <w:szCs w:val="24"/>
        </w:rPr>
        <w:t xml:space="preserve"> a decentralised, decarbonised, </w:t>
      </w:r>
      <w:r w:rsidR="004455DA" w:rsidRPr="006E152B">
        <w:rPr>
          <w:bCs/>
          <w:iCs/>
          <w:sz w:val="24"/>
          <w:szCs w:val="24"/>
        </w:rPr>
        <w:t>digitalised</w:t>
      </w:r>
      <w:r w:rsidRPr="006E152B">
        <w:rPr>
          <w:bCs/>
          <w:iCs/>
          <w:sz w:val="24"/>
          <w:szCs w:val="24"/>
        </w:rPr>
        <w:t xml:space="preserve"> and democratic system</w:t>
      </w:r>
      <w:r w:rsidR="00932B83" w:rsidRPr="006E152B">
        <w:rPr>
          <w:bCs/>
          <w:iCs/>
          <w:sz w:val="24"/>
          <w:szCs w:val="24"/>
        </w:rPr>
        <w:t xml:space="preserve"> (D4)</w:t>
      </w:r>
      <w:r w:rsidRPr="006E152B">
        <w:rPr>
          <w:bCs/>
          <w:iCs/>
          <w:sz w:val="24"/>
          <w:szCs w:val="24"/>
        </w:rPr>
        <w:t xml:space="preserve"> but rather </w:t>
      </w:r>
      <w:r w:rsidRPr="006E152B">
        <w:rPr>
          <w:bCs/>
          <w:iCs/>
          <w:sz w:val="24"/>
          <w:szCs w:val="24"/>
        </w:rPr>
        <w:lastRenderedPageBreak/>
        <w:t>picks at certain small eleme</w:t>
      </w:r>
      <w:r w:rsidR="004455DA" w:rsidRPr="006E152B">
        <w:rPr>
          <w:bCs/>
          <w:iCs/>
          <w:sz w:val="24"/>
          <w:szCs w:val="24"/>
        </w:rPr>
        <w:t xml:space="preserve">nts.  This does not incentivise </w:t>
      </w:r>
      <w:r w:rsidR="006A6B8E">
        <w:rPr>
          <w:bCs/>
          <w:iCs/>
          <w:sz w:val="24"/>
          <w:szCs w:val="24"/>
        </w:rPr>
        <w:t>the use of</w:t>
      </w:r>
      <w:r w:rsidR="004455DA" w:rsidRPr="006E152B">
        <w:rPr>
          <w:bCs/>
          <w:iCs/>
          <w:sz w:val="24"/>
          <w:szCs w:val="24"/>
        </w:rPr>
        <w:t xml:space="preserve"> innovative approaches</w:t>
      </w:r>
      <w:r w:rsidR="006C2DDC" w:rsidRPr="006E152B">
        <w:rPr>
          <w:bCs/>
          <w:iCs/>
          <w:sz w:val="24"/>
          <w:szCs w:val="24"/>
        </w:rPr>
        <w:t>, or allow the networks to be creative by delivering solutions which could achieve multiple outputs.  The current incentives</w:t>
      </w:r>
      <w:r w:rsidR="004455DA" w:rsidRPr="006E152B">
        <w:rPr>
          <w:bCs/>
          <w:iCs/>
          <w:sz w:val="24"/>
          <w:szCs w:val="24"/>
        </w:rPr>
        <w:t xml:space="preserve"> encourage keeping things ‘business as usual’ and allow networks to carry on in the same way - by efficient use of their current assets </w:t>
      </w:r>
      <w:r w:rsidR="00932B83" w:rsidRPr="006E152B">
        <w:rPr>
          <w:bCs/>
          <w:iCs/>
          <w:sz w:val="24"/>
          <w:szCs w:val="24"/>
        </w:rPr>
        <w:t xml:space="preserve">- </w:t>
      </w:r>
      <w:r w:rsidR="004455DA" w:rsidRPr="006E152B">
        <w:rPr>
          <w:bCs/>
          <w:iCs/>
          <w:sz w:val="24"/>
          <w:szCs w:val="24"/>
        </w:rPr>
        <w:t>rather than investment in new technologies and ideas</w:t>
      </w:r>
      <w:r w:rsidR="00932B83" w:rsidRPr="006E152B">
        <w:rPr>
          <w:bCs/>
          <w:iCs/>
          <w:sz w:val="24"/>
          <w:szCs w:val="24"/>
        </w:rPr>
        <w:t xml:space="preserve"> which are essential </w:t>
      </w:r>
      <w:r w:rsidR="006A6B8E">
        <w:rPr>
          <w:bCs/>
          <w:iCs/>
          <w:sz w:val="24"/>
          <w:szCs w:val="24"/>
        </w:rPr>
        <w:t>for innovation</w:t>
      </w:r>
      <w:r w:rsidR="004455DA" w:rsidRPr="006E152B">
        <w:rPr>
          <w:bCs/>
          <w:iCs/>
          <w:sz w:val="24"/>
          <w:szCs w:val="24"/>
        </w:rPr>
        <w:t xml:space="preserve">.  This can be seen by the fact that </w:t>
      </w:r>
      <w:r w:rsidR="004455DA" w:rsidRPr="006E152B">
        <w:rPr>
          <w:b/>
          <w:bCs/>
          <w:iCs/>
          <w:sz w:val="24"/>
          <w:szCs w:val="24"/>
        </w:rPr>
        <w:t>no</w:t>
      </w:r>
      <w:r w:rsidR="004455DA" w:rsidRPr="006E152B">
        <w:rPr>
          <w:bCs/>
          <w:iCs/>
          <w:sz w:val="24"/>
          <w:szCs w:val="24"/>
        </w:rPr>
        <w:t xml:space="preserve"> DNO in the </w:t>
      </w:r>
      <w:r w:rsidR="00B115EF" w:rsidRPr="006E152B">
        <w:rPr>
          <w:bCs/>
          <w:iCs/>
          <w:sz w:val="24"/>
          <w:szCs w:val="24"/>
        </w:rPr>
        <w:t>RIIO-ED</w:t>
      </w:r>
      <w:r w:rsidR="004455DA" w:rsidRPr="006E152B">
        <w:rPr>
          <w:bCs/>
          <w:iCs/>
          <w:sz w:val="24"/>
          <w:szCs w:val="24"/>
        </w:rPr>
        <w:t xml:space="preserve">1 price control applied for roll-out funding for </w:t>
      </w:r>
      <w:r w:rsidR="004455DA" w:rsidRPr="006E152B">
        <w:rPr>
          <w:b/>
          <w:bCs/>
          <w:iCs/>
          <w:sz w:val="24"/>
          <w:szCs w:val="24"/>
        </w:rPr>
        <w:t>any</w:t>
      </w:r>
      <w:r w:rsidR="004455DA" w:rsidRPr="006E152B">
        <w:rPr>
          <w:bCs/>
          <w:iCs/>
          <w:sz w:val="24"/>
          <w:szCs w:val="24"/>
        </w:rPr>
        <w:t xml:space="preserve"> project.</w:t>
      </w:r>
      <w:r w:rsidR="00177D58" w:rsidRPr="006E152B">
        <w:rPr>
          <w:bCs/>
          <w:iCs/>
          <w:sz w:val="24"/>
          <w:szCs w:val="24"/>
        </w:rPr>
        <w:t xml:space="preserve"> </w:t>
      </w:r>
    </w:p>
    <w:p w14:paraId="3D8247B5" w14:textId="647CCCEA" w:rsidR="00146AE0" w:rsidRPr="006E152B" w:rsidRDefault="006A6B8E" w:rsidP="006E152B">
      <w:pPr>
        <w:spacing w:line="240" w:lineRule="auto"/>
        <w:rPr>
          <w:bCs/>
          <w:iCs/>
          <w:sz w:val="24"/>
          <w:szCs w:val="24"/>
        </w:rPr>
      </w:pPr>
      <w:r>
        <w:rPr>
          <w:bCs/>
          <w:iCs/>
          <w:sz w:val="24"/>
          <w:szCs w:val="24"/>
        </w:rPr>
        <w:t xml:space="preserve">With respect to the distribution price controls, </w:t>
      </w:r>
      <w:r w:rsidR="004455DA" w:rsidRPr="006E152B">
        <w:rPr>
          <w:bCs/>
          <w:iCs/>
          <w:sz w:val="24"/>
          <w:szCs w:val="24"/>
        </w:rPr>
        <w:t xml:space="preserve"> </w:t>
      </w:r>
      <w:r>
        <w:rPr>
          <w:bCs/>
          <w:iCs/>
          <w:sz w:val="24"/>
          <w:szCs w:val="24"/>
        </w:rPr>
        <w:t xml:space="preserve">we </w:t>
      </w:r>
      <w:r w:rsidR="00070AAE" w:rsidRPr="006E152B">
        <w:rPr>
          <w:bCs/>
          <w:iCs/>
          <w:sz w:val="24"/>
          <w:szCs w:val="24"/>
        </w:rPr>
        <w:t>argue</w:t>
      </w:r>
      <w:r w:rsidR="004455DA" w:rsidRPr="006E152B">
        <w:rPr>
          <w:bCs/>
          <w:iCs/>
          <w:sz w:val="24"/>
          <w:szCs w:val="24"/>
        </w:rPr>
        <w:t xml:space="preserve"> that each DNO should be expected to produce a </w:t>
      </w:r>
      <w:r w:rsidRPr="006E152B">
        <w:rPr>
          <w:bCs/>
          <w:iCs/>
          <w:sz w:val="24"/>
          <w:szCs w:val="24"/>
        </w:rPr>
        <w:t>distributed energy res</w:t>
      </w:r>
      <w:r>
        <w:rPr>
          <w:bCs/>
          <w:iCs/>
          <w:sz w:val="24"/>
          <w:szCs w:val="24"/>
        </w:rPr>
        <w:t>ource</w:t>
      </w:r>
      <w:r w:rsidRPr="006E152B">
        <w:rPr>
          <w:bCs/>
          <w:iCs/>
          <w:sz w:val="24"/>
          <w:szCs w:val="24"/>
        </w:rPr>
        <w:t xml:space="preserve">  </w:t>
      </w:r>
      <w:r>
        <w:rPr>
          <w:bCs/>
          <w:iCs/>
          <w:sz w:val="24"/>
          <w:szCs w:val="24"/>
        </w:rPr>
        <w:t>(</w:t>
      </w:r>
      <w:r w:rsidR="004455DA" w:rsidRPr="006E152B">
        <w:rPr>
          <w:bCs/>
          <w:iCs/>
          <w:sz w:val="24"/>
          <w:szCs w:val="24"/>
        </w:rPr>
        <w:t>DER</w:t>
      </w:r>
      <w:r>
        <w:rPr>
          <w:bCs/>
          <w:iCs/>
          <w:sz w:val="24"/>
          <w:szCs w:val="24"/>
        </w:rPr>
        <w:t>)</w:t>
      </w:r>
      <w:r w:rsidR="004455DA" w:rsidRPr="006E152B">
        <w:rPr>
          <w:bCs/>
          <w:iCs/>
          <w:sz w:val="24"/>
          <w:szCs w:val="24"/>
        </w:rPr>
        <w:t xml:space="preserve"> plan</w:t>
      </w:r>
      <w:r w:rsidR="00B115EF" w:rsidRPr="006E152B">
        <w:rPr>
          <w:rStyle w:val="FootnoteReference"/>
          <w:bCs/>
          <w:iCs/>
          <w:sz w:val="24"/>
          <w:szCs w:val="24"/>
        </w:rPr>
        <w:footnoteReference w:id="38"/>
      </w:r>
      <w:r w:rsidR="004455DA" w:rsidRPr="006E152B">
        <w:rPr>
          <w:bCs/>
          <w:iCs/>
          <w:sz w:val="24"/>
          <w:szCs w:val="24"/>
        </w:rPr>
        <w:t xml:space="preserve"> as a required output </w:t>
      </w:r>
      <w:r w:rsidR="00BA451E" w:rsidRPr="006E152B">
        <w:rPr>
          <w:bCs/>
          <w:iCs/>
          <w:sz w:val="24"/>
          <w:szCs w:val="24"/>
        </w:rPr>
        <w:t xml:space="preserve">before </w:t>
      </w:r>
      <w:r w:rsidR="004455DA" w:rsidRPr="006E152B">
        <w:rPr>
          <w:bCs/>
          <w:iCs/>
          <w:sz w:val="24"/>
          <w:szCs w:val="24"/>
        </w:rPr>
        <w:t xml:space="preserve"> RIIO2</w:t>
      </w:r>
      <w:r w:rsidR="00BA451E" w:rsidRPr="006E152B">
        <w:rPr>
          <w:bCs/>
          <w:iCs/>
          <w:sz w:val="24"/>
          <w:szCs w:val="24"/>
        </w:rPr>
        <w:t xml:space="preserve"> commences</w:t>
      </w:r>
      <w:r w:rsidR="00070AAE" w:rsidRPr="006E152B">
        <w:rPr>
          <w:bCs/>
          <w:iCs/>
          <w:sz w:val="24"/>
          <w:szCs w:val="24"/>
        </w:rPr>
        <w:t xml:space="preserve"> (preferably in 2021 – ie a reduced time period from</w:t>
      </w:r>
      <w:r>
        <w:rPr>
          <w:bCs/>
          <w:iCs/>
          <w:sz w:val="24"/>
          <w:szCs w:val="24"/>
        </w:rPr>
        <w:t xml:space="preserve"> 8 to 6 years for distribution)</w:t>
      </w:r>
      <w:r w:rsidR="004455DA" w:rsidRPr="006E152B">
        <w:rPr>
          <w:bCs/>
          <w:iCs/>
          <w:sz w:val="24"/>
          <w:szCs w:val="24"/>
        </w:rPr>
        <w:t xml:space="preserve">.  </w:t>
      </w:r>
      <w:r w:rsidR="00B115EF" w:rsidRPr="006E152B">
        <w:rPr>
          <w:bCs/>
          <w:iCs/>
          <w:sz w:val="24"/>
          <w:szCs w:val="24"/>
        </w:rPr>
        <w:t xml:space="preserve">This </w:t>
      </w:r>
      <w:r>
        <w:rPr>
          <w:bCs/>
          <w:iCs/>
          <w:sz w:val="24"/>
          <w:szCs w:val="24"/>
        </w:rPr>
        <w:t xml:space="preserve">DER </w:t>
      </w:r>
      <w:r w:rsidR="00B115EF" w:rsidRPr="006E152B">
        <w:rPr>
          <w:bCs/>
          <w:iCs/>
          <w:sz w:val="24"/>
          <w:szCs w:val="24"/>
        </w:rPr>
        <w:t xml:space="preserve">plan would enable DNO’s to </w:t>
      </w:r>
      <w:r w:rsidR="00E95FCA" w:rsidRPr="006E152B">
        <w:rPr>
          <w:bCs/>
          <w:iCs/>
          <w:sz w:val="24"/>
          <w:szCs w:val="24"/>
        </w:rPr>
        <w:t xml:space="preserve">(1) </w:t>
      </w:r>
      <w:r w:rsidR="00B115EF" w:rsidRPr="006E152B">
        <w:rPr>
          <w:bCs/>
          <w:iCs/>
          <w:sz w:val="24"/>
          <w:szCs w:val="24"/>
        </w:rPr>
        <w:t>know what distributed energy resources  are available within their energy systems – in terms of place and time, and with respect of supply, demand side response, storage, other flexibility resources etc; and (2) to have a parallel met</w:t>
      </w:r>
      <w:r>
        <w:rPr>
          <w:bCs/>
          <w:iCs/>
          <w:sz w:val="24"/>
          <w:szCs w:val="24"/>
        </w:rPr>
        <w:t>hodology of how to value that DE</w:t>
      </w:r>
      <w:r w:rsidR="00B115EF" w:rsidRPr="006E152B">
        <w:rPr>
          <w:bCs/>
          <w:iCs/>
          <w:sz w:val="24"/>
          <w:szCs w:val="24"/>
        </w:rPr>
        <w:t>R.  We would expect this to happen over a 2 year process to recognize the value of future network systems, and to bring interested parties t</w:t>
      </w:r>
      <w:r w:rsidR="00E95FCA" w:rsidRPr="006E152B">
        <w:rPr>
          <w:bCs/>
          <w:iCs/>
          <w:sz w:val="24"/>
          <w:szCs w:val="24"/>
        </w:rPr>
        <w:t xml:space="preserve">ogether with these parties included in </w:t>
      </w:r>
      <w:r w:rsidR="009472F4" w:rsidRPr="006E152B">
        <w:rPr>
          <w:bCs/>
          <w:iCs/>
          <w:sz w:val="24"/>
          <w:szCs w:val="24"/>
        </w:rPr>
        <w:t xml:space="preserve">the bi-annual </w:t>
      </w:r>
      <w:r w:rsidR="00E95FCA" w:rsidRPr="006E152B">
        <w:rPr>
          <w:bCs/>
          <w:iCs/>
          <w:sz w:val="24"/>
          <w:szCs w:val="24"/>
        </w:rPr>
        <w:t xml:space="preserve">consumer workshops. </w:t>
      </w:r>
      <w:r>
        <w:rPr>
          <w:bCs/>
          <w:iCs/>
          <w:sz w:val="24"/>
          <w:szCs w:val="24"/>
        </w:rPr>
        <w:t>From this knowledge, it would be possible to incentivise various non-wire alternatives, services or goals, such as bringing down peak prices, peak capacity requirements, increase DSR  etc</w:t>
      </w:r>
    </w:p>
    <w:p w14:paraId="4A05B130" w14:textId="73BCBA93" w:rsidR="00177D58" w:rsidRPr="006E152B" w:rsidRDefault="00BF2EE2" w:rsidP="006E152B">
      <w:pPr>
        <w:spacing w:line="240" w:lineRule="auto"/>
        <w:rPr>
          <w:bCs/>
          <w:iCs/>
          <w:sz w:val="24"/>
          <w:szCs w:val="24"/>
        </w:rPr>
      </w:pPr>
      <w:r w:rsidRPr="006E152B">
        <w:rPr>
          <w:bCs/>
          <w:iCs/>
          <w:sz w:val="24"/>
          <w:szCs w:val="24"/>
        </w:rPr>
        <w:t>The NY REV in New York State, and more recently, the Finkel Review</w:t>
      </w:r>
      <w:r w:rsidRPr="006E152B">
        <w:rPr>
          <w:rStyle w:val="FootnoteReference"/>
          <w:bCs/>
          <w:iCs/>
          <w:sz w:val="24"/>
          <w:szCs w:val="24"/>
        </w:rPr>
        <w:footnoteReference w:id="39"/>
      </w:r>
      <w:r w:rsidRPr="006E152B">
        <w:rPr>
          <w:bCs/>
          <w:iCs/>
          <w:sz w:val="24"/>
          <w:szCs w:val="24"/>
        </w:rPr>
        <w:t xml:space="preserve"> in Australia have occurred as a reaction to extreme weather events.  </w:t>
      </w:r>
      <w:r w:rsidR="00E95FCA" w:rsidRPr="006E152B">
        <w:rPr>
          <w:bCs/>
          <w:iCs/>
          <w:sz w:val="24"/>
          <w:szCs w:val="24"/>
        </w:rPr>
        <w:t>To avoid having to be reactionary to possible future blackout events i</w:t>
      </w:r>
      <w:r w:rsidRPr="006E152B">
        <w:rPr>
          <w:bCs/>
          <w:iCs/>
          <w:sz w:val="24"/>
          <w:szCs w:val="24"/>
        </w:rPr>
        <w:t xml:space="preserve">t would be recommended that extreme weather events are </w:t>
      </w:r>
      <w:r w:rsidRPr="006E152B">
        <w:rPr>
          <w:b/>
          <w:bCs/>
          <w:iCs/>
          <w:sz w:val="24"/>
          <w:szCs w:val="24"/>
        </w:rPr>
        <w:t>not</w:t>
      </w:r>
      <w:r w:rsidRPr="006E152B">
        <w:rPr>
          <w:bCs/>
          <w:iCs/>
          <w:sz w:val="24"/>
          <w:szCs w:val="24"/>
        </w:rPr>
        <w:t xml:space="preserve"> excluded from the interruptions element of the BMCS.  As severe weather events are expected to become more common due to climate change</w:t>
      </w:r>
      <w:r w:rsidR="00177D58" w:rsidRPr="006E152B">
        <w:rPr>
          <w:bCs/>
          <w:iCs/>
          <w:sz w:val="24"/>
          <w:szCs w:val="24"/>
        </w:rPr>
        <w:t xml:space="preserve"> it would seem that innovative approaches to reducing the threat of blackout, such as microg</w:t>
      </w:r>
      <w:r w:rsidR="0018446B" w:rsidRPr="006E152B">
        <w:rPr>
          <w:bCs/>
          <w:iCs/>
          <w:sz w:val="24"/>
          <w:szCs w:val="24"/>
        </w:rPr>
        <w:t xml:space="preserve">rids, </w:t>
      </w:r>
      <w:r w:rsidR="00177D58" w:rsidRPr="006E152B">
        <w:rPr>
          <w:bCs/>
          <w:iCs/>
          <w:sz w:val="24"/>
          <w:szCs w:val="24"/>
        </w:rPr>
        <w:t>virtual power plants</w:t>
      </w:r>
      <w:r w:rsidR="0018446B" w:rsidRPr="006E152B">
        <w:rPr>
          <w:bCs/>
          <w:iCs/>
          <w:sz w:val="24"/>
          <w:szCs w:val="24"/>
        </w:rPr>
        <w:t xml:space="preserve"> and the use of islanded generation should be part of a network business plan. </w:t>
      </w:r>
    </w:p>
    <w:p w14:paraId="576B4E63" w14:textId="77777777" w:rsidR="00F368F4" w:rsidRPr="00723494" w:rsidRDefault="002963D1" w:rsidP="006E152B">
      <w:pPr>
        <w:spacing w:line="240" w:lineRule="auto"/>
        <w:rPr>
          <w:b/>
          <w:bCs/>
          <w:iCs/>
          <w:sz w:val="24"/>
          <w:szCs w:val="24"/>
        </w:rPr>
      </w:pPr>
      <w:r w:rsidRPr="00723494">
        <w:rPr>
          <w:b/>
          <w:i/>
          <w:iCs/>
          <w:sz w:val="24"/>
          <w:szCs w:val="24"/>
        </w:rPr>
        <w:t>Clarifying outputs</w:t>
      </w:r>
    </w:p>
    <w:p w14:paraId="1CF3AE0E" w14:textId="5AFB0CC5" w:rsidR="00FE4D0C" w:rsidRPr="006E152B" w:rsidRDefault="00070AAE" w:rsidP="006E152B">
      <w:pPr>
        <w:spacing w:line="240" w:lineRule="auto"/>
        <w:rPr>
          <w:bCs/>
          <w:iCs/>
          <w:sz w:val="24"/>
          <w:szCs w:val="24"/>
        </w:rPr>
      </w:pPr>
      <w:r w:rsidRPr="006E152B">
        <w:rPr>
          <w:bCs/>
          <w:iCs/>
          <w:sz w:val="24"/>
          <w:szCs w:val="24"/>
        </w:rPr>
        <w:t>We do not think the right level of outputs is given in RIIO – see section above. Moreover the 6 there are have different incentives. Some</w:t>
      </w:r>
      <w:r w:rsidR="005A529C" w:rsidRPr="006E152B">
        <w:rPr>
          <w:bCs/>
          <w:iCs/>
          <w:sz w:val="24"/>
          <w:szCs w:val="24"/>
        </w:rPr>
        <w:t xml:space="preserve"> </w:t>
      </w:r>
      <w:r w:rsidR="00FE4D0C" w:rsidRPr="006E152B">
        <w:rPr>
          <w:bCs/>
          <w:iCs/>
          <w:sz w:val="24"/>
          <w:szCs w:val="24"/>
        </w:rPr>
        <w:t xml:space="preserve">outputs </w:t>
      </w:r>
      <w:r w:rsidRPr="006E152B">
        <w:rPr>
          <w:bCs/>
          <w:iCs/>
          <w:sz w:val="24"/>
          <w:szCs w:val="24"/>
        </w:rPr>
        <w:t xml:space="preserve">have </w:t>
      </w:r>
      <w:r w:rsidR="00FE4D0C" w:rsidRPr="006E152B">
        <w:rPr>
          <w:bCs/>
          <w:iCs/>
          <w:sz w:val="24"/>
          <w:szCs w:val="24"/>
        </w:rPr>
        <w:t xml:space="preserve">a financial incentive </w:t>
      </w:r>
      <w:r w:rsidR="005A529C" w:rsidRPr="006E152B">
        <w:rPr>
          <w:bCs/>
          <w:iCs/>
          <w:sz w:val="24"/>
          <w:szCs w:val="24"/>
        </w:rPr>
        <w:t xml:space="preserve">and </w:t>
      </w:r>
      <w:r w:rsidR="00FE4D0C" w:rsidRPr="006E152B">
        <w:rPr>
          <w:bCs/>
          <w:iCs/>
          <w:sz w:val="24"/>
          <w:szCs w:val="24"/>
        </w:rPr>
        <w:t>a reputational incentive for others</w:t>
      </w:r>
      <w:r w:rsidR="00BA451E" w:rsidRPr="006E152B">
        <w:rPr>
          <w:bCs/>
          <w:iCs/>
          <w:sz w:val="24"/>
          <w:szCs w:val="24"/>
        </w:rPr>
        <w:t xml:space="preserve"> (for example, the environment). </w:t>
      </w:r>
      <w:r w:rsidR="00FE4D0C" w:rsidRPr="006E152B">
        <w:rPr>
          <w:bCs/>
          <w:iCs/>
          <w:sz w:val="24"/>
          <w:szCs w:val="24"/>
        </w:rPr>
        <w:t xml:space="preserve"> </w:t>
      </w:r>
      <w:r w:rsidR="00BA451E" w:rsidRPr="006E152B">
        <w:rPr>
          <w:bCs/>
          <w:iCs/>
          <w:sz w:val="24"/>
          <w:szCs w:val="24"/>
        </w:rPr>
        <w:t>T</w:t>
      </w:r>
      <w:r w:rsidR="00FE4D0C" w:rsidRPr="006E152B">
        <w:rPr>
          <w:bCs/>
          <w:iCs/>
          <w:sz w:val="24"/>
          <w:szCs w:val="24"/>
        </w:rPr>
        <w:t xml:space="preserve">his is saying to the </w:t>
      </w:r>
      <w:r w:rsidR="00E95FCA" w:rsidRPr="006E152B">
        <w:rPr>
          <w:bCs/>
          <w:iCs/>
          <w:sz w:val="24"/>
          <w:szCs w:val="24"/>
        </w:rPr>
        <w:t>networks</w:t>
      </w:r>
      <w:r w:rsidR="00FE4D0C" w:rsidRPr="006E152B">
        <w:rPr>
          <w:bCs/>
          <w:iCs/>
          <w:sz w:val="24"/>
          <w:szCs w:val="24"/>
        </w:rPr>
        <w:t xml:space="preserve"> that some outputs are more important than others</w:t>
      </w:r>
      <w:r w:rsidR="00BA451E" w:rsidRPr="006E152B">
        <w:rPr>
          <w:bCs/>
          <w:iCs/>
          <w:sz w:val="24"/>
          <w:szCs w:val="24"/>
        </w:rPr>
        <w:t xml:space="preserve"> – and that the environment is not important</w:t>
      </w:r>
      <w:r w:rsidR="00FE4D0C" w:rsidRPr="006E152B">
        <w:rPr>
          <w:bCs/>
          <w:iCs/>
          <w:sz w:val="24"/>
          <w:szCs w:val="24"/>
        </w:rPr>
        <w:t xml:space="preserve">.  For ED1 this led to a very BAU approach as the financial incentives were linked to improvements in efficiency – no different to RPI-X.  </w:t>
      </w:r>
    </w:p>
    <w:p w14:paraId="021FAD97" w14:textId="77777777" w:rsidR="00070AAE" w:rsidRPr="006E152B" w:rsidRDefault="00FE4D0C" w:rsidP="006E152B">
      <w:pPr>
        <w:spacing w:line="240" w:lineRule="auto"/>
        <w:rPr>
          <w:bCs/>
          <w:iCs/>
          <w:sz w:val="24"/>
          <w:szCs w:val="24"/>
        </w:rPr>
      </w:pPr>
      <w:r w:rsidRPr="006E152B">
        <w:rPr>
          <w:bCs/>
          <w:iCs/>
          <w:sz w:val="24"/>
          <w:szCs w:val="24"/>
        </w:rPr>
        <w:t xml:space="preserve">In order to move to a clean energy system </w:t>
      </w:r>
      <w:r w:rsidR="00B115EF" w:rsidRPr="006E152B">
        <w:rPr>
          <w:b/>
          <w:bCs/>
          <w:iCs/>
          <w:sz w:val="24"/>
          <w:szCs w:val="24"/>
        </w:rPr>
        <w:t>all</w:t>
      </w:r>
      <w:r w:rsidRPr="006E152B">
        <w:rPr>
          <w:bCs/>
          <w:iCs/>
          <w:sz w:val="24"/>
          <w:szCs w:val="24"/>
        </w:rPr>
        <w:t xml:space="preserve"> output</w:t>
      </w:r>
      <w:r w:rsidR="00B115EF" w:rsidRPr="006E152B">
        <w:rPr>
          <w:bCs/>
          <w:iCs/>
          <w:sz w:val="24"/>
          <w:szCs w:val="24"/>
        </w:rPr>
        <w:t>s</w:t>
      </w:r>
      <w:r w:rsidRPr="006E152B">
        <w:rPr>
          <w:bCs/>
          <w:iCs/>
          <w:sz w:val="24"/>
          <w:szCs w:val="24"/>
        </w:rPr>
        <w:t xml:space="preserve"> must be considered </w:t>
      </w:r>
      <w:r w:rsidR="00932B83" w:rsidRPr="006E152B">
        <w:rPr>
          <w:bCs/>
          <w:iCs/>
          <w:sz w:val="24"/>
          <w:szCs w:val="24"/>
        </w:rPr>
        <w:t xml:space="preserve">equally </w:t>
      </w:r>
      <w:r w:rsidRPr="006E152B">
        <w:rPr>
          <w:bCs/>
          <w:iCs/>
          <w:sz w:val="24"/>
          <w:szCs w:val="24"/>
        </w:rPr>
        <w:t>important</w:t>
      </w:r>
      <w:r w:rsidR="00932B83" w:rsidRPr="006E152B">
        <w:rPr>
          <w:bCs/>
          <w:iCs/>
          <w:sz w:val="24"/>
          <w:szCs w:val="24"/>
        </w:rPr>
        <w:t xml:space="preserve"> as each is vital in achieving system transformation</w:t>
      </w:r>
      <w:r w:rsidRPr="006E152B">
        <w:rPr>
          <w:bCs/>
          <w:iCs/>
          <w:sz w:val="24"/>
          <w:szCs w:val="24"/>
        </w:rPr>
        <w:t xml:space="preserve">.  </w:t>
      </w:r>
    </w:p>
    <w:p w14:paraId="4B691239" w14:textId="5B173E43" w:rsidR="00FE4D0C" w:rsidRDefault="006A6B8E" w:rsidP="006E152B">
      <w:pPr>
        <w:spacing w:line="240" w:lineRule="auto"/>
        <w:rPr>
          <w:bCs/>
          <w:iCs/>
          <w:sz w:val="24"/>
          <w:szCs w:val="24"/>
        </w:rPr>
      </w:pPr>
      <w:r>
        <w:rPr>
          <w:bCs/>
          <w:iCs/>
          <w:sz w:val="24"/>
          <w:szCs w:val="24"/>
        </w:rPr>
        <w:t>New</w:t>
      </w:r>
      <w:r w:rsidR="00BA451E" w:rsidRPr="006E152B">
        <w:rPr>
          <w:bCs/>
          <w:iCs/>
          <w:sz w:val="24"/>
          <w:szCs w:val="24"/>
        </w:rPr>
        <w:t xml:space="preserve"> outputs, </w:t>
      </w:r>
      <w:r>
        <w:rPr>
          <w:bCs/>
          <w:iCs/>
          <w:sz w:val="24"/>
          <w:szCs w:val="24"/>
        </w:rPr>
        <w:t xml:space="preserve">important to a smart flexible energy system will need to have value attached to them. These outputs could be </w:t>
      </w:r>
      <w:r w:rsidR="00BA451E" w:rsidRPr="006E152B">
        <w:rPr>
          <w:bCs/>
          <w:iCs/>
          <w:sz w:val="24"/>
          <w:szCs w:val="24"/>
        </w:rPr>
        <w:t>bringing peak prices down; altering the proportion between network and non-network alternatives; reducing g /kWh carbon; increasing RE installation and so forth</w:t>
      </w:r>
      <w:r w:rsidR="00BA6171" w:rsidRPr="006E152B">
        <w:rPr>
          <w:bCs/>
          <w:iCs/>
          <w:sz w:val="24"/>
          <w:szCs w:val="24"/>
        </w:rPr>
        <w:t xml:space="preserve"> (and again, please see </w:t>
      </w:r>
      <w:r w:rsidR="00BA6171" w:rsidRPr="006E152B">
        <w:rPr>
          <w:rStyle w:val="FootnoteReference"/>
          <w:bCs/>
          <w:iCs/>
          <w:sz w:val="24"/>
          <w:szCs w:val="24"/>
        </w:rPr>
        <w:footnoteReference w:id="40"/>
      </w:r>
      <w:r w:rsidR="00BA6171" w:rsidRPr="006E152B">
        <w:rPr>
          <w:bCs/>
          <w:iCs/>
          <w:sz w:val="24"/>
          <w:szCs w:val="24"/>
        </w:rPr>
        <w:t xml:space="preserve"> </w:t>
      </w:r>
      <w:r w:rsidR="00AC0C82">
        <w:rPr>
          <w:bCs/>
          <w:iCs/>
          <w:sz w:val="24"/>
          <w:szCs w:val="24"/>
        </w:rPr>
        <w:t>)</w:t>
      </w:r>
      <w:r w:rsidR="00BA451E" w:rsidRPr="006E152B">
        <w:rPr>
          <w:bCs/>
          <w:iCs/>
          <w:sz w:val="24"/>
          <w:szCs w:val="24"/>
        </w:rPr>
        <w:t xml:space="preserve">.   </w:t>
      </w:r>
    </w:p>
    <w:p w14:paraId="18ECE4F5" w14:textId="77777777" w:rsidR="002963D1" w:rsidRPr="00723494" w:rsidRDefault="002963D1" w:rsidP="006E152B">
      <w:pPr>
        <w:spacing w:line="240" w:lineRule="auto"/>
        <w:rPr>
          <w:b/>
          <w:bCs/>
          <w:i/>
          <w:iCs/>
          <w:sz w:val="24"/>
          <w:szCs w:val="24"/>
        </w:rPr>
      </w:pPr>
      <w:r w:rsidRPr="00723494">
        <w:rPr>
          <w:b/>
          <w:i/>
          <w:iCs/>
          <w:sz w:val="24"/>
          <w:szCs w:val="24"/>
        </w:rPr>
        <w:lastRenderedPageBreak/>
        <w:t>Output incentives</w:t>
      </w:r>
    </w:p>
    <w:p w14:paraId="74672A61" w14:textId="72552973" w:rsidR="00095A5C" w:rsidRPr="006E152B" w:rsidRDefault="00BA451E" w:rsidP="006E152B">
      <w:pPr>
        <w:spacing w:line="240" w:lineRule="auto"/>
        <w:rPr>
          <w:b/>
          <w:bCs/>
          <w:i/>
          <w:iCs/>
          <w:sz w:val="24"/>
          <w:szCs w:val="24"/>
        </w:rPr>
      </w:pPr>
      <w:r w:rsidRPr="006E152B">
        <w:rPr>
          <w:bCs/>
          <w:iCs/>
          <w:sz w:val="24"/>
          <w:szCs w:val="24"/>
        </w:rPr>
        <w:t xml:space="preserve">If </w:t>
      </w:r>
      <w:r w:rsidR="005550D0" w:rsidRPr="006E152B">
        <w:rPr>
          <w:bCs/>
          <w:iCs/>
          <w:sz w:val="24"/>
          <w:szCs w:val="24"/>
        </w:rPr>
        <w:t xml:space="preserve">the </w:t>
      </w:r>
      <w:r w:rsidR="00BF2EE2" w:rsidRPr="006E152B">
        <w:rPr>
          <w:bCs/>
          <w:iCs/>
          <w:sz w:val="24"/>
          <w:szCs w:val="24"/>
        </w:rPr>
        <w:t xml:space="preserve">objective of RIIO is </w:t>
      </w:r>
      <w:r w:rsidR="008477EA" w:rsidRPr="006E152B">
        <w:rPr>
          <w:bCs/>
          <w:iCs/>
          <w:sz w:val="24"/>
          <w:szCs w:val="24"/>
        </w:rPr>
        <w:t xml:space="preserve">a secure operation, stimulation of innovation and meeting of outputs which together will encourage GB networks to do their bit in keeping the GB </w:t>
      </w:r>
      <w:r w:rsidR="00BF2EE2" w:rsidRPr="006E152B">
        <w:rPr>
          <w:bCs/>
          <w:iCs/>
          <w:sz w:val="24"/>
          <w:szCs w:val="24"/>
        </w:rPr>
        <w:t>energy system</w:t>
      </w:r>
      <w:r w:rsidR="008477EA" w:rsidRPr="006E152B">
        <w:rPr>
          <w:bCs/>
          <w:iCs/>
          <w:sz w:val="24"/>
          <w:szCs w:val="24"/>
        </w:rPr>
        <w:t xml:space="preserve"> fit-for-purpose</w:t>
      </w:r>
      <w:r w:rsidR="00A70B1D" w:rsidRPr="006E152B">
        <w:rPr>
          <w:bCs/>
          <w:iCs/>
          <w:sz w:val="24"/>
          <w:szCs w:val="24"/>
        </w:rPr>
        <w:t>,</w:t>
      </w:r>
      <w:r w:rsidR="005550D0" w:rsidRPr="006E152B">
        <w:rPr>
          <w:bCs/>
          <w:iCs/>
          <w:sz w:val="24"/>
          <w:szCs w:val="24"/>
        </w:rPr>
        <w:t xml:space="preserve"> t</w:t>
      </w:r>
      <w:r w:rsidR="00BF2EE2" w:rsidRPr="006E152B">
        <w:rPr>
          <w:bCs/>
          <w:iCs/>
          <w:sz w:val="24"/>
          <w:szCs w:val="24"/>
        </w:rPr>
        <w:t>hen no</w:t>
      </w:r>
      <w:r w:rsidR="00AC0C82">
        <w:rPr>
          <w:bCs/>
          <w:iCs/>
          <w:sz w:val="24"/>
          <w:szCs w:val="24"/>
        </w:rPr>
        <w:t>,</w:t>
      </w:r>
      <w:r w:rsidRPr="006E152B">
        <w:rPr>
          <w:bCs/>
          <w:iCs/>
          <w:sz w:val="24"/>
          <w:szCs w:val="24"/>
        </w:rPr>
        <w:t xml:space="preserve"> the RIIO-1 incentives </w:t>
      </w:r>
      <w:r w:rsidR="008477EA" w:rsidRPr="006E152B">
        <w:rPr>
          <w:bCs/>
          <w:iCs/>
          <w:sz w:val="24"/>
          <w:szCs w:val="24"/>
        </w:rPr>
        <w:t>are</w:t>
      </w:r>
      <w:r w:rsidRPr="006E152B">
        <w:rPr>
          <w:bCs/>
          <w:iCs/>
          <w:sz w:val="24"/>
          <w:szCs w:val="24"/>
        </w:rPr>
        <w:t xml:space="preserve"> not appropriate</w:t>
      </w:r>
      <w:r w:rsidR="005515D3">
        <w:rPr>
          <w:bCs/>
          <w:iCs/>
          <w:sz w:val="24"/>
          <w:szCs w:val="24"/>
        </w:rPr>
        <w:t>.</w:t>
      </w:r>
      <w:r w:rsidR="00A70B1D" w:rsidRPr="006E152B">
        <w:rPr>
          <w:bCs/>
          <w:iCs/>
          <w:sz w:val="24"/>
          <w:szCs w:val="24"/>
        </w:rPr>
        <w:t xml:space="preserve">  This is because</w:t>
      </w:r>
      <w:r w:rsidR="00BF2EE2" w:rsidRPr="006E152B">
        <w:rPr>
          <w:bCs/>
          <w:iCs/>
          <w:sz w:val="24"/>
          <w:szCs w:val="24"/>
        </w:rPr>
        <w:t xml:space="preserve"> financial incentives were targeted at </w:t>
      </w:r>
      <w:r w:rsidRPr="006E152B">
        <w:rPr>
          <w:bCs/>
          <w:iCs/>
          <w:sz w:val="24"/>
          <w:szCs w:val="24"/>
        </w:rPr>
        <w:t xml:space="preserve">economic </w:t>
      </w:r>
      <w:r w:rsidR="00BF2EE2" w:rsidRPr="006E152B">
        <w:rPr>
          <w:bCs/>
          <w:iCs/>
          <w:sz w:val="24"/>
          <w:szCs w:val="24"/>
        </w:rPr>
        <w:t>efficiency measures</w:t>
      </w:r>
      <w:r w:rsidR="00906DEB" w:rsidRPr="006E152B">
        <w:rPr>
          <w:bCs/>
          <w:iCs/>
          <w:sz w:val="24"/>
          <w:szCs w:val="24"/>
        </w:rPr>
        <w:t>.  There were</w:t>
      </w:r>
      <w:r w:rsidR="00BF2EE2" w:rsidRPr="006E152B">
        <w:rPr>
          <w:bCs/>
          <w:iCs/>
          <w:sz w:val="24"/>
          <w:szCs w:val="24"/>
        </w:rPr>
        <w:t xml:space="preserve"> no incentive</w:t>
      </w:r>
      <w:r w:rsidR="00906DEB" w:rsidRPr="006E152B">
        <w:rPr>
          <w:bCs/>
          <w:iCs/>
          <w:sz w:val="24"/>
          <w:szCs w:val="24"/>
        </w:rPr>
        <w:t>s</w:t>
      </w:r>
      <w:r w:rsidR="00BF2EE2" w:rsidRPr="006E152B">
        <w:rPr>
          <w:bCs/>
          <w:iCs/>
          <w:sz w:val="24"/>
          <w:szCs w:val="24"/>
        </w:rPr>
        <w:t>, other than reputational, for environmental outputs</w:t>
      </w:r>
      <w:r w:rsidR="00A87CB4" w:rsidRPr="006E152B">
        <w:rPr>
          <w:bCs/>
          <w:iCs/>
          <w:sz w:val="24"/>
          <w:szCs w:val="24"/>
        </w:rPr>
        <w:t xml:space="preserve"> which encouraged </w:t>
      </w:r>
      <w:r w:rsidR="00A70B1D" w:rsidRPr="006E152B">
        <w:rPr>
          <w:bCs/>
          <w:iCs/>
          <w:sz w:val="24"/>
          <w:szCs w:val="24"/>
        </w:rPr>
        <w:t>decarbonisation - and no penalties or rewards for the use</w:t>
      </w:r>
      <w:r w:rsidR="005A529C" w:rsidRPr="006E152B">
        <w:rPr>
          <w:bCs/>
          <w:iCs/>
          <w:sz w:val="24"/>
          <w:szCs w:val="24"/>
        </w:rPr>
        <w:t>, or non-use,</w:t>
      </w:r>
      <w:r w:rsidR="00A70B1D" w:rsidRPr="006E152B">
        <w:rPr>
          <w:bCs/>
          <w:iCs/>
          <w:sz w:val="24"/>
          <w:szCs w:val="24"/>
        </w:rPr>
        <w:t xml:space="preserve"> of the innovation funding</w:t>
      </w:r>
      <w:r w:rsidR="00BF2EE2" w:rsidRPr="006E152B">
        <w:rPr>
          <w:bCs/>
          <w:iCs/>
          <w:sz w:val="24"/>
          <w:szCs w:val="24"/>
        </w:rPr>
        <w:t xml:space="preserve">.  If we wish to </w:t>
      </w:r>
      <w:r w:rsidR="00E562EF" w:rsidRPr="006E152B">
        <w:rPr>
          <w:bCs/>
          <w:iCs/>
          <w:sz w:val="24"/>
          <w:szCs w:val="24"/>
        </w:rPr>
        <w:t>transform</w:t>
      </w:r>
      <w:r w:rsidR="00BF2EE2" w:rsidRPr="006E152B">
        <w:rPr>
          <w:bCs/>
          <w:iCs/>
          <w:sz w:val="24"/>
          <w:szCs w:val="24"/>
        </w:rPr>
        <w:t xml:space="preserve"> our energy system </w:t>
      </w:r>
      <w:r w:rsidR="00E562EF" w:rsidRPr="006E152B">
        <w:rPr>
          <w:bCs/>
          <w:iCs/>
          <w:sz w:val="24"/>
          <w:szCs w:val="24"/>
        </w:rPr>
        <w:t xml:space="preserve">then </w:t>
      </w:r>
      <w:r w:rsidR="00F31ADF" w:rsidRPr="006E152B">
        <w:rPr>
          <w:bCs/>
          <w:iCs/>
          <w:sz w:val="24"/>
          <w:szCs w:val="24"/>
        </w:rPr>
        <w:t>innovation is key</w:t>
      </w:r>
      <w:r w:rsidR="007D2693" w:rsidRPr="006E152B">
        <w:rPr>
          <w:bCs/>
          <w:iCs/>
          <w:sz w:val="24"/>
          <w:szCs w:val="24"/>
        </w:rPr>
        <w:t>,</w:t>
      </w:r>
      <w:r w:rsidR="00F31ADF" w:rsidRPr="006E152B">
        <w:rPr>
          <w:bCs/>
          <w:iCs/>
          <w:sz w:val="24"/>
          <w:szCs w:val="24"/>
        </w:rPr>
        <w:t xml:space="preserve"> as is </w:t>
      </w:r>
      <w:r w:rsidR="007D2693" w:rsidRPr="006E152B">
        <w:rPr>
          <w:bCs/>
          <w:iCs/>
          <w:sz w:val="24"/>
          <w:szCs w:val="24"/>
        </w:rPr>
        <w:t>then assigning a</w:t>
      </w:r>
      <w:r w:rsidR="00F31ADF" w:rsidRPr="006E152B">
        <w:rPr>
          <w:bCs/>
          <w:iCs/>
          <w:sz w:val="24"/>
          <w:szCs w:val="24"/>
        </w:rPr>
        <w:t xml:space="preserve"> value for the</w:t>
      </w:r>
      <w:r w:rsidR="007D2693" w:rsidRPr="006E152B">
        <w:rPr>
          <w:bCs/>
          <w:iCs/>
          <w:sz w:val="24"/>
          <w:szCs w:val="24"/>
        </w:rPr>
        <w:t>se known, and future unknown,</w:t>
      </w:r>
      <w:r w:rsidR="00F31ADF" w:rsidRPr="006E152B">
        <w:rPr>
          <w:bCs/>
          <w:iCs/>
          <w:sz w:val="24"/>
          <w:szCs w:val="24"/>
        </w:rPr>
        <w:t xml:space="preserve"> innovative services</w:t>
      </w:r>
      <w:r w:rsidR="007D2693" w:rsidRPr="006E152B">
        <w:rPr>
          <w:bCs/>
          <w:iCs/>
          <w:sz w:val="24"/>
          <w:szCs w:val="24"/>
        </w:rPr>
        <w:t>.</w:t>
      </w:r>
      <w:r w:rsidR="00F31ADF" w:rsidRPr="006E152B">
        <w:rPr>
          <w:bCs/>
          <w:iCs/>
          <w:sz w:val="24"/>
          <w:szCs w:val="24"/>
        </w:rPr>
        <w:t xml:space="preserve"> </w:t>
      </w:r>
    </w:p>
    <w:p w14:paraId="34D1B3C4" w14:textId="77777777" w:rsidR="00175CB3" w:rsidRPr="006E152B" w:rsidRDefault="00175CB3" w:rsidP="006E152B">
      <w:pPr>
        <w:pStyle w:val="ListParagraph"/>
        <w:numPr>
          <w:ilvl w:val="0"/>
          <w:numId w:val="22"/>
        </w:numPr>
        <w:spacing w:line="240" w:lineRule="auto"/>
        <w:rPr>
          <w:b/>
          <w:bCs/>
          <w:i/>
          <w:iCs/>
          <w:sz w:val="24"/>
          <w:szCs w:val="24"/>
          <w:u w:val="single"/>
        </w:rPr>
      </w:pPr>
      <w:r w:rsidRPr="006E152B">
        <w:rPr>
          <w:b/>
          <w:bCs/>
          <w:i/>
          <w:iCs/>
          <w:sz w:val="24"/>
          <w:szCs w:val="24"/>
          <w:u w:val="single"/>
        </w:rPr>
        <w:t>Allowing regulated companies to earn returns that are fair and represent good value for consumers, properly reflecting the risks faced in these businesses, and prevailing financial market conditions</w:t>
      </w:r>
    </w:p>
    <w:p w14:paraId="1126E005" w14:textId="65CAE9FE" w:rsidR="006161A3" w:rsidRPr="006E152B" w:rsidRDefault="000A55E6" w:rsidP="006E152B">
      <w:pPr>
        <w:spacing w:line="240" w:lineRule="auto"/>
        <w:rPr>
          <w:bCs/>
          <w:iCs/>
          <w:sz w:val="24"/>
          <w:szCs w:val="24"/>
        </w:rPr>
      </w:pPr>
      <w:r w:rsidRPr="006E152B">
        <w:rPr>
          <w:bCs/>
          <w:iCs/>
          <w:sz w:val="24"/>
          <w:szCs w:val="24"/>
        </w:rPr>
        <w:t xml:space="preserve">The current RIIO framework is far too complex. </w:t>
      </w:r>
      <w:r w:rsidR="00B51889" w:rsidRPr="006E152B">
        <w:rPr>
          <w:bCs/>
          <w:iCs/>
          <w:sz w:val="24"/>
          <w:szCs w:val="24"/>
        </w:rPr>
        <w:t xml:space="preserve">It clearly is not </w:t>
      </w:r>
      <w:r w:rsidR="00106397" w:rsidRPr="006E152B">
        <w:rPr>
          <w:bCs/>
          <w:iCs/>
          <w:sz w:val="24"/>
          <w:szCs w:val="24"/>
        </w:rPr>
        <w:t xml:space="preserve">good value for customers; the company </w:t>
      </w:r>
      <w:r w:rsidR="00B51889" w:rsidRPr="006E152B">
        <w:rPr>
          <w:bCs/>
          <w:iCs/>
          <w:sz w:val="24"/>
          <w:szCs w:val="24"/>
        </w:rPr>
        <w:t xml:space="preserve">profit does reflect </w:t>
      </w:r>
      <w:r w:rsidR="008477EA" w:rsidRPr="006E152B">
        <w:rPr>
          <w:bCs/>
          <w:iCs/>
          <w:sz w:val="24"/>
          <w:szCs w:val="24"/>
        </w:rPr>
        <w:t xml:space="preserve">the low </w:t>
      </w:r>
      <w:r w:rsidR="00B51889" w:rsidRPr="006E152B">
        <w:rPr>
          <w:bCs/>
          <w:iCs/>
          <w:sz w:val="24"/>
          <w:szCs w:val="24"/>
        </w:rPr>
        <w:t>risk; the incentives for the outputs are minimal</w:t>
      </w:r>
      <w:r w:rsidR="008477EA" w:rsidRPr="006E152B">
        <w:rPr>
          <w:bCs/>
          <w:iCs/>
          <w:sz w:val="24"/>
          <w:szCs w:val="24"/>
        </w:rPr>
        <w:t xml:space="preserve"> or absent</w:t>
      </w:r>
      <w:r w:rsidR="00B51889" w:rsidRPr="006E152B">
        <w:rPr>
          <w:bCs/>
          <w:iCs/>
          <w:sz w:val="24"/>
          <w:szCs w:val="24"/>
        </w:rPr>
        <w:t>; the desired outcomes are unimaginative and not sufficiently related to moving to a flexible and smart energy system</w:t>
      </w:r>
      <w:r w:rsidR="008477EA" w:rsidRPr="006E152B">
        <w:rPr>
          <w:b/>
          <w:bCs/>
          <w:i/>
          <w:iCs/>
          <w:sz w:val="24"/>
          <w:szCs w:val="24"/>
        </w:rPr>
        <w:t xml:space="preserve">.  </w:t>
      </w:r>
      <w:r w:rsidR="00106397" w:rsidRPr="006E152B">
        <w:rPr>
          <w:bCs/>
          <w:iCs/>
          <w:sz w:val="24"/>
          <w:szCs w:val="24"/>
        </w:rPr>
        <w:t>‘G</w:t>
      </w:r>
      <w:r w:rsidR="006161A3" w:rsidRPr="006E152B">
        <w:rPr>
          <w:bCs/>
          <w:iCs/>
          <w:sz w:val="24"/>
          <w:szCs w:val="24"/>
        </w:rPr>
        <w:t xml:space="preserve">ood value’ should </w:t>
      </w:r>
      <w:r w:rsidR="00B51889" w:rsidRPr="006E152B">
        <w:rPr>
          <w:bCs/>
          <w:iCs/>
          <w:sz w:val="24"/>
          <w:szCs w:val="24"/>
        </w:rPr>
        <w:t xml:space="preserve">broadly mean transforming the energy system to make it fit for purpose, keeping costs down </w:t>
      </w:r>
      <w:r w:rsidR="006161A3" w:rsidRPr="006E152B">
        <w:rPr>
          <w:bCs/>
          <w:iCs/>
          <w:sz w:val="24"/>
          <w:szCs w:val="24"/>
        </w:rPr>
        <w:t xml:space="preserve"> </w:t>
      </w:r>
      <w:r w:rsidR="00B51889" w:rsidRPr="006E152B">
        <w:rPr>
          <w:bCs/>
          <w:iCs/>
          <w:sz w:val="24"/>
          <w:szCs w:val="24"/>
        </w:rPr>
        <w:t>and moving it to</w:t>
      </w:r>
      <w:r w:rsidR="007902C6" w:rsidRPr="006E152B">
        <w:rPr>
          <w:bCs/>
          <w:iCs/>
          <w:sz w:val="24"/>
          <w:szCs w:val="24"/>
        </w:rPr>
        <w:t xml:space="preserve"> decarbonisation</w:t>
      </w:r>
      <w:r w:rsidR="00BC6A38" w:rsidRPr="006E152B">
        <w:rPr>
          <w:bCs/>
          <w:iCs/>
          <w:sz w:val="24"/>
          <w:szCs w:val="24"/>
        </w:rPr>
        <w:t xml:space="preserve"> </w:t>
      </w:r>
      <w:r w:rsidR="007902C6" w:rsidRPr="006E152B">
        <w:rPr>
          <w:bCs/>
          <w:iCs/>
          <w:sz w:val="24"/>
          <w:szCs w:val="24"/>
        </w:rPr>
        <w:t>(</w:t>
      </w:r>
      <w:r w:rsidR="00BC6A38" w:rsidRPr="006E152B">
        <w:rPr>
          <w:bCs/>
          <w:iCs/>
          <w:sz w:val="24"/>
          <w:szCs w:val="24"/>
        </w:rPr>
        <w:t>environmental</w:t>
      </w:r>
      <w:r w:rsidR="007902C6" w:rsidRPr="006E152B">
        <w:rPr>
          <w:bCs/>
          <w:iCs/>
          <w:sz w:val="24"/>
          <w:szCs w:val="24"/>
        </w:rPr>
        <w:t>), digitalisation, decentralisation (innovation) and democratisation (consumers)</w:t>
      </w:r>
      <w:r w:rsidR="006161A3" w:rsidRPr="006E152B">
        <w:rPr>
          <w:bCs/>
          <w:iCs/>
          <w:sz w:val="24"/>
          <w:szCs w:val="24"/>
        </w:rPr>
        <w:t xml:space="preserve">.  </w:t>
      </w:r>
      <w:r w:rsidR="00106397" w:rsidRPr="006E152B">
        <w:rPr>
          <w:bCs/>
          <w:iCs/>
          <w:sz w:val="24"/>
          <w:szCs w:val="24"/>
        </w:rPr>
        <w:t>On this level, there is not good value.</w:t>
      </w:r>
    </w:p>
    <w:p w14:paraId="4056FA01" w14:textId="36B03154" w:rsidR="008477EA" w:rsidRPr="006E152B" w:rsidRDefault="008477EA" w:rsidP="006E152B">
      <w:pPr>
        <w:spacing w:line="240" w:lineRule="auto"/>
        <w:rPr>
          <w:b/>
          <w:bCs/>
          <w:i/>
          <w:iCs/>
          <w:sz w:val="24"/>
          <w:szCs w:val="24"/>
        </w:rPr>
      </w:pPr>
      <w:r w:rsidRPr="006E152B">
        <w:rPr>
          <w:bCs/>
          <w:iCs/>
          <w:sz w:val="24"/>
          <w:szCs w:val="24"/>
        </w:rPr>
        <w:t>We agree with the recommendations made by the CAB report</w:t>
      </w:r>
      <w:r w:rsidRPr="006E152B">
        <w:rPr>
          <w:rStyle w:val="FootnoteReference"/>
          <w:bCs/>
          <w:iCs/>
          <w:sz w:val="24"/>
          <w:szCs w:val="24"/>
        </w:rPr>
        <w:footnoteReference w:id="41"/>
      </w:r>
      <w:r w:rsidRPr="006E152B">
        <w:rPr>
          <w:bCs/>
          <w:iCs/>
          <w:sz w:val="24"/>
          <w:szCs w:val="24"/>
        </w:rPr>
        <w:t xml:space="preserve"> concerning fair returns. We do think that RIIO incentives outputs must be tied to rapid energy system transformation capable of meeting CCC targets.  </w:t>
      </w:r>
    </w:p>
    <w:p w14:paraId="704052AE" w14:textId="22EEF1D0" w:rsidR="008477EA" w:rsidRPr="006E152B" w:rsidRDefault="00BC6A38" w:rsidP="006E152B">
      <w:pPr>
        <w:spacing w:line="240" w:lineRule="auto"/>
        <w:rPr>
          <w:bCs/>
          <w:iCs/>
          <w:sz w:val="24"/>
          <w:szCs w:val="24"/>
        </w:rPr>
      </w:pPr>
      <w:r w:rsidRPr="006E152B">
        <w:rPr>
          <w:bCs/>
          <w:iCs/>
          <w:sz w:val="24"/>
          <w:szCs w:val="24"/>
        </w:rPr>
        <w:t>In order to reduce forecasting errors it will be necessary to reduce the price control period</w:t>
      </w:r>
      <w:r w:rsidR="00FA186A" w:rsidRPr="006E152B">
        <w:rPr>
          <w:bCs/>
          <w:iCs/>
          <w:sz w:val="24"/>
          <w:szCs w:val="24"/>
        </w:rPr>
        <w:t xml:space="preserve">, or to develop some kind of rolling </w:t>
      </w:r>
      <w:r w:rsidR="008477EA" w:rsidRPr="006E152B">
        <w:rPr>
          <w:bCs/>
          <w:iCs/>
          <w:sz w:val="24"/>
          <w:szCs w:val="24"/>
        </w:rPr>
        <w:t xml:space="preserve">price control which allows </w:t>
      </w:r>
      <w:r w:rsidR="00FA186A" w:rsidRPr="006E152B">
        <w:rPr>
          <w:bCs/>
          <w:iCs/>
          <w:sz w:val="24"/>
          <w:szCs w:val="24"/>
        </w:rPr>
        <w:t xml:space="preserve">‘opening up’. </w:t>
      </w:r>
      <w:r w:rsidR="008477EA" w:rsidRPr="006E152B">
        <w:rPr>
          <w:bCs/>
          <w:iCs/>
          <w:sz w:val="24"/>
          <w:szCs w:val="24"/>
        </w:rPr>
        <w:t xml:space="preserve"> That the EDI price control was not opened up (see Section 6)  shows how inflexible RIIO is.</w:t>
      </w:r>
    </w:p>
    <w:p w14:paraId="51BD5D55" w14:textId="69D18971" w:rsidR="00BC6A38" w:rsidRPr="006E152B" w:rsidRDefault="00BC6A38" w:rsidP="006E152B">
      <w:pPr>
        <w:spacing w:line="240" w:lineRule="auto"/>
        <w:rPr>
          <w:bCs/>
          <w:iCs/>
          <w:sz w:val="24"/>
          <w:szCs w:val="24"/>
        </w:rPr>
      </w:pPr>
      <w:r w:rsidRPr="006E152B">
        <w:rPr>
          <w:bCs/>
          <w:iCs/>
          <w:sz w:val="24"/>
          <w:szCs w:val="24"/>
        </w:rPr>
        <w:t>To expect networks to be able to forecast costs over such a lengthy amount of time, especially with rapidly falling costs of new technologies</w:t>
      </w:r>
      <w:r w:rsidR="001332B2" w:rsidRPr="006E152B">
        <w:rPr>
          <w:bCs/>
          <w:iCs/>
          <w:sz w:val="24"/>
          <w:szCs w:val="24"/>
        </w:rPr>
        <w:t xml:space="preserve"> and new ways of doing things</w:t>
      </w:r>
      <w:r w:rsidRPr="006E152B">
        <w:rPr>
          <w:bCs/>
          <w:iCs/>
          <w:sz w:val="24"/>
          <w:szCs w:val="24"/>
        </w:rPr>
        <w:t>, will undoubtedly lead to errors either over or under the base revenue allowance.</w:t>
      </w:r>
      <w:r w:rsidR="00FD7179" w:rsidRPr="006E152B">
        <w:rPr>
          <w:bCs/>
          <w:iCs/>
          <w:sz w:val="24"/>
          <w:szCs w:val="24"/>
        </w:rPr>
        <w:t xml:space="preserve">  This also gives the networks the opportunity to underspend </w:t>
      </w:r>
      <w:r w:rsidR="001332B2" w:rsidRPr="006E152B">
        <w:rPr>
          <w:bCs/>
          <w:iCs/>
          <w:sz w:val="24"/>
          <w:szCs w:val="24"/>
        </w:rPr>
        <w:t xml:space="preserve">or overspend </w:t>
      </w:r>
      <w:r w:rsidR="00FD7179" w:rsidRPr="006E152B">
        <w:rPr>
          <w:bCs/>
          <w:iCs/>
          <w:sz w:val="24"/>
          <w:szCs w:val="24"/>
        </w:rPr>
        <w:t xml:space="preserve">on their forecast allowances and then to justify this as monetised risk.  </w:t>
      </w:r>
      <w:r w:rsidR="00441C08" w:rsidRPr="006E152B">
        <w:rPr>
          <w:bCs/>
          <w:iCs/>
          <w:sz w:val="24"/>
          <w:szCs w:val="24"/>
        </w:rPr>
        <w:t xml:space="preserve"> </w:t>
      </w:r>
    </w:p>
    <w:p w14:paraId="68B268C8" w14:textId="77777777" w:rsidR="00D6398C" w:rsidRPr="006E152B" w:rsidRDefault="00D6398C" w:rsidP="006E152B">
      <w:pPr>
        <w:pStyle w:val="ListParagraph"/>
        <w:numPr>
          <w:ilvl w:val="0"/>
          <w:numId w:val="22"/>
        </w:numPr>
        <w:spacing w:line="240" w:lineRule="auto"/>
        <w:rPr>
          <w:b/>
          <w:bCs/>
          <w:i/>
          <w:iCs/>
          <w:sz w:val="24"/>
          <w:szCs w:val="24"/>
          <w:u w:val="single"/>
        </w:rPr>
      </w:pPr>
      <w:r w:rsidRPr="006E152B">
        <w:rPr>
          <w:b/>
          <w:bCs/>
          <w:i/>
          <w:iCs/>
          <w:sz w:val="24"/>
          <w:szCs w:val="24"/>
          <w:u w:val="single"/>
        </w:rPr>
        <w:t>Incentivising companies to drive consumer value by shaping or proactively responding to changes in how networks are used and services are delivered</w:t>
      </w:r>
    </w:p>
    <w:p w14:paraId="502AC2BA" w14:textId="7260C604" w:rsidR="00E56207" w:rsidRPr="006E152B" w:rsidRDefault="00E726BA" w:rsidP="006E152B">
      <w:pPr>
        <w:spacing w:line="240" w:lineRule="auto"/>
        <w:rPr>
          <w:bCs/>
          <w:iCs/>
          <w:sz w:val="24"/>
          <w:szCs w:val="24"/>
        </w:rPr>
      </w:pPr>
      <w:r w:rsidRPr="006E152B">
        <w:rPr>
          <w:bCs/>
          <w:iCs/>
          <w:sz w:val="24"/>
          <w:szCs w:val="24"/>
        </w:rPr>
        <w:t xml:space="preserve">We agree that </w:t>
      </w:r>
      <w:r w:rsidRPr="006E152B">
        <w:rPr>
          <w:b/>
          <w:bCs/>
          <w:iCs/>
          <w:sz w:val="24"/>
          <w:szCs w:val="24"/>
        </w:rPr>
        <w:t xml:space="preserve">all </w:t>
      </w:r>
      <w:r w:rsidRPr="006E152B">
        <w:rPr>
          <w:bCs/>
          <w:iCs/>
          <w:sz w:val="24"/>
          <w:szCs w:val="24"/>
        </w:rPr>
        <w:t>price controls</w:t>
      </w:r>
      <w:r w:rsidRPr="006E152B">
        <w:rPr>
          <w:b/>
          <w:bCs/>
          <w:iCs/>
          <w:sz w:val="24"/>
          <w:szCs w:val="24"/>
        </w:rPr>
        <w:t xml:space="preserve"> </w:t>
      </w:r>
      <w:r w:rsidRPr="006E152B">
        <w:rPr>
          <w:bCs/>
          <w:iCs/>
          <w:sz w:val="24"/>
          <w:szCs w:val="24"/>
        </w:rPr>
        <w:t xml:space="preserve">should be aligned </w:t>
      </w:r>
      <w:r w:rsidR="00890C6C" w:rsidRPr="006E152B">
        <w:rPr>
          <w:bCs/>
          <w:iCs/>
          <w:sz w:val="24"/>
          <w:szCs w:val="24"/>
        </w:rPr>
        <w:t xml:space="preserve">for the ease of implementation of the </w:t>
      </w:r>
      <w:r w:rsidRPr="006E152B">
        <w:rPr>
          <w:bCs/>
          <w:iCs/>
          <w:sz w:val="24"/>
          <w:szCs w:val="24"/>
        </w:rPr>
        <w:t xml:space="preserve">future </w:t>
      </w:r>
      <w:r w:rsidR="001B6A60" w:rsidRPr="006E152B">
        <w:rPr>
          <w:bCs/>
          <w:iCs/>
          <w:sz w:val="24"/>
          <w:szCs w:val="24"/>
        </w:rPr>
        <w:t xml:space="preserve">energy system </w:t>
      </w:r>
      <w:r w:rsidRPr="006E152B">
        <w:rPr>
          <w:bCs/>
          <w:iCs/>
          <w:sz w:val="24"/>
          <w:szCs w:val="24"/>
        </w:rPr>
        <w:t>–</w:t>
      </w:r>
      <w:r w:rsidR="00890C6C" w:rsidRPr="006E152B">
        <w:rPr>
          <w:bCs/>
          <w:iCs/>
          <w:sz w:val="24"/>
          <w:szCs w:val="24"/>
        </w:rPr>
        <w:t>We believe that to transform the energy system there will need to be greater coordination between gas, heat, electricity and transport</w:t>
      </w:r>
      <w:r w:rsidR="001B6A60" w:rsidRPr="006E152B">
        <w:rPr>
          <w:bCs/>
          <w:iCs/>
          <w:sz w:val="24"/>
          <w:szCs w:val="24"/>
        </w:rPr>
        <w:t xml:space="preserve"> – a whole system approach which would need changes to</w:t>
      </w:r>
      <w:r w:rsidR="008477EA" w:rsidRPr="006E152B">
        <w:rPr>
          <w:bCs/>
          <w:iCs/>
          <w:sz w:val="24"/>
          <w:szCs w:val="24"/>
        </w:rPr>
        <w:t xml:space="preserve"> system direction, </w:t>
      </w:r>
      <w:r w:rsidR="00890C6C" w:rsidRPr="006E152B">
        <w:rPr>
          <w:bCs/>
          <w:iCs/>
          <w:sz w:val="24"/>
          <w:szCs w:val="24"/>
        </w:rPr>
        <w:t xml:space="preserve"> design and governa</w:t>
      </w:r>
      <w:r w:rsidR="008477EA" w:rsidRPr="006E152B">
        <w:rPr>
          <w:bCs/>
          <w:iCs/>
          <w:sz w:val="24"/>
          <w:szCs w:val="24"/>
        </w:rPr>
        <w:t>nce.  Direction</w:t>
      </w:r>
      <w:r w:rsidR="00890C6C" w:rsidRPr="006E152B">
        <w:rPr>
          <w:bCs/>
          <w:iCs/>
          <w:sz w:val="24"/>
          <w:szCs w:val="24"/>
        </w:rPr>
        <w:t xml:space="preserve"> would be led by an independent integrated system operator </w:t>
      </w:r>
      <w:r w:rsidR="008477EA" w:rsidRPr="006E152B">
        <w:rPr>
          <w:bCs/>
          <w:iCs/>
          <w:sz w:val="24"/>
          <w:szCs w:val="24"/>
        </w:rPr>
        <w:t>(IISO) following decisions by the Secretary of State</w:t>
      </w:r>
      <w:r w:rsidR="008477EA" w:rsidRPr="006E152B">
        <w:rPr>
          <w:rStyle w:val="FootnoteReference"/>
          <w:bCs/>
          <w:iCs/>
          <w:sz w:val="24"/>
          <w:szCs w:val="24"/>
        </w:rPr>
        <w:footnoteReference w:id="42"/>
      </w:r>
      <w:r w:rsidR="00863A54" w:rsidRPr="006E152B">
        <w:rPr>
          <w:bCs/>
          <w:iCs/>
          <w:sz w:val="24"/>
          <w:szCs w:val="24"/>
        </w:rPr>
        <w:t>.  G</w:t>
      </w:r>
      <w:r w:rsidR="00890C6C" w:rsidRPr="006E152B">
        <w:rPr>
          <w:bCs/>
          <w:iCs/>
          <w:sz w:val="24"/>
          <w:szCs w:val="24"/>
        </w:rPr>
        <w:t xml:space="preserve">overnance </w:t>
      </w:r>
      <w:r w:rsidR="00863A54" w:rsidRPr="006E152B">
        <w:rPr>
          <w:bCs/>
          <w:iCs/>
          <w:sz w:val="24"/>
          <w:szCs w:val="24"/>
        </w:rPr>
        <w:t xml:space="preserve">will be based on legitimate direction from the top, optimisation of supply and demand from the bottom up, and then middle out facilitation </w:t>
      </w:r>
      <w:r w:rsidR="00863A54" w:rsidRPr="006E152B">
        <w:rPr>
          <w:bCs/>
          <w:iCs/>
          <w:sz w:val="24"/>
          <w:szCs w:val="24"/>
        </w:rPr>
        <w:lastRenderedPageBreak/>
        <w:t xml:space="preserve">through system and market institutions.  In order to allow for this greater coordination of both the system and </w:t>
      </w:r>
      <w:r w:rsidR="001B6A60" w:rsidRPr="006E152B">
        <w:rPr>
          <w:bCs/>
          <w:iCs/>
          <w:sz w:val="24"/>
          <w:szCs w:val="24"/>
        </w:rPr>
        <w:t xml:space="preserve">its </w:t>
      </w:r>
      <w:r w:rsidR="00863A54" w:rsidRPr="006E152B">
        <w:rPr>
          <w:bCs/>
          <w:iCs/>
          <w:sz w:val="24"/>
          <w:szCs w:val="24"/>
        </w:rPr>
        <w:t>governance it will be essential for price controls to reflect this coordination</w:t>
      </w:r>
      <w:r w:rsidR="00AB59C0" w:rsidRPr="006E152B">
        <w:rPr>
          <w:bCs/>
          <w:iCs/>
          <w:sz w:val="24"/>
          <w:szCs w:val="24"/>
        </w:rPr>
        <w:t xml:space="preserve"> </w:t>
      </w:r>
      <w:r w:rsidR="00AB59C0" w:rsidRPr="006E152B">
        <w:rPr>
          <w:rStyle w:val="FootnoteReference"/>
          <w:bCs/>
          <w:iCs/>
          <w:sz w:val="24"/>
          <w:szCs w:val="24"/>
        </w:rPr>
        <w:footnoteReference w:id="43"/>
      </w:r>
      <w:r w:rsidR="00863A54" w:rsidRPr="006E152B">
        <w:rPr>
          <w:bCs/>
          <w:iCs/>
          <w:sz w:val="24"/>
          <w:szCs w:val="24"/>
        </w:rPr>
        <w:t>.</w:t>
      </w:r>
    </w:p>
    <w:p w14:paraId="3CC42116" w14:textId="3E4E7E66" w:rsidR="00FA186A" w:rsidRPr="006E152B" w:rsidRDefault="00FA186A" w:rsidP="006E152B">
      <w:pPr>
        <w:spacing w:line="240" w:lineRule="auto"/>
        <w:rPr>
          <w:bCs/>
          <w:iCs/>
          <w:sz w:val="24"/>
          <w:szCs w:val="24"/>
        </w:rPr>
      </w:pPr>
      <w:r w:rsidRPr="006E152B">
        <w:rPr>
          <w:bCs/>
          <w:iCs/>
          <w:sz w:val="24"/>
          <w:szCs w:val="24"/>
        </w:rPr>
        <w:t>However, we are unhappy that we have to wait until 2023 for this</w:t>
      </w:r>
      <w:r w:rsidR="00106397" w:rsidRPr="006E152B">
        <w:rPr>
          <w:bCs/>
          <w:iCs/>
          <w:sz w:val="24"/>
          <w:szCs w:val="24"/>
        </w:rPr>
        <w:t xml:space="preserve"> </w:t>
      </w:r>
      <w:r w:rsidR="006E152B" w:rsidRPr="006E152B">
        <w:rPr>
          <w:bCs/>
          <w:iCs/>
          <w:sz w:val="24"/>
          <w:szCs w:val="24"/>
        </w:rPr>
        <w:t>(2021 for the non-</w:t>
      </w:r>
      <w:r w:rsidR="00B51889" w:rsidRPr="006E152B">
        <w:rPr>
          <w:bCs/>
          <w:iCs/>
          <w:sz w:val="24"/>
          <w:szCs w:val="24"/>
        </w:rPr>
        <w:t>electricity distribution price controls, and 2023 for the electricity distribution)</w:t>
      </w:r>
      <w:r w:rsidRPr="006E152B">
        <w:rPr>
          <w:bCs/>
          <w:iCs/>
          <w:sz w:val="24"/>
          <w:szCs w:val="24"/>
        </w:rPr>
        <w:t xml:space="preserve">. </w:t>
      </w:r>
      <w:r w:rsidR="00B51889" w:rsidRPr="006E152B">
        <w:rPr>
          <w:bCs/>
          <w:iCs/>
          <w:sz w:val="24"/>
          <w:szCs w:val="24"/>
        </w:rPr>
        <w:t>The question of the transmission system operator timescales has also been discussed. One solution might be that the SO price control</w:t>
      </w:r>
      <w:r w:rsidR="00106397" w:rsidRPr="006E152B">
        <w:rPr>
          <w:bCs/>
          <w:iCs/>
          <w:sz w:val="24"/>
          <w:szCs w:val="24"/>
        </w:rPr>
        <w:t xml:space="preserve"> start</w:t>
      </w:r>
      <w:r w:rsidR="006E152B" w:rsidRPr="006E152B">
        <w:rPr>
          <w:bCs/>
          <w:iCs/>
          <w:sz w:val="24"/>
          <w:szCs w:val="24"/>
        </w:rPr>
        <w:t xml:space="preserve"> is put off until 2021; </w:t>
      </w:r>
      <w:r w:rsidR="00B51889" w:rsidRPr="006E152B">
        <w:rPr>
          <w:bCs/>
          <w:iCs/>
          <w:sz w:val="24"/>
          <w:szCs w:val="24"/>
        </w:rPr>
        <w:t>the ED-I be reduced to 6 years</w:t>
      </w:r>
      <w:r w:rsidR="00106397" w:rsidRPr="006E152B">
        <w:rPr>
          <w:bCs/>
          <w:iCs/>
          <w:sz w:val="24"/>
          <w:szCs w:val="24"/>
        </w:rPr>
        <w:t>, so end in 2021</w:t>
      </w:r>
      <w:r w:rsidR="00C33804">
        <w:rPr>
          <w:bCs/>
          <w:iCs/>
          <w:sz w:val="24"/>
          <w:szCs w:val="24"/>
        </w:rPr>
        <w:t xml:space="preserve">. </w:t>
      </w:r>
      <w:r w:rsidR="00B51889" w:rsidRPr="006E152B">
        <w:rPr>
          <w:bCs/>
          <w:iCs/>
          <w:sz w:val="24"/>
          <w:szCs w:val="24"/>
        </w:rPr>
        <w:t xml:space="preserve">The price control </w:t>
      </w:r>
      <w:r w:rsidR="00106397" w:rsidRPr="006E152B">
        <w:rPr>
          <w:bCs/>
          <w:iCs/>
          <w:sz w:val="24"/>
          <w:szCs w:val="24"/>
        </w:rPr>
        <w:t xml:space="preserve">terms </w:t>
      </w:r>
      <w:r w:rsidR="00B51889" w:rsidRPr="006E152B">
        <w:rPr>
          <w:bCs/>
          <w:iCs/>
          <w:sz w:val="24"/>
          <w:szCs w:val="24"/>
        </w:rPr>
        <w:t xml:space="preserve">could then come together then – and be a much more integrated approach to energy system regulation.  </w:t>
      </w:r>
    </w:p>
    <w:p w14:paraId="383B0AB7" w14:textId="56A66C47" w:rsidR="006E152B" w:rsidRPr="006E152B" w:rsidRDefault="006E152B" w:rsidP="006E152B">
      <w:pPr>
        <w:spacing w:line="240" w:lineRule="auto"/>
        <w:rPr>
          <w:bCs/>
          <w:iCs/>
          <w:sz w:val="24"/>
          <w:szCs w:val="24"/>
        </w:rPr>
      </w:pPr>
      <w:r w:rsidRPr="006E152B">
        <w:rPr>
          <w:bCs/>
          <w:iCs/>
          <w:sz w:val="24"/>
          <w:szCs w:val="24"/>
        </w:rPr>
        <w:t>In the meantime, this would allow the SO to be entirely separate</w:t>
      </w:r>
      <w:r w:rsidR="00C33804">
        <w:rPr>
          <w:bCs/>
          <w:iCs/>
          <w:sz w:val="24"/>
          <w:szCs w:val="24"/>
        </w:rPr>
        <w:t>d</w:t>
      </w:r>
      <w:r w:rsidRPr="006E152B">
        <w:rPr>
          <w:bCs/>
          <w:iCs/>
          <w:sz w:val="24"/>
          <w:szCs w:val="24"/>
        </w:rPr>
        <w:t xml:space="preserve"> from NGG – as we argued for</w:t>
      </w:r>
      <w:r w:rsidRPr="006E152B">
        <w:rPr>
          <w:rStyle w:val="FootnoteReference"/>
          <w:bCs/>
          <w:iCs/>
          <w:sz w:val="24"/>
          <w:szCs w:val="24"/>
        </w:rPr>
        <w:footnoteReference w:id="44"/>
      </w:r>
      <w:r w:rsidR="00C33804">
        <w:rPr>
          <w:bCs/>
          <w:iCs/>
          <w:sz w:val="24"/>
          <w:szCs w:val="24"/>
        </w:rPr>
        <w:t xml:space="preserve">. </w:t>
      </w:r>
      <w:r w:rsidRPr="006E152B">
        <w:rPr>
          <w:bCs/>
          <w:iCs/>
          <w:sz w:val="24"/>
          <w:szCs w:val="24"/>
        </w:rPr>
        <w:t xml:space="preserve">It would also allow for Ofgem and BEIS to work out their own high level fit-for-governance package AND decide on future RIIO details. </w:t>
      </w:r>
    </w:p>
    <w:p w14:paraId="137D4791" w14:textId="77777777" w:rsidR="002963D1" w:rsidRPr="00723494" w:rsidRDefault="002963D1" w:rsidP="006E152B">
      <w:pPr>
        <w:spacing w:line="240" w:lineRule="auto"/>
        <w:rPr>
          <w:b/>
          <w:i/>
          <w:iCs/>
          <w:sz w:val="24"/>
          <w:szCs w:val="24"/>
        </w:rPr>
      </w:pPr>
      <w:r w:rsidRPr="00723494">
        <w:rPr>
          <w:b/>
          <w:i/>
          <w:iCs/>
          <w:sz w:val="24"/>
          <w:szCs w:val="24"/>
        </w:rPr>
        <w:t xml:space="preserve">Flexibility </w:t>
      </w:r>
    </w:p>
    <w:p w14:paraId="3916A228" w14:textId="4994D069" w:rsidR="00FA186A" w:rsidRPr="006E152B" w:rsidRDefault="00863A54" w:rsidP="006E152B">
      <w:pPr>
        <w:spacing w:line="240" w:lineRule="auto"/>
        <w:rPr>
          <w:bCs/>
          <w:iCs/>
          <w:sz w:val="24"/>
          <w:szCs w:val="24"/>
        </w:rPr>
      </w:pPr>
      <w:r w:rsidRPr="006E152B">
        <w:rPr>
          <w:bCs/>
          <w:iCs/>
          <w:sz w:val="24"/>
          <w:szCs w:val="24"/>
        </w:rPr>
        <w:t>As previously mentioned, a DER plan</w:t>
      </w:r>
      <w:r w:rsidR="00C33804">
        <w:rPr>
          <w:bCs/>
          <w:iCs/>
          <w:sz w:val="24"/>
          <w:szCs w:val="24"/>
        </w:rPr>
        <w:t xml:space="preserve"> </w:t>
      </w:r>
      <w:r w:rsidR="00106397" w:rsidRPr="006E152B">
        <w:rPr>
          <w:bCs/>
          <w:iCs/>
          <w:sz w:val="24"/>
          <w:szCs w:val="24"/>
        </w:rPr>
        <w:t>for each DNO area</w:t>
      </w:r>
      <w:r w:rsidRPr="006E152B">
        <w:rPr>
          <w:bCs/>
          <w:iCs/>
          <w:sz w:val="24"/>
          <w:szCs w:val="24"/>
        </w:rPr>
        <w:t xml:space="preserve"> will be necessary to allow networks to </w:t>
      </w:r>
      <w:r w:rsidR="00FA186A" w:rsidRPr="006E152B">
        <w:rPr>
          <w:bCs/>
          <w:iCs/>
          <w:sz w:val="24"/>
          <w:szCs w:val="24"/>
        </w:rPr>
        <w:t xml:space="preserve">know what DER they have in their area; and then to </w:t>
      </w:r>
      <w:r w:rsidRPr="006E152B">
        <w:rPr>
          <w:bCs/>
          <w:iCs/>
          <w:sz w:val="24"/>
          <w:szCs w:val="24"/>
        </w:rPr>
        <w:t xml:space="preserve">assess the value of </w:t>
      </w:r>
      <w:r w:rsidR="006246DD" w:rsidRPr="006E152B">
        <w:rPr>
          <w:bCs/>
          <w:iCs/>
          <w:sz w:val="24"/>
          <w:szCs w:val="24"/>
        </w:rPr>
        <w:t xml:space="preserve"> DER </w:t>
      </w:r>
      <w:r w:rsidR="00FA186A" w:rsidRPr="006E152B">
        <w:rPr>
          <w:bCs/>
          <w:iCs/>
          <w:sz w:val="24"/>
          <w:szCs w:val="24"/>
        </w:rPr>
        <w:t xml:space="preserve">– both for energy and for system </w:t>
      </w:r>
      <w:r w:rsidRPr="006E152B">
        <w:rPr>
          <w:bCs/>
          <w:iCs/>
          <w:sz w:val="24"/>
          <w:szCs w:val="24"/>
        </w:rPr>
        <w:t>solutions to link in with the Ofgem future</w:t>
      </w:r>
      <w:r w:rsidR="006246DD" w:rsidRPr="006E152B">
        <w:rPr>
          <w:bCs/>
          <w:iCs/>
          <w:sz w:val="24"/>
          <w:szCs w:val="24"/>
        </w:rPr>
        <w:t xml:space="preserve"> </w:t>
      </w:r>
      <w:r w:rsidR="001B6A60" w:rsidRPr="006E152B">
        <w:rPr>
          <w:bCs/>
          <w:iCs/>
          <w:sz w:val="24"/>
          <w:szCs w:val="24"/>
        </w:rPr>
        <w:t xml:space="preserve">energy system </w:t>
      </w:r>
      <w:r w:rsidRPr="006E152B">
        <w:rPr>
          <w:bCs/>
          <w:iCs/>
          <w:sz w:val="24"/>
          <w:szCs w:val="24"/>
        </w:rPr>
        <w:t xml:space="preserve">vision. </w:t>
      </w:r>
      <w:r w:rsidR="00FA186A" w:rsidRPr="006E152B">
        <w:rPr>
          <w:bCs/>
          <w:iCs/>
          <w:sz w:val="24"/>
          <w:szCs w:val="24"/>
        </w:rPr>
        <w:t>Then those values have to be incorporat</w:t>
      </w:r>
      <w:r w:rsidR="00B51889" w:rsidRPr="006E152B">
        <w:rPr>
          <w:bCs/>
          <w:iCs/>
          <w:sz w:val="24"/>
          <w:szCs w:val="24"/>
        </w:rPr>
        <w:t xml:space="preserve">ed into the regulatory process </w:t>
      </w:r>
      <w:r w:rsidR="00FA186A" w:rsidRPr="006E152B">
        <w:rPr>
          <w:bCs/>
          <w:iCs/>
          <w:sz w:val="24"/>
          <w:szCs w:val="24"/>
        </w:rPr>
        <w:t xml:space="preserve">- and this may need Code and License changes. </w:t>
      </w:r>
    </w:p>
    <w:p w14:paraId="4D053D87" w14:textId="4295CFCE" w:rsidR="000B5698" w:rsidRDefault="00FA186A" w:rsidP="006E152B">
      <w:pPr>
        <w:spacing w:line="240" w:lineRule="auto"/>
        <w:rPr>
          <w:bCs/>
          <w:iCs/>
          <w:sz w:val="24"/>
          <w:szCs w:val="24"/>
        </w:rPr>
      </w:pPr>
      <w:r w:rsidRPr="006E152B">
        <w:rPr>
          <w:bCs/>
          <w:iCs/>
          <w:sz w:val="24"/>
          <w:szCs w:val="24"/>
        </w:rPr>
        <w:t xml:space="preserve">The value of DER and the size of its resource cannot really be known until the ‘data’ within an area – </w:t>
      </w:r>
      <w:r w:rsidR="00106397" w:rsidRPr="006E152B">
        <w:rPr>
          <w:bCs/>
          <w:iCs/>
          <w:sz w:val="24"/>
          <w:szCs w:val="24"/>
        </w:rPr>
        <w:t xml:space="preserve">system data </w:t>
      </w:r>
      <w:r w:rsidRPr="006E152B">
        <w:rPr>
          <w:bCs/>
          <w:iCs/>
          <w:sz w:val="24"/>
          <w:szCs w:val="24"/>
        </w:rPr>
        <w:t>currently held by</w:t>
      </w:r>
      <w:r w:rsidR="00B51889" w:rsidRPr="006E152B">
        <w:rPr>
          <w:bCs/>
          <w:iCs/>
          <w:sz w:val="24"/>
          <w:szCs w:val="24"/>
        </w:rPr>
        <w:t xml:space="preserve"> </w:t>
      </w:r>
      <w:r w:rsidR="00106397" w:rsidRPr="006E152B">
        <w:rPr>
          <w:bCs/>
          <w:iCs/>
          <w:sz w:val="24"/>
          <w:szCs w:val="24"/>
        </w:rPr>
        <w:t xml:space="preserve">DNOs and customer date </w:t>
      </w:r>
      <w:r w:rsidRPr="006E152B">
        <w:rPr>
          <w:bCs/>
          <w:iCs/>
          <w:sz w:val="24"/>
          <w:szCs w:val="24"/>
        </w:rPr>
        <w:t xml:space="preserve"> by suppliers –</w:t>
      </w:r>
      <w:r w:rsidR="00C33804">
        <w:rPr>
          <w:bCs/>
          <w:iCs/>
          <w:sz w:val="24"/>
          <w:szCs w:val="24"/>
        </w:rPr>
        <w:t xml:space="preserve"> is opened up to all stake</w:t>
      </w:r>
      <w:r w:rsidR="00106397" w:rsidRPr="006E152B">
        <w:rPr>
          <w:bCs/>
          <w:iCs/>
          <w:sz w:val="24"/>
          <w:szCs w:val="24"/>
        </w:rPr>
        <w:t xml:space="preserve">holders. Establishing DER assessments would do that. </w:t>
      </w:r>
      <w:r w:rsidRPr="006E152B">
        <w:rPr>
          <w:bCs/>
          <w:iCs/>
          <w:sz w:val="24"/>
          <w:szCs w:val="24"/>
        </w:rPr>
        <w:t xml:space="preserve"> We recommend a Data</w:t>
      </w:r>
      <w:r w:rsidR="00C33804">
        <w:rPr>
          <w:bCs/>
          <w:iCs/>
          <w:sz w:val="24"/>
          <w:szCs w:val="24"/>
        </w:rPr>
        <w:t xml:space="preserve"> </w:t>
      </w:r>
      <w:r w:rsidRPr="006E152B">
        <w:rPr>
          <w:bCs/>
          <w:iCs/>
          <w:sz w:val="24"/>
          <w:szCs w:val="24"/>
        </w:rPr>
        <w:t>Body as is occurring in Denmark but we have also flagged possible links with Open Banking which is occurring in GB.</w:t>
      </w:r>
      <w:r w:rsidRPr="006E152B">
        <w:rPr>
          <w:rStyle w:val="FootnoteReference"/>
          <w:bCs/>
          <w:iCs/>
          <w:sz w:val="24"/>
          <w:szCs w:val="24"/>
        </w:rPr>
        <w:footnoteReference w:id="45"/>
      </w:r>
      <w:r w:rsidRPr="006E152B">
        <w:rPr>
          <w:bCs/>
          <w:iCs/>
          <w:sz w:val="24"/>
          <w:szCs w:val="24"/>
        </w:rPr>
        <w:t xml:space="preserve"> </w:t>
      </w:r>
      <w:r w:rsidR="006246DD" w:rsidRPr="006E152B">
        <w:rPr>
          <w:bCs/>
          <w:iCs/>
          <w:sz w:val="24"/>
          <w:szCs w:val="24"/>
        </w:rPr>
        <w:t xml:space="preserve">. </w:t>
      </w:r>
    </w:p>
    <w:p w14:paraId="79BA53D7" w14:textId="412302F7" w:rsidR="006E152B" w:rsidRPr="006E152B" w:rsidRDefault="006E152B" w:rsidP="006E152B">
      <w:pPr>
        <w:spacing w:line="240" w:lineRule="auto"/>
        <w:rPr>
          <w:bCs/>
          <w:iCs/>
          <w:sz w:val="24"/>
          <w:szCs w:val="24"/>
        </w:rPr>
      </w:pPr>
      <w:r w:rsidRPr="006E152B">
        <w:rPr>
          <w:bCs/>
          <w:iCs/>
          <w:sz w:val="24"/>
          <w:szCs w:val="24"/>
        </w:rPr>
        <w:t xml:space="preserve">Only at that point can one understand what is ‘cost effective’. </w:t>
      </w:r>
    </w:p>
    <w:p w14:paraId="082F04F2" w14:textId="27420F1F" w:rsidR="000B5698" w:rsidRPr="006E152B" w:rsidRDefault="006246DD" w:rsidP="006E152B">
      <w:pPr>
        <w:spacing w:line="240" w:lineRule="auto"/>
        <w:rPr>
          <w:bCs/>
          <w:iCs/>
          <w:sz w:val="24"/>
          <w:szCs w:val="24"/>
        </w:rPr>
      </w:pPr>
      <w:r w:rsidRPr="006E152B">
        <w:rPr>
          <w:bCs/>
          <w:iCs/>
          <w:sz w:val="24"/>
          <w:szCs w:val="24"/>
        </w:rPr>
        <w:t xml:space="preserve"> </w:t>
      </w:r>
      <w:r w:rsidR="00E16A8D" w:rsidRPr="006E152B">
        <w:rPr>
          <w:bCs/>
          <w:iCs/>
          <w:sz w:val="24"/>
          <w:szCs w:val="24"/>
        </w:rPr>
        <w:t>If we wish companies to innovate and use smart</w:t>
      </w:r>
      <w:r w:rsidR="006E152B">
        <w:rPr>
          <w:bCs/>
          <w:iCs/>
          <w:sz w:val="24"/>
          <w:szCs w:val="24"/>
        </w:rPr>
        <w:t xml:space="preserve"> and flexible</w:t>
      </w:r>
      <w:r w:rsidR="00E16A8D" w:rsidRPr="006E152B">
        <w:rPr>
          <w:bCs/>
          <w:iCs/>
          <w:sz w:val="24"/>
          <w:szCs w:val="24"/>
        </w:rPr>
        <w:t xml:space="preserve"> alternatives</w:t>
      </w:r>
      <w:r w:rsidR="006E152B">
        <w:rPr>
          <w:bCs/>
          <w:iCs/>
          <w:sz w:val="24"/>
          <w:szCs w:val="24"/>
        </w:rPr>
        <w:t xml:space="preserve"> to networks</w:t>
      </w:r>
      <w:r w:rsidR="00E16A8D" w:rsidRPr="006E152B">
        <w:rPr>
          <w:bCs/>
          <w:iCs/>
          <w:sz w:val="24"/>
          <w:szCs w:val="24"/>
        </w:rPr>
        <w:t xml:space="preserve"> then t</w:t>
      </w:r>
      <w:r w:rsidRPr="006E152B">
        <w:rPr>
          <w:bCs/>
          <w:iCs/>
          <w:sz w:val="24"/>
          <w:szCs w:val="24"/>
        </w:rPr>
        <w:t>he onus should be on</w:t>
      </w:r>
      <w:r w:rsidR="006E152B">
        <w:rPr>
          <w:bCs/>
          <w:iCs/>
          <w:sz w:val="24"/>
          <w:szCs w:val="24"/>
        </w:rPr>
        <w:t xml:space="preserve"> incentives for</w:t>
      </w:r>
      <w:r w:rsidRPr="006E152B">
        <w:rPr>
          <w:bCs/>
          <w:iCs/>
          <w:sz w:val="24"/>
          <w:szCs w:val="24"/>
        </w:rPr>
        <w:t xml:space="preserve"> innovative solutions</w:t>
      </w:r>
      <w:r w:rsidR="005447D2" w:rsidRPr="006E152B">
        <w:rPr>
          <w:bCs/>
          <w:iCs/>
          <w:sz w:val="24"/>
          <w:szCs w:val="24"/>
        </w:rPr>
        <w:t xml:space="preserve"> </w:t>
      </w:r>
      <w:r w:rsidR="00106397" w:rsidRPr="006E152B">
        <w:rPr>
          <w:bCs/>
          <w:iCs/>
          <w:sz w:val="24"/>
          <w:szCs w:val="24"/>
        </w:rPr>
        <w:t xml:space="preserve">being in the PBR – this absolutely is not the situation in  </w:t>
      </w:r>
      <w:r w:rsidR="000B5698" w:rsidRPr="006E152B">
        <w:rPr>
          <w:bCs/>
          <w:iCs/>
          <w:sz w:val="24"/>
          <w:szCs w:val="24"/>
        </w:rPr>
        <w:t>RIIO-1</w:t>
      </w:r>
      <w:r w:rsidR="006E152B">
        <w:rPr>
          <w:bCs/>
          <w:iCs/>
          <w:sz w:val="24"/>
          <w:szCs w:val="24"/>
        </w:rPr>
        <w:t xml:space="preserve">.  </w:t>
      </w:r>
      <w:r w:rsidR="00E16A8D" w:rsidRPr="006E152B">
        <w:rPr>
          <w:bCs/>
          <w:iCs/>
          <w:sz w:val="24"/>
          <w:szCs w:val="24"/>
        </w:rPr>
        <w:t xml:space="preserve">To achieve this </w:t>
      </w:r>
      <w:r w:rsidR="00B51889" w:rsidRPr="006E152B">
        <w:rPr>
          <w:bCs/>
          <w:iCs/>
          <w:sz w:val="24"/>
          <w:szCs w:val="24"/>
        </w:rPr>
        <w:t xml:space="preserve">in RIIO-2, </w:t>
      </w:r>
      <w:r w:rsidR="00E16A8D" w:rsidRPr="006E152B">
        <w:rPr>
          <w:bCs/>
          <w:iCs/>
          <w:sz w:val="24"/>
          <w:szCs w:val="24"/>
        </w:rPr>
        <w:t>w</w:t>
      </w:r>
      <w:r w:rsidR="005447D2" w:rsidRPr="006E152B">
        <w:rPr>
          <w:bCs/>
          <w:iCs/>
          <w:sz w:val="24"/>
          <w:szCs w:val="24"/>
        </w:rPr>
        <w:t>e would recommend that</w:t>
      </w:r>
      <w:r w:rsidR="006E152B">
        <w:rPr>
          <w:bCs/>
          <w:iCs/>
          <w:sz w:val="24"/>
          <w:szCs w:val="24"/>
        </w:rPr>
        <w:t xml:space="preserve"> the level of</w:t>
      </w:r>
      <w:r w:rsidR="005447D2" w:rsidRPr="006E152B">
        <w:rPr>
          <w:bCs/>
          <w:iCs/>
          <w:sz w:val="24"/>
          <w:szCs w:val="24"/>
        </w:rPr>
        <w:t xml:space="preserve"> </w:t>
      </w:r>
      <w:r w:rsidR="00E16A8D" w:rsidRPr="006E152B">
        <w:rPr>
          <w:bCs/>
          <w:iCs/>
          <w:sz w:val="24"/>
          <w:szCs w:val="24"/>
        </w:rPr>
        <w:t>inn</w:t>
      </w:r>
      <w:r w:rsidR="007717CF" w:rsidRPr="006E152B">
        <w:rPr>
          <w:bCs/>
          <w:iCs/>
          <w:sz w:val="24"/>
          <w:szCs w:val="24"/>
        </w:rPr>
        <w:t xml:space="preserve">ovation should become an </w:t>
      </w:r>
      <w:r w:rsidR="000B5698" w:rsidRPr="006E152B">
        <w:rPr>
          <w:bCs/>
          <w:iCs/>
          <w:sz w:val="24"/>
          <w:szCs w:val="24"/>
        </w:rPr>
        <w:t xml:space="preserve">incentivised </w:t>
      </w:r>
      <w:r w:rsidR="007717CF" w:rsidRPr="006E152B">
        <w:rPr>
          <w:bCs/>
          <w:iCs/>
          <w:sz w:val="24"/>
          <w:szCs w:val="24"/>
        </w:rPr>
        <w:t xml:space="preserve">output. </w:t>
      </w:r>
      <w:r w:rsidR="000B5698" w:rsidRPr="006E152B">
        <w:rPr>
          <w:bCs/>
          <w:iCs/>
          <w:sz w:val="24"/>
          <w:szCs w:val="24"/>
        </w:rPr>
        <w:t xml:space="preserve">NYS has done this by incentivising </w:t>
      </w:r>
      <w:r w:rsidR="006E152B">
        <w:rPr>
          <w:bCs/>
          <w:iCs/>
          <w:sz w:val="24"/>
          <w:szCs w:val="24"/>
        </w:rPr>
        <w:t xml:space="preserve">non-wire </w:t>
      </w:r>
      <w:r w:rsidR="000B5698" w:rsidRPr="006E152B">
        <w:rPr>
          <w:bCs/>
          <w:iCs/>
          <w:sz w:val="24"/>
          <w:szCs w:val="24"/>
        </w:rPr>
        <w:t xml:space="preserve">transactions – ie a move away from a payment per energy unit crossing the network to payment per transaction. </w:t>
      </w:r>
      <w:r w:rsidR="007902C6" w:rsidRPr="006E152B">
        <w:rPr>
          <w:bCs/>
          <w:iCs/>
          <w:sz w:val="24"/>
          <w:szCs w:val="24"/>
        </w:rPr>
        <w:t xml:space="preserve">We </w:t>
      </w:r>
      <w:r w:rsidR="00E16A8D" w:rsidRPr="006E152B">
        <w:rPr>
          <w:bCs/>
          <w:iCs/>
          <w:sz w:val="24"/>
          <w:szCs w:val="24"/>
        </w:rPr>
        <w:t xml:space="preserve">would also </w:t>
      </w:r>
      <w:r w:rsidR="007902C6" w:rsidRPr="006E152B">
        <w:rPr>
          <w:bCs/>
          <w:iCs/>
          <w:sz w:val="24"/>
          <w:szCs w:val="24"/>
        </w:rPr>
        <w:t xml:space="preserve">recommend that a financial incentive only be given if </w:t>
      </w:r>
      <w:r w:rsidR="007902C6" w:rsidRPr="006E152B">
        <w:rPr>
          <w:b/>
          <w:bCs/>
          <w:iCs/>
          <w:sz w:val="24"/>
          <w:szCs w:val="24"/>
        </w:rPr>
        <w:t xml:space="preserve">all </w:t>
      </w:r>
      <w:r w:rsidR="007902C6" w:rsidRPr="006E152B">
        <w:rPr>
          <w:bCs/>
          <w:iCs/>
          <w:sz w:val="24"/>
          <w:szCs w:val="24"/>
        </w:rPr>
        <w:t>outputs are met.</w:t>
      </w:r>
      <w:r w:rsidR="000B5698" w:rsidRPr="006E152B">
        <w:rPr>
          <w:bCs/>
          <w:iCs/>
          <w:sz w:val="24"/>
          <w:szCs w:val="24"/>
        </w:rPr>
        <w:t xml:space="preserve"> </w:t>
      </w:r>
    </w:p>
    <w:p w14:paraId="5A6AB3E7" w14:textId="1F794693" w:rsidR="00863A54" w:rsidRPr="006E152B" w:rsidRDefault="00106397" w:rsidP="006E152B">
      <w:pPr>
        <w:spacing w:line="240" w:lineRule="auto"/>
        <w:rPr>
          <w:bCs/>
          <w:iCs/>
          <w:sz w:val="24"/>
          <w:szCs w:val="24"/>
        </w:rPr>
      </w:pPr>
      <w:r w:rsidRPr="006E152B">
        <w:rPr>
          <w:bCs/>
          <w:iCs/>
          <w:sz w:val="24"/>
          <w:szCs w:val="24"/>
        </w:rPr>
        <w:t xml:space="preserve">We also support an end to </w:t>
      </w:r>
      <w:r w:rsidR="000B5698" w:rsidRPr="006E152B">
        <w:rPr>
          <w:bCs/>
          <w:iCs/>
          <w:sz w:val="24"/>
          <w:szCs w:val="24"/>
        </w:rPr>
        <w:t xml:space="preserve">‘pilots’ for innovation. We have had the LCNF; now we have NIA and NIC. There are other monies which can be accessed for ‘innovation’. These have so far not been successful in moving these pilots on from pilots to part of the business plans. We argue that we need to move to DER plans, and an opening up of data so that new entrants </w:t>
      </w:r>
      <w:r w:rsidR="000B5698" w:rsidRPr="006E152B">
        <w:rPr>
          <w:bCs/>
          <w:iCs/>
          <w:sz w:val="24"/>
          <w:szCs w:val="24"/>
        </w:rPr>
        <w:lastRenderedPageBreak/>
        <w:t xml:space="preserve">can work out the value of different aspects of energy system operation + and then combine this with PBR on transactions and to support public policy goals. </w:t>
      </w:r>
    </w:p>
    <w:p w14:paraId="4A848B32" w14:textId="77777777" w:rsidR="002963D1" w:rsidRPr="00723494" w:rsidRDefault="002963D1" w:rsidP="006E152B">
      <w:pPr>
        <w:spacing w:line="240" w:lineRule="auto"/>
        <w:rPr>
          <w:b/>
          <w:i/>
          <w:iCs/>
          <w:sz w:val="24"/>
          <w:szCs w:val="24"/>
        </w:rPr>
      </w:pPr>
      <w:r w:rsidRPr="00723494">
        <w:rPr>
          <w:b/>
          <w:i/>
          <w:iCs/>
          <w:sz w:val="24"/>
          <w:szCs w:val="24"/>
        </w:rPr>
        <w:t xml:space="preserve">Managing asset utilisation risk </w:t>
      </w:r>
    </w:p>
    <w:p w14:paraId="1AB70DFF" w14:textId="6B8943E9" w:rsidR="00106397" w:rsidRPr="006E152B" w:rsidRDefault="00740BF1" w:rsidP="006E152B">
      <w:pPr>
        <w:spacing w:line="240" w:lineRule="auto"/>
        <w:rPr>
          <w:bCs/>
          <w:iCs/>
          <w:sz w:val="24"/>
          <w:szCs w:val="24"/>
        </w:rPr>
      </w:pPr>
      <w:r w:rsidRPr="006E152B">
        <w:rPr>
          <w:bCs/>
          <w:iCs/>
          <w:sz w:val="24"/>
          <w:szCs w:val="24"/>
        </w:rPr>
        <w:t>Customers pay enormous amounts of money to these companies for a very</w:t>
      </w:r>
      <w:r w:rsidR="006E152B">
        <w:rPr>
          <w:bCs/>
          <w:iCs/>
          <w:sz w:val="24"/>
          <w:szCs w:val="24"/>
        </w:rPr>
        <w:t xml:space="preserve"> poor service</w:t>
      </w:r>
      <w:r w:rsidR="005515D3">
        <w:rPr>
          <w:rStyle w:val="FootnoteReference"/>
          <w:bCs/>
          <w:iCs/>
          <w:sz w:val="24"/>
          <w:szCs w:val="24"/>
        </w:rPr>
        <w:footnoteReference w:id="46"/>
      </w:r>
      <w:r w:rsidR="006E152B">
        <w:rPr>
          <w:bCs/>
          <w:iCs/>
          <w:sz w:val="24"/>
          <w:szCs w:val="24"/>
        </w:rPr>
        <w:t>. The onus on the R</w:t>
      </w:r>
      <w:r w:rsidRPr="006E152B">
        <w:rPr>
          <w:bCs/>
          <w:iCs/>
          <w:sz w:val="24"/>
          <w:szCs w:val="24"/>
        </w:rPr>
        <w:t>egulator and the Government should be on</w:t>
      </w:r>
      <w:r w:rsidR="006E152B">
        <w:rPr>
          <w:bCs/>
          <w:iCs/>
          <w:sz w:val="24"/>
          <w:szCs w:val="24"/>
        </w:rPr>
        <w:t xml:space="preserve"> </w:t>
      </w:r>
      <w:r w:rsidRPr="006E152B">
        <w:rPr>
          <w:bCs/>
          <w:iCs/>
          <w:sz w:val="24"/>
          <w:szCs w:val="24"/>
        </w:rPr>
        <w:t xml:space="preserve">transforming </w:t>
      </w:r>
      <w:r w:rsidR="006E152B">
        <w:rPr>
          <w:bCs/>
          <w:iCs/>
          <w:sz w:val="24"/>
          <w:szCs w:val="24"/>
        </w:rPr>
        <w:t xml:space="preserve">these </w:t>
      </w:r>
      <w:r w:rsidRPr="006E152B">
        <w:rPr>
          <w:bCs/>
          <w:iCs/>
          <w:sz w:val="24"/>
          <w:szCs w:val="24"/>
        </w:rPr>
        <w:t xml:space="preserve">companies into professional, well run ISOs or companies which are providing a service that customers want. </w:t>
      </w:r>
    </w:p>
    <w:p w14:paraId="2B8C0715" w14:textId="51F77EE5" w:rsidR="00740BF1" w:rsidRPr="006E152B" w:rsidRDefault="00740BF1" w:rsidP="006E152B">
      <w:pPr>
        <w:spacing w:line="240" w:lineRule="auto"/>
        <w:rPr>
          <w:bCs/>
          <w:iCs/>
          <w:sz w:val="24"/>
          <w:szCs w:val="24"/>
        </w:rPr>
      </w:pPr>
      <w:r w:rsidRPr="006E152B">
        <w:rPr>
          <w:bCs/>
          <w:iCs/>
          <w:sz w:val="24"/>
          <w:szCs w:val="24"/>
        </w:rPr>
        <w:t>In IGov’s view the uncertainty of th</w:t>
      </w:r>
      <w:r w:rsidR="005515D3">
        <w:rPr>
          <w:bCs/>
          <w:iCs/>
          <w:sz w:val="24"/>
          <w:szCs w:val="24"/>
        </w:rPr>
        <w:t xml:space="preserve">e future and the risk involved in transforming network companies </w:t>
      </w:r>
      <w:r w:rsidRPr="006E152B">
        <w:rPr>
          <w:bCs/>
          <w:iCs/>
          <w:sz w:val="24"/>
          <w:szCs w:val="24"/>
        </w:rPr>
        <w:t xml:space="preserve">is over-hyped. </w:t>
      </w:r>
      <w:r w:rsidR="00106397" w:rsidRPr="006E152B">
        <w:rPr>
          <w:bCs/>
          <w:iCs/>
          <w:sz w:val="24"/>
          <w:szCs w:val="24"/>
        </w:rPr>
        <w:t>T</w:t>
      </w:r>
      <w:r w:rsidRPr="006E152B">
        <w:rPr>
          <w:bCs/>
          <w:iCs/>
          <w:sz w:val="24"/>
          <w:szCs w:val="24"/>
        </w:rPr>
        <w:t xml:space="preserve">hese companies which have done very well </w:t>
      </w:r>
      <w:r w:rsidR="005515D3">
        <w:rPr>
          <w:bCs/>
          <w:iCs/>
          <w:sz w:val="24"/>
          <w:szCs w:val="24"/>
        </w:rPr>
        <w:t xml:space="preserve">so far </w:t>
      </w:r>
      <w:r w:rsidRPr="006E152B">
        <w:rPr>
          <w:bCs/>
          <w:iCs/>
          <w:sz w:val="24"/>
          <w:szCs w:val="24"/>
        </w:rPr>
        <w:t xml:space="preserve">by doing very little in a low risk sector </w:t>
      </w:r>
      <w:r w:rsidR="005515D3">
        <w:rPr>
          <w:bCs/>
          <w:iCs/>
          <w:sz w:val="24"/>
          <w:szCs w:val="24"/>
        </w:rPr>
        <w:t xml:space="preserve">appear to want to continue this way. </w:t>
      </w:r>
      <w:r w:rsidRPr="006E152B">
        <w:rPr>
          <w:bCs/>
          <w:iCs/>
          <w:sz w:val="24"/>
          <w:szCs w:val="24"/>
        </w:rPr>
        <w:t xml:space="preserve"> </w:t>
      </w:r>
    </w:p>
    <w:p w14:paraId="174A38C8" w14:textId="135464A9" w:rsidR="00740BF1" w:rsidRPr="006E152B" w:rsidRDefault="00740BF1" w:rsidP="006E152B">
      <w:pPr>
        <w:spacing w:line="240" w:lineRule="auto"/>
        <w:rPr>
          <w:bCs/>
          <w:iCs/>
          <w:sz w:val="24"/>
          <w:szCs w:val="24"/>
        </w:rPr>
      </w:pPr>
      <w:r w:rsidRPr="006E152B">
        <w:rPr>
          <w:bCs/>
          <w:iCs/>
          <w:sz w:val="24"/>
          <w:szCs w:val="24"/>
        </w:rPr>
        <w:t>It seems to IGov that the problem is not just</w:t>
      </w:r>
      <w:r w:rsidR="00106397" w:rsidRPr="006E152B">
        <w:rPr>
          <w:bCs/>
          <w:iCs/>
          <w:sz w:val="24"/>
          <w:szCs w:val="24"/>
        </w:rPr>
        <w:t xml:space="preserve"> to do with</w:t>
      </w:r>
      <w:r w:rsidRPr="006E152B">
        <w:rPr>
          <w:bCs/>
          <w:iCs/>
          <w:sz w:val="24"/>
          <w:szCs w:val="24"/>
        </w:rPr>
        <w:t xml:space="preserve"> the</w:t>
      </w:r>
      <w:r w:rsidR="00106397" w:rsidRPr="006E152B">
        <w:rPr>
          <w:bCs/>
          <w:iCs/>
          <w:sz w:val="24"/>
          <w:szCs w:val="24"/>
        </w:rPr>
        <w:t>se</w:t>
      </w:r>
      <w:r w:rsidR="005515D3">
        <w:rPr>
          <w:bCs/>
          <w:iCs/>
          <w:sz w:val="24"/>
          <w:szCs w:val="24"/>
        </w:rPr>
        <w:t xml:space="preserve"> companies but that Ofgem, </w:t>
      </w:r>
      <w:r w:rsidRPr="006E152B">
        <w:rPr>
          <w:bCs/>
          <w:iCs/>
          <w:sz w:val="24"/>
          <w:szCs w:val="24"/>
        </w:rPr>
        <w:t xml:space="preserve">the Regulator </w:t>
      </w:r>
      <w:r w:rsidR="005515D3">
        <w:rPr>
          <w:bCs/>
          <w:iCs/>
          <w:sz w:val="24"/>
          <w:szCs w:val="24"/>
        </w:rPr>
        <w:t>is</w:t>
      </w:r>
      <w:r w:rsidR="00106397" w:rsidRPr="006E152B">
        <w:rPr>
          <w:bCs/>
          <w:iCs/>
          <w:sz w:val="24"/>
          <w:szCs w:val="24"/>
        </w:rPr>
        <w:t xml:space="preserve"> too sym</w:t>
      </w:r>
      <w:r w:rsidRPr="006E152B">
        <w:rPr>
          <w:bCs/>
          <w:iCs/>
          <w:sz w:val="24"/>
          <w:szCs w:val="24"/>
        </w:rPr>
        <w:t xml:space="preserve">pathetic to </w:t>
      </w:r>
      <w:r w:rsidR="00106397" w:rsidRPr="006E152B">
        <w:rPr>
          <w:bCs/>
          <w:iCs/>
          <w:sz w:val="24"/>
          <w:szCs w:val="24"/>
        </w:rPr>
        <w:t>the companies. O</w:t>
      </w:r>
      <w:r w:rsidRPr="006E152B">
        <w:rPr>
          <w:bCs/>
          <w:iCs/>
          <w:sz w:val="24"/>
          <w:szCs w:val="24"/>
        </w:rPr>
        <w:t>fgem and the Government should be sympathetic</w:t>
      </w:r>
      <w:r w:rsidR="00106397" w:rsidRPr="006E152B">
        <w:rPr>
          <w:bCs/>
          <w:iCs/>
          <w:sz w:val="24"/>
          <w:szCs w:val="24"/>
        </w:rPr>
        <w:t xml:space="preserve"> to </w:t>
      </w:r>
      <w:r w:rsidRPr="006E152B">
        <w:rPr>
          <w:bCs/>
          <w:iCs/>
          <w:sz w:val="24"/>
          <w:szCs w:val="24"/>
        </w:rPr>
        <w:t xml:space="preserve">customers, and doing the best </w:t>
      </w:r>
      <w:r w:rsidR="00106397" w:rsidRPr="006E152B">
        <w:rPr>
          <w:bCs/>
          <w:iCs/>
          <w:sz w:val="24"/>
          <w:szCs w:val="24"/>
        </w:rPr>
        <w:t>for them, not continuing to keep companies</w:t>
      </w:r>
      <w:r w:rsidR="006E152B">
        <w:rPr>
          <w:bCs/>
          <w:iCs/>
          <w:sz w:val="24"/>
          <w:szCs w:val="24"/>
        </w:rPr>
        <w:t xml:space="preserve"> which provide an expensive service</w:t>
      </w:r>
      <w:r w:rsidR="00106397" w:rsidRPr="006E152B">
        <w:rPr>
          <w:bCs/>
          <w:iCs/>
          <w:sz w:val="24"/>
          <w:szCs w:val="24"/>
        </w:rPr>
        <w:t xml:space="preserve"> going. </w:t>
      </w:r>
    </w:p>
    <w:p w14:paraId="032D470D" w14:textId="77777777" w:rsidR="002963D1" w:rsidRPr="00723494" w:rsidRDefault="002963D1" w:rsidP="006E152B">
      <w:pPr>
        <w:spacing w:line="240" w:lineRule="auto"/>
        <w:rPr>
          <w:b/>
          <w:i/>
          <w:iCs/>
          <w:sz w:val="24"/>
          <w:szCs w:val="24"/>
        </w:rPr>
      </w:pPr>
      <w:r w:rsidRPr="00723494">
        <w:rPr>
          <w:b/>
          <w:i/>
          <w:iCs/>
          <w:sz w:val="24"/>
          <w:szCs w:val="24"/>
        </w:rPr>
        <w:t xml:space="preserve">Options for managing uncertainty </w:t>
      </w:r>
    </w:p>
    <w:p w14:paraId="3E24BDCC" w14:textId="27A668BC" w:rsidR="00740BF1" w:rsidRPr="006E152B" w:rsidRDefault="00740BF1" w:rsidP="006E152B">
      <w:pPr>
        <w:spacing w:line="240" w:lineRule="auto"/>
        <w:rPr>
          <w:bCs/>
          <w:iCs/>
          <w:sz w:val="24"/>
          <w:szCs w:val="24"/>
        </w:rPr>
      </w:pPr>
      <w:r w:rsidRPr="006E152B">
        <w:rPr>
          <w:bCs/>
          <w:iCs/>
          <w:sz w:val="24"/>
          <w:szCs w:val="24"/>
        </w:rPr>
        <w:t xml:space="preserve">Again, we think uncertainty is over-hyped. Yes, we do not exactly know what technologies are coming forward but we do know </w:t>
      </w:r>
      <w:r w:rsidR="00106397" w:rsidRPr="006E152B">
        <w:rPr>
          <w:bCs/>
          <w:iCs/>
          <w:sz w:val="24"/>
          <w:szCs w:val="24"/>
        </w:rPr>
        <w:t xml:space="preserve">– at the global level - </w:t>
      </w:r>
      <w:r w:rsidR="006E152B">
        <w:rPr>
          <w:bCs/>
          <w:iCs/>
          <w:sz w:val="24"/>
          <w:szCs w:val="24"/>
        </w:rPr>
        <w:t xml:space="preserve">that energy systems </w:t>
      </w:r>
      <w:r w:rsidRPr="006E152B">
        <w:rPr>
          <w:bCs/>
          <w:iCs/>
          <w:sz w:val="24"/>
          <w:szCs w:val="24"/>
        </w:rPr>
        <w:t>are moving to a decentralised, decarbonised world. A least regret</w:t>
      </w:r>
      <w:r w:rsidR="001A25A9">
        <w:rPr>
          <w:rStyle w:val="FootnoteReference"/>
          <w:bCs/>
          <w:iCs/>
          <w:sz w:val="24"/>
          <w:szCs w:val="24"/>
        </w:rPr>
        <w:footnoteReference w:id="47"/>
      </w:r>
      <w:r w:rsidRPr="006E152B">
        <w:rPr>
          <w:bCs/>
          <w:iCs/>
          <w:sz w:val="24"/>
          <w:szCs w:val="24"/>
        </w:rPr>
        <w:t xml:space="preserve"> policy is more</w:t>
      </w:r>
      <w:r w:rsidR="00561C97" w:rsidRPr="006E152B">
        <w:rPr>
          <w:bCs/>
          <w:iCs/>
          <w:sz w:val="24"/>
          <w:szCs w:val="24"/>
        </w:rPr>
        <w:t xml:space="preserve"> </w:t>
      </w:r>
      <w:r w:rsidRPr="006E152B">
        <w:rPr>
          <w:bCs/>
          <w:iCs/>
          <w:sz w:val="24"/>
          <w:szCs w:val="24"/>
        </w:rPr>
        <w:t>renewables, more energy efficienc</w:t>
      </w:r>
      <w:r w:rsidR="006E152B">
        <w:rPr>
          <w:bCs/>
          <w:iCs/>
          <w:sz w:val="24"/>
          <w:szCs w:val="24"/>
        </w:rPr>
        <w:t xml:space="preserve">y, </w:t>
      </w:r>
      <w:r w:rsidR="001A25A9">
        <w:rPr>
          <w:bCs/>
          <w:iCs/>
          <w:sz w:val="24"/>
          <w:szCs w:val="24"/>
        </w:rPr>
        <w:t>more flexibility.</w:t>
      </w:r>
      <w:r w:rsidRPr="006E152B">
        <w:rPr>
          <w:bCs/>
          <w:iCs/>
          <w:sz w:val="24"/>
          <w:szCs w:val="24"/>
        </w:rPr>
        <w:t xml:space="preserve"> The network companies can wor</w:t>
      </w:r>
      <w:r w:rsidR="00561C97" w:rsidRPr="006E152B">
        <w:rPr>
          <w:bCs/>
          <w:iCs/>
          <w:sz w:val="24"/>
          <w:szCs w:val="24"/>
        </w:rPr>
        <w:t xml:space="preserve">k </w:t>
      </w:r>
      <w:r w:rsidR="005515D3">
        <w:rPr>
          <w:bCs/>
          <w:iCs/>
          <w:sz w:val="24"/>
          <w:szCs w:val="24"/>
        </w:rPr>
        <w:t xml:space="preserve">their networks </w:t>
      </w:r>
      <w:r w:rsidR="00561C97" w:rsidRPr="006E152B">
        <w:rPr>
          <w:bCs/>
          <w:iCs/>
          <w:sz w:val="24"/>
          <w:szCs w:val="24"/>
        </w:rPr>
        <w:t xml:space="preserve">to that, as </w:t>
      </w:r>
      <w:r w:rsidR="006E152B">
        <w:rPr>
          <w:bCs/>
          <w:iCs/>
          <w:sz w:val="24"/>
          <w:szCs w:val="24"/>
        </w:rPr>
        <w:t>investors are choosing to do</w:t>
      </w:r>
      <w:r w:rsidR="001A25A9">
        <w:rPr>
          <w:bCs/>
          <w:iCs/>
          <w:sz w:val="24"/>
          <w:szCs w:val="24"/>
        </w:rPr>
        <w:t xml:space="preserve">. </w:t>
      </w:r>
      <w:r w:rsidR="006E152B">
        <w:rPr>
          <w:bCs/>
          <w:iCs/>
          <w:sz w:val="24"/>
          <w:szCs w:val="24"/>
        </w:rPr>
        <w:t xml:space="preserve"> </w:t>
      </w:r>
    </w:p>
    <w:p w14:paraId="197AFDE7" w14:textId="6BB78A3D" w:rsidR="00740BF1" w:rsidRPr="006E152B" w:rsidRDefault="00740BF1" w:rsidP="006E152B">
      <w:pPr>
        <w:spacing w:line="240" w:lineRule="auto"/>
        <w:rPr>
          <w:bCs/>
          <w:iCs/>
          <w:sz w:val="24"/>
          <w:szCs w:val="24"/>
        </w:rPr>
      </w:pPr>
      <w:r w:rsidRPr="006E152B">
        <w:rPr>
          <w:bCs/>
          <w:iCs/>
          <w:sz w:val="24"/>
          <w:szCs w:val="24"/>
        </w:rPr>
        <w:t xml:space="preserve">We would also argue that as much </w:t>
      </w:r>
      <w:r w:rsidR="00561C97" w:rsidRPr="006E152B">
        <w:rPr>
          <w:bCs/>
          <w:iCs/>
          <w:sz w:val="24"/>
          <w:szCs w:val="24"/>
        </w:rPr>
        <w:t>‘</w:t>
      </w:r>
      <w:r w:rsidRPr="006E152B">
        <w:rPr>
          <w:bCs/>
          <w:iCs/>
          <w:sz w:val="24"/>
          <w:szCs w:val="24"/>
        </w:rPr>
        <w:t>uncertainty</w:t>
      </w:r>
      <w:r w:rsidR="00561C97" w:rsidRPr="006E152B">
        <w:rPr>
          <w:bCs/>
          <w:iCs/>
          <w:sz w:val="24"/>
          <w:szCs w:val="24"/>
        </w:rPr>
        <w:t xml:space="preserve">’ </w:t>
      </w:r>
      <w:r w:rsidRPr="006E152B">
        <w:rPr>
          <w:bCs/>
          <w:iCs/>
          <w:sz w:val="24"/>
          <w:szCs w:val="24"/>
        </w:rPr>
        <w:t xml:space="preserve"> has been caused by </w:t>
      </w:r>
      <w:r w:rsidR="00106397" w:rsidRPr="006E152B">
        <w:rPr>
          <w:bCs/>
          <w:iCs/>
          <w:sz w:val="24"/>
          <w:szCs w:val="24"/>
        </w:rPr>
        <w:t xml:space="preserve">the GB </w:t>
      </w:r>
      <w:r w:rsidRPr="006E152B">
        <w:rPr>
          <w:bCs/>
          <w:iCs/>
          <w:sz w:val="24"/>
          <w:szCs w:val="24"/>
        </w:rPr>
        <w:t>Government having such a confused energy policy – particularly with respect to nuclear</w:t>
      </w:r>
      <w:r w:rsidR="001A25A9">
        <w:rPr>
          <w:rStyle w:val="FootnoteReference"/>
          <w:bCs/>
          <w:iCs/>
          <w:sz w:val="24"/>
          <w:szCs w:val="24"/>
        </w:rPr>
        <w:footnoteReference w:id="48"/>
      </w:r>
      <w:r w:rsidR="00561C97" w:rsidRPr="006E152B">
        <w:rPr>
          <w:bCs/>
          <w:iCs/>
          <w:sz w:val="24"/>
          <w:szCs w:val="24"/>
        </w:rPr>
        <w:t xml:space="preserve">. </w:t>
      </w:r>
      <w:r w:rsidRPr="006E152B">
        <w:rPr>
          <w:bCs/>
          <w:iCs/>
          <w:sz w:val="24"/>
          <w:szCs w:val="24"/>
        </w:rPr>
        <w:t xml:space="preserve"> </w:t>
      </w:r>
    </w:p>
    <w:p w14:paraId="11B3164F" w14:textId="77777777" w:rsidR="005515D3" w:rsidRDefault="00277618" w:rsidP="006E152B">
      <w:pPr>
        <w:spacing w:line="240" w:lineRule="auto"/>
        <w:rPr>
          <w:bCs/>
          <w:iCs/>
          <w:sz w:val="24"/>
          <w:szCs w:val="24"/>
        </w:rPr>
      </w:pPr>
      <w:r w:rsidRPr="006E152B">
        <w:rPr>
          <w:bCs/>
          <w:iCs/>
          <w:sz w:val="24"/>
          <w:szCs w:val="24"/>
        </w:rPr>
        <w:t>The fact that uncertainty mechanisms are needed shows that an eight-year price control is too long.  The idea behin</w:t>
      </w:r>
      <w:r w:rsidR="0085729A" w:rsidRPr="006E152B">
        <w:rPr>
          <w:bCs/>
          <w:iCs/>
          <w:sz w:val="24"/>
          <w:szCs w:val="24"/>
        </w:rPr>
        <w:t xml:space="preserve">d this length of control was </w:t>
      </w:r>
      <w:r w:rsidRPr="006E152B">
        <w:rPr>
          <w:bCs/>
          <w:iCs/>
          <w:sz w:val="24"/>
          <w:szCs w:val="24"/>
        </w:rPr>
        <w:t>to</w:t>
      </w:r>
      <w:r w:rsidR="009D2C00" w:rsidRPr="006E152B">
        <w:rPr>
          <w:bCs/>
          <w:iCs/>
          <w:sz w:val="24"/>
          <w:szCs w:val="24"/>
        </w:rPr>
        <w:t xml:space="preserve"> reduce the</w:t>
      </w:r>
      <w:r w:rsidRPr="006E152B">
        <w:rPr>
          <w:bCs/>
          <w:iCs/>
          <w:sz w:val="24"/>
          <w:szCs w:val="24"/>
        </w:rPr>
        <w:t xml:space="preserve"> burden </w:t>
      </w:r>
      <w:r w:rsidR="009D2C00" w:rsidRPr="006E152B">
        <w:rPr>
          <w:bCs/>
          <w:iCs/>
          <w:sz w:val="24"/>
          <w:szCs w:val="24"/>
        </w:rPr>
        <w:t>on the regulator to solve problems from previous price controls within the allocated time</w:t>
      </w:r>
      <w:r w:rsidR="009D2C00" w:rsidRPr="006E152B">
        <w:rPr>
          <w:rStyle w:val="FootnoteReference"/>
          <w:bCs/>
          <w:iCs/>
          <w:sz w:val="24"/>
          <w:szCs w:val="24"/>
        </w:rPr>
        <w:footnoteReference w:id="49"/>
      </w:r>
      <w:r w:rsidR="007902C6" w:rsidRPr="006E152B">
        <w:rPr>
          <w:bCs/>
          <w:iCs/>
          <w:sz w:val="24"/>
          <w:szCs w:val="24"/>
        </w:rPr>
        <w:t xml:space="preserve"> a</w:t>
      </w:r>
      <w:r w:rsidR="003E30A5" w:rsidRPr="006E152B">
        <w:rPr>
          <w:bCs/>
          <w:iCs/>
          <w:sz w:val="24"/>
          <w:szCs w:val="24"/>
        </w:rPr>
        <w:t>nd also to provide greater revenue certainty for investors.</w:t>
      </w:r>
      <w:r w:rsidR="0085729A" w:rsidRPr="006E152B">
        <w:rPr>
          <w:bCs/>
          <w:iCs/>
          <w:sz w:val="24"/>
          <w:szCs w:val="24"/>
        </w:rPr>
        <w:t xml:space="preserve">  </w:t>
      </w:r>
      <w:r w:rsidR="005515D3">
        <w:rPr>
          <w:bCs/>
          <w:iCs/>
          <w:sz w:val="24"/>
          <w:szCs w:val="24"/>
        </w:rPr>
        <w:t xml:space="preserve">This implies that </w:t>
      </w:r>
      <w:r w:rsidR="0085729A" w:rsidRPr="006E152B">
        <w:rPr>
          <w:bCs/>
          <w:iCs/>
          <w:sz w:val="24"/>
          <w:szCs w:val="24"/>
        </w:rPr>
        <w:t xml:space="preserve">the </w:t>
      </w:r>
      <w:r w:rsidR="005515D3">
        <w:rPr>
          <w:bCs/>
          <w:iCs/>
          <w:sz w:val="24"/>
          <w:szCs w:val="24"/>
        </w:rPr>
        <w:t xml:space="preserve">expected </w:t>
      </w:r>
      <w:r w:rsidR="0085729A" w:rsidRPr="006E152B">
        <w:rPr>
          <w:bCs/>
          <w:iCs/>
          <w:sz w:val="24"/>
          <w:szCs w:val="24"/>
        </w:rPr>
        <w:t xml:space="preserve">pace of change </w:t>
      </w:r>
      <w:r w:rsidR="00A46BA9" w:rsidRPr="006E152B">
        <w:rPr>
          <w:bCs/>
          <w:iCs/>
          <w:sz w:val="24"/>
          <w:szCs w:val="24"/>
        </w:rPr>
        <w:t xml:space="preserve">of </w:t>
      </w:r>
      <w:r w:rsidR="005515D3">
        <w:rPr>
          <w:bCs/>
          <w:iCs/>
          <w:sz w:val="24"/>
          <w:szCs w:val="24"/>
        </w:rPr>
        <w:t>technology will lead to</w:t>
      </w:r>
      <w:r w:rsidR="0085729A" w:rsidRPr="006E152B">
        <w:rPr>
          <w:bCs/>
          <w:iCs/>
          <w:sz w:val="24"/>
          <w:szCs w:val="24"/>
        </w:rPr>
        <w:t xml:space="preserve"> more of these mechanisms</w:t>
      </w:r>
      <w:r w:rsidR="005515D3">
        <w:rPr>
          <w:bCs/>
          <w:iCs/>
          <w:sz w:val="24"/>
          <w:szCs w:val="24"/>
        </w:rPr>
        <w:t>, which in turn</w:t>
      </w:r>
      <w:r w:rsidR="0085729A" w:rsidRPr="006E152B">
        <w:rPr>
          <w:bCs/>
          <w:iCs/>
          <w:sz w:val="24"/>
          <w:szCs w:val="24"/>
        </w:rPr>
        <w:t xml:space="preserve"> create</w:t>
      </w:r>
      <w:r w:rsidR="005515D3">
        <w:rPr>
          <w:bCs/>
          <w:iCs/>
          <w:sz w:val="24"/>
          <w:szCs w:val="24"/>
        </w:rPr>
        <w:t>s</w:t>
      </w:r>
      <w:r w:rsidR="0085729A" w:rsidRPr="006E152B">
        <w:rPr>
          <w:bCs/>
          <w:iCs/>
          <w:sz w:val="24"/>
          <w:szCs w:val="24"/>
        </w:rPr>
        <w:t xml:space="preserve"> more work</w:t>
      </w:r>
      <w:r w:rsidR="003E30A5" w:rsidRPr="006E152B">
        <w:rPr>
          <w:bCs/>
          <w:iCs/>
          <w:sz w:val="24"/>
          <w:szCs w:val="24"/>
        </w:rPr>
        <w:t xml:space="preserve"> and uncertainty</w:t>
      </w:r>
      <w:r w:rsidR="005515D3">
        <w:rPr>
          <w:bCs/>
          <w:iCs/>
          <w:sz w:val="24"/>
          <w:szCs w:val="24"/>
        </w:rPr>
        <w:t xml:space="preserve"> than it fixes. RIIO-2 needs to get out of this design fault. </w:t>
      </w:r>
    </w:p>
    <w:p w14:paraId="522CFA6C" w14:textId="1E6B90B8" w:rsidR="000B5698" w:rsidRPr="006E152B" w:rsidRDefault="0085729A" w:rsidP="006E152B">
      <w:pPr>
        <w:spacing w:line="240" w:lineRule="auto"/>
        <w:rPr>
          <w:bCs/>
          <w:iCs/>
          <w:sz w:val="24"/>
          <w:szCs w:val="24"/>
        </w:rPr>
      </w:pPr>
      <w:r w:rsidRPr="006E152B">
        <w:rPr>
          <w:bCs/>
          <w:iCs/>
          <w:sz w:val="24"/>
          <w:szCs w:val="24"/>
        </w:rPr>
        <w:t xml:space="preserve">A shorter price control will allow more flexibility and </w:t>
      </w:r>
      <w:r w:rsidR="005515D3">
        <w:rPr>
          <w:bCs/>
          <w:iCs/>
          <w:sz w:val="24"/>
          <w:szCs w:val="24"/>
        </w:rPr>
        <w:t xml:space="preserve">agility </w:t>
      </w:r>
      <w:r w:rsidRPr="006E152B">
        <w:rPr>
          <w:bCs/>
          <w:iCs/>
          <w:sz w:val="24"/>
          <w:szCs w:val="24"/>
        </w:rPr>
        <w:t xml:space="preserve">to </w:t>
      </w:r>
      <w:r w:rsidR="003E30A5" w:rsidRPr="006E152B">
        <w:rPr>
          <w:bCs/>
          <w:iCs/>
          <w:sz w:val="24"/>
          <w:szCs w:val="24"/>
        </w:rPr>
        <w:t xml:space="preserve">a rapidly changing environment whilst giving investors more </w:t>
      </w:r>
      <w:r w:rsidR="007902C6" w:rsidRPr="006E152B">
        <w:rPr>
          <w:bCs/>
          <w:iCs/>
          <w:sz w:val="24"/>
          <w:szCs w:val="24"/>
        </w:rPr>
        <w:t>confidence as to their final returns at the end of the price-control.</w:t>
      </w:r>
      <w:r w:rsidRPr="006E152B">
        <w:rPr>
          <w:bCs/>
          <w:iCs/>
          <w:sz w:val="24"/>
          <w:szCs w:val="24"/>
        </w:rPr>
        <w:t xml:space="preserve"> </w:t>
      </w:r>
    </w:p>
    <w:p w14:paraId="3882C6F0" w14:textId="7E65D8E6" w:rsidR="000B5698" w:rsidRPr="006E152B" w:rsidRDefault="00865546" w:rsidP="006E152B">
      <w:pPr>
        <w:spacing w:line="240" w:lineRule="auto"/>
        <w:rPr>
          <w:bCs/>
          <w:iCs/>
          <w:sz w:val="24"/>
          <w:szCs w:val="24"/>
        </w:rPr>
      </w:pPr>
      <w:r w:rsidRPr="006E152B">
        <w:rPr>
          <w:bCs/>
          <w:iCs/>
          <w:sz w:val="24"/>
          <w:szCs w:val="24"/>
        </w:rPr>
        <w:t xml:space="preserve">  </w:t>
      </w:r>
      <w:r w:rsidR="009519AC" w:rsidRPr="006E152B">
        <w:rPr>
          <w:bCs/>
          <w:iCs/>
          <w:sz w:val="24"/>
          <w:szCs w:val="24"/>
        </w:rPr>
        <w:t xml:space="preserve"> </w:t>
      </w:r>
    </w:p>
    <w:p w14:paraId="5BFFB9E8" w14:textId="77777777" w:rsidR="00D6398C" w:rsidRPr="006E152B" w:rsidRDefault="00D6398C" w:rsidP="006E152B">
      <w:pPr>
        <w:pStyle w:val="ListParagraph"/>
        <w:numPr>
          <w:ilvl w:val="0"/>
          <w:numId w:val="23"/>
        </w:numPr>
        <w:spacing w:line="240" w:lineRule="auto"/>
        <w:rPr>
          <w:b/>
          <w:bCs/>
          <w:i/>
          <w:iCs/>
          <w:sz w:val="24"/>
          <w:szCs w:val="24"/>
          <w:u w:val="single"/>
        </w:rPr>
      </w:pPr>
      <w:r w:rsidRPr="006E152B">
        <w:rPr>
          <w:b/>
          <w:bCs/>
          <w:i/>
          <w:iCs/>
          <w:sz w:val="24"/>
          <w:szCs w:val="24"/>
          <w:u w:val="single"/>
        </w:rPr>
        <w:lastRenderedPageBreak/>
        <w:t>Using the regulatory framework, or competition where appropriate, to drive innovation and efficiency</w:t>
      </w:r>
    </w:p>
    <w:p w14:paraId="7A683668" w14:textId="77777777" w:rsidR="001A25A9" w:rsidRPr="001A25A9" w:rsidRDefault="001A25A9" w:rsidP="001A25A9">
      <w:pPr>
        <w:spacing w:line="240" w:lineRule="auto"/>
        <w:rPr>
          <w:bCs/>
          <w:iCs/>
          <w:sz w:val="24"/>
          <w:szCs w:val="24"/>
        </w:rPr>
      </w:pPr>
      <w:r w:rsidRPr="001A25A9">
        <w:rPr>
          <w:bCs/>
          <w:iCs/>
          <w:sz w:val="24"/>
          <w:szCs w:val="24"/>
        </w:rPr>
        <w:t xml:space="preserve">We do not support benchmarking or having a sharing factor. </w:t>
      </w:r>
    </w:p>
    <w:p w14:paraId="26CA8712" w14:textId="715D99E8" w:rsidR="00561C97" w:rsidRPr="006E152B" w:rsidRDefault="00941D42" w:rsidP="006E152B">
      <w:pPr>
        <w:spacing w:line="240" w:lineRule="auto"/>
        <w:rPr>
          <w:bCs/>
          <w:iCs/>
          <w:sz w:val="24"/>
          <w:szCs w:val="24"/>
        </w:rPr>
      </w:pPr>
      <w:r w:rsidRPr="006E152B">
        <w:rPr>
          <w:bCs/>
          <w:iCs/>
          <w:sz w:val="24"/>
          <w:szCs w:val="24"/>
        </w:rPr>
        <w:t xml:space="preserve">We </w:t>
      </w:r>
      <w:r w:rsidR="00561C97" w:rsidRPr="006E152B">
        <w:rPr>
          <w:bCs/>
          <w:iCs/>
          <w:sz w:val="24"/>
          <w:szCs w:val="24"/>
        </w:rPr>
        <w:t>think</w:t>
      </w:r>
      <w:r w:rsidRPr="006E152B">
        <w:rPr>
          <w:bCs/>
          <w:iCs/>
          <w:sz w:val="24"/>
          <w:szCs w:val="24"/>
        </w:rPr>
        <w:t xml:space="preserve"> benchmarking is too intrusive and as an assessment tool has, given the returns of some of the underperforming companies, not really worked.  </w:t>
      </w:r>
      <w:r w:rsidR="00561C97" w:rsidRPr="006E152B">
        <w:rPr>
          <w:bCs/>
          <w:iCs/>
          <w:sz w:val="24"/>
          <w:szCs w:val="24"/>
        </w:rPr>
        <w:t xml:space="preserve">We think companies are too different and </w:t>
      </w:r>
      <w:r w:rsidR="00106397" w:rsidRPr="006E152B">
        <w:rPr>
          <w:bCs/>
          <w:iCs/>
          <w:sz w:val="24"/>
          <w:szCs w:val="24"/>
        </w:rPr>
        <w:t xml:space="preserve">that </w:t>
      </w:r>
      <w:r w:rsidR="00561C97" w:rsidRPr="006E152B">
        <w:rPr>
          <w:bCs/>
          <w:iCs/>
          <w:sz w:val="24"/>
          <w:szCs w:val="24"/>
        </w:rPr>
        <w:t>too much effort has to be made to make them reasonably similar</w:t>
      </w:r>
      <w:r w:rsidR="00106397" w:rsidRPr="006E152B">
        <w:rPr>
          <w:bCs/>
          <w:iCs/>
          <w:sz w:val="24"/>
          <w:szCs w:val="24"/>
        </w:rPr>
        <w:t xml:space="preserve"> in order to benchmark them</w:t>
      </w:r>
      <w:r w:rsidR="00561C97" w:rsidRPr="006E152B">
        <w:rPr>
          <w:bCs/>
          <w:iCs/>
          <w:sz w:val="24"/>
          <w:szCs w:val="24"/>
        </w:rPr>
        <w:t>. Far better</w:t>
      </w:r>
      <w:r w:rsidR="00106397" w:rsidRPr="006E152B">
        <w:rPr>
          <w:bCs/>
          <w:iCs/>
          <w:sz w:val="24"/>
          <w:szCs w:val="24"/>
        </w:rPr>
        <w:t xml:space="preserve">, and easier, </w:t>
      </w:r>
      <w:r w:rsidR="00871EDA" w:rsidRPr="006E152B">
        <w:rPr>
          <w:bCs/>
          <w:iCs/>
          <w:sz w:val="24"/>
          <w:szCs w:val="24"/>
        </w:rPr>
        <w:t xml:space="preserve">that the regulatory </w:t>
      </w:r>
      <w:r w:rsidR="001A25A9">
        <w:rPr>
          <w:bCs/>
          <w:iCs/>
          <w:sz w:val="24"/>
          <w:szCs w:val="24"/>
        </w:rPr>
        <w:t>basis on these companies alters, and treats them as unique. The output regulation on them should lead them to deliver those outputs in the most effective way for their areas.</w:t>
      </w:r>
      <w:r w:rsidR="00871EDA" w:rsidRPr="006E152B">
        <w:rPr>
          <w:bCs/>
          <w:iCs/>
          <w:sz w:val="24"/>
          <w:szCs w:val="24"/>
        </w:rPr>
        <w:t xml:space="preserve"> </w:t>
      </w:r>
      <w:r w:rsidR="00561C97" w:rsidRPr="006E152B">
        <w:rPr>
          <w:bCs/>
          <w:iCs/>
          <w:sz w:val="24"/>
          <w:szCs w:val="24"/>
        </w:rPr>
        <w:t xml:space="preserve"> </w:t>
      </w:r>
    </w:p>
    <w:p w14:paraId="788BDE90" w14:textId="60BFAD5E" w:rsidR="00941D42" w:rsidRPr="006E152B" w:rsidRDefault="00941D42" w:rsidP="006E152B">
      <w:pPr>
        <w:spacing w:line="240" w:lineRule="auto"/>
        <w:rPr>
          <w:bCs/>
          <w:iCs/>
          <w:sz w:val="24"/>
          <w:szCs w:val="24"/>
        </w:rPr>
      </w:pPr>
      <w:r w:rsidRPr="006E152B">
        <w:rPr>
          <w:bCs/>
          <w:iCs/>
          <w:sz w:val="24"/>
          <w:szCs w:val="24"/>
        </w:rPr>
        <w:t>From the information in ED1 the IQI</w:t>
      </w:r>
      <w:r w:rsidR="00ED0866" w:rsidRPr="006E152B">
        <w:rPr>
          <w:bCs/>
          <w:iCs/>
          <w:sz w:val="24"/>
          <w:szCs w:val="24"/>
        </w:rPr>
        <w:t xml:space="preserve"> and the efficiency incentive still</w:t>
      </w:r>
      <w:r w:rsidRPr="006E152B">
        <w:rPr>
          <w:bCs/>
          <w:iCs/>
          <w:sz w:val="24"/>
          <w:szCs w:val="24"/>
        </w:rPr>
        <w:t xml:space="preserve"> gave companies the opportunity to game</w:t>
      </w:r>
      <w:r w:rsidR="00ED0866" w:rsidRPr="006E152B">
        <w:rPr>
          <w:bCs/>
          <w:iCs/>
          <w:sz w:val="24"/>
          <w:szCs w:val="24"/>
        </w:rPr>
        <w:t xml:space="preserve"> the system</w:t>
      </w:r>
      <w:r w:rsidRPr="006E152B">
        <w:rPr>
          <w:bCs/>
          <w:iCs/>
          <w:sz w:val="24"/>
          <w:szCs w:val="24"/>
        </w:rPr>
        <w:t xml:space="preserve">.  For example, WPD who were the only company in ED1 to be fast-tracked, </w:t>
      </w:r>
      <w:r w:rsidR="003C48AD" w:rsidRPr="006E152B">
        <w:rPr>
          <w:bCs/>
          <w:iCs/>
          <w:sz w:val="24"/>
          <w:szCs w:val="24"/>
        </w:rPr>
        <w:t xml:space="preserve">submitted </w:t>
      </w:r>
      <w:r w:rsidRPr="006E152B">
        <w:rPr>
          <w:bCs/>
          <w:iCs/>
          <w:sz w:val="24"/>
          <w:szCs w:val="24"/>
        </w:rPr>
        <w:t xml:space="preserve">a business plan which met the objectives set out by Ofgem, </w:t>
      </w:r>
      <w:r w:rsidR="003C48AD" w:rsidRPr="006E152B">
        <w:rPr>
          <w:bCs/>
          <w:iCs/>
          <w:sz w:val="24"/>
          <w:szCs w:val="24"/>
        </w:rPr>
        <w:t xml:space="preserve">but now </w:t>
      </w:r>
      <w:r w:rsidRPr="006E152B">
        <w:rPr>
          <w:bCs/>
          <w:iCs/>
          <w:sz w:val="24"/>
          <w:szCs w:val="24"/>
        </w:rPr>
        <w:t>show</w:t>
      </w:r>
      <w:r w:rsidR="003C48AD" w:rsidRPr="006E152B">
        <w:rPr>
          <w:bCs/>
          <w:iCs/>
          <w:sz w:val="24"/>
          <w:szCs w:val="24"/>
        </w:rPr>
        <w:t>s</w:t>
      </w:r>
      <w:r w:rsidRPr="006E152B">
        <w:rPr>
          <w:bCs/>
          <w:iCs/>
          <w:sz w:val="24"/>
          <w:szCs w:val="24"/>
        </w:rPr>
        <w:t xml:space="preserve"> a forecast overspend by 5% of their agreed business plan allowance. This suggests that WPD, in order to be fast-tracked, may have submitted a lower figure to the EDI process in order to show good value for customers. </w:t>
      </w:r>
      <w:r w:rsidR="00242996" w:rsidRPr="006E152B">
        <w:rPr>
          <w:bCs/>
          <w:iCs/>
          <w:sz w:val="24"/>
          <w:szCs w:val="24"/>
        </w:rPr>
        <w:t xml:space="preserve">  </w:t>
      </w:r>
      <w:r w:rsidRPr="006E152B">
        <w:rPr>
          <w:bCs/>
          <w:iCs/>
          <w:sz w:val="24"/>
          <w:szCs w:val="24"/>
        </w:rPr>
        <w:t xml:space="preserve">However, UKPN, whose business plan was the worst performing amongst the DNOs, </w:t>
      </w:r>
      <w:r w:rsidR="00ED0866" w:rsidRPr="006E152B">
        <w:rPr>
          <w:bCs/>
          <w:iCs/>
          <w:sz w:val="24"/>
          <w:szCs w:val="24"/>
        </w:rPr>
        <w:t>and were given a low sharing factor,</w:t>
      </w:r>
      <w:r w:rsidRPr="006E152B">
        <w:rPr>
          <w:bCs/>
          <w:iCs/>
          <w:sz w:val="24"/>
          <w:szCs w:val="24"/>
        </w:rPr>
        <w:t xml:space="preserve"> are able to offer their investors and themselves a higher return, and their customers greater savings over the ED1 period, as they have been able to achieve a £929m forecast underspend and an 11.5% RoRE.</w:t>
      </w:r>
    </w:p>
    <w:p w14:paraId="38B288FE" w14:textId="768F8181" w:rsidR="00871EDA" w:rsidRPr="006E152B" w:rsidRDefault="00ED0866" w:rsidP="006E152B">
      <w:pPr>
        <w:spacing w:line="240" w:lineRule="auto"/>
        <w:rPr>
          <w:bCs/>
          <w:iCs/>
          <w:sz w:val="24"/>
          <w:szCs w:val="24"/>
        </w:rPr>
      </w:pPr>
      <w:r w:rsidRPr="006E152B">
        <w:rPr>
          <w:bCs/>
          <w:iCs/>
          <w:sz w:val="24"/>
          <w:szCs w:val="24"/>
        </w:rPr>
        <w:t xml:space="preserve">We believe that Ofgem should expect the DNO’s to submit quality business plans first time, and not be given a second chance, and more opportunity to game.  </w:t>
      </w:r>
    </w:p>
    <w:p w14:paraId="518BB5A0" w14:textId="7BC08630" w:rsidR="00871EDA" w:rsidRPr="006E152B" w:rsidRDefault="00871EDA" w:rsidP="006E152B">
      <w:pPr>
        <w:spacing w:line="240" w:lineRule="auto"/>
        <w:rPr>
          <w:bCs/>
          <w:iCs/>
          <w:sz w:val="24"/>
          <w:szCs w:val="24"/>
        </w:rPr>
      </w:pPr>
      <w:r w:rsidRPr="006E152B">
        <w:rPr>
          <w:bCs/>
          <w:iCs/>
          <w:sz w:val="24"/>
          <w:szCs w:val="24"/>
        </w:rPr>
        <w:t>We think the network companies should have 3 basic sorts of revenue – cost of service for networks; revenue from meeting public policy goals; and revenue from increasing transactions, as set out in Fig</w:t>
      </w:r>
      <w:r w:rsidR="009F7277">
        <w:rPr>
          <w:bCs/>
          <w:iCs/>
          <w:sz w:val="24"/>
          <w:szCs w:val="24"/>
        </w:rPr>
        <w:t>u</w:t>
      </w:r>
      <w:r w:rsidRPr="006E152B">
        <w:rPr>
          <w:bCs/>
          <w:iCs/>
          <w:sz w:val="24"/>
          <w:szCs w:val="24"/>
        </w:rPr>
        <w:t xml:space="preserve">re </w:t>
      </w:r>
      <w:r w:rsidR="009F7277" w:rsidRPr="009F7277">
        <w:rPr>
          <w:bCs/>
          <w:iCs/>
          <w:sz w:val="24"/>
          <w:szCs w:val="24"/>
        </w:rPr>
        <w:t>3.</w:t>
      </w:r>
    </w:p>
    <w:p w14:paraId="60FED4A1" w14:textId="77777777" w:rsidR="002963D1" w:rsidRPr="00723494" w:rsidRDefault="002963D1" w:rsidP="006E152B">
      <w:pPr>
        <w:spacing w:line="240" w:lineRule="auto"/>
        <w:rPr>
          <w:b/>
          <w:i/>
          <w:iCs/>
          <w:sz w:val="24"/>
          <w:szCs w:val="24"/>
        </w:rPr>
      </w:pPr>
      <w:r w:rsidRPr="00723494">
        <w:rPr>
          <w:b/>
          <w:i/>
          <w:iCs/>
          <w:sz w:val="24"/>
          <w:szCs w:val="24"/>
        </w:rPr>
        <w:t xml:space="preserve">Innovation stimulus package </w:t>
      </w:r>
    </w:p>
    <w:p w14:paraId="55731F41" w14:textId="2D74E66D" w:rsidR="008E13FC" w:rsidRPr="006E152B" w:rsidRDefault="00ED0866" w:rsidP="006E152B">
      <w:pPr>
        <w:spacing w:line="240" w:lineRule="auto"/>
        <w:rPr>
          <w:bCs/>
          <w:iCs/>
          <w:sz w:val="24"/>
          <w:szCs w:val="24"/>
        </w:rPr>
      </w:pPr>
      <w:r w:rsidRPr="006E152B">
        <w:rPr>
          <w:bCs/>
          <w:iCs/>
          <w:sz w:val="24"/>
          <w:szCs w:val="24"/>
        </w:rPr>
        <w:t xml:space="preserve">We feel that the </w:t>
      </w:r>
      <w:r w:rsidR="00242996" w:rsidRPr="006E152B">
        <w:rPr>
          <w:bCs/>
          <w:iCs/>
          <w:sz w:val="24"/>
          <w:szCs w:val="24"/>
        </w:rPr>
        <w:t xml:space="preserve">innovation </w:t>
      </w:r>
      <w:r w:rsidRPr="006E152B">
        <w:rPr>
          <w:bCs/>
          <w:iCs/>
          <w:sz w:val="24"/>
          <w:szCs w:val="24"/>
        </w:rPr>
        <w:t xml:space="preserve">stimulus package has not been successful in driving change.  The majority of NIC and NIA funding </w:t>
      </w:r>
      <w:r w:rsidR="0037568F" w:rsidRPr="006E152B">
        <w:rPr>
          <w:bCs/>
          <w:iCs/>
          <w:sz w:val="24"/>
          <w:szCs w:val="24"/>
        </w:rPr>
        <w:t xml:space="preserve">concentrated on improving asset health, capacity and reducing faults - </w:t>
      </w:r>
      <w:r w:rsidRPr="006E152B">
        <w:rPr>
          <w:bCs/>
          <w:iCs/>
          <w:sz w:val="24"/>
          <w:szCs w:val="24"/>
        </w:rPr>
        <w:t xml:space="preserve">something that the companies should be doing </w:t>
      </w:r>
      <w:r w:rsidR="00BB25D4" w:rsidRPr="006E152B">
        <w:rPr>
          <w:bCs/>
          <w:iCs/>
          <w:sz w:val="24"/>
          <w:szCs w:val="24"/>
        </w:rPr>
        <w:t>as part of normal business practice</w:t>
      </w:r>
      <w:r w:rsidRPr="006E152B">
        <w:rPr>
          <w:bCs/>
          <w:iCs/>
          <w:sz w:val="24"/>
          <w:szCs w:val="24"/>
        </w:rPr>
        <w:t xml:space="preserve">.  </w:t>
      </w:r>
    </w:p>
    <w:p w14:paraId="0E6ACFA0" w14:textId="7DDBD91B" w:rsidR="00ED0866" w:rsidRPr="006E152B" w:rsidRDefault="00ED0866" w:rsidP="006E152B">
      <w:pPr>
        <w:spacing w:line="240" w:lineRule="auto"/>
        <w:rPr>
          <w:bCs/>
          <w:iCs/>
          <w:sz w:val="24"/>
          <w:szCs w:val="24"/>
        </w:rPr>
      </w:pPr>
      <w:r w:rsidRPr="006E152B">
        <w:rPr>
          <w:bCs/>
          <w:iCs/>
          <w:sz w:val="24"/>
          <w:szCs w:val="24"/>
        </w:rPr>
        <w:t>T</w:t>
      </w:r>
      <w:r w:rsidR="0037568F" w:rsidRPr="006E152B">
        <w:rPr>
          <w:bCs/>
          <w:iCs/>
          <w:sz w:val="24"/>
          <w:szCs w:val="24"/>
        </w:rPr>
        <w:t xml:space="preserve">he companies used innovation funding as a means to gain more from those incentives that had a monetary value.  This has meant, as the environmental output had no </w:t>
      </w:r>
      <w:r w:rsidR="00DD795C" w:rsidRPr="006E152B">
        <w:rPr>
          <w:bCs/>
          <w:iCs/>
          <w:sz w:val="24"/>
          <w:szCs w:val="24"/>
        </w:rPr>
        <w:t>financial incentive</w:t>
      </w:r>
      <w:r w:rsidR="0037568F" w:rsidRPr="006E152B">
        <w:rPr>
          <w:bCs/>
          <w:iCs/>
          <w:sz w:val="24"/>
          <w:szCs w:val="24"/>
        </w:rPr>
        <w:t xml:space="preserve">, the networks gave little regard to the value of </w:t>
      </w:r>
      <w:r w:rsidR="0064121F" w:rsidRPr="006E152B">
        <w:rPr>
          <w:bCs/>
          <w:iCs/>
          <w:sz w:val="24"/>
          <w:szCs w:val="24"/>
        </w:rPr>
        <w:t>decarbonisation and decentralization</w:t>
      </w:r>
      <w:r w:rsidR="008E13FC" w:rsidRPr="006E152B">
        <w:rPr>
          <w:bCs/>
          <w:iCs/>
          <w:sz w:val="24"/>
          <w:szCs w:val="24"/>
        </w:rPr>
        <w:t xml:space="preserve"> and more to that of BAU efficiency</w:t>
      </w:r>
    </w:p>
    <w:p w14:paraId="1DFBD791" w14:textId="41BCC398" w:rsidR="00871EDA" w:rsidRDefault="00242996" w:rsidP="006E152B">
      <w:pPr>
        <w:spacing w:line="240" w:lineRule="auto"/>
        <w:rPr>
          <w:bCs/>
          <w:iCs/>
          <w:sz w:val="24"/>
          <w:szCs w:val="24"/>
        </w:rPr>
      </w:pPr>
      <w:r w:rsidRPr="006E152B">
        <w:rPr>
          <w:bCs/>
          <w:iCs/>
          <w:sz w:val="24"/>
          <w:szCs w:val="24"/>
        </w:rPr>
        <w:t xml:space="preserve">The current framework has made the networks think </w:t>
      </w:r>
      <w:r w:rsidR="008E13FC" w:rsidRPr="006E152B">
        <w:rPr>
          <w:bCs/>
          <w:iCs/>
          <w:sz w:val="24"/>
          <w:szCs w:val="24"/>
        </w:rPr>
        <w:t xml:space="preserve">more </w:t>
      </w:r>
      <w:r w:rsidRPr="006E152B">
        <w:rPr>
          <w:bCs/>
          <w:iCs/>
          <w:sz w:val="24"/>
          <w:szCs w:val="24"/>
        </w:rPr>
        <w:t>about innovation</w:t>
      </w:r>
      <w:r w:rsidR="00DD795C" w:rsidRPr="006E152B">
        <w:rPr>
          <w:bCs/>
          <w:iCs/>
          <w:sz w:val="24"/>
          <w:szCs w:val="24"/>
        </w:rPr>
        <w:t xml:space="preserve"> than previously</w:t>
      </w:r>
      <w:r w:rsidR="005515D3">
        <w:rPr>
          <w:bCs/>
          <w:iCs/>
          <w:sz w:val="24"/>
          <w:szCs w:val="24"/>
        </w:rPr>
        <w:t xml:space="preserve"> but</w:t>
      </w:r>
      <w:r w:rsidRPr="006E152B">
        <w:rPr>
          <w:bCs/>
          <w:iCs/>
          <w:sz w:val="24"/>
          <w:szCs w:val="24"/>
        </w:rPr>
        <w:t xml:space="preserve">, in the case of the DNOs, no </w:t>
      </w:r>
      <w:r w:rsidR="008E13FC" w:rsidRPr="006E152B">
        <w:rPr>
          <w:bCs/>
          <w:iCs/>
          <w:sz w:val="24"/>
          <w:szCs w:val="24"/>
        </w:rPr>
        <w:t xml:space="preserve">innovation </w:t>
      </w:r>
      <w:r w:rsidRPr="006E152B">
        <w:rPr>
          <w:bCs/>
          <w:iCs/>
          <w:sz w:val="24"/>
          <w:szCs w:val="24"/>
        </w:rPr>
        <w:t>projects</w:t>
      </w:r>
      <w:r w:rsidR="008E13FC" w:rsidRPr="006E152B">
        <w:rPr>
          <w:bCs/>
          <w:iCs/>
          <w:sz w:val="24"/>
          <w:szCs w:val="24"/>
        </w:rPr>
        <w:t xml:space="preserve"> have then</w:t>
      </w:r>
      <w:r w:rsidRPr="006E152B">
        <w:rPr>
          <w:bCs/>
          <w:iCs/>
          <w:sz w:val="24"/>
          <w:szCs w:val="24"/>
        </w:rPr>
        <w:t xml:space="preserve"> bid for roll-out funding.  </w:t>
      </w:r>
      <w:r w:rsidR="0037568F" w:rsidRPr="006E152B">
        <w:rPr>
          <w:bCs/>
          <w:iCs/>
          <w:sz w:val="24"/>
          <w:szCs w:val="24"/>
        </w:rPr>
        <w:t>We believe that</w:t>
      </w:r>
      <w:r w:rsidR="008E13FC" w:rsidRPr="006E152B">
        <w:rPr>
          <w:bCs/>
          <w:iCs/>
          <w:sz w:val="24"/>
          <w:szCs w:val="24"/>
        </w:rPr>
        <w:t xml:space="preserve"> including</w:t>
      </w:r>
      <w:r w:rsidR="0037568F" w:rsidRPr="006E152B">
        <w:rPr>
          <w:bCs/>
          <w:iCs/>
          <w:sz w:val="24"/>
          <w:szCs w:val="24"/>
        </w:rPr>
        <w:t xml:space="preserve"> innovation </w:t>
      </w:r>
      <w:r w:rsidR="008E13FC" w:rsidRPr="006E152B">
        <w:rPr>
          <w:bCs/>
          <w:iCs/>
          <w:sz w:val="24"/>
          <w:szCs w:val="24"/>
        </w:rPr>
        <w:t xml:space="preserve">as an </w:t>
      </w:r>
      <w:r w:rsidR="0037568F" w:rsidRPr="006E152B">
        <w:rPr>
          <w:bCs/>
          <w:iCs/>
          <w:sz w:val="24"/>
          <w:szCs w:val="24"/>
        </w:rPr>
        <w:t xml:space="preserve">output, rather than a separate pot will encourage the networks to use </w:t>
      </w:r>
      <w:r w:rsidR="008E13FC" w:rsidRPr="006E152B">
        <w:rPr>
          <w:bCs/>
          <w:iCs/>
          <w:sz w:val="24"/>
          <w:szCs w:val="24"/>
        </w:rPr>
        <w:t xml:space="preserve">innovative solutions </w:t>
      </w:r>
      <w:r w:rsidR="0037568F" w:rsidRPr="006E152B">
        <w:rPr>
          <w:bCs/>
          <w:iCs/>
          <w:sz w:val="24"/>
          <w:szCs w:val="24"/>
        </w:rPr>
        <w:t xml:space="preserve">to achieve benefits from all </w:t>
      </w:r>
      <w:r w:rsidR="00BB25D4" w:rsidRPr="006E152B">
        <w:rPr>
          <w:bCs/>
          <w:iCs/>
          <w:sz w:val="24"/>
          <w:szCs w:val="24"/>
        </w:rPr>
        <w:t xml:space="preserve">of the </w:t>
      </w:r>
      <w:r w:rsidR="0037568F" w:rsidRPr="006E152B">
        <w:rPr>
          <w:bCs/>
          <w:iCs/>
          <w:sz w:val="24"/>
          <w:szCs w:val="24"/>
        </w:rPr>
        <w:t>outputs</w:t>
      </w:r>
      <w:r w:rsidR="008E13FC" w:rsidRPr="006E152B">
        <w:rPr>
          <w:bCs/>
          <w:iCs/>
          <w:sz w:val="24"/>
          <w:szCs w:val="24"/>
        </w:rPr>
        <w:t xml:space="preserve">.  </w:t>
      </w:r>
      <w:r w:rsidR="00A46BA9" w:rsidRPr="006E152B">
        <w:rPr>
          <w:bCs/>
          <w:iCs/>
          <w:sz w:val="24"/>
          <w:szCs w:val="24"/>
        </w:rPr>
        <w:t>A</w:t>
      </w:r>
      <w:r w:rsidR="008E13FC" w:rsidRPr="006E152B">
        <w:rPr>
          <w:bCs/>
          <w:iCs/>
          <w:sz w:val="24"/>
          <w:szCs w:val="24"/>
        </w:rPr>
        <w:t xml:space="preserve"> financial incentive</w:t>
      </w:r>
      <w:r w:rsidR="00A46BA9" w:rsidRPr="006E152B">
        <w:rPr>
          <w:bCs/>
          <w:iCs/>
          <w:sz w:val="24"/>
          <w:szCs w:val="24"/>
        </w:rPr>
        <w:t xml:space="preserve"> should only be given</w:t>
      </w:r>
      <w:r w:rsidR="00DD795C" w:rsidRPr="006E152B">
        <w:rPr>
          <w:bCs/>
          <w:iCs/>
          <w:sz w:val="24"/>
          <w:szCs w:val="24"/>
        </w:rPr>
        <w:t xml:space="preserve"> </w:t>
      </w:r>
      <w:r w:rsidR="008E13FC" w:rsidRPr="006E152B">
        <w:rPr>
          <w:bCs/>
          <w:iCs/>
          <w:sz w:val="24"/>
          <w:szCs w:val="24"/>
        </w:rPr>
        <w:t>if al</w:t>
      </w:r>
      <w:r w:rsidR="00DD795C" w:rsidRPr="006E152B">
        <w:rPr>
          <w:bCs/>
          <w:iCs/>
          <w:sz w:val="24"/>
          <w:szCs w:val="24"/>
        </w:rPr>
        <w:t>l outputs have been met</w:t>
      </w:r>
      <w:r w:rsidR="00A46BA9" w:rsidRPr="006E152B">
        <w:rPr>
          <w:bCs/>
          <w:iCs/>
          <w:sz w:val="24"/>
          <w:szCs w:val="24"/>
        </w:rPr>
        <w:t>.  This</w:t>
      </w:r>
      <w:r w:rsidR="00DD795C" w:rsidRPr="006E152B">
        <w:rPr>
          <w:bCs/>
          <w:iCs/>
          <w:sz w:val="24"/>
          <w:szCs w:val="24"/>
        </w:rPr>
        <w:t xml:space="preserve"> encourage</w:t>
      </w:r>
      <w:r w:rsidR="00A46BA9" w:rsidRPr="006E152B">
        <w:rPr>
          <w:bCs/>
          <w:iCs/>
          <w:sz w:val="24"/>
          <w:szCs w:val="24"/>
        </w:rPr>
        <w:t>s</w:t>
      </w:r>
      <w:r w:rsidR="00DD795C" w:rsidRPr="006E152B">
        <w:rPr>
          <w:bCs/>
          <w:iCs/>
          <w:sz w:val="24"/>
          <w:szCs w:val="24"/>
        </w:rPr>
        <w:t xml:space="preserve"> more use of innovation</w:t>
      </w:r>
      <w:r w:rsidR="00A46BA9" w:rsidRPr="006E152B">
        <w:rPr>
          <w:bCs/>
          <w:iCs/>
          <w:sz w:val="24"/>
          <w:szCs w:val="24"/>
        </w:rPr>
        <w:t xml:space="preserve"> </w:t>
      </w:r>
      <w:r w:rsidR="00D17083" w:rsidRPr="006E152B">
        <w:rPr>
          <w:bCs/>
          <w:iCs/>
          <w:sz w:val="24"/>
          <w:szCs w:val="24"/>
        </w:rPr>
        <w:t xml:space="preserve">which is able </w:t>
      </w:r>
      <w:r w:rsidR="00A46BA9" w:rsidRPr="006E152B">
        <w:rPr>
          <w:bCs/>
          <w:iCs/>
          <w:sz w:val="24"/>
          <w:szCs w:val="24"/>
        </w:rPr>
        <w:t>to achie</w:t>
      </w:r>
      <w:r w:rsidR="00D17083" w:rsidRPr="006E152B">
        <w:rPr>
          <w:bCs/>
          <w:iCs/>
          <w:sz w:val="24"/>
          <w:szCs w:val="24"/>
        </w:rPr>
        <w:t xml:space="preserve">ve multiple outputs </w:t>
      </w:r>
      <w:r w:rsidR="0037568F" w:rsidRPr="006E152B">
        <w:rPr>
          <w:bCs/>
          <w:iCs/>
          <w:sz w:val="24"/>
          <w:szCs w:val="24"/>
        </w:rPr>
        <w:t xml:space="preserve">not just those which encourage BAU </w:t>
      </w:r>
      <w:r w:rsidR="00BB25D4" w:rsidRPr="006E152B">
        <w:rPr>
          <w:bCs/>
          <w:iCs/>
          <w:sz w:val="24"/>
          <w:szCs w:val="24"/>
        </w:rPr>
        <w:t>efficiency</w:t>
      </w:r>
      <w:r w:rsidR="0037568F" w:rsidRPr="006E152B">
        <w:rPr>
          <w:bCs/>
          <w:iCs/>
          <w:sz w:val="24"/>
          <w:szCs w:val="24"/>
        </w:rPr>
        <w:t>.</w:t>
      </w:r>
    </w:p>
    <w:p w14:paraId="45579B4F" w14:textId="77777777" w:rsidR="00B03B60" w:rsidRPr="006E152B" w:rsidRDefault="00B03B60" w:rsidP="006E152B">
      <w:pPr>
        <w:spacing w:line="240" w:lineRule="auto"/>
        <w:rPr>
          <w:i/>
          <w:iCs/>
          <w:sz w:val="24"/>
          <w:szCs w:val="24"/>
        </w:rPr>
      </w:pPr>
    </w:p>
    <w:p w14:paraId="1BAFE946" w14:textId="77777777" w:rsidR="009D744F" w:rsidRPr="006E152B" w:rsidRDefault="009D744F" w:rsidP="006E152B">
      <w:pPr>
        <w:pStyle w:val="ListParagraph"/>
        <w:numPr>
          <w:ilvl w:val="0"/>
          <w:numId w:val="24"/>
        </w:numPr>
        <w:spacing w:line="240" w:lineRule="auto"/>
        <w:rPr>
          <w:b/>
          <w:bCs/>
          <w:i/>
          <w:iCs/>
          <w:sz w:val="24"/>
          <w:szCs w:val="24"/>
          <w:u w:val="single"/>
        </w:rPr>
      </w:pPr>
      <w:r w:rsidRPr="006E152B">
        <w:rPr>
          <w:b/>
          <w:bCs/>
          <w:i/>
          <w:iCs/>
          <w:sz w:val="24"/>
          <w:szCs w:val="24"/>
          <w:u w:val="single"/>
        </w:rPr>
        <w:lastRenderedPageBreak/>
        <w:t>Simplifying the price controls by focusing on items of greatest value to consumers</w:t>
      </w:r>
    </w:p>
    <w:p w14:paraId="38F50507" w14:textId="639CE189" w:rsidR="00E37F44" w:rsidRPr="006E152B" w:rsidRDefault="00823B1B" w:rsidP="006E152B">
      <w:pPr>
        <w:spacing w:line="240" w:lineRule="auto"/>
        <w:rPr>
          <w:bCs/>
          <w:iCs/>
          <w:sz w:val="24"/>
          <w:szCs w:val="24"/>
        </w:rPr>
      </w:pPr>
      <w:r w:rsidRPr="006E152B">
        <w:rPr>
          <w:bCs/>
          <w:iCs/>
          <w:sz w:val="24"/>
          <w:szCs w:val="24"/>
        </w:rPr>
        <w:t>As previously commented fast-tracking has shown no benefits to customers.  In the case of the DNO’s, there was only one fast-tracked company but as the CAB report has shown, all companies are showing percentage profits of around 10%.  We would recommend that networks should only be given one opportunity to submit their business plans - reducing the ability to game, with sharing factors allocated as to the quality of these plans and how close they are to Ofgem’s determination of efficient costs.</w:t>
      </w:r>
    </w:p>
    <w:p w14:paraId="2A3DEDA9" w14:textId="77777777" w:rsidR="002963D1" w:rsidRPr="00723494" w:rsidRDefault="002963D1" w:rsidP="006E152B">
      <w:pPr>
        <w:spacing w:line="240" w:lineRule="auto"/>
        <w:rPr>
          <w:b/>
          <w:i/>
          <w:iCs/>
          <w:sz w:val="24"/>
          <w:szCs w:val="24"/>
        </w:rPr>
      </w:pPr>
      <w:r w:rsidRPr="00723494">
        <w:rPr>
          <w:b/>
          <w:i/>
          <w:iCs/>
          <w:sz w:val="24"/>
          <w:szCs w:val="24"/>
        </w:rPr>
        <w:t xml:space="preserve">Monitoring and information </w:t>
      </w:r>
    </w:p>
    <w:p w14:paraId="148536E3" w14:textId="2AB84F04" w:rsidR="00823B1B" w:rsidRDefault="00823B1B" w:rsidP="006E152B">
      <w:pPr>
        <w:spacing w:line="240" w:lineRule="auto"/>
        <w:rPr>
          <w:bCs/>
          <w:iCs/>
          <w:sz w:val="24"/>
          <w:szCs w:val="24"/>
        </w:rPr>
      </w:pPr>
      <w:r w:rsidRPr="006E152B">
        <w:rPr>
          <w:bCs/>
          <w:iCs/>
          <w:sz w:val="24"/>
          <w:szCs w:val="24"/>
        </w:rPr>
        <w:t>The use of benchmarking for monitoring performance allows for gaming amongst networks.  As we move t</w:t>
      </w:r>
      <w:r w:rsidR="00FD183E" w:rsidRPr="006E152B">
        <w:rPr>
          <w:bCs/>
          <w:iCs/>
          <w:sz w:val="24"/>
          <w:szCs w:val="24"/>
        </w:rPr>
        <w:t xml:space="preserve">o a more decentralised grid, solutions for grid services will become more localised and the use of benchmarking more difficult.  The move to performance based regulation, such as that of the NY REV, allows for monitoring of performance against outputs, </w:t>
      </w:r>
      <w:r w:rsidR="000516AC" w:rsidRPr="006E152B">
        <w:rPr>
          <w:bCs/>
          <w:iCs/>
          <w:sz w:val="24"/>
          <w:szCs w:val="24"/>
        </w:rPr>
        <w:t>rather than against each other</w:t>
      </w:r>
      <w:r w:rsidR="00A34C35">
        <w:rPr>
          <w:bCs/>
          <w:iCs/>
          <w:sz w:val="24"/>
          <w:szCs w:val="24"/>
        </w:rPr>
        <w:t>’s performances</w:t>
      </w:r>
      <w:r w:rsidR="000516AC" w:rsidRPr="006E152B">
        <w:rPr>
          <w:bCs/>
          <w:iCs/>
          <w:sz w:val="24"/>
          <w:szCs w:val="24"/>
        </w:rPr>
        <w:t xml:space="preserve">, reducing this ability to game.  This then drives innovation for meeting the challenges of a decentralised grid and </w:t>
      </w:r>
      <w:r w:rsidR="008C28E2" w:rsidRPr="006E152B">
        <w:rPr>
          <w:bCs/>
          <w:iCs/>
          <w:sz w:val="24"/>
          <w:szCs w:val="24"/>
        </w:rPr>
        <w:t>reaching the required outputs.</w:t>
      </w:r>
    </w:p>
    <w:p w14:paraId="2EE6536A" w14:textId="3809DE00" w:rsidR="001A25A9" w:rsidRDefault="001A25A9" w:rsidP="006E152B">
      <w:pPr>
        <w:spacing w:line="240" w:lineRule="auto"/>
        <w:rPr>
          <w:bCs/>
          <w:iCs/>
          <w:sz w:val="24"/>
          <w:szCs w:val="24"/>
        </w:rPr>
      </w:pPr>
      <w:r>
        <w:rPr>
          <w:bCs/>
          <w:iCs/>
          <w:sz w:val="24"/>
          <w:szCs w:val="24"/>
        </w:rPr>
        <w:t>We suggest looking at NY REVs ratemaking order which discusses not just outputs but also something called ‘scorecards’. These scorecards are issues which may become i</w:t>
      </w:r>
      <w:r w:rsidR="005515D3">
        <w:rPr>
          <w:bCs/>
          <w:iCs/>
          <w:sz w:val="24"/>
          <w:szCs w:val="24"/>
        </w:rPr>
        <w:t xml:space="preserve">ncentivised outputs but which, </w:t>
      </w:r>
      <w:r>
        <w:rPr>
          <w:bCs/>
          <w:iCs/>
          <w:sz w:val="24"/>
          <w:szCs w:val="24"/>
        </w:rPr>
        <w:t>at the current time, the Regulator does not have sufficient data to understand how best to incentivise them. The scorecards set up means of capturing information</w:t>
      </w:r>
      <w:r>
        <w:rPr>
          <w:rStyle w:val="FootnoteReference"/>
          <w:bCs/>
          <w:iCs/>
          <w:sz w:val="24"/>
          <w:szCs w:val="24"/>
        </w:rPr>
        <w:footnoteReference w:id="50"/>
      </w:r>
      <w:r>
        <w:rPr>
          <w:bCs/>
          <w:iCs/>
          <w:sz w:val="24"/>
          <w:szCs w:val="24"/>
        </w:rPr>
        <w:t>.</w:t>
      </w:r>
    </w:p>
    <w:p w14:paraId="55AE9223" w14:textId="77777777" w:rsidR="00F00E5D" w:rsidRDefault="00F00E5D" w:rsidP="006E152B">
      <w:pPr>
        <w:spacing w:line="240" w:lineRule="auto"/>
        <w:rPr>
          <w:bCs/>
          <w:iCs/>
          <w:sz w:val="24"/>
          <w:szCs w:val="24"/>
        </w:rPr>
      </w:pPr>
    </w:p>
    <w:p w14:paraId="5D55711A" w14:textId="7F00C795" w:rsidR="00690690" w:rsidRPr="00F00E5D" w:rsidRDefault="00A34C35" w:rsidP="006E152B">
      <w:pPr>
        <w:spacing w:line="240" w:lineRule="auto"/>
        <w:rPr>
          <w:b/>
          <w:color w:val="2E74B5" w:themeColor="accent1" w:themeShade="BF"/>
          <w:sz w:val="28"/>
          <w:szCs w:val="28"/>
        </w:rPr>
      </w:pPr>
      <w:r w:rsidRPr="00F00E5D">
        <w:rPr>
          <w:b/>
          <w:color w:val="2E74B5" w:themeColor="accent1" w:themeShade="BF"/>
          <w:sz w:val="28"/>
          <w:szCs w:val="28"/>
        </w:rPr>
        <w:t xml:space="preserve">Section 10 </w:t>
      </w:r>
      <w:r w:rsidR="00690690" w:rsidRPr="00F00E5D">
        <w:rPr>
          <w:b/>
          <w:color w:val="2E74B5" w:themeColor="accent1" w:themeShade="BF"/>
          <w:sz w:val="28"/>
          <w:szCs w:val="28"/>
        </w:rPr>
        <w:t>Conclusion</w:t>
      </w:r>
    </w:p>
    <w:p w14:paraId="12C588CB" w14:textId="77777777" w:rsidR="00723494" w:rsidRDefault="00723494" w:rsidP="006E152B">
      <w:pPr>
        <w:spacing w:line="240" w:lineRule="auto"/>
        <w:rPr>
          <w:sz w:val="24"/>
          <w:szCs w:val="24"/>
        </w:rPr>
      </w:pPr>
    </w:p>
    <w:p w14:paraId="3D0945D1" w14:textId="7705A79C" w:rsidR="00561C97" w:rsidRPr="006E152B" w:rsidRDefault="00690690" w:rsidP="006E152B">
      <w:pPr>
        <w:spacing w:line="240" w:lineRule="auto"/>
        <w:rPr>
          <w:sz w:val="24"/>
          <w:szCs w:val="24"/>
        </w:rPr>
      </w:pPr>
      <w:r w:rsidRPr="006E152B">
        <w:rPr>
          <w:sz w:val="24"/>
          <w:szCs w:val="24"/>
        </w:rPr>
        <w:t>The EPG welcome the opportunity to review this O</w:t>
      </w:r>
      <w:r w:rsidR="00A34C35">
        <w:rPr>
          <w:sz w:val="24"/>
          <w:szCs w:val="24"/>
        </w:rPr>
        <w:t xml:space="preserve">pen </w:t>
      </w:r>
      <w:r w:rsidRPr="006E152B">
        <w:rPr>
          <w:sz w:val="24"/>
          <w:szCs w:val="24"/>
        </w:rPr>
        <w:t>L</w:t>
      </w:r>
      <w:r w:rsidR="00A34C35">
        <w:rPr>
          <w:sz w:val="24"/>
          <w:szCs w:val="24"/>
        </w:rPr>
        <w:t>etter</w:t>
      </w:r>
      <w:r w:rsidRPr="006E152B">
        <w:rPr>
          <w:sz w:val="24"/>
          <w:szCs w:val="24"/>
        </w:rPr>
        <w:t xml:space="preserve"> and are pleased that Ofgem see the need for change within the regulation of the networks. </w:t>
      </w:r>
    </w:p>
    <w:p w14:paraId="4EDFC42C" w14:textId="77777777" w:rsidR="00A34C35" w:rsidRDefault="00690690" w:rsidP="006E152B">
      <w:pPr>
        <w:spacing w:line="240" w:lineRule="auto"/>
        <w:rPr>
          <w:sz w:val="24"/>
          <w:szCs w:val="24"/>
        </w:rPr>
      </w:pPr>
      <w:r w:rsidRPr="006E152B">
        <w:rPr>
          <w:sz w:val="24"/>
          <w:szCs w:val="24"/>
        </w:rPr>
        <w:t xml:space="preserve"> We feel that the biggest issue facing </w:t>
      </w:r>
      <w:r w:rsidR="00A34C35">
        <w:rPr>
          <w:sz w:val="24"/>
          <w:szCs w:val="24"/>
        </w:rPr>
        <w:t>the Regulator, is the need to speed up the rate of change of GB’s energy system</w:t>
      </w:r>
      <w:r w:rsidRPr="006E152B">
        <w:rPr>
          <w:sz w:val="24"/>
          <w:szCs w:val="24"/>
        </w:rPr>
        <w:t xml:space="preserve">.  </w:t>
      </w:r>
    </w:p>
    <w:p w14:paraId="46EFC6F6" w14:textId="6D96763F" w:rsidR="00561C97" w:rsidRPr="006E152B" w:rsidRDefault="00A34C35" w:rsidP="006E152B">
      <w:pPr>
        <w:spacing w:line="240" w:lineRule="auto"/>
        <w:rPr>
          <w:sz w:val="24"/>
          <w:szCs w:val="24"/>
        </w:rPr>
      </w:pPr>
      <w:r>
        <w:rPr>
          <w:sz w:val="24"/>
          <w:szCs w:val="24"/>
        </w:rPr>
        <w:t xml:space="preserve">We hope that </w:t>
      </w:r>
      <w:r w:rsidR="00690690" w:rsidRPr="006E152B">
        <w:rPr>
          <w:sz w:val="24"/>
          <w:szCs w:val="24"/>
        </w:rPr>
        <w:t xml:space="preserve">Ofgem </w:t>
      </w:r>
      <w:r>
        <w:rPr>
          <w:sz w:val="24"/>
          <w:szCs w:val="24"/>
        </w:rPr>
        <w:t xml:space="preserve">will reduce the eight year price control down to 4 or 5 years, or a more rolling approach. </w:t>
      </w:r>
      <w:r w:rsidR="00690690" w:rsidRPr="006E152B">
        <w:rPr>
          <w:sz w:val="24"/>
          <w:szCs w:val="24"/>
        </w:rPr>
        <w:t>The carbon budget for the period 2028-2032 is 1,725 mt CO2e</w:t>
      </w:r>
      <w:r w:rsidR="00690690" w:rsidRPr="006E152B">
        <w:rPr>
          <w:rStyle w:val="FootnoteReference"/>
          <w:sz w:val="24"/>
          <w:szCs w:val="24"/>
        </w:rPr>
        <w:footnoteReference w:id="51"/>
      </w:r>
      <w:r w:rsidR="00690690" w:rsidRPr="006E152B">
        <w:rPr>
          <w:sz w:val="24"/>
          <w:szCs w:val="24"/>
        </w:rPr>
        <w:t>, equivalent to a 57% reduction on 1990 levels</w:t>
      </w:r>
      <w:r w:rsidR="00690690" w:rsidRPr="006E152B">
        <w:rPr>
          <w:rStyle w:val="FootnoteReference"/>
          <w:sz w:val="24"/>
          <w:szCs w:val="24"/>
        </w:rPr>
        <w:footnoteReference w:id="52"/>
      </w:r>
      <w:r w:rsidR="00690690" w:rsidRPr="006E152B">
        <w:rPr>
          <w:sz w:val="24"/>
          <w:szCs w:val="24"/>
        </w:rPr>
        <w:t xml:space="preserve">.  In order to meet this budget the networks will not only need to consider heat and power, but also increasingly transport.  </w:t>
      </w:r>
    </w:p>
    <w:p w14:paraId="79CB47D3" w14:textId="77777777" w:rsidR="0042704B" w:rsidRDefault="00690690" w:rsidP="006E152B">
      <w:pPr>
        <w:spacing w:line="240" w:lineRule="auto"/>
        <w:rPr>
          <w:sz w:val="24"/>
          <w:szCs w:val="24"/>
        </w:rPr>
      </w:pPr>
      <w:r w:rsidRPr="006E152B">
        <w:rPr>
          <w:sz w:val="24"/>
          <w:szCs w:val="24"/>
        </w:rPr>
        <w:lastRenderedPageBreak/>
        <w:t>We do not believe Ofgem, or anyone else, is able to predict how technol</w:t>
      </w:r>
      <w:r w:rsidR="0042704B">
        <w:rPr>
          <w:sz w:val="24"/>
          <w:szCs w:val="24"/>
        </w:rPr>
        <w:t xml:space="preserve">ogy will develop over this time, although we do think we know the direction of travel. </w:t>
      </w:r>
    </w:p>
    <w:p w14:paraId="64A45B1C" w14:textId="5CAFA7C7" w:rsidR="00561C97" w:rsidRDefault="00561C97" w:rsidP="006E152B">
      <w:pPr>
        <w:spacing w:line="240" w:lineRule="auto"/>
        <w:rPr>
          <w:sz w:val="24"/>
          <w:szCs w:val="24"/>
        </w:rPr>
      </w:pPr>
      <w:r w:rsidRPr="006E152B">
        <w:rPr>
          <w:sz w:val="24"/>
          <w:szCs w:val="24"/>
        </w:rPr>
        <w:t xml:space="preserve">No one factor can </w:t>
      </w:r>
      <w:r w:rsidR="0042704B">
        <w:rPr>
          <w:sz w:val="24"/>
          <w:szCs w:val="24"/>
        </w:rPr>
        <w:t>enable</w:t>
      </w:r>
      <w:r w:rsidRPr="006E152B">
        <w:rPr>
          <w:sz w:val="24"/>
          <w:szCs w:val="24"/>
        </w:rPr>
        <w:t xml:space="preserve"> this transformation on its own. More integration of PBR, network</w:t>
      </w:r>
      <w:r w:rsidR="00A34C35">
        <w:rPr>
          <w:sz w:val="24"/>
          <w:szCs w:val="24"/>
        </w:rPr>
        <w:t xml:space="preserve"> charging, public policy goals and </w:t>
      </w:r>
      <w:r w:rsidRPr="006E152B">
        <w:rPr>
          <w:sz w:val="24"/>
          <w:szCs w:val="24"/>
        </w:rPr>
        <w:t>o</w:t>
      </w:r>
      <w:r w:rsidR="00A34C35">
        <w:rPr>
          <w:sz w:val="24"/>
          <w:szCs w:val="24"/>
        </w:rPr>
        <w:t xml:space="preserve">pening up of data are required. </w:t>
      </w:r>
      <w:r w:rsidRPr="006E152B">
        <w:rPr>
          <w:sz w:val="24"/>
          <w:szCs w:val="24"/>
        </w:rPr>
        <w:t>New ways of regulating the energy system</w:t>
      </w:r>
      <w:r w:rsidR="00A34C35">
        <w:rPr>
          <w:sz w:val="24"/>
          <w:szCs w:val="24"/>
        </w:rPr>
        <w:t xml:space="preserve"> (ie more PBR)</w:t>
      </w:r>
      <w:r w:rsidRPr="006E152B">
        <w:rPr>
          <w:sz w:val="24"/>
          <w:szCs w:val="24"/>
        </w:rPr>
        <w:t>, with new actors in new roles and new institutions will be ne</w:t>
      </w:r>
      <w:r w:rsidR="00A34C35">
        <w:rPr>
          <w:sz w:val="24"/>
          <w:szCs w:val="24"/>
        </w:rPr>
        <w:t>e</w:t>
      </w:r>
      <w:r w:rsidRPr="006E152B">
        <w:rPr>
          <w:sz w:val="24"/>
          <w:szCs w:val="24"/>
        </w:rPr>
        <w:t xml:space="preserve">ded. </w:t>
      </w:r>
      <w:r w:rsidR="0042704B">
        <w:rPr>
          <w:sz w:val="24"/>
          <w:szCs w:val="24"/>
        </w:rPr>
        <w:t>A new RIIO design is important as one dimension of this fit-for-purpose energy system governance.</w:t>
      </w:r>
    </w:p>
    <w:p w14:paraId="31E0CF48" w14:textId="5AADC389" w:rsidR="00690690" w:rsidRPr="006E152B" w:rsidRDefault="0042704B" w:rsidP="006E152B">
      <w:pPr>
        <w:spacing w:line="240" w:lineRule="auto"/>
        <w:rPr>
          <w:sz w:val="24"/>
          <w:szCs w:val="24"/>
        </w:rPr>
      </w:pPr>
      <w:r>
        <w:rPr>
          <w:sz w:val="24"/>
          <w:szCs w:val="24"/>
        </w:rPr>
        <w:t xml:space="preserve">In order to achieve regulatory </w:t>
      </w:r>
      <w:r w:rsidR="00690690" w:rsidRPr="006E152B">
        <w:rPr>
          <w:sz w:val="24"/>
          <w:szCs w:val="24"/>
        </w:rPr>
        <w:t>flexibility</w:t>
      </w:r>
      <w:r>
        <w:rPr>
          <w:sz w:val="24"/>
          <w:szCs w:val="24"/>
        </w:rPr>
        <w:t xml:space="preserve"> and agility, </w:t>
      </w:r>
      <w:r w:rsidR="00690690" w:rsidRPr="006E152B">
        <w:rPr>
          <w:sz w:val="24"/>
          <w:szCs w:val="24"/>
        </w:rPr>
        <w:t xml:space="preserve"> we recommend that the length of the price contr</w:t>
      </w:r>
      <w:r w:rsidR="00561C97" w:rsidRPr="006E152B">
        <w:rPr>
          <w:sz w:val="24"/>
          <w:szCs w:val="24"/>
        </w:rPr>
        <w:t>ol</w:t>
      </w:r>
      <w:r>
        <w:rPr>
          <w:sz w:val="24"/>
          <w:szCs w:val="24"/>
        </w:rPr>
        <w:t>s</w:t>
      </w:r>
      <w:r w:rsidR="00561C97" w:rsidRPr="006E152B">
        <w:rPr>
          <w:sz w:val="24"/>
          <w:szCs w:val="24"/>
        </w:rPr>
        <w:t xml:space="preserve"> </w:t>
      </w:r>
      <w:r w:rsidR="00690690" w:rsidRPr="006E152B">
        <w:rPr>
          <w:sz w:val="24"/>
          <w:szCs w:val="24"/>
        </w:rPr>
        <w:t>be reduced</w:t>
      </w:r>
      <w:r w:rsidR="00A34C35">
        <w:rPr>
          <w:sz w:val="24"/>
          <w:szCs w:val="24"/>
        </w:rPr>
        <w:t xml:space="preserve">; </w:t>
      </w:r>
      <w:r>
        <w:rPr>
          <w:sz w:val="24"/>
          <w:szCs w:val="24"/>
        </w:rPr>
        <w:t xml:space="preserve">that </w:t>
      </w:r>
      <w:r w:rsidR="00690690" w:rsidRPr="006E152B">
        <w:rPr>
          <w:sz w:val="24"/>
          <w:szCs w:val="24"/>
        </w:rPr>
        <w:t>the price co</w:t>
      </w:r>
      <w:r w:rsidR="00A34C35">
        <w:rPr>
          <w:sz w:val="24"/>
          <w:szCs w:val="24"/>
        </w:rPr>
        <w:t xml:space="preserve">ntrols for gas and electricity and </w:t>
      </w:r>
      <w:r w:rsidR="00690690" w:rsidRPr="006E152B">
        <w:rPr>
          <w:sz w:val="24"/>
          <w:szCs w:val="24"/>
        </w:rPr>
        <w:t>both for distribution and t</w:t>
      </w:r>
      <w:r w:rsidR="00A34C35">
        <w:rPr>
          <w:sz w:val="24"/>
          <w:szCs w:val="24"/>
        </w:rPr>
        <w:t>ransmission, need to be aligned; and this needs to be set within a much more coherent governance framework.</w:t>
      </w:r>
    </w:p>
    <w:p w14:paraId="261251B9" w14:textId="57335036" w:rsidR="00342EF5" w:rsidRPr="006E152B" w:rsidRDefault="00A34C35" w:rsidP="006E152B">
      <w:pPr>
        <w:spacing w:line="240" w:lineRule="auto"/>
        <w:rPr>
          <w:sz w:val="24"/>
          <w:szCs w:val="24"/>
        </w:rPr>
      </w:pPr>
      <w:r>
        <w:rPr>
          <w:sz w:val="24"/>
          <w:szCs w:val="24"/>
        </w:rPr>
        <w:t>We predict that</w:t>
      </w:r>
      <w:r w:rsidR="00690690" w:rsidRPr="006E152B">
        <w:rPr>
          <w:sz w:val="24"/>
          <w:szCs w:val="24"/>
        </w:rPr>
        <w:t xml:space="preserve"> the future decarbonised energy system will become decentralis</w:t>
      </w:r>
      <w:r>
        <w:rPr>
          <w:sz w:val="24"/>
          <w:szCs w:val="24"/>
        </w:rPr>
        <w:t xml:space="preserve">ed, digitalised and </w:t>
      </w:r>
      <w:r w:rsidR="008A4157">
        <w:rPr>
          <w:sz w:val="24"/>
          <w:szCs w:val="24"/>
        </w:rPr>
        <w:t xml:space="preserve">more </w:t>
      </w:r>
      <w:r>
        <w:rPr>
          <w:sz w:val="24"/>
          <w:szCs w:val="24"/>
        </w:rPr>
        <w:t>democratic, with a greater role for distribution companies</w:t>
      </w:r>
      <w:r w:rsidR="00690690" w:rsidRPr="006E152B">
        <w:rPr>
          <w:sz w:val="24"/>
          <w:szCs w:val="24"/>
        </w:rPr>
        <w:t>.  We need a firm plan from BEIS/Ofgem on the timescale and scope of this transformation, similar to that for the NY REV, which then gives networks a clearer vision of how the outputs</w:t>
      </w:r>
      <w:r w:rsidR="0042704B">
        <w:rPr>
          <w:sz w:val="24"/>
          <w:szCs w:val="24"/>
        </w:rPr>
        <w:t xml:space="preserve"> to be incentivised</w:t>
      </w:r>
      <w:r w:rsidR="00690690" w:rsidRPr="006E152B">
        <w:rPr>
          <w:sz w:val="24"/>
          <w:szCs w:val="24"/>
        </w:rPr>
        <w:t xml:space="preserve">, as set out by RIIO, will help to achieve energy system transformation.  The current regulatory system, with no clear vision, is a confused mishmash of separate ideas with no cohesion between the separate gas and electricity companies or with transmission and distribution. </w:t>
      </w:r>
    </w:p>
    <w:p w14:paraId="53884F2D" w14:textId="77777777" w:rsidR="00342EF5" w:rsidRPr="006E152B" w:rsidRDefault="00690690" w:rsidP="006E152B">
      <w:pPr>
        <w:spacing w:line="240" w:lineRule="auto"/>
        <w:rPr>
          <w:sz w:val="24"/>
          <w:szCs w:val="24"/>
        </w:rPr>
      </w:pPr>
      <w:r w:rsidRPr="006E152B">
        <w:rPr>
          <w:sz w:val="24"/>
          <w:szCs w:val="24"/>
        </w:rPr>
        <w:t xml:space="preserve"> In ED1 some of the DNOs have shown that they are willing to innovate towards energy system transformation but the lack of financial incentives in the outputs means that these innovative practices have not been rolled-out.  </w:t>
      </w:r>
    </w:p>
    <w:p w14:paraId="02DF7FAC" w14:textId="64B12F05" w:rsidR="00342EF5" w:rsidRPr="006E152B" w:rsidRDefault="008A4157" w:rsidP="006E152B">
      <w:pPr>
        <w:spacing w:line="240" w:lineRule="auto"/>
        <w:rPr>
          <w:sz w:val="24"/>
          <w:szCs w:val="24"/>
        </w:rPr>
      </w:pPr>
      <w:r>
        <w:rPr>
          <w:sz w:val="24"/>
          <w:szCs w:val="24"/>
        </w:rPr>
        <w:t>By restructuring</w:t>
      </w:r>
      <w:r w:rsidR="00690690" w:rsidRPr="006E152B">
        <w:rPr>
          <w:sz w:val="24"/>
          <w:szCs w:val="24"/>
        </w:rPr>
        <w:t xml:space="preserve"> the current regulatory </w:t>
      </w:r>
      <w:r>
        <w:rPr>
          <w:sz w:val="24"/>
          <w:szCs w:val="24"/>
        </w:rPr>
        <w:t>incentive mechanism</w:t>
      </w:r>
      <w:r w:rsidR="00690690" w:rsidRPr="006E152B">
        <w:rPr>
          <w:sz w:val="24"/>
          <w:szCs w:val="24"/>
        </w:rPr>
        <w:t xml:space="preserve"> to one </w:t>
      </w:r>
      <w:r>
        <w:rPr>
          <w:sz w:val="24"/>
          <w:szCs w:val="24"/>
        </w:rPr>
        <w:t>with a greater emphasis on</w:t>
      </w:r>
      <w:r w:rsidR="00690690" w:rsidRPr="006E152B">
        <w:rPr>
          <w:sz w:val="24"/>
          <w:szCs w:val="24"/>
        </w:rPr>
        <w:t xml:space="preserve"> performance based regulation, with monitoring and incentives based on how </w:t>
      </w:r>
      <w:r w:rsidR="00690690" w:rsidRPr="006E152B">
        <w:rPr>
          <w:b/>
          <w:sz w:val="24"/>
          <w:szCs w:val="24"/>
        </w:rPr>
        <w:t>all</w:t>
      </w:r>
      <w:r w:rsidR="00690690" w:rsidRPr="006E152B">
        <w:rPr>
          <w:sz w:val="24"/>
          <w:szCs w:val="24"/>
        </w:rPr>
        <w:t xml:space="preserve"> outputs are met -  rather than benchmarking, gives the networks more opportunity for creative thinking.  </w:t>
      </w:r>
    </w:p>
    <w:p w14:paraId="187CD905" w14:textId="5C2F928F" w:rsidR="00690690" w:rsidRPr="006E152B" w:rsidRDefault="00690690" w:rsidP="006E152B">
      <w:pPr>
        <w:spacing w:line="240" w:lineRule="auto"/>
        <w:rPr>
          <w:sz w:val="24"/>
          <w:szCs w:val="24"/>
        </w:rPr>
      </w:pPr>
      <w:r w:rsidRPr="006E152B">
        <w:rPr>
          <w:sz w:val="24"/>
          <w:szCs w:val="24"/>
        </w:rPr>
        <w:t xml:space="preserve">It is </w:t>
      </w:r>
      <w:r w:rsidR="008A4157">
        <w:rPr>
          <w:sz w:val="24"/>
          <w:szCs w:val="24"/>
        </w:rPr>
        <w:t xml:space="preserve">also essential that one of the outputs </w:t>
      </w:r>
      <w:r w:rsidRPr="006E152B">
        <w:rPr>
          <w:sz w:val="24"/>
          <w:szCs w:val="24"/>
        </w:rPr>
        <w:t xml:space="preserve">should </w:t>
      </w:r>
      <w:r w:rsidR="008A4157">
        <w:rPr>
          <w:sz w:val="24"/>
          <w:szCs w:val="24"/>
        </w:rPr>
        <w:t xml:space="preserve">be the development, and continual updating, of </w:t>
      </w:r>
      <w:r w:rsidRPr="006E152B">
        <w:rPr>
          <w:sz w:val="24"/>
          <w:szCs w:val="24"/>
        </w:rPr>
        <w:t xml:space="preserve">a DER plan. </w:t>
      </w:r>
      <w:r w:rsidR="008A4157">
        <w:rPr>
          <w:sz w:val="24"/>
          <w:szCs w:val="24"/>
        </w:rPr>
        <w:t>Another is the opening up and accessibility of customer and s</w:t>
      </w:r>
      <w:r w:rsidR="0042704B">
        <w:rPr>
          <w:sz w:val="24"/>
          <w:szCs w:val="24"/>
        </w:rPr>
        <w:t>ystem data.  These are the basic building blocks of the</w:t>
      </w:r>
      <w:r w:rsidR="008A4157">
        <w:rPr>
          <w:sz w:val="24"/>
          <w:szCs w:val="24"/>
        </w:rPr>
        <w:t xml:space="preserve"> understanding </w:t>
      </w:r>
      <w:r w:rsidR="0042704B">
        <w:rPr>
          <w:sz w:val="24"/>
          <w:szCs w:val="24"/>
        </w:rPr>
        <w:t xml:space="preserve">of </w:t>
      </w:r>
      <w:r w:rsidR="008A4157">
        <w:rPr>
          <w:sz w:val="24"/>
          <w:szCs w:val="24"/>
        </w:rPr>
        <w:t xml:space="preserve">the </w:t>
      </w:r>
      <w:r w:rsidR="0042704B">
        <w:rPr>
          <w:sz w:val="24"/>
          <w:szCs w:val="24"/>
        </w:rPr>
        <w:t>value of</w:t>
      </w:r>
      <w:r w:rsidRPr="006E152B">
        <w:rPr>
          <w:sz w:val="24"/>
          <w:szCs w:val="24"/>
        </w:rPr>
        <w:t xml:space="preserve"> non-network alternatives</w:t>
      </w:r>
      <w:r w:rsidR="008A4157">
        <w:rPr>
          <w:sz w:val="24"/>
          <w:szCs w:val="24"/>
        </w:rPr>
        <w:t xml:space="preserve">; encouraging new entrants and new services; </w:t>
      </w:r>
      <w:r w:rsidRPr="006E152B">
        <w:rPr>
          <w:sz w:val="24"/>
          <w:szCs w:val="24"/>
        </w:rPr>
        <w:t xml:space="preserve"> and ease the transformation of DNO</w:t>
      </w:r>
      <w:r w:rsidR="008A4157">
        <w:rPr>
          <w:sz w:val="24"/>
          <w:szCs w:val="24"/>
        </w:rPr>
        <w:t xml:space="preserve">  to that of distribution system provider.</w:t>
      </w:r>
    </w:p>
    <w:p w14:paraId="089E62D2" w14:textId="28165FBA" w:rsidR="00690690" w:rsidRPr="006E152B" w:rsidRDefault="00690690" w:rsidP="006E152B">
      <w:pPr>
        <w:spacing w:line="240" w:lineRule="auto"/>
        <w:rPr>
          <w:sz w:val="24"/>
          <w:szCs w:val="24"/>
        </w:rPr>
      </w:pPr>
      <w:r w:rsidRPr="006E152B">
        <w:rPr>
          <w:sz w:val="24"/>
          <w:szCs w:val="24"/>
        </w:rPr>
        <w:t xml:space="preserve">The EPG believe that to leave RIIO as it stands now does not give enough incentive for </w:t>
      </w:r>
      <w:r w:rsidR="008A4157">
        <w:rPr>
          <w:sz w:val="24"/>
          <w:szCs w:val="24"/>
        </w:rPr>
        <w:t xml:space="preserve">the </w:t>
      </w:r>
      <w:r w:rsidRPr="006E152B">
        <w:rPr>
          <w:sz w:val="24"/>
          <w:szCs w:val="24"/>
        </w:rPr>
        <w:t xml:space="preserve">change that is needed to fulfil our carbon reduction targets.  We see this </w:t>
      </w:r>
      <w:r w:rsidR="0042704B">
        <w:rPr>
          <w:sz w:val="24"/>
          <w:szCs w:val="24"/>
        </w:rPr>
        <w:t xml:space="preserve">RIIO-2 </w:t>
      </w:r>
      <w:r w:rsidRPr="006E152B">
        <w:rPr>
          <w:sz w:val="24"/>
          <w:szCs w:val="24"/>
        </w:rPr>
        <w:t xml:space="preserve">review as an opportunity for both BEIS and Ofgem to </w:t>
      </w:r>
      <w:r w:rsidR="008A4157">
        <w:rPr>
          <w:sz w:val="24"/>
          <w:szCs w:val="24"/>
        </w:rPr>
        <w:t xml:space="preserve">reset themselves and </w:t>
      </w:r>
      <w:r w:rsidRPr="006E152B">
        <w:rPr>
          <w:sz w:val="24"/>
          <w:szCs w:val="24"/>
        </w:rPr>
        <w:t>lead the world by providing regulation that enables a swift and efficient energy system transformation.</w:t>
      </w:r>
    </w:p>
    <w:p w14:paraId="3F41C923" w14:textId="77777777" w:rsidR="00690690" w:rsidRPr="006E152B" w:rsidRDefault="00690690" w:rsidP="006E152B">
      <w:pPr>
        <w:spacing w:line="240" w:lineRule="auto"/>
        <w:rPr>
          <w:sz w:val="24"/>
          <w:szCs w:val="24"/>
        </w:rPr>
      </w:pPr>
    </w:p>
    <w:p w14:paraId="344121E5" w14:textId="77777777" w:rsidR="00690690" w:rsidRDefault="00690690" w:rsidP="009D744F">
      <w:pPr>
        <w:rPr>
          <w:bCs/>
          <w:iCs/>
          <w:sz w:val="20"/>
          <w:szCs w:val="20"/>
        </w:rPr>
      </w:pPr>
    </w:p>
    <w:p w14:paraId="71CEB622" w14:textId="77777777" w:rsidR="00C47BB0" w:rsidRDefault="00C47BB0" w:rsidP="00C47BB0">
      <w:pPr>
        <w:pStyle w:val="Default"/>
      </w:pPr>
    </w:p>
    <w:p w14:paraId="2D8F24BC" w14:textId="152D78FC" w:rsidR="006D0874" w:rsidRPr="006D0874" w:rsidRDefault="006D0874" w:rsidP="009D744F">
      <w:pPr>
        <w:rPr>
          <w:sz w:val="24"/>
          <w:szCs w:val="24"/>
          <w:u w:val="single"/>
        </w:rPr>
      </w:pPr>
    </w:p>
    <w:sectPr w:rsidR="006D0874" w:rsidRPr="006D0874">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70135" w14:textId="77777777" w:rsidR="001541B1" w:rsidRDefault="001541B1" w:rsidP="002D218E">
      <w:pPr>
        <w:spacing w:after="0" w:line="240" w:lineRule="auto"/>
      </w:pPr>
      <w:r>
        <w:separator/>
      </w:r>
    </w:p>
  </w:endnote>
  <w:endnote w:type="continuationSeparator" w:id="0">
    <w:p w14:paraId="63552C54" w14:textId="77777777" w:rsidR="001541B1" w:rsidRDefault="001541B1" w:rsidP="002D2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56621" w14:textId="77777777" w:rsidR="00CA6E68" w:rsidRDefault="00CA6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83869"/>
      <w:docPartObj>
        <w:docPartGallery w:val="Page Numbers (Bottom of Page)"/>
        <w:docPartUnique/>
      </w:docPartObj>
    </w:sdtPr>
    <w:sdtEndPr>
      <w:rPr>
        <w:noProof/>
      </w:rPr>
    </w:sdtEndPr>
    <w:sdtContent>
      <w:p w14:paraId="11E9D8DB" w14:textId="7FC41018" w:rsidR="005515D3" w:rsidRDefault="005515D3">
        <w:pPr>
          <w:pStyle w:val="Footer"/>
          <w:jc w:val="center"/>
        </w:pPr>
        <w:r>
          <w:fldChar w:fldCharType="begin"/>
        </w:r>
        <w:r>
          <w:instrText xml:space="preserve"> PAGE   \* MERGEFORMAT </w:instrText>
        </w:r>
        <w:r>
          <w:fldChar w:fldCharType="separate"/>
        </w:r>
        <w:r w:rsidR="00CA6E68">
          <w:rPr>
            <w:noProof/>
          </w:rPr>
          <w:t>1</w:t>
        </w:r>
        <w:r>
          <w:rPr>
            <w:noProof/>
          </w:rPr>
          <w:fldChar w:fldCharType="end"/>
        </w:r>
      </w:p>
    </w:sdtContent>
  </w:sdt>
  <w:p w14:paraId="5CE3DD48" w14:textId="77777777" w:rsidR="005515D3" w:rsidRDefault="005515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7CBB5" w14:textId="77777777" w:rsidR="00CA6E68" w:rsidRDefault="00CA6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5A615" w14:textId="77777777" w:rsidR="001541B1" w:rsidRDefault="001541B1" w:rsidP="002D218E">
      <w:pPr>
        <w:spacing w:after="0" w:line="240" w:lineRule="auto"/>
      </w:pPr>
      <w:r>
        <w:separator/>
      </w:r>
    </w:p>
  </w:footnote>
  <w:footnote w:type="continuationSeparator" w:id="0">
    <w:p w14:paraId="38C4E264" w14:textId="77777777" w:rsidR="001541B1" w:rsidRDefault="001541B1" w:rsidP="002D218E">
      <w:pPr>
        <w:spacing w:after="0" w:line="240" w:lineRule="auto"/>
      </w:pPr>
      <w:r>
        <w:continuationSeparator/>
      </w:r>
    </w:p>
  </w:footnote>
  <w:footnote w:id="1">
    <w:p w14:paraId="182B1B36" w14:textId="23652B03" w:rsidR="005515D3" w:rsidRDefault="005515D3" w:rsidP="00B03B60">
      <w:pPr>
        <w:pStyle w:val="FootnoteText"/>
        <w:jc w:val="left"/>
      </w:pPr>
      <w:r>
        <w:rPr>
          <w:rStyle w:val="FootnoteReference"/>
        </w:rPr>
        <w:footnoteRef/>
      </w:r>
      <w:r>
        <w:t xml:space="preserve"> </w:t>
      </w:r>
      <w:r w:rsidRPr="003167C7">
        <w:t>http://projects.exeter.ac.uk/igov/</w:t>
      </w:r>
    </w:p>
  </w:footnote>
  <w:footnote w:id="2">
    <w:p w14:paraId="6A21A403" w14:textId="2B25852D" w:rsidR="005515D3" w:rsidRDefault="005515D3" w:rsidP="00B03B60">
      <w:pPr>
        <w:pStyle w:val="FootnoteText"/>
        <w:jc w:val="left"/>
      </w:pPr>
      <w:r>
        <w:rPr>
          <w:rStyle w:val="FootnoteReference"/>
        </w:rPr>
        <w:footnoteRef/>
      </w:r>
      <w:r>
        <w:t xml:space="preserve"> https://www.ofgem.gov.uk/publications-and-updates/open-letter-riio-2-framework</w:t>
      </w:r>
    </w:p>
  </w:footnote>
  <w:footnote w:id="3">
    <w:p w14:paraId="7F590B6B" w14:textId="7594F2ED" w:rsidR="005515D3" w:rsidRPr="00890258" w:rsidRDefault="005515D3" w:rsidP="00B03B60">
      <w:pPr>
        <w:pStyle w:val="FootnoteText"/>
        <w:jc w:val="left"/>
      </w:pPr>
      <w:r>
        <w:rPr>
          <w:rStyle w:val="FootnoteReference"/>
        </w:rPr>
        <w:footnoteRef/>
      </w:r>
      <w:r>
        <w:t xml:space="preserve"> </w:t>
      </w:r>
      <w:r w:rsidRPr="00421118">
        <w:rPr>
          <w:bCs/>
        </w:rPr>
        <w:t>https://www.ofgem.gov.uk/publications-and-updates/our-strategy-regulating-future-energy-system</w:t>
      </w:r>
    </w:p>
  </w:footnote>
  <w:footnote w:id="4">
    <w:p w14:paraId="54E8DB50" w14:textId="1E16B778" w:rsidR="005515D3" w:rsidRDefault="005515D3" w:rsidP="00B03B60">
      <w:pPr>
        <w:pStyle w:val="CommentText"/>
        <w:jc w:val="left"/>
      </w:pPr>
      <w:r>
        <w:rPr>
          <w:rStyle w:val="FootnoteReference"/>
        </w:rPr>
        <w:footnoteRef/>
      </w:r>
      <w:r>
        <w:t xml:space="preserve"> https://www.ofgem.gov.uk/publications-and-updates/upgrading-our-energy-system-smart-systems-and-flexibility-plan</w:t>
      </w:r>
    </w:p>
  </w:footnote>
  <w:footnote w:id="5">
    <w:p w14:paraId="321BD4E6" w14:textId="158CC4CA" w:rsidR="005515D3" w:rsidRDefault="005515D3" w:rsidP="00B03B60">
      <w:pPr>
        <w:pStyle w:val="FootnoteText"/>
        <w:jc w:val="left"/>
      </w:pPr>
      <w:r>
        <w:rPr>
          <w:rStyle w:val="FootnoteReference"/>
        </w:rPr>
        <w:footnoteRef/>
      </w:r>
      <w:r>
        <w:t xml:space="preserve"> </w:t>
      </w:r>
      <w:r w:rsidRPr="0010529B">
        <w:t>http://projects.exeter.ac.uk/igov/submission-beisofgem-smart-flexible-energy-system-a-call-for-evidence/</w:t>
      </w:r>
    </w:p>
  </w:footnote>
  <w:footnote w:id="6">
    <w:p w14:paraId="6174BA96" w14:textId="456B6246" w:rsidR="005515D3" w:rsidRDefault="005515D3" w:rsidP="00B03B60">
      <w:pPr>
        <w:pStyle w:val="CommentText"/>
        <w:jc w:val="left"/>
      </w:pPr>
      <w:r>
        <w:rPr>
          <w:rStyle w:val="FootnoteReference"/>
        </w:rPr>
        <w:footnoteRef/>
      </w:r>
      <w:r>
        <w:t xml:space="preserve"> https://www.ofgem.gov.uk/publications-and-updates/future-arrangements-electricity-system-operator-response-consultation-so-separation</w:t>
      </w:r>
    </w:p>
  </w:footnote>
  <w:footnote w:id="7">
    <w:p w14:paraId="452CD83C" w14:textId="721313F8" w:rsidR="005515D3" w:rsidRDefault="005515D3" w:rsidP="00B03B60">
      <w:pPr>
        <w:pStyle w:val="FootnoteText"/>
        <w:jc w:val="left"/>
      </w:pPr>
      <w:r>
        <w:rPr>
          <w:rStyle w:val="FootnoteReference"/>
        </w:rPr>
        <w:footnoteRef/>
      </w:r>
      <w:r>
        <w:t xml:space="preserve"> </w:t>
      </w:r>
      <w:r w:rsidRPr="00131B46">
        <w:t>http://projects.exeter.ac.uk/igov/submission-ofgem-call-for-evidence-on-future-electricity-system-operator-arrangements/</w:t>
      </w:r>
    </w:p>
  </w:footnote>
  <w:footnote w:id="8">
    <w:p w14:paraId="793F6B7A" w14:textId="16F3CA3A" w:rsidR="005515D3" w:rsidRDefault="005515D3" w:rsidP="00B03B60">
      <w:pPr>
        <w:pStyle w:val="FootnoteText"/>
        <w:jc w:val="left"/>
      </w:pPr>
      <w:r>
        <w:rPr>
          <w:rStyle w:val="FootnoteReference"/>
        </w:rPr>
        <w:footnoteRef/>
      </w:r>
      <w:r>
        <w:t xml:space="preserve"> https://www.ofgem.gov.uk/publications-and-updates/electricity-settlement-reform-significant-code-review-launch-statement-revised-timetable-and-request-applications-membership-target-operating-model-design-working-group</w:t>
      </w:r>
    </w:p>
  </w:footnote>
  <w:footnote w:id="9">
    <w:p w14:paraId="5A69AB11" w14:textId="0F6CA49B" w:rsidR="005515D3" w:rsidRDefault="005515D3" w:rsidP="00B03B60">
      <w:pPr>
        <w:pStyle w:val="FootnoteText"/>
        <w:jc w:val="left"/>
      </w:pPr>
      <w:r>
        <w:rPr>
          <w:rStyle w:val="FootnoteReference"/>
        </w:rPr>
        <w:footnoteRef/>
      </w:r>
      <w:r>
        <w:t xml:space="preserve"> https://www.ofgem.gov.uk/publications-and-updates/targeted-charging-review-significant-code-review-launch  </w:t>
      </w:r>
    </w:p>
  </w:footnote>
  <w:footnote w:id="10">
    <w:p w14:paraId="67A6082B" w14:textId="77777777" w:rsidR="005515D3" w:rsidRDefault="005515D3" w:rsidP="00B03B60">
      <w:pPr>
        <w:pStyle w:val="FootnoteText"/>
        <w:jc w:val="left"/>
      </w:pPr>
      <w:r w:rsidRPr="006E210B">
        <w:rPr>
          <w:rStyle w:val="FootnoteReference"/>
        </w:rPr>
        <w:footnoteRef/>
      </w:r>
      <w:r w:rsidRPr="006E210B">
        <w:t xml:space="preserve"> </w:t>
      </w:r>
      <w:hyperlink r:id="rId1" w:history="1">
        <w:r w:rsidRPr="006E210B">
          <w:rPr>
            <w:rStyle w:val="Hyperlink"/>
          </w:rPr>
          <w:t>http://www.legislation.gov.uk/uksi/2016/785/made</w:t>
        </w:r>
      </w:hyperlink>
    </w:p>
    <w:p w14:paraId="67944AC3" w14:textId="77777777" w:rsidR="005515D3" w:rsidRDefault="005515D3" w:rsidP="00B03B60">
      <w:pPr>
        <w:pStyle w:val="FootnoteText"/>
        <w:jc w:val="left"/>
      </w:pPr>
    </w:p>
  </w:footnote>
  <w:footnote w:id="11">
    <w:p w14:paraId="3F04FF52" w14:textId="77777777" w:rsidR="005515D3" w:rsidRDefault="005515D3" w:rsidP="00B03B60">
      <w:pPr>
        <w:pStyle w:val="FootnoteText"/>
        <w:jc w:val="left"/>
      </w:pPr>
      <w:r>
        <w:rPr>
          <w:rStyle w:val="FootnoteReference"/>
        </w:rPr>
        <w:footnoteRef/>
      </w:r>
      <w:r>
        <w:t xml:space="preserve"> </w:t>
      </w:r>
      <w:r w:rsidRPr="00846B48">
        <w:t>https://www.theguardian.com/environment/2016/jun/30/uk-sets-ambitious-new-2030s-carbon-target</w:t>
      </w:r>
    </w:p>
  </w:footnote>
  <w:footnote w:id="12">
    <w:p w14:paraId="3DC3B685" w14:textId="77777777" w:rsidR="005515D3" w:rsidRDefault="005515D3" w:rsidP="00B03B60">
      <w:pPr>
        <w:pStyle w:val="FootnoteText"/>
        <w:jc w:val="left"/>
      </w:pPr>
      <w:r>
        <w:rPr>
          <w:rStyle w:val="FootnoteReference"/>
        </w:rPr>
        <w:footnoteRef/>
      </w:r>
      <w:r>
        <w:t xml:space="preserve"> </w:t>
      </w:r>
      <w:r w:rsidRPr="008C5FD2">
        <w:t>https://www.gov.uk/government/news/plan-for-roadside-no2-concentrations-published</w:t>
      </w:r>
    </w:p>
  </w:footnote>
  <w:footnote w:id="13">
    <w:p w14:paraId="4435A633" w14:textId="3BDFA8C8" w:rsidR="005515D3" w:rsidRPr="00B03B60" w:rsidRDefault="005515D3" w:rsidP="00B03B60">
      <w:pPr>
        <w:pStyle w:val="FootnoteText"/>
        <w:jc w:val="left"/>
      </w:pPr>
      <w:r>
        <w:rPr>
          <w:rStyle w:val="FootnoteReference"/>
        </w:rPr>
        <w:footnoteRef/>
      </w:r>
      <w:r>
        <w:t xml:space="preserve"> </w:t>
      </w:r>
      <w:r w:rsidRPr="00B03B60">
        <w:t>Innovation and Governance for a Sustainable Economy 2012-2016 and Innovation and Governance for Future Energy Systems 2012-2019</w:t>
      </w:r>
    </w:p>
  </w:footnote>
  <w:footnote w:id="14">
    <w:p w14:paraId="0395796A" w14:textId="77777777" w:rsidR="005515D3" w:rsidRPr="00B03B60" w:rsidRDefault="005515D3" w:rsidP="00B03B60">
      <w:pPr>
        <w:pStyle w:val="FootnoteText"/>
        <w:jc w:val="left"/>
      </w:pPr>
      <w:r w:rsidRPr="00B03B60">
        <w:rPr>
          <w:rStyle w:val="FootnoteReference"/>
        </w:rPr>
        <w:footnoteRef/>
      </w:r>
      <w:r w:rsidRPr="00B03B60">
        <w:t xml:space="preserve"> </w:t>
      </w:r>
      <w:hyperlink r:id="rId2" w:history="1">
        <w:r w:rsidRPr="00B03B60">
          <w:rPr>
            <w:rStyle w:val="Hyperlink"/>
            <w:rFonts w:ascii="Calibri" w:hAnsi="Calibri"/>
          </w:rPr>
          <w:t>http://projects.exeter.ac.uk/igov/paper-gb-energy-governance-for-innovation-sustainability-and-affordability-2/</w:t>
        </w:r>
      </w:hyperlink>
    </w:p>
  </w:footnote>
  <w:footnote w:id="15">
    <w:p w14:paraId="4F54122A" w14:textId="77777777" w:rsidR="005515D3" w:rsidRPr="00B03B60" w:rsidRDefault="005515D3" w:rsidP="00B03B60">
      <w:pPr>
        <w:pStyle w:val="Default"/>
        <w:jc w:val="left"/>
        <w:rPr>
          <w:sz w:val="20"/>
          <w:szCs w:val="20"/>
        </w:rPr>
      </w:pPr>
      <w:r w:rsidRPr="00B03B60">
        <w:rPr>
          <w:rStyle w:val="FootnoteReference"/>
          <w:sz w:val="20"/>
          <w:szCs w:val="20"/>
        </w:rPr>
        <w:footnoteRef/>
      </w:r>
      <w:r w:rsidRPr="00B03B60">
        <w:rPr>
          <w:sz w:val="20"/>
          <w:szCs w:val="20"/>
        </w:rPr>
        <w:t xml:space="preserve"> </w:t>
      </w:r>
      <w:hyperlink r:id="rId3" w:history="1">
        <w:r w:rsidRPr="00B03B60">
          <w:rPr>
            <w:rStyle w:val="Hyperlink"/>
            <w:sz w:val="20"/>
            <w:szCs w:val="20"/>
          </w:rPr>
          <w:t>http://projects.exeter.ac.uk/igov/wp-content/uploads/2017/07/3.-Bringing-it-together-Catherine-1.pdf</w:t>
        </w:r>
      </w:hyperlink>
      <w:r w:rsidRPr="00B03B60">
        <w:rPr>
          <w:sz w:val="20"/>
          <w:szCs w:val="20"/>
        </w:rPr>
        <w:t xml:space="preserve"> </w:t>
      </w:r>
    </w:p>
  </w:footnote>
  <w:footnote w:id="16">
    <w:p w14:paraId="2040E8F2" w14:textId="1DD08951" w:rsidR="005515D3" w:rsidRPr="00B03B60" w:rsidRDefault="005515D3" w:rsidP="00B03B60">
      <w:pPr>
        <w:pStyle w:val="FootnoteText"/>
        <w:jc w:val="left"/>
      </w:pPr>
      <w:r w:rsidRPr="00B03B60">
        <w:rPr>
          <w:rStyle w:val="FootnoteReference"/>
        </w:rPr>
        <w:footnoteRef/>
      </w:r>
      <w:r w:rsidRPr="00B03B60">
        <w:t xml:space="preserve"> https://www.theccc.org.uk/publication/2017-report-to-parliament-meeting-carbon-budgets-closing-the-policy-gap/</w:t>
      </w:r>
    </w:p>
  </w:footnote>
  <w:footnote w:id="17">
    <w:p w14:paraId="631CFFA2" w14:textId="77777777" w:rsidR="005515D3" w:rsidRDefault="005515D3" w:rsidP="00B03B60">
      <w:pPr>
        <w:pStyle w:val="FootnoteText"/>
        <w:jc w:val="left"/>
      </w:pPr>
      <w:r>
        <w:rPr>
          <w:rStyle w:val="FootnoteReference"/>
        </w:rPr>
        <w:footnoteRef/>
      </w:r>
      <w:r>
        <w:t xml:space="preserve"> </w:t>
      </w:r>
      <w:r w:rsidRPr="005D02BC">
        <w:t>http://projects.exeter.ac.uk/igov/wp-content/uploads/2017/07/CM-Pixie-Launch-July-2017.pdf</w:t>
      </w:r>
    </w:p>
  </w:footnote>
  <w:footnote w:id="18">
    <w:p w14:paraId="1012E2BC" w14:textId="47DE6177" w:rsidR="005515D3" w:rsidRDefault="005515D3">
      <w:pPr>
        <w:pStyle w:val="FootnoteText"/>
      </w:pPr>
      <w:r>
        <w:rPr>
          <w:rStyle w:val="FootnoteReference"/>
        </w:rPr>
        <w:footnoteRef/>
      </w:r>
      <w:r>
        <w:t xml:space="preserve"> </w:t>
      </w:r>
      <w:hyperlink r:id="rId4" w:history="1">
        <w:r w:rsidRPr="00F66EF0">
          <w:rPr>
            <w:rStyle w:val="Hyperlink"/>
          </w:rPr>
          <w:t>http://projects.exeter.ac.uk/igov/new-thinking-why-is-australia-becoming-an-interesting-case-study-for-energy-reform/</w:t>
        </w:r>
      </w:hyperlink>
      <w:r>
        <w:t xml:space="preserve"> and </w:t>
      </w:r>
      <w:hyperlink r:id="rId5" w:history="1">
        <w:r w:rsidRPr="00F66EF0">
          <w:rPr>
            <w:rStyle w:val="Hyperlink"/>
          </w:rPr>
          <w:t>http://projects.exeter.ac.uk/igov/new-thinking-the-solution-to-south-australias-blackouts-a-market-which-rewards-der/</w:t>
        </w:r>
      </w:hyperlink>
      <w:r>
        <w:t xml:space="preserve"> </w:t>
      </w:r>
    </w:p>
  </w:footnote>
  <w:footnote w:id="19">
    <w:p w14:paraId="42CBACF2" w14:textId="339FEC22" w:rsidR="005515D3" w:rsidRPr="00B03B60" w:rsidRDefault="005515D3" w:rsidP="00B03B60">
      <w:pPr>
        <w:pStyle w:val="FootnoteText"/>
        <w:jc w:val="left"/>
      </w:pPr>
      <w:r>
        <w:rPr>
          <w:rStyle w:val="FootnoteReference"/>
        </w:rPr>
        <w:footnoteRef/>
      </w:r>
      <w:r>
        <w:t xml:space="preserve"> </w:t>
      </w:r>
      <w:r w:rsidRPr="00B03B60">
        <w:t xml:space="preserve">Overview of RIIO Review </w:t>
      </w:r>
      <w:hyperlink r:id="rId6" w:history="1">
        <w:r w:rsidRPr="00B03B60">
          <w:rPr>
            <w:rStyle w:val="Hyperlink"/>
          </w:rPr>
          <w:t>http://projects.exeter.ac.uk/igov/new-thinking-the-riio-edi-review-just-h</w:t>
        </w:r>
        <w:r w:rsidRPr="00B03B60">
          <w:t xml:space="preserve"> </w:t>
        </w:r>
        <w:r w:rsidRPr="00B03B60">
          <w:rPr>
            <w:rStyle w:val="Hyperlink"/>
          </w:rPr>
          <w:t>ow-successful-is-riio/</w:t>
        </w:r>
      </w:hyperlink>
    </w:p>
  </w:footnote>
  <w:footnote w:id="20">
    <w:p w14:paraId="7F137205" w14:textId="2BCBC85F" w:rsidR="005515D3" w:rsidRPr="00CA54B0" w:rsidRDefault="005515D3" w:rsidP="00CA54B0">
      <w:pPr>
        <w:pStyle w:val="Default"/>
        <w:spacing w:after="169"/>
        <w:jc w:val="left"/>
        <w:rPr>
          <w:sz w:val="20"/>
          <w:szCs w:val="20"/>
        </w:rPr>
      </w:pPr>
      <w:r w:rsidRPr="00B03B60">
        <w:rPr>
          <w:rStyle w:val="FootnoteReference"/>
          <w:sz w:val="20"/>
          <w:szCs w:val="20"/>
        </w:rPr>
        <w:footnoteRef/>
      </w:r>
      <w:r w:rsidRPr="00B03B60">
        <w:rPr>
          <w:sz w:val="20"/>
          <w:szCs w:val="20"/>
        </w:rPr>
        <w:t xml:space="preserve"> Argument for Ofgem to be reformed </w:t>
      </w:r>
      <w:hyperlink r:id="rId7" w:history="1">
        <w:r w:rsidRPr="00B03B60">
          <w:rPr>
            <w:rStyle w:val="Hyperlink"/>
            <w:sz w:val="20"/>
            <w:szCs w:val="20"/>
          </w:rPr>
          <w:t>http://projects.exeter.ac.uk/igov/new-thinking-ofgem-has-to-be-reformed-if-gb-is-to-meet-its-energy-policy-goals</w:t>
        </w:r>
      </w:hyperlink>
      <w:r w:rsidRPr="00B03B60">
        <w:rPr>
          <w:sz w:val="20"/>
          <w:szCs w:val="20"/>
        </w:rPr>
        <w:t xml:space="preserve">  in 3 part blog of Reset the reset (3 blog series) </w:t>
      </w:r>
      <w:hyperlink r:id="rId8" w:history="1">
        <w:r w:rsidRPr="00B03B60">
          <w:rPr>
            <w:rStyle w:val="Hyperlink"/>
            <w:sz w:val="20"/>
            <w:szCs w:val="20"/>
          </w:rPr>
          <w:t>http://projects.exeter.ac.uk/igov/new-thinking-reset-the-reset-1-we-need-institutional-governance-reform-and-we-need-it-now/</w:t>
        </w:r>
      </w:hyperlink>
    </w:p>
  </w:footnote>
  <w:footnote w:id="21">
    <w:p w14:paraId="3DDC4240" w14:textId="01B0915B" w:rsidR="005515D3" w:rsidRPr="00B03B60" w:rsidRDefault="005515D3" w:rsidP="00B03B60">
      <w:pPr>
        <w:pStyle w:val="FootnoteText"/>
        <w:jc w:val="left"/>
      </w:pPr>
      <w:r w:rsidRPr="00B03B60">
        <w:rPr>
          <w:rStyle w:val="FootnoteReference"/>
        </w:rPr>
        <w:footnoteRef/>
      </w:r>
      <w:r w:rsidRPr="00B03B60">
        <w:t xml:space="preserve"> Reset the reset (3 blog series) </w:t>
      </w:r>
      <w:hyperlink r:id="rId9" w:history="1">
        <w:r w:rsidRPr="00B03B60">
          <w:rPr>
            <w:rStyle w:val="Hyperlink"/>
          </w:rPr>
          <w:t>http://projects.exeter.ac.uk/igov/new-thinking-reset-the-reset-1-we-need-institutional-governance-reform-and-we-need-it-now/</w:t>
        </w:r>
      </w:hyperlink>
    </w:p>
  </w:footnote>
  <w:footnote w:id="22">
    <w:p w14:paraId="7384E2D7" w14:textId="77777777" w:rsidR="005515D3" w:rsidRPr="00B03B60" w:rsidRDefault="005515D3" w:rsidP="00B03B60">
      <w:pPr>
        <w:pStyle w:val="Default"/>
        <w:spacing w:after="211"/>
        <w:jc w:val="left"/>
        <w:rPr>
          <w:sz w:val="20"/>
          <w:szCs w:val="20"/>
        </w:rPr>
      </w:pPr>
      <w:r>
        <w:rPr>
          <w:rStyle w:val="FootnoteReference"/>
        </w:rPr>
        <w:footnoteRef/>
      </w:r>
      <w:r>
        <w:t xml:space="preserve"> </w:t>
      </w:r>
      <w:r w:rsidRPr="00B03B60">
        <w:rPr>
          <w:sz w:val="20"/>
          <w:szCs w:val="20"/>
        </w:rPr>
        <w:t xml:space="preserve">A 6 part series on NYS &amp; California, with NYS intro in Blog 2 </w:t>
      </w:r>
      <w:hyperlink r:id="rId10" w:history="1">
        <w:r w:rsidRPr="00B03B60">
          <w:rPr>
            <w:rStyle w:val="Hyperlink"/>
            <w:sz w:val="20"/>
            <w:szCs w:val="20"/>
          </w:rPr>
          <w:t>http://projects.exeter.ac.uk/igov/comparing-nys-and-ca-blog-1-series-overview/</w:t>
        </w:r>
      </w:hyperlink>
      <w:r w:rsidRPr="00B03B60">
        <w:rPr>
          <w:rStyle w:val="Hyperlink"/>
          <w:sz w:val="20"/>
          <w:szCs w:val="20"/>
        </w:rPr>
        <w:t xml:space="preserve">  </w:t>
      </w:r>
      <w:r w:rsidRPr="00B03B60">
        <w:rPr>
          <w:rStyle w:val="Hyperlink"/>
          <w:color w:val="auto"/>
          <w:sz w:val="20"/>
          <w:szCs w:val="20"/>
          <w:u w:val="none"/>
        </w:rPr>
        <w:t xml:space="preserve">and </w:t>
      </w:r>
      <w:hyperlink r:id="rId11" w:history="1">
        <w:r w:rsidRPr="00B03B60">
          <w:rPr>
            <w:rStyle w:val="Hyperlink"/>
            <w:sz w:val="20"/>
            <w:szCs w:val="20"/>
          </w:rPr>
          <w:t>http://projects.exeter.ac.uk/igov/new-thinking-transformational-regulation-comparing-the-ny-rev-riio/</w:t>
        </w:r>
      </w:hyperlink>
    </w:p>
    <w:p w14:paraId="425DDEEF" w14:textId="211D1394" w:rsidR="005515D3" w:rsidRPr="00654F1D" w:rsidRDefault="005515D3" w:rsidP="00654F1D">
      <w:pPr>
        <w:pStyle w:val="Default"/>
        <w:rPr>
          <w:rStyle w:val="Hyperlink"/>
          <w:color w:val="auto"/>
          <w:sz w:val="22"/>
          <w:szCs w:val="22"/>
          <w:u w:val="none"/>
        </w:rPr>
      </w:pPr>
    </w:p>
    <w:p w14:paraId="2F17AD8F" w14:textId="77777777" w:rsidR="005515D3" w:rsidRDefault="005515D3" w:rsidP="00654F1D">
      <w:pPr>
        <w:pStyle w:val="Default"/>
      </w:pPr>
    </w:p>
    <w:p w14:paraId="47AC4889" w14:textId="18032F46" w:rsidR="005515D3" w:rsidRDefault="005515D3">
      <w:pPr>
        <w:pStyle w:val="FootnoteText"/>
      </w:pPr>
    </w:p>
  </w:footnote>
  <w:footnote w:id="23">
    <w:p w14:paraId="1FC05360" w14:textId="77777777" w:rsidR="005515D3" w:rsidRPr="00B03B60" w:rsidRDefault="005515D3" w:rsidP="00B03B60">
      <w:pPr>
        <w:pStyle w:val="FootnoteText"/>
        <w:jc w:val="left"/>
      </w:pPr>
      <w:r>
        <w:rPr>
          <w:rStyle w:val="FootnoteReference"/>
        </w:rPr>
        <w:footnoteRef/>
      </w:r>
      <w:r>
        <w:t xml:space="preserve"> </w:t>
      </w:r>
      <w:hyperlink r:id="rId12" w:history="1">
        <w:r w:rsidRPr="00B03B60">
          <w:rPr>
            <w:rStyle w:val="Hyperlink"/>
          </w:rPr>
          <w:t>http://projects.exeter.ac.uk/igov/wp-content/uploads/2017/07/CM-Pixie-Launch-July-2017.pdf</w:t>
        </w:r>
      </w:hyperlink>
      <w:r w:rsidRPr="00B03B60">
        <w:t xml:space="preserve"> and </w:t>
      </w:r>
      <w:hyperlink r:id="rId13" w:history="1">
        <w:r w:rsidRPr="00B03B60">
          <w:rPr>
            <w:rStyle w:val="Hyperlink"/>
          </w:rPr>
          <w:t>http://projects.exeter.ac.uk/igov/notes-on-the-ny-rev-ratemaking-order-19-may-2016/</w:t>
        </w:r>
      </w:hyperlink>
      <w:r w:rsidRPr="00B03B60">
        <w:t xml:space="preserve"> and </w:t>
      </w:r>
      <w:hyperlink r:id="rId14" w:history="1">
        <w:r w:rsidRPr="00B03B60">
          <w:rPr>
            <w:rStyle w:val="Hyperlink"/>
          </w:rPr>
          <w:t>http://projects.exeter.ac.uk/igov/comparing-nys-and-ca-blog-1-series-overview/</w:t>
        </w:r>
      </w:hyperlink>
    </w:p>
  </w:footnote>
  <w:footnote w:id="24">
    <w:p w14:paraId="35BCE30B" w14:textId="00D37E80" w:rsidR="005515D3" w:rsidRPr="00B03B60" w:rsidRDefault="005515D3" w:rsidP="00B03B60">
      <w:pPr>
        <w:pStyle w:val="FootnoteText"/>
        <w:jc w:val="left"/>
      </w:pPr>
      <w:r w:rsidRPr="00B03B60">
        <w:rPr>
          <w:rStyle w:val="FootnoteReference"/>
        </w:rPr>
        <w:footnoteRef/>
      </w:r>
      <w:r w:rsidRPr="00B03B60">
        <w:t xml:space="preserve"> This is revenue for a combined distribution SO, wires and supply business but in fact is as useful for a combined wires and SO business, with separated supply as in GB. If the SO part of a distribution service provider were separated from the wires, then it becomes even easier to pay for the networks in future years – but that creates major problems, at least in the short term, for distribution SO knowl</w:t>
      </w:r>
      <w:r>
        <w:t xml:space="preserve">edge base </w:t>
      </w:r>
    </w:p>
  </w:footnote>
  <w:footnote w:id="25">
    <w:p w14:paraId="14710DB1" w14:textId="113119A3" w:rsidR="005515D3" w:rsidRPr="00B03B60" w:rsidRDefault="005515D3" w:rsidP="00B03B60">
      <w:pPr>
        <w:pStyle w:val="Default"/>
        <w:jc w:val="left"/>
        <w:rPr>
          <w:sz w:val="20"/>
          <w:szCs w:val="20"/>
        </w:rPr>
      </w:pPr>
      <w:r>
        <w:rPr>
          <w:rStyle w:val="FootnoteReference"/>
        </w:rPr>
        <w:footnoteRef/>
      </w:r>
      <w:r>
        <w:t xml:space="preserve"> </w:t>
      </w:r>
      <w:hyperlink r:id="rId15" w:history="1">
        <w:r w:rsidRPr="00B03B60">
          <w:rPr>
            <w:rStyle w:val="Hyperlink"/>
            <w:sz w:val="20"/>
            <w:szCs w:val="20"/>
          </w:rPr>
          <w:t>http://projects.exeter.ac.uk/igov/new-thinking-solar-surprise-revisited/</w:t>
        </w:r>
      </w:hyperlink>
      <w:r w:rsidRPr="00B03B60">
        <w:rPr>
          <w:rStyle w:val="Hyperlink"/>
          <w:sz w:val="20"/>
          <w:szCs w:val="20"/>
        </w:rPr>
        <w:t xml:space="preserve">  </w:t>
      </w:r>
      <w:r w:rsidRPr="00B03B60">
        <w:rPr>
          <w:rStyle w:val="Hyperlink"/>
          <w:color w:val="auto"/>
          <w:sz w:val="20"/>
          <w:szCs w:val="20"/>
          <w:u w:val="none"/>
        </w:rPr>
        <w:t>and</w:t>
      </w:r>
      <w:r w:rsidRPr="00B03B60">
        <w:rPr>
          <w:color w:val="auto"/>
          <w:sz w:val="20"/>
          <w:szCs w:val="20"/>
        </w:rPr>
        <w:t xml:space="preserve"> </w:t>
      </w:r>
      <w:hyperlink r:id="rId16" w:history="1">
        <w:r w:rsidRPr="00B03B60">
          <w:rPr>
            <w:rStyle w:val="Hyperlink"/>
            <w:sz w:val="20"/>
            <w:szCs w:val="20"/>
          </w:rPr>
          <w:t>http://projects.exeter.ac.uk/igov/wp-content/uploads/2015/06/Lockwood-Institutional-inertia-STA-8-June1.pdf</w:t>
        </w:r>
      </w:hyperlink>
    </w:p>
    <w:p w14:paraId="578E554A" w14:textId="435D9C72" w:rsidR="005515D3" w:rsidRPr="00B03B60" w:rsidRDefault="005515D3" w:rsidP="00B03B60">
      <w:pPr>
        <w:pStyle w:val="FootnoteText"/>
        <w:jc w:val="left"/>
      </w:pPr>
    </w:p>
  </w:footnote>
  <w:footnote w:id="26">
    <w:p w14:paraId="64EFAF57" w14:textId="59A9EDF9" w:rsidR="005515D3" w:rsidRPr="00B03B60" w:rsidRDefault="005515D3" w:rsidP="00B03B60">
      <w:pPr>
        <w:pStyle w:val="FootnoteText"/>
        <w:jc w:val="left"/>
      </w:pPr>
      <w:r w:rsidRPr="00B03B60">
        <w:rPr>
          <w:rStyle w:val="FootnoteReference"/>
        </w:rPr>
        <w:footnoteRef/>
      </w:r>
      <w:r w:rsidRPr="00B03B60">
        <w:t xml:space="preserve"> </w:t>
      </w:r>
      <w:hyperlink r:id="rId17" w:history="1">
        <w:r w:rsidRPr="00B03B60">
          <w:rPr>
            <w:rStyle w:val="Hyperlink"/>
            <w:rFonts w:ascii="Calibri" w:hAnsi="Calibri"/>
          </w:rPr>
          <w:t>http://projects.exeter.ac.uk/igov/paper-gb-energy-governance-for-innovation-sustainability-and-affordability-2/</w:t>
        </w:r>
      </w:hyperlink>
    </w:p>
  </w:footnote>
  <w:footnote w:id="27">
    <w:p w14:paraId="633C5ED0" w14:textId="77777777" w:rsidR="005515D3" w:rsidRPr="00B03B60" w:rsidRDefault="005515D3" w:rsidP="00B03B60">
      <w:pPr>
        <w:pStyle w:val="FootnoteText"/>
        <w:jc w:val="left"/>
      </w:pPr>
      <w:r w:rsidRPr="00B03B60">
        <w:rPr>
          <w:rStyle w:val="FootnoteReference"/>
        </w:rPr>
        <w:footnoteRef/>
      </w:r>
      <w:r w:rsidRPr="00B03B60">
        <w:t xml:space="preserve"> </w:t>
      </w:r>
      <w:hyperlink r:id="rId18" w:history="1">
        <w:r w:rsidRPr="00B03B60">
          <w:rPr>
            <w:rStyle w:val="Hyperlink"/>
          </w:rPr>
          <w:t>http://projects.exeter.ac.uk/igov/submission-to-decc-consultation-on-the-draft-strategy-and-policy-statement/</w:t>
        </w:r>
      </w:hyperlink>
      <w:r w:rsidRPr="00B03B60">
        <w:t xml:space="preserve"> and </w:t>
      </w:r>
      <w:hyperlink r:id="rId19" w:history="1">
        <w:r w:rsidRPr="00B03B60">
          <w:rPr>
            <w:rStyle w:val="Hyperlink"/>
          </w:rPr>
          <w:t>http://projects.exeter.ac.uk/igov/new-thinking-the-odd-couple-will-a-new-strategy-and-policy-statement-help-sort-out-the-relationship-between-government-and-ofgem/</w:t>
        </w:r>
      </w:hyperlink>
      <w:r w:rsidRPr="00B03B60">
        <w:t xml:space="preserve"> </w:t>
      </w:r>
    </w:p>
  </w:footnote>
  <w:footnote w:id="28">
    <w:p w14:paraId="4B870F19" w14:textId="77777777" w:rsidR="005515D3" w:rsidRDefault="005515D3" w:rsidP="00B03B60">
      <w:pPr>
        <w:pStyle w:val="FootnoteText"/>
        <w:jc w:val="left"/>
      </w:pPr>
      <w:r>
        <w:rPr>
          <w:rStyle w:val="FootnoteReference"/>
        </w:rPr>
        <w:footnoteRef/>
      </w:r>
      <w:r>
        <w:t xml:space="preserve"> </w:t>
      </w:r>
      <w:r w:rsidRPr="00795368">
        <w:t>http://projects.exeter.ac.uk/igov/new-thinking-the-riio-edi-review-just-how-successful-is-riio/</w:t>
      </w:r>
    </w:p>
  </w:footnote>
  <w:footnote w:id="29">
    <w:p w14:paraId="014429DD" w14:textId="0DF72E7B" w:rsidR="005515D3" w:rsidRDefault="005515D3" w:rsidP="00B03B60">
      <w:pPr>
        <w:pStyle w:val="FootnoteText"/>
        <w:jc w:val="left"/>
      </w:pPr>
      <w:r>
        <w:rPr>
          <w:rStyle w:val="FootnoteReference"/>
        </w:rPr>
        <w:footnoteRef/>
      </w:r>
      <w:r>
        <w:t xml:space="preserve"> </w:t>
      </w:r>
      <w:r w:rsidRPr="00003E6F">
        <w:t>https://www.citizensadvice.org.uk/about-us/policy/policy-research-topics/energy-policy-research-and-consultation-responses/energy-policy-research/energy-consumers-missing-billions/</w:t>
      </w:r>
    </w:p>
  </w:footnote>
  <w:footnote w:id="30">
    <w:p w14:paraId="3A4F29A4" w14:textId="3DA06DA5" w:rsidR="005515D3" w:rsidRPr="00D51D99" w:rsidRDefault="005515D3" w:rsidP="00D51D99">
      <w:pPr>
        <w:rPr>
          <w:sz w:val="20"/>
          <w:szCs w:val="20"/>
          <w:lang w:val="en-US"/>
        </w:rPr>
      </w:pPr>
      <w:r>
        <w:rPr>
          <w:rStyle w:val="FootnoteReference"/>
        </w:rPr>
        <w:footnoteRef/>
      </w:r>
      <w:r>
        <w:t xml:space="preserve"> </w:t>
      </w:r>
      <w:r w:rsidRPr="00D51D99">
        <w:rPr>
          <w:i/>
          <w:iCs/>
          <w:sz w:val="20"/>
          <w:szCs w:val="20"/>
          <w:lang w:val="en-US"/>
        </w:rPr>
        <w:t>Monopoly money: How the UK’s electricity distribution network operators are posting big profits</w:t>
      </w:r>
      <w:r>
        <w:rPr>
          <w:sz w:val="20"/>
          <w:szCs w:val="20"/>
          <w:lang w:val="en-US"/>
        </w:rPr>
        <w:t xml:space="preserve"> </w:t>
      </w:r>
      <w:hyperlink r:id="rId20" w:history="1">
        <w:r w:rsidRPr="00D51D99">
          <w:rPr>
            <w:rStyle w:val="Hyperlink"/>
            <w:sz w:val="20"/>
            <w:szCs w:val="20"/>
            <w:lang w:val="en-US"/>
          </w:rPr>
          <w:t>http://eciu.net/reports</w:t>
        </w:r>
      </w:hyperlink>
      <w:r w:rsidRPr="00D51D99">
        <w:rPr>
          <w:sz w:val="20"/>
          <w:szCs w:val="20"/>
          <w:lang w:val="en-US"/>
        </w:rPr>
        <w:t xml:space="preserve"> </w:t>
      </w:r>
    </w:p>
    <w:p w14:paraId="2A627732" w14:textId="37554E6D" w:rsidR="005515D3" w:rsidRDefault="005515D3">
      <w:pPr>
        <w:pStyle w:val="FootnoteText"/>
      </w:pPr>
    </w:p>
  </w:footnote>
  <w:footnote w:id="31">
    <w:p w14:paraId="36A36DA7" w14:textId="77777777" w:rsidR="005515D3" w:rsidRPr="00B03B60" w:rsidRDefault="005515D3" w:rsidP="00B03B60">
      <w:pPr>
        <w:pStyle w:val="Default"/>
        <w:spacing w:after="211"/>
        <w:jc w:val="left"/>
        <w:rPr>
          <w:sz w:val="20"/>
          <w:szCs w:val="20"/>
        </w:rPr>
      </w:pPr>
      <w:r>
        <w:rPr>
          <w:rStyle w:val="FootnoteReference"/>
        </w:rPr>
        <w:footnoteRef/>
      </w:r>
      <w:r>
        <w:t xml:space="preserve"> </w:t>
      </w:r>
      <w:r w:rsidRPr="00B03B60">
        <w:rPr>
          <w:sz w:val="20"/>
          <w:szCs w:val="20"/>
        </w:rPr>
        <w:t xml:space="preserve">Our fit-for-purpose governance framework document: </w:t>
      </w:r>
      <w:hyperlink r:id="rId21" w:history="1">
        <w:r w:rsidRPr="00B03B60">
          <w:rPr>
            <w:rStyle w:val="Hyperlink"/>
            <w:sz w:val="20"/>
            <w:szCs w:val="20"/>
          </w:rPr>
          <w:t>http://projects.exeter.ac.uk/igov/paper-gb-energy-governance-for-innovation-sustainability-and-affordability-2/</w:t>
        </w:r>
      </w:hyperlink>
    </w:p>
    <w:p w14:paraId="051D0194" w14:textId="5EB3E6A0" w:rsidR="005515D3" w:rsidRDefault="005515D3" w:rsidP="00070AAE">
      <w:pPr>
        <w:pStyle w:val="FootnoteText"/>
      </w:pPr>
    </w:p>
  </w:footnote>
  <w:footnote w:id="32">
    <w:p w14:paraId="01A55C47" w14:textId="622705C5" w:rsidR="005515D3" w:rsidRDefault="005515D3" w:rsidP="00B03B60">
      <w:pPr>
        <w:pStyle w:val="FootnoteText"/>
        <w:jc w:val="left"/>
      </w:pPr>
      <w:r>
        <w:rPr>
          <w:rStyle w:val="FootnoteReference"/>
        </w:rPr>
        <w:footnoteRef/>
      </w:r>
      <w:r>
        <w:t xml:space="preserve"> </w:t>
      </w:r>
      <w:r w:rsidRPr="006E152B">
        <w:t>http://projects.exeter.ac.uk/igov/working-paper-people-demand-and-governance-in-future-energy-systems/</w:t>
      </w:r>
    </w:p>
  </w:footnote>
  <w:footnote w:id="33">
    <w:p w14:paraId="7CA3F34E" w14:textId="77777777" w:rsidR="005515D3" w:rsidRPr="00B03B60" w:rsidRDefault="005515D3" w:rsidP="00B03B60">
      <w:pPr>
        <w:pStyle w:val="FootnoteText"/>
        <w:jc w:val="left"/>
      </w:pPr>
      <w:r>
        <w:rPr>
          <w:rStyle w:val="FootnoteReference"/>
        </w:rPr>
        <w:footnoteRef/>
      </w:r>
      <w:r>
        <w:t xml:space="preserve"> </w:t>
      </w:r>
      <w:r w:rsidRPr="00B03B60">
        <w:rPr>
          <w:rFonts w:ascii="Calibri" w:hAnsi="Calibri" w:cs="Times New Roman"/>
          <w:noProof/>
        </w:rPr>
        <w:t xml:space="preserve">Mitchell, C., Lockwood, M., Hoggett, R., Kuzemko, C. (2016) </w:t>
      </w:r>
      <w:r w:rsidRPr="00B03B60">
        <w:rPr>
          <w:rFonts w:ascii="Calibri" w:hAnsi="Calibri" w:cs="Times New Roman"/>
          <w:i/>
          <w:iCs/>
          <w:noProof/>
        </w:rPr>
        <w:t>Governing for Innovation, Sustainability and Affordability: An institutional framework</w:t>
      </w:r>
      <w:r w:rsidRPr="00B03B60">
        <w:rPr>
          <w:rFonts w:ascii="Calibri" w:hAnsi="Calibri" w:cs="Times New Roman"/>
          <w:noProof/>
        </w:rPr>
        <w:t>.</w:t>
      </w:r>
    </w:p>
  </w:footnote>
  <w:footnote w:id="34">
    <w:p w14:paraId="5148D087" w14:textId="5172AE27" w:rsidR="005515D3" w:rsidRDefault="005515D3" w:rsidP="004E6A1D">
      <w:pPr>
        <w:pStyle w:val="FootnoteText"/>
        <w:jc w:val="left"/>
      </w:pPr>
      <w:r>
        <w:rPr>
          <w:rStyle w:val="FootnoteReference"/>
        </w:rPr>
        <w:footnoteRef/>
      </w:r>
      <w:r>
        <w:t xml:space="preserve"> </w:t>
      </w:r>
      <w:hyperlink r:id="rId22" w:history="1">
        <w:r w:rsidRPr="00B03B60">
          <w:rPr>
            <w:rStyle w:val="Hyperlink"/>
            <w:rFonts w:ascii="Calibri" w:hAnsi="Calibri"/>
          </w:rPr>
          <w:t>http://projects.exeter.ac.uk/igov/paper-gb-energy-governance-for-innovation-sustainability-and-affordability-2/</w:t>
        </w:r>
      </w:hyperlink>
    </w:p>
  </w:footnote>
  <w:footnote w:id="35">
    <w:p w14:paraId="556CD388" w14:textId="18095198" w:rsidR="005515D3" w:rsidRDefault="005515D3">
      <w:pPr>
        <w:pStyle w:val="FootnoteText"/>
      </w:pPr>
      <w:r>
        <w:rPr>
          <w:rStyle w:val="FootnoteReference"/>
        </w:rPr>
        <w:footnoteRef/>
      </w:r>
      <w:r>
        <w:t xml:space="preserve"> </w:t>
      </w:r>
      <w:r w:rsidRPr="00795368">
        <w:t>http://projects.exeter.ac.uk/igov/new-thinking-the-riio-edi-review-just-how-successful-is-riio/</w:t>
      </w:r>
    </w:p>
  </w:footnote>
  <w:footnote w:id="36">
    <w:p w14:paraId="7AB3F77C" w14:textId="6C27F343" w:rsidR="005515D3" w:rsidRPr="00B03B60" w:rsidRDefault="005515D3" w:rsidP="00B03B60">
      <w:pPr>
        <w:pStyle w:val="FootnoteText"/>
        <w:jc w:val="left"/>
      </w:pPr>
      <w:r w:rsidRPr="00B03B60">
        <w:rPr>
          <w:rStyle w:val="FootnoteReference"/>
        </w:rPr>
        <w:footnoteRef/>
      </w:r>
      <w:r w:rsidRPr="00B03B60">
        <w:t xml:space="preserve"> http://projects.exeter.ac.uk/igov/comparing-ny-with-ca-blog-2-catching-up-with-the-ny-rev/</w:t>
      </w:r>
    </w:p>
  </w:footnote>
  <w:footnote w:id="37">
    <w:p w14:paraId="041F1A4E" w14:textId="5A0511E2" w:rsidR="005515D3" w:rsidRDefault="005515D3" w:rsidP="00B03B60">
      <w:pPr>
        <w:pStyle w:val="FootnoteText"/>
        <w:jc w:val="left"/>
      </w:pPr>
      <w:r>
        <w:rPr>
          <w:rStyle w:val="FootnoteReference"/>
        </w:rPr>
        <w:footnoteRef/>
      </w:r>
      <w:r>
        <w:t xml:space="preserve"> </w:t>
      </w:r>
      <w:hyperlink r:id="rId23" w:history="1">
        <w:r w:rsidRPr="00642B29">
          <w:rPr>
            <w:rStyle w:val="Hyperlink"/>
          </w:rPr>
          <w:t>http://projects.exeter.ac.uk/igov/notes-on-the-ny-rev-ratemaking-order-19-may-2016/</w:t>
        </w:r>
      </w:hyperlink>
      <w:r>
        <w:t xml:space="preserve">   and </w:t>
      </w:r>
      <w:hyperlink r:id="rId24" w:history="1">
        <w:r w:rsidRPr="00642B29">
          <w:rPr>
            <w:rStyle w:val="Hyperlink"/>
          </w:rPr>
          <w:t>http://projects.exeter.ac.uk/igov/us-regulatory-reform-ny-utility-transformation/</w:t>
        </w:r>
      </w:hyperlink>
      <w:r>
        <w:t xml:space="preserve"> </w:t>
      </w:r>
    </w:p>
  </w:footnote>
  <w:footnote w:id="38">
    <w:p w14:paraId="38B9E3AF" w14:textId="77777777" w:rsidR="005515D3" w:rsidRPr="00B03B60" w:rsidRDefault="005515D3" w:rsidP="00B03B60">
      <w:pPr>
        <w:pStyle w:val="FootnoteText"/>
        <w:jc w:val="left"/>
      </w:pPr>
      <w:r>
        <w:rPr>
          <w:rStyle w:val="FootnoteReference"/>
        </w:rPr>
        <w:footnoteRef/>
      </w:r>
      <w:r>
        <w:t xml:space="preserve"> </w:t>
      </w:r>
      <w:r w:rsidRPr="00B03B60">
        <w:t>http://projects.exeter.ac.uk/igov/new-thinking-reset-the-reset-3-der-walking-the-walk/</w:t>
      </w:r>
    </w:p>
  </w:footnote>
  <w:footnote w:id="39">
    <w:p w14:paraId="4E607D3A" w14:textId="77777777" w:rsidR="005515D3" w:rsidRPr="00B03B60" w:rsidRDefault="005515D3" w:rsidP="00B03B60">
      <w:pPr>
        <w:pStyle w:val="FootnoteText"/>
        <w:jc w:val="left"/>
      </w:pPr>
      <w:r w:rsidRPr="00B03B60">
        <w:rPr>
          <w:rStyle w:val="FootnoteReference"/>
        </w:rPr>
        <w:footnoteRef/>
      </w:r>
      <w:r w:rsidRPr="00B03B60">
        <w:t xml:space="preserve"> http://www.environment.gov.au/energy/national-electricity-market-review</w:t>
      </w:r>
    </w:p>
  </w:footnote>
  <w:footnote w:id="40">
    <w:p w14:paraId="53311A49" w14:textId="77777777" w:rsidR="005515D3" w:rsidRDefault="005515D3" w:rsidP="00B03B60">
      <w:pPr>
        <w:pStyle w:val="FootnoteText"/>
        <w:jc w:val="left"/>
      </w:pPr>
      <w:r>
        <w:rPr>
          <w:rStyle w:val="FootnoteReference"/>
        </w:rPr>
        <w:footnoteRef/>
      </w:r>
      <w:r>
        <w:t xml:space="preserve"> </w:t>
      </w:r>
      <w:hyperlink r:id="rId25" w:history="1">
        <w:r w:rsidRPr="00642B29">
          <w:rPr>
            <w:rStyle w:val="Hyperlink"/>
          </w:rPr>
          <w:t>http://projects.exeter.ac.uk/igov/notes-on-the-ny-rev-ratemaking-order-19-may-2016/</w:t>
        </w:r>
      </w:hyperlink>
      <w:r>
        <w:t xml:space="preserve">   and </w:t>
      </w:r>
      <w:hyperlink r:id="rId26" w:history="1">
        <w:r w:rsidRPr="00642B29">
          <w:rPr>
            <w:rStyle w:val="Hyperlink"/>
          </w:rPr>
          <w:t>http://projects.exeter.ac.uk/igov/us-regulatory-reform-ny-utility-transformation/</w:t>
        </w:r>
      </w:hyperlink>
      <w:r>
        <w:t xml:space="preserve"> </w:t>
      </w:r>
    </w:p>
  </w:footnote>
  <w:footnote w:id="41">
    <w:p w14:paraId="1A936A21" w14:textId="77777777" w:rsidR="005515D3" w:rsidRPr="00B03B60" w:rsidRDefault="005515D3" w:rsidP="00B03B60">
      <w:pPr>
        <w:pStyle w:val="FootnoteText"/>
        <w:jc w:val="left"/>
      </w:pPr>
      <w:r>
        <w:rPr>
          <w:rStyle w:val="FootnoteReference"/>
        </w:rPr>
        <w:footnoteRef/>
      </w:r>
      <w:r>
        <w:t xml:space="preserve"> </w:t>
      </w:r>
      <w:r w:rsidRPr="00B03B60">
        <w:t>https://www.citizensadvice.org.uk/Global/CitizensAdvice/Energy/EnergyConsumersMissingBillions.pdf</w:t>
      </w:r>
    </w:p>
  </w:footnote>
  <w:footnote w:id="42">
    <w:p w14:paraId="05997BF8" w14:textId="1EB152B0" w:rsidR="005515D3" w:rsidRDefault="005515D3" w:rsidP="00B03B60">
      <w:pPr>
        <w:pStyle w:val="FootnoteText"/>
        <w:jc w:val="left"/>
      </w:pPr>
      <w:r w:rsidRPr="00B03B60">
        <w:rPr>
          <w:rStyle w:val="FootnoteReference"/>
        </w:rPr>
        <w:footnoteRef/>
      </w:r>
      <w:r w:rsidRPr="00B03B60">
        <w:t xml:space="preserve"> </w:t>
      </w:r>
      <w:hyperlink r:id="rId27" w:history="1">
        <w:r w:rsidRPr="00B03B60">
          <w:rPr>
            <w:rStyle w:val="Hyperlink"/>
            <w:rFonts w:ascii="Calibri" w:hAnsi="Calibri"/>
          </w:rPr>
          <w:t>http://projects.exeter.ac.uk/igov/paper-gb-energy-governance-for-innovation-sustainability-and-affordability-2/</w:t>
        </w:r>
      </w:hyperlink>
    </w:p>
  </w:footnote>
  <w:footnote w:id="43">
    <w:p w14:paraId="66B0ECF0" w14:textId="77777777" w:rsidR="005515D3" w:rsidRPr="00B03B60" w:rsidRDefault="005515D3" w:rsidP="00B03B60">
      <w:pPr>
        <w:pStyle w:val="FootnoteText"/>
        <w:jc w:val="left"/>
      </w:pPr>
      <w:r w:rsidRPr="00B03B60">
        <w:rPr>
          <w:rStyle w:val="FootnoteReference"/>
        </w:rPr>
        <w:footnoteRef/>
      </w:r>
      <w:r w:rsidRPr="00B03B60">
        <w:t xml:space="preserve"> </w:t>
      </w:r>
      <w:r w:rsidRPr="00B03B60">
        <w:rPr>
          <w:rFonts w:ascii="Calibri" w:hAnsi="Calibri" w:cs="Times New Roman"/>
          <w:noProof/>
        </w:rPr>
        <w:t xml:space="preserve">Mitchell, C., Lockwood, M., Hoggett, R., Kuzemko, C. (2016) </w:t>
      </w:r>
      <w:r w:rsidRPr="00B03B60">
        <w:rPr>
          <w:rFonts w:ascii="Calibri" w:hAnsi="Calibri" w:cs="Times New Roman"/>
          <w:i/>
          <w:iCs/>
          <w:noProof/>
        </w:rPr>
        <w:t>Governing for Innovation, Sustainability and Affordability: An institutional framework</w:t>
      </w:r>
      <w:r w:rsidRPr="00B03B60">
        <w:rPr>
          <w:rFonts w:ascii="Calibri" w:hAnsi="Calibri" w:cs="Times New Roman"/>
          <w:noProof/>
        </w:rPr>
        <w:t>.</w:t>
      </w:r>
    </w:p>
    <w:p w14:paraId="2C7EAF58" w14:textId="77777777" w:rsidR="005515D3" w:rsidRPr="00B03B60" w:rsidRDefault="005515D3" w:rsidP="00B03B60">
      <w:pPr>
        <w:pStyle w:val="FootnoteText"/>
        <w:jc w:val="left"/>
      </w:pPr>
    </w:p>
  </w:footnote>
  <w:footnote w:id="44">
    <w:p w14:paraId="26D1BD66" w14:textId="7EDC11EA" w:rsidR="005515D3" w:rsidRPr="00B03B60" w:rsidRDefault="005515D3" w:rsidP="00B03B60">
      <w:pPr>
        <w:pStyle w:val="FootnoteText"/>
        <w:jc w:val="left"/>
      </w:pPr>
      <w:r w:rsidRPr="00B03B60">
        <w:rPr>
          <w:rStyle w:val="FootnoteReference"/>
        </w:rPr>
        <w:footnoteRef/>
      </w:r>
      <w:r w:rsidRPr="00B03B60">
        <w:t xml:space="preserve"> http://projects.exeter.ac.uk/igov/submission-ofgem-call-for-evidence-on-future-electricity-system-operator-arrangements/</w:t>
      </w:r>
    </w:p>
  </w:footnote>
  <w:footnote w:id="45">
    <w:p w14:paraId="65F82B76" w14:textId="77777777" w:rsidR="005515D3" w:rsidRPr="00B03B60" w:rsidRDefault="005515D3" w:rsidP="00B03B60">
      <w:pPr>
        <w:jc w:val="left"/>
        <w:rPr>
          <w:sz w:val="20"/>
          <w:szCs w:val="20"/>
        </w:rPr>
      </w:pPr>
      <w:r w:rsidRPr="00B03B60">
        <w:rPr>
          <w:rStyle w:val="FootnoteReference"/>
          <w:sz w:val="20"/>
          <w:szCs w:val="20"/>
        </w:rPr>
        <w:footnoteRef/>
      </w:r>
      <w:r w:rsidRPr="00B03B60">
        <w:rPr>
          <w:sz w:val="20"/>
          <w:szCs w:val="20"/>
        </w:rPr>
        <w:t xml:space="preserve"> Open energy / banking blog </w:t>
      </w:r>
      <w:hyperlink r:id="rId28" w:history="1">
        <w:r w:rsidRPr="00B03B60">
          <w:rPr>
            <w:rStyle w:val="Hyperlink"/>
            <w:sz w:val="20"/>
            <w:szCs w:val="20"/>
          </w:rPr>
          <w:t>http://projects.exeter.ac.uk/igov/new-thinking-open-banking-open-energy/</w:t>
        </w:r>
      </w:hyperlink>
      <w:r w:rsidRPr="00B03B60">
        <w:rPr>
          <w:color w:val="1F497D"/>
          <w:sz w:val="20"/>
          <w:szCs w:val="20"/>
        </w:rPr>
        <w:t xml:space="preserve"> </w:t>
      </w:r>
    </w:p>
    <w:p w14:paraId="32422368" w14:textId="0FE8FF47" w:rsidR="005515D3" w:rsidRDefault="005515D3">
      <w:pPr>
        <w:pStyle w:val="FootnoteText"/>
      </w:pPr>
    </w:p>
  </w:footnote>
  <w:footnote w:id="46">
    <w:p w14:paraId="7870FEF4" w14:textId="77777777" w:rsidR="005515D3" w:rsidRDefault="005515D3" w:rsidP="005515D3">
      <w:pPr>
        <w:pStyle w:val="FootnoteText"/>
        <w:jc w:val="left"/>
      </w:pPr>
      <w:r>
        <w:rPr>
          <w:rStyle w:val="FootnoteReference"/>
        </w:rPr>
        <w:footnoteRef/>
      </w:r>
      <w:r>
        <w:t xml:space="preserve"> </w:t>
      </w:r>
      <w:r w:rsidRPr="00003E6F">
        <w:t>https://www.citizensadvice.org.uk/about-us/policy/policy-research-topics/energy-policy-research-and-consultation-responses/energy-policy-research/energy-consumers-missing-billions/</w:t>
      </w:r>
    </w:p>
    <w:p w14:paraId="0BFF1F29" w14:textId="56924537" w:rsidR="005515D3" w:rsidRPr="005515D3" w:rsidRDefault="005515D3" w:rsidP="005515D3">
      <w:pPr>
        <w:rPr>
          <w:sz w:val="20"/>
          <w:szCs w:val="20"/>
          <w:lang w:val="en-US"/>
        </w:rPr>
      </w:pPr>
      <w:r>
        <w:rPr>
          <w:rStyle w:val="FootnoteReference"/>
        </w:rPr>
        <w:footnoteRef/>
      </w:r>
      <w:r>
        <w:t xml:space="preserve"> </w:t>
      </w:r>
      <w:r w:rsidRPr="00D51D99">
        <w:rPr>
          <w:i/>
          <w:iCs/>
          <w:sz w:val="20"/>
          <w:szCs w:val="20"/>
          <w:lang w:val="en-US"/>
        </w:rPr>
        <w:t>Monopoly money: How the UK’s electricity distribution network operators are posting big profits</w:t>
      </w:r>
      <w:r>
        <w:rPr>
          <w:sz w:val="20"/>
          <w:szCs w:val="20"/>
          <w:lang w:val="en-US"/>
        </w:rPr>
        <w:t xml:space="preserve"> </w:t>
      </w:r>
      <w:hyperlink r:id="rId29" w:history="1">
        <w:r w:rsidRPr="00D51D99">
          <w:rPr>
            <w:rStyle w:val="Hyperlink"/>
            <w:sz w:val="20"/>
            <w:szCs w:val="20"/>
            <w:lang w:val="en-US"/>
          </w:rPr>
          <w:t>http://eciu.net/reports</w:t>
        </w:r>
      </w:hyperlink>
      <w:r w:rsidRPr="00D51D99">
        <w:rPr>
          <w:sz w:val="20"/>
          <w:szCs w:val="20"/>
          <w:lang w:val="en-US"/>
        </w:rPr>
        <w:t xml:space="preserve"> </w:t>
      </w:r>
    </w:p>
  </w:footnote>
  <w:footnote w:id="47">
    <w:p w14:paraId="03A24827" w14:textId="46A965EA" w:rsidR="005515D3" w:rsidRDefault="005515D3" w:rsidP="00B03B60">
      <w:pPr>
        <w:pStyle w:val="FootnoteText"/>
        <w:jc w:val="left"/>
      </w:pPr>
      <w:r>
        <w:rPr>
          <w:rStyle w:val="FootnoteReference"/>
        </w:rPr>
        <w:footnoteRef/>
      </w:r>
      <w:r>
        <w:t xml:space="preserve"> Six part series </w:t>
      </w:r>
      <w:hyperlink r:id="rId30" w:history="1">
        <w:r w:rsidRPr="00642B29">
          <w:rPr>
            <w:rStyle w:val="Hyperlink"/>
          </w:rPr>
          <w:t>http://projects.exeter.ac.uk/igov/new-thinking-a-no-regret-energy-policy-reduce-flatten-and-flex/</w:t>
        </w:r>
      </w:hyperlink>
      <w:r>
        <w:t xml:space="preserve"> </w:t>
      </w:r>
    </w:p>
  </w:footnote>
  <w:footnote w:id="48">
    <w:p w14:paraId="7B3F23E4" w14:textId="51051374" w:rsidR="005515D3" w:rsidRDefault="005515D3" w:rsidP="00B03B60">
      <w:pPr>
        <w:pStyle w:val="FootnoteText"/>
        <w:jc w:val="left"/>
      </w:pPr>
      <w:r>
        <w:rPr>
          <w:rStyle w:val="FootnoteReference"/>
        </w:rPr>
        <w:footnoteRef/>
      </w:r>
      <w:r>
        <w:t xml:space="preserve"> </w:t>
      </w:r>
      <w:r w:rsidRPr="001A25A9">
        <w:t>http://projects.exeter.ac.uk/igov/new-thinking-hinkley-point-c-time-for-a-plan-b/</w:t>
      </w:r>
    </w:p>
  </w:footnote>
  <w:footnote w:id="49">
    <w:p w14:paraId="13199BFD" w14:textId="77777777" w:rsidR="005515D3" w:rsidRDefault="005515D3" w:rsidP="00B03B60">
      <w:pPr>
        <w:pStyle w:val="FootnoteText"/>
        <w:jc w:val="left"/>
      </w:pPr>
      <w:r>
        <w:rPr>
          <w:rStyle w:val="FootnoteReference"/>
        </w:rPr>
        <w:footnoteRef/>
      </w:r>
      <w:r>
        <w:t xml:space="preserve"> </w:t>
      </w:r>
      <w:r w:rsidRPr="00B03B60">
        <w:t>Smith, S., 2010. RPI_X@20. In The Beesley Lectures. London</w:t>
      </w:r>
    </w:p>
  </w:footnote>
  <w:footnote w:id="50">
    <w:p w14:paraId="168B03D2" w14:textId="41E3D805" w:rsidR="005515D3" w:rsidRPr="00B03B60" w:rsidRDefault="005515D3" w:rsidP="00B03B60">
      <w:pPr>
        <w:jc w:val="left"/>
        <w:rPr>
          <w:sz w:val="20"/>
          <w:szCs w:val="20"/>
        </w:rPr>
      </w:pPr>
      <w:r>
        <w:rPr>
          <w:rStyle w:val="FootnoteReference"/>
        </w:rPr>
        <w:footnoteRef/>
      </w:r>
      <w:r>
        <w:t xml:space="preserve"> </w:t>
      </w:r>
      <w:hyperlink r:id="rId31" w:history="1">
        <w:r w:rsidRPr="00B03B60">
          <w:rPr>
            <w:rStyle w:val="Hyperlink"/>
            <w:sz w:val="20"/>
            <w:szCs w:val="20"/>
          </w:rPr>
          <w:t>http://projects.exeter.ac.uk/igov/notes-on-the-ny-rev-ratemaking-order-19-may-2016/</w:t>
        </w:r>
      </w:hyperlink>
      <w:r w:rsidRPr="00B03B60">
        <w:rPr>
          <w:sz w:val="20"/>
          <w:szCs w:val="20"/>
        </w:rPr>
        <w:t xml:space="preserve">   and </w:t>
      </w:r>
      <w:hyperlink r:id="rId32" w:history="1">
        <w:r w:rsidRPr="00B03B60">
          <w:rPr>
            <w:rStyle w:val="Hyperlink"/>
            <w:sz w:val="20"/>
            <w:szCs w:val="20"/>
          </w:rPr>
          <w:t>http://projects.exeter.ac.uk/igov/us-regulatory-reform-ny-utility-transformation/</w:t>
        </w:r>
      </w:hyperlink>
      <w:r w:rsidRPr="00B03B60">
        <w:rPr>
          <w:sz w:val="20"/>
          <w:szCs w:val="20"/>
        </w:rPr>
        <w:t xml:space="preserve"> ;  </w:t>
      </w:r>
      <w:hyperlink r:id="rId33" w:history="1">
        <w:r w:rsidRPr="00B03B60">
          <w:rPr>
            <w:rStyle w:val="Hyperlink"/>
            <w:sz w:val="20"/>
            <w:szCs w:val="20"/>
          </w:rPr>
          <w:t>http://www.cpuc.ca.gov/uploadedFiles/CPUC_Public_Website/Content/About_Us/Organization/Commissioners/Michael_J._Picker/2016%20DER%20Action%20Plan%20FINAL.pdf</w:t>
        </w:r>
      </w:hyperlink>
      <w:r w:rsidRPr="00B03B60">
        <w:rPr>
          <w:sz w:val="20"/>
          <w:szCs w:val="20"/>
        </w:rPr>
        <w:t xml:space="preserve">  ; Blogs 2, 3 and 5 of this series </w:t>
      </w:r>
      <w:hyperlink r:id="rId34" w:history="1">
        <w:r w:rsidRPr="00B03B60">
          <w:rPr>
            <w:rStyle w:val="Hyperlink"/>
            <w:sz w:val="20"/>
            <w:szCs w:val="20"/>
          </w:rPr>
          <w:t>http://projects.exeter.ac.uk/igov/comparing-nys-and-ca-blog-1-series-overview/</w:t>
        </w:r>
      </w:hyperlink>
      <w:r w:rsidRPr="00B03B60">
        <w:rPr>
          <w:sz w:val="20"/>
          <w:szCs w:val="20"/>
        </w:rPr>
        <w:t xml:space="preserve">; general  NY REV site has all documents about all aspects of NY REV: </w:t>
      </w:r>
      <w:hyperlink r:id="rId35" w:history="1">
        <w:r w:rsidRPr="00B03B60">
          <w:rPr>
            <w:rStyle w:val="Hyperlink"/>
            <w:sz w:val="20"/>
            <w:szCs w:val="20"/>
          </w:rPr>
          <w:t>http://www3.dps.ny.gov/W/PSCWeb.nsf/All/CC4F2EFA3A23551585257DEA007DCFE2?OpenDocument</w:t>
        </w:r>
      </w:hyperlink>
      <w:r w:rsidRPr="00B03B60">
        <w:rPr>
          <w:sz w:val="20"/>
          <w:szCs w:val="20"/>
        </w:rPr>
        <w:t xml:space="preserve"> - </w:t>
      </w:r>
    </w:p>
  </w:footnote>
  <w:footnote w:id="51">
    <w:p w14:paraId="531724D8" w14:textId="77777777" w:rsidR="005515D3" w:rsidRPr="00B03B60" w:rsidRDefault="005515D3" w:rsidP="00B03B60">
      <w:pPr>
        <w:pStyle w:val="FootnoteText"/>
        <w:jc w:val="left"/>
      </w:pPr>
      <w:r w:rsidRPr="00B03B60">
        <w:rPr>
          <w:rStyle w:val="FootnoteReference"/>
        </w:rPr>
        <w:footnoteRef/>
      </w:r>
      <w:r w:rsidRPr="00B03B60">
        <w:t xml:space="preserve"> </w:t>
      </w:r>
      <w:hyperlink r:id="rId36" w:history="1">
        <w:r w:rsidRPr="00B03B60">
          <w:rPr>
            <w:rStyle w:val="Hyperlink"/>
          </w:rPr>
          <w:t>http://www.legislation.gov.uk/uksi/2016/785/made</w:t>
        </w:r>
      </w:hyperlink>
    </w:p>
    <w:p w14:paraId="39ED518E" w14:textId="77777777" w:rsidR="005515D3" w:rsidRPr="00B03B60" w:rsidRDefault="005515D3" w:rsidP="00B03B60">
      <w:pPr>
        <w:pStyle w:val="FootnoteText"/>
        <w:jc w:val="left"/>
      </w:pPr>
    </w:p>
  </w:footnote>
  <w:footnote w:id="52">
    <w:p w14:paraId="605E7B51" w14:textId="77777777" w:rsidR="005515D3" w:rsidRPr="00B03B60" w:rsidRDefault="005515D3" w:rsidP="00B03B60">
      <w:pPr>
        <w:pStyle w:val="FootnoteText"/>
        <w:jc w:val="left"/>
      </w:pPr>
      <w:r w:rsidRPr="00B03B60">
        <w:rPr>
          <w:rStyle w:val="FootnoteReference"/>
        </w:rPr>
        <w:footnoteRef/>
      </w:r>
      <w:r w:rsidRPr="00B03B60">
        <w:t xml:space="preserve"> https://www.theguardian.com/environment/2016/jun/30/uk-sets-ambitious-new-2030s-carbon-target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A4191" w14:textId="77777777" w:rsidR="00CA6E68" w:rsidRDefault="00CA6E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7591E" w14:textId="77777777" w:rsidR="00CA6E68" w:rsidRDefault="00CA6E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F68E" w14:textId="77777777" w:rsidR="00CA6E68" w:rsidRDefault="00CA6E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3580F"/>
    <w:multiLevelType w:val="hybridMultilevel"/>
    <w:tmpl w:val="EA3CA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93D02DC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DA14FDA"/>
    <w:multiLevelType w:val="hybridMultilevel"/>
    <w:tmpl w:val="64A22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884E13"/>
    <w:multiLevelType w:val="hybridMultilevel"/>
    <w:tmpl w:val="084CCA36"/>
    <w:lvl w:ilvl="0" w:tplc="F724BF94">
      <w:start w:val="5"/>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20BD2E1C"/>
    <w:multiLevelType w:val="hybridMultilevel"/>
    <w:tmpl w:val="DD5A55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FF761E"/>
    <w:multiLevelType w:val="hybridMultilevel"/>
    <w:tmpl w:val="7CC2963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CC3C16"/>
    <w:multiLevelType w:val="hybridMultilevel"/>
    <w:tmpl w:val="0ED095C6"/>
    <w:lvl w:ilvl="0" w:tplc="96641376">
      <w:start w:val="3"/>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DB16C5A"/>
    <w:multiLevelType w:val="hybridMultilevel"/>
    <w:tmpl w:val="183C10D0"/>
    <w:lvl w:ilvl="0" w:tplc="984C36B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CC3829"/>
    <w:multiLevelType w:val="hybridMultilevel"/>
    <w:tmpl w:val="7E642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5"/>
  </w:num>
  <w:num w:numId="23">
    <w:abstractNumId w:val="7"/>
  </w:num>
  <w:num w:numId="24">
    <w:abstractNumId w:val="3"/>
  </w:num>
  <w:num w:numId="25">
    <w:abstractNumId w:val="6"/>
  </w:num>
  <w:num w:numId="26">
    <w:abstractNumId w:val="2"/>
  </w:num>
  <w:num w:numId="27">
    <w:abstractNumId w:val="0"/>
  </w:num>
  <w:num w:numId="28">
    <w:abstractNumId w:val="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7"/>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770"/>
    <w:rsid w:val="00003E6F"/>
    <w:rsid w:val="000065CD"/>
    <w:rsid w:val="0001512D"/>
    <w:rsid w:val="0001676F"/>
    <w:rsid w:val="000168BB"/>
    <w:rsid w:val="000516AC"/>
    <w:rsid w:val="00070AAE"/>
    <w:rsid w:val="000837EE"/>
    <w:rsid w:val="00095A5C"/>
    <w:rsid w:val="000A55E6"/>
    <w:rsid w:val="000B5698"/>
    <w:rsid w:val="000D044F"/>
    <w:rsid w:val="000F45FE"/>
    <w:rsid w:val="00101856"/>
    <w:rsid w:val="0010529B"/>
    <w:rsid w:val="00106397"/>
    <w:rsid w:val="001236BB"/>
    <w:rsid w:val="00131B46"/>
    <w:rsid w:val="001332B2"/>
    <w:rsid w:val="001337A3"/>
    <w:rsid w:val="0013509B"/>
    <w:rsid w:val="00146AE0"/>
    <w:rsid w:val="001541B1"/>
    <w:rsid w:val="00171F19"/>
    <w:rsid w:val="00174128"/>
    <w:rsid w:val="00175CB3"/>
    <w:rsid w:val="00176E11"/>
    <w:rsid w:val="00177D58"/>
    <w:rsid w:val="0018446B"/>
    <w:rsid w:val="001A150E"/>
    <w:rsid w:val="001A25A9"/>
    <w:rsid w:val="001A2D93"/>
    <w:rsid w:val="001B3390"/>
    <w:rsid w:val="001B6A60"/>
    <w:rsid w:val="001C15FB"/>
    <w:rsid w:val="001E5F9B"/>
    <w:rsid w:val="001E6C45"/>
    <w:rsid w:val="001F083D"/>
    <w:rsid w:val="00213D97"/>
    <w:rsid w:val="002265EF"/>
    <w:rsid w:val="002319DA"/>
    <w:rsid w:val="00242996"/>
    <w:rsid w:val="00264418"/>
    <w:rsid w:val="002675AA"/>
    <w:rsid w:val="00277618"/>
    <w:rsid w:val="002963D1"/>
    <w:rsid w:val="002C68E8"/>
    <w:rsid w:val="002D218E"/>
    <w:rsid w:val="002E1805"/>
    <w:rsid w:val="00300D6E"/>
    <w:rsid w:val="003167C7"/>
    <w:rsid w:val="00327FA8"/>
    <w:rsid w:val="00335727"/>
    <w:rsid w:val="00342EF5"/>
    <w:rsid w:val="0037568F"/>
    <w:rsid w:val="00375ECD"/>
    <w:rsid w:val="00383D1F"/>
    <w:rsid w:val="0038521A"/>
    <w:rsid w:val="003A37CE"/>
    <w:rsid w:val="003C48AD"/>
    <w:rsid w:val="003D76D4"/>
    <w:rsid w:val="003D783D"/>
    <w:rsid w:val="003E30A5"/>
    <w:rsid w:val="003F070E"/>
    <w:rsid w:val="00405052"/>
    <w:rsid w:val="00411AB7"/>
    <w:rsid w:val="00421118"/>
    <w:rsid w:val="0042704B"/>
    <w:rsid w:val="00437D52"/>
    <w:rsid w:val="00440792"/>
    <w:rsid w:val="00440841"/>
    <w:rsid w:val="004408B2"/>
    <w:rsid w:val="00441C08"/>
    <w:rsid w:val="004455DA"/>
    <w:rsid w:val="00463529"/>
    <w:rsid w:val="00464679"/>
    <w:rsid w:val="00486D61"/>
    <w:rsid w:val="00495F00"/>
    <w:rsid w:val="004A2B75"/>
    <w:rsid w:val="004A50CC"/>
    <w:rsid w:val="004C56A0"/>
    <w:rsid w:val="004D569D"/>
    <w:rsid w:val="004E6A1D"/>
    <w:rsid w:val="004F1779"/>
    <w:rsid w:val="0053668D"/>
    <w:rsid w:val="00541AE1"/>
    <w:rsid w:val="005447D2"/>
    <w:rsid w:val="0054747F"/>
    <w:rsid w:val="005515D3"/>
    <w:rsid w:val="00553B30"/>
    <w:rsid w:val="005550D0"/>
    <w:rsid w:val="00561C97"/>
    <w:rsid w:val="0056375B"/>
    <w:rsid w:val="00594189"/>
    <w:rsid w:val="005961AE"/>
    <w:rsid w:val="005A529C"/>
    <w:rsid w:val="005B60C2"/>
    <w:rsid w:val="005D02BC"/>
    <w:rsid w:val="005E74B0"/>
    <w:rsid w:val="005F3B81"/>
    <w:rsid w:val="005F7B58"/>
    <w:rsid w:val="00611ABE"/>
    <w:rsid w:val="006161A3"/>
    <w:rsid w:val="006246DD"/>
    <w:rsid w:val="006307AE"/>
    <w:rsid w:val="0064121F"/>
    <w:rsid w:val="00642770"/>
    <w:rsid w:val="00654F1D"/>
    <w:rsid w:val="006625FD"/>
    <w:rsid w:val="00690690"/>
    <w:rsid w:val="00690A5C"/>
    <w:rsid w:val="006A6B8E"/>
    <w:rsid w:val="006C2DDC"/>
    <w:rsid w:val="006D0874"/>
    <w:rsid w:val="006E152B"/>
    <w:rsid w:val="006E210B"/>
    <w:rsid w:val="006F1CB7"/>
    <w:rsid w:val="006F5BBC"/>
    <w:rsid w:val="00716F31"/>
    <w:rsid w:val="00723494"/>
    <w:rsid w:val="007273C7"/>
    <w:rsid w:val="00736922"/>
    <w:rsid w:val="00740BF1"/>
    <w:rsid w:val="00766934"/>
    <w:rsid w:val="00766DD5"/>
    <w:rsid w:val="007717CF"/>
    <w:rsid w:val="007902C6"/>
    <w:rsid w:val="00795368"/>
    <w:rsid w:val="007A4FF7"/>
    <w:rsid w:val="007B14C1"/>
    <w:rsid w:val="007B1886"/>
    <w:rsid w:val="007C50EB"/>
    <w:rsid w:val="007C7DA5"/>
    <w:rsid w:val="007D2693"/>
    <w:rsid w:val="007F402A"/>
    <w:rsid w:val="0082195A"/>
    <w:rsid w:val="00823B1B"/>
    <w:rsid w:val="0082692F"/>
    <w:rsid w:val="00840EC4"/>
    <w:rsid w:val="008477EA"/>
    <w:rsid w:val="0085729A"/>
    <w:rsid w:val="00863A54"/>
    <w:rsid w:val="00865546"/>
    <w:rsid w:val="00871EDA"/>
    <w:rsid w:val="00890258"/>
    <w:rsid w:val="00890C6C"/>
    <w:rsid w:val="008910E8"/>
    <w:rsid w:val="008A4157"/>
    <w:rsid w:val="008C28E2"/>
    <w:rsid w:val="008D4D5C"/>
    <w:rsid w:val="008E13FC"/>
    <w:rsid w:val="00904924"/>
    <w:rsid w:val="009055C9"/>
    <w:rsid w:val="00906DEB"/>
    <w:rsid w:val="00910B8C"/>
    <w:rsid w:val="00932B83"/>
    <w:rsid w:val="0093748D"/>
    <w:rsid w:val="00941066"/>
    <w:rsid w:val="00941D42"/>
    <w:rsid w:val="009449B7"/>
    <w:rsid w:val="009472F4"/>
    <w:rsid w:val="009519AC"/>
    <w:rsid w:val="00990021"/>
    <w:rsid w:val="009B50A6"/>
    <w:rsid w:val="009B5334"/>
    <w:rsid w:val="009D2C00"/>
    <w:rsid w:val="009D4FA6"/>
    <w:rsid w:val="009D744F"/>
    <w:rsid w:val="009F7277"/>
    <w:rsid w:val="00A33A73"/>
    <w:rsid w:val="00A34C35"/>
    <w:rsid w:val="00A45315"/>
    <w:rsid w:val="00A46BA9"/>
    <w:rsid w:val="00A70B1D"/>
    <w:rsid w:val="00A70B5F"/>
    <w:rsid w:val="00A87CB4"/>
    <w:rsid w:val="00A9107C"/>
    <w:rsid w:val="00AA27E7"/>
    <w:rsid w:val="00AB59C0"/>
    <w:rsid w:val="00AC0C82"/>
    <w:rsid w:val="00AC1634"/>
    <w:rsid w:val="00AC3E23"/>
    <w:rsid w:val="00AC4B2B"/>
    <w:rsid w:val="00AF16C2"/>
    <w:rsid w:val="00B03B60"/>
    <w:rsid w:val="00B115EF"/>
    <w:rsid w:val="00B2242A"/>
    <w:rsid w:val="00B47724"/>
    <w:rsid w:val="00B51889"/>
    <w:rsid w:val="00B65F26"/>
    <w:rsid w:val="00B67168"/>
    <w:rsid w:val="00B70A63"/>
    <w:rsid w:val="00B77A30"/>
    <w:rsid w:val="00BA451E"/>
    <w:rsid w:val="00BA6171"/>
    <w:rsid w:val="00BB25D4"/>
    <w:rsid w:val="00BC6A38"/>
    <w:rsid w:val="00BF2EE2"/>
    <w:rsid w:val="00BF5903"/>
    <w:rsid w:val="00C02D04"/>
    <w:rsid w:val="00C33804"/>
    <w:rsid w:val="00C348F2"/>
    <w:rsid w:val="00C47BB0"/>
    <w:rsid w:val="00C51587"/>
    <w:rsid w:val="00C51F3C"/>
    <w:rsid w:val="00C63016"/>
    <w:rsid w:val="00C81863"/>
    <w:rsid w:val="00C8714D"/>
    <w:rsid w:val="00C87A0D"/>
    <w:rsid w:val="00C92643"/>
    <w:rsid w:val="00CA54B0"/>
    <w:rsid w:val="00CA6E68"/>
    <w:rsid w:val="00CB4E7A"/>
    <w:rsid w:val="00D17083"/>
    <w:rsid w:val="00D236DF"/>
    <w:rsid w:val="00D27194"/>
    <w:rsid w:val="00D363B8"/>
    <w:rsid w:val="00D51D99"/>
    <w:rsid w:val="00D6398C"/>
    <w:rsid w:val="00D76EB3"/>
    <w:rsid w:val="00D96ABC"/>
    <w:rsid w:val="00DA5617"/>
    <w:rsid w:val="00DA71AE"/>
    <w:rsid w:val="00DB2428"/>
    <w:rsid w:val="00DD3EAC"/>
    <w:rsid w:val="00DD5771"/>
    <w:rsid w:val="00DD795C"/>
    <w:rsid w:val="00DF14DB"/>
    <w:rsid w:val="00DF615D"/>
    <w:rsid w:val="00E004BF"/>
    <w:rsid w:val="00E16A8D"/>
    <w:rsid w:val="00E37F44"/>
    <w:rsid w:val="00E56207"/>
    <w:rsid w:val="00E562EF"/>
    <w:rsid w:val="00E70CAC"/>
    <w:rsid w:val="00E726BA"/>
    <w:rsid w:val="00E803D6"/>
    <w:rsid w:val="00E87B98"/>
    <w:rsid w:val="00E94242"/>
    <w:rsid w:val="00E95FCA"/>
    <w:rsid w:val="00E96BD1"/>
    <w:rsid w:val="00EA0C6D"/>
    <w:rsid w:val="00EA6A55"/>
    <w:rsid w:val="00ED0866"/>
    <w:rsid w:val="00EE3549"/>
    <w:rsid w:val="00EF40DE"/>
    <w:rsid w:val="00F00E5D"/>
    <w:rsid w:val="00F12844"/>
    <w:rsid w:val="00F20FD0"/>
    <w:rsid w:val="00F31ADF"/>
    <w:rsid w:val="00F368F4"/>
    <w:rsid w:val="00F6318F"/>
    <w:rsid w:val="00F72B58"/>
    <w:rsid w:val="00F74079"/>
    <w:rsid w:val="00F801BF"/>
    <w:rsid w:val="00F94699"/>
    <w:rsid w:val="00F96F2E"/>
    <w:rsid w:val="00FA1686"/>
    <w:rsid w:val="00FA186A"/>
    <w:rsid w:val="00FA4E04"/>
    <w:rsid w:val="00FD183E"/>
    <w:rsid w:val="00FD7179"/>
    <w:rsid w:val="00FE4D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91B5E"/>
  <w15:docId w15:val="{9A030890-66E8-4E72-BF83-65BEAFA4A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D52"/>
  </w:style>
  <w:style w:type="paragraph" w:styleId="Heading1">
    <w:name w:val="heading 1"/>
    <w:basedOn w:val="Normal"/>
    <w:next w:val="Normal"/>
    <w:link w:val="Heading1Char"/>
    <w:uiPriority w:val="9"/>
    <w:qFormat/>
    <w:rsid w:val="00437D52"/>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437D52"/>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437D52"/>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437D52"/>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437D52"/>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437D52"/>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437D52"/>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437D52"/>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437D52"/>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7D52"/>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437D52"/>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437D52"/>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437D52"/>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437D52"/>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437D52"/>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437D52"/>
    <w:rPr>
      <w:i/>
      <w:iCs/>
    </w:rPr>
  </w:style>
  <w:style w:type="character" w:customStyle="1" w:styleId="Heading8Char">
    <w:name w:val="Heading 8 Char"/>
    <w:basedOn w:val="DefaultParagraphFont"/>
    <w:link w:val="Heading8"/>
    <w:uiPriority w:val="9"/>
    <w:semiHidden/>
    <w:rsid w:val="00437D52"/>
    <w:rPr>
      <w:b/>
      <w:bCs/>
    </w:rPr>
  </w:style>
  <w:style w:type="character" w:customStyle="1" w:styleId="Heading9Char">
    <w:name w:val="Heading 9 Char"/>
    <w:basedOn w:val="DefaultParagraphFont"/>
    <w:link w:val="Heading9"/>
    <w:uiPriority w:val="9"/>
    <w:semiHidden/>
    <w:rsid w:val="00437D52"/>
    <w:rPr>
      <w:i/>
      <w:iCs/>
    </w:rPr>
  </w:style>
  <w:style w:type="paragraph" w:styleId="Caption">
    <w:name w:val="caption"/>
    <w:basedOn w:val="Normal"/>
    <w:next w:val="Normal"/>
    <w:uiPriority w:val="35"/>
    <w:semiHidden/>
    <w:unhideWhenUsed/>
    <w:qFormat/>
    <w:rsid w:val="00437D52"/>
    <w:rPr>
      <w:b/>
      <w:bCs/>
      <w:sz w:val="18"/>
      <w:szCs w:val="18"/>
    </w:rPr>
  </w:style>
  <w:style w:type="paragraph" w:styleId="Title">
    <w:name w:val="Title"/>
    <w:basedOn w:val="Normal"/>
    <w:next w:val="Normal"/>
    <w:link w:val="TitleChar"/>
    <w:uiPriority w:val="10"/>
    <w:qFormat/>
    <w:rsid w:val="00437D52"/>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437D52"/>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437D52"/>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437D52"/>
    <w:rPr>
      <w:rFonts w:asciiTheme="majorHAnsi" w:eastAsiaTheme="majorEastAsia" w:hAnsiTheme="majorHAnsi" w:cstheme="majorBidi"/>
      <w:sz w:val="24"/>
      <w:szCs w:val="24"/>
    </w:rPr>
  </w:style>
  <w:style w:type="character" w:styleId="Strong">
    <w:name w:val="Strong"/>
    <w:basedOn w:val="DefaultParagraphFont"/>
    <w:uiPriority w:val="22"/>
    <w:qFormat/>
    <w:rsid w:val="00437D52"/>
    <w:rPr>
      <w:b/>
      <w:bCs/>
      <w:color w:val="auto"/>
    </w:rPr>
  </w:style>
  <w:style w:type="character" w:styleId="Emphasis">
    <w:name w:val="Emphasis"/>
    <w:basedOn w:val="DefaultParagraphFont"/>
    <w:uiPriority w:val="20"/>
    <w:qFormat/>
    <w:rsid w:val="00437D52"/>
    <w:rPr>
      <w:i/>
      <w:iCs/>
      <w:color w:val="auto"/>
    </w:rPr>
  </w:style>
  <w:style w:type="paragraph" w:styleId="NoSpacing">
    <w:name w:val="No Spacing"/>
    <w:link w:val="NoSpacingChar"/>
    <w:uiPriority w:val="1"/>
    <w:qFormat/>
    <w:rsid w:val="00437D52"/>
    <w:pPr>
      <w:spacing w:after="0" w:line="240" w:lineRule="auto"/>
    </w:pPr>
  </w:style>
  <w:style w:type="character" w:customStyle="1" w:styleId="NoSpacingChar">
    <w:name w:val="No Spacing Char"/>
    <w:basedOn w:val="DefaultParagraphFont"/>
    <w:link w:val="NoSpacing"/>
    <w:uiPriority w:val="1"/>
    <w:rsid w:val="005F7B58"/>
  </w:style>
  <w:style w:type="paragraph" w:styleId="Quote">
    <w:name w:val="Quote"/>
    <w:basedOn w:val="Normal"/>
    <w:next w:val="Normal"/>
    <w:link w:val="QuoteChar"/>
    <w:uiPriority w:val="29"/>
    <w:qFormat/>
    <w:rsid w:val="00437D52"/>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437D52"/>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437D52"/>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437D52"/>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437D52"/>
    <w:rPr>
      <w:i/>
      <w:iCs/>
      <w:color w:val="auto"/>
    </w:rPr>
  </w:style>
  <w:style w:type="character" w:styleId="IntenseEmphasis">
    <w:name w:val="Intense Emphasis"/>
    <w:basedOn w:val="DefaultParagraphFont"/>
    <w:uiPriority w:val="21"/>
    <w:qFormat/>
    <w:rsid w:val="00437D52"/>
    <w:rPr>
      <w:b/>
      <w:bCs/>
      <w:i/>
      <w:iCs/>
      <w:color w:val="auto"/>
    </w:rPr>
  </w:style>
  <w:style w:type="character" w:styleId="SubtleReference">
    <w:name w:val="Subtle Reference"/>
    <w:basedOn w:val="DefaultParagraphFont"/>
    <w:uiPriority w:val="31"/>
    <w:qFormat/>
    <w:rsid w:val="00437D52"/>
    <w:rPr>
      <w:smallCaps/>
      <w:color w:val="auto"/>
      <w:u w:val="single" w:color="7F7F7F" w:themeColor="text1" w:themeTint="80"/>
    </w:rPr>
  </w:style>
  <w:style w:type="character" w:styleId="IntenseReference">
    <w:name w:val="Intense Reference"/>
    <w:basedOn w:val="DefaultParagraphFont"/>
    <w:uiPriority w:val="32"/>
    <w:qFormat/>
    <w:rsid w:val="00437D52"/>
    <w:rPr>
      <w:b/>
      <w:bCs/>
      <w:smallCaps/>
      <w:color w:val="auto"/>
      <w:u w:val="single"/>
    </w:rPr>
  </w:style>
  <w:style w:type="character" w:styleId="BookTitle">
    <w:name w:val="Book Title"/>
    <w:basedOn w:val="DefaultParagraphFont"/>
    <w:uiPriority w:val="33"/>
    <w:qFormat/>
    <w:rsid w:val="00437D52"/>
    <w:rPr>
      <w:b/>
      <w:bCs/>
      <w:smallCaps/>
      <w:color w:val="auto"/>
    </w:rPr>
  </w:style>
  <w:style w:type="paragraph" w:styleId="TOCHeading">
    <w:name w:val="TOC Heading"/>
    <w:basedOn w:val="Heading1"/>
    <w:next w:val="Normal"/>
    <w:uiPriority w:val="39"/>
    <w:unhideWhenUsed/>
    <w:qFormat/>
    <w:rsid w:val="00437D52"/>
    <w:pPr>
      <w:outlineLvl w:val="9"/>
    </w:pPr>
  </w:style>
  <w:style w:type="paragraph" w:styleId="ListParagraph">
    <w:name w:val="List Paragraph"/>
    <w:basedOn w:val="Normal"/>
    <w:uiPriority w:val="34"/>
    <w:qFormat/>
    <w:rsid w:val="005F7B58"/>
    <w:pPr>
      <w:ind w:left="720"/>
      <w:contextualSpacing/>
    </w:pPr>
  </w:style>
  <w:style w:type="paragraph" w:styleId="FootnoteText">
    <w:name w:val="footnote text"/>
    <w:basedOn w:val="Normal"/>
    <w:link w:val="FootnoteTextChar"/>
    <w:uiPriority w:val="99"/>
    <w:semiHidden/>
    <w:unhideWhenUsed/>
    <w:rsid w:val="002D21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218E"/>
    <w:rPr>
      <w:sz w:val="20"/>
      <w:szCs w:val="20"/>
    </w:rPr>
  </w:style>
  <w:style w:type="character" w:styleId="FootnoteReference">
    <w:name w:val="footnote reference"/>
    <w:basedOn w:val="DefaultParagraphFont"/>
    <w:uiPriority w:val="99"/>
    <w:semiHidden/>
    <w:unhideWhenUsed/>
    <w:rsid w:val="002D218E"/>
    <w:rPr>
      <w:vertAlign w:val="superscript"/>
    </w:rPr>
  </w:style>
  <w:style w:type="character" w:styleId="CommentReference">
    <w:name w:val="annotation reference"/>
    <w:basedOn w:val="DefaultParagraphFont"/>
    <w:uiPriority w:val="99"/>
    <w:semiHidden/>
    <w:unhideWhenUsed/>
    <w:rsid w:val="00E726BA"/>
    <w:rPr>
      <w:sz w:val="16"/>
      <w:szCs w:val="16"/>
    </w:rPr>
  </w:style>
  <w:style w:type="paragraph" w:styleId="CommentText">
    <w:name w:val="annotation text"/>
    <w:basedOn w:val="Normal"/>
    <w:link w:val="CommentTextChar"/>
    <w:uiPriority w:val="99"/>
    <w:unhideWhenUsed/>
    <w:rsid w:val="00E726BA"/>
    <w:pPr>
      <w:spacing w:line="240" w:lineRule="auto"/>
    </w:pPr>
    <w:rPr>
      <w:sz w:val="20"/>
      <w:szCs w:val="20"/>
    </w:rPr>
  </w:style>
  <w:style w:type="character" w:customStyle="1" w:styleId="CommentTextChar">
    <w:name w:val="Comment Text Char"/>
    <w:basedOn w:val="DefaultParagraphFont"/>
    <w:link w:val="CommentText"/>
    <w:uiPriority w:val="99"/>
    <w:rsid w:val="00E726BA"/>
    <w:rPr>
      <w:sz w:val="20"/>
      <w:szCs w:val="20"/>
    </w:rPr>
  </w:style>
  <w:style w:type="paragraph" w:styleId="CommentSubject">
    <w:name w:val="annotation subject"/>
    <w:basedOn w:val="CommentText"/>
    <w:next w:val="CommentText"/>
    <w:link w:val="CommentSubjectChar"/>
    <w:uiPriority w:val="99"/>
    <w:semiHidden/>
    <w:unhideWhenUsed/>
    <w:rsid w:val="00E726BA"/>
    <w:rPr>
      <w:b/>
      <w:bCs/>
    </w:rPr>
  </w:style>
  <w:style w:type="character" w:customStyle="1" w:styleId="CommentSubjectChar">
    <w:name w:val="Comment Subject Char"/>
    <w:basedOn w:val="CommentTextChar"/>
    <w:link w:val="CommentSubject"/>
    <w:uiPriority w:val="99"/>
    <w:semiHidden/>
    <w:rsid w:val="00E726BA"/>
    <w:rPr>
      <w:b/>
      <w:bCs/>
      <w:sz w:val="20"/>
      <w:szCs w:val="20"/>
    </w:rPr>
  </w:style>
  <w:style w:type="paragraph" w:styleId="BalloonText">
    <w:name w:val="Balloon Text"/>
    <w:basedOn w:val="Normal"/>
    <w:link w:val="BalloonTextChar"/>
    <w:uiPriority w:val="99"/>
    <w:semiHidden/>
    <w:unhideWhenUsed/>
    <w:rsid w:val="00E726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726BA"/>
    <w:rPr>
      <w:rFonts w:ascii="Segoe UI" w:hAnsi="Segoe UI" w:cs="Segoe UI"/>
      <w:sz w:val="18"/>
      <w:szCs w:val="18"/>
    </w:rPr>
  </w:style>
  <w:style w:type="paragraph" w:styleId="Header">
    <w:name w:val="header"/>
    <w:basedOn w:val="Normal"/>
    <w:link w:val="HeaderChar"/>
    <w:uiPriority w:val="99"/>
    <w:unhideWhenUsed/>
    <w:rsid w:val="002776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7618"/>
  </w:style>
  <w:style w:type="paragraph" w:styleId="Footer">
    <w:name w:val="footer"/>
    <w:basedOn w:val="Normal"/>
    <w:link w:val="FooterChar"/>
    <w:uiPriority w:val="99"/>
    <w:unhideWhenUsed/>
    <w:rsid w:val="002776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7618"/>
  </w:style>
  <w:style w:type="paragraph" w:customStyle="1" w:styleId="Default">
    <w:name w:val="Default"/>
    <w:rsid w:val="004A50C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3D76D4"/>
    <w:rPr>
      <w:color w:val="0563C1"/>
      <w:u w:val="single"/>
    </w:rPr>
  </w:style>
  <w:style w:type="paragraph" w:styleId="NormalWeb">
    <w:name w:val="Normal (Web)"/>
    <w:basedOn w:val="Normal"/>
    <w:uiPriority w:val="99"/>
    <w:unhideWhenUsed/>
    <w:rsid w:val="00495F0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D170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11405">
      <w:bodyDiv w:val="1"/>
      <w:marLeft w:val="0"/>
      <w:marRight w:val="0"/>
      <w:marTop w:val="0"/>
      <w:marBottom w:val="0"/>
      <w:divBdr>
        <w:top w:val="none" w:sz="0" w:space="0" w:color="auto"/>
        <w:left w:val="none" w:sz="0" w:space="0" w:color="auto"/>
        <w:bottom w:val="none" w:sz="0" w:space="0" w:color="auto"/>
        <w:right w:val="none" w:sz="0" w:space="0" w:color="auto"/>
      </w:divBdr>
    </w:div>
    <w:div w:id="1572815173">
      <w:bodyDiv w:val="1"/>
      <w:marLeft w:val="0"/>
      <w:marRight w:val="0"/>
      <w:marTop w:val="0"/>
      <w:marBottom w:val="0"/>
      <w:divBdr>
        <w:top w:val="none" w:sz="0" w:space="0" w:color="auto"/>
        <w:left w:val="none" w:sz="0" w:space="0" w:color="auto"/>
        <w:bottom w:val="none" w:sz="0" w:space="0" w:color="auto"/>
        <w:right w:val="none" w:sz="0" w:space="0" w:color="auto"/>
      </w:divBdr>
    </w:div>
    <w:div w:id="1647662762">
      <w:bodyDiv w:val="1"/>
      <w:marLeft w:val="0"/>
      <w:marRight w:val="0"/>
      <w:marTop w:val="0"/>
      <w:marBottom w:val="0"/>
      <w:divBdr>
        <w:top w:val="none" w:sz="0" w:space="0" w:color="auto"/>
        <w:left w:val="none" w:sz="0" w:space="0" w:color="auto"/>
        <w:bottom w:val="none" w:sz="0" w:space="0" w:color="auto"/>
        <w:right w:val="none" w:sz="0" w:space="0" w:color="auto"/>
      </w:divBdr>
    </w:div>
    <w:div w:id="1951888341">
      <w:bodyDiv w:val="1"/>
      <w:marLeft w:val="0"/>
      <w:marRight w:val="0"/>
      <w:marTop w:val="0"/>
      <w:marBottom w:val="0"/>
      <w:divBdr>
        <w:top w:val="none" w:sz="0" w:space="0" w:color="auto"/>
        <w:left w:val="none" w:sz="0" w:space="0" w:color="auto"/>
        <w:bottom w:val="none" w:sz="0" w:space="0" w:color="auto"/>
        <w:right w:val="none" w:sz="0" w:space="0" w:color="auto"/>
      </w:divBdr>
      <w:divsChild>
        <w:div w:id="1317878948">
          <w:marLeft w:val="0"/>
          <w:marRight w:val="0"/>
          <w:marTop w:val="0"/>
          <w:marBottom w:val="0"/>
          <w:divBdr>
            <w:top w:val="none" w:sz="0" w:space="0" w:color="auto"/>
            <w:left w:val="none" w:sz="0" w:space="0" w:color="auto"/>
            <w:bottom w:val="none" w:sz="0" w:space="0" w:color="auto"/>
            <w:right w:val="none" w:sz="0" w:space="0" w:color="auto"/>
          </w:divBdr>
          <w:divsChild>
            <w:div w:id="1039402363">
              <w:marLeft w:val="0"/>
              <w:marRight w:val="0"/>
              <w:marTop w:val="0"/>
              <w:marBottom w:val="0"/>
              <w:divBdr>
                <w:top w:val="none" w:sz="0" w:space="0" w:color="auto"/>
                <w:left w:val="none" w:sz="0" w:space="0" w:color="auto"/>
                <w:bottom w:val="none" w:sz="0" w:space="0" w:color="auto"/>
                <w:right w:val="none" w:sz="0" w:space="0" w:color="auto"/>
              </w:divBdr>
              <w:divsChild>
                <w:div w:id="919562219">
                  <w:marLeft w:val="1"/>
                  <w:marRight w:val="1"/>
                  <w:marTop w:val="0"/>
                  <w:marBottom w:val="0"/>
                  <w:divBdr>
                    <w:top w:val="none" w:sz="0" w:space="0" w:color="auto"/>
                    <w:left w:val="none" w:sz="0" w:space="0" w:color="auto"/>
                    <w:bottom w:val="none" w:sz="0" w:space="0" w:color="auto"/>
                    <w:right w:val="none" w:sz="0" w:space="0" w:color="auto"/>
                  </w:divBdr>
                  <w:divsChild>
                    <w:div w:id="1730153170">
                      <w:marLeft w:val="0"/>
                      <w:marRight w:val="0"/>
                      <w:marTop w:val="0"/>
                      <w:marBottom w:val="0"/>
                      <w:divBdr>
                        <w:top w:val="none" w:sz="0" w:space="0" w:color="auto"/>
                        <w:left w:val="none" w:sz="0" w:space="0" w:color="auto"/>
                        <w:bottom w:val="none" w:sz="0" w:space="0" w:color="auto"/>
                        <w:right w:val="none" w:sz="0" w:space="0" w:color="auto"/>
                      </w:divBdr>
                      <w:divsChild>
                        <w:div w:id="200528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26" Type="http://schemas.openxmlformats.org/officeDocument/2006/relationships/customXml" Target="../customXml/item5.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eography.exeter.ac.uk/research/groups/energypolicy/" TargetMode="External"/><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mailto:epg@ex.ac.uk"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fontTable" Target="fontTable.xml"/><Relationship Id="rId27" Type="http://schemas.openxmlformats.org/officeDocument/2006/relationships/customXml" Target="../customXml/item6.xml"/></Relationships>
</file>

<file path=word/_rels/footnotes.xml.rels><?xml version="1.0" encoding="UTF-8" standalone="yes"?>
<Relationships xmlns="http://schemas.openxmlformats.org/package/2006/relationships"><Relationship Id="rId8" Type="http://schemas.openxmlformats.org/officeDocument/2006/relationships/hyperlink" Target="http://projects.exeter.ac.uk/igov/new-thinking-reset-the-reset-1-we-need-institutional-governance-reform-and-we-need-it-now/" TargetMode="External"/><Relationship Id="rId13" Type="http://schemas.openxmlformats.org/officeDocument/2006/relationships/hyperlink" Target="http://projects.exeter.ac.uk/igov/notes-on-the-ny-rev-ratemaking-order-19-may-2016/" TargetMode="External"/><Relationship Id="rId18" Type="http://schemas.openxmlformats.org/officeDocument/2006/relationships/hyperlink" Target="http://projects.exeter.ac.uk/igov/submission-to-decc-consultation-on-the-draft-strategy-and-policy-statement/" TargetMode="External"/><Relationship Id="rId26" Type="http://schemas.openxmlformats.org/officeDocument/2006/relationships/hyperlink" Target="http://projects.exeter.ac.uk/igov/us-regulatory-reform-ny-utility-transformation/" TargetMode="External"/><Relationship Id="rId3" Type="http://schemas.openxmlformats.org/officeDocument/2006/relationships/hyperlink" Target="http://projects.exeter.ac.uk/igov/wp-content/uploads/2017/07/3.-Bringing-it-together-Catherine-1.pdf" TargetMode="External"/><Relationship Id="rId21" Type="http://schemas.openxmlformats.org/officeDocument/2006/relationships/hyperlink" Target="http://projects.exeter.ac.uk/igov/paper-gb-energy-governance-for-innovation-sustainability-and-affordability-2/" TargetMode="External"/><Relationship Id="rId34" Type="http://schemas.openxmlformats.org/officeDocument/2006/relationships/hyperlink" Target="http://projects.exeter.ac.uk/igov/comparing-nys-and-ca-blog-1-series-overview/" TargetMode="External"/><Relationship Id="rId7" Type="http://schemas.openxmlformats.org/officeDocument/2006/relationships/hyperlink" Target="http://projects.exeter.ac.uk/igov/new-thinking-ofgem-has-to-be-reformed-if-gb-is-to-meet-its-energy-policy-goals" TargetMode="External"/><Relationship Id="rId12" Type="http://schemas.openxmlformats.org/officeDocument/2006/relationships/hyperlink" Target="http://projects.exeter.ac.uk/igov/wp-content/uploads/2017/07/CM-Pixie-Launch-July-2017.pdf" TargetMode="External"/><Relationship Id="rId17" Type="http://schemas.openxmlformats.org/officeDocument/2006/relationships/hyperlink" Target="http://projects.exeter.ac.uk/igov/paper-gb-energy-governance-for-innovation-sustainability-and-affordability-2/" TargetMode="External"/><Relationship Id="rId25" Type="http://schemas.openxmlformats.org/officeDocument/2006/relationships/hyperlink" Target="http://projects.exeter.ac.uk/igov/notes-on-the-ny-rev-ratemaking-order-19-may-2016/" TargetMode="External"/><Relationship Id="rId33" Type="http://schemas.openxmlformats.org/officeDocument/2006/relationships/hyperlink" Target="http://www.cpuc.ca.gov/uploadedFiles/CPUC_Public_Website/Content/About_Us/Organization/Commissioners/Michael_J._Picker/2016%20DER%20Action%20Plan%20FINAL.pdf" TargetMode="External"/><Relationship Id="rId2" Type="http://schemas.openxmlformats.org/officeDocument/2006/relationships/hyperlink" Target="http://projects.exeter.ac.uk/igov/paper-gb-energy-governance-for-innovation-sustainability-and-affordability-2/" TargetMode="External"/><Relationship Id="rId16" Type="http://schemas.openxmlformats.org/officeDocument/2006/relationships/hyperlink" Target="http://projects.exeter.ac.uk/igov/wp-content/uploads/2015/06/Lockwood-Institutional-inertia-STA-8-June1.pdf" TargetMode="External"/><Relationship Id="rId20" Type="http://schemas.openxmlformats.org/officeDocument/2006/relationships/hyperlink" Target="http://eciu.net/reports" TargetMode="External"/><Relationship Id="rId29" Type="http://schemas.openxmlformats.org/officeDocument/2006/relationships/hyperlink" Target="http://eciu.net/reports" TargetMode="External"/><Relationship Id="rId1" Type="http://schemas.openxmlformats.org/officeDocument/2006/relationships/hyperlink" Target="http://www.legislation.gov.uk/uksi/2016/785/made" TargetMode="External"/><Relationship Id="rId6" Type="http://schemas.openxmlformats.org/officeDocument/2006/relationships/hyperlink" Target="http://projects.exeter.ac.uk/igov/new-thinking-the-riio-edi-review-just-how-successful-is-riio/" TargetMode="External"/><Relationship Id="rId11" Type="http://schemas.openxmlformats.org/officeDocument/2006/relationships/hyperlink" Target="http://projects.exeter.ac.uk/igov/new-thinking-transformational-regulation-comparing-the-ny-rev-riio/" TargetMode="External"/><Relationship Id="rId24" Type="http://schemas.openxmlformats.org/officeDocument/2006/relationships/hyperlink" Target="http://projects.exeter.ac.uk/igov/us-regulatory-reform-ny-utility-transformation/" TargetMode="External"/><Relationship Id="rId32" Type="http://schemas.openxmlformats.org/officeDocument/2006/relationships/hyperlink" Target="http://projects.exeter.ac.uk/igov/us-regulatory-reform-ny-utility-transformation/" TargetMode="External"/><Relationship Id="rId5" Type="http://schemas.openxmlformats.org/officeDocument/2006/relationships/hyperlink" Target="http://projects.exeter.ac.uk/igov/new-thinking-the-solution-to-south-australias-blackouts-a-market-which-rewards-der/" TargetMode="External"/><Relationship Id="rId15" Type="http://schemas.openxmlformats.org/officeDocument/2006/relationships/hyperlink" Target="http://projects.exeter.ac.uk/igov/new-thinking-solar-surprise-revisited/" TargetMode="External"/><Relationship Id="rId23" Type="http://schemas.openxmlformats.org/officeDocument/2006/relationships/hyperlink" Target="http://projects.exeter.ac.uk/igov/notes-on-the-ny-rev-ratemaking-order-19-may-2016/" TargetMode="External"/><Relationship Id="rId28" Type="http://schemas.openxmlformats.org/officeDocument/2006/relationships/hyperlink" Target="http://projects.exeter.ac.uk/igov/new-thinking-open-banking-open-energy/" TargetMode="External"/><Relationship Id="rId36" Type="http://schemas.openxmlformats.org/officeDocument/2006/relationships/hyperlink" Target="http://www.legislation.gov.uk/uksi/2016/785/made" TargetMode="External"/><Relationship Id="rId10" Type="http://schemas.openxmlformats.org/officeDocument/2006/relationships/hyperlink" Target="http://projects.exeter.ac.uk/igov/comparing-nys-and-ca-blog-1-series-overview/" TargetMode="External"/><Relationship Id="rId19" Type="http://schemas.openxmlformats.org/officeDocument/2006/relationships/hyperlink" Target="http://projects.exeter.ac.uk/igov/new-thinking-the-odd-couple-will-a-new-strategy-and-policy-statement-help-sort-out-the-relationship-between-government-and-ofgem/" TargetMode="External"/><Relationship Id="rId31" Type="http://schemas.openxmlformats.org/officeDocument/2006/relationships/hyperlink" Target="http://projects.exeter.ac.uk/igov/notes-on-the-ny-rev-ratemaking-order-19-may-2016/" TargetMode="External"/><Relationship Id="rId4" Type="http://schemas.openxmlformats.org/officeDocument/2006/relationships/hyperlink" Target="http://projects.exeter.ac.uk/igov/new-thinking-why-is-australia-becoming-an-interesting-case-study-for-energy-reform/" TargetMode="External"/><Relationship Id="rId9" Type="http://schemas.openxmlformats.org/officeDocument/2006/relationships/hyperlink" Target="http://projects.exeter.ac.uk/igov/new-thinking-reset-the-reset-1-we-need-institutional-governance-reform-and-we-need-it-now/" TargetMode="External"/><Relationship Id="rId14" Type="http://schemas.openxmlformats.org/officeDocument/2006/relationships/hyperlink" Target="http://projects.exeter.ac.uk/igov/comparing-nys-and-ca-blog-1-series-overview/" TargetMode="External"/><Relationship Id="rId22" Type="http://schemas.openxmlformats.org/officeDocument/2006/relationships/hyperlink" Target="http://projects.exeter.ac.uk/igov/paper-gb-energy-governance-for-innovation-sustainability-and-affordability-2/" TargetMode="External"/><Relationship Id="rId27" Type="http://schemas.openxmlformats.org/officeDocument/2006/relationships/hyperlink" Target="http://projects.exeter.ac.uk/igov/paper-gb-energy-governance-for-innovation-sustainability-and-affordability-2/" TargetMode="External"/><Relationship Id="rId30" Type="http://schemas.openxmlformats.org/officeDocument/2006/relationships/hyperlink" Target="http://projects.exeter.ac.uk/igov/new-thinking-a-no-regret-energy-policy-reduce-flatten-and-flex/" TargetMode="External"/><Relationship Id="rId35" Type="http://schemas.openxmlformats.org/officeDocument/2006/relationships/hyperlink" Target="http://www3.dps.ny.gov/W/PSCWeb.nsf/All/CC4F2EFA3A23551585257DEA007DCFE2?OpenDocu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Applicable_x0020_Start_x0020_Date xmlns="631298fc-6a88-4548-b7d9-3b164918c4a3" xsi:nil="true"/>
    <Organisation xmlns="631298fc-6a88-4548-b7d9-3b164918c4a3">Choose an Organisation</Organisation>
    <Publication_x0020_Date_x003a_ xmlns="631298fc-6a88-4548-b7d9-3b164918c4a3">2017-09-03T23:00:00+00:00</Publication_x0020_Date_x003a_>
    <Ref_x0020_No xmlns="631298fc-6a88-4548-b7d9-3b164918c4a3" xsi:nil="true"/>
    <Meeting_x0020_Date xmlns="631298fc-6a88-4548-b7d9-3b164918c4a3" xsi:nil="true"/>
    <_x003a__x003a_ xmlns="631298fc-6a88-4548-b7d9-3b164918c4a3">-Main Document</_x003a__x003a_>
    <_x003a_ xmlns="631298fc-6a88-4548-b7d9-3b164918c4a3" xsi:nil="true"/>
    <Applicable_x0020_Duration xmlns="631298fc-6a88-4548-b7d9-3b164918c4a3">-</Applicable_x0020_Duration>
    <_Status xmlns="http://schemas.microsoft.com/sharepoint/v3/fields">Draft</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7576DD8D2801B749A52D83E060857A6F" ma:contentTypeVersion="4" ma:contentTypeDescription="Documents not produced by Ofgem" ma:contentTypeScope="" ma:versionID="5131874654b3b0a351b065f188c7e43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8e1ffccb63b77915b1eaaf0887c7514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b:Sources xmlns:b="http://schemas.openxmlformats.org/officeDocument/2006/bibliography" xmlns="http://schemas.openxmlformats.org/officeDocument/2006/bibliography" SelectedStyle="\HarvardAnglia2008OfficeOnline.xsl" StyleName="Harvard - Anglia" Version="2008"/>
</file>

<file path=customXml/item6.xml><?xml version="1.0" encoding="utf-8"?>
<?mso-contentType ?>
<SharedContentType xmlns="Microsoft.SharePoint.Taxonomy.ContentTypeSync" SourceId="69773578-b348-4185-91b0-0c3a7eda8d2a" ContentTypeId="0x010100728A6C48D06C0D459BAA78C74513A0FC" PreviousValue="false"/>
</file>

<file path=customXml/itemProps1.xml><?xml version="1.0" encoding="utf-8"?>
<ds:datastoreItem xmlns:ds="http://schemas.openxmlformats.org/officeDocument/2006/customXml" ds:itemID="{03311724-B9FB-4F0E-B87E-3207B4838DF6}"/>
</file>

<file path=customXml/itemProps2.xml><?xml version="1.0" encoding="utf-8"?>
<ds:datastoreItem xmlns:ds="http://schemas.openxmlformats.org/officeDocument/2006/customXml" ds:itemID="{99BDD83D-862F-4541-9E41-7E1E5EADE057}"/>
</file>

<file path=customXml/itemProps3.xml><?xml version="1.0" encoding="utf-8"?>
<ds:datastoreItem xmlns:ds="http://schemas.openxmlformats.org/officeDocument/2006/customXml" ds:itemID="{F982B7CB-4067-415D-AEBD-0AF2F0EB7676}"/>
</file>

<file path=customXml/itemProps4.xml><?xml version="1.0" encoding="utf-8"?>
<ds:datastoreItem xmlns:ds="http://schemas.openxmlformats.org/officeDocument/2006/customXml" ds:itemID="{BED9FE0F-DBF0-430D-9BC2-331E84B164B2}"/>
</file>

<file path=customXml/itemProps5.xml><?xml version="1.0" encoding="utf-8"?>
<ds:datastoreItem xmlns:ds="http://schemas.openxmlformats.org/officeDocument/2006/customXml" ds:itemID="{619A5455-3EF7-4406-A67A-F78B36C53B74}"/>
</file>

<file path=customXml/itemProps6.xml><?xml version="1.0" encoding="utf-8"?>
<ds:datastoreItem xmlns:ds="http://schemas.openxmlformats.org/officeDocument/2006/customXml" ds:itemID="{7B08489D-26E9-454D-882B-A0E4E88961D3}"/>
</file>

<file path=docProps/app.xml><?xml version="1.0" encoding="utf-8"?>
<Properties xmlns="http://schemas.openxmlformats.org/officeDocument/2006/extended-properties" xmlns:vt="http://schemas.openxmlformats.org/officeDocument/2006/docPropsVTypes">
  <Template>Normal</Template>
  <TotalTime>1</TotalTime>
  <Pages>22</Pages>
  <Words>8108</Words>
  <Characters>41435</Characters>
  <Application>Microsoft Office Word</Application>
  <DocSecurity>0</DocSecurity>
  <Lines>767</Lines>
  <Paragraphs>210</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49333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EPG Word RIIO 2 FINAL</dc:title>
  <dc:subject/>
  <dc:creator>Poulter, Helen</dc:creator>
  <cp:lastModifiedBy>Marcia King</cp:lastModifiedBy>
  <cp:revision>2</cp:revision>
  <cp:lastPrinted>2017-09-04T14:09:00Z</cp:lastPrinted>
  <dcterms:created xsi:type="dcterms:W3CDTF">2017-09-04T14:10:00Z</dcterms:created>
  <dcterms:modified xsi:type="dcterms:W3CDTF">2017-09-04T14:10:00Z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http://www.zotero.org/styles/harvard-the-university-of-northampton</vt:lpwstr>
  </property>
  <property fmtid="{D5CDD505-2E9C-101B-9397-08002B2CF9AE}" pid="11" name="Mendeley Recent Style Name 4_1">
    <vt:lpwstr>Harvard - The University of Northampton</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f73bd4a7-2433-38e2-a9e0-8ca35e602a07</vt:lpwstr>
  </property>
  <property fmtid="{D5CDD505-2E9C-101B-9397-08002B2CF9AE}" pid="24" name="Mendeley Citation Style_1">
    <vt:lpwstr>http://www.zotero.org/styles/harvard1</vt:lpwstr>
  </property>
  <property fmtid="{D5CDD505-2E9C-101B-9397-08002B2CF9AE}" pid="25" name="docIndexRef">
    <vt:lpwstr>b4769cfb-bae2-4f16-8ca6-0f7530c90308</vt:lpwstr>
  </property>
  <property fmtid="{D5CDD505-2E9C-101B-9397-08002B2CF9AE}" pid="26" name="bjSaver">
    <vt:lpwstr>xCeAipxeYya4MlgUtB9XNgz/lGm0FIY9</vt:lpwstr>
  </property>
  <property fmtid="{D5CDD505-2E9C-101B-9397-08002B2CF9AE}" pid="27" name="bjDocumentSecurityLabel">
    <vt:lpwstr>This item has no classification</vt:lpwstr>
  </property>
  <property fmtid="{D5CDD505-2E9C-101B-9397-08002B2CF9AE}" pid="28" name="ContentTypeId">
    <vt:lpwstr>0x010100728A6C48D06C0D459BAA78C74513A0FC007576DD8D2801B749A52D83E060857A6F</vt:lpwstr>
  </property>
  <property fmtid="{D5CDD505-2E9C-101B-9397-08002B2CF9AE}" pid="29" name="BJSCc5a055b0-1bed-4579_x">
    <vt:lpwstr/>
  </property>
  <property fmtid="{D5CDD505-2E9C-101B-9397-08002B2CF9AE}" pid="30" name="BJSCSummaryMarking">
    <vt:lpwstr>This item has no classification</vt:lpwstr>
  </property>
  <property fmtid="{D5CDD505-2E9C-101B-9397-08002B2CF9AE}" pid="31"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32" name="BJSCdd9eba61-d6b9-469b_x">
    <vt:lpwstr/>
  </property>
</Properties>
</file>