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C61E3" w14:textId="77777777" w:rsidR="00FD75F5" w:rsidRPr="000F50F8" w:rsidRDefault="00FD75F5" w:rsidP="00996008">
      <w:pPr>
        <w:rPr>
          <w:rFonts w:ascii="Verdana" w:hAnsi="Verdana"/>
          <w:noProof/>
          <w:sz w:val="20"/>
          <w:szCs w:val="20"/>
        </w:rPr>
      </w:pPr>
      <w:bookmarkStart w:id="0" w:name="_GoBack"/>
      <w:bookmarkEnd w:id="0"/>
    </w:p>
    <w:p w14:paraId="359418C2" w14:textId="77777777" w:rsidR="00FD75F5" w:rsidRPr="000F50F8" w:rsidRDefault="003F19BC" w:rsidP="008651C7">
      <w:pPr>
        <w:tabs>
          <w:tab w:val="left" w:pos="2323"/>
        </w:tabs>
        <w:rPr>
          <w:rFonts w:ascii="Verdana" w:hAnsi="Verdana"/>
          <w:noProof/>
          <w:sz w:val="20"/>
          <w:szCs w:val="20"/>
        </w:rPr>
      </w:pPr>
      <w:r>
        <w:rPr>
          <w:rFonts w:ascii="Verdana" w:hAnsi="Verdana"/>
          <w:noProof/>
          <w:sz w:val="20"/>
          <w:szCs w:val="20"/>
        </w:rPr>
        <w:tab/>
      </w:r>
    </w:p>
    <w:p w14:paraId="0D869569" w14:textId="77777777" w:rsidR="00FD75F5" w:rsidRPr="000F50F8" w:rsidRDefault="00FD75F5" w:rsidP="00996008">
      <w:pPr>
        <w:rPr>
          <w:rFonts w:ascii="Verdana" w:hAnsi="Verdana"/>
          <w:noProof/>
          <w:sz w:val="20"/>
          <w:szCs w:val="20"/>
        </w:rPr>
      </w:pPr>
    </w:p>
    <w:p w14:paraId="7F1E82D4" w14:textId="77777777" w:rsidR="00FC0CF6" w:rsidRPr="000F50F8" w:rsidRDefault="00FC0CF6" w:rsidP="00FC0CF6">
      <w:pPr>
        <w:spacing w:line="360" w:lineRule="auto"/>
        <w:rPr>
          <w:rFonts w:ascii="Verdana" w:hAnsi="Verdana"/>
          <w:b/>
          <w:noProof/>
          <w:color w:val="7030A0"/>
          <w:sz w:val="20"/>
          <w:szCs w:val="20"/>
        </w:rPr>
      </w:pPr>
    </w:p>
    <w:p w14:paraId="749E60FB" w14:textId="77777777" w:rsidR="0053377E" w:rsidRPr="000F50F8" w:rsidRDefault="0053377E" w:rsidP="00FC0CF6">
      <w:pPr>
        <w:spacing w:line="360" w:lineRule="auto"/>
        <w:rPr>
          <w:rFonts w:ascii="Verdana" w:hAnsi="Verdana"/>
          <w:b/>
          <w:noProof/>
          <w:color w:val="1F497D" w:themeColor="text2"/>
          <w:sz w:val="20"/>
          <w:szCs w:val="20"/>
        </w:rPr>
      </w:pPr>
    </w:p>
    <w:p w14:paraId="18CA618C" w14:textId="77777777" w:rsidR="0053377E" w:rsidRPr="000F50F8" w:rsidRDefault="0053377E" w:rsidP="00FC0CF6">
      <w:pPr>
        <w:spacing w:line="360" w:lineRule="auto"/>
        <w:rPr>
          <w:rFonts w:ascii="Verdana" w:hAnsi="Verdana"/>
          <w:b/>
          <w:noProof/>
          <w:color w:val="1F497D" w:themeColor="text2"/>
          <w:sz w:val="20"/>
          <w:szCs w:val="20"/>
        </w:rPr>
      </w:pPr>
    </w:p>
    <w:p w14:paraId="0EFA61B6" w14:textId="77777777" w:rsidR="000F50F8" w:rsidRPr="000F50F8" w:rsidRDefault="000F50F8" w:rsidP="005D2B3F">
      <w:pPr>
        <w:spacing w:line="240" w:lineRule="atLeast"/>
        <w:jc w:val="both"/>
        <w:rPr>
          <w:rFonts w:ascii="Verdana" w:hAnsi="Verdana"/>
          <w:b/>
          <w:color w:val="4F81BD" w:themeColor="accent1"/>
          <w:sz w:val="28"/>
          <w:szCs w:val="28"/>
        </w:rPr>
      </w:pPr>
      <w:r>
        <w:rPr>
          <w:rFonts w:ascii="Verdana" w:hAnsi="Verdana"/>
          <w:b/>
          <w:color w:val="4F81BD" w:themeColor="accent1"/>
          <w:sz w:val="28"/>
          <w:szCs w:val="28"/>
        </w:rPr>
        <w:t>Project Nexus background</w:t>
      </w:r>
    </w:p>
    <w:p w14:paraId="368334DF" w14:textId="77777777" w:rsidR="0053377E" w:rsidRDefault="000F50F8" w:rsidP="005D2B3F">
      <w:pPr>
        <w:pStyle w:val="Default"/>
        <w:spacing w:line="240" w:lineRule="atLeast"/>
        <w:jc w:val="both"/>
        <w:rPr>
          <w:color w:val="auto"/>
          <w:sz w:val="20"/>
          <w:szCs w:val="20"/>
        </w:rPr>
      </w:pPr>
      <w:r w:rsidRPr="000F50F8">
        <w:rPr>
          <w:color w:val="auto"/>
          <w:sz w:val="20"/>
          <w:szCs w:val="20"/>
        </w:rPr>
        <w:t>Project Nexus is the implementation of new business processes for gas settlement reform and the single service provision for Gas Transporters (‘GTs’) and independent Gas Transporters (‘iGTs’).</w:t>
      </w:r>
    </w:p>
    <w:p w14:paraId="629019DD" w14:textId="77777777" w:rsidR="0053377E" w:rsidRDefault="0053377E" w:rsidP="005D2B3F">
      <w:pPr>
        <w:pStyle w:val="Default"/>
        <w:spacing w:line="240" w:lineRule="atLeast"/>
        <w:jc w:val="both"/>
        <w:rPr>
          <w:color w:val="auto"/>
          <w:sz w:val="20"/>
          <w:szCs w:val="20"/>
        </w:rPr>
      </w:pPr>
    </w:p>
    <w:p w14:paraId="4D3D1EBB" w14:textId="638252E5" w:rsidR="003F19BC" w:rsidRDefault="000F50F8" w:rsidP="005D2B3F">
      <w:pPr>
        <w:pStyle w:val="Default"/>
        <w:spacing w:line="240" w:lineRule="atLeast"/>
        <w:jc w:val="both"/>
        <w:rPr>
          <w:color w:val="auto"/>
          <w:sz w:val="20"/>
          <w:szCs w:val="20"/>
        </w:rPr>
      </w:pPr>
      <w:r w:rsidRPr="000F50F8">
        <w:rPr>
          <w:color w:val="auto"/>
          <w:sz w:val="20"/>
          <w:szCs w:val="20"/>
        </w:rPr>
        <w:t>The central gas settlement system is being delivered as part of Xoserve’s UK Link Replacement Programme and spans a solution based on SAP IS-U</w:t>
      </w:r>
      <w:r w:rsidR="004B0D0E">
        <w:rPr>
          <w:rStyle w:val="FootnoteReference"/>
          <w:color w:val="auto"/>
          <w:sz w:val="20"/>
          <w:szCs w:val="20"/>
        </w:rPr>
        <w:footnoteReference w:id="1"/>
      </w:r>
      <w:r w:rsidRPr="000F50F8">
        <w:rPr>
          <w:color w:val="auto"/>
          <w:sz w:val="20"/>
          <w:szCs w:val="20"/>
        </w:rPr>
        <w:t xml:space="preserve"> and AMT Sybex’s Market Flow. The current UK Link suite of systems provide two critical functions in the UK gas market – firstly, the provision of central gas registration systems to facilitate customer switching and, secondly, the calculation of £billions of gas transportation invoices levied to the gas shippers. The programme is also a key enabler for the </w:t>
      </w:r>
      <w:r w:rsidR="003F19BC">
        <w:rPr>
          <w:color w:val="auto"/>
          <w:sz w:val="20"/>
          <w:szCs w:val="20"/>
        </w:rPr>
        <w:t>GB</w:t>
      </w:r>
      <w:r w:rsidR="003F19BC" w:rsidRPr="000F50F8">
        <w:rPr>
          <w:color w:val="auto"/>
          <w:sz w:val="20"/>
          <w:szCs w:val="20"/>
        </w:rPr>
        <w:t xml:space="preserve"> </w:t>
      </w:r>
      <w:r w:rsidRPr="000F50F8">
        <w:rPr>
          <w:color w:val="auto"/>
          <w:sz w:val="20"/>
          <w:szCs w:val="20"/>
        </w:rPr>
        <w:t>Smart Metering Implementation Programme (‘SMIP’), providing improved capability to process the increased volumes of meter reads that will be generated by mass smart meter roll-out.</w:t>
      </w:r>
      <w:r w:rsidR="003F19BC">
        <w:rPr>
          <w:color w:val="auto"/>
          <w:sz w:val="20"/>
          <w:szCs w:val="20"/>
        </w:rPr>
        <w:t xml:space="preserve"> Its implementation will also address one of the Adverse Effects on Competition which the Competition and Markets Authority identified in their recent inquiry into the GB energy supply market, arising from deficiencies in the current gas settlement arrangements.</w:t>
      </w:r>
    </w:p>
    <w:p w14:paraId="3CD0D7E8" w14:textId="77777777" w:rsidR="003F19BC" w:rsidRDefault="003F19BC" w:rsidP="005D2B3F">
      <w:pPr>
        <w:pStyle w:val="Default"/>
        <w:spacing w:line="240" w:lineRule="atLeast"/>
        <w:jc w:val="both"/>
        <w:rPr>
          <w:color w:val="auto"/>
          <w:sz w:val="20"/>
          <w:szCs w:val="20"/>
        </w:rPr>
      </w:pPr>
    </w:p>
    <w:p w14:paraId="32F7AF4E" w14:textId="19B30225" w:rsidR="000F50F8" w:rsidRPr="000F50F8" w:rsidRDefault="000F50F8" w:rsidP="005D2B3F">
      <w:pPr>
        <w:pStyle w:val="Default"/>
        <w:spacing w:line="240" w:lineRule="atLeast"/>
        <w:jc w:val="both"/>
        <w:rPr>
          <w:color w:val="auto"/>
          <w:sz w:val="20"/>
          <w:szCs w:val="20"/>
        </w:rPr>
      </w:pPr>
      <w:r w:rsidRPr="000F50F8">
        <w:rPr>
          <w:color w:val="auto"/>
          <w:sz w:val="20"/>
          <w:szCs w:val="20"/>
        </w:rPr>
        <w:t xml:space="preserve">The programme involves extensive participation from Shippers, GTs, iGTs, Daily Metering Service Providers (‘DMSPs’) and Xoserve. </w:t>
      </w:r>
      <w:r w:rsidR="003F19BC">
        <w:rPr>
          <w:color w:val="auto"/>
          <w:sz w:val="20"/>
          <w:szCs w:val="20"/>
        </w:rPr>
        <w:t>It is an industry programme who remain responsible for delivering the component parts; however, in 2016 Ofgem took on an end-to-end sponsorship role given the risks to consumers of a failed implementation and to improve confidence in the programme’s timely delivery.</w:t>
      </w:r>
    </w:p>
    <w:p w14:paraId="630D1CE0" w14:textId="77777777" w:rsidR="000F50F8" w:rsidRPr="000F50F8" w:rsidRDefault="000F50F8" w:rsidP="005D2B3F">
      <w:pPr>
        <w:pStyle w:val="Default"/>
        <w:spacing w:line="240" w:lineRule="atLeast"/>
        <w:jc w:val="both"/>
        <w:rPr>
          <w:color w:val="auto"/>
          <w:sz w:val="20"/>
          <w:szCs w:val="20"/>
        </w:rPr>
      </w:pPr>
    </w:p>
    <w:p w14:paraId="0919998A" w14:textId="03660EF3" w:rsidR="000F50F8" w:rsidRPr="000F50F8" w:rsidRDefault="000F50F8" w:rsidP="005D2B3F">
      <w:pPr>
        <w:pStyle w:val="Default"/>
        <w:spacing w:line="240" w:lineRule="atLeast"/>
        <w:jc w:val="both"/>
        <w:rPr>
          <w:color w:val="auto"/>
          <w:sz w:val="20"/>
          <w:szCs w:val="20"/>
        </w:rPr>
      </w:pPr>
      <w:r w:rsidRPr="000F50F8">
        <w:rPr>
          <w:color w:val="auto"/>
          <w:sz w:val="20"/>
          <w:szCs w:val="20"/>
        </w:rPr>
        <w:t xml:space="preserve">The industry programme approach to </w:t>
      </w:r>
      <w:r w:rsidR="00621F2E">
        <w:rPr>
          <w:color w:val="auto"/>
          <w:sz w:val="20"/>
          <w:szCs w:val="20"/>
        </w:rPr>
        <w:t xml:space="preserve">the </w:t>
      </w:r>
      <w:r w:rsidR="00621F2E" w:rsidRPr="000F50F8">
        <w:rPr>
          <w:color w:val="auto"/>
          <w:sz w:val="20"/>
          <w:szCs w:val="20"/>
        </w:rPr>
        <w:t>period that is required to move from the current UK Link to the new systems</w:t>
      </w:r>
      <w:r w:rsidR="00621F2E">
        <w:rPr>
          <w:color w:val="auto"/>
          <w:sz w:val="20"/>
          <w:szCs w:val="20"/>
        </w:rPr>
        <w:t xml:space="preserve"> (‘</w:t>
      </w:r>
      <w:r w:rsidR="00621F2E" w:rsidRPr="000F50F8">
        <w:rPr>
          <w:color w:val="auto"/>
          <w:sz w:val="20"/>
          <w:szCs w:val="20"/>
        </w:rPr>
        <w:t>Transition</w:t>
      </w:r>
      <w:r w:rsidR="00621F2E">
        <w:rPr>
          <w:color w:val="auto"/>
          <w:sz w:val="20"/>
          <w:szCs w:val="20"/>
        </w:rPr>
        <w:t>’)</w:t>
      </w:r>
      <w:r w:rsidRPr="000F50F8">
        <w:rPr>
          <w:color w:val="auto"/>
          <w:sz w:val="20"/>
          <w:szCs w:val="20"/>
        </w:rPr>
        <w:t xml:space="preserve"> and go-live is predicated on: </w:t>
      </w:r>
    </w:p>
    <w:p w14:paraId="362406A5" w14:textId="3CDD183E" w:rsidR="000F50F8" w:rsidRPr="000F50F8" w:rsidRDefault="000F50F8" w:rsidP="005D2B3F">
      <w:pPr>
        <w:pStyle w:val="Default"/>
        <w:numPr>
          <w:ilvl w:val="0"/>
          <w:numId w:val="12"/>
        </w:numPr>
        <w:spacing w:after="18" w:line="240" w:lineRule="atLeast"/>
        <w:ind w:left="284" w:hanging="284"/>
        <w:jc w:val="both"/>
        <w:rPr>
          <w:color w:val="auto"/>
          <w:sz w:val="20"/>
          <w:szCs w:val="20"/>
        </w:rPr>
      </w:pPr>
      <w:r w:rsidRPr="000F50F8">
        <w:rPr>
          <w:color w:val="auto"/>
          <w:sz w:val="20"/>
          <w:szCs w:val="20"/>
        </w:rPr>
        <w:t>Xoserve clearly articulating</w:t>
      </w:r>
      <w:r w:rsidR="00086E14">
        <w:rPr>
          <w:color w:val="auto"/>
          <w:sz w:val="20"/>
          <w:szCs w:val="20"/>
        </w:rPr>
        <w:t xml:space="preserve"> and rehearsing</w:t>
      </w:r>
      <w:r w:rsidRPr="000F50F8">
        <w:rPr>
          <w:color w:val="auto"/>
          <w:sz w:val="20"/>
          <w:szCs w:val="20"/>
        </w:rPr>
        <w:t xml:space="preserve"> their sequence of activity across the 23</w:t>
      </w:r>
      <w:r w:rsidR="003F19BC">
        <w:rPr>
          <w:color w:val="auto"/>
          <w:sz w:val="20"/>
          <w:szCs w:val="20"/>
        </w:rPr>
        <w:t>-</w:t>
      </w:r>
      <w:r w:rsidRPr="000F50F8">
        <w:rPr>
          <w:color w:val="auto"/>
          <w:sz w:val="20"/>
          <w:szCs w:val="20"/>
        </w:rPr>
        <w:t xml:space="preserve">day </w:t>
      </w:r>
      <w:r w:rsidR="00621F2E">
        <w:rPr>
          <w:color w:val="auto"/>
          <w:sz w:val="20"/>
          <w:szCs w:val="20"/>
        </w:rPr>
        <w:t>cutover</w:t>
      </w:r>
      <w:r w:rsidR="00621F2E" w:rsidRPr="000F50F8">
        <w:rPr>
          <w:color w:val="auto"/>
          <w:sz w:val="20"/>
          <w:szCs w:val="20"/>
        </w:rPr>
        <w:t xml:space="preserve"> </w:t>
      </w:r>
      <w:r w:rsidRPr="000F50F8">
        <w:rPr>
          <w:color w:val="auto"/>
          <w:sz w:val="20"/>
          <w:szCs w:val="20"/>
        </w:rPr>
        <w:t xml:space="preserve">period that is required to move from the current UK Link to the new systems and processes introduced by the Nexus programme; </w:t>
      </w:r>
    </w:p>
    <w:p w14:paraId="1F1FB4AC" w14:textId="77777777" w:rsidR="000F50F8" w:rsidRPr="000F50F8" w:rsidRDefault="000F50F8" w:rsidP="005D2B3F">
      <w:pPr>
        <w:pStyle w:val="Default"/>
        <w:numPr>
          <w:ilvl w:val="0"/>
          <w:numId w:val="12"/>
        </w:numPr>
        <w:spacing w:after="18" w:line="240" w:lineRule="atLeast"/>
        <w:ind w:left="284" w:hanging="284"/>
        <w:jc w:val="both"/>
        <w:rPr>
          <w:color w:val="auto"/>
          <w:sz w:val="20"/>
          <w:szCs w:val="20"/>
        </w:rPr>
      </w:pPr>
      <w:r w:rsidRPr="000F50F8">
        <w:rPr>
          <w:color w:val="auto"/>
          <w:sz w:val="20"/>
          <w:szCs w:val="20"/>
        </w:rPr>
        <w:t>Market participants aligning their cutover and transition activity with the Xoserve transition activity. Participants are responsible for developing their own plans, performing their own dress rehearsals and executing their transition activity; and</w:t>
      </w:r>
    </w:p>
    <w:p w14:paraId="1E62DDF6" w14:textId="77777777" w:rsidR="003F19BC" w:rsidRDefault="000F50F8" w:rsidP="005D2B3F">
      <w:pPr>
        <w:pStyle w:val="Default"/>
        <w:numPr>
          <w:ilvl w:val="0"/>
          <w:numId w:val="12"/>
        </w:numPr>
        <w:spacing w:line="240" w:lineRule="atLeast"/>
        <w:ind w:left="284" w:hanging="284"/>
        <w:jc w:val="both"/>
        <w:rPr>
          <w:color w:val="auto"/>
          <w:sz w:val="20"/>
          <w:szCs w:val="20"/>
        </w:rPr>
      </w:pPr>
      <w:r w:rsidRPr="000F50F8">
        <w:rPr>
          <w:color w:val="auto"/>
          <w:sz w:val="20"/>
          <w:szCs w:val="20"/>
        </w:rPr>
        <w:t>The industry-wide Go / No Go (‘GONG’) framework</w:t>
      </w:r>
      <w:r w:rsidR="00086E14">
        <w:rPr>
          <w:color w:val="auto"/>
          <w:sz w:val="20"/>
          <w:szCs w:val="20"/>
        </w:rPr>
        <w:t xml:space="preserve"> that</w:t>
      </w:r>
      <w:r w:rsidRPr="000F50F8">
        <w:rPr>
          <w:color w:val="auto"/>
          <w:sz w:val="20"/>
          <w:szCs w:val="20"/>
        </w:rPr>
        <w:t xml:space="preserve"> will measure market participant and Xoserve’s readiness for transition at three points in the run-up to the go-live decision, including the alignment of participant plans with Xoserve activity, dress rehearsal execution and contingency planning.</w:t>
      </w:r>
    </w:p>
    <w:p w14:paraId="51E9F80A" w14:textId="77777777" w:rsidR="003F19BC" w:rsidRDefault="003F19BC" w:rsidP="005D2B3F">
      <w:pPr>
        <w:pStyle w:val="Default"/>
        <w:spacing w:line="240" w:lineRule="atLeast"/>
        <w:jc w:val="both"/>
        <w:rPr>
          <w:color w:val="auto"/>
          <w:sz w:val="20"/>
          <w:szCs w:val="20"/>
        </w:rPr>
      </w:pPr>
    </w:p>
    <w:p w14:paraId="2545C168" w14:textId="4E3F44CF" w:rsidR="000F50F8" w:rsidRPr="000F50F8" w:rsidRDefault="003F19BC" w:rsidP="005D2B3F">
      <w:pPr>
        <w:pStyle w:val="Default"/>
        <w:spacing w:line="240" w:lineRule="atLeast"/>
        <w:jc w:val="both"/>
        <w:rPr>
          <w:color w:val="auto"/>
          <w:sz w:val="20"/>
          <w:szCs w:val="20"/>
        </w:rPr>
      </w:pPr>
      <w:r>
        <w:rPr>
          <w:color w:val="auto"/>
          <w:sz w:val="20"/>
          <w:szCs w:val="20"/>
        </w:rPr>
        <w:t>Ofgem has established a set of Success Factors for the programme, which are based on the systems supporting positive outcomes for consumers and there being a sufficient market-level degree of readiness to operate in the new arrangements.</w:t>
      </w:r>
    </w:p>
    <w:p w14:paraId="00197E8A" w14:textId="11CF8C74" w:rsidR="0053377E" w:rsidRPr="008651C7" w:rsidRDefault="0053377E" w:rsidP="005D2B3F">
      <w:pPr>
        <w:spacing w:after="60" w:line="240" w:lineRule="auto"/>
        <w:jc w:val="both"/>
        <w:rPr>
          <w:rFonts w:ascii="Verdana" w:hAnsi="Verdana"/>
          <w:b/>
          <w:sz w:val="18"/>
          <w:szCs w:val="18"/>
        </w:rPr>
      </w:pPr>
      <w:r w:rsidRPr="008651C7">
        <w:rPr>
          <w:rFonts w:ascii="Verdana" w:hAnsi="Verdana"/>
          <w:b/>
          <w:sz w:val="18"/>
          <w:szCs w:val="18"/>
        </w:rPr>
        <w:br w:type="page"/>
      </w:r>
    </w:p>
    <w:p w14:paraId="6D1819BF" w14:textId="77777777" w:rsidR="000F50F8" w:rsidRPr="000F50F8" w:rsidRDefault="000F50F8" w:rsidP="005D2B3F">
      <w:pPr>
        <w:spacing w:line="240" w:lineRule="atLeast"/>
        <w:jc w:val="both"/>
        <w:rPr>
          <w:rFonts w:ascii="Verdana" w:hAnsi="Verdana"/>
          <w:b/>
          <w:sz w:val="20"/>
          <w:szCs w:val="20"/>
        </w:rPr>
      </w:pPr>
      <w:r w:rsidRPr="000F50F8">
        <w:rPr>
          <w:rFonts w:ascii="Verdana" w:hAnsi="Verdana"/>
          <w:b/>
          <w:sz w:val="20"/>
          <w:szCs w:val="20"/>
        </w:rPr>
        <w:lastRenderedPageBreak/>
        <w:t>The sp</w:t>
      </w:r>
      <w:r>
        <w:rPr>
          <w:rFonts w:ascii="Verdana" w:hAnsi="Verdana"/>
          <w:b/>
          <w:sz w:val="20"/>
          <w:szCs w:val="20"/>
        </w:rPr>
        <w:t>ecific context to this document</w:t>
      </w:r>
      <w:r w:rsidRPr="000F50F8">
        <w:rPr>
          <w:rFonts w:ascii="Verdana" w:hAnsi="Verdana"/>
          <w:b/>
          <w:sz w:val="20"/>
          <w:szCs w:val="20"/>
        </w:rPr>
        <w:t xml:space="preserve"> </w:t>
      </w:r>
    </w:p>
    <w:p w14:paraId="50A09545" w14:textId="7FE72B2B" w:rsidR="000F50F8" w:rsidRPr="000F50F8" w:rsidRDefault="000F50F8" w:rsidP="005D2B3F">
      <w:pPr>
        <w:spacing w:line="240" w:lineRule="atLeast"/>
        <w:jc w:val="both"/>
        <w:rPr>
          <w:rFonts w:ascii="Verdana" w:hAnsi="Verdana"/>
          <w:sz w:val="20"/>
          <w:szCs w:val="20"/>
        </w:rPr>
      </w:pPr>
      <w:r w:rsidRPr="000F50F8">
        <w:rPr>
          <w:rFonts w:ascii="Verdana" w:hAnsi="Verdana"/>
          <w:sz w:val="20"/>
          <w:szCs w:val="20"/>
        </w:rPr>
        <w:t xml:space="preserve">Participants are entering a period of stakeholder and Board briefings in the run up to Nexus implementation during June 2017.  </w:t>
      </w:r>
      <w:r w:rsidR="00086E14">
        <w:rPr>
          <w:rFonts w:ascii="Verdana" w:hAnsi="Verdana"/>
          <w:sz w:val="20"/>
          <w:szCs w:val="20"/>
        </w:rPr>
        <w:t>Clear communication of the programme status is needed at this point. Therefore</w:t>
      </w:r>
      <w:r w:rsidRPr="000F50F8">
        <w:rPr>
          <w:rFonts w:ascii="Verdana" w:hAnsi="Verdana"/>
          <w:sz w:val="20"/>
          <w:szCs w:val="20"/>
        </w:rPr>
        <w:t>, Of</w:t>
      </w:r>
      <w:r w:rsidR="00086E14">
        <w:rPr>
          <w:rFonts w:ascii="Verdana" w:hAnsi="Verdana"/>
          <w:sz w:val="20"/>
          <w:szCs w:val="20"/>
        </w:rPr>
        <w:t>gem and Xoserve are publishing this</w:t>
      </w:r>
      <w:r w:rsidRPr="000F50F8">
        <w:rPr>
          <w:rFonts w:ascii="Verdana" w:hAnsi="Verdana"/>
          <w:sz w:val="20"/>
          <w:szCs w:val="20"/>
        </w:rPr>
        <w:t xml:space="preserve"> list of </w:t>
      </w:r>
      <w:r w:rsidR="00F073E7" w:rsidRPr="00F073E7">
        <w:rPr>
          <w:rFonts w:ascii="Verdana" w:hAnsi="Verdana"/>
          <w:b/>
          <w:sz w:val="20"/>
          <w:szCs w:val="20"/>
        </w:rPr>
        <w:t xml:space="preserve">Frequently Asked Questions </w:t>
      </w:r>
      <w:r w:rsidR="00F073E7">
        <w:rPr>
          <w:rFonts w:ascii="Verdana" w:hAnsi="Verdana"/>
          <w:sz w:val="20"/>
          <w:szCs w:val="20"/>
        </w:rPr>
        <w:t>(‘</w:t>
      </w:r>
      <w:r w:rsidRPr="000F50F8">
        <w:rPr>
          <w:rFonts w:ascii="Verdana" w:hAnsi="Verdana"/>
          <w:sz w:val="20"/>
          <w:szCs w:val="20"/>
        </w:rPr>
        <w:t>FAQs</w:t>
      </w:r>
      <w:r w:rsidR="00F073E7">
        <w:rPr>
          <w:rFonts w:ascii="Verdana" w:hAnsi="Verdana"/>
          <w:sz w:val="20"/>
          <w:szCs w:val="20"/>
        </w:rPr>
        <w:t>’)</w:t>
      </w:r>
      <w:r w:rsidRPr="000F50F8">
        <w:rPr>
          <w:rFonts w:ascii="Verdana" w:hAnsi="Verdana"/>
          <w:sz w:val="20"/>
          <w:szCs w:val="20"/>
        </w:rPr>
        <w:t xml:space="preserve"> as a single reference guide, with the objective of drawing together some key discussion threads.  These are published / ti</w:t>
      </w:r>
      <w:r w:rsidR="00086E14">
        <w:rPr>
          <w:rFonts w:ascii="Verdana" w:hAnsi="Verdana"/>
          <w:sz w:val="20"/>
          <w:szCs w:val="20"/>
        </w:rPr>
        <w:t>me stamped at a moment in time,</w:t>
      </w:r>
      <w:r w:rsidR="00F073E7">
        <w:rPr>
          <w:rFonts w:ascii="Verdana" w:hAnsi="Verdana"/>
          <w:sz w:val="20"/>
          <w:szCs w:val="20"/>
        </w:rPr>
        <w:t xml:space="preserve"> being the</w:t>
      </w:r>
      <w:r w:rsidR="00086E14">
        <w:rPr>
          <w:rFonts w:ascii="Verdana" w:hAnsi="Verdana"/>
          <w:sz w:val="20"/>
          <w:szCs w:val="20"/>
        </w:rPr>
        <w:t xml:space="preserve"> 2</w:t>
      </w:r>
      <w:r w:rsidR="0053377E">
        <w:rPr>
          <w:rFonts w:ascii="Verdana" w:hAnsi="Verdana"/>
          <w:sz w:val="20"/>
          <w:szCs w:val="20"/>
        </w:rPr>
        <w:t>6</w:t>
      </w:r>
      <w:r w:rsidR="00086E14">
        <w:rPr>
          <w:rFonts w:ascii="Verdana" w:hAnsi="Verdana"/>
          <w:sz w:val="20"/>
          <w:szCs w:val="20"/>
        </w:rPr>
        <w:t xml:space="preserve"> April </w:t>
      </w:r>
      <w:r w:rsidRPr="000F50F8">
        <w:rPr>
          <w:rFonts w:ascii="Verdana" w:hAnsi="Verdana"/>
          <w:sz w:val="20"/>
          <w:szCs w:val="20"/>
        </w:rPr>
        <w:t>17.</w:t>
      </w:r>
    </w:p>
    <w:p w14:paraId="3B8B5A4C" w14:textId="77777777" w:rsidR="0053377E" w:rsidRDefault="0053377E" w:rsidP="005D2B3F">
      <w:pPr>
        <w:spacing w:before="120" w:after="60" w:line="240" w:lineRule="auto"/>
        <w:jc w:val="both"/>
        <w:rPr>
          <w:rFonts w:ascii="Verdana" w:hAnsi="Verdana"/>
          <w:b/>
          <w:sz w:val="20"/>
          <w:szCs w:val="20"/>
          <w:u w:val="single"/>
        </w:rPr>
      </w:pPr>
      <w:r w:rsidRPr="000F50F8">
        <w:rPr>
          <w:rFonts w:ascii="Verdana" w:hAnsi="Verdana"/>
          <w:b/>
          <w:sz w:val="20"/>
          <w:szCs w:val="20"/>
          <w:u w:val="single"/>
        </w:rPr>
        <w:t xml:space="preserve">Link: </w:t>
      </w:r>
      <w:r>
        <w:rPr>
          <w:rFonts w:ascii="Verdana" w:hAnsi="Verdana"/>
          <w:b/>
          <w:sz w:val="20"/>
          <w:szCs w:val="20"/>
          <w:u w:val="single"/>
        </w:rPr>
        <w:t>Project Nexus Success Factors</w:t>
      </w:r>
    </w:p>
    <w:permStart w:id="706430440" w:edGrp="everyone"/>
    <w:p w14:paraId="7D8BABAA" w14:textId="49FF2C2C" w:rsidR="0011698B" w:rsidRDefault="00D22756" w:rsidP="005D2B3F">
      <w:pPr>
        <w:jc w:val="both"/>
        <w:rPr>
          <w:rFonts w:ascii="Verdana" w:hAnsi="Verdana"/>
          <w:sz w:val="20"/>
          <w:szCs w:val="20"/>
        </w:rPr>
      </w:pPr>
      <w:r>
        <w:rPr>
          <w:rFonts w:ascii="Verdana" w:hAnsi="Verdana"/>
          <w:sz w:val="20"/>
          <w:szCs w:val="20"/>
        </w:rPr>
        <w:object w:dxaOrig="1487" w:dyaOrig="993" w14:anchorId="5D4E6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AcroExch.Document.DC" ShapeID="_x0000_i1025" DrawAspect="Icon" ObjectID="_1554899421" r:id="rId14"/>
        </w:object>
      </w:r>
      <w:permEnd w:id="706430440"/>
    </w:p>
    <w:p w14:paraId="0CBBCD1B" w14:textId="0F0D51B6" w:rsidR="00D22756" w:rsidRDefault="00D22756" w:rsidP="005D2B3F">
      <w:pPr>
        <w:jc w:val="both"/>
        <w:rPr>
          <w:rFonts w:ascii="Verdana" w:hAnsi="Verdana"/>
          <w:sz w:val="20"/>
          <w:szCs w:val="20"/>
        </w:rPr>
      </w:pPr>
    </w:p>
    <w:p w14:paraId="549677C9" w14:textId="77777777" w:rsidR="003F19BC" w:rsidRDefault="003F19BC" w:rsidP="005D2B3F">
      <w:pPr>
        <w:jc w:val="both"/>
        <w:rPr>
          <w:rFonts w:ascii="Verdana" w:hAnsi="Verdana"/>
          <w:b/>
          <w:sz w:val="20"/>
          <w:szCs w:val="20"/>
        </w:rPr>
      </w:pPr>
      <w:r>
        <w:rPr>
          <w:rFonts w:ascii="Verdana" w:hAnsi="Verdana"/>
          <w:b/>
          <w:sz w:val="20"/>
          <w:szCs w:val="20"/>
        </w:rPr>
        <w:br w:type="page"/>
      </w:r>
    </w:p>
    <w:p w14:paraId="5E0D429D" w14:textId="17ED536D" w:rsidR="008C426E" w:rsidRPr="000F50F8" w:rsidRDefault="008C426E" w:rsidP="005D2B3F">
      <w:pPr>
        <w:spacing w:line="240" w:lineRule="atLeast"/>
        <w:jc w:val="both"/>
        <w:rPr>
          <w:rFonts w:ascii="Verdana" w:hAnsi="Verdana"/>
          <w:b/>
          <w:sz w:val="28"/>
          <w:szCs w:val="28"/>
        </w:rPr>
      </w:pPr>
      <w:r>
        <w:rPr>
          <w:rFonts w:ascii="Verdana" w:hAnsi="Verdana"/>
          <w:b/>
          <w:color w:val="4F81BD" w:themeColor="accent1"/>
          <w:sz w:val="28"/>
          <w:szCs w:val="28"/>
        </w:rPr>
        <w:lastRenderedPageBreak/>
        <w:t>Contents</w:t>
      </w:r>
    </w:p>
    <w:tbl>
      <w:tblPr>
        <w:tblStyle w:val="PlainTable2"/>
        <w:tblW w:w="0" w:type="auto"/>
        <w:tblLayout w:type="fixed"/>
        <w:tblLook w:val="04A0" w:firstRow="1" w:lastRow="0" w:firstColumn="1" w:lastColumn="0" w:noHBand="0" w:noVBand="1"/>
      </w:tblPr>
      <w:tblGrid>
        <w:gridCol w:w="709"/>
        <w:gridCol w:w="7718"/>
        <w:gridCol w:w="844"/>
      </w:tblGrid>
      <w:tr w:rsidR="000C23EF" w14:paraId="3E453BB3" w14:textId="77777777" w:rsidTr="00865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E1E29B3" w14:textId="46FF3646" w:rsidR="000C23EF" w:rsidRPr="008651C7" w:rsidRDefault="00674D81" w:rsidP="005D2B3F">
            <w:pPr>
              <w:spacing w:before="120" w:after="60" w:line="240" w:lineRule="atLeast"/>
              <w:jc w:val="both"/>
              <w:rPr>
                <w:rFonts w:ascii="Verdana" w:hAnsi="Verdana"/>
                <w:i/>
                <w:sz w:val="20"/>
                <w:szCs w:val="20"/>
              </w:rPr>
            </w:pPr>
            <w:r w:rsidRPr="00674D81">
              <w:rPr>
                <w:rFonts w:ascii="Verdana" w:hAnsi="Verdana"/>
                <w:i/>
                <w:sz w:val="20"/>
                <w:szCs w:val="20"/>
              </w:rPr>
              <w:t>FAQ</w:t>
            </w:r>
          </w:p>
        </w:tc>
        <w:tc>
          <w:tcPr>
            <w:tcW w:w="7718" w:type="dxa"/>
          </w:tcPr>
          <w:p w14:paraId="62DA2F5F" w14:textId="3796C55C" w:rsidR="000C23EF" w:rsidRPr="008651C7" w:rsidRDefault="000C23EF" w:rsidP="005D2B3F">
            <w:pPr>
              <w:spacing w:before="120" w:after="60" w:line="240" w:lineRule="atLeast"/>
              <w:jc w:val="both"/>
              <w:cnfStyle w:val="100000000000" w:firstRow="1" w:lastRow="0" w:firstColumn="0" w:lastColumn="0" w:oddVBand="0" w:evenVBand="0" w:oddHBand="0" w:evenHBand="0" w:firstRowFirstColumn="0" w:firstRowLastColumn="0" w:lastRowFirstColumn="0" w:lastRowLastColumn="0"/>
              <w:rPr>
                <w:rFonts w:ascii="Verdana" w:hAnsi="Verdana"/>
                <w:i/>
                <w:szCs w:val="20"/>
              </w:rPr>
            </w:pPr>
          </w:p>
        </w:tc>
        <w:tc>
          <w:tcPr>
            <w:tcW w:w="844" w:type="dxa"/>
          </w:tcPr>
          <w:p w14:paraId="6758370F" w14:textId="0BF84ECA" w:rsidR="000C23EF" w:rsidRPr="008651C7" w:rsidRDefault="000C23EF" w:rsidP="005D2B3F">
            <w:pPr>
              <w:pStyle w:val="ListParagraph"/>
              <w:spacing w:before="120" w:after="60" w:line="240" w:lineRule="atLeast"/>
              <w:ind w:left="0"/>
              <w:jc w:val="both"/>
              <w:cnfStyle w:val="100000000000" w:firstRow="1" w:lastRow="0" w:firstColumn="0" w:lastColumn="0" w:oddVBand="0" w:evenVBand="0" w:oddHBand="0" w:evenHBand="0" w:firstRowFirstColumn="0" w:firstRowLastColumn="0" w:lastRowFirstColumn="0" w:lastRowLastColumn="0"/>
              <w:rPr>
                <w:rFonts w:ascii="Verdana" w:hAnsi="Verdana"/>
                <w:i/>
                <w:szCs w:val="20"/>
              </w:rPr>
            </w:pPr>
            <w:r w:rsidRPr="00674D81">
              <w:rPr>
                <w:rFonts w:ascii="Verdana" w:hAnsi="Verdana"/>
                <w:i/>
                <w:szCs w:val="20"/>
              </w:rPr>
              <w:t>Page</w:t>
            </w:r>
          </w:p>
        </w:tc>
      </w:tr>
      <w:tr w:rsidR="000C23EF" w14:paraId="2258039C" w14:textId="77777777" w:rsidTr="00865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855B9E5" w14:textId="5235055C" w:rsidR="000C23EF" w:rsidRPr="008651C7" w:rsidRDefault="00674D81" w:rsidP="005D2B3F">
            <w:pPr>
              <w:spacing w:before="120" w:after="60" w:line="240" w:lineRule="atLeast"/>
              <w:jc w:val="both"/>
              <w:rPr>
                <w:rFonts w:ascii="Verdana" w:eastAsiaTheme="minorHAnsi" w:hAnsi="Verdana"/>
                <w:i/>
                <w:sz w:val="20"/>
                <w:szCs w:val="20"/>
              </w:rPr>
            </w:pPr>
            <w:r w:rsidRPr="00674D81">
              <w:rPr>
                <w:rFonts w:ascii="Verdana" w:hAnsi="Verdana"/>
                <w:i/>
                <w:sz w:val="20"/>
                <w:szCs w:val="20"/>
              </w:rPr>
              <w:t>1</w:t>
            </w:r>
          </w:p>
        </w:tc>
        <w:tc>
          <w:tcPr>
            <w:tcW w:w="7718" w:type="dxa"/>
          </w:tcPr>
          <w:p w14:paraId="006A1A65" w14:textId="5632723F" w:rsidR="000C23EF" w:rsidRPr="008651C7" w:rsidRDefault="000C23EF" w:rsidP="005D2B3F">
            <w:pPr>
              <w:spacing w:before="120" w:after="60" w:line="240" w:lineRule="atLeast"/>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8651C7">
              <w:rPr>
                <w:rFonts w:ascii="Verdana" w:eastAsiaTheme="minorHAnsi" w:hAnsi="Verdana"/>
                <w:i/>
                <w:sz w:val="20"/>
                <w:szCs w:val="20"/>
              </w:rPr>
              <w:t xml:space="preserve">What and where are the key governance decision points over the coming weeks and months?  What should I expect to see and do (and when)? </w:t>
            </w:r>
          </w:p>
        </w:tc>
        <w:tc>
          <w:tcPr>
            <w:tcW w:w="844" w:type="dxa"/>
          </w:tcPr>
          <w:p w14:paraId="01833A16" w14:textId="1D1832AD" w:rsidR="000C23EF" w:rsidRPr="008651C7" w:rsidRDefault="000C23EF" w:rsidP="005D2B3F">
            <w:pPr>
              <w:pStyle w:val="ListParagraph"/>
              <w:spacing w:before="120" w:after="60" w:line="240" w:lineRule="atLeast"/>
              <w:ind w:left="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8651C7">
              <w:rPr>
                <w:rFonts w:ascii="Verdana" w:hAnsi="Verdana"/>
                <w:i/>
                <w:szCs w:val="20"/>
              </w:rPr>
              <w:t>4</w:t>
            </w:r>
          </w:p>
        </w:tc>
      </w:tr>
      <w:tr w:rsidR="000C23EF" w14:paraId="0F13635B" w14:textId="77777777" w:rsidTr="008651C7">
        <w:tc>
          <w:tcPr>
            <w:cnfStyle w:val="001000000000" w:firstRow="0" w:lastRow="0" w:firstColumn="1" w:lastColumn="0" w:oddVBand="0" w:evenVBand="0" w:oddHBand="0" w:evenHBand="0" w:firstRowFirstColumn="0" w:firstRowLastColumn="0" w:lastRowFirstColumn="0" w:lastRowLastColumn="0"/>
            <w:tcW w:w="709" w:type="dxa"/>
          </w:tcPr>
          <w:p w14:paraId="394D4F5F" w14:textId="556D074F" w:rsidR="000C23EF" w:rsidRPr="00674D81" w:rsidRDefault="00674D81" w:rsidP="005D2B3F">
            <w:pPr>
              <w:pStyle w:val="ListParagraph"/>
              <w:spacing w:before="120" w:after="60" w:line="240" w:lineRule="atLeast"/>
              <w:ind w:left="0"/>
              <w:jc w:val="both"/>
              <w:rPr>
                <w:rFonts w:ascii="Verdana" w:hAnsi="Verdana"/>
                <w:b w:val="0"/>
                <w:i/>
                <w:szCs w:val="20"/>
              </w:rPr>
            </w:pPr>
            <w:r w:rsidRPr="00674D81">
              <w:rPr>
                <w:rFonts w:ascii="Verdana" w:hAnsi="Verdana"/>
                <w:i/>
                <w:szCs w:val="20"/>
              </w:rPr>
              <w:t>2</w:t>
            </w:r>
          </w:p>
        </w:tc>
        <w:tc>
          <w:tcPr>
            <w:tcW w:w="7718" w:type="dxa"/>
          </w:tcPr>
          <w:p w14:paraId="258F3DB1" w14:textId="5ABD1F6D" w:rsidR="000C23EF" w:rsidRPr="008651C7" w:rsidRDefault="000C23EF" w:rsidP="005D2B3F">
            <w:pPr>
              <w:spacing w:before="120" w:after="6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8651C7">
              <w:rPr>
                <w:rFonts w:ascii="Verdana" w:hAnsi="Verdana"/>
                <w:i/>
                <w:sz w:val="20"/>
                <w:szCs w:val="20"/>
              </w:rPr>
              <w:t>What is the scope and coverage of the go / no-go (‘GONG’) decision making framework? How is confidence building that industry readiness across system, process and people aspects is being considered in a pragmatic and balanced manner?</w:t>
            </w:r>
          </w:p>
        </w:tc>
        <w:tc>
          <w:tcPr>
            <w:tcW w:w="844" w:type="dxa"/>
          </w:tcPr>
          <w:p w14:paraId="033E7B78" w14:textId="445CCCA5" w:rsidR="000C23EF" w:rsidRPr="008651C7" w:rsidRDefault="000C23EF" w:rsidP="005D2B3F">
            <w:pPr>
              <w:pStyle w:val="ListParagraph"/>
              <w:spacing w:before="120" w:after="60" w:line="240" w:lineRule="atLeast"/>
              <w:ind w:left="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674D81">
              <w:rPr>
                <w:rFonts w:ascii="Verdana" w:hAnsi="Verdana"/>
                <w:i/>
                <w:szCs w:val="20"/>
              </w:rPr>
              <w:t>5</w:t>
            </w:r>
          </w:p>
        </w:tc>
      </w:tr>
      <w:tr w:rsidR="000C23EF" w14:paraId="4FD8B0A8" w14:textId="77777777" w:rsidTr="00865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79DBD02" w14:textId="69B3AFA3" w:rsidR="000C23EF" w:rsidRPr="00674D81" w:rsidRDefault="00674D81" w:rsidP="005D2B3F">
            <w:pPr>
              <w:pStyle w:val="ListParagraph"/>
              <w:spacing w:before="120" w:after="60" w:line="240" w:lineRule="atLeast"/>
              <w:ind w:left="0"/>
              <w:jc w:val="both"/>
              <w:rPr>
                <w:rFonts w:ascii="Verdana" w:hAnsi="Verdana"/>
                <w:b w:val="0"/>
                <w:i/>
                <w:szCs w:val="20"/>
              </w:rPr>
            </w:pPr>
            <w:r w:rsidRPr="00674D81">
              <w:rPr>
                <w:rFonts w:ascii="Verdana" w:hAnsi="Verdana"/>
                <w:i/>
                <w:szCs w:val="20"/>
              </w:rPr>
              <w:t>3</w:t>
            </w:r>
          </w:p>
        </w:tc>
        <w:tc>
          <w:tcPr>
            <w:tcW w:w="7718" w:type="dxa"/>
          </w:tcPr>
          <w:p w14:paraId="75D75118" w14:textId="192B86C5" w:rsidR="000C23EF" w:rsidRPr="008651C7" w:rsidRDefault="000C23EF" w:rsidP="005D2B3F">
            <w:pPr>
              <w:spacing w:before="120" w:after="6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8651C7">
              <w:rPr>
                <w:rFonts w:ascii="Verdana" w:hAnsi="Verdana"/>
                <w:i/>
                <w:sz w:val="20"/>
                <w:szCs w:val="20"/>
              </w:rPr>
              <w:t>What has been done to prepare consumers for the change in industry systems and processes?</w:t>
            </w:r>
          </w:p>
        </w:tc>
        <w:tc>
          <w:tcPr>
            <w:tcW w:w="844" w:type="dxa"/>
          </w:tcPr>
          <w:p w14:paraId="604EF34D" w14:textId="14D7B5BA" w:rsidR="000C23EF" w:rsidRPr="008651C7" w:rsidRDefault="000C23EF" w:rsidP="005D2B3F">
            <w:pPr>
              <w:pStyle w:val="ListParagraph"/>
              <w:spacing w:before="120" w:after="60" w:line="240" w:lineRule="atLeast"/>
              <w:ind w:left="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674D81">
              <w:rPr>
                <w:rFonts w:ascii="Verdana" w:hAnsi="Verdana"/>
                <w:i/>
                <w:szCs w:val="20"/>
              </w:rPr>
              <w:t>6</w:t>
            </w:r>
          </w:p>
        </w:tc>
      </w:tr>
      <w:tr w:rsidR="000C23EF" w14:paraId="358B817B" w14:textId="77777777" w:rsidTr="008651C7">
        <w:tc>
          <w:tcPr>
            <w:cnfStyle w:val="001000000000" w:firstRow="0" w:lastRow="0" w:firstColumn="1" w:lastColumn="0" w:oddVBand="0" w:evenVBand="0" w:oddHBand="0" w:evenHBand="0" w:firstRowFirstColumn="0" w:firstRowLastColumn="0" w:lastRowFirstColumn="0" w:lastRowLastColumn="0"/>
            <w:tcW w:w="709" w:type="dxa"/>
          </w:tcPr>
          <w:p w14:paraId="48429924" w14:textId="37FDB62A" w:rsidR="000C23EF" w:rsidRPr="00674D81" w:rsidRDefault="00674D81" w:rsidP="005D2B3F">
            <w:pPr>
              <w:pStyle w:val="ListParagraph"/>
              <w:spacing w:before="120" w:after="60" w:line="240" w:lineRule="atLeast"/>
              <w:ind w:left="0"/>
              <w:jc w:val="both"/>
              <w:rPr>
                <w:rFonts w:ascii="Verdana" w:hAnsi="Verdana"/>
                <w:b w:val="0"/>
                <w:i/>
                <w:szCs w:val="20"/>
              </w:rPr>
            </w:pPr>
            <w:r w:rsidRPr="00674D81">
              <w:rPr>
                <w:rFonts w:ascii="Verdana" w:hAnsi="Verdana"/>
                <w:i/>
                <w:szCs w:val="20"/>
              </w:rPr>
              <w:t>4</w:t>
            </w:r>
          </w:p>
        </w:tc>
        <w:tc>
          <w:tcPr>
            <w:tcW w:w="7718" w:type="dxa"/>
          </w:tcPr>
          <w:p w14:paraId="46FDF526" w14:textId="40DD501B" w:rsidR="000C23EF" w:rsidRPr="008651C7" w:rsidRDefault="000C23EF" w:rsidP="005D2B3F">
            <w:pPr>
              <w:spacing w:before="120" w:after="6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8651C7">
              <w:rPr>
                <w:rFonts w:ascii="Verdana" w:hAnsi="Verdana"/>
                <w:i/>
                <w:sz w:val="20"/>
                <w:szCs w:val="20"/>
              </w:rPr>
              <w:t>How has confidence been built in the capability and the capacity of the central Xoserve systems to handle the likely industry transaction volumes on day 1 and day 100? How will Xoserve respond if unexpected peaks in volumes of transactions are experienced?</w:t>
            </w:r>
          </w:p>
        </w:tc>
        <w:tc>
          <w:tcPr>
            <w:tcW w:w="844" w:type="dxa"/>
          </w:tcPr>
          <w:p w14:paraId="17B27DA9" w14:textId="3D6A1625" w:rsidR="000C23EF" w:rsidRPr="008651C7" w:rsidRDefault="000C23EF" w:rsidP="005D2B3F">
            <w:pPr>
              <w:pStyle w:val="ListParagraph"/>
              <w:spacing w:before="120" w:after="60" w:line="240" w:lineRule="atLeast"/>
              <w:ind w:left="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674D81">
              <w:rPr>
                <w:rFonts w:ascii="Verdana" w:hAnsi="Verdana"/>
                <w:i/>
                <w:szCs w:val="20"/>
              </w:rPr>
              <w:t>7</w:t>
            </w:r>
          </w:p>
        </w:tc>
      </w:tr>
      <w:tr w:rsidR="000C23EF" w14:paraId="0127429C" w14:textId="77777777" w:rsidTr="00865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66B9737" w14:textId="55436837" w:rsidR="000C23EF" w:rsidRPr="00674D81" w:rsidRDefault="00674D81" w:rsidP="005D2B3F">
            <w:pPr>
              <w:pStyle w:val="ListParagraph"/>
              <w:spacing w:before="120" w:after="60" w:line="240" w:lineRule="atLeast"/>
              <w:ind w:left="0"/>
              <w:jc w:val="both"/>
              <w:rPr>
                <w:rFonts w:ascii="Verdana" w:hAnsi="Verdana"/>
                <w:b w:val="0"/>
                <w:i/>
                <w:szCs w:val="20"/>
              </w:rPr>
            </w:pPr>
            <w:r w:rsidRPr="00674D81">
              <w:rPr>
                <w:rFonts w:ascii="Verdana" w:hAnsi="Verdana"/>
                <w:i/>
                <w:szCs w:val="20"/>
              </w:rPr>
              <w:t>5</w:t>
            </w:r>
          </w:p>
        </w:tc>
        <w:tc>
          <w:tcPr>
            <w:tcW w:w="7718" w:type="dxa"/>
          </w:tcPr>
          <w:p w14:paraId="43F3114B" w14:textId="35DDFBF3" w:rsidR="000C23EF" w:rsidRPr="008651C7" w:rsidRDefault="000C23EF" w:rsidP="005D2B3F">
            <w:pPr>
              <w:spacing w:before="120" w:after="6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8651C7">
              <w:rPr>
                <w:rFonts w:ascii="Verdana" w:hAnsi="Verdana"/>
                <w:i/>
                <w:sz w:val="20"/>
                <w:szCs w:val="20"/>
              </w:rPr>
              <w:t>Can Xoserve scale the capacity and capability of their systems and processes, if / when industry transaction volumes increase in the future? What are the lead times to accommodate this scalability?</w:t>
            </w:r>
          </w:p>
        </w:tc>
        <w:tc>
          <w:tcPr>
            <w:tcW w:w="844" w:type="dxa"/>
          </w:tcPr>
          <w:p w14:paraId="5EEB3A45" w14:textId="24EA77F7" w:rsidR="000C23EF" w:rsidRPr="008651C7" w:rsidRDefault="00674D81" w:rsidP="005D2B3F">
            <w:pPr>
              <w:pStyle w:val="ListParagraph"/>
              <w:spacing w:before="120" w:after="60" w:line="240" w:lineRule="atLeast"/>
              <w:ind w:left="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Pr>
                <w:rFonts w:ascii="Verdana" w:hAnsi="Verdana"/>
                <w:i/>
                <w:szCs w:val="20"/>
              </w:rPr>
              <w:t>10</w:t>
            </w:r>
          </w:p>
        </w:tc>
      </w:tr>
      <w:tr w:rsidR="000C23EF" w14:paraId="003D94CA" w14:textId="77777777" w:rsidTr="008651C7">
        <w:tc>
          <w:tcPr>
            <w:cnfStyle w:val="001000000000" w:firstRow="0" w:lastRow="0" w:firstColumn="1" w:lastColumn="0" w:oddVBand="0" w:evenVBand="0" w:oddHBand="0" w:evenHBand="0" w:firstRowFirstColumn="0" w:firstRowLastColumn="0" w:lastRowFirstColumn="0" w:lastRowLastColumn="0"/>
            <w:tcW w:w="709" w:type="dxa"/>
          </w:tcPr>
          <w:p w14:paraId="618B1E1F" w14:textId="60AC7031" w:rsidR="000C23EF" w:rsidRPr="00674D81" w:rsidRDefault="00674D81" w:rsidP="005D2B3F">
            <w:pPr>
              <w:pStyle w:val="ListParagraph"/>
              <w:spacing w:before="120" w:after="60" w:line="240" w:lineRule="atLeast"/>
              <w:ind w:left="0"/>
              <w:jc w:val="both"/>
              <w:rPr>
                <w:rFonts w:ascii="Verdana" w:hAnsi="Verdana"/>
                <w:b w:val="0"/>
                <w:i/>
                <w:szCs w:val="20"/>
              </w:rPr>
            </w:pPr>
            <w:r w:rsidRPr="00674D81">
              <w:rPr>
                <w:rFonts w:ascii="Verdana" w:hAnsi="Verdana"/>
                <w:i/>
                <w:szCs w:val="20"/>
              </w:rPr>
              <w:t>6</w:t>
            </w:r>
          </w:p>
        </w:tc>
        <w:tc>
          <w:tcPr>
            <w:tcW w:w="7718" w:type="dxa"/>
          </w:tcPr>
          <w:p w14:paraId="5A331078" w14:textId="20175E97" w:rsidR="000C23EF" w:rsidRPr="008651C7" w:rsidRDefault="000C23EF" w:rsidP="005D2B3F">
            <w:pPr>
              <w:spacing w:before="120" w:after="6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8651C7">
              <w:rPr>
                <w:rFonts w:ascii="Verdana" w:hAnsi="Verdana"/>
                <w:i/>
                <w:sz w:val="20"/>
                <w:szCs w:val="20"/>
              </w:rPr>
              <w:t>How are Xoserve gearing up to monitor and manage exception volumes from their new SAP system, knowing that this is a key learning from similar programmes in the industry? What are the forecasted level of exceptions and what is in place to address these?</w:t>
            </w:r>
          </w:p>
        </w:tc>
        <w:tc>
          <w:tcPr>
            <w:tcW w:w="844" w:type="dxa"/>
          </w:tcPr>
          <w:p w14:paraId="740BB577" w14:textId="3FC18494" w:rsidR="000C23EF" w:rsidRPr="008651C7" w:rsidRDefault="000C23EF" w:rsidP="005D2B3F">
            <w:pPr>
              <w:pStyle w:val="ListParagraph"/>
              <w:spacing w:before="120" w:after="60" w:line="240" w:lineRule="atLeast"/>
              <w:ind w:left="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674D81">
              <w:rPr>
                <w:rFonts w:ascii="Verdana" w:hAnsi="Verdana"/>
                <w:i/>
                <w:szCs w:val="20"/>
              </w:rPr>
              <w:t>1</w:t>
            </w:r>
            <w:r w:rsidR="00674D81">
              <w:rPr>
                <w:rFonts w:ascii="Verdana" w:hAnsi="Verdana"/>
                <w:i/>
                <w:szCs w:val="20"/>
              </w:rPr>
              <w:t>1</w:t>
            </w:r>
          </w:p>
        </w:tc>
      </w:tr>
      <w:tr w:rsidR="000C23EF" w14:paraId="4C1C7795" w14:textId="77777777" w:rsidTr="00865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6B1E79A" w14:textId="3AB4D5A2" w:rsidR="000C23EF" w:rsidRPr="00674D81" w:rsidRDefault="00674D81" w:rsidP="005D2B3F">
            <w:pPr>
              <w:pStyle w:val="ListParagraph"/>
              <w:spacing w:before="120" w:after="60" w:line="240" w:lineRule="atLeast"/>
              <w:ind w:left="0"/>
              <w:jc w:val="both"/>
              <w:rPr>
                <w:rFonts w:ascii="Verdana" w:hAnsi="Verdana"/>
                <w:b w:val="0"/>
                <w:i/>
                <w:szCs w:val="20"/>
              </w:rPr>
            </w:pPr>
            <w:r w:rsidRPr="00674D81">
              <w:rPr>
                <w:rFonts w:ascii="Verdana" w:hAnsi="Verdana"/>
                <w:i/>
                <w:szCs w:val="20"/>
              </w:rPr>
              <w:t>7</w:t>
            </w:r>
          </w:p>
        </w:tc>
        <w:tc>
          <w:tcPr>
            <w:tcW w:w="7718" w:type="dxa"/>
          </w:tcPr>
          <w:p w14:paraId="5581B4EA" w14:textId="3B947B02" w:rsidR="000C23EF" w:rsidRPr="008651C7" w:rsidRDefault="000C23EF" w:rsidP="005D2B3F">
            <w:pPr>
              <w:spacing w:before="120" w:after="6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8651C7">
              <w:rPr>
                <w:rFonts w:ascii="Verdana" w:hAnsi="Verdana"/>
                <w:i/>
                <w:sz w:val="20"/>
                <w:szCs w:val="20"/>
              </w:rPr>
              <w:t>What metrics have been defined to monitor whether and when a ‘business as usual’ state has been achieved in critical industry process (such as Change of Supplier), or to focus further action if needed?</w:t>
            </w:r>
          </w:p>
        </w:tc>
        <w:tc>
          <w:tcPr>
            <w:tcW w:w="844" w:type="dxa"/>
          </w:tcPr>
          <w:p w14:paraId="6C06634D" w14:textId="10441DE7" w:rsidR="000C23EF" w:rsidRPr="008651C7" w:rsidRDefault="000C23EF" w:rsidP="005D2B3F">
            <w:pPr>
              <w:pStyle w:val="ListParagraph"/>
              <w:spacing w:before="120" w:after="60" w:line="240" w:lineRule="atLeast"/>
              <w:ind w:left="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674D81">
              <w:rPr>
                <w:rFonts w:ascii="Verdana" w:hAnsi="Verdana"/>
                <w:i/>
                <w:szCs w:val="20"/>
              </w:rPr>
              <w:t>1</w:t>
            </w:r>
            <w:r w:rsidR="00674D81">
              <w:rPr>
                <w:rFonts w:ascii="Verdana" w:hAnsi="Verdana"/>
                <w:i/>
                <w:szCs w:val="20"/>
              </w:rPr>
              <w:t>2</w:t>
            </w:r>
          </w:p>
        </w:tc>
      </w:tr>
      <w:tr w:rsidR="000C23EF" w14:paraId="73DC3990" w14:textId="77777777" w:rsidTr="008651C7">
        <w:tc>
          <w:tcPr>
            <w:cnfStyle w:val="001000000000" w:firstRow="0" w:lastRow="0" w:firstColumn="1" w:lastColumn="0" w:oddVBand="0" w:evenVBand="0" w:oddHBand="0" w:evenHBand="0" w:firstRowFirstColumn="0" w:firstRowLastColumn="0" w:lastRowFirstColumn="0" w:lastRowLastColumn="0"/>
            <w:tcW w:w="709" w:type="dxa"/>
          </w:tcPr>
          <w:p w14:paraId="6C15C5EB" w14:textId="7E35D9C1" w:rsidR="000C23EF" w:rsidRPr="00674D81" w:rsidRDefault="00674D81" w:rsidP="005D2B3F">
            <w:pPr>
              <w:pStyle w:val="ListParagraph"/>
              <w:spacing w:before="120" w:after="60" w:line="240" w:lineRule="atLeast"/>
              <w:ind w:left="0"/>
              <w:jc w:val="both"/>
              <w:rPr>
                <w:rFonts w:ascii="Verdana" w:hAnsi="Verdana"/>
                <w:b w:val="0"/>
                <w:i/>
                <w:szCs w:val="20"/>
              </w:rPr>
            </w:pPr>
            <w:r w:rsidRPr="00674D81">
              <w:rPr>
                <w:rFonts w:ascii="Verdana" w:hAnsi="Verdana"/>
                <w:i/>
                <w:szCs w:val="20"/>
              </w:rPr>
              <w:t>8</w:t>
            </w:r>
          </w:p>
        </w:tc>
        <w:tc>
          <w:tcPr>
            <w:tcW w:w="7718" w:type="dxa"/>
          </w:tcPr>
          <w:p w14:paraId="7B247DA5" w14:textId="4A3FBF63" w:rsidR="000C23EF" w:rsidRPr="008651C7" w:rsidRDefault="000C23EF" w:rsidP="005D2B3F">
            <w:pPr>
              <w:spacing w:before="120" w:after="6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8651C7">
              <w:rPr>
                <w:rFonts w:ascii="Verdana" w:hAnsi="Verdana"/>
                <w:i/>
                <w:sz w:val="20"/>
                <w:szCs w:val="20"/>
              </w:rPr>
              <w:t xml:space="preserve">How will the post go-live support, or hyper care, period be managed and governed? How will a smooth ‘handback’ to BAU industry governance be achieved and what is the timeline for this? </w:t>
            </w:r>
          </w:p>
        </w:tc>
        <w:tc>
          <w:tcPr>
            <w:tcW w:w="844" w:type="dxa"/>
          </w:tcPr>
          <w:p w14:paraId="41F52012" w14:textId="332AA6E2" w:rsidR="000C23EF" w:rsidRPr="008651C7" w:rsidRDefault="000C23EF" w:rsidP="005D2B3F">
            <w:pPr>
              <w:pStyle w:val="ListParagraph"/>
              <w:spacing w:before="120" w:after="60" w:line="240" w:lineRule="atLeast"/>
              <w:ind w:left="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674D81">
              <w:rPr>
                <w:rFonts w:ascii="Verdana" w:hAnsi="Verdana"/>
                <w:i/>
                <w:szCs w:val="20"/>
              </w:rPr>
              <w:t>1</w:t>
            </w:r>
            <w:r w:rsidR="00674D81">
              <w:rPr>
                <w:rFonts w:ascii="Verdana" w:hAnsi="Verdana"/>
                <w:i/>
                <w:szCs w:val="20"/>
              </w:rPr>
              <w:t>3</w:t>
            </w:r>
          </w:p>
        </w:tc>
      </w:tr>
      <w:tr w:rsidR="000C23EF" w14:paraId="0B1285F9" w14:textId="77777777" w:rsidTr="00865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629DDDB" w14:textId="72A1748D" w:rsidR="000C23EF" w:rsidRPr="00674D81" w:rsidRDefault="00674D81" w:rsidP="005D2B3F">
            <w:pPr>
              <w:pStyle w:val="ListParagraph"/>
              <w:spacing w:before="120" w:after="60" w:line="240" w:lineRule="atLeast"/>
              <w:ind w:left="0"/>
              <w:jc w:val="both"/>
              <w:rPr>
                <w:rFonts w:ascii="Verdana" w:hAnsi="Verdana"/>
                <w:i/>
                <w:szCs w:val="20"/>
              </w:rPr>
            </w:pPr>
            <w:r w:rsidRPr="00674D81">
              <w:rPr>
                <w:rFonts w:ascii="Verdana" w:hAnsi="Verdana"/>
                <w:i/>
                <w:szCs w:val="20"/>
              </w:rPr>
              <w:t>9</w:t>
            </w:r>
          </w:p>
        </w:tc>
        <w:tc>
          <w:tcPr>
            <w:tcW w:w="7718" w:type="dxa"/>
          </w:tcPr>
          <w:p w14:paraId="1F30EB7C" w14:textId="0A9E13A2" w:rsidR="000C23EF" w:rsidRPr="008651C7" w:rsidRDefault="000C23EF" w:rsidP="005D2B3F">
            <w:pPr>
              <w:spacing w:before="120" w:after="60"/>
              <w:jc w:val="both"/>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8651C7">
              <w:rPr>
                <w:rFonts w:ascii="Verdana" w:hAnsi="Verdana"/>
                <w:i/>
                <w:sz w:val="20"/>
                <w:szCs w:val="20"/>
              </w:rPr>
              <w:t>What is the interaction between the constituted FGO Governance arrangements and Nexus Governance and how will this be integrated to ensure a single governance structure for post Nexus arrangements?</w:t>
            </w:r>
          </w:p>
        </w:tc>
        <w:tc>
          <w:tcPr>
            <w:tcW w:w="844" w:type="dxa"/>
          </w:tcPr>
          <w:p w14:paraId="32C6AE1E" w14:textId="6A0526C2" w:rsidR="000C23EF" w:rsidRPr="00674D81" w:rsidRDefault="000C23EF" w:rsidP="005D2B3F">
            <w:pPr>
              <w:pStyle w:val="ListParagraph"/>
              <w:spacing w:before="120" w:after="60" w:line="240" w:lineRule="atLeast"/>
              <w:ind w:left="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sidRPr="00674D81">
              <w:rPr>
                <w:rFonts w:ascii="Verdana" w:hAnsi="Verdana"/>
                <w:i/>
                <w:szCs w:val="20"/>
              </w:rPr>
              <w:t>1</w:t>
            </w:r>
            <w:r w:rsidR="00674D81">
              <w:rPr>
                <w:rFonts w:ascii="Verdana" w:hAnsi="Verdana"/>
                <w:i/>
                <w:szCs w:val="20"/>
              </w:rPr>
              <w:t>4</w:t>
            </w:r>
          </w:p>
        </w:tc>
      </w:tr>
      <w:tr w:rsidR="000C23EF" w14:paraId="51D82DE8" w14:textId="77777777" w:rsidTr="008651C7">
        <w:tc>
          <w:tcPr>
            <w:cnfStyle w:val="001000000000" w:firstRow="0" w:lastRow="0" w:firstColumn="1" w:lastColumn="0" w:oddVBand="0" w:evenVBand="0" w:oddHBand="0" w:evenHBand="0" w:firstRowFirstColumn="0" w:firstRowLastColumn="0" w:lastRowFirstColumn="0" w:lastRowLastColumn="0"/>
            <w:tcW w:w="709" w:type="dxa"/>
          </w:tcPr>
          <w:p w14:paraId="088673D4" w14:textId="4FD07469" w:rsidR="000C23EF" w:rsidRPr="00674D81" w:rsidRDefault="00674D81" w:rsidP="005D2B3F">
            <w:pPr>
              <w:pStyle w:val="ListParagraph"/>
              <w:spacing w:before="120" w:after="60" w:line="240" w:lineRule="atLeast"/>
              <w:ind w:left="0"/>
              <w:jc w:val="both"/>
              <w:rPr>
                <w:rFonts w:ascii="Verdana" w:hAnsi="Verdana"/>
                <w:i/>
                <w:szCs w:val="20"/>
              </w:rPr>
            </w:pPr>
            <w:r>
              <w:rPr>
                <w:rFonts w:ascii="Verdana" w:hAnsi="Verdana"/>
                <w:i/>
                <w:szCs w:val="20"/>
              </w:rPr>
              <w:t>10</w:t>
            </w:r>
          </w:p>
        </w:tc>
        <w:tc>
          <w:tcPr>
            <w:tcW w:w="7718" w:type="dxa"/>
          </w:tcPr>
          <w:p w14:paraId="291651ED" w14:textId="6D63D915" w:rsidR="000C23EF" w:rsidRPr="008651C7" w:rsidRDefault="000C23EF" w:rsidP="005D2B3F">
            <w:pPr>
              <w:spacing w:before="120" w:after="60"/>
              <w:jc w:val="both"/>
              <w:cnfStyle w:val="000000000000" w:firstRow="0" w:lastRow="0" w:firstColumn="0" w:lastColumn="0" w:oddVBand="0" w:evenVBand="0" w:oddHBand="0" w:evenHBand="0" w:firstRowFirstColumn="0" w:firstRowLastColumn="0" w:lastRowFirstColumn="0" w:lastRowLastColumn="0"/>
              <w:rPr>
                <w:rFonts w:ascii="Verdana" w:hAnsi="Verdana"/>
                <w:i/>
                <w:sz w:val="20"/>
                <w:szCs w:val="20"/>
              </w:rPr>
            </w:pPr>
            <w:r w:rsidRPr="008651C7">
              <w:rPr>
                <w:rFonts w:ascii="Verdana" w:hAnsi="Verdana"/>
                <w:i/>
                <w:sz w:val="20"/>
                <w:szCs w:val="20"/>
              </w:rPr>
              <w:t>How will the key issues be managed and escalated over the cut-over and post go-live periods – to the point that ‘stability’ is reached?</w:t>
            </w:r>
          </w:p>
        </w:tc>
        <w:tc>
          <w:tcPr>
            <w:tcW w:w="844" w:type="dxa"/>
          </w:tcPr>
          <w:p w14:paraId="5851B6A1" w14:textId="1D3444E3" w:rsidR="000C23EF" w:rsidRPr="00674D81" w:rsidRDefault="00674D81" w:rsidP="005D2B3F">
            <w:pPr>
              <w:pStyle w:val="ListParagraph"/>
              <w:spacing w:before="120" w:after="60" w:line="240" w:lineRule="atLeast"/>
              <w:ind w:left="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Pr>
                <w:rFonts w:ascii="Verdana" w:hAnsi="Verdana"/>
                <w:i/>
                <w:szCs w:val="20"/>
              </w:rPr>
              <w:t>15</w:t>
            </w:r>
          </w:p>
        </w:tc>
      </w:tr>
      <w:tr w:rsidR="000C23EF" w14:paraId="4805137C" w14:textId="77777777" w:rsidTr="00865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CFF217D" w14:textId="4F87DEF9" w:rsidR="000C23EF" w:rsidRPr="00674D81" w:rsidRDefault="00674D81" w:rsidP="005D2B3F">
            <w:pPr>
              <w:pStyle w:val="ListParagraph"/>
              <w:spacing w:before="120" w:after="60" w:line="240" w:lineRule="atLeast"/>
              <w:ind w:left="0"/>
              <w:jc w:val="both"/>
              <w:rPr>
                <w:rFonts w:ascii="Verdana" w:hAnsi="Verdana"/>
                <w:i/>
                <w:szCs w:val="20"/>
              </w:rPr>
            </w:pPr>
            <w:r>
              <w:rPr>
                <w:rFonts w:ascii="Verdana" w:hAnsi="Verdana"/>
                <w:i/>
                <w:szCs w:val="20"/>
              </w:rPr>
              <w:t>11</w:t>
            </w:r>
          </w:p>
        </w:tc>
        <w:tc>
          <w:tcPr>
            <w:tcW w:w="7718" w:type="dxa"/>
          </w:tcPr>
          <w:p w14:paraId="12B4B9AA" w14:textId="0A439C7F" w:rsidR="000C23EF" w:rsidRPr="008651C7" w:rsidRDefault="00674D81" w:rsidP="005D2B3F">
            <w:pPr>
              <w:spacing w:before="120" w:after="60"/>
              <w:jc w:val="both"/>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sidRPr="008651C7">
              <w:rPr>
                <w:rFonts w:ascii="Verdana" w:hAnsi="Verdana"/>
                <w:i/>
                <w:sz w:val="20"/>
                <w:szCs w:val="20"/>
              </w:rPr>
              <w:t xml:space="preserve">What are Ofgem’s expectations of participants in supporting the Nexus implementation?  Are there some key areas that we should be focused on to best land this within our organisation? </w:t>
            </w:r>
          </w:p>
        </w:tc>
        <w:tc>
          <w:tcPr>
            <w:tcW w:w="844" w:type="dxa"/>
          </w:tcPr>
          <w:p w14:paraId="3A436EF9" w14:textId="2A7F8F00" w:rsidR="000C23EF" w:rsidRPr="00674D81" w:rsidRDefault="00674D81" w:rsidP="005D2B3F">
            <w:pPr>
              <w:pStyle w:val="ListParagraph"/>
              <w:spacing w:before="120" w:after="60" w:line="240" w:lineRule="atLeast"/>
              <w:ind w:left="0"/>
              <w:jc w:val="both"/>
              <w:cnfStyle w:val="000000100000" w:firstRow="0" w:lastRow="0" w:firstColumn="0" w:lastColumn="0" w:oddVBand="0" w:evenVBand="0" w:oddHBand="1" w:evenHBand="0" w:firstRowFirstColumn="0" w:firstRowLastColumn="0" w:lastRowFirstColumn="0" w:lastRowLastColumn="0"/>
              <w:rPr>
                <w:rFonts w:ascii="Verdana" w:hAnsi="Verdana"/>
                <w:i/>
                <w:szCs w:val="20"/>
              </w:rPr>
            </w:pPr>
            <w:r>
              <w:rPr>
                <w:rFonts w:ascii="Verdana" w:hAnsi="Verdana"/>
                <w:i/>
                <w:szCs w:val="20"/>
              </w:rPr>
              <w:t>16</w:t>
            </w:r>
          </w:p>
        </w:tc>
      </w:tr>
      <w:tr w:rsidR="000C23EF" w14:paraId="05DAC5CB" w14:textId="77777777" w:rsidTr="008651C7">
        <w:tc>
          <w:tcPr>
            <w:cnfStyle w:val="001000000000" w:firstRow="0" w:lastRow="0" w:firstColumn="1" w:lastColumn="0" w:oddVBand="0" w:evenVBand="0" w:oddHBand="0" w:evenHBand="0" w:firstRowFirstColumn="0" w:firstRowLastColumn="0" w:lastRowFirstColumn="0" w:lastRowLastColumn="0"/>
            <w:tcW w:w="709" w:type="dxa"/>
          </w:tcPr>
          <w:p w14:paraId="5E9264A5" w14:textId="39C1D95E" w:rsidR="000C23EF" w:rsidRPr="00674D81" w:rsidRDefault="00674D81" w:rsidP="005D2B3F">
            <w:pPr>
              <w:pStyle w:val="ListParagraph"/>
              <w:spacing w:before="120" w:after="60" w:line="240" w:lineRule="atLeast"/>
              <w:ind w:left="0"/>
              <w:jc w:val="both"/>
              <w:rPr>
                <w:rFonts w:ascii="Verdana" w:hAnsi="Verdana"/>
                <w:i/>
                <w:szCs w:val="20"/>
              </w:rPr>
            </w:pPr>
            <w:r>
              <w:rPr>
                <w:rFonts w:ascii="Verdana" w:hAnsi="Verdana"/>
                <w:i/>
                <w:szCs w:val="20"/>
              </w:rPr>
              <w:t>12</w:t>
            </w:r>
          </w:p>
        </w:tc>
        <w:tc>
          <w:tcPr>
            <w:tcW w:w="7718" w:type="dxa"/>
          </w:tcPr>
          <w:p w14:paraId="312BFA5D" w14:textId="27A85964" w:rsidR="000C23EF" w:rsidRPr="00674D81" w:rsidRDefault="00674D81" w:rsidP="005D2B3F">
            <w:pPr>
              <w:spacing w:before="120" w:after="6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8651C7">
              <w:rPr>
                <w:rFonts w:ascii="Verdana" w:hAnsi="Verdana"/>
                <w:i/>
                <w:sz w:val="20"/>
                <w:szCs w:val="20"/>
              </w:rPr>
              <w:t>What is Ofgem’s view on enforcement of licence obligations directly impacted by major systems issues at go-live? How will Ofgem support supplier’s messaging to customers if there are serious impacts on the customer experience as a result of implementation?</w:t>
            </w:r>
          </w:p>
        </w:tc>
        <w:tc>
          <w:tcPr>
            <w:tcW w:w="844" w:type="dxa"/>
          </w:tcPr>
          <w:p w14:paraId="7F309540" w14:textId="10ABBE18" w:rsidR="000C23EF" w:rsidRPr="00674D81" w:rsidRDefault="00674D81" w:rsidP="005D2B3F">
            <w:pPr>
              <w:pStyle w:val="ListParagraph"/>
              <w:spacing w:before="120" w:after="60" w:line="240" w:lineRule="atLeast"/>
              <w:ind w:left="0"/>
              <w:jc w:val="both"/>
              <w:cnfStyle w:val="000000000000" w:firstRow="0" w:lastRow="0" w:firstColumn="0" w:lastColumn="0" w:oddVBand="0" w:evenVBand="0" w:oddHBand="0" w:evenHBand="0" w:firstRowFirstColumn="0" w:firstRowLastColumn="0" w:lastRowFirstColumn="0" w:lastRowLastColumn="0"/>
              <w:rPr>
                <w:rFonts w:ascii="Verdana" w:hAnsi="Verdana"/>
                <w:i/>
                <w:szCs w:val="20"/>
              </w:rPr>
            </w:pPr>
            <w:r w:rsidRPr="00674D81">
              <w:rPr>
                <w:rFonts w:ascii="Verdana" w:hAnsi="Verdana"/>
                <w:i/>
                <w:szCs w:val="20"/>
              </w:rPr>
              <w:t>17</w:t>
            </w:r>
          </w:p>
        </w:tc>
      </w:tr>
    </w:tbl>
    <w:p w14:paraId="2B7E2BEB" w14:textId="4E3A3917" w:rsidR="008C426E" w:rsidRDefault="008C426E" w:rsidP="005D2B3F">
      <w:pPr>
        <w:jc w:val="both"/>
        <w:rPr>
          <w:rFonts w:ascii="Verdana" w:hAnsi="Verdana"/>
          <w:b/>
          <w:sz w:val="20"/>
          <w:szCs w:val="20"/>
        </w:rPr>
      </w:pPr>
      <w:r>
        <w:rPr>
          <w:rFonts w:ascii="Verdana" w:hAnsi="Verdana"/>
          <w:b/>
          <w:sz w:val="20"/>
          <w:szCs w:val="20"/>
        </w:rPr>
        <w:br w:type="page"/>
      </w:r>
    </w:p>
    <w:p w14:paraId="3420FC58" w14:textId="77777777" w:rsidR="000F50F8" w:rsidRPr="000F50F8" w:rsidRDefault="000F50F8" w:rsidP="005D2B3F">
      <w:pPr>
        <w:spacing w:line="240" w:lineRule="atLeast"/>
        <w:jc w:val="both"/>
        <w:rPr>
          <w:rFonts w:ascii="Verdana" w:hAnsi="Verdana"/>
          <w:b/>
          <w:sz w:val="28"/>
          <w:szCs w:val="28"/>
        </w:rPr>
      </w:pPr>
      <w:r w:rsidRPr="000F50F8">
        <w:rPr>
          <w:rFonts w:ascii="Verdana" w:hAnsi="Verdana"/>
          <w:b/>
          <w:color w:val="4F81BD" w:themeColor="accent1"/>
          <w:sz w:val="28"/>
          <w:szCs w:val="28"/>
        </w:rPr>
        <w:lastRenderedPageBreak/>
        <w:t xml:space="preserve">The Frequently Asked </w:t>
      </w:r>
      <w:r w:rsidR="00F073E7">
        <w:rPr>
          <w:rFonts w:ascii="Verdana" w:hAnsi="Verdana"/>
          <w:b/>
          <w:color w:val="4F81BD" w:themeColor="accent1"/>
          <w:sz w:val="28"/>
          <w:szCs w:val="28"/>
        </w:rPr>
        <w:t xml:space="preserve">Questions </w:t>
      </w:r>
      <w:r w:rsidRPr="000F50F8">
        <w:rPr>
          <w:rFonts w:ascii="Verdana" w:hAnsi="Verdana"/>
          <w:b/>
          <w:color w:val="4F81BD" w:themeColor="accent1"/>
          <w:sz w:val="28"/>
          <w:szCs w:val="28"/>
        </w:rPr>
        <w:t>and responses</w:t>
      </w:r>
    </w:p>
    <w:p w14:paraId="707D9368" w14:textId="77777777" w:rsidR="000F50F8" w:rsidRPr="000F50F8" w:rsidRDefault="000F50F8" w:rsidP="005D2B3F">
      <w:pPr>
        <w:pStyle w:val="ListParagraph"/>
        <w:numPr>
          <w:ilvl w:val="0"/>
          <w:numId w:val="23"/>
        </w:numPr>
        <w:spacing w:before="120" w:after="60" w:line="240" w:lineRule="atLeast"/>
        <w:ind w:left="357" w:hanging="357"/>
        <w:jc w:val="both"/>
        <w:rPr>
          <w:rFonts w:ascii="Verdana" w:hAnsi="Verdana"/>
          <w:b/>
          <w:i/>
          <w:szCs w:val="20"/>
        </w:rPr>
      </w:pPr>
      <w:r w:rsidRPr="000F50F8">
        <w:rPr>
          <w:rFonts w:ascii="Verdana" w:hAnsi="Verdana"/>
          <w:b/>
          <w:i/>
          <w:szCs w:val="20"/>
        </w:rPr>
        <w:t xml:space="preserve">What and where are the key governance decision points over the coming weeks and months?  What should I expect to see and do (and when)? </w:t>
      </w:r>
    </w:p>
    <w:p w14:paraId="67ACC30C" w14:textId="77777777" w:rsidR="000F50F8" w:rsidRPr="000F50F8" w:rsidRDefault="005230CB" w:rsidP="005D2B3F">
      <w:pPr>
        <w:spacing w:before="120" w:after="60" w:line="240" w:lineRule="atLeast"/>
        <w:ind w:left="357"/>
        <w:jc w:val="both"/>
        <w:rPr>
          <w:rFonts w:ascii="Verdana" w:hAnsi="Verdana"/>
          <w:sz w:val="20"/>
          <w:szCs w:val="20"/>
        </w:rPr>
      </w:pPr>
      <w:r>
        <w:rPr>
          <w:rFonts w:ascii="Verdana" w:hAnsi="Verdana"/>
          <w:sz w:val="20"/>
          <w:szCs w:val="20"/>
        </w:rPr>
        <w:t xml:space="preserve">We have taken an incremental approach to checking and assuring the developments of the central systems and participant readiness. </w:t>
      </w:r>
      <w:r w:rsidR="000F50F8" w:rsidRPr="000F50F8">
        <w:rPr>
          <w:rFonts w:ascii="Verdana" w:hAnsi="Verdana"/>
          <w:sz w:val="20"/>
          <w:szCs w:val="20"/>
        </w:rPr>
        <w:t xml:space="preserve">A sequence of key governance checkpoints and forums </w:t>
      </w:r>
      <w:r w:rsidR="00F073E7">
        <w:rPr>
          <w:rFonts w:ascii="Verdana" w:hAnsi="Verdana"/>
          <w:sz w:val="20"/>
          <w:szCs w:val="20"/>
        </w:rPr>
        <w:t xml:space="preserve">have been executed, or </w:t>
      </w:r>
      <w:r w:rsidR="000F50F8" w:rsidRPr="000F50F8">
        <w:rPr>
          <w:rFonts w:ascii="Verdana" w:hAnsi="Verdana"/>
          <w:sz w:val="20"/>
          <w:szCs w:val="20"/>
        </w:rPr>
        <w:t>are scheduled</w:t>
      </w:r>
      <w:r w:rsidR="00F073E7">
        <w:rPr>
          <w:rFonts w:ascii="Verdana" w:hAnsi="Verdana"/>
          <w:sz w:val="20"/>
          <w:szCs w:val="20"/>
        </w:rPr>
        <w:t xml:space="preserve"> to occur</w:t>
      </w:r>
      <w:r w:rsidR="000F50F8" w:rsidRPr="000F50F8">
        <w:rPr>
          <w:rFonts w:ascii="Verdana" w:hAnsi="Verdana"/>
          <w:sz w:val="20"/>
          <w:szCs w:val="20"/>
        </w:rPr>
        <w:t xml:space="preserve"> over the coming weeks in the run-up to the</w:t>
      </w:r>
      <w:r>
        <w:rPr>
          <w:rFonts w:ascii="Verdana" w:hAnsi="Verdana"/>
          <w:sz w:val="20"/>
          <w:szCs w:val="20"/>
        </w:rPr>
        <w:t xml:space="preserve"> planned</w:t>
      </w:r>
      <w:r w:rsidR="000F50F8" w:rsidRPr="000F50F8">
        <w:rPr>
          <w:rFonts w:ascii="Verdana" w:hAnsi="Verdana"/>
          <w:sz w:val="20"/>
          <w:szCs w:val="20"/>
        </w:rPr>
        <w:t xml:space="preserve"> implementation date of 01 June 2017.  Of these, the key elements are:</w:t>
      </w:r>
    </w:p>
    <w:p w14:paraId="69C399E5" w14:textId="0D79CD88" w:rsidR="00F073E7" w:rsidRPr="00F073E7" w:rsidRDefault="00F073E7" w:rsidP="005D2B3F">
      <w:pPr>
        <w:pStyle w:val="ListParagraph"/>
        <w:numPr>
          <w:ilvl w:val="0"/>
          <w:numId w:val="14"/>
        </w:numPr>
        <w:spacing w:before="120" w:after="60" w:line="240" w:lineRule="atLeast"/>
        <w:ind w:left="717"/>
        <w:jc w:val="both"/>
        <w:rPr>
          <w:rFonts w:ascii="Verdana" w:hAnsi="Verdana"/>
          <w:szCs w:val="20"/>
        </w:rPr>
      </w:pPr>
      <w:r w:rsidRPr="00F073E7">
        <w:rPr>
          <w:rFonts w:ascii="Verdana" w:hAnsi="Verdana"/>
          <w:b/>
          <w:szCs w:val="20"/>
        </w:rPr>
        <w:t>The decision to enter Market Trials Regression.</w:t>
      </w:r>
      <w:r w:rsidRPr="00F073E7">
        <w:rPr>
          <w:rFonts w:ascii="Verdana" w:hAnsi="Verdana"/>
          <w:szCs w:val="20"/>
        </w:rPr>
        <w:t xml:space="preserve"> On 09 Jan 17, the </w:t>
      </w:r>
      <w:r w:rsidR="005230CB">
        <w:rPr>
          <w:rFonts w:ascii="Verdana" w:hAnsi="Verdana"/>
          <w:szCs w:val="20"/>
        </w:rPr>
        <w:t>Project Nexus Steering Group (</w:t>
      </w:r>
      <w:r w:rsidRPr="00F073E7">
        <w:rPr>
          <w:rFonts w:ascii="Verdana" w:hAnsi="Verdana"/>
          <w:szCs w:val="20"/>
        </w:rPr>
        <w:t>PNSG</w:t>
      </w:r>
      <w:r w:rsidR="005230CB">
        <w:rPr>
          <w:rFonts w:ascii="Verdana" w:hAnsi="Verdana"/>
          <w:szCs w:val="20"/>
        </w:rPr>
        <w:t>)</w:t>
      </w:r>
      <w:r w:rsidRPr="00F073E7">
        <w:rPr>
          <w:rFonts w:ascii="Verdana" w:hAnsi="Verdana"/>
          <w:szCs w:val="20"/>
        </w:rPr>
        <w:t xml:space="preserve"> agreed that code stability had been </w:t>
      </w:r>
      <w:r w:rsidR="004B0D0E">
        <w:rPr>
          <w:rFonts w:ascii="Verdana" w:hAnsi="Verdana"/>
          <w:szCs w:val="20"/>
        </w:rPr>
        <w:t xml:space="preserve">sufficiently </w:t>
      </w:r>
      <w:r w:rsidRPr="00F073E7">
        <w:rPr>
          <w:rFonts w:ascii="Verdana" w:hAnsi="Verdana"/>
          <w:szCs w:val="20"/>
        </w:rPr>
        <w:t>attained to ente</w:t>
      </w:r>
      <w:r>
        <w:rPr>
          <w:rFonts w:ascii="Verdana" w:hAnsi="Verdana"/>
          <w:szCs w:val="20"/>
        </w:rPr>
        <w:t xml:space="preserve">r the Market Trials Regression </w:t>
      </w:r>
      <w:r w:rsidRPr="00F073E7">
        <w:rPr>
          <w:rFonts w:ascii="Verdana" w:hAnsi="Verdana"/>
          <w:szCs w:val="20"/>
        </w:rPr>
        <w:t>period</w:t>
      </w:r>
      <w:r>
        <w:rPr>
          <w:rFonts w:ascii="Verdana" w:hAnsi="Verdana"/>
          <w:szCs w:val="20"/>
        </w:rPr>
        <w:t>;</w:t>
      </w:r>
    </w:p>
    <w:p w14:paraId="0FF3CDAC" w14:textId="77777777" w:rsidR="00F073E7" w:rsidRPr="00F073E7" w:rsidRDefault="00F073E7" w:rsidP="005D2B3F">
      <w:pPr>
        <w:pStyle w:val="ListParagraph"/>
        <w:numPr>
          <w:ilvl w:val="0"/>
          <w:numId w:val="14"/>
        </w:numPr>
        <w:spacing w:before="120" w:after="60" w:line="240" w:lineRule="atLeast"/>
        <w:ind w:left="717"/>
        <w:jc w:val="both"/>
        <w:rPr>
          <w:rFonts w:ascii="Verdana" w:hAnsi="Verdana"/>
          <w:szCs w:val="20"/>
        </w:rPr>
      </w:pPr>
      <w:r w:rsidRPr="00F073E7">
        <w:rPr>
          <w:rFonts w:ascii="Verdana" w:hAnsi="Verdana"/>
          <w:b/>
          <w:szCs w:val="20"/>
        </w:rPr>
        <w:t>The decision to enter Implementation Dress Rehearsal 2 (‘IDR2)’</w:t>
      </w:r>
      <w:r w:rsidRPr="00F073E7">
        <w:rPr>
          <w:rFonts w:ascii="Verdana" w:hAnsi="Verdana"/>
          <w:szCs w:val="20"/>
        </w:rPr>
        <w:t>.  On 06 Mar 17, the PNSG agreed that the entry criteria had been attained and that Xoserve were ready to enter IDR2</w:t>
      </w:r>
      <w:r>
        <w:rPr>
          <w:rFonts w:ascii="Verdana" w:hAnsi="Verdana"/>
          <w:szCs w:val="20"/>
        </w:rPr>
        <w:t>;</w:t>
      </w:r>
    </w:p>
    <w:p w14:paraId="1725ED0B" w14:textId="77777777" w:rsidR="00F073E7" w:rsidRDefault="00F073E7" w:rsidP="005D2B3F">
      <w:pPr>
        <w:pStyle w:val="ListParagraph"/>
        <w:numPr>
          <w:ilvl w:val="0"/>
          <w:numId w:val="14"/>
        </w:numPr>
        <w:spacing w:before="120" w:after="60" w:line="240" w:lineRule="atLeast"/>
        <w:ind w:left="717"/>
        <w:jc w:val="both"/>
        <w:rPr>
          <w:rFonts w:ascii="Verdana" w:hAnsi="Verdana"/>
          <w:szCs w:val="20"/>
        </w:rPr>
      </w:pPr>
      <w:r w:rsidRPr="00F073E7">
        <w:rPr>
          <w:rFonts w:ascii="Verdana" w:hAnsi="Verdana"/>
          <w:b/>
          <w:szCs w:val="20"/>
        </w:rPr>
        <w:t>The decision to exit</w:t>
      </w:r>
      <w:r>
        <w:rPr>
          <w:rFonts w:ascii="Verdana" w:hAnsi="Verdana"/>
          <w:b/>
          <w:szCs w:val="20"/>
        </w:rPr>
        <w:t xml:space="preserve"> Market Trials Regression</w:t>
      </w:r>
      <w:r w:rsidRPr="00F073E7">
        <w:rPr>
          <w:rFonts w:ascii="Verdana" w:hAnsi="Verdana"/>
          <w:b/>
          <w:szCs w:val="20"/>
        </w:rPr>
        <w:t xml:space="preserve"> </w:t>
      </w:r>
      <w:r>
        <w:rPr>
          <w:rFonts w:ascii="Verdana" w:hAnsi="Verdana"/>
          <w:b/>
          <w:szCs w:val="20"/>
        </w:rPr>
        <w:t>(‘</w:t>
      </w:r>
      <w:r w:rsidRPr="00F073E7">
        <w:rPr>
          <w:rFonts w:ascii="Verdana" w:hAnsi="Verdana"/>
          <w:b/>
          <w:szCs w:val="20"/>
        </w:rPr>
        <w:t>MTR</w:t>
      </w:r>
      <w:r>
        <w:rPr>
          <w:rFonts w:ascii="Verdana" w:hAnsi="Verdana"/>
          <w:b/>
          <w:szCs w:val="20"/>
        </w:rPr>
        <w:t>’)</w:t>
      </w:r>
      <w:r w:rsidRPr="00F073E7">
        <w:rPr>
          <w:rFonts w:ascii="Verdana" w:hAnsi="Verdana"/>
          <w:szCs w:val="20"/>
        </w:rPr>
        <w:t xml:space="preserve">.  On 22 Mar 17, the PNSG agreed that the MTR period could be formally closed with a number of caveats.  These caveats included the continued execution of a small number of test lines that had not been completed.  Testing of these lines was allowed to continue during the pre-determined MTR contingency </w:t>
      </w:r>
      <w:r>
        <w:rPr>
          <w:rFonts w:ascii="Verdana" w:hAnsi="Verdana"/>
          <w:szCs w:val="20"/>
        </w:rPr>
        <w:t>period which ended on 21 Apr 17;</w:t>
      </w:r>
    </w:p>
    <w:p w14:paraId="25038342" w14:textId="7023E54A" w:rsidR="00F073E7" w:rsidRPr="00F073E7" w:rsidRDefault="004B0D0E" w:rsidP="005D2B3F">
      <w:pPr>
        <w:pStyle w:val="ListParagraph"/>
        <w:numPr>
          <w:ilvl w:val="0"/>
          <w:numId w:val="14"/>
        </w:numPr>
        <w:spacing w:before="120" w:after="60" w:line="240" w:lineRule="atLeast"/>
        <w:ind w:left="717"/>
        <w:jc w:val="both"/>
        <w:rPr>
          <w:rFonts w:ascii="Verdana" w:hAnsi="Verdana"/>
          <w:szCs w:val="20"/>
        </w:rPr>
      </w:pPr>
      <w:r w:rsidRPr="000F50F8">
        <w:rPr>
          <w:rFonts w:ascii="Verdana" w:hAnsi="Verdana"/>
          <w:b/>
          <w:szCs w:val="20"/>
        </w:rPr>
        <w:t>A dry-run of the go</w:t>
      </w:r>
      <w:r>
        <w:rPr>
          <w:rFonts w:ascii="Verdana" w:hAnsi="Verdana"/>
          <w:b/>
          <w:szCs w:val="20"/>
        </w:rPr>
        <w:t xml:space="preserve"> / no-go decision on 13 April </w:t>
      </w:r>
      <w:r w:rsidRPr="000F50F8">
        <w:rPr>
          <w:rFonts w:ascii="Verdana" w:hAnsi="Verdana"/>
          <w:b/>
          <w:szCs w:val="20"/>
        </w:rPr>
        <w:t>17</w:t>
      </w:r>
      <w:r w:rsidRPr="000F50F8">
        <w:rPr>
          <w:rFonts w:ascii="Verdana" w:hAnsi="Verdana"/>
          <w:szCs w:val="20"/>
        </w:rPr>
        <w:t xml:space="preserve">, attended by the PNSG members. This will be based on the information, amongst other sources provided by the ‘G2’ milestone and the IDR2 exit decision (see below); </w:t>
      </w:r>
      <w:r w:rsidR="00F073E7" w:rsidRPr="00F073E7">
        <w:rPr>
          <w:rFonts w:ascii="Verdana" w:hAnsi="Verdana"/>
          <w:b/>
          <w:szCs w:val="20"/>
        </w:rPr>
        <w:t>Decision to enter Implementation Dress Rehearsal 3 (‘IDR3’</w:t>
      </w:r>
      <w:r w:rsidR="00F073E7">
        <w:rPr>
          <w:rFonts w:ascii="Verdana" w:hAnsi="Verdana"/>
          <w:szCs w:val="20"/>
        </w:rPr>
        <w:t xml:space="preserve">).  On 06 Apr </w:t>
      </w:r>
      <w:r w:rsidR="00F073E7" w:rsidRPr="00F073E7">
        <w:rPr>
          <w:rFonts w:ascii="Verdana" w:hAnsi="Verdana"/>
          <w:szCs w:val="20"/>
        </w:rPr>
        <w:t>17, the PNSG agreed that IDR2 had successfully exited and that the IDR3 entry criteria had been met and that X</w:t>
      </w:r>
      <w:r w:rsidR="00F073E7">
        <w:rPr>
          <w:rFonts w:ascii="Verdana" w:hAnsi="Verdana"/>
          <w:szCs w:val="20"/>
        </w:rPr>
        <w:t>oserve were ready to enter IDR3;</w:t>
      </w:r>
    </w:p>
    <w:p w14:paraId="12CF40AA" w14:textId="2C20331B" w:rsidR="000F50F8" w:rsidRPr="000F50F8" w:rsidRDefault="000F50F8" w:rsidP="005D2B3F">
      <w:pPr>
        <w:pStyle w:val="ListParagraph"/>
        <w:numPr>
          <w:ilvl w:val="0"/>
          <w:numId w:val="14"/>
        </w:numPr>
        <w:spacing w:before="120" w:after="60" w:line="240" w:lineRule="atLeast"/>
        <w:ind w:left="717"/>
        <w:jc w:val="both"/>
        <w:rPr>
          <w:rFonts w:ascii="Verdana" w:hAnsi="Verdana"/>
          <w:szCs w:val="20"/>
        </w:rPr>
      </w:pPr>
      <w:r w:rsidRPr="000F50F8">
        <w:rPr>
          <w:rFonts w:ascii="Verdana" w:hAnsi="Verdana"/>
          <w:b/>
          <w:szCs w:val="20"/>
        </w:rPr>
        <w:t xml:space="preserve">The final go / no-go decision </w:t>
      </w:r>
      <w:r w:rsidR="004B0D0E">
        <w:rPr>
          <w:rFonts w:ascii="Verdana" w:hAnsi="Verdana"/>
          <w:b/>
          <w:szCs w:val="20"/>
        </w:rPr>
        <w:t>from</w:t>
      </w:r>
      <w:r w:rsidRPr="000F50F8">
        <w:rPr>
          <w:rFonts w:ascii="Verdana" w:hAnsi="Verdana"/>
          <w:b/>
          <w:szCs w:val="20"/>
        </w:rPr>
        <w:t xml:space="preserve"> 17 May 2017</w:t>
      </w:r>
      <w:r w:rsidRPr="000F50F8">
        <w:rPr>
          <w:rFonts w:ascii="Verdana" w:hAnsi="Verdana"/>
          <w:szCs w:val="20"/>
        </w:rPr>
        <w:t xml:space="preserve">. This will be made by the Project Nexus Steering Group (‘PNSG’), which has representation from all key market participant communities that are impacted by Project </w:t>
      </w:r>
      <w:r w:rsidR="00F073E7">
        <w:rPr>
          <w:rFonts w:ascii="Verdana" w:hAnsi="Verdana"/>
          <w:szCs w:val="20"/>
        </w:rPr>
        <w:t xml:space="preserve">Nexus. The decision on 17 May </w:t>
      </w:r>
      <w:r w:rsidRPr="000F50F8">
        <w:rPr>
          <w:rFonts w:ascii="Verdana" w:hAnsi="Verdana"/>
          <w:szCs w:val="20"/>
        </w:rPr>
        <w:t>17 will be ‘in principle’ and will be confirm</w:t>
      </w:r>
      <w:r w:rsidR="00F073E7">
        <w:rPr>
          <w:rFonts w:ascii="Verdana" w:hAnsi="Verdana"/>
          <w:szCs w:val="20"/>
        </w:rPr>
        <w:t>ed at a subsequent meeting on 19 May 17, Barring an unforeseen event,</w:t>
      </w:r>
      <w:r w:rsidRPr="000F50F8">
        <w:rPr>
          <w:rFonts w:ascii="Verdana" w:hAnsi="Verdana"/>
          <w:szCs w:val="20"/>
        </w:rPr>
        <w:t xml:space="preserve"> the industry will</w:t>
      </w:r>
      <w:r w:rsidR="00F073E7">
        <w:rPr>
          <w:rFonts w:ascii="Verdana" w:hAnsi="Verdana"/>
          <w:szCs w:val="20"/>
        </w:rPr>
        <w:t xml:space="preserve"> then</w:t>
      </w:r>
      <w:r w:rsidRPr="000F50F8">
        <w:rPr>
          <w:rFonts w:ascii="Verdana" w:hAnsi="Verdana"/>
          <w:szCs w:val="20"/>
        </w:rPr>
        <w:t xml:space="preserve"> move to a ‘fix forward’ situation</w:t>
      </w:r>
      <w:r w:rsidR="00F073E7">
        <w:rPr>
          <w:rFonts w:ascii="Verdana" w:hAnsi="Verdana"/>
          <w:szCs w:val="20"/>
        </w:rPr>
        <w:t xml:space="preserve"> on 22 May 17</w:t>
      </w:r>
      <w:r w:rsidRPr="000F50F8">
        <w:rPr>
          <w:rFonts w:ascii="Verdana" w:hAnsi="Verdana"/>
          <w:szCs w:val="20"/>
        </w:rPr>
        <w:t>. Materials and information to drive this decision will be circulated to PNSG members by the Nexus P</w:t>
      </w:r>
      <w:r w:rsidR="004B0D0E">
        <w:rPr>
          <w:rFonts w:ascii="Verdana" w:hAnsi="Verdana"/>
          <w:szCs w:val="20"/>
        </w:rPr>
        <w:t xml:space="preserve">roject </w:t>
      </w:r>
      <w:r w:rsidRPr="000F50F8">
        <w:rPr>
          <w:rFonts w:ascii="Verdana" w:hAnsi="Verdana"/>
          <w:szCs w:val="20"/>
        </w:rPr>
        <w:t>M</w:t>
      </w:r>
      <w:r w:rsidR="004B0D0E">
        <w:rPr>
          <w:rFonts w:ascii="Verdana" w:hAnsi="Verdana"/>
          <w:szCs w:val="20"/>
        </w:rPr>
        <w:t xml:space="preserve">anagement </w:t>
      </w:r>
      <w:r w:rsidRPr="000F50F8">
        <w:rPr>
          <w:rFonts w:ascii="Verdana" w:hAnsi="Verdana"/>
          <w:szCs w:val="20"/>
        </w:rPr>
        <w:t>O</w:t>
      </w:r>
      <w:r w:rsidR="004B0D0E">
        <w:rPr>
          <w:rFonts w:ascii="Verdana" w:hAnsi="Verdana"/>
          <w:szCs w:val="20"/>
        </w:rPr>
        <w:t>ffice (‘PMO’)</w:t>
      </w:r>
      <w:r w:rsidRPr="000F50F8">
        <w:rPr>
          <w:rFonts w:ascii="Verdana" w:hAnsi="Verdana"/>
          <w:szCs w:val="20"/>
        </w:rPr>
        <w:t xml:space="preserve"> in advance of this meeting;</w:t>
      </w:r>
      <w:r w:rsidR="00A23CFA">
        <w:rPr>
          <w:rFonts w:ascii="Verdana" w:hAnsi="Verdana"/>
          <w:szCs w:val="20"/>
        </w:rPr>
        <w:t xml:space="preserve"> and</w:t>
      </w:r>
    </w:p>
    <w:p w14:paraId="292E2D63" w14:textId="525275FB" w:rsidR="000F50F8" w:rsidRPr="000F50F8" w:rsidRDefault="000F50F8" w:rsidP="005D2B3F">
      <w:pPr>
        <w:pStyle w:val="ListParagraph"/>
        <w:numPr>
          <w:ilvl w:val="0"/>
          <w:numId w:val="14"/>
        </w:numPr>
        <w:spacing w:before="120" w:after="60" w:line="240" w:lineRule="atLeast"/>
        <w:ind w:left="717"/>
        <w:jc w:val="both"/>
        <w:rPr>
          <w:rFonts w:ascii="Verdana" w:hAnsi="Verdana"/>
          <w:szCs w:val="20"/>
        </w:rPr>
      </w:pPr>
      <w:r w:rsidRPr="000F50F8">
        <w:rPr>
          <w:rFonts w:ascii="Verdana" w:hAnsi="Verdana"/>
          <w:szCs w:val="20"/>
        </w:rPr>
        <w:t xml:space="preserve">Underpinning the final decision </w:t>
      </w:r>
      <w:r w:rsidRPr="000F50F8">
        <w:rPr>
          <w:rFonts w:ascii="Verdana" w:hAnsi="Verdana"/>
          <w:b/>
          <w:szCs w:val="20"/>
        </w:rPr>
        <w:t xml:space="preserve">is the critical information provided by the go / no-go (‘GONG’) framework </w:t>
      </w:r>
      <w:r w:rsidRPr="000F50F8">
        <w:rPr>
          <w:rFonts w:ascii="Verdana" w:hAnsi="Verdana"/>
          <w:szCs w:val="20"/>
        </w:rPr>
        <w:t>that has been communicated to market participa</w:t>
      </w:r>
      <w:r w:rsidR="00F073E7">
        <w:rPr>
          <w:rFonts w:ascii="Verdana" w:hAnsi="Verdana"/>
          <w:szCs w:val="20"/>
        </w:rPr>
        <w:t>nts and Xoserve over the last year</w:t>
      </w:r>
      <w:r w:rsidRPr="000F50F8">
        <w:rPr>
          <w:rFonts w:ascii="Verdana" w:hAnsi="Verdana"/>
          <w:szCs w:val="20"/>
        </w:rPr>
        <w:t>.  The GONG framework</w:t>
      </w:r>
      <w:r w:rsidR="00F073E7">
        <w:rPr>
          <w:rFonts w:ascii="Verdana" w:hAnsi="Verdana"/>
          <w:szCs w:val="20"/>
        </w:rPr>
        <w:t xml:space="preserve"> has measured</w:t>
      </w:r>
      <w:r w:rsidRPr="000F50F8">
        <w:rPr>
          <w:rFonts w:ascii="Verdana" w:hAnsi="Verdana"/>
          <w:szCs w:val="20"/>
        </w:rPr>
        <w:t xml:space="preserve"> the glide path of participants’ and Xoserve’</w:t>
      </w:r>
      <w:r w:rsidR="00F073E7">
        <w:rPr>
          <w:rFonts w:ascii="Verdana" w:hAnsi="Verdana"/>
          <w:szCs w:val="20"/>
        </w:rPr>
        <w:t>s readiness for go-live at two</w:t>
      </w:r>
      <w:r w:rsidRPr="000F50F8">
        <w:rPr>
          <w:rFonts w:ascii="Verdana" w:hAnsi="Verdana"/>
          <w:szCs w:val="20"/>
        </w:rPr>
        <w:t xml:space="preserve"> points in time (G1 at 22</w:t>
      </w:r>
      <w:r w:rsidR="005230CB">
        <w:rPr>
          <w:rFonts w:ascii="Verdana" w:hAnsi="Verdana"/>
          <w:szCs w:val="20"/>
        </w:rPr>
        <w:t>/12/</w:t>
      </w:r>
      <w:r w:rsidR="00F073E7">
        <w:rPr>
          <w:rFonts w:ascii="Verdana" w:hAnsi="Verdana"/>
          <w:szCs w:val="20"/>
        </w:rPr>
        <w:t>16, G2 at 24</w:t>
      </w:r>
      <w:r w:rsidR="005230CB">
        <w:rPr>
          <w:rFonts w:ascii="Verdana" w:hAnsi="Verdana"/>
          <w:szCs w:val="20"/>
        </w:rPr>
        <w:t>/12/</w:t>
      </w:r>
      <w:r w:rsidR="00F073E7">
        <w:rPr>
          <w:rFonts w:ascii="Verdana" w:hAnsi="Verdana"/>
          <w:szCs w:val="20"/>
        </w:rPr>
        <w:t>17). A final readiness assessment will be made (G3) at 30</w:t>
      </w:r>
      <w:r w:rsidR="005230CB">
        <w:rPr>
          <w:rFonts w:ascii="Verdana" w:hAnsi="Verdana"/>
          <w:szCs w:val="20"/>
        </w:rPr>
        <w:t>/</w:t>
      </w:r>
      <w:r w:rsidR="006E6BFD">
        <w:rPr>
          <w:rFonts w:ascii="Verdana" w:hAnsi="Verdana"/>
          <w:szCs w:val="20"/>
        </w:rPr>
        <w:t>04/</w:t>
      </w:r>
      <w:r w:rsidR="00F073E7">
        <w:rPr>
          <w:rFonts w:ascii="Verdana" w:hAnsi="Verdana"/>
          <w:szCs w:val="20"/>
        </w:rPr>
        <w:t>17</w:t>
      </w:r>
      <w:r w:rsidRPr="000F50F8">
        <w:rPr>
          <w:rFonts w:ascii="Verdana" w:hAnsi="Verdana"/>
          <w:szCs w:val="20"/>
        </w:rPr>
        <w:t>.</w:t>
      </w:r>
    </w:p>
    <w:p w14:paraId="6B8FE523" w14:textId="77777777" w:rsidR="000F50F8" w:rsidRDefault="000F50F8" w:rsidP="005D2B3F">
      <w:pPr>
        <w:spacing w:before="120" w:after="60" w:line="240" w:lineRule="atLeast"/>
        <w:ind w:left="357"/>
        <w:jc w:val="both"/>
        <w:rPr>
          <w:rFonts w:ascii="Verdana" w:hAnsi="Verdana"/>
          <w:sz w:val="20"/>
          <w:szCs w:val="20"/>
        </w:rPr>
      </w:pPr>
      <w:r w:rsidRPr="000F50F8">
        <w:rPr>
          <w:rFonts w:ascii="Verdana" w:hAnsi="Verdana"/>
          <w:sz w:val="20"/>
          <w:szCs w:val="20"/>
        </w:rPr>
        <w:t xml:space="preserve">The key governance forums and their dates are summarised below, with further details </w:t>
      </w:r>
      <w:r w:rsidR="005230CB">
        <w:rPr>
          <w:rFonts w:ascii="Verdana" w:hAnsi="Verdana"/>
          <w:sz w:val="20"/>
          <w:szCs w:val="20"/>
        </w:rPr>
        <w:t xml:space="preserve">to be made </w:t>
      </w:r>
      <w:r w:rsidRPr="000F50F8">
        <w:rPr>
          <w:rFonts w:ascii="Verdana" w:hAnsi="Verdana"/>
          <w:sz w:val="20"/>
          <w:szCs w:val="20"/>
        </w:rPr>
        <w:t>available in PNSG packs on the Ofgem website.</w:t>
      </w:r>
    </w:p>
    <w:tbl>
      <w:tblPr>
        <w:tblStyle w:val="TableGrid"/>
        <w:tblW w:w="9277" w:type="dxa"/>
        <w:tblInd w:w="357" w:type="dxa"/>
        <w:tblLook w:val="04A0" w:firstRow="1" w:lastRow="0" w:firstColumn="1" w:lastColumn="0" w:noHBand="0" w:noVBand="1"/>
      </w:tblPr>
      <w:tblGrid>
        <w:gridCol w:w="1056"/>
        <w:gridCol w:w="992"/>
        <w:gridCol w:w="7229"/>
      </w:tblGrid>
      <w:tr w:rsidR="000F50F8" w:rsidRPr="000F50F8" w14:paraId="21BDA995" w14:textId="77777777" w:rsidTr="008651C7">
        <w:tc>
          <w:tcPr>
            <w:tcW w:w="1056" w:type="dxa"/>
            <w:tcBorders>
              <w:top w:val="single" w:sz="4" w:space="0" w:color="auto"/>
              <w:left w:val="single" w:sz="4" w:space="0" w:color="auto"/>
              <w:bottom w:val="single" w:sz="4" w:space="0" w:color="auto"/>
              <w:right w:val="single" w:sz="4" w:space="0" w:color="auto"/>
            </w:tcBorders>
            <w:hideMark/>
          </w:tcPr>
          <w:p w14:paraId="3EC8F6D9" w14:textId="77777777" w:rsidR="000F50F8" w:rsidRPr="000F50F8" w:rsidRDefault="000F50F8" w:rsidP="005D2B3F">
            <w:pPr>
              <w:spacing w:before="60" w:after="60" w:line="240" w:lineRule="atLeast"/>
              <w:jc w:val="both"/>
              <w:rPr>
                <w:rFonts w:ascii="Verdana" w:hAnsi="Verdana"/>
                <w:b/>
                <w:sz w:val="20"/>
                <w:szCs w:val="20"/>
              </w:rPr>
            </w:pPr>
            <w:r w:rsidRPr="000F50F8">
              <w:rPr>
                <w:rFonts w:ascii="Verdana" w:hAnsi="Verdana"/>
                <w:b/>
                <w:sz w:val="20"/>
                <w:szCs w:val="20"/>
              </w:rPr>
              <w:t>Date</w:t>
            </w:r>
          </w:p>
        </w:tc>
        <w:tc>
          <w:tcPr>
            <w:tcW w:w="992" w:type="dxa"/>
            <w:tcBorders>
              <w:top w:val="single" w:sz="4" w:space="0" w:color="auto"/>
              <w:left w:val="single" w:sz="4" w:space="0" w:color="auto"/>
              <w:bottom w:val="single" w:sz="4" w:space="0" w:color="auto"/>
              <w:right w:val="single" w:sz="4" w:space="0" w:color="auto"/>
            </w:tcBorders>
            <w:hideMark/>
          </w:tcPr>
          <w:p w14:paraId="3EB2C104" w14:textId="77777777" w:rsidR="000F50F8" w:rsidRPr="000F50F8" w:rsidRDefault="000F50F8" w:rsidP="005D2B3F">
            <w:pPr>
              <w:spacing w:before="60" w:after="60" w:line="240" w:lineRule="atLeast"/>
              <w:jc w:val="both"/>
              <w:rPr>
                <w:rFonts w:ascii="Verdana" w:hAnsi="Verdana"/>
                <w:b/>
                <w:sz w:val="20"/>
                <w:szCs w:val="20"/>
              </w:rPr>
            </w:pPr>
            <w:r w:rsidRPr="000F50F8">
              <w:rPr>
                <w:rFonts w:ascii="Verdana" w:hAnsi="Verdana"/>
                <w:b/>
                <w:sz w:val="20"/>
                <w:szCs w:val="20"/>
              </w:rPr>
              <w:t>Forum</w:t>
            </w:r>
          </w:p>
        </w:tc>
        <w:tc>
          <w:tcPr>
            <w:tcW w:w="7229" w:type="dxa"/>
            <w:tcBorders>
              <w:top w:val="single" w:sz="4" w:space="0" w:color="auto"/>
              <w:left w:val="single" w:sz="4" w:space="0" w:color="auto"/>
              <w:bottom w:val="single" w:sz="4" w:space="0" w:color="auto"/>
              <w:right w:val="single" w:sz="4" w:space="0" w:color="auto"/>
            </w:tcBorders>
            <w:hideMark/>
          </w:tcPr>
          <w:p w14:paraId="6AA39CA7" w14:textId="77777777" w:rsidR="000F50F8" w:rsidRPr="000F50F8" w:rsidRDefault="000F50F8" w:rsidP="005D2B3F">
            <w:pPr>
              <w:spacing w:before="60" w:after="60" w:line="240" w:lineRule="atLeast"/>
              <w:jc w:val="both"/>
              <w:rPr>
                <w:rFonts w:ascii="Verdana" w:hAnsi="Verdana"/>
                <w:b/>
                <w:sz w:val="20"/>
                <w:szCs w:val="20"/>
              </w:rPr>
            </w:pPr>
            <w:r w:rsidRPr="000F50F8">
              <w:rPr>
                <w:rFonts w:ascii="Verdana" w:hAnsi="Verdana"/>
                <w:b/>
                <w:sz w:val="20"/>
                <w:szCs w:val="20"/>
              </w:rPr>
              <w:t>Activity</w:t>
            </w:r>
          </w:p>
        </w:tc>
      </w:tr>
      <w:tr w:rsidR="000F50F8" w:rsidRPr="000F50F8" w14:paraId="0A5ED5D6" w14:textId="77777777" w:rsidTr="008651C7">
        <w:tc>
          <w:tcPr>
            <w:tcW w:w="1056" w:type="dxa"/>
            <w:tcBorders>
              <w:top w:val="single" w:sz="4" w:space="0" w:color="auto"/>
              <w:left w:val="single" w:sz="4" w:space="0" w:color="auto"/>
              <w:bottom w:val="single" w:sz="4" w:space="0" w:color="auto"/>
              <w:right w:val="single" w:sz="4" w:space="0" w:color="auto"/>
            </w:tcBorders>
            <w:hideMark/>
          </w:tcPr>
          <w:p w14:paraId="0A5FE922" w14:textId="75CFA570" w:rsidR="000F50F8" w:rsidRPr="000F50F8" w:rsidRDefault="00F073E7" w:rsidP="005D2B3F">
            <w:pPr>
              <w:spacing w:before="60" w:after="60" w:line="240" w:lineRule="atLeast"/>
              <w:jc w:val="both"/>
              <w:rPr>
                <w:rFonts w:ascii="Verdana" w:hAnsi="Verdana"/>
                <w:sz w:val="20"/>
                <w:szCs w:val="20"/>
              </w:rPr>
            </w:pPr>
            <w:r>
              <w:rPr>
                <w:rFonts w:ascii="Verdana" w:hAnsi="Verdana"/>
                <w:sz w:val="20"/>
                <w:szCs w:val="20"/>
              </w:rPr>
              <w:t>02 May</w:t>
            </w:r>
          </w:p>
        </w:tc>
        <w:tc>
          <w:tcPr>
            <w:tcW w:w="992" w:type="dxa"/>
            <w:tcBorders>
              <w:top w:val="single" w:sz="4" w:space="0" w:color="auto"/>
              <w:left w:val="single" w:sz="4" w:space="0" w:color="auto"/>
              <w:bottom w:val="single" w:sz="4" w:space="0" w:color="auto"/>
              <w:right w:val="single" w:sz="4" w:space="0" w:color="auto"/>
            </w:tcBorders>
            <w:hideMark/>
          </w:tcPr>
          <w:p w14:paraId="1C7F7CD1"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PNSG</w:t>
            </w:r>
          </w:p>
        </w:tc>
        <w:tc>
          <w:tcPr>
            <w:tcW w:w="7229" w:type="dxa"/>
            <w:tcBorders>
              <w:top w:val="single" w:sz="4" w:space="0" w:color="auto"/>
              <w:left w:val="single" w:sz="4" w:space="0" w:color="auto"/>
              <w:bottom w:val="single" w:sz="4" w:space="0" w:color="auto"/>
              <w:right w:val="single" w:sz="4" w:space="0" w:color="auto"/>
            </w:tcBorders>
            <w:hideMark/>
          </w:tcPr>
          <w:p w14:paraId="61E431FE"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Nexus PMO release pack for 04 May PNSG</w:t>
            </w:r>
          </w:p>
        </w:tc>
      </w:tr>
      <w:tr w:rsidR="000F50F8" w:rsidRPr="000F50F8" w14:paraId="7B104587" w14:textId="77777777" w:rsidTr="008651C7">
        <w:tc>
          <w:tcPr>
            <w:tcW w:w="1056" w:type="dxa"/>
            <w:tcBorders>
              <w:top w:val="single" w:sz="4" w:space="0" w:color="auto"/>
              <w:left w:val="single" w:sz="4" w:space="0" w:color="auto"/>
              <w:bottom w:val="single" w:sz="4" w:space="0" w:color="auto"/>
              <w:right w:val="single" w:sz="4" w:space="0" w:color="auto"/>
            </w:tcBorders>
            <w:hideMark/>
          </w:tcPr>
          <w:p w14:paraId="733E302E" w14:textId="45A772E3" w:rsidR="000F50F8" w:rsidRPr="000F50F8" w:rsidRDefault="00F073E7" w:rsidP="005D2B3F">
            <w:pPr>
              <w:spacing w:before="60" w:after="60" w:line="240" w:lineRule="atLeast"/>
              <w:jc w:val="both"/>
              <w:rPr>
                <w:rFonts w:ascii="Verdana" w:hAnsi="Verdana"/>
                <w:sz w:val="20"/>
                <w:szCs w:val="20"/>
              </w:rPr>
            </w:pPr>
            <w:r>
              <w:rPr>
                <w:rFonts w:ascii="Verdana" w:hAnsi="Verdana"/>
                <w:sz w:val="20"/>
                <w:szCs w:val="20"/>
              </w:rPr>
              <w:t>04 May</w:t>
            </w:r>
          </w:p>
        </w:tc>
        <w:tc>
          <w:tcPr>
            <w:tcW w:w="992" w:type="dxa"/>
            <w:tcBorders>
              <w:top w:val="single" w:sz="4" w:space="0" w:color="auto"/>
              <w:left w:val="single" w:sz="4" w:space="0" w:color="auto"/>
              <w:bottom w:val="single" w:sz="4" w:space="0" w:color="auto"/>
              <w:right w:val="single" w:sz="4" w:space="0" w:color="auto"/>
            </w:tcBorders>
            <w:hideMark/>
          </w:tcPr>
          <w:p w14:paraId="33CB52D1"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PNSG</w:t>
            </w:r>
          </w:p>
        </w:tc>
        <w:tc>
          <w:tcPr>
            <w:tcW w:w="7229" w:type="dxa"/>
            <w:tcBorders>
              <w:top w:val="single" w:sz="4" w:space="0" w:color="auto"/>
              <w:left w:val="single" w:sz="4" w:space="0" w:color="auto"/>
              <w:bottom w:val="single" w:sz="4" w:space="0" w:color="auto"/>
              <w:right w:val="single" w:sz="4" w:space="0" w:color="auto"/>
            </w:tcBorders>
            <w:hideMark/>
          </w:tcPr>
          <w:p w14:paraId="1A34EA61"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Review G3 assessment</w:t>
            </w:r>
          </w:p>
        </w:tc>
      </w:tr>
      <w:tr w:rsidR="000F50F8" w:rsidRPr="000F50F8" w14:paraId="45A61B92" w14:textId="77777777" w:rsidTr="008651C7">
        <w:tc>
          <w:tcPr>
            <w:tcW w:w="1056" w:type="dxa"/>
            <w:tcBorders>
              <w:top w:val="single" w:sz="4" w:space="0" w:color="auto"/>
              <w:left w:val="single" w:sz="4" w:space="0" w:color="auto"/>
              <w:bottom w:val="single" w:sz="4" w:space="0" w:color="auto"/>
              <w:right w:val="single" w:sz="4" w:space="0" w:color="auto"/>
            </w:tcBorders>
            <w:hideMark/>
          </w:tcPr>
          <w:p w14:paraId="3A485862" w14:textId="4D794CB9" w:rsidR="000F50F8" w:rsidRPr="000F50F8" w:rsidRDefault="00F073E7" w:rsidP="005D2B3F">
            <w:pPr>
              <w:spacing w:before="60" w:after="60" w:line="240" w:lineRule="atLeast"/>
              <w:jc w:val="both"/>
              <w:rPr>
                <w:rFonts w:ascii="Verdana" w:hAnsi="Verdana"/>
                <w:sz w:val="20"/>
                <w:szCs w:val="20"/>
              </w:rPr>
            </w:pPr>
            <w:r>
              <w:rPr>
                <w:rFonts w:ascii="Verdana" w:hAnsi="Verdana"/>
                <w:sz w:val="20"/>
                <w:szCs w:val="20"/>
              </w:rPr>
              <w:t>08 May</w:t>
            </w:r>
            <w:r w:rsidR="000F50F8" w:rsidRPr="000F50F8">
              <w:rPr>
                <w:rFonts w:ascii="Verdana" w:hAnsi="Verdana"/>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47389B0"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PNSF</w:t>
            </w:r>
          </w:p>
        </w:tc>
        <w:tc>
          <w:tcPr>
            <w:tcW w:w="7229" w:type="dxa"/>
            <w:tcBorders>
              <w:top w:val="single" w:sz="4" w:space="0" w:color="auto"/>
              <w:left w:val="single" w:sz="4" w:space="0" w:color="auto"/>
              <w:bottom w:val="single" w:sz="4" w:space="0" w:color="auto"/>
              <w:right w:val="single" w:sz="4" w:space="0" w:color="auto"/>
            </w:tcBorders>
            <w:hideMark/>
          </w:tcPr>
          <w:p w14:paraId="5F75CF7F"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 xml:space="preserve">Nexus PMO release pack for 10 May </w:t>
            </w:r>
            <w:r w:rsidR="005230CB">
              <w:rPr>
                <w:rFonts w:ascii="Verdana" w:hAnsi="Verdana"/>
                <w:sz w:val="20"/>
                <w:szCs w:val="20"/>
              </w:rPr>
              <w:t>Project Nexus Sponsors Forum (</w:t>
            </w:r>
            <w:r w:rsidRPr="000F50F8">
              <w:rPr>
                <w:rFonts w:ascii="Verdana" w:hAnsi="Verdana"/>
                <w:sz w:val="20"/>
                <w:szCs w:val="20"/>
              </w:rPr>
              <w:t>PNSF</w:t>
            </w:r>
            <w:r w:rsidR="005230CB">
              <w:rPr>
                <w:rFonts w:ascii="Verdana" w:hAnsi="Verdana"/>
                <w:sz w:val="20"/>
                <w:szCs w:val="20"/>
              </w:rPr>
              <w:t>) meeting</w:t>
            </w:r>
          </w:p>
        </w:tc>
      </w:tr>
      <w:tr w:rsidR="000F50F8" w:rsidRPr="000F50F8" w14:paraId="22E60D46" w14:textId="77777777" w:rsidTr="008651C7">
        <w:tc>
          <w:tcPr>
            <w:tcW w:w="1056" w:type="dxa"/>
            <w:tcBorders>
              <w:top w:val="single" w:sz="4" w:space="0" w:color="auto"/>
              <w:left w:val="single" w:sz="4" w:space="0" w:color="auto"/>
              <w:bottom w:val="single" w:sz="4" w:space="0" w:color="auto"/>
              <w:right w:val="single" w:sz="4" w:space="0" w:color="auto"/>
            </w:tcBorders>
            <w:hideMark/>
          </w:tcPr>
          <w:p w14:paraId="107C811D" w14:textId="155E00DE" w:rsidR="000F50F8" w:rsidRPr="000F50F8" w:rsidRDefault="00F073E7" w:rsidP="005D2B3F">
            <w:pPr>
              <w:spacing w:before="60" w:after="60" w:line="240" w:lineRule="atLeast"/>
              <w:jc w:val="both"/>
              <w:rPr>
                <w:rFonts w:ascii="Verdana" w:hAnsi="Verdana"/>
                <w:sz w:val="20"/>
                <w:szCs w:val="20"/>
              </w:rPr>
            </w:pPr>
            <w:r>
              <w:rPr>
                <w:rFonts w:ascii="Verdana" w:hAnsi="Verdana"/>
                <w:sz w:val="20"/>
                <w:szCs w:val="20"/>
              </w:rPr>
              <w:t>10 May</w:t>
            </w:r>
          </w:p>
        </w:tc>
        <w:tc>
          <w:tcPr>
            <w:tcW w:w="992" w:type="dxa"/>
            <w:tcBorders>
              <w:top w:val="single" w:sz="4" w:space="0" w:color="auto"/>
              <w:left w:val="single" w:sz="4" w:space="0" w:color="auto"/>
              <w:bottom w:val="single" w:sz="4" w:space="0" w:color="auto"/>
              <w:right w:val="single" w:sz="4" w:space="0" w:color="auto"/>
            </w:tcBorders>
            <w:hideMark/>
          </w:tcPr>
          <w:p w14:paraId="1371FD8B"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PNSF</w:t>
            </w:r>
          </w:p>
        </w:tc>
        <w:tc>
          <w:tcPr>
            <w:tcW w:w="7229" w:type="dxa"/>
            <w:tcBorders>
              <w:top w:val="single" w:sz="4" w:space="0" w:color="auto"/>
              <w:left w:val="single" w:sz="4" w:space="0" w:color="auto"/>
              <w:bottom w:val="single" w:sz="4" w:space="0" w:color="auto"/>
              <w:right w:val="single" w:sz="4" w:space="0" w:color="auto"/>
            </w:tcBorders>
            <w:hideMark/>
          </w:tcPr>
          <w:p w14:paraId="17188654"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PNSF meeting – information only, no decisions expected</w:t>
            </w:r>
          </w:p>
        </w:tc>
      </w:tr>
      <w:tr w:rsidR="000F50F8" w:rsidRPr="000F50F8" w14:paraId="4E0CC3BB" w14:textId="77777777" w:rsidTr="008651C7">
        <w:tc>
          <w:tcPr>
            <w:tcW w:w="1056" w:type="dxa"/>
            <w:tcBorders>
              <w:top w:val="single" w:sz="4" w:space="0" w:color="auto"/>
              <w:left w:val="single" w:sz="4" w:space="0" w:color="auto"/>
              <w:bottom w:val="single" w:sz="4" w:space="0" w:color="auto"/>
              <w:right w:val="single" w:sz="4" w:space="0" w:color="auto"/>
            </w:tcBorders>
            <w:hideMark/>
          </w:tcPr>
          <w:p w14:paraId="6E97F837" w14:textId="7D9BB02D" w:rsidR="000F50F8" w:rsidRPr="000F50F8" w:rsidRDefault="00F073E7" w:rsidP="005D2B3F">
            <w:pPr>
              <w:spacing w:before="60" w:after="60" w:line="240" w:lineRule="atLeast"/>
              <w:jc w:val="both"/>
              <w:rPr>
                <w:rFonts w:ascii="Verdana" w:hAnsi="Verdana"/>
                <w:sz w:val="20"/>
                <w:szCs w:val="20"/>
              </w:rPr>
            </w:pPr>
            <w:r>
              <w:rPr>
                <w:rFonts w:ascii="Verdana" w:hAnsi="Verdana"/>
                <w:sz w:val="20"/>
                <w:szCs w:val="20"/>
              </w:rPr>
              <w:t>15 May</w:t>
            </w:r>
          </w:p>
        </w:tc>
        <w:tc>
          <w:tcPr>
            <w:tcW w:w="992" w:type="dxa"/>
            <w:tcBorders>
              <w:top w:val="single" w:sz="4" w:space="0" w:color="auto"/>
              <w:left w:val="single" w:sz="4" w:space="0" w:color="auto"/>
              <w:bottom w:val="single" w:sz="4" w:space="0" w:color="auto"/>
              <w:right w:val="single" w:sz="4" w:space="0" w:color="auto"/>
            </w:tcBorders>
            <w:hideMark/>
          </w:tcPr>
          <w:p w14:paraId="571A4240"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PNSG</w:t>
            </w:r>
          </w:p>
        </w:tc>
        <w:tc>
          <w:tcPr>
            <w:tcW w:w="7229" w:type="dxa"/>
            <w:tcBorders>
              <w:top w:val="single" w:sz="4" w:space="0" w:color="auto"/>
              <w:left w:val="single" w:sz="4" w:space="0" w:color="auto"/>
              <w:bottom w:val="single" w:sz="4" w:space="0" w:color="auto"/>
              <w:right w:val="single" w:sz="4" w:space="0" w:color="auto"/>
            </w:tcBorders>
            <w:hideMark/>
          </w:tcPr>
          <w:p w14:paraId="256C7D39"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Nexus PMO release pack for 17 May PNSG</w:t>
            </w:r>
          </w:p>
        </w:tc>
      </w:tr>
      <w:tr w:rsidR="000F50F8" w:rsidRPr="000F50F8" w14:paraId="32AD3CA8" w14:textId="77777777" w:rsidTr="008651C7">
        <w:tc>
          <w:tcPr>
            <w:tcW w:w="1056" w:type="dxa"/>
            <w:tcBorders>
              <w:top w:val="single" w:sz="4" w:space="0" w:color="auto"/>
              <w:left w:val="single" w:sz="4" w:space="0" w:color="auto"/>
              <w:bottom w:val="single" w:sz="4" w:space="0" w:color="auto"/>
              <w:right w:val="single" w:sz="4" w:space="0" w:color="auto"/>
            </w:tcBorders>
            <w:hideMark/>
          </w:tcPr>
          <w:p w14:paraId="5ABDB679" w14:textId="4097FE6B" w:rsidR="000F50F8" w:rsidRPr="000F50F8" w:rsidRDefault="00F073E7" w:rsidP="005D2B3F">
            <w:pPr>
              <w:spacing w:before="60" w:after="60" w:line="240" w:lineRule="atLeast"/>
              <w:jc w:val="both"/>
              <w:rPr>
                <w:rFonts w:ascii="Verdana" w:hAnsi="Verdana"/>
                <w:sz w:val="20"/>
                <w:szCs w:val="20"/>
              </w:rPr>
            </w:pPr>
            <w:r>
              <w:rPr>
                <w:rFonts w:ascii="Verdana" w:hAnsi="Verdana"/>
                <w:sz w:val="20"/>
                <w:szCs w:val="20"/>
              </w:rPr>
              <w:t>17 May</w:t>
            </w:r>
            <w:r w:rsidR="000F50F8" w:rsidRPr="000F50F8">
              <w:rPr>
                <w:rFonts w:ascii="Verdana" w:hAnsi="Verdana"/>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0E1C1F" w14:textId="77777777"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PNSG</w:t>
            </w:r>
          </w:p>
        </w:tc>
        <w:tc>
          <w:tcPr>
            <w:tcW w:w="7229" w:type="dxa"/>
            <w:tcBorders>
              <w:top w:val="single" w:sz="4" w:space="0" w:color="auto"/>
              <w:left w:val="single" w:sz="4" w:space="0" w:color="auto"/>
              <w:bottom w:val="single" w:sz="4" w:space="0" w:color="auto"/>
              <w:right w:val="single" w:sz="4" w:space="0" w:color="auto"/>
            </w:tcBorders>
            <w:hideMark/>
          </w:tcPr>
          <w:p w14:paraId="275994C6" w14:textId="2FB52CC8" w:rsidR="000F50F8" w:rsidRPr="000F50F8" w:rsidRDefault="000F50F8" w:rsidP="005D2B3F">
            <w:pPr>
              <w:spacing w:before="60" w:after="60" w:line="240" w:lineRule="atLeast"/>
              <w:jc w:val="both"/>
              <w:rPr>
                <w:rFonts w:ascii="Verdana" w:hAnsi="Verdana"/>
                <w:sz w:val="20"/>
                <w:szCs w:val="20"/>
              </w:rPr>
            </w:pPr>
            <w:r w:rsidRPr="000F50F8">
              <w:rPr>
                <w:rFonts w:ascii="Verdana" w:hAnsi="Verdana"/>
                <w:sz w:val="20"/>
                <w:szCs w:val="20"/>
              </w:rPr>
              <w:t>Assess IDR3 exit, acceptance of risk landscape and GONG decision.</w:t>
            </w:r>
          </w:p>
        </w:tc>
      </w:tr>
      <w:tr w:rsidR="00F073E7" w:rsidRPr="000F50F8" w14:paraId="43A891F5" w14:textId="77777777" w:rsidTr="008651C7">
        <w:tc>
          <w:tcPr>
            <w:tcW w:w="1056" w:type="dxa"/>
            <w:tcBorders>
              <w:top w:val="single" w:sz="4" w:space="0" w:color="auto"/>
              <w:left w:val="single" w:sz="4" w:space="0" w:color="auto"/>
              <w:bottom w:val="single" w:sz="4" w:space="0" w:color="auto"/>
              <w:right w:val="single" w:sz="4" w:space="0" w:color="auto"/>
            </w:tcBorders>
          </w:tcPr>
          <w:p w14:paraId="3AFCD2DF" w14:textId="7B2B38B9" w:rsidR="00F073E7" w:rsidRDefault="00F073E7" w:rsidP="005D2B3F">
            <w:pPr>
              <w:spacing w:before="60" w:after="60" w:line="240" w:lineRule="atLeast"/>
              <w:jc w:val="both"/>
              <w:rPr>
                <w:rFonts w:ascii="Verdana" w:hAnsi="Verdana"/>
                <w:sz w:val="20"/>
                <w:szCs w:val="20"/>
              </w:rPr>
            </w:pPr>
            <w:r w:rsidRPr="00F073E7">
              <w:rPr>
                <w:rFonts w:ascii="Verdana" w:hAnsi="Verdana"/>
                <w:sz w:val="20"/>
                <w:szCs w:val="20"/>
              </w:rPr>
              <w:t>19 May</w:t>
            </w:r>
          </w:p>
        </w:tc>
        <w:tc>
          <w:tcPr>
            <w:tcW w:w="992" w:type="dxa"/>
            <w:tcBorders>
              <w:top w:val="single" w:sz="4" w:space="0" w:color="auto"/>
              <w:left w:val="single" w:sz="4" w:space="0" w:color="auto"/>
              <w:bottom w:val="single" w:sz="4" w:space="0" w:color="auto"/>
              <w:right w:val="single" w:sz="4" w:space="0" w:color="auto"/>
            </w:tcBorders>
          </w:tcPr>
          <w:p w14:paraId="103286B0" w14:textId="77777777" w:rsidR="00F073E7" w:rsidRPr="000F50F8" w:rsidRDefault="00F073E7" w:rsidP="005D2B3F">
            <w:pPr>
              <w:spacing w:before="60" w:after="60" w:line="240" w:lineRule="atLeast"/>
              <w:jc w:val="both"/>
              <w:rPr>
                <w:rFonts w:ascii="Verdana" w:hAnsi="Verdana"/>
                <w:sz w:val="20"/>
                <w:szCs w:val="20"/>
              </w:rPr>
            </w:pPr>
            <w:r w:rsidRPr="00F073E7">
              <w:rPr>
                <w:rFonts w:ascii="Verdana" w:hAnsi="Verdana"/>
                <w:sz w:val="20"/>
                <w:szCs w:val="20"/>
              </w:rPr>
              <w:t>PNSG</w:t>
            </w:r>
          </w:p>
        </w:tc>
        <w:tc>
          <w:tcPr>
            <w:tcW w:w="7229" w:type="dxa"/>
            <w:tcBorders>
              <w:top w:val="single" w:sz="4" w:space="0" w:color="auto"/>
              <w:left w:val="single" w:sz="4" w:space="0" w:color="auto"/>
              <w:bottom w:val="single" w:sz="4" w:space="0" w:color="auto"/>
              <w:right w:val="single" w:sz="4" w:space="0" w:color="auto"/>
            </w:tcBorders>
          </w:tcPr>
          <w:p w14:paraId="7D65C0F6" w14:textId="77777777" w:rsidR="00F073E7" w:rsidRPr="000F50F8" w:rsidRDefault="00F073E7" w:rsidP="005D2B3F">
            <w:pPr>
              <w:spacing w:before="60" w:after="60" w:line="240" w:lineRule="atLeast"/>
              <w:jc w:val="both"/>
              <w:rPr>
                <w:rFonts w:ascii="Verdana" w:hAnsi="Verdana"/>
                <w:sz w:val="20"/>
                <w:szCs w:val="20"/>
              </w:rPr>
            </w:pPr>
            <w:r w:rsidRPr="00F073E7">
              <w:rPr>
                <w:rFonts w:ascii="Verdana" w:hAnsi="Verdana"/>
                <w:sz w:val="20"/>
                <w:szCs w:val="20"/>
              </w:rPr>
              <w:t>Confirmation of GONG decision</w:t>
            </w:r>
          </w:p>
        </w:tc>
      </w:tr>
      <w:tr w:rsidR="00F073E7" w:rsidRPr="000F50F8" w14:paraId="5C404AB3" w14:textId="77777777" w:rsidTr="008651C7">
        <w:tc>
          <w:tcPr>
            <w:tcW w:w="1056" w:type="dxa"/>
            <w:tcBorders>
              <w:top w:val="single" w:sz="4" w:space="0" w:color="auto"/>
              <w:left w:val="single" w:sz="4" w:space="0" w:color="auto"/>
              <w:bottom w:val="single" w:sz="4" w:space="0" w:color="auto"/>
              <w:right w:val="single" w:sz="4" w:space="0" w:color="auto"/>
            </w:tcBorders>
          </w:tcPr>
          <w:p w14:paraId="34F42FC2" w14:textId="67DBAF61" w:rsidR="00F073E7" w:rsidRDefault="00F073E7" w:rsidP="005D2B3F">
            <w:pPr>
              <w:spacing w:before="60" w:after="60" w:line="240" w:lineRule="atLeast"/>
              <w:jc w:val="both"/>
              <w:rPr>
                <w:rFonts w:ascii="Verdana" w:hAnsi="Verdana"/>
                <w:sz w:val="20"/>
                <w:szCs w:val="20"/>
              </w:rPr>
            </w:pPr>
            <w:r w:rsidRPr="00F073E7">
              <w:rPr>
                <w:rFonts w:ascii="Verdana" w:hAnsi="Verdana"/>
                <w:sz w:val="20"/>
                <w:szCs w:val="20"/>
              </w:rPr>
              <w:t>22 May</w:t>
            </w:r>
            <w:r w:rsidR="005230CB">
              <w:rPr>
                <w:rFonts w:ascii="Verdana" w:hAnsi="Verdana"/>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16D8F175" w14:textId="77777777" w:rsidR="00F073E7" w:rsidRPr="000F50F8" w:rsidRDefault="00F073E7" w:rsidP="005D2B3F">
            <w:pPr>
              <w:spacing w:before="60" w:after="60" w:line="240" w:lineRule="atLeast"/>
              <w:jc w:val="both"/>
              <w:rPr>
                <w:rFonts w:ascii="Verdana" w:hAnsi="Verdana"/>
                <w:sz w:val="20"/>
                <w:szCs w:val="20"/>
              </w:rPr>
            </w:pPr>
            <w:r w:rsidRPr="00F073E7">
              <w:rPr>
                <w:rFonts w:ascii="Verdana" w:hAnsi="Verdana"/>
                <w:sz w:val="20"/>
                <w:szCs w:val="20"/>
              </w:rPr>
              <w:t>PNSG</w:t>
            </w:r>
          </w:p>
        </w:tc>
        <w:tc>
          <w:tcPr>
            <w:tcW w:w="7229" w:type="dxa"/>
            <w:tcBorders>
              <w:top w:val="single" w:sz="4" w:space="0" w:color="auto"/>
              <w:left w:val="single" w:sz="4" w:space="0" w:color="auto"/>
              <w:bottom w:val="single" w:sz="4" w:space="0" w:color="auto"/>
              <w:right w:val="single" w:sz="4" w:space="0" w:color="auto"/>
            </w:tcBorders>
          </w:tcPr>
          <w:p w14:paraId="1BB3D007" w14:textId="77777777" w:rsidR="00F073E7" w:rsidRPr="000F50F8" w:rsidRDefault="00F073E7" w:rsidP="005D2B3F">
            <w:pPr>
              <w:spacing w:before="60" w:after="60" w:line="240" w:lineRule="atLeast"/>
              <w:jc w:val="both"/>
              <w:rPr>
                <w:rFonts w:ascii="Verdana" w:hAnsi="Verdana"/>
                <w:sz w:val="20"/>
                <w:szCs w:val="20"/>
              </w:rPr>
            </w:pPr>
            <w:r w:rsidRPr="00F073E7">
              <w:rPr>
                <w:rFonts w:ascii="Verdana" w:hAnsi="Verdana"/>
                <w:sz w:val="20"/>
                <w:szCs w:val="20"/>
              </w:rPr>
              <w:t>Barring unfore</w:t>
            </w:r>
            <w:r>
              <w:rPr>
                <w:rFonts w:ascii="Verdana" w:hAnsi="Verdana"/>
                <w:sz w:val="20"/>
                <w:szCs w:val="20"/>
              </w:rPr>
              <w:t xml:space="preserve">seen event, enter industry fix </w:t>
            </w:r>
            <w:r w:rsidRPr="00F073E7">
              <w:rPr>
                <w:rFonts w:ascii="Verdana" w:hAnsi="Verdana"/>
                <w:sz w:val="20"/>
                <w:szCs w:val="20"/>
              </w:rPr>
              <w:t>forward point.</w:t>
            </w:r>
          </w:p>
        </w:tc>
      </w:tr>
    </w:tbl>
    <w:p w14:paraId="13B60726" w14:textId="0FFF2232" w:rsidR="000F50F8" w:rsidRDefault="000F50F8" w:rsidP="005D2B3F">
      <w:pPr>
        <w:jc w:val="both"/>
        <w:rPr>
          <w:rFonts w:ascii="Verdana" w:hAnsi="Verdana"/>
          <w:i/>
          <w:sz w:val="20"/>
          <w:szCs w:val="20"/>
        </w:rPr>
      </w:pPr>
    </w:p>
    <w:p w14:paraId="679B6B4A" w14:textId="77777777" w:rsidR="000F50F8" w:rsidRPr="000F50F8" w:rsidRDefault="000F50F8" w:rsidP="005D2B3F">
      <w:pPr>
        <w:pStyle w:val="ListParagraph"/>
        <w:numPr>
          <w:ilvl w:val="0"/>
          <w:numId w:val="23"/>
        </w:numPr>
        <w:spacing w:before="120" w:after="60" w:line="240" w:lineRule="auto"/>
        <w:ind w:left="357" w:hanging="357"/>
        <w:jc w:val="both"/>
        <w:rPr>
          <w:rFonts w:ascii="Verdana" w:hAnsi="Verdana"/>
          <w:b/>
          <w:i/>
          <w:szCs w:val="20"/>
        </w:rPr>
      </w:pPr>
      <w:r w:rsidRPr="000F50F8">
        <w:rPr>
          <w:rFonts w:ascii="Verdana" w:hAnsi="Verdana"/>
          <w:b/>
          <w:i/>
          <w:szCs w:val="20"/>
        </w:rPr>
        <w:lastRenderedPageBreak/>
        <w:t>What is the scope and coverage of the go / no-go (‘GONG’) decision making framework? How is confidence building that industry readiness across system, process and people aspects is being considered in a pragmatic and balanced manner?</w:t>
      </w:r>
    </w:p>
    <w:p w14:paraId="70C7EC9A" w14:textId="3891856B"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In terms of its </w:t>
      </w:r>
      <w:r w:rsidRPr="000F50F8">
        <w:rPr>
          <w:rFonts w:ascii="Verdana" w:hAnsi="Verdana"/>
          <w:b/>
          <w:sz w:val="20"/>
          <w:szCs w:val="20"/>
        </w:rPr>
        <w:t>scope</w:t>
      </w:r>
      <w:r w:rsidRPr="000F50F8">
        <w:rPr>
          <w:rFonts w:ascii="Verdana" w:hAnsi="Verdana"/>
          <w:sz w:val="20"/>
          <w:szCs w:val="20"/>
        </w:rPr>
        <w:t>, the GONG framework evaluates key criteria</w:t>
      </w:r>
      <w:r w:rsidR="0056455D">
        <w:rPr>
          <w:rFonts w:ascii="Verdana" w:hAnsi="Verdana"/>
          <w:sz w:val="20"/>
          <w:szCs w:val="20"/>
        </w:rPr>
        <w:t xml:space="preserve"> that will be critical for a successful implementation</w:t>
      </w:r>
      <w:r w:rsidRPr="000F50F8">
        <w:rPr>
          <w:rFonts w:ascii="Verdana" w:hAnsi="Verdana"/>
          <w:sz w:val="20"/>
          <w:szCs w:val="20"/>
        </w:rPr>
        <w:t xml:space="preserve"> against the dimensions of system, process, people and data that will be critical to a successful Nexus imp</w:t>
      </w:r>
      <w:r w:rsidR="00A23CFA">
        <w:rPr>
          <w:rFonts w:ascii="Verdana" w:hAnsi="Verdana"/>
          <w:sz w:val="20"/>
          <w:szCs w:val="20"/>
        </w:rPr>
        <w:t>lementation</w:t>
      </w:r>
      <w:r w:rsidRPr="000F50F8">
        <w:rPr>
          <w:rFonts w:ascii="Verdana" w:hAnsi="Verdana"/>
          <w:sz w:val="20"/>
          <w:szCs w:val="20"/>
        </w:rPr>
        <w:t>. To aid clearer and faster decision-making, the underlying criteria</w:t>
      </w:r>
      <w:r w:rsidR="0056455D">
        <w:rPr>
          <w:rFonts w:ascii="Verdana" w:hAnsi="Verdana"/>
          <w:sz w:val="20"/>
          <w:szCs w:val="20"/>
        </w:rPr>
        <w:t xml:space="preserve"> </w:t>
      </w:r>
      <w:r w:rsidRPr="000F50F8">
        <w:rPr>
          <w:rFonts w:ascii="Verdana" w:hAnsi="Verdana"/>
          <w:sz w:val="20"/>
          <w:szCs w:val="20"/>
        </w:rPr>
        <w:t xml:space="preserve">are aligned to four key </w:t>
      </w:r>
      <w:r w:rsidR="0053377E">
        <w:rPr>
          <w:rFonts w:ascii="Verdana" w:hAnsi="Verdana"/>
          <w:sz w:val="20"/>
          <w:szCs w:val="20"/>
        </w:rPr>
        <w:t>S</w:t>
      </w:r>
      <w:r w:rsidR="0056455D">
        <w:rPr>
          <w:rFonts w:ascii="Verdana" w:hAnsi="Verdana"/>
          <w:sz w:val="20"/>
          <w:szCs w:val="20"/>
        </w:rPr>
        <w:t xml:space="preserve">uccess </w:t>
      </w:r>
      <w:r w:rsidR="0053377E">
        <w:rPr>
          <w:rFonts w:ascii="Verdana" w:hAnsi="Verdana"/>
          <w:sz w:val="20"/>
          <w:szCs w:val="20"/>
        </w:rPr>
        <w:t>F</w:t>
      </w:r>
      <w:r w:rsidR="0056455D">
        <w:rPr>
          <w:rFonts w:ascii="Verdana" w:hAnsi="Verdana"/>
          <w:sz w:val="20"/>
          <w:szCs w:val="20"/>
        </w:rPr>
        <w:t>actors</w:t>
      </w:r>
      <w:r w:rsidRPr="000F50F8">
        <w:rPr>
          <w:rFonts w:ascii="Verdana" w:hAnsi="Verdana"/>
          <w:sz w:val="20"/>
          <w:szCs w:val="20"/>
        </w:rPr>
        <w:t>:</w:t>
      </w:r>
    </w:p>
    <w:p w14:paraId="3108C683" w14:textId="00789F7B" w:rsidR="00BE1D98" w:rsidRPr="00BE1D98" w:rsidRDefault="000F50F8" w:rsidP="005D2B3F">
      <w:pPr>
        <w:spacing w:before="120" w:after="60" w:line="240" w:lineRule="auto"/>
        <w:ind w:left="720"/>
        <w:jc w:val="both"/>
        <w:rPr>
          <w:rFonts w:ascii="Verdana" w:hAnsi="Verdana"/>
          <w:sz w:val="20"/>
          <w:szCs w:val="20"/>
        </w:rPr>
      </w:pPr>
      <w:r w:rsidRPr="008651C7">
        <w:rPr>
          <w:rFonts w:ascii="Verdana" w:hAnsi="Verdana"/>
          <w:sz w:val="20"/>
          <w:szCs w:val="20"/>
        </w:rPr>
        <w:t>T</w:t>
      </w:r>
      <w:r w:rsidRPr="00BE1D98">
        <w:rPr>
          <w:rFonts w:ascii="Verdana" w:hAnsi="Verdana"/>
          <w:sz w:val="20"/>
          <w:szCs w:val="20"/>
        </w:rPr>
        <w:t>he solution</w:t>
      </w:r>
      <w:r w:rsidR="00BE1D98">
        <w:rPr>
          <w:rFonts w:ascii="Verdana" w:hAnsi="Verdana"/>
          <w:sz w:val="20"/>
          <w:szCs w:val="20"/>
        </w:rPr>
        <w:t>:</w:t>
      </w:r>
    </w:p>
    <w:p w14:paraId="40CCD278" w14:textId="23A73DBF" w:rsidR="000F50F8" w:rsidRPr="000F50F8" w:rsidRDefault="00BE1D98" w:rsidP="005D2B3F">
      <w:pPr>
        <w:pStyle w:val="ListParagraph"/>
        <w:numPr>
          <w:ilvl w:val="1"/>
          <w:numId w:val="15"/>
        </w:numPr>
        <w:spacing w:before="120" w:after="60" w:line="240" w:lineRule="auto"/>
        <w:jc w:val="both"/>
        <w:rPr>
          <w:rFonts w:ascii="Verdana" w:hAnsi="Verdana"/>
          <w:szCs w:val="20"/>
        </w:rPr>
      </w:pPr>
      <w:r>
        <w:rPr>
          <w:rFonts w:ascii="Verdana" w:hAnsi="Verdana"/>
          <w:szCs w:val="20"/>
        </w:rPr>
        <w:t xml:space="preserve">Meets </w:t>
      </w:r>
      <w:r w:rsidR="000F50F8" w:rsidRPr="000F50F8">
        <w:rPr>
          <w:rFonts w:ascii="Verdana" w:hAnsi="Verdana"/>
          <w:szCs w:val="20"/>
        </w:rPr>
        <w:t>market requirements;</w:t>
      </w:r>
    </w:p>
    <w:p w14:paraId="0CB32F9F" w14:textId="75A9C507" w:rsidR="000F50F8" w:rsidRPr="000F50F8" w:rsidRDefault="00BE1D98" w:rsidP="005D2B3F">
      <w:pPr>
        <w:pStyle w:val="ListParagraph"/>
        <w:numPr>
          <w:ilvl w:val="1"/>
          <w:numId w:val="15"/>
        </w:numPr>
        <w:spacing w:before="120" w:after="60" w:line="240" w:lineRule="auto"/>
        <w:jc w:val="both"/>
        <w:rPr>
          <w:rFonts w:ascii="Verdana" w:hAnsi="Verdana"/>
          <w:szCs w:val="20"/>
        </w:rPr>
      </w:pPr>
      <w:r>
        <w:rPr>
          <w:rFonts w:ascii="Verdana" w:hAnsi="Verdana"/>
          <w:szCs w:val="20"/>
        </w:rPr>
        <w:t>I</w:t>
      </w:r>
      <w:r w:rsidR="000F50F8" w:rsidRPr="000F50F8">
        <w:rPr>
          <w:rFonts w:ascii="Verdana" w:hAnsi="Verdana"/>
          <w:szCs w:val="20"/>
        </w:rPr>
        <w:t>s stable;</w:t>
      </w:r>
    </w:p>
    <w:p w14:paraId="51369B10" w14:textId="2C98A6DA" w:rsidR="000F50F8" w:rsidRPr="000F50F8" w:rsidRDefault="00BE1D98" w:rsidP="005D2B3F">
      <w:pPr>
        <w:pStyle w:val="ListParagraph"/>
        <w:numPr>
          <w:ilvl w:val="1"/>
          <w:numId w:val="15"/>
        </w:numPr>
        <w:spacing w:before="120" w:after="60" w:line="240" w:lineRule="auto"/>
        <w:jc w:val="both"/>
        <w:rPr>
          <w:rFonts w:ascii="Verdana" w:hAnsi="Verdana"/>
          <w:szCs w:val="20"/>
        </w:rPr>
      </w:pPr>
      <w:r>
        <w:rPr>
          <w:rFonts w:ascii="Verdana" w:hAnsi="Verdana"/>
          <w:szCs w:val="20"/>
        </w:rPr>
        <w:t>I</w:t>
      </w:r>
      <w:r w:rsidR="000F50F8" w:rsidRPr="000F50F8">
        <w:rPr>
          <w:rFonts w:ascii="Verdana" w:hAnsi="Verdana"/>
          <w:szCs w:val="20"/>
        </w:rPr>
        <w:t>s sustainable; and</w:t>
      </w:r>
    </w:p>
    <w:p w14:paraId="36E78669" w14:textId="77777777" w:rsidR="000F50F8" w:rsidRPr="000F50F8" w:rsidRDefault="000F50F8" w:rsidP="005D2B3F">
      <w:pPr>
        <w:pStyle w:val="ListParagraph"/>
        <w:numPr>
          <w:ilvl w:val="1"/>
          <w:numId w:val="15"/>
        </w:numPr>
        <w:spacing w:before="120" w:after="60" w:line="240" w:lineRule="auto"/>
        <w:jc w:val="both"/>
        <w:rPr>
          <w:rFonts w:ascii="Verdana" w:hAnsi="Verdana"/>
          <w:szCs w:val="20"/>
        </w:rPr>
      </w:pPr>
      <w:r w:rsidRPr="000F50F8">
        <w:rPr>
          <w:rFonts w:ascii="Verdana" w:hAnsi="Verdana"/>
          <w:szCs w:val="20"/>
        </w:rPr>
        <w:t>Enables a positive consumer experience.</w:t>
      </w:r>
    </w:p>
    <w:p w14:paraId="6B1C3C90" w14:textId="77777777" w:rsidR="000F50F8" w:rsidRPr="0056455D" w:rsidRDefault="000F50F8" w:rsidP="005D2B3F">
      <w:pPr>
        <w:spacing w:before="120" w:after="60" w:line="240" w:lineRule="auto"/>
        <w:ind w:left="357"/>
        <w:jc w:val="both"/>
      </w:pPr>
      <w:r w:rsidRPr="000F50F8">
        <w:rPr>
          <w:rFonts w:ascii="Verdana" w:hAnsi="Verdana"/>
          <w:sz w:val="20"/>
          <w:szCs w:val="20"/>
        </w:rPr>
        <w:t>Participants self-assess against t</w:t>
      </w:r>
      <w:r w:rsidR="0056455D">
        <w:rPr>
          <w:rFonts w:ascii="Verdana" w:hAnsi="Verdana"/>
          <w:sz w:val="20"/>
          <w:szCs w:val="20"/>
        </w:rPr>
        <w:t>he detailed</w:t>
      </w:r>
      <w:r w:rsidRPr="000F50F8">
        <w:rPr>
          <w:rFonts w:ascii="Verdana" w:hAnsi="Verdana"/>
          <w:sz w:val="20"/>
          <w:szCs w:val="20"/>
        </w:rPr>
        <w:t xml:space="preserve"> criteria by answering structured questions aimed at establishing their level of readiness. To build confidence in the quality and reliability of the assessment, we expect each participant’s self-assessment to be supported by sufficient evidence. The quality of evidence is evaluated in PwC’s scheduled management of each participant and by targeted assurance visits to a sample of participants. Over the G1 and G2 assessments, we are encouraged that participants are generally executing the actions required to complete their preparations and achieve a ‘ready’ status.</w:t>
      </w:r>
      <w:r w:rsidR="0056455D">
        <w:rPr>
          <w:rFonts w:ascii="Verdana" w:hAnsi="Verdana"/>
          <w:sz w:val="20"/>
          <w:szCs w:val="20"/>
        </w:rPr>
        <w:t xml:space="preserve"> </w:t>
      </w:r>
      <w:r w:rsidR="0056455D" w:rsidRPr="0056455D">
        <w:rPr>
          <w:rFonts w:ascii="Verdana" w:hAnsi="Verdana"/>
          <w:sz w:val="20"/>
          <w:szCs w:val="20"/>
        </w:rPr>
        <w:t>The latest results from the G3 submissions show all participants reporting either Green or Amber against all criteria except for a single participant who has rated themselves Red against a single criteria.</w:t>
      </w:r>
    </w:p>
    <w:p w14:paraId="354C5906" w14:textId="41B830A3"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In terms of its </w:t>
      </w:r>
      <w:r w:rsidRPr="000F50F8">
        <w:rPr>
          <w:rFonts w:ascii="Verdana" w:hAnsi="Verdana"/>
          <w:b/>
          <w:sz w:val="20"/>
          <w:szCs w:val="20"/>
        </w:rPr>
        <w:t>coverage</w:t>
      </w:r>
      <w:r w:rsidRPr="000F50F8">
        <w:rPr>
          <w:rFonts w:ascii="Verdana" w:hAnsi="Verdana"/>
          <w:sz w:val="20"/>
          <w:szCs w:val="20"/>
        </w:rPr>
        <w:t>, all shippers, iGTs and GTs operating in the market are included within the GONG process.  There are a small number of participants (6 at G2</w:t>
      </w:r>
      <w:r w:rsidR="0056455D">
        <w:rPr>
          <w:rFonts w:ascii="Verdana" w:hAnsi="Verdana"/>
          <w:sz w:val="20"/>
          <w:szCs w:val="20"/>
        </w:rPr>
        <w:t xml:space="preserve">, </w:t>
      </w:r>
      <w:r w:rsidR="00577464">
        <w:rPr>
          <w:rFonts w:ascii="Verdana" w:hAnsi="Verdana"/>
          <w:sz w:val="20"/>
          <w:szCs w:val="20"/>
        </w:rPr>
        <w:t>5</w:t>
      </w:r>
      <w:r w:rsidR="00577464" w:rsidRPr="0056455D">
        <w:rPr>
          <w:rFonts w:ascii="Verdana" w:hAnsi="Verdana"/>
          <w:sz w:val="20"/>
          <w:szCs w:val="20"/>
        </w:rPr>
        <w:t xml:space="preserve"> </w:t>
      </w:r>
      <w:r w:rsidR="0056455D" w:rsidRPr="0056455D">
        <w:rPr>
          <w:rFonts w:ascii="Verdana" w:hAnsi="Verdana"/>
          <w:sz w:val="20"/>
          <w:szCs w:val="20"/>
        </w:rPr>
        <w:t>at G3</w:t>
      </w:r>
      <w:r w:rsidRPr="000F50F8">
        <w:rPr>
          <w:rFonts w:ascii="Verdana" w:hAnsi="Verdana"/>
          <w:sz w:val="20"/>
          <w:szCs w:val="20"/>
        </w:rPr>
        <w:t>) that have not participated in GONG measurement</w:t>
      </w:r>
      <w:r w:rsidR="0053377E">
        <w:rPr>
          <w:rFonts w:ascii="Verdana" w:hAnsi="Verdana"/>
          <w:sz w:val="20"/>
          <w:szCs w:val="20"/>
        </w:rPr>
        <w:t xml:space="preserve">, despite </w:t>
      </w:r>
      <w:r w:rsidR="00577464">
        <w:rPr>
          <w:rFonts w:ascii="Verdana" w:hAnsi="Verdana"/>
          <w:sz w:val="20"/>
          <w:szCs w:val="20"/>
        </w:rPr>
        <w:t xml:space="preserve">constructive </w:t>
      </w:r>
      <w:r w:rsidR="0053377E">
        <w:rPr>
          <w:rFonts w:ascii="Verdana" w:hAnsi="Verdana"/>
          <w:sz w:val="20"/>
          <w:szCs w:val="20"/>
        </w:rPr>
        <w:t>encouragement and support from Ofgem and PwC to do so</w:t>
      </w:r>
      <w:r w:rsidRPr="000F50F8">
        <w:rPr>
          <w:rFonts w:ascii="Verdana" w:hAnsi="Verdana"/>
          <w:sz w:val="20"/>
          <w:szCs w:val="20"/>
        </w:rPr>
        <w:t xml:space="preserve">.  These comprise smaller shippers and are not viewed, by Ofgem, as impacting the overall readiness of the market – the current expectation is that we would proceed without these participants proving their readiness. </w:t>
      </w:r>
      <w:r w:rsidRPr="000F50F8">
        <w:rPr>
          <w:rFonts w:ascii="Verdana" w:hAnsi="Verdana"/>
          <w:b/>
          <w:sz w:val="20"/>
          <w:szCs w:val="20"/>
        </w:rPr>
        <w:t>The shippers reporting at the G2 gateway represent 97% of market AQ and 99% of supply points</w:t>
      </w:r>
      <w:r w:rsidRPr="000F50F8">
        <w:rPr>
          <w:rFonts w:ascii="Verdana" w:hAnsi="Verdana"/>
          <w:sz w:val="20"/>
          <w:szCs w:val="20"/>
        </w:rPr>
        <w:t>.</w:t>
      </w:r>
    </w:p>
    <w:p w14:paraId="4D0006A2" w14:textId="77777777"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Xoserve readiness is a key component of the GONG assessment, with a more expansive set of go-live criteria that are being tracked by Xoserve, with assurance activity from Baringa, through the same G1, G2 and G3 milestones.</w:t>
      </w:r>
    </w:p>
    <w:p w14:paraId="150B4B52" w14:textId="77777777" w:rsidR="000F50F8" w:rsidRPr="000F50F8" w:rsidRDefault="000F50F8" w:rsidP="005D2B3F">
      <w:pPr>
        <w:spacing w:before="120" w:after="60" w:line="240" w:lineRule="auto"/>
        <w:ind w:left="357"/>
        <w:jc w:val="both"/>
        <w:rPr>
          <w:rFonts w:ascii="Verdana" w:hAnsi="Verdana"/>
          <w:b/>
          <w:sz w:val="20"/>
          <w:szCs w:val="20"/>
          <w:u w:val="single"/>
        </w:rPr>
      </w:pPr>
    </w:p>
    <w:p w14:paraId="6D5553CA" w14:textId="77777777" w:rsidR="000F50F8" w:rsidRPr="005D2B3F" w:rsidRDefault="000F50F8" w:rsidP="005D2B3F">
      <w:pPr>
        <w:spacing w:before="120" w:after="60" w:line="240" w:lineRule="auto"/>
        <w:ind w:left="357"/>
        <w:jc w:val="both"/>
        <w:rPr>
          <w:rFonts w:ascii="Verdana" w:hAnsi="Verdana"/>
          <w:b/>
          <w:sz w:val="20"/>
          <w:szCs w:val="20"/>
          <w:u w:val="single"/>
        </w:rPr>
      </w:pPr>
      <w:r w:rsidRPr="005D2B3F">
        <w:rPr>
          <w:rFonts w:ascii="Verdana" w:hAnsi="Verdana"/>
          <w:b/>
          <w:sz w:val="20"/>
          <w:szCs w:val="20"/>
          <w:u w:val="single"/>
        </w:rPr>
        <w:t>Link: Supporting GONG framework material</w:t>
      </w:r>
    </w:p>
    <w:p w14:paraId="2858F3EF" w14:textId="3E30C555" w:rsidR="000F50F8" w:rsidRDefault="00EE4275" w:rsidP="005D2B3F">
      <w:pPr>
        <w:ind w:left="357"/>
        <w:jc w:val="both"/>
        <w:rPr>
          <w:rFonts w:ascii="Verdana" w:hAnsi="Verdana"/>
          <w:i/>
          <w:sz w:val="20"/>
          <w:szCs w:val="20"/>
        </w:rPr>
      </w:pPr>
      <w:hyperlink r:id="rId15" w:history="1">
        <w:r w:rsidR="00D22756" w:rsidRPr="005D2B3F">
          <w:rPr>
            <w:rStyle w:val="Hyperlink"/>
            <w:rFonts w:ascii="Verdana" w:hAnsi="Verdana"/>
            <w:sz w:val="20"/>
            <w:szCs w:val="20"/>
          </w:rPr>
          <w:t>https://www.ofgem.gov.uk/publications-and-updates/gono-go-gong-criteria-and-assessment-framework-project-nexus-v2</w:t>
        </w:r>
      </w:hyperlink>
      <w:r w:rsidR="00D22756">
        <w:t xml:space="preserve"> </w:t>
      </w:r>
      <w:r w:rsidR="000F50F8" w:rsidRPr="000F50F8">
        <w:rPr>
          <w:rFonts w:ascii="Verdana" w:hAnsi="Verdana"/>
          <w:i/>
          <w:sz w:val="20"/>
          <w:szCs w:val="20"/>
        </w:rPr>
        <w:br w:type="page"/>
      </w:r>
    </w:p>
    <w:p w14:paraId="23732A9F" w14:textId="77777777" w:rsidR="000F50F8" w:rsidRPr="000F50F8" w:rsidRDefault="000F50F8" w:rsidP="005D2B3F">
      <w:pPr>
        <w:pStyle w:val="ListParagraph"/>
        <w:numPr>
          <w:ilvl w:val="0"/>
          <w:numId w:val="23"/>
        </w:numPr>
        <w:spacing w:before="120" w:after="60" w:line="240" w:lineRule="auto"/>
        <w:ind w:left="357" w:hanging="357"/>
        <w:jc w:val="both"/>
        <w:rPr>
          <w:rFonts w:ascii="Verdana" w:hAnsi="Verdana"/>
          <w:b/>
          <w:i/>
          <w:szCs w:val="20"/>
        </w:rPr>
      </w:pPr>
      <w:r w:rsidRPr="000F50F8">
        <w:rPr>
          <w:rFonts w:ascii="Verdana" w:hAnsi="Verdana"/>
          <w:b/>
          <w:i/>
          <w:szCs w:val="20"/>
        </w:rPr>
        <w:lastRenderedPageBreak/>
        <w:t>What has been done to prepare consumers for the change in industry systems and processes?</w:t>
      </w:r>
    </w:p>
    <w:p w14:paraId="1436EB55" w14:textId="77777777" w:rsidR="000F50F8" w:rsidRPr="000F50F8" w:rsidRDefault="000F50F8" w:rsidP="005D2B3F">
      <w:pPr>
        <w:spacing w:before="120" w:after="60" w:line="240" w:lineRule="auto"/>
        <w:jc w:val="both"/>
        <w:rPr>
          <w:rFonts w:ascii="Verdana" w:hAnsi="Verdana"/>
          <w:sz w:val="20"/>
          <w:szCs w:val="20"/>
        </w:rPr>
      </w:pPr>
    </w:p>
    <w:p w14:paraId="19EEDFFE" w14:textId="07CEB626" w:rsidR="0053377E"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It is Ofgem’s preference that the implementation of the new UK Link system </w:t>
      </w:r>
      <w:r w:rsidR="0053377E">
        <w:rPr>
          <w:rFonts w:ascii="Verdana" w:hAnsi="Verdana"/>
          <w:sz w:val="20"/>
          <w:szCs w:val="20"/>
        </w:rPr>
        <w:t>is</w:t>
      </w:r>
      <w:r w:rsidRPr="000F50F8">
        <w:rPr>
          <w:rFonts w:ascii="Verdana" w:hAnsi="Verdana"/>
          <w:sz w:val="20"/>
          <w:szCs w:val="20"/>
        </w:rPr>
        <w:t xml:space="preserve"> </w:t>
      </w:r>
      <w:r w:rsidR="004B0D0E">
        <w:rPr>
          <w:rFonts w:ascii="Verdana" w:hAnsi="Verdana"/>
          <w:sz w:val="20"/>
          <w:szCs w:val="20"/>
        </w:rPr>
        <w:t>seamless</w:t>
      </w:r>
      <w:r w:rsidRPr="000F50F8">
        <w:rPr>
          <w:rFonts w:ascii="Verdana" w:hAnsi="Verdana"/>
          <w:sz w:val="20"/>
          <w:szCs w:val="20"/>
        </w:rPr>
        <w:t xml:space="preserve"> to consumers. Industry should at all times be considering the potential impact to consumers when preparing their transition plans, and be looking to minimise the impacts to consumers and ensure that the new UK Link system is a benefit to consumers.</w:t>
      </w:r>
    </w:p>
    <w:p w14:paraId="7C13CB04" w14:textId="77777777"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One of the four Nexus Success Factors measures whether Project Nexus </w:t>
      </w:r>
      <w:r w:rsidRPr="000F50F8">
        <w:rPr>
          <w:rFonts w:ascii="Verdana" w:hAnsi="Verdana"/>
          <w:b/>
          <w:i/>
          <w:sz w:val="20"/>
          <w:szCs w:val="20"/>
        </w:rPr>
        <w:t>enables a positive consumer experience</w:t>
      </w:r>
      <w:r w:rsidRPr="000F50F8">
        <w:rPr>
          <w:rFonts w:ascii="Verdana" w:hAnsi="Verdana"/>
          <w:i/>
          <w:sz w:val="20"/>
          <w:szCs w:val="20"/>
        </w:rPr>
        <w:t>.</w:t>
      </w:r>
      <w:r w:rsidRPr="000F50F8">
        <w:rPr>
          <w:rFonts w:ascii="Verdana" w:hAnsi="Verdana"/>
          <w:sz w:val="20"/>
          <w:szCs w:val="20"/>
        </w:rPr>
        <w:t xml:space="preserve"> Supporting this Success Factor, there are four criteria that Xoserve and industry must measure their performance against: </w:t>
      </w:r>
    </w:p>
    <w:p w14:paraId="1E605E0D" w14:textId="77777777" w:rsidR="000F50F8" w:rsidRPr="000F50F8" w:rsidRDefault="000F50F8" w:rsidP="005D2B3F">
      <w:pPr>
        <w:pStyle w:val="ListParagraph"/>
        <w:numPr>
          <w:ilvl w:val="0"/>
          <w:numId w:val="16"/>
        </w:numPr>
        <w:spacing w:before="120" w:after="60" w:line="240" w:lineRule="auto"/>
        <w:ind w:left="717"/>
        <w:jc w:val="both"/>
        <w:rPr>
          <w:rFonts w:ascii="Verdana" w:hAnsi="Verdana"/>
          <w:szCs w:val="20"/>
        </w:rPr>
      </w:pPr>
      <w:r w:rsidRPr="000F50F8">
        <w:rPr>
          <w:rFonts w:ascii="Verdana" w:hAnsi="Verdana"/>
          <w:szCs w:val="20"/>
        </w:rPr>
        <w:t>No negative impacts on energy industry reputation;</w:t>
      </w:r>
    </w:p>
    <w:p w14:paraId="7204ED77" w14:textId="77777777" w:rsidR="000F50F8" w:rsidRPr="000F50F8" w:rsidRDefault="000F50F8" w:rsidP="005D2B3F">
      <w:pPr>
        <w:pStyle w:val="ListParagraph"/>
        <w:numPr>
          <w:ilvl w:val="0"/>
          <w:numId w:val="16"/>
        </w:numPr>
        <w:spacing w:before="120" w:after="60" w:line="240" w:lineRule="auto"/>
        <w:ind w:left="717"/>
        <w:jc w:val="both"/>
        <w:rPr>
          <w:rFonts w:ascii="Verdana" w:hAnsi="Verdana"/>
          <w:szCs w:val="20"/>
        </w:rPr>
      </w:pPr>
      <w:r w:rsidRPr="000F50F8">
        <w:rPr>
          <w:rFonts w:ascii="Verdana" w:hAnsi="Verdana"/>
          <w:szCs w:val="20"/>
        </w:rPr>
        <w:t>Market SLAs defined, measured and achieved;</w:t>
      </w:r>
    </w:p>
    <w:p w14:paraId="4216D8C7" w14:textId="202E8AC7" w:rsidR="000F50F8" w:rsidRPr="000F50F8" w:rsidRDefault="000F50F8" w:rsidP="005D2B3F">
      <w:pPr>
        <w:pStyle w:val="ListParagraph"/>
        <w:numPr>
          <w:ilvl w:val="0"/>
          <w:numId w:val="16"/>
        </w:numPr>
        <w:spacing w:before="120" w:after="60" w:line="240" w:lineRule="auto"/>
        <w:ind w:left="717"/>
        <w:jc w:val="both"/>
        <w:rPr>
          <w:rFonts w:ascii="Verdana" w:hAnsi="Verdana"/>
          <w:szCs w:val="20"/>
        </w:rPr>
      </w:pPr>
      <w:r w:rsidRPr="000F50F8">
        <w:rPr>
          <w:rFonts w:ascii="Verdana" w:hAnsi="Verdana"/>
          <w:szCs w:val="20"/>
        </w:rPr>
        <w:t>Organisational structure to</w:t>
      </w:r>
      <w:r w:rsidR="00BE1D98">
        <w:rPr>
          <w:rFonts w:ascii="Verdana" w:hAnsi="Verdana"/>
          <w:szCs w:val="20"/>
        </w:rPr>
        <w:t xml:space="preserve"> be</w:t>
      </w:r>
      <w:r w:rsidRPr="000F50F8">
        <w:rPr>
          <w:rFonts w:ascii="Verdana" w:hAnsi="Verdana"/>
          <w:szCs w:val="20"/>
        </w:rPr>
        <w:t xml:space="preserve"> developed to support the new processes </w:t>
      </w:r>
      <w:r w:rsidR="004B0D0E">
        <w:rPr>
          <w:rFonts w:ascii="Verdana" w:hAnsi="Verdana"/>
          <w:szCs w:val="20"/>
        </w:rPr>
        <w:t>and</w:t>
      </w:r>
      <w:r w:rsidRPr="000F50F8">
        <w:rPr>
          <w:rFonts w:ascii="Verdana" w:hAnsi="Verdana"/>
          <w:szCs w:val="20"/>
        </w:rPr>
        <w:t xml:space="preserve"> systems; and</w:t>
      </w:r>
    </w:p>
    <w:p w14:paraId="01872F86" w14:textId="77777777" w:rsidR="000F50F8" w:rsidRPr="000F50F8" w:rsidRDefault="000F50F8" w:rsidP="005D2B3F">
      <w:pPr>
        <w:pStyle w:val="ListParagraph"/>
        <w:numPr>
          <w:ilvl w:val="0"/>
          <w:numId w:val="16"/>
        </w:numPr>
        <w:spacing w:before="120" w:after="60" w:line="240" w:lineRule="auto"/>
        <w:ind w:left="717"/>
        <w:jc w:val="both"/>
        <w:rPr>
          <w:rFonts w:ascii="Verdana" w:hAnsi="Verdana"/>
          <w:szCs w:val="20"/>
        </w:rPr>
      </w:pPr>
      <w:r w:rsidRPr="000F50F8">
        <w:rPr>
          <w:rFonts w:ascii="Verdana" w:hAnsi="Verdana"/>
          <w:szCs w:val="20"/>
        </w:rPr>
        <w:t>Industry staff are sufficiently trained and are effective from day 1 of the new Nexus system.</w:t>
      </w:r>
    </w:p>
    <w:p w14:paraId="3A36EA5E" w14:textId="510CF853" w:rsidR="0053377E"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The key expectation on the industry is that gas shippers have readied </w:t>
      </w:r>
      <w:r w:rsidR="0056455D">
        <w:rPr>
          <w:rFonts w:ascii="Verdana" w:hAnsi="Verdana"/>
          <w:sz w:val="20"/>
          <w:szCs w:val="20"/>
        </w:rPr>
        <w:t>their supplier organisations who,</w:t>
      </w:r>
      <w:r w:rsidRPr="000F50F8">
        <w:rPr>
          <w:rFonts w:ascii="Verdana" w:hAnsi="Verdana"/>
          <w:sz w:val="20"/>
          <w:szCs w:val="20"/>
        </w:rPr>
        <w:t xml:space="preserve"> in turn</w:t>
      </w:r>
      <w:r w:rsidR="0056455D">
        <w:rPr>
          <w:rFonts w:ascii="Verdana" w:hAnsi="Verdana"/>
          <w:sz w:val="20"/>
          <w:szCs w:val="20"/>
        </w:rPr>
        <w:t>,</w:t>
      </w:r>
      <w:r w:rsidRPr="000F50F8">
        <w:rPr>
          <w:rFonts w:ascii="Verdana" w:hAnsi="Verdana"/>
          <w:sz w:val="20"/>
          <w:szCs w:val="20"/>
        </w:rPr>
        <w:t xml:space="preserve"> have ensured that the impact to consumers is considered in the transition and cutover planning. Consideration of UNC Modification 602A (iGTUNC 092a) and the implications</w:t>
      </w:r>
      <w:r w:rsidR="00106E17">
        <w:rPr>
          <w:rFonts w:ascii="Verdana" w:hAnsi="Verdana"/>
          <w:sz w:val="20"/>
          <w:szCs w:val="20"/>
        </w:rPr>
        <w:t xml:space="preserve"> of the non-effective period</w:t>
      </w:r>
      <w:r w:rsidRPr="000F50F8">
        <w:rPr>
          <w:rFonts w:ascii="Verdana" w:hAnsi="Verdana"/>
          <w:sz w:val="20"/>
          <w:szCs w:val="20"/>
        </w:rPr>
        <w:t xml:space="preserve"> to switching timeframes during the cutover period are</w:t>
      </w:r>
      <w:r w:rsidR="00106E17">
        <w:rPr>
          <w:rFonts w:ascii="Verdana" w:hAnsi="Verdana"/>
          <w:sz w:val="20"/>
          <w:szCs w:val="20"/>
        </w:rPr>
        <w:t xml:space="preserve"> particularly</w:t>
      </w:r>
      <w:r w:rsidRPr="000F50F8">
        <w:rPr>
          <w:rFonts w:ascii="Verdana" w:hAnsi="Verdana"/>
          <w:sz w:val="20"/>
          <w:szCs w:val="20"/>
        </w:rPr>
        <w:t xml:space="preserve"> relevant here</w:t>
      </w:r>
      <w:r w:rsidR="0053377E">
        <w:rPr>
          <w:rStyle w:val="FootnoteReference"/>
          <w:rFonts w:ascii="Verdana" w:hAnsi="Verdana"/>
          <w:sz w:val="20"/>
          <w:szCs w:val="20"/>
        </w:rPr>
        <w:footnoteReference w:id="2"/>
      </w:r>
      <w:r w:rsidRPr="000F50F8">
        <w:rPr>
          <w:rFonts w:ascii="Verdana" w:hAnsi="Verdana"/>
          <w:sz w:val="20"/>
          <w:szCs w:val="20"/>
        </w:rPr>
        <w:t>.</w:t>
      </w:r>
    </w:p>
    <w:p w14:paraId="67C9E4F3" w14:textId="438B69B9"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It is Ofgem’s expectation that industry appropriately consult</w:t>
      </w:r>
      <w:r w:rsidR="0053377E">
        <w:rPr>
          <w:rFonts w:ascii="Verdana" w:hAnsi="Verdana"/>
          <w:sz w:val="20"/>
          <w:szCs w:val="20"/>
        </w:rPr>
        <w:t>s</w:t>
      </w:r>
      <w:r w:rsidRPr="000F50F8">
        <w:rPr>
          <w:rFonts w:ascii="Verdana" w:hAnsi="Verdana"/>
          <w:sz w:val="20"/>
          <w:szCs w:val="20"/>
        </w:rPr>
        <w:t xml:space="preserve"> and implement</w:t>
      </w:r>
      <w:r w:rsidR="0053377E">
        <w:rPr>
          <w:rFonts w:ascii="Verdana" w:hAnsi="Verdana"/>
          <w:sz w:val="20"/>
          <w:szCs w:val="20"/>
        </w:rPr>
        <w:t>s</w:t>
      </w:r>
      <w:r w:rsidRPr="000F50F8">
        <w:rPr>
          <w:rFonts w:ascii="Verdana" w:hAnsi="Verdana"/>
          <w:sz w:val="20"/>
          <w:szCs w:val="20"/>
        </w:rPr>
        <w:t xml:space="preserve"> the outcomes from UNC Modification 602A (iGTUNC 092a) and </w:t>
      </w:r>
      <w:r w:rsidR="0053377E">
        <w:rPr>
          <w:rFonts w:ascii="Verdana" w:hAnsi="Verdana"/>
          <w:sz w:val="20"/>
          <w:szCs w:val="20"/>
        </w:rPr>
        <w:t xml:space="preserve">has </w:t>
      </w:r>
      <w:r w:rsidRPr="000F50F8">
        <w:rPr>
          <w:rFonts w:ascii="Verdana" w:hAnsi="Verdana"/>
          <w:sz w:val="20"/>
          <w:szCs w:val="20"/>
        </w:rPr>
        <w:t>worked with any relevant impacted third party to ensure that the impact to consumers during th</w:t>
      </w:r>
      <w:r w:rsidR="00106E17">
        <w:rPr>
          <w:rFonts w:ascii="Verdana" w:hAnsi="Verdana"/>
          <w:sz w:val="20"/>
          <w:szCs w:val="20"/>
        </w:rPr>
        <w:t>e non-effective</w:t>
      </w:r>
      <w:r w:rsidRPr="000F50F8">
        <w:rPr>
          <w:rFonts w:ascii="Verdana" w:hAnsi="Verdana"/>
          <w:sz w:val="20"/>
          <w:szCs w:val="20"/>
        </w:rPr>
        <w:t xml:space="preserve"> period is minimised.  In asking Shippers to submit their GONG assessments, we are expecting shippers to have considered the integration of the </w:t>
      </w:r>
      <w:r w:rsidR="0053377E">
        <w:rPr>
          <w:rFonts w:ascii="Verdana" w:hAnsi="Verdana"/>
          <w:sz w:val="20"/>
          <w:szCs w:val="20"/>
        </w:rPr>
        <w:t>suppliers</w:t>
      </w:r>
      <w:r w:rsidR="0053377E" w:rsidRPr="000F50F8">
        <w:rPr>
          <w:rFonts w:ascii="Verdana" w:hAnsi="Verdana"/>
          <w:sz w:val="20"/>
          <w:szCs w:val="20"/>
        </w:rPr>
        <w:t xml:space="preserve"> </w:t>
      </w:r>
      <w:r w:rsidRPr="000F50F8">
        <w:rPr>
          <w:rFonts w:ascii="Verdana" w:hAnsi="Verdana"/>
          <w:sz w:val="20"/>
          <w:szCs w:val="20"/>
        </w:rPr>
        <w:t>using their services when determining their readiness for go-live.</w:t>
      </w:r>
    </w:p>
    <w:p w14:paraId="47612A8C" w14:textId="3AAC7CC5"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Whilst gas suppliers are outside the scope of Project Nexus</w:t>
      </w:r>
      <w:r w:rsidR="00106E17">
        <w:rPr>
          <w:rFonts w:ascii="Verdana" w:hAnsi="Verdana"/>
          <w:sz w:val="20"/>
          <w:szCs w:val="20"/>
        </w:rPr>
        <w:t xml:space="preserve"> insofar as they are not UNC or IGT UNC signatories, or have access to the UK Link systems in their own right</w:t>
      </w:r>
      <w:r w:rsidRPr="000F50F8">
        <w:rPr>
          <w:rFonts w:ascii="Verdana" w:hAnsi="Verdana"/>
          <w:sz w:val="20"/>
          <w:szCs w:val="20"/>
        </w:rPr>
        <w:t xml:space="preserve">, Ofgem has recognised that some shippers </w:t>
      </w:r>
      <w:r w:rsidR="0056455D">
        <w:rPr>
          <w:rFonts w:ascii="Verdana" w:hAnsi="Verdana"/>
          <w:sz w:val="20"/>
          <w:szCs w:val="20"/>
        </w:rPr>
        <w:t xml:space="preserve">may require assistance in readying </w:t>
      </w:r>
      <w:r w:rsidRPr="000F50F8">
        <w:rPr>
          <w:rFonts w:ascii="Verdana" w:hAnsi="Verdana"/>
          <w:sz w:val="20"/>
          <w:szCs w:val="20"/>
        </w:rPr>
        <w:t>their suppliers. As such, a stand-alone S</w:t>
      </w:r>
      <w:r w:rsidR="0056455D">
        <w:rPr>
          <w:rFonts w:ascii="Verdana" w:hAnsi="Verdana"/>
          <w:sz w:val="20"/>
          <w:szCs w:val="20"/>
        </w:rPr>
        <w:t>upplier Forum was held on 03 April</w:t>
      </w:r>
      <w:r w:rsidRPr="000F50F8">
        <w:rPr>
          <w:rFonts w:ascii="Verdana" w:hAnsi="Verdana"/>
          <w:sz w:val="20"/>
          <w:szCs w:val="20"/>
        </w:rPr>
        <w:t xml:space="preserve"> 17 to assist suppliers in understanding the scope of programme and the various activities they need to coordinate with their shippers prior to go-live.</w:t>
      </w:r>
    </w:p>
    <w:p w14:paraId="75AA28C1" w14:textId="77777777" w:rsidR="000F50F8" w:rsidRPr="000F50F8" w:rsidRDefault="000F50F8" w:rsidP="005D2B3F">
      <w:pPr>
        <w:spacing w:before="120" w:after="60" w:line="240" w:lineRule="auto"/>
        <w:ind w:left="357"/>
        <w:jc w:val="both"/>
        <w:rPr>
          <w:rFonts w:ascii="Verdana" w:hAnsi="Verdana"/>
          <w:b/>
          <w:sz w:val="20"/>
          <w:szCs w:val="20"/>
          <w:u w:val="single"/>
        </w:rPr>
      </w:pPr>
    </w:p>
    <w:p w14:paraId="1BEA6389" w14:textId="77777777" w:rsidR="000F50F8" w:rsidRPr="005D2B3F" w:rsidRDefault="000F50F8" w:rsidP="005D2B3F">
      <w:pPr>
        <w:spacing w:before="120" w:after="60" w:line="240" w:lineRule="auto"/>
        <w:ind w:left="357"/>
        <w:jc w:val="both"/>
        <w:rPr>
          <w:rFonts w:ascii="Verdana" w:hAnsi="Verdana"/>
          <w:color w:val="000000" w:themeColor="text1"/>
          <w:sz w:val="20"/>
          <w:szCs w:val="20"/>
        </w:rPr>
      </w:pPr>
      <w:r w:rsidRPr="005D2B3F">
        <w:rPr>
          <w:rFonts w:ascii="Verdana" w:hAnsi="Verdana"/>
          <w:b/>
          <w:color w:val="000000" w:themeColor="text1"/>
          <w:sz w:val="20"/>
          <w:szCs w:val="20"/>
          <w:u w:val="single"/>
        </w:rPr>
        <w:t>Link: UNC</w:t>
      </w:r>
      <w:r w:rsidR="00DB55A1" w:rsidRPr="005D2B3F">
        <w:rPr>
          <w:rFonts w:ascii="Verdana" w:hAnsi="Verdana"/>
          <w:b/>
          <w:color w:val="000000" w:themeColor="text1"/>
          <w:sz w:val="20"/>
          <w:szCs w:val="20"/>
          <w:u w:val="single"/>
        </w:rPr>
        <w:t xml:space="preserve"> 602A</w:t>
      </w:r>
      <w:r w:rsidRPr="005D2B3F">
        <w:rPr>
          <w:rFonts w:ascii="Verdana" w:hAnsi="Verdana"/>
          <w:b/>
          <w:color w:val="000000" w:themeColor="text1"/>
          <w:sz w:val="20"/>
          <w:szCs w:val="20"/>
          <w:u w:val="single"/>
        </w:rPr>
        <w:t xml:space="preserve"> Ofgem Decision Letter</w:t>
      </w:r>
    </w:p>
    <w:p w14:paraId="196644A5" w14:textId="433FAC5E" w:rsidR="00FD40B7" w:rsidRPr="005D2B3F" w:rsidRDefault="00EE4275" w:rsidP="005D2B3F">
      <w:pPr>
        <w:spacing w:before="120" w:after="60" w:line="240" w:lineRule="auto"/>
        <w:ind w:left="357"/>
        <w:jc w:val="both"/>
        <w:rPr>
          <w:rFonts w:ascii="Verdana" w:hAnsi="Verdana"/>
          <w:sz w:val="20"/>
          <w:szCs w:val="20"/>
        </w:rPr>
      </w:pPr>
      <w:hyperlink r:id="rId16" w:history="1">
        <w:r w:rsidR="00FD40B7" w:rsidRPr="005D2B3F">
          <w:rPr>
            <w:rStyle w:val="Hyperlink"/>
            <w:rFonts w:ascii="Verdana" w:hAnsi="Verdana"/>
            <w:sz w:val="20"/>
            <w:szCs w:val="20"/>
          </w:rPr>
          <w:t>http://www.gasgovernance.co.uk/sites/default/files/UNC602aIGT092aD%20(2).pdf</w:t>
        </w:r>
      </w:hyperlink>
    </w:p>
    <w:p w14:paraId="1FA7CFCF" w14:textId="77777777" w:rsidR="00FD40B7" w:rsidRPr="005D2B3F" w:rsidRDefault="00FD40B7" w:rsidP="005D2B3F">
      <w:pPr>
        <w:spacing w:before="120" w:after="60" w:line="240" w:lineRule="auto"/>
        <w:ind w:left="357"/>
        <w:jc w:val="both"/>
        <w:rPr>
          <w:rFonts w:ascii="Verdana" w:hAnsi="Verdana"/>
          <w:sz w:val="20"/>
          <w:szCs w:val="20"/>
        </w:rPr>
      </w:pPr>
    </w:p>
    <w:p w14:paraId="389EE5D6" w14:textId="77777777" w:rsidR="000F50F8" w:rsidRPr="005D2B3F" w:rsidRDefault="000F50F8" w:rsidP="005D2B3F">
      <w:pPr>
        <w:spacing w:before="120" w:after="60" w:line="240" w:lineRule="auto"/>
        <w:jc w:val="both"/>
        <w:rPr>
          <w:rFonts w:ascii="Verdana" w:hAnsi="Verdana"/>
          <w:sz w:val="20"/>
          <w:szCs w:val="20"/>
        </w:rPr>
      </w:pPr>
    </w:p>
    <w:p w14:paraId="42E405A7" w14:textId="77777777" w:rsidR="000F50F8" w:rsidRDefault="000F50F8" w:rsidP="005D2B3F">
      <w:pPr>
        <w:jc w:val="both"/>
        <w:rPr>
          <w:rFonts w:ascii="Verdana" w:hAnsi="Verdana"/>
          <w:i/>
          <w:sz w:val="20"/>
          <w:szCs w:val="20"/>
        </w:rPr>
      </w:pPr>
      <w:r w:rsidRPr="000F50F8">
        <w:rPr>
          <w:rFonts w:ascii="Verdana" w:hAnsi="Verdana"/>
          <w:i/>
          <w:sz w:val="20"/>
          <w:szCs w:val="20"/>
        </w:rPr>
        <w:br w:type="page"/>
      </w:r>
    </w:p>
    <w:p w14:paraId="748D5476" w14:textId="3D67E36C" w:rsidR="000F50F8" w:rsidRPr="000F50F8" w:rsidRDefault="000F50F8" w:rsidP="005D2B3F">
      <w:pPr>
        <w:pStyle w:val="ListParagraph"/>
        <w:numPr>
          <w:ilvl w:val="0"/>
          <w:numId w:val="17"/>
        </w:numPr>
        <w:spacing w:before="120" w:after="60" w:line="240" w:lineRule="auto"/>
        <w:jc w:val="both"/>
        <w:rPr>
          <w:rFonts w:ascii="Verdana" w:hAnsi="Verdana"/>
          <w:b/>
          <w:i/>
          <w:szCs w:val="20"/>
        </w:rPr>
      </w:pPr>
      <w:r w:rsidRPr="000F50F8">
        <w:rPr>
          <w:rFonts w:ascii="Verdana" w:hAnsi="Verdana"/>
          <w:b/>
          <w:i/>
          <w:szCs w:val="20"/>
        </w:rPr>
        <w:lastRenderedPageBreak/>
        <w:t xml:space="preserve">How has confidence been built in the capability and the capacity of the central Xoserve systems to handle the likely industry transaction volumes on </w:t>
      </w:r>
      <w:r w:rsidR="004B0D0E">
        <w:rPr>
          <w:rFonts w:ascii="Verdana" w:hAnsi="Verdana"/>
          <w:b/>
          <w:i/>
          <w:szCs w:val="20"/>
        </w:rPr>
        <w:t>D</w:t>
      </w:r>
      <w:r w:rsidRPr="000F50F8">
        <w:rPr>
          <w:rFonts w:ascii="Verdana" w:hAnsi="Verdana"/>
          <w:b/>
          <w:i/>
          <w:szCs w:val="20"/>
        </w:rPr>
        <w:t xml:space="preserve">ay 1 and </w:t>
      </w:r>
      <w:r w:rsidR="004B0D0E">
        <w:rPr>
          <w:rFonts w:ascii="Verdana" w:hAnsi="Verdana"/>
          <w:b/>
          <w:i/>
          <w:szCs w:val="20"/>
        </w:rPr>
        <w:t>D</w:t>
      </w:r>
      <w:r w:rsidRPr="000F50F8">
        <w:rPr>
          <w:rFonts w:ascii="Verdana" w:hAnsi="Verdana"/>
          <w:b/>
          <w:i/>
          <w:szCs w:val="20"/>
        </w:rPr>
        <w:t>ay 100? How will Xoserve respond if unexpected peaks in volumes of transactions are experienced?</w:t>
      </w:r>
    </w:p>
    <w:p w14:paraId="6CEE286D" w14:textId="77777777" w:rsidR="000F50F8" w:rsidRPr="000F50F8" w:rsidRDefault="000F50F8" w:rsidP="005D2B3F">
      <w:pPr>
        <w:spacing w:before="120" w:after="60" w:line="240" w:lineRule="auto"/>
        <w:jc w:val="both"/>
        <w:rPr>
          <w:rFonts w:ascii="Verdana" w:hAnsi="Verdana"/>
          <w:sz w:val="20"/>
          <w:szCs w:val="20"/>
        </w:rPr>
      </w:pPr>
    </w:p>
    <w:p w14:paraId="0791DDA7" w14:textId="77777777" w:rsidR="000F50F8" w:rsidRPr="000F50F8" w:rsidRDefault="000F50F8" w:rsidP="005D2B3F">
      <w:pPr>
        <w:spacing w:before="120" w:after="60" w:line="240" w:lineRule="auto"/>
        <w:ind w:left="360"/>
        <w:jc w:val="both"/>
        <w:rPr>
          <w:rFonts w:ascii="Verdana" w:hAnsi="Verdana"/>
          <w:sz w:val="20"/>
          <w:szCs w:val="20"/>
        </w:rPr>
      </w:pPr>
      <w:r w:rsidRPr="000F50F8">
        <w:rPr>
          <w:rFonts w:ascii="Verdana" w:hAnsi="Verdana"/>
          <w:sz w:val="20"/>
          <w:szCs w:val="20"/>
        </w:rPr>
        <w:t>The ability of the Xoserve solution to handle likely transaction volumes has been a critical consideration over the last 18 to 24 months.  Xoserve and industry has focused on the following aspects in order to build levels of confidence:</w:t>
      </w:r>
    </w:p>
    <w:p w14:paraId="01F1137B" w14:textId="77777777" w:rsidR="000F50F8" w:rsidRPr="000F50F8" w:rsidRDefault="000F50F8" w:rsidP="005D2B3F">
      <w:pPr>
        <w:pStyle w:val="ListParagraph"/>
        <w:numPr>
          <w:ilvl w:val="0"/>
          <w:numId w:val="18"/>
        </w:numPr>
        <w:spacing w:before="120" w:after="60" w:line="240" w:lineRule="auto"/>
        <w:ind w:left="720"/>
        <w:jc w:val="both"/>
        <w:rPr>
          <w:rFonts w:ascii="Verdana" w:hAnsi="Verdana"/>
          <w:szCs w:val="20"/>
        </w:rPr>
      </w:pPr>
      <w:r w:rsidRPr="000F50F8">
        <w:rPr>
          <w:rFonts w:ascii="Verdana" w:hAnsi="Verdana"/>
          <w:szCs w:val="20"/>
        </w:rPr>
        <w:t>The specification of the non-functional requirements (‘NFRs’) expected from the Xoserve solution;</w:t>
      </w:r>
    </w:p>
    <w:p w14:paraId="188517EC" w14:textId="77777777" w:rsidR="000F50F8" w:rsidRPr="000F50F8" w:rsidRDefault="000F50F8" w:rsidP="005D2B3F">
      <w:pPr>
        <w:pStyle w:val="ListParagraph"/>
        <w:numPr>
          <w:ilvl w:val="0"/>
          <w:numId w:val="18"/>
        </w:numPr>
        <w:spacing w:before="120" w:after="60" w:line="240" w:lineRule="auto"/>
        <w:ind w:left="720"/>
        <w:jc w:val="both"/>
        <w:rPr>
          <w:rFonts w:ascii="Verdana" w:hAnsi="Verdana"/>
          <w:szCs w:val="20"/>
        </w:rPr>
      </w:pPr>
      <w:r w:rsidRPr="000F50F8">
        <w:rPr>
          <w:rFonts w:ascii="Verdana" w:hAnsi="Verdana"/>
          <w:szCs w:val="20"/>
        </w:rPr>
        <w:t>The execution of performance testing on the Xoserve solution;</w:t>
      </w:r>
    </w:p>
    <w:p w14:paraId="44F38217" w14:textId="77777777" w:rsidR="000F50F8" w:rsidRPr="000F50F8" w:rsidRDefault="000F50F8" w:rsidP="005D2B3F">
      <w:pPr>
        <w:pStyle w:val="ListParagraph"/>
        <w:numPr>
          <w:ilvl w:val="0"/>
          <w:numId w:val="18"/>
        </w:numPr>
        <w:spacing w:before="120" w:after="60" w:line="240" w:lineRule="auto"/>
        <w:ind w:left="720"/>
        <w:jc w:val="both"/>
        <w:rPr>
          <w:rFonts w:ascii="Verdana" w:hAnsi="Verdana"/>
          <w:szCs w:val="20"/>
        </w:rPr>
      </w:pPr>
      <w:r w:rsidRPr="000F50F8">
        <w:rPr>
          <w:rFonts w:ascii="Verdana" w:hAnsi="Verdana"/>
          <w:szCs w:val="20"/>
        </w:rPr>
        <w:t>Further analysis around the volume of Class 3 meter reads that can be expected from the industry; and</w:t>
      </w:r>
    </w:p>
    <w:p w14:paraId="4CD29687" w14:textId="77777777" w:rsidR="000F50F8" w:rsidRPr="000F50F8" w:rsidRDefault="000F50F8" w:rsidP="005D2B3F">
      <w:pPr>
        <w:pStyle w:val="ListParagraph"/>
        <w:numPr>
          <w:ilvl w:val="0"/>
          <w:numId w:val="18"/>
        </w:numPr>
        <w:spacing w:before="120" w:after="60" w:line="240" w:lineRule="auto"/>
        <w:ind w:left="720"/>
        <w:jc w:val="both"/>
        <w:rPr>
          <w:rFonts w:ascii="Verdana" w:hAnsi="Verdana"/>
          <w:szCs w:val="20"/>
        </w:rPr>
      </w:pPr>
      <w:r w:rsidRPr="000F50F8">
        <w:rPr>
          <w:rFonts w:ascii="Verdana" w:hAnsi="Verdana"/>
          <w:szCs w:val="20"/>
        </w:rPr>
        <w:t xml:space="preserve">Further testing of performance across Xoserve’s dress rehearsals, especially the assumptions around the volume of industry files that will require ‘catch-up’ in the non-effective day period. </w:t>
      </w:r>
    </w:p>
    <w:p w14:paraId="45E5A1A5" w14:textId="77777777" w:rsidR="000F50F8" w:rsidRPr="000F50F8" w:rsidRDefault="000F50F8" w:rsidP="005D2B3F">
      <w:pPr>
        <w:spacing w:before="120" w:after="60" w:line="240" w:lineRule="auto"/>
        <w:ind w:left="360"/>
        <w:jc w:val="both"/>
        <w:rPr>
          <w:rFonts w:ascii="Verdana" w:hAnsi="Verdana"/>
          <w:sz w:val="20"/>
          <w:szCs w:val="20"/>
        </w:rPr>
      </w:pPr>
      <w:r w:rsidRPr="000F50F8">
        <w:rPr>
          <w:rFonts w:ascii="Verdana" w:hAnsi="Verdana"/>
          <w:sz w:val="20"/>
          <w:szCs w:val="20"/>
        </w:rPr>
        <w:t xml:space="preserve">These elements have been shared across the </w:t>
      </w:r>
      <w:r w:rsidR="00DB55A1">
        <w:rPr>
          <w:rFonts w:ascii="Verdana" w:hAnsi="Verdana"/>
          <w:sz w:val="20"/>
          <w:szCs w:val="20"/>
        </w:rPr>
        <w:t xml:space="preserve">Project </w:t>
      </w:r>
      <w:r w:rsidRPr="000F50F8">
        <w:rPr>
          <w:rFonts w:ascii="Verdana" w:hAnsi="Verdana"/>
          <w:sz w:val="20"/>
          <w:szCs w:val="20"/>
        </w:rPr>
        <w:t>Nexus industry forums, but a summary of the results and any outstanding risk areas is presented below:</w:t>
      </w:r>
    </w:p>
    <w:p w14:paraId="1577004D" w14:textId="77777777" w:rsidR="000F50F8" w:rsidRPr="000F50F8" w:rsidRDefault="000F50F8" w:rsidP="005D2B3F">
      <w:pPr>
        <w:spacing w:before="120" w:after="60" w:line="240" w:lineRule="auto"/>
        <w:ind w:left="360"/>
        <w:jc w:val="both"/>
        <w:rPr>
          <w:rFonts w:ascii="Verdana" w:hAnsi="Verdana"/>
          <w:sz w:val="20"/>
          <w:szCs w:val="20"/>
        </w:rPr>
      </w:pPr>
    </w:p>
    <w:tbl>
      <w:tblPr>
        <w:tblStyle w:val="GridTable1Light1"/>
        <w:tblW w:w="0" w:type="auto"/>
        <w:tblInd w:w="360" w:type="dxa"/>
        <w:tblLook w:val="04A0" w:firstRow="1" w:lastRow="0" w:firstColumn="1" w:lastColumn="0" w:noHBand="0" w:noVBand="1"/>
      </w:tblPr>
      <w:tblGrid>
        <w:gridCol w:w="2405"/>
        <w:gridCol w:w="3402"/>
        <w:gridCol w:w="207"/>
        <w:gridCol w:w="3002"/>
        <w:gridCol w:w="117"/>
      </w:tblGrid>
      <w:tr w:rsidR="000F50F8" w:rsidRPr="000F50F8" w14:paraId="191064CD" w14:textId="77777777" w:rsidTr="000F50F8">
        <w:trPr>
          <w:gridAfter w:val="1"/>
          <w:cnfStyle w:val="100000000000" w:firstRow="1" w:lastRow="0" w:firstColumn="0" w:lastColumn="0" w:oddVBand="0" w:evenVBand="0" w:oddHBand="0" w:evenHBand="0" w:firstRowFirstColumn="0" w:firstRowLastColumn="0" w:lastRowFirstColumn="0" w:lastRowLastColumn="0"/>
          <w:wAfter w:w="117" w:type="dxa"/>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15336C8" w14:textId="77777777" w:rsidR="000F50F8" w:rsidRPr="000F50F8" w:rsidRDefault="000F50F8" w:rsidP="005D2B3F">
            <w:pPr>
              <w:spacing w:before="120" w:after="60"/>
              <w:jc w:val="both"/>
              <w:rPr>
                <w:rFonts w:ascii="Verdana" w:hAnsi="Verdana"/>
                <w:sz w:val="20"/>
                <w:szCs w:val="20"/>
              </w:rPr>
            </w:pPr>
            <w:r w:rsidRPr="000F50F8">
              <w:rPr>
                <w:rFonts w:ascii="Verdana" w:hAnsi="Verdana"/>
                <w:sz w:val="20"/>
                <w:szCs w:val="20"/>
              </w:rPr>
              <w:t>Area</w:t>
            </w:r>
          </w:p>
        </w:tc>
        <w:tc>
          <w:tcPr>
            <w:tcW w:w="340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06961F6" w14:textId="77777777" w:rsidR="000F50F8" w:rsidRPr="000F50F8" w:rsidRDefault="000F50F8" w:rsidP="005D2B3F">
            <w:pPr>
              <w:spacing w:before="120" w:after="60"/>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F50F8">
              <w:rPr>
                <w:rFonts w:ascii="Verdana" w:hAnsi="Verdana"/>
                <w:sz w:val="20"/>
                <w:szCs w:val="20"/>
              </w:rPr>
              <w:t>Key outcomes and results</w:t>
            </w:r>
          </w:p>
        </w:tc>
        <w:tc>
          <w:tcPr>
            <w:tcW w:w="3209" w:type="dxa"/>
            <w:gridSpan w:val="2"/>
            <w:tcBorders>
              <w:top w:val="single" w:sz="4" w:space="0" w:color="999999" w:themeColor="text1" w:themeTint="66"/>
              <w:left w:val="single" w:sz="4" w:space="0" w:color="999999" w:themeColor="text1" w:themeTint="66"/>
              <w:right w:val="single" w:sz="4" w:space="0" w:color="999999" w:themeColor="text1" w:themeTint="66"/>
            </w:tcBorders>
            <w:hideMark/>
          </w:tcPr>
          <w:p w14:paraId="25DFE2E6" w14:textId="77777777" w:rsidR="000F50F8" w:rsidRPr="000F50F8" w:rsidRDefault="000F50F8" w:rsidP="005D2B3F">
            <w:pPr>
              <w:spacing w:before="120" w:after="60"/>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F50F8">
              <w:rPr>
                <w:rFonts w:ascii="Verdana" w:hAnsi="Verdana"/>
                <w:sz w:val="20"/>
                <w:szCs w:val="20"/>
              </w:rPr>
              <w:t>Residual questions and issues</w:t>
            </w:r>
          </w:p>
        </w:tc>
      </w:tr>
      <w:tr w:rsidR="000F50F8" w:rsidRPr="000F50F8" w14:paraId="6E068784" w14:textId="77777777" w:rsidTr="000F50F8">
        <w:trPr>
          <w:gridAfter w:val="1"/>
          <w:wAfter w:w="117" w:type="dxa"/>
          <w:trHeight w:val="3375"/>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F7DEBF" w14:textId="77777777" w:rsidR="000F50F8" w:rsidRPr="000F50F8" w:rsidRDefault="000F50F8" w:rsidP="005D2B3F">
            <w:pPr>
              <w:spacing w:before="120" w:after="60"/>
              <w:jc w:val="both"/>
              <w:rPr>
                <w:rFonts w:ascii="Verdana" w:hAnsi="Verdana"/>
                <w:b w:val="0"/>
                <w:sz w:val="20"/>
                <w:szCs w:val="20"/>
              </w:rPr>
            </w:pPr>
            <w:r w:rsidRPr="000F50F8">
              <w:rPr>
                <w:rFonts w:ascii="Verdana" w:hAnsi="Verdana"/>
                <w:b w:val="0"/>
                <w:sz w:val="20"/>
                <w:szCs w:val="20"/>
              </w:rPr>
              <w:t>Non-functional requirements (‘NFRs’)</w:t>
            </w:r>
          </w:p>
        </w:tc>
        <w:tc>
          <w:tcPr>
            <w:tcW w:w="34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42909CC" w14:textId="77777777" w:rsidR="000F50F8" w:rsidRPr="000F50F8" w:rsidRDefault="000F50F8"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The External Industry Business Requirement Principles Document (‘BRD’) was agreed and appro</w:t>
            </w:r>
            <w:r w:rsidR="0056455D">
              <w:rPr>
                <w:rFonts w:ascii="Verdana" w:hAnsi="Verdana"/>
                <w:szCs w:val="20"/>
              </w:rPr>
              <w:t>ved by the industry during 2011 and 20</w:t>
            </w:r>
            <w:r w:rsidRPr="000F50F8">
              <w:rPr>
                <w:rFonts w:ascii="Verdana" w:hAnsi="Verdana"/>
                <w:szCs w:val="20"/>
              </w:rPr>
              <w:t xml:space="preserve">12.  Principles were taken into an Xoserve internally developed NFR BRD, which was approved in 2012.  </w:t>
            </w:r>
          </w:p>
          <w:p w14:paraId="4569AABB" w14:textId="77777777" w:rsidR="000F50F8" w:rsidRPr="000F50F8" w:rsidRDefault="000F50F8" w:rsidP="005D2B3F">
            <w:pPr>
              <w:pStyle w:val="ListParagraph"/>
              <w:spacing w:before="60" w:after="60"/>
              <w:ind w:left="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p>
          <w:p w14:paraId="01C796B0" w14:textId="77777777" w:rsidR="000F50F8" w:rsidRPr="000F50F8" w:rsidRDefault="000F50F8"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 xml:space="preserve">Industry BRD for NFR </w:t>
            </w:r>
            <w:r w:rsidR="00DB55A1">
              <w:rPr>
                <w:rFonts w:ascii="Verdana" w:hAnsi="Verdana"/>
                <w:szCs w:val="20"/>
              </w:rPr>
              <w:t xml:space="preserve">was </w:t>
            </w:r>
            <w:r w:rsidRPr="000F50F8">
              <w:rPr>
                <w:rFonts w:ascii="Verdana" w:hAnsi="Verdana"/>
                <w:szCs w:val="20"/>
              </w:rPr>
              <w:t>discussed at PNUNC (Project Nexus UNC Group) and latest version of Princip</w:t>
            </w:r>
            <w:r w:rsidR="0056455D">
              <w:rPr>
                <w:rFonts w:ascii="Verdana" w:hAnsi="Verdana"/>
                <w:szCs w:val="20"/>
              </w:rPr>
              <w:t xml:space="preserve">les document baselined at 5 Mar </w:t>
            </w:r>
            <w:r w:rsidRPr="000F50F8">
              <w:rPr>
                <w:rFonts w:ascii="Verdana" w:hAnsi="Verdana"/>
                <w:szCs w:val="20"/>
              </w:rPr>
              <w:t>13. The NFRs were subsequently validated at PNUNC</w:t>
            </w:r>
            <w:r w:rsidR="0056455D">
              <w:rPr>
                <w:rFonts w:ascii="Verdana" w:hAnsi="Verdana"/>
                <w:szCs w:val="20"/>
              </w:rPr>
              <w:t xml:space="preserve"> during 2015 and </w:t>
            </w:r>
            <w:r w:rsidRPr="000F50F8">
              <w:rPr>
                <w:rFonts w:ascii="Verdana" w:hAnsi="Verdana"/>
                <w:szCs w:val="20"/>
              </w:rPr>
              <w:t>2016.</w:t>
            </w:r>
          </w:p>
        </w:tc>
        <w:tc>
          <w:tcPr>
            <w:tcW w:w="320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EC8DBD" w14:textId="77777777" w:rsidR="000F50F8" w:rsidRPr="000F50F8" w:rsidRDefault="000F50F8"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Limited engagement from industry participants regarding likely transaction volumes.</w:t>
            </w:r>
          </w:p>
        </w:tc>
      </w:tr>
      <w:tr w:rsidR="000F50F8" w:rsidRPr="000F50F8" w14:paraId="787ACB83" w14:textId="77777777" w:rsidTr="000F50F8">
        <w:trPr>
          <w:gridAfter w:val="1"/>
          <w:wAfter w:w="117" w:type="dxa"/>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89CD77" w14:textId="77777777" w:rsidR="000F50F8" w:rsidRPr="000F50F8" w:rsidRDefault="000F50F8" w:rsidP="005D2B3F">
            <w:pPr>
              <w:spacing w:before="120" w:after="60"/>
              <w:jc w:val="both"/>
              <w:rPr>
                <w:rFonts w:ascii="Verdana" w:hAnsi="Verdana"/>
                <w:b w:val="0"/>
                <w:sz w:val="20"/>
                <w:szCs w:val="20"/>
              </w:rPr>
            </w:pPr>
            <w:r w:rsidRPr="000F50F8">
              <w:rPr>
                <w:rFonts w:ascii="Verdana" w:hAnsi="Verdana"/>
                <w:b w:val="0"/>
                <w:sz w:val="20"/>
                <w:szCs w:val="20"/>
              </w:rPr>
              <w:t xml:space="preserve">Implementation Dress Rehearsal (‘IDR’) 1 </w:t>
            </w:r>
          </w:p>
        </w:tc>
        <w:tc>
          <w:tcPr>
            <w:tcW w:w="34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9C011B" w14:textId="77777777" w:rsidR="000F50F8" w:rsidRPr="000F50F8" w:rsidRDefault="000F50F8"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The scope of I</w:t>
            </w:r>
            <w:r w:rsidR="0056455D">
              <w:rPr>
                <w:rFonts w:ascii="Verdana" w:hAnsi="Verdana"/>
                <w:szCs w:val="20"/>
              </w:rPr>
              <w:t>DR1 was communicated in advance. Some</w:t>
            </w:r>
            <w:r w:rsidRPr="000F50F8">
              <w:rPr>
                <w:rFonts w:ascii="Verdana" w:hAnsi="Verdana"/>
                <w:szCs w:val="20"/>
              </w:rPr>
              <w:t xml:space="preserve"> non-critical elements </w:t>
            </w:r>
            <w:r w:rsidR="0056455D">
              <w:rPr>
                <w:rFonts w:ascii="Verdana" w:hAnsi="Verdana"/>
                <w:szCs w:val="20"/>
              </w:rPr>
              <w:t>were de-scoped</w:t>
            </w:r>
            <w:r w:rsidRPr="000F50F8">
              <w:rPr>
                <w:rFonts w:ascii="Verdana" w:hAnsi="Verdana"/>
                <w:szCs w:val="20"/>
              </w:rPr>
              <w:t>.</w:t>
            </w:r>
          </w:p>
          <w:p w14:paraId="3BE34F76" w14:textId="77777777" w:rsidR="000F50F8" w:rsidRPr="000F50F8" w:rsidRDefault="000F50F8"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IDR1 updates were communicated via Transition Progress Group</w:t>
            </w:r>
          </w:p>
        </w:tc>
        <w:tc>
          <w:tcPr>
            <w:tcW w:w="320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6C35DD" w14:textId="77777777" w:rsidR="0056455D" w:rsidRPr="0056455D" w:rsidRDefault="000F50F8" w:rsidP="005D2B3F">
            <w:pPr>
              <w:pStyle w:val="ListParagraph"/>
              <w:numPr>
                <w:ilvl w:val="0"/>
                <w:numId w:val="6"/>
              </w:numPr>
              <w:spacing w:before="60" w:after="60"/>
              <w:ind w:left="318" w:hanging="318"/>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 xml:space="preserve">Overall timeline not met and </w:t>
            </w:r>
            <w:r w:rsidR="0056455D">
              <w:rPr>
                <w:rFonts w:ascii="Verdana" w:hAnsi="Verdana"/>
                <w:szCs w:val="20"/>
              </w:rPr>
              <w:t>required</w:t>
            </w:r>
            <w:r w:rsidRPr="000F50F8">
              <w:rPr>
                <w:rFonts w:ascii="Verdana" w:hAnsi="Verdana"/>
                <w:szCs w:val="20"/>
              </w:rPr>
              <w:t xml:space="preserve"> optimisation.</w:t>
            </w:r>
            <w:r w:rsidR="0056455D" w:rsidRPr="0056455D">
              <w:rPr>
                <w:rFonts w:ascii="Verdana" w:hAnsi="Verdana"/>
                <w:szCs w:val="20"/>
              </w:rPr>
              <w:t xml:space="preserve"> As a result, further performance improvements have been made and the number of days allowed for the transition increased</w:t>
            </w:r>
          </w:p>
          <w:p w14:paraId="445B2A83" w14:textId="77777777" w:rsidR="000F50F8" w:rsidRPr="000F50F8" w:rsidRDefault="0056455D"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56455D">
              <w:rPr>
                <w:rFonts w:ascii="Verdana" w:hAnsi="Verdana"/>
                <w:szCs w:val="20"/>
              </w:rPr>
              <w:t>Items removed from scope fully tested in IDR2 and IDR3.</w:t>
            </w:r>
          </w:p>
        </w:tc>
      </w:tr>
      <w:tr w:rsidR="000F50F8" w:rsidRPr="000F50F8" w14:paraId="752BECE4" w14:textId="77777777" w:rsidTr="000F3CAA">
        <w:trPr>
          <w:trHeight w:val="1531"/>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2B34A8" w14:textId="77777777" w:rsidR="000F50F8" w:rsidRPr="000F50F8" w:rsidRDefault="000F50F8" w:rsidP="005D2B3F">
            <w:pPr>
              <w:spacing w:before="120" w:after="60"/>
              <w:jc w:val="both"/>
              <w:rPr>
                <w:rFonts w:ascii="Verdana" w:hAnsi="Verdana"/>
                <w:sz w:val="20"/>
                <w:szCs w:val="20"/>
              </w:rPr>
            </w:pPr>
            <w:r w:rsidRPr="000F50F8">
              <w:rPr>
                <w:rFonts w:ascii="Verdana" w:hAnsi="Verdana"/>
                <w:b w:val="0"/>
                <w:sz w:val="20"/>
                <w:szCs w:val="20"/>
              </w:rPr>
              <w:lastRenderedPageBreak/>
              <w:t>Performance test, executed over July through to December 2016</w:t>
            </w:r>
          </w:p>
        </w:tc>
        <w:tc>
          <w:tcPr>
            <w:tcW w:w="360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8FF5A8" w14:textId="77777777" w:rsidR="000F50F8" w:rsidRDefault="0056455D"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b/>
                <w:szCs w:val="20"/>
              </w:rPr>
            </w:pPr>
            <w:r w:rsidRPr="0056455D">
              <w:rPr>
                <w:rFonts w:ascii="Verdana" w:hAnsi="Verdana"/>
                <w:szCs w:val="20"/>
              </w:rPr>
              <w:t>With the exception of meter reads, p</w:t>
            </w:r>
            <w:r w:rsidR="000F50F8" w:rsidRPr="0056455D">
              <w:rPr>
                <w:rFonts w:ascii="Verdana" w:hAnsi="Verdana"/>
                <w:szCs w:val="20"/>
              </w:rPr>
              <w:t>roved performance under stressed conditions</w:t>
            </w:r>
            <w:r w:rsidR="00DB55A1">
              <w:rPr>
                <w:rFonts w:ascii="Verdana" w:hAnsi="Verdana"/>
                <w:szCs w:val="20"/>
              </w:rPr>
              <w:t>.</w:t>
            </w:r>
            <w:r w:rsidR="000F50F8" w:rsidRPr="0056455D">
              <w:rPr>
                <w:rFonts w:ascii="Verdana" w:hAnsi="Verdana"/>
                <w:szCs w:val="20"/>
              </w:rPr>
              <w:t xml:space="preserve"> Performance test updates have been communicated via Transition Progress Group.</w:t>
            </w:r>
          </w:p>
          <w:p w14:paraId="007A0D6D" w14:textId="6561B5A2" w:rsidR="00674D81" w:rsidRPr="0056455D" w:rsidRDefault="00674D81"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b/>
                <w:szCs w:val="20"/>
              </w:rPr>
            </w:pPr>
            <w:r>
              <w:rPr>
                <w:rFonts w:ascii="Verdana" w:hAnsi="Verdana"/>
                <w:szCs w:val="20"/>
              </w:rPr>
              <w:t>32 million reads proven against requirement for 42 million class 3 meter reads on a daily basis.</w:t>
            </w:r>
          </w:p>
          <w:p w14:paraId="2FD02C10" w14:textId="77777777" w:rsidR="000F50F8" w:rsidRPr="0056455D" w:rsidRDefault="000F50F8"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b/>
                <w:szCs w:val="20"/>
              </w:rPr>
            </w:pPr>
            <w:r w:rsidRPr="0056455D">
              <w:rPr>
                <w:rFonts w:ascii="Verdana" w:hAnsi="Verdana"/>
                <w:szCs w:val="20"/>
              </w:rPr>
              <w:t>Gas day testing successful.</w:t>
            </w:r>
          </w:p>
        </w:tc>
        <w:tc>
          <w:tcPr>
            <w:tcW w:w="311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372938" w14:textId="1273BDEB" w:rsidR="000F50F8" w:rsidRPr="0056455D" w:rsidRDefault="000F50F8"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b/>
                <w:szCs w:val="20"/>
              </w:rPr>
            </w:pPr>
            <w:r w:rsidRPr="0056455D">
              <w:rPr>
                <w:rFonts w:ascii="Verdana" w:hAnsi="Verdana"/>
                <w:szCs w:val="20"/>
              </w:rPr>
              <w:t>Not full scope, e.g. catch-up and transition activity not covered</w:t>
            </w:r>
            <w:r w:rsidR="00577464">
              <w:rPr>
                <w:rFonts w:ascii="Verdana" w:hAnsi="Verdana"/>
                <w:szCs w:val="20"/>
              </w:rPr>
              <w:t>, but full scope tested as part of IDR2 and IDR3</w:t>
            </w:r>
            <w:r w:rsidRPr="0056455D">
              <w:rPr>
                <w:rFonts w:ascii="Verdana" w:hAnsi="Verdana"/>
                <w:szCs w:val="20"/>
              </w:rPr>
              <w:t>.</w:t>
            </w:r>
          </w:p>
          <w:p w14:paraId="3F352728" w14:textId="0373696F" w:rsidR="000F50F8" w:rsidRPr="0056455D" w:rsidRDefault="00BA6AD9"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b/>
                <w:szCs w:val="20"/>
              </w:rPr>
            </w:pPr>
            <w:r>
              <w:rPr>
                <w:rFonts w:ascii="Verdana" w:hAnsi="Verdana"/>
                <w:szCs w:val="20"/>
              </w:rPr>
              <w:t>D</w:t>
            </w:r>
            <w:r w:rsidR="00C93F85">
              <w:rPr>
                <w:rFonts w:ascii="Verdana" w:hAnsi="Verdana"/>
                <w:szCs w:val="20"/>
              </w:rPr>
              <w:t>ecision taken by PNSG that</w:t>
            </w:r>
            <w:r w:rsidR="00933FC0">
              <w:rPr>
                <w:rFonts w:ascii="Verdana" w:hAnsi="Verdana"/>
                <w:szCs w:val="20"/>
              </w:rPr>
              <w:t xml:space="preserve"> </w:t>
            </w:r>
            <w:r w:rsidR="008D3A92">
              <w:rPr>
                <w:rFonts w:ascii="Verdana" w:hAnsi="Verdana"/>
                <w:szCs w:val="20"/>
              </w:rPr>
              <w:t xml:space="preserve">the </w:t>
            </w:r>
            <w:r w:rsidR="00933FC0">
              <w:rPr>
                <w:rFonts w:ascii="Verdana" w:hAnsi="Verdana"/>
                <w:szCs w:val="20"/>
              </w:rPr>
              <w:t>demonstrated</w:t>
            </w:r>
            <w:r w:rsidR="00C93F85">
              <w:rPr>
                <w:rFonts w:ascii="Verdana" w:hAnsi="Verdana"/>
                <w:szCs w:val="20"/>
              </w:rPr>
              <w:t xml:space="preserve"> </w:t>
            </w:r>
            <w:r w:rsidR="008D3A92">
              <w:rPr>
                <w:rFonts w:ascii="Verdana" w:hAnsi="Verdana"/>
                <w:szCs w:val="20"/>
              </w:rPr>
              <w:t xml:space="preserve">level of likely </w:t>
            </w:r>
            <w:r w:rsidR="00C93F85">
              <w:rPr>
                <w:rFonts w:ascii="Verdana" w:hAnsi="Verdana"/>
                <w:szCs w:val="20"/>
              </w:rPr>
              <w:t>meter read performance is acceptable.</w:t>
            </w:r>
            <w:r>
              <w:rPr>
                <w:rFonts w:ascii="Verdana" w:hAnsi="Verdana"/>
                <w:szCs w:val="20"/>
              </w:rPr>
              <w:t xml:space="preserve"> </w:t>
            </w:r>
          </w:p>
        </w:tc>
      </w:tr>
      <w:tr w:rsidR="00674D81" w:rsidRPr="000F50F8" w14:paraId="34AC914C" w14:textId="77777777" w:rsidTr="000F3CA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7FA90F1" w14:textId="35091CDB" w:rsidR="00674D81" w:rsidRPr="000F50F8" w:rsidRDefault="00674D81" w:rsidP="005D2B3F">
            <w:pPr>
              <w:spacing w:before="120" w:after="60"/>
              <w:jc w:val="both"/>
              <w:rPr>
                <w:rFonts w:ascii="Verdana" w:hAnsi="Verdana"/>
                <w:sz w:val="20"/>
                <w:szCs w:val="20"/>
              </w:rPr>
            </w:pPr>
            <w:r>
              <w:rPr>
                <w:rFonts w:ascii="Verdana" w:hAnsi="Verdana"/>
                <w:b w:val="0"/>
                <w:sz w:val="20"/>
                <w:szCs w:val="20"/>
              </w:rPr>
              <w:t xml:space="preserve">Further </w:t>
            </w:r>
            <w:r w:rsidRPr="000F50F8">
              <w:rPr>
                <w:rFonts w:ascii="Verdana" w:hAnsi="Verdana"/>
                <w:b w:val="0"/>
                <w:sz w:val="20"/>
                <w:szCs w:val="20"/>
              </w:rPr>
              <w:t>Class 3 meter read analysis</w:t>
            </w:r>
            <w:r>
              <w:rPr>
                <w:rFonts w:ascii="Verdana" w:hAnsi="Verdana"/>
                <w:b w:val="0"/>
                <w:sz w:val="20"/>
                <w:szCs w:val="20"/>
              </w:rPr>
              <w:t xml:space="preserve"> – concluding on the above performance testing</w:t>
            </w:r>
          </w:p>
        </w:tc>
        <w:tc>
          <w:tcPr>
            <w:tcW w:w="360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0DACC6F" w14:textId="77777777" w:rsidR="00674D81" w:rsidRDefault="00674D81"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Initial industry volumes likely to be below the level of 32 million class 3 reads proven during the performance testing.</w:t>
            </w:r>
          </w:p>
          <w:p w14:paraId="22974824" w14:textId="2278A2DC" w:rsidR="00674D81" w:rsidRPr="008651C7" w:rsidRDefault="00933FC0"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Pr>
                <w:rFonts w:ascii="Verdana" w:hAnsi="Verdana"/>
                <w:szCs w:val="20"/>
              </w:rPr>
              <w:t>PNSG</w:t>
            </w:r>
            <w:r w:rsidR="00674D81">
              <w:rPr>
                <w:rFonts w:ascii="Verdana" w:hAnsi="Verdana"/>
                <w:szCs w:val="20"/>
              </w:rPr>
              <w:t xml:space="preserve"> decided that this is acceptable and does not present a go-live issue.</w:t>
            </w:r>
          </w:p>
        </w:tc>
        <w:tc>
          <w:tcPr>
            <w:tcW w:w="311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0B757B5" w14:textId="0CD4F8EB" w:rsidR="00674D81" w:rsidRPr="000F50F8" w:rsidRDefault="00674D81"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None</w:t>
            </w:r>
          </w:p>
        </w:tc>
      </w:tr>
      <w:tr w:rsidR="00674D81" w:rsidRPr="000F50F8" w14:paraId="6525EEDE" w14:textId="77777777" w:rsidTr="000F3CA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2BCBFC" w14:textId="77777777" w:rsidR="00674D81" w:rsidRPr="000F50F8" w:rsidRDefault="00674D81" w:rsidP="005D2B3F">
            <w:pPr>
              <w:spacing w:before="120" w:after="60"/>
              <w:jc w:val="both"/>
              <w:rPr>
                <w:rFonts w:ascii="Verdana" w:hAnsi="Verdana"/>
                <w:sz w:val="20"/>
                <w:szCs w:val="20"/>
              </w:rPr>
            </w:pPr>
            <w:r w:rsidRPr="000F50F8">
              <w:rPr>
                <w:rFonts w:ascii="Verdana" w:hAnsi="Verdana"/>
                <w:b w:val="0"/>
                <w:sz w:val="20"/>
                <w:szCs w:val="20"/>
              </w:rPr>
              <w:t>Implementation  Dress Rehearsal (‘IDR’) 2</w:t>
            </w:r>
          </w:p>
        </w:tc>
        <w:tc>
          <w:tcPr>
            <w:tcW w:w="360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3D3E69" w14:textId="77777777" w:rsidR="00674D81" w:rsidRPr="000F50F8" w:rsidRDefault="00674D81"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Full scope, ran to</w:t>
            </w:r>
            <w:r>
              <w:rPr>
                <w:rFonts w:ascii="Verdana" w:hAnsi="Verdana"/>
                <w:szCs w:val="20"/>
              </w:rPr>
              <w:t xml:space="preserve"> schedule</w:t>
            </w:r>
            <w:r w:rsidRPr="000F50F8">
              <w:rPr>
                <w:rFonts w:ascii="Verdana" w:hAnsi="Verdana"/>
                <w:szCs w:val="20"/>
              </w:rPr>
              <w:t xml:space="preserve"> – with some further optimisation opportunity identified.</w:t>
            </w:r>
          </w:p>
          <w:p w14:paraId="6090475E" w14:textId="77777777" w:rsidR="00674D81" w:rsidRPr="000F50F8" w:rsidRDefault="00674D81"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Residual issues from IDR1 successfully addressed.</w:t>
            </w:r>
          </w:p>
          <w:p w14:paraId="1A0EB97E" w14:textId="77777777" w:rsidR="00674D81" w:rsidRDefault="00674D81"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Delta data load into production encountered low levels of fall-out in terms of impact or the number of MPRNs impacted.</w:t>
            </w:r>
          </w:p>
          <w:p w14:paraId="41EED02B" w14:textId="77777777" w:rsidR="00674D81" w:rsidRPr="00BA6AD9" w:rsidRDefault="00674D81"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A6AD9">
              <w:rPr>
                <w:rFonts w:ascii="Verdana" w:hAnsi="Verdana"/>
                <w:szCs w:val="20"/>
              </w:rPr>
              <w:t>Low levels of data fallout that will be fixed prior or during IDR3</w:t>
            </w:r>
            <w:r>
              <w:rPr>
                <w:rFonts w:ascii="Verdana" w:hAnsi="Verdana"/>
                <w:szCs w:val="20"/>
              </w:rPr>
              <w:t>.</w:t>
            </w:r>
          </w:p>
          <w:p w14:paraId="01B4E0B6" w14:textId="77777777" w:rsidR="00674D81" w:rsidRPr="000F50F8" w:rsidRDefault="00674D81" w:rsidP="005D2B3F">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A6AD9">
              <w:rPr>
                <w:rFonts w:ascii="Verdana" w:hAnsi="Verdana"/>
                <w:szCs w:val="20"/>
              </w:rPr>
              <w:t>Some further contingency periods identified in the plan.</w:t>
            </w:r>
          </w:p>
        </w:tc>
        <w:tc>
          <w:tcPr>
            <w:tcW w:w="3119"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1D467D" w14:textId="77777777" w:rsidR="00674D81" w:rsidRPr="000F50F8" w:rsidRDefault="00674D81" w:rsidP="005D2B3F">
            <w:pPr>
              <w:pStyle w:val="ListParagraph"/>
              <w:numPr>
                <w:ilvl w:val="0"/>
                <w:numId w:val="19"/>
              </w:numPr>
              <w:spacing w:before="60" w:after="60"/>
              <w:ind w:left="318" w:hanging="318"/>
              <w:jc w:val="both"/>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0F50F8">
              <w:rPr>
                <w:rFonts w:ascii="Verdana" w:hAnsi="Verdana"/>
                <w:szCs w:val="20"/>
              </w:rPr>
              <w:t>Scheduling and sequencing enhancements carried into IDR3.</w:t>
            </w:r>
          </w:p>
        </w:tc>
      </w:tr>
    </w:tbl>
    <w:p w14:paraId="2C092B94" w14:textId="77777777" w:rsidR="000F50F8" w:rsidRDefault="000F50F8" w:rsidP="005D2B3F">
      <w:pPr>
        <w:spacing w:before="120" w:after="60" w:line="240" w:lineRule="auto"/>
        <w:ind w:left="360"/>
        <w:jc w:val="both"/>
        <w:rPr>
          <w:rFonts w:ascii="Verdana" w:hAnsi="Verdana"/>
          <w:sz w:val="20"/>
          <w:szCs w:val="20"/>
          <w:lang w:eastAsia="en-US"/>
        </w:rPr>
      </w:pPr>
    </w:p>
    <w:p w14:paraId="76D999A4" w14:textId="77777777" w:rsidR="000F50F8" w:rsidRPr="005D2B3F" w:rsidRDefault="000F50F8" w:rsidP="005D2B3F">
      <w:pPr>
        <w:spacing w:before="60" w:after="60" w:line="240" w:lineRule="atLeast"/>
        <w:ind w:left="360"/>
        <w:jc w:val="both"/>
        <w:rPr>
          <w:rFonts w:ascii="Verdana" w:hAnsi="Verdana"/>
          <w:b/>
          <w:sz w:val="20"/>
          <w:szCs w:val="20"/>
          <w:u w:val="single"/>
        </w:rPr>
      </w:pPr>
      <w:r w:rsidRPr="005D2B3F">
        <w:rPr>
          <w:rFonts w:ascii="Verdana" w:hAnsi="Verdana"/>
          <w:b/>
          <w:sz w:val="20"/>
          <w:szCs w:val="20"/>
          <w:u w:val="single"/>
        </w:rPr>
        <w:t>Link 1: Non-functional requirements (‘NFRs’):</w:t>
      </w:r>
    </w:p>
    <w:p w14:paraId="14E8105B" w14:textId="77777777" w:rsidR="000F50F8" w:rsidRPr="005D2B3F" w:rsidRDefault="00EE4275" w:rsidP="005D2B3F">
      <w:pPr>
        <w:spacing w:before="60" w:after="60" w:line="240" w:lineRule="atLeast"/>
        <w:ind w:left="360"/>
        <w:jc w:val="both"/>
        <w:rPr>
          <w:rStyle w:val="Hyperlink"/>
          <w:rFonts w:ascii="Verdana" w:hAnsi="Verdana"/>
          <w:sz w:val="20"/>
          <w:szCs w:val="20"/>
        </w:rPr>
      </w:pPr>
      <w:hyperlink r:id="rId17" w:history="1">
        <w:r w:rsidR="000F50F8" w:rsidRPr="005D2B3F">
          <w:rPr>
            <w:rStyle w:val="Hyperlink"/>
            <w:rFonts w:ascii="Verdana" w:hAnsi="Verdana"/>
            <w:sz w:val="20"/>
            <w:szCs w:val="20"/>
          </w:rPr>
          <w:t>Baselined Principles</w:t>
        </w:r>
      </w:hyperlink>
    </w:p>
    <w:p w14:paraId="25C83C91" w14:textId="77777777" w:rsidR="000F50F8" w:rsidRPr="005D2B3F" w:rsidRDefault="000F50F8" w:rsidP="005D2B3F">
      <w:pPr>
        <w:spacing w:before="60" w:after="60" w:line="240" w:lineRule="atLeast"/>
        <w:ind w:left="360"/>
        <w:jc w:val="both"/>
        <w:rPr>
          <w:rFonts w:ascii="Verdana" w:hAnsi="Verdana"/>
          <w:b/>
          <w:sz w:val="20"/>
          <w:szCs w:val="20"/>
        </w:rPr>
      </w:pPr>
    </w:p>
    <w:p w14:paraId="0DC8416C" w14:textId="77777777" w:rsidR="000F50F8" w:rsidRPr="005D2B3F" w:rsidRDefault="000F50F8" w:rsidP="005D2B3F">
      <w:pPr>
        <w:spacing w:before="60" w:after="60" w:line="240" w:lineRule="atLeast"/>
        <w:ind w:left="360"/>
        <w:jc w:val="both"/>
        <w:rPr>
          <w:rFonts w:ascii="Verdana" w:hAnsi="Verdana"/>
          <w:b/>
          <w:sz w:val="20"/>
          <w:szCs w:val="20"/>
          <w:u w:val="single"/>
        </w:rPr>
      </w:pPr>
      <w:r w:rsidRPr="005D2B3F">
        <w:rPr>
          <w:rFonts w:ascii="Verdana" w:hAnsi="Verdana"/>
          <w:b/>
          <w:sz w:val="20"/>
          <w:szCs w:val="20"/>
          <w:u w:val="single"/>
        </w:rPr>
        <w:t>Link 2: Xoserve IDR1 results</w:t>
      </w:r>
    </w:p>
    <w:p w14:paraId="56828F4B" w14:textId="77777777" w:rsidR="000F50F8" w:rsidRPr="005D2B3F" w:rsidRDefault="00EE4275" w:rsidP="005D2B3F">
      <w:pPr>
        <w:spacing w:before="60" w:after="60" w:line="240" w:lineRule="atLeast"/>
        <w:ind w:left="360"/>
        <w:jc w:val="both"/>
        <w:rPr>
          <w:rFonts w:ascii="Verdana" w:hAnsi="Verdana"/>
          <w:i/>
          <w:sz w:val="20"/>
          <w:szCs w:val="20"/>
        </w:rPr>
      </w:pPr>
      <w:hyperlink r:id="rId18" w:history="1">
        <w:r w:rsidR="000F50F8" w:rsidRPr="005D2B3F">
          <w:rPr>
            <w:rStyle w:val="Hyperlink"/>
            <w:rFonts w:ascii="Verdana" w:hAnsi="Verdana"/>
            <w:sz w:val="20"/>
            <w:szCs w:val="20"/>
          </w:rPr>
          <w:t>TPG Materials  8/11/16</w:t>
        </w:r>
      </w:hyperlink>
    </w:p>
    <w:p w14:paraId="69C01FE3" w14:textId="77777777" w:rsidR="000F50F8" w:rsidRPr="005D2B3F" w:rsidRDefault="000F50F8" w:rsidP="005D2B3F">
      <w:pPr>
        <w:spacing w:before="60" w:after="60" w:line="240" w:lineRule="atLeast"/>
        <w:ind w:left="360"/>
        <w:jc w:val="both"/>
        <w:rPr>
          <w:rFonts w:ascii="Verdana" w:hAnsi="Verdana"/>
          <w:b/>
          <w:sz w:val="20"/>
          <w:szCs w:val="20"/>
          <w:u w:val="single"/>
        </w:rPr>
      </w:pPr>
    </w:p>
    <w:p w14:paraId="0A943A09" w14:textId="77777777" w:rsidR="000F50F8" w:rsidRPr="005D2B3F" w:rsidRDefault="000F50F8" w:rsidP="005D2B3F">
      <w:pPr>
        <w:spacing w:before="60" w:after="60" w:line="240" w:lineRule="atLeast"/>
        <w:ind w:left="360"/>
        <w:jc w:val="both"/>
        <w:rPr>
          <w:rFonts w:ascii="Verdana" w:hAnsi="Verdana"/>
          <w:b/>
          <w:sz w:val="20"/>
          <w:szCs w:val="20"/>
          <w:u w:val="single"/>
        </w:rPr>
      </w:pPr>
      <w:r w:rsidRPr="005D2B3F">
        <w:rPr>
          <w:rFonts w:ascii="Verdana" w:hAnsi="Verdana"/>
          <w:b/>
          <w:sz w:val="20"/>
          <w:szCs w:val="20"/>
          <w:u w:val="single"/>
        </w:rPr>
        <w:t>Link 3: November 2016 Performance Testing Results</w:t>
      </w:r>
    </w:p>
    <w:p w14:paraId="73831454" w14:textId="77777777" w:rsidR="000F50F8" w:rsidRPr="005D2B3F" w:rsidRDefault="00EE4275" w:rsidP="005D2B3F">
      <w:pPr>
        <w:spacing w:before="60" w:after="60" w:line="240" w:lineRule="atLeast"/>
        <w:ind w:left="360"/>
        <w:jc w:val="both"/>
        <w:rPr>
          <w:rFonts w:ascii="Verdana" w:hAnsi="Verdana" w:cs="Arial"/>
          <w:sz w:val="20"/>
          <w:szCs w:val="20"/>
          <w:shd w:val="clear" w:color="auto" w:fill="FFFFFF"/>
        </w:rPr>
      </w:pPr>
      <w:hyperlink r:id="rId19" w:history="1">
        <w:r w:rsidR="000F50F8" w:rsidRPr="005D2B3F">
          <w:rPr>
            <w:rStyle w:val="Hyperlink"/>
            <w:rFonts w:ascii="Verdana" w:hAnsi="Verdana"/>
            <w:sz w:val="20"/>
            <w:szCs w:val="20"/>
          </w:rPr>
          <w:t>Performance test update</w:t>
        </w:r>
      </w:hyperlink>
    </w:p>
    <w:p w14:paraId="06AFC90A" w14:textId="77777777" w:rsidR="000F50F8" w:rsidRPr="005D2B3F" w:rsidRDefault="00EE4275" w:rsidP="005D2B3F">
      <w:pPr>
        <w:spacing w:before="120" w:after="60" w:line="240" w:lineRule="auto"/>
        <w:ind w:left="360"/>
        <w:jc w:val="both"/>
        <w:rPr>
          <w:rFonts w:ascii="Verdana" w:hAnsi="Verdana"/>
          <w:sz w:val="20"/>
          <w:szCs w:val="20"/>
        </w:rPr>
      </w:pPr>
      <w:hyperlink r:id="rId20" w:history="1">
        <w:r w:rsidR="000F50F8" w:rsidRPr="005D2B3F">
          <w:rPr>
            <w:rStyle w:val="Hyperlink"/>
            <w:rFonts w:ascii="Verdana" w:hAnsi="Verdana"/>
            <w:sz w:val="20"/>
            <w:szCs w:val="20"/>
          </w:rPr>
          <w:t>Gas Day Testing update</w:t>
        </w:r>
      </w:hyperlink>
    </w:p>
    <w:p w14:paraId="20C0351D" w14:textId="77777777" w:rsidR="000F50F8" w:rsidRPr="005D2B3F" w:rsidRDefault="000F50F8" w:rsidP="005D2B3F">
      <w:pPr>
        <w:spacing w:before="120" w:after="60" w:line="240" w:lineRule="auto"/>
        <w:ind w:left="360"/>
        <w:jc w:val="both"/>
        <w:rPr>
          <w:rFonts w:ascii="Verdana" w:hAnsi="Verdana"/>
          <w:sz w:val="20"/>
          <w:szCs w:val="20"/>
        </w:rPr>
      </w:pPr>
    </w:p>
    <w:p w14:paraId="08C26105" w14:textId="77777777" w:rsidR="000F50F8" w:rsidRPr="005D2B3F" w:rsidRDefault="000F50F8" w:rsidP="005D2B3F">
      <w:pPr>
        <w:spacing w:before="60" w:after="60" w:line="240" w:lineRule="atLeast"/>
        <w:ind w:left="360"/>
        <w:jc w:val="both"/>
        <w:rPr>
          <w:rFonts w:ascii="Verdana" w:hAnsi="Verdana"/>
          <w:i/>
          <w:sz w:val="20"/>
          <w:szCs w:val="20"/>
          <w:u w:val="single"/>
        </w:rPr>
      </w:pPr>
      <w:r w:rsidRPr="005D2B3F">
        <w:rPr>
          <w:rFonts w:ascii="Verdana" w:hAnsi="Verdana"/>
          <w:b/>
          <w:sz w:val="20"/>
          <w:szCs w:val="20"/>
          <w:u w:val="single"/>
        </w:rPr>
        <w:t>Link 4: IDR2 results and related Baringa assurance reporting</w:t>
      </w:r>
    </w:p>
    <w:p w14:paraId="2410BB3C" w14:textId="77777777" w:rsidR="000F50F8" w:rsidRPr="005D2B3F" w:rsidRDefault="00EE4275" w:rsidP="005D2B3F">
      <w:pPr>
        <w:spacing w:before="120" w:after="60" w:line="240" w:lineRule="auto"/>
        <w:ind w:left="360"/>
        <w:jc w:val="both"/>
        <w:rPr>
          <w:rFonts w:ascii="Verdana" w:hAnsi="Verdana"/>
          <w:sz w:val="20"/>
          <w:szCs w:val="20"/>
        </w:rPr>
      </w:pPr>
      <w:hyperlink r:id="rId21" w:history="1">
        <w:r w:rsidR="000F50F8" w:rsidRPr="005D2B3F">
          <w:rPr>
            <w:rStyle w:val="Hyperlink"/>
            <w:rFonts w:ascii="Verdana" w:hAnsi="Verdana"/>
            <w:sz w:val="20"/>
            <w:szCs w:val="20"/>
          </w:rPr>
          <w:t>IDR2 update</w:t>
        </w:r>
      </w:hyperlink>
      <w:r w:rsidR="000F50F8" w:rsidRPr="005D2B3F">
        <w:rPr>
          <w:rFonts w:ascii="Verdana" w:hAnsi="Verdana"/>
          <w:sz w:val="20"/>
          <w:szCs w:val="20"/>
        </w:rPr>
        <w:t xml:space="preserve"> </w:t>
      </w:r>
    </w:p>
    <w:permStart w:id="789452395" w:edGrp="everyone"/>
    <w:p w14:paraId="30EBAC0A" w14:textId="77777777" w:rsidR="000F50F8" w:rsidRPr="000F50F8" w:rsidRDefault="000F50F8" w:rsidP="005D2B3F">
      <w:pPr>
        <w:spacing w:before="120" w:after="60" w:line="240" w:lineRule="auto"/>
        <w:ind w:left="360"/>
        <w:jc w:val="both"/>
        <w:rPr>
          <w:rFonts w:ascii="Verdana" w:hAnsi="Verdana"/>
          <w:sz w:val="20"/>
          <w:szCs w:val="20"/>
        </w:rPr>
      </w:pPr>
      <w:r w:rsidRPr="000F50F8">
        <w:rPr>
          <w:rFonts w:ascii="Verdana" w:eastAsiaTheme="minorHAnsi" w:hAnsi="Verdana"/>
          <w:sz w:val="20"/>
          <w:szCs w:val="20"/>
          <w:lang w:eastAsia="en-US"/>
        </w:rPr>
        <w:object w:dxaOrig="1545" w:dyaOrig="1005" w14:anchorId="70D9C50A">
          <v:shape id="_x0000_i1026" type="#_x0000_t75" style="width:77.25pt;height:50.25pt" o:ole="">
            <v:imagedata r:id="rId22" o:title=""/>
          </v:shape>
          <o:OLEObject Type="Embed" ProgID="AcroExch.Document.DC" ShapeID="_x0000_i1026" DrawAspect="Icon" ObjectID="_1554899422" r:id="rId23"/>
        </w:object>
      </w:r>
      <w:permEnd w:id="789452395"/>
    </w:p>
    <w:p w14:paraId="5C33BACC" w14:textId="77777777" w:rsidR="000F50F8" w:rsidRPr="000F50F8" w:rsidRDefault="000F50F8" w:rsidP="005D2B3F">
      <w:pPr>
        <w:spacing w:before="120" w:after="60" w:line="240" w:lineRule="auto"/>
        <w:ind w:left="360"/>
        <w:jc w:val="both"/>
        <w:rPr>
          <w:rFonts w:ascii="Verdana" w:hAnsi="Verdana"/>
          <w:b/>
          <w:sz w:val="20"/>
          <w:szCs w:val="20"/>
          <w:u w:val="single"/>
        </w:rPr>
      </w:pPr>
      <w:r w:rsidRPr="000F50F8">
        <w:rPr>
          <w:rFonts w:ascii="Verdana" w:hAnsi="Verdana"/>
          <w:b/>
          <w:sz w:val="20"/>
          <w:szCs w:val="20"/>
          <w:u w:val="single"/>
        </w:rPr>
        <w:t>Link 5: additional Class 3 meter read analysis</w:t>
      </w:r>
    </w:p>
    <w:permStart w:id="614031020" w:edGrp="everyone"/>
    <w:p w14:paraId="479202AB" w14:textId="77777777" w:rsidR="000F50F8" w:rsidRPr="000F50F8" w:rsidRDefault="000F50F8" w:rsidP="005D2B3F">
      <w:pPr>
        <w:spacing w:before="120" w:after="60" w:line="240" w:lineRule="auto"/>
        <w:ind w:left="360"/>
        <w:jc w:val="both"/>
        <w:rPr>
          <w:rFonts w:ascii="Verdana" w:hAnsi="Verdana"/>
          <w:sz w:val="20"/>
          <w:szCs w:val="20"/>
        </w:rPr>
      </w:pPr>
      <w:r w:rsidRPr="000F50F8">
        <w:rPr>
          <w:rFonts w:ascii="Verdana" w:eastAsiaTheme="minorHAnsi" w:hAnsi="Verdana"/>
          <w:sz w:val="20"/>
          <w:szCs w:val="20"/>
          <w:lang w:eastAsia="en-US"/>
        </w:rPr>
        <w:object w:dxaOrig="1545" w:dyaOrig="1005" w14:anchorId="6D68F629">
          <v:shape id="_x0000_i1027" type="#_x0000_t75" style="width:77.25pt;height:50.25pt" o:ole="">
            <v:imagedata r:id="rId24" o:title=""/>
          </v:shape>
          <o:OLEObject Type="Embed" ProgID="AcroExch.Document.DC" ShapeID="_x0000_i1027" DrawAspect="Icon" ObjectID="_1554899423" r:id="rId25"/>
        </w:object>
      </w:r>
      <w:permEnd w:id="614031020"/>
    </w:p>
    <w:p w14:paraId="477D3CCD" w14:textId="77777777" w:rsidR="000F50F8" w:rsidRPr="00BA6AD9" w:rsidRDefault="000F50F8" w:rsidP="005D2B3F">
      <w:pPr>
        <w:spacing w:before="120" w:after="60" w:line="240" w:lineRule="auto"/>
        <w:ind w:left="360"/>
        <w:jc w:val="both"/>
        <w:rPr>
          <w:rFonts w:ascii="Verdana" w:hAnsi="Verdana"/>
          <w:b/>
          <w:sz w:val="20"/>
          <w:szCs w:val="20"/>
          <w:u w:val="single"/>
        </w:rPr>
      </w:pPr>
      <w:r w:rsidRPr="00BA6AD9">
        <w:rPr>
          <w:rFonts w:ascii="Verdana" w:hAnsi="Verdana"/>
          <w:b/>
          <w:sz w:val="20"/>
          <w:szCs w:val="20"/>
          <w:u w:val="single"/>
        </w:rPr>
        <w:t>Link 6: Xoserve non-functional requirements testing overview</w:t>
      </w:r>
    </w:p>
    <w:p w14:paraId="2A9266C8" w14:textId="77777777" w:rsidR="000F50F8" w:rsidRPr="000F50F8" w:rsidRDefault="000F50F8" w:rsidP="005D2B3F">
      <w:pPr>
        <w:spacing w:before="120" w:after="60" w:line="240" w:lineRule="auto"/>
        <w:ind w:left="360"/>
        <w:jc w:val="both"/>
        <w:rPr>
          <w:rFonts w:ascii="Verdana" w:hAnsi="Verdana"/>
          <w:color w:val="1F497D" w:themeColor="text2"/>
          <w:sz w:val="20"/>
          <w:szCs w:val="20"/>
        </w:rPr>
      </w:pPr>
    </w:p>
    <w:permStart w:id="1502624677" w:edGrp="everyone"/>
    <w:p w14:paraId="4D7DC61F" w14:textId="77777777" w:rsidR="000F50F8" w:rsidRPr="000F50F8" w:rsidRDefault="000F50F8" w:rsidP="005D2B3F">
      <w:pPr>
        <w:spacing w:before="120" w:after="60" w:line="240" w:lineRule="auto"/>
        <w:ind w:left="360"/>
        <w:jc w:val="both"/>
        <w:rPr>
          <w:rFonts w:ascii="Verdana" w:hAnsi="Verdana"/>
          <w:sz w:val="20"/>
          <w:szCs w:val="20"/>
        </w:rPr>
      </w:pPr>
      <w:r w:rsidRPr="000F50F8">
        <w:rPr>
          <w:rFonts w:ascii="Verdana" w:eastAsiaTheme="minorHAnsi" w:hAnsi="Verdana"/>
          <w:color w:val="1F497D" w:themeColor="text2"/>
          <w:sz w:val="20"/>
          <w:szCs w:val="20"/>
          <w:lang w:eastAsia="en-US"/>
        </w:rPr>
        <w:object w:dxaOrig="1523" w:dyaOrig="1005" w14:anchorId="6EB86187">
          <v:shape id="_x0000_i1028" type="#_x0000_t75" style="width:76.9pt;height:50.25pt" o:ole="">
            <v:imagedata r:id="rId26" o:title=""/>
          </v:shape>
          <o:OLEObject Type="Embed" ProgID="PowerPoint.Show.12" ShapeID="_x0000_i1028" DrawAspect="Icon" ObjectID="_1554899424" r:id="rId27"/>
        </w:object>
      </w:r>
      <w:permEnd w:id="1502624677"/>
    </w:p>
    <w:p w14:paraId="6D266754" w14:textId="77777777" w:rsidR="000F50F8" w:rsidRDefault="000F50F8" w:rsidP="005D2B3F">
      <w:pPr>
        <w:ind w:left="360"/>
        <w:jc w:val="both"/>
        <w:rPr>
          <w:rFonts w:ascii="Verdana" w:hAnsi="Verdana"/>
          <w:i/>
          <w:sz w:val="20"/>
          <w:szCs w:val="20"/>
        </w:rPr>
      </w:pPr>
      <w:r w:rsidRPr="000F50F8">
        <w:rPr>
          <w:rFonts w:ascii="Verdana" w:hAnsi="Verdana"/>
          <w:i/>
          <w:sz w:val="20"/>
          <w:szCs w:val="20"/>
        </w:rPr>
        <w:br w:type="page"/>
      </w:r>
    </w:p>
    <w:p w14:paraId="23A66D71"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Can Xoserve scale the capacity and capability of their systems and processes, if / when industry transaction volumes increase in the future? What are the lead times to accommodate this scalability?</w:t>
      </w:r>
    </w:p>
    <w:p w14:paraId="42C15946" w14:textId="74A3D9AE"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The Xoserve solution comprises of a combination of system components (SAP, Oracle </w:t>
      </w:r>
      <w:r w:rsidR="004B0D0E">
        <w:rPr>
          <w:rFonts w:ascii="Verdana" w:hAnsi="Verdana"/>
          <w:sz w:val="20"/>
          <w:szCs w:val="20"/>
        </w:rPr>
        <w:t>and</w:t>
      </w:r>
      <w:r w:rsidRPr="000F50F8">
        <w:rPr>
          <w:rFonts w:ascii="Verdana" w:hAnsi="Verdana"/>
          <w:sz w:val="20"/>
          <w:szCs w:val="20"/>
        </w:rPr>
        <w:t xml:space="preserve"> AMT Market flo</w:t>
      </w:r>
      <w:r w:rsidR="00BA6AD9">
        <w:rPr>
          <w:rFonts w:ascii="Verdana" w:hAnsi="Verdana"/>
          <w:sz w:val="20"/>
          <w:szCs w:val="20"/>
        </w:rPr>
        <w:t xml:space="preserve">w) that are already used by many </w:t>
      </w:r>
      <w:r w:rsidRPr="000F50F8">
        <w:rPr>
          <w:rFonts w:ascii="Verdana" w:hAnsi="Verdana"/>
          <w:sz w:val="20"/>
          <w:szCs w:val="20"/>
        </w:rPr>
        <w:t xml:space="preserve">UK Energy suppliers/shippers. The solution components were selected </w:t>
      </w:r>
      <w:r w:rsidR="00DB55A1">
        <w:rPr>
          <w:rFonts w:ascii="Verdana" w:hAnsi="Verdana"/>
          <w:sz w:val="20"/>
          <w:szCs w:val="20"/>
        </w:rPr>
        <w:t xml:space="preserve">by Xoserve </w:t>
      </w:r>
      <w:r w:rsidRPr="000F50F8">
        <w:rPr>
          <w:rFonts w:ascii="Verdana" w:hAnsi="Verdana"/>
          <w:sz w:val="20"/>
          <w:szCs w:val="20"/>
        </w:rPr>
        <w:t>on the basis of their mat</w:t>
      </w:r>
      <w:r w:rsidR="00BA6AD9">
        <w:rPr>
          <w:rFonts w:ascii="Verdana" w:hAnsi="Verdana"/>
          <w:sz w:val="20"/>
          <w:szCs w:val="20"/>
        </w:rPr>
        <w:t xml:space="preserve">urity </w:t>
      </w:r>
      <w:r w:rsidRPr="000F50F8">
        <w:rPr>
          <w:rFonts w:ascii="Verdana" w:hAnsi="Verdana"/>
          <w:sz w:val="20"/>
          <w:szCs w:val="20"/>
        </w:rPr>
        <w:t xml:space="preserve">and the functional fit to Xoserve/Industry requirements. </w:t>
      </w:r>
    </w:p>
    <w:p w14:paraId="0E8AA860" w14:textId="4CE2ED6F"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The solution has been designed with scalability in mind and heavily leverages virtual machine technology to provide the necessary platform </w:t>
      </w:r>
      <w:r w:rsidR="00BA6AD9">
        <w:rPr>
          <w:rFonts w:ascii="Verdana" w:hAnsi="Verdana"/>
          <w:sz w:val="20"/>
          <w:szCs w:val="20"/>
        </w:rPr>
        <w:t>to support industry demands. Xoserve’s service m</w:t>
      </w:r>
      <w:r w:rsidRPr="000F50F8">
        <w:rPr>
          <w:rFonts w:ascii="Verdana" w:hAnsi="Verdana"/>
          <w:sz w:val="20"/>
          <w:szCs w:val="20"/>
        </w:rPr>
        <w:t>anagemen</w:t>
      </w:r>
      <w:r w:rsidR="00BA6AD9">
        <w:rPr>
          <w:rFonts w:ascii="Verdana" w:hAnsi="Verdana"/>
          <w:sz w:val="20"/>
          <w:szCs w:val="20"/>
        </w:rPr>
        <w:t>t capability, specifically their</w:t>
      </w:r>
      <w:r w:rsidRPr="000F50F8">
        <w:rPr>
          <w:rFonts w:ascii="Verdana" w:hAnsi="Verdana"/>
          <w:sz w:val="20"/>
          <w:szCs w:val="20"/>
        </w:rPr>
        <w:t xml:space="preserve"> alert </w:t>
      </w:r>
      <w:r w:rsidR="004B0D0E">
        <w:rPr>
          <w:rFonts w:ascii="Verdana" w:hAnsi="Verdana"/>
          <w:sz w:val="20"/>
          <w:szCs w:val="20"/>
        </w:rPr>
        <w:t>and</w:t>
      </w:r>
      <w:r w:rsidRPr="000F50F8">
        <w:rPr>
          <w:rFonts w:ascii="Verdana" w:hAnsi="Verdana"/>
          <w:sz w:val="20"/>
          <w:szCs w:val="20"/>
        </w:rPr>
        <w:t xml:space="preserve"> event management design</w:t>
      </w:r>
      <w:r w:rsidR="00BA6AD9">
        <w:rPr>
          <w:rFonts w:ascii="Verdana" w:hAnsi="Verdana"/>
          <w:sz w:val="20"/>
          <w:szCs w:val="20"/>
        </w:rPr>
        <w:t>,</w:t>
      </w:r>
      <w:r w:rsidRPr="000F50F8">
        <w:rPr>
          <w:rFonts w:ascii="Verdana" w:hAnsi="Verdana"/>
          <w:sz w:val="20"/>
          <w:szCs w:val="20"/>
        </w:rPr>
        <w:t xml:space="preserve"> enables close monitoring of system utilisation. </w:t>
      </w:r>
    </w:p>
    <w:p w14:paraId="786A2B76" w14:textId="2607B15E"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This monitoring, coupled with Xoserve working with the industry (through existing </w:t>
      </w:r>
      <w:r w:rsidR="00DB55A1">
        <w:rPr>
          <w:rFonts w:ascii="Verdana" w:hAnsi="Verdana"/>
          <w:sz w:val="20"/>
          <w:szCs w:val="20"/>
        </w:rPr>
        <w:t>g</w:t>
      </w:r>
      <w:r w:rsidRPr="000F50F8">
        <w:rPr>
          <w:rFonts w:ascii="Verdana" w:hAnsi="Verdana"/>
          <w:sz w:val="20"/>
          <w:szCs w:val="20"/>
        </w:rPr>
        <w:t xml:space="preserve">overnance arrangements) to assess future demand, will allow for timely decision making should a significant change in industry behaviour be seen/forecast. In the event that additional capacity is deemed necessary, Xoserve will leverage the Infrastructure-as-a-service (‘IAAS’) arrangements in place with </w:t>
      </w:r>
      <w:r w:rsidR="00DB55A1">
        <w:rPr>
          <w:rFonts w:ascii="Verdana" w:hAnsi="Verdana"/>
          <w:sz w:val="20"/>
          <w:szCs w:val="20"/>
        </w:rPr>
        <w:t>its</w:t>
      </w:r>
      <w:r w:rsidR="00DB55A1" w:rsidRPr="000F50F8">
        <w:rPr>
          <w:rFonts w:ascii="Verdana" w:hAnsi="Verdana"/>
          <w:sz w:val="20"/>
          <w:szCs w:val="20"/>
        </w:rPr>
        <w:t xml:space="preserve"> </w:t>
      </w:r>
      <w:r w:rsidRPr="000F50F8">
        <w:rPr>
          <w:rFonts w:ascii="Verdana" w:hAnsi="Verdana"/>
          <w:sz w:val="20"/>
          <w:szCs w:val="20"/>
        </w:rPr>
        <w:t>IT partners</w:t>
      </w:r>
      <w:r w:rsidR="00DB55A1">
        <w:rPr>
          <w:rFonts w:ascii="Verdana" w:hAnsi="Verdana"/>
          <w:sz w:val="20"/>
          <w:szCs w:val="20"/>
        </w:rPr>
        <w:t xml:space="preserve">. Xoserve expects </w:t>
      </w:r>
      <w:r w:rsidRPr="000F50F8">
        <w:rPr>
          <w:rFonts w:ascii="Verdana" w:hAnsi="Verdana"/>
          <w:sz w:val="20"/>
          <w:szCs w:val="20"/>
        </w:rPr>
        <w:t>lead times</w:t>
      </w:r>
      <w:r w:rsidR="00DB55A1">
        <w:rPr>
          <w:rFonts w:ascii="Verdana" w:hAnsi="Verdana"/>
          <w:sz w:val="20"/>
          <w:szCs w:val="20"/>
        </w:rPr>
        <w:t xml:space="preserve"> will</w:t>
      </w:r>
      <w:r w:rsidR="00BA6AD9">
        <w:rPr>
          <w:rFonts w:ascii="Verdana" w:hAnsi="Verdana"/>
          <w:sz w:val="20"/>
          <w:szCs w:val="20"/>
        </w:rPr>
        <w:t xml:space="preserve"> generally </w:t>
      </w:r>
      <w:r w:rsidR="00DB55A1">
        <w:rPr>
          <w:rFonts w:ascii="Verdana" w:hAnsi="Verdana"/>
          <w:sz w:val="20"/>
          <w:szCs w:val="20"/>
        </w:rPr>
        <w:t xml:space="preserve">be </w:t>
      </w:r>
      <w:r w:rsidR="00BA6AD9">
        <w:rPr>
          <w:rFonts w:ascii="Verdana" w:hAnsi="Verdana"/>
          <w:sz w:val="20"/>
          <w:szCs w:val="20"/>
        </w:rPr>
        <w:t xml:space="preserve">no more than </w:t>
      </w:r>
      <w:r w:rsidRPr="000F50F8">
        <w:rPr>
          <w:rFonts w:ascii="Verdana" w:hAnsi="Verdana"/>
          <w:sz w:val="20"/>
          <w:szCs w:val="20"/>
        </w:rPr>
        <w:t xml:space="preserve">2 to 3 months, depending on what is needed. </w:t>
      </w:r>
    </w:p>
    <w:p w14:paraId="1C123DBD" w14:textId="102C289C"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Lastly, Xoserve continues to develop its technology strategy/roadmap and through working with </w:t>
      </w:r>
      <w:r w:rsidR="00DB55A1">
        <w:rPr>
          <w:rFonts w:ascii="Verdana" w:hAnsi="Verdana"/>
          <w:sz w:val="20"/>
          <w:szCs w:val="20"/>
        </w:rPr>
        <w:t>its</w:t>
      </w:r>
      <w:r w:rsidR="00DB55A1" w:rsidRPr="000F50F8">
        <w:rPr>
          <w:rFonts w:ascii="Verdana" w:hAnsi="Verdana"/>
          <w:sz w:val="20"/>
          <w:szCs w:val="20"/>
        </w:rPr>
        <w:t xml:space="preserve"> </w:t>
      </w:r>
      <w:r w:rsidRPr="000F50F8">
        <w:rPr>
          <w:rFonts w:ascii="Verdana" w:hAnsi="Verdana"/>
          <w:sz w:val="20"/>
          <w:szCs w:val="20"/>
        </w:rPr>
        <w:t>IT partners, and IT vendors (SAP, AMT, Oracle) will assess new capability (such as SAP HANA) to furthe</w:t>
      </w:r>
      <w:r w:rsidR="00BA6AD9">
        <w:rPr>
          <w:rFonts w:ascii="Verdana" w:hAnsi="Verdana"/>
          <w:sz w:val="20"/>
          <w:szCs w:val="20"/>
        </w:rPr>
        <w:t xml:space="preserve">r enhance the robustness of their </w:t>
      </w:r>
      <w:r w:rsidRPr="000F50F8">
        <w:rPr>
          <w:rFonts w:ascii="Verdana" w:hAnsi="Verdana"/>
          <w:sz w:val="20"/>
          <w:szCs w:val="20"/>
        </w:rPr>
        <w:t xml:space="preserve">solutions.  </w:t>
      </w:r>
    </w:p>
    <w:p w14:paraId="02D7367C" w14:textId="77777777" w:rsidR="000F50F8" w:rsidRPr="000F50F8" w:rsidRDefault="000F50F8" w:rsidP="005D2B3F">
      <w:pPr>
        <w:spacing w:before="120" w:after="60" w:line="240" w:lineRule="auto"/>
        <w:ind w:left="357"/>
        <w:jc w:val="both"/>
        <w:rPr>
          <w:rFonts w:ascii="Verdana" w:hAnsi="Verdana"/>
          <w:sz w:val="20"/>
          <w:szCs w:val="20"/>
        </w:rPr>
      </w:pPr>
    </w:p>
    <w:p w14:paraId="1551D6B7" w14:textId="77777777" w:rsidR="000F50F8" w:rsidRDefault="000F50F8" w:rsidP="005D2B3F">
      <w:pPr>
        <w:ind w:left="357"/>
        <w:jc w:val="both"/>
        <w:rPr>
          <w:rFonts w:ascii="Verdana" w:hAnsi="Verdana"/>
          <w:i/>
          <w:sz w:val="20"/>
          <w:szCs w:val="20"/>
        </w:rPr>
      </w:pPr>
      <w:r w:rsidRPr="000F50F8">
        <w:rPr>
          <w:rFonts w:ascii="Verdana" w:hAnsi="Verdana"/>
          <w:i/>
          <w:sz w:val="20"/>
          <w:szCs w:val="20"/>
        </w:rPr>
        <w:br w:type="page"/>
      </w:r>
    </w:p>
    <w:p w14:paraId="50DDC9CE"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How are Xoserve gearing up to monitor and manage exception volumes from their new SAP system, knowing that this is a key learning from similar programmes in the industry? What are the forecasted level of exceptions and what is in place to address these?</w:t>
      </w:r>
    </w:p>
    <w:p w14:paraId="6793C58A" w14:textId="77777777" w:rsidR="000F50F8" w:rsidRPr="000F50F8" w:rsidRDefault="000F50F8" w:rsidP="005D2B3F">
      <w:pPr>
        <w:spacing w:before="120" w:after="60" w:line="240" w:lineRule="auto"/>
        <w:ind w:left="284"/>
        <w:jc w:val="both"/>
        <w:rPr>
          <w:rFonts w:ascii="Verdana" w:hAnsi="Verdana"/>
          <w:sz w:val="20"/>
          <w:szCs w:val="20"/>
        </w:rPr>
      </w:pPr>
      <w:r w:rsidRPr="000F50F8">
        <w:rPr>
          <w:rFonts w:ascii="Verdana" w:hAnsi="Verdana"/>
          <w:sz w:val="20"/>
          <w:szCs w:val="20"/>
        </w:rPr>
        <w:t>Xoserve has engaged with other UK energy suppliers that have implemented the same SAP ISU system to understand their learning around effective exception management. Based on this experience, and adjusting for the inherent functional differences between the Xoserve SAP installation and that used by energy suppliers, the following actions have been taken:</w:t>
      </w:r>
    </w:p>
    <w:p w14:paraId="2B0E39F1" w14:textId="77777777" w:rsidR="000F50F8" w:rsidRPr="000F50F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An exceptions work stream exists in the Xoserve programme, including a dedicated Post Implementation Support team which leverages the resources and knowledge gained from the exception processes adopted during Market Trials;</w:t>
      </w:r>
    </w:p>
    <w:p w14:paraId="651DAE8F" w14:textId="176920AE" w:rsidR="00A23CFA" w:rsidRPr="00A23CFA" w:rsidRDefault="00DB55A1" w:rsidP="005D2B3F">
      <w:pPr>
        <w:pStyle w:val="ListParagraph"/>
        <w:numPr>
          <w:ilvl w:val="0"/>
          <w:numId w:val="20"/>
        </w:numPr>
        <w:spacing w:before="120" w:after="60" w:line="240" w:lineRule="auto"/>
        <w:ind w:left="568" w:hanging="284"/>
        <w:jc w:val="both"/>
        <w:rPr>
          <w:rFonts w:ascii="Verdana" w:hAnsi="Verdana"/>
          <w:szCs w:val="20"/>
        </w:rPr>
      </w:pPr>
      <w:r>
        <w:rPr>
          <w:rFonts w:ascii="Verdana" w:hAnsi="Verdana"/>
          <w:szCs w:val="20"/>
        </w:rPr>
        <w:t>Xoserve has undertaken an</w:t>
      </w:r>
      <w:r w:rsidR="000F50F8" w:rsidRPr="000F50F8">
        <w:rPr>
          <w:rFonts w:ascii="Verdana" w:hAnsi="Verdana"/>
          <w:szCs w:val="20"/>
        </w:rPr>
        <w:t xml:space="preserve"> analysis of the likely sources of exceptions in the Xoserve landscape, be this originating in systems (e.g. interfaces or batch jobs), data validation, or routine business processes. This includes exceptions that can occur throughout the </w:t>
      </w:r>
      <w:r w:rsidR="00577464">
        <w:rPr>
          <w:rFonts w:ascii="Verdana" w:hAnsi="Verdana"/>
          <w:szCs w:val="20"/>
        </w:rPr>
        <w:t xml:space="preserve">end-to-end </w:t>
      </w:r>
      <w:r w:rsidR="000F50F8" w:rsidRPr="000F50F8">
        <w:rPr>
          <w:rFonts w:ascii="Verdana" w:hAnsi="Verdana"/>
          <w:szCs w:val="20"/>
        </w:rPr>
        <w:t>system landscape</w:t>
      </w:r>
      <w:r w:rsidR="00577464">
        <w:rPr>
          <w:rFonts w:ascii="Verdana" w:hAnsi="Verdana"/>
          <w:szCs w:val="20"/>
        </w:rPr>
        <w:t>, not just SAP IS-U</w:t>
      </w:r>
      <w:r w:rsidR="00A23CFA">
        <w:rPr>
          <w:rFonts w:ascii="Verdana" w:hAnsi="Verdana"/>
          <w:szCs w:val="20"/>
        </w:rPr>
        <w:t xml:space="preserve">. </w:t>
      </w:r>
      <w:r w:rsidR="00A23CFA" w:rsidRPr="00A23CFA">
        <w:rPr>
          <w:rFonts w:ascii="Verdana" w:hAnsi="Verdana"/>
          <w:szCs w:val="20"/>
        </w:rPr>
        <w:t>The exceptions numbers/categories referred to in this section are “known” exception types.  They are independent of defects and/or workarounds.  Defects and workarounds may gen</w:t>
      </w:r>
      <w:r w:rsidR="00A23CFA">
        <w:rPr>
          <w:rFonts w:ascii="Verdana" w:hAnsi="Verdana"/>
          <w:szCs w:val="20"/>
        </w:rPr>
        <w:t>erate “unknown” exceptions.   Xoserve</w:t>
      </w:r>
      <w:r w:rsidR="00A23CFA" w:rsidRPr="00A23CFA">
        <w:rPr>
          <w:rFonts w:ascii="Verdana" w:hAnsi="Verdana"/>
          <w:szCs w:val="20"/>
        </w:rPr>
        <w:t xml:space="preserve"> will be aware through the workaround documentation the specific actions to take do deal with these.  As defects and workarounds are resolved/closed over time, the numbers of related “unknown” exceptions will reduce.</w:t>
      </w:r>
    </w:p>
    <w:p w14:paraId="5BD1A139" w14:textId="6C7C019D" w:rsidR="000F50F8" w:rsidRPr="008651C7" w:rsidRDefault="00A23CFA" w:rsidP="005D2B3F">
      <w:pPr>
        <w:pStyle w:val="ListParagraph"/>
        <w:numPr>
          <w:ilvl w:val="0"/>
          <w:numId w:val="20"/>
        </w:numPr>
        <w:spacing w:before="120" w:after="60" w:line="240" w:lineRule="auto"/>
        <w:ind w:left="568" w:hanging="284"/>
        <w:jc w:val="both"/>
        <w:rPr>
          <w:rFonts w:ascii="Verdana" w:hAnsi="Verdana"/>
          <w:szCs w:val="20"/>
        </w:rPr>
      </w:pPr>
      <w:r w:rsidRPr="00A23CFA">
        <w:rPr>
          <w:rFonts w:ascii="Verdana" w:hAnsi="Verdana"/>
          <w:szCs w:val="20"/>
        </w:rPr>
        <w:t xml:space="preserve">Exceptions are managed by Xoserve against Industry SLAs and Xoserve KPIs.  These are reported internally in Xoserve.  The extent to which these will be shared externally needs to be confirmed with Industry.  This </w:t>
      </w:r>
      <w:r>
        <w:rPr>
          <w:rFonts w:ascii="Verdana" w:hAnsi="Verdana"/>
          <w:szCs w:val="20"/>
        </w:rPr>
        <w:t>is planned activity in progress;</w:t>
      </w:r>
    </w:p>
    <w:p w14:paraId="1422FD46" w14:textId="77777777" w:rsidR="000F50F8" w:rsidRPr="000F50F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 xml:space="preserve">This </w:t>
      </w:r>
      <w:r w:rsidR="00DD692E">
        <w:rPr>
          <w:rFonts w:ascii="Verdana" w:hAnsi="Verdana"/>
          <w:szCs w:val="20"/>
        </w:rPr>
        <w:t>analysis has identified approximately</w:t>
      </w:r>
      <w:r w:rsidRPr="000F50F8">
        <w:rPr>
          <w:rFonts w:ascii="Verdana" w:hAnsi="Verdana"/>
          <w:szCs w:val="20"/>
        </w:rPr>
        <w:t xml:space="preserve"> </w:t>
      </w:r>
      <w:r w:rsidRPr="000F50F8">
        <w:rPr>
          <w:rFonts w:ascii="Verdana" w:hAnsi="Verdana"/>
          <w:b/>
          <w:szCs w:val="20"/>
        </w:rPr>
        <w:t>215 known SAP-ISU ‘exception case categories’</w:t>
      </w:r>
      <w:r w:rsidRPr="000F50F8">
        <w:rPr>
          <w:rFonts w:ascii="Verdana" w:hAnsi="Verdana"/>
          <w:szCs w:val="20"/>
        </w:rPr>
        <w:t xml:space="preserve"> (unique exception types) and </w:t>
      </w:r>
      <w:r w:rsidRPr="000F50F8">
        <w:rPr>
          <w:rFonts w:ascii="Verdana" w:hAnsi="Verdana"/>
          <w:b/>
          <w:szCs w:val="20"/>
        </w:rPr>
        <w:t>76 ‘work items’</w:t>
      </w:r>
      <w:r w:rsidRPr="000F50F8">
        <w:rPr>
          <w:rFonts w:ascii="Verdana" w:hAnsi="Verdana"/>
          <w:szCs w:val="20"/>
        </w:rPr>
        <w:t xml:space="preserve"> (designed manual interventions within a process) requiring management. Exception case categories have been identified as primarily business (operational functional) or technical issues, of which the majority pertain to technical issues (data, file flow failures etc.);</w:t>
      </w:r>
    </w:p>
    <w:p w14:paraId="1D5B19AF" w14:textId="77777777" w:rsidR="000F50F8" w:rsidRPr="000F50F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Probability analysis has been completed based on analysis of the exceptions scenario types, expected transactions,</w:t>
      </w:r>
      <w:r w:rsidR="00DD692E">
        <w:rPr>
          <w:rFonts w:ascii="Verdana" w:hAnsi="Verdana"/>
          <w:szCs w:val="20"/>
        </w:rPr>
        <w:t xml:space="preserve"> the intelligence gained from Market Trials</w:t>
      </w:r>
      <w:r w:rsidRPr="000F50F8">
        <w:rPr>
          <w:rFonts w:ascii="Verdana" w:hAnsi="Verdana"/>
          <w:szCs w:val="20"/>
        </w:rPr>
        <w:t xml:space="preserve"> and a range of assumptions. Based on this analysis, </w:t>
      </w:r>
      <w:r w:rsidRPr="000F50F8">
        <w:rPr>
          <w:rFonts w:ascii="Verdana" w:hAnsi="Verdana"/>
          <w:b/>
          <w:szCs w:val="20"/>
        </w:rPr>
        <w:t>75% of the known SAP-ISU exception occurrences are expected to be rare, 24% medium (infrequent but expected) and 1% high (will occur)</w:t>
      </w:r>
      <w:r w:rsidRPr="000F50F8">
        <w:rPr>
          <w:rFonts w:ascii="Verdana" w:hAnsi="Verdana"/>
          <w:szCs w:val="20"/>
        </w:rPr>
        <w:t>.</w:t>
      </w:r>
      <w:r w:rsidR="002F2D08">
        <w:rPr>
          <w:rFonts w:ascii="Verdana" w:hAnsi="Verdana"/>
          <w:szCs w:val="20"/>
        </w:rPr>
        <w:t xml:space="preserve"> </w:t>
      </w:r>
      <w:r w:rsidRPr="000F50F8">
        <w:rPr>
          <w:rFonts w:ascii="Verdana" w:hAnsi="Verdana"/>
          <w:szCs w:val="20"/>
        </w:rPr>
        <w:t>The sources of exception have been grouped and clearance pathways determined, based on a blend of automated and manual processes;</w:t>
      </w:r>
    </w:p>
    <w:p w14:paraId="4AF50B57" w14:textId="77777777" w:rsidR="002F2D0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 xml:space="preserve">Based on the likely sources of exceptions and the clearance activity required, Xoserve has modelled the levels of resource required and carried this into its target operating model for day 1. This has included a number iterations incorporating Market Trials, Market Trials regression and IDR phases. </w:t>
      </w:r>
    </w:p>
    <w:p w14:paraId="35C0EE5C" w14:textId="37176317" w:rsidR="002F2D0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 xml:space="preserve">Resource forecasting has included scenario planning, including stress testing and head room need for additional resources based on higher volumes of exception being received. </w:t>
      </w:r>
    </w:p>
    <w:p w14:paraId="45850C86" w14:textId="77777777" w:rsidR="000F50F8" w:rsidRPr="000F50F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A flexible resource model has been adopted</w:t>
      </w:r>
      <w:r w:rsidR="00DD692E">
        <w:rPr>
          <w:rFonts w:ascii="Verdana" w:hAnsi="Verdana"/>
          <w:szCs w:val="20"/>
        </w:rPr>
        <w:t>,</w:t>
      </w:r>
      <w:r w:rsidRPr="000F50F8">
        <w:rPr>
          <w:rFonts w:ascii="Verdana" w:hAnsi="Verdana"/>
          <w:szCs w:val="20"/>
        </w:rPr>
        <w:t xml:space="preserve"> allowing for a core team for exception management resolution with the ability to flex up (or down) via multiple resource sources if required</w:t>
      </w:r>
      <w:r w:rsidR="00DD692E">
        <w:rPr>
          <w:rFonts w:ascii="Verdana" w:hAnsi="Verdana"/>
          <w:szCs w:val="20"/>
        </w:rPr>
        <w:t>. Xoserve’s contracts with key third party service providers contain provisions to add resource quickly if this is needed</w:t>
      </w:r>
      <w:r w:rsidRPr="000F50F8">
        <w:rPr>
          <w:rFonts w:ascii="Verdana" w:hAnsi="Verdana"/>
          <w:szCs w:val="20"/>
        </w:rPr>
        <w:t xml:space="preserve">; </w:t>
      </w:r>
    </w:p>
    <w:p w14:paraId="1C3E4700" w14:textId="3074FC5F" w:rsidR="000F50F8" w:rsidRPr="000F50F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Specific supporting Management Information (‘MI’) requirements have been defined and will be in place ready for use in</w:t>
      </w:r>
      <w:r w:rsidR="008C426E">
        <w:rPr>
          <w:rFonts w:ascii="Verdana" w:hAnsi="Verdana"/>
          <w:szCs w:val="20"/>
        </w:rPr>
        <w:t xml:space="preserve"> Xoserve’s</w:t>
      </w:r>
      <w:r w:rsidRPr="000F50F8">
        <w:rPr>
          <w:rFonts w:ascii="Verdana" w:hAnsi="Verdana"/>
          <w:szCs w:val="20"/>
        </w:rPr>
        <w:t xml:space="preserve"> live operations;</w:t>
      </w:r>
    </w:p>
    <w:p w14:paraId="1C368812" w14:textId="77777777" w:rsidR="000F50F8" w:rsidRPr="000F50F8" w:rsidRDefault="000F50F8" w:rsidP="005D2B3F">
      <w:pPr>
        <w:pStyle w:val="ListParagraph"/>
        <w:numPr>
          <w:ilvl w:val="0"/>
          <w:numId w:val="20"/>
        </w:numPr>
        <w:spacing w:before="120" w:after="60" w:line="240" w:lineRule="auto"/>
        <w:ind w:left="568" w:hanging="284"/>
        <w:jc w:val="both"/>
        <w:rPr>
          <w:rFonts w:ascii="Verdana" w:hAnsi="Verdana"/>
          <w:szCs w:val="20"/>
        </w:rPr>
      </w:pPr>
      <w:r w:rsidRPr="000F50F8">
        <w:rPr>
          <w:rFonts w:ascii="Verdana" w:hAnsi="Verdana"/>
          <w:szCs w:val="20"/>
        </w:rPr>
        <w:t>All exception resolution paths have been tested during market trials, with exception management team phases and Local Work Instructions (‘LWIs’) / process flows created for all identified exceptions.</w:t>
      </w:r>
    </w:p>
    <w:p w14:paraId="730ECF70" w14:textId="77777777" w:rsidR="000F50F8" w:rsidRPr="000F50F8" w:rsidRDefault="000F50F8" w:rsidP="005D2B3F">
      <w:pPr>
        <w:spacing w:before="120" w:after="60" w:line="240" w:lineRule="auto"/>
        <w:jc w:val="both"/>
        <w:rPr>
          <w:rFonts w:ascii="Verdana" w:hAnsi="Verdana"/>
          <w:sz w:val="20"/>
          <w:szCs w:val="20"/>
        </w:rPr>
      </w:pPr>
    </w:p>
    <w:p w14:paraId="733F6A23" w14:textId="77777777" w:rsidR="005D2B3F" w:rsidRDefault="000F50F8" w:rsidP="005D2B3F">
      <w:pPr>
        <w:spacing w:before="120" w:after="60" w:line="240" w:lineRule="auto"/>
        <w:ind w:left="284"/>
        <w:jc w:val="both"/>
        <w:rPr>
          <w:rFonts w:ascii="Verdana" w:hAnsi="Verdana"/>
          <w:b/>
          <w:sz w:val="20"/>
          <w:szCs w:val="20"/>
          <w:u w:val="single"/>
        </w:rPr>
      </w:pPr>
      <w:r w:rsidRPr="000F50F8">
        <w:rPr>
          <w:rFonts w:ascii="Verdana" w:hAnsi="Verdana"/>
          <w:b/>
          <w:sz w:val="20"/>
          <w:szCs w:val="20"/>
          <w:u w:val="single"/>
        </w:rPr>
        <w:t>Link: Xoserve exception management approach overview</w:t>
      </w:r>
    </w:p>
    <w:permStart w:id="795883464" w:edGrp="everyone"/>
    <w:p w14:paraId="130481DE" w14:textId="195CC5E3" w:rsidR="000F50F8" w:rsidRPr="005D2B3F" w:rsidRDefault="005D2B3F" w:rsidP="005D2B3F">
      <w:pPr>
        <w:spacing w:before="120" w:after="60" w:line="240" w:lineRule="auto"/>
        <w:ind w:left="284"/>
        <w:jc w:val="both"/>
        <w:rPr>
          <w:rFonts w:ascii="Verdana" w:hAnsi="Verdana"/>
          <w:sz w:val="20"/>
          <w:szCs w:val="20"/>
        </w:rPr>
      </w:pPr>
      <w:r w:rsidRPr="000F50F8">
        <w:rPr>
          <w:rFonts w:ascii="Verdana" w:eastAsiaTheme="minorHAnsi" w:hAnsi="Verdana"/>
          <w:sz w:val="20"/>
          <w:szCs w:val="20"/>
          <w:lang w:eastAsia="en-US"/>
        </w:rPr>
        <w:object w:dxaOrig="2063" w:dyaOrig="1343" w14:anchorId="328261C5">
          <v:shape id="_x0000_i1029" type="#_x0000_t75" style="width:73.5pt;height:48pt" o:ole="">
            <v:imagedata r:id="rId28" o:title=""/>
          </v:shape>
          <o:OLEObject Type="Embed" ProgID="AcroExch.Document.DC" ShapeID="_x0000_i1029" DrawAspect="Icon" ObjectID="_1554899425" r:id="rId29"/>
        </w:object>
      </w:r>
      <w:permEnd w:id="795883464"/>
      <w:r w:rsidR="000F50F8" w:rsidRPr="000F50F8">
        <w:rPr>
          <w:rFonts w:ascii="Verdana" w:hAnsi="Verdana"/>
          <w:i/>
          <w:sz w:val="20"/>
          <w:szCs w:val="20"/>
        </w:rPr>
        <w:br w:type="page"/>
      </w:r>
    </w:p>
    <w:p w14:paraId="5C4A682E"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What metrics have been defined to monitor whether and when a ‘business as usual’ state has been achieved in critical industry process (such as Change of Supplier), or to focus further action if needed?</w:t>
      </w:r>
    </w:p>
    <w:p w14:paraId="2D8B8341" w14:textId="77777777" w:rsidR="000F50F8" w:rsidRPr="000F50F8" w:rsidRDefault="000F50F8" w:rsidP="005D2B3F">
      <w:pPr>
        <w:spacing w:before="120" w:after="60" w:line="240" w:lineRule="auto"/>
        <w:jc w:val="both"/>
        <w:rPr>
          <w:rFonts w:ascii="Verdana" w:hAnsi="Verdana"/>
          <w:sz w:val="20"/>
          <w:szCs w:val="20"/>
        </w:rPr>
      </w:pPr>
    </w:p>
    <w:p w14:paraId="5C372695" w14:textId="77777777"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Xoserve has presented the transaction KPIs it will monitor following go-live to the Transition Planning Group (‘TPG’). In summary, the business process metrics proposed for monitoring by Xoserve, with sharing to the industry, are as follows:</w:t>
      </w:r>
    </w:p>
    <w:p w14:paraId="4AD01764" w14:textId="77777777" w:rsidR="000F50F8" w:rsidRPr="000F50F8" w:rsidRDefault="000F50F8" w:rsidP="005D2B3F">
      <w:pPr>
        <w:pStyle w:val="ListParagraph"/>
        <w:numPr>
          <w:ilvl w:val="0"/>
          <w:numId w:val="21"/>
        </w:numPr>
        <w:spacing w:before="120" w:after="60" w:line="240" w:lineRule="auto"/>
        <w:ind w:left="717"/>
        <w:jc w:val="both"/>
        <w:rPr>
          <w:rFonts w:ascii="Verdana" w:hAnsi="Verdana"/>
          <w:szCs w:val="20"/>
        </w:rPr>
      </w:pPr>
      <w:r w:rsidRPr="000F50F8">
        <w:rPr>
          <w:rFonts w:ascii="Verdana" w:hAnsi="Verdana"/>
          <w:szCs w:val="20"/>
        </w:rPr>
        <w:t>Switching volumes and average time to switch (in days);</w:t>
      </w:r>
    </w:p>
    <w:p w14:paraId="2C1E3B6F" w14:textId="77777777" w:rsidR="000F50F8" w:rsidRPr="000F50F8" w:rsidRDefault="000F50F8" w:rsidP="005D2B3F">
      <w:pPr>
        <w:pStyle w:val="ListParagraph"/>
        <w:numPr>
          <w:ilvl w:val="0"/>
          <w:numId w:val="21"/>
        </w:numPr>
        <w:spacing w:before="120" w:after="60" w:line="240" w:lineRule="auto"/>
        <w:ind w:left="717"/>
        <w:jc w:val="both"/>
        <w:rPr>
          <w:rFonts w:ascii="Verdana" w:hAnsi="Verdana"/>
          <w:szCs w:val="20"/>
        </w:rPr>
      </w:pPr>
      <w:r w:rsidRPr="000F50F8">
        <w:rPr>
          <w:rFonts w:ascii="Verdana" w:hAnsi="Verdana"/>
          <w:szCs w:val="20"/>
        </w:rPr>
        <w:t>Volumes of files received and the % rejection;</w:t>
      </w:r>
    </w:p>
    <w:p w14:paraId="1EDADE94" w14:textId="77777777" w:rsidR="000F50F8" w:rsidRPr="000F50F8" w:rsidRDefault="000F50F8" w:rsidP="005D2B3F">
      <w:pPr>
        <w:pStyle w:val="ListParagraph"/>
        <w:numPr>
          <w:ilvl w:val="0"/>
          <w:numId w:val="21"/>
        </w:numPr>
        <w:spacing w:before="120" w:after="60" w:line="240" w:lineRule="auto"/>
        <w:ind w:left="717"/>
        <w:jc w:val="both"/>
        <w:rPr>
          <w:rFonts w:ascii="Verdana" w:hAnsi="Verdana"/>
          <w:szCs w:val="20"/>
        </w:rPr>
      </w:pPr>
      <w:r w:rsidRPr="000F50F8">
        <w:rPr>
          <w:rFonts w:ascii="Verdana" w:hAnsi="Verdana"/>
          <w:szCs w:val="20"/>
        </w:rPr>
        <w:t>Transfer of Ownership meter read processing;</w:t>
      </w:r>
    </w:p>
    <w:p w14:paraId="4D9991A8" w14:textId="77777777" w:rsidR="000F50F8" w:rsidRPr="000F50F8" w:rsidRDefault="000F50F8" w:rsidP="005D2B3F">
      <w:pPr>
        <w:pStyle w:val="ListParagraph"/>
        <w:numPr>
          <w:ilvl w:val="0"/>
          <w:numId w:val="21"/>
        </w:numPr>
        <w:spacing w:before="120" w:after="60" w:line="240" w:lineRule="auto"/>
        <w:ind w:left="717"/>
        <w:jc w:val="both"/>
        <w:rPr>
          <w:rFonts w:ascii="Verdana" w:hAnsi="Verdana"/>
          <w:szCs w:val="20"/>
        </w:rPr>
      </w:pPr>
      <w:r w:rsidRPr="000F50F8">
        <w:rPr>
          <w:rFonts w:ascii="Verdana" w:hAnsi="Verdana"/>
          <w:szCs w:val="20"/>
        </w:rPr>
        <w:t>Meter read receipt and acceptance;</w:t>
      </w:r>
    </w:p>
    <w:p w14:paraId="1775B539" w14:textId="77777777" w:rsidR="000F50F8" w:rsidRPr="000F50F8" w:rsidRDefault="000F50F8" w:rsidP="005D2B3F">
      <w:pPr>
        <w:pStyle w:val="ListParagraph"/>
        <w:numPr>
          <w:ilvl w:val="0"/>
          <w:numId w:val="21"/>
        </w:numPr>
        <w:spacing w:before="120" w:after="60" w:line="240" w:lineRule="auto"/>
        <w:ind w:left="717"/>
        <w:jc w:val="both"/>
        <w:rPr>
          <w:rFonts w:ascii="Verdana" w:hAnsi="Verdana"/>
          <w:szCs w:val="20"/>
        </w:rPr>
      </w:pPr>
      <w:r w:rsidRPr="000F50F8">
        <w:rPr>
          <w:rFonts w:ascii="Verdana" w:hAnsi="Verdana"/>
          <w:szCs w:val="20"/>
        </w:rPr>
        <w:t>% acceptance of ONJOB and ONUPD meter asset updates; and</w:t>
      </w:r>
    </w:p>
    <w:p w14:paraId="19B6015C" w14:textId="77777777" w:rsidR="000F50F8" w:rsidRPr="000F50F8" w:rsidRDefault="000F50F8" w:rsidP="005D2B3F">
      <w:pPr>
        <w:pStyle w:val="ListParagraph"/>
        <w:numPr>
          <w:ilvl w:val="0"/>
          <w:numId w:val="21"/>
        </w:numPr>
        <w:spacing w:before="120" w:after="60" w:line="240" w:lineRule="auto"/>
        <w:ind w:left="717"/>
        <w:jc w:val="both"/>
        <w:rPr>
          <w:rFonts w:ascii="Verdana" w:hAnsi="Verdana"/>
          <w:szCs w:val="20"/>
        </w:rPr>
      </w:pPr>
      <w:r w:rsidRPr="000F50F8">
        <w:rPr>
          <w:rFonts w:ascii="Verdana" w:hAnsi="Verdana"/>
          <w:szCs w:val="20"/>
        </w:rPr>
        <w:t>% Gemini and invoice availability.</w:t>
      </w:r>
    </w:p>
    <w:p w14:paraId="765EDBFE" w14:textId="77777777" w:rsidR="002F2D08" w:rsidRPr="005D2B3F"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Over and above this, Xoserve is now focused on fu</w:t>
      </w:r>
      <w:r w:rsidR="00BA5382">
        <w:rPr>
          <w:rFonts w:ascii="Verdana" w:hAnsi="Verdana"/>
          <w:sz w:val="20"/>
          <w:szCs w:val="20"/>
        </w:rPr>
        <w:t xml:space="preserve">rther defining </w:t>
      </w:r>
      <w:r w:rsidRPr="000F50F8">
        <w:rPr>
          <w:rFonts w:ascii="Verdana" w:hAnsi="Verdana"/>
          <w:sz w:val="20"/>
          <w:szCs w:val="20"/>
        </w:rPr>
        <w:t xml:space="preserve">the Post Implementation Support structure and how this will transition to BAU.  As part of this work, Xoserve are </w:t>
      </w:r>
      <w:r w:rsidRPr="005D2B3F">
        <w:rPr>
          <w:rFonts w:ascii="Verdana" w:hAnsi="Verdana"/>
          <w:sz w:val="20"/>
          <w:szCs w:val="20"/>
        </w:rPr>
        <w:t>providing a map of existing industry SLAs and performance metrics and how these will change over the PIS and BAU periods.</w:t>
      </w:r>
    </w:p>
    <w:p w14:paraId="302A9A9B" w14:textId="77777777" w:rsidR="000F50F8" w:rsidRPr="005D2B3F" w:rsidRDefault="000F50F8" w:rsidP="005D2B3F">
      <w:pPr>
        <w:spacing w:before="120" w:after="60" w:line="240" w:lineRule="auto"/>
        <w:ind w:left="357"/>
        <w:jc w:val="both"/>
        <w:rPr>
          <w:rFonts w:ascii="Verdana" w:hAnsi="Verdana"/>
          <w:b/>
          <w:sz w:val="20"/>
          <w:szCs w:val="20"/>
          <w:u w:val="single"/>
        </w:rPr>
      </w:pPr>
    </w:p>
    <w:p w14:paraId="6D7A058C" w14:textId="77777777" w:rsidR="000F50F8" w:rsidRPr="005D2B3F" w:rsidRDefault="000F50F8" w:rsidP="005D2B3F">
      <w:pPr>
        <w:spacing w:before="120" w:after="60" w:line="240" w:lineRule="auto"/>
        <w:ind w:left="357"/>
        <w:jc w:val="both"/>
        <w:rPr>
          <w:rFonts w:ascii="Verdana" w:hAnsi="Verdana"/>
          <w:b/>
          <w:sz w:val="20"/>
          <w:szCs w:val="20"/>
          <w:u w:val="single"/>
        </w:rPr>
      </w:pPr>
      <w:r w:rsidRPr="005D2B3F">
        <w:rPr>
          <w:rFonts w:ascii="Verdana" w:hAnsi="Verdana"/>
          <w:b/>
          <w:sz w:val="20"/>
          <w:szCs w:val="20"/>
          <w:u w:val="single"/>
        </w:rPr>
        <w:t>Link: Business process monitoring proposed by Xoserve</w:t>
      </w:r>
    </w:p>
    <w:p w14:paraId="7D33B282" w14:textId="77777777" w:rsidR="000F50F8" w:rsidRPr="005D2B3F" w:rsidRDefault="00EE4275" w:rsidP="005D2B3F">
      <w:pPr>
        <w:spacing w:before="120" w:after="60" w:line="240" w:lineRule="auto"/>
        <w:ind w:left="357"/>
        <w:jc w:val="both"/>
        <w:rPr>
          <w:rFonts w:ascii="Verdana" w:hAnsi="Verdana"/>
          <w:sz w:val="20"/>
          <w:szCs w:val="20"/>
        </w:rPr>
      </w:pPr>
      <w:hyperlink r:id="rId30" w:anchor="ReturntoSteadyStat" w:history="1">
        <w:r w:rsidR="000F50F8" w:rsidRPr="005D2B3F">
          <w:rPr>
            <w:rStyle w:val="Hyperlink"/>
            <w:rFonts w:ascii="Verdana" w:hAnsi="Verdana"/>
            <w:sz w:val="20"/>
            <w:szCs w:val="20"/>
          </w:rPr>
          <w:t>Return to Steady State KPIs</w:t>
        </w:r>
      </w:hyperlink>
    </w:p>
    <w:p w14:paraId="43541FBC" w14:textId="77777777" w:rsidR="000F50F8" w:rsidRPr="005D2B3F" w:rsidRDefault="000F50F8" w:rsidP="005D2B3F">
      <w:pPr>
        <w:spacing w:before="120" w:after="60" w:line="240" w:lineRule="auto"/>
        <w:ind w:left="357"/>
        <w:jc w:val="both"/>
        <w:rPr>
          <w:rFonts w:ascii="Verdana" w:hAnsi="Verdana"/>
          <w:sz w:val="20"/>
          <w:szCs w:val="20"/>
        </w:rPr>
      </w:pPr>
    </w:p>
    <w:p w14:paraId="0D52488A" w14:textId="77777777" w:rsidR="000F50F8" w:rsidRDefault="000F50F8" w:rsidP="005D2B3F">
      <w:pPr>
        <w:ind w:left="357"/>
        <w:jc w:val="both"/>
        <w:rPr>
          <w:rFonts w:ascii="Verdana" w:hAnsi="Verdana"/>
          <w:i/>
          <w:sz w:val="20"/>
          <w:szCs w:val="20"/>
        </w:rPr>
      </w:pPr>
      <w:r w:rsidRPr="005D2B3F">
        <w:rPr>
          <w:rFonts w:ascii="Verdana" w:hAnsi="Verdana"/>
          <w:i/>
          <w:sz w:val="20"/>
          <w:szCs w:val="20"/>
        </w:rPr>
        <w:br w:type="page"/>
      </w:r>
    </w:p>
    <w:p w14:paraId="33627FAA"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 xml:space="preserve">How will the post go-live support, or hyper care, period be managed and governed? How will a smooth ‘handback’ to BAU industry governance be achieved and what is the timeline for this? </w:t>
      </w:r>
    </w:p>
    <w:p w14:paraId="64C85E51" w14:textId="77777777" w:rsidR="000F50F8" w:rsidRPr="000F50F8" w:rsidRDefault="000F50F8" w:rsidP="005D2B3F">
      <w:pPr>
        <w:pStyle w:val="ListParagraph"/>
        <w:spacing w:before="120" w:after="60" w:line="240" w:lineRule="auto"/>
        <w:ind w:left="0"/>
        <w:jc w:val="both"/>
        <w:rPr>
          <w:rFonts w:ascii="Verdana" w:hAnsi="Verdana"/>
          <w:szCs w:val="20"/>
        </w:rPr>
      </w:pPr>
    </w:p>
    <w:p w14:paraId="75D74727" w14:textId="01B4B031" w:rsidR="000F50F8" w:rsidRPr="000F50F8"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 xml:space="preserve">Ofgem has specified clear expectations and criteria </w:t>
      </w:r>
      <w:r w:rsidR="00176DBE">
        <w:rPr>
          <w:rFonts w:ascii="Verdana" w:hAnsi="Verdana"/>
          <w:szCs w:val="20"/>
        </w:rPr>
        <w:t>required of the</w:t>
      </w:r>
      <w:r w:rsidRPr="000F50F8">
        <w:rPr>
          <w:rFonts w:ascii="Verdana" w:hAnsi="Verdana"/>
          <w:szCs w:val="20"/>
        </w:rPr>
        <w:t xml:space="preserve"> Xoserve Post Implementation </w:t>
      </w:r>
      <w:r w:rsidRPr="001A4432">
        <w:rPr>
          <w:rFonts w:ascii="Verdana" w:hAnsi="Verdana"/>
          <w:szCs w:val="20"/>
        </w:rPr>
        <w:t>Support (‘PIS’)</w:t>
      </w:r>
      <w:r w:rsidR="00176DBE">
        <w:rPr>
          <w:rFonts w:ascii="Verdana" w:hAnsi="Verdana"/>
          <w:szCs w:val="20"/>
        </w:rPr>
        <w:t xml:space="preserve"> during the</w:t>
      </w:r>
      <w:r w:rsidRPr="001A4432">
        <w:rPr>
          <w:rFonts w:ascii="Verdana" w:hAnsi="Verdana"/>
          <w:szCs w:val="20"/>
        </w:rPr>
        <w:t xml:space="preserve"> period that follows go-live.  This spans six key areas of activity and Xoserve are addressing these in the development of their plan on a page for their PIS capability.</w:t>
      </w:r>
    </w:p>
    <w:p w14:paraId="5ED19B6D" w14:textId="77777777" w:rsidR="000F3CAA" w:rsidRDefault="000F3CAA" w:rsidP="005D2B3F">
      <w:pPr>
        <w:pStyle w:val="ListParagraph"/>
        <w:spacing w:before="120" w:after="60"/>
        <w:ind w:left="1077"/>
        <w:jc w:val="both"/>
        <w:rPr>
          <w:rFonts w:ascii="Verdana" w:hAnsi="Verdana"/>
          <w:szCs w:val="20"/>
        </w:rPr>
      </w:pPr>
    </w:p>
    <w:p w14:paraId="2A4492F8" w14:textId="533529D2" w:rsidR="000F50F8" w:rsidRPr="000F50F8" w:rsidRDefault="000F50F8" w:rsidP="005D2B3F">
      <w:pPr>
        <w:pStyle w:val="ListParagraph"/>
        <w:spacing w:before="120" w:after="60"/>
        <w:ind w:left="357"/>
        <w:jc w:val="both"/>
        <w:rPr>
          <w:rFonts w:ascii="Verdana" w:hAnsi="Verdana"/>
          <w:szCs w:val="20"/>
        </w:rPr>
      </w:pPr>
      <w:r w:rsidRPr="000F50F8">
        <w:rPr>
          <w:rFonts w:ascii="Verdana" w:hAnsi="Verdana"/>
          <w:szCs w:val="20"/>
        </w:rPr>
        <w:t>Xoserve have shared their PIS Approach and PIS Release Schedule with the TPG. This details the details the organisation structure, roles and responsibilities and support processes that will be adopted. Over the post go-live support period, the cross-industry Issue Resolution Group (‘IRG’) and Defect Resolution Group (‘DRG’) will be in place to deal with major issues.</w:t>
      </w:r>
    </w:p>
    <w:p w14:paraId="23C6FCED" w14:textId="77777777" w:rsidR="000F3CAA" w:rsidRDefault="000F3CAA" w:rsidP="005D2B3F">
      <w:pPr>
        <w:pStyle w:val="ListParagraph"/>
        <w:spacing w:before="120" w:after="60"/>
        <w:ind w:left="357"/>
        <w:jc w:val="both"/>
        <w:rPr>
          <w:rFonts w:ascii="Verdana" w:hAnsi="Verdana"/>
          <w:szCs w:val="20"/>
        </w:rPr>
      </w:pPr>
    </w:p>
    <w:p w14:paraId="23E1D8DB" w14:textId="77777777" w:rsidR="000F50F8" w:rsidRDefault="000F50F8" w:rsidP="005D2B3F">
      <w:pPr>
        <w:pStyle w:val="ListParagraph"/>
        <w:spacing w:before="120" w:after="60"/>
        <w:ind w:left="357"/>
        <w:jc w:val="both"/>
        <w:rPr>
          <w:rFonts w:ascii="Verdana" w:hAnsi="Verdana"/>
          <w:szCs w:val="20"/>
        </w:rPr>
      </w:pPr>
      <w:r w:rsidRPr="000F50F8">
        <w:rPr>
          <w:rFonts w:ascii="Verdana" w:hAnsi="Verdana"/>
          <w:szCs w:val="20"/>
        </w:rPr>
        <w:t xml:space="preserve">We expect further detail and clarity to be provided in this area, with a plan </w:t>
      </w:r>
      <w:r w:rsidRPr="000F3CAA">
        <w:rPr>
          <w:rFonts w:ascii="Verdana" w:hAnsi="Verdana"/>
          <w:szCs w:val="20"/>
        </w:rPr>
        <w:t>being developed and reviewed with Industry with respect to the transition to BAU Industry Governance and the associated timeline. The plan is currently in draft and will be sh</w:t>
      </w:r>
      <w:r w:rsidR="00B91F58">
        <w:rPr>
          <w:rFonts w:ascii="Verdana" w:hAnsi="Verdana"/>
          <w:szCs w:val="20"/>
        </w:rPr>
        <w:t>ared with the RIAG group on 27 Apr 17</w:t>
      </w:r>
      <w:r w:rsidRPr="000F3CAA">
        <w:rPr>
          <w:rFonts w:ascii="Verdana" w:hAnsi="Verdana"/>
          <w:szCs w:val="20"/>
        </w:rPr>
        <w:t xml:space="preserve"> for challenge. The plan is due to be issued to the PNSG grou</w:t>
      </w:r>
      <w:r w:rsidR="00B91F58">
        <w:rPr>
          <w:rFonts w:ascii="Verdana" w:hAnsi="Verdana"/>
          <w:szCs w:val="20"/>
        </w:rPr>
        <w:t xml:space="preserve">p for the review meeting on 04 </w:t>
      </w:r>
      <w:r w:rsidRPr="000F3CAA">
        <w:rPr>
          <w:rFonts w:ascii="Verdana" w:hAnsi="Verdana"/>
          <w:szCs w:val="20"/>
        </w:rPr>
        <w:t>May</w:t>
      </w:r>
      <w:r w:rsidR="00B91F58">
        <w:rPr>
          <w:rFonts w:ascii="Verdana" w:hAnsi="Verdana"/>
          <w:szCs w:val="20"/>
        </w:rPr>
        <w:t xml:space="preserve"> 17, before it is baselined on 12</w:t>
      </w:r>
      <w:r w:rsidRPr="000F3CAA">
        <w:rPr>
          <w:rFonts w:ascii="Verdana" w:hAnsi="Verdana"/>
          <w:szCs w:val="20"/>
        </w:rPr>
        <w:t xml:space="preserve"> May</w:t>
      </w:r>
      <w:r w:rsidR="00B91F58">
        <w:rPr>
          <w:rFonts w:ascii="Verdana" w:hAnsi="Verdana"/>
          <w:szCs w:val="20"/>
        </w:rPr>
        <w:t xml:space="preserve"> 17</w:t>
      </w:r>
      <w:r w:rsidRPr="000F3CAA">
        <w:rPr>
          <w:rFonts w:ascii="Verdana" w:hAnsi="Verdana"/>
          <w:szCs w:val="20"/>
        </w:rPr>
        <w:t xml:space="preserve">.  </w:t>
      </w:r>
    </w:p>
    <w:p w14:paraId="2A490B59" w14:textId="77777777" w:rsidR="000F3CAA" w:rsidRPr="000F3CAA" w:rsidRDefault="000F3CAA" w:rsidP="005D2B3F">
      <w:pPr>
        <w:pStyle w:val="ListParagraph"/>
        <w:spacing w:before="120" w:after="60" w:line="240" w:lineRule="auto"/>
        <w:ind w:left="357"/>
        <w:jc w:val="both"/>
        <w:rPr>
          <w:rFonts w:ascii="Verdana" w:hAnsi="Verdana"/>
          <w:szCs w:val="20"/>
        </w:rPr>
      </w:pPr>
    </w:p>
    <w:p w14:paraId="4F451B3D" w14:textId="39924D28" w:rsidR="000F3CAA" w:rsidRPr="000F3CAA" w:rsidRDefault="000F50F8" w:rsidP="005D2B3F">
      <w:pPr>
        <w:pStyle w:val="ListParagraph"/>
        <w:spacing w:before="120" w:after="60"/>
        <w:ind w:left="357"/>
        <w:jc w:val="both"/>
        <w:rPr>
          <w:rFonts w:ascii="Verdana" w:hAnsi="Verdana"/>
          <w:szCs w:val="20"/>
        </w:rPr>
      </w:pPr>
      <w:r w:rsidRPr="000F3CAA">
        <w:rPr>
          <w:rFonts w:ascii="Verdana" w:hAnsi="Verdana"/>
          <w:szCs w:val="20"/>
        </w:rPr>
        <w:t>Ofgem has stated its objective to exit from its sponsorship role as soon as possible without jeopardising the Project Nexus Success Factors. The Project Nexus governance arrangements were put in place with the aim of improving reporting and streamlining decision making. It is likely there will be issues initially after go-live that will require streamlined decision making in a manner similar to that which has been required for project decisions.</w:t>
      </w:r>
    </w:p>
    <w:p w14:paraId="2932DF0F" w14:textId="77777777" w:rsidR="000F3CAA" w:rsidRDefault="000F3CAA" w:rsidP="005D2B3F">
      <w:pPr>
        <w:pStyle w:val="ListParagraph"/>
        <w:spacing w:before="120" w:after="60"/>
        <w:ind w:left="357"/>
        <w:jc w:val="both"/>
        <w:rPr>
          <w:rFonts w:ascii="Verdana" w:hAnsi="Verdana"/>
          <w:szCs w:val="20"/>
        </w:rPr>
      </w:pPr>
    </w:p>
    <w:p w14:paraId="1FA40B82" w14:textId="76F132DB" w:rsidR="000F50F8" w:rsidRPr="000F3CAA" w:rsidRDefault="002F2D08" w:rsidP="005D2B3F">
      <w:pPr>
        <w:pStyle w:val="ListParagraph"/>
        <w:spacing w:before="120" w:after="60"/>
        <w:ind w:left="357"/>
        <w:jc w:val="both"/>
        <w:rPr>
          <w:rFonts w:ascii="Verdana" w:hAnsi="Verdana"/>
          <w:szCs w:val="20"/>
        </w:rPr>
      </w:pPr>
      <w:r>
        <w:rPr>
          <w:rFonts w:ascii="Verdana" w:hAnsi="Verdana"/>
          <w:szCs w:val="20"/>
        </w:rPr>
        <w:t>Ofgem</w:t>
      </w:r>
      <w:r w:rsidRPr="000F3CAA">
        <w:rPr>
          <w:rFonts w:ascii="Verdana" w:hAnsi="Verdana"/>
          <w:szCs w:val="20"/>
        </w:rPr>
        <w:t xml:space="preserve"> </w:t>
      </w:r>
      <w:r w:rsidR="000F50F8" w:rsidRPr="000F3CAA">
        <w:rPr>
          <w:rFonts w:ascii="Verdana" w:hAnsi="Verdana"/>
          <w:szCs w:val="20"/>
        </w:rPr>
        <w:t>intend</w:t>
      </w:r>
      <w:r>
        <w:rPr>
          <w:rFonts w:ascii="Verdana" w:hAnsi="Verdana"/>
          <w:szCs w:val="20"/>
        </w:rPr>
        <w:t>s</w:t>
      </w:r>
      <w:r w:rsidR="000F50F8" w:rsidRPr="000F3CAA">
        <w:rPr>
          <w:rFonts w:ascii="Verdana" w:hAnsi="Verdana"/>
          <w:szCs w:val="20"/>
        </w:rPr>
        <w:t xml:space="preserve"> to leave the existing project governance intact through the go-live and for a </w:t>
      </w:r>
      <w:r w:rsidR="003D65B9">
        <w:rPr>
          <w:rFonts w:ascii="Verdana" w:hAnsi="Verdana"/>
          <w:szCs w:val="20"/>
        </w:rPr>
        <w:t xml:space="preserve">short </w:t>
      </w:r>
      <w:r w:rsidR="000F50F8" w:rsidRPr="000F3CAA">
        <w:rPr>
          <w:rFonts w:ascii="Verdana" w:hAnsi="Verdana"/>
          <w:szCs w:val="20"/>
        </w:rPr>
        <w:t>period afterwards. After a period of stability, in a controlled manner, there will be a transition from the existing governance</w:t>
      </w:r>
      <w:r w:rsidR="00176DBE">
        <w:rPr>
          <w:rFonts w:ascii="Verdana" w:hAnsi="Verdana"/>
          <w:szCs w:val="20"/>
        </w:rPr>
        <w:t xml:space="preserve"> and thereafter to the established business as usual gover</w:t>
      </w:r>
      <w:r w:rsidR="004B0D0E">
        <w:rPr>
          <w:rFonts w:ascii="Verdana" w:hAnsi="Verdana"/>
          <w:szCs w:val="20"/>
        </w:rPr>
        <w:t>n</w:t>
      </w:r>
      <w:r w:rsidR="00176DBE">
        <w:rPr>
          <w:rFonts w:ascii="Verdana" w:hAnsi="Verdana"/>
          <w:szCs w:val="20"/>
        </w:rPr>
        <w:t>ance</w:t>
      </w:r>
      <w:r w:rsidR="000F50F8" w:rsidRPr="000F3CAA">
        <w:rPr>
          <w:rFonts w:ascii="Verdana" w:hAnsi="Verdana"/>
          <w:szCs w:val="20"/>
        </w:rPr>
        <w:t>.  While we expect the transition to be a few months after go-live</w:t>
      </w:r>
      <w:r w:rsidR="00176DBE">
        <w:rPr>
          <w:rFonts w:ascii="Verdana" w:hAnsi="Verdana"/>
          <w:szCs w:val="20"/>
        </w:rPr>
        <w:t>,</w:t>
      </w:r>
      <w:r w:rsidR="000F50F8" w:rsidRPr="000F3CAA">
        <w:rPr>
          <w:rFonts w:ascii="Verdana" w:hAnsi="Verdana"/>
          <w:szCs w:val="20"/>
        </w:rPr>
        <w:t xml:space="preserve"> </w:t>
      </w:r>
      <w:r w:rsidR="004B0D0E">
        <w:rPr>
          <w:rFonts w:ascii="Verdana" w:hAnsi="Verdana"/>
          <w:szCs w:val="20"/>
        </w:rPr>
        <w:t>it</w:t>
      </w:r>
      <w:r w:rsidR="000F50F8" w:rsidRPr="000F3CAA">
        <w:rPr>
          <w:rFonts w:ascii="Verdana" w:hAnsi="Verdana"/>
          <w:szCs w:val="20"/>
        </w:rPr>
        <w:t xml:space="preserve"> will be criteria based.</w:t>
      </w:r>
      <w:r>
        <w:rPr>
          <w:rFonts w:ascii="Verdana" w:hAnsi="Verdana"/>
          <w:szCs w:val="20"/>
        </w:rPr>
        <w:t xml:space="preserve"> Ofgem is developing a set of exit criteria to provide transparency and clarity on when this transition might take place.</w:t>
      </w:r>
    </w:p>
    <w:p w14:paraId="735A3185" w14:textId="77777777" w:rsidR="000F50F8" w:rsidRPr="000F50F8" w:rsidRDefault="000F50F8" w:rsidP="005D2B3F">
      <w:pPr>
        <w:pStyle w:val="ListParagraph"/>
        <w:spacing w:before="120" w:after="60" w:line="240" w:lineRule="auto"/>
        <w:ind w:left="357"/>
        <w:jc w:val="both"/>
        <w:rPr>
          <w:rFonts w:ascii="Verdana" w:hAnsi="Verdana"/>
          <w:szCs w:val="20"/>
        </w:rPr>
      </w:pPr>
    </w:p>
    <w:p w14:paraId="662ABD77" w14:textId="01CF7B14" w:rsidR="000F50F8" w:rsidRPr="000F50F8" w:rsidRDefault="000F50F8" w:rsidP="005D2B3F">
      <w:pPr>
        <w:pStyle w:val="ListParagraph"/>
        <w:spacing w:before="120" w:after="60" w:line="240" w:lineRule="auto"/>
        <w:ind w:left="357"/>
        <w:jc w:val="both"/>
        <w:rPr>
          <w:rFonts w:ascii="Verdana" w:hAnsi="Verdana"/>
          <w:b/>
          <w:szCs w:val="20"/>
          <w:u w:val="single"/>
        </w:rPr>
      </w:pPr>
      <w:r w:rsidRPr="000F50F8">
        <w:rPr>
          <w:rFonts w:ascii="Verdana" w:hAnsi="Verdana"/>
          <w:b/>
          <w:szCs w:val="20"/>
          <w:u w:val="single"/>
        </w:rPr>
        <w:t>Link: Relevant PIS materials</w:t>
      </w:r>
      <w:r w:rsidR="008C426E">
        <w:rPr>
          <w:rFonts w:ascii="Verdana" w:hAnsi="Verdana"/>
          <w:b/>
          <w:szCs w:val="20"/>
          <w:u w:val="single"/>
        </w:rPr>
        <w:t xml:space="preserve"> shared by Xoserve</w:t>
      </w:r>
      <w:r w:rsidRPr="000F50F8">
        <w:rPr>
          <w:rFonts w:ascii="Verdana" w:hAnsi="Verdana"/>
          <w:b/>
          <w:szCs w:val="20"/>
          <w:u w:val="single"/>
        </w:rPr>
        <w:t>:</w:t>
      </w:r>
    </w:p>
    <w:permStart w:id="253762731" w:edGrp="everyone"/>
    <w:bookmarkStart w:id="1" w:name="_MON_1554634468"/>
    <w:bookmarkEnd w:id="1"/>
    <w:p w14:paraId="4E379A54" w14:textId="63E6B515" w:rsidR="000F50F8" w:rsidRPr="000F50F8" w:rsidRDefault="008C426E" w:rsidP="005D2B3F">
      <w:pPr>
        <w:pStyle w:val="ListParagraph"/>
        <w:spacing w:before="120" w:after="60" w:line="240" w:lineRule="auto"/>
        <w:ind w:left="714"/>
        <w:jc w:val="both"/>
        <w:rPr>
          <w:rFonts w:ascii="Verdana" w:hAnsi="Verdana"/>
          <w:szCs w:val="20"/>
        </w:rPr>
      </w:pPr>
      <w:r>
        <w:object w:dxaOrig="1513" w:dyaOrig="984" w14:anchorId="48BE6757">
          <v:shape id="_x0000_i1030" type="#_x0000_t75" style="width:75.75pt;height:49.15pt" o:ole="">
            <v:imagedata r:id="rId31" o:title=""/>
          </v:shape>
          <o:OLEObject Type="Embed" ProgID="Word.Document.12" ShapeID="_x0000_i1030" DrawAspect="Icon" ObjectID="_1554899426" r:id="rId32">
            <o:FieldCodes>\s</o:FieldCodes>
          </o:OLEObject>
        </w:object>
      </w:r>
      <w:permEnd w:id="253762731"/>
      <w:r w:rsidRPr="000F50F8" w:rsidDel="008C426E">
        <w:rPr>
          <w:rFonts w:ascii="Verdana" w:hAnsi="Verdana"/>
          <w:szCs w:val="20"/>
        </w:rPr>
        <w:t xml:space="preserve"> </w:t>
      </w:r>
    </w:p>
    <w:p w14:paraId="46285C5C" w14:textId="77777777" w:rsidR="000F50F8" w:rsidRDefault="000F50F8" w:rsidP="005D2B3F">
      <w:pPr>
        <w:ind w:left="357"/>
        <w:jc w:val="both"/>
        <w:rPr>
          <w:rFonts w:ascii="Verdana" w:hAnsi="Verdana"/>
          <w:i/>
          <w:sz w:val="20"/>
          <w:szCs w:val="20"/>
        </w:rPr>
      </w:pPr>
      <w:r w:rsidRPr="000F50F8">
        <w:rPr>
          <w:rFonts w:ascii="Verdana" w:hAnsi="Verdana"/>
          <w:i/>
          <w:sz w:val="20"/>
          <w:szCs w:val="20"/>
        </w:rPr>
        <w:br w:type="page"/>
      </w:r>
    </w:p>
    <w:p w14:paraId="0EF62F29"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What is the interaction between the constituted FGO Governance arrangements and Nexus Governance and how will this be integrated to ensure a single governance structure for post Nexus arrangements?</w:t>
      </w:r>
    </w:p>
    <w:p w14:paraId="157BEA79" w14:textId="77777777" w:rsidR="000F50F8" w:rsidRPr="000F50F8" w:rsidRDefault="000F50F8" w:rsidP="005D2B3F">
      <w:pPr>
        <w:pStyle w:val="ListParagraph"/>
        <w:spacing w:before="120" w:after="60" w:line="240" w:lineRule="auto"/>
        <w:ind w:left="0"/>
        <w:jc w:val="both"/>
        <w:rPr>
          <w:rFonts w:ascii="Verdana" w:hAnsi="Verdana"/>
          <w:szCs w:val="20"/>
        </w:rPr>
      </w:pPr>
    </w:p>
    <w:p w14:paraId="4DDEEEBC" w14:textId="77777777" w:rsidR="000F50F8" w:rsidRPr="000F50F8"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 xml:space="preserve">Ofgem’s review of Xoserve Funding, Governance and Ownership (‘FGO’) was completed on </w:t>
      </w:r>
      <w:r w:rsidR="008B59C4">
        <w:rPr>
          <w:rFonts w:ascii="Verdana" w:hAnsi="Verdana"/>
          <w:szCs w:val="20"/>
        </w:rPr>
        <w:t xml:space="preserve">01 Apr </w:t>
      </w:r>
      <w:r w:rsidRPr="000F50F8">
        <w:rPr>
          <w:rFonts w:ascii="Verdana" w:hAnsi="Verdana"/>
          <w:szCs w:val="20"/>
        </w:rPr>
        <w:t>17, with the appointment of Xoserve as the gas industry Central Data Services Provider (‘CDSP’) and the establishment of a new contractual framework (the Data Services Contract (‘DSC’)) between Xoserve, Gas Transporters and Shippers.  At the Project Nexus Implementation Date (‘PNID’), IGTs will also become party to the DSC.</w:t>
      </w:r>
    </w:p>
    <w:p w14:paraId="7C7986C6" w14:textId="77777777" w:rsidR="008B59C4" w:rsidRDefault="008B59C4" w:rsidP="005D2B3F">
      <w:pPr>
        <w:pStyle w:val="ListParagraph"/>
        <w:spacing w:before="120" w:after="60" w:line="240" w:lineRule="auto"/>
        <w:ind w:left="357"/>
        <w:jc w:val="both"/>
        <w:rPr>
          <w:rFonts w:ascii="Verdana" w:hAnsi="Verdana"/>
          <w:szCs w:val="20"/>
        </w:rPr>
      </w:pPr>
    </w:p>
    <w:p w14:paraId="5D344A05" w14:textId="77777777" w:rsidR="000F50F8" w:rsidRPr="000F50F8"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DSC governance is exercised through a Contract Management Committee (‘CMC’) and a Change Management Committee (‘ChMC’).  The composition and voting arrangements of both Committees is defined in the UNC (General Terms Section D, Annex D-2), and voting representatives have been appointed through industry agreed nomination and election processes.  CMC and ChMC meetings are chaired by the Joint Office of Gas Transporters, with non-voting DSC Contract Managers and CDSP representatives also in attendance.</w:t>
      </w:r>
    </w:p>
    <w:p w14:paraId="3A0897D4" w14:textId="77777777" w:rsidR="008B59C4" w:rsidRDefault="008B59C4" w:rsidP="005D2B3F">
      <w:pPr>
        <w:pStyle w:val="ListParagraph"/>
        <w:spacing w:before="120" w:after="60" w:line="240" w:lineRule="auto"/>
        <w:ind w:left="357"/>
        <w:jc w:val="both"/>
        <w:rPr>
          <w:rFonts w:ascii="Verdana" w:hAnsi="Verdana"/>
          <w:szCs w:val="20"/>
        </w:rPr>
      </w:pPr>
    </w:p>
    <w:p w14:paraId="76B57D13" w14:textId="7111A09B" w:rsidR="003C5AD0" w:rsidRPr="000F50F8" w:rsidRDefault="003C5AD0" w:rsidP="005D2B3F">
      <w:pPr>
        <w:pStyle w:val="ListParagraph"/>
        <w:spacing w:before="120" w:after="60" w:line="240" w:lineRule="auto"/>
        <w:ind w:left="357"/>
        <w:jc w:val="both"/>
        <w:rPr>
          <w:rFonts w:ascii="Verdana" w:hAnsi="Verdana"/>
          <w:szCs w:val="20"/>
        </w:rPr>
      </w:pPr>
      <w:r>
        <w:rPr>
          <w:rFonts w:ascii="Verdana" w:hAnsi="Verdana"/>
          <w:szCs w:val="20"/>
        </w:rPr>
        <w:t xml:space="preserve">Notwithstanding the existence of the newly established groups under </w:t>
      </w:r>
      <w:r w:rsidR="00A00EBE">
        <w:rPr>
          <w:rFonts w:ascii="Verdana" w:hAnsi="Verdana"/>
          <w:szCs w:val="20"/>
        </w:rPr>
        <w:t>the FGO arrangements, Ofgem believes that to provide stability there needs to be a continuation of the Project Nexus governance groups for a period after go-live to manage any immediate issues which need to be considered at short notice and operate alongside the formal FGO groups. This is not dissimilar to the way these groups have worked alongside formal UNC governance since being established last year.</w:t>
      </w:r>
    </w:p>
    <w:p w14:paraId="2B8C32AC" w14:textId="77777777" w:rsidR="008B59C4" w:rsidRDefault="008B59C4" w:rsidP="005D2B3F">
      <w:pPr>
        <w:pStyle w:val="ListParagraph"/>
        <w:spacing w:before="120" w:after="60" w:line="240" w:lineRule="auto"/>
        <w:ind w:left="357"/>
        <w:jc w:val="both"/>
        <w:rPr>
          <w:rFonts w:ascii="Verdana" w:hAnsi="Verdana"/>
          <w:szCs w:val="20"/>
        </w:rPr>
      </w:pPr>
    </w:p>
    <w:p w14:paraId="3C80B232" w14:textId="40AB0C8F" w:rsidR="00A00EBE" w:rsidRDefault="00A00EBE" w:rsidP="005D2B3F">
      <w:pPr>
        <w:pStyle w:val="ListParagraph"/>
        <w:spacing w:before="120" w:after="60" w:line="240" w:lineRule="auto"/>
        <w:ind w:left="357"/>
        <w:jc w:val="both"/>
        <w:rPr>
          <w:rFonts w:ascii="Verdana" w:hAnsi="Verdana"/>
          <w:szCs w:val="20"/>
        </w:rPr>
      </w:pPr>
      <w:r w:rsidRPr="000F50F8">
        <w:rPr>
          <w:rFonts w:ascii="Verdana" w:hAnsi="Verdana"/>
          <w:szCs w:val="20"/>
        </w:rPr>
        <w:t>The CMC and ChMC have the primary authority to make decisions about CDSP Services and changes to them.  As such, the particular industry governance arrangements being established in respect of the Project Nexus post go live period are subservient to DSC governance and the decisions of the CMC and ChMC.</w:t>
      </w:r>
      <w:r>
        <w:rPr>
          <w:rFonts w:ascii="Verdana" w:hAnsi="Verdana"/>
          <w:szCs w:val="20"/>
        </w:rPr>
        <w:t xml:space="preserve"> However, as has been the case with the period pre go-live</w:t>
      </w:r>
      <w:r w:rsidR="008C426E">
        <w:rPr>
          <w:rFonts w:ascii="Verdana" w:hAnsi="Verdana"/>
          <w:szCs w:val="20"/>
        </w:rPr>
        <w:t>,</w:t>
      </w:r>
      <w:r>
        <w:rPr>
          <w:rFonts w:ascii="Verdana" w:hAnsi="Verdana"/>
          <w:szCs w:val="20"/>
        </w:rPr>
        <w:t xml:space="preserve"> there may be project-level decisions on Nexus which do not engage the formal responsibilities of the CMC and ChMC.</w:t>
      </w:r>
    </w:p>
    <w:p w14:paraId="30410D78" w14:textId="77777777" w:rsidR="00A00EBE" w:rsidRDefault="00A00EBE" w:rsidP="005D2B3F">
      <w:pPr>
        <w:pStyle w:val="ListParagraph"/>
        <w:spacing w:before="120" w:after="60" w:line="240" w:lineRule="auto"/>
        <w:ind w:left="357"/>
        <w:jc w:val="both"/>
        <w:rPr>
          <w:rFonts w:ascii="Verdana" w:hAnsi="Verdana"/>
          <w:szCs w:val="20"/>
        </w:rPr>
      </w:pPr>
    </w:p>
    <w:p w14:paraId="4AAE7E3F" w14:textId="77777777" w:rsidR="002F2D08"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 xml:space="preserve">Xoserve is actively engaging with the CMC and ChMC to ensure full awareness of, and gain support for, the post go-live governance arrangements, in parallel with working with the various </w:t>
      </w:r>
      <w:r w:rsidR="003C5AD0">
        <w:rPr>
          <w:rFonts w:ascii="Verdana" w:hAnsi="Verdana"/>
          <w:szCs w:val="20"/>
        </w:rPr>
        <w:t xml:space="preserve">Project </w:t>
      </w:r>
      <w:r w:rsidRPr="000F50F8">
        <w:rPr>
          <w:rFonts w:ascii="Verdana" w:hAnsi="Verdana"/>
          <w:szCs w:val="20"/>
        </w:rPr>
        <w:t xml:space="preserve">Nexus programme governance groups to ensure a smooth transition and appropriate representation on groups given their expected roles and terms of reference. </w:t>
      </w:r>
    </w:p>
    <w:p w14:paraId="232E25EF" w14:textId="77777777" w:rsidR="002F2D08" w:rsidRDefault="002F2D08" w:rsidP="005D2B3F">
      <w:pPr>
        <w:pStyle w:val="ListParagraph"/>
        <w:spacing w:before="120" w:after="60" w:line="240" w:lineRule="auto"/>
        <w:ind w:left="357"/>
        <w:jc w:val="both"/>
        <w:rPr>
          <w:rFonts w:ascii="Verdana" w:hAnsi="Verdana"/>
          <w:szCs w:val="20"/>
        </w:rPr>
      </w:pPr>
    </w:p>
    <w:p w14:paraId="7BF60FF8" w14:textId="77777777" w:rsidR="000F50F8" w:rsidRPr="000F50F8" w:rsidRDefault="000F50F8" w:rsidP="005D2B3F">
      <w:pPr>
        <w:spacing w:before="120" w:after="60" w:line="240" w:lineRule="auto"/>
        <w:ind w:left="357"/>
        <w:jc w:val="both"/>
        <w:rPr>
          <w:rFonts w:ascii="Verdana" w:hAnsi="Verdana"/>
          <w:sz w:val="20"/>
          <w:szCs w:val="20"/>
        </w:rPr>
      </w:pPr>
    </w:p>
    <w:p w14:paraId="29CF889E" w14:textId="77777777" w:rsidR="000F50F8" w:rsidRDefault="000F50F8" w:rsidP="005D2B3F">
      <w:pPr>
        <w:ind w:left="357"/>
        <w:jc w:val="both"/>
        <w:rPr>
          <w:rFonts w:ascii="Verdana" w:hAnsi="Verdana"/>
          <w:i/>
          <w:sz w:val="20"/>
          <w:szCs w:val="20"/>
        </w:rPr>
      </w:pPr>
      <w:r w:rsidRPr="000F50F8">
        <w:rPr>
          <w:rFonts w:ascii="Verdana" w:hAnsi="Verdana"/>
          <w:i/>
          <w:sz w:val="20"/>
          <w:szCs w:val="20"/>
        </w:rPr>
        <w:br w:type="page"/>
      </w:r>
    </w:p>
    <w:p w14:paraId="6FC2A002"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How will the key issues be managed and escalated over the cut-over and post go-live periods – to the point that ‘stability’ is reached?</w:t>
      </w:r>
    </w:p>
    <w:p w14:paraId="18816C1B" w14:textId="77777777" w:rsidR="000F50F8" w:rsidRPr="000F50F8" w:rsidRDefault="000F50F8" w:rsidP="005D2B3F">
      <w:pPr>
        <w:pStyle w:val="ListParagraph"/>
        <w:spacing w:before="120" w:after="60" w:line="240" w:lineRule="auto"/>
        <w:ind w:left="0"/>
        <w:jc w:val="both"/>
        <w:rPr>
          <w:rFonts w:ascii="Verdana" w:hAnsi="Verdana"/>
          <w:szCs w:val="20"/>
        </w:rPr>
      </w:pPr>
    </w:p>
    <w:p w14:paraId="381D198E" w14:textId="77777777" w:rsidR="00FD21E4"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 xml:space="preserve">During the </w:t>
      </w:r>
      <w:r w:rsidRPr="000F50F8">
        <w:rPr>
          <w:rFonts w:ascii="Verdana" w:hAnsi="Verdana"/>
          <w:b/>
          <w:szCs w:val="20"/>
        </w:rPr>
        <w:t xml:space="preserve">cut-over </w:t>
      </w:r>
      <w:r w:rsidRPr="000F50F8">
        <w:rPr>
          <w:rFonts w:ascii="Verdana" w:hAnsi="Verdana"/>
          <w:szCs w:val="20"/>
        </w:rPr>
        <w:t xml:space="preserve">and </w:t>
      </w:r>
      <w:r w:rsidRPr="000F50F8">
        <w:rPr>
          <w:rFonts w:ascii="Verdana" w:hAnsi="Verdana"/>
          <w:b/>
          <w:szCs w:val="20"/>
        </w:rPr>
        <w:t xml:space="preserve">post go-live </w:t>
      </w:r>
      <w:r w:rsidRPr="000F50F8">
        <w:rPr>
          <w:rFonts w:ascii="Verdana" w:hAnsi="Verdana"/>
          <w:szCs w:val="20"/>
        </w:rPr>
        <w:t>periods, defects and incidents pertinent to the Xoserve systems will be logged and managed via their service desk, which will be operating a 24/7 schedule. We expect participants to log issues pertinent to their own cutover activity via their own service desks, but to also record these through the Xoserve service desk if they meet certain criteria (see below</w:t>
      </w:r>
      <w:r w:rsidR="001A4432">
        <w:rPr>
          <w:rFonts w:ascii="Verdana" w:hAnsi="Verdana"/>
          <w:szCs w:val="20"/>
        </w:rPr>
        <w:t xml:space="preserve"> for IRG description</w:t>
      </w:r>
      <w:r w:rsidRPr="000F50F8">
        <w:rPr>
          <w:rFonts w:ascii="Verdana" w:hAnsi="Verdana"/>
          <w:szCs w:val="20"/>
        </w:rPr>
        <w:t>).</w:t>
      </w:r>
    </w:p>
    <w:p w14:paraId="4F6A3CF1" w14:textId="77777777" w:rsidR="00FD21E4" w:rsidRDefault="00FD21E4" w:rsidP="005D2B3F">
      <w:pPr>
        <w:pStyle w:val="ListParagraph"/>
        <w:spacing w:before="120" w:after="60" w:line="240" w:lineRule="auto"/>
        <w:ind w:left="357"/>
        <w:jc w:val="both"/>
        <w:rPr>
          <w:rFonts w:ascii="Verdana" w:hAnsi="Verdana"/>
          <w:szCs w:val="20"/>
        </w:rPr>
      </w:pPr>
    </w:p>
    <w:p w14:paraId="39B0DA05" w14:textId="17FE01E5" w:rsidR="000F50F8" w:rsidRPr="000F50F8"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 xml:space="preserve">The Project Nexus PMO will monitor these at a global level through close interaction with both Xoserve and participants throughout.  A Class 1 incident will result in invocation of, and escalation to the </w:t>
      </w:r>
      <w:r w:rsidR="000A0B8D" w:rsidRPr="000F50F8">
        <w:rPr>
          <w:rFonts w:ascii="Verdana" w:hAnsi="Verdana"/>
          <w:b/>
          <w:szCs w:val="20"/>
        </w:rPr>
        <w:t xml:space="preserve">Issues Resolution Group </w:t>
      </w:r>
      <w:r w:rsidR="000A0B8D" w:rsidRPr="008651C7">
        <w:rPr>
          <w:rFonts w:ascii="Verdana" w:hAnsi="Verdana"/>
          <w:szCs w:val="20"/>
        </w:rPr>
        <w:t>(</w:t>
      </w:r>
      <w:r w:rsidRPr="000F50F8">
        <w:rPr>
          <w:rFonts w:ascii="Verdana" w:hAnsi="Verdana"/>
          <w:szCs w:val="20"/>
        </w:rPr>
        <w:t>IRG</w:t>
      </w:r>
      <w:r w:rsidR="000A0B8D">
        <w:rPr>
          <w:rFonts w:ascii="Verdana" w:hAnsi="Verdana"/>
          <w:szCs w:val="20"/>
        </w:rPr>
        <w:t>)</w:t>
      </w:r>
      <w:r w:rsidRPr="000F50F8">
        <w:rPr>
          <w:rFonts w:ascii="Verdana" w:hAnsi="Verdana"/>
          <w:szCs w:val="20"/>
        </w:rPr>
        <w:t xml:space="preserve"> (see below). For example, the Transition workstream will be in regular contact with participants to understand their position and progress during the critical 23</w:t>
      </w:r>
      <w:r w:rsidR="00FD21E4">
        <w:rPr>
          <w:rFonts w:ascii="Verdana" w:hAnsi="Verdana"/>
          <w:szCs w:val="20"/>
        </w:rPr>
        <w:t>-</w:t>
      </w:r>
      <w:r w:rsidRPr="000F50F8">
        <w:rPr>
          <w:rFonts w:ascii="Verdana" w:hAnsi="Verdana"/>
          <w:szCs w:val="20"/>
        </w:rPr>
        <w:t xml:space="preserve">day process. </w:t>
      </w:r>
    </w:p>
    <w:p w14:paraId="50A8BDF1" w14:textId="77777777" w:rsidR="00D56AF2" w:rsidRDefault="00D56AF2" w:rsidP="005D2B3F">
      <w:pPr>
        <w:pStyle w:val="ListParagraph"/>
        <w:spacing w:before="120" w:after="60" w:line="240" w:lineRule="auto"/>
        <w:ind w:left="357"/>
        <w:jc w:val="both"/>
        <w:rPr>
          <w:rFonts w:ascii="Verdana" w:hAnsi="Verdana"/>
          <w:szCs w:val="20"/>
        </w:rPr>
      </w:pPr>
    </w:p>
    <w:p w14:paraId="748BB55E" w14:textId="661A7EEB" w:rsidR="000F50F8" w:rsidRPr="000F50F8" w:rsidRDefault="001A4432" w:rsidP="005D2B3F">
      <w:pPr>
        <w:pStyle w:val="ListParagraph"/>
        <w:spacing w:before="120" w:after="60" w:line="240" w:lineRule="auto"/>
        <w:ind w:left="357"/>
        <w:jc w:val="both"/>
        <w:rPr>
          <w:rFonts w:ascii="Verdana" w:hAnsi="Verdana"/>
          <w:szCs w:val="20"/>
        </w:rPr>
      </w:pPr>
      <w:r>
        <w:rPr>
          <w:rFonts w:ascii="Verdana" w:hAnsi="Verdana"/>
          <w:szCs w:val="20"/>
        </w:rPr>
        <w:t>IRG</w:t>
      </w:r>
      <w:r w:rsidR="000F50F8" w:rsidRPr="000F50F8">
        <w:rPr>
          <w:rFonts w:ascii="Verdana" w:hAnsi="Verdana"/>
          <w:szCs w:val="20"/>
        </w:rPr>
        <w:t xml:space="preserve"> is constituted from Ofgem, Xoserve</w:t>
      </w:r>
      <w:r>
        <w:rPr>
          <w:rFonts w:ascii="Verdana" w:hAnsi="Verdana"/>
          <w:szCs w:val="20"/>
        </w:rPr>
        <w:t>, Baringa, Wipro</w:t>
      </w:r>
      <w:r w:rsidR="000F50F8" w:rsidRPr="000F50F8">
        <w:rPr>
          <w:rFonts w:ascii="Verdana" w:hAnsi="Verdana"/>
          <w:szCs w:val="20"/>
        </w:rPr>
        <w:t xml:space="preserve"> and PwC, together with any participant input specific to the issue being encountered.  The purpose of this grou</w:t>
      </w:r>
      <w:r>
        <w:rPr>
          <w:rFonts w:ascii="Verdana" w:hAnsi="Verdana"/>
          <w:szCs w:val="20"/>
        </w:rPr>
        <w:t>p is to meet, at short notice where</w:t>
      </w:r>
      <w:r w:rsidR="000F50F8" w:rsidRPr="000F50F8">
        <w:rPr>
          <w:rFonts w:ascii="Verdana" w:hAnsi="Verdana"/>
          <w:szCs w:val="20"/>
        </w:rPr>
        <w:t xml:space="preserve"> required, to identify</w:t>
      </w:r>
      <w:r w:rsidR="00D56AF2">
        <w:rPr>
          <w:rFonts w:ascii="Verdana" w:hAnsi="Verdana"/>
          <w:szCs w:val="20"/>
        </w:rPr>
        <w:t>, determine the response to</w:t>
      </w:r>
      <w:r w:rsidR="000F50F8" w:rsidRPr="000F50F8">
        <w:rPr>
          <w:rFonts w:ascii="Verdana" w:hAnsi="Verdana"/>
          <w:szCs w:val="20"/>
        </w:rPr>
        <w:t xml:space="preserve"> and communicate the optimum solution to the issue for the industry.</w:t>
      </w:r>
    </w:p>
    <w:p w14:paraId="2EB9C9CA" w14:textId="77777777" w:rsidR="00D56AF2" w:rsidRDefault="00D56AF2" w:rsidP="005D2B3F">
      <w:pPr>
        <w:spacing w:before="120" w:after="60" w:line="240" w:lineRule="auto"/>
        <w:ind w:left="357"/>
        <w:jc w:val="both"/>
        <w:rPr>
          <w:rFonts w:ascii="Verdana" w:hAnsi="Verdana"/>
          <w:b/>
          <w:sz w:val="20"/>
          <w:szCs w:val="20"/>
          <w:u w:val="single"/>
        </w:rPr>
      </w:pPr>
    </w:p>
    <w:p w14:paraId="287F20ED" w14:textId="77777777"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b/>
          <w:sz w:val="20"/>
          <w:szCs w:val="20"/>
          <w:u w:val="single"/>
        </w:rPr>
        <w:t>Link: IRG process</w:t>
      </w:r>
    </w:p>
    <w:p w14:paraId="301EF612" w14:textId="77777777" w:rsidR="000F50F8" w:rsidRP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 </w:t>
      </w:r>
      <w:permStart w:id="1172005952" w:edGrp="everyone"/>
      <w:r w:rsidRPr="000F50F8">
        <w:rPr>
          <w:rFonts w:ascii="Verdana" w:eastAsiaTheme="minorHAnsi" w:hAnsi="Verdana"/>
          <w:sz w:val="20"/>
          <w:szCs w:val="20"/>
          <w:lang w:eastAsia="en-US"/>
        </w:rPr>
        <w:object w:dxaOrig="1545" w:dyaOrig="1005" w14:anchorId="4EED816E">
          <v:shape id="_x0000_i1031" type="#_x0000_t75" style="width:77.25pt;height:50.25pt" o:ole="">
            <v:imagedata r:id="rId33" o:title=""/>
          </v:shape>
          <o:OLEObject Type="Embed" ProgID="PowerPoint.Show.12" ShapeID="_x0000_i1031" DrawAspect="Icon" ObjectID="_1554899427" r:id="rId34"/>
        </w:object>
      </w:r>
      <w:permEnd w:id="1172005952"/>
    </w:p>
    <w:p w14:paraId="2ED2DF71" w14:textId="77777777" w:rsidR="000F50F8" w:rsidRPr="000F50F8" w:rsidRDefault="000F50F8" w:rsidP="005D2B3F">
      <w:pPr>
        <w:spacing w:before="120" w:after="60" w:line="240" w:lineRule="auto"/>
        <w:jc w:val="both"/>
        <w:rPr>
          <w:rFonts w:ascii="Verdana" w:hAnsi="Verdana"/>
          <w:sz w:val="20"/>
          <w:szCs w:val="20"/>
        </w:rPr>
      </w:pPr>
    </w:p>
    <w:p w14:paraId="6AD2AFCA" w14:textId="77777777" w:rsidR="000F50F8" w:rsidRDefault="000F50F8" w:rsidP="005D2B3F">
      <w:pPr>
        <w:jc w:val="both"/>
        <w:rPr>
          <w:rFonts w:ascii="Verdana" w:hAnsi="Verdana"/>
          <w:i/>
          <w:sz w:val="20"/>
          <w:szCs w:val="20"/>
        </w:rPr>
      </w:pPr>
      <w:r w:rsidRPr="000F50F8">
        <w:rPr>
          <w:rFonts w:ascii="Verdana" w:hAnsi="Verdana"/>
          <w:i/>
          <w:sz w:val="20"/>
          <w:szCs w:val="20"/>
        </w:rPr>
        <w:br w:type="page"/>
      </w:r>
    </w:p>
    <w:p w14:paraId="03BABAE4"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What are Ofgem’s</w:t>
      </w:r>
      <w:r w:rsidR="00D56AF2">
        <w:rPr>
          <w:rFonts w:ascii="Verdana" w:hAnsi="Verdana"/>
          <w:b/>
          <w:i/>
          <w:szCs w:val="20"/>
        </w:rPr>
        <w:t xml:space="preserve"> expectations of participants</w:t>
      </w:r>
      <w:r w:rsidRPr="000F50F8">
        <w:rPr>
          <w:rFonts w:ascii="Verdana" w:hAnsi="Verdana"/>
          <w:b/>
          <w:i/>
          <w:szCs w:val="20"/>
        </w:rPr>
        <w:t xml:space="preserve"> in supporting the Nexus implementation?  Are there some key areas that we should be focused on to best land this within our organisation? </w:t>
      </w:r>
    </w:p>
    <w:p w14:paraId="2DA06E5B" w14:textId="77777777" w:rsidR="000F50F8" w:rsidRPr="000F50F8" w:rsidRDefault="000F50F8" w:rsidP="005D2B3F">
      <w:pPr>
        <w:pStyle w:val="ListParagraph"/>
        <w:spacing w:before="120" w:after="60" w:line="240" w:lineRule="auto"/>
        <w:ind w:left="0"/>
        <w:jc w:val="both"/>
        <w:rPr>
          <w:rFonts w:ascii="Verdana" w:hAnsi="Verdana"/>
          <w:szCs w:val="20"/>
        </w:rPr>
      </w:pPr>
    </w:p>
    <w:p w14:paraId="7EB6755E" w14:textId="77777777" w:rsidR="000F50F8" w:rsidRPr="000F50F8"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 xml:space="preserve">Ofgem’s expectation is that market participants have undertaken sufficient activity and preparation, prior to cutover, to ensure that their organisation is ready to cutover with the rest of industry. </w:t>
      </w:r>
      <w:r w:rsidR="000A0B8D">
        <w:rPr>
          <w:rFonts w:ascii="Verdana" w:hAnsi="Verdana"/>
          <w:szCs w:val="20"/>
        </w:rPr>
        <w:t>Information and supporting information on organisations’ readiness has been gathered through the GONG assessments (and subjected to sample based assurance from PwC).</w:t>
      </w:r>
    </w:p>
    <w:p w14:paraId="38C18EF6" w14:textId="77777777" w:rsidR="00D56AF2" w:rsidRDefault="00D56AF2" w:rsidP="005D2B3F">
      <w:pPr>
        <w:pStyle w:val="ListParagraph"/>
        <w:spacing w:before="120" w:after="60" w:line="240" w:lineRule="auto"/>
        <w:ind w:left="357"/>
        <w:jc w:val="both"/>
        <w:rPr>
          <w:rFonts w:ascii="Verdana" w:hAnsi="Verdana"/>
          <w:szCs w:val="20"/>
        </w:rPr>
      </w:pPr>
    </w:p>
    <w:p w14:paraId="749637EC" w14:textId="3BAA39F5" w:rsidR="000F50F8" w:rsidRDefault="000A0B8D" w:rsidP="005D2B3F">
      <w:pPr>
        <w:pStyle w:val="ListParagraph"/>
        <w:spacing w:before="120" w:after="60" w:line="240" w:lineRule="auto"/>
        <w:ind w:left="357"/>
        <w:jc w:val="both"/>
        <w:rPr>
          <w:rFonts w:ascii="Verdana" w:hAnsi="Verdana"/>
          <w:szCs w:val="20"/>
        </w:rPr>
      </w:pPr>
      <w:r>
        <w:rPr>
          <w:rFonts w:ascii="Verdana" w:hAnsi="Verdana"/>
          <w:szCs w:val="20"/>
        </w:rPr>
        <w:t xml:space="preserve">Ofgem has and continues to </w:t>
      </w:r>
      <w:r w:rsidR="000F50F8" w:rsidRPr="000F50F8">
        <w:rPr>
          <w:rFonts w:ascii="Verdana" w:hAnsi="Verdana"/>
          <w:szCs w:val="20"/>
        </w:rPr>
        <w:t>encourage organisations to promptly raise and escalate matters that may impact their organisations ability to go-live. Our expectation is that market participants work collaboratively with Ofgem, PwC and Xoserve to identify mitigations to any issues that arise, rat</w:t>
      </w:r>
      <w:r w:rsidR="00D56AF2">
        <w:rPr>
          <w:rFonts w:ascii="Verdana" w:hAnsi="Verdana"/>
          <w:szCs w:val="20"/>
        </w:rPr>
        <w:t>her than simply raising issues</w:t>
      </w:r>
      <w:r w:rsidR="000F50F8" w:rsidRPr="000F50F8">
        <w:rPr>
          <w:rFonts w:ascii="Verdana" w:hAnsi="Verdana"/>
          <w:szCs w:val="20"/>
        </w:rPr>
        <w:t>. Full, frank and proactive disclosure</w:t>
      </w:r>
      <w:r w:rsidR="00D56AF2">
        <w:rPr>
          <w:rFonts w:ascii="Verdana" w:hAnsi="Verdana"/>
          <w:szCs w:val="20"/>
        </w:rPr>
        <w:t>, coupled with constructive discussion,</w:t>
      </w:r>
      <w:r w:rsidR="000F50F8" w:rsidRPr="000F50F8">
        <w:rPr>
          <w:rFonts w:ascii="Verdana" w:hAnsi="Verdana"/>
          <w:szCs w:val="20"/>
        </w:rPr>
        <w:t xml:space="preserve"> will always be viewed positively over rea</w:t>
      </w:r>
      <w:r w:rsidR="00D56AF2">
        <w:rPr>
          <w:rFonts w:ascii="Verdana" w:hAnsi="Verdana"/>
          <w:szCs w:val="20"/>
        </w:rPr>
        <w:t xml:space="preserve">ctive, </w:t>
      </w:r>
      <w:r w:rsidR="00D56AF2" w:rsidRPr="00D56AF2">
        <w:rPr>
          <w:rFonts w:ascii="Verdana" w:hAnsi="Verdana"/>
          <w:szCs w:val="20"/>
        </w:rPr>
        <w:t>issue raising without full consideration of the facts and the history of prior discussion and decisions</w:t>
      </w:r>
      <w:r w:rsidR="000F50F8" w:rsidRPr="000F50F8">
        <w:rPr>
          <w:rFonts w:ascii="Verdana" w:hAnsi="Verdana"/>
          <w:szCs w:val="20"/>
        </w:rPr>
        <w:t>.</w:t>
      </w:r>
      <w:r>
        <w:rPr>
          <w:rFonts w:ascii="Verdana" w:hAnsi="Verdana"/>
          <w:szCs w:val="20"/>
        </w:rPr>
        <w:t xml:space="preserve"> As has been demonstrated since Ofgem took on an end-to-end sponsorship role, working with PwC and Xoserve we have been able to facilitate the management and close down of a number of risks and issues.</w:t>
      </w:r>
    </w:p>
    <w:p w14:paraId="41EC60A8" w14:textId="77777777" w:rsidR="000A0B8D" w:rsidRDefault="000A0B8D" w:rsidP="005D2B3F">
      <w:pPr>
        <w:pStyle w:val="ListParagraph"/>
        <w:spacing w:before="120" w:after="60" w:line="240" w:lineRule="auto"/>
        <w:ind w:left="357"/>
        <w:jc w:val="both"/>
        <w:rPr>
          <w:rFonts w:ascii="Verdana" w:hAnsi="Verdana"/>
          <w:szCs w:val="20"/>
        </w:rPr>
      </w:pPr>
    </w:p>
    <w:p w14:paraId="2444D3B1" w14:textId="77777777" w:rsidR="000A0B8D" w:rsidRDefault="000A0B8D" w:rsidP="005D2B3F">
      <w:pPr>
        <w:pStyle w:val="ListParagraph"/>
        <w:spacing w:before="120" w:after="60" w:line="240" w:lineRule="auto"/>
        <w:ind w:left="357"/>
        <w:jc w:val="both"/>
        <w:rPr>
          <w:rFonts w:ascii="Verdana" w:hAnsi="Verdana"/>
          <w:szCs w:val="20"/>
        </w:rPr>
      </w:pPr>
      <w:r>
        <w:rPr>
          <w:rFonts w:ascii="Verdana" w:hAnsi="Verdana"/>
          <w:szCs w:val="20"/>
        </w:rPr>
        <w:t>Ofgem expects market participants to be undertaking all the necessary internal actions to manage risk and issues they may experience in transitioning to the new systems. The responsibility for individual organisations’ readiness for go-live continues to rest with individual market participants.</w:t>
      </w:r>
    </w:p>
    <w:p w14:paraId="7F79EBCA" w14:textId="77777777" w:rsidR="00D56AF2" w:rsidRPr="000F50F8" w:rsidRDefault="00D56AF2" w:rsidP="005D2B3F">
      <w:pPr>
        <w:pStyle w:val="ListParagraph"/>
        <w:spacing w:before="120" w:after="60" w:line="240" w:lineRule="auto"/>
        <w:ind w:left="357"/>
        <w:jc w:val="both"/>
        <w:rPr>
          <w:rFonts w:ascii="Verdana" w:hAnsi="Verdana"/>
          <w:szCs w:val="20"/>
        </w:rPr>
      </w:pPr>
    </w:p>
    <w:p w14:paraId="035790F5" w14:textId="77777777" w:rsidR="000F50F8" w:rsidRPr="000F50F8" w:rsidRDefault="000F50F8" w:rsidP="005D2B3F">
      <w:pPr>
        <w:pStyle w:val="ListParagraph"/>
        <w:spacing w:before="120" w:after="60" w:line="240" w:lineRule="auto"/>
        <w:ind w:left="357"/>
        <w:jc w:val="both"/>
        <w:rPr>
          <w:rFonts w:ascii="Verdana" w:hAnsi="Verdana"/>
          <w:szCs w:val="20"/>
        </w:rPr>
      </w:pPr>
      <w:r w:rsidRPr="000F50F8">
        <w:rPr>
          <w:rFonts w:ascii="Verdana" w:hAnsi="Verdana"/>
          <w:szCs w:val="20"/>
        </w:rPr>
        <w:t>The Project Nexus risk landscape is a dynamic environment as the industry approaches go-live. As such, Market Participants should be actively rev</w:t>
      </w:r>
      <w:r w:rsidR="00D56AF2">
        <w:rPr>
          <w:rFonts w:ascii="Verdana" w:hAnsi="Verdana"/>
          <w:szCs w:val="20"/>
        </w:rPr>
        <w:t xml:space="preserve">iewing the PNSG slide pack and the Xoserve website </w:t>
      </w:r>
      <w:r w:rsidRPr="000F50F8">
        <w:rPr>
          <w:rFonts w:ascii="Verdana" w:hAnsi="Verdana"/>
          <w:szCs w:val="20"/>
        </w:rPr>
        <w:t>to know where they need to be focussing their effort.</w:t>
      </w:r>
    </w:p>
    <w:p w14:paraId="5160C21F" w14:textId="77777777" w:rsidR="00D56AF2" w:rsidRDefault="00D56AF2" w:rsidP="005D2B3F">
      <w:pPr>
        <w:pStyle w:val="ListParagraph"/>
        <w:spacing w:before="120" w:after="60" w:line="240" w:lineRule="auto"/>
        <w:ind w:left="357"/>
        <w:jc w:val="both"/>
        <w:rPr>
          <w:rFonts w:ascii="Verdana" w:hAnsi="Verdana"/>
          <w:szCs w:val="20"/>
        </w:rPr>
      </w:pPr>
    </w:p>
    <w:p w14:paraId="0804052B" w14:textId="75821184" w:rsidR="000F50F8" w:rsidRPr="000F50F8" w:rsidRDefault="000A0B8D" w:rsidP="005D2B3F">
      <w:pPr>
        <w:pStyle w:val="ListParagraph"/>
        <w:spacing w:before="120" w:after="60" w:line="240" w:lineRule="auto"/>
        <w:ind w:left="357"/>
        <w:jc w:val="both"/>
        <w:rPr>
          <w:rFonts w:ascii="Verdana" w:hAnsi="Verdana"/>
          <w:szCs w:val="20"/>
        </w:rPr>
      </w:pPr>
      <w:r>
        <w:rPr>
          <w:rFonts w:ascii="Verdana" w:hAnsi="Verdana"/>
          <w:szCs w:val="20"/>
        </w:rPr>
        <w:t>A</w:t>
      </w:r>
      <w:r w:rsidR="000F50F8" w:rsidRPr="000F50F8">
        <w:rPr>
          <w:rFonts w:ascii="Verdana" w:hAnsi="Verdana"/>
          <w:szCs w:val="20"/>
        </w:rPr>
        <w:t xml:space="preserve">s we come closer to go-live, </w:t>
      </w:r>
      <w:r>
        <w:rPr>
          <w:rFonts w:ascii="Verdana" w:hAnsi="Verdana"/>
          <w:szCs w:val="20"/>
        </w:rPr>
        <w:t>Ofgem’s</w:t>
      </w:r>
      <w:r w:rsidRPr="000F50F8">
        <w:rPr>
          <w:rFonts w:ascii="Verdana" w:hAnsi="Verdana"/>
          <w:szCs w:val="20"/>
        </w:rPr>
        <w:t xml:space="preserve"> </w:t>
      </w:r>
      <w:r w:rsidR="000F50F8" w:rsidRPr="000F50F8">
        <w:rPr>
          <w:rFonts w:ascii="Verdana" w:hAnsi="Verdana"/>
          <w:szCs w:val="20"/>
        </w:rPr>
        <w:t>increasing focus will</w:t>
      </w:r>
      <w:r>
        <w:rPr>
          <w:rFonts w:ascii="Verdana" w:hAnsi="Verdana"/>
          <w:szCs w:val="20"/>
        </w:rPr>
        <w:t xml:space="preserve"> be on</w:t>
      </w:r>
      <w:r w:rsidR="000F50F8" w:rsidRPr="000F50F8">
        <w:rPr>
          <w:rFonts w:ascii="Verdana" w:hAnsi="Verdana"/>
          <w:szCs w:val="20"/>
        </w:rPr>
        <w:t xml:space="preserve"> industry’s transition plans and GONG preparations. As such, Ofgem encourages market participants to work collaboratively with the PwC GONG and Transition teams to ensure that any issues are addressed up front and any mitigation actions are arrived at, where practicable, by consensus.</w:t>
      </w:r>
    </w:p>
    <w:p w14:paraId="1D46F74C" w14:textId="77777777" w:rsidR="000F50F8" w:rsidRPr="000F50F8" w:rsidRDefault="000F50F8" w:rsidP="005D2B3F">
      <w:pPr>
        <w:pStyle w:val="ListParagraph"/>
        <w:spacing w:before="120" w:after="60" w:line="240" w:lineRule="auto"/>
        <w:ind w:left="714"/>
        <w:jc w:val="both"/>
        <w:rPr>
          <w:rFonts w:ascii="Verdana" w:hAnsi="Verdana"/>
          <w:szCs w:val="20"/>
        </w:rPr>
      </w:pPr>
    </w:p>
    <w:p w14:paraId="4689ECAF" w14:textId="77777777" w:rsidR="000F50F8" w:rsidRDefault="000F50F8" w:rsidP="005D2B3F">
      <w:pPr>
        <w:ind w:left="357"/>
        <w:jc w:val="both"/>
        <w:rPr>
          <w:rFonts w:ascii="Verdana" w:hAnsi="Verdana"/>
          <w:i/>
          <w:sz w:val="20"/>
          <w:szCs w:val="20"/>
        </w:rPr>
      </w:pPr>
      <w:r w:rsidRPr="000F50F8">
        <w:rPr>
          <w:rFonts w:ascii="Verdana" w:hAnsi="Verdana"/>
          <w:i/>
          <w:sz w:val="20"/>
          <w:szCs w:val="20"/>
        </w:rPr>
        <w:br w:type="page"/>
      </w:r>
    </w:p>
    <w:p w14:paraId="25F4BE04" w14:textId="77777777" w:rsidR="000F50F8" w:rsidRPr="000F50F8" w:rsidRDefault="000F50F8" w:rsidP="005D2B3F">
      <w:pPr>
        <w:pStyle w:val="ListParagraph"/>
        <w:numPr>
          <w:ilvl w:val="0"/>
          <w:numId w:val="17"/>
        </w:numPr>
        <w:spacing w:before="120" w:after="60" w:line="240" w:lineRule="auto"/>
        <w:ind w:left="357" w:hanging="357"/>
        <w:jc w:val="both"/>
        <w:rPr>
          <w:rFonts w:ascii="Verdana" w:hAnsi="Verdana"/>
          <w:b/>
          <w:i/>
          <w:szCs w:val="20"/>
        </w:rPr>
      </w:pPr>
      <w:r w:rsidRPr="000F50F8">
        <w:rPr>
          <w:rFonts w:ascii="Verdana" w:hAnsi="Verdana"/>
          <w:b/>
          <w:i/>
          <w:szCs w:val="20"/>
        </w:rPr>
        <w:lastRenderedPageBreak/>
        <w:t>What is Ofgem’s view on enforcement of licence obligations directly impacted by major systems issues at go-live? How will Ofgem support supplier’s messaging to customers if there are serious impacts on the customer experience as a result of implementation?</w:t>
      </w:r>
    </w:p>
    <w:p w14:paraId="27FE6329" w14:textId="5AB6F0BF" w:rsidR="000F50F8" w:rsidRDefault="000F50F8" w:rsidP="005D2B3F">
      <w:pPr>
        <w:spacing w:before="120" w:after="60" w:line="240" w:lineRule="auto"/>
        <w:ind w:left="357"/>
        <w:jc w:val="both"/>
        <w:rPr>
          <w:rFonts w:ascii="Verdana" w:hAnsi="Verdana"/>
          <w:sz w:val="20"/>
          <w:szCs w:val="20"/>
        </w:rPr>
      </w:pPr>
      <w:r w:rsidRPr="000F50F8">
        <w:rPr>
          <w:rFonts w:ascii="Verdana" w:hAnsi="Verdana"/>
          <w:sz w:val="20"/>
          <w:szCs w:val="20"/>
        </w:rPr>
        <w:t xml:space="preserve">With respect to Gas Suppliers’ compliance with their licence conditions, we consider that SLC 14A paragraph 3(e) </w:t>
      </w:r>
      <w:r w:rsidR="002C79A3">
        <w:rPr>
          <w:rFonts w:ascii="Verdana" w:hAnsi="Verdana"/>
          <w:sz w:val="20"/>
          <w:szCs w:val="20"/>
        </w:rPr>
        <w:t>may be</w:t>
      </w:r>
      <w:r w:rsidR="002C79A3" w:rsidRPr="000F50F8">
        <w:rPr>
          <w:rFonts w:ascii="Verdana" w:hAnsi="Verdana"/>
          <w:sz w:val="20"/>
          <w:szCs w:val="20"/>
        </w:rPr>
        <w:t xml:space="preserve"> </w:t>
      </w:r>
      <w:r w:rsidRPr="000F50F8">
        <w:rPr>
          <w:rFonts w:ascii="Verdana" w:hAnsi="Verdana"/>
          <w:sz w:val="20"/>
          <w:szCs w:val="20"/>
        </w:rPr>
        <w:t xml:space="preserve">applicable in these circumstances. In particular, Ofgem are satisfied that </w:t>
      </w:r>
      <w:r w:rsidRPr="000F50F8">
        <w:rPr>
          <w:rFonts w:ascii="Verdana" w:hAnsi="Verdana"/>
          <w:b/>
          <w:sz w:val="20"/>
          <w:szCs w:val="20"/>
        </w:rPr>
        <w:t>the unavailability of the central systems</w:t>
      </w:r>
      <w:r w:rsidR="000326C7">
        <w:rPr>
          <w:rFonts w:ascii="Verdana" w:hAnsi="Verdana"/>
          <w:b/>
          <w:sz w:val="20"/>
          <w:szCs w:val="20"/>
        </w:rPr>
        <w:t xml:space="preserve"> during the NED period</w:t>
      </w:r>
      <w:r w:rsidRPr="000F50F8">
        <w:rPr>
          <w:rFonts w:ascii="Verdana" w:hAnsi="Verdana"/>
          <w:b/>
          <w:sz w:val="20"/>
          <w:szCs w:val="20"/>
        </w:rPr>
        <w:t>, through which customer transfers are processed, is a circumstance outside the control of the relevant licensees.</w:t>
      </w:r>
      <w:r w:rsidRPr="000F50F8">
        <w:rPr>
          <w:rFonts w:ascii="Verdana" w:hAnsi="Verdana"/>
          <w:sz w:val="20"/>
          <w:szCs w:val="20"/>
        </w:rPr>
        <w:t xml:space="preserve"> </w:t>
      </w:r>
    </w:p>
    <w:p w14:paraId="2DABDD74" w14:textId="16FAA2F4" w:rsidR="00176DBE" w:rsidRPr="00176DBE" w:rsidRDefault="00176DBE" w:rsidP="005D2B3F">
      <w:pPr>
        <w:pStyle w:val="ListParagraph"/>
        <w:spacing w:before="120" w:after="60" w:line="240" w:lineRule="auto"/>
        <w:ind w:left="357"/>
        <w:jc w:val="both"/>
        <w:rPr>
          <w:rFonts w:ascii="Verdana" w:hAnsi="Verdana"/>
        </w:rPr>
      </w:pPr>
      <w:r w:rsidRPr="00664E7D">
        <w:rPr>
          <w:rFonts w:ascii="Verdana" w:hAnsi="Verdana"/>
        </w:rPr>
        <w:t xml:space="preserve">Notwithstanding the </w:t>
      </w:r>
      <w:r>
        <w:rPr>
          <w:rFonts w:ascii="Verdana" w:hAnsi="Verdana"/>
        </w:rPr>
        <w:t xml:space="preserve">above, Ofgem considers that the impact of the Non Effective period should be largely indiscernible to the majority, if not all consumers undertaking a switch.  However, it would be prudent for suppliers and organisations such as comparison websites to brief those staff dealing with consumers to be briefed on the implications of the system cutover.  For instance, where the consumer may request a specific effective date that would not be achievable, proactive briefing and communication may help manage expectations accordingly.  </w:t>
      </w:r>
    </w:p>
    <w:p w14:paraId="652EE339" w14:textId="373EC566" w:rsidR="000F50F8" w:rsidRPr="000F50F8" w:rsidRDefault="002C79A3" w:rsidP="005D2B3F">
      <w:pPr>
        <w:spacing w:before="120" w:after="60" w:line="240" w:lineRule="auto"/>
        <w:ind w:left="357"/>
        <w:jc w:val="both"/>
        <w:rPr>
          <w:rFonts w:ascii="Verdana" w:hAnsi="Verdana"/>
          <w:sz w:val="20"/>
          <w:szCs w:val="20"/>
        </w:rPr>
      </w:pPr>
      <w:r>
        <w:rPr>
          <w:rFonts w:ascii="Verdana" w:hAnsi="Verdana"/>
          <w:sz w:val="20"/>
          <w:szCs w:val="20"/>
        </w:rPr>
        <w:t>W</w:t>
      </w:r>
      <w:r w:rsidR="000F50F8" w:rsidRPr="000F50F8">
        <w:rPr>
          <w:rFonts w:ascii="Verdana" w:hAnsi="Verdana"/>
          <w:sz w:val="20"/>
          <w:szCs w:val="20"/>
        </w:rPr>
        <w:t>e will continue to monitor suppliers’ performance over this period and reserve the right to pursue further investigations against any supplier who fails to meet their targets to the extent that cannot be reasonably attributed to the NED period alone, or for not taking all reasonable steps to resolve issues</w:t>
      </w:r>
      <w:r>
        <w:rPr>
          <w:rFonts w:ascii="Verdana" w:hAnsi="Verdana"/>
          <w:sz w:val="20"/>
          <w:szCs w:val="20"/>
        </w:rPr>
        <w:t>, in line with the requirements for suppliers to do so as set out in SLC 14A (e)</w:t>
      </w:r>
      <w:r w:rsidR="000F50F8" w:rsidRPr="000F50F8">
        <w:rPr>
          <w:rFonts w:ascii="Verdana" w:hAnsi="Verdana"/>
          <w:sz w:val="20"/>
          <w:szCs w:val="20"/>
        </w:rPr>
        <w:t>.</w:t>
      </w:r>
    </w:p>
    <w:p w14:paraId="52CFFEE9" w14:textId="77777777" w:rsidR="000F50F8" w:rsidRDefault="000F50F8" w:rsidP="005D2B3F">
      <w:pPr>
        <w:pStyle w:val="ListParagraph"/>
        <w:spacing w:before="120" w:after="60" w:line="240" w:lineRule="auto"/>
        <w:ind w:left="357"/>
        <w:jc w:val="both"/>
      </w:pPr>
    </w:p>
    <w:p w14:paraId="10731E7E" w14:textId="77777777" w:rsidR="000F50F8" w:rsidRDefault="000F50F8" w:rsidP="005D2B3F">
      <w:pPr>
        <w:spacing w:before="120" w:after="60" w:line="240" w:lineRule="auto"/>
        <w:jc w:val="both"/>
        <w:rPr>
          <w:i/>
        </w:rPr>
      </w:pPr>
    </w:p>
    <w:p w14:paraId="2B658631" w14:textId="77777777" w:rsidR="000F50F8" w:rsidRDefault="000F50F8" w:rsidP="005D2B3F">
      <w:pPr>
        <w:spacing w:line="360" w:lineRule="auto"/>
        <w:jc w:val="both"/>
        <w:rPr>
          <w:rFonts w:ascii="Verdana" w:hAnsi="Verdana"/>
          <w:b/>
          <w:noProof/>
          <w:color w:val="1F497D" w:themeColor="text2"/>
          <w:sz w:val="36"/>
          <w:szCs w:val="36"/>
        </w:rPr>
      </w:pPr>
    </w:p>
    <w:sectPr w:rsidR="000F50F8" w:rsidSect="005D2B3F">
      <w:headerReference w:type="even" r:id="rId35"/>
      <w:headerReference w:type="default" r:id="rId36"/>
      <w:footerReference w:type="even" r:id="rId37"/>
      <w:footerReference w:type="default" r:id="rId38"/>
      <w:headerReference w:type="first" r:id="rId39"/>
      <w:footerReference w:type="first" r:id="rId40"/>
      <w:pgSz w:w="11906" w:h="16838"/>
      <w:pgMar w:top="1843" w:right="1134" w:bottom="42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E0FF6" w14:textId="77777777" w:rsidR="003C4FB5" w:rsidRDefault="003C4FB5" w:rsidP="003D71F1">
      <w:pPr>
        <w:spacing w:after="0" w:line="240" w:lineRule="auto"/>
      </w:pPr>
      <w:r>
        <w:separator/>
      </w:r>
    </w:p>
  </w:endnote>
  <w:endnote w:type="continuationSeparator" w:id="0">
    <w:p w14:paraId="596A73BE" w14:textId="77777777" w:rsidR="003C4FB5" w:rsidRDefault="003C4FB5" w:rsidP="003D7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2C44" w14:textId="77777777" w:rsidR="00DA261C" w:rsidRDefault="00DA2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54474" w14:textId="77777777" w:rsidR="003C4FB5" w:rsidRDefault="003C4FB5" w:rsidP="008651C7">
    <w:pPr>
      <w:pStyle w:val="Footer"/>
      <w:jc w:val="right"/>
    </w:pPr>
    <w:r w:rsidRPr="00240C22">
      <w:rPr>
        <w:noProof/>
      </w:rPr>
      <w:drawing>
        <wp:anchor distT="0" distB="0" distL="114300" distR="114300" simplePos="0" relativeHeight="251660287" behindDoc="0" locked="0" layoutInCell="1" allowOverlap="1" wp14:anchorId="7546EA92" wp14:editId="3CA1D468">
          <wp:simplePos x="0" y="0"/>
          <wp:positionH relativeFrom="margin">
            <wp:posOffset>-168297</wp:posOffset>
          </wp:positionH>
          <wp:positionV relativeFrom="margin">
            <wp:posOffset>9417138</wp:posOffset>
          </wp:positionV>
          <wp:extent cx="6388925" cy="293232"/>
          <wp:effectExtent l="0" t="0" r="0"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D-footer.png"/>
                  <pic:cNvPicPr/>
                </pic:nvPicPr>
                <pic:blipFill>
                  <a:blip r:embed="rId1">
                    <a:extLst>
                      <a:ext uri="{28A0092B-C50C-407E-A947-70E740481C1C}">
                        <a14:useLocalDpi xmlns:a14="http://schemas.microsoft.com/office/drawing/2010/main" val="0"/>
                      </a:ext>
                    </a:extLst>
                  </a:blip>
                  <a:stretch>
                    <a:fillRect/>
                  </a:stretch>
                </pic:blipFill>
                <pic:spPr>
                  <a:xfrm>
                    <a:off x="0" y="0"/>
                    <a:ext cx="6388925" cy="293232"/>
                  </a:xfrm>
                  <a:prstGeom prst="rect">
                    <a:avLst/>
                  </a:prstGeom>
                </pic:spPr>
              </pic:pic>
            </a:graphicData>
          </a:graphic>
          <wp14:sizeRelH relativeFrom="margin">
            <wp14:pctWidth>0</wp14:pctWidth>
          </wp14:sizeRelH>
          <wp14:sizeRelV relativeFrom="margin">
            <wp14:pctHeight>0</wp14:pctHeight>
          </wp14:sizeRelV>
        </wp:anchor>
      </w:drawing>
    </w:r>
    <w:r>
      <w:t>Publication Date: 26 April 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11034" w14:textId="77777777" w:rsidR="003C4FB5" w:rsidRDefault="003C4FB5" w:rsidP="008651C7">
    <w:pPr>
      <w:pStyle w:val="Footer"/>
      <w:jc w:val="right"/>
    </w:pPr>
    <w:r>
      <w:t>Publication date: 26 April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8B42" w14:textId="77777777" w:rsidR="003C4FB5" w:rsidRDefault="003C4FB5" w:rsidP="003D71F1">
      <w:pPr>
        <w:spacing w:after="0" w:line="240" w:lineRule="auto"/>
      </w:pPr>
      <w:r>
        <w:separator/>
      </w:r>
    </w:p>
  </w:footnote>
  <w:footnote w:type="continuationSeparator" w:id="0">
    <w:p w14:paraId="31D3DACB" w14:textId="77777777" w:rsidR="003C4FB5" w:rsidRDefault="003C4FB5" w:rsidP="003D71F1">
      <w:pPr>
        <w:spacing w:after="0" w:line="240" w:lineRule="auto"/>
      </w:pPr>
      <w:r>
        <w:continuationSeparator/>
      </w:r>
    </w:p>
  </w:footnote>
  <w:footnote w:id="1">
    <w:p w14:paraId="4A1D3EB3" w14:textId="042B2102" w:rsidR="003C4FB5" w:rsidRPr="004F2B6D" w:rsidRDefault="005D2B3F" w:rsidP="004B0D0E">
      <w:pPr>
        <w:pStyle w:val="FootnoteText"/>
        <w:rPr>
          <w:lang w:val="en-US"/>
        </w:rPr>
      </w:pPr>
      <w:r w:rsidRPr="008651C7">
        <w:rPr>
          <w:rStyle w:val="FootnoteReference"/>
          <w:sz w:val="18"/>
          <w:szCs w:val="18"/>
        </w:rPr>
        <w:footnoteRef/>
      </w:r>
      <w:r w:rsidRPr="008651C7">
        <w:rPr>
          <w:sz w:val="18"/>
          <w:szCs w:val="18"/>
        </w:rPr>
        <w:t xml:space="preserve"> </w:t>
      </w:r>
      <w:r w:rsidRPr="008651C7">
        <w:rPr>
          <w:rFonts w:ascii="Verdana" w:eastAsiaTheme="minorHAnsi" w:hAnsi="Verdana" w:cs="Verdana"/>
          <w:sz w:val="18"/>
          <w:szCs w:val="18"/>
          <w:lang w:eastAsia="en-US"/>
        </w:rPr>
        <w:t xml:space="preserve">The </w:t>
      </w:r>
      <w:r w:rsidRPr="008651C7">
        <w:rPr>
          <w:rFonts w:ascii="Verdana" w:eastAsiaTheme="minorHAnsi" w:hAnsi="Verdana" w:cs="Verdana"/>
          <w:bCs/>
          <w:sz w:val="18"/>
          <w:szCs w:val="18"/>
          <w:lang w:eastAsia="en-US"/>
        </w:rPr>
        <w:t>SAP</w:t>
      </w:r>
      <w:r w:rsidRPr="008651C7">
        <w:rPr>
          <w:rFonts w:ascii="Verdana" w:eastAsiaTheme="minorHAnsi" w:hAnsi="Verdana" w:cs="Verdana"/>
          <w:sz w:val="18"/>
          <w:szCs w:val="18"/>
          <w:lang w:eastAsia="en-US"/>
        </w:rPr>
        <w:t xml:space="preserve"> Utilities (IS-</w:t>
      </w:r>
      <w:r w:rsidRPr="008651C7">
        <w:rPr>
          <w:rFonts w:ascii="Verdana" w:eastAsiaTheme="minorHAnsi" w:hAnsi="Verdana" w:cs="Verdana"/>
          <w:bCs/>
          <w:sz w:val="18"/>
          <w:szCs w:val="18"/>
          <w:lang w:eastAsia="en-US"/>
        </w:rPr>
        <w:t>U</w:t>
      </w:r>
      <w:r w:rsidRPr="008651C7">
        <w:rPr>
          <w:rFonts w:ascii="Verdana" w:eastAsiaTheme="minorHAnsi" w:hAnsi="Verdana" w:cs="Verdana"/>
          <w:sz w:val="18"/>
          <w:szCs w:val="18"/>
          <w:lang w:eastAsia="en-US"/>
        </w:rPr>
        <w:t>) component is a sales and info</w:t>
      </w:r>
      <w:r w:rsidRPr="004B0D0E">
        <w:rPr>
          <w:rFonts w:ascii="Verdana" w:eastAsiaTheme="minorHAnsi" w:hAnsi="Verdana" w:cs="Verdana"/>
          <w:sz w:val="18"/>
          <w:szCs w:val="18"/>
          <w:lang w:eastAsia="en-US"/>
        </w:rPr>
        <w:t>rmation system that supports key</w:t>
      </w:r>
      <w:r w:rsidRPr="008651C7">
        <w:rPr>
          <w:rFonts w:ascii="Verdana" w:eastAsiaTheme="minorHAnsi" w:hAnsi="Verdana" w:cs="Verdana"/>
          <w:sz w:val="18"/>
          <w:szCs w:val="18"/>
          <w:lang w:eastAsia="en-US"/>
        </w:rPr>
        <w:t xml:space="preserve"> business processes and utility services of a utility company.</w:t>
      </w:r>
    </w:p>
  </w:footnote>
  <w:footnote w:id="2">
    <w:p w14:paraId="14397D8F" w14:textId="7BA62BB1" w:rsidR="003C4FB5" w:rsidRPr="005D2B3F" w:rsidRDefault="003C4FB5">
      <w:pPr>
        <w:pStyle w:val="FootnoteText"/>
        <w:rPr>
          <w:rFonts w:ascii="Verdana" w:hAnsi="Verdana"/>
          <w:sz w:val="18"/>
          <w:szCs w:val="18"/>
        </w:rPr>
      </w:pPr>
      <w:r w:rsidRPr="005D2B3F">
        <w:rPr>
          <w:rStyle w:val="FootnoteReference"/>
          <w:rFonts w:ascii="Verdana" w:hAnsi="Verdana"/>
          <w:sz w:val="18"/>
          <w:szCs w:val="18"/>
        </w:rPr>
        <w:footnoteRef/>
      </w:r>
      <w:r w:rsidRPr="005D2B3F">
        <w:rPr>
          <w:rFonts w:ascii="Verdana" w:hAnsi="Verdana"/>
          <w:sz w:val="18"/>
          <w:szCs w:val="18"/>
        </w:rPr>
        <w:t xml:space="preserve"> See UNC602a/IGT092a: ‘</w:t>
      </w:r>
      <w:hyperlink r:id="rId1" w:history="1">
        <w:r w:rsidRPr="005D2B3F">
          <w:rPr>
            <w:rStyle w:val="Hyperlink"/>
            <w:rFonts w:ascii="Verdana" w:hAnsi="Verdana"/>
            <w:sz w:val="18"/>
            <w:szCs w:val="18"/>
          </w:rPr>
          <w:t>Implementation of non-effective days and variant non-business days for Project Nexus implementation</w:t>
        </w:r>
      </w:hyperlink>
      <w:r w:rsidRPr="005D2B3F">
        <w:rPr>
          <w:rFonts w:ascii="Verdana" w:hAnsi="Verdan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761CD" w14:textId="77777777" w:rsidR="00DA261C" w:rsidRDefault="00DA2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857F1" w14:textId="0A89E66A" w:rsidR="003C4FB5" w:rsidRDefault="003C4FB5" w:rsidP="00240C22">
    <w:pPr>
      <w:pStyle w:val="Header"/>
    </w:pPr>
    <w:r>
      <w:rPr>
        <w:noProof/>
      </w:rPr>
      <w:drawing>
        <wp:anchor distT="0" distB="0" distL="114300" distR="114300" simplePos="0" relativeHeight="251671552" behindDoc="0" locked="0" layoutInCell="1" allowOverlap="1" wp14:anchorId="3E4386B9" wp14:editId="3F9449D0">
          <wp:simplePos x="0" y="0"/>
          <wp:positionH relativeFrom="margin">
            <wp:posOffset>0</wp:posOffset>
          </wp:positionH>
          <wp:positionV relativeFrom="paragraph">
            <wp:posOffset>-635</wp:posOffset>
          </wp:positionV>
          <wp:extent cx="6049417" cy="514916"/>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header.png"/>
                  <pic:cNvPicPr/>
                </pic:nvPicPr>
                <pic:blipFill>
                  <a:blip r:embed="rId1">
                    <a:extLst>
                      <a:ext uri="{28A0092B-C50C-407E-A947-70E740481C1C}">
                        <a14:useLocalDpi xmlns:a14="http://schemas.microsoft.com/office/drawing/2010/main" val="0"/>
                      </a:ext>
                    </a:extLst>
                  </a:blip>
                  <a:stretch>
                    <a:fillRect/>
                  </a:stretch>
                </pic:blipFill>
                <pic:spPr>
                  <a:xfrm>
                    <a:off x="0" y="0"/>
                    <a:ext cx="6049417" cy="5149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D0F3B" w14:textId="4EE328EF" w:rsidR="003C4FB5" w:rsidRDefault="003C4FB5">
    <w:pPr>
      <w:pStyle w:val="Header"/>
    </w:pPr>
    <w:r>
      <w:rPr>
        <w:noProof/>
      </w:rPr>
      <w:drawing>
        <wp:anchor distT="0" distB="0" distL="114300" distR="114300" simplePos="0" relativeHeight="251669504" behindDoc="0" locked="0" layoutInCell="1" allowOverlap="1" wp14:anchorId="654340E1" wp14:editId="37E27C55">
          <wp:simplePos x="0" y="0"/>
          <wp:positionH relativeFrom="column">
            <wp:posOffset>-214313</wp:posOffset>
          </wp:positionH>
          <wp:positionV relativeFrom="paragraph">
            <wp:posOffset>-96520</wp:posOffset>
          </wp:positionV>
          <wp:extent cx="6775482" cy="2682678"/>
          <wp:effectExtent l="0" t="0" r="6350" b="1016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D-cover.jpg"/>
                  <pic:cNvPicPr/>
                </pic:nvPicPr>
                <pic:blipFill>
                  <a:blip r:embed="rId1">
                    <a:extLst>
                      <a:ext uri="{28A0092B-C50C-407E-A947-70E740481C1C}">
                        <a14:useLocalDpi xmlns:a14="http://schemas.microsoft.com/office/drawing/2010/main" val="0"/>
                      </a:ext>
                    </a:extLst>
                  </a:blip>
                  <a:stretch>
                    <a:fillRect/>
                  </a:stretch>
                </pic:blipFill>
                <pic:spPr>
                  <a:xfrm>
                    <a:off x="0" y="0"/>
                    <a:ext cx="6775482" cy="26826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3D5E4CF6" w14:textId="2DAA3A9B" w:rsidR="003C4FB5" w:rsidRDefault="003C4F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5AF"/>
    <w:multiLevelType w:val="hybridMultilevel"/>
    <w:tmpl w:val="5C98CC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0B16A64"/>
    <w:multiLevelType w:val="hybridMultilevel"/>
    <w:tmpl w:val="B14E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FA6F6E"/>
    <w:multiLevelType w:val="hybridMultilevel"/>
    <w:tmpl w:val="32E4BF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282BF9"/>
    <w:multiLevelType w:val="hybridMultilevel"/>
    <w:tmpl w:val="E03613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F6A2F49"/>
    <w:multiLevelType w:val="hybridMultilevel"/>
    <w:tmpl w:val="5DB441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6DC52DB"/>
    <w:multiLevelType w:val="hybridMultilevel"/>
    <w:tmpl w:val="BED80D2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516FFA"/>
    <w:multiLevelType w:val="hybridMultilevel"/>
    <w:tmpl w:val="9A16C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5A0C7E"/>
    <w:multiLevelType w:val="hybridMultilevel"/>
    <w:tmpl w:val="5C98C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371740"/>
    <w:multiLevelType w:val="hybridMultilevel"/>
    <w:tmpl w:val="52145396"/>
    <w:lvl w:ilvl="0" w:tplc="94A068D0">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B259E2"/>
    <w:multiLevelType w:val="hybridMultilevel"/>
    <w:tmpl w:val="F8545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342DDC"/>
    <w:multiLevelType w:val="hybridMultilevel"/>
    <w:tmpl w:val="34F88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795767"/>
    <w:multiLevelType w:val="hybridMultilevel"/>
    <w:tmpl w:val="A980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AE54DC"/>
    <w:multiLevelType w:val="hybridMultilevel"/>
    <w:tmpl w:val="6E60C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12"/>
  </w:num>
  <w:num w:numId="4">
    <w:abstractNumId w:val="2"/>
  </w:num>
  <w:num w:numId="5">
    <w:abstractNumId w:val="9"/>
  </w:num>
  <w:num w:numId="6">
    <w:abstractNumId w:val="6"/>
  </w:num>
  <w:num w:numId="7">
    <w:abstractNumId w:val="11"/>
  </w:num>
  <w:num w:numId="8">
    <w:abstractNumId w:val="5"/>
  </w:num>
  <w:num w:numId="9">
    <w:abstractNumId w:val="0"/>
  </w:num>
  <w:num w:numId="10">
    <w:abstractNumId w:val="1"/>
  </w:num>
  <w:num w:numId="11">
    <w:abstractNumId w:val="8"/>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6"/>
  </w:num>
  <w:num w:numId="20">
    <w:abstractNumId w:val="11"/>
  </w:num>
  <w:num w:numId="21">
    <w:abstractNumId w:val="5"/>
    <w:lvlOverride w:ilvl="0">
      <w:startOverride w:val="1"/>
    </w:lvlOverride>
    <w:lvlOverride w:ilvl="1"/>
    <w:lvlOverride w:ilvl="2"/>
    <w:lvlOverride w:ilvl="3"/>
    <w:lvlOverride w:ilvl="4"/>
    <w:lvlOverride w:ilvl="5"/>
    <w:lvlOverride w:ilvl="6"/>
    <w:lvlOverride w:ilvl="7"/>
    <w:lvlOverride w:ilvl="8"/>
  </w:num>
  <w:num w:numId="22">
    <w:abstractNumId w:val="1"/>
  </w:num>
  <w:num w:numId="23">
    <w:abstractNumId w:val="10"/>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1" w:cryptProviderType="rsaAES" w:cryptAlgorithmClass="hash" w:cryptAlgorithmType="typeAny" w:cryptAlgorithmSid="14" w:cryptSpinCount="100000" w:hash="lMXz13/UAUEqnk0IzwEwHlAbdINCaPYS8DnVSX6V07GhWqub9UrteS8WlQXHVAWxbNEknlf2Tq4cDClIgSn+bA==" w:salt="DFUJ1YlpshjkYJslrTUgnA=="/>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13A"/>
    <w:rsid w:val="00006FDD"/>
    <w:rsid w:val="00024D2D"/>
    <w:rsid w:val="000302ED"/>
    <w:rsid w:val="000326C7"/>
    <w:rsid w:val="00042AA0"/>
    <w:rsid w:val="00044774"/>
    <w:rsid w:val="000603B8"/>
    <w:rsid w:val="00070B38"/>
    <w:rsid w:val="0007614F"/>
    <w:rsid w:val="0007735D"/>
    <w:rsid w:val="00086E14"/>
    <w:rsid w:val="000A0B8D"/>
    <w:rsid w:val="000B26EE"/>
    <w:rsid w:val="000B76B7"/>
    <w:rsid w:val="000C23EF"/>
    <w:rsid w:val="000D3D0B"/>
    <w:rsid w:val="000F3CAA"/>
    <w:rsid w:val="000F50F8"/>
    <w:rsid w:val="000F6448"/>
    <w:rsid w:val="00106E17"/>
    <w:rsid w:val="0011698B"/>
    <w:rsid w:val="00134163"/>
    <w:rsid w:val="00135F90"/>
    <w:rsid w:val="001423AB"/>
    <w:rsid w:val="001439EB"/>
    <w:rsid w:val="00164203"/>
    <w:rsid w:val="00164ACA"/>
    <w:rsid w:val="00176DBE"/>
    <w:rsid w:val="001A345D"/>
    <w:rsid w:val="001A4432"/>
    <w:rsid w:val="001F0DB1"/>
    <w:rsid w:val="001F6360"/>
    <w:rsid w:val="00214E05"/>
    <w:rsid w:val="0023313A"/>
    <w:rsid w:val="00240C22"/>
    <w:rsid w:val="002512A3"/>
    <w:rsid w:val="00274476"/>
    <w:rsid w:val="002964C4"/>
    <w:rsid w:val="002A4C4E"/>
    <w:rsid w:val="002A5FE7"/>
    <w:rsid w:val="002C79A3"/>
    <w:rsid w:val="002F2D08"/>
    <w:rsid w:val="00322F01"/>
    <w:rsid w:val="00326EAF"/>
    <w:rsid w:val="003338AC"/>
    <w:rsid w:val="00337694"/>
    <w:rsid w:val="00355EA2"/>
    <w:rsid w:val="00363EA3"/>
    <w:rsid w:val="00377793"/>
    <w:rsid w:val="003873FE"/>
    <w:rsid w:val="00387441"/>
    <w:rsid w:val="003B0D8F"/>
    <w:rsid w:val="003C2895"/>
    <w:rsid w:val="003C4FB5"/>
    <w:rsid w:val="003C59F9"/>
    <w:rsid w:val="003C5AD0"/>
    <w:rsid w:val="003D65B9"/>
    <w:rsid w:val="003D71F1"/>
    <w:rsid w:val="003F19BC"/>
    <w:rsid w:val="0044286D"/>
    <w:rsid w:val="004464A2"/>
    <w:rsid w:val="00454C5E"/>
    <w:rsid w:val="00466BE6"/>
    <w:rsid w:val="00467B19"/>
    <w:rsid w:val="00480889"/>
    <w:rsid w:val="00482C5E"/>
    <w:rsid w:val="0049601B"/>
    <w:rsid w:val="004B0D0E"/>
    <w:rsid w:val="005032CC"/>
    <w:rsid w:val="005230CB"/>
    <w:rsid w:val="0053377E"/>
    <w:rsid w:val="00547B32"/>
    <w:rsid w:val="0056455D"/>
    <w:rsid w:val="00577464"/>
    <w:rsid w:val="0059720D"/>
    <w:rsid w:val="005A5FE8"/>
    <w:rsid w:val="005D10FE"/>
    <w:rsid w:val="005D2B3F"/>
    <w:rsid w:val="00600764"/>
    <w:rsid w:val="0061354B"/>
    <w:rsid w:val="00621F2E"/>
    <w:rsid w:val="00637F53"/>
    <w:rsid w:val="00674D81"/>
    <w:rsid w:val="006A3513"/>
    <w:rsid w:val="006B778B"/>
    <w:rsid w:val="006C1E25"/>
    <w:rsid w:val="006E6BFD"/>
    <w:rsid w:val="007126B0"/>
    <w:rsid w:val="007256EF"/>
    <w:rsid w:val="00730532"/>
    <w:rsid w:val="00731BB7"/>
    <w:rsid w:val="00772186"/>
    <w:rsid w:val="007D5079"/>
    <w:rsid w:val="007D7FD0"/>
    <w:rsid w:val="007F799E"/>
    <w:rsid w:val="007F7F62"/>
    <w:rsid w:val="0082088F"/>
    <w:rsid w:val="00831485"/>
    <w:rsid w:val="008361F1"/>
    <w:rsid w:val="008649BA"/>
    <w:rsid w:val="008651C7"/>
    <w:rsid w:val="008A21A0"/>
    <w:rsid w:val="008A2955"/>
    <w:rsid w:val="008A71F4"/>
    <w:rsid w:val="008B015E"/>
    <w:rsid w:val="008B0815"/>
    <w:rsid w:val="008B59C4"/>
    <w:rsid w:val="008C06BF"/>
    <w:rsid w:val="008C426E"/>
    <w:rsid w:val="008D3A92"/>
    <w:rsid w:val="008E24D5"/>
    <w:rsid w:val="008F7CD1"/>
    <w:rsid w:val="0090675B"/>
    <w:rsid w:val="0091358C"/>
    <w:rsid w:val="00933FC0"/>
    <w:rsid w:val="009505A3"/>
    <w:rsid w:val="009530DA"/>
    <w:rsid w:val="00996008"/>
    <w:rsid w:val="009C037E"/>
    <w:rsid w:val="009C053E"/>
    <w:rsid w:val="009C482A"/>
    <w:rsid w:val="009F6E5C"/>
    <w:rsid w:val="00A004F7"/>
    <w:rsid w:val="00A00EBE"/>
    <w:rsid w:val="00A06D94"/>
    <w:rsid w:val="00A23CFA"/>
    <w:rsid w:val="00A23FF2"/>
    <w:rsid w:val="00A244F1"/>
    <w:rsid w:val="00A461F3"/>
    <w:rsid w:val="00AA3CB5"/>
    <w:rsid w:val="00AB462A"/>
    <w:rsid w:val="00AB6924"/>
    <w:rsid w:val="00AD35A4"/>
    <w:rsid w:val="00B70B36"/>
    <w:rsid w:val="00B91F58"/>
    <w:rsid w:val="00BA30CD"/>
    <w:rsid w:val="00BA5382"/>
    <w:rsid w:val="00BA6AD9"/>
    <w:rsid w:val="00BA7017"/>
    <w:rsid w:val="00BE1D98"/>
    <w:rsid w:val="00C143BA"/>
    <w:rsid w:val="00C23D8B"/>
    <w:rsid w:val="00C46017"/>
    <w:rsid w:val="00C4617C"/>
    <w:rsid w:val="00C548DD"/>
    <w:rsid w:val="00C55BAF"/>
    <w:rsid w:val="00C56A02"/>
    <w:rsid w:val="00C8193A"/>
    <w:rsid w:val="00C83A49"/>
    <w:rsid w:val="00C87B38"/>
    <w:rsid w:val="00C93F85"/>
    <w:rsid w:val="00CE5428"/>
    <w:rsid w:val="00D22756"/>
    <w:rsid w:val="00D25EFC"/>
    <w:rsid w:val="00D355DF"/>
    <w:rsid w:val="00D400C8"/>
    <w:rsid w:val="00D4651B"/>
    <w:rsid w:val="00D51A32"/>
    <w:rsid w:val="00D56AF2"/>
    <w:rsid w:val="00D57466"/>
    <w:rsid w:val="00D71987"/>
    <w:rsid w:val="00DA261C"/>
    <w:rsid w:val="00DB55A1"/>
    <w:rsid w:val="00DC17C4"/>
    <w:rsid w:val="00DD692E"/>
    <w:rsid w:val="00DF2405"/>
    <w:rsid w:val="00E042E0"/>
    <w:rsid w:val="00E10941"/>
    <w:rsid w:val="00E11143"/>
    <w:rsid w:val="00E309AE"/>
    <w:rsid w:val="00E462E9"/>
    <w:rsid w:val="00E645A3"/>
    <w:rsid w:val="00E937E0"/>
    <w:rsid w:val="00E9437D"/>
    <w:rsid w:val="00EC5292"/>
    <w:rsid w:val="00ED147C"/>
    <w:rsid w:val="00ED2CE6"/>
    <w:rsid w:val="00EE4275"/>
    <w:rsid w:val="00EE7D8F"/>
    <w:rsid w:val="00F027F4"/>
    <w:rsid w:val="00F073E7"/>
    <w:rsid w:val="00F43AB4"/>
    <w:rsid w:val="00F5449D"/>
    <w:rsid w:val="00F91196"/>
    <w:rsid w:val="00F919BA"/>
    <w:rsid w:val="00FA2BD5"/>
    <w:rsid w:val="00FA5215"/>
    <w:rsid w:val="00FC0CF6"/>
    <w:rsid w:val="00FD21E4"/>
    <w:rsid w:val="00FD40B7"/>
    <w:rsid w:val="00FD75F5"/>
    <w:rsid w:val="00FE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C1AA7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3A"/>
    <w:rPr>
      <w:rFonts w:ascii="Tahoma" w:hAnsi="Tahoma" w:cs="Tahoma"/>
      <w:sz w:val="16"/>
      <w:szCs w:val="16"/>
    </w:rPr>
  </w:style>
  <w:style w:type="paragraph" w:styleId="Header">
    <w:name w:val="header"/>
    <w:basedOn w:val="Normal"/>
    <w:link w:val="HeaderChar"/>
    <w:uiPriority w:val="99"/>
    <w:unhideWhenUsed/>
    <w:rsid w:val="003D71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1F1"/>
  </w:style>
  <w:style w:type="paragraph" w:styleId="Footer">
    <w:name w:val="footer"/>
    <w:basedOn w:val="Normal"/>
    <w:link w:val="FooterChar"/>
    <w:uiPriority w:val="99"/>
    <w:unhideWhenUsed/>
    <w:rsid w:val="003D71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1F1"/>
  </w:style>
  <w:style w:type="character" w:styleId="Hyperlink">
    <w:name w:val="Hyperlink"/>
    <w:basedOn w:val="DefaultParagraphFont"/>
    <w:uiPriority w:val="99"/>
    <w:unhideWhenUsed/>
    <w:rsid w:val="00466BE6"/>
    <w:rPr>
      <w:color w:val="0000FF"/>
      <w:u w:val="single"/>
    </w:rPr>
  </w:style>
  <w:style w:type="paragraph" w:styleId="NoSpacing">
    <w:name w:val="No Spacing"/>
    <w:link w:val="NoSpacingChar"/>
    <w:uiPriority w:val="1"/>
    <w:qFormat/>
    <w:rsid w:val="003C2895"/>
    <w:pPr>
      <w:spacing w:after="0" w:line="240" w:lineRule="auto"/>
    </w:pPr>
    <w:rPr>
      <w:lang w:val="en-US"/>
    </w:rPr>
  </w:style>
  <w:style w:type="character" w:customStyle="1" w:styleId="NoSpacingChar">
    <w:name w:val="No Spacing Char"/>
    <w:basedOn w:val="DefaultParagraphFont"/>
    <w:link w:val="NoSpacing"/>
    <w:uiPriority w:val="1"/>
    <w:rsid w:val="003C2895"/>
    <w:rPr>
      <w:rFonts w:eastAsiaTheme="minorEastAsia"/>
      <w:lang w:val="en-US"/>
    </w:rPr>
  </w:style>
  <w:style w:type="paragraph" w:customStyle="1" w:styleId="Default">
    <w:name w:val="Default"/>
    <w:rsid w:val="0090675B"/>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ListParagraph">
    <w:name w:val="List Paragraph"/>
    <w:basedOn w:val="Normal"/>
    <w:uiPriority w:val="34"/>
    <w:qFormat/>
    <w:rsid w:val="0090675B"/>
    <w:pPr>
      <w:ind w:left="720"/>
      <w:contextualSpacing/>
    </w:pPr>
    <w:rPr>
      <w:rFonts w:ascii="Georgia" w:eastAsiaTheme="minorHAnsi" w:hAnsi="Georgia"/>
      <w:sz w:val="20"/>
      <w:lang w:eastAsia="en-US"/>
    </w:rPr>
  </w:style>
  <w:style w:type="character" w:styleId="CommentReference">
    <w:name w:val="annotation reference"/>
    <w:basedOn w:val="DefaultParagraphFont"/>
    <w:uiPriority w:val="99"/>
    <w:semiHidden/>
    <w:unhideWhenUsed/>
    <w:rsid w:val="0090675B"/>
    <w:rPr>
      <w:sz w:val="16"/>
      <w:szCs w:val="16"/>
    </w:rPr>
  </w:style>
  <w:style w:type="paragraph" w:styleId="CommentText">
    <w:name w:val="annotation text"/>
    <w:basedOn w:val="Normal"/>
    <w:link w:val="CommentTextChar"/>
    <w:uiPriority w:val="99"/>
    <w:semiHidden/>
    <w:unhideWhenUsed/>
    <w:rsid w:val="0090675B"/>
    <w:pPr>
      <w:spacing w:line="240" w:lineRule="auto"/>
    </w:pPr>
    <w:rPr>
      <w:rFonts w:ascii="Georgia" w:eastAsiaTheme="minorHAnsi" w:hAnsi="Georgia"/>
      <w:sz w:val="20"/>
      <w:szCs w:val="20"/>
      <w:lang w:eastAsia="en-US"/>
    </w:rPr>
  </w:style>
  <w:style w:type="character" w:customStyle="1" w:styleId="CommentTextChar">
    <w:name w:val="Comment Text Char"/>
    <w:basedOn w:val="DefaultParagraphFont"/>
    <w:link w:val="CommentText"/>
    <w:uiPriority w:val="99"/>
    <w:semiHidden/>
    <w:rsid w:val="0090675B"/>
    <w:rPr>
      <w:rFonts w:ascii="Georgia" w:eastAsiaTheme="minorHAnsi" w:hAnsi="Georgia"/>
      <w:sz w:val="20"/>
      <w:szCs w:val="20"/>
      <w:lang w:eastAsia="en-US"/>
    </w:rPr>
  </w:style>
  <w:style w:type="table" w:styleId="TableGrid">
    <w:name w:val="Table Grid"/>
    <w:basedOn w:val="TableNormal"/>
    <w:uiPriority w:val="59"/>
    <w:rsid w:val="009067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0675B"/>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0F3CAA"/>
    <w:rPr>
      <w:rFonts w:asciiTheme="minorHAnsi" w:eastAsiaTheme="minorEastAsia" w:hAnsiTheme="minorHAnsi"/>
      <w:b/>
      <w:bCs/>
      <w:lang w:eastAsia="en-GB"/>
    </w:rPr>
  </w:style>
  <w:style w:type="character" w:customStyle="1" w:styleId="CommentSubjectChar">
    <w:name w:val="Comment Subject Char"/>
    <w:basedOn w:val="CommentTextChar"/>
    <w:link w:val="CommentSubject"/>
    <w:uiPriority w:val="99"/>
    <w:semiHidden/>
    <w:rsid w:val="000F3CAA"/>
    <w:rPr>
      <w:rFonts w:ascii="Georgia" w:eastAsiaTheme="minorHAnsi" w:hAnsi="Georgia"/>
      <w:b/>
      <w:bCs/>
      <w:sz w:val="20"/>
      <w:szCs w:val="20"/>
      <w:lang w:eastAsia="en-US"/>
    </w:rPr>
  </w:style>
  <w:style w:type="paragraph" w:customStyle="1" w:styleId="m-1021013941133132924gmail-msolistparagraph">
    <w:name w:val="m_-1021013941133132924gmail-msolistparagraph"/>
    <w:basedOn w:val="Normal"/>
    <w:rsid w:val="00F073E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6455D"/>
    <w:rPr>
      <w:color w:val="800080" w:themeColor="followedHyperlink"/>
      <w:u w:val="single"/>
    </w:rPr>
  </w:style>
  <w:style w:type="paragraph" w:styleId="Revision">
    <w:name w:val="Revision"/>
    <w:hidden/>
    <w:uiPriority w:val="99"/>
    <w:semiHidden/>
    <w:rsid w:val="005230CB"/>
    <w:pPr>
      <w:spacing w:after="0" w:line="240" w:lineRule="auto"/>
    </w:pPr>
  </w:style>
  <w:style w:type="paragraph" w:styleId="FootnoteText">
    <w:name w:val="footnote text"/>
    <w:basedOn w:val="Normal"/>
    <w:link w:val="FootnoteTextChar"/>
    <w:uiPriority w:val="99"/>
    <w:semiHidden/>
    <w:unhideWhenUsed/>
    <w:rsid w:val="005337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377E"/>
    <w:rPr>
      <w:sz w:val="20"/>
      <w:szCs w:val="20"/>
    </w:rPr>
  </w:style>
  <w:style w:type="character" w:styleId="FootnoteReference">
    <w:name w:val="footnote reference"/>
    <w:basedOn w:val="DefaultParagraphFont"/>
    <w:uiPriority w:val="99"/>
    <w:semiHidden/>
    <w:unhideWhenUsed/>
    <w:rsid w:val="0053377E"/>
    <w:rPr>
      <w:vertAlign w:val="superscript"/>
    </w:rPr>
  </w:style>
  <w:style w:type="table" w:styleId="PlainTable2">
    <w:name w:val="Plain Table 2"/>
    <w:basedOn w:val="TableNormal"/>
    <w:uiPriority w:val="42"/>
    <w:rsid w:val="00674D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4439">
      <w:bodyDiv w:val="1"/>
      <w:marLeft w:val="0"/>
      <w:marRight w:val="0"/>
      <w:marTop w:val="0"/>
      <w:marBottom w:val="0"/>
      <w:divBdr>
        <w:top w:val="none" w:sz="0" w:space="0" w:color="auto"/>
        <w:left w:val="none" w:sz="0" w:space="0" w:color="auto"/>
        <w:bottom w:val="none" w:sz="0" w:space="0" w:color="auto"/>
        <w:right w:val="none" w:sz="0" w:space="0" w:color="auto"/>
      </w:divBdr>
    </w:div>
    <w:div w:id="1636176781">
      <w:bodyDiv w:val="1"/>
      <w:marLeft w:val="0"/>
      <w:marRight w:val="0"/>
      <w:marTop w:val="0"/>
      <w:marBottom w:val="0"/>
      <w:divBdr>
        <w:top w:val="none" w:sz="0" w:space="0" w:color="auto"/>
        <w:left w:val="none" w:sz="0" w:space="0" w:color="auto"/>
        <w:bottom w:val="none" w:sz="0" w:space="0" w:color="auto"/>
        <w:right w:val="none" w:sz="0" w:space="0" w:color="auto"/>
      </w:divBdr>
    </w:div>
    <w:div w:id="181960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yperlink" Target="http://www.xoserve.com/wp-content/uploads/TPG-Pack-08.11.16-v1.pdf" TargetMode="External"/><Relationship Id="rId26" Type="http://schemas.openxmlformats.org/officeDocument/2006/relationships/image" Target="media/image4.e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xoserve.com/wp-content/uploads/UKLP-IDR-2-Summary-Final-Version-04Apr2017.pdf" TargetMode="External"/><Relationship Id="rId34" Type="http://schemas.openxmlformats.org/officeDocument/2006/relationships/package" Target="embeddings/Microsoft_PowerPoint_Presentation1.pptx"/><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gasgovernance.co.uk/nexus/brd/nonfunctional" TargetMode="External"/><Relationship Id="rId25" Type="http://schemas.openxmlformats.org/officeDocument/2006/relationships/oleObject" Target="embeddings/oleObject3.bin"/><Relationship Id="rId33" Type="http://schemas.openxmlformats.org/officeDocument/2006/relationships/image" Target="media/image7.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gasgovernance.co.uk/sites/default/files/UNC602aIGT092aD%20(2).pdf" TargetMode="External"/><Relationship Id="rId20" Type="http://schemas.openxmlformats.org/officeDocument/2006/relationships/hyperlink" Target="http://www.xoserve.com/wp-content/uploads/TPG-Pack-24.01.17.pdf" TargetMode="External"/><Relationship Id="rId29" Type="http://schemas.openxmlformats.org/officeDocument/2006/relationships/oleObject" Target="embeddings/oleObject4.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emf"/><Relationship Id="rId32" Type="http://schemas.openxmlformats.org/officeDocument/2006/relationships/package" Target="embeddings/Microsoft_Word_Document.doc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ofgem.gov.uk/publications-and-updates/gono-go-gong-criteria-and-assessment-framework-project-nexus-v2" TargetMode="External"/><Relationship Id="rId23" Type="http://schemas.openxmlformats.org/officeDocument/2006/relationships/oleObject" Target="embeddings/oleObject2.bin"/><Relationship Id="rId28" Type="http://schemas.openxmlformats.org/officeDocument/2006/relationships/image" Target="media/image5.emf"/><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www.xoserve.com/wp-content/uploads/TPG-Pack-22.11.16-v1.1.pdf"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image" Target="media/image2.emf"/><Relationship Id="rId27" Type="http://schemas.openxmlformats.org/officeDocument/2006/relationships/package" Target="embeddings/Microsoft_PowerPoint_Presentation.pptx"/><Relationship Id="rId30" Type="http://schemas.openxmlformats.org/officeDocument/2006/relationships/hyperlink" Target="http://www.xoserve.com/index.php/our-change-programme/uk-link-programme/uk-link-programme-workstream-updates/uk-link-programme-transition/transition-progress-group-sub-group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http://www.gasgovernance.co.uk/sites/default/files/UNC602aIGT092aD%20(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973096ae-7329-4b3b-9368-47aeba6959e1"/>
</file>

<file path=customXml/item2.xml><?xml version="1.0" encoding="utf-8"?>
<ct:contentTypeSchema xmlns:ct="http://schemas.microsoft.com/office/2006/metadata/contentType" xmlns:ma="http://schemas.microsoft.com/office/2006/metadata/properties/metaAttributes" ct:_="" ma:_="" ma:contentTypeName="Information" ma:contentTypeID="0x01010033282546F0D44441B574BEAA5FBE93E40023C6E6CC3CB7BC4C8AD3912D38067D62" ma:contentTypeVersion="2" ma:contentTypeDescription="" ma:contentTypeScope="" ma:versionID="dd85b64dc709daecd8700ea375402f3f">
  <xsd:schema xmlns:xsd="http://www.w3.org/2001/XMLSchema" xmlns:xs="http://www.w3.org/2001/XMLSchema" xmlns:p="http://schemas.microsoft.com/office/2006/metadata/properties" xmlns:ns2="631298fc-6a88-4548-b7d9-3b164918c4a3" xmlns:ns3="http://schemas.microsoft.com/sharepoint/v3/fields" targetNamespace="http://schemas.microsoft.com/office/2006/metadata/properties" ma:root="true" ma:fieldsID="4a06dee23f31549fb7c9f53d9d9de67e" ns2:_="" ns3:_="">
    <xsd:import namespace="631298fc-6a88-4548-b7d9-3b164918c4a3"/>
    <xsd:import namespace="http://schemas.microsoft.com/sharepoint/v3/fields"/>
    <xsd:element name="properties">
      <xsd:complexType>
        <xsd:sequence>
          <xsd:element name="documentManagement">
            <xsd:complexType>
              <xsd:all>
                <xsd:element ref="ns2:Organisation" minOccurs="0"/>
                <xsd:element ref="ns2:_x003a_" minOccurs="0"/>
                <xsd:element ref="ns2:_x003a__x003a_" minOccurs="0"/>
                <xsd:element ref="ns3:_Status" minOccurs="0"/>
                <xsd:element ref="ns2:Classification" minOccurs="0"/>
                <xsd:element ref="ns2:Descrip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298fc-6a88-4548-b7d9-3b164918c4a3" elementFormDefault="qualified">
    <xsd:import namespace="http://schemas.microsoft.com/office/2006/documentManagement/types"/>
    <xsd:import namespace="http://schemas.microsoft.com/office/infopath/2007/PartnerControls"/>
    <xsd:element name="Organisation" ma:index="8" nillable="true" ma:displayName="Organisation" ma:default="Choose an Organisation" ma:description="Choose from the drop-down menu or fill in a value" ma:format="Dropdown" ma:internalName="Organisation">
      <xsd:simpleType>
        <xsd:union memberTypes="dms:Text">
          <xsd:simpleType>
            <xsd:restriction base="dms:Choice">
              <xsd:enumeration value="Choose an Organisation"/>
              <xsd:enumeration value="Assoc Elec Producers"/>
              <xsd:enumeration value="Atomic Energy Auth"/>
              <xsd:enumeration value="BERR"/>
              <xsd:enumeration value="British Energy"/>
              <xsd:enumeration value="Brit Wind Energy Assoc"/>
              <xsd:enumeration value="Building Research Est"/>
              <xsd:enumeration value="Carbon Trust"/>
              <xsd:enumeration value="Cavendish"/>
              <xsd:enumeration value="Centrica"/>
              <xsd:enumeration value="Central Networks"/>
              <xsd:enumeration value="CE"/>
              <xsd:enumeration value="CEER"/>
              <xsd:enumeration value="CHPA"/>
              <xsd:enumeration value="Competition Commission"/>
              <xsd:enumeration value="DCLG"/>
              <xsd:enumeration value="DCUSA Ltd"/>
              <xsd:enumeration value="DEFRA"/>
              <xsd:enumeration value="DETI (Northern Ireland)"/>
              <xsd:enumeration value="European Commission"/>
              <xsd:enumeration value="EdF"/>
              <xsd:enumeration value="Elec DNO"/>
              <xsd:enumeration value="ELEXON"/>
              <xsd:enumeration value="eon"/>
              <xsd:enumeration value="Electricity North West"/>
              <xsd:enumeration value="Energy Networks Association"/>
              <xsd:enumeration value="Energy Retail Association"/>
              <xsd:enumeration value="Energy Saving Trust"/>
              <xsd:enumeration value="energywatch"/>
              <xsd:enumeration value="ERGEG"/>
              <xsd:enumeration value="Ernst &amp; Young"/>
              <xsd:enumeration value="ESTA"/>
              <xsd:enumeration value="Gas DNs"/>
              <xsd:enumeration value="Gas Forum"/>
              <xsd:enumeration value="Gaz de France"/>
              <xsd:enumeration value="Government"/>
              <xsd:enumeration value="HM Revenue &amp; Customs"/>
              <xsd:enumeration value="HM Treasury"/>
              <xsd:enumeration value="House of Commons"/>
              <xsd:enumeration value="HSE"/>
              <xsd:enumeration value="IDNO"/>
              <xsd:enumeration value="IGT"/>
              <xsd:enumeration value="National Grid Gas"/>
              <xsd:enumeration value="National Grid Elec"/>
              <xsd:enumeration value="nPower"/>
              <xsd:enumeration value="NWOperators"/>
              <xsd:enumeration value="NEDL &amp;  YEDL"/>
              <xsd:enumeration value="Northern Gas Networks"/>
              <xsd:enumeration value="OFGEM"/>
              <xsd:enumeration value="OFREG"/>
              <xsd:enumeration value="OFT"/>
              <xsd:enumeration value="Parity"/>
              <xsd:enumeration value="Parl Renew &amp; Sustain Energy Grp"/>
              <xsd:enumeration value="Renewble Energy Assoc"/>
              <xsd:enumeration value="RWE"/>
              <xsd:enumeration value="Scotia Gas Networks"/>
              <xsd:enumeration value="Scottish and Southern"/>
              <xsd:enumeration value="Scottish Executive"/>
              <xsd:enumeration value="Scottish Power"/>
              <xsd:enumeration value="SmartestEnergy"/>
              <xsd:enumeration value="Suppliers"/>
              <xsd:enumeration value="Wales &amp; West Utilities"/>
              <xsd:enumeration value="Welsh Assembly"/>
              <xsd:enumeration value="WPD"/>
              <xsd:enumeration value="Xoserve"/>
              <xsd:enumeration value="-"/>
            </xsd:restriction>
          </xsd:simpleType>
        </xsd:union>
      </xsd:simpleType>
    </xsd:element>
    <xsd:element name="_x003a_" ma:index="9" nillable="true" ma:displayName=":" ma:description="To group documents together eg Responses with a Consultation Doc.  The format is Main Document Publication Date as YYYY/MM/DD - Main Document Title - Ref No &#10;(keep the Title part short and use copy and paste to ensure grouping works - check in Publication view)" ma:internalName="_x003A_">
      <xsd:simpleType>
        <xsd:restriction base="dms:Text">
          <xsd:maxLength value="255"/>
        </xsd:restriction>
      </xsd:simpleType>
    </xsd:element>
    <xsd:element name="_x003a__x003a_" ma:index="10" nillable="true" ma:displayName="::" ma:default="-Main Document" ma:description="Used to place Subsidiary Documents and Responses as 'children' to the Main Document, with Subsidiary Documents first" ma:format="Dropdown" ma:internalName="_x003A__x003A_">
      <xsd:simpleType>
        <xsd:restriction base="dms:Choice">
          <xsd:enumeration value="-Main Document"/>
          <xsd:enumeration value="-Subsidiary Document"/>
          <xsd:enumeration value="Response"/>
        </xsd:restriction>
      </xsd:simpleType>
    </xsd:element>
    <xsd:element name="Classification" ma:index="12" nillable="true" ma:displayName="Classification" ma:default="Unclassified" ma:format="Dropdown" ma:hidden="true" ma:internalName="Classification" ma:readOnly="false">
      <xsd:simpleType>
        <xsd:restriction base="dms:Choice">
          <xsd:enumeration value="Unclassified"/>
          <xsd:enumeration value="Protect"/>
          <xsd:enumeration value="Restricted"/>
        </xsd:restriction>
      </xsd:simpleType>
    </xsd:element>
    <xsd:element name="Descriptor" ma:index="13" nillable="true" ma:displayName="Descriptor" ma:format="Dropdown" ma:hidden="true" ma:internalName="Descriptor" ma:readOnly="false">
      <xsd:simpleType>
        <xsd:restriction base="dms:Choice">
          <xsd:enumeration value="Commercial"/>
          <xsd:enumeration value="Management"/>
          <xsd:enumeration value="Market Sensitive"/>
          <xsd:enumeration value="Staff"/>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Draft" ma:description="Choose the appropriate status from the drop-down" ma:format="Dropdown" ma:internalName="_Status">
      <xsd:simpleType>
        <xsd:restriction base="dms:Choice">
          <xsd:enumeration value="Draft"/>
          <xsd:enumeration value="For comment"/>
          <xsd:enumeration value="Peer Reviewed"/>
          <xsd:enumeration value="Head of Dept Reviewed"/>
          <xsd:enumeration value="Legally Reviewed"/>
          <xsd:enumeration value="MD Approved"/>
          <xsd:enumeration value="Final not for Registry"/>
          <xsd:enumeration value="Final and Sent to Registry"/>
          <xsd:enumeration value="Published"/>
          <xsd:enumeration value="For deletion review"/>
          <xsd:enumeration value="External Draft"/>
          <xsd:enumeration value="External for comment"/>
          <xsd:enumeration value="External for action"/>
          <xsd:enumeration value="External 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Draft</_Status>
    <Descriptor xmlns="631298fc-6a88-4548-b7d9-3b164918c4a3" xsi:nil="true"/>
    <_x003a_ xmlns="631298fc-6a88-4548-b7d9-3b164918c4a3" xsi:nil="true"/>
    <Classification xmlns="631298fc-6a88-4548-b7d9-3b164918c4a3">Unclassified</Classification>
    <_x003a__x003a_ xmlns="631298fc-6a88-4548-b7d9-3b164918c4a3">-Main Document</_x003a__x003a_>
    <Organisation xmlns="631298fc-6a88-4548-b7d9-3b164918c4a3">Choose an Organisation</Organisa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9773578-b348-4185-91b0-0c3a7eda8d2a" ContentTypeId="0x01010033282546F0D44441B574BEAA5FBE93E4"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0755F-3AF2-4DCA-9A53-FC4678ED182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37F25B3-6B76-4C47-BEC1-0C2BA0D87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298fc-6a88-4548-b7d9-3b164918c4a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1FBFC7-5BD5-4002-8CA1-AD5F7351EC36}">
  <ds:schemaRefs>
    <ds:schemaRef ds:uri="http://purl.org/dc/dcmitype/"/>
    <ds:schemaRef ds:uri="http://schemas.microsoft.com/sharepoint/v3/fields"/>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631298fc-6a88-4548-b7d9-3b164918c4a3"/>
    <ds:schemaRef ds:uri="http://schemas.microsoft.com/office/2006/metadata/properties"/>
  </ds:schemaRefs>
</ds:datastoreItem>
</file>

<file path=customXml/itemProps4.xml><?xml version="1.0" encoding="utf-8"?>
<ds:datastoreItem xmlns:ds="http://schemas.openxmlformats.org/officeDocument/2006/customXml" ds:itemID="{B5FA7CBA-AD2F-4AE8-BD46-894D062937D6}">
  <ds:schemaRefs>
    <ds:schemaRef ds:uri="http://schemas.microsoft.com/sharepoint/v3/contenttype/forms"/>
  </ds:schemaRefs>
</ds:datastoreItem>
</file>

<file path=customXml/itemProps5.xml><?xml version="1.0" encoding="utf-8"?>
<ds:datastoreItem xmlns:ds="http://schemas.openxmlformats.org/officeDocument/2006/customXml" ds:itemID="{8646206B-603A-48CB-AAB7-09C1E1142736}">
  <ds:schemaRefs>
    <ds:schemaRef ds:uri="Microsoft.SharePoint.Taxonomy.ContentTypeSync"/>
  </ds:schemaRefs>
</ds:datastoreItem>
</file>

<file path=customXml/itemProps6.xml><?xml version="1.0" encoding="utf-8"?>
<ds:datastoreItem xmlns:ds="http://schemas.openxmlformats.org/officeDocument/2006/customXml" ds:itemID="{6E88A9A3-DE58-45EC-A907-062EB23A2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5488</Words>
  <Characters>29861</Characters>
  <Application>Microsoft Office Word</Application>
  <DocSecurity>12</DocSecurity>
  <Lines>694</Lines>
  <Paragraphs>263</Paragraphs>
  <ScaleCrop>false</ScaleCrop>
  <HeadingPairs>
    <vt:vector size="2" baseType="variant">
      <vt:variant>
        <vt:lpstr>Title</vt:lpstr>
      </vt:variant>
      <vt:variant>
        <vt:i4>1</vt:i4>
      </vt:variant>
    </vt:vector>
  </HeadingPairs>
  <TitlesOfParts>
    <vt:vector size="1" baseType="lpstr">
      <vt:lpstr/>
    </vt:vector>
  </TitlesOfParts>
  <Company>Ofgem</Company>
  <LinksUpToDate>false</LinksUpToDate>
  <CharactersWithSpaces>35086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Brooking</dc:creator>
  <cp:lastModifiedBy>Tricia Quinn</cp:lastModifiedBy>
  <cp:revision>2</cp:revision>
  <dcterms:created xsi:type="dcterms:W3CDTF">2017-04-28T14:44:00Z</dcterms:created>
  <dcterms:modified xsi:type="dcterms:W3CDTF">2017-04-28T14:44:00Z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4cdf93f9-16da-4838-9e86-84f8dab9dad9</vt:lpwstr>
  </property>
  <property fmtid="{D5CDD505-2E9C-101B-9397-08002B2CF9AE}" pid="3" name="bjSaver">
    <vt:lpwstr>KMtTrgATx+5SmTAj0Usdz+wUxEX6fkQP</vt:lpwstr>
  </property>
  <property fmtid="{D5CDD505-2E9C-101B-9397-08002B2CF9AE}" pid="4" name="ContentTypeId">
    <vt:lpwstr>0x01010033282546F0D44441B574BEAA5FBE93E40023C6E6CC3CB7BC4C8AD3912D38067D62</vt:lpwstr>
  </property>
  <property fmtid="{D5CDD505-2E9C-101B-9397-08002B2CF9AE}" pid="5" name="BJSCc5a055b0-1bed-4579_x">
    <vt:lpwstr/>
  </property>
  <property fmtid="{D5CDD505-2E9C-101B-9397-08002B2CF9AE}" pid="6" name="BJSCdd9eba61-d6b9-469b_x">
    <vt:lpwstr/>
  </property>
  <property fmtid="{D5CDD505-2E9C-101B-9397-08002B2CF9AE}" pid="7" name="BJSCSummaryMarking">
    <vt:lpwstr>This item has no classification</vt:lpwstr>
  </property>
  <property fmtid="{D5CDD505-2E9C-101B-9397-08002B2CF9AE}" pid="8" name="BJSCInternalLabel">
    <vt:lpwstr>&lt;?xml version="1.0" encoding="us-ascii"?&gt;&lt;sisl xmlns:xsi="http://www.w3.org/2001/XMLSchema-instance" xmlns:xsd="http://www.w3.org/2001/XMLSchema" sislVersion="0" policy="973096ae-7329-4b3b-9368-47aeba6959e1" xmlns="http://www.boldonjames.com/2008/01/sie/i</vt:lpwstr>
  </property>
  <property fmtid="{D5CDD505-2E9C-101B-9397-08002B2CF9AE}" pid="9" name="bjDocumentSecurityLabel">
    <vt:lpwstr>This item has no classification</vt:lpwstr>
  </property>
</Properties>
</file>